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16F58A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7A87A40" w14:textId="77777777">
      <w:pPr>
        <w:pStyle w:val="StyleBoldCentered"/>
      </w:pPr>
      <w:r>
        <w:t>F</w:t>
      </w:r>
      <w:r>
        <w:rPr>
          <w:caps w:val="0"/>
        </w:rPr>
        <w:t>ederal Communications Commission</w:t>
      </w:r>
    </w:p>
    <w:p w:rsidR="004C2EE3" w:rsidP="00096D8C" w14:paraId="3566A797" w14:textId="77777777">
      <w:pPr>
        <w:pStyle w:val="StyleBoldCentered"/>
      </w:pPr>
      <w:r>
        <w:rPr>
          <w:caps w:val="0"/>
        </w:rPr>
        <w:t>Washington, D.C. 20554</w:t>
      </w:r>
    </w:p>
    <w:p w:rsidR="004C2EE3" w:rsidP="0070224F" w14:paraId="3E382A7E" w14:textId="77777777"/>
    <w:p w:rsidR="004C2EE3" w:rsidP="0070224F" w14:paraId="0BC2E710" w14:textId="77777777"/>
    <w:tbl>
      <w:tblPr>
        <w:tblW w:w="0" w:type="auto"/>
        <w:tblLayout w:type="fixed"/>
        <w:tblLook w:val="0000"/>
      </w:tblPr>
      <w:tblGrid>
        <w:gridCol w:w="4698"/>
        <w:gridCol w:w="630"/>
        <w:gridCol w:w="4248"/>
      </w:tblGrid>
      <w:tr w14:paraId="2C7CAE3D" w14:textId="77777777">
        <w:tblPrEx>
          <w:tblW w:w="0" w:type="auto"/>
          <w:tblLayout w:type="fixed"/>
          <w:tblLook w:val="0000"/>
        </w:tblPrEx>
        <w:tc>
          <w:tcPr>
            <w:tcW w:w="4698" w:type="dxa"/>
          </w:tcPr>
          <w:p w:rsidR="004C2EE3" w14:paraId="4F2708A2" w14:textId="77777777">
            <w:pPr>
              <w:tabs>
                <w:tab w:val="center" w:pos="4680"/>
              </w:tabs>
              <w:suppressAutoHyphens/>
              <w:rPr>
                <w:spacing w:val="-2"/>
              </w:rPr>
            </w:pPr>
            <w:r>
              <w:rPr>
                <w:spacing w:val="-2"/>
              </w:rPr>
              <w:t>In the Matter of</w:t>
            </w:r>
          </w:p>
          <w:p w:rsidR="004C2EE3" w14:paraId="2783150E" w14:textId="77777777">
            <w:pPr>
              <w:tabs>
                <w:tab w:val="center" w:pos="4680"/>
              </w:tabs>
              <w:suppressAutoHyphens/>
              <w:rPr>
                <w:spacing w:val="-2"/>
              </w:rPr>
            </w:pPr>
          </w:p>
          <w:p w:rsidR="004C2EE3" w:rsidP="007115F7" w14:paraId="6ACB8AA2" w14:textId="77777777">
            <w:pPr>
              <w:tabs>
                <w:tab w:val="center" w:pos="4680"/>
              </w:tabs>
              <w:suppressAutoHyphens/>
              <w:rPr>
                <w:spacing w:val="-2"/>
              </w:rPr>
            </w:pPr>
            <w:r>
              <w:rPr>
                <w:spacing w:val="-2"/>
              </w:rPr>
              <w:t>Emerald Harbor Communications</w:t>
            </w:r>
            <w:r w:rsidR="00FA1DED">
              <w:rPr>
                <w:spacing w:val="-2"/>
              </w:rPr>
              <w:t>,</w:t>
            </w:r>
            <w:r>
              <w:rPr>
                <w:spacing w:val="-2"/>
              </w:rPr>
              <w:t xml:space="preserve"> LLC</w:t>
            </w:r>
          </w:p>
          <w:p w:rsidR="003F6B63" w:rsidRPr="007115F7" w:rsidP="007115F7" w14:paraId="1D924CCF" w14:textId="77777777">
            <w:pPr>
              <w:tabs>
                <w:tab w:val="center" w:pos="4680"/>
              </w:tabs>
              <w:suppressAutoHyphens/>
              <w:rPr>
                <w:spacing w:val="-2"/>
              </w:rPr>
            </w:pPr>
            <w:r>
              <w:rPr>
                <w:spacing w:val="-2"/>
              </w:rPr>
              <w:t>Petition for Declaratory Ruling</w:t>
            </w:r>
          </w:p>
        </w:tc>
        <w:tc>
          <w:tcPr>
            <w:tcW w:w="630" w:type="dxa"/>
          </w:tcPr>
          <w:p w:rsidR="004C2EE3" w14:paraId="109960AB" w14:textId="77777777">
            <w:pPr>
              <w:tabs>
                <w:tab w:val="center" w:pos="4680"/>
              </w:tabs>
              <w:suppressAutoHyphens/>
              <w:rPr>
                <w:b/>
                <w:spacing w:val="-2"/>
              </w:rPr>
            </w:pPr>
            <w:r>
              <w:rPr>
                <w:b/>
                <w:spacing w:val="-2"/>
              </w:rPr>
              <w:t>)</w:t>
            </w:r>
          </w:p>
          <w:p w:rsidR="004C2EE3" w14:paraId="671E2DD3" w14:textId="77777777">
            <w:pPr>
              <w:tabs>
                <w:tab w:val="center" w:pos="4680"/>
              </w:tabs>
              <w:suppressAutoHyphens/>
              <w:rPr>
                <w:b/>
                <w:spacing w:val="-2"/>
              </w:rPr>
            </w:pPr>
            <w:r>
              <w:rPr>
                <w:b/>
                <w:spacing w:val="-2"/>
              </w:rPr>
              <w:t>)</w:t>
            </w:r>
          </w:p>
          <w:p w:rsidR="004C2EE3" w14:paraId="0BD0F037" w14:textId="77777777">
            <w:pPr>
              <w:tabs>
                <w:tab w:val="center" w:pos="4680"/>
              </w:tabs>
              <w:suppressAutoHyphens/>
              <w:rPr>
                <w:b/>
                <w:spacing w:val="-2"/>
              </w:rPr>
            </w:pPr>
            <w:r>
              <w:rPr>
                <w:b/>
                <w:spacing w:val="-2"/>
              </w:rPr>
              <w:t>)</w:t>
            </w:r>
          </w:p>
          <w:p w:rsidR="004C2EE3" w14:paraId="699C2B6B" w14:textId="77777777">
            <w:pPr>
              <w:tabs>
                <w:tab w:val="center" w:pos="4680"/>
              </w:tabs>
              <w:suppressAutoHyphens/>
              <w:rPr>
                <w:b/>
                <w:spacing w:val="-2"/>
              </w:rPr>
            </w:pPr>
            <w:r>
              <w:rPr>
                <w:b/>
                <w:spacing w:val="-2"/>
              </w:rPr>
              <w:t>)</w:t>
            </w:r>
          </w:p>
          <w:p w:rsidR="004C2EE3" w14:paraId="273AA5FA" w14:textId="77777777">
            <w:pPr>
              <w:tabs>
                <w:tab w:val="center" w:pos="4680"/>
              </w:tabs>
              <w:suppressAutoHyphens/>
              <w:rPr>
                <w:b/>
                <w:spacing w:val="-2"/>
              </w:rPr>
            </w:pPr>
            <w:r>
              <w:rPr>
                <w:b/>
                <w:spacing w:val="-2"/>
              </w:rPr>
              <w:t>)</w:t>
            </w:r>
          </w:p>
          <w:p w:rsidR="004C2EE3" w14:paraId="0FFE3633" w14:textId="77777777">
            <w:pPr>
              <w:tabs>
                <w:tab w:val="center" w:pos="4680"/>
              </w:tabs>
              <w:suppressAutoHyphens/>
              <w:rPr>
                <w:b/>
                <w:spacing w:val="-2"/>
              </w:rPr>
            </w:pPr>
            <w:r>
              <w:rPr>
                <w:b/>
                <w:spacing w:val="-2"/>
              </w:rPr>
              <w:t>)</w:t>
            </w:r>
          </w:p>
          <w:p w:rsidR="004C2EE3" w14:paraId="2671F5DB" w14:textId="77777777">
            <w:pPr>
              <w:tabs>
                <w:tab w:val="center" w:pos="4680"/>
              </w:tabs>
              <w:suppressAutoHyphens/>
              <w:rPr>
                <w:b/>
                <w:spacing w:val="-2"/>
              </w:rPr>
            </w:pPr>
            <w:r>
              <w:rPr>
                <w:b/>
                <w:spacing w:val="-2"/>
              </w:rPr>
              <w:t>)</w:t>
            </w:r>
          </w:p>
          <w:p w:rsidR="004C2EE3" w14:paraId="7CF1964A" w14:textId="77777777">
            <w:pPr>
              <w:tabs>
                <w:tab w:val="center" w:pos="4680"/>
              </w:tabs>
              <w:suppressAutoHyphens/>
              <w:rPr>
                <w:b/>
                <w:spacing w:val="-2"/>
              </w:rPr>
            </w:pPr>
            <w:r>
              <w:rPr>
                <w:b/>
                <w:spacing w:val="-2"/>
              </w:rPr>
              <w:t>)</w:t>
            </w:r>
          </w:p>
          <w:p w:rsidR="004C2EE3" w14:paraId="5B1F9CE0" w14:textId="77777777">
            <w:pPr>
              <w:tabs>
                <w:tab w:val="center" w:pos="4680"/>
              </w:tabs>
              <w:suppressAutoHyphens/>
              <w:rPr>
                <w:spacing w:val="-2"/>
              </w:rPr>
            </w:pPr>
            <w:r>
              <w:rPr>
                <w:b/>
                <w:spacing w:val="-2"/>
              </w:rPr>
              <w:t>)</w:t>
            </w:r>
          </w:p>
        </w:tc>
        <w:tc>
          <w:tcPr>
            <w:tcW w:w="4248" w:type="dxa"/>
          </w:tcPr>
          <w:p w:rsidR="004C2EE3" w14:paraId="66D23149" w14:textId="77777777">
            <w:pPr>
              <w:tabs>
                <w:tab w:val="center" w:pos="4680"/>
              </w:tabs>
              <w:suppressAutoHyphens/>
              <w:rPr>
                <w:spacing w:val="-2"/>
              </w:rPr>
            </w:pPr>
          </w:p>
          <w:p w:rsidR="004C2EE3" w14:paraId="28B9BDA6" w14:textId="77777777">
            <w:pPr>
              <w:pStyle w:val="TOAHeading"/>
              <w:tabs>
                <w:tab w:val="center" w:pos="4680"/>
                <w:tab w:val="clear" w:pos="9360"/>
              </w:tabs>
              <w:rPr>
                <w:spacing w:val="-2"/>
              </w:rPr>
            </w:pPr>
          </w:p>
          <w:p w:rsidR="004C2EE3" w14:paraId="78AD5401" w14:textId="77777777">
            <w:pPr>
              <w:tabs>
                <w:tab w:val="center" w:pos="4680"/>
              </w:tabs>
              <w:suppressAutoHyphens/>
              <w:rPr>
                <w:spacing w:val="-2"/>
              </w:rPr>
            </w:pPr>
            <w:r>
              <w:rPr>
                <w:spacing w:val="-2"/>
              </w:rPr>
              <w:t>GN Docket No. 17-142</w:t>
            </w:r>
          </w:p>
        </w:tc>
      </w:tr>
    </w:tbl>
    <w:p w:rsidR="004C2EE3" w:rsidP="0070224F" w14:paraId="46352803" w14:textId="77777777"/>
    <w:p w:rsidR="00841AB1" w:rsidP="00F021FA" w14:paraId="004CCA5E" w14:textId="77777777">
      <w:pPr>
        <w:pStyle w:val="StyleBoldCentered"/>
      </w:pPr>
      <w:r>
        <w:t>Memorandum Opinion And Order</w:t>
      </w:r>
    </w:p>
    <w:p w:rsidR="004C2EE3" w14:paraId="1CFC325F" w14:textId="77777777">
      <w:pPr>
        <w:tabs>
          <w:tab w:val="left" w:pos="-720"/>
        </w:tabs>
        <w:suppressAutoHyphens/>
        <w:spacing w:line="227" w:lineRule="auto"/>
        <w:rPr>
          <w:spacing w:val="-2"/>
        </w:rPr>
      </w:pPr>
    </w:p>
    <w:p w:rsidR="004C2EE3" w:rsidP="00133F79" w14:paraId="12251F29" w14:textId="77777777">
      <w:pPr>
        <w:tabs>
          <w:tab w:val="left" w:pos="720"/>
          <w:tab w:val="right" w:pos="9360"/>
        </w:tabs>
        <w:suppressAutoHyphens/>
        <w:spacing w:line="227" w:lineRule="auto"/>
        <w:rPr>
          <w:spacing w:val="-2"/>
        </w:rPr>
      </w:pPr>
      <w:r>
        <w:rPr>
          <w:b/>
          <w:spacing w:val="-2"/>
        </w:rPr>
        <w:t>Adopted:</w:t>
      </w:r>
      <w:r w:rsidR="005D628D">
        <w:rPr>
          <w:b/>
          <w:spacing w:val="-2"/>
        </w:rPr>
        <w:t xml:space="preserve">  February 9, 2023                                                                                Released:  February 9, 2023</w:t>
      </w:r>
    </w:p>
    <w:p w:rsidR="00822CE0" w14:paraId="3529360C" w14:textId="77777777"/>
    <w:p w:rsidR="004C2EE3" w14:paraId="090B2F26" w14:textId="77777777">
      <w:pPr>
        <w:rPr>
          <w:spacing w:val="-2"/>
        </w:rPr>
      </w:pPr>
      <w:r>
        <w:t xml:space="preserve">By </w:t>
      </w:r>
      <w:r w:rsidR="004E4A22">
        <w:t>the</w:t>
      </w:r>
      <w:r w:rsidR="002A2D2E">
        <w:t xml:space="preserve"> </w:t>
      </w:r>
      <w:r w:rsidRPr="00C27A90" w:rsidR="00E7656F">
        <w:rPr>
          <w:spacing w:val="-2"/>
        </w:rPr>
        <w:t>Chief, Media Bureau</w:t>
      </w:r>
      <w:r w:rsidR="00E7656F">
        <w:rPr>
          <w:spacing w:val="-2"/>
        </w:rPr>
        <w:t>:</w:t>
      </w:r>
    </w:p>
    <w:p w:rsidR="00822CE0" w14:paraId="0D1C6E8B" w14:textId="77777777">
      <w:pPr>
        <w:rPr>
          <w:spacing w:val="-2"/>
        </w:rPr>
      </w:pPr>
    </w:p>
    <w:p w:rsidR="00412FC5" w:rsidP="00C36B4C" w14:paraId="16C984A5" w14:textId="77777777">
      <w:pPr>
        <w:pStyle w:val="Heading1"/>
      </w:pPr>
      <w:r>
        <w:t>Introduction</w:t>
      </w:r>
    </w:p>
    <w:p w:rsidR="006F2F0C" w:rsidP="00D866D7" w14:paraId="4BF25F9E" w14:textId="77777777">
      <w:pPr>
        <w:pStyle w:val="ParaNum"/>
      </w:pPr>
      <w:r>
        <w:t xml:space="preserve">In this Memorandum Opinion and Order (Order), we dismiss </w:t>
      </w:r>
      <w:r w:rsidR="00075EB3">
        <w:t xml:space="preserve">a Petition </w:t>
      </w:r>
      <w:r>
        <w:t xml:space="preserve">for </w:t>
      </w:r>
      <w:r w:rsidR="00075EB3">
        <w:t xml:space="preserve">Declaratory Ruling </w:t>
      </w:r>
      <w:r>
        <w:t>(Petition) filed by Emerald Harbor Communications</w:t>
      </w:r>
      <w:r w:rsidR="00FA1DED">
        <w:t>,</w:t>
      </w:r>
      <w:r>
        <w:t xml:space="preserve"> LLC (</w:t>
      </w:r>
      <w:r w:rsidR="00DD24A2">
        <w:t xml:space="preserve">Emerald Harbor or </w:t>
      </w:r>
      <w:r>
        <w:t>EHC).</w:t>
      </w:r>
      <w:r>
        <w:rPr>
          <w:rStyle w:val="FootnoteReference"/>
        </w:rPr>
        <w:footnoteReference w:id="3"/>
      </w:r>
      <w:r>
        <w:t xml:space="preserve">  E</w:t>
      </w:r>
      <w:r w:rsidR="00AD51F2">
        <w:t>merald H</w:t>
      </w:r>
      <w:r w:rsidR="00F8750B">
        <w:t>arbor</w:t>
      </w:r>
      <w:r w:rsidR="003953E3">
        <w:t xml:space="preserve"> requests</w:t>
      </w:r>
      <w:r w:rsidR="00A174CC">
        <w:rPr>
          <w:szCs w:val="22"/>
        </w:rPr>
        <w:t xml:space="preserve"> that</w:t>
      </w:r>
      <w:r w:rsidRPr="00DF6D89" w:rsidR="00A174CC">
        <w:rPr>
          <w:szCs w:val="22"/>
        </w:rPr>
        <w:t xml:space="preserve"> the Commission</w:t>
      </w:r>
      <w:r w:rsidR="00A174CC">
        <w:rPr>
          <w:szCs w:val="22"/>
        </w:rPr>
        <w:t xml:space="preserve"> declare that </w:t>
      </w:r>
      <w:r w:rsidR="003953E3">
        <w:rPr>
          <w:szCs w:val="22"/>
        </w:rPr>
        <w:t>Communications</w:t>
      </w:r>
      <w:r w:rsidR="00A174CC">
        <w:rPr>
          <w:szCs w:val="22"/>
        </w:rPr>
        <w:t xml:space="preserve"> Processing System, Inc. (CPS) </w:t>
      </w:r>
      <w:r w:rsidR="00F04587">
        <w:rPr>
          <w:szCs w:val="22"/>
        </w:rPr>
        <w:t xml:space="preserve">has </w:t>
      </w:r>
      <w:r w:rsidR="00A174CC">
        <w:rPr>
          <w:szCs w:val="22"/>
        </w:rPr>
        <w:t xml:space="preserve">exclusive rights to provide cable and telephone service to the residents of a condominium resort </w:t>
      </w:r>
      <w:r w:rsidR="00F04587">
        <w:rPr>
          <w:szCs w:val="22"/>
        </w:rPr>
        <w:t>in</w:t>
      </w:r>
      <w:r w:rsidR="00A174CC">
        <w:rPr>
          <w:szCs w:val="22"/>
        </w:rPr>
        <w:t xml:space="preserve"> violation of </w:t>
      </w:r>
      <w:r w:rsidRPr="006D017F" w:rsidR="00A174CC">
        <w:rPr>
          <w:szCs w:val="22"/>
        </w:rPr>
        <w:t>section 628</w:t>
      </w:r>
      <w:r w:rsidR="00A174CC">
        <w:rPr>
          <w:szCs w:val="22"/>
        </w:rPr>
        <w:t xml:space="preserve"> of the Communications Act of 1934</w:t>
      </w:r>
      <w:r w:rsidR="00031C7F">
        <w:rPr>
          <w:szCs w:val="22"/>
        </w:rPr>
        <w:t>, as amended (the Act)</w:t>
      </w:r>
      <w:r w:rsidR="00B30636">
        <w:rPr>
          <w:szCs w:val="22"/>
        </w:rPr>
        <w:t xml:space="preserve"> and </w:t>
      </w:r>
      <w:r w:rsidR="00A174CC">
        <w:rPr>
          <w:szCs w:val="22"/>
        </w:rPr>
        <w:t>sections 76.2000</w:t>
      </w:r>
      <w:r w:rsidR="00EC0A6F">
        <w:rPr>
          <w:szCs w:val="22"/>
        </w:rPr>
        <w:t xml:space="preserve"> and</w:t>
      </w:r>
      <w:r w:rsidR="00A174CC">
        <w:rPr>
          <w:szCs w:val="22"/>
        </w:rPr>
        <w:t xml:space="preserve"> 64.2500 of the Commission’s </w:t>
      </w:r>
      <w:r w:rsidR="006D751B">
        <w:rPr>
          <w:szCs w:val="22"/>
        </w:rPr>
        <w:t>exclusivity</w:t>
      </w:r>
      <w:r w:rsidR="00EC0A6F">
        <w:rPr>
          <w:szCs w:val="22"/>
        </w:rPr>
        <w:t xml:space="preserve"> rules,</w:t>
      </w:r>
      <w:r w:rsidR="006D751B">
        <w:rPr>
          <w:szCs w:val="22"/>
        </w:rPr>
        <w:t xml:space="preserve"> and</w:t>
      </w:r>
      <w:r w:rsidR="00EC0A6F">
        <w:rPr>
          <w:szCs w:val="22"/>
        </w:rPr>
        <w:t xml:space="preserve"> that CPS must comply with the Commission’s </w:t>
      </w:r>
      <w:r w:rsidR="006D751B">
        <w:rPr>
          <w:szCs w:val="22"/>
        </w:rPr>
        <w:t xml:space="preserve">inside wiring </w:t>
      </w:r>
      <w:r w:rsidR="00A174CC">
        <w:rPr>
          <w:szCs w:val="22"/>
        </w:rPr>
        <w:t>rules</w:t>
      </w:r>
      <w:r w:rsidR="00EC0A6F">
        <w:rPr>
          <w:szCs w:val="22"/>
        </w:rPr>
        <w:t xml:space="preserve"> set forth in section 76.804</w:t>
      </w:r>
      <w:r w:rsidR="00A174CC">
        <w:rPr>
          <w:szCs w:val="22"/>
        </w:rPr>
        <w:t>.</w:t>
      </w:r>
      <w:r>
        <w:rPr>
          <w:rStyle w:val="FootnoteReference"/>
          <w:szCs w:val="22"/>
        </w:rPr>
        <w:footnoteReference w:id="4"/>
      </w:r>
      <w:r w:rsidR="00A174CC">
        <w:rPr>
          <w:szCs w:val="22"/>
        </w:rPr>
        <w:t xml:space="preserve">  </w:t>
      </w:r>
      <w:r w:rsidR="00B30636">
        <w:rPr>
          <w:szCs w:val="22"/>
        </w:rPr>
        <w:t xml:space="preserve">We </w:t>
      </w:r>
      <w:r w:rsidR="001720F1">
        <w:rPr>
          <w:szCs w:val="22"/>
        </w:rPr>
        <w:t>dismiss the Petition pursuant to section 1.2 of our rules</w:t>
      </w:r>
      <w:r w:rsidR="005553A6">
        <w:rPr>
          <w:szCs w:val="22"/>
        </w:rPr>
        <w:t xml:space="preserve">, </w:t>
      </w:r>
      <w:r w:rsidR="001B201C">
        <w:rPr>
          <w:szCs w:val="22"/>
        </w:rPr>
        <w:t xml:space="preserve">and find </w:t>
      </w:r>
      <w:r w:rsidR="005553A6">
        <w:rPr>
          <w:szCs w:val="22"/>
        </w:rPr>
        <w:t>that</w:t>
      </w:r>
      <w:r w:rsidR="001C13E0">
        <w:rPr>
          <w:szCs w:val="22"/>
        </w:rPr>
        <w:t xml:space="preserve"> </w:t>
      </w:r>
      <w:r w:rsidR="001720F1">
        <w:t>E</w:t>
      </w:r>
      <w:r w:rsidR="003953E3">
        <w:t>merald Harbor</w:t>
      </w:r>
      <w:r w:rsidR="001720F1">
        <w:t xml:space="preserve"> has </w:t>
      </w:r>
      <w:r w:rsidR="005553A6">
        <w:t xml:space="preserve">not </w:t>
      </w:r>
      <w:r w:rsidR="001720F1">
        <w:t>identified</w:t>
      </w:r>
      <w:r w:rsidR="005553A6">
        <w:t xml:space="preserve"> a</w:t>
      </w:r>
      <w:r w:rsidR="000644F1">
        <w:t xml:space="preserve"> controversy or uncertainty </w:t>
      </w:r>
      <w:r w:rsidR="00E4196F">
        <w:t xml:space="preserve">appropriate for </w:t>
      </w:r>
      <w:r w:rsidR="000644F1">
        <w:t>the Commission to resolve with a declaratory ruling.</w:t>
      </w:r>
      <w:r>
        <w:rPr>
          <w:rStyle w:val="FootnoteReference"/>
          <w:szCs w:val="22"/>
        </w:rPr>
        <w:footnoteReference w:id="5"/>
      </w:r>
      <w:r w:rsidR="005553A6">
        <w:rPr>
          <w:szCs w:val="22"/>
        </w:rPr>
        <w:t xml:space="preserve"> </w:t>
      </w:r>
      <w:r w:rsidR="000644F1">
        <w:t xml:space="preserve"> </w:t>
      </w:r>
    </w:p>
    <w:p w:rsidR="000F660A" w:rsidP="000F660A" w14:paraId="2C4B1AA6" w14:textId="77777777">
      <w:pPr>
        <w:pStyle w:val="Heading1"/>
      </w:pPr>
      <w:r>
        <w:t>Background</w:t>
      </w:r>
    </w:p>
    <w:p w:rsidR="000E3A2D" w:rsidP="00936834" w14:paraId="584A1B82" w14:textId="77777777">
      <w:pPr>
        <w:pStyle w:val="ParaNum"/>
      </w:pPr>
      <w:r>
        <w:t xml:space="preserve">The </w:t>
      </w:r>
      <w:r w:rsidR="001C01DD">
        <w:t xml:space="preserve">proceeding pertains to </w:t>
      </w:r>
      <w:r>
        <w:t>Palms of Destin Resort and Conference Center (The Palms),</w:t>
      </w:r>
      <w:r>
        <w:rPr>
          <w:rStyle w:val="FootnoteReference"/>
        </w:rPr>
        <w:footnoteReference w:id="6"/>
      </w:r>
      <w:r>
        <w:t xml:space="preserve"> </w:t>
      </w:r>
      <w:bookmarkStart w:id="0" w:name="_Hlk122643796"/>
      <w:r w:rsidR="001C01DD">
        <w:t>a condominium complex</w:t>
      </w:r>
      <w:r w:rsidR="006011EF">
        <w:t>.</w:t>
      </w:r>
      <w:r w:rsidR="00DA0E72">
        <w:t xml:space="preserve">  </w:t>
      </w:r>
      <w:bookmarkEnd w:id="0"/>
      <w:r w:rsidR="001C01DD">
        <w:t>It involves</w:t>
      </w:r>
      <w:r>
        <w:t xml:space="preserve"> various iterations of the condominium’s owners’ association (Condo Association and </w:t>
      </w:r>
      <w:r w:rsidR="006F4DF3">
        <w:rPr>
          <w:szCs w:val="22"/>
        </w:rPr>
        <w:t>Palms of Destin Club (PDC)</w:t>
      </w:r>
      <w:r>
        <w:t>)</w:t>
      </w:r>
      <w:r w:rsidR="005B04A3">
        <w:t xml:space="preserve"> and</w:t>
      </w:r>
      <w:r w:rsidR="00DA0E72">
        <w:t xml:space="preserve"> providers of various communications services:  </w:t>
      </w:r>
      <w:r>
        <w:t xml:space="preserve">(a) CPS, which </w:t>
      </w:r>
      <w:r w:rsidR="006011EF">
        <w:t xml:space="preserve">has a contract with The Palms to </w:t>
      </w:r>
      <w:r>
        <w:t xml:space="preserve">provide cable, telephone, and Internet service to </w:t>
      </w:r>
      <w:r w:rsidR="006011EF">
        <w:t xml:space="preserve">its </w:t>
      </w:r>
      <w:r>
        <w:t>residents,</w:t>
      </w:r>
      <w:r>
        <w:rPr>
          <w:rStyle w:val="FootnoteReference"/>
        </w:rPr>
        <w:footnoteReference w:id="7"/>
      </w:r>
      <w:r>
        <w:t xml:space="preserve"> (b) Cox </w:t>
      </w:r>
      <w:r>
        <w:rPr>
          <w:szCs w:val="22"/>
        </w:rPr>
        <w:t>Communications, Inc. (Cox)</w:t>
      </w:r>
      <w:r>
        <w:t xml:space="preserve">, which </w:t>
      </w:r>
      <w:r w:rsidR="006011EF">
        <w:t xml:space="preserve">has a contract with CPS to provide service to The </w:t>
      </w:r>
      <w:r w:rsidR="006011EF">
        <w:t>Palms,</w:t>
      </w:r>
      <w:r>
        <w:rPr>
          <w:rStyle w:val="FootnoteReference"/>
        </w:rPr>
        <w:footnoteReference w:id="8"/>
      </w:r>
      <w:r w:rsidR="006011EF">
        <w:t xml:space="preserve"> and </w:t>
      </w:r>
      <w:r>
        <w:t xml:space="preserve">(c) </w:t>
      </w:r>
      <w:r w:rsidR="008B656C">
        <w:t xml:space="preserve">Emerald </w:t>
      </w:r>
      <w:r w:rsidRPr="00936834" w:rsidR="008B656C">
        <w:rPr>
          <w:szCs w:val="22"/>
        </w:rPr>
        <w:t>Harbor</w:t>
      </w:r>
      <w:r>
        <w:rPr>
          <w:szCs w:val="22"/>
        </w:rPr>
        <w:t>,</w:t>
      </w:r>
      <w:r w:rsidR="007B0AA9">
        <w:t xml:space="preserve"> a wireless Internet service provider seeking to provide service to residents of</w:t>
      </w:r>
      <w:r>
        <w:t xml:space="preserve"> The Palms</w:t>
      </w:r>
      <w:r w:rsidR="007B0AA9">
        <w:t>.</w:t>
      </w:r>
      <w:r>
        <w:rPr>
          <w:rStyle w:val="FootnoteReference"/>
        </w:rPr>
        <w:footnoteReference w:id="9"/>
      </w:r>
      <w:r w:rsidR="007B0AA9">
        <w:t xml:space="preserve">  </w:t>
      </w:r>
    </w:p>
    <w:p w:rsidR="00C53196" w:rsidRPr="000912BD" w:rsidP="00C27A90" w14:paraId="2E0E35D3" w14:textId="77777777">
      <w:pPr>
        <w:pStyle w:val="ParaNum"/>
      </w:pPr>
      <w:r>
        <w:t>Emerald Harbor</w:t>
      </w:r>
      <w:r w:rsidR="00162E7C">
        <w:t xml:space="preserve"> contends that “CPS has leveraged its real estate interest in The Palms” to be the condominium resort’s exclusive provider</w:t>
      </w:r>
      <w:r w:rsidR="00172F74">
        <w:t>, in conjunction with Cox, of cable, telephone, and Internet service to The Palms.</w:t>
      </w:r>
      <w:r>
        <w:rPr>
          <w:rStyle w:val="FootnoteReference"/>
        </w:rPr>
        <w:footnoteReference w:id="10"/>
      </w:r>
      <w:r w:rsidR="00162E7C">
        <w:rPr>
          <w:szCs w:val="22"/>
        </w:rPr>
        <w:t xml:space="preserve"> </w:t>
      </w:r>
      <w:r w:rsidR="00130C2F">
        <w:rPr>
          <w:szCs w:val="22"/>
        </w:rPr>
        <w:t xml:space="preserve"> </w:t>
      </w:r>
      <w:r w:rsidRPr="4B6183D3" w:rsidR="00661FD3">
        <w:t xml:space="preserve">According to </w:t>
      </w:r>
      <w:r w:rsidRPr="4B6183D3" w:rsidR="00130C2F">
        <w:t>E</w:t>
      </w:r>
      <w:r w:rsidRPr="4B6183D3">
        <w:t>merald Harbor</w:t>
      </w:r>
      <w:r w:rsidR="00661FD3">
        <w:rPr>
          <w:szCs w:val="22"/>
        </w:rPr>
        <w:t xml:space="preserve">, </w:t>
      </w:r>
      <w:r w:rsidRPr="4B6183D3" w:rsidR="00130C2F">
        <w:t>CPS holds “an exclusive real estate interest in the rights-of-way and various areas within The Palms” and has “the exclusive right to provide cable, telephone, internet, and telecommunications” to The Palms.</w:t>
      </w:r>
      <w:r>
        <w:rPr>
          <w:rStyle w:val="FootnoteReference"/>
        </w:rPr>
        <w:footnoteReference w:id="11"/>
      </w:r>
      <w:r w:rsidR="00CB746D">
        <w:rPr>
          <w:szCs w:val="22"/>
        </w:rPr>
        <w:t xml:space="preserve">  </w:t>
      </w:r>
      <w:r w:rsidRPr="4B6183D3" w:rsidR="00130C2F">
        <w:t>E</w:t>
      </w:r>
      <w:r w:rsidRPr="4B6183D3">
        <w:t>merald Harbor</w:t>
      </w:r>
      <w:r w:rsidRPr="4B6183D3" w:rsidR="00130C2F">
        <w:t xml:space="preserve"> asserts that CPS currently provides services to the residents of The Palms through one service provider, Cox, and</w:t>
      </w:r>
      <w:r w:rsidRPr="4B6183D3" w:rsidR="005553A6">
        <w:t xml:space="preserve"> that CPS</w:t>
      </w:r>
      <w:r w:rsidRPr="4B6183D3" w:rsidR="00130C2F">
        <w:t xml:space="preserve"> is attempting to enjoin E</w:t>
      </w:r>
      <w:r w:rsidRPr="4B6183D3">
        <w:t>merald Harbor</w:t>
      </w:r>
      <w:r w:rsidRPr="4B6183D3" w:rsidR="00130C2F">
        <w:t xml:space="preserve"> from providing competing service to The Palms.</w:t>
      </w:r>
      <w:r>
        <w:rPr>
          <w:rStyle w:val="FootnoteReference"/>
        </w:rPr>
        <w:footnoteReference w:id="12"/>
      </w:r>
      <w:r w:rsidR="00135E7E">
        <w:rPr>
          <w:szCs w:val="22"/>
        </w:rPr>
        <w:t xml:space="preserve"> </w:t>
      </w:r>
    </w:p>
    <w:p w:rsidR="00802BEB" w:rsidRPr="005A3FEB" w:rsidP="00C27A90" w14:paraId="7233B332" w14:textId="77777777">
      <w:pPr>
        <w:pStyle w:val="ParaNum"/>
      </w:pPr>
      <w:r>
        <w:rPr>
          <w:szCs w:val="22"/>
        </w:rPr>
        <w:t>E</w:t>
      </w:r>
      <w:r w:rsidR="003676C6">
        <w:rPr>
          <w:szCs w:val="22"/>
        </w:rPr>
        <w:t>merald Harbor</w:t>
      </w:r>
      <w:r>
        <w:rPr>
          <w:szCs w:val="22"/>
        </w:rPr>
        <w:t xml:space="preserve"> </w:t>
      </w:r>
      <w:r w:rsidR="00F301B0">
        <w:rPr>
          <w:szCs w:val="22"/>
        </w:rPr>
        <w:t>argues</w:t>
      </w:r>
      <w:r>
        <w:rPr>
          <w:szCs w:val="22"/>
        </w:rPr>
        <w:t xml:space="preserve"> that CPS’s exclusivity rights, its decision to contract with only </w:t>
      </w:r>
      <w:r>
        <w:rPr>
          <w:szCs w:val="22"/>
        </w:rPr>
        <w:t>one service provider, Cox</w:t>
      </w:r>
      <w:r w:rsidR="001C13E0">
        <w:rPr>
          <w:szCs w:val="22"/>
        </w:rPr>
        <w:t>,</w:t>
      </w:r>
      <w:r w:rsidR="005553A6">
        <w:rPr>
          <w:szCs w:val="22"/>
        </w:rPr>
        <w:t xml:space="preserve"> </w:t>
      </w:r>
      <w:r>
        <w:rPr>
          <w:szCs w:val="22"/>
        </w:rPr>
        <w:t>and its refusal to allow E</w:t>
      </w:r>
      <w:r w:rsidR="00F301B0">
        <w:rPr>
          <w:szCs w:val="22"/>
        </w:rPr>
        <w:t>merald Harbor</w:t>
      </w:r>
      <w:r>
        <w:rPr>
          <w:szCs w:val="22"/>
        </w:rPr>
        <w:t xml:space="preserve"> to provide competing service to residents at The Palms </w:t>
      </w:r>
      <w:r w:rsidR="00706309">
        <w:rPr>
          <w:szCs w:val="22"/>
        </w:rPr>
        <w:t>“are precisely the anticompetitive and unfair business practices that [section 628</w:t>
      </w:r>
      <w:r w:rsidR="005553A6">
        <w:rPr>
          <w:szCs w:val="22"/>
        </w:rPr>
        <w:t xml:space="preserve"> was</w:t>
      </w:r>
      <w:r w:rsidR="00706309">
        <w:rPr>
          <w:szCs w:val="22"/>
        </w:rPr>
        <w:t>] designed to prevent.”</w:t>
      </w:r>
      <w:r>
        <w:rPr>
          <w:rStyle w:val="FootnoteReference"/>
          <w:szCs w:val="22"/>
        </w:rPr>
        <w:footnoteReference w:id="13"/>
      </w:r>
      <w:r w:rsidR="00330932">
        <w:rPr>
          <w:szCs w:val="22"/>
        </w:rPr>
        <w:t xml:space="preserve"> </w:t>
      </w:r>
      <w:r w:rsidR="00706309">
        <w:rPr>
          <w:szCs w:val="22"/>
        </w:rPr>
        <w:t xml:space="preserve"> </w:t>
      </w:r>
      <w:r w:rsidRPr="002A19A1">
        <w:rPr>
          <w:szCs w:val="22"/>
        </w:rPr>
        <w:t xml:space="preserve">According to </w:t>
      </w:r>
      <w:r w:rsidR="00820617">
        <w:rPr>
          <w:szCs w:val="22"/>
        </w:rPr>
        <w:t>Emerald Harbo</w:t>
      </w:r>
      <w:r w:rsidRPr="002A19A1">
        <w:rPr>
          <w:szCs w:val="22"/>
        </w:rPr>
        <w:t xml:space="preserve">r, CPS’s exclusive provision of Cox’s services to The Palms violates the Commission’s </w:t>
      </w:r>
      <w:r w:rsidRPr="006C4838">
        <w:rPr>
          <w:szCs w:val="22"/>
        </w:rPr>
        <w:t>rules prohibiting cable operators and common carriers from entering into exclusive contracts in multiple tenant environments</w:t>
      </w:r>
      <w:r w:rsidR="00582865">
        <w:rPr>
          <w:szCs w:val="22"/>
        </w:rPr>
        <w:t xml:space="preserve"> (MTEs)</w:t>
      </w:r>
      <w:r>
        <w:rPr>
          <w:rStyle w:val="FootnoteReference"/>
          <w:szCs w:val="22"/>
        </w:rPr>
        <w:footnoteReference w:id="14"/>
      </w:r>
      <w:r w:rsidRPr="006C4838">
        <w:rPr>
          <w:szCs w:val="22"/>
        </w:rPr>
        <w:t>, specifically</w:t>
      </w:r>
      <w:r>
        <w:rPr>
          <w:szCs w:val="22"/>
        </w:rPr>
        <w:t xml:space="preserve"> sections 76.2000 </w:t>
      </w:r>
      <w:r>
        <w:rPr>
          <w:szCs w:val="22"/>
        </w:rPr>
        <w:t>and 64.2500(b) of the Commission’s rules</w:t>
      </w:r>
      <w:r w:rsidRPr="002A19A1">
        <w:rPr>
          <w:szCs w:val="22"/>
        </w:rPr>
        <w:t>.</w:t>
      </w:r>
      <w:r>
        <w:rPr>
          <w:rStyle w:val="FootnoteReference"/>
          <w:szCs w:val="22"/>
        </w:rPr>
        <w:footnoteReference w:id="15"/>
      </w:r>
      <w:r w:rsidRPr="002A19A1">
        <w:rPr>
          <w:szCs w:val="22"/>
        </w:rPr>
        <w:t xml:space="preserve"> </w:t>
      </w:r>
      <w:r w:rsidR="006F53AC">
        <w:rPr>
          <w:szCs w:val="22"/>
        </w:rPr>
        <w:t xml:space="preserve"> </w:t>
      </w:r>
      <w:r w:rsidRPr="002A19A1">
        <w:rPr>
          <w:szCs w:val="22"/>
        </w:rPr>
        <w:t>In addition, E</w:t>
      </w:r>
      <w:r w:rsidR="00F301B0">
        <w:rPr>
          <w:szCs w:val="22"/>
        </w:rPr>
        <w:t>merald Harbor</w:t>
      </w:r>
      <w:r w:rsidRPr="002A19A1">
        <w:rPr>
          <w:szCs w:val="22"/>
        </w:rPr>
        <w:t xml:space="preserve"> asserts that </w:t>
      </w:r>
      <w:r>
        <w:rPr>
          <w:szCs w:val="22"/>
        </w:rPr>
        <w:t xml:space="preserve">if CPS loses its right to be the exclusive service provider to The Palms, and subsequently refuses to either remove, sell, or abandon its cable wiring infrastructure located at The Palms, it would be in “direct violation” of section </w:t>
      </w:r>
      <w:r>
        <w:rPr>
          <w:szCs w:val="22"/>
        </w:rPr>
        <w:t xml:space="preserve">76.804 of the </w:t>
      </w:r>
      <w:r w:rsidRPr="005A3FEB">
        <w:rPr>
          <w:szCs w:val="22"/>
        </w:rPr>
        <w:t>Commissio</w:t>
      </w:r>
      <w:r w:rsidRPr="005A3FEB">
        <w:rPr>
          <w:szCs w:val="22"/>
        </w:rPr>
        <w:t>n’s rules.</w:t>
      </w:r>
      <w:r>
        <w:rPr>
          <w:rStyle w:val="FootnoteReference"/>
          <w:szCs w:val="22"/>
        </w:rPr>
        <w:footnoteReference w:id="16"/>
      </w:r>
      <w:r w:rsidRPr="005A3FEB" w:rsidR="00AD6250">
        <w:rPr>
          <w:szCs w:val="22"/>
        </w:rPr>
        <w:t xml:space="preserve">  </w:t>
      </w:r>
    </w:p>
    <w:p w:rsidR="00AD6250" w:rsidP="00C27A90" w14:paraId="446E734F" w14:textId="77777777">
      <w:pPr>
        <w:pStyle w:val="ParaNum"/>
      </w:pPr>
      <w:r w:rsidRPr="005A3FEB">
        <w:t>E</w:t>
      </w:r>
      <w:r w:rsidR="003676C6">
        <w:t>merald Harbor</w:t>
      </w:r>
      <w:r w:rsidRPr="005A3FEB">
        <w:t xml:space="preserve"> requests that the Commission issue a ruling </w:t>
      </w:r>
      <w:r w:rsidR="00F301B0">
        <w:t>determining</w:t>
      </w:r>
      <w:r w:rsidRPr="005A3FEB">
        <w:t xml:space="preserve"> that</w:t>
      </w:r>
      <w:r w:rsidR="00E93057">
        <w:t xml:space="preserve"> “any contract provisions that give [CPS] the exclusive right to provide satellite cable programming services and telecommunications service at The Palms violate the Act and the Commission’s rules.”</w:t>
      </w:r>
      <w:r>
        <w:rPr>
          <w:rStyle w:val="FootnoteReference"/>
        </w:rPr>
        <w:footnoteReference w:id="17"/>
      </w:r>
      <w:r w:rsidRPr="005A3FEB">
        <w:t xml:space="preserve">  In addition, </w:t>
      </w:r>
      <w:r w:rsidRPr="005A3FEB">
        <w:rPr>
          <w:szCs w:val="22"/>
        </w:rPr>
        <w:t>E</w:t>
      </w:r>
      <w:r w:rsidR="00F301B0">
        <w:rPr>
          <w:szCs w:val="22"/>
        </w:rPr>
        <w:t>merald Harbor</w:t>
      </w:r>
      <w:r w:rsidRPr="001E7889">
        <w:rPr>
          <w:szCs w:val="22"/>
        </w:rPr>
        <w:t xml:space="preserve"> asks that the Commission invalidate any contract provisions that give CPS the exclusive right to provide services at The Palms and further requests that CPS be directed to comply with section </w:t>
      </w:r>
      <w:r w:rsidRPr="001E7889">
        <w:rPr>
          <w:szCs w:val="22"/>
        </w:rPr>
        <w:t>76.804 of the Commission’s inside wiring rules</w:t>
      </w:r>
      <w:r w:rsidR="005E6EA5">
        <w:rPr>
          <w:szCs w:val="22"/>
        </w:rPr>
        <w:t xml:space="preserve"> if CPS “loses the legally enforceable right to provide video services to The Palms</w:t>
      </w:r>
      <w:r w:rsidR="001F1080">
        <w:rPr>
          <w:szCs w:val="22"/>
        </w:rPr>
        <w:t>.</w:t>
      </w:r>
      <w:r w:rsidR="005E6EA5">
        <w:rPr>
          <w:szCs w:val="22"/>
        </w:rPr>
        <w:t>”</w:t>
      </w:r>
      <w:r>
        <w:rPr>
          <w:rStyle w:val="FootnoteReference"/>
          <w:szCs w:val="22"/>
        </w:rPr>
        <w:footnoteReference w:id="18"/>
      </w:r>
      <w:r w:rsidRPr="001E7889">
        <w:rPr>
          <w:szCs w:val="22"/>
        </w:rPr>
        <w:t xml:space="preserve"> </w:t>
      </w:r>
    </w:p>
    <w:p w:rsidR="00177430" w:rsidRPr="00802BEB" w:rsidP="00C27A90" w14:paraId="5C4A7823" w14:textId="77777777">
      <w:pPr>
        <w:pStyle w:val="ParaNum"/>
      </w:pPr>
      <w:r w:rsidRPr="4B6183D3">
        <w:t xml:space="preserve">This Petition is the latest challenge to CPS’s </w:t>
      </w:r>
      <w:r w:rsidRPr="4B6183D3" w:rsidR="00DB52BE">
        <w:t>provision of service</w:t>
      </w:r>
      <w:r w:rsidRPr="4B6183D3">
        <w:t xml:space="preserve"> at The Palms, which </w:t>
      </w:r>
      <w:r w:rsidRPr="4B6183D3" w:rsidR="00DB52BE">
        <w:t xml:space="preserve">was </w:t>
      </w:r>
      <w:r w:rsidRPr="4B6183D3">
        <w:t>previous</w:t>
      </w:r>
      <w:r w:rsidR="005E6EA5">
        <w:t>ly</w:t>
      </w:r>
      <w:r w:rsidRPr="4B6183D3">
        <w:t xml:space="preserve"> litigated in state</w:t>
      </w:r>
      <w:r w:rsidRPr="4B6183D3">
        <w:t xml:space="preserve"> and federal court. </w:t>
      </w:r>
      <w:r w:rsidR="00717AEF">
        <w:rPr>
          <w:szCs w:val="22"/>
        </w:rPr>
        <w:t xml:space="preserve"> </w:t>
      </w:r>
      <w:r w:rsidRPr="4B6183D3">
        <w:t xml:space="preserve">In 2016, CPS and the Condo Association entered into a settlement agreement to resolve </w:t>
      </w:r>
      <w:r w:rsidRPr="4B6183D3" w:rsidR="00A44B20">
        <w:t xml:space="preserve">state and federal lawsuits that </w:t>
      </w:r>
      <w:r w:rsidRPr="4B6183D3" w:rsidR="00DD24A2">
        <w:t xml:space="preserve">the </w:t>
      </w:r>
      <w:r w:rsidRPr="4B6183D3">
        <w:t xml:space="preserve">Condo Association </w:t>
      </w:r>
      <w:r w:rsidRPr="4B6183D3" w:rsidR="00524CD9">
        <w:t xml:space="preserve">had </w:t>
      </w:r>
      <w:r w:rsidRPr="4B6183D3" w:rsidR="00DD24A2">
        <w:t xml:space="preserve">filed </w:t>
      </w:r>
      <w:r w:rsidRPr="4B6183D3">
        <w:t>against CPS and two other defendants</w:t>
      </w:r>
      <w:r w:rsidR="00DD24A2">
        <w:rPr>
          <w:szCs w:val="22"/>
        </w:rPr>
        <w:t>.</w:t>
      </w:r>
      <w:r>
        <w:rPr>
          <w:rStyle w:val="FootnoteReference"/>
        </w:rPr>
        <w:footnoteReference w:id="19"/>
      </w:r>
      <w:r w:rsidR="00DD24A2">
        <w:rPr>
          <w:szCs w:val="22"/>
        </w:rPr>
        <w:t xml:space="preserve">  </w:t>
      </w:r>
      <w:r w:rsidRPr="4B6183D3" w:rsidR="00F4436F">
        <w:t xml:space="preserve">The suit </w:t>
      </w:r>
      <w:r w:rsidRPr="4B6183D3">
        <w:t>alleg</w:t>
      </w:r>
      <w:r w:rsidRPr="4B6183D3" w:rsidR="00F4436F">
        <w:t>ed</w:t>
      </w:r>
      <w:r w:rsidRPr="4B6183D3">
        <w:t xml:space="preserve"> that CPS’s exclusivity rights violated </w:t>
      </w:r>
      <w:r w:rsidRPr="4B6183D3" w:rsidR="00F4436F">
        <w:t xml:space="preserve">federal telecommunications law, specifically </w:t>
      </w:r>
      <w:r w:rsidRPr="4B6183D3" w:rsidR="008857C5">
        <w:t>section 628 of the Communications Act and section 76.2000 of the Commission’s rules.</w:t>
      </w:r>
      <w:r>
        <w:rPr>
          <w:rStyle w:val="FootnoteReference"/>
        </w:rPr>
        <w:footnoteReference w:id="20"/>
      </w:r>
      <w:r w:rsidR="008857C5">
        <w:rPr>
          <w:szCs w:val="22"/>
        </w:rPr>
        <w:t xml:space="preserve">  </w:t>
      </w:r>
      <w:r w:rsidRPr="4B6183D3">
        <w:t>As part of the settlement agreement, the Condo Association agreed that CPS would be</w:t>
      </w:r>
      <w:r w:rsidRPr="4B6183D3">
        <w:t xml:space="preserve"> the “sole and exclusive provider” of </w:t>
      </w:r>
      <w:r w:rsidRPr="4B6183D3" w:rsidR="007254FC">
        <w:t xml:space="preserve">cable, </w:t>
      </w:r>
      <w:r w:rsidRPr="4B6183D3" w:rsidR="00DB52BE">
        <w:t xml:space="preserve">telephone, </w:t>
      </w:r>
      <w:r w:rsidRPr="4B6183D3" w:rsidR="007254FC">
        <w:t xml:space="preserve">Internet, and other </w:t>
      </w:r>
      <w:r w:rsidRPr="4B6183D3">
        <w:t>telecom</w:t>
      </w:r>
      <w:r w:rsidRPr="4B6183D3" w:rsidR="002D1E12">
        <w:t>munications</w:t>
      </w:r>
      <w:r w:rsidRPr="4B6183D3">
        <w:t>-related services to The Palms.</w:t>
      </w:r>
      <w:r>
        <w:rPr>
          <w:rStyle w:val="FootnoteReference"/>
        </w:rPr>
        <w:footnoteReference w:id="21"/>
      </w:r>
      <w:r w:rsidRPr="4B6183D3">
        <w:t xml:space="preserve">  The Condo Association also agreed to the terms of a service agreement with CPS governing the provision of cable</w:t>
      </w:r>
      <w:r w:rsidRPr="4B6183D3" w:rsidR="00DB52BE">
        <w:t xml:space="preserve">, telephone, and </w:t>
      </w:r>
      <w:r w:rsidRPr="4B6183D3">
        <w:t>Internet</w:t>
      </w:r>
      <w:r w:rsidR="00DB52BE">
        <w:rPr>
          <w:szCs w:val="22"/>
        </w:rPr>
        <w:t xml:space="preserve"> </w:t>
      </w:r>
      <w:r w:rsidRPr="4B6183D3">
        <w:t>service at The Palms.</w:t>
      </w:r>
      <w:r>
        <w:rPr>
          <w:rStyle w:val="FootnoteReference"/>
        </w:rPr>
        <w:footnoteReference w:id="22"/>
      </w:r>
      <w:r w:rsidR="00A44B20">
        <w:rPr>
          <w:szCs w:val="22"/>
        </w:rPr>
        <w:t xml:space="preserve"> </w:t>
      </w:r>
      <w:r>
        <w:rPr>
          <w:szCs w:val="22"/>
        </w:rPr>
        <w:t xml:space="preserve"> </w:t>
      </w:r>
      <w:r w:rsidRPr="4B6183D3" w:rsidR="00CD05A0">
        <w:t xml:space="preserve">In 2020, </w:t>
      </w:r>
      <w:r w:rsidRPr="4B6183D3" w:rsidR="00C5517D">
        <w:t xml:space="preserve">the Condo Association, </w:t>
      </w:r>
      <w:r w:rsidRPr="4B6183D3" w:rsidR="00C0140F">
        <w:t>u</w:t>
      </w:r>
      <w:r w:rsidRPr="4B6183D3" w:rsidR="006F4DF3">
        <w:t>sing its new PDC moniker</w:t>
      </w:r>
      <w:r w:rsidR="00C5517D">
        <w:rPr>
          <w:szCs w:val="22"/>
        </w:rPr>
        <w:t xml:space="preserve">, </w:t>
      </w:r>
      <w:r w:rsidRPr="4B6183D3" w:rsidR="00C0140F">
        <w:t>fi</w:t>
      </w:r>
      <w:r w:rsidRPr="4B6183D3" w:rsidR="00CD05A0">
        <w:t xml:space="preserve">led suit against CPS alleging </w:t>
      </w:r>
      <w:r w:rsidRPr="4B6183D3" w:rsidR="00115173">
        <w:t xml:space="preserve">once again </w:t>
      </w:r>
      <w:r w:rsidRPr="4B6183D3" w:rsidR="00CD05A0">
        <w:t xml:space="preserve">that </w:t>
      </w:r>
      <w:r w:rsidRPr="4B6183D3" w:rsidR="00A44B20">
        <w:t>it</w:t>
      </w:r>
      <w:r w:rsidRPr="4B6183D3" w:rsidR="00CD05A0">
        <w:t xml:space="preserve">s exclusivity rights at The Palms violated </w:t>
      </w:r>
      <w:r w:rsidRPr="4B6183D3" w:rsidR="008857C5">
        <w:t>section 628 of the Act and sections 76.2000 and 64.2500 of the Commission’s rules.</w:t>
      </w:r>
      <w:r>
        <w:rPr>
          <w:rStyle w:val="FootnoteReference"/>
        </w:rPr>
        <w:footnoteReference w:id="23"/>
      </w:r>
      <w:r w:rsidR="008857C5">
        <w:rPr>
          <w:szCs w:val="22"/>
        </w:rPr>
        <w:t xml:space="preserve">  </w:t>
      </w:r>
      <w:r w:rsidRPr="4B6183D3" w:rsidR="00A44B20">
        <w:t xml:space="preserve">In </w:t>
      </w:r>
      <w:r w:rsidRPr="4B6183D3" w:rsidR="00A44B20">
        <w:rPr>
          <w:i/>
          <w:iCs/>
        </w:rPr>
        <w:t>Palms of Destin Club, LLC v. Communications Processing Systems, Inc.</w:t>
      </w:r>
      <w:r w:rsidRPr="4B6183D3" w:rsidR="00A44B20">
        <w:t>, the District Court for the Northern District of Florida</w:t>
      </w:r>
      <w:r w:rsidRPr="4B6183D3" w:rsidR="008857C5">
        <w:t xml:space="preserve"> granted summary judgment in favor of CPS, finding that</w:t>
      </w:r>
      <w:r w:rsidRPr="009D29A3" w:rsidR="00030670">
        <w:rPr>
          <w:szCs w:val="22"/>
        </w:rPr>
        <w:t xml:space="preserve"> </w:t>
      </w:r>
      <w:r w:rsidR="00316559">
        <w:t>under</w:t>
      </w:r>
      <w:r w:rsidR="008857C5">
        <w:rPr>
          <w:szCs w:val="22"/>
        </w:rPr>
        <w:t xml:space="preserve"> </w:t>
      </w:r>
      <w:r w:rsidRPr="4B6183D3" w:rsidR="00030670">
        <w:t xml:space="preserve">the </w:t>
      </w:r>
      <w:r w:rsidRPr="4B6183D3" w:rsidR="00C5517D">
        <w:t xml:space="preserve">Condo Association’s </w:t>
      </w:r>
      <w:r w:rsidRPr="4B6183D3" w:rsidR="008857C5">
        <w:t>settlement agreement</w:t>
      </w:r>
      <w:r w:rsidRPr="4B6183D3" w:rsidR="00F4436F">
        <w:t xml:space="preserve"> with CPS</w:t>
      </w:r>
      <w:r w:rsidR="008857C5">
        <w:rPr>
          <w:szCs w:val="22"/>
        </w:rPr>
        <w:t>,</w:t>
      </w:r>
      <w:r w:rsidR="006257DC">
        <w:t xml:space="preserve"> </w:t>
      </w:r>
      <w:bookmarkStart w:id="1" w:name="_Hlk123817370"/>
      <w:r w:rsidR="006257DC">
        <w:t xml:space="preserve">the parties had resolved the issue </w:t>
      </w:r>
      <w:r w:rsidR="005373D4">
        <w:t>involving</w:t>
      </w:r>
      <w:r w:rsidR="006257DC">
        <w:t xml:space="preserve"> CPS</w:t>
      </w:r>
      <w:r w:rsidR="005373D4">
        <w:t>’s exclusivity rights</w:t>
      </w:r>
      <w:r>
        <w:rPr>
          <w:rStyle w:val="FootnoteReference"/>
          <w:szCs w:val="22"/>
        </w:rPr>
        <w:footnoteReference w:id="24"/>
      </w:r>
      <w:r w:rsidR="005373D4">
        <w:t xml:space="preserve"> and intended to bar all future litigation arising from CPS’s provision of </w:t>
      </w:r>
      <w:r w:rsidR="0008770A">
        <w:t xml:space="preserve">cable and other telecommunications </w:t>
      </w:r>
      <w:r w:rsidR="005373D4">
        <w:t xml:space="preserve">services to </w:t>
      </w:r>
      <w:r w:rsidR="00316559">
        <w:t>The Palms</w:t>
      </w:r>
      <w:bookmarkEnd w:id="1"/>
      <w:r w:rsidR="00316559">
        <w:t>.</w:t>
      </w:r>
      <w:r>
        <w:rPr>
          <w:rStyle w:val="FootnoteReference"/>
          <w:szCs w:val="22"/>
        </w:rPr>
        <w:footnoteReference w:id="25"/>
      </w:r>
      <w:r w:rsidRPr="009D29A3" w:rsidR="008857C5">
        <w:rPr>
          <w:szCs w:val="22"/>
        </w:rPr>
        <w:t xml:space="preserve"> </w:t>
      </w:r>
      <w:r w:rsidR="005373D4">
        <w:t xml:space="preserve"> The court thus found that </w:t>
      </w:r>
      <w:r w:rsidRPr="4B6183D3" w:rsidR="00C5517D">
        <w:t xml:space="preserve">PDC’s </w:t>
      </w:r>
      <w:r w:rsidRPr="4B6183D3" w:rsidR="0017185E">
        <w:t>claim</w:t>
      </w:r>
      <w:r w:rsidRPr="009D29A3" w:rsidR="0017185E">
        <w:rPr>
          <w:szCs w:val="22"/>
        </w:rPr>
        <w:t xml:space="preserve"> </w:t>
      </w:r>
      <w:r w:rsidR="005373D4">
        <w:t>for declaratory relief was</w:t>
      </w:r>
      <w:r w:rsidRPr="4B6183D3" w:rsidR="0017185E">
        <w:t xml:space="preserve"> barred </w:t>
      </w:r>
      <w:r w:rsidR="005373D4">
        <w:t xml:space="preserve">by </w:t>
      </w:r>
      <w:r w:rsidRPr="00ED1A05" w:rsidR="0017185E">
        <w:rPr>
          <w:i/>
          <w:iCs/>
        </w:rPr>
        <w:t>res judicata</w:t>
      </w:r>
      <w:r w:rsidR="00F4436F">
        <w:rPr>
          <w:szCs w:val="22"/>
        </w:rPr>
        <w:t>.</w:t>
      </w:r>
      <w:r>
        <w:rPr>
          <w:rStyle w:val="FootnoteReference"/>
        </w:rPr>
        <w:footnoteReference w:id="26"/>
      </w:r>
      <w:r w:rsidRPr="4B6183D3" w:rsidR="00F4436F">
        <w:t xml:space="preserve">  The district court additionally found that </w:t>
      </w:r>
      <w:r w:rsidRPr="4B6183D3" w:rsidR="007254FC">
        <w:t>the Condo Association</w:t>
      </w:r>
      <w:r w:rsidRPr="4B6183D3" w:rsidR="00030670">
        <w:t>’s</w:t>
      </w:r>
      <w:r w:rsidRPr="4B6183D3" w:rsidR="00F4436F">
        <w:t xml:space="preserve"> claims failed on the merits because CPS was not an entity subject to section 628 of the Act and its exclusivity arrangements were not prohibited by the Commission’s exclusivity rules.</w:t>
      </w:r>
      <w:r>
        <w:rPr>
          <w:rStyle w:val="FootnoteReference"/>
        </w:rPr>
        <w:footnoteReference w:id="27"/>
      </w:r>
      <w:r w:rsidRPr="4B6183D3" w:rsidR="00F4436F">
        <w:t xml:space="preserve">  In </w:t>
      </w:r>
      <w:r w:rsidRPr="4B6183D3" w:rsidR="00F4436F">
        <w:t xml:space="preserve">February </w:t>
      </w:r>
      <w:r w:rsidRPr="4B6183D3" w:rsidR="000912BD">
        <w:t>2022, the Eleventh Circuit</w:t>
      </w:r>
      <w:r w:rsidR="003C0124">
        <w:t xml:space="preserve"> found </w:t>
      </w:r>
      <w:r w:rsidR="00475949">
        <w:t>that under the</w:t>
      </w:r>
      <w:r w:rsidR="003C0124">
        <w:t xml:space="preserve"> settlement agreement</w:t>
      </w:r>
      <w:r w:rsidR="00475949">
        <w:t xml:space="preserve">, the parties agreed to </w:t>
      </w:r>
      <w:r w:rsidR="001D236A">
        <w:t xml:space="preserve">have </w:t>
      </w:r>
      <w:r w:rsidR="00475949">
        <w:t>CPS</w:t>
      </w:r>
      <w:r w:rsidR="001D236A">
        <w:t xml:space="preserve"> serve</w:t>
      </w:r>
      <w:r w:rsidR="00475949">
        <w:t xml:space="preserve"> as the exclusive provider of cable and other telecommunications services to The Palms and to release CPS from any future liability for claims arising from its exclusive provision of service, including claims under FCC exclusivity rules.</w:t>
      </w:r>
      <w:r>
        <w:rPr>
          <w:rStyle w:val="FootnoteReference"/>
          <w:szCs w:val="22"/>
        </w:rPr>
        <w:footnoteReference w:id="28"/>
      </w:r>
      <w:r w:rsidR="00475949">
        <w:t xml:space="preserve">  The Eleventh Circuit thus</w:t>
      </w:r>
      <w:r w:rsidRPr="4B6183D3" w:rsidR="000912BD">
        <w:t xml:space="preserve"> affirmed the district court’s finding that </w:t>
      </w:r>
      <w:r w:rsidRPr="4B6183D3" w:rsidR="00C5517D">
        <w:t>PDC’s</w:t>
      </w:r>
      <w:r w:rsidRPr="4B6183D3" w:rsidR="000912BD">
        <w:t xml:space="preserve"> claims </w:t>
      </w:r>
      <w:r w:rsidRPr="4B6183D3" w:rsidR="00115173">
        <w:t xml:space="preserve">against CPS </w:t>
      </w:r>
      <w:r w:rsidRPr="4B6183D3" w:rsidR="000912BD">
        <w:t xml:space="preserve">were precluded by the doctrine of </w:t>
      </w:r>
      <w:r w:rsidRPr="00ED1A05" w:rsidR="000912BD">
        <w:rPr>
          <w:i/>
          <w:iCs/>
        </w:rPr>
        <w:t>res</w:t>
      </w:r>
      <w:r w:rsidRPr="4B6183D3" w:rsidR="000912BD">
        <w:rPr>
          <w:i/>
          <w:iCs/>
        </w:rPr>
        <w:t xml:space="preserve"> </w:t>
      </w:r>
      <w:r w:rsidRPr="00ED1A05" w:rsidR="000912BD">
        <w:rPr>
          <w:i/>
          <w:iCs/>
        </w:rPr>
        <w:t>judicata</w:t>
      </w:r>
      <w:r w:rsidRPr="4B6183D3" w:rsidR="000912BD">
        <w:t>.</w:t>
      </w:r>
      <w:r>
        <w:rPr>
          <w:rStyle w:val="FootnoteReference"/>
        </w:rPr>
        <w:footnoteReference w:id="29"/>
      </w:r>
      <w:r w:rsidR="000912BD">
        <w:rPr>
          <w:szCs w:val="22"/>
        </w:rPr>
        <w:t xml:space="preserve">  </w:t>
      </w:r>
    </w:p>
    <w:p w:rsidR="005127C8" w:rsidRPr="00172F74" w:rsidP="00C27A90" w14:paraId="2FEFB9C5" w14:textId="77777777">
      <w:pPr>
        <w:pStyle w:val="ParaNum"/>
      </w:pPr>
      <w:r>
        <w:t xml:space="preserve">Following the Eleventh Circuit’s judgment, CPS filed separate actions against Emerald Harbor and </w:t>
      </w:r>
      <w:r w:rsidR="00C5517D">
        <w:t>PDC</w:t>
      </w:r>
      <w:r>
        <w:t xml:space="preserve"> seeking to enjoin </w:t>
      </w:r>
      <w:r w:rsidRPr="00936834">
        <w:rPr>
          <w:szCs w:val="22"/>
        </w:rPr>
        <w:t>both</w:t>
      </w:r>
      <w:r>
        <w:t xml:space="preserve"> entities from violating its exclusivity rights at The Palms.</w:t>
      </w:r>
      <w:bookmarkStart w:id="2" w:name="_Ref118463964"/>
      <w:r>
        <w:rPr>
          <w:rStyle w:val="FootnoteReference"/>
        </w:rPr>
        <w:footnoteReference w:id="30"/>
      </w:r>
      <w:bookmarkEnd w:id="2"/>
      <w:r>
        <w:t xml:space="preserve">  </w:t>
      </w:r>
      <w:r w:rsidR="00B3658B">
        <w:t xml:space="preserve">In March 2022, </w:t>
      </w:r>
      <w:r>
        <w:t xml:space="preserve">CPS filed suit against Emerald Harbor in Florida state court </w:t>
      </w:r>
      <w:r w:rsidR="00C72D04">
        <w:t xml:space="preserve">alleging that Emerald Harbor wrongfully contracted with </w:t>
      </w:r>
      <w:r w:rsidR="00C5517D">
        <w:t>PDC</w:t>
      </w:r>
      <w:r w:rsidR="00C72D04">
        <w:t xml:space="preserve"> to act as an alternative service provider at The Palms.</w:t>
      </w:r>
      <w:r>
        <w:rPr>
          <w:rStyle w:val="FootnoteReference"/>
        </w:rPr>
        <w:footnoteReference w:id="31"/>
      </w:r>
      <w:r w:rsidR="00C72D04">
        <w:t xml:space="preserve">  Separately, CPS</w:t>
      </w:r>
      <w:r>
        <w:t xml:space="preserve"> commenced </w:t>
      </w:r>
      <w:r w:rsidR="00FD0316">
        <w:t xml:space="preserve">arbitration </w:t>
      </w:r>
      <w:r>
        <w:t xml:space="preserve">against </w:t>
      </w:r>
      <w:r w:rsidR="00C5517D">
        <w:t>PDC</w:t>
      </w:r>
      <w:r>
        <w:t>.</w:t>
      </w:r>
      <w:r>
        <w:rPr>
          <w:rStyle w:val="FootnoteReference"/>
        </w:rPr>
        <w:footnoteReference w:id="32"/>
      </w:r>
      <w:r w:rsidR="00B3658B">
        <w:t xml:space="preserve">  In May 2022,</w:t>
      </w:r>
      <w:r w:rsidR="00861C7C">
        <w:t xml:space="preserve"> </w:t>
      </w:r>
      <w:r w:rsidR="00B3658B">
        <w:t>Emerald Harbor filed this Petition with the Commission</w:t>
      </w:r>
      <w:r w:rsidR="006F4DF3">
        <w:t>, and since then Emerald Harbor, CPS, and Cox</w:t>
      </w:r>
      <w:r w:rsidR="008D6AA1">
        <w:t xml:space="preserve"> have</w:t>
      </w:r>
      <w:r w:rsidR="006F4DF3">
        <w:t xml:space="preserve"> filed several </w:t>
      </w:r>
      <w:r w:rsidRPr="00C27A90" w:rsidR="006F4DF3">
        <w:rPr>
          <w:i/>
          <w:iCs/>
        </w:rPr>
        <w:t>ex parte</w:t>
      </w:r>
      <w:r w:rsidR="006F4DF3">
        <w:t xml:space="preserve"> letters in response to the Petition</w:t>
      </w:r>
      <w:r w:rsidR="00B3658B">
        <w:t>.</w:t>
      </w:r>
      <w:r>
        <w:rPr>
          <w:rStyle w:val="FootnoteReference"/>
        </w:rPr>
        <w:footnoteReference w:id="33"/>
      </w:r>
      <w:r w:rsidR="00B3658B">
        <w:t xml:space="preserve"> </w:t>
      </w:r>
    </w:p>
    <w:p w:rsidR="00D01E5C" w:rsidRPr="00D01E5C" w:rsidP="00D05EC8" w14:paraId="1AB6995A" w14:textId="77777777">
      <w:pPr>
        <w:pStyle w:val="Heading1"/>
      </w:pPr>
      <w:r>
        <w:t>Discussion</w:t>
      </w:r>
    </w:p>
    <w:p w:rsidR="008C1534" w:rsidP="00B407DF" w14:paraId="6A25E2EA" w14:textId="77777777">
      <w:pPr>
        <w:pStyle w:val="ParaNum"/>
      </w:pPr>
      <w:r>
        <w:t xml:space="preserve">The Commission has broad discretion to decide whether or not to </w:t>
      </w:r>
      <w:r>
        <w:t>consider a request for declaratory relief.</w:t>
      </w:r>
      <w:r>
        <w:rPr>
          <w:rStyle w:val="FootnoteReference"/>
        </w:rPr>
        <w:footnoteReference w:id="34"/>
      </w:r>
      <w:r>
        <w:t xml:space="preserve">  S</w:t>
      </w:r>
      <w:r w:rsidR="008D6E12">
        <w:t>ection 1.2 of the rules</w:t>
      </w:r>
      <w:r>
        <w:t xml:space="preserve"> provides that</w:t>
      </w:r>
      <w:r w:rsidR="008D6E12">
        <w:t xml:space="preserve"> the Commission “may . . . issue a declaratory ruling terminating a controversy or removing uncertainty.”</w:t>
      </w:r>
      <w:r>
        <w:rPr>
          <w:rStyle w:val="FootnoteReference"/>
        </w:rPr>
        <w:footnoteReference w:id="35"/>
      </w:r>
      <w:r w:rsidR="008D6E12">
        <w:t xml:space="preserve">  </w:t>
      </w:r>
      <w:r w:rsidR="0076190C">
        <w:t xml:space="preserve">Thus, although the Commission </w:t>
      </w:r>
      <w:r w:rsidRPr="00044E8E" w:rsidR="0076190C">
        <w:t>may</w:t>
      </w:r>
      <w:r w:rsidRPr="4B6183D3" w:rsidR="0076190C">
        <w:rPr>
          <w:i/>
          <w:iCs/>
        </w:rPr>
        <w:t xml:space="preserve"> </w:t>
      </w:r>
      <w:r w:rsidR="0076190C">
        <w:t>issue a declaratory ruling, it is not compelled to act on every request for such a ruling.</w:t>
      </w:r>
      <w:r>
        <w:rPr>
          <w:rStyle w:val="FootnoteReference"/>
        </w:rPr>
        <w:footnoteReference w:id="36"/>
      </w:r>
      <w:r w:rsidR="0076190C">
        <w:t xml:space="preserve">  </w:t>
      </w:r>
      <w:r w:rsidR="00145311">
        <w:t>Furthermore</w:t>
      </w:r>
      <w:r w:rsidR="00970976">
        <w:t xml:space="preserve">, </w:t>
      </w:r>
      <w:r w:rsidR="00F10B87">
        <w:t>“</w:t>
      </w:r>
      <w:r w:rsidR="00C4437C">
        <w:t xml:space="preserve">[t]he Commission has broad discretion under the Administrative Procedure Act and Commission rules to </w:t>
      </w:r>
      <w:r w:rsidR="00C4437C">
        <w:t>decide whether a declaratory ruling is necessary to ‘terminate a controversy or remove uncertainty.’”</w:t>
      </w:r>
      <w:r>
        <w:rPr>
          <w:rStyle w:val="FootnoteReference"/>
        </w:rPr>
        <w:footnoteReference w:id="37"/>
      </w:r>
      <w:r w:rsidR="003F4748">
        <w:t xml:space="preserve">  </w:t>
      </w:r>
      <w:r w:rsidR="00B407DF">
        <w:t>As</w:t>
      </w:r>
      <w:r w:rsidR="002C67E8">
        <w:t xml:space="preserve"> set forth below, w</w:t>
      </w:r>
      <w:r w:rsidR="001F64E6">
        <w:t xml:space="preserve">e </w:t>
      </w:r>
      <w:r w:rsidR="00B407DF">
        <w:t>decline to exercise our discretion to consider the Petition</w:t>
      </w:r>
      <w:r w:rsidR="00677B59">
        <w:t>,</w:t>
      </w:r>
      <w:r w:rsidR="00D612BA">
        <w:t xml:space="preserve"> where </w:t>
      </w:r>
      <w:r w:rsidR="002D512D">
        <w:t>prior federal court actions</w:t>
      </w:r>
      <w:r w:rsidR="00D612BA">
        <w:t xml:space="preserve"> have already</w:t>
      </w:r>
      <w:r w:rsidR="002D512D">
        <w:t xml:space="preserve"> decided</w:t>
      </w:r>
      <w:r w:rsidR="00D612BA">
        <w:t xml:space="preserve"> the </w:t>
      </w:r>
      <w:r w:rsidR="00677B59">
        <w:t xml:space="preserve">rights of </w:t>
      </w:r>
      <w:r w:rsidR="00BB2249">
        <w:t>interested</w:t>
      </w:r>
      <w:r w:rsidR="00677B59">
        <w:t xml:space="preserve"> parties</w:t>
      </w:r>
      <w:r>
        <w:rPr>
          <w:rStyle w:val="FootnoteReference"/>
        </w:rPr>
        <w:footnoteReference w:id="38"/>
      </w:r>
      <w:r w:rsidR="00677B59">
        <w:t xml:space="preserve"> arising out of</w:t>
      </w:r>
      <w:r w:rsidR="002D512D">
        <w:t xml:space="preserve"> the same nucleus of operative fact</w:t>
      </w:r>
      <w:r w:rsidR="00677B59">
        <w:t xml:space="preserve">s as presented </w:t>
      </w:r>
      <w:r w:rsidR="000360FC">
        <w:t>in the Petition</w:t>
      </w:r>
      <w:r w:rsidRPr="009D29A3" w:rsidR="002C67E8">
        <w:t>.</w:t>
      </w:r>
      <w:r w:rsidR="00D612BA">
        <w:t xml:space="preserve">  </w:t>
      </w:r>
      <w:r w:rsidR="002C67E8">
        <w:t xml:space="preserve"> </w:t>
      </w:r>
    </w:p>
    <w:p w:rsidR="00576096" w:rsidRPr="00107D04" w:rsidP="008C1534" w14:paraId="4A7F2750" w14:textId="77777777">
      <w:pPr>
        <w:pStyle w:val="ParaNum"/>
      </w:pPr>
      <w:r>
        <w:t>E</w:t>
      </w:r>
      <w:r w:rsidR="0045614A">
        <w:t>merald Harbor</w:t>
      </w:r>
      <w:r>
        <w:t xml:space="preserve"> contends that a controversy was created by the 2021 district court </w:t>
      </w:r>
      <w:r w:rsidR="0076190C">
        <w:t xml:space="preserve">judgment, </w:t>
      </w:r>
      <w:r w:rsidR="0076190C">
        <w:rPr>
          <w:i/>
          <w:iCs/>
        </w:rPr>
        <w:t>Palms I</w:t>
      </w:r>
      <w:r w:rsidR="0076190C">
        <w:t>,</w:t>
      </w:r>
      <w:r>
        <w:t xml:space="preserve"> because it “conta</w:t>
      </w:r>
      <w:r w:rsidR="00EE782C">
        <w:t>i</w:t>
      </w:r>
      <w:r>
        <w:t>ned plainly erroneous interpretations of the FCC’s rules and the Communications Act</w:t>
      </w:r>
      <w:r w:rsidR="0091591D">
        <w:t>[</w:t>
      </w:r>
      <w:r w:rsidR="004E5F5A">
        <w:t>.</w:t>
      </w:r>
      <w:r w:rsidR="0091591D">
        <w:t>]</w:t>
      </w:r>
      <w:r>
        <w:t>”</w:t>
      </w:r>
      <w:r>
        <w:rPr>
          <w:rStyle w:val="FootnoteReference"/>
        </w:rPr>
        <w:footnoteReference w:id="39"/>
      </w:r>
      <w:r>
        <w:t xml:space="preserve"> </w:t>
      </w:r>
      <w:r w:rsidR="004E5F5A">
        <w:t xml:space="preserve"> </w:t>
      </w:r>
      <w:r>
        <w:t>E</w:t>
      </w:r>
      <w:r w:rsidR="0045614A">
        <w:t>merald Harbor</w:t>
      </w:r>
      <w:r>
        <w:t xml:space="preserve"> argues that the Commission should issue a declaratory ruling to </w:t>
      </w:r>
      <w:r w:rsidR="00910070">
        <w:t>“</w:t>
      </w:r>
      <w:r>
        <w:t>correct</w:t>
      </w:r>
      <w:r w:rsidR="00910070">
        <w:t>”</w:t>
      </w:r>
      <w:r>
        <w:t xml:space="preserve"> the district court’s erroneous findings</w:t>
      </w:r>
      <w:r w:rsidR="005969F3">
        <w:t>, and therefore resolve the controversy</w:t>
      </w:r>
      <w:r>
        <w:t>.</w:t>
      </w:r>
      <w:r>
        <w:rPr>
          <w:rStyle w:val="FootnoteReference"/>
        </w:rPr>
        <w:footnoteReference w:id="40"/>
      </w:r>
      <w:r w:rsidR="0032679C">
        <w:t xml:space="preserve">  </w:t>
      </w:r>
      <w:r w:rsidR="002F0FE3">
        <w:t>Specifically, Emerald Harbor takes issue with the district court’s determination that CPS is not a common carrier and therefore not subject to the prohibitions of section 64.2500 of the Commission’s exclusivity rules.</w:t>
      </w:r>
      <w:r>
        <w:rPr>
          <w:rStyle w:val="FootnoteReference"/>
        </w:rPr>
        <w:footnoteReference w:id="41"/>
      </w:r>
      <w:r w:rsidR="00B13CFF">
        <w:t xml:space="preserve">  Additionally, Emerald Harbor contends that the Commission should resolve the “diversity of opinions on what constitutes ‘use’ of public rights of way for purposes of determining whether an entity is a cable system subject </w:t>
      </w:r>
      <w:r w:rsidRPr="009D29A3" w:rsidR="00B13CFF">
        <w:t xml:space="preserve">to </w:t>
      </w:r>
      <w:r w:rsidRPr="00107D04" w:rsidR="00B13CFF">
        <w:t>76.2000.”</w:t>
      </w:r>
      <w:r>
        <w:rPr>
          <w:rStyle w:val="FootnoteReference"/>
        </w:rPr>
        <w:footnoteReference w:id="42"/>
      </w:r>
      <w:r w:rsidRPr="00107D04" w:rsidR="00B13CFF">
        <w:t xml:space="preserve"> </w:t>
      </w:r>
    </w:p>
    <w:p w:rsidR="000670C9" w:rsidRPr="00107D04" w:rsidP="00576096" w14:paraId="0B140F04" w14:textId="77777777">
      <w:pPr>
        <w:pStyle w:val="ParaNum"/>
      </w:pPr>
      <w:r w:rsidRPr="00107D04">
        <w:t>We</w:t>
      </w:r>
      <w:r w:rsidRPr="009D29A3">
        <w:t xml:space="preserve"> disagree </w:t>
      </w:r>
      <w:r w:rsidRPr="009D29A3" w:rsidR="00D44971">
        <w:t>that this matter presents</w:t>
      </w:r>
      <w:r w:rsidRPr="009D29A3">
        <w:t xml:space="preserve"> a controversy that warrants exercise of our discretion to issue a declaratory ruli</w:t>
      </w:r>
      <w:r w:rsidRPr="009D29A3">
        <w:t>ng.</w:t>
      </w:r>
      <w:r w:rsidRPr="009D29A3" w:rsidR="00783D49">
        <w:t xml:space="preserve">  Emerald Harbor takes issue with findings made in connection with </w:t>
      </w:r>
      <w:r w:rsidRPr="009D29A3" w:rsidR="009E2CDC">
        <w:t xml:space="preserve">the </w:t>
      </w:r>
      <w:r w:rsidRPr="009D29A3" w:rsidR="00783D49">
        <w:t>district court’s</w:t>
      </w:r>
      <w:r w:rsidRPr="009D29A3" w:rsidR="00DA7953">
        <w:t xml:space="preserve"> decision on the merits</w:t>
      </w:r>
      <w:r w:rsidRPr="009D29A3" w:rsidR="009E2CDC">
        <w:t xml:space="preserve"> </w:t>
      </w:r>
      <w:r w:rsidRPr="009D29A3" w:rsidR="00783D49">
        <w:t>granting CPS relief.</w:t>
      </w:r>
      <w:r w:rsidRPr="009D29A3" w:rsidR="00D44971">
        <w:t xml:space="preserve">  However, the district court proffered </w:t>
      </w:r>
      <w:r w:rsidRPr="009D29A3" w:rsidR="00294995">
        <w:t>an</w:t>
      </w:r>
      <w:r w:rsidRPr="009D29A3" w:rsidR="00D44971">
        <w:t>other</w:t>
      </w:r>
      <w:r w:rsidRPr="009D29A3" w:rsidR="00294995">
        <w:t xml:space="preserve"> independent</w:t>
      </w:r>
      <w:r w:rsidRPr="009D29A3" w:rsidR="00D44971">
        <w:t xml:space="preserve"> </w:t>
      </w:r>
      <w:r w:rsidRPr="009D29A3" w:rsidR="00294995">
        <w:t>basis</w:t>
      </w:r>
      <w:r w:rsidRPr="009D29A3" w:rsidR="00D44971">
        <w:t xml:space="preserve"> for its ruling.  Namely, the </w:t>
      </w:r>
      <w:r w:rsidRPr="009D29A3" w:rsidR="00294995">
        <w:t xml:space="preserve">district </w:t>
      </w:r>
      <w:r w:rsidRPr="009D29A3" w:rsidR="00D44971">
        <w:t xml:space="preserve">court found that CPS was entitled to summary judgment on the grounds of </w:t>
      </w:r>
      <w:r w:rsidRPr="009D29A3" w:rsidR="00D44971">
        <w:rPr>
          <w:i/>
          <w:iCs/>
        </w:rPr>
        <w:t>res judicata</w:t>
      </w:r>
      <w:r w:rsidRPr="009D29A3" w:rsidR="009E2CDC">
        <w:rPr>
          <w:i/>
          <w:iCs/>
        </w:rPr>
        <w:t>,</w:t>
      </w:r>
      <w:r w:rsidRPr="009D29A3" w:rsidR="00D44971">
        <w:rPr>
          <w:i/>
          <w:iCs/>
        </w:rPr>
        <w:t xml:space="preserve"> </w:t>
      </w:r>
      <w:r w:rsidRPr="009D29A3" w:rsidR="009E2CDC">
        <w:t>bas</w:t>
      </w:r>
      <w:r w:rsidRPr="009D29A3" w:rsidR="00294995">
        <w:t>ed</w:t>
      </w:r>
      <w:r w:rsidRPr="009D29A3" w:rsidR="00D44971">
        <w:t xml:space="preserve"> on </w:t>
      </w:r>
      <w:r w:rsidRPr="009D29A3" w:rsidR="00294995">
        <w:t>specific</w:t>
      </w:r>
      <w:r w:rsidRPr="009D29A3" w:rsidR="00D44971">
        <w:t xml:space="preserve"> terms of </w:t>
      </w:r>
      <w:r w:rsidRPr="009D29A3" w:rsidR="00294995">
        <w:t>a</w:t>
      </w:r>
      <w:r w:rsidRPr="009D29A3" w:rsidR="00D44971">
        <w:t xml:space="preserve"> settlement agreement, contemporaneous documents</w:t>
      </w:r>
      <w:r w:rsidR="0018112E">
        <w:t>,</w:t>
      </w:r>
      <w:r w:rsidRPr="009D29A3" w:rsidR="00294995">
        <w:t xml:space="preserve"> and witness affidavits.</w:t>
      </w:r>
      <w:r>
        <w:rPr>
          <w:rStyle w:val="FootnoteReference"/>
        </w:rPr>
        <w:footnoteReference w:id="43"/>
      </w:r>
      <w:r w:rsidRPr="009D29A3" w:rsidR="009E2CDC">
        <w:t xml:space="preserve">  On appeal, the Eleventh Circuit agreed with the district court that declaratory relief was barred by </w:t>
      </w:r>
      <w:r w:rsidRPr="009D29A3" w:rsidR="009E2CDC">
        <w:rPr>
          <w:i/>
          <w:iCs/>
        </w:rPr>
        <w:t xml:space="preserve">res judicata, </w:t>
      </w:r>
      <w:r w:rsidRPr="009D29A3" w:rsidR="009E2CDC">
        <w:t xml:space="preserve">but declined to reach the merits of </w:t>
      </w:r>
      <w:r w:rsidRPr="009D29A3" w:rsidR="00B6141B">
        <w:t xml:space="preserve">The Palm’s federal claims or the findings of the district court that Emerald Harbor finds objectionable.  Given that </w:t>
      </w:r>
      <w:r w:rsidRPr="009D29A3" w:rsidR="00677B59">
        <w:t xml:space="preserve">the </w:t>
      </w:r>
      <w:r w:rsidRPr="009D29A3" w:rsidR="00B6141B">
        <w:t xml:space="preserve">federal court </w:t>
      </w:r>
      <w:r w:rsidRPr="009D29A3" w:rsidR="00677B59">
        <w:t>has</w:t>
      </w:r>
      <w:r w:rsidRPr="009D29A3" w:rsidR="00B6141B">
        <w:t xml:space="preserve"> already entered a judgment concerning the same dispute involving the same</w:t>
      </w:r>
      <w:r w:rsidRPr="009D29A3" w:rsidR="00677B59">
        <w:t xml:space="preserve"> key</w:t>
      </w:r>
      <w:r w:rsidRPr="009D29A3" w:rsidR="00B6141B">
        <w:t xml:space="preserve"> parties on </w:t>
      </w:r>
      <w:r w:rsidRPr="009D29A3" w:rsidR="00B6141B">
        <w:rPr>
          <w:i/>
          <w:iCs/>
        </w:rPr>
        <w:t xml:space="preserve">res judicata </w:t>
      </w:r>
      <w:r w:rsidRPr="009D29A3" w:rsidR="00B6141B">
        <w:t>grounds, which</w:t>
      </w:r>
      <w:r w:rsidRPr="009D29A3" w:rsidR="00677B59">
        <w:t xml:space="preserve"> the</w:t>
      </w:r>
      <w:r w:rsidRPr="009D29A3" w:rsidR="00B6141B">
        <w:t xml:space="preserve"> </w:t>
      </w:r>
      <w:r w:rsidRPr="009D29A3" w:rsidR="00677B59">
        <w:t>Eleventh Circuit</w:t>
      </w:r>
      <w:r w:rsidRPr="009D29A3" w:rsidR="00D33868">
        <w:t xml:space="preserve"> </w:t>
      </w:r>
      <w:r w:rsidR="007C1EAD">
        <w:t xml:space="preserve">subsequently </w:t>
      </w:r>
      <w:r w:rsidRPr="009D29A3" w:rsidR="00D33868">
        <w:t xml:space="preserve">affirmed on the </w:t>
      </w:r>
      <w:r w:rsidR="007C1EAD">
        <w:t xml:space="preserve">same </w:t>
      </w:r>
      <w:r w:rsidRPr="009D29A3" w:rsidR="00D33868">
        <w:t xml:space="preserve">narrow </w:t>
      </w:r>
      <w:r w:rsidRPr="009D29A3" w:rsidR="00D33868">
        <w:t>grounds</w:t>
      </w:r>
      <w:r w:rsidRPr="009D29A3" w:rsidR="00B6141B">
        <w:t xml:space="preserve">, we </w:t>
      </w:r>
      <w:r w:rsidRPr="009D29A3" w:rsidR="008D0265">
        <w:t>see no reason to re-examine or opine on the</w:t>
      </w:r>
      <w:r w:rsidRPr="009D29A3" w:rsidR="00D33868">
        <w:t xml:space="preserve"> wider</w:t>
      </w:r>
      <w:r w:rsidRPr="009D29A3" w:rsidR="008D0265">
        <w:t xml:space="preserve"> issues raised by</w:t>
      </w:r>
      <w:r w:rsidRPr="009D29A3" w:rsidR="000A6C77">
        <w:t xml:space="preserve"> Emerald Harbor in </w:t>
      </w:r>
      <w:r w:rsidRPr="009D29A3" w:rsidR="00677B59">
        <w:t>its Petition</w:t>
      </w:r>
      <w:r w:rsidRPr="009D29A3" w:rsidR="000A6C77">
        <w:t>.</w:t>
      </w:r>
      <w:r w:rsidRPr="009D29A3" w:rsidR="00783D49">
        <w:t xml:space="preserve"> </w:t>
      </w:r>
      <w:r w:rsidRPr="009D29A3" w:rsidR="000A6C77">
        <w:t xml:space="preserve"> </w:t>
      </w:r>
    </w:p>
    <w:p w:rsidR="00777FBE" w:rsidP="004A0B0E" w14:paraId="1B90D5F6" w14:textId="77777777">
      <w:pPr>
        <w:pStyle w:val="ParaNum"/>
      </w:pPr>
      <w:r>
        <w:t>Additionally, E</w:t>
      </w:r>
      <w:r w:rsidR="0045614A">
        <w:t>merald Harbor</w:t>
      </w:r>
      <w:r>
        <w:t xml:space="preserve"> </w:t>
      </w:r>
      <w:r w:rsidR="004A0B0E">
        <w:t>argues</w:t>
      </w:r>
      <w:r w:rsidR="00085B7A">
        <w:t xml:space="preserve"> that the Commission should grant the </w:t>
      </w:r>
      <w:r w:rsidR="004A0B0E">
        <w:t>P</w:t>
      </w:r>
      <w:r w:rsidR="00085B7A">
        <w:t>etition and issue a declaratory ruling</w:t>
      </w:r>
      <w:r w:rsidR="00864B41">
        <w:t xml:space="preserve"> here</w:t>
      </w:r>
      <w:r w:rsidR="00085B7A">
        <w:t xml:space="preserve"> to remove the uncertainty of whether the Commission’s exclusivity rules apply to private cable operators.</w:t>
      </w:r>
      <w:r>
        <w:rPr>
          <w:rStyle w:val="FootnoteReference"/>
        </w:rPr>
        <w:footnoteReference w:id="44"/>
      </w:r>
      <w:r w:rsidR="00085B7A">
        <w:t xml:space="preserve">  E</w:t>
      </w:r>
      <w:r w:rsidR="0045614A">
        <w:t>merald Harbor</w:t>
      </w:r>
      <w:r w:rsidR="00085B7A">
        <w:t xml:space="preserve"> claims that the Commission created this uncertainty by issuing a further notice of proposed rulemaking </w:t>
      </w:r>
      <w:r w:rsidR="004A0B0E">
        <w:t xml:space="preserve">(Further Notice) </w:t>
      </w:r>
      <w:r w:rsidR="00085B7A">
        <w:t xml:space="preserve">alongside its 2007 Exclusivity Order, which adopted </w:t>
      </w:r>
      <w:r w:rsidR="004C772B">
        <w:t>a prohibition against</w:t>
      </w:r>
      <w:r w:rsidR="00085B7A">
        <w:t xml:space="preserve"> cable operators entering into and enforcing exclusivity clauses in MTEs.</w:t>
      </w:r>
      <w:r>
        <w:rPr>
          <w:rStyle w:val="FootnoteReference"/>
        </w:rPr>
        <w:footnoteReference w:id="45"/>
      </w:r>
      <w:r w:rsidR="0045614A">
        <w:t xml:space="preserve"> </w:t>
      </w:r>
      <w:r w:rsidR="00085B7A">
        <w:t xml:space="preserve"> E</w:t>
      </w:r>
      <w:r w:rsidR="0045614A">
        <w:t>merald Harbor</w:t>
      </w:r>
      <w:r w:rsidR="00085B7A">
        <w:t xml:space="preserve"> explains</w:t>
      </w:r>
      <w:r w:rsidR="004A0B0E">
        <w:t xml:space="preserve"> that the Further Notice </w:t>
      </w:r>
      <w:r w:rsidR="00085B7A">
        <w:t>“sought additional comment on whether the net effect of exclusivity clauses by private cab</w:t>
      </w:r>
      <w:r w:rsidR="004A0B0E">
        <w:t>l</w:t>
      </w:r>
      <w:r w:rsidR="00085B7A">
        <w:t xml:space="preserve">e operators and non-cable </w:t>
      </w:r>
      <w:r w:rsidR="000233EE">
        <w:t>M</w:t>
      </w:r>
      <w:r w:rsidR="00085B7A">
        <w:t>VPDs is harmful to consumers,” but the Commission never issued an order on the FNPRM after receiving comments.</w:t>
      </w:r>
      <w:r>
        <w:rPr>
          <w:rStyle w:val="FootnoteReference"/>
        </w:rPr>
        <w:footnoteReference w:id="46"/>
      </w:r>
      <w:r w:rsidR="00085B7A">
        <w:t xml:space="preserve"> </w:t>
      </w:r>
      <w:r w:rsidR="004A0B0E">
        <w:t xml:space="preserve"> </w:t>
      </w:r>
      <w:r w:rsidR="00085B7A">
        <w:t>Therefore, E</w:t>
      </w:r>
      <w:r w:rsidR="0045614A">
        <w:t xml:space="preserve">merald Harbor </w:t>
      </w:r>
      <w:r w:rsidR="004B5580">
        <w:t>reasons</w:t>
      </w:r>
      <w:r w:rsidR="00085B7A">
        <w:t>, “[t]he Petition provides the perfect vehicle for the FCC to conclude the Further Notice . . . and remove any uncertainly regarding the prohibition against entering into and enforcing exclusive arrangements for the provision of video and telephone services to MDUs and MTEs.”</w:t>
      </w:r>
      <w:r>
        <w:rPr>
          <w:rStyle w:val="FootnoteReference"/>
        </w:rPr>
        <w:footnoteReference w:id="47"/>
      </w:r>
      <w:r w:rsidRPr="004A0B0E" w:rsidR="004A0B0E">
        <w:t xml:space="preserve"> </w:t>
      </w:r>
    </w:p>
    <w:p w:rsidR="00A5359F" w:rsidRPr="007F088A" w:rsidP="00276A51" w14:paraId="1E6CF91D" w14:textId="77777777">
      <w:pPr>
        <w:pStyle w:val="ParaNum"/>
      </w:pPr>
      <w:r>
        <w:t>We disagree with E</w:t>
      </w:r>
      <w:r w:rsidR="0045614A">
        <w:t>merald Harbor</w:t>
      </w:r>
      <w:r>
        <w:t xml:space="preserve"> that </w:t>
      </w:r>
      <w:r w:rsidR="002D32A7">
        <w:t>there is any uncertainty as to whether</w:t>
      </w:r>
      <w:r>
        <w:t xml:space="preserve"> </w:t>
      </w:r>
      <w:r w:rsidR="0087452C">
        <w:t xml:space="preserve">section 76.2000 </w:t>
      </w:r>
      <w:r w:rsidR="002D32A7">
        <w:t>of our rules</w:t>
      </w:r>
      <w:r w:rsidR="00633830">
        <w:t xml:space="preserve"> appl</w:t>
      </w:r>
      <w:r w:rsidR="0087452C">
        <w:t>ies</w:t>
      </w:r>
      <w:r w:rsidR="00633830">
        <w:t xml:space="preserve"> to </w:t>
      </w:r>
      <w:r>
        <w:t>private cable operators</w:t>
      </w:r>
      <w:r w:rsidR="00633830">
        <w:t>.</w:t>
      </w:r>
      <w:r w:rsidR="003B7925">
        <w:t xml:space="preserve">  </w:t>
      </w:r>
      <w:r w:rsidR="002D32A7">
        <w:t>It</w:t>
      </w:r>
      <w:r w:rsidR="003B7925">
        <w:t xml:space="preserve"> is clear from the Commission’s 2007 Exclusivity Order that </w:t>
      </w:r>
      <w:r w:rsidR="00C819E8">
        <w:t xml:space="preserve">section 76.2000 </w:t>
      </w:r>
      <w:r w:rsidR="002D32A7">
        <w:t xml:space="preserve">only </w:t>
      </w:r>
      <w:r w:rsidR="00C819E8">
        <w:t>applies to “cable operators and other entities that are subject to Section 628</w:t>
      </w:r>
      <w:r w:rsidR="0087452C">
        <w:t>[,]” and that “[t]hese other entities are LECs and open video systems[.]”</w:t>
      </w:r>
      <w:r>
        <w:rPr>
          <w:rStyle w:val="FootnoteReference"/>
        </w:rPr>
        <w:footnoteReference w:id="48"/>
      </w:r>
      <w:r w:rsidR="0087452C">
        <w:t xml:space="preserve">  </w:t>
      </w:r>
      <w:r w:rsidR="002D32A7">
        <w:t xml:space="preserve">In fact, </w:t>
      </w:r>
      <w:r w:rsidR="00A77B8F">
        <w:t>E</w:t>
      </w:r>
      <w:r w:rsidR="0045614A">
        <w:t>merald Harbor</w:t>
      </w:r>
      <w:r w:rsidR="00A77B8F">
        <w:t xml:space="preserve"> itself does not seem uncertain about the application of the rule, </w:t>
      </w:r>
      <w:r w:rsidR="002D32A7">
        <w:t>conceding</w:t>
      </w:r>
      <w:r w:rsidR="00A77B8F">
        <w:t xml:space="preserve"> that “Section 76.2000 does not presently apply to private cable operators[.]”</w:t>
      </w:r>
      <w:r>
        <w:rPr>
          <w:rStyle w:val="FootnoteReference"/>
        </w:rPr>
        <w:footnoteReference w:id="49"/>
      </w:r>
      <w:r w:rsidR="002D32A7">
        <w:t xml:space="preserve">  </w:t>
      </w:r>
      <w:r w:rsidR="00A77B8F">
        <w:t xml:space="preserve">Rather, it appears that </w:t>
      </w:r>
      <w:r w:rsidR="00E10775">
        <w:t>E</w:t>
      </w:r>
      <w:r w:rsidR="0045614A">
        <w:t>merald Harbor</w:t>
      </w:r>
      <w:r w:rsidR="00E10775">
        <w:t xml:space="preserve"> </w:t>
      </w:r>
      <w:r w:rsidR="002D32A7">
        <w:t xml:space="preserve">is </w:t>
      </w:r>
      <w:r w:rsidR="00E10775">
        <w:t>argu</w:t>
      </w:r>
      <w:r w:rsidR="002D32A7">
        <w:t>ing</w:t>
      </w:r>
      <w:r w:rsidR="00E10775">
        <w:t xml:space="preserve"> </w:t>
      </w:r>
      <w:r w:rsidR="002D32A7">
        <w:t xml:space="preserve">that </w:t>
      </w:r>
      <w:r w:rsidR="00E10775">
        <w:t xml:space="preserve">the Commission’s </w:t>
      </w:r>
      <w:r w:rsidR="004C772B">
        <w:t>prohibition against exclusive contracts in MTEs</w:t>
      </w:r>
      <w:r w:rsidR="00E10775">
        <w:t xml:space="preserve"> should apply to entities not subject to section 628, including </w:t>
      </w:r>
      <w:r w:rsidR="002D32A7">
        <w:t>private cable operator</w:t>
      </w:r>
      <w:r w:rsidR="00E10775">
        <w:t>s.</w:t>
      </w:r>
      <w:r>
        <w:rPr>
          <w:rStyle w:val="FootnoteReference"/>
        </w:rPr>
        <w:footnoteReference w:id="50"/>
      </w:r>
      <w:r w:rsidR="002D32A7">
        <w:t xml:space="preserve">  </w:t>
      </w:r>
      <w:r w:rsidR="004B5580">
        <w:t>However, the</w:t>
      </w:r>
      <w:r w:rsidR="00C75834">
        <w:t xml:space="preserve"> decision as to whether the</w:t>
      </w:r>
      <w:r w:rsidR="004B5580">
        <w:t xml:space="preserve"> </w:t>
      </w:r>
      <w:r w:rsidR="002D32A7">
        <w:t>Commission</w:t>
      </w:r>
      <w:r w:rsidR="004B5580">
        <w:t xml:space="preserve"> should expand the application of </w:t>
      </w:r>
      <w:r w:rsidR="004C772B">
        <w:t>section 76.2000</w:t>
      </w:r>
      <w:r w:rsidR="004B5580">
        <w:t xml:space="preserve"> to new entities is a</w:t>
      </w:r>
      <w:r w:rsidR="00010322">
        <w:t xml:space="preserve">n </w:t>
      </w:r>
      <w:r w:rsidR="004B5580">
        <w:t xml:space="preserve">inquiry </w:t>
      </w:r>
      <w:r w:rsidR="001D195F">
        <w:t>for</w:t>
      </w:r>
      <w:r w:rsidR="004B5580">
        <w:t xml:space="preserve"> a rulemaking proceeding, </w:t>
      </w:r>
      <w:r w:rsidR="00A91109">
        <w:t xml:space="preserve">rather than </w:t>
      </w:r>
      <w:r w:rsidR="004B5580">
        <w:t>a petition for declaratory ruling.</w:t>
      </w:r>
      <w:r>
        <w:rPr>
          <w:rStyle w:val="FootnoteReference"/>
        </w:rPr>
        <w:footnoteReference w:id="51"/>
      </w:r>
      <w:r w:rsidR="00010322">
        <w:t xml:space="preserve">  Therefore, </w:t>
      </w:r>
      <w:r w:rsidR="00F25387">
        <w:t xml:space="preserve">Emerald Harbor has not identified any pending uncertainty that would be </w:t>
      </w:r>
      <w:r w:rsidR="00010322">
        <w:t>terminated by issuing a declaratory ruling regarding E</w:t>
      </w:r>
      <w:r w:rsidR="0045614A">
        <w:t>merald Harbor</w:t>
      </w:r>
      <w:r w:rsidR="00010322">
        <w:t>’s claims concerning section 628 of the Act or sections 76.2000 or 64.2500 of the Commission’s exclusivity rules.</w:t>
      </w:r>
      <w:r>
        <w:rPr>
          <w:rStyle w:val="FootnoteReference"/>
        </w:rPr>
        <w:footnoteReference w:id="52"/>
      </w:r>
      <w:r w:rsidR="00010322">
        <w:t xml:space="preserve"> </w:t>
      </w:r>
    </w:p>
    <w:p w:rsidR="00A5359F" w:rsidP="00A5359F" w14:paraId="559D9098" w14:textId="77777777">
      <w:pPr>
        <w:pStyle w:val="ParaNum"/>
      </w:pPr>
      <w:r>
        <w:t xml:space="preserve">For the reasons discussed above, we exercise our discretion and decline to issue a declaratory ruling in this </w:t>
      </w:r>
      <w:r w:rsidR="00165C5D">
        <w:t>matter</w:t>
      </w:r>
      <w:r>
        <w:t>.  According</w:t>
      </w:r>
      <w:r w:rsidR="00E52561">
        <w:t>ly</w:t>
      </w:r>
      <w:r>
        <w:t>, we dismiss the Petition pursuant to section 1.2 of our rules.</w:t>
      </w:r>
      <w:r>
        <w:rPr>
          <w:rStyle w:val="FootnoteReference"/>
        </w:rPr>
        <w:footnoteReference w:id="53"/>
      </w:r>
    </w:p>
    <w:p w:rsidR="003F6B63" w:rsidP="003F6B63" w14:paraId="18C106DD" w14:textId="77777777">
      <w:pPr>
        <w:pStyle w:val="Heading1"/>
      </w:pPr>
      <w:r>
        <w:t>Ordering Clause</w:t>
      </w:r>
    </w:p>
    <w:p w:rsidR="003F6B63" w:rsidP="003F6B63" w14:paraId="4031187D" w14:textId="77777777">
      <w:pPr>
        <w:pStyle w:val="ParaNum"/>
      </w:pPr>
      <w:r w:rsidRPr="006F1084">
        <w:rPr>
          <w:b/>
          <w:bCs/>
        </w:rPr>
        <w:t>IT IS THEREFORE ORDERED</w:t>
      </w:r>
      <w:r>
        <w:t>, pursuant to section</w:t>
      </w:r>
      <w:r>
        <w:t>s 4(i) of the Communications Act of 1934, as amended, 47 U.S.C. §§ 154(i)</w:t>
      </w:r>
      <w:r w:rsidR="000640E7">
        <w:t>; section 554(e) of the Administrative Procedures Act, 5 U.S.C. § 554(e);</w:t>
      </w:r>
      <w:r>
        <w:t xml:space="preserve"> and sections 0</w:t>
      </w:r>
      <w:r w:rsidR="000640E7">
        <w:t>.</w:t>
      </w:r>
      <w:r w:rsidR="00936834">
        <w:t xml:space="preserve">283 </w:t>
      </w:r>
      <w:r w:rsidR="000640E7">
        <w:t xml:space="preserve">and </w:t>
      </w:r>
      <w:r>
        <w:t>1.2 of the Commission’s rules, 47 CFR §§ 0.</w:t>
      </w:r>
      <w:r w:rsidR="00936834">
        <w:t>283</w:t>
      </w:r>
      <w:r>
        <w:t>, 1.2, that the Petition for Declaratory</w:t>
      </w:r>
      <w:r>
        <w:t xml:space="preserve"> Ruling filed by Emerald Harbor Communications LLC is </w:t>
      </w:r>
      <w:r w:rsidRPr="006F1084">
        <w:rPr>
          <w:b/>
          <w:bCs/>
        </w:rPr>
        <w:t>DISMISSED</w:t>
      </w:r>
      <w:r w:rsidR="000640E7">
        <w:t>.</w:t>
      </w:r>
    </w:p>
    <w:p w:rsidR="000640E7" w:rsidP="000640E7" w14:paraId="368542D6" w14:textId="77777777">
      <w:pPr>
        <w:pStyle w:val="ParaNum"/>
        <w:numPr>
          <w:ilvl w:val="0"/>
          <w:numId w:val="0"/>
        </w:numPr>
      </w:pPr>
    </w:p>
    <w:p w:rsidR="000640E7" w:rsidP="000640E7" w14:paraId="3161D3E6" w14:textId="77777777">
      <w:pPr>
        <w:pStyle w:val="ParaNum"/>
        <w:numPr>
          <w:ilvl w:val="0"/>
          <w:numId w:val="0"/>
        </w:numPr>
        <w:ind w:left="3600"/>
        <w:contextualSpacing/>
      </w:pPr>
      <w:r>
        <w:t>FEDERAL COMMUNICATIONS COMMISSION</w:t>
      </w:r>
    </w:p>
    <w:p w:rsidR="000640E7" w:rsidP="000640E7" w14:paraId="110AF553" w14:textId="77777777">
      <w:pPr>
        <w:pStyle w:val="ParaNum"/>
        <w:numPr>
          <w:ilvl w:val="0"/>
          <w:numId w:val="0"/>
        </w:numPr>
        <w:ind w:left="3600"/>
        <w:contextualSpacing/>
      </w:pPr>
    </w:p>
    <w:p w:rsidR="000640E7" w:rsidP="000640E7" w14:paraId="6C7231AA" w14:textId="77777777">
      <w:pPr>
        <w:pStyle w:val="ParaNum"/>
        <w:numPr>
          <w:ilvl w:val="0"/>
          <w:numId w:val="0"/>
        </w:numPr>
        <w:ind w:left="3600"/>
        <w:contextualSpacing/>
      </w:pPr>
    </w:p>
    <w:p w:rsidR="000640E7" w:rsidP="000640E7" w14:paraId="73E82FA8" w14:textId="77777777">
      <w:pPr>
        <w:pStyle w:val="ParaNum"/>
        <w:numPr>
          <w:ilvl w:val="0"/>
          <w:numId w:val="0"/>
        </w:numPr>
        <w:ind w:left="3600"/>
        <w:contextualSpacing/>
      </w:pPr>
    </w:p>
    <w:p w:rsidR="000640E7" w:rsidP="000640E7" w14:paraId="2D792543" w14:textId="77777777">
      <w:pPr>
        <w:pStyle w:val="ParaNum"/>
        <w:numPr>
          <w:ilvl w:val="0"/>
          <w:numId w:val="0"/>
        </w:numPr>
        <w:ind w:left="3600"/>
        <w:contextualSpacing/>
      </w:pPr>
    </w:p>
    <w:p w:rsidR="000640E7" w:rsidRPr="008F7DE1" w:rsidP="000640E7" w14:paraId="1B973E1A" w14:textId="77777777">
      <w:pPr>
        <w:pStyle w:val="ParaNum"/>
        <w:numPr>
          <w:ilvl w:val="0"/>
          <w:numId w:val="0"/>
        </w:numPr>
        <w:ind w:left="3600"/>
        <w:contextualSpacing/>
      </w:pPr>
      <w:r w:rsidRPr="008F7DE1">
        <w:t>Holly Saurer</w:t>
      </w:r>
    </w:p>
    <w:p w:rsidR="000640E7" w:rsidRPr="003F6B63" w:rsidP="000640E7" w14:paraId="14363F38" w14:textId="77777777">
      <w:pPr>
        <w:pStyle w:val="ParaNum"/>
        <w:numPr>
          <w:ilvl w:val="0"/>
          <w:numId w:val="0"/>
        </w:numPr>
        <w:ind w:left="3600"/>
        <w:contextualSpacing/>
      </w:pPr>
      <w:r w:rsidRPr="008F7DE1">
        <w:t>Chief, Media Bureau</w:t>
      </w:r>
    </w:p>
    <w:p w:rsidR="004C4651" w:rsidP="007F5018" w14:paraId="0023FDAC" w14:textId="77777777">
      <w:pPr>
        <w:pStyle w:val="ParaNum"/>
        <w:numPr>
          <w:ilvl w:val="0"/>
          <w:numId w:val="0"/>
        </w:numPr>
        <w:ind w:left="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8CD2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775F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C3779B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745D24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08F8B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4B0F" w14:paraId="518C7DF3" w14:textId="77777777">
      <w:r>
        <w:separator/>
      </w:r>
    </w:p>
  </w:footnote>
  <w:footnote w:type="continuationSeparator" w:id="1">
    <w:p w:rsidR="00FF4B0F" w:rsidP="00C721AC" w14:paraId="4EE84698" w14:textId="77777777">
      <w:pPr>
        <w:spacing w:before="120"/>
        <w:rPr>
          <w:sz w:val="20"/>
        </w:rPr>
      </w:pPr>
      <w:r>
        <w:rPr>
          <w:sz w:val="20"/>
        </w:rPr>
        <w:t xml:space="preserve">(Continued from previous page)  </w:t>
      </w:r>
      <w:r>
        <w:rPr>
          <w:sz w:val="20"/>
        </w:rPr>
        <w:separator/>
      </w:r>
    </w:p>
  </w:footnote>
  <w:footnote w:type="continuationNotice" w:id="2">
    <w:p w:rsidR="00FF4B0F" w:rsidP="00C721AC" w14:paraId="6DED41D9" w14:textId="77777777">
      <w:pPr>
        <w:jc w:val="right"/>
        <w:rPr>
          <w:sz w:val="20"/>
        </w:rPr>
      </w:pPr>
      <w:r>
        <w:rPr>
          <w:sz w:val="20"/>
        </w:rPr>
        <w:t>(continued….)</w:t>
      </w:r>
    </w:p>
  </w:footnote>
  <w:footnote w:id="3">
    <w:p w:rsidR="006F2F0C" w:rsidRPr="007E179F" w:rsidP="00574A3D" w14:paraId="6668B3B4" w14:textId="77777777">
      <w:pPr>
        <w:pStyle w:val="FootnoteText"/>
        <w:spacing w:before="120"/>
      </w:pPr>
      <w:r w:rsidRPr="007E179F">
        <w:rPr>
          <w:rStyle w:val="FootnoteReference"/>
        </w:rPr>
        <w:footnoteRef/>
      </w:r>
      <w:r w:rsidRPr="007E179F">
        <w:t xml:space="preserve"> </w:t>
      </w:r>
      <w:r w:rsidRPr="007E179F" w:rsidR="00A174CC">
        <w:t xml:space="preserve">Petition for Declaratory Ruling of Emerald Harbor Communications LLC, GN Docket No. 17-142 (filed May 2, 2022).  </w:t>
      </w:r>
    </w:p>
  </w:footnote>
  <w:footnote w:id="4">
    <w:p w:rsidR="00A174CC" w:rsidRPr="007E179F" w:rsidP="00574A3D" w14:paraId="59C3004B" w14:textId="77777777">
      <w:pPr>
        <w:pStyle w:val="FootnoteText"/>
        <w:spacing w:before="120"/>
      </w:pPr>
      <w:r w:rsidRPr="007E179F">
        <w:rPr>
          <w:rStyle w:val="FootnoteReference"/>
        </w:rPr>
        <w:footnoteRef/>
      </w:r>
      <w:r w:rsidRPr="007E179F">
        <w:t xml:space="preserve"> </w:t>
      </w:r>
      <w:r w:rsidRPr="007E179F">
        <w:rPr>
          <w:i/>
          <w:iCs/>
        </w:rPr>
        <w:t>Id</w:t>
      </w:r>
      <w:r w:rsidRPr="007E179F">
        <w:t>. at 1</w:t>
      </w:r>
      <w:r w:rsidRPr="007E179F" w:rsidR="003953E3">
        <w:t xml:space="preserve">; </w:t>
      </w:r>
      <w:r w:rsidRPr="007E179F">
        <w:t>47 U.S.C. § 548; 47 CFR §§ 76.2000, 64.2500, 76.804.</w:t>
      </w:r>
    </w:p>
  </w:footnote>
  <w:footnote w:id="5">
    <w:p w:rsidR="005553A6" w:rsidRPr="007E179F" w:rsidP="00574A3D" w14:paraId="28EF1969" w14:textId="77777777">
      <w:pPr>
        <w:pStyle w:val="FootnoteText"/>
        <w:spacing w:before="120"/>
      </w:pPr>
      <w:r w:rsidRPr="007E179F">
        <w:rPr>
          <w:rStyle w:val="FootnoteReference"/>
        </w:rPr>
        <w:footnoteRef/>
      </w:r>
      <w:r w:rsidRPr="007E179F">
        <w:t xml:space="preserve"> </w:t>
      </w:r>
      <w:r w:rsidRPr="007E179F">
        <w:t>47 CFR § 1.2.</w:t>
      </w:r>
    </w:p>
  </w:footnote>
  <w:footnote w:id="6">
    <w:p w:rsidR="00235909" w:rsidP="00235909" w14:paraId="77AE94A7" w14:textId="77777777">
      <w:pPr>
        <w:pStyle w:val="FootnoteText"/>
      </w:pPr>
      <w:r>
        <w:rPr>
          <w:rStyle w:val="FootnoteReference"/>
        </w:rPr>
        <w:footnoteRef/>
      </w:r>
      <w:r>
        <w:t xml:space="preserve"> </w:t>
      </w:r>
      <w:r w:rsidRPr="007E179F">
        <w:t>Petition at 1 &amp; n.3, 3.</w:t>
      </w:r>
    </w:p>
  </w:footnote>
  <w:footnote w:id="7">
    <w:p w:rsidR="000E3A2D" w:rsidRPr="005944F5" w:rsidP="000E3A2D" w14:paraId="7F89BDC1" w14:textId="77777777">
      <w:pPr>
        <w:pStyle w:val="FootnoteText"/>
        <w:spacing w:before="120"/>
      </w:pPr>
      <w:r w:rsidRPr="007E179F">
        <w:rPr>
          <w:rStyle w:val="FootnoteReference"/>
        </w:rPr>
        <w:footnoteRef/>
      </w:r>
      <w:r w:rsidRPr="007E179F">
        <w:t xml:space="preserve"> </w:t>
      </w:r>
      <w:r w:rsidRPr="007E179F">
        <w:rPr>
          <w:i/>
          <w:iCs/>
        </w:rPr>
        <w:t>Id.</w:t>
      </w:r>
      <w:r w:rsidRPr="007E179F">
        <w:t xml:space="preserve"> at 2-3 &amp; n.7</w:t>
      </w:r>
      <w:r>
        <w:t xml:space="preserve">; </w:t>
      </w:r>
      <w:r w:rsidRPr="00330932">
        <w:rPr>
          <w:i/>
          <w:iCs/>
        </w:rPr>
        <w:t xml:space="preserve">Palms of </w:t>
      </w:r>
      <w:r w:rsidRPr="00330932">
        <w:rPr>
          <w:i/>
          <w:iCs/>
        </w:rPr>
        <w:t>Destin Club, LLC v. Communications Processing Systems, Inc.</w:t>
      </w:r>
      <w:r w:rsidRPr="00330932">
        <w:t>, 2022 WL 293960, *1 (11</w:t>
      </w:r>
      <w:r w:rsidRPr="00330932">
        <w:rPr>
          <w:vertAlign w:val="superscript"/>
        </w:rPr>
        <w:t>th</w:t>
      </w:r>
      <w:r w:rsidRPr="00330932">
        <w:t xml:space="preserve"> Cir. 2022) (</w:t>
      </w:r>
      <w:r w:rsidRPr="00330932">
        <w:rPr>
          <w:i/>
          <w:iCs/>
        </w:rPr>
        <w:t>Palms II</w:t>
      </w:r>
      <w:r w:rsidRPr="00330932">
        <w:t xml:space="preserve">) (attached as Exhibit D to </w:t>
      </w:r>
      <w:r w:rsidRPr="007E179F">
        <w:t>Letter from James H. Barker, Counsel for CPS, to Marlene Dortch, Secretary, FCC, GN Docket No. 17-142 (filed June 3, 20022</w:t>
      </w:r>
      <w:r w:rsidRPr="007E179F">
        <w:t xml:space="preserve">) (CPS 6-3 </w:t>
      </w:r>
      <w:r w:rsidRPr="007E179F">
        <w:rPr>
          <w:i/>
          <w:iCs/>
        </w:rPr>
        <w:t>Ex Parte</w:t>
      </w:r>
      <w:r w:rsidRPr="00330932">
        <w:t>)</w:t>
      </w:r>
      <w:r w:rsidR="00860A8B">
        <w:t>)</w:t>
      </w:r>
      <w:r w:rsidRPr="00330932">
        <w:t>.</w:t>
      </w:r>
    </w:p>
  </w:footnote>
  <w:footnote w:id="8">
    <w:p w:rsidR="006011EF" w14:paraId="62419550" w14:textId="77777777">
      <w:pPr>
        <w:pStyle w:val="FootnoteText"/>
      </w:pPr>
      <w:r>
        <w:rPr>
          <w:rStyle w:val="FootnoteReference"/>
        </w:rPr>
        <w:footnoteRef/>
      </w:r>
      <w:r>
        <w:t xml:space="preserve"> </w:t>
      </w:r>
      <w:r w:rsidRPr="007E179F">
        <w:t xml:space="preserve">Letter from Tara M. Corvo, Counsel for Cox Communications, Inc., to Marlene Dortch, Secretary, FCC, GN Docket No. 17-142 (filed June 1, 2022) (Cox </w:t>
      </w:r>
      <w:r w:rsidRPr="007E179F">
        <w:rPr>
          <w:i/>
          <w:iCs/>
        </w:rPr>
        <w:t>Ex Parte</w:t>
      </w:r>
      <w:r w:rsidRPr="007E179F">
        <w:t>)</w:t>
      </w:r>
      <w:r>
        <w:t>.</w:t>
      </w:r>
      <w:r w:rsidR="000B4407">
        <w:t xml:space="preserve">  The Petition initially argued that CPS “merely stands in the place of Cox and is attempting to leverage its ownership interests within the Palms to effect exclusive agreements that favor Cox</w:t>
      </w:r>
      <w:r w:rsidR="00C55740">
        <w:t>.</w:t>
      </w:r>
      <w:r w:rsidR="000B4407">
        <w:t>”  Petition at 5.</w:t>
      </w:r>
      <w:r w:rsidR="00944561">
        <w:t xml:space="preserve">  </w:t>
      </w:r>
      <w:r w:rsidR="000B4407">
        <w:t xml:space="preserve">However, in </w:t>
      </w:r>
      <w:r w:rsidR="00944561">
        <w:t xml:space="preserve">an </w:t>
      </w:r>
      <w:r w:rsidRPr="00C27A90" w:rsidR="00944561">
        <w:rPr>
          <w:i/>
          <w:iCs/>
        </w:rPr>
        <w:t>ex parte</w:t>
      </w:r>
      <w:r w:rsidR="00944561">
        <w:t xml:space="preserve"> letter filed after the Petition, Emerald Harbor retracts its claim that CPS and Cox were working together as one entity, noting that “Cox’s </w:t>
      </w:r>
      <w:r w:rsidRPr="002D1E12" w:rsidR="00944561">
        <w:rPr>
          <w:i/>
          <w:iCs/>
        </w:rPr>
        <w:t xml:space="preserve">ex parte </w:t>
      </w:r>
      <w:r w:rsidR="00944561">
        <w:t xml:space="preserve">letter of June 1, 2022, makes clear that CPS has been acting on its own behalf, not at the behest of Cox[.]”  </w:t>
      </w:r>
      <w:r w:rsidRPr="007E179F" w:rsidR="00944561">
        <w:t>Letter from Mark J. Palchick, Counsel for EHC, to Marlene Dortch, Secretary, FCC, GN Docket No. 17-142</w:t>
      </w:r>
      <w:r w:rsidR="00773994">
        <w:t>,</w:t>
      </w:r>
      <w:r w:rsidR="00A20764">
        <w:t xml:space="preserve"> at</w:t>
      </w:r>
      <w:r w:rsidR="00773994">
        <w:t xml:space="preserve"> n.1 </w:t>
      </w:r>
      <w:r w:rsidRPr="007E179F" w:rsidR="00944561">
        <w:t>(filed June 16, 2022)</w:t>
      </w:r>
      <w:r w:rsidR="00773994">
        <w:t xml:space="preserve"> </w:t>
      </w:r>
      <w:r w:rsidRPr="007E179F" w:rsidR="00944561">
        <w:t xml:space="preserve">(EHC 6-16 </w:t>
      </w:r>
      <w:r w:rsidRPr="007E179F" w:rsidR="00944561">
        <w:rPr>
          <w:i/>
          <w:iCs/>
        </w:rPr>
        <w:t>Ex Parte</w:t>
      </w:r>
      <w:r w:rsidRPr="007E179F" w:rsidR="00944561">
        <w:t>).</w:t>
      </w:r>
    </w:p>
  </w:footnote>
  <w:footnote w:id="9">
    <w:p w:rsidR="003953E3" w:rsidRPr="007E179F" w:rsidP="00574A3D" w14:paraId="090A162D" w14:textId="77777777">
      <w:pPr>
        <w:pStyle w:val="FootnoteText"/>
        <w:spacing w:before="120"/>
      </w:pPr>
      <w:r w:rsidRPr="007E179F">
        <w:rPr>
          <w:rStyle w:val="FootnoteReference"/>
        </w:rPr>
        <w:footnoteRef/>
      </w:r>
      <w:r w:rsidRPr="007E179F">
        <w:t xml:space="preserve"> </w:t>
      </w:r>
      <w:r w:rsidRPr="007E179F" w:rsidR="002C54A6">
        <w:t xml:space="preserve">Petition at 1 </w:t>
      </w:r>
      <w:r w:rsidRPr="007E179F" w:rsidR="008F4D00">
        <w:t xml:space="preserve">&amp; </w:t>
      </w:r>
      <w:r w:rsidRPr="007E179F" w:rsidR="002C54A6">
        <w:t xml:space="preserve">n.3, 3. </w:t>
      </w:r>
    </w:p>
  </w:footnote>
  <w:footnote w:id="10">
    <w:p w:rsidR="00162E7C" w:rsidRPr="007E179F" w:rsidP="00574A3D" w14:paraId="63017657" w14:textId="77777777">
      <w:pPr>
        <w:pStyle w:val="FootnoteText"/>
        <w:spacing w:before="120"/>
      </w:pPr>
      <w:r w:rsidRPr="007E179F">
        <w:rPr>
          <w:rStyle w:val="FootnoteReference"/>
        </w:rPr>
        <w:footnoteRef/>
      </w:r>
      <w:r w:rsidRPr="007E179F">
        <w:t xml:space="preserve"> </w:t>
      </w:r>
      <w:r w:rsidRPr="00937EF0" w:rsidR="00485E2D">
        <w:rPr>
          <w:i/>
          <w:iCs/>
        </w:rPr>
        <w:t>Id</w:t>
      </w:r>
      <w:r w:rsidR="00485E2D">
        <w:t>.</w:t>
      </w:r>
      <w:r w:rsidRPr="007E179F" w:rsidR="00485E2D">
        <w:t xml:space="preserve"> </w:t>
      </w:r>
      <w:r w:rsidRPr="007E179F">
        <w:t>at 1-2.</w:t>
      </w:r>
    </w:p>
  </w:footnote>
  <w:footnote w:id="11">
    <w:p w:rsidR="00130C2F" w:rsidRPr="007E179F" w:rsidP="00574A3D" w14:paraId="4A25D813" w14:textId="77777777">
      <w:pPr>
        <w:pStyle w:val="FootnoteText"/>
        <w:spacing w:before="120"/>
      </w:pPr>
      <w:r w:rsidRPr="007E179F">
        <w:rPr>
          <w:rStyle w:val="FootnoteReference"/>
        </w:rPr>
        <w:footnoteRef/>
      </w:r>
      <w:r w:rsidRPr="007E179F">
        <w:t xml:space="preserve"> </w:t>
      </w:r>
      <w:r w:rsidRPr="007E179F">
        <w:rPr>
          <w:i/>
          <w:iCs/>
        </w:rPr>
        <w:t>Id</w:t>
      </w:r>
      <w:r w:rsidRPr="007E179F">
        <w:t xml:space="preserve">. at 2-3. </w:t>
      </w:r>
    </w:p>
  </w:footnote>
  <w:footnote w:id="12">
    <w:p w:rsidR="00130C2F" w:rsidRPr="007E179F" w:rsidP="00574A3D" w14:paraId="28DF1D08" w14:textId="77777777">
      <w:pPr>
        <w:pStyle w:val="FootnoteText"/>
        <w:spacing w:before="120"/>
      </w:pPr>
      <w:r w:rsidRPr="007E179F">
        <w:rPr>
          <w:rStyle w:val="FootnoteReference"/>
        </w:rPr>
        <w:footnoteRef/>
      </w:r>
      <w:r w:rsidRPr="007E179F">
        <w:t xml:space="preserve"> </w:t>
      </w:r>
      <w:r w:rsidRPr="007E179F">
        <w:rPr>
          <w:i/>
          <w:iCs/>
        </w:rPr>
        <w:t>Id</w:t>
      </w:r>
      <w:r w:rsidRPr="007E179F">
        <w:t>.</w:t>
      </w:r>
      <w:r w:rsidRPr="007E179F">
        <w:rPr>
          <w:i/>
          <w:iCs/>
        </w:rPr>
        <w:t xml:space="preserve"> </w:t>
      </w:r>
      <w:r w:rsidRPr="007E179F">
        <w:t xml:space="preserve">at 3-5. </w:t>
      </w:r>
    </w:p>
  </w:footnote>
  <w:footnote w:id="13">
    <w:p w:rsidR="00582865" w:rsidRPr="007E179F" w:rsidP="00574A3D" w14:paraId="1269845D" w14:textId="77777777">
      <w:pPr>
        <w:pStyle w:val="FootnoteText"/>
        <w:spacing w:before="120"/>
      </w:pPr>
      <w:r w:rsidRPr="007E179F">
        <w:rPr>
          <w:rStyle w:val="FootnoteReference"/>
        </w:rPr>
        <w:footnoteRef/>
      </w:r>
      <w:r w:rsidRPr="007E179F">
        <w:t xml:space="preserve"> </w:t>
      </w:r>
      <w:r w:rsidRPr="007E179F" w:rsidR="007E179F">
        <w:rPr>
          <w:i/>
          <w:iCs/>
        </w:rPr>
        <w:t>Id</w:t>
      </w:r>
      <w:r w:rsidRPr="007E179F" w:rsidR="007E179F">
        <w:t>.</w:t>
      </w:r>
      <w:r w:rsidRPr="007E179F" w:rsidR="007E179F">
        <w:rPr>
          <w:i/>
          <w:iCs/>
        </w:rPr>
        <w:t xml:space="preserve"> </w:t>
      </w:r>
      <w:r w:rsidRPr="007E179F">
        <w:t>at 5.</w:t>
      </w:r>
    </w:p>
  </w:footnote>
  <w:footnote w:id="14">
    <w:p w:rsidR="006F53AC" w:rsidRPr="007E179F" w:rsidP="006F53AC" w14:paraId="7507B00F" w14:textId="77777777">
      <w:pPr>
        <w:pStyle w:val="FootnoteText"/>
        <w:spacing w:before="120"/>
      </w:pPr>
      <w:r w:rsidRPr="007E179F">
        <w:rPr>
          <w:rStyle w:val="FootnoteReference"/>
        </w:rPr>
        <w:footnoteRef/>
      </w:r>
      <w:r w:rsidRPr="007E179F">
        <w:t xml:space="preserve"> </w:t>
      </w:r>
      <w:r w:rsidRPr="007E179F">
        <w:t>The term MTE refer</w:t>
      </w:r>
      <w:r>
        <w:t>s</w:t>
      </w:r>
      <w:r w:rsidRPr="007E179F">
        <w:t xml:space="preserve"> to </w:t>
      </w:r>
      <w:r>
        <w:t>“</w:t>
      </w:r>
      <w:r w:rsidRPr="007E179F">
        <w:t>commercial or residential premise</w:t>
      </w:r>
      <w:r>
        <w:t>s</w:t>
      </w:r>
      <w:r w:rsidRPr="007E179F">
        <w:t xml:space="preserve"> such as apartment buildings, condominium buildings, shopping malls, or cooperatives that are occupied by multiple entities.</w:t>
      </w:r>
      <w:r>
        <w:t>”</w:t>
      </w:r>
      <w:r w:rsidRPr="007E179F">
        <w:t xml:space="preserve">  </w:t>
      </w:r>
      <w:r w:rsidRPr="007E179F">
        <w:rPr>
          <w:i/>
          <w:iCs/>
        </w:rPr>
        <w:t>Improving Competitive Broadband Access to Multiple Tenant Environments</w:t>
      </w:r>
      <w:r w:rsidRPr="007E179F">
        <w:t>, GN Docket No. 17-142, Report and Order and Declaratory Ru</w:t>
      </w:r>
      <w:r w:rsidRPr="007E179F">
        <w:t xml:space="preserve">ling, 2022 WL 494081, *1, para. 1 &amp; n.1 (2022).  The term “encompasses everything within the scope of two other terms the Commission has used in the past—multiple dwelling unit and multiunit premises.”  </w:t>
      </w:r>
      <w:r w:rsidRPr="007E179F">
        <w:rPr>
          <w:i/>
          <w:iCs/>
        </w:rPr>
        <w:t>Id.</w:t>
      </w:r>
      <w:r w:rsidR="00773994">
        <w:rPr>
          <w:i/>
          <w:iCs/>
        </w:rPr>
        <w:t xml:space="preserve"> </w:t>
      </w:r>
    </w:p>
  </w:footnote>
  <w:footnote w:id="15">
    <w:p w:rsidR="006F53AC" w14:paraId="42FA2C34" w14:textId="77777777">
      <w:pPr>
        <w:pStyle w:val="FootnoteText"/>
      </w:pPr>
      <w:r>
        <w:rPr>
          <w:rStyle w:val="FootnoteReference"/>
        </w:rPr>
        <w:footnoteRef/>
      </w:r>
      <w:r>
        <w:t xml:space="preserve"> </w:t>
      </w:r>
      <w:r w:rsidRPr="007E179F">
        <w:t>Petition at 5, 7; 47 CFR §§ 76.2000, 64.2500(b</w:t>
      </w:r>
      <w:r w:rsidRPr="007E179F">
        <w:t>).</w:t>
      </w:r>
      <w:r>
        <w:t xml:space="preserve">  Section 76.2000</w:t>
      </w:r>
      <w:r w:rsidR="00AC5511">
        <w:t xml:space="preserve"> </w:t>
      </w:r>
      <w:r w:rsidR="00C7623F">
        <w:t>prohibits cable operators</w:t>
      </w:r>
      <w:r w:rsidR="000546E5">
        <w:t xml:space="preserve"> or other providers of MVPD service subject to 47 U.S.C.</w:t>
      </w:r>
      <w:r w:rsidR="00773994">
        <w:t xml:space="preserve"> </w:t>
      </w:r>
      <w:r w:rsidRPr="007E179F" w:rsidR="00773994">
        <w:t>§</w:t>
      </w:r>
      <w:r w:rsidR="000546E5">
        <w:t xml:space="preserve"> 548</w:t>
      </w:r>
      <w:r w:rsidR="00AC5511">
        <w:t xml:space="preserve"> </w:t>
      </w:r>
      <w:r>
        <w:t xml:space="preserve">from “enforce[ing] or execut[ing] any provision in a contract that grants to it the exclusive right to provide any video programming service (alone or in combination with other services) to a MDU.”  47 CFR </w:t>
      </w:r>
      <w:r w:rsidRPr="007E179F">
        <w:t xml:space="preserve">§ </w:t>
      </w:r>
      <w:r>
        <w:t xml:space="preserve">76.2000.  </w:t>
      </w:r>
      <w:r w:rsidR="0032173F">
        <w:t xml:space="preserve">In addition, the </w:t>
      </w:r>
      <w:r w:rsidR="00555DDA">
        <w:t>“</w:t>
      </w:r>
      <w:r w:rsidR="00C7623F">
        <w:t xml:space="preserve">prohibition on exclusivity clauses for the provision of video services applies to both any common carrier or its affiliate and also to [open video system] operators to the extent that these entities provide video programming to subscribers or consumers.”  </w:t>
      </w:r>
      <w:r w:rsidRPr="002248C6" w:rsidR="00AC50D6">
        <w:rPr>
          <w:i/>
          <w:iCs/>
        </w:rPr>
        <w:t>Exclusive Service Contracts for Provision of Video Services in Multiple Dwelling Units and Other Real Estate Developments</w:t>
      </w:r>
      <w:r w:rsidRPr="002248C6" w:rsidR="00AC50D6">
        <w:t>, MB 07-51, Report and Order and Further Notice of Proposed Rulemaking, 22 FCC Rcd 20235, 2026</w:t>
      </w:r>
      <w:r w:rsidR="00AC50D6">
        <w:t>0,</w:t>
      </w:r>
      <w:r w:rsidRPr="002248C6" w:rsidR="00AC50D6">
        <w:t xml:space="preserve"> para. </w:t>
      </w:r>
      <w:r w:rsidR="00AC50D6">
        <w:t>5</w:t>
      </w:r>
      <w:r w:rsidRPr="002248C6" w:rsidR="00AC50D6">
        <w:t>1 (2007)</w:t>
      </w:r>
      <w:r w:rsidR="0032173F">
        <w:t xml:space="preserve"> (</w:t>
      </w:r>
      <w:r w:rsidR="0032173F">
        <w:rPr>
          <w:i/>
          <w:iCs/>
        </w:rPr>
        <w:t>2007 Exclusivity Order</w:t>
      </w:r>
      <w:r w:rsidR="0032173F">
        <w:t>)</w:t>
      </w:r>
      <w:r w:rsidR="00AC50D6">
        <w:t xml:space="preserve">. </w:t>
      </w:r>
      <w:r w:rsidRPr="002248C6" w:rsidR="00AC50D6">
        <w:t xml:space="preserve"> </w:t>
      </w:r>
      <w:r w:rsidR="0032173F">
        <w:t>S</w:t>
      </w:r>
      <w:r>
        <w:t>ection 64.2500</w:t>
      </w:r>
      <w:r>
        <w:t>(b)</w:t>
      </w:r>
      <w:r w:rsidR="0032173F">
        <w:t xml:space="preserve"> </w:t>
      </w:r>
      <w:r w:rsidR="00AC50D6">
        <w:t>specifically</w:t>
      </w:r>
      <w:r>
        <w:t xml:space="preserve"> prohibits common carriers from “enter[ing] into any contract, written or oral, that would in any way restrict the right of any commercial multiunit premises owner, or any agent or representative thereof, to permit any other common carrier </w:t>
      </w:r>
      <w:r>
        <w:t xml:space="preserve">to access and serve commercial tenants on that premises.”  47 CFR </w:t>
      </w:r>
      <w:r w:rsidRPr="007E179F">
        <w:t>§</w:t>
      </w:r>
      <w:r>
        <w:t xml:space="preserve"> 64.2500.</w:t>
      </w:r>
    </w:p>
  </w:footnote>
  <w:footnote w:id="16">
    <w:p w:rsidR="000912BD" w:rsidRPr="007E179F" w:rsidP="00574A3D" w14:paraId="127EB15E" w14:textId="77777777">
      <w:pPr>
        <w:pStyle w:val="FootnoteText"/>
        <w:spacing w:before="120"/>
      </w:pPr>
      <w:r w:rsidRPr="007E179F">
        <w:rPr>
          <w:rStyle w:val="FootnoteReference"/>
        </w:rPr>
        <w:footnoteRef/>
      </w:r>
      <w:r w:rsidRPr="007E179F">
        <w:t xml:space="preserve"> </w:t>
      </w:r>
      <w:r w:rsidRPr="007E179F">
        <w:t xml:space="preserve">Petition at 8. </w:t>
      </w:r>
    </w:p>
  </w:footnote>
  <w:footnote w:id="17">
    <w:p w:rsidR="00512FCA" w:rsidRPr="007E179F" w:rsidP="00574A3D" w14:paraId="21671AE6" w14:textId="77777777">
      <w:pPr>
        <w:pStyle w:val="FootnoteText"/>
        <w:spacing w:before="120"/>
      </w:pPr>
      <w:r w:rsidRPr="007E179F">
        <w:rPr>
          <w:rStyle w:val="FootnoteReference"/>
        </w:rPr>
        <w:footnoteRef/>
      </w:r>
      <w:r w:rsidRPr="007E179F">
        <w:t xml:space="preserve"> </w:t>
      </w:r>
      <w:r w:rsidRPr="007E179F">
        <w:rPr>
          <w:i/>
          <w:iCs/>
        </w:rPr>
        <w:t xml:space="preserve">Id. </w:t>
      </w:r>
      <w:r w:rsidRPr="007E179F">
        <w:t>at 8</w:t>
      </w:r>
      <w:r w:rsidR="00206110">
        <w:t>.</w:t>
      </w:r>
    </w:p>
  </w:footnote>
  <w:footnote w:id="18">
    <w:p w:rsidR="00ED683C" w:rsidRPr="007E179F" w:rsidP="00574A3D" w14:paraId="0B7FA26E" w14:textId="77777777">
      <w:pPr>
        <w:pStyle w:val="FootnoteText"/>
        <w:spacing w:before="120"/>
      </w:pPr>
      <w:r w:rsidRPr="007E179F">
        <w:rPr>
          <w:rStyle w:val="FootnoteReference"/>
        </w:rPr>
        <w:footnoteRef/>
      </w:r>
      <w:r w:rsidRPr="007E179F">
        <w:t xml:space="preserve"> </w:t>
      </w:r>
      <w:r w:rsidR="00742A06">
        <w:rPr>
          <w:i/>
        </w:rPr>
        <w:t>Id.</w:t>
      </w:r>
      <w:r w:rsidRPr="007E179F" w:rsidR="00742A06">
        <w:rPr>
          <w:i/>
        </w:rPr>
        <w:t xml:space="preserve"> </w:t>
      </w:r>
      <w:r w:rsidRPr="007E179F" w:rsidR="00512FCA">
        <w:rPr>
          <w:iCs/>
        </w:rPr>
        <w:t xml:space="preserve">at 8-9.  </w:t>
      </w:r>
    </w:p>
  </w:footnote>
  <w:footnote w:id="19">
    <w:p w:rsidR="00512FCA" w:rsidRPr="007E179F" w:rsidP="00574A3D" w14:paraId="3A870444" w14:textId="77777777">
      <w:pPr>
        <w:pStyle w:val="FootnoteText"/>
        <w:spacing w:before="120"/>
      </w:pPr>
      <w:r w:rsidRPr="007E179F">
        <w:rPr>
          <w:rStyle w:val="FootnoteReference"/>
        </w:rPr>
        <w:footnoteRef/>
      </w:r>
      <w:r w:rsidRPr="007E179F">
        <w:t xml:space="preserve"> </w:t>
      </w:r>
      <w:r w:rsidRPr="007E179F" w:rsidR="00A0455E">
        <w:rPr>
          <w:i/>
          <w:iCs/>
        </w:rPr>
        <w:t xml:space="preserve">See </w:t>
      </w:r>
      <w:r w:rsidRPr="007E179F" w:rsidR="001D74C6">
        <w:rPr>
          <w:i/>
          <w:iCs/>
        </w:rPr>
        <w:t>Palms of Destin Club v. Communications Processing Systems, Inc.</w:t>
      </w:r>
      <w:r w:rsidRPr="007E179F" w:rsidR="001D74C6">
        <w:t>, 2021 WL 2787664, at *2-3 (N.D. Fla. 2021)</w:t>
      </w:r>
      <w:r w:rsidRPr="007E179F" w:rsidR="001D74C6">
        <w:rPr>
          <w:i/>
          <w:iCs/>
        </w:rPr>
        <w:t xml:space="preserve"> </w:t>
      </w:r>
      <w:r w:rsidRPr="007E179F" w:rsidR="001D74C6">
        <w:t>(</w:t>
      </w:r>
      <w:r w:rsidRPr="007E179F" w:rsidR="001D74C6">
        <w:rPr>
          <w:i/>
          <w:iCs/>
        </w:rPr>
        <w:t>Palms I</w:t>
      </w:r>
      <w:r w:rsidRPr="007E179F" w:rsidR="001D74C6">
        <w:t xml:space="preserve">) </w:t>
      </w:r>
      <w:r w:rsidRPr="007E179F" w:rsidR="00A0455E">
        <w:t xml:space="preserve">(detailing the litigation history between the Condo Association and CPS) </w:t>
      </w:r>
      <w:r w:rsidRPr="007E179F" w:rsidR="00C71965">
        <w:t>(attached</w:t>
      </w:r>
      <w:r w:rsidRPr="007E179F" w:rsidR="001D74C6">
        <w:t xml:space="preserve"> as Exhibit C to </w:t>
      </w:r>
      <w:r w:rsidRPr="007E179F" w:rsidR="00330932">
        <w:t xml:space="preserve">CPS 6-3 </w:t>
      </w:r>
      <w:r w:rsidRPr="007E179F" w:rsidR="00330932">
        <w:rPr>
          <w:i/>
          <w:iCs/>
        </w:rPr>
        <w:t>Ex Parte</w:t>
      </w:r>
      <w:r w:rsidR="00330932">
        <w:t>).</w:t>
      </w:r>
    </w:p>
  </w:footnote>
  <w:footnote w:id="20">
    <w:p w:rsidR="00512FCA" w:rsidRPr="007E179F" w:rsidP="00574A3D" w14:paraId="68BB8848" w14:textId="77777777">
      <w:pPr>
        <w:pStyle w:val="FootnoteText"/>
        <w:spacing w:before="120"/>
      </w:pPr>
      <w:r w:rsidRPr="007E179F">
        <w:rPr>
          <w:rStyle w:val="FootnoteReference"/>
        </w:rPr>
        <w:footnoteRef/>
      </w:r>
      <w:r w:rsidRPr="007E179F">
        <w:t xml:space="preserve"> </w:t>
      </w:r>
      <w:r w:rsidRPr="007E179F" w:rsidR="002D1E12">
        <w:rPr>
          <w:i/>
          <w:iCs/>
        </w:rPr>
        <w:t>Palms I</w:t>
      </w:r>
      <w:r w:rsidR="009239FF">
        <w:t>,</w:t>
      </w:r>
      <w:r w:rsidRPr="007E179F" w:rsidR="002D1E12">
        <w:t xml:space="preserve"> at *1.</w:t>
      </w:r>
    </w:p>
  </w:footnote>
  <w:footnote w:id="21">
    <w:p w:rsidR="00DD24A2" w:rsidRPr="007E179F" w:rsidP="00574A3D" w14:paraId="7D681B5A" w14:textId="77777777">
      <w:pPr>
        <w:pStyle w:val="FootnoteText"/>
        <w:spacing w:before="120"/>
      </w:pPr>
      <w:r w:rsidRPr="007E179F">
        <w:rPr>
          <w:rStyle w:val="FootnoteReference"/>
        </w:rPr>
        <w:footnoteRef/>
      </w:r>
      <w:r w:rsidRPr="007E179F">
        <w:t xml:space="preserve"> </w:t>
      </w:r>
      <w:r w:rsidRPr="007E179F" w:rsidR="002D1E12">
        <w:t>Complaint for Injunctive Relief and Damages</w:t>
      </w:r>
      <w:r w:rsidRPr="007E179F" w:rsidR="008F4D00">
        <w:t xml:space="preserve"> at 10-12</w:t>
      </w:r>
      <w:r w:rsidRPr="007E179F" w:rsidR="002D1E12">
        <w:t>,</w:t>
      </w:r>
      <w:r w:rsidRPr="007E179F" w:rsidR="002D1E12">
        <w:rPr>
          <w:i/>
          <w:iCs/>
        </w:rPr>
        <w:t xml:space="preserve"> Communications Processing Systems, Inc. v. Emerald Harbor Communications LLC</w:t>
      </w:r>
      <w:r w:rsidRPr="007E179F" w:rsidR="002D1E12">
        <w:t xml:space="preserve">, </w:t>
      </w:r>
      <w:r w:rsidRPr="007E179F" w:rsidR="00C72D04">
        <w:t xml:space="preserve">No. 22-CA-000760-F </w:t>
      </w:r>
      <w:r w:rsidRPr="007E179F" w:rsidR="002D1E12">
        <w:t>(</w:t>
      </w:r>
      <w:r w:rsidRPr="007E179F" w:rsidR="00C72D04">
        <w:t>Fla. Okaloosa County Ct.</w:t>
      </w:r>
      <w:r w:rsidRPr="007E179F" w:rsidR="00A0455E">
        <w:t xml:space="preserve"> </w:t>
      </w:r>
      <w:r w:rsidRPr="007E179F" w:rsidR="002D1E12">
        <w:t>Mar. 1</w:t>
      </w:r>
      <w:r w:rsidRPr="007E179F" w:rsidR="00A0455E">
        <w:t>4</w:t>
      </w:r>
      <w:r w:rsidRPr="007E179F" w:rsidR="002D1E12">
        <w:t>, 2022)</w:t>
      </w:r>
      <w:r w:rsidRPr="007E179F" w:rsidR="00A0455E">
        <w:t xml:space="preserve"> (attached as Exhibit A to Petition). </w:t>
      </w:r>
    </w:p>
  </w:footnote>
  <w:footnote w:id="22">
    <w:p w:rsidR="00524CD9" w:rsidRPr="007E179F" w:rsidP="00574A3D" w14:paraId="1DEE4CCD" w14:textId="77777777">
      <w:pPr>
        <w:pStyle w:val="FootnoteText"/>
        <w:spacing w:before="120"/>
      </w:pPr>
      <w:r w:rsidRPr="007E179F">
        <w:rPr>
          <w:rStyle w:val="FootnoteReference"/>
        </w:rPr>
        <w:footnoteRef/>
      </w:r>
      <w:r w:rsidRPr="007E179F">
        <w:t xml:space="preserve"> </w:t>
      </w:r>
      <w:r w:rsidRPr="007E179F" w:rsidR="00A0455E">
        <w:t xml:space="preserve">Agreement as to CPS Services and Charges (attached as Exhibit B to Petition). </w:t>
      </w:r>
    </w:p>
  </w:footnote>
  <w:footnote w:id="23">
    <w:p w:rsidR="00A44B20" w:rsidRPr="007E179F" w:rsidP="00574A3D" w14:paraId="5A0506C0" w14:textId="77777777">
      <w:pPr>
        <w:pStyle w:val="FootnoteText"/>
        <w:spacing w:before="120"/>
      </w:pPr>
      <w:r w:rsidRPr="007E179F">
        <w:rPr>
          <w:rStyle w:val="FootnoteReference"/>
        </w:rPr>
        <w:footnoteRef/>
      </w:r>
      <w:r w:rsidRPr="007E179F">
        <w:t xml:space="preserve"> </w:t>
      </w:r>
      <w:r w:rsidRPr="007E179F" w:rsidR="00A0455E">
        <w:rPr>
          <w:i/>
          <w:iCs/>
        </w:rPr>
        <w:t>Palms I</w:t>
      </w:r>
      <w:r w:rsidRPr="007E179F" w:rsidR="00F161B3">
        <w:t>,</w:t>
      </w:r>
      <w:r w:rsidRPr="007E179F" w:rsidR="00A0455E">
        <w:t xml:space="preserve"> at *1</w:t>
      </w:r>
      <w:r w:rsidRPr="007E179F" w:rsidR="00030670">
        <w:t>, *3</w:t>
      </w:r>
      <w:r w:rsidRPr="007E179F" w:rsidR="00A0455E">
        <w:t xml:space="preserve">; CPS 6-3 </w:t>
      </w:r>
      <w:r w:rsidRPr="007E179F" w:rsidR="00A0455E">
        <w:rPr>
          <w:i/>
          <w:iCs/>
        </w:rPr>
        <w:t>Ex Parte</w:t>
      </w:r>
      <w:r w:rsidRPr="007E179F" w:rsidR="00A0455E">
        <w:t xml:space="preserve"> at 2.  </w:t>
      </w:r>
    </w:p>
  </w:footnote>
  <w:footnote w:id="24">
    <w:p w:rsidR="00462921" w14:paraId="0DE0C906" w14:textId="77777777">
      <w:pPr>
        <w:pStyle w:val="FootnoteText"/>
      </w:pPr>
      <w:r>
        <w:rPr>
          <w:rStyle w:val="FootnoteReference"/>
        </w:rPr>
        <w:footnoteRef/>
      </w:r>
      <w:r>
        <w:t xml:space="preserve"> </w:t>
      </w:r>
      <w:r w:rsidRPr="009D29A3">
        <w:rPr>
          <w:i/>
          <w:iCs/>
        </w:rPr>
        <w:t>Palms I</w:t>
      </w:r>
      <w:r w:rsidRPr="009D29A3">
        <w:t xml:space="preserve">, at </w:t>
      </w:r>
      <w:r w:rsidRPr="009D29A3">
        <w:t>*3 (explaining that as part of the settlement, the parties executed several contemporaneous documents, including a Purchase Agreement and Addendum to the Service Agreement, which extended the CPS Service Agreement for 40 years from March 1, 2017).</w:t>
      </w:r>
    </w:p>
  </w:footnote>
  <w:footnote w:id="25">
    <w:p w:rsidR="005373D4" w14:paraId="038C936C" w14:textId="77777777">
      <w:pPr>
        <w:pStyle w:val="FootnoteText"/>
      </w:pPr>
      <w:r w:rsidRPr="009D29A3">
        <w:rPr>
          <w:rStyle w:val="FootnoteReference"/>
        </w:rPr>
        <w:footnoteRef/>
      </w:r>
      <w:r w:rsidRPr="009D29A3">
        <w:t xml:space="preserve"> </w:t>
      </w:r>
      <w:r w:rsidRPr="009D29A3">
        <w:rPr>
          <w:i/>
          <w:iCs/>
        </w:rPr>
        <w:t xml:space="preserve">Palms </w:t>
      </w:r>
      <w:r w:rsidRPr="009D29A3">
        <w:rPr>
          <w:i/>
          <w:iCs/>
        </w:rPr>
        <w:t>I</w:t>
      </w:r>
      <w:r w:rsidRPr="009D29A3">
        <w:t>, at *4-5</w:t>
      </w:r>
      <w:r w:rsidRPr="009D29A3" w:rsidR="00BD49B7">
        <w:t>.</w:t>
      </w:r>
    </w:p>
  </w:footnote>
  <w:footnote w:id="26">
    <w:p w:rsidR="00512FCA" w:rsidRPr="007E179F" w:rsidP="00574A3D" w14:paraId="4300381A" w14:textId="77777777">
      <w:pPr>
        <w:pStyle w:val="FootnoteText"/>
        <w:spacing w:before="120"/>
      </w:pPr>
      <w:r w:rsidRPr="007E179F">
        <w:rPr>
          <w:rStyle w:val="FootnoteReference"/>
        </w:rPr>
        <w:footnoteRef/>
      </w:r>
      <w:r w:rsidRPr="007E179F">
        <w:t xml:space="preserve"> </w:t>
      </w:r>
      <w:r w:rsidRPr="007E179F" w:rsidR="00360895">
        <w:rPr>
          <w:i/>
          <w:iCs/>
        </w:rPr>
        <w:t>Palms I</w:t>
      </w:r>
      <w:r w:rsidRPr="007E179F" w:rsidR="00F161B3">
        <w:t>,</w:t>
      </w:r>
      <w:r w:rsidRPr="007E179F" w:rsidR="00360895">
        <w:t xml:space="preserve"> at *4-6. </w:t>
      </w:r>
    </w:p>
  </w:footnote>
  <w:footnote w:id="27">
    <w:p w:rsidR="006E6CB1" w:rsidRPr="007E179F" w:rsidP="00574A3D" w14:paraId="7A751B2D" w14:textId="77777777">
      <w:pPr>
        <w:pStyle w:val="FootnoteText"/>
        <w:spacing w:before="120"/>
      </w:pPr>
      <w:r w:rsidRPr="007E179F">
        <w:rPr>
          <w:rStyle w:val="FootnoteReference"/>
        </w:rPr>
        <w:footnoteRef/>
      </w:r>
      <w:r w:rsidRPr="007E179F">
        <w:t xml:space="preserve"> </w:t>
      </w:r>
      <w:r w:rsidR="009239FF">
        <w:rPr>
          <w:i/>
          <w:iCs/>
        </w:rPr>
        <w:t>Id.</w:t>
      </w:r>
      <w:r w:rsidRPr="007E179F" w:rsidR="00360895">
        <w:t xml:space="preserve"> at *8-11.</w:t>
      </w:r>
    </w:p>
  </w:footnote>
  <w:footnote w:id="28">
    <w:p w:rsidR="00475949" w:rsidRPr="00475949" w14:paraId="79A09677" w14:textId="77777777">
      <w:pPr>
        <w:pStyle w:val="FootnoteText"/>
      </w:pPr>
      <w:r>
        <w:rPr>
          <w:rStyle w:val="FootnoteReference"/>
        </w:rPr>
        <w:footnoteRef/>
      </w:r>
      <w:r>
        <w:t xml:space="preserve"> </w:t>
      </w:r>
      <w:r w:rsidRPr="009D29A3">
        <w:rPr>
          <w:i/>
          <w:iCs/>
        </w:rPr>
        <w:t xml:space="preserve">Palms II </w:t>
      </w:r>
      <w:r w:rsidRPr="009D29A3">
        <w:t>at *6</w:t>
      </w:r>
      <w:r>
        <w:t>.</w:t>
      </w:r>
    </w:p>
  </w:footnote>
  <w:footnote w:id="29">
    <w:p w:rsidR="006E6CB1" w:rsidRPr="007E179F" w:rsidP="00574A3D" w14:paraId="20B93CA8" w14:textId="66956577">
      <w:pPr>
        <w:pStyle w:val="FootnoteText"/>
        <w:spacing w:before="120"/>
      </w:pPr>
      <w:r w:rsidRPr="007E179F">
        <w:rPr>
          <w:rStyle w:val="FootnoteReference"/>
        </w:rPr>
        <w:footnoteRef/>
      </w:r>
      <w:r w:rsidRPr="007E179F">
        <w:t xml:space="preserve"> </w:t>
      </w:r>
      <w:r w:rsidR="00946ECA">
        <w:rPr>
          <w:i/>
          <w:iCs/>
        </w:rPr>
        <w:t xml:space="preserve">Supra </w:t>
      </w:r>
      <w:r w:rsidR="00946ECA">
        <w:t>note</w:t>
      </w:r>
      <w:r w:rsidR="00950A67">
        <w:t xml:space="preserve"> 5.</w:t>
      </w:r>
    </w:p>
  </w:footnote>
  <w:footnote w:id="30">
    <w:p w:rsidR="006E6CB1" w:rsidRPr="007E179F" w:rsidP="00574A3D" w14:paraId="7D58C262" w14:textId="77777777">
      <w:pPr>
        <w:pStyle w:val="FootnoteText"/>
        <w:spacing w:before="120"/>
      </w:pPr>
      <w:r w:rsidRPr="007E179F">
        <w:rPr>
          <w:rStyle w:val="FootnoteReference"/>
        </w:rPr>
        <w:footnoteRef/>
      </w:r>
      <w:r w:rsidRPr="007E179F">
        <w:t xml:space="preserve"> </w:t>
      </w:r>
      <w:r w:rsidRPr="007E179F" w:rsidR="008F2F3B">
        <w:t xml:space="preserve">Motion for Injunctive Relief, </w:t>
      </w:r>
      <w:r w:rsidRPr="007E179F" w:rsidR="008F2F3B">
        <w:rPr>
          <w:i/>
          <w:iCs/>
        </w:rPr>
        <w:t>Communications Processing Systems, Inc. v. Emerald Harbor Communications, LLC</w:t>
      </w:r>
      <w:r w:rsidRPr="007E179F" w:rsidR="008F2F3B">
        <w:t xml:space="preserve">, No. 22-CA-000760-F at 10-12 (Fla. Okaloosa County Ct. Mar. 18, 2022) (attached as </w:t>
      </w:r>
      <w:r w:rsidRPr="007E179F" w:rsidR="00C72D04">
        <w:t xml:space="preserve">Exhibit A of </w:t>
      </w:r>
      <w:r w:rsidRPr="007E179F" w:rsidR="008F2F3B">
        <w:t xml:space="preserve">CPS 6-3 </w:t>
      </w:r>
      <w:r w:rsidRPr="009239FF" w:rsidR="008F2F3B">
        <w:rPr>
          <w:i/>
          <w:iCs/>
        </w:rPr>
        <w:t>Ex Parte</w:t>
      </w:r>
      <w:r w:rsidRPr="007E179F" w:rsidR="008F2F3B">
        <w:t>)</w:t>
      </w:r>
      <w:r w:rsidR="009239FF">
        <w:t xml:space="preserve">.  </w:t>
      </w:r>
      <w:r w:rsidR="009239FF">
        <w:rPr>
          <w:i/>
          <w:iCs/>
        </w:rPr>
        <w:t>See</w:t>
      </w:r>
      <w:r w:rsidRPr="007E179F" w:rsidR="008F2F3B">
        <w:t xml:space="preserve"> </w:t>
      </w:r>
      <w:r w:rsidRPr="007E179F" w:rsidR="00157306">
        <w:t>Letter from Mark J. Palchick, Counsel for EHC, to Marlene Dortch, Secretary, FCC, GN Docket No. 17-142</w:t>
      </w:r>
      <w:r w:rsidR="00157306">
        <w:t xml:space="preserve">, at </w:t>
      </w:r>
      <w:r w:rsidR="00D0021B">
        <w:t>3</w:t>
      </w:r>
      <w:r w:rsidRPr="007E179F" w:rsidR="00157306">
        <w:t xml:space="preserve"> (filed Aug. 31, 2022) (EHC 8-31 </w:t>
      </w:r>
      <w:r w:rsidRPr="007E179F" w:rsidR="00157306">
        <w:rPr>
          <w:i/>
          <w:iCs/>
        </w:rPr>
        <w:t>Ex Parte</w:t>
      </w:r>
      <w:r w:rsidRPr="007E179F" w:rsidR="00157306">
        <w:t>).</w:t>
      </w:r>
      <w:r w:rsidRPr="007E179F" w:rsidR="008F2F3B">
        <w:t xml:space="preserve"> </w:t>
      </w:r>
    </w:p>
  </w:footnote>
  <w:footnote w:id="31">
    <w:p w:rsidR="00C72D04" w:rsidRPr="007E179F" w:rsidP="00574A3D" w14:paraId="51262322" w14:textId="77777777">
      <w:pPr>
        <w:pStyle w:val="FootnoteText"/>
        <w:spacing w:before="120"/>
      </w:pPr>
      <w:r w:rsidRPr="007E179F">
        <w:rPr>
          <w:rStyle w:val="FootnoteReference"/>
        </w:rPr>
        <w:footnoteRef/>
      </w:r>
      <w:r w:rsidRPr="007E179F">
        <w:t xml:space="preserve"> </w:t>
      </w:r>
      <w:r w:rsidRPr="007E179F" w:rsidR="00E4219A">
        <w:t>Complaint for Injunctive Relief and Damages,</w:t>
      </w:r>
      <w:r w:rsidRPr="007E179F" w:rsidR="00E4219A">
        <w:rPr>
          <w:i/>
          <w:iCs/>
        </w:rPr>
        <w:t xml:space="preserve"> Communications Processing Systems, Inc. v. Emerald Harbor Communications LLC</w:t>
      </w:r>
      <w:r w:rsidRPr="007E179F" w:rsidR="00E4219A">
        <w:t>, No. 22-CA-000760-F (Fla. Okaloosa County Ct. Mar. 14, 2022)</w:t>
      </w:r>
      <w:r w:rsidRPr="007E179F" w:rsidR="00CA0BD6">
        <w:t xml:space="preserve"> (attached as Exhibit A to Petition).</w:t>
      </w:r>
      <w:r w:rsidR="00B3658B">
        <w:t xml:space="preserve">  </w:t>
      </w:r>
    </w:p>
  </w:footnote>
  <w:footnote w:id="32">
    <w:p w:rsidR="006E6CB1" w:rsidRPr="007E179F" w:rsidP="00574A3D" w14:paraId="3F1EC12B" w14:textId="77777777">
      <w:pPr>
        <w:pStyle w:val="FootnoteText"/>
        <w:spacing w:before="120"/>
      </w:pPr>
      <w:r w:rsidRPr="007E179F">
        <w:rPr>
          <w:rStyle w:val="FootnoteReference"/>
        </w:rPr>
        <w:footnoteRef/>
      </w:r>
      <w:r w:rsidRPr="007E179F">
        <w:t xml:space="preserve"> </w:t>
      </w:r>
      <w:r w:rsidR="00157306">
        <w:rPr>
          <w:i/>
          <w:iCs/>
        </w:rPr>
        <w:t xml:space="preserve">See </w:t>
      </w:r>
      <w:r w:rsidRPr="007E179F" w:rsidR="00157306">
        <w:t xml:space="preserve">EHC 8-31 </w:t>
      </w:r>
      <w:r w:rsidRPr="007E179F" w:rsidR="00157306">
        <w:rPr>
          <w:i/>
          <w:iCs/>
        </w:rPr>
        <w:t>Ex Parte</w:t>
      </w:r>
      <w:r w:rsidRPr="007E179F" w:rsidR="00157306">
        <w:t xml:space="preserve"> at </w:t>
      </w:r>
      <w:r w:rsidR="00D0021B">
        <w:t>3</w:t>
      </w:r>
      <w:r w:rsidR="00157306">
        <w:t>.</w:t>
      </w:r>
      <w:r w:rsidRPr="007E179F" w:rsidR="00157306">
        <w:t xml:space="preserve">  </w:t>
      </w:r>
    </w:p>
  </w:footnote>
  <w:footnote w:id="33">
    <w:p w:rsidR="006F4DF3" w14:paraId="19E56517" w14:textId="77777777">
      <w:pPr>
        <w:pStyle w:val="FootnoteText"/>
      </w:pPr>
      <w:r>
        <w:rPr>
          <w:rStyle w:val="FootnoteReference"/>
        </w:rPr>
        <w:footnoteRef/>
      </w:r>
      <w:r>
        <w:t xml:space="preserve"> </w:t>
      </w:r>
      <w:r>
        <w:t>Cox and CPS</w:t>
      </w:r>
      <w:r w:rsidRPr="007E179F">
        <w:t xml:space="preserve"> </w:t>
      </w:r>
      <w:r>
        <w:t xml:space="preserve">both suggest that we dismiss the Petition.  </w:t>
      </w:r>
      <w:r w:rsidRPr="007E179F">
        <w:t xml:space="preserve">Cox </w:t>
      </w:r>
      <w:r w:rsidRPr="007E179F">
        <w:rPr>
          <w:i/>
          <w:iCs/>
        </w:rPr>
        <w:t>Ex Parte</w:t>
      </w:r>
      <w:r w:rsidRPr="007E179F">
        <w:t xml:space="preserve">; CPS 6-3 </w:t>
      </w:r>
      <w:r w:rsidRPr="007E179F">
        <w:rPr>
          <w:i/>
          <w:iCs/>
        </w:rPr>
        <w:t>Ex Parte</w:t>
      </w:r>
      <w:r w:rsidRPr="007E179F">
        <w:t xml:space="preserve">; Letter from James H. Barker, Counsel for CPS, to Marlene Dortch, Secretary, FCC, GN Docket No. 17-142 (filed June 27, 2022) (CPS 6-27 </w:t>
      </w:r>
      <w:r w:rsidRPr="007E179F">
        <w:rPr>
          <w:i/>
          <w:iCs/>
        </w:rPr>
        <w:t>Ex Parte</w:t>
      </w:r>
      <w:r w:rsidRPr="007E179F">
        <w:t>); Let</w:t>
      </w:r>
      <w:r w:rsidRPr="007E179F">
        <w:t xml:space="preserve">ter from James H. Barker, Counsel for CPS, to Marlene Dortch, Secretary, FCC, GN Docket No. 17-142 (filed Sept. 19, 2022) (CPS 9-19 </w:t>
      </w:r>
      <w:r w:rsidRPr="007E179F">
        <w:rPr>
          <w:i/>
          <w:iCs/>
        </w:rPr>
        <w:t>Ex Parte</w:t>
      </w:r>
      <w:r w:rsidRPr="007E179F">
        <w:t>).</w:t>
      </w:r>
      <w:r>
        <w:t xml:space="preserve">  CPS primarily contends that Emerald Harbor’s attempt to relitigate the claims of the Condo Association should be barred on equity grounds as </w:t>
      </w:r>
      <w:r w:rsidRPr="00ED1A05">
        <w:rPr>
          <w:i/>
          <w:iCs/>
        </w:rPr>
        <w:t>res judicata</w:t>
      </w:r>
      <w:r>
        <w:t>.</w:t>
      </w:r>
      <w:r w:rsidRPr="006F4DF3">
        <w:t xml:space="preserve"> </w:t>
      </w:r>
      <w:r w:rsidR="00E66D2F">
        <w:t xml:space="preserve"> </w:t>
      </w:r>
      <w:r w:rsidRPr="007E179F">
        <w:t xml:space="preserve">CPS 6-3 </w:t>
      </w:r>
      <w:r w:rsidRPr="007E179F">
        <w:rPr>
          <w:i/>
          <w:iCs/>
        </w:rPr>
        <w:t>Ex Parte</w:t>
      </w:r>
      <w:r w:rsidRPr="007E179F">
        <w:t xml:space="preserve"> at 4-5; CPS 6-27 </w:t>
      </w:r>
      <w:r w:rsidRPr="007E179F">
        <w:rPr>
          <w:i/>
          <w:iCs/>
        </w:rPr>
        <w:t>Ex Parte</w:t>
      </w:r>
      <w:r w:rsidRPr="007E179F">
        <w:t xml:space="preserve"> at 1-3.</w:t>
      </w:r>
      <w:r>
        <w:t xml:space="preserve">  EHC</w:t>
      </w:r>
      <w:r w:rsidR="00944561">
        <w:t>’s</w:t>
      </w:r>
      <w:r>
        <w:t xml:space="preserve"> respon</w:t>
      </w:r>
      <w:r w:rsidR="00944561">
        <w:t>s</w:t>
      </w:r>
      <w:r>
        <w:t>e</w:t>
      </w:r>
      <w:r w:rsidR="00944561">
        <w:t xml:space="preserve">s assert that </w:t>
      </w:r>
      <w:r w:rsidRPr="00ED1A05" w:rsidR="00944561">
        <w:rPr>
          <w:i/>
          <w:iCs/>
        </w:rPr>
        <w:t>res judicata</w:t>
      </w:r>
      <w:r w:rsidR="00944561">
        <w:t xml:space="preserve"> does not apply in this case and that CPS is subject to the Commission’s exclusivity rules as a </w:t>
      </w:r>
      <w:r w:rsidRPr="009A4BDD" w:rsidR="00944561">
        <w:t>private cable operator</w:t>
      </w:r>
      <w:r w:rsidR="00944561">
        <w:t xml:space="preserve"> or a common carrier.</w:t>
      </w:r>
      <w:r w:rsidRPr="00944561" w:rsidR="00944561">
        <w:t xml:space="preserve"> </w:t>
      </w:r>
      <w:r w:rsidR="00E66D2F">
        <w:t xml:space="preserve"> </w:t>
      </w:r>
      <w:r w:rsidRPr="007E179F" w:rsidR="00944561">
        <w:t xml:space="preserve">EHC 6-16 </w:t>
      </w:r>
      <w:r w:rsidRPr="007E179F" w:rsidR="00944561">
        <w:rPr>
          <w:i/>
          <w:iCs/>
        </w:rPr>
        <w:t>Ex Parte</w:t>
      </w:r>
      <w:r w:rsidRPr="007E179F" w:rsidR="00944561">
        <w:t xml:space="preserve">; Letter from Mark J. Palchick, Counsel for EHC, to Marlene Dortch, Secretary, FCC, GN Docket No. 17-142 (filed July 8, 2022) (EHC 7-8 </w:t>
      </w:r>
      <w:r w:rsidRPr="007E179F" w:rsidR="00944561">
        <w:rPr>
          <w:i/>
          <w:iCs/>
        </w:rPr>
        <w:t>Ex Parte</w:t>
      </w:r>
      <w:r w:rsidRPr="007E179F" w:rsidR="00944561">
        <w:t xml:space="preserve">); EHC 8-31 </w:t>
      </w:r>
      <w:r w:rsidRPr="007E179F" w:rsidR="00944561">
        <w:rPr>
          <w:i/>
          <w:iCs/>
        </w:rPr>
        <w:t>Ex Parte</w:t>
      </w:r>
      <w:r w:rsidRPr="007E179F" w:rsidR="00944561">
        <w:t>.</w:t>
      </w:r>
      <w:r w:rsidR="00F06E62">
        <w:t xml:space="preserve">  I</w:t>
      </w:r>
      <w:r w:rsidRPr="00F06E62" w:rsidR="00F06E62">
        <w:t xml:space="preserve">n light of our exercise of discretion under section 1.2 to </w:t>
      </w:r>
      <w:r w:rsidR="00856299">
        <w:t xml:space="preserve">not </w:t>
      </w:r>
      <w:r w:rsidRPr="00F06E62" w:rsidR="00F06E62">
        <w:t>issue a declaratory ruling in this matter</w:t>
      </w:r>
      <w:r w:rsidR="00F06E62">
        <w:t xml:space="preserve">, which we discuss below, </w:t>
      </w:r>
      <w:r w:rsidRPr="00F06E62" w:rsidR="00F06E62">
        <w:t xml:space="preserve">the Bureau need not resolve the issue of </w:t>
      </w:r>
      <w:r w:rsidRPr="00367CA8" w:rsidR="00F06E62">
        <w:rPr>
          <w:i/>
          <w:iCs/>
        </w:rPr>
        <w:t>res judicata</w:t>
      </w:r>
      <w:r w:rsidR="00F06E62">
        <w:t xml:space="preserve">.  </w:t>
      </w:r>
    </w:p>
  </w:footnote>
  <w:footnote w:id="34">
    <w:p w:rsidR="00044E8E" w:rsidRPr="007E179F" w:rsidP="00574A3D" w14:paraId="1063EE5D" w14:textId="77777777">
      <w:pPr>
        <w:pStyle w:val="FootnoteText"/>
        <w:spacing w:before="120"/>
      </w:pPr>
      <w:r w:rsidRPr="007E179F">
        <w:rPr>
          <w:rStyle w:val="FootnoteReference"/>
        </w:rPr>
        <w:footnoteRef/>
      </w:r>
      <w:r w:rsidRPr="007E179F">
        <w:t xml:space="preserve"> </w:t>
      </w:r>
      <w:r w:rsidRPr="0076190C" w:rsidR="009B7725">
        <w:rPr>
          <w:i/>
          <w:iCs/>
        </w:rPr>
        <w:t>Yakima Valley Cablevision, Inc. v. FCC</w:t>
      </w:r>
      <w:r w:rsidRPr="0076190C" w:rsidR="009B7725">
        <w:t>, 794 F.2d 737, 747 (D.C. Cir. 1986)</w:t>
      </w:r>
      <w:r w:rsidRPr="0076190C" w:rsidR="0091591D">
        <w:t>.</w:t>
      </w:r>
    </w:p>
  </w:footnote>
  <w:footnote w:id="35">
    <w:p w:rsidR="008D6E12" w:rsidRPr="007E179F" w:rsidP="00574A3D" w14:paraId="64BC1271" w14:textId="77777777">
      <w:pPr>
        <w:pStyle w:val="FootnoteText"/>
        <w:spacing w:before="120"/>
      </w:pPr>
      <w:r w:rsidRPr="007E179F">
        <w:rPr>
          <w:rStyle w:val="FootnoteReference"/>
        </w:rPr>
        <w:footnoteRef/>
      </w:r>
      <w:r w:rsidRPr="007E179F">
        <w:t xml:space="preserve"> </w:t>
      </w:r>
      <w:r w:rsidRPr="007E179F">
        <w:t>47 CFR § 1.2.</w:t>
      </w:r>
      <w:r w:rsidRPr="007E179F" w:rsidR="00044E8E">
        <w:t xml:space="preserve"> </w:t>
      </w:r>
    </w:p>
  </w:footnote>
  <w:footnote w:id="36">
    <w:p w:rsidR="0076190C" w:rsidRPr="007E179F" w:rsidP="0076190C" w14:paraId="1E1C5CC8" w14:textId="77777777">
      <w:pPr>
        <w:pStyle w:val="FootnoteText"/>
        <w:spacing w:before="120"/>
      </w:pPr>
      <w:r w:rsidRPr="007E179F">
        <w:rPr>
          <w:rStyle w:val="FootnoteReference"/>
        </w:rPr>
        <w:footnoteRef/>
      </w:r>
      <w:r w:rsidRPr="007E179F">
        <w:t xml:space="preserve"> </w:t>
      </w:r>
      <w:r w:rsidRPr="007E179F">
        <w:rPr>
          <w:i/>
          <w:iCs/>
        </w:rPr>
        <w:t>Yale Broadcasting Co. v. FCC</w:t>
      </w:r>
      <w:r w:rsidRPr="007E179F">
        <w:t xml:space="preserve">, 478 F.2d 594, 602 (D.C. Cir. 1973), </w:t>
      </w:r>
      <w:r w:rsidRPr="007E179F">
        <w:rPr>
          <w:i/>
          <w:iCs/>
        </w:rPr>
        <w:t>cert. denied</w:t>
      </w:r>
      <w:r w:rsidRPr="007E179F">
        <w:t xml:space="preserve">, 414 U.S. 914 (1973) (“It is clearly within the discretion of the Commission to issue a Declaratory Order on a licensee’s proposal.  It is equally clear, however, that the Commission is not </w:t>
      </w:r>
      <w:r w:rsidRPr="007E179F">
        <w:rPr>
          <w:i/>
          <w:iCs/>
        </w:rPr>
        <w:t xml:space="preserve">required </w:t>
      </w:r>
      <w:r w:rsidRPr="007E179F">
        <w:t>to issue such a declaratory statement merely because a b</w:t>
      </w:r>
      <w:r w:rsidRPr="007E179F">
        <w:t xml:space="preserve">roadcaster asks for one.”); </w:t>
      </w:r>
      <w:r w:rsidRPr="00C4437C">
        <w:rPr>
          <w:i/>
          <w:iCs/>
        </w:rPr>
        <w:t>Telephone Number Portability</w:t>
      </w:r>
      <w:r w:rsidRPr="007E179F">
        <w:t>, CC Docket No. 95-116, 19 FCC Rcd 6800, 6810, para. 20 (2004).</w:t>
      </w:r>
    </w:p>
  </w:footnote>
  <w:footnote w:id="37">
    <w:p w:rsidR="003F4748" w:rsidRPr="003F4748" w14:paraId="4120356E" w14:textId="77777777">
      <w:pPr>
        <w:pStyle w:val="FootnoteText"/>
      </w:pPr>
      <w:r>
        <w:rPr>
          <w:rStyle w:val="FootnoteReference"/>
        </w:rPr>
        <w:footnoteRef/>
      </w:r>
      <w:r>
        <w:t xml:space="preserve"> </w:t>
      </w:r>
      <w:r w:rsidR="00C4437C">
        <w:rPr>
          <w:i/>
          <w:iCs/>
        </w:rPr>
        <w:t>Telephone Number Portability</w:t>
      </w:r>
      <w:r w:rsidR="00C4437C">
        <w:t xml:space="preserve">, CC Docket No. 95-116, Order, 19 FCC Rcd 6800, 6810, para. 20 (2004); </w:t>
      </w:r>
      <w:r w:rsidRPr="00C4437C" w:rsidR="00B6061A">
        <w:rPr>
          <w:i/>
          <w:iCs/>
        </w:rPr>
        <w:t>Junk Fax Prevention Act of 2005</w:t>
      </w:r>
      <w:r w:rsidR="00B6061A">
        <w:t>, 27 FCC Rcd 4912, 4912, para. 1 (CGB 2012).</w:t>
      </w:r>
      <w:r w:rsidRPr="007E179F">
        <w:t xml:space="preserve"> </w:t>
      </w:r>
      <w:r>
        <w:t xml:space="preserve"> </w:t>
      </w:r>
    </w:p>
  </w:footnote>
  <w:footnote w:id="38">
    <w:p w:rsidR="001D236A" w14:paraId="0BAE8F76" w14:textId="77777777">
      <w:pPr>
        <w:pStyle w:val="FootnoteText"/>
      </w:pPr>
      <w:r>
        <w:rPr>
          <w:rStyle w:val="FootnoteReference"/>
        </w:rPr>
        <w:footnoteRef/>
      </w:r>
      <w:r>
        <w:t xml:space="preserve"> </w:t>
      </w:r>
      <w:r w:rsidRPr="009D29A3">
        <w:t>We note that CPS argues that</w:t>
      </w:r>
      <w:r w:rsidRPr="009D29A3" w:rsidR="00383848">
        <w:t xml:space="preserve"> in filing the Petition,</w:t>
      </w:r>
      <w:r w:rsidRPr="009D29A3">
        <w:t xml:space="preserve"> Emerald Harbor</w:t>
      </w:r>
      <w:r w:rsidRPr="009D29A3" w:rsidR="00383848">
        <w:t xml:space="preserve"> is attempting to help</w:t>
      </w:r>
      <w:r w:rsidRPr="009D29A3">
        <w:t xml:space="preserve"> the Condo Association avoid the effects of the federal court judgments.</w:t>
      </w:r>
      <w:r w:rsidRPr="009D29A3" w:rsidR="00383848">
        <w:t xml:space="preserve">  CPS 6-3 </w:t>
      </w:r>
      <w:r w:rsidRPr="009D29A3" w:rsidR="00383848">
        <w:rPr>
          <w:i/>
          <w:iCs/>
        </w:rPr>
        <w:t>Ex Parte</w:t>
      </w:r>
      <w:r w:rsidRPr="009D29A3" w:rsidR="00383848">
        <w:t xml:space="preserve"> at 4-5 (maintaining that “within days of the [Condo Association] notifying CPS that it was purporting to unilaterally terminate the Service Agreement, the [Condo Association] sent letters to all Palms Resort unit owners advising them that [Emerald Harbor] was a new chosen alternative provider of cable and other telecommunications services, and further advised unit owners that the [Condo Association] had entered into a ‘bulk agreement’ with [Emerald Harbor] to provide TV and Internet services for all of the Palms resort” and that these actions amount to the Condo Association and Emerald Harbor “contract[ing] to do </w:t>
      </w:r>
      <w:r w:rsidRPr="009D29A3" w:rsidR="00383848">
        <w:rPr>
          <w:i/>
          <w:iCs/>
        </w:rPr>
        <w:t xml:space="preserve">precisely </w:t>
      </w:r>
      <w:r w:rsidRPr="009D29A3" w:rsidR="00383848">
        <w:t xml:space="preserve">what the </w:t>
      </w:r>
      <w:r w:rsidR="00B951AB">
        <w:t>[Condo Association]</w:t>
      </w:r>
      <w:r w:rsidRPr="009D29A3" w:rsidR="00383848">
        <w:t xml:space="preserve"> had been told by the federal courts it could not do: disregard the Service Agreement’s provisions governing CPS’s rights”).  Emerald Harbor denies CPS’s “false and [unfounded]” allegation that Emerald Harbor “approached the [Condo Association] and offered to help it evade the Settlement Agreement</w:t>
      </w:r>
      <w:r w:rsidRPr="009D29A3" w:rsidR="003A1D80">
        <w:t>,</w:t>
      </w:r>
      <w:r w:rsidRPr="009D29A3" w:rsidR="00383848">
        <w:t xml:space="preserve">” instead maintaining that it is only “seek[ing] to defend its own economic rights to provide service to residents of the Palms[.]”  EHC 6-16 </w:t>
      </w:r>
      <w:r w:rsidRPr="009D29A3" w:rsidR="00383848">
        <w:rPr>
          <w:i/>
          <w:iCs/>
        </w:rPr>
        <w:t xml:space="preserve">Ex Parte </w:t>
      </w:r>
      <w:r w:rsidRPr="009D29A3" w:rsidR="00383848">
        <w:t>at 1 &amp; n.2 (quoting,</w:t>
      </w:r>
      <w:r w:rsidRPr="009D29A3" w:rsidR="00383848">
        <w:rPr>
          <w:i/>
          <w:iCs/>
        </w:rPr>
        <w:t xml:space="preserve"> </w:t>
      </w:r>
      <w:r w:rsidRPr="009D29A3" w:rsidR="00383848">
        <w:t>in part,</w:t>
      </w:r>
      <w:r w:rsidRPr="009D29A3" w:rsidR="00383848">
        <w:rPr>
          <w:i/>
          <w:iCs/>
        </w:rPr>
        <w:t xml:space="preserve"> </w:t>
      </w:r>
      <w:r w:rsidRPr="009D29A3" w:rsidR="00383848">
        <w:t xml:space="preserve">CPS 6-3 </w:t>
      </w:r>
      <w:r w:rsidRPr="009D29A3" w:rsidR="00383848">
        <w:rPr>
          <w:i/>
          <w:iCs/>
        </w:rPr>
        <w:t xml:space="preserve">Ex Parte </w:t>
      </w:r>
      <w:r w:rsidRPr="009D29A3" w:rsidR="00383848">
        <w:t xml:space="preserve">at 3); EHC 7-8 </w:t>
      </w:r>
      <w:r w:rsidRPr="009D29A3" w:rsidR="00383848">
        <w:rPr>
          <w:i/>
          <w:iCs/>
        </w:rPr>
        <w:t xml:space="preserve">Ex Parte </w:t>
      </w:r>
      <w:r w:rsidRPr="009D29A3" w:rsidR="00383848">
        <w:t>at 2.</w:t>
      </w:r>
      <w:r w:rsidRPr="009D29A3" w:rsidR="00CD2724">
        <w:t xml:space="preserve">  Because we</w:t>
      </w:r>
      <w:r w:rsidRPr="009D29A3" w:rsidR="00DA7953">
        <w:t xml:space="preserve"> exercise our broad discretion and</w:t>
      </w:r>
      <w:r w:rsidRPr="009D29A3" w:rsidR="00CD2724">
        <w:t xml:space="preserve"> decline to issue a declaratory ruling in this matter, we need not and do not decide the issue of whether Emerald Harbor is acting as a proxy </w:t>
      </w:r>
      <w:r w:rsidRPr="009D29A3" w:rsidR="00CD2724">
        <w:rPr>
          <w:color w:val="000000"/>
          <w:szCs w:val="22"/>
          <w:shd w:val="clear" w:color="auto" w:fill="FFFFFF"/>
        </w:rPr>
        <w:t>for the Condo Association in filing this Petition with the Commission.</w:t>
      </w:r>
      <w:r w:rsidR="00CD2724">
        <w:t xml:space="preserve">  </w:t>
      </w:r>
      <w:r w:rsidR="00383848">
        <w:t xml:space="preserve"> </w:t>
      </w:r>
    </w:p>
  </w:footnote>
  <w:footnote w:id="39">
    <w:p w:rsidR="004E5F5A" w:rsidRPr="007E179F" w:rsidP="00574A3D" w14:paraId="42C254D2" w14:textId="77777777">
      <w:pPr>
        <w:pStyle w:val="FootnoteText"/>
        <w:spacing w:before="120"/>
      </w:pPr>
      <w:r w:rsidRPr="007E179F">
        <w:rPr>
          <w:rStyle w:val="FootnoteReference"/>
        </w:rPr>
        <w:footnoteRef/>
      </w:r>
      <w:r w:rsidRPr="007E179F">
        <w:t xml:space="preserve"> </w:t>
      </w:r>
      <w:r w:rsidRPr="007E179F" w:rsidR="00EF1BEA">
        <w:t xml:space="preserve">EHC 6-16 </w:t>
      </w:r>
      <w:r w:rsidRPr="007E179F" w:rsidR="00EF1BEA">
        <w:rPr>
          <w:i/>
          <w:iCs/>
        </w:rPr>
        <w:t>Ex Parte</w:t>
      </w:r>
      <w:r w:rsidRPr="007E179F" w:rsidR="00EF1BEA">
        <w:t xml:space="preserve"> </w:t>
      </w:r>
      <w:r w:rsidRPr="007E179F">
        <w:t>at 5.</w:t>
      </w:r>
    </w:p>
  </w:footnote>
  <w:footnote w:id="40">
    <w:p w:rsidR="00910070" w:rsidRPr="007E179F" w:rsidP="00574A3D" w14:paraId="343CC38C" w14:textId="77777777">
      <w:pPr>
        <w:pStyle w:val="FootnoteText"/>
        <w:spacing w:before="120"/>
      </w:pPr>
      <w:r w:rsidRPr="007E179F">
        <w:rPr>
          <w:rStyle w:val="FootnoteReference"/>
        </w:rPr>
        <w:footnoteRef/>
      </w:r>
      <w:r w:rsidRPr="007E179F">
        <w:t xml:space="preserve"> </w:t>
      </w:r>
      <w:r w:rsidRPr="007E179F" w:rsidR="001E1D60">
        <w:rPr>
          <w:i/>
          <w:iCs/>
        </w:rPr>
        <w:t>Id.</w:t>
      </w:r>
      <w:r w:rsidR="001E1D60">
        <w:rPr>
          <w:i/>
          <w:iCs/>
        </w:rPr>
        <w:t xml:space="preserve"> </w:t>
      </w:r>
      <w:r w:rsidRPr="007E179F">
        <w:t>at 3</w:t>
      </w:r>
      <w:r w:rsidRPr="007E179F" w:rsidR="00997848">
        <w:t xml:space="preserve"> (</w:t>
      </w:r>
      <w:r w:rsidRPr="007E179F">
        <w:t>“M</w:t>
      </w:r>
      <w:r w:rsidRPr="007E179F">
        <w:t xml:space="preserve">isreading of the FCC’s rules and regulations by the district court is precisely why District Courts afford the FCC primary jurisdiction on matters interpreting its rules.  The Commission should place the Petition on public notice and act expeditiously, if </w:t>
      </w:r>
      <w:r w:rsidRPr="007E179F">
        <w:t>for no other reason than to correct the unfounded holding to the District Court Decision.</w:t>
      </w:r>
      <w:r w:rsidRPr="007E179F" w:rsidR="00997848">
        <w:t>”).</w:t>
      </w:r>
      <w:r w:rsidRPr="007E179F">
        <w:t xml:space="preserve"> </w:t>
      </w:r>
    </w:p>
  </w:footnote>
  <w:footnote w:id="41">
    <w:p w:rsidR="002F0FE3" w:rsidRPr="007E179F" w:rsidP="00574A3D" w14:paraId="1A26A1BC" w14:textId="77777777">
      <w:pPr>
        <w:pStyle w:val="FootnoteText"/>
        <w:spacing w:before="120"/>
      </w:pPr>
      <w:r w:rsidRPr="007E179F">
        <w:rPr>
          <w:rStyle w:val="FootnoteReference"/>
        </w:rPr>
        <w:footnoteRef/>
      </w:r>
      <w:r w:rsidRPr="007E179F">
        <w:t xml:space="preserve"> </w:t>
      </w:r>
      <w:r w:rsidRPr="007E179F" w:rsidR="001E1D60">
        <w:rPr>
          <w:i/>
          <w:iCs/>
        </w:rPr>
        <w:t>Id.</w:t>
      </w:r>
      <w:r w:rsidR="001E1D60">
        <w:rPr>
          <w:i/>
          <w:iCs/>
        </w:rPr>
        <w:t xml:space="preserve"> </w:t>
      </w:r>
      <w:r w:rsidRPr="007E179F">
        <w:t xml:space="preserve">at 3. </w:t>
      </w:r>
    </w:p>
  </w:footnote>
  <w:footnote w:id="42">
    <w:p w:rsidR="00997848" w:rsidRPr="007E179F" w:rsidP="00574A3D" w14:paraId="571774E6" w14:textId="77777777">
      <w:pPr>
        <w:pStyle w:val="FootnoteText"/>
        <w:spacing w:before="120"/>
      </w:pPr>
      <w:r w:rsidRPr="007E179F">
        <w:rPr>
          <w:rStyle w:val="FootnoteReference"/>
        </w:rPr>
        <w:footnoteRef/>
      </w:r>
      <w:r w:rsidRPr="007E179F">
        <w:t xml:space="preserve"> </w:t>
      </w:r>
      <w:r w:rsidRPr="007E179F" w:rsidR="001E1D60">
        <w:rPr>
          <w:i/>
          <w:iCs/>
        </w:rPr>
        <w:t>Id.</w:t>
      </w:r>
      <w:r w:rsidR="001E1D60">
        <w:rPr>
          <w:i/>
          <w:iCs/>
        </w:rPr>
        <w:t xml:space="preserve"> </w:t>
      </w:r>
      <w:r w:rsidRPr="007E179F">
        <w:t>at 4.</w:t>
      </w:r>
    </w:p>
  </w:footnote>
  <w:footnote w:id="43">
    <w:p w:rsidR="00294995" w:rsidRPr="00107D04" w14:paraId="39EC7FF6" w14:textId="77777777">
      <w:pPr>
        <w:pStyle w:val="FootnoteText"/>
      </w:pPr>
      <w:r>
        <w:rPr>
          <w:rStyle w:val="FootnoteReference"/>
        </w:rPr>
        <w:footnoteRef/>
      </w:r>
      <w:r>
        <w:t xml:space="preserve"> </w:t>
      </w:r>
      <w:r w:rsidRPr="00107D04">
        <w:rPr>
          <w:i/>
          <w:iCs/>
        </w:rPr>
        <w:t>Palms I</w:t>
      </w:r>
      <w:r w:rsidRPr="00107D04">
        <w:t>,</w:t>
      </w:r>
      <w:r w:rsidRPr="00107D04">
        <w:rPr>
          <w:i/>
          <w:iCs/>
        </w:rPr>
        <w:t xml:space="preserve"> </w:t>
      </w:r>
      <w:r w:rsidRPr="00107D04">
        <w:t>at *3-5.</w:t>
      </w:r>
    </w:p>
  </w:footnote>
  <w:footnote w:id="44">
    <w:p w:rsidR="0045614A" w:rsidRPr="002248C6" w:rsidP="00574A3D" w14:paraId="40F5C321" w14:textId="77777777">
      <w:pPr>
        <w:pStyle w:val="FootnoteText"/>
        <w:spacing w:before="120"/>
      </w:pPr>
      <w:r w:rsidRPr="002248C6">
        <w:rPr>
          <w:rStyle w:val="FootnoteReference"/>
        </w:rPr>
        <w:footnoteRef/>
      </w:r>
      <w:r w:rsidRPr="002248C6">
        <w:t xml:space="preserve"> </w:t>
      </w:r>
      <w:r w:rsidRPr="002248C6" w:rsidR="00864B41">
        <w:t xml:space="preserve">EHC 6-16 </w:t>
      </w:r>
      <w:r w:rsidRPr="002248C6" w:rsidR="00864B41">
        <w:rPr>
          <w:i/>
          <w:iCs/>
        </w:rPr>
        <w:t xml:space="preserve">Ex Parte </w:t>
      </w:r>
      <w:r w:rsidRPr="002248C6" w:rsidR="00864B41">
        <w:t xml:space="preserve">at 2. </w:t>
      </w:r>
    </w:p>
  </w:footnote>
  <w:footnote w:id="45">
    <w:p w:rsidR="0045614A" w:rsidRPr="002248C6" w:rsidP="00574A3D" w14:paraId="2F4B9CC2" w14:textId="77777777">
      <w:pPr>
        <w:pStyle w:val="FootnoteText"/>
        <w:spacing w:before="120"/>
      </w:pPr>
      <w:r w:rsidRPr="002248C6">
        <w:rPr>
          <w:rStyle w:val="FootnoteReference"/>
        </w:rPr>
        <w:footnoteRef/>
      </w:r>
      <w:r w:rsidRPr="002248C6">
        <w:t xml:space="preserve"> </w:t>
      </w:r>
      <w:r w:rsidRPr="002248C6" w:rsidR="00AC50D6">
        <w:rPr>
          <w:i/>
          <w:iCs/>
        </w:rPr>
        <w:t>2007 Exclusivity Order</w:t>
      </w:r>
      <w:r w:rsidRPr="002248C6" w:rsidR="004C772B">
        <w:t xml:space="preserve">, 22 FCC Rcd </w:t>
      </w:r>
      <w:r w:rsidR="00AC50D6">
        <w:t xml:space="preserve">at </w:t>
      </w:r>
      <w:r w:rsidRPr="002248C6" w:rsidR="004C772B">
        <w:t>20264-65</w:t>
      </w:r>
      <w:r w:rsidR="00AD2BB7">
        <w:t>,</w:t>
      </w:r>
      <w:r w:rsidRPr="002248C6" w:rsidR="004C772B">
        <w:t xml:space="preserve"> paras. 61-66.</w:t>
      </w:r>
    </w:p>
  </w:footnote>
  <w:footnote w:id="46">
    <w:p w:rsidR="004A0B0E" w:rsidRPr="002248C6" w:rsidP="00574A3D" w14:paraId="02C99B2B" w14:textId="77777777">
      <w:pPr>
        <w:pStyle w:val="FootnoteText"/>
        <w:spacing w:before="120"/>
      </w:pPr>
      <w:r w:rsidRPr="002248C6">
        <w:rPr>
          <w:rStyle w:val="FootnoteReference"/>
        </w:rPr>
        <w:footnoteRef/>
      </w:r>
      <w:r w:rsidRPr="002248C6">
        <w:t xml:space="preserve"> </w:t>
      </w:r>
      <w:r w:rsidRPr="002248C6" w:rsidR="000233EE">
        <w:t xml:space="preserve">EHC 6-16 </w:t>
      </w:r>
      <w:r w:rsidRPr="002248C6">
        <w:rPr>
          <w:i/>
          <w:iCs/>
        </w:rPr>
        <w:t xml:space="preserve">Ex </w:t>
      </w:r>
      <w:r w:rsidRPr="002248C6" w:rsidR="000233EE">
        <w:rPr>
          <w:i/>
          <w:iCs/>
        </w:rPr>
        <w:t>P</w:t>
      </w:r>
      <w:r w:rsidRPr="002248C6">
        <w:rPr>
          <w:i/>
          <w:iCs/>
        </w:rPr>
        <w:t>arte</w:t>
      </w:r>
      <w:r w:rsidRPr="002248C6">
        <w:t xml:space="preserve"> at 2.</w:t>
      </w:r>
    </w:p>
  </w:footnote>
  <w:footnote w:id="47">
    <w:p w:rsidR="004A0B0E" w:rsidRPr="002248C6" w:rsidP="00574A3D" w14:paraId="0B526830" w14:textId="77777777">
      <w:pPr>
        <w:pStyle w:val="FootnoteText"/>
        <w:spacing w:before="120"/>
      </w:pPr>
      <w:r w:rsidRPr="002248C6">
        <w:rPr>
          <w:rStyle w:val="FootnoteReference"/>
        </w:rPr>
        <w:footnoteRef/>
      </w:r>
      <w:r w:rsidRPr="002248C6">
        <w:t xml:space="preserve"> </w:t>
      </w:r>
      <w:r w:rsidRPr="002248C6" w:rsidR="001E1D60">
        <w:rPr>
          <w:i/>
          <w:iCs/>
        </w:rPr>
        <w:t>Id.</w:t>
      </w:r>
    </w:p>
  </w:footnote>
  <w:footnote w:id="48">
    <w:p w:rsidR="0087452C" w:rsidRPr="002248C6" w:rsidP="00574A3D" w14:paraId="7373A951" w14:textId="77777777">
      <w:pPr>
        <w:pStyle w:val="FootnoteText"/>
        <w:spacing w:before="120"/>
      </w:pPr>
      <w:r w:rsidRPr="002248C6">
        <w:rPr>
          <w:rStyle w:val="FootnoteReference"/>
        </w:rPr>
        <w:footnoteRef/>
      </w:r>
      <w:r w:rsidRPr="002248C6">
        <w:t xml:space="preserve"> </w:t>
      </w:r>
      <w:r w:rsidRPr="002248C6" w:rsidR="00680D55">
        <w:rPr>
          <w:i/>
          <w:iCs/>
        </w:rPr>
        <w:t>2007 Exclusivity Order</w:t>
      </w:r>
      <w:r w:rsidRPr="002248C6" w:rsidR="00680D55">
        <w:t xml:space="preserve">, 22 FCC Rcd at 20251, para. 30.  </w:t>
      </w:r>
      <w:r w:rsidRPr="002248C6" w:rsidR="002D32A7">
        <w:t>In addition, the Further Notice explicitly states that section 76.2000 does not apply to private cable operators.</w:t>
      </w:r>
      <w:r w:rsidRPr="002248C6" w:rsidR="00680D55">
        <w:t xml:space="preserve">  </w:t>
      </w:r>
      <w:r w:rsidRPr="002248C6" w:rsidR="00680D55">
        <w:rPr>
          <w:i/>
          <w:iCs/>
        </w:rPr>
        <w:t xml:space="preserve">Id. </w:t>
      </w:r>
      <w:r w:rsidRPr="002248C6" w:rsidR="00680D55">
        <w:t xml:space="preserve">at 20264, para. 61. </w:t>
      </w:r>
    </w:p>
  </w:footnote>
  <w:footnote w:id="49">
    <w:p w:rsidR="002D32A7" w:rsidRPr="002248C6" w:rsidP="00574A3D" w14:paraId="37337BE2" w14:textId="77777777">
      <w:pPr>
        <w:pStyle w:val="FootnoteText"/>
        <w:spacing w:before="120"/>
      </w:pPr>
      <w:r w:rsidRPr="002248C6">
        <w:rPr>
          <w:rStyle w:val="FootnoteReference"/>
        </w:rPr>
        <w:footnoteRef/>
      </w:r>
      <w:r w:rsidRPr="002248C6">
        <w:t xml:space="preserve"> </w:t>
      </w:r>
      <w:r w:rsidRPr="002248C6" w:rsidR="008C1534">
        <w:t xml:space="preserve">EHC </w:t>
      </w:r>
      <w:r w:rsidRPr="002248C6">
        <w:t xml:space="preserve">6-16 </w:t>
      </w:r>
      <w:r w:rsidRPr="002248C6" w:rsidR="008C1534">
        <w:rPr>
          <w:i/>
          <w:iCs/>
        </w:rPr>
        <w:t>Ex Parte</w:t>
      </w:r>
      <w:r w:rsidRPr="002248C6">
        <w:t xml:space="preserve"> at 2.  </w:t>
      </w:r>
    </w:p>
  </w:footnote>
  <w:footnote w:id="50">
    <w:p w:rsidR="0045614A" w:rsidRPr="002248C6" w:rsidP="00574A3D" w14:paraId="4D245435" w14:textId="77777777">
      <w:pPr>
        <w:pStyle w:val="FootnoteText"/>
        <w:spacing w:before="120"/>
      </w:pPr>
      <w:r w:rsidRPr="002248C6">
        <w:rPr>
          <w:rStyle w:val="FootnoteReference"/>
        </w:rPr>
        <w:footnoteRef/>
      </w:r>
      <w:r w:rsidRPr="002248C6">
        <w:t xml:space="preserve"> </w:t>
      </w:r>
      <w:r w:rsidRPr="002248C6" w:rsidR="001E1D60">
        <w:rPr>
          <w:i/>
          <w:iCs/>
        </w:rPr>
        <w:t>Id.</w:t>
      </w:r>
      <w:r w:rsidRPr="002248C6" w:rsidR="001E1D60">
        <w:t xml:space="preserve"> </w:t>
      </w:r>
      <w:r w:rsidRPr="002248C6" w:rsidR="0016706E">
        <w:t xml:space="preserve">(“While Section 76.2000 does not presently apply to private cable operators, the Commission has confirmed that it has the authority to do so . . . .”). </w:t>
      </w:r>
    </w:p>
  </w:footnote>
  <w:footnote w:id="51">
    <w:p w:rsidR="004C772B" w:rsidRPr="002248C6" w14:paraId="05BF5D8F" w14:textId="77777777">
      <w:pPr>
        <w:pStyle w:val="FootnoteText"/>
      </w:pPr>
      <w:r w:rsidRPr="00D01701">
        <w:rPr>
          <w:rStyle w:val="FootnoteReference"/>
        </w:rPr>
        <w:footnoteRef/>
      </w:r>
      <w:r w:rsidRPr="00D01701">
        <w:t xml:space="preserve"> </w:t>
      </w:r>
      <w:r w:rsidR="002609BE">
        <w:rPr>
          <w:i/>
          <w:iCs/>
        </w:rPr>
        <w:t xml:space="preserve">See </w:t>
      </w:r>
      <w:r w:rsidR="00C3043A">
        <w:rPr>
          <w:i/>
          <w:iCs/>
        </w:rPr>
        <w:t>e.g.</w:t>
      </w:r>
      <w:r w:rsidR="00C3043A">
        <w:t xml:space="preserve">, </w:t>
      </w:r>
      <w:r w:rsidR="00C3043A">
        <w:rPr>
          <w:i/>
          <w:iCs/>
        </w:rPr>
        <w:t>Request of Cellular Telephone Company for a Declaratory Ruling</w:t>
      </w:r>
      <w:r w:rsidR="00C3043A">
        <w:t>, 3 FCC Rcd 6274, 6275,</w:t>
      </w:r>
      <w:r w:rsidR="00C3043A">
        <w:rPr>
          <w:i/>
          <w:iCs/>
        </w:rPr>
        <w:t xml:space="preserve"> </w:t>
      </w:r>
      <w:r w:rsidR="00C3043A">
        <w:t>para. 9 (1988) (explaining that the proper vehicle for seeking rule changes is through a petition for rulemaking rather than a declaratory ruling);</w:t>
      </w:r>
      <w:r w:rsidR="00C3043A">
        <w:rPr>
          <w:i/>
          <w:iCs/>
        </w:rPr>
        <w:t xml:space="preserve"> </w:t>
      </w:r>
      <w:r w:rsidRPr="00D01701" w:rsidR="00B55954">
        <w:rPr>
          <w:i/>
          <w:iCs/>
        </w:rPr>
        <w:t>Comnet Wireless, LLC Petition for Declaratory Ruling</w:t>
      </w:r>
      <w:r w:rsidRPr="00D01701" w:rsidR="00B55954">
        <w:t>, Order, 27 FCC Rcd 4324, 4325, para. 3 (</w:t>
      </w:r>
      <w:r w:rsidR="00B55954">
        <w:t xml:space="preserve">WTB </w:t>
      </w:r>
      <w:r w:rsidRPr="00D01701" w:rsidR="00B55954">
        <w:t>2012)</w:t>
      </w:r>
      <w:r w:rsidR="00B55954">
        <w:t xml:space="preserve">; </w:t>
      </w:r>
      <w:r w:rsidR="002609BE">
        <w:rPr>
          <w:i/>
          <w:iCs/>
        </w:rPr>
        <w:t>Bellsouth’s Petition for Declaratory Ruling</w:t>
      </w:r>
      <w:r w:rsidR="002609BE">
        <w:t>, 6 FCC Rcd 3336, 3343, para. 28 (</w:t>
      </w:r>
      <w:r w:rsidR="00C3043A">
        <w:t xml:space="preserve">CCB </w:t>
      </w:r>
      <w:r w:rsidR="002609BE">
        <w:t>1991)</w:t>
      </w:r>
      <w:r w:rsidR="002609BE">
        <w:rPr>
          <w:i/>
          <w:iCs/>
        </w:rPr>
        <w:t xml:space="preserve"> </w:t>
      </w:r>
      <w:r w:rsidR="002609BE">
        <w:t xml:space="preserve">(“Rulemaking serves as the regulatory process by which changes of broad applicability in Commission policy or regulations may be adopted.”). </w:t>
      </w:r>
    </w:p>
  </w:footnote>
  <w:footnote w:id="52">
    <w:p w:rsidR="0045614A" w:rsidRPr="007E179F" w:rsidP="00574A3D" w14:paraId="1974E46F" w14:textId="77777777">
      <w:pPr>
        <w:pStyle w:val="FootnoteText"/>
        <w:spacing w:before="120"/>
      </w:pPr>
      <w:r w:rsidRPr="002248C6">
        <w:rPr>
          <w:rStyle w:val="FootnoteReference"/>
        </w:rPr>
        <w:footnoteRef/>
      </w:r>
      <w:r w:rsidRPr="002248C6">
        <w:t xml:space="preserve"> </w:t>
      </w:r>
      <w:r w:rsidRPr="002248C6" w:rsidR="0016706E">
        <w:t>47 U.S.C. § 548; 47 CFR §§ 76.2000, 64.2500.</w:t>
      </w:r>
      <w:r w:rsidRPr="002248C6" w:rsidR="00AF1EAA">
        <w:t xml:space="preserve">  </w:t>
      </w:r>
      <w:r w:rsidRPr="002248C6" w:rsidR="00B6061A">
        <w:t>W</w:t>
      </w:r>
      <w:r w:rsidRPr="002248C6" w:rsidR="00AF1EAA">
        <w:t>e decline to consider whether CPS is subject to the requirements of section 76.804 of our inside wiring rules, as the issue is not ripe for consideration</w:t>
      </w:r>
      <w:r w:rsidRPr="002248C6" w:rsidR="00B6061A">
        <w:t xml:space="preserve">.  The Petition makes evident that </w:t>
      </w:r>
      <w:r w:rsidRPr="0021571B" w:rsidR="00B6061A">
        <w:t>no controversy has yet occurred</w:t>
      </w:r>
      <w:r w:rsidRPr="002248C6" w:rsidR="00B6061A">
        <w:t xml:space="preserve">, which, as we have said above, </w:t>
      </w:r>
      <w:r w:rsidRPr="0041266B" w:rsidR="00B6061A">
        <w:t>is a condition precedent to us considering a petition for declaratory ruling</w:t>
      </w:r>
      <w:r w:rsidRPr="002248C6" w:rsidR="00B6061A">
        <w:t>.</w:t>
      </w:r>
      <w:r w:rsidRPr="002248C6" w:rsidR="00215B86">
        <w:t xml:space="preserve">  Petition at 8-9</w:t>
      </w:r>
      <w:r w:rsidR="0041266B">
        <w:t xml:space="preserve"> (requesting that CPS be directed to comply with </w:t>
      </w:r>
      <w:r w:rsidR="00F451D4">
        <w:t>s</w:t>
      </w:r>
      <w:r w:rsidR="0041266B">
        <w:t>ection 76.804 of the rules “if CPS … loses the legally enforceable right to provide video services to The Palms”)</w:t>
      </w:r>
      <w:r w:rsidRPr="002248C6" w:rsidR="00215B86">
        <w:t>.</w:t>
      </w:r>
      <w:r w:rsidR="00F451D4">
        <w:t xml:space="preserve">  Crucially, Emerald Harbor has not alleged that CPS has in fact violated section 76.804</w:t>
      </w:r>
      <w:r w:rsidR="00F819E5">
        <w:t xml:space="preserve"> because Emerald Harbor is not alleging that CPS has lost its</w:t>
      </w:r>
      <w:r w:rsidR="005462AC">
        <w:t xml:space="preserve"> </w:t>
      </w:r>
      <w:r w:rsidR="00F819E5">
        <w:t>right to provide service to The Palms.</w:t>
      </w:r>
      <w:r w:rsidR="00F451D4">
        <w:t xml:space="preserve">  </w:t>
      </w:r>
    </w:p>
  </w:footnote>
  <w:footnote w:id="53">
    <w:p w:rsidR="00010322" w:rsidRPr="007E179F" w:rsidP="00574A3D" w14:paraId="346C339E" w14:textId="77777777">
      <w:pPr>
        <w:pStyle w:val="FootnoteText"/>
        <w:spacing w:before="120"/>
      </w:pPr>
      <w:r w:rsidRPr="007E179F">
        <w:rPr>
          <w:rStyle w:val="FootnoteReference"/>
        </w:rPr>
        <w:footnoteRef/>
      </w:r>
      <w:r w:rsidRPr="007E179F">
        <w:t xml:space="preserve"> </w:t>
      </w:r>
      <w:r w:rsidRPr="007E179F">
        <w:t>47 CFR §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28D" w14:paraId="7C3197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7DB7" w14:paraId="3809D2E3" w14:textId="77777777">
    <w:pPr>
      <w:pStyle w:val="Header"/>
    </w:pPr>
    <w:r>
      <w:tab/>
    </w:r>
    <w:r>
      <w:t>Federal Communications Commission</w:t>
    </w:r>
    <w:r>
      <w:tab/>
    </w:r>
    <w:r w:rsidR="00537DB7">
      <w:t xml:space="preserve">DA </w:t>
    </w:r>
    <w:r w:rsidR="005D628D">
      <w:t>23-115</w:t>
    </w:r>
  </w:p>
  <w:p w:rsidR="00D25FB5" w14:paraId="6BEC2D5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mc:Fallback>
      </mc:AlternateContent>
    </w:r>
  </w:p>
  <w:p w:rsidR="00D25FB5" w14:paraId="5E93A15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7DB7" w14:paraId="206AE3B0" w14:textId="77777777">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mc:Fallback>
      </mc:AlternateContent>
    </w:r>
    <w:r>
      <w:tab/>
    </w:r>
    <w:r>
      <w:t>Federal Communications Commission</w:t>
    </w:r>
    <w:r>
      <w:tab/>
    </w:r>
    <w:r w:rsidR="00537DB7">
      <w:t xml:space="preserve">DA </w:t>
    </w:r>
    <w:r w:rsidR="005D628D">
      <w:t>23-115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1602DD"/>
    <w:multiLevelType w:val="hybridMultilevel"/>
    <w:tmpl w:val="F4F85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DB26C4"/>
    <w:multiLevelType w:val="hybridMultilevel"/>
    <w:tmpl w:val="CEB23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A021F4"/>
    <w:multiLevelType w:val="hybridMultilevel"/>
    <w:tmpl w:val="D5E66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4A84F4E"/>
    <w:multiLevelType w:val="hybridMultilevel"/>
    <w:tmpl w:val="EC10C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1FC31A5"/>
    <w:multiLevelType w:val="hybridMultilevel"/>
    <w:tmpl w:val="B48C0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8"/>
    <w:lvlOverride w:ilvl="0">
      <w:startOverride w:val="1"/>
    </w:lvlOverride>
  </w:num>
  <w:num w:numId="8">
    <w:abstractNumId w:val="10"/>
  </w:num>
  <w:num w:numId="9">
    <w:abstractNumId w:val="7"/>
  </w:num>
  <w:num w:numId="10">
    <w:abstractNumId w:val="2"/>
  </w:num>
  <w:num w:numId="11">
    <w:abstractNumId w:val="9"/>
  </w:num>
  <w:num w:numId="12">
    <w:abstractNumId w:val="1"/>
  </w:num>
  <w:num w:numId="13">
    <w:abstractNumId w:val="8"/>
  </w:num>
  <w:num w:numId="14">
    <w:abstractNumId w:val="8"/>
  </w:num>
  <w:num w:numId="15">
    <w:abstractNumId w:val="8"/>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0C"/>
    <w:rsid w:val="00004467"/>
    <w:rsid w:val="0000471C"/>
    <w:rsid w:val="00006164"/>
    <w:rsid w:val="00006A6D"/>
    <w:rsid w:val="00010322"/>
    <w:rsid w:val="00011E9A"/>
    <w:rsid w:val="00012F1E"/>
    <w:rsid w:val="000212D8"/>
    <w:rsid w:val="000233EE"/>
    <w:rsid w:val="0002433B"/>
    <w:rsid w:val="00024551"/>
    <w:rsid w:val="000255BA"/>
    <w:rsid w:val="00030670"/>
    <w:rsid w:val="00031C7F"/>
    <w:rsid w:val="00032364"/>
    <w:rsid w:val="00036039"/>
    <w:rsid w:val="000360FC"/>
    <w:rsid w:val="00037F90"/>
    <w:rsid w:val="00044E8E"/>
    <w:rsid w:val="00045406"/>
    <w:rsid w:val="00047500"/>
    <w:rsid w:val="000521A4"/>
    <w:rsid w:val="0005264A"/>
    <w:rsid w:val="00054229"/>
    <w:rsid w:val="000546E5"/>
    <w:rsid w:val="000549F2"/>
    <w:rsid w:val="00054BB5"/>
    <w:rsid w:val="00055861"/>
    <w:rsid w:val="000568AF"/>
    <w:rsid w:val="00057866"/>
    <w:rsid w:val="000608A5"/>
    <w:rsid w:val="0006252C"/>
    <w:rsid w:val="00063751"/>
    <w:rsid w:val="00063912"/>
    <w:rsid w:val="000640E7"/>
    <w:rsid w:val="000644F1"/>
    <w:rsid w:val="00065E08"/>
    <w:rsid w:val="00066B5E"/>
    <w:rsid w:val="000670C9"/>
    <w:rsid w:val="00070386"/>
    <w:rsid w:val="00071BA7"/>
    <w:rsid w:val="000721CB"/>
    <w:rsid w:val="00075EB3"/>
    <w:rsid w:val="00080866"/>
    <w:rsid w:val="00085B7A"/>
    <w:rsid w:val="0008629A"/>
    <w:rsid w:val="00087214"/>
    <w:rsid w:val="000875BF"/>
    <w:rsid w:val="0008770A"/>
    <w:rsid w:val="00087A06"/>
    <w:rsid w:val="000912BD"/>
    <w:rsid w:val="00094C5D"/>
    <w:rsid w:val="000966E9"/>
    <w:rsid w:val="00096A45"/>
    <w:rsid w:val="00096D8C"/>
    <w:rsid w:val="000A0E7A"/>
    <w:rsid w:val="000A236F"/>
    <w:rsid w:val="000A2D53"/>
    <w:rsid w:val="000A6C77"/>
    <w:rsid w:val="000B0B02"/>
    <w:rsid w:val="000B12F6"/>
    <w:rsid w:val="000B19F1"/>
    <w:rsid w:val="000B1C07"/>
    <w:rsid w:val="000B4407"/>
    <w:rsid w:val="000C0B65"/>
    <w:rsid w:val="000C1664"/>
    <w:rsid w:val="000C1C78"/>
    <w:rsid w:val="000D1254"/>
    <w:rsid w:val="000E024F"/>
    <w:rsid w:val="000E05FE"/>
    <w:rsid w:val="000E08B4"/>
    <w:rsid w:val="000E0F0D"/>
    <w:rsid w:val="000E3A2D"/>
    <w:rsid w:val="000E3D42"/>
    <w:rsid w:val="000E4D12"/>
    <w:rsid w:val="000F2BF9"/>
    <w:rsid w:val="000F40A3"/>
    <w:rsid w:val="000F660A"/>
    <w:rsid w:val="00101A5F"/>
    <w:rsid w:val="001025C2"/>
    <w:rsid w:val="001043C0"/>
    <w:rsid w:val="00107D04"/>
    <w:rsid w:val="0011029A"/>
    <w:rsid w:val="00111CD1"/>
    <w:rsid w:val="0011290A"/>
    <w:rsid w:val="001135D1"/>
    <w:rsid w:val="001140B6"/>
    <w:rsid w:val="00115173"/>
    <w:rsid w:val="00116589"/>
    <w:rsid w:val="0012143F"/>
    <w:rsid w:val="00122BD5"/>
    <w:rsid w:val="00124163"/>
    <w:rsid w:val="0013054B"/>
    <w:rsid w:val="00130C2F"/>
    <w:rsid w:val="00133F79"/>
    <w:rsid w:val="00135E7E"/>
    <w:rsid w:val="00141DCA"/>
    <w:rsid w:val="00143C4F"/>
    <w:rsid w:val="00144B12"/>
    <w:rsid w:val="00145311"/>
    <w:rsid w:val="001467A6"/>
    <w:rsid w:val="00147BEB"/>
    <w:rsid w:val="001512CC"/>
    <w:rsid w:val="00151C89"/>
    <w:rsid w:val="00151D64"/>
    <w:rsid w:val="00151FD4"/>
    <w:rsid w:val="00154BA8"/>
    <w:rsid w:val="00157306"/>
    <w:rsid w:val="001574C6"/>
    <w:rsid w:val="00161E1E"/>
    <w:rsid w:val="00162E7C"/>
    <w:rsid w:val="00163391"/>
    <w:rsid w:val="00165BCF"/>
    <w:rsid w:val="00165C5D"/>
    <w:rsid w:val="0016706E"/>
    <w:rsid w:val="0017185E"/>
    <w:rsid w:val="00171C78"/>
    <w:rsid w:val="001720F1"/>
    <w:rsid w:val="00172F74"/>
    <w:rsid w:val="00177430"/>
    <w:rsid w:val="001807B5"/>
    <w:rsid w:val="0018112E"/>
    <w:rsid w:val="001817BE"/>
    <w:rsid w:val="00181DA6"/>
    <w:rsid w:val="00185236"/>
    <w:rsid w:val="001913C2"/>
    <w:rsid w:val="00192815"/>
    <w:rsid w:val="00194A66"/>
    <w:rsid w:val="00195996"/>
    <w:rsid w:val="00195ABA"/>
    <w:rsid w:val="001A241F"/>
    <w:rsid w:val="001B201C"/>
    <w:rsid w:val="001B3A31"/>
    <w:rsid w:val="001B6D02"/>
    <w:rsid w:val="001C01DD"/>
    <w:rsid w:val="001C0692"/>
    <w:rsid w:val="001C13E0"/>
    <w:rsid w:val="001C17EE"/>
    <w:rsid w:val="001C7432"/>
    <w:rsid w:val="001D144C"/>
    <w:rsid w:val="001D195F"/>
    <w:rsid w:val="001D236A"/>
    <w:rsid w:val="001D3C3C"/>
    <w:rsid w:val="001D6BCF"/>
    <w:rsid w:val="001D74C6"/>
    <w:rsid w:val="001E01CA"/>
    <w:rsid w:val="001E1D60"/>
    <w:rsid w:val="001E44CD"/>
    <w:rsid w:val="001E65EA"/>
    <w:rsid w:val="001E673F"/>
    <w:rsid w:val="001E7889"/>
    <w:rsid w:val="001F0825"/>
    <w:rsid w:val="001F1080"/>
    <w:rsid w:val="001F64E6"/>
    <w:rsid w:val="002007F1"/>
    <w:rsid w:val="00200F13"/>
    <w:rsid w:val="002042A1"/>
    <w:rsid w:val="00206110"/>
    <w:rsid w:val="00206F22"/>
    <w:rsid w:val="00210877"/>
    <w:rsid w:val="002113EC"/>
    <w:rsid w:val="00212FD7"/>
    <w:rsid w:val="00214CD3"/>
    <w:rsid w:val="0021571B"/>
    <w:rsid w:val="00215B86"/>
    <w:rsid w:val="00222091"/>
    <w:rsid w:val="0022354F"/>
    <w:rsid w:val="002248C6"/>
    <w:rsid w:val="00227461"/>
    <w:rsid w:val="00227586"/>
    <w:rsid w:val="00230487"/>
    <w:rsid w:val="002324D4"/>
    <w:rsid w:val="00235909"/>
    <w:rsid w:val="002409F3"/>
    <w:rsid w:val="002435D1"/>
    <w:rsid w:val="00243891"/>
    <w:rsid w:val="002450B5"/>
    <w:rsid w:val="002518F1"/>
    <w:rsid w:val="00252E09"/>
    <w:rsid w:val="0025381E"/>
    <w:rsid w:val="00253F61"/>
    <w:rsid w:val="002609BE"/>
    <w:rsid w:val="00260B70"/>
    <w:rsid w:val="00261C19"/>
    <w:rsid w:val="0026489E"/>
    <w:rsid w:val="002674E0"/>
    <w:rsid w:val="00270CD2"/>
    <w:rsid w:val="00272993"/>
    <w:rsid w:val="002737CB"/>
    <w:rsid w:val="002745EF"/>
    <w:rsid w:val="00275CF5"/>
    <w:rsid w:val="00276A1B"/>
    <w:rsid w:val="00276A51"/>
    <w:rsid w:val="00281B54"/>
    <w:rsid w:val="0028301F"/>
    <w:rsid w:val="00283F9F"/>
    <w:rsid w:val="00285017"/>
    <w:rsid w:val="002876D9"/>
    <w:rsid w:val="00290543"/>
    <w:rsid w:val="002912FF"/>
    <w:rsid w:val="002938E8"/>
    <w:rsid w:val="00294995"/>
    <w:rsid w:val="0029638F"/>
    <w:rsid w:val="00296A26"/>
    <w:rsid w:val="00296E8A"/>
    <w:rsid w:val="002A04CD"/>
    <w:rsid w:val="002A19A1"/>
    <w:rsid w:val="002A2D2E"/>
    <w:rsid w:val="002A4455"/>
    <w:rsid w:val="002A7289"/>
    <w:rsid w:val="002B3605"/>
    <w:rsid w:val="002B7A18"/>
    <w:rsid w:val="002C00E8"/>
    <w:rsid w:val="002C2D68"/>
    <w:rsid w:val="002C54A6"/>
    <w:rsid w:val="002C67E8"/>
    <w:rsid w:val="002D0100"/>
    <w:rsid w:val="002D1E12"/>
    <w:rsid w:val="002D2011"/>
    <w:rsid w:val="002D32A7"/>
    <w:rsid w:val="002D512D"/>
    <w:rsid w:val="002D57A8"/>
    <w:rsid w:val="002E49FF"/>
    <w:rsid w:val="002E62E5"/>
    <w:rsid w:val="002F0FE3"/>
    <w:rsid w:val="002F320C"/>
    <w:rsid w:val="002F3A5D"/>
    <w:rsid w:val="00302267"/>
    <w:rsid w:val="00304E3B"/>
    <w:rsid w:val="003063CD"/>
    <w:rsid w:val="00306638"/>
    <w:rsid w:val="00310758"/>
    <w:rsid w:val="00311A94"/>
    <w:rsid w:val="00311ADB"/>
    <w:rsid w:val="0031422A"/>
    <w:rsid w:val="0031595C"/>
    <w:rsid w:val="00316559"/>
    <w:rsid w:val="0032173F"/>
    <w:rsid w:val="003241E3"/>
    <w:rsid w:val="0032636D"/>
    <w:rsid w:val="0032679C"/>
    <w:rsid w:val="00326AE9"/>
    <w:rsid w:val="0032747D"/>
    <w:rsid w:val="0033066E"/>
    <w:rsid w:val="00330932"/>
    <w:rsid w:val="0034014C"/>
    <w:rsid w:val="00342AC5"/>
    <w:rsid w:val="003432E7"/>
    <w:rsid w:val="00343749"/>
    <w:rsid w:val="0034756B"/>
    <w:rsid w:val="00350B7A"/>
    <w:rsid w:val="00350D9C"/>
    <w:rsid w:val="003510D7"/>
    <w:rsid w:val="0035323B"/>
    <w:rsid w:val="003602CA"/>
    <w:rsid w:val="00360895"/>
    <w:rsid w:val="003609B0"/>
    <w:rsid w:val="003660ED"/>
    <w:rsid w:val="00367215"/>
    <w:rsid w:val="003676C6"/>
    <w:rsid w:val="00367CA8"/>
    <w:rsid w:val="00367D5D"/>
    <w:rsid w:val="00372AD7"/>
    <w:rsid w:val="00376D25"/>
    <w:rsid w:val="00383848"/>
    <w:rsid w:val="00384618"/>
    <w:rsid w:val="003904BF"/>
    <w:rsid w:val="00391F1E"/>
    <w:rsid w:val="00394550"/>
    <w:rsid w:val="003949E8"/>
    <w:rsid w:val="003953E3"/>
    <w:rsid w:val="003A0124"/>
    <w:rsid w:val="003A1592"/>
    <w:rsid w:val="003A1D80"/>
    <w:rsid w:val="003A256A"/>
    <w:rsid w:val="003A3B6A"/>
    <w:rsid w:val="003A7AF4"/>
    <w:rsid w:val="003A7E65"/>
    <w:rsid w:val="003B0550"/>
    <w:rsid w:val="003B5AE5"/>
    <w:rsid w:val="003B6201"/>
    <w:rsid w:val="003B694F"/>
    <w:rsid w:val="003B7925"/>
    <w:rsid w:val="003C0124"/>
    <w:rsid w:val="003C41EB"/>
    <w:rsid w:val="003C4F85"/>
    <w:rsid w:val="003C636E"/>
    <w:rsid w:val="003C745D"/>
    <w:rsid w:val="003D241F"/>
    <w:rsid w:val="003D3B26"/>
    <w:rsid w:val="003E01C0"/>
    <w:rsid w:val="003E139A"/>
    <w:rsid w:val="003E228F"/>
    <w:rsid w:val="003E29EA"/>
    <w:rsid w:val="003E3244"/>
    <w:rsid w:val="003E6E4D"/>
    <w:rsid w:val="003F0BF0"/>
    <w:rsid w:val="003F171C"/>
    <w:rsid w:val="003F1F2C"/>
    <w:rsid w:val="003F2522"/>
    <w:rsid w:val="003F4748"/>
    <w:rsid w:val="003F5797"/>
    <w:rsid w:val="003F6B63"/>
    <w:rsid w:val="00404235"/>
    <w:rsid w:val="00407585"/>
    <w:rsid w:val="0041266B"/>
    <w:rsid w:val="00412FC5"/>
    <w:rsid w:val="00413F09"/>
    <w:rsid w:val="00422276"/>
    <w:rsid w:val="0042258F"/>
    <w:rsid w:val="004242F1"/>
    <w:rsid w:val="004355ED"/>
    <w:rsid w:val="00442FF8"/>
    <w:rsid w:val="00444303"/>
    <w:rsid w:val="004443A1"/>
    <w:rsid w:val="00445A00"/>
    <w:rsid w:val="004479BB"/>
    <w:rsid w:val="00451B0F"/>
    <w:rsid w:val="00452455"/>
    <w:rsid w:val="00452BCC"/>
    <w:rsid w:val="0045614A"/>
    <w:rsid w:val="004565D9"/>
    <w:rsid w:val="00462921"/>
    <w:rsid w:val="00464241"/>
    <w:rsid w:val="004659A1"/>
    <w:rsid w:val="00470B27"/>
    <w:rsid w:val="00475949"/>
    <w:rsid w:val="00475DF2"/>
    <w:rsid w:val="00481726"/>
    <w:rsid w:val="00481DBD"/>
    <w:rsid w:val="0048207B"/>
    <w:rsid w:val="004831DD"/>
    <w:rsid w:val="00484677"/>
    <w:rsid w:val="00485E2D"/>
    <w:rsid w:val="00486422"/>
    <w:rsid w:val="00491693"/>
    <w:rsid w:val="00494D24"/>
    <w:rsid w:val="0049709A"/>
    <w:rsid w:val="004A0B0E"/>
    <w:rsid w:val="004A3626"/>
    <w:rsid w:val="004B2342"/>
    <w:rsid w:val="004B4ED5"/>
    <w:rsid w:val="004B5306"/>
    <w:rsid w:val="004B5580"/>
    <w:rsid w:val="004C0C30"/>
    <w:rsid w:val="004C0FE5"/>
    <w:rsid w:val="004C11F0"/>
    <w:rsid w:val="004C294F"/>
    <w:rsid w:val="004C2EE3"/>
    <w:rsid w:val="004C3482"/>
    <w:rsid w:val="004C4651"/>
    <w:rsid w:val="004C5C10"/>
    <w:rsid w:val="004C6FBB"/>
    <w:rsid w:val="004C7416"/>
    <w:rsid w:val="004C772B"/>
    <w:rsid w:val="004D2B1C"/>
    <w:rsid w:val="004E28C2"/>
    <w:rsid w:val="004E470D"/>
    <w:rsid w:val="004E4A22"/>
    <w:rsid w:val="004E5F5A"/>
    <w:rsid w:val="004E7753"/>
    <w:rsid w:val="004F0445"/>
    <w:rsid w:val="004F16AF"/>
    <w:rsid w:val="004F319E"/>
    <w:rsid w:val="004F4A90"/>
    <w:rsid w:val="004F4D09"/>
    <w:rsid w:val="00500195"/>
    <w:rsid w:val="005016AC"/>
    <w:rsid w:val="0050257F"/>
    <w:rsid w:val="005037D6"/>
    <w:rsid w:val="00503F0C"/>
    <w:rsid w:val="00504845"/>
    <w:rsid w:val="005105AE"/>
    <w:rsid w:val="005107D1"/>
    <w:rsid w:val="00511968"/>
    <w:rsid w:val="00511B2D"/>
    <w:rsid w:val="005127C8"/>
    <w:rsid w:val="00512FCA"/>
    <w:rsid w:val="005153CD"/>
    <w:rsid w:val="00517626"/>
    <w:rsid w:val="00524CD9"/>
    <w:rsid w:val="00534724"/>
    <w:rsid w:val="005373D4"/>
    <w:rsid w:val="00537DB7"/>
    <w:rsid w:val="00545FAA"/>
    <w:rsid w:val="005462AC"/>
    <w:rsid w:val="00552536"/>
    <w:rsid w:val="005553A6"/>
    <w:rsid w:val="00555868"/>
    <w:rsid w:val="00555DDA"/>
    <w:rsid w:val="0055614C"/>
    <w:rsid w:val="0055735D"/>
    <w:rsid w:val="00560D3A"/>
    <w:rsid w:val="00561DC8"/>
    <w:rsid w:val="00562F3C"/>
    <w:rsid w:val="005658BF"/>
    <w:rsid w:val="00566D06"/>
    <w:rsid w:val="00570A4A"/>
    <w:rsid w:val="00570DE7"/>
    <w:rsid w:val="00574A3D"/>
    <w:rsid w:val="005753D1"/>
    <w:rsid w:val="00576096"/>
    <w:rsid w:val="00580C03"/>
    <w:rsid w:val="00582865"/>
    <w:rsid w:val="00585B3A"/>
    <w:rsid w:val="00592573"/>
    <w:rsid w:val="00593EA2"/>
    <w:rsid w:val="0059400C"/>
    <w:rsid w:val="00594337"/>
    <w:rsid w:val="005944F5"/>
    <w:rsid w:val="00594708"/>
    <w:rsid w:val="00594769"/>
    <w:rsid w:val="005969F3"/>
    <w:rsid w:val="005A2BF0"/>
    <w:rsid w:val="005A3FEB"/>
    <w:rsid w:val="005A5418"/>
    <w:rsid w:val="005A572B"/>
    <w:rsid w:val="005A7A96"/>
    <w:rsid w:val="005B04A3"/>
    <w:rsid w:val="005B7241"/>
    <w:rsid w:val="005C443D"/>
    <w:rsid w:val="005D2D12"/>
    <w:rsid w:val="005D376D"/>
    <w:rsid w:val="005D628D"/>
    <w:rsid w:val="005D7206"/>
    <w:rsid w:val="005E112E"/>
    <w:rsid w:val="005E14C2"/>
    <w:rsid w:val="005E42B0"/>
    <w:rsid w:val="005E6612"/>
    <w:rsid w:val="005E6EA5"/>
    <w:rsid w:val="005E6EB0"/>
    <w:rsid w:val="005E7326"/>
    <w:rsid w:val="005E793A"/>
    <w:rsid w:val="005E7DB4"/>
    <w:rsid w:val="005F3F0E"/>
    <w:rsid w:val="006011EF"/>
    <w:rsid w:val="00605553"/>
    <w:rsid w:val="00607378"/>
    <w:rsid w:val="00607BA5"/>
    <w:rsid w:val="00611721"/>
    <w:rsid w:val="0061180A"/>
    <w:rsid w:val="0061776B"/>
    <w:rsid w:val="00623A8D"/>
    <w:rsid w:val="006257DC"/>
    <w:rsid w:val="00626EB6"/>
    <w:rsid w:val="006327AA"/>
    <w:rsid w:val="00633830"/>
    <w:rsid w:val="00634912"/>
    <w:rsid w:val="00636409"/>
    <w:rsid w:val="006407CF"/>
    <w:rsid w:val="006513F3"/>
    <w:rsid w:val="00655D03"/>
    <w:rsid w:val="006567F3"/>
    <w:rsid w:val="006573E7"/>
    <w:rsid w:val="00661444"/>
    <w:rsid w:val="00661FD3"/>
    <w:rsid w:val="006626E0"/>
    <w:rsid w:val="0067129D"/>
    <w:rsid w:val="006713D6"/>
    <w:rsid w:val="006729CC"/>
    <w:rsid w:val="00673626"/>
    <w:rsid w:val="006773D8"/>
    <w:rsid w:val="00677AFC"/>
    <w:rsid w:val="00677B59"/>
    <w:rsid w:val="00680D55"/>
    <w:rsid w:val="00682712"/>
    <w:rsid w:val="00682890"/>
    <w:rsid w:val="0068303B"/>
    <w:rsid w:val="00683388"/>
    <w:rsid w:val="00683F84"/>
    <w:rsid w:val="006852EB"/>
    <w:rsid w:val="00687DCB"/>
    <w:rsid w:val="00694779"/>
    <w:rsid w:val="006A6A81"/>
    <w:rsid w:val="006A72AB"/>
    <w:rsid w:val="006B183C"/>
    <w:rsid w:val="006C21CC"/>
    <w:rsid w:val="006C4838"/>
    <w:rsid w:val="006C58DB"/>
    <w:rsid w:val="006C5D53"/>
    <w:rsid w:val="006D017F"/>
    <w:rsid w:val="006D0EAE"/>
    <w:rsid w:val="006D3091"/>
    <w:rsid w:val="006D49AD"/>
    <w:rsid w:val="006D6A33"/>
    <w:rsid w:val="006D751B"/>
    <w:rsid w:val="006E1033"/>
    <w:rsid w:val="006E284F"/>
    <w:rsid w:val="006E42F8"/>
    <w:rsid w:val="006E47F5"/>
    <w:rsid w:val="006E4F49"/>
    <w:rsid w:val="006E6CB1"/>
    <w:rsid w:val="006E78AE"/>
    <w:rsid w:val="006F1084"/>
    <w:rsid w:val="006F2F0C"/>
    <w:rsid w:val="006F4693"/>
    <w:rsid w:val="006F4DF3"/>
    <w:rsid w:val="006F53AC"/>
    <w:rsid w:val="006F7036"/>
    <w:rsid w:val="006F7393"/>
    <w:rsid w:val="00700E91"/>
    <w:rsid w:val="0070224F"/>
    <w:rsid w:val="00705D9A"/>
    <w:rsid w:val="00706309"/>
    <w:rsid w:val="00706397"/>
    <w:rsid w:val="0070686D"/>
    <w:rsid w:val="007115F7"/>
    <w:rsid w:val="00714200"/>
    <w:rsid w:val="00717AEF"/>
    <w:rsid w:val="0072485E"/>
    <w:rsid w:val="007254FC"/>
    <w:rsid w:val="0073270E"/>
    <w:rsid w:val="00733DBB"/>
    <w:rsid w:val="0073401F"/>
    <w:rsid w:val="00737EAA"/>
    <w:rsid w:val="00742A06"/>
    <w:rsid w:val="007440FF"/>
    <w:rsid w:val="0074412D"/>
    <w:rsid w:val="00745577"/>
    <w:rsid w:val="0075138E"/>
    <w:rsid w:val="0075537C"/>
    <w:rsid w:val="00756B64"/>
    <w:rsid w:val="00760D87"/>
    <w:rsid w:val="0076190C"/>
    <w:rsid w:val="0077134A"/>
    <w:rsid w:val="00773994"/>
    <w:rsid w:val="00777073"/>
    <w:rsid w:val="00777FBE"/>
    <w:rsid w:val="00780560"/>
    <w:rsid w:val="00780872"/>
    <w:rsid w:val="0078087B"/>
    <w:rsid w:val="00781176"/>
    <w:rsid w:val="00783D49"/>
    <w:rsid w:val="00784674"/>
    <w:rsid w:val="00784DE7"/>
    <w:rsid w:val="00785689"/>
    <w:rsid w:val="00785B63"/>
    <w:rsid w:val="00786923"/>
    <w:rsid w:val="00793488"/>
    <w:rsid w:val="0079402A"/>
    <w:rsid w:val="0079754B"/>
    <w:rsid w:val="007A1E6D"/>
    <w:rsid w:val="007A37C6"/>
    <w:rsid w:val="007B0AA9"/>
    <w:rsid w:val="007B0EB2"/>
    <w:rsid w:val="007B46F8"/>
    <w:rsid w:val="007C1EAD"/>
    <w:rsid w:val="007C43F9"/>
    <w:rsid w:val="007C5020"/>
    <w:rsid w:val="007D695E"/>
    <w:rsid w:val="007E0DB9"/>
    <w:rsid w:val="007E1056"/>
    <w:rsid w:val="007E179F"/>
    <w:rsid w:val="007E5410"/>
    <w:rsid w:val="007E5CDE"/>
    <w:rsid w:val="007E6C51"/>
    <w:rsid w:val="007E7624"/>
    <w:rsid w:val="007F088A"/>
    <w:rsid w:val="007F311C"/>
    <w:rsid w:val="007F5018"/>
    <w:rsid w:val="0080273E"/>
    <w:rsid w:val="00802BEB"/>
    <w:rsid w:val="008067CF"/>
    <w:rsid w:val="00807779"/>
    <w:rsid w:val="00810B6F"/>
    <w:rsid w:val="0081423A"/>
    <w:rsid w:val="00817633"/>
    <w:rsid w:val="00820617"/>
    <w:rsid w:val="00820B7D"/>
    <w:rsid w:val="00822CE0"/>
    <w:rsid w:val="00825911"/>
    <w:rsid w:val="00830933"/>
    <w:rsid w:val="008309F7"/>
    <w:rsid w:val="008404D0"/>
    <w:rsid w:val="00841AB1"/>
    <w:rsid w:val="00842B89"/>
    <w:rsid w:val="00843FDF"/>
    <w:rsid w:val="0085054E"/>
    <w:rsid w:val="00852D5D"/>
    <w:rsid w:val="00853A52"/>
    <w:rsid w:val="00856299"/>
    <w:rsid w:val="00857C01"/>
    <w:rsid w:val="00857D5D"/>
    <w:rsid w:val="00860A8B"/>
    <w:rsid w:val="00861C7C"/>
    <w:rsid w:val="0086362B"/>
    <w:rsid w:val="00864B41"/>
    <w:rsid w:val="00866FEE"/>
    <w:rsid w:val="0087452C"/>
    <w:rsid w:val="0087547E"/>
    <w:rsid w:val="0088504D"/>
    <w:rsid w:val="008857C5"/>
    <w:rsid w:val="00886CD8"/>
    <w:rsid w:val="008909CF"/>
    <w:rsid w:val="008917A6"/>
    <w:rsid w:val="00895315"/>
    <w:rsid w:val="008A5A9F"/>
    <w:rsid w:val="008B0303"/>
    <w:rsid w:val="008B368D"/>
    <w:rsid w:val="008B3938"/>
    <w:rsid w:val="008B4324"/>
    <w:rsid w:val="008B5003"/>
    <w:rsid w:val="008B5C37"/>
    <w:rsid w:val="008B5C4A"/>
    <w:rsid w:val="008B656C"/>
    <w:rsid w:val="008B7DD4"/>
    <w:rsid w:val="008C1534"/>
    <w:rsid w:val="008C2BC8"/>
    <w:rsid w:val="008C39BF"/>
    <w:rsid w:val="008C48FF"/>
    <w:rsid w:val="008C68F1"/>
    <w:rsid w:val="008D0265"/>
    <w:rsid w:val="008D06DF"/>
    <w:rsid w:val="008D6AA1"/>
    <w:rsid w:val="008D6E12"/>
    <w:rsid w:val="008E10BE"/>
    <w:rsid w:val="008E285D"/>
    <w:rsid w:val="008E50FD"/>
    <w:rsid w:val="008E6D16"/>
    <w:rsid w:val="008F012F"/>
    <w:rsid w:val="008F224B"/>
    <w:rsid w:val="008F2786"/>
    <w:rsid w:val="008F2DD6"/>
    <w:rsid w:val="008F2F3B"/>
    <w:rsid w:val="008F4D00"/>
    <w:rsid w:val="008F7DE1"/>
    <w:rsid w:val="009042C9"/>
    <w:rsid w:val="00904B7F"/>
    <w:rsid w:val="00910070"/>
    <w:rsid w:val="00910379"/>
    <w:rsid w:val="0091591D"/>
    <w:rsid w:val="009164DA"/>
    <w:rsid w:val="00917379"/>
    <w:rsid w:val="00921803"/>
    <w:rsid w:val="00922BFC"/>
    <w:rsid w:val="009239FF"/>
    <w:rsid w:val="00926503"/>
    <w:rsid w:val="00927A77"/>
    <w:rsid w:val="00930A9A"/>
    <w:rsid w:val="00936834"/>
    <w:rsid w:val="009378C6"/>
    <w:rsid w:val="009379E8"/>
    <w:rsid w:val="00937EF0"/>
    <w:rsid w:val="00940505"/>
    <w:rsid w:val="00941607"/>
    <w:rsid w:val="00943086"/>
    <w:rsid w:val="00944561"/>
    <w:rsid w:val="00946D7D"/>
    <w:rsid w:val="00946ECA"/>
    <w:rsid w:val="009508A1"/>
    <w:rsid w:val="00950A67"/>
    <w:rsid w:val="00951251"/>
    <w:rsid w:val="0095255E"/>
    <w:rsid w:val="00953E6C"/>
    <w:rsid w:val="009540CA"/>
    <w:rsid w:val="00955847"/>
    <w:rsid w:val="00955DD3"/>
    <w:rsid w:val="009561A0"/>
    <w:rsid w:val="009611C3"/>
    <w:rsid w:val="009644E2"/>
    <w:rsid w:val="00967875"/>
    <w:rsid w:val="00967E2C"/>
    <w:rsid w:val="00970463"/>
    <w:rsid w:val="00970976"/>
    <w:rsid w:val="00971C91"/>
    <w:rsid w:val="009726D8"/>
    <w:rsid w:val="0097658C"/>
    <w:rsid w:val="00980BF4"/>
    <w:rsid w:val="00982A1D"/>
    <w:rsid w:val="00987535"/>
    <w:rsid w:val="009912B2"/>
    <w:rsid w:val="009945CC"/>
    <w:rsid w:val="00997848"/>
    <w:rsid w:val="009A31DE"/>
    <w:rsid w:val="009A4BDD"/>
    <w:rsid w:val="009A77B6"/>
    <w:rsid w:val="009B1F11"/>
    <w:rsid w:val="009B3BFE"/>
    <w:rsid w:val="009B4F5D"/>
    <w:rsid w:val="009B7725"/>
    <w:rsid w:val="009C331B"/>
    <w:rsid w:val="009C65C7"/>
    <w:rsid w:val="009C667D"/>
    <w:rsid w:val="009D1537"/>
    <w:rsid w:val="009D1724"/>
    <w:rsid w:val="009D29A3"/>
    <w:rsid w:val="009D433A"/>
    <w:rsid w:val="009D6987"/>
    <w:rsid w:val="009D7308"/>
    <w:rsid w:val="009D78F5"/>
    <w:rsid w:val="009E2CDC"/>
    <w:rsid w:val="009E418D"/>
    <w:rsid w:val="009E41F6"/>
    <w:rsid w:val="009E4A55"/>
    <w:rsid w:val="009F1772"/>
    <w:rsid w:val="009F2461"/>
    <w:rsid w:val="009F5A7C"/>
    <w:rsid w:val="009F746E"/>
    <w:rsid w:val="009F76DB"/>
    <w:rsid w:val="00A0430B"/>
    <w:rsid w:val="00A0455E"/>
    <w:rsid w:val="00A07DCE"/>
    <w:rsid w:val="00A11BF5"/>
    <w:rsid w:val="00A137D9"/>
    <w:rsid w:val="00A174CC"/>
    <w:rsid w:val="00A20764"/>
    <w:rsid w:val="00A232DB"/>
    <w:rsid w:val="00A324B1"/>
    <w:rsid w:val="00A32C3B"/>
    <w:rsid w:val="00A41156"/>
    <w:rsid w:val="00A4424B"/>
    <w:rsid w:val="00A44B20"/>
    <w:rsid w:val="00A45F4F"/>
    <w:rsid w:val="00A47A58"/>
    <w:rsid w:val="00A5359F"/>
    <w:rsid w:val="00A54489"/>
    <w:rsid w:val="00A600A9"/>
    <w:rsid w:val="00A66FEB"/>
    <w:rsid w:val="00A703E4"/>
    <w:rsid w:val="00A70CFC"/>
    <w:rsid w:val="00A74D52"/>
    <w:rsid w:val="00A7503B"/>
    <w:rsid w:val="00A77B8F"/>
    <w:rsid w:val="00A8580D"/>
    <w:rsid w:val="00A877BB"/>
    <w:rsid w:val="00A90DFD"/>
    <w:rsid w:val="00A91109"/>
    <w:rsid w:val="00A95502"/>
    <w:rsid w:val="00A958F7"/>
    <w:rsid w:val="00A96BCB"/>
    <w:rsid w:val="00A97655"/>
    <w:rsid w:val="00A97E37"/>
    <w:rsid w:val="00AA17B5"/>
    <w:rsid w:val="00AA55B7"/>
    <w:rsid w:val="00AA5B9E"/>
    <w:rsid w:val="00AB2407"/>
    <w:rsid w:val="00AB3501"/>
    <w:rsid w:val="00AB53DF"/>
    <w:rsid w:val="00AC19F1"/>
    <w:rsid w:val="00AC50D6"/>
    <w:rsid w:val="00AC5511"/>
    <w:rsid w:val="00AC6DB2"/>
    <w:rsid w:val="00AC75E9"/>
    <w:rsid w:val="00AD2BB7"/>
    <w:rsid w:val="00AD51F2"/>
    <w:rsid w:val="00AD6250"/>
    <w:rsid w:val="00AE66A7"/>
    <w:rsid w:val="00AF079A"/>
    <w:rsid w:val="00AF1DCB"/>
    <w:rsid w:val="00AF1EAA"/>
    <w:rsid w:val="00B03E4C"/>
    <w:rsid w:val="00B0446F"/>
    <w:rsid w:val="00B07A5B"/>
    <w:rsid w:val="00B07E5C"/>
    <w:rsid w:val="00B10F87"/>
    <w:rsid w:val="00B1116D"/>
    <w:rsid w:val="00B1321C"/>
    <w:rsid w:val="00B13CFF"/>
    <w:rsid w:val="00B17B80"/>
    <w:rsid w:val="00B201E7"/>
    <w:rsid w:val="00B270C3"/>
    <w:rsid w:val="00B30636"/>
    <w:rsid w:val="00B3658B"/>
    <w:rsid w:val="00B407DF"/>
    <w:rsid w:val="00B40BBE"/>
    <w:rsid w:val="00B55954"/>
    <w:rsid w:val="00B57870"/>
    <w:rsid w:val="00B6061A"/>
    <w:rsid w:val="00B6141B"/>
    <w:rsid w:val="00B63CF9"/>
    <w:rsid w:val="00B66598"/>
    <w:rsid w:val="00B70371"/>
    <w:rsid w:val="00B7189F"/>
    <w:rsid w:val="00B74D58"/>
    <w:rsid w:val="00B75D32"/>
    <w:rsid w:val="00B808BA"/>
    <w:rsid w:val="00B811F7"/>
    <w:rsid w:val="00B85E71"/>
    <w:rsid w:val="00B87519"/>
    <w:rsid w:val="00B92465"/>
    <w:rsid w:val="00B93385"/>
    <w:rsid w:val="00B951AB"/>
    <w:rsid w:val="00BA072F"/>
    <w:rsid w:val="00BA32BF"/>
    <w:rsid w:val="00BA4C2C"/>
    <w:rsid w:val="00BA5135"/>
    <w:rsid w:val="00BA5DC6"/>
    <w:rsid w:val="00BA6196"/>
    <w:rsid w:val="00BB2249"/>
    <w:rsid w:val="00BB2333"/>
    <w:rsid w:val="00BB63A1"/>
    <w:rsid w:val="00BB6F13"/>
    <w:rsid w:val="00BC0A5F"/>
    <w:rsid w:val="00BC5FCF"/>
    <w:rsid w:val="00BC615A"/>
    <w:rsid w:val="00BC6783"/>
    <w:rsid w:val="00BC6D8C"/>
    <w:rsid w:val="00BC7585"/>
    <w:rsid w:val="00BD2308"/>
    <w:rsid w:val="00BD2F23"/>
    <w:rsid w:val="00BD49B7"/>
    <w:rsid w:val="00BE16D5"/>
    <w:rsid w:val="00BF0FA3"/>
    <w:rsid w:val="00BF5BAF"/>
    <w:rsid w:val="00C0140F"/>
    <w:rsid w:val="00C12000"/>
    <w:rsid w:val="00C128A8"/>
    <w:rsid w:val="00C208C5"/>
    <w:rsid w:val="00C254E5"/>
    <w:rsid w:val="00C25655"/>
    <w:rsid w:val="00C279C7"/>
    <w:rsid w:val="00C27A90"/>
    <w:rsid w:val="00C3043A"/>
    <w:rsid w:val="00C33394"/>
    <w:rsid w:val="00C34006"/>
    <w:rsid w:val="00C340F9"/>
    <w:rsid w:val="00C35BCD"/>
    <w:rsid w:val="00C36B4C"/>
    <w:rsid w:val="00C36D77"/>
    <w:rsid w:val="00C426B1"/>
    <w:rsid w:val="00C432EB"/>
    <w:rsid w:val="00C4437C"/>
    <w:rsid w:val="00C4492D"/>
    <w:rsid w:val="00C50885"/>
    <w:rsid w:val="00C52E64"/>
    <w:rsid w:val="00C53196"/>
    <w:rsid w:val="00C5517D"/>
    <w:rsid w:val="00C55740"/>
    <w:rsid w:val="00C56551"/>
    <w:rsid w:val="00C57D54"/>
    <w:rsid w:val="00C60051"/>
    <w:rsid w:val="00C62F39"/>
    <w:rsid w:val="00C6313D"/>
    <w:rsid w:val="00C66160"/>
    <w:rsid w:val="00C7069A"/>
    <w:rsid w:val="00C71965"/>
    <w:rsid w:val="00C721AC"/>
    <w:rsid w:val="00C72D04"/>
    <w:rsid w:val="00C75834"/>
    <w:rsid w:val="00C7623F"/>
    <w:rsid w:val="00C77D83"/>
    <w:rsid w:val="00C77D9D"/>
    <w:rsid w:val="00C77F06"/>
    <w:rsid w:val="00C8146B"/>
    <w:rsid w:val="00C819E8"/>
    <w:rsid w:val="00C82B2F"/>
    <w:rsid w:val="00C84844"/>
    <w:rsid w:val="00C8736C"/>
    <w:rsid w:val="00C90436"/>
    <w:rsid w:val="00C90D6A"/>
    <w:rsid w:val="00C9272A"/>
    <w:rsid w:val="00CA09C4"/>
    <w:rsid w:val="00CA0BD6"/>
    <w:rsid w:val="00CA14BE"/>
    <w:rsid w:val="00CA247E"/>
    <w:rsid w:val="00CA268B"/>
    <w:rsid w:val="00CA511C"/>
    <w:rsid w:val="00CA6532"/>
    <w:rsid w:val="00CA6D21"/>
    <w:rsid w:val="00CB3363"/>
    <w:rsid w:val="00CB5DD8"/>
    <w:rsid w:val="00CB746D"/>
    <w:rsid w:val="00CC4370"/>
    <w:rsid w:val="00CC5ABF"/>
    <w:rsid w:val="00CC6767"/>
    <w:rsid w:val="00CC6D5C"/>
    <w:rsid w:val="00CC72B6"/>
    <w:rsid w:val="00CD05A0"/>
    <w:rsid w:val="00CD2724"/>
    <w:rsid w:val="00CE55BD"/>
    <w:rsid w:val="00CE68F4"/>
    <w:rsid w:val="00CE7CB7"/>
    <w:rsid w:val="00CF0964"/>
    <w:rsid w:val="00CF1D72"/>
    <w:rsid w:val="00CF43FF"/>
    <w:rsid w:val="00CF4799"/>
    <w:rsid w:val="00CF64F9"/>
    <w:rsid w:val="00D0021B"/>
    <w:rsid w:val="00D01701"/>
    <w:rsid w:val="00D01E5C"/>
    <w:rsid w:val="00D0218D"/>
    <w:rsid w:val="00D040CB"/>
    <w:rsid w:val="00D05AB4"/>
    <w:rsid w:val="00D05EC8"/>
    <w:rsid w:val="00D06281"/>
    <w:rsid w:val="00D078D9"/>
    <w:rsid w:val="00D123B2"/>
    <w:rsid w:val="00D13FB7"/>
    <w:rsid w:val="00D14E60"/>
    <w:rsid w:val="00D15661"/>
    <w:rsid w:val="00D23289"/>
    <w:rsid w:val="00D25FB5"/>
    <w:rsid w:val="00D32E5F"/>
    <w:rsid w:val="00D33868"/>
    <w:rsid w:val="00D37A45"/>
    <w:rsid w:val="00D40607"/>
    <w:rsid w:val="00D40A21"/>
    <w:rsid w:val="00D4273B"/>
    <w:rsid w:val="00D42D94"/>
    <w:rsid w:val="00D44223"/>
    <w:rsid w:val="00D44971"/>
    <w:rsid w:val="00D44A6B"/>
    <w:rsid w:val="00D46D52"/>
    <w:rsid w:val="00D523D2"/>
    <w:rsid w:val="00D5333C"/>
    <w:rsid w:val="00D553D5"/>
    <w:rsid w:val="00D55807"/>
    <w:rsid w:val="00D57663"/>
    <w:rsid w:val="00D612BA"/>
    <w:rsid w:val="00D63E1A"/>
    <w:rsid w:val="00D707F3"/>
    <w:rsid w:val="00D74EC6"/>
    <w:rsid w:val="00D807EF"/>
    <w:rsid w:val="00D8196A"/>
    <w:rsid w:val="00D866D7"/>
    <w:rsid w:val="00D86AAB"/>
    <w:rsid w:val="00D905ED"/>
    <w:rsid w:val="00D93550"/>
    <w:rsid w:val="00D96ED5"/>
    <w:rsid w:val="00DA0E72"/>
    <w:rsid w:val="00DA2529"/>
    <w:rsid w:val="00DA31C7"/>
    <w:rsid w:val="00DA5DC3"/>
    <w:rsid w:val="00DA7633"/>
    <w:rsid w:val="00DA7953"/>
    <w:rsid w:val="00DB130A"/>
    <w:rsid w:val="00DB2EBB"/>
    <w:rsid w:val="00DB52BE"/>
    <w:rsid w:val="00DB5FF5"/>
    <w:rsid w:val="00DB697C"/>
    <w:rsid w:val="00DC10A1"/>
    <w:rsid w:val="00DC156B"/>
    <w:rsid w:val="00DC16A0"/>
    <w:rsid w:val="00DC22BC"/>
    <w:rsid w:val="00DC61CB"/>
    <w:rsid w:val="00DC655F"/>
    <w:rsid w:val="00DC7FD0"/>
    <w:rsid w:val="00DD0B59"/>
    <w:rsid w:val="00DD24A2"/>
    <w:rsid w:val="00DD7EBD"/>
    <w:rsid w:val="00DE1EE9"/>
    <w:rsid w:val="00DE7D86"/>
    <w:rsid w:val="00DE7F94"/>
    <w:rsid w:val="00DF0A90"/>
    <w:rsid w:val="00DF5A38"/>
    <w:rsid w:val="00DF5BA4"/>
    <w:rsid w:val="00DF62B6"/>
    <w:rsid w:val="00DF6D89"/>
    <w:rsid w:val="00DF72D4"/>
    <w:rsid w:val="00DF75A3"/>
    <w:rsid w:val="00E07225"/>
    <w:rsid w:val="00E07418"/>
    <w:rsid w:val="00E10775"/>
    <w:rsid w:val="00E24B5F"/>
    <w:rsid w:val="00E26063"/>
    <w:rsid w:val="00E2752A"/>
    <w:rsid w:val="00E315B6"/>
    <w:rsid w:val="00E32FFD"/>
    <w:rsid w:val="00E3577A"/>
    <w:rsid w:val="00E37443"/>
    <w:rsid w:val="00E377CE"/>
    <w:rsid w:val="00E4196F"/>
    <w:rsid w:val="00E420D6"/>
    <w:rsid w:val="00E4219A"/>
    <w:rsid w:val="00E45D96"/>
    <w:rsid w:val="00E46041"/>
    <w:rsid w:val="00E471D5"/>
    <w:rsid w:val="00E477B3"/>
    <w:rsid w:val="00E52561"/>
    <w:rsid w:val="00E5409F"/>
    <w:rsid w:val="00E54284"/>
    <w:rsid w:val="00E61038"/>
    <w:rsid w:val="00E66D2F"/>
    <w:rsid w:val="00E71DDC"/>
    <w:rsid w:val="00E748B4"/>
    <w:rsid w:val="00E751E2"/>
    <w:rsid w:val="00E76170"/>
    <w:rsid w:val="00E7656F"/>
    <w:rsid w:val="00E8392B"/>
    <w:rsid w:val="00E86B86"/>
    <w:rsid w:val="00E909A3"/>
    <w:rsid w:val="00E93057"/>
    <w:rsid w:val="00EA04F3"/>
    <w:rsid w:val="00EA24CD"/>
    <w:rsid w:val="00EA5E7C"/>
    <w:rsid w:val="00EB190C"/>
    <w:rsid w:val="00EB1E92"/>
    <w:rsid w:val="00EC013E"/>
    <w:rsid w:val="00EC0A6F"/>
    <w:rsid w:val="00EC4BCE"/>
    <w:rsid w:val="00EC71D5"/>
    <w:rsid w:val="00ED1A05"/>
    <w:rsid w:val="00ED1C3D"/>
    <w:rsid w:val="00ED2EF6"/>
    <w:rsid w:val="00ED40AE"/>
    <w:rsid w:val="00ED4CE7"/>
    <w:rsid w:val="00ED683C"/>
    <w:rsid w:val="00EE01AA"/>
    <w:rsid w:val="00EE1AAE"/>
    <w:rsid w:val="00EE1D66"/>
    <w:rsid w:val="00EE6488"/>
    <w:rsid w:val="00EE782C"/>
    <w:rsid w:val="00EF02F4"/>
    <w:rsid w:val="00EF1BEA"/>
    <w:rsid w:val="00EF2823"/>
    <w:rsid w:val="00EF3512"/>
    <w:rsid w:val="00EF5B9F"/>
    <w:rsid w:val="00EF6D93"/>
    <w:rsid w:val="00F01F5A"/>
    <w:rsid w:val="00F021FA"/>
    <w:rsid w:val="00F043E3"/>
    <w:rsid w:val="00F04587"/>
    <w:rsid w:val="00F05039"/>
    <w:rsid w:val="00F05A37"/>
    <w:rsid w:val="00F06E62"/>
    <w:rsid w:val="00F10B87"/>
    <w:rsid w:val="00F14FA6"/>
    <w:rsid w:val="00F161B3"/>
    <w:rsid w:val="00F25387"/>
    <w:rsid w:val="00F25B7F"/>
    <w:rsid w:val="00F301B0"/>
    <w:rsid w:val="00F315C1"/>
    <w:rsid w:val="00F36267"/>
    <w:rsid w:val="00F435C6"/>
    <w:rsid w:val="00F4436F"/>
    <w:rsid w:val="00F451D4"/>
    <w:rsid w:val="00F460BB"/>
    <w:rsid w:val="00F53246"/>
    <w:rsid w:val="00F570C3"/>
    <w:rsid w:val="00F602C1"/>
    <w:rsid w:val="00F60C52"/>
    <w:rsid w:val="00F62E97"/>
    <w:rsid w:val="00F64209"/>
    <w:rsid w:val="00F6441D"/>
    <w:rsid w:val="00F721F2"/>
    <w:rsid w:val="00F7416E"/>
    <w:rsid w:val="00F7686F"/>
    <w:rsid w:val="00F77374"/>
    <w:rsid w:val="00F819E5"/>
    <w:rsid w:val="00F843EC"/>
    <w:rsid w:val="00F8750B"/>
    <w:rsid w:val="00F9340C"/>
    <w:rsid w:val="00F93BF5"/>
    <w:rsid w:val="00F94684"/>
    <w:rsid w:val="00FA1DED"/>
    <w:rsid w:val="00FA4A5C"/>
    <w:rsid w:val="00FA67BC"/>
    <w:rsid w:val="00FA764E"/>
    <w:rsid w:val="00FB6224"/>
    <w:rsid w:val="00FC080B"/>
    <w:rsid w:val="00FC596E"/>
    <w:rsid w:val="00FD0316"/>
    <w:rsid w:val="00FD5D4B"/>
    <w:rsid w:val="00FD70A1"/>
    <w:rsid w:val="00FE685D"/>
    <w:rsid w:val="00FE7845"/>
    <w:rsid w:val="00FE7EB1"/>
    <w:rsid w:val="00FF247D"/>
    <w:rsid w:val="00FF3869"/>
    <w:rsid w:val="00FF4B0F"/>
    <w:rsid w:val="00FF5800"/>
    <w:rsid w:val="00FF692C"/>
    <w:rsid w:val="2A951B5C"/>
    <w:rsid w:val="32B06BF9"/>
    <w:rsid w:val="4A106BDD"/>
    <w:rsid w:val="4B6183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F63F2B"/>
  <w15:docId w15:val="{718CECF6-2509-4DA0-89FC-BEABABD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A5D"/>
    <w:pPr>
      <w:widowControl w:val="0"/>
    </w:pPr>
    <w:rPr>
      <w:snapToGrid w:val="0"/>
      <w:kern w:val="28"/>
      <w:sz w:val="22"/>
    </w:rPr>
  </w:style>
  <w:style w:type="paragraph" w:styleId="Heading1">
    <w:name w:val="heading 1"/>
    <w:basedOn w:val="Normal"/>
    <w:next w:val="ParaNum"/>
    <w:qFormat/>
    <w:rsid w:val="002F3A5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F3A5D"/>
    <w:pPr>
      <w:keepNext/>
      <w:numPr>
        <w:ilvl w:val="1"/>
        <w:numId w:val="3"/>
      </w:numPr>
      <w:spacing w:after="120"/>
      <w:outlineLvl w:val="1"/>
    </w:pPr>
    <w:rPr>
      <w:b/>
    </w:rPr>
  </w:style>
  <w:style w:type="paragraph" w:styleId="Heading3">
    <w:name w:val="heading 3"/>
    <w:basedOn w:val="Normal"/>
    <w:next w:val="ParaNum"/>
    <w:qFormat/>
    <w:rsid w:val="002F3A5D"/>
    <w:pPr>
      <w:keepNext/>
      <w:numPr>
        <w:ilvl w:val="2"/>
        <w:numId w:val="3"/>
      </w:numPr>
      <w:tabs>
        <w:tab w:val="left" w:pos="2160"/>
      </w:tabs>
      <w:spacing w:after="120"/>
      <w:outlineLvl w:val="2"/>
    </w:pPr>
    <w:rPr>
      <w:b/>
    </w:rPr>
  </w:style>
  <w:style w:type="paragraph" w:styleId="Heading4">
    <w:name w:val="heading 4"/>
    <w:basedOn w:val="Normal"/>
    <w:next w:val="ParaNum"/>
    <w:qFormat/>
    <w:rsid w:val="002F3A5D"/>
    <w:pPr>
      <w:keepNext/>
      <w:numPr>
        <w:ilvl w:val="3"/>
        <w:numId w:val="3"/>
      </w:numPr>
      <w:tabs>
        <w:tab w:val="left" w:pos="2880"/>
      </w:tabs>
      <w:spacing w:after="120"/>
      <w:outlineLvl w:val="3"/>
    </w:pPr>
    <w:rPr>
      <w:b/>
    </w:rPr>
  </w:style>
  <w:style w:type="paragraph" w:styleId="Heading5">
    <w:name w:val="heading 5"/>
    <w:basedOn w:val="Normal"/>
    <w:next w:val="ParaNum"/>
    <w:qFormat/>
    <w:rsid w:val="002F3A5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F3A5D"/>
    <w:pPr>
      <w:numPr>
        <w:ilvl w:val="5"/>
        <w:numId w:val="3"/>
      </w:numPr>
      <w:tabs>
        <w:tab w:val="left" w:pos="4320"/>
      </w:tabs>
      <w:spacing w:after="120"/>
      <w:outlineLvl w:val="5"/>
    </w:pPr>
    <w:rPr>
      <w:b/>
    </w:rPr>
  </w:style>
  <w:style w:type="paragraph" w:styleId="Heading7">
    <w:name w:val="heading 7"/>
    <w:basedOn w:val="Normal"/>
    <w:next w:val="ParaNum"/>
    <w:qFormat/>
    <w:rsid w:val="002F3A5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F3A5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F3A5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3A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3A5D"/>
  </w:style>
  <w:style w:type="paragraph" w:customStyle="1" w:styleId="ParaNum">
    <w:name w:val="ParaNum"/>
    <w:basedOn w:val="Normal"/>
    <w:rsid w:val="002F3A5D"/>
    <w:pPr>
      <w:numPr>
        <w:numId w:val="2"/>
      </w:numPr>
      <w:tabs>
        <w:tab w:val="clear" w:pos="1080"/>
        <w:tab w:val="num" w:pos="1440"/>
      </w:tabs>
      <w:spacing w:after="120"/>
    </w:pPr>
  </w:style>
  <w:style w:type="paragraph" w:styleId="EndnoteText">
    <w:name w:val="endnote text"/>
    <w:basedOn w:val="Normal"/>
    <w:semiHidden/>
    <w:rsid w:val="002F3A5D"/>
    <w:rPr>
      <w:sz w:val="20"/>
    </w:rPr>
  </w:style>
  <w:style w:type="character" w:styleId="EndnoteReference">
    <w:name w:val="endnote reference"/>
    <w:semiHidden/>
    <w:rsid w:val="002F3A5D"/>
    <w:rPr>
      <w:vertAlign w:val="superscript"/>
    </w:rPr>
  </w:style>
  <w:style w:type="paragraph" w:styleId="FootnoteText">
    <w:name w:val="footnote text"/>
    <w:aliases w:val="ALTS FOOTNOTE,Footnote Text Char Char Char,Footnote Text Char Char1 Char Char Char,Footnote Text Char1 Char Char1 Char,Footnote Text Char2 Char,Footnote Text Char3,Footnote Text Char3 Char Char Char Char Char"/>
    <w:link w:val="FootnoteTextChar"/>
    <w:rsid w:val="002F3A5D"/>
    <w:pPr>
      <w:spacing w:after="120"/>
    </w:pPr>
  </w:style>
  <w:style w:type="character" w:styleId="FootnoteReference">
    <w:name w:val="footnote reference"/>
    <w:aliases w:val="(NECG) Footnote Reference,Appel note de bas de p,FR,Footnote Reference/,Style 12,Style 124,Style 13,Style 17,Style 6,fr,o"/>
    <w:rsid w:val="002F3A5D"/>
    <w:rPr>
      <w:rFonts w:ascii="Times New Roman" w:hAnsi="Times New Roman"/>
      <w:dstrike w:val="0"/>
      <w:color w:val="auto"/>
      <w:sz w:val="20"/>
      <w:vertAlign w:val="superscript"/>
    </w:rPr>
  </w:style>
  <w:style w:type="paragraph" w:styleId="TOC1">
    <w:name w:val="toc 1"/>
    <w:basedOn w:val="Normal"/>
    <w:next w:val="Normal"/>
    <w:semiHidden/>
    <w:rsid w:val="002F3A5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F3A5D"/>
    <w:pPr>
      <w:tabs>
        <w:tab w:val="left" w:pos="720"/>
        <w:tab w:val="right" w:leader="dot" w:pos="9360"/>
      </w:tabs>
      <w:suppressAutoHyphens/>
      <w:ind w:left="720" w:right="720" w:hanging="360"/>
    </w:pPr>
    <w:rPr>
      <w:noProof/>
    </w:rPr>
  </w:style>
  <w:style w:type="paragraph" w:styleId="TOC3">
    <w:name w:val="toc 3"/>
    <w:basedOn w:val="Normal"/>
    <w:next w:val="Normal"/>
    <w:semiHidden/>
    <w:rsid w:val="002F3A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3A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3A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3A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3A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3A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3A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3A5D"/>
    <w:pPr>
      <w:tabs>
        <w:tab w:val="right" w:pos="9360"/>
      </w:tabs>
      <w:suppressAutoHyphens/>
    </w:pPr>
  </w:style>
  <w:style w:type="character" w:customStyle="1" w:styleId="EquationCaption">
    <w:name w:val="_Equation Caption"/>
    <w:rsid w:val="002F3A5D"/>
  </w:style>
  <w:style w:type="paragraph" w:styleId="Header">
    <w:name w:val="header"/>
    <w:basedOn w:val="Normal"/>
    <w:autoRedefine/>
    <w:rsid w:val="002F3A5D"/>
    <w:pPr>
      <w:tabs>
        <w:tab w:val="center" w:pos="4680"/>
        <w:tab w:val="right" w:pos="9360"/>
      </w:tabs>
    </w:pPr>
    <w:rPr>
      <w:b/>
    </w:rPr>
  </w:style>
  <w:style w:type="paragraph" w:styleId="Footer">
    <w:name w:val="footer"/>
    <w:basedOn w:val="Normal"/>
    <w:link w:val="FooterChar"/>
    <w:uiPriority w:val="99"/>
    <w:rsid w:val="002F3A5D"/>
    <w:pPr>
      <w:tabs>
        <w:tab w:val="center" w:pos="4320"/>
        <w:tab w:val="right" w:pos="8640"/>
      </w:tabs>
    </w:pPr>
  </w:style>
  <w:style w:type="character" w:styleId="PageNumber">
    <w:name w:val="page number"/>
    <w:basedOn w:val="DefaultParagraphFont"/>
    <w:rsid w:val="002F3A5D"/>
  </w:style>
  <w:style w:type="paragraph" w:styleId="BlockText">
    <w:name w:val="Block Text"/>
    <w:basedOn w:val="Normal"/>
    <w:rsid w:val="002F3A5D"/>
    <w:pPr>
      <w:spacing w:after="240"/>
      <w:ind w:left="1440" w:right="1440"/>
    </w:pPr>
  </w:style>
  <w:style w:type="paragraph" w:customStyle="1" w:styleId="Paratitle">
    <w:name w:val="Para title"/>
    <w:basedOn w:val="Normal"/>
    <w:rsid w:val="002F3A5D"/>
    <w:pPr>
      <w:tabs>
        <w:tab w:val="center" w:pos="9270"/>
      </w:tabs>
      <w:spacing w:after="240"/>
    </w:pPr>
    <w:rPr>
      <w:spacing w:val="-2"/>
    </w:rPr>
  </w:style>
  <w:style w:type="paragraph" w:customStyle="1" w:styleId="Bullet">
    <w:name w:val="Bullet"/>
    <w:basedOn w:val="Normal"/>
    <w:rsid w:val="002F3A5D"/>
    <w:pPr>
      <w:tabs>
        <w:tab w:val="left" w:pos="2160"/>
      </w:tabs>
      <w:spacing w:after="220"/>
      <w:ind w:left="2160" w:hanging="720"/>
    </w:pPr>
  </w:style>
  <w:style w:type="paragraph" w:customStyle="1" w:styleId="TableFormat">
    <w:name w:val="TableFormat"/>
    <w:basedOn w:val="Bullet"/>
    <w:rsid w:val="002F3A5D"/>
    <w:pPr>
      <w:tabs>
        <w:tab w:val="clear" w:pos="2160"/>
        <w:tab w:val="left" w:pos="5040"/>
      </w:tabs>
      <w:ind w:left="5040" w:hanging="3600"/>
    </w:pPr>
  </w:style>
  <w:style w:type="paragraph" w:customStyle="1" w:styleId="TOCTitle">
    <w:name w:val="TOC Title"/>
    <w:basedOn w:val="Normal"/>
    <w:rsid w:val="002F3A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3A5D"/>
    <w:pPr>
      <w:jc w:val="center"/>
    </w:pPr>
    <w:rPr>
      <w:rFonts w:ascii="Times New Roman Bold" w:hAnsi="Times New Roman Bold"/>
      <w:b/>
      <w:bCs/>
      <w:caps/>
      <w:szCs w:val="22"/>
    </w:rPr>
  </w:style>
  <w:style w:type="character" w:styleId="Hyperlink">
    <w:name w:val="Hyperlink"/>
    <w:rsid w:val="002F3A5D"/>
    <w:rPr>
      <w:color w:val="0000FF"/>
      <w:u w:val="single"/>
    </w:rPr>
  </w:style>
  <w:style w:type="character" w:customStyle="1" w:styleId="FooterChar">
    <w:name w:val="Footer Char"/>
    <w:link w:val="Footer"/>
    <w:uiPriority w:val="99"/>
    <w:rsid w:val="002F3A5D"/>
    <w:rPr>
      <w:snapToGrid w:val="0"/>
      <w:kern w:val="28"/>
      <w:sz w:val="22"/>
    </w:rPr>
  </w:style>
  <w:style w:type="character" w:customStyle="1" w:styleId="FootnoteTextChar">
    <w:name w:val="Footnote Text Char"/>
    <w:aliases w:val="ALTS FOOTNOTE Char,Footnote Text Char Char Char Char,Footnote Text Char Char1 Char Char Char Char,Footnote Text Char1 Char Char1 Char Char,Footnote Text Char2 Char Char,Footnote Text Char3 Char"/>
    <w:basedOn w:val="DefaultParagraphFont"/>
    <w:link w:val="FootnoteText"/>
    <w:rsid w:val="00A174CC"/>
  </w:style>
  <w:style w:type="paragraph" w:styleId="ListParagraph">
    <w:name w:val="List Paragraph"/>
    <w:basedOn w:val="Normal"/>
    <w:uiPriority w:val="34"/>
    <w:qFormat/>
    <w:rsid w:val="00CB3363"/>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markedcontent">
    <w:name w:val="markedcontent"/>
    <w:basedOn w:val="DefaultParagraphFont"/>
    <w:rsid w:val="009D1724"/>
  </w:style>
  <w:style w:type="character" w:styleId="Emphasis">
    <w:name w:val="Emphasis"/>
    <w:basedOn w:val="DefaultParagraphFont"/>
    <w:uiPriority w:val="20"/>
    <w:qFormat/>
    <w:rsid w:val="00012F1E"/>
    <w:rPr>
      <w:i/>
      <w:iCs/>
    </w:rPr>
  </w:style>
  <w:style w:type="character" w:customStyle="1" w:styleId="cosearchterm">
    <w:name w:val="co_searchterm"/>
    <w:basedOn w:val="DefaultParagraphFont"/>
    <w:rsid w:val="001807B5"/>
  </w:style>
  <w:style w:type="paragraph" w:styleId="Revision">
    <w:name w:val="Revision"/>
    <w:hidden/>
    <w:uiPriority w:val="99"/>
    <w:semiHidden/>
    <w:rsid w:val="002409F3"/>
    <w:rPr>
      <w:snapToGrid w:val="0"/>
      <w:kern w:val="28"/>
      <w:sz w:val="22"/>
    </w:rPr>
  </w:style>
  <w:style w:type="character" w:styleId="CommentReference">
    <w:name w:val="annotation reference"/>
    <w:basedOn w:val="DefaultParagraphFont"/>
    <w:rsid w:val="002409F3"/>
    <w:rPr>
      <w:sz w:val="16"/>
      <w:szCs w:val="16"/>
    </w:rPr>
  </w:style>
  <w:style w:type="paragraph" w:styleId="CommentText">
    <w:name w:val="annotation text"/>
    <w:basedOn w:val="Normal"/>
    <w:link w:val="CommentTextChar"/>
    <w:rsid w:val="002409F3"/>
    <w:rPr>
      <w:sz w:val="20"/>
    </w:rPr>
  </w:style>
  <w:style w:type="character" w:customStyle="1" w:styleId="CommentTextChar">
    <w:name w:val="Comment Text Char"/>
    <w:basedOn w:val="DefaultParagraphFont"/>
    <w:link w:val="CommentText"/>
    <w:rsid w:val="002409F3"/>
    <w:rPr>
      <w:snapToGrid w:val="0"/>
      <w:kern w:val="28"/>
    </w:rPr>
  </w:style>
  <w:style w:type="paragraph" w:styleId="CommentSubject">
    <w:name w:val="annotation subject"/>
    <w:basedOn w:val="CommentText"/>
    <w:next w:val="CommentText"/>
    <w:link w:val="CommentSubjectChar"/>
    <w:rsid w:val="002409F3"/>
    <w:rPr>
      <w:b/>
      <w:bCs/>
    </w:rPr>
  </w:style>
  <w:style w:type="character" w:customStyle="1" w:styleId="CommentSubjectChar">
    <w:name w:val="Comment Subject Char"/>
    <w:basedOn w:val="CommentTextChar"/>
    <w:link w:val="CommentSubject"/>
    <w:rsid w:val="002409F3"/>
    <w:rPr>
      <w:b/>
      <w:bCs/>
      <w:snapToGrid w:val="0"/>
      <w:kern w:val="28"/>
    </w:rPr>
  </w:style>
  <w:style w:type="character" w:styleId="UnresolvedMention">
    <w:name w:val="Unresolved Mention"/>
    <w:basedOn w:val="DefaultParagraphFont"/>
    <w:uiPriority w:val="99"/>
    <w:semiHidden/>
    <w:unhideWhenUsed/>
    <w:rsid w:val="009A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