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1279A5BB"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ab/>
      </w:r>
    </w:p>
    <w:p w:rsidR="00843299" w:rsidRPr="00843299" w:rsidP="00843299" w14:paraId="5FD7B114" w14:textId="77777777">
      <w:pPr>
        <w:rPr>
          <w:sz w:val="20"/>
          <w:szCs w:val="22"/>
        </w:rPr>
        <w:sectPr w:rsidSect="00843299">
          <w:footerReference w:type="even" r:id="rId8"/>
          <w:footerReference w:type="default" r:id="rId9"/>
          <w:headerReference w:type="first" r:id="rId10"/>
          <w:type w:val="continuous"/>
          <w:pgSz w:w="12240" w:h="15840" w:code="1"/>
          <w:pgMar w:top="720" w:right="720" w:bottom="1440" w:left="720" w:header="720" w:footer="1440" w:gutter="0"/>
          <w:cols w:space="720"/>
          <w:titlePg/>
        </w:sectPr>
      </w:pPr>
    </w:p>
    <w:p w:rsidR="00843299" w:rsidRPr="00843299" w:rsidP="00546375" w14:paraId="70B1244E" w14:textId="4538D4AB">
      <w:pPr>
        <w:widowControl w:val="0"/>
        <w:ind w:left="7200"/>
        <w:rPr>
          <w:b/>
          <w:snapToGrid w:val="0"/>
          <w:kern w:val="28"/>
          <w:szCs w:val="22"/>
        </w:rPr>
      </w:pPr>
      <w:bookmarkStart w:id="1" w:name="_Hlk26280526"/>
      <w:bookmarkStart w:id="2" w:name="_Hlk64383480"/>
      <w:r>
        <w:rPr>
          <w:b/>
          <w:snapToGrid w:val="0"/>
          <w:kern w:val="28"/>
          <w:szCs w:val="22"/>
        </w:rPr>
        <w:t xml:space="preserve">      </w:t>
      </w:r>
      <w:r w:rsidRPr="00843299">
        <w:rPr>
          <w:b/>
          <w:snapToGrid w:val="0"/>
          <w:kern w:val="28"/>
          <w:szCs w:val="22"/>
        </w:rPr>
        <w:t>DA 23-</w:t>
      </w:r>
      <w:r w:rsidR="00DE4187">
        <w:rPr>
          <w:b/>
          <w:snapToGrid w:val="0"/>
          <w:kern w:val="28"/>
          <w:szCs w:val="22"/>
        </w:rPr>
        <w:t>1168</w:t>
      </w:r>
    </w:p>
    <w:p w:rsidR="00843299" w:rsidRPr="00843299" w:rsidP="00843299" w14:paraId="56CAAE95" w14:textId="77777777">
      <w:pPr>
        <w:widowControl w:val="0"/>
        <w:jc w:val="right"/>
        <w:rPr>
          <w:b/>
          <w:snapToGrid w:val="0"/>
          <w:kern w:val="28"/>
          <w:szCs w:val="22"/>
        </w:rPr>
      </w:pPr>
      <w:r w:rsidRPr="00843299">
        <w:rPr>
          <w:b/>
          <w:snapToGrid w:val="0"/>
          <w:kern w:val="28"/>
          <w:szCs w:val="22"/>
        </w:rPr>
        <w:t xml:space="preserve">Released: </w:t>
      </w:r>
      <w:bookmarkStart w:id="3" w:name="_Hlk146895823"/>
      <w:r w:rsidRPr="00843299">
        <w:rPr>
          <w:b/>
          <w:snapToGrid w:val="0"/>
          <w:kern w:val="28"/>
          <w:szCs w:val="22"/>
        </w:rPr>
        <w:t xml:space="preserve"> </w:t>
      </w:r>
      <w:bookmarkEnd w:id="3"/>
      <w:r w:rsidR="000F0AFE">
        <w:rPr>
          <w:b/>
          <w:snapToGrid w:val="0"/>
          <w:kern w:val="28"/>
          <w:szCs w:val="22"/>
        </w:rPr>
        <w:t>Dec</w:t>
      </w:r>
      <w:r w:rsidR="007A19EF">
        <w:rPr>
          <w:b/>
          <w:snapToGrid w:val="0"/>
          <w:kern w:val="28"/>
          <w:szCs w:val="22"/>
        </w:rPr>
        <w:t xml:space="preserve">ember </w:t>
      </w:r>
      <w:r w:rsidR="00311FF8">
        <w:rPr>
          <w:b/>
          <w:snapToGrid w:val="0"/>
          <w:kern w:val="28"/>
          <w:szCs w:val="22"/>
        </w:rPr>
        <w:t>15</w:t>
      </w:r>
      <w:r w:rsidRPr="00843299">
        <w:rPr>
          <w:b/>
          <w:snapToGrid w:val="0"/>
          <w:kern w:val="28"/>
          <w:szCs w:val="22"/>
        </w:rPr>
        <w:t>, 2023</w:t>
      </w:r>
    </w:p>
    <w:p w:rsidR="00843299" w:rsidRPr="00843299" w:rsidP="00843299" w14:paraId="389879D9" w14:textId="77777777">
      <w:pPr>
        <w:widowControl w:val="0"/>
        <w:spacing w:before="60"/>
        <w:jc w:val="center"/>
        <w:rPr>
          <w:b/>
          <w:snapToGrid w:val="0"/>
          <w:kern w:val="28"/>
          <w:szCs w:val="22"/>
        </w:rPr>
      </w:pPr>
    </w:p>
    <w:p w:rsidR="00843299" w:rsidRPr="00843299" w:rsidP="00843299" w14:paraId="4C874D01" w14:textId="77777777">
      <w:pPr>
        <w:jc w:val="center"/>
        <w:rPr>
          <w:b/>
          <w:bCs/>
          <w:szCs w:val="22"/>
        </w:rPr>
      </w:pPr>
      <w:r w:rsidRPr="00843299">
        <w:rPr>
          <w:b/>
          <w:bCs/>
          <w:szCs w:val="22"/>
        </w:rPr>
        <w:t xml:space="preserve">DOMESTIC </w:t>
      </w:r>
      <w:r w:rsidRPr="00843299">
        <w:rPr>
          <w:b/>
          <w:bCs/>
          <w:caps/>
          <w:szCs w:val="22"/>
        </w:rPr>
        <w:t>SECTION</w:t>
      </w:r>
      <w:r w:rsidRPr="00843299">
        <w:rPr>
          <w:b/>
          <w:bCs/>
          <w:szCs w:val="22"/>
        </w:rPr>
        <w:t xml:space="preserve"> 214 APPLICATION FILED </w:t>
      </w:r>
    </w:p>
    <w:p w:rsidR="00843299" w:rsidRPr="00843299" w:rsidP="00843299" w14:paraId="7DA1EAAA" w14:textId="77777777">
      <w:pPr>
        <w:jc w:val="center"/>
        <w:rPr>
          <w:b/>
          <w:bCs/>
          <w:szCs w:val="22"/>
        </w:rPr>
      </w:pPr>
      <w:r w:rsidRPr="00843299">
        <w:rPr>
          <w:b/>
          <w:bCs/>
          <w:szCs w:val="22"/>
        </w:rPr>
        <w:t xml:space="preserve">FOR THE </w:t>
      </w:r>
      <w:r w:rsidR="008A740E">
        <w:rPr>
          <w:b/>
          <w:bCs/>
          <w:szCs w:val="22"/>
        </w:rPr>
        <w:t xml:space="preserve">TRANSFER OF CONTROL OF HORIZON ACQUISITION PARENT LLC </w:t>
      </w:r>
      <w:r w:rsidR="00050E19">
        <w:rPr>
          <w:b/>
          <w:bCs/>
          <w:szCs w:val="22"/>
        </w:rPr>
        <w:t xml:space="preserve">AND ITS SUBSIDIARIES </w:t>
      </w:r>
      <w:r w:rsidR="008A740E">
        <w:rPr>
          <w:b/>
          <w:bCs/>
          <w:szCs w:val="22"/>
        </w:rPr>
        <w:t>TO SHENANDOAH TELECOMMUNICATIONS COMPANY</w:t>
      </w:r>
    </w:p>
    <w:p w:rsidR="00843299" w:rsidRPr="00843299" w:rsidP="00843299" w14:paraId="47B46AA7" w14:textId="77777777">
      <w:pPr>
        <w:rPr>
          <w:b/>
          <w:bCs/>
          <w:szCs w:val="22"/>
        </w:rPr>
      </w:pPr>
    </w:p>
    <w:p w:rsidR="00843299" w:rsidRPr="00843299" w:rsidP="00843299" w14:paraId="6F6C5BE9" w14:textId="77777777">
      <w:pPr>
        <w:jc w:val="center"/>
        <w:rPr>
          <w:b/>
          <w:bCs/>
          <w:szCs w:val="22"/>
        </w:rPr>
      </w:pPr>
    </w:p>
    <w:p w:rsidR="00843299" w:rsidRPr="00843299" w:rsidP="00843299" w14:paraId="2B0EF248" w14:textId="77777777">
      <w:pPr>
        <w:jc w:val="center"/>
        <w:rPr>
          <w:b/>
          <w:szCs w:val="22"/>
        </w:rPr>
      </w:pPr>
      <w:r w:rsidRPr="00843299">
        <w:rPr>
          <w:b/>
          <w:szCs w:val="22"/>
        </w:rPr>
        <w:t>NON-STREAMLINED PLEADING CYCLE ESTABLISHED</w:t>
      </w:r>
    </w:p>
    <w:p w:rsidR="00843299" w:rsidRPr="00843299" w:rsidP="00843299" w14:paraId="777178B6" w14:textId="77777777">
      <w:pPr>
        <w:jc w:val="center"/>
        <w:rPr>
          <w:b/>
          <w:szCs w:val="22"/>
        </w:rPr>
      </w:pPr>
    </w:p>
    <w:p w:rsidR="00843299" w:rsidRPr="00843299" w:rsidP="00843299" w14:paraId="5730E609" w14:textId="77777777">
      <w:pPr>
        <w:widowControl w:val="0"/>
        <w:spacing w:before="60"/>
        <w:jc w:val="center"/>
        <w:rPr>
          <w:b/>
          <w:snapToGrid w:val="0"/>
          <w:kern w:val="28"/>
          <w:szCs w:val="22"/>
        </w:rPr>
      </w:pPr>
      <w:r w:rsidRPr="00843299">
        <w:rPr>
          <w:b/>
          <w:snapToGrid w:val="0"/>
          <w:kern w:val="28"/>
          <w:szCs w:val="22"/>
        </w:rPr>
        <w:t>WC Docket No. 23-</w:t>
      </w:r>
      <w:r w:rsidR="005A5BD5">
        <w:rPr>
          <w:b/>
          <w:snapToGrid w:val="0"/>
          <w:kern w:val="28"/>
          <w:szCs w:val="22"/>
        </w:rPr>
        <w:t>384</w:t>
      </w:r>
    </w:p>
    <w:p w:rsidR="00843299" w:rsidRPr="00843299" w:rsidP="00843299" w14:paraId="09F5D44B" w14:textId="77777777">
      <w:pPr>
        <w:rPr>
          <w:b/>
          <w:szCs w:val="22"/>
        </w:rPr>
      </w:pPr>
    </w:p>
    <w:p w:rsidR="00843299" w:rsidRPr="00843299" w:rsidP="007A19EF" w14:paraId="36DDFFBD" w14:textId="77777777">
      <w:pPr>
        <w:tabs>
          <w:tab w:val="left" w:pos="2660"/>
        </w:tabs>
        <w:rPr>
          <w:b/>
          <w:szCs w:val="22"/>
        </w:rPr>
      </w:pPr>
      <w:r w:rsidRPr="00843299">
        <w:rPr>
          <w:b/>
          <w:szCs w:val="22"/>
        </w:rPr>
        <w:t xml:space="preserve">Comments Due:  </w:t>
      </w:r>
      <w:r w:rsidR="00792C3A">
        <w:rPr>
          <w:b/>
          <w:szCs w:val="22"/>
        </w:rPr>
        <w:t>Decem</w:t>
      </w:r>
      <w:r w:rsidR="007A19EF">
        <w:rPr>
          <w:b/>
          <w:szCs w:val="22"/>
        </w:rPr>
        <w:t>ber</w:t>
      </w:r>
      <w:r w:rsidR="00311FF8">
        <w:rPr>
          <w:b/>
          <w:szCs w:val="22"/>
        </w:rPr>
        <w:t xml:space="preserve"> 29</w:t>
      </w:r>
      <w:r w:rsidR="007A19EF">
        <w:rPr>
          <w:b/>
          <w:szCs w:val="22"/>
        </w:rPr>
        <w:t>, 2023</w:t>
      </w:r>
    </w:p>
    <w:p w:rsidR="00843299" w:rsidP="00843299" w14:paraId="7DA8BBDD" w14:textId="77777777">
      <w:pPr>
        <w:rPr>
          <w:b/>
          <w:szCs w:val="22"/>
        </w:rPr>
      </w:pPr>
      <w:r w:rsidRPr="00843299">
        <w:rPr>
          <w:b/>
          <w:szCs w:val="22"/>
        </w:rPr>
        <w:t xml:space="preserve">Reply Comment Due:  </w:t>
      </w:r>
      <w:r w:rsidR="00311FF8">
        <w:rPr>
          <w:b/>
          <w:szCs w:val="22"/>
        </w:rPr>
        <w:t>January 5,</w:t>
      </w:r>
      <w:r w:rsidRPr="00843299">
        <w:rPr>
          <w:b/>
          <w:szCs w:val="22"/>
        </w:rPr>
        <w:t xml:space="preserve"> 202</w:t>
      </w:r>
      <w:r w:rsidR="00311FF8">
        <w:rPr>
          <w:b/>
          <w:szCs w:val="22"/>
        </w:rPr>
        <w:t>4</w:t>
      </w:r>
      <w:r w:rsidRPr="00843299">
        <w:rPr>
          <w:b/>
          <w:szCs w:val="22"/>
        </w:rPr>
        <w:t xml:space="preserve"> </w:t>
      </w:r>
    </w:p>
    <w:p w:rsidR="00843299" w:rsidRPr="00843299" w:rsidP="00843299" w14:paraId="4D3C150E" w14:textId="77777777">
      <w:pPr>
        <w:rPr>
          <w:b/>
          <w:szCs w:val="22"/>
        </w:rPr>
      </w:pPr>
    </w:p>
    <w:p w:rsidR="00495ABA" w:rsidP="00495ABA" w14:paraId="15009906" w14:textId="77777777">
      <w:pPr>
        <w:autoSpaceDE w:val="0"/>
        <w:autoSpaceDN w:val="0"/>
        <w:adjustRightInd w:val="0"/>
        <w:spacing w:after="120"/>
        <w:ind w:firstLine="720"/>
        <w:rPr>
          <w:szCs w:val="22"/>
        </w:rPr>
      </w:pPr>
      <w:r w:rsidRPr="00843299">
        <w:rPr>
          <w:szCs w:val="22"/>
        </w:rPr>
        <w:t xml:space="preserve">By this Public Notice, the Wireline Competition Bureau seeks comment from interested parties on an application filed by </w:t>
      </w:r>
      <w:r w:rsidR="006A0E48">
        <w:rPr>
          <w:szCs w:val="22"/>
        </w:rPr>
        <w:t>Horizon Acquisition Parent LLC (HAP) and Shenandoah Telecommunications Company (Shentel)</w:t>
      </w:r>
      <w:r w:rsidRPr="00843299" w:rsidR="006F3126">
        <w:rPr>
          <w:szCs w:val="22"/>
        </w:rPr>
        <w:t>, pursuant to section 214 of the Communications Act of 1934, as amended, and sections 63.03-04 of the Commission’s rules,</w:t>
      </w:r>
      <w:r>
        <w:rPr>
          <w:szCs w:val="22"/>
          <w:vertAlign w:val="superscript"/>
        </w:rPr>
        <w:footnoteReference w:id="3"/>
      </w:r>
      <w:r w:rsidRPr="00843299" w:rsidR="006F3126">
        <w:rPr>
          <w:szCs w:val="22"/>
        </w:rPr>
        <w:t xml:space="preserve"> requesting </w:t>
      </w:r>
      <w:r w:rsidR="006F3126">
        <w:rPr>
          <w:szCs w:val="22"/>
        </w:rPr>
        <w:t xml:space="preserve">consent for the transfer of control </w:t>
      </w:r>
      <w:r w:rsidR="009964FA">
        <w:rPr>
          <w:szCs w:val="22"/>
        </w:rPr>
        <w:t xml:space="preserve">of </w:t>
      </w:r>
      <w:bookmarkStart w:id="4" w:name="_Hlk151465069"/>
      <w:r w:rsidR="002A0F0A">
        <w:rPr>
          <w:szCs w:val="22"/>
        </w:rPr>
        <w:t>The Chillicothe Telephone Company (CTC)</w:t>
      </w:r>
      <w:r w:rsidR="009964FA">
        <w:rPr>
          <w:szCs w:val="22"/>
        </w:rPr>
        <w:t xml:space="preserve"> and its affiliates </w:t>
      </w:r>
      <w:r w:rsidR="002A0F0A">
        <w:rPr>
          <w:szCs w:val="22"/>
        </w:rPr>
        <w:t xml:space="preserve">Horizon Services, Inc. (Horizon Services), Infinity Fiber, LLC (Infinity Fiber), </w:t>
      </w:r>
      <w:r w:rsidR="009964FA">
        <w:rPr>
          <w:szCs w:val="22"/>
        </w:rPr>
        <w:t xml:space="preserve">and </w:t>
      </w:r>
      <w:r w:rsidR="002A0F0A">
        <w:rPr>
          <w:szCs w:val="22"/>
        </w:rPr>
        <w:t>Urban System, LLC (Urban Systems)</w:t>
      </w:r>
      <w:bookmarkEnd w:id="4"/>
      <w:r w:rsidR="002A0F0A">
        <w:rPr>
          <w:szCs w:val="22"/>
        </w:rPr>
        <w:t xml:space="preserve">, </w:t>
      </w:r>
      <w:r w:rsidRPr="00D34323" w:rsidR="002A0F0A">
        <w:rPr>
          <w:szCs w:val="22"/>
        </w:rPr>
        <w:t>(</w:t>
      </w:r>
      <w:r w:rsidRPr="00D34323" w:rsidR="00E207A7">
        <w:rPr>
          <w:szCs w:val="22"/>
        </w:rPr>
        <w:t xml:space="preserve">Horizon Services, Infinity Fiber and Urban </w:t>
      </w:r>
      <w:r w:rsidRPr="00D34323" w:rsidR="00D34323">
        <w:rPr>
          <w:szCs w:val="22"/>
        </w:rPr>
        <w:t>S</w:t>
      </w:r>
      <w:r w:rsidRPr="00D34323" w:rsidR="00E207A7">
        <w:rPr>
          <w:szCs w:val="22"/>
        </w:rPr>
        <w:t>ystems, together</w:t>
      </w:r>
      <w:r w:rsidRPr="00D34323" w:rsidR="002A0F0A">
        <w:rPr>
          <w:szCs w:val="22"/>
        </w:rPr>
        <w:t xml:space="preserve">, </w:t>
      </w:r>
      <w:r w:rsidRPr="00D34323" w:rsidR="00E207A7">
        <w:rPr>
          <w:szCs w:val="22"/>
        </w:rPr>
        <w:t>the Horizon Licensees, and</w:t>
      </w:r>
      <w:r w:rsidRPr="00D34323" w:rsidR="002A0F0A">
        <w:rPr>
          <w:szCs w:val="22"/>
        </w:rPr>
        <w:t>, together with CTC, the Licensees)</w:t>
      </w:r>
      <w:r w:rsidR="002A0F0A">
        <w:rPr>
          <w:szCs w:val="22"/>
        </w:rPr>
        <w:t xml:space="preserve"> </w:t>
      </w:r>
      <w:r w:rsidRPr="00843299">
        <w:rPr>
          <w:szCs w:val="22"/>
        </w:rPr>
        <w:t>(</w:t>
      </w:r>
      <w:r w:rsidR="00050E19">
        <w:rPr>
          <w:szCs w:val="22"/>
        </w:rPr>
        <w:t xml:space="preserve">Licensees, </w:t>
      </w:r>
      <w:r w:rsidR="008A740E">
        <w:rPr>
          <w:szCs w:val="22"/>
        </w:rPr>
        <w:t>together with HAP and Shentel</w:t>
      </w:r>
      <w:r w:rsidRPr="00843299">
        <w:rPr>
          <w:szCs w:val="22"/>
        </w:rPr>
        <w:t>,</w:t>
      </w:r>
      <w:r w:rsidR="008A740E">
        <w:rPr>
          <w:szCs w:val="22"/>
        </w:rPr>
        <w:t xml:space="preserve"> the</w:t>
      </w:r>
      <w:r w:rsidRPr="00843299">
        <w:rPr>
          <w:szCs w:val="22"/>
        </w:rPr>
        <w:t xml:space="preserve"> Applicants)</w:t>
      </w:r>
      <w:r w:rsidR="009964FA">
        <w:rPr>
          <w:szCs w:val="22"/>
        </w:rPr>
        <w:t xml:space="preserve"> from HAP to Shentel.</w:t>
      </w:r>
      <w:r>
        <w:rPr>
          <w:rStyle w:val="FootnoteReference"/>
          <w:szCs w:val="22"/>
        </w:rPr>
        <w:footnoteReference w:id="4"/>
      </w:r>
      <w:r w:rsidR="009964FA">
        <w:rPr>
          <w:szCs w:val="22"/>
        </w:rPr>
        <w:t xml:space="preserve"> </w:t>
      </w:r>
      <w:r w:rsidR="00015AB6">
        <w:rPr>
          <w:szCs w:val="22"/>
        </w:rPr>
        <w:t xml:space="preserve"> </w:t>
      </w:r>
    </w:p>
    <w:p w:rsidR="000A0CB2" w:rsidP="00311FF8" w14:paraId="52FB33F9" w14:textId="77777777">
      <w:pPr>
        <w:autoSpaceDE w:val="0"/>
        <w:autoSpaceDN w:val="0"/>
        <w:adjustRightInd w:val="0"/>
        <w:spacing w:after="120"/>
        <w:ind w:firstLine="720"/>
        <w:rPr>
          <w:szCs w:val="22"/>
        </w:rPr>
      </w:pPr>
      <w:r>
        <w:rPr>
          <w:szCs w:val="22"/>
        </w:rPr>
        <w:t xml:space="preserve">The Licensees provide </w:t>
      </w:r>
      <w:r w:rsidR="001768CE">
        <w:rPr>
          <w:szCs w:val="22"/>
        </w:rPr>
        <w:t>telecommunications services and other services</w:t>
      </w:r>
      <w:r>
        <w:rPr>
          <w:szCs w:val="22"/>
        </w:rPr>
        <w:t xml:space="preserve"> in Indiana, Kentucky, Michigan, Ohio, Pennsylvania, and/or West Virginia.</w:t>
      </w:r>
      <w:r>
        <w:rPr>
          <w:rStyle w:val="FootnoteReference"/>
          <w:szCs w:val="22"/>
        </w:rPr>
        <w:footnoteReference w:id="5"/>
      </w:r>
      <w:r>
        <w:rPr>
          <w:szCs w:val="22"/>
        </w:rPr>
        <w:t xml:space="preserve"> </w:t>
      </w:r>
      <w:r w:rsidR="003B0D16">
        <w:rPr>
          <w:szCs w:val="22"/>
        </w:rPr>
        <w:t xml:space="preserve"> </w:t>
      </w:r>
      <w:r w:rsidR="00C45608">
        <w:rPr>
          <w:szCs w:val="22"/>
        </w:rPr>
        <w:t xml:space="preserve">CTC is authorized to provide </w:t>
      </w:r>
      <w:r w:rsidR="00924572">
        <w:rPr>
          <w:szCs w:val="22"/>
        </w:rPr>
        <w:t xml:space="preserve">service as </w:t>
      </w:r>
      <w:r w:rsidR="007E413D">
        <w:rPr>
          <w:szCs w:val="22"/>
        </w:rPr>
        <w:t xml:space="preserve">an </w:t>
      </w:r>
      <w:r w:rsidR="00C45608">
        <w:rPr>
          <w:szCs w:val="22"/>
        </w:rPr>
        <w:t xml:space="preserve">incumbent </w:t>
      </w:r>
      <w:r w:rsidR="00924572">
        <w:rPr>
          <w:szCs w:val="22"/>
        </w:rPr>
        <w:t xml:space="preserve">local exchange carrier (LEC) </w:t>
      </w:r>
      <w:r w:rsidR="00C45608">
        <w:rPr>
          <w:szCs w:val="22"/>
        </w:rPr>
        <w:t xml:space="preserve">in Kentucky, </w:t>
      </w:r>
      <w:r w:rsidR="00924572">
        <w:rPr>
          <w:szCs w:val="22"/>
        </w:rPr>
        <w:t xml:space="preserve">as </w:t>
      </w:r>
      <w:r w:rsidR="007E413D">
        <w:rPr>
          <w:szCs w:val="22"/>
        </w:rPr>
        <w:t xml:space="preserve">a </w:t>
      </w:r>
      <w:r w:rsidR="00C45608">
        <w:rPr>
          <w:szCs w:val="22"/>
        </w:rPr>
        <w:t xml:space="preserve">competitive LEC </w:t>
      </w:r>
      <w:r w:rsidR="00C45608">
        <w:rPr>
          <w:szCs w:val="22"/>
        </w:rPr>
        <w:t xml:space="preserve">throughout Ohio, and </w:t>
      </w:r>
      <w:r w:rsidR="00924572">
        <w:rPr>
          <w:szCs w:val="22"/>
        </w:rPr>
        <w:t xml:space="preserve">as a </w:t>
      </w:r>
      <w:r w:rsidR="00C45608">
        <w:rPr>
          <w:szCs w:val="22"/>
        </w:rPr>
        <w:t>competitive access provider (CAP) in Michigan.</w:t>
      </w:r>
      <w:r>
        <w:rPr>
          <w:rStyle w:val="FootnoteReference"/>
          <w:szCs w:val="22"/>
        </w:rPr>
        <w:footnoteReference w:id="6"/>
      </w:r>
      <w:r w:rsidR="00C45608">
        <w:rPr>
          <w:szCs w:val="22"/>
        </w:rPr>
        <w:t xml:space="preserve">  </w:t>
      </w:r>
      <w:r w:rsidR="003B0D16">
        <w:rPr>
          <w:szCs w:val="22"/>
        </w:rPr>
        <w:t>CTC provides interstate exchange access and interstate interexchange services to customers in ten exchanges within portions of the counties of Hocking, Jackson, Pickaway, Pike, Ross, and Vinton in central Ohio.</w:t>
      </w:r>
      <w:r>
        <w:rPr>
          <w:rStyle w:val="FootnoteReference"/>
          <w:szCs w:val="22"/>
        </w:rPr>
        <w:footnoteReference w:id="7"/>
      </w:r>
      <w:r w:rsidR="003B0D16">
        <w:rPr>
          <w:szCs w:val="22"/>
        </w:rPr>
        <w:t xml:space="preserve">  While Horizon Services is authorized to provide </w:t>
      </w:r>
      <w:r w:rsidR="0092059B">
        <w:rPr>
          <w:szCs w:val="22"/>
        </w:rPr>
        <w:t xml:space="preserve">competitive </w:t>
      </w:r>
      <w:r w:rsidR="003B0D16">
        <w:rPr>
          <w:szCs w:val="22"/>
        </w:rPr>
        <w:t>LEC services in Ohio, it does not currently provide any services.</w:t>
      </w:r>
      <w:r>
        <w:rPr>
          <w:rStyle w:val="FootnoteReference"/>
          <w:szCs w:val="22"/>
        </w:rPr>
        <w:footnoteReference w:id="8"/>
      </w:r>
      <w:r w:rsidR="003B0D16">
        <w:rPr>
          <w:szCs w:val="22"/>
        </w:rPr>
        <w:t xml:space="preserve">  Infinity Fiber and Urban Systems currently provide dark fiber services in Indiana.</w:t>
      </w:r>
      <w:r>
        <w:rPr>
          <w:rStyle w:val="FootnoteReference"/>
          <w:szCs w:val="22"/>
        </w:rPr>
        <w:footnoteReference w:id="9"/>
      </w:r>
      <w:r w:rsidR="003B0D16">
        <w:rPr>
          <w:szCs w:val="22"/>
        </w:rPr>
        <w:t xml:space="preserve">  </w:t>
      </w:r>
      <w:r>
        <w:rPr>
          <w:szCs w:val="22"/>
        </w:rPr>
        <w:t>HAP</w:t>
      </w:r>
      <w:r w:rsidR="00E22CE3">
        <w:rPr>
          <w:szCs w:val="22"/>
        </w:rPr>
        <w:t>, a Delaware limited liability,</w:t>
      </w:r>
      <w:r>
        <w:rPr>
          <w:szCs w:val="22"/>
        </w:rPr>
        <w:t xml:space="preserve"> operates as a holding company and parent to the Licensees and does not offer or provide telecommunications services.</w:t>
      </w:r>
      <w:r>
        <w:rPr>
          <w:rStyle w:val="FootnoteReference"/>
          <w:szCs w:val="22"/>
        </w:rPr>
        <w:footnoteReference w:id="10"/>
      </w:r>
      <w:r>
        <w:rPr>
          <w:szCs w:val="22"/>
        </w:rPr>
        <w:t xml:space="preserve"> </w:t>
      </w:r>
      <w:r w:rsidR="002704E0">
        <w:rPr>
          <w:szCs w:val="22"/>
        </w:rPr>
        <w:t xml:space="preserve"> HAP is “controlled by its majority shareholder, Novacap TMT, L.P., a limited partnership formed under the laws of the Province of Quebec, </w:t>
      </w:r>
      <w:r w:rsidR="007E413D">
        <w:rPr>
          <w:szCs w:val="22"/>
        </w:rPr>
        <w:t xml:space="preserve">Canada, </w:t>
      </w:r>
      <w:r w:rsidR="002704E0">
        <w:rPr>
          <w:szCs w:val="22"/>
        </w:rPr>
        <w:t>and an entity that is ultimately controlled by certain principals of Novacap Management Inc.”</w:t>
      </w:r>
      <w:r>
        <w:rPr>
          <w:rStyle w:val="FootnoteReference"/>
          <w:szCs w:val="22"/>
        </w:rPr>
        <w:footnoteReference w:id="11"/>
      </w:r>
      <w:r w:rsidR="002704E0">
        <w:rPr>
          <w:szCs w:val="22"/>
        </w:rPr>
        <w:t xml:space="preserve"> </w:t>
      </w:r>
    </w:p>
    <w:p w:rsidR="00BD519C" w:rsidRPr="009455F2" w:rsidP="00CD711B" w14:paraId="0A05CB86" w14:textId="77777777">
      <w:pPr>
        <w:autoSpaceDE w:val="0"/>
        <w:autoSpaceDN w:val="0"/>
        <w:adjustRightInd w:val="0"/>
        <w:spacing w:after="120"/>
        <w:ind w:firstLine="720"/>
        <w:rPr>
          <w:szCs w:val="22"/>
        </w:rPr>
      </w:pPr>
      <w:r w:rsidRPr="009455F2">
        <w:rPr>
          <w:szCs w:val="22"/>
        </w:rPr>
        <w:t xml:space="preserve">Shentel, a </w:t>
      </w:r>
      <w:r w:rsidRPr="009455F2" w:rsidR="00B37733">
        <w:rPr>
          <w:szCs w:val="22"/>
        </w:rPr>
        <w:t xml:space="preserve">publicly-traded </w:t>
      </w:r>
      <w:r w:rsidRPr="009455F2">
        <w:rPr>
          <w:szCs w:val="22"/>
        </w:rPr>
        <w:t>Virginia corporation, is a holding company that provides residential and commercial communication services through its operating subsidiaries.</w:t>
      </w:r>
      <w:r>
        <w:rPr>
          <w:rStyle w:val="FootnoteReference"/>
          <w:szCs w:val="22"/>
        </w:rPr>
        <w:footnoteReference w:id="12"/>
      </w:r>
      <w:r w:rsidRPr="009455F2">
        <w:rPr>
          <w:szCs w:val="22"/>
        </w:rPr>
        <w:t xml:space="preserve">  </w:t>
      </w:r>
      <w:r w:rsidRPr="009455F2">
        <w:rPr>
          <w:szCs w:val="22"/>
        </w:rPr>
        <w:t>Shentel, through its affiliates, provides domestic telecommunications services in Kentucky, Maryland, Pennsylvania, Virginia, and West Virginia.</w:t>
      </w:r>
      <w:r>
        <w:rPr>
          <w:rStyle w:val="FootnoteReference"/>
          <w:szCs w:val="22"/>
        </w:rPr>
        <w:footnoteReference w:id="13"/>
      </w:r>
      <w:r w:rsidRPr="009455F2">
        <w:rPr>
          <w:szCs w:val="22"/>
        </w:rPr>
        <w:t xml:space="preserve">  </w:t>
      </w:r>
      <w:r w:rsidRPr="009455F2" w:rsidR="00F23C8B">
        <w:rPr>
          <w:szCs w:val="22"/>
        </w:rPr>
        <w:t>The following U.S. entities hold a ten percent or greater interest in Shentel:  Black Rock, Inc. (and subsidiaries) (16.3%); and The Vanguard Group, Inc. (10.98%).</w:t>
      </w:r>
      <w:r>
        <w:rPr>
          <w:rStyle w:val="FootnoteReference"/>
          <w:szCs w:val="22"/>
        </w:rPr>
        <w:footnoteReference w:id="14"/>
      </w:r>
      <w:r w:rsidRPr="009455F2" w:rsidR="00015AB6">
        <w:rPr>
          <w:szCs w:val="22"/>
        </w:rPr>
        <w:t xml:space="preserve"> </w:t>
      </w:r>
    </w:p>
    <w:p w:rsidR="00ED4A4C" w:rsidP="008F6EF9" w14:paraId="1B5D9505" w14:textId="77777777">
      <w:pPr>
        <w:autoSpaceDE w:val="0"/>
        <w:autoSpaceDN w:val="0"/>
        <w:adjustRightInd w:val="0"/>
        <w:spacing w:before="120" w:after="120"/>
        <w:ind w:firstLine="720"/>
        <w:rPr>
          <w:szCs w:val="22"/>
        </w:rPr>
      </w:pPr>
      <w:r w:rsidRPr="00843299">
        <w:rPr>
          <w:szCs w:val="22"/>
        </w:rPr>
        <w:t xml:space="preserve">Pursuant to the terms of the </w:t>
      </w:r>
      <w:r w:rsidR="004803B6">
        <w:rPr>
          <w:szCs w:val="22"/>
        </w:rPr>
        <w:t>A</w:t>
      </w:r>
      <w:r w:rsidR="007F4385">
        <w:rPr>
          <w:szCs w:val="22"/>
        </w:rPr>
        <w:t xml:space="preserve">greement and </w:t>
      </w:r>
      <w:r w:rsidR="004803B6">
        <w:rPr>
          <w:szCs w:val="22"/>
        </w:rPr>
        <w:t>P</w:t>
      </w:r>
      <w:r w:rsidR="007F4385">
        <w:rPr>
          <w:szCs w:val="22"/>
        </w:rPr>
        <w:t>lan of Merger, the Applicants propose to transfer control</w:t>
      </w:r>
      <w:r w:rsidR="004803B6">
        <w:rPr>
          <w:szCs w:val="22"/>
        </w:rPr>
        <w:t xml:space="preserve"> of</w:t>
      </w:r>
      <w:r w:rsidR="007F4385">
        <w:rPr>
          <w:szCs w:val="22"/>
        </w:rPr>
        <w:t xml:space="preserve"> the Licensees through two</w:t>
      </w:r>
      <w:r w:rsidR="008F6EF9">
        <w:rPr>
          <w:szCs w:val="22"/>
        </w:rPr>
        <w:t xml:space="preserve"> steps</w:t>
      </w:r>
      <w:r w:rsidR="007F4385">
        <w:rPr>
          <w:szCs w:val="22"/>
        </w:rPr>
        <w:t>, wherein a newly created Shentel subsidiary, Fox Merger Sub I, Inc.,</w:t>
      </w:r>
      <w:r>
        <w:rPr>
          <w:szCs w:val="22"/>
        </w:rPr>
        <w:t xml:space="preserve"> </w:t>
      </w:r>
      <w:r w:rsidR="007F4385">
        <w:rPr>
          <w:szCs w:val="22"/>
        </w:rPr>
        <w:t>(Merger Sub I)</w:t>
      </w:r>
      <w:r w:rsidR="007E413D">
        <w:rPr>
          <w:szCs w:val="22"/>
        </w:rPr>
        <w:t>,</w:t>
      </w:r>
      <w:r w:rsidR="007F4385">
        <w:rPr>
          <w:szCs w:val="22"/>
        </w:rPr>
        <w:t xml:space="preserve"> a Delaware corporation, and another newly created Shentel subsidiary, Fox Merger Sub II, LLC (Merger Sub II)</w:t>
      </w:r>
      <w:r w:rsidR="007E413D">
        <w:rPr>
          <w:szCs w:val="22"/>
        </w:rPr>
        <w:t>,</w:t>
      </w:r>
      <w:r w:rsidR="007F4385">
        <w:rPr>
          <w:szCs w:val="22"/>
        </w:rPr>
        <w:t xml:space="preserve"> a Delaware limited liability company</w:t>
      </w:r>
      <w:r w:rsidR="007E413D">
        <w:rPr>
          <w:szCs w:val="22"/>
        </w:rPr>
        <w:t>,</w:t>
      </w:r>
      <w:r w:rsidR="007F4385">
        <w:rPr>
          <w:szCs w:val="22"/>
        </w:rPr>
        <w:t xml:space="preserve"> will facilitate Shentel’s acquisition and assumption of control of</w:t>
      </w:r>
      <w:r w:rsidR="008F6EF9">
        <w:rPr>
          <w:szCs w:val="22"/>
        </w:rPr>
        <w:t xml:space="preserve"> </w:t>
      </w:r>
      <w:r w:rsidR="007F4385">
        <w:rPr>
          <w:szCs w:val="22"/>
        </w:rPr>
        <w:t>the Licensees.</w:t>
      </w:r>
      <w:r>
        <w:rPr>
          <w:rStyle w:val="FootnoteReference"/>
          <w:szCs w:val="22"/>
        </w:rPr>
        <w:footnoteReference w:id="15"/>
      </w:r>
      <w:r w:rsidR="007F4385">
        <w:rPr>
          <w:szCs w:val="22"/>
        </w:rPr>
        <w:t xml:space="preserve">  </w:t>
      </w:r>
      <w:r w:rsidR="00E22CE3">
        <w:rPr>
          <w:szCs w:val="22"/>
        </w:rPr>
        <w:t xml:space="preserve">Specifically, </w:t>
      </w:r>
      <w:r w:rsidR="00ED374C">
        <w:rPr>
          <w:szCs w:val="22"/>
        </w:rPr>
        <w:t>Applicants state that “</w:t>
      </w:r>
      <w:r w:rsidR="007F4385">
        <w:rPr>
          <w:szCs w:val="22"/>
        </w:rPr>
        <w:t>Merger Sub I will merger into HA</w:t>
      </w:r>
      <w:r w:rsidR="008F6EF9">
        <w:rPr>
          <w:szCs w:val="22"/>
        </w:rPr>
        <w:t>P</w:t>
      </w:r>
      <w:r w:rsidR="007F4385">
        <w:rPr>
          <w:szCs w:val="22"/>
        </w:rPr>
        <w:t>, with HA</w:t>
      </w:r>
      <w:r w:rsidR="008F6EF9">
        <w:rPr>
          <w:szCs w:val="22"/>
        </w:rPr>
        <w:t>P</w:t>
      </w:r>
      <w:r w:rsidR="007F4385">
        <w:rPr>
          <w:szCs w:val="22"/>
        </w:rPr>
        <w:t xml:space="preserve"> as the surviving entity, and then such surviving entity will be merged into Merger Sub II, with Merger Sub II </w:t>
      </w:r>
      <w:r w:rsidR="00987277">
        <w:rPr>
          <w:szCs w:val="22"/>
        </w:rPr>
        <w:t>as the surviving equity (the name of which will be Horizon Acquisition Parent LLC), such that the Licensees will become direct, wholly-owned subsidiaries of Shentel</w:t>
      </w:r>
      <w:r w:rsidR="00ED374C">
        <w:rPr>
          <w:szCs w:val="22"/>
        </w:rPr>
        <w:t>.”</w:t>
      </w:r>
      <w:r>
        <w:rPr>
          <w:rStyle w:val="FootnoteReference"/>
          <w:szCs w:val="22"/>
        </w:rPr>
        <w:footnoteReference w:id="16"/>
      </w:r>
      <w:r w:rsidR="00987277">
        <w:rPr>
          <w:szCs w:val="22"/>
        </w:rPr>
        <w:t xml:space="preserve">  </w:t>
      </w:r>
      <w:r w:rsidR="00ED374C">
        <w:rPr>
          <w:szCs w:val="22"/>
        </w:rPr>
        <w:t>As a result</w:t>
      </w:r>
      <w:r w:rsidR="00987277">
        <w:rPr>
          <w:szCs w:val="22"/>
        </w:rPr>
        <w:t xml:space="preserve">, Shentel will acquire an indirect </w:t>
      </w:r>
      <w:r w:rsidR="00987277">
        <w:rPr>
          <w:szCs w:val="22"/>
        </w:rPr>
        <w:t>interest in 100% of the equity and voting interest in the Licensees, and will thus assume indirect control of the Licensees.</w:t>
      </w:r>
      <w:r>
        <w:rPr>
          <w:rStyle w:val="FootnoteReference"/>
          <w:szCs w:val="22"/>
        </w:rPr>
        <w:footnoteReference w:id="17"/>
      </w:r>
      <w:r w:rsidR="00987277">
        <w:rPr>
          <w:szCs w:val="22"/>
        </w:rPr>
        <w:t xml:space="preserve">  </w:t>
      </w:r>
      <w:r w:rsidRPr="009455F2" w:rsidR="009455F2">
        <w:rPr>
          <w:szCs w:val="22"/>
        </w:rPr>
        <w:t>Applicants state tha</w:t>
      </w:r>
      <w:r w:rsidR="009455F2">
        <w:rPr>
          <w:szCs w:val="22"/>
        </w:rPr>
        <w:t>t Shentel will ultimately own and control the Licensees following consummation of the proposed transaction.</w:t>
      </w:r>
      <w:r>
        <w:rPr>
          <w:rStyle w:val="FootnoteReference"/>
          <w:szCs w:val="22"/>
        </w:rPr>
        <w:footnoteReference w:id="18"/>
      </w:r>
    </w:p>
    <w:p w:rsidR="007E3FED" w:rsidRPr="00843299" w:rsidP="00EB5655" w14:paraId="702AA346" w14:textId="77777777">
      <w:pPr>
        <w:autoSpaceDE w:val="0"/>
        <w:autoSpaceDN w:val="0"/>
        <w:adjustRightInd w:val="0"/>
        <w:spacing w:before="120" w:after="120"/>
        <w:ind w:firstLine="720"/>
        <w:rPr>
          <w:szCs w:val="22"/>
        </w:rPr>
      </w:pPr>
      <w:r>
        <w:rPr>
          <w:szCs w:val="22"/>
        </w:rPr>
        <w:t xml:space="preserve">Applicants assert </w:t>
      </w:r>
      <w:r w:rsidR="002C5E63">
        <w:rPr>
          <w:szCs w:val="22"/>
        </w:rPr>
        <w:t>that the proposed transaction is consistent with the public interest, convenience and necessity.</w:t>
      </w:r>
      <w:r>
        <w:rPr>
          <w:rStyle w:val="FootnoteReference"/>
          <w:szCs w:val="22"/>
        </w:rPr>
        <w:footnoteReference w:id="19"/>
      </w:r>
      <w:r w:rsidR="002C5E63">
        <w:rPr>
          <w:szCs w:val="22"/>
        </w:rPr>
        <w:t xml:space="preserve">  </w:t>
      </w:r>
      <w:r w:rsidR="00F95BF6">
        <w:rPr>
          <w:szCs w:val="22"/>
        </w:rPr>
        <w:t xml:space="preserve">Applicants </w:t>
      </w:r>
      <w:r w:rsidR="00924572">
        <w:rPr>
          <w:szCs w:val="22"/>
        </w:rPr>
        <w:t>state th</w:t>
      </w:r>
      <w:r w:rsidR="00F95BF6">
        <w:rPr>
          <w:szCs w:val="22"/>
        </w:rPr>
        <w:t xml:space="preserve">at </w:t>
      </w:r>
      <w:r w:rsidR="00AC2CBA">
        <w:rPr>
          <w:szCs w:val="22"/>
        </w:rPr>
        <w:t>customers’ rates, terms, and conditions of service will not change except in compliance with customers’ contracts, the Licensees’ tariffs, and applicable law</w:t>
      </w:r>
      <w:r w:rsidR="00EB5655">
        <w:rPr>
          <w:szCs w:val="22"/>
        </w:rPr>
        <w:t>.</w:t>
      </w:r>
      <w:r>
        <w:rPr>
          <w:rStyle w:val="FootnoteReference"/>
          <w:szCs w:val="22"/>
        </w:rPr>
        <w:footnoteReference w:id="20"/>
      </w:r>
      <w:r w:rsidR="00EB5655">
        <w:rPr>
          <w:szCs w:val="22"/>
        </w:rPr>
        <w:t xml:space="preserve">  </w:t>
      </w:r>
      <w:r w:rsidR="00F95BF6">
        <w:rPr>
          <w:szCs w:val="22"/>
        </w:rPr>
        <w:t xml:space="preserve">Applicants </w:t>
      </w:r>
      <w:r w:rsidR="00924572">
        <w:rPr>
          <w:szCs w:val="22"/>
        </w:rPr>
        <w:t xml:space="preserve">contend </w:t>
      </w:r>
      <w:r w:rsidR="00F95BF6">
        <w:rPr>
          <w:szCs w:val="22"/>
        </w:rPr>
        <w:t>that</w:t>
      </w:r>
      <w:r w:rsidR="00EB5655">
        <w:rPr>
          <w:szCs w:val="22"/>
        </w:rPr>
        <w:t xml:space="preserve"> </w:t>
      </w:r>
      <w:r w:rsidR="00924572">
        <w:rPr>
          <w:szCs w:val="22"/>
        </w:rPr>
        <w:t>the transaction will not result in a</w:t>
      </w:r>
      <w:r w:rsidR="00021FAC">
        <w:rPr>
          <w:szCs w:val="22"/>
        </w:rPr>
        <w:t xml:space="preserve"> loss of a competitive provider in the markets in which the Licensees currently operate.</w:t>
      </w:r>
      <w:r>
        <w:rPr>
          <w:rStyle w:val="FootnoteReference"/>
          <w:szCs w:val="22"/>
        </w:rPr>
        <w:footnoteReference w:id="21"/>
      </w:r>
      <w:r w:rsidR="00EB5655">
        <w:rPr>
          <w:szCs w:val="22"/>
        </w:rPr>
        <w:t xml:space="preserve">  </w:t>
      </w:r>
    </w:p>
    <w:p w:rsidR="00BA7935" w:rsidRPr="00843299" w:rsidP="00BA7935" w14:paraId="2EC6B90E" w14:textId="77777777">
      <w:pPr>
        <w:autoSpaceDE w:val="0"/>
        <w:autoSpaceDN w:val="0"/>
        <w:adjustRightInd w:val="0"/>
        <w:spacing w:after="120"/>
        <w:ind w:firstLine="720"/>
        <w:rPr>
          <w:bCs/>
          <w:snapToGrid w:val="0"/>
          <w:color w:val="000000"/>
          <w:kern w:val="28"/>
          <w:szCs w:val="22"/>
        </w:rPr>
      </w:pPr>
      <w:r w:rsidRPr="00843299">
        <w:rPr>
          <w:bCs/>
          <w:snapToGrid w:val="0"/>
          <w:color w:val="000000"/>
          <w:kern w:val="28"/>
          <w:szCs w:val="22"/>
        </w:rPr>
        <w:t>Because the proposed transaction is more complex than those accepted for streamlined treatment, and in order to analyze whether the proposed transaction would serve the public interest, we accept the Application for non-streamlined processing.</w:t>
      </w:r>
      <w:r>
        <w:rPr>
          <w:bCs/>
          <w:snapToGrid w:val="0"/>
          <w:color w:val="000000"/>
          <w:kern w:val="28"/>
          <w:szCs w:val="22"/>
          <w:vertAlign w:val="superscript"/>
        </w:rPr>
        <w:footnoteReference w:id="22"/>
      </w:r>
    </w:p>
    <w:p w:rsidR="00BA7935" w:rsidP="00843299" w14:paraId="18B6150C" w14:textId="77777777">
      <w:pPr>
        <w:ind w:left="720"/>
        <w:rPr>
          <w:szCs w:val="22"/>
        </w:rPr>
      </w:pPr>
      <w:r w:rsidRPr="00843299">
        <w:rPr>
          <w:szCs w:val="22"/>
        </w:rPr>
        <w:t xml:space="preserve">Domestic Section 214 Application Filed for the </w:t>
      </w:r>
      <w:r>
        <w:rPr>
          <w:szCs w:val="22"/>
        </w:rPr>
        <w:t xml:space="preserve">Transfer of Control of </w:t>
      </w:r>
    </w:p>
    <w:p w:rsidR="00843299" w:rsidRPr="00843299" w:rsidP="00843299" w14:paraId="1C52215D" w14:textId="77777777">
      <w:pPr>
        <w:ind w:left="720"/>
        <w:rPr>
          <w:szCs w:val="22"/>
        </w:rPr>
      </w:pPr>
      <w:r>
        <w:rPr>
          <w:szCs w:val="22"/>
        </w:rPr>
        <w:t>Horizon Acquisition Parent LLC to Shenandoah Telecommunications Company</w:t>
      </w:r>
      <w:r w:rsidRPr="00843299" w:rsidR="00CA23B1">
        <w:rPr>
          <w:szCs w:val="22"/>
        </w:rPr>
        <w:t xml:space="preserve">, </w:t>
      </w:r>
    </w:p>
    <w:p w:rsidR="00843299" w:rsidRPr="00843299" w:rsidP="00843299" w14:paraId="15D6A283" w14:textId="77777777">
      <w:pPr>
        <w:ind w:left="720"/>
        <w:rPr>
          <w:szCs w:val="22"/>
        </w:rPr>
      </w:pPr>
      <w:r w:rsidRPr="00843299">
        <w:rPr>
          <w:szCs w:val="22"/>
        </w:rPr>
        <w:t>WC Docket No. 23-</w:t>
      </w:r>
      <w:r w:rsidR="002C5E63">
        <w:rPr>
          <w:szCs w:val="22"/>
        </w:rPr>
        <w:t>384</w:t>
      </w:r>
      <w:r w:rsidRPr="00843299">
        <w:rPr>
          <w:szCs w:val="22"/>
        </w:rPr>
        <w:t xml:space="preserve"> (filed </w:t>
      </w:r>
      <w:r w:rsidR="008A740E">
        <w:rPr>
          <w:szCs w:val="22"/>
        </w:rPr>
        <w:t>Nov.</w:t>
      </w:r>
      <w:r w:rsidRPr="00843299">
        <w:rPr>
          <w:szCs w:val="22"/>
        </w:rPr>
        <w:t xml:space="preserve"> </w:t>
      </w:r>
      <w:r w:rsidR="008A740E">
        <w:rPr>
          <w:szCs w:val="22"/>
        </w:rPr>
        <w:t>7</w:t>
      </w:r>
      <w:r w:rsidRPr="00843299">
        <w:rPr>
          <w:szCs w:val="22"/>
        </w:rPr>
        <w:t>, 2023).</w:t>
      </w:r>
    </w:p>
    <w:p w:rsidR="00843299" w:rsidRPr="00843299" w:rsidP="00843299" w14:paraId="66253821" w14:textId="77777777">
      <w:pPr>
        <w:widowControl w:val="0"/>
        <w:rPr>
          <w:snapToGrid w:val="0"/>
          <w:kern w:val="28"/>
          <w:szCs w:val="22"/>
        </w:rPr>
      </w:pPr>
    </w:p>
    <w:p w:rsidR="00843299" w:rsidRPr="00843299" w:rsidP="00843299" w14:paraId="3CE74133" w14:textId="77777777">
      <w:pPr>
        <w:keepNext/>
        <w:autoSpaceDE w:val="0"/>
        <w:autoSpaceDN w:val="0"/>
        <w:adjustRightInd w:val="0"/>
        <w:spacing w:after="120"/>
        <w:rPr>
          <w:szCs w:val="22"/>
        </w:rPr>
      </w:pPr>
      <w:r w:rsidRPr="00843299">
        <w:rPr>
          <w:b/>
          <w:szCs w:val="22"/>
          <w:u w:val="single"/>
        </w:rPr>
        <w:t>GENERAL INFORMATION</w:t>
      </w:r>
    </w:p>
    <w:p w:rsidR="00843299" w:rsidRPr="00843299" w:rsidP="00843299" w14:paraId="0EBD1AFF" w14:textId="77777777">
      <w:pPr>
        <w:autoSpaceDE w:val="0"/>
        <w:autoSpaceDN w:val="0"/>
        <w:adjustRightInd w:val="0"/>
        <w:spacing w:after="120"/>
        <w:ind w:firstLine="720"/>
        <w:rPr>
          <w:szCs w:val="22"/>
        </w:rPr>
      </w:pPr>
      <w:r w:rsidRPr="00843299">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43299" w:rsidRPr="00843299" w:rsidP="00843299" w14:paraId="07C15778" w14:textId="77777777">
      <w:pPr>
        <w:autoSpaceDE w:val="0"/>
        <w:autoSpaceDN w:val="0"/>
        <w:adjustRightInd w:val="0"/>
        <w:spacing w:after="120"/>
        <w:ind w:firstLine="720"/>
        <w:rPr>
          <w:szCs w:val="22"/>
        </w:rPr>
      </w:pPr>
      <w:r w:rsidRPr="00843299">
        <w:rPr>
          <w:szCs w:val="22"/>
        </w:rPr>
        <w:t xml:space="preserve">Interested parties may file comments </w:t>
      </w:r>
      <w:r w:rsidRPr="00843299">
        <w:rPr>
          <w:b/>
          <w:szCs w:val="22"/>
        </w:rPr>
        <w:t xml:space="preserve">on or before </w:t>
      </w:r>
      <w:r w:rsidR="000F0AFE">
        <w:rPr>
          <w:b/>
          <w:szCs w:val="22"/>
        </w:rPr>
        <w:t>Decem</w:t>
      </w:r>
      <w:r w:rsidR="008A740E">
        <w:rPr>
          <w:b/>
          <w:szCs w:val="22"/>
        </w:rPr>
        <w:t xml:space="preserve">ber </w:t>
      </w:r>
      <w:r w:rsidR="00311FF8">
        <w:rPr>
          <w:b/>
          <w:szCs w:val="22"/>
        </w:rPr>
        <w:t>29</w:t>
      </w:r>
      <w:r w:rsidRPr="00843299">
        <w:rPr>
          <w:b/>
          <w:szCs w:val="22"/>
        </w:rPr>
        <w:t>, 2023</w:t>
      </w:r>
      <w:r w:rsidRPr="00843299">
        <w:rPr>
          <w:szCs w:val="22"/>
        </w:rPr>
        <w:t xml:space="preserve">, and reply comments </w:t>
      </w:r>
      <w:r w:rsidRPr="00843299">
        <w:rPr>
          <w:b/>
          <w:szCs w:val="22"/>
        </w:rPr>
        <w:t xml:space="preserve">on or before </w:t>
      </w:r>
      <w:r w:rsidR="00311FF8">
        <w:rPr>
          <w:b/>
          <w:szCs w:val="22"/>
        </w:rPr>
        <w:t>January</w:t>
      </w:r>
      <w:r w:rsidR="008A740E">
        <w:rPr>
          <w:b/>
          <w:szCs w:val="22"/>
        </w:rPr>
        <w:t xml:space="preserve"> </w:t>
      </w:r>
      <w:r w:rsidR="00311FF8">
        <w:rPr>
          <w:b/>
          <w:szCs w:val="22"/>
        </w:rPr>
        <w:t>5</w:t>
      </w:r>
      <w:r w:rsidRPr="00843299">
        <w:rPr>
          <w:b/>
          <w:szCs w:val="22"/>
        </w:rPr>
        <w:t>, 202</w:t>
      </w:r>
      <w:r w:rsidR="00311FF8">
        <w:rPr>
          <w:b/>
          <w:szCs w:val="22"/>
        </w:rPr>
        <w:t>4</w:t>
      </w:r>
      <w:r w:rsidRPr="00843299">
        <w:rPr>
          <w:szCs w:val="22"/>
        </w:rPr>
        <w:t>.  Comments may be filed using the Commission’s Electronic Comment Filing System (ECFS) or by paper.  </w:t>
      </w:r>
    </w:p>
    <w:p w:rsidR="00843299" w:rsidRPr="00843299" w:rsidP="00843299" w14:paraId="1F455E3A" w14:textId="77777777">
      <w:pPr>
        <w:widowControl w:val="0"/>
        <w:numPr>
          <w:ilvl w:val="0"/>
          <w:numId w:val="20"/>
        </w:numPr>
        <w:autoSpaceDE w:val="0"/>
        <w:autoSpaceDN w:val="0"/>
        <w:adjustRightInd w:val="0"/>
        <w:spacing w:after="120"/>
        <w:rPr>
          <w:szCs w:val="22"/>
        </w:rPr>
      </w:pPr>
      <w:r w:rsidRPr="00843299">
        <w:rPr>
          <w:szCs w:val="22"/>
        </w:rPr>
        <w:t>Electronic Filers:  Comments may be filed electronically by accessing ECFS at </w:t>
      </w:r>
      <w:hyperlink r:id="rId11" w:history="1">
        <w:r w:rsidRPr="00843299">
          <w:rPr>
            <w:color w:val="0000FF"/>
            <w:szCs w:val="22"/>
            <w:u w:val="single"/>
          </w:rPr>
          <w:t>http://apps.fcc.gov/ecfs/</w:t>
        </w:r>
      </w:hyperlink>
      <w:r w:rsidRPr="00843299">
        <w:rPr>
          <w:szCs w:val="22"/>
          <w:u w:val="single"/>
        </w:rPr>
        <w:t xml:space="preserve"> </w:t>
      </w:r>
      <w:r w:rsidRPr="00843299">
        <w:rPr>
          <w:szCs w:val="22"/>
        </w:rPr>
        <w:t>.</w:t>
      </w:r>
    </w:p>
    <w:p w:rsidR="0005430A" w:rsidRPr="00843299" w:rsidP="0005430A" w14:paraId="433CA36C" w14:textId="77777777">
      <w:pPr>
        <w:widowControl w:val="0"/>
        <w:numPr>
          <w:ilvl w:val="0"/>
          <w:numId w:val="21"/>
        </w:numPr>
        <w:autoSpaceDE w:val="0"/>
        <w:autoSpaceDN w:val="0"/>
        <w:adjustRightInd w:val="0"/>
        <w:spacing w:after="120"/>
        <w:rPr>
          <w:szCs w:val="22"/>
        </w:rPr>
      </w:pPr>
      <w:r w:rsidRPr="00843299">
        <w:rPr>
          <w:i/>
          <w:iCs/>
          <w:szCs w:val="22"/>
        </w:rPr>
        <w:t>Paper Filers</w:t>
      </w:r>
      <w:r w:rsidRPr="00843299">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43299" w:rsidRPr="00843299" w:rsidP="00843299" w14:paraId="08564399" w14:textId="77777777">
      <w:pPr>
        <w:widowControl w:val="0"/>
        <w:numPr>
          <w:ilvl w:val="1"/>
          <w:numId w:val="21"/>
        </w:numPr>
        <w:autoSpaceDE w:val="0"/>
        <w:autoSpaceDN w:val="0"/>
        <w:adjustRightInd w:val="0"/>
        <w:spacing w:after="120"/>
        <w:rPr>
          <w:szCs w:val="22"/>
        </w:rPr>
      </w:pPr>
      <w:r w:rsidRPr="00843299">
        <w:rPr>
          <w:szCs w:val="22"/>
        </w:rPr>
        <w:t>Filings can be sent by commercial overnight courier or by first-class or overnight U.S. Postal Service mail.</w:t>
      </w:r>
      <w:r>
        <w:rPr>
          <w:szCs w:val="22"/>
          <w:vertAlign w:val="superscript"/>
        </w:rPr>
        <w:footnoteReference w:id="23"/>
      </w:r>
      <w:r w:rsidRPr="00843299">
        <w:rPr>
          <w:szCs w:val="22"/>
        </w:rPr>
        <w:t xml:space="preserve">  All filings must be addressed to the Commission’s Secretary, Office of the Secretary, Federal Communications Commission.</w:t>
      </w:r>
    </w:p>
    <w:p w:rsidR="00843299" w:rsidRPr="00843299" w:rsidP="00843299" w14:paraId="706C047E" w14:textId="77777777">
      <w:pPr>
        <w:widowControl w:val="0"/>
        <w:numPr>
          <w:ilvl w:val="1"/>
          <w:numId w:val="21"/>
        </w:numPr>
        <w:autoSpaceDE w:val="0"/>
        <w:autoSpaceDN w:val="0"/>
        <w:adjustRightInd w:val="0"/>
        <w:spacing w:after="120"/>
        <w:rPr>
          <w:szCs w:val="22"/>
        </w:rPr>
      </w:pPr>
      <w:r w:rsidRPr="00843299">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43299" w:rsidRPr="00843299" w:rsidP="00843299" w14:paraId="7AF553A6" w14:textId="77777777">
      <w:pPr>
        <w:autoSpaceDE w:val="0"/>
        <w:autoSpaceDN w:val="0"/>
        <w:adjustRightInd w:val="0"/>
        <w:spacing w:after="120"/>
        <w:ind w:firstLine="720"/>
        <w:rPr>
          <w:szCs w:val="22"/>
        </w:rPr>
      </w:pPr>
      <w:r w:rsidRPr="00843299">
        <w:rPr>
          <w:szCs w:val="22"/>
        </w:rPr>
        <w:t>People with Disabilities:  We ask that requests for accommodations be made as soon as possible in order to allow the agency to satisfy such requests whenever possible.  Send an email to </w:t>
      </w:r>
      <w:hyperlink r:id="rId12" w:tgtFrame="_blank" w:history="1">
        <w:r w:rsidRPr="00843299">
          <w:rPr>
            <w:color w:val="0000FF"/>
            <w:szCs w:val="22"/>
            <w:u w:val="single"/>
          </w:rPr>
          <w:t>fcc504@fcc.gov</w:t>
        </w:r>
      </w:hyperlink>
      <w:r w:rsidRPr="00843299">
        <w:rPr>
          <w:szCs w:val="22"/>
        </w:rPr>
        <w:t> or call the Consumer and Governmental Affairs Bureau at (202) 418-0530.</w:t>
      </w:r>
    </w:p>
    <w:p w:rsidR="00843299" w:rsidRPr="00843299" w:rsidP="00843299" w14:paraId="30970D81" w14:textId="77777777">
      <w:pPr>
        <w:autoSpaceDE w:val="0"/>
        <w:autoSpaceDN w:val="0"/>
        <w:adjustRightInd w:val="0"/>
        <w:spacing w:after="120"/>
        <w:ind w:firstLine="720"/>
        <w:rPr>
          <w:b/>
          <w:szCs w:val="22"/>
        </w:rPr>
      </w:pPr>
      <w:r w:rsidRPr="00843299">
        <w:rPr>
          <w:b/>
          <w:szCs w:val="22"/>
        </w:rPr>
        <w:t>In addition, e-mail one copy of each pleading to each of the following:</w:t>
      </w:r>
    </w:p>
    <w:p w:rsidR="00843299" w:rsidRPr="00843299" w:rsidP="00843299" w14:paraId="2DEDCDA1" w14:textId="77777777">
      <w:pPr>
        <w:widowControl w:val="0"/>
        <w:numPr>
          <w:ilvl w:val="0"/>
          <w:numId w:val="18"/>
        </w:numPr>
        <w:autoSpaceDE w:val="0"/>
        <w:autoSpaceDN w:val="0"/>
        <w:adjustRightInd w:val="0"/>
        <w:spacing w:after="120"/>
        <w:rPr>
          <w:szCs w:val="22"/>
        </w:rPr>
      </w:pPr>
      <w:r w:rsidRPr="00843299">
        <w:rPr>
          <w:szCs w:val="22"/>
        </w:rPr>
        <w:t xml:space="preserve">Tracey Wilson, Competition Policy Division, Wireline Competition Bureau, </w:t>
      </w:r>
      <w:hyperlink r:id="rId13" w:history="1">
        <w:r w:rsidRPr="00843299">
          <w:rPr>
            <w:color w:val="0000FF"/>
            <w:szCs w:val="22"/>
            <w:u w:val="single"/>
          </w:rPr>
          <w:t>tracey.wilson@fcc.gov</w:t>
        </w:r>
      </w:hyperlink>
      <w:r w:rsidRPr="00843299">
        <w:rPr>
          <w:szCs w:val="22"/>
        </w:rPr>
        <w:t xml:space="preserve">;  </w:t>
      </w:r>
    </w:p>
    <w:p w:rsidR="00843299" w:rsidP="00843299" w14:paraId="16F66312" w14:textId="77777777">
      <w:pPr>
        <w:widowControl w:val="0"/>
        <w:numPr>
          <w:ilvl w:val="0"/>
          <w:numId w:val="18"/>
        </w:numPr>
        <w:autoSpaceDE w:val="0"/>
        <w:autoSpaceDN w:val="0"/>
        <w:adjustRightInd w:val="0"/>
        <w:spacing w:after="120"/>
        <w:rPr>
          <w:szCs w:val="22"/>
        </w:rPr>
      </w:pPr>
      <w:r>
        <w:rPr>
          <w:szCs w:val="22"/>
        </w:rPr>
        <w:t>Dennis Johnson</w:t>
      </w:r>
      <w:r w:rsidRPr="00843299" w:rsidR="00CA23B1">
        <w:rPr>
          <w:szCs w:val="22"/>
        </w:rPr>
        <w:t xml:space="preserve">, Competition Policy Division, Wireline Competition Bureau, </w:t>
      </w:r>
      <w:hyperlink r:id="rId14" w:history="1">
        <w:r w:rsidRPr="00C33BB8">
          <w:rPr>
            <w:rStyle w:val="Hyperlink"/>
            <w:szCs w:val="22"/>
          </w:rPr>
          <w:t>dennis.johnson@fcc.gov</w:t>
        </w:r>
      </w:hyperlink>
      <w:r w:rsidRPr="00843299" w:rsidR="00CA23B1">
        <w:rPr>
          <w:szCs w:val="22"/>
        </w:rPr>
        <w:t>;</w:t>
      </w:r>
    </w:p>
    <w:p w:rsidR="00965930" w:rsidRPr="00843299" w:rsidP="00843299" w14:paraId="05436B41" w14:textId="77777777">
      <w:pPr>
        <w:widowControl w:val="0"/>
        <w:numPr>
          <w:ilvl w:val="0"/>
          <w:numId w:val="18"/>
        </w:numPr>
        <w:autoSpaceDE w:val="0"/>
        <w:autoSpaceDN w:val="0"/>
        <w:adjustRightInd w:val="0"/>
        <w:spacing w:after="120"/>
        <w:rPr>
          <w:szCs w:val="22"/>
        </w:rPr>
      </w:pPr>
      <w:r>
        <w:rPr>
          <w:szCs w:val="22"/>
        </w:rPr>
        <w:t xml:space="preserve">David Krech, </w:t>
      </w:r>
      <w:r w:rsidR="00522182">
        <w:rPr>
          <w:szCs w:val="22"/>
        </w:rPr>
        <w:t xml:space="preserve">Office of Internal Affairs, </w:t>
      </w:r>
      <w:hyperlink r:id="rId15" w:history="1">
        <w:r w:rsidRPr="00030BE7" w:rsidR="00522182">
          <w:rPr>
            <w:rStyle w:val="Hyperlink"/>
            <w:szCs w:val="22"/>
          </w:rPr>
          <w:t>david.krech@fcc.gov</w:t>
        </w:r>
      </w:hyperlink>
      <w:r w:rsidR="00522182">
        <w:rPr>
          <w:szCs w:val="22"/>
        </w:rPr>
        <w:t>; and</w:t>
      </w:r>
    </w:p>
    <w:p w:rsidR="00843299" w:rsidRPr="00843299" w:rsidP="00843299" w14:paraId="06765B8F" w14:textId="77777777">
      <w:pPr>
        <w:widowControl w:val="0"/>
        <w:numPr>
          <w:ilvl w:val="0"/>
          <w:numId w:val="18"/>
        </w:numPr>
        <w:autoSpaceDE w:val="0"/>
        <w:autoSpaceDN w:val="0"/>
        <w:adjustRightInd w:val="0"/>
        <w:spacing w:after="120"/>
        <w:rPr>
          <w:szCs w:val="22"/>
        </w:rPr>
      </w:pPr>
      <w:r w:rsidRPr="00843299">
        <w:rPr>
          <w:szCs w:val="22"/>
        </w:rPr>
        <w:t xml:space="preserve">Jim Bird, Office of General Counsel, </w:t>
      </w:r>
      <w:hyperlink r:id="rId16">
        <w:r w:rsidRPr="00843299">
          <w:rPr>
            <w:color w:val="0000FF"/>
            <w:szCs w:val="22"/>
            <w:u w:val="single"/>
          </w:rPr>
          <w:t>jim.bird@fcc.gov</w:t>
        </w:r>
      </w:hyperlink>
      <w:r w:rsidRPr="00843299">
        <w:rPr>
          <w:szCs w:val="22"/>
        </w:rPr>
        <w:t>.</w:t>
      </w:r>
    </w:p>
    <w:p w:rsidR="00843299" w:rsidRPr="00843299" w:rsidP="00843299" w14:paraId="05A3203F" w14:textId="77777777">
      <w:pPr>
        <w:autoSpaceDE w:val="0"/>
        <w:autoSpaceDN w:val="0"/>
        <w:adjustRightInd w:val="0"/>
        <w:spacing w:after="120"/>
        <w:ind w:firstLine="720"/>
        <w:rPr>
          <w:szCs w:val="22"/>
        </w:rPr>
      </w:pPr>
      <w:r w:rsidRPr="00843299">
        <w:rPr>
          <w:szCs w:val="22"/>
        </w:rPr>
        <w:t xml:space="preserve">The proceeding in this Notice shall be treated as a “permit-but-disclose” proceeding in accordance with the Commission’s </w:t>
      </w:r>
      <w:r w:rsidRPr="00843299">
        <w:rPr>
          <w:i/>
          <w:szCs w:val="22"/>
        </w:rPr>
        <w:t>ex parte</w:t>
      </w:r>
      <w:r w:rsidRPr="00843299">
        <w:rPr>
          <w:szCs w:val="22"/>
        </w:rPr>
        <w:t xml:space="preserve"> rules.  Persons making </w:t>
      </w:r>
      <w:r w:rsidRPr="00843299">
        <w:rPr>
          <w:i/>
          <w:szCs w:val="22"/>
        </w:rPr>
        <w:t>ex parte</w:t>
      </w:r>
      <w:r w:rsidRPr="00843299">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299">
        <w:rPr>
          <w:i/>
          <w:szCs w:val="22"/>
        </w:rPr>
        <w:t>ex parte</w:t>
      </w:r>
      <w:r w:rsidRPr="00843299">
        <w:rPr>
          <w:szCs w:val="22"/>
        </w:rPr>
        <w:t xml:space="preserve"> presentations are reminded that memoranda summarizing the presentation must (1) list all persons attending or otherwise participating in the meeting at which the </w:t>
      </w:r>
      <w:r w:rsidRPr="00843299">
        <w:rPr>
          <w:i/>
          <w:szCs w:val="22"/>
        </w:rPr>
        <w:t>ex parte</w:t>
      </w:r>
      <w:r w:rsidRPr="00843299">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299">
        <w:rPr>
          <w:i/>
          <w:szCs w:val="22"/>
        </w:rPr>
        <w:t>ex parte</w:t>
      </w:r>
      <w:r w:rsidRPr="00843299">
        <w:rPr>
          <w:szCs w:val="22"/>
        </w:rPr>
        <w:t xml:space="preserve"> meetings are deemed to be written </w:t>
      </w:r>
      <w:r w:rsidRPr="00843299">
        <w:rPr>
          <w:i/>
          <w:szCs w:val="22"/>
        </w:rPr>
        <w:t>ex parte</w:t>
      </w:r>
      <w:r w:rsidRPr="00843299">
        <w:rPr>
          <w:szCs w:val="22"/>
        </w:rPr>
        <w:t xml:space="preserve"> presentations and must be filed consistent with rule 1.1206(b), 47 CFR § 1.1206(b).  Participants in this proceeding should familiarize themselves with the Commission’s </w:t>
      </w:r>
      <w:r w:rsidRPr="00843299">
        <w:rPr>
          <w:i/>
          <w:szCs w:val="22"/>
        </w:rPr>
        <w:t>ex parte</w:t>
      </w:r>
      <w:r w:rsidRPr="00843299">
        <w:rPr>
          <w:szCs w:val="22"/>
        </w:rPr>
        <w:t xml:space="preserve"> rules.</w:t>
      </w:r>
    </w:p>
    <w:p w:rsidR="00311FF8" w:rsidP="00311FF8" w14:paraId="5E18B334" w14:textId="77777777">
      <w:pPr>
        <w:autoSpaceDE w:val="0"/>
        <w:autoSpaceDN w:val="0"/>
        <w:adjustRightInd w:val="0"/>
        <w:spacing w:after="120"/>
        <w:ind w:firstLine="720"/>
        <w:rPr>
          <w:szCs w:val="22"/>
        </w:rPr>
      </w:pPr>
      <w:r w:rsidRPr="00843299">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4"/>
      </w:r>
      <w:r w:rsidRPr="00843299">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  </w:t>
      </w:r>
    </w:p>
    <w:p w:rsidR="00843299" w:rsidRPr="00843299" w:rsidP="00311FF8" w14:paraId="749FB312" w14:textId="77777777">
      <w:pPr>
        <w:autoSpaceDE w:val="0"/>
        <w:autoSpaceDN w:val="0"/>
        <w:adjustRightInd w:val="0"/>
        <w:spacing w:after="120"/>
        <w:ind w:firstLine="720"/>
        <w:rPr>
          <w:szCs w:val="22"/>
        </w:rPr>
      </w:pPr>
      <w:r w:rsidRPr="00843299">
        <w:rPr>
          <w:szCs w:val="22"/>
        </w:rPr>
        <w:t xml:space="preserve">For further information, please contact </w:t>
      </w:r>
      <w:r w:rsidR="00EC5F92">
        <w:rPr>
          <w:szCs w:val="22"/>
        </w:rPr>
        <w:t>Tracey Wilson</w:t>
      </w:r>
      <w:r w:rsidRPr="00843299">
        <w:rPr>
          <w:szCs w:val="22"/>
        </w:rPr>
        <w:t xml:space="preserve"> at (202) 418-1</w:t>
      </w:r>
      <w:r w:rsidR="00EC5F92">
        <w:rPr>
          <w:szCs w:val="22"/>
        </w:rPr>
        <w:t>394</w:t>
      </w:r>
      <w:r w:rsidRPr="00843299">
        <w:rPr>
          <w:szCs w:val="22"/>
        </w:rPr>
        <w:t xml:space="preserve"> or </w:t>
      </w:r>
      <w:r w:rsidR="00B65CEB">
        <w:rPr>
          <w:szCs w:val="22"/>
        </w:rPr>
        <w:t>Dennis Johnson at dennis.johnson@fcc.gov.</w:t>
      </w:r>
    </w:p>
    <w:p w:rsidR="00843299" w:rsidRPr="00843299" w:rsidP="00843299" w14:paraId="2DA5A9EF" w14:textId="77777777">
      <w:pPr>
        <w:autoSpaceDE w:val="0"/>
        <w:autoSpaceDN w:val="0"/>
        <w:adjustRightInd w:val="0"/>
        <w:rPr>
          <w:szCs w:val="22"/>
        </w:rPr>
      </w:pPr>
    </w:p>
    <w:p w:rsidR="00843299" w:rsidRPr="00843299" w:rsidP="00843299" w14:paraId="4774FAFC" w14:textId="77777777">
      <w:pPr>
        <w:autoSpaceDE w:val="0"/>
        <w:autoSpaceDN w:val="0"/>
        <w:adjustRightInd w:val="0"/>
        <w:jc w:val="center"/>
        <w:rPr>
          <w:color w:val="000000"/>
          <w:szCs w:val="22"/>
        </w:rPr>
      </w:pPr>
      <w:r w:rsidRPr="00843299">
        <w:rPr>
          <w:b/>
          <w:szCs w:val="22"/>
        </w:rPr>
        <w:t>-FCC-</w:t>
      </w:r>
      <w:bookmarkEnd w:id="1"/>
      <w:bookmarkEnd w:id="2"/>
    </w:p>
    <w:p w:rsidR="00843299" w:rsidRPr="00926DD3" w:rsidP="001B15F0" w14:paraId="6DCD621F" w14:textId="77777777">
      <w:pPr>
        <w:ind w:left="7200"/>
        <w:rPr>
          <w:b/>
          <w:bCs/>
          <w:color w:val="000000"/>
          <w:szCs w:val="22"/>
        </w:rPr>
      </w:pPr>
    </w:p>
    <w:sectPr>
      <w:footerReference w:type="default" r:id="rId17"/>
      <w:headerReference w:type="first" r:id="rId18"/>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18EA4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3042B">
      <w:rPr>
        <w:rStyle w:val="PageNumber"/>
      </w:rPr>
      <w:fldChar w:fldCharType="separate"/>
    </w:r>
    <w:r>
      <w:rPr>
        <w:rStyle w:val="PageNumber"/>
      </w:rPr>
      <w:fldChar w:fldCharType="end"/>
    </w:r>
  </w:p>
  <w:p w:rsidR="00E7033D" w14:paraId="384E0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2A97FD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1B99723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299" w14:paraId="72F602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299" w14:paraId="62C8A01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299" w14:paraId="0949D71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299" w14:paraId="70CE830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907D84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4D01B3F3" w14:textId="77777777"/>
  <w:p w:rsidR="00E7033D" w14:paraId="5561510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6635" w14:paraId="028AE209" w14:textId="77777777">
      <w:r>
        <w:separator/>
      </w:r>
    </w:p>
  </w:footnote>
  <w:footnote w:type="continuationSeparator" w:id="1">
    <w:p w:rsidR="00416635" w14:paraId="2BD174FA" w14:textId="77777777">
      <w:r>
        <w:continuationSeparator/>
      </w:r>
    </w:p>
  </w:footnote>
  <w:footnote w:type="continuationNotice" w:id="2">
    <w:p w:rsidR="00416635" w14:paraId="05D91D72" w14:textId="77777777"/>
  </w:footnote>
  <w:footnote w:id="3">
    <w:p w:rsidR="006F3126" w:rsidRPr="000F4728" w:rsidP="00456F4B" w14:paraId="1283F4E5" w14:textId="77777777">
      <w:pPr>
        <w:spacing w:after="120"/>
        <w:rPr>
          <w:sz w:val="20"/>
        </w:rPr>
      </w:pPr>
      <w:r w:rsidRPr="000F4728">
        <w:rPr>
          <w:rStyle w:val="FootnoteReference"/>
          <w:sz w:val="20"/>
        </w:rPr>
        <w:footnoteRef/>
      </w:r>
      <w:r w:rsidRPr="000F4728">
        <w:rPr>
          <w:sz w:val="20"/>
        </w:rPr>
        <w:t xml:space="preserve"> </w:t>
      </w:r>
      <w:r w:rsidRPr="000F4728">
        <w:rPr>
          <w:i/>
          <w:sz w:val="20"/>
        </w:rPr>
        <w:t>See</w:t>
      </w:r>
      <w:r w:rsidRPr="000F4728">
        <w:rPr>
          <w:sz w:val="20"/>
        </w:rPr>
        <w:t xml:space="preserve"> 47 U.S.C. § 214; 47 CFR §§ 63.03-04.</w:t>
      </w:r>
    </w:p>
  </w:footnote>
  <w:footnote w:id="4">
    <w:p w:rsidR="009964FA" w:rsidRPr="000F4728" w:rsidP="00456F4B" w14:paraId="6B56B6D4" w14:textId="77777777">
      <w:pPr>
        <w:pStyle w:val="FootnoteText"/>
        <w:spacing w:after="120"/>
        <w:rPr>
          <w:sz w:val="20"/>
        </w:rPr>
      </w:pPr>
      <w:r w:rsidRPr="000F4728">
        <w:rPr>
          <w:rStyle w:val="FootnoteReference"/>
          <w:sz w:val="20"/>
        </w:rPr>
        <w:footnoteRef/>
      </w:r>
      <w:r w:rsidRPr="000F4728">
        <w:rPr>
          <w:sz w:val="20"/>
        </w:rPr>
        <w:t xml:space="preserve"> </w:t>
      </w:r>
      <w:r w:rsidRPr="000F4728" w:rsidR="009329A6">
        <w:rPr>
          <w:sz w:val="20"/>
        </w:rPr>
        <w:t xml:space="preserve">Joint Application for Consent to Transfer </w:t>
      </w:r>
      <w:r w:rsidR="000F4728">
        <w:rPr>
          <w:sz w:val="20"/>
        </w:rPr>
        <w:t>Indirect Control of Domestic Section 214 Authorization Holders, WC Docket No. 23-</w:t>
      </w:r>
      <w:r w:rsidR="00B92FCA">
        <w:rPr>
          <w:sz w:val="20"/>
        </w:rPr>
        <w:t xml:space="preserve"> </w:t>
      </w:r>
      <w:r w:rsidR="00924572">
        <w:rPr>
          <w:sz w:val="20"/>
        </w:rPr>
        <w:t xml:space="preserve">384 </w:t>
      </w:r>
      <w:r w:rsidR="00B92FCA">
        <w:rPr>
          <w:sz w:val="20"/>
        </w:rPr>
        <w:t xml:space="preserve">(filed on </w:t>
      </w:r>
      <w:r w:rsidRPr="00D15E85" w:rsidR="00B92FCA">
        <w:rPr>
          <w:sz w:val="20"/>
        </w:rPr>
        <w:t xml:space="preserve">Nov. </w:t>
      </w:r>
      <w:r w:rsidR="00D15E85">
        <w:rPr>
          <w:sz w:val="20"/>
        </w:rPr>
        <w:t>7</w:t>
      </w:r>
      <w:r w:rsidR="00B92FCA">
        <w:rPr>
          <w:sz w:val="20"/>
        </w:rPr>
        <w:t xml:space="preserve">, 2023). </w:t>
      </w:r>
      <w:r w:rsidR="00D15E85">
        <w:rPr>
          <w:sz w:val="20"/>
        </w:rPr>
        <w:t xml:space="preserve"> </w:t>
      </w:r>
      <w:r w:rsidR="00050E19">
        <w:rPr>
          <w:sz w:val="20"/>
        </w:rPr>
        <w:t>Applicants filed a supplement</w:t>
      </w:r>
      <w:r w:rsidR="00BB7017">
        <w:rPr>
          <w:sz w:val="20"/>
        </w:rPr>
        <w:t>s</w:t>
      </w:r>
      <w:r w:rsidR="00050E19">
        <w:rPr>
          <w:sz w:val="20"/>
        </w:rPr>
        <w:t xml:space="preserve"> to their application on November 29, 2023</w:t>
      </w:r>
      <w:r w:rsidR="00BB7017">
        <w:rPr>
          <w:sz w:val="20"/>
        </w:rPr>
        <w:t xml:space="preserve"> and December 11, 2023</w:t>
      </w:r>
      <w:r w:rsidR="00050E19">
        <w:rPr>
          <w:sz w:val="20"/>
        </w:rPr>
        <w:t>.  Letter from Michael P. Donahue, PLLC, Counsel to Transferor and Licensees, and K.C. Halm, Counsel to Transferee, to Marliene H. Dortch, Secretary, FCC, WC Docket No. 23-384 (filed Nov. 29, 2023)</w:t>
      </w:r>
      <w:r w:rsidR="00D34323">
        <w:rPr>
          <w:sz w:val="20"/>
        </w:rPr>
        <w:t xml:space="preserve"> </w:t>
      </w:r>
      <w:r w:rsidR="00BB7017">
        <w:rPr>
          <w:sz w:val="20"/>
        </w:rPr>
        <w:t xml:space="preserve">(Nov. 29 </w:t>
      </w:r>
      <w:r w:rsidR="00D34323">
        <w:rPr>
          <w:sz w:val="20"/>
        </w:rPr>
        <w:t>Supplement)</w:t>
      </w:r>
      <w:r w:rsidR="00BB7017">
        <w:rPr>
          <w:sz w:val="20"/>
        </w:rPr>
        <w:t xml:space="preserve">; Letter from Michael P. Donahue, PLLC, Counsel to Transferor and Licensees, and K.C. Halm, Counsel to Transferee, to Marliene H. Dortch, Secretary, FCC, WC Docket No. 23-384 (filed Dec. 11, 2023) (Dec. 11 Supplement).  </w:t>
      </w:r>
      <w:r w:rsidR="00050E19">
        <w:rPr>
          <w:sz w:val="20"/>
        </w:rPr>
        <w:t xml:space="preserve">. </w:t>
      </w:r>
      <w:r w:rsidR="00D34323">
        <w:rPr>
          <w:sz w:val="20"/>
        </w:rPr>
        <w:t xml:space="preserve"> </w:t>
      </w:r>
      <w:r w:rsidR="002239B7">
        <w:rPr>
          <w:sz w:val="20"/>
        </w:rPr>
        <w:t>Applicants also filed applications for the transfer of international authorizations and wireless radio licenses.  Any action on this application is without</w:t>
      </w:r>
      <w:r w:rsidR="00D15E85">
        <w:rPr>
          <w:sz w:val="20"/>
        </w:rPr>
        <w:t xml:space="preserve"> prejudice to other pending applications before the Commission. </w:t>
      </w:r>
      <w:r w:rsidR="002239B7">
        <w:rPr>
          <w:sz w:val="20"/>
        </w:rPr>
        <w:t xml:space="preserve"> </w:t>
      </w:r>
    </w:p>
  </w:footnote>
  <w:footnote w:id="5">
    <w:p w:rsidR="009329A6" w:rsidRPr="000F4728" w:rsidP="00456F4B" w14:paraId="78B0C159" w14:textId="77777777">
      <w:pPr>
        <w:pStyle w:val="FootnoteText"/>
        <w:spacing w:after="120"/>
        <w:rPr>
          <w:sz w:val="20"/>
        </w:rPr>
      </w:pPr>
      <w:r w:rsidRPr="000F4728">
        <w:rPr>
          <w:rStyle w:val="FootnoteReference"/>
          <w:sz w:val="20"/>
        </w:rPr>
        <w:footnoteRef/>
      </w:r>
      <w:r w:rsidRPr="000F4728">
        <w:rPr>
          <w:sz w:val="20"/>
        </w:rPr>
        <w:t xml:space="preserve"> </w:t>
      </w:r>
      <w:r w:rsidR="00B92FCA">
        <w:rPr>
          <w:sz w:val="20"/>
        </w:rPr>
        <w:t xml:space="preserve">Application at 3.  </w:t>
      </w:r>
    </w:p>
  </w:footnote>
  <w:footnote w:id="6">
    <w:p w:rsidR="00C45608" w:rsidRPr="000F4728" w:rsidP="00456F4B" w14:paraId="2FF6678C" w14:textId="77777777">
      <w:pPr>
        <w:pStyle w:val="FootnoteText"/>
        <w:spacing w:after="120"/>
        <w:rPr>
          <w:sz w:val="20"/>
        </w:rPr>
      </w:pPr>
      <w:r w:rsidRPr="000F4728">
        <w:rPr>
          <w:rStyle w:val="FootnoteReference"/>
          <w:sz w:val="20"/>
        </w:rPr>
        <w:footnoteRef/>
      </w:r>
      <w:r w:rsidRPr="000F4728">
        <w:rPr>
          <w:sz w:val="20"/>
        </w:rPr>
        <w:t xml:space="preserve"> CTC holds authorization to provide </w:t>
      </w:r>
      <w:r>
        <w:rPr>
          <w:sz w:val="20"/>
        </w:rPr>
        <w:t xml:space="preserve">competitive </w:t>
      </w:r>
      <w:r w:rsidRPr="000F4728">
        <w:rPr>
          <w:sz w:val="20"/>
        </w:rPr>
        <w:t>LEC services in New Jersey; however, it intends to surrender that authorization pursuant to New Jersey Board of Public Utilities procedures prior to the proposed transaction’s consummation.</w:t>
      </w:r>
      <w:r>
        <w:rPr>
          <w:sz w:val="20"/>
        </w:rPr>
        <w:t xml:space="preserve">  </w:t>
      </w:r>
      <w:r w:rsidRPr="00FF6F76">
        <w:rPr>
          <w:i/>
          <w:iCs/>
          <w:sz w:val="20"/>
        </w:rPr>
        <w:t>Id</w:t>
      </w:r>
      <w:r>
        <w:rPr>
          <w:sz w:val="20"/>
        </w:rPr>
        <w:t xml:space="preserve">. at 3. </w:t>
      </w:r>
      <w:r w:rsidR="00F74CF6">
        <w:rPr>
          <w:sz w:val="20"/>
        </w:rPr>
        <w:t xml:space="preserve"> CTC participates in the Rural Healthcare and E-rate programs in Ohio.</w:t>
      </w:r>
      <w:r w:rsidR="00792C3A">
        <w:rPr>
          <w:sz w:val="20"/>
        </w:rPr>
        <w:t xml:space="preserve">  </w:t>
      </w:r>
      <w:r w:rsidRPr="00F74CF6" w:rsidR="00F74CF6">
        <w:rPr>
          <w:i/>
          <w:iCs/>
          <w:sz w:val="20"/>
        </w:rPr>
        <w:t>Id</w:t>
      </w:r>
      <w:r w:rsidR="00F74CF6">
        <w:rPr>
          <w:sz w:val="20"/>
        </w:rPr>
        <w:t xml:space="preserve">. at 17. </w:t>
      </w:r>
    </w:p>
  </w:footnote>
  <w:footnote w:id="7">
    <w:p w:rsidR="00C71304" w:rsidRPr="00ED374C" w:rsidP="00456F4B" w14:paraId="1AEF3536" w14:textId="77777777">
      <w:pPr>
        <w:pStyle w:val="FootnoteText"/>
        <w:spacing w:after="120"/>
        <w:rPr>
          <w:sz w:val="20"/>
        </w:rPr>
      </w:pPr>
      <w:r w:rsidRPr="00ED374C">
        <w:rPr>
          <w:rStyle w:val="FootnoteReference"/>
          <w:sz w:val="20"/>
        </w:rPr>
        <w:footnoteRef/>
      </w:r>
      <w:r w:rsidRPr="00ED374C">
        <w:rPr>
          <w:sz w:val="20"/>
        </w:rPr>
        <w:t xml:space="preserve"> </w:t>
      </w:r>
      <w:r w:rsidRPr="00ED374C" w:rsidR="00ED374C">
        <w:rPr>
          <w:i/>
          <w:iCs/>
          <w:sz w:val="20"/>
        </w:rPr>
        <w:t>Id</w:t>
      </w:r>
      <w:r w:rsidRPr="00ED374C" w:rsidR="00ED374C">
        <w:rPr>
          <w:sz w:val="20"/>
        </w:rPr>
        <w:t xml:space="preserve">. at 3. </w:t>
      </w:r>
    </w:p>
  </w:footnote>
  <w:footnote w:id="8">
    <w:p w:rsidR="0092059B" w:rsidP="00456F4B" w14:paraId="65D919CE" w14:textId="77777777">
      <w:pPr>
        <w:pStyle w:val="FootnoteText"/>
        <w:spacing w:after="120"/>
      </w:pPr>
      <w:r>
        <w:rPr>
          <w:rStyle w:val="FootnoteReference"/>
        </w:rPr>
        <w:footnoteRef/>
      </w:r>
      <w:r>
        <w:t xml:space="preserve"> </w:t>
      </w:r>
      <w:r w:rsidRPr="0092059B">
        <w:rPr>
          <w:i/>
          <w:iCs/>
          <w:sz w:val="20"/>
        </w:rPr>
        <w:t>Id</w:t>
      </w:r>
      <w:r w:rsidRPr="0092059B">
        <w:rPr>
          <w:i/>
          <w:iCs/>
        </w:rPr>
        <w:t>.</w:t>
      </w:r>
      <w:r>
        <w:t xml:space="preserve"> </w:t>
      </w:r>
    </w:p>
  </w:footnote>
  <w:footnote w:id="9">
    <w:p w:rsidR="00574C0D" w:rsidP="00456F4B" w14:paraId="54BFCEB9" w14:textId="77777777">
      <w:pPr>
        <w:pStyle w:val="FootnoteText"/>
        <w:spacing w:after="120"/>
      </w:pPr>
      <w:r>
        <w:rPr>
          <w:rStyle w:val="FootnoteReference"/>
        </w:rPr>
        <w:footnoteRef/>
      </w:r>
      <w:r>
        <w:t xml:space="preserve"> </w:t>
      </w:r>
      <w:r w:rsidRPr="00574C0D">
        <w:rPr>
          <w:i/>
          <w:iCs/>
          <w:sz w:val="20"/>
        </w:rPr>
        <w:t>Id</w:t>
      </w:r>
      <w:r>
        <w:t xml:space="preserve">. </w:t>
      </w:r>
    </w:p>
  </w:footnote>
  <w:footnote w:id="10">
    <w:p w:rsidR="00574C0D" w:rsidRPr="002F5177" w:rsidP="00456F4B" w14:paraId="5D6A75B5" w14:textId="77777777">
      <w:pPr>
        <w:pStyle w:val="FootnoteText"/>
        <w:spacing w:after="120"/>
        <w:rPr>
          <w:sz w:val="20"/>
        </w:rPr>
      </w:pPr>
      <w:r w:rsidRPr="002F5177">
        <w:rPr>
          <w:rStyle w:val="FootnoteReference"/>
          <w:sz w:val="20"/>
        </w:rPr>
        <w:footnoteRef/>
      </w:r>
      <w:r w:rsidRPr="002F5177">
        <w:rPr>
          <w:sz w:val="20"/>
        </w:rPr>
        <w:t xml:space="preserve"> </w:t>
      </w:r>
      <w:r w:rsidRPr="002F5177" w:rsidR="002F5177">
        <w:rPr>
          <w:i/>
          <w:iCs/>
          <w:sz w:val="20"/>
        </w:rPr>
        <w:t>Id.</w:t>
      </w:r>
      <w:r w:rsidRPr="002F5177" w:rsidR="002F5177">
        <w:rPr>
          <w:sz w:val="20"/>
        </w:rPr>
        <w:t xml:space="preserve"> at 11, </w:t>
      </w:r>
      <w:r w:rsidR="002F5177">
        <w:rPr>
          <w:sz w:val="20"/>
        </w:rPr>
        <w:t>12, 15.</w:t>
      </w:r>
    </w:p>
  </w:footnote>
  <w:footnote w:id="11">
    <w:p w:rsidR="002704E0" w:rsidRPr="007A2CD5" w:rsidP="00456F4B" w14:paraId="58328D2D" w14:textId="77777777">
      <w:pPr>
        <w:pStyle w:val="FootnoteText"/>
        <w:spacing w:after="120"/>
        <w:rPr>
          <w:sz w:val="20"/>
        </w:rPr>
      </w:pPr>
      <w:r w:rsidRPr="00311FF8">
        <w:rPr>
          <w:rStyle w:val="FootnoteReference"/>
          <w:sz w:val="20"/>
        </w:rPr>
        <w:footnoteRef/>
      </w:r>
      <w:r w:rsidRPr="00311FF8">
        <w:rPr>
          <w:sz w:val="20"/>
        </w:rPr>
        <w:t xml:space="preserve"> </w:t>
      </w:r>
      <w:r w:rsidRPr="00311FF8">
        <w:rPr>
          <w:i/>
          <w:iCs/>
          <w:sz w:val="20"/>
        </w:rPr>
        <w:t>Id.</w:t>
      </w:r>
      <w:r w:rsidRPr="00311FF8">
        <w:rPr>
          <w:sz w:val="20"/>
        </w:rPr>
        <w:t xml:space="preserve"> at 3-4.</w:t>
      </w:r>
      <w:r w:rsidRPr="00311FF8" w:rsidR="00425F45">
        <w:rPr>
          <w:sz w:val="20"/>
        </w:rPr>
        <w:t xml:space="preserve">  </w:t>
      </w:r>
      <w:bookmarkStart w:id="5" w:name="_Hlk153198509"/>
      <w:r w:rsidRPr="00311FF8" w:rsidR="00877912">
        <w:rPr>
          <w:sz w:val="20"/>
        </w:rPr>
        <w:t xml:space="preserve">Horizon </w:t>
      </w:r>
      <w:r w:rsidRPr="00311FF8" w:rsidR="0094046E">
        <w:rPr>
          <w:sz w:val="20"/>
        </w:rPr>
        <w:t>All West Holdings, Inc.</w:t>
      </w:r>
      <w:r w:rsidRPr="00311FF8" w:rsidR="00003D80">
        <w:rPr>
          <w:sz w:val="20"/>
        </w:rPr>
        <w:t xml:space="preserve">, an indirect subsidiary of Novacap Management Inc., </w:t>
      </w:r>
      <w:r w:rsidRPr="00311FF8" w:rsidR="0094046E">
        <w:rPr>
          <w:sz w:val="20"/>
        </w:rPr>
        <w:t xml:space="preserve">a Canadian company, </w:t>
      </w:r>
      <w:r w:rsidRPr="00311FF8" w:rsidR="00003D80">
        <w:rPr>
          <w:sz w:val="20"/>
        </w:rPr>
        <w:t xml:space="preserve">filed an application for consent </w:t>
      </w:r>
      <w:r w:rsidRPr="00311FF8" w:rsidR="00877912">
        <w:rPr>
          <w:sz w:val="20"/>
        </w:rPr>
        <w:t xml:space="preserve">to transfer control of </w:t>
      </w:r>
      <w:r w:rsidRPr="00311FF8" w:rsidR="0094046E">
        <w:rPr>
          <w:sz w:val="20"/>
        </w:rPr>
        <w:t xml:space="preserve">All West Communications, Inc. to another indirect subsidiary of Novacap Management Inc.  </w:t>
      </w:r>
      <w:r w:rsidRPr="0099649F" w:rsidR="002A76D9">
        <w:rPr>
          <w:sz w:val="20"/>
        </w:rPr>
        <w:t xml:space="preserve">Restated </w:t>
      </w:r>
      <w:r w:rsidR="002A76D9">
        <w:rPr>
          <w:sz w:val="20"/>
        </w:rPr>
        <w:t xml:space="preserve">Joint Section 214 </w:t>
      </w:r>
      <w:r w:rsidRPr="0099649F" w:rsidR="002A76D9">
        <w:rPr>
          <w:sz w:val="20"/>
        </w:rPr>
        <w:t xml:space="preserve">Application of All West Communications, Inc. </w:t>
      </w:r>
      <w:r w:rsidR="002A76D9">
        <w:rPr>
          <w:sz w:val="20"/>
        </w:rPr>
        <w:t>and</w:t>
      </w:r>
      <w:r w:rsidRPr="0099649F" w:rsidR="002A76D9">
        <w:rPr>
          <w:sz w:val="20"/>
        </w:rPr>
        <w:t xml:space="preserve"> Novacap All West Holdings, Inc. </w:t>
      </w:r>
      <w:r w:rsidR="002A76D9">
        <w:rPr>
          <w:sz w:val="20"/>
        </w:rPr>
        <w:t>for Consent to Transfer Control</w:t>
      </w:r>
      <w:r w:rsidRPr="0099649F" w:rsidR="002A76D9">
        <w:rPr>
          <w:sz w:val="20"/>
        </w:rPr>
        <w:t xml:space="preserve">, WC Docket No. 22-410 (filed Apr. 25, 2023) (updating the </w:t>
      </w:r>
      <w:r w:rsidR="002A76D9">
        <w:rPr>
          <w:sz w:val="20"/>
        </w:rPr>
        <w:t>initial</w:t>
      </w:r>
      <w:r w:rsidRPr="0099649F" w:rsidR="002A76D9">
        <w:rPr>
          <w:sz w:val="20"/>
        </w:rPr>
        <w:t xml:space="preserve"> application filed on Nov. 28, 2022). </w:t>
      </w:r>
      <w:bookmarkEnd w:id="5"/>
    </w:p>
  </w:footnote>
  <w:footnote w:id="12">
    <w:p w:rsidR="007A2CD5" w:rsidRPr="007A2CD5" w:rsidP="00456F4B" w14:paraId="265ECAD2" w14:textId="77777777">
      <w:pPr>
        <w:pStyle w:val="FootnoteText"/>
        <w:spacing w:after="120"/>
        <w:rPr>
          <w:sz w:val="20"/>
        </w:rPr>
      </w:pPr>
      <w:r w:rsidRPr="007A2CD5">
        <w:rPr>
          <w:rStyle w:val="FootnoteReference"/>
          <w:sz w:val="20"/>
        </w:rPr>
        <w:footnoteRef/>
      </w:r>
      <w:r w:rsidRPr="007A2CD5">
        <w:rPr>
          <w:sz w:val="20"/>
        </w:rPr>
        <w:t xml:space="preserve"> </w:t>
      </w:r>
      <w:r w:rsidRPr="007A2CD5">
        <w:rPr>
          <w:i/>
          <w:iCs/>
          <w:sz w:val="20"/>
        </w:rPr>
        <w:t>Id.</w:t>
      </w:r>
      <w:r w:rsidRPr="007A2CD5">
        <w:rPr>
          <w:sz w:val="20"/>
        </w:rPr>
        <w:t xml:space="preserve"> at 4. </w:t>
      </w:r>
    </w:p>
  </w:footnote>
  <w:footnote w:id="13">
    <w:p w:rsidR="002704E0" w:rsidP="00456F4B" w14:paraId="1D979B1B" w14:textId="77777777">
      <w:pPr>
        <w:pStyle w:val="FootnoteText"/>
        <w:spacing w:after="120"/>
      </w:pPr>
      <w:r>
        <w:rPr>
          <w:rStyle w:val="FootnoteReference"/>
        </w:rPr>
        <w:footnoteRef/>
      </w:r>
      <w:r>
        <w:t xml:space="preserve"> </w:t>
      </w:r>
      <w:r w:rsidRPr="007A2CD5" w:rsidR="007A2CD5">
        <w:rPr>
          <w:i/>
          <w:iCs/>
          <w:sz w:val="20"/>
        </w:rPr>
        <w:t>Id</w:t>
      </w:r>
      <w:r w:rsidRPr="007A2CD5" w:rsidR="007A2CD5">
        <w:rPr>
          <w:sz w:val="20"/>
        </w:rPr>
        <w:t>. at 4-5, 15.</w:t>
      </w:r>
    </w:p>
  </w:footnote>
  <w:footnote w:id="14">
    <w:p w:rsidR="00F23C8B" w:rsidRPr="00F23C8B" w:rsidP="00456F4B" w14:paraId="5C2612DB" w14:textId="77777777">
      <w:pPr>
        <w:pStyle w:val="FootnoteText"/>
        <w:spacing w:after="120"/>
        <w:rPr>
          <w:sz w:val="20"/>
        </w:rPr>
      </w:pPr>
      <w:r w:rsidRPr="00F23C8B">
        <w:rPr>
          <w:rStyle w:val="FootnoteReference"/>
          <w:sz w:val="20"/>
        </w:rPr>
        <w:footnoteRef/>
      </w:r>
      <w:r w:rsidRPr="00F23C8B">
        <w:rPr>
          <w:sz w:val="20"/>
        </w:rPr>
        <w:t xml:space="preserve"> </w:t>
      </w:r>
      <w:r w:rsidRPr="00F23C8B">
        <w:rPr>
          <w:i/>
          <w:iCs/>
          <w:sz w:val="20"/>
        </w:rPr>
        <w:t>Id</w:t>
      </w:r>
      <w:r w:rsidRPr="00F23C8B">
        <w:rPr>
          <w:sz w:val="20"/>
        </w:rPr>
        <w:t>. at Exhibit C (Post-Closing Ownership Structure Chart).</w:t>
      </w:r>
    </w:p>
  </w:footnote>
  <w:footnote w:id="15">
    <w:p w:rsidR="008F6EF9" w:rsidRPr="008F6EF9" w:rsidP="00456F4B" w14:paraId="3BAE304E" w14:textId="77777777">
      <w:pPr>
        <w:pStyle w:val="FootnoteText"/>
        <w:spacing w:after="120"/>
        <w:rPr>
          <w:sz w:val="20"/>
        </w:rPr>
      </w:pPr>
      <w:r w:rsidRPr="008F6EF9">
        <w:rPr>
          <w:rStyle w:val="FootnoteReference"/>
          <w:sz w:val="20"/>
        </w:rPr>
        <w:footnoteRef/>
      </w:r>
      <w:r w:rsidRPr="008F6EF9">
        <w:rPr>
          <w:sz w:val="20"/>
        </w:rPr>
        <w:t xml:space="preserve"> </w:t>
      </w:r>
      <w:r w:rsidRPr="008F6EF9">
        <w:rPr>
          <w:i/>
          <w:iCs/>
          <w:sz w:val="20"/>
        </w:rPr>
        <w:t>Id</w:t>
      </w:r>
      <w:r w:rsidRPr="008F6EF9">
        <w:rPr>
          <w:sz w:val="20"/>
        </w:rPr>
        <w:t xml:space="preserve">. at 5. </w:t>
      </w:r>
    </w:p>
  </w:footnote>
  <w:footnote w:id="16">
    <w:p w:rsidR="00ED374C" w:rsidP="00456F4B" w14:paraId="247FE486" w14:textId="77777777">
      <w:pPr>
        <w:pStyle w:val="FootnoteText"/>
        <w:spacing w:after="120"/>
      </w:pPr>
      <w:r>
        <w:rPr>
          <w:rStyle w:val="FootnoteReference"/>
        </w:rPr>
        <w:footnoteRef/>
      </w:r>
      <w:r>
        <w:t xml:space="preserve"> </w:t>
      </w:r>
      <w:r w:rsidRPr="00ED374C">
        <w:rPr>
          <w:i/>
          <w:iCs/>
          <w:sz w:val="20"/>
        </w:rPr>
        <w:t>Id.</w:t>
      </w:r>
      <w:r>
        <w:t xml:space="preserve"> </w:t>
      </w:r>
    </w:p>
  </w:footnote>
  <w:footnote w:id="17">
    <w:p w:rsidR="00ED374C" w:rsidP="00456F4B" w14:paraId="596EA765" w14:textId="77777777">
      <w:pPr>
        <w:pStyle w:val="FootnoteText"/>
        <w:spacing w:after="120"/>
      </w:pPr>
      <w:r>
        <w:rPr>
          <w:rStyle w:val="FootnoteReference"/>
        </w:rPr>
        <w:footnoteRef/>
      </w:r>
      <w:r>
        <w:t xml:space="preserve"> </w:t>
      </w:r>
      <w:r w:rsidRPr="00ED374C">
        <w:rPr>
          <w:i/>
          <w:iCs/>
          <w:sz w:val="20"/>
        </w:rPr>
        <w:t>Id.</w:t>
      </w:r>
      <w:r>
        <w:t xml:space="preserve"> </w:t>
      </w:r>
    </w:p>
  </w:footnote>
  <w:footnote w:id="18">
    <w:p w:rsidR="009455F2" w:rsidRPr="009455F2" w:rsidP="00456F4B" w14:paraId="0518A8CF" w14:textId="77777777">
      <w:pPr>
        <w:pStyle w:val="FootnoteText"/>
        <w:spacing w:after="120"/>
        <w:rPr>
          <w:sz w:val="20"/>
        </w:rPr>
      </w:pPr>
      <w:r w:rsidRPr="00311FF8">
        <w:rPr>
          <w:rStyle w:val="FootnoteReference"/>
          <w:sz w:val="20"/>
        </w:rPr>
        <w:footnoteRef/>
      </w:r>
      <w:r w:rsidRPr="00311FF8">
        <w:rPr>
          <w:sz w:val="20"/>
        </w:rPr>
        <w:t xml:space="preserve"> </w:t>
      </w:r>
      <w:r w:rsidRPr="00311FF8" w:rsidR="00BB7017">
        <w:rPr>
          <w:sz w:val="20"/>
        </w:rPr>
        <w:t xml:space="preserve">Nov. 29 </w:t>
      </w:r>
      <w:r w:rsidRPr="00311FF8">
        <w:rPr>
          <w:sz w:val="20"/>
        </w:rPr>
        <w:t xml:space="preserve">Supplement at 2. </w:t>
      </w:r>
      <w:r w:rsidRPr="00311FF8" w:rsidR="00BB7017">
        <w:rPr>
          <w:sz w:val="20"/>
        </w:rPr>
        <w:t xml:space="preserve"> </w:t>
      </w:r>
      <w:r w:rsidRPr="00311FF8">
        <w:rPr>
          <w:sz w:val="20"/>
        </w:rPr>
        <w:t xml:space="preserve">The Board of Directors of Shentel are all U.S. citizens. </w:t>
      </w:r>
      <w:r w:rsidRPr="00311FF8" w:rsidR="00BB7017">
        <w:rPr>
          <w:sz w:val="20"/>
        </w:rPr>
        <w:t xml:space="preserve"> Dec. 11 Supplement at 1.</w:t>
      </w:r>
    </w:p>
  </w:footnote>
  <w:footnote w:id="19">
    <w:p w:rsidR="002C5E63" w:rsidRPr="002C5E63" w:rsidP="00456F4B" w14:paraId="1E10BBE2" w14:textId="77777777">
      <w:pPr>
        <w:pStyle w:val="FootnoteText"/>
        <w:spacing w:after="120"/>
        <w:rPr>
          <w:sz w:val="20"/>
        </w:rPr>
      </w:pPr>
      <w:r w:rsidRPr="002C5E63">
        <w:rPr>
          <w:rStyle w:val="FootnoteReference"/>
          <w:sz w:val="20"/>
        </w:rPr>
        <w:footnoteRef/>
      </w:r>
      <w:r w:rsidRPr="002C5E63">
        <w:rPr>
          <w:sz w:val="20"/>
        </w:rPr>
        <w:t xml:space="preserve"> </w:t>
      </w:r>
      <w:r w:rsidRPr="00AC2CBA" w:rsidR="00AC2CBA">
        <w:rPr>
          <w:sz w:val="20"/>
        </w:rPr>
        <w:t>Application</w:t>
      </w:r>
      <w:r w:rsidRPr="002C5E63">
        <w:rPr>
          <w:sz w:val="20"/>
        </w:rPr>
        <w:t xml:space="preserve"> at 6. </w:t>
      </w:r>
    </w:p>
  </w:footnote>
  <w:footnote w:id="20">
    <w:p w:rsidR="00F95BF6" w:rsidRPr="00021FAC" w:rsidP="00456F4B" w14:paraId="030486CD" w14:textId="77777777">
      <w:pPr>
        <w:pStyle w:val="FootnoteText"/>
        <w:spacing w:after="120"/>
        <w:rPr>
          <w:sz w:val="20"/>
        </w:rPr>
      </w:pPr>
      <w:r w:rsidRPr="00021FAC">
        <w:rPr>
          <w:rStyle w:val="FootnoteReference"/>
          <w:sz w:val="20"/>
        </w:rPr>
        <w:footnoteRef/>
      </w:r>
      <w:r w:rsidRPr="00021FAC">
        <w:rPr>
          <w:sz w:val="20"/>
        </w:rPr>
        <w:t xml:space="preserve"> </w:t>
      </w:r>
      <w:r w:rsidRPr="00021FAC" w:rsidR="00021FAC">
        <w:rPr>
          <w:i/>
          <w:iCs/>
          <w:sz w:val="20"/>
        </w:rPr>
        <w:t>Id</w:t>
      </w:r>
      <w:r w:rsidRPr="00021FAC" w:rsidR="00021FAC">
        <w:rPr>
          <w:sz w:val="20"/>
        </w:rPr>
        <w:t xml:space="preserve">. at 9. </w:t>
      </w:r>
    </w:p>
  </w:footnote>
  <w:footnote w:id="21">
    <w:p w:rsidR="00F95BF6" w:rsidP="00456F4B" w14:paraId="5FB414B4" w14:textId="77777777">
      <w:pPr>
        <w:pStyle w:val="FootnoteText"/>
        <w:spacing w:after="120"/>
      </w:pPr>
      <w:r>
        <w:rPr>
          <w:rStyle w:val="FootnoteReference"/>
        </w:rPr>
        <w:footnoteRef/>
      </w:r>
      <w:r>
        <w:t xml:space="preserve"> </w:t>
      </w:r>
      <w:r w:rsidRPr="00021FAC" w:rsidR="00021FAC">
        <w:rPr>
          <w:i/>
          <w:iCs/>
        </w:rPr>
        <w:t>Id</w:t>
      </w:r>
      <w:r w:rsidR="00021FAC">
        <w:t>.</w:t>
      </w:r>
    </w:p>
  </w:footnote>
  <w:footnote w:id="22">
    <w:p w:rsidR="00843299" w:rsidRPr="000F4728" w:rsidP="00456F4B" w14:paraId="1A8B1A02" w14:textId="77777777">
      <w:pPr>
        <w:pStyle w:val="FootnoteText"/>
        <w:spacing w:after="120"/>
        <w:rPr>
          <w:sz w:val="20"/>
        </w:rPr>
      </w:pPr>
      <w:r w:rsidRPr="000F4728">
        <w:rPr>
          <w:rStyle w:val="FootnoteReference"/>
          <w:sz w:val="20"/>
        </w:rPr>
        <w:footnoteRef/>
      </w:r>
      <w:r w:rsidRPr="000F4728">
        <w:rPr>
          <w:sz w:val="20"/>
        </w:rPr>
        <w:t xml:space="preserve"> </w:t>
      </w:r>
      <w:r w:rsidRPr="000F4728">
        <w:rPr>
          <w:color w:val="020100"/>
          <w:sz w:val="20"/>
        </w:rPr>
        <w:t>47 CFR § 63.03(c)(1)(v).</w:t>
      </w:r>
    </w:p>
  </w:footnote>
  <w:footnote w:id="23">
    <w:p w:rsidR="00843299" w:rsidRPr="000F4728" w:rsidP="00456F4B" w14:paraId="65717652" w14:textId="77777777">
      <w:pPr>
        <w:pStyle w:val="FootnoteText"/>
        <w:spacing w:after="120"/>
        <w:rPr>
          <w:sz w:val="20"/>
          <w:u w:val="single"/>
        </w:rPr>
      </w:pPr>
      <w:r w:rsidRPr="000F4728">
        <w:rPr>
          <w:rStyle w:val="FootnoteReference"/>
          <w:sz w:val="20"/>
        </w:rPr>
        <w:footnoteRef/>
      </w:r>
      <w:r w:rsidRPr="000F4728">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F4728">
        <w:rPr>
          <w:rFonts w:eastAsia="Calibri"/>
          <w:i/>
          <w:iCs/>
          <w:sz w:val="20"/>
        </w:rPr>
        <w:t>See FCC Announces Closure of FCC Headquarters Open Window and Change in Hand-Delivery Policy</w:t>
      </w:r>
      <w:r w:rsidRPr="000F4728">
        <w:rPr>
          <w:rFonts w:eastAsia="Calibri"/>
          <w:sz w:val="20"/>
        </w:rPr>
        <w:t>, Public Notice, 35 FCC Rcd 2788 (OS 2020).</w:t>
      </w:r>
    </w:p>
  </w:footnote>
  <w:footnote w:id="24">
    <w:p w:rsidR="00843299" w:rsidRPr="000F4728" w:rsidP="00456F4B" w14:paraId="4CD51F73" w14:textId="77777777">
      <w:pPr>
        <w:pStyle w:val="FootnoteText"/>
        <w:tabs>
          <w:tab w:val="clear" w:pos="720"/>
        </w:tabs>
        <w:spacing w:after="120"/>
        <w:rPr>
          <w:sz w:val="20"/>
        </w:rPr>
      </w:pPr>
      <w:r w:rsidRPr="000F4728">
        <w:rPr>
          <w:rStyle w:val="FootnoteReference"/>
          <w:sz w:val="20"/>
        </w:rPr>
        <w:footnoteRef/>
      </w:r>
      <w:r w:rsidRPr="000F4728">
        <w:rPr>
          <w:sz w:val="20"/>
        </w:rPr>
        <w:t xml:space="preserve"> </w:t>
      </w:r>
      <w:r w:rsidRPr="000F4728">
        <w:rPr>
          <w:i/>
          <w:sz w:val="20"/>
        </w:rPr>
        <w:t>See</w:t>
      </w:r>
      <w:r w:rsidRPr="000F4728">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8AFBF0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38DE51C5" w14:textId="77777777">
                <w:pPr>
                  <w:rPr>
                    <w:rFonts w:ascii="Arial" w:hAnsi="Arial"/>
                    <w:b/>
                  </w:rPr>
                </w:pPr>
                <w:r>
                  <w:rPr>
                    <w:rFonts w:ascii="Arial" w:hAnsi="Arial"/>
                    <w:b/>
                  </w:rPr>
                  <w:t>Federal Communications Commission</w:t>
                </w:r>
              </w:p>
              <w:p w:rsidR="00E7033D" w14:paraId="43F3BC72"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78913EFF"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9411556"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CDABE71" w14:textId="77777777">
                <w:pPr>
                  <w:spacing w:before="40"/>
                  <w:jc w:val="right"/>
                  <w:rPr>
                    <w:rFonts w:ascii="Arial" w:hAnsi="Arial"/>
                    <w:b/>
                    <w:sz w:val="16"/>
                  </w:rPr>
                </w:pPr>
                <w:r>
                  <w:rPr>
                    <w:rFonts w:ascii="Arial" w:hAnsi="Arial"/>
                    <w:b/>
                    <w:sz w:val="16"/>
                  </w:rPr>
                  <w:t>News Media Information 202 / 418-0500</w:t>
                </w:r>
              </w:p>
              <w:p w:rsidR="00E7033D" w14:paraId="2EC8D616" w14:textId="77777777">
                <w:pPr>
                  <w:jc w:val="right"/>
                  <w:rPr>
                    <w:rFonts w:ascii="Arial" w:hAnsi="Arial"/>
                    <w:b/>
                    <w:sz w:val="16"/>
                  </w:rPr>
                </w:pPr>
                <w:r>
                  <w:rPr>
                    <w:rFonts w:ascii="Arial" w:hAnsi="Arial"/>
                    <w:b/>
                    <w:sz w:val="16"/>
                  </w:rPr>
                  <w:tab/>
                  <w:t xml:space="preserve">Internet: </w:t>
                </w:r>
                <w:bookmarkStart w:id="0" w:name="_Hlt233824"/>
                <w:hyperlink r:id="rId2" w:history="1">
                  <w:r w:rsidRPr="003B1D57" w:rsidR="008F44CA">
                    <w:rPr>
                      <w:rStyle w:val="Hyperlink"/>
                      <w:rFonts w:ascii="Arial" w:hAnsi="Arial"/>
                      <w:b/>
                      <w:sz w:val="16"/>
                    </w:rPr>
                    <w:t>h</w:t>
                  </w:r>
                  <w:bookmarkEnd w:id="0"/>
                  <w:r w:rsidRPr="003B1D57" w:rsidR="008F44CA">
                    <w:rPr>
                      <w:rStyle w:val="Hyperlink"/>
                      <w:rFonts w:ascii="Arial" w:hAnsi="Arial"/>
                      <w:b/>
                      <w:sz w:val="16"/>
                    </w:rPr>
                    <w:t>ttp://www.fcc.gov</w:t>
                  </w:r>
                </w:hyperlink>
              </w:p>
              <w:p w:rsidR="008F44CA" w14:paraId="69C9C615" w14:textId="77777777">
                <w:pPr>
                  <w:jc w:val="right"/>
                  <w:rPr>
                    <w:rFonts w:ascii="Arial" w:hAnsi="Arial"/>
                    <w:b/>
                    <w:sz w:val="16"/>
                  </w:rPr>
                </w:pPr>
              </w:p>
              <w:p w:rsidR="00E7033D" w14:paraId="7CC10764" w14:textId="77777777">
                <w:pPr>
                  <w:jc w:val="right"/>
                </w:pPr>
              </w:p>
            </w:txbxContent>
          </v:textbox>
        </v:shape>
      </w:pict>
    </w:r>
  </w:p>
  <w:p w:rsidR="00E7033D" w14:paraId="30DC664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299" w14:paraId="3E7F571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fcc_logo" style="width:41.75pt;height:41.75pt;margin-top:8.5pt;margin-left:2.4pt;position:absolute;visibility:visible;z-index:251665408"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_x0000_s2054" type="#_x0000_t202" style="width:244.8pt;height:50.4pt;margin-top:57.6pt;margin-left:47.6pt;position:absolute;visibility:visible;z-index:251662336" o:allowincell="f" stroked="f">
          <v:textbox>
            <w:txbxContent>
              <w:p w:rsidR="00843299" w14:paraId="4853B643" w14:textId="77777777">
                <w:pPr>
                  <w:rPr>
                    <w:rFonts w:ascii="Arial" w:hAnsi="Arial"/>
                    <w:b/>
                  </w:rPr>
                </w:pPr>
                <w:r>
                  <w:rPr>
                    <w:rFonts w:ascii="Arial" w:hAnsi="Arial"/>
                    <w:b/>
                  </w:rPr>
                  <w:t>Federal Communications Commission</w:t>
                </w:r>
              </w:p>
              <w:p w:rsidR="00843299" w14:paraId="4E84051A" w14:textId="77777777">
                <w:pPr>
                  <w:rPr>
                    <w:rFonts w:ascii="Arial" w:hAnsi="Arial"/>
                    <w:b/>
                  </w:rPr>
                </w:pPr>
                <w:r>
                  <w:rPr>
                    <w:rFonts w:ascii="Arial" w:hAnsi="Arial"/>
                    <w:b/>
                  </w:rPr>
                  <w:t>45 L St., N.E.</w:t>
                </w:r>
              </w:p>
              <w:p w:rsidR="00843299" w14:paraId="39C48B57" w14:textId="77777777">
                <w:pPr>
                  <w:rPr>
                    <w:rFonts w:ascii="Arial" w:hAnsi="Arial"/>
                    <w:sz w:val="24"/>
                  </w:rPr>
                </w:pPr>
                <w:r>
                  <w:rPr>
                    <w:rFonts w:ascii="Arial" w:hAnsi="Arial"/>
                    <w:b/>
                  </w:rPr>
                  <w:t>Washington, D.C. 20554</w:t>
                </w:r>
              </w:p>
            </w:txbxContent>
          </v:textbox>
        </v:shape>
      </w:pict>
    </w:r>
    <w:r w:rsidR="00CA23B1">
      <w:rPr>
        <w:rFonts w:ascii="News Gothic MT" w:hAnsi="News Gothic MT"/>
        <w:b/>
        <w:kern w:val="28"/>
        <w:sz w:val="96"/>
      </w:rPr>
      <w:t>PUBLIC NOTICE</w:t>
    </w:r>
  </w:p>
  <w:p w:rsidR="00843299" w:rsidRPr="00510533" w:rsidP="00510533" w14:paraId="363DCF66" w14:textId="77777777">
    <w:pPr>
      <w:pStyle w:val="Header"/>
      <w:tabs>
        <w:tab w:val="left" w:pos="1080"/>
        <w:tab w:val="clear" w:pos="4320"/>
        <w:tab w:val="clear" w:pos="8640"/>
      </w:tabs>
      <w:spacing w:line="1120" w:lineRule="exact"/>
      <w:ind w:left="720"/>
      <w:rPr>
        <w:rFonts w:ascii="Arial" w:hAnsi="Arial"/>
        <w:b/>
        <w:sz w:val="28"/>
      </w:rPr>
    </w:pPr>
    <w:r>
      <w:rPr>
        <w:noProof/>
      </w:rPr>
      <w:pict>
        <v:line id="_x0000_s2055" style="position:absolute;visibility:visible;z-index:251663360" from="0,54.95pt" to="540pt,55.15pt" o:allowincell="f"/>
      </w:pict>
    </w:r>
    <w:r>
      <w:rPr>
        <w:noProof/>
      </w:rPr>
      <w:pict>
        <v:shape id="_x0000_s2056" type="#_x0000_t202" style="width:207.95pt;height:43.2pt;margin-top:10.25pt;margin-left:336.7pt;position:absolute;visibility:visible;z-index:251664384" o:allowincell="f" stroked="f">
          <v:textbox inset=",0,,0">
            <w:txbxContent>
              <w:p w:rsidR="00843299" w14:paraId="74FF6E67" w14:textId="77777777">
                <w:pPr>
                  <w:spacing w:before="40"/>
                  <w:jc w:val="right"/>
                  <w:rPr>
                    <w:rFonts w:ascii="Arial" w:hAnsi="Arial"/>
                    <w:b/>
                    <w:sz w:val="16"/>
                  </w:rPr>
                </w:pPr>
                <w:r>
                  <w:rPr>
                    <w:rFonts w:ascii="Arial" w:hAnsi="Arial"/>
                    <w:b/>
                    <w:sz w:val="16"/>
                  </w:rPr>
                  <w:t>News Media Information 202 / 418-0500</w:t>
                </w:r>
              </w:p>
              <w:p w:rsidR="00843299" w14:paraId="063B67A6" w14:textId="77777777">
                <w:pPr>
                  <w:jc w:val="right"/>
                  <w:rPr>
                    <w:rFonts w:ascii="Arial" w:hAnsi="Arial"/>
                    <w:b/>
                    <w:sz w:val="16"/>
                  </w:rPr>
                </w:pPr>
                <w:r>
                  <w:rPr>
                    <w:rFonts w:ascii="Arial" w:hAnsi="Arial"/>
                    <w:b/>
                    <w:sz w:val="16"/>
                  </w:rPr>
                  <w:tab/>
                  <w:t xml:space="preserve">Internet: </w:t>
                </w:r>
                <w:hyperlink r:id="rId2" w:history="1">
                  <w:r w:rsidRPr="00116026">
                    <w:rPr>
                      <w:rStyle w:val="Hyperlink"/>
                      <w:rFonts w:ascii="Arial" w:hAnsi="Arial"/>
                      <w:b/>
                      <w:sz w:val="16"/>
                    </w:rPr>
                    <w:t>http://www.fcc.gov</w:t>
                  </w:r>
                </w:hyperlink>
              </w:p>
              <w:p w:rsidR="00843299" w14:paraId="3003F318" w14:textId="77777777">
                <w:pPr>
                  <w:jc w:val="right"/>
                  <w:rPr>
                    <w:rFonts w:ascii="Arial" w:hAnsi="Arial"/>
                    <w:b/>
                    <w:sz w:val="16"/>
                  </w:rPr>
                </w:pPr>
              </w:p>
              <w:p w:rsidR="00843299" w14:paraId="2291A481" w14:textId="77777777">
                <w:pPr>
                  <w:jc w:val="right"/>
                  <w:rPr>
                    <w:rFonts w:ascii="Arial" w:hAnsi="Arial"/>
                    <w:b/>
                    <w:sz w:val="16"/>
                  </w:rPr>
                </w:pPr>
              </w:p>
              <w:p w:rsidR="00843299" w14:paraId="4860B8F6" w14:textId="77777777">
                <w:pPr>
                  <w:jc w:val="right"/>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CCA5ACA"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2456"/>
    <w:rsid w:val="00003D80"/>
    <w:rsid w:val="0001135F"/>
    <w:rsid w:val="000113A2"/>
    <w:rsid w:val="0001280D"/>
    <w:rsid w:val="00015AB6"/>
    <w:rsid w:val="00017A3A"/>
    <w:rsid w:val="00021FAC"/>
    <w:rsid w:val="00030BE7"/>
    <w:rsid w:val="00040610"/>
    <w:rsid w:val="00041C01"/>
    <w:rsid w:val="000452C4"/>
    <w:rsid w:val="000456AB"/>
    <w:rsid w:val="00046C17"/>
    <w:rsid w:val="00050E19"/>
    <w:rsid w:val="000534AC"/>
    <w:rsid w:val="0005430A"/>
    <w:rsid w:val="00066D12"/>
    <w:rsid w:val="00070D65"/>
    <w:rsid w:val="00071BB6"/>
    <w:rsid w:val="000735C8"/>
    <w:rsid w:val="000754E0"/>
    <w:rsid w:val="00075F89"/>
    <w:rsid w:val="0008381D"/>
    <w:rsid w:val="00087205"/>
    <w:rsid w:val="000A0CB2"/>
    <w:rsid w:val="000B4EDD"/>
    <w:rsid w:val="000B66D9"/>
    <w:rsid w:val="000D0D16"/>
    <w:rsid w:val="000E0149"/>
    <w:rsid w:val="000F02F7"/>
    <w:rsid w:val="000F0AFE"/>
    <w:rsid w:val="000F4728"/>
    <w:rsid w:val="00101D0B"/>
    <w:rsid w:val="00116026"/>
    <w:rsid w:val="00122D01"/>
    <w:rsid w:val="0013405D"/>
    <w:rsid w:val="001356E5"/>
    <w:rsid w:val="0014099A"/>
    <w:rsid w:val="00141388"/>
    <w:rsid w:val="001501E0"/>
    <w:rsid w:val="00150FBE"/>
    <w:rsid w:val="0015217F"/>
    <w:rsid w:val="00161A95"/>
    <w:rsid w:val="0016394A"/>
    <w:rsid w:val="00165468"/>
    <w:rsid w:val="0017121F"/>
    <w:rsid w:val="001768CE"/>
    <w:rsid w:val="001A3813"/>
    <w:rsid w:val="001B1588"/>
    <w:rsid w:val="001B15F0"/>
    <w:rsid w:val="001B69F9"/>
    <w:rsid w:val="001C4E34"/>
    <w:rsid w:val="001C5BDA"/>
    <w:rsid w:val="001E3984"/>
    <w:rsid w:val="001E4406"/>
    <w:rsid w:val="001F1E04"/>
    <w:rsid w:val="001F6762"/>
    <w:rsid w:val="0021566F"/>
    <w:rsid w:val="00216E9D"/>
    <w:rsid w:val="002239B7"/>
    <w:rsid w:val="0022449B"/>
    <w:rsid w:val="00242594"/>
    <w:rsid w:val="00253247"/>
    <w:rsid w:val="00262E65"/>
    <w:rsid w:val="002704E0"/>
    <w:rsid w:val="00285612"/>
    <w:rsid w:val="002A0F0A"/>
    <w:rsid w:val="002A76D9"/>
    <w:rsid w:val="002B16FA"/>
    <w:rsid w:val="002B58D3"/>
    <w:rsid w:val="002C203E"/>
    <w:rsid w:val="002C22F3"/>
    <w:rsid w:val="002C27F4"/>
    <w:rsid w:val="002C47F7"/>
    <w:rsid w:val="002C5E63"/>
    <w:rsid w:val="002C7CC2"/>
    <w:rsid w:val="002D09E2"/>
    <w:rsid w:val="002D136F"/>
    <w:rsid w:val="002D6F61"/>
    <w:rsid w:val="002D73DB"/>
    <w:rsid w:val="002E1FEF"/>
    <w:rsid w:val="002F5177"/>
    <w:rsid w:val="002F6E56"/>
    <w:rsid w:val="0030157A"/>
    <w:rsid w:val="003064D6"/>
    <w:rsid w:val="0030742E"/>
    <w:rsid w:val="00311FF8"/>
    <w:rsid w:val="00333850"/>
    <w:rsid w:val="00346293"/>
    <w:rsid w:val="00353CB5"/>
    <w:rsid w:val="00355008"/>
    <w:rsid w:val="00365194"/>
    <w:rsid w:val="00373F7D"/>
    <w:rsid w:val="00376464"/>
    <w:rsid w:val="00380E99"/>
    <w:rsid w:val="003855A0"/>
    <w:rsid w:val="00386FFF"/>
    <w:rsid w:val="0039053C"/>
    <w:rsid w:val="003921C1"/>
    <w:rsid w:val="003945C4"/>
    <w:rsid w:val="00395A7A"/>
    <w:rsid w:val="003A18A0"/>
    <w:rsid w:val="003A443A"/>
    <w:rsid w:val="003B0D16"/>
    <w:rsid w:val="003B1D57"/>
    <w:rsid w:val="003B282D"/>
    <w:rsid w:val="003B5CEE"/>
    <w:rsid w:val="003B786E"/>
    <w:rsid w:val="003F0ECD"/>
    <w:rsid w:val="003F311D"/>
    <w:rsid w:val="004077D0"/>
    <w:rsid w:val="00412DA6"/>
    <w:rsid w:val="004156F7"/>
    <w:rsid w:val="00416635"/>
    <w:rsid w:val="004175D7"/>
    <w:rsid w:val="00420E23"/>
    <w:rsid w:val="00425F45"/>
    <w:rsid w:val="004331D7"/>
    <w:rsid w:val="00433D8C"/>
    <w:rsid w:val="00434C96"/>
    <w:rsid w:val="00440156"/>
    <w:rsid w:val="004466E0"/>
    <w:rsid w:val="00450EEF"/>
    <w:rsid w:val="00456F4B"/>
    <w:rsid w:val="00460914"/>
    <w:rsid w:val="004609A4"/>
    <w:rsid w:val="00464E8A"/>
    <w:rsid w:val="00467BFD"/>
    <w:rsid w:val="00475BB6"/>
    <w:rsid w:val="004803B6"/>
    <w:rsid w:val="004808FC"/>
    <w:rsid w:val="00482EB0"/>
    <w:rsid w:val="004913FF"/>
    <w:rsid w:val="00491CFA"/>
    <w:rsid w:val="004951AE"/>
    <w:rsid w:val="00495ABA"/>
    <w:rsid w:val="00496CA4"/>
    <w:rsid w:val="004A554E"/>
    <w:rsid w:val="004B4AA9"/>
    <w:rsid w:val="004B7FB2"/>
    <w:rsid w:val="004C3AB0"/>
    <w:rsid w:val="004C5892"/>
    <w:rsid w:val="004C5C4F"/>
    <w:rsid w:val="004C712F"/>
    <w:rsid w:val="004D6066"/>
    <w:rsid w:val="004F3603"/>
    <w:rsid w:val="004F6F64"/>
    <w:rsid w:val="00510533"/>
    <w:rsid w:val="00511202"/>
    <w:rsid w:val="005128D4"/>
    <w:rsid w:val="00522182"/>
    <w:rsid w:val="00522749"/>
    <w:rsid w:val="0052334B"/>
    <w:rsid w:val="005243E7"/>
    <w:rsid w:val="005320B5"/>
    <w:rsid w:val="00544DC1"/>
    <w:rsid w:val="00546375"/>
    <w:rsid w:val="0056058F"/>
    <w:rsid w:val="00574C0D"/>
    <w:rsid w:val="00587D3A"/>
    <w:rsid w:val="005932BA"/>
    <w:rsid w:val="005A13D0"/>
    <w:rsid w:val="005A2174"/>
    <w:rsid w:val="005A38C6"/>
    <w:rsid w:val="005A5BD5"/>
    <w:rsid w:val="005A64A7"/>
    <w:rsid w:val="005C403A"/>
    <w:rsid w:val="005C51CE"/>
    <w:rsid w:val="005D7355"/>
    <w:rsid w:val="005D7857"/>
    <w:rsid w:val="0060105E"/>
    <w:rsid w:val="0060106A"/>
    <w:rsid w:val="00604A3C"/>
    <w:rsid w:val="00604CFF"/>
    <w:rsid w:val="0061137C"/>
    <w:rsid w:val="00616221"/>
    <w:rsid w:val="006768CC"/>
    <w:rsid w:val="00691832"/>
    <w:rsid w:val="006A0E48"/>
    <w:rsid w:val="006A1D06"/>
    <w:rsid w:val="006B39BA"/>
    <w:rsid w:val="006B5C06"/>
    <w:rsid w:val="006B662C"/>
    <w:rsid w:val="006C32C8"/>
    <w:rsid w:val="006C32D6"/>
    <w:rsid w:val="006C591C"/>
    <w:rsid w:val="006E155C"/>
    <w:rsid w:val="006E3E11"/>
    <w:rsid w:val="006E3F49"/>
    <w:rsid w:val="006E5144"/>
    <w:rsid w:val="006E61ED"/>
    <w:rsid w:val="006E7452"/>
    <w:rsid w:val="006F3126"/>
    <w:rsid w:val="006F4D60"/>
    <w:rsid w:val="007007F3"/>
    <w:rsid w:val="00706D49"/>
    <w:rsid w:val="0071041E"/>
    <w:rsid w:val="00724722"/>
    <w:rsid w:val="00727E3E"/>
    <w:rsid w:val="00733B9B"/>
    <w:rsid w:val="007569C5"/>
    <w:rsid w:val="00760269"/>
    <w:rsid w:val="0077224E"/>
    <w:rsid w:val="00780F55"/>
    <w:rsid w:val="00783A05"/>
    <w:rsid w:val="00792C3A"/>
    <w:rsid w:val="007942ED"/>
    <w:rsid w:val="007A19EF"/>
    <w:rsid w:val="007A2CD5"/>
    <w:rsid w:val="007A43BD"/>
    <w:rsid w:val="007A56E2"/>
    <w:rsid w:val="007B2C2E"/>
    <w:rsid w:val="007B47A9"/>
    <w:rsid w:val="007C263F"/>
    <w:rsid w:val="007C30DA"/>
    <w:rsid w:val="007E3FED"/>
    <w:rsid w:val="007E413D"/>
    <w:rsid w:val="007E5753"/>
    <w:rsid w:val="007E5FC3"/>
    <w:rsid w:val="007F4385"/>
    <w:rsid w:val="008042EC"/>
    <w:rsid w:val="00810DFF"/>
    <w:rsid w:val="00811ECF"/>
    <w:rsid w:val="00813C6D"/>
    <w:rsid w:val="008203E8"/>
    <w:rsid w:val="008205E2"/>
    <w:rsid w:val="00821491"/>
    <w:rsid w:val="00824765"/>
    <w:rsid w:val="00826444"/>
    <w:rsid w:val="0083042B"/>
    <w:rsid w:val="0083331C"/>
    <w:rsid w:val="0083340A"/>
    <w:rsid w:val="00843299"/>
    <w:rsid w:val="0084778A"/>
    <w:rsid w:val="00853114"/>
    <w:rsid w:val="0085579D"/>
    <w:rsid w:val="00861841"/>
    <w:rsid w:val="00864397"/>
    <w:rsid w:val="0086691C"/>
    <w:rsid w:val="008675C7"/>
    <w:rsid w:val="0087554B"/>
    <w:rsid w:val="00877912"/>
    <w:rsid w:val="00877D35"/>
    <w:rsid w:val="00881DC6"/>
    <w:rsid w:val="008850E4"/>
    <w:rsid w:val="00890FC9"/>
    <w:rsid w:val="00895892"/>
    <w:rsid w:val="00895C4A"/>
    <w:rsid w:val="008A59EF"/>
    <w:rsid w:val="008A740E"/>
    <w:rsid w:val="008C294A"/>
    <w:rsid w:val="008D0BC8"/>
    <w:rsid w:val="008D2804"/>
    <w:rsid w:val="008D55F9"/>
    <w:rsid w:val="008D5A3F"/>
    <w:rsid w:val="008E27B4"/>
    <w:rsid w:val="008F22F6"/>
    <w:rsid w:val="008F44CA"/>
    <w:rsid w:val="008F6981"/>
    <w:rsid w:val="008F6EF9"/>
    <w:rsid w:val="00903154"/>
    <w:rsid w:val="00903DE0"/>
    <w:rsid w:val="009075DA"/>
    <w:rsid w:val="009101A4"/>
    <w:rsid w:val="00910D7E"/>
    <w:rsid w:val="00911C17"/>
    <w:rsid w:val="0092059B"/>
    <w:rsid w:val="00923974"/>
    <w:rsid w:val="00924572"/>
    <w:rsid w:val="00926DD3"/>
    <w:rsid w:val="009329A6"/>
    <w:rsid w:val="0094046E"/>
    <w:rsid w:val="009455F2"/>
    <w:rsid w:val="00950639"/>
    <w:rsid w:val="00965930"/>
    <w:rsid w:val="00967409"/>
    <w:rsid w:val="009779A2"/>
    <w:rsid w:val="0098015F"/>
    <w:rsid w:val="00980811"/>
    <w:rsid w:val="00987277"/>
    <w:rsid w:val="00991782"/>
    <w:rsid w:val="0099649F"/>
    <w:rsid w:val="009964FA"/>
    <w:rsid w:val="009A0D7F"/>
    <w:rsid w:val="009A124E"/>
    <w:rsid w:val="009A2284"/>
    <w:rsid w:val="009A6CCF"/>
    <w:rsid w:val="009B0128"/>
    <w:rsid w:val="009B09D8"/>
    <w:rsid w:val="009B6797"/>
    <w:rsid w:val="009C3EC2"/>
    <w:rsid w:val="009E6916"/>
    <w:rsid w:val="00A11865"/>
    <w:rsid w:val="00A15248"/>
    <w:rsid w:val="00A2021A"/>
    <w:rsid w:val="00A233A3"/>
    <w:rsid w:val="00A25C41"/>
    <w:rsid w:val="00A26488"/>
    <w:rsid w:val="00A26ADD"/>
    <w:rsid w:val="00A34A3D"/>
    <w:rsid w:val="00A43AED"/>
    <w:rsid w:val="00A47815"/>
    <w:rsid w:val="00A51DBD"/>
    <w:rsid w:val="00A55F2F"/>
    <w:rsid w:val="00A569E4"/>
    <w:rsid w:val="00A61D2B"/>
    <w:rsid w:val="00A64040"/>
    <w:rsid w:val="00A9279F"/>
    <w:rsid w:val="00A92C9E"/>
    <w:rsid w:val="00AB65FA"/>
    <w:rsid w:val="00AB7DD7"/>
    <w:rsid w:val="00AC2CBA"/>
    <w:rsid w:val="00AC412B"/>
    <w:rsid w:val="00AC4928"/>
    <w:rsid w:val="00AC6A56"/>
    <w:rsid w:val="00AD0360"/>
    <w:rsid w:val="00AD71C9"/>
    <w:rsid w:val="00AE4EB4"/>
    <w:rsid w:val="00B00CBF"/>
    <w:rsid w:val="00B02CE4"/>
    <w:rsid w:val="00B05216"/>
    <w:rsid w:val="00B1017E"/>
    <w:rsid w:val="00B25A68"/>
    <w:rsid w:val="00B335D6"/>
    <w:rsid w:val="00B37733"/>
    <w:rsid w:val="00B472A7"/>
    <w:rsid w:val="00B55A93"/>
    <w:rsid w:val="00B65CEB"/>
    <w:rsid w:val="00B66193"/>
    <w:rsid w:val="00B66987"/>
    <w:rsid w:val="00B73AED"/>
    <w:rsid w:val="00B8112B"/>
    <w:rsid w:val="00B90609"/>
    <w:rsid w:val="00B908C9"/>
    <w:rsid w:val="00B92FCA"/>
    <w:rsid w:val="00B958E7"/>
    <w:rsid w:val="00BA7935"/>
    <w:rsid w:val="00BB417E"/>
    <w:rsid w:val="00BB7017"/>
    <w:rsid w:val="00BC7555"/>
    <w:rsid w:val="00BD519C"/>
    <w:rsid w:val="00BF0B00"/>
    <w:rsid w:val="00C07680"/>
    <w:rsid w:val="00C117C2"/>
    <w:rsid w:val="00C174CD"/>
    <w:rsid w:val="00C252D2"/>
    <w:rsid w:val="00C32EC5"/>
    <w:rsid w:val="00C33BB8"/>
    <w:rsid w:val="00C42F8A"/>
    <w:rsid w:val="00C45608"/>
    <w:rsid w:val="00C51701"/>
    <w:rsid w:val="00C53E5E"/>
    <w:rsid w:val="00C612FD"/>
    <w:rsid w:val="00C71304"/>
    <w:rsid w:val="00C749BC"/>
    <w:rsid w:val="00C75DF3"/>
    <w:rsid w:val="00C82D34"/>
    <w:rsid w:val="00C8663D"/>
    <w:rsid w:val="00CA23B1"/>
    <w:rsid w:val="00CA3252"/>
    <w:rsid w:val="00CB08EA"/>
    <w:rsid w:val="00CB2661"/>
    <w:rsid w:val="00CB6461"/>
    <w:rsid w:val="00CC1FB2"/>
    <w:rsid w:val="00CC2C01"/>
    <w:rsid w:val="00CD0AA5"/>
    <w:rsid w:val="00CD711B"/>
    <w:rsid w:val="00CE03DE"/>
    <w:rsid w:val="00CE235B"/>
    <w:rsid w:val="00CE26CC"/>
    <w:rsid w:val="00CE49B4"/>
    <w:rsid w:val="00CE530B"/>
    <w:rsid w:val="00CE7F62"/>
    <w:rsid w:val="00CF0677"/>
    <w:rsid w:val="00D024AA"/>
    <w:rsid w:val="00D04DB0"/>
    <w:rsid w:val="00D111DF"/>
    <w:rsid w:val="00D11786"/>
    <w:rsid w:val="00D15E85"/>
    <w:rsid w:val="00D252B2"/>
    <w:rsid w:val="00D259B1"/>
    <w:rsid w:val="00D30DAA"/>
    <w:rsid w:val="00D3174C"/>
    <w:rsid w:val="00D32439"/>
    <w:rsid w:val="00D34323"/>
    <w:rsid w:val="00D41123"/>
    <w:rsid w:val="00D41B2C"/>
    <w:rsid w:val="00D44BEB"/>
    <w:rsid w:val="00D615DC"/>
    <w:rsid w:val="00D6239C"/>
    <w:rsid w:val="00D702F3"/>
    <w:rsid w:val="00D70788"/>
    <w:rsid w:val="00DB13E2"/>
    <w:rsid w:val="00DB59FD"/>
    <w:rsid w:val="00DD0968"/>
    <w:rsid w:val="00DE3E77"/>
    <w:rsid w:val="00DE4187"/>
    <w:rsid w:val="00DE7AD4"/>
    <w:rsid w:val="00DF1AD9"/>
    <w:rsid w:val="00DF6F91"/>
    <w:rsid w:val="00E07054"/>
    <w:rsid w:val="00E07AD0"/>
    <w:rsid w:val="00E207A7"/>
    <w:rsid w:val="00E22CE3"/>
    <w:rsid w:val="00E54722"/>
    <w:rsid w:val="00E55A96"/>
    <w:rsid w:val="00E7033D"/>
    <w:rsid w:val="00E70409"/>
    <w:rsid w:val="00E714D1"/>
    <w:rsid w:val="00E76380"/>
    <w:rsid w:val="00E81CFD"/>
    <w:rsid w:val="00E86627"/>
    <w:rsid w:val="00E90A56"/>
    <w:rsid w:val="00E93B00"/>
    <w:rsid w:val="00EA258C"/>
    <w:rsid w:val="00EA268B"/>
    <w:rsid w:val="00EB2E3F"/>
    <w:rsid w:val="00EB4580"/>
    <w:rsid w:val="00EB5655"/>
    <w:rsid w:val="00EC0FDA"/>
    <w:rsid w:val="00EC3BF9"/>
    <w:rsid w:val="00EC3CCE"/>
    <w:rsid w:val="00EC5F92"/>
    <w:rsid w:val="00ED374C"/>
    <w:rsid w:val="00ED40B2"/>
    <w:rsid w:val="00ED4A4C"/>
    <w:rsid w:val="00EE37C8"/>
    <w:rsid w:val="00EE3821"/>
    <w:rsid w:val="00EF0395"/>
    <w:rsid w:val="00F01179"/>
    <w:rsid w:val="00F03277"/>
    <w:rsid w:val="00F04273"/>
    <w:rsid w:val="00F04EDD"/>
    <w:rsid w:val="00F05755"/>
    <w:rsid w:val="00F07E24"/>
    <w:rsid w:val="00F107E6"/>
    <w:rsid w:val="00F21B45"/>
    <w:rsid w:val="00F23C8B"/>
    <w:rsid w:val="00F25C6B"/>
    <w:rsid w:val="00F3092F"/>
    <w:rsid w:val="00F53CE0"/>
    <w:rsid w:val="00F5717B"/>
    <w:rsid w:val="00F65523"/>
    <w:rsid w:val="00F700CA"/>
    <w:rsid w:val="00F74CF6"/>
    <w:rsid w:val="00F850B7"/>
    <w:rsid w:val="00F85844"/>
    <w:rsid w:val="00F95BF6"/>
    <w:rsid w:val="00F96278"/>
    <w:rsid w:val="00FA546C"/>
    <w:rsid w:val="00FB729A"/>
    <w:rsid w:val="00FB7B8E"/>
    <w:rsid w:val="00FC2B20"/>
    <w:rsid w:val="00FC3E30"/>
    <w:rsid w:val="00FC5055"/>
    <w:rsid w:val="00FD2559"/>
    <w:rsid w:val="00FD5627"/>
    <w:rsid w:val="00FF1735"/>
    <w:rsid w:val="00FF6F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87C5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rsid w:val="008F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http://apps.fcc.gov/ecfs/" TargetMode="External" /><Relationship Id="rId12" Type="http://schemas.openxmlformats.org/officeDocument/2006/relationships/hyperlink" Target="mailto:fcc504@fcc.gov" TargetMode="External" /><Relationship Id="rId13" Type="http://schemas.openxmlformats.org/officeDocument/2006/relationships/hyperlink" Target="mailto:tracey.wilson@fcc.gov" TargetMode="External" /><Relationship Id="rId14" Type="http://schemas.openxmlformats.org/officeDocument/2006/relationships/hyperlink" Target="mailto:dennis.johnson@fcc.gov" TargetMode="External" /><Relationship Id="rId15" Type="http://schemas.openxmlformats.org/officeDocument/2006/relationships/hyperlink" Target="mailto:david.krech@fcc.gov" TargetMode="External" /><Relationship Id="rId16" Type="http://schemas.openxmlformats.org/officeDocument/2006/relationships/hyperlink" Target="mailto:jim.bird@fcc.gov" TargetMode="External" /><Relationship Id="rId17" Type="http://schemas.openxmlformats.org/officeDocument/2006/relationships/footer" Target="footer5.xml" /><Relationship Id="rId18" Type="http://schemas.openxmlformats.org/officeDocument/2006/relationships/header" Target="head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