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64718" w:rsidRPr="00030135" w:rsidP="00B64718" w14:paraId="4F263EC3" w14:textId="3B87D1A2">
      <w:pPr>
        <w:jc w:val="right"/>
        <w:rPr>
          <w:b/>
          <w:szCs w:val="22"/>
        </w:rPr>
      </w:pPr>
      <w:r w:rsidRPr="00030135">
        <w:rPr>
          <w:b/>
          <w:szCs w:val="22"/>
        </w:rPr>
        <w:t>DA 23-</w:t>
      </w:r>
      <w:r w:rsidR="00F84C32">
        <w:rPr>
          <w:b/>
          <w:szCs w:val="22"/>
        </w:rPr>
        <w:t>118</w:t>
      </w:r>
    </w:p>
    <w:p w:rsidR="00B64718" w:rsidRPr="003E1484" w:rsidP="00B64718" w14:paraId="094296A9" w14:textId="13278658">
      <w:pPr>
        <w:jc w:val="right"/>
        <w:rPr>
          <w:b/>
          <w:szCs w:val="22"/>
        </w:rPr>
      </w:pPr>
      <w:r w:rsidRPr="003E1484">
        <w:rPr>
          <w:b/>
          <w:szCs w:val="22"/>
        </w:rPr>
        <w:t xml:space="preserve">Released:  February </w:t>
      </w:r>
      <w:r w:rsidRPr="003E1484" w:rsidR="00C05353">
        <w:rPr>
          <w:b/>
          <w:szCs w:val="22"/>
        </w:rPr>
        <w:t>9</w:t>
      </w:r>
      <w:r w:rsidRPr="003E1484">
        <w:rPr>
          <w:b/>
          <w:szCs w:val="22"/>
        </w:rPr>
        <w:t>, 2023</w:t>
      </w:r>
    </w:p>
    <w:p w:rsidR="00B64718" w:rsidRPr="003E1484" w:rsidP="00B64718" w14:paraId="5A9A8060" w14:textId="77777777">
      <w:pPr>
        <w:spacing w:before="60"/>
        <w:jc w:val="right"/>
        <w:rPr>
          <w:b/>
          <w:szCs w:val="22"/>
        </w:rPr>
      </w:pPr>
    </w:p>
    <w:p w:rsidR="00B64718" w:rsidRPr="003E1484" w:rsidP="00B64718" w14:paraId="743BB871" w14:textId="77777777">
      <w:pPr>
        <w:jc w:val="center"/>
        <w:rPr>
          <w:rFonts w:ascii="Times New Roman Bold" w:hAnsi="Times New Roman Bold"/>
          <w:b/>
          <w:caps/>
          <w:szCs w:val="22"/>
        </w:rPr>
      </w:pPr>
      <w:r w:rsidRPr="003E1484">
        <w:rPr>
          <w:b/>
          <w:szCs w:val="22"/>
        </w:rPr>
        <w:t>COMMENT AND REPLY DATES SET</w:t>
      </w:r>
      <w:r w:rsidRPr="003E1484">
        <w:rPr>
          <w:rFonts w:ascii="Times New Roman Bold" w:hAnsi="Times New Roman Bold"/>
          <w:b/>
          <w:caps/>
          <w:szCs w:val="22"/>
        </w:rPr>
        <w:t xml:space="preserve"> for NPrm proposing to Update</w:t>
      </w:r>
    </w:p>
    <w:p w:rsidR="00B64718" w:rsidRPr="003E1484" w:rsidP="00B64718" w14:paraId="321FB186" w14:textId="08DE8FD5">
      <w:pPr>
        <w:jc w:val="center"/>
        <w:rPr>
          <w:rFonts w:ascii="Times New Roman Bold" w:hAnsi="Times New Roman Bold"/>
          <w:b/>
          <w:caps/>
          <w:szCs w:val="22"/>
        </w:rPr>
      </w:pPr>
      <w:r w:rsidRPr="003E1484">
        <w:rPr>
          <w:rFonts w:ascii="Times New Roman Bold" w:hAnsi="Times New Roman Bold"/>
          <w:b/>
          <w:caps/>
          <w:szCs w:val="22"/>
        </w:rPr>
        <w:t xml:space="preserve">rules for Full power and Class A </w:t>
      </w:r>
      <w:r w:rsidRPr="003E1484" w:rsidR="00477A6A">
        <w:rPr>
          <w:rFonts w:ascii="Times New Roman Bold" w:hAnsi="Times New Roman Bold"/>
          <w:b/>
          <w:caps/>
          <w:szCs w:val="22"/>
        </w:rPr>
        <w:t xml:space="preserve">TELEVISION </w:t>
      </w:r>
      <w:r w:rsidRPr="003E1484">
        <w:rPr>
          <w:rFonts w:ascii="Times New Roman Bold" w:hAnsi="Times New Roman Bold"/>
          <w:b/>
          <w:caps/>
          <w:szCs w:val="22"/>
        </w:rPr>
        <w:t>stations</w:t>
      </w:r>
    </w:p>
    <w:p w:rsidR="00B64718" w:rsidRPr="003E1484" w:rsidP="00B64718" w14:paraId="04EA3FDE" w14:textId="77777777">
      <w:pPr>
        <w:jc w:val="center"/>
        <w:rPr>
          <w:rFonts w:ascii="Times New Roman Bold" w:hAnsi="Times New Roman Bold"/>
          <w:b/>
          <w:caps/>
          <w:szCs w:val="22"/>
        </w:rPr>
      </w:pPr>
    </w:p>
    <w:p w:rsidR="00B64718" w:rsidRPr="003E1484" w:rsidP="00B64718" w14:paraId="1CDD76F6" w14:textId="3E488985">
      <w:pPr>
        <w:jc w:val="center"/>
        <w:rPr>
          <w:b/>
          <w:szCs w:val="22"/>
        </w:rPr>
      </w:pPr>
      <w:r w:rsidRPr="003E1484">
        <w:rPr>
          <w:b/>
          <w:szCs w:val="22"/>
        </w:rPr>
        <w:t>MB Docket No. 22-227</w:t>
      </w:r>
    </w:p>
    <w:p w:rsidR="00B64718" w:rsidRPr="003E1484" w:rsidP="00B64718" w14:paraId="772978F5" w14:textId="77777777">
      <w:pPr>
        <w:jc w:val="center"/>
        <w:rPr>
          <w:b/>
          <w:szCs w:val="22"/>
        </w:rPr>
      </w:pPr>
    </w:p>
    <w:p w:rsidR="00B64718" w:rsidRPr="003E1484" w:rsidP="00B64718" w14:paraId="0D1234AF" w14:textId="77777777">
      <w:pPr>
        <w:jc w:val="center"/>
        <w:rPr>
          <w:b/>
          <w:szCs w:val="22"/>
        </w:rPr>
      </w:pPr>
    </w:p>
    <w:p w:rsidR="00B64718" w:rsidRPr="003E1484" w:rsidP="00B64718" w14:paraId="0E7BE3C9" w14:textId="5435C641">
      <w:pPr>
        <w:rPr>
          <w:b/>
          <w:szCs w:val="22"/>
        </w:rPr>
      </w:pPr>
      <w:r w:rsidRPr="003E1484">
        <w:rPr>
          <w:b/>
          <w:szCs w:val="22"/>
        </w:rPr>
        <w:t xml:space="preserve">Comment Date: </w:t>
      </w:r>
      <w:r w:rsidRPr="003E1484">
        <w:rPr>
          <w:b/>
          <w:szCs w:val="22"/>
        </w:rPr>
        <w:tab/>
      </w:r>
      <w:r w:rsidRPr="003E1484">
        <w:rPr>
          <w:b/>
          <w:szCs w:val="22"/>
        </w:rPr>
        <w:tab/>
        <w:t xml:space="preserve">April </w:t>
      </w:r>
      <w:r w:rsidRPr="003E1484" w:rsidR="00C05353">
        <w:rPr>
          <w:b/>
          <w:szCs w:val="22"/>
        </w:rPr>
        <w:t>10</w:t>
      </w:r>
      <w:r w:rsidRPr="003E1484">
        <w:rPr>
          <w:b/>
          <w:szCs w:val="22"/>
        </w:rPr>
        <w:t>, 2023</w:t>
      </w:r>
    </w:p>
    <w:p w:rsidR="00B64718" w:rsidRPr="003E1484" w:rsidP="00B64718" w14:paraId="41DE5110" w14:textId="28108F9A">
      <w:pPr>
        <w:rPr>
          <w:szCs w:val="22"/>
        </w:rPr>
      </w:pPr>
      <w:r w:rsidRPr="003E1484">
        <w:rPr>
          <w:b/>
          <w:szCs w:val="22"/>
        </w:rPr>
        <w:t xml:space="preserve">Reply Comment Date: </w:t>
      </w:r>
      <w:r w:rsidRPr="003E1484">
        <w:rPr>
          <w:b/>
          <w:szCs w:val="22"/>
        </w:rPr>
        <w:tab/>
      </w:r>
      <w:r w:rsidRPr="003E1484">
        <w:rPr>
          <w:b/>
          <w:szCs w:val="22"/>
        </w:rPr>
        <w:tab/>
      </w:r>
      <w:r w:rsidRPr="003E1484" w:rsidR="00C05353">
        <w:rPr>
          <w:b/>
          <w:szCs w:val="22"/>
        </w:rPr>
        <w:t>April</w:t>
      </w:r>
      <w:r w:rsidRPr="003E1484">
        <w:rPr>
          <w:b/>
          <w:szCs w:val="22"/>
        </w:rPr>
        <w:t xml:space="preserve"> </w:t>
      </w:r>
      <w:r w:rsidRPr="003E1484" w:rsidR="00C05353">
        <w:rPr>
          <w:b/>
          <w:szCs w:val="22"/>
        </w:rPr>
        <w:t>25</w:t>
      </w:r>
      <w:r w:rsidRPr="003E1484">
        <w:rPr>
          <w:b/>
          <w:szCs w:val="22"/>
        </w:rPr>
        <w:t>, 2023</w:t>
      </w:r>
    </w:p>
    <w:p w:rsidR="00B64718" w:rsidRPr="003E1484" w:rsidP="00B64718" w14:paraId="08D8B1C0" w14:textId="77777777">
      <w:pPr>
        <w:spacing w:before="60"/>
        <w:rPr>
          <w:szCs w:val="22"/>
        </w:rPr>
      </w:pPr>
    </w:p>
    <w:p w:rsidR="00B64718" w:rsidRPr="003E1484" w:rsidP="00B64718" w14:paraId="7C27CB8B" w14:textId="1C16DC4A">
      <w:pPr>
        <w:ind w:firstLine="720"/>
        <w:rPr>
          <w:szCs w:val="22"/>
        </w:rPr>
      </w:pPr>
      <w:r w:rsidRPr="003E1484">
        <w:rPr>
          <w:szCs w:val="22"/>
        </w:rPr>
        <w:t xml:space="preserve">On September 29, 2022, the Commission released a </w:t>
      </w:r>
      <w:r w:rsidRPr="003E1484">
        <w:rPr>
          <w:i/>
          <w:iCs/>
          <w:szCs w:val="22"/>
        </w:rPr>
        <w:t>Notice of Proposed Rulemaking</w:t>
      </w:r>
      <w:r w:rsidRPr="003E1484">
        <w:rPr>
          <w:szCs w:val="22"/>
        </w:rPr>
        <w:t xml:space="preserve"> (</w:t>
      </w:r>
      <w:r w:rsidRPr="003E1484">
        <w:rPr>
          <w:i/>
          <w:iCs/>
          <w:szCs w:val="22"/>
        </w:rPr>
        <w:t>NPRM</w:t>
      </w:r>
      <w:r w:rsidRPr="003E1484">
        <w:rPr>
          <w:szCs w:val="22"/>
        </w:rPr>
        <w:t xml:space="preserve">) </w:t>
      </w:r>
      <w:r w:rsidRPr="003E1484">
        <w:t xml:space="preserve">seeking comment </w:t>
      </w:r>
      <w:r w:rsidRPr="003E1484">
        <w:rPr>
          <w:szCs w:val="22"/>
        </w:rPr>
        <w:t>in MB Docket No. 22-227 on proposals to update rules to comprehensively delete, update, or otherwise revise Commission rules for full power and Class A</w:t>
      </w:r>
      <w:r w:rsidRPr="003E1484" w:rsidR="00477A6A">
        <w:rPr>
          <w:szCs w:val="22"/>
        </w:rPr>
        <w:t xml:space="preserve"> </w:t>
      </w:r>
      <w:r w:rsidRPr="003E1484" w:rsidR="007A2E3C">
        <w:rPr>
          <w:szCs w:val="22"/>
        </w:rPr>
        <w:t>television</w:t>
      </w:r>
      <w:r w:rsidRPr="003E1484">
        <w:rPr>
          <w:szCs w:val="22"/>
        </w:rPr>
        <w:t xml:space="preserve"> stations that no longer have any practical effect given the transition from analog to digital-only operations and the completion of the post-incentive auction transition to a smaller television band with fewer channels.</w:t>
      </w:r>
      <w:r>
        <w:rPr>
          <w:rStyle w:val="FootnoteReference"/>
          <w:szCs w:val="22"/>
        </w:rPr>
        <w:footnoteReference w:id="2"/>
      </w:r>
      <w:r w:rsidRPr="003E1484">
        <w:rPr>
          <w:szCs w:val="22"/>
        </w:rPr>
        <w:t xml:space="preserve">  The Commission set deadlines for filing comments and reply comments at 60 and 75 days, respectively, after publication of the </w:t>
      </w:r>
      <w:r w:rsidRPr="003E1484">
        <w:rPr>
          <w:i/>
          <w:iCs/>
          <w:szCs w:val="22"/>
        </w:rPr>
        <w:t>NPRM</w:t>
      </w:r>
      <w:r w:rsidRPr="003E1484">
        <w:rPr>
          <w:szCs w:val="22"/>
        </w:rPr>
        <w:t xml:space="preserve"> in the Federal Register.</w:t>
      </w:r>
      <w:r>
        <w:rPr>
          <w:rStyle w:val="FootnoteReference"/>
          <w:szCs w:val="22"/>
        </w:rPr>
        <w:footnoteReference w:id="3"/>
      </w:r>
      <w:r w:rsidRPr="003E1484">
        <w:rPr>
          <w:szCs w:val="22"/>
        </w:rPr>
        <w:t xml:space="preserve">   </w:t>
      </w:r>
    </w:p>
    <w:p w:rsidR="00B64718" w:rsidRPr="003E1484" w:rsidP="00B64718" w14:paraId="1DB88790" w14:textId="77777777">
      <w:pPr>
        <w:rPr>
          <w:szCs w:val="22"/>
        </w:rPr>
      </w:pPr>
    </w:p>
    <w:p w:rsidR="00B64718" w:rsidRPr="003E1484" w:rsidP="00B64718" w14:paraId="4B3560B9" w14:textId="59C4B227">
      <w:pPr>
        <w:ind w:firstLine="720"/>
        <w:rPr>
          <w:szCs w:val="22"/>
        </w:rPr>
      </w:pPr>
      <w:r w:rsidRPr="003E1484">
        <w:rPr>
          <w:szCs w:val="22"/>
        </w:rPr>
        <w:t xml:space="preserve">The summary of the </w:t>
      </w:r>
      <w:r w:rsidRPr="003E1484">
        <w:rPr>
          <w:i/>
          <w:iCs/>
          <w:szCs w:val="22"/>
        </w:rPr>
        <w:t>NPRM</w:t>
      </w:r>
      <w:r w:rsidRPr="003E1484">
        <w:rPr>
          <w:i/>
          <w:szCs w:val="22"/>
        </w:rPr>
        <w:t xml:space="preserve"> </w:t>
      </w:r>
      <w:r w:rsidRPr="003E1484">
        <w:rPr>
          <w:szCs w:val="22"/>
        </w:rPr>
        <w:t xml:space="preserve">was published in the Federal Register </w:t>
      </w:r>
      <w:r w:rsidRPr="003E1484" w:rsidR="006866ED">
        <w:rPr>
          <w:szCs w:val="22"/>
        </w:rPr>
        <w:t xml:space="preserve">on </w:t>
      </w:r>
      <w:r w:rsidRPr="003E1484" w:rsidR="00C05353">
        <w:rPr>
          <w:szCs w:val="22"/>
        </w:rPr>
        <w:t>February 9, 2023</w:t>
      </w:r>
      <w:r w:rsidRPr="003E1484">
        <w:rPr>
          <w:szCs w:val="22"/>
        </w:rPr>
        <w:t>.</w:t>
      </w:r>
      <w:r>
        <w:rPr>
          <w:rStyle w:val="FootnoteReference"/>
          <w:szCs w:val="22"/>
        </w:rPr>
        <w:footnoteReference w:id="4"/>
      </w:r>
      <w:r w:rsidRPr="003E1484">
        <w:rPr>
          <w:szCs w:val="22"/>
        </w:rPr>
        <w:t xml:space="preserve">  Accordingly, comments are due on or before </w:t>
      </w:r>
      <w:r w:rsidRPr="003E1484" w:rsidR="00C05353">
        <w:rPr>
          <w:szCs w:val="22"/>
        </w:rPr>
        <w:t>April 10, 2023</w:t>
      </w:r>
      <w:r w:rsidRPr="003E1484">
        <w:rPr>
          <w:szCs w:val="22"/>
        </w:rPr>
        <w:t xml:space="preserve">, and reply comments on or before </w:t>
      </w:r>
      <w:r w:rsidRPr="003E1484" w:rsidR="00C05353">
        <w:rPr>
          <w:szCs w:val="22"/>
        </w:rPr>
        <w:t>April 25, 2023</w:t>
      </w:r>
      <w:r w:rsidRPr="003E1484">
        <w:rPr>
          <w:szCs w:val="22"/>
        </w:rPr>
        <w:t xml:space="preserve">.  Commenters should follow the filing instructions provided in the </w:t>
      </w:r>
      <w:r w:rsidRPr="003E1484">
        <w:rPr>
          <w:i/>
          <w:iCs/>
          <w:szCs w:val="22"/>
        </w:rPr>
        <w:t>NPRM</w:t>
      </w:r>
      <w:r w:rsidRPr="003E1484">
        <w:rPr>
          <w:szCs w:val="22"/>
        </w:rPr>
        <w:t>.</w:t>
      </w:r>
      <w:r>
        <w:rPr>
          <w:rStyle w:val="FootnoteReference"/>
          <w:szCs w:val="22"/>
        </w:rPr>
        <w:footnoteReference w:id="5"/>
      </w:r>
      <w:r w:rsidRPr="003E1484">
        <w:rPr>
          <w:szCs w:val="22"/>
        </w:rPr>
        <w:t xml:space="preserve">  </w:t>
      </w:r>
    </w:p>
    <w:p w:rsidR="00B64718" w:rsidRPr="003E1484" w:rsidP="00B64718" w14:paraId="59CC8900" w14:textId="77777777">
      <w:pPr>
        <w:rPr>
          <w:szCs w:val="22"/>
        </w:rPr>
      </w:pPr>
    </w:p>
    <w:p w:rsidR="00B64718" w:rsidRPr="00030135" w:rsidP="00B64718" w14:paraId="16B09F24" w14:textId="69F3740F">
      <w:pPr>
        <w:ind w:firstLine="720"/>
        <w:rPr>
          <w:szCs w:val="22"/>
        </w:rPr>
      </w:pPr>
      <w:r w:rsidRPr="003E1484">
        <w:rPr>
          <w:szCs w:val="22"/>
        </w:rPr>
        <w:t xml:space="preserve">For additional information, contact Joyce Bernstein, Media Bureau by email at </w:t>
      </w:r>
      <w:hyperlink r:id="rId5" w:history="1">
        <w:r w:rsidRPr="003E1484">
          <w:rPr>
            <w:rStyle w:val="Hyperlink"/>
            <w:szCs w:val="22"/>
          </w:rPr>
          <w:t>Joyce.Bernstein@fcc.gov</w:t>
        </w:r>
      </w:hyperlink>
      <w:r w:rsidRPr="003E1484">
        <w:rPr>
          <w:rStyle w:val="Hyperlink"/>
          <w:color w:val="auto"/>
          <w:szCs w:val="22"/>
        </w:rPr>
        <w:t>,</w:t>
      </w:r>
      <w:r w:rsidRPr="003E1484">
        <w:rPr>
          <w:rStyle w:val="Hyperlink"/>
          <w:color w:val="auto"/>
          <w:szCs w:val="22"/>
          <w:u w:val="none"/>
        </w:rPr>
        <w:t xml:space="preserve"> Emily Harrison, Media Bureau by email at </w:t>
      </w:r>
      <w:r w:rsidRPr="003E1484">
        <w:rPr>
          <w:rStyle w:val="Hyperlink"/>
          <w:szCs w:val="22"/>
        </w:rPr>
        <w:t>Emily.Harrison@fcc.gov,</w:t>
      </w:r>
      <w:r w:rsidRPr="003E1484">
        <w:rPr>
          <w:szCs w:val="22"/>
        </w:rPr>
        <w:t xml:space="preserve"> or Mark Colombo, Media Bureau by email at </w:t>
      </w:r>
      <w:hyperlink r:id="rId6" w:history="1">
        <w:r w:rsidRPr="003E1484">
          <w:rPr>
            <w:rStyle w:val="Hyperlink"/>
            <w:szCs w:val="22"/>
          </w:rPr>
          <w:t>Mark.Colombo@fcc.gov</w:t>
        </w:r>
      </w:hyperlink>
      <w:r w:rsidRPr="003E1484">
        <w:rPr>
          <w:szCs w:val="22"/>
        </w:rPr>
        <w:t>.</w:t>
      </w:r>
      <w:r w:rsidRPr="00030135">
        <w:rPr>
          <w:szCs w:val="22"/>
        </w:rPr>
        <w:t xml:space="preserve">   </w:t>
      </w:r>
      <w:r w:rsidRPr="00030135" w:rsidR="006866ED">
        <w:rPr>
          <w:szCs w:val="22"/>
        </w:rPr>
        <w:br/>
      </w:r>
    </w:p>
    <w:p w:rsidR="00B64718" w:rsidRPr="00303B1C" w:rsidP="00B64718" w14:paraId="10D5EF43" w14:textId="77777777">
      <w:pPr>
        <w:ind w:firstLine="720"/>
        <w:jc w:val="center"/>
        <w:rPr>
          <w:szCs w:val="22"/>
        </w:rPr>
      </w:pPr>
      <w:r w:rsidRPr="00030135">
        <w:rPr>
          <w:szCs w:val="22"/>
        </w:rPr>
        <w:t xml:space="preserve">- </w:t>
      </w:r>
      <w:r w:rsidRPr="00030135">
        <w:rPr>
          <w:b/>
          <w:szCs w:val="22"/>
        </w:rPr>
        <w:t>FCC</w:t>
      </w:r>
      <w:r w:rsidRPr="00030135">
        <w:rPr>
          <w:szCs w:val="22"/>
        </w:rPr>
        <w:t xml:space="preserve"> -</w:t>
      </w:r>
    </w:p>
    <w:p w:rsidR="00B64718" w:rsidRPr="001A7D20" w:rsidP="00B64718" w14:paraId="7A48A63E" w14:textId="77777777"/>
    <w:p w:rsidR="00D641D3" w14:paraId="139884A3" w14:textId="77777777"/>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55614C" w14:paraId="7BDF9836" w14:textId="77777777">
    <w:pPr>
      <w:pStyle w:val="Footer"/>
      <w:framePr w:wrap="around" w:vAnchor="text" w:hAnchor="margin" w:xAlign="center" w:y="1"/>
    </w:pPr>
    <w:r>
      <w:fldChar w:fldCharType="begin"/>
    </w:r>
    <w:r>
      <w:instrText xml:space="preserve">PAGE  </w:instrText>
    </w:r>
    <w:r w:rsidR="00F84C32">
      <w:fldChar w:fldCharType="separate"/>
    </w:r>
    <w:r>
      <w:fldChar w:fldCharType="end"/>
    </w:r>
  </w:p>
  <w:p w:rsidR="001B1826" w14:paraId="4BDF40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910F12" w14:paraId="664F8F5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14:paraId="711EE59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4718" w:rsidP="00B64718" w14:paraId="3F7C5D0B" w14:textId="77777777">
      <w:r>
        <w:separator/>
      </w:r>
    </w:p>
  </w:footnote>
  <w:footnote w:type="continuationSeparator" w:id="1">
    <w:p w:rsidR="00B64718" w:rsidP="00B64718" w14:paraId="7AE78E10" w14:textId="77777777">
      <w:r>
        <w:continuationSeparator/>
      </w:r>
    </w:p>
  </w:footnote>
  <w:footnote w:id="2">
    <w:p w:rsidR="00B64718" w:rsidRPr="003E1484" w:rsidP="00B64718" w14:paraId="501E8E9C" w14:textId="794E6718">
      <w:pPr>
        <w:pStyle w:val="FootnoteText"/>
      </w:pPr>
      <w:r w:rsidRPr="003E1484">
        <w:rPr>
          <w:rStyle w:val="FootnoteReference"/>
        </w:rPr>
        <w:footnoteRef/>
      </w:r>
      <w:r w:rsidRPr="003E1484">
        <w:t xml:space="preserve"> </w:t>
      </w:r>
      <w:r w:rsidRPr="003E1484">
        <w:rPr>
          <w:i/>
        </w:rPr>
        <w:t>See Amendment of Part 73 of the Commission’s Rules to Update Television and Class A Television Broadcast Station Rules, and Rules Applicable to All Broadcast Stations</w:t>
      </w:r>
      <w:r w:rsidRPr="003E1484">
        <w:t>,</w:t>
      </w:r>
      <w:r w:rsidRPr="003E1484">
        <w:rPr>
          <w:i/>
          <w:iCs/>
        </w:rPr>
        <w:t xml:space="preserve"> </w:t>
      </w:r>
      <w:r w:rsidRPr="003E1484" w:rsidR="006866ED">
        <w:t>MB Docket No. 22-227, Notice of Proposed Rulemaking,</w:t>
      </w:r>
      <w:r w:rsidRPr="003E1484">
        <w:rPr>
          <w:i/>
        </w:rPr>
        <w:t xml:space="preserve"> </w:t>
      </w:r>
      <w:r w:rsidRPr="003E1484">
        <w:rPr>
          <w:iCs/>
        </w:rPr>
        <w:t>FCC 22-73 (rel. Sept. 29, 2022)</w:t>
      </w:r>
      <w:r w:rsidRPr="003E1484">
        <w:t xml:space="preserve"> (</w:t>
      </w:r>
      <w:r w:rsidRPr="003E1484">
        <w:rPr>
          <w:i/>
          <w:iCs/>
        </w:rPr>
        <w:t>NPRM</w:t>
      </w:r>
      <w:r w:rsidRPr="003E1484">
        <w:t>).</w:t>
      </w:r>
    </w:p>
  </w:footnote>
  <w:footnote w:id="3">
    <w:p w:rsidR="00B64718" w:rsidRPr="003E1484" w:rsidP="00B64718" w14:paraId="3F51DAB4" w14:textId="77777777">
      <w:pPr>
        <w:pStyle w:val="FootnoteText"/>
      </w:pPr>
      <w:r w:rsidRPr="003E1484">
        <w:rPr>
          <w:rStyle w:val="FootnoteReference"/>
        </w:rPr>
        <w:footnoteRef/>
      </w:r>
      <w:r w:rsidRPr="003E1484">
        <w:t xml:space="preserve"> </w:t>
      </w:r>
      <w:r w:rsidRPr="003E1484">
        <w:rPr>
          <w:i/>
        </w:rPr>
        <w:t>NPRM</w:t>
      </w:r>
      <w:r w:rsidRPr="003E1484">
        <w:t xml:space="preserve"> at 1.</w:t>
      </w:r>
    </w:p>
  </w:footnote>
  <w:footnote w:id="4">
    <w:p w:rsidR="00B64718" w:rsidRPr="003E1484" w:rsidP="00B64718" w14:paraId="423FF1AC" w14:textId="378EAF39">
      <w:pPr>
        <w:pStyle w:val="FootnoteText"/>
      </w:pPr>
      <w:r w:rsidRPr="003E1484">
        <w:rPr>
          <w:rStyle w:val="FootnoteReference"/>
        </w:rPr>
        <w:footnoteRef/>
      </w:r>
      <w:r w:rsidRPr="003E1484">
        <w:t xml:space="preserve"> </w:t>
      </w:r>
      <w:r w:rsidRPr="003E1484" w:rsidR="003E1484">
        <w:t>88</w:t>
      </w:r>
      <w:r w:rsidRPr="003E1484">
        <w:t xml:space="preserve"> FR </w:t>
      </w:r>
      <w:r w:rsidRPr="003E1484" w:rsidR="003E1484">
        <w:t>8636</w:t>
      </w:r>
      <w:r w:rsidRPr="003E1484">
        <w:t xml:space="preserve"> (</w:t>
      </w:r>
      <w:r w:rsidRPr="003E1484" w:rsidR="00C05353">
        <w:t>2</w:t>
      </w:r>
      <w:r w:rsidRPr="003E1484">
        <w:t>/</w:t>
      </w:r>
      <w:r w:rsidRPr="003E1484" w:rsidR="00C05353">
        <w:t>9</w:t>
      </w:r>
      <w:r w:rsidRPr="003E1484">
        <w:t>/2</w:t>
      </w:r>
      <w:r w:rsidRPr="003E1484" w:rsidR="00C05353">
        <w:t>3</w:t>
      </w:r>
      <w:r w:rsidRPr="003E1484">
        <w:t>).</w:t>
      </w:r>
    </w:p>
  </w:footnote>
  <w:footnote w:id="5">
    <w:p w:rsidR="00B64718" w:rsidRPr="00303B1C" w:rsidP="00B64718" w14:paraId="3E3041BC" w14:textId="78DEE8B7">
      <w:pPr>
        <w:pStyle w:val="FootnoteText"/>
      </w:pPr>
      <w:r w:rsidRPr="003E1484">
        <w:rPr>
          <w:rStyle w:val="FootnoteReference"/>
        </w:rPr>
        <w:footnoteRef/>
      </w:r>
      <w:r w:rsidRPr="003E1484">
        <w:t xml:space="preserve"> </w:t>
      </w:r>
      <w:r w:rsidRPr="003E1484">
        <w:rPr>
          <w:i/>
        </w:rPr>
        <w:t xml:space="preserve">See </w:t>
      </w:r>
      <w:r w:rsidRPr="003E1484">
        <w:rPr>
          <w:i/>
          <w:iCs/>
        </w:rPr>
        <w:t>NPRM</w:t>
      </w:r>
      <w:r w:rsidRPr="003E1484">
        <w:t xml:space="preserve"> at para. </w:t>
      </w:r>
      <w:r w:rsidRPr="003E1484" w:rsidR="00180A99">
        <w:t>59</w:t>
      </w:r>
      <w:r w:rsidRPr="003E1484">
        <w:t>.</w:t>
      </w:r>
      <w:r w:rsidR="0076706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9838BC" w:rsidP="009838BC" w14:paraId="49EC1E12" w14:textId="77777777">
    <w:pPr>
      <w:tabs>
        <w:tab w:val="center" w:pos="4680"/>
        <w:tab w:val="right" w:pos="9360"/>
      </w:tabs>
    </w:pPr>
    <w:r w:rsidRPr="009838BC">
      <w:rPr>
        <w:b/>
      </w:rPr>
      <w:tab/>
      <w:t>Federal Communications Commission</w:t>
    </w:r>
    <w:r w:rsidRPr="009838BC">
      <w:rPr>
        <w:b/>
      </w:rPr>
      <w:tab/>
    </w:r>
    <w:r>
      <w:rPr>
        <w:b/>
      </w:rPr>
      <w:t>DA 22-XX</w:t>
    </w:r>
  </w:p>
  <w:p w:rsidR="001B1826" w:rsidRPr="009838BC" w:rsidP="009838BC" w14:paraId="024A78E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1B1826" w:rsidRPr="009838BC" w:rsidP="009838BC" w14:paraId="7E0CD9A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A866AC" w:rsidP="009838BC" w14:paraId="1B4AC36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rPr>
                              <w:rFonts w:ascii="Arial" w:hAnsi="Arial"/>
                              <w:b/>
                            </w:rPr>
                          </w:pPr>
                          <w:r>
                            <w:rPr>
                              <w:rFonts w:ascii="Arial" w:hAnsi="Arial"/>
                              <w:b/>
                            </w:rPr>
                            <w:t>Federal Communications Commission</w:t>
                          </w:r>
                        </w:p>
                        <w:p w:rsidR="001B1826" w:rsidP="009838BC" w14:textId="77777777">
                          <w:pPr>
                            <w:rPr>
                              <w:rFonts w:ascii="Arial" w:hAnsi="Arial"/>
                              <w:b/>
                            </w:rPr>
                          </w:pPr>
                          <w:r w:rsidRPr="00F14870">
                            <w:rPr>
                              <w:rFonts w:ascii="Arial" w:hAnsi="Arial"/>
                              <w:b/>
                            </w:rPr>
                            <w:t>45 L Street NE</w:t>
                          </w:r>
                        </w:p>
                        <w:p w:rsidR="001B1826"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1826" w:rsidP="009838BC" w14:paraId="5C56A8D4" w14:textId="77777777">
                    <w:pPr>
                      <w:rPr>
                        <w:rFonts w:ascii="Arial" w:hAnsi="Arial"/>
                        <w:b/>
                      </w:rPr>
                    </w:pPr>
                    <w:r>
                      <w:rPr>
                        <w:rFonts w:ascii="Arial" w:hAnsi="Arial"/>
                        <w:b/>
                      </w:rPr>
                      <w:t>Federal Communications Commission</w:t>
                    </w:r>
                  </w:p>
                  <w:p w:rsidR="001B1826" w:rsidP="009838BC" w14:paraId="0397BD90" w14:textId="77777777">
                    <w:pPr>
                      <w:rPr>
                        <w:rFonts w:ascii="Arial" w:hAnsi="Arial"/>
                        <w:b/>
                      </w:rPr>
                    </w:pPr>
                    <w:r w:rsidRPr="00F14870">
                      <w:rPr>
                        <w:rFonts w:ascii="Arial" w:hAnsi="Arial"/>
                        <w:b/>
                      </w:rPr>
                      <w:t>45 L Street NE</w:t>
                    </w:r>
                  </w:p>
                  <w:p w:rsidR="001B1826" w:rsidP="009838BC" w14:paraId="6F4FEA0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B1826" w:rsidRPr="00357D50" w:rsidP="009838BC" w14:paraId="1E3821B7"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spacing w:before="40"/>
                            <w:jc w:val="right"/>
                            <w:rPr>
                              <w:rFonts w:ascii="Arial" w:hAnsi="Arial"/>
                              <w:b/>
                              <w:sz w:val="16"/>
                            </w:rPr>
                          </w:pPr>
                          <w:r>
                            <w:rPr>
                              <w:rFonts w:ascii="Arial" w:hAnsi="Arial"/>
                              <w:b/>
                              <w:sz w:val="16"/>
                            </w:rPr>
                            <w:t>News Media Information 202 / 418-0500</w:t>
                          </w:r>
                        </w:p>
                        <w:p w:rsidR="001B1826"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1B182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1826" w:rsidP="009838BC" w14:paraId="14528352" w14:textId="77777777">
                    <w:pPr>
                      <w:spacing w:before="40"/>
                      <w:jc w:val="right"/>
                      <w:rPr>
                        <w:rFonts w:ascii="Arial" w:hAnsi="Arial"/>
                        <w:b/>
                        <w:sz w:val="16"/>
                      </w:rPr>
                    </w:pPr>
                    <w:r>
                      <w:rPr>
                        <w:rFonts w:ascii="Arial" w:hAnsi="Arial"/>
                        <w:b/>
                        <w:sz w:val="16"/>
                      </w:rPr>
                      <w:t>News Media Information 202 / 418-0500</w:t>
                    </w:r>
                  </w:p>
                  <w:p w:rsidR="001B1826" w:rsidP="009838BC" w14:paraId="3C848D4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1B1826" w:rsidP="009838BC" w14:paraId="442D7267" w14:textId="77777777">
                    <w:pPr>
                      <w:jc w:val="right"/>
                    </w:pPr>
                    <w:r>
                      <w:rPr>
                        <w:rFonts w:ascii="Arial" w:hAnsi="Arial"/>
                        <w:b/>
                        <w:sz w:val="16"/>
                      </w:rPr>
                      <w:t>TTY: 1-888-835-5322</w:t>
                    </w:r>
                  </w:p>
                </w:txbxContent>
              </v:textbox>
            </v:shape>
          </w:pict>
        </mc:Fallback>
      </mc:AlternateContent>
    </w:r>
  </w:p>
  <w:p w:rsidR="001B1826" w:rsidRPr="009838BC" w:rsidP="009838BC" w14:paraId="6A721948" w14:textId="77777777">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18"/>
    <w:rsid w:val="00030135"/>
    <w:rsid w:val="000D1041"/>
    <w:rsid w:val="00180A99"/>
    <w:rsid w:val="001A7D20"/>
    <w:rsid w:val="001B1826"/>
    <w:rsid w:val="00303B1C"/>
    <w:rsid w:val="00357D50"/>
    <w:rsid w:val="003E1484"/>
    <w:rsid w:val="00477A6A"/>
    <w:rsid w:val="0055614C"/>
    <w:rsid w:val="006866ED"/>
    <w:rsid w:val="00767063"/>
    <w:rsid w:val="007A2E3C"/>
    <w:rsid w:val="00910F12"/>
    <w:rsid w:val="009838BC"/>
    <w:rsid w:val="00A866AC"/>
    <w:rsid w:val="00A86AE7"/>
    <w:rsid w:val="00AD77AF"/>
    <w:rsid w:val="00B64718"/>
    <w:rsid w:val="00C05353"/>
    <w:rsid w:val="00C75D06"/>
    <w:rsid w:val="00CC37B4"/>
    <w:rsid w:val="00CD74BB"/>
    <w:rsid w:val="00D216CD"/>
    <w:rsid w:val="00D641D3"/>
    <w:rsid w:val="00E00835"/>
    <w:rsid w:val="00F05F83"/>
    <w:rsid w:val="00F14870"/>
    <w:rsid w:val="00F84C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91DC3A"/>
  <w15:chartTrackingRefBased/>
  <w15:docId w15:val="{A7E340B2-2E89-4783-BE30-DC511ED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71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3"/>
    <w:rsid w:val="00B6471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64718"/>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64718"/>
    <w:rPr>
      <w:rFonts w:ascii="Times New Roman" w:hAnsi="Times New Roman"/>
      <w:dstrike w:val="0"/>
      <w:color w:val="auto"/>
      <w:sz w:val="22"/>
      <w:vertAlign w:val="superscript"/>
    </w:rPr>
  </w:style>
  <w:style w:type="paragraph" w:styleId="Header">
    <w:name w:val="header"/>
    <w:basedOn w:val="Normal"/>
    <w:link w:val="HeaderChar"/>
    <w:autoRedefine/>
    <w:rsid w:val="00B64718"/>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B64718"/>
    <w:rPr>
      <w:rFonts w:ascii="Arial" w:eastAsia="Times New Roman" w:hAnsi="Arial" w:cs="Arial"/>
      <w:b/>
      <w:snapToGrid w:val="0"/>
      <w:kern w:val="28"/>
      <w:sz w:val="96"/>
      <w:szCs w:val="96"/>
    </w:rPr>
  </w:style>
  <w:style w:type="paragraph" w:styleId="Footer">
    <w:name w:val="footer"/>
    <w:basedOn w:val="Normal"/>
    <w:link w:val="FooterChar"/>
    <w:uiPriority w:val="99"/>
    <w:rsid w:val="00B64718"/>
    <w:pPr>
      <w:tabs>
        <w:tab w:val="center" w:pos="4320"/>
        <w:tab w:val="right" w:pos="8640"/>
      </w:tabs>
    </w:pPr>
  </w:style>
  <w:style w:type="character" w:customStyle="1" w:styleId="FooterChar">
    <w:name w:val="Footer Char"/>
    <w:basedOn w:val="DefaultParagraphFont"/>
    <w:link w:val="Footer"/>
    <w:uiPriority w:val="99"/>
    <w:rsid w:val="00B64718"/>
    <w:rPr>
      <w:rFonts w:ascii="Times New Roman" w:eastAsia="Times New Roman" w:hAnsi="Times New Roman" w:cs="Times New Roman"/>
      <w:snapToGrid w:val="0"/>
      <w:kern w:val="28"/>
      <w:szCs w:val="20"/>
    </w:rPr>
  </w:style>
  <w:style w:type="character" w:styleId="Hyperlink">
    <w:name w:val="Hyperlink"/>
    <w:rsid w:val="00B64718"/>
    <w:rPr>
      <w:color w:val="0000FF"/>
      <w:u w:val="single"/>
    </w:rPr>
  </w:style>
  <w:style w:type="character" w:customStyle="1" w:styleId="FootnoteTextChar3">
    <w:name w:val="Footnote Text Char3"/>
    <w:aliases w:val="ALTS FOOTNOTE Char Char,ALTS FOOTNOTE Char1,Footnote Text Char Char Char,Footnote Text Char1 Char,Footnote Text Char1 Char Char Char Char,Footnote Text Char1 Char Char Char1,Footnote Text Char1 Char1 Char,Footnote Text Char2 Char"/>
    <w:link w:val="FootnoteText"/>
    <w:rsid w:val="00B647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yperlink" Target="mailto:Mark.Colomb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