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F6169" w:rsidP="00DF6169" w14:paraId="0CBA1A10" w14:textId="4DEEFA26">
      <w:pPr>
        <w:tabs>
          <w:tab w:val="left" w:pos="375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February </w:t>
      </w:r>
      <w:r w:rsidR="00596806">
        <w:rPr>
          <w:sz w:val="22"/>
          <w:szCs w:val="22"/>
        </w:rPr>
        <w:t xml:space="preserve">9, </w:t>
      </w:r>
      <w:r>
        <w:rPr>
          <w:sz w:val="22"/>
          <w:szCs w:val="22"/>
        </w:rPr>
        <w:t>2023</w:t>
      </w:r>
    </w:p>
    <w:p w:rsidR="00B51457" w:rsidP="00DF6169" w14:paraId="32723834" w14:textId="77777777">
      <w:pPr>
        <w:tabs>
          <w:tab w:val="left" w:pos="3750"/>
        </w:tabs>
        <w:jc w:val="right"/>
        <w:rPr>
          <w:b/>
          <w:bCs/>
          <w:sz w:val="22"/>
          <w:szCs w:val="22"/>
        </w:rPr>
      </w:pPr>
    </w:p>
    <w:p w:rsidR="00DF6169" w:rsidRPr="00DF6169" w:rsidP="00DF6169" w14:paraId="6290C93C" w14:textId="6DD8D50D">
      <w:pPr>
        <w:tabs>
          <w:tab w:val="left" w:pos="375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 23-</w:t>
      </w:r>
      <w:r w:rsidR="00717498">
        <w:rPr>
          <w:b/>
          <w:bCs/>
          <w:sz w:val="22"/>
          <w:szCs w:val="22"/>
        </w:rPr>
        <w:t>119</w:t>
      </w:r>
    </w:p>
    <w:p w:rsidR="00DF6169" w:rsidP="00DF6169" w14:paraId="78AB4FC1" w14:textId="77777777">
      <w:pPr>
        <w:rPr>
          <w:b/>
          <w:bCs/>
          <w:sz w:val="22"/>
          <w:szCs w:val="22"/>
          <w:u w:val="single"/>
        </w:rPr>
      </w:pPr>
    </w:p>
    <w:p w:rsidR="00DF6169" w:rsidRPr="00DF6169" w:rsidP="00DF6169" w14:paraId="26EDCB46" w14:textId="5A869913">
      <w:pPr>
        <w:rPr>
          <w:b/>
          <w:bCs/>
          <w:sz w:val="22"/>
          <w:szCs w:val="22"/>
          <w:u w:val="single"/>
        </w:rPr>
      </w:pPr>
      <w:r w:rsidRPr="00DF6169">
        <w:rPr>
          <w:b/>
          <w:bCs/>
          <w:sz w:val="22"/>
          <w:szCs w:val="22"/>
          <w:u w:val="single"/>
        </w:rPr>
        <w:t>VIA ELECTRONIC MAIL</w:t>
      </w:r>
    </w:p>
    <w:p w:rsidR="00DF6169" w:rsidRPr="00DF6169" w:rsidP="00DF6169" w14:paraId="0B9C1107" w14:textId="77777777">
      <w:pPr>
        <w:rPr>
          <w:sz w:val="22"/>
          <w:szCs w:val="22"/>
        </w:rPr>
      </w:pPr>
    </w:p>
    <w:p w:rsidR="00DF6169" w:rsidRPr="00DF6169" w:rsidP="00DF6169" w14:paraId="7D45EFCA" w14:textId="55ADCA69">
      <w:pPr>
        <w:rPr>
          <w:sz w:val="22"/>
          <w:szCs w:val="22"/>
        </w:rPr>
      </w:pPr>
      <w:r w:rsidRPr="00DF6169">
        <w:rPr>
          <w:sz w:val="22"/>
          <w:szCs w:val="22"/>
        </w:rPr>
        <w:t>Mr. Thomas R</w:t>
      </w:r>
      <w:r>
        <w:rPr>
          <w:sz w:val="22"/>
          <w:szCs w:val="22"/>
        </w:rPr>
        <w:t>.</w:t>
      </w:r>
      <w:r w:rsidRPr="00DF6169">
        <w:rPr>
          <w:sz w:val="22"/>
          <w:szCs w:val="22"/>
        </w:rPr>
        <w:t xml:space="preserve"> Ingersoll</w:t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</w:p>
    <w:p w:rsidR="00DF6169" w:rsidRPr="00DF6169" w:rsidP="00DF6169" w14:paraId="7F0D05B3" w14:textId="2ADF0F9F">
      <w:pPr>
        <w:rPr>
          <w:sz w:val="22"/>
          <w:szCs w:val="22"/>
        </w:rPr>
      </w:pPr>
      <w:r>
        <w:rPr>
          <w:sz w:val="22"/>
          <w:szCs w:val="22"/>
        </w:rPr>
        <w:t>MethaneSAT</w:t>
      </w:r>
      <w:r>
        <w:rPr>
          <w:sz w:val="22"/>
          <w:szCs w:val="22"/>
        </w:rPr>
        <w:t xml:space="preserve"> </w:t>
      </w:r>
      <w:r w:rsidRPr="00DF6169">
        <w:rPr>
          <w:sz w:val="22"/>
          <w:szCs w:val="22"/>
        </w:rPr>
        <w:t>LLC</w:t>
      </w:r>
    </w:p>
    <w:p w:rsidR="00DF6169" w:rsidRPr="00DF6169" w:rsidP="00DF6169" w14:paraId="31A0A4D5" w14:textId="77777777">
      <w:pPr>
        <w:rPr>
          <w:sz w:val="22"/>
          <w:szCs w:val="22"/>
        </w:rPr>
      </w:pPr>
      <w:r w:rsidRPr="00DF6169">
        <w:rPr>
          <w:sz w:val="22"/>
          <w:szCs w:val="22"/>
        </w:rPr>
        <w:t>4000 Westchase Blvd, Ste 510</w:t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</w:p>
    <w:p w:rsidR="00DF6169" w:rsidRPr="00DF6169" w:rsidP="00DF6169" w14:paraId="7AE03C24" w14:textId="77777777">
      <w:pPr>
        <w:rPr>
          <w:sz w:val="22"/>
          <w:szCs w:val="22"/>
        </w:rPr>
      </w:pPr>
      <w:r w:rsidRPr="00DF6169">
        <w:rPr>
          <w:sz w:val="22"/>
          <w:szCs w:val="22"/>
        </w:rPr>
        <w:t>Raleigh, NC 27607</w:t>
      </w:r>
    </w:p>
    <w:p w:rsidR="00DF6169" w:rsidP="00DF6169" w14:paraId="07703D33" w14:textId="331DB9EF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Pr="006D1B9A">
          <w:rPr>
            <w:rStyle w:val="Hyperlink"/>
            <w:sz w:val="22"/>
            <w:szCs w:val="22"/>
          </w:rPr>
          <w:t>tingersoll@edf.org</w:t>
        </w:r>
      </w:hyperlink>
    </w:p>
    <w:p w:rsidR="00F42A69" w:rsidRPr="00DF6169" w:rsidP="00DF6169" w14:paraId="096245CA" w14:textId="77777777">
      <w:pPr>
        <w:rPr>
          <w:sz w:val="22"/>
          <w:szCs w:val="22"/>
        </w:rPr>
      </w:pPr>
    </w:p>
    <w:p w:rsidR="00DF6169" w:rsidRPr="00DF6169" w:rsidP="00DF6169" w14:paraId="77E87469" w14:textId="706070DE">
      <w:pPr>
        <w:rPr>
          <w:sz w:val="22"/>
          <w:szCs w:val="22"/>
        </w:rPr>
      </w:pPr>
      <w:r w:rsidRPr="00DF6169">
        <w:rPr>
          <w:sz w:val="22"/>
          <w:szCs w:val="22"/>
        </w:rPr>
        <w:t xml:space="preserve">Re: 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LLC, Application for Authority to Launch and Operate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>-1, IBFS File No. SAT</w:t>
      </w:r>
      <w:r>
        <w:rPr>
          <w:sz w:val="22"/>
          <w:szCs w:val="22"/>
        </w:rPr>
        <w:t>-</w:t>
      </w:r>
      <w:r w:rsidRPr="00DF6169">
        <w:rPr>
          <w:sz w:val="22"/>
          <w:szCs w:val="22"/>
        </w:rPr>
        <w:t>LOA</w:t>
      </w:r>
      <w:r>
        <w:rPr>
          <w:sz w:val="22"/>
          <w:szCs w:val="22"/>
        </w:rPr>
        <w:t>-</w:t>
      </w:r>
      <w:r w:rsidRPr="00DF6169">
        <w:rPr>
          <w:sz w:val="22"/>
          <w:szCs w:val="22"/>
        </w:rPr>
        <w:t>20221219</w:t>
      </w:r>
      <w:r>
        <w:rPr>
          <w:sz w:val="22"/>
          <w:szCs w:val="22"/>
        </w:rPr>
        <w:t>-</w:t>
      </w:r>
      <w:r w:rsidRPr="00DF6169">
        <w:rPr>
          <w:sz w:val="22"/>
          <w:szCs w:val="22"/>
        </w:rPr>
        <w:t>00176</w:t>
      </w:r>
      <w:r>
        <w:rPr>
          <w:sz w:val="22"/>
          <w:szCs w:val="22"/>
        </w:rPr>
        <w:t xml:space="preserve">; </w:t>
      </w:r>
      <w:r w:rsidRPr="00DF6169">
        <w:rPr>
          <w:sz w:val="22"/>
          <w:szCs w:val="22"/>
        </w:rPr>
        <w:t>Call Sign: S3158</w:t>
      </w:r>
    </w:p>
    <w:p w:rsidR="00DF6169" w:rsidRPr="00DF6169" w:rsidP="00DF6169" w14:paraId="2BC6EAC3" w14:textId="77777777">
      <w:pPr>
        <w:rPr>
          <w:sz w:val="22"/>
          <w:szCs w:val="22"/>
        </w:rPr>
      </w:pPr>
    </w:p>
    <w:p w:rsidR="00DF6169" w:rsidRPr="00DF6169" w:rsidP="00DF6169" w14:paraId="0929162E" w14:textId="77777777">
      <w:pPr>
        <w:rPr>
          <w:sz w:val="22"/>
          <w:szCs w:val="22"/>
        </w:rPr>
      </w:pPr>
      <w:r w:rsidRPr="00DF6169">
        <w:rPr>
          <w:sz w:val="22"/>
          <w:szCs w:val="22"/>
        </w:rPr>
        <w:t>Dear Mr. Ingersoll:</w:t>
      </w:r>
    </w:p>
    <w:p w:rsidR="00DF6169" w:rsidRPr="00DF6169" w:rsidP="00DF6169" w14:paraId="0844A64D" w14:textId="77777777">
      <w:pPr>
        <w:rPr>
          <w:sz w:val="22"/>
          <w:szCs w:val="22"/>
        </w:rPr>
      </w:pPr>
    </w:p>
    <w:p w:rsidR="00DF6169" w:rsidRPr="00DF6169" w:rsidP="00DF6169" w14:paraId="4CAC854E" w14:textId="126A3313">
      <w:pPr>
        <w:ind w:firstLine="720"/>
        <w:rPr>
          <w:sz w:val="22"/>
          <w:szCs w:val="22"/>
        </w:rPr>
      </w:pPr>
      <w:r w:rsidRPr="00DF6169">
        <w:rPr>
          <w:sz w:val="22"/>
          <w:szCs w:val="22"/>
        </w:rPr>
        <w:t xml:space="preserve">On December 19, 2022,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LLC (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) filed the above-captioned application.  In the application,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requests authority to launch and operate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-1, a non-geostationary orbit space station.  For the reasons discussed below, we dismiss the application as defective, without prejudice to refiling. </w:t>
      </w:r>
    </w:p>
    <w:p w:rsidR="00DF6169" w:rsidRPr="00DF6169" w:rsidP="00DF6169" w14:paraId="1182D70F" w14:textId="77777777">
      <w:pPr>
        <w:rPr>
          <w:sz w:val="22"/>
          <w:szCs w:val="22"/>
        </w:rPr>
      </w:pPr>
    </w:p>
    <w:p w:rsidR="00DF6169" w:rsidRPr="00DF6169" w:rsidP="00DF6169" w14:paraId="63810621" w14:textId="252151B2">
      <w:pPr>
        <w:ind w:firstLine="360"/>
        <w:rPr>
          <w:sz w:val="22"/>
          <w:szCs w:val="22"/>
        </w:rPr>
      </w:pPr>
      <w:r w:rsidRPr="00DF6169">
        <w:rPr>
          <w:sz w:val="22"/>
          <w:szCs w:val="22"/>
        </w:rPr>
        <w:t>The Commission’s rules provide that a space station application that is not substantially complete, contains internal inconsistencies, or does not substantially comply with the Commission’s rules will be returned as unacceptable for filing</w:t>
      </w:r>
      <w:r w:rsidR="003A5B89">
        <w:rPr>
          <w:sz w:val="22"/>
          <w:szCs w:val="22"/>
        </w:rPr>
        <w:t>.</w:t>
      </w:r>
      <w:r>
        <w:rPr>
          <w:sz w:val="22"/>
          <w:szCs w:val="22"/>
          <w:vertAlign w:val="superscript"/>
        </w:rPr>
        <w:footnoteReference w:id="2"/>
      </w:r>
      <w:r w:rsidRPr="00DF6169">
        <w:rPr>
          <w:sz w:val="22"/>
          <w:szCs w:val="22"/>
        </w:rPr>
        <w:t xml:space="preserve">  The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-1 application is not substantially complete: </w:t>
      </w:r>
    </w:p>
    <w:p w:rsidR="00DF6169" w:rsidRPr="00DF6169" w:rsidP="00DF6169" w14:paraId="67D51C38" w14:textId="77777777">
      <w:pPr>
        <w:rPr>
          <w:sz w:val="22"/>
          <w:szCs w:val="22"/>
        </w:rPr>
      </w:pPr>
    </w:p>
    <w:p w:rsidR="00DF6169" w:rsidRPr="00DF6169" w:rsidP="00DF6169" w14:paraId="75A87053" w14:textId="3DC7F8D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>’s</w:t>
      </w:r>
      <w:r w:rsidRPr="00DF6169">
        <w:rPr>
          <w:sz w:val="22"/>
          <w:szCs w:val="22"/>
        </w:rPr>
        <w:t xml:space="preserve"> application does not include the information required in response to question 40 of FCC Form 312 (in the form of an attachment). </w:t>
      </w:r>
    </w:p>
    <w:p w:rsidR="00DF6169" w:rsidRPr="00DF6169" w:rsidP="00DF6169" w14:paraId="59EA1424" w14:textId="77777777">
      <w:pPr>
        <w:rPr>
          <w:sz w:val="22"/>
          <w:szCs w:val="22"/>
        </w:rPr>
      </w:pP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</w:p>
    <w:p w:rsidR="00DF6169" w:rsidRPr="00DF6169" w:rsidP="00DF6169" w14:paraId="041389D1" w14:textId="443335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>’s</w:t>
      </w:r>
      <w:r w:rsidRPr="00DF6169">
        <w:rPr>
          <w:sz w:val="22"/>
          <w:szCs w:val="22"/>
        </w:rPr>
        <w:t xml:space="preserve"> application does not include the following information required to be provided in narrative form:</w:t>
      </w:r>
      <w:r>
        <w:rPr>
          <w:sz w:val="22"/>
          <w:szCs w:val="22"/>
          <w:vertAlign w:val="superscript"/>
        </w:rPr>
        <w:footnoteReference w:id="3"/>
      </w:r>
      <w:r w:rsidRPr="00DF6169">
        <w:rPr>
          <w:sz w:val="22"/>
          <w:szCs w:val="22"/>
        </w:rPr>
        <w:t xml:space="preserve"> </w:t>
      </w:r>
    </w:p>
    <w:p w:rsidR="00DF6169" w:rsidRPr="00DF6169" w:rsidP="00DF6169" w14:paraId="7C9AB724" w14:textId="77777777">
      <w:pPr>
        <w:rPr>
          <w:sz w:val="22"/>
          <w:szCs w:val="22"/>
        </w:rPr>
      </w:pPr>
    </w:p>
    <w:p w:rsidR="00DF6169" w:rsidRPr="00DF6169" w:rsidP="00DF6169" w14:paraId="5670E453" w14:textId="77777777">
      <w:pPr>
        <w:numPr>
          <w:ilvl w:val="0"/>
          <w:numId w:val="2"/>
        </w:numPr>
        <w:rPr>
          <w:sz w:val="22"/>
          <w:szCs w:val="22"/>
        </w:rPr>
      </w:pPr>
      <w:r w:rsidRPr="00DF6169">
        <w:rPr>
          <w:sz w:val="22"/>
          <w:szCs w:val="22"/>
        </w:rPr>
        <w:t>An “[o]</w:t>
      </w:r>
      <w:r w:rsidRPr="00DF6169">
        <w:rPr>
          <w:sz w:val="22"/>
          <w:szCs w:val="22"/>
        </w:rPr>
        <w:t>verall</w:t>
      </w:r>
      <w:r w:rsidRPr="00DF6169">
        <w:rPr>
          <w:sz w:val="22"/>
          <w:szCs w:val="22"/>
        </w:rPr>
        <w:t xml:space="preserve"> description of system facilities, operations and services …”</w:t>
      </w:r>
      <w:r>
        <w:rPr>
          <w:sz w:val="22"/>
          <w:szCs w:val="22"/>
          <w:vertAlign w:val="superscript"/>
        </w:rPr>
        <w:footnoteReference w:id="4"/>
      </w:r>
      <w:r w:rsidRPr="00DF6169">
        <w:rPr>
          <w:sz w:val="22"/>
          <w:szCs w:val="22"/>
        </w:rPr>
        <w:t xml:space="preserve"> </w:t>
      </w:r>
    </w:p>
    <w:p w:rsidR="00DF6169" w:rsidRPr="00DF6169" w:rsidP="00DF6169" w14:paraId="43F434EB" w14:textId="77777777">
      <w:pPr>
        <w:rPr>
          <w:sz w:val="22"/>
          <w:szCs w:val="22"/>
        </w:rPr>
      </w:pPr>
    </w:p>
    <w:p w:rsidR="00DF6169" w:rsidRPr="00DF6169" w:rsidP="00DF6169" w14:paraId="0A9F0360" w14:textId="527D5673">
      <w:pPr>
        <w:numPr>
          <w:ilvl w:val="0"/>
          <w:numId w:val="2"/>
        </w:numPr>
        <w:rPr>
          <w:sz w:val="22"/>
          <w:szCs w:val="22"/>
        </w:rPr>
      </w:pPr>
      <w:r w:rsidRPr="00DF6169">
        <w:rPr>
          <w:sz w:val="22"/>
          <w:szCs w:val="22"/>
        </w:rPr>
        <w:t xml:space="preserve">Public interest considerations that support the grant of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>’s</w:t>
      </w:r>
      <w:r w:rsidRPr="00DF6169">
        <w:rPr>
          <w:sz w:val="22"/>
          <w:szCs w:val="22"/>
        </w:rPr>
        <w:t xml:space="preserve"> application.</w:t>
      </w:r>
      <w:r>
        <w:rPr>
          <w:sz w:val="22"/>
          <w:szCs w:val="22"/>
          <w:vertAlign w:val="superscript"/>
        </w:rPr>
        <w:footnoteReference w:id="5"/>
      </w:r>
    </w:p>
    <w:p w:rsidR="00DF6169" w:rsidRPr="00DF6169" w:rsidP="00DF6169" w14:paraId="115131DA" w14:textId="77777777">
      <w:pPr>
        <w:rPr>
          <w:sz w:val="22"/>
          <w:szCs w:val="22"/>
        </w:rPr>
      </w:pPr>
    </w:p>
    <w:p w:rsidR="00DF6169" w:rsidP="00DF6169" w14:paraId="72F21F9B" w14:textId="2468FFCD">
      <w:pPr>
        <w:numPr>
          <w:ilvl w:val="0"/>
          <w:numId w:val="2"/>
        </w:numPr>
        <w:rPr>
          <w:sz w:val="22"/>
          <w:szCs w:val="22"/>
        </w:rPr>
      </w:pPr>
      <w:r w:rsidRPr="00DF6169">
        <w:rPr>
          <w:sz w:val="22"/>
          <w:szCs w:val="22"/>
        </w:rPr>
        <w:t>A description of design and operational strategies for orbital debris mitigation.</w:t>
      </w:r>
      <w:r>
        <w:rPr>
          <w:sz w:val="22"/>
          <w:szCs w:val="22"/>
          <w:vertAlign w:val="superscript"/>
        </w:rPr>
        <w:footnoteReference w:id="6"/>
      </w:r>
    </w:p>
    <w:p w:rsidR="00DF6169" w:rsidRPr="00DF6169" w:rsidP="00DF6169" w14:paraId="6B2A1C82" w14:textId="77777777">
      <w:pPr>
        <w:ind w:left="720"/>
        <w:rPr>
          <w:sz w:val="22"/>
          <w:szCs w:val="22"/>
        </w:rPr>
      </w:pPr>
    </w:p>
    <w:p w:rsidR="00DF6169" w:rsidP="00DF6169" w14:paraId="4DB36BFA" w14:textId="7031EE3E">
      <w:pPr>
        <w:ind w:firstLine="720"/>
        <w:rPr>
          <w:sz w:val="22"/>
          <w:szCs w:val="22"/>
        </w:rPr>
      </w:pPr>
      <w:r w:rsidRPr="00DF6169">
        <w:rPr>
          <w:sz w:val="22"/>
          <w:szCs w:val="22"/>
        </w:rPr>
        <w:t xml:space="preserve">We request that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provide this information in any refiling of an application for this satellite. </w:t>
      </w:r>
      <w:r w:rsidR="003A5B89">
        <w:rPr>
          <w:sz w:val="22"/>
          <w:szCs w:val="22"/>
        </w:rPr>
        <w:t xml:space="preserve"> </w:t>
      </w:r>
      <w:r w:rsidRPr="00DF6169">
        <w:rPr>
          <w:sz w:val="22"/>
          <w:szCs w:val="22"/>
        </w:rPr>
        <w:t xml:space="preserve">We also request that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state whether it is applying for authority to launch and </w:t>
      </w:r>
      <w:r w:rsidRPr="00DF6169">
        <w:rPr>
          <w:sz w:val="22"/>
          <w:szCs w:val="22"/>
        </w:rPr>
        <w:t xml:space="preserve">operate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-1 </w:t>
      </w:r>
      <w:r w:rsidR="00C7335F">
        <w:rPr>
          <w:sz w:val="22"/>
          <w:szCs w:val="22"/>
        </w:rPr>
        <w:t xml:space="preserve">under the </w:t>
      </w:r>
      <w:r w:rsidRPr="00DF6169">
        <w:rPr>
          <w:sz w:val="22"/>
          <w:szCs w:val="22"/>
        </w:rPr>
        <w:t>small satellite rules,</w:t>
      </w:r>
      <w:r>
        <w:rPr>
          <w:sz w:val="22"/>
          <w:szCs w:val="22"/>
          <w:vertAlign w:val="superscript"/>
        </w:rPr>
        <w:footnoteReference w:id="7"/>
      </w:r>
      <w:r w:rsidRPr="00DF6169">
        <w:rPr>
          <w:sz w:val="22"/>
          <w:szCs w:val="22"/>
        </w:rPr>
        <w:t xml:space="preserve"> and if so, provide the Commission with the information required under those rules. </w:t>
      </w:r>
    </w:p>
    <w:p w:rsidR="00DF6169" w:rsidRPr="00DF6169" w:rsidP="00DF6169" w14:paraId="0609DE3E" w14:textId="77777777">
      <w:pPr>
        <w:rPr>
          <w:sz w:val="22"/>
          <w:szCs w:val="22"/>
        </w:rPr>
      </w:pPr>
    </w:p>
    <w:p w:rsidR="00DF6169" w:rsidRPr="00DF6169" w:rsidP="00DF6169" w14:paraId="77423A99" w14:textId="7A2D82BF">
      <w:pPr>
        <w:ind w:firstLine="720"/>
        <w:rPr>
          <w:sz w:val="22"/>
          <w:szCs w:val="22"/>
        </w:rPr>
      </w:pPr>
      <w:r w:rsidRPr="00DF6169">
        <w:rPr>
          <w:sz w:val="22"/>
          <w:szCs w:val="22"/>
        </w:rPr>
        <w:t xml:space="preserve">Accordingly, pursuant to Section 25.112(a)(1) of the Commission’s rules, 47 C.F.R. § 25.112(a)(1), and Section 0.261 of the Commission’s rules on delegations of authority, 47 C.F.R. § 0.261, we dismiss the license application of </w:t>
      </w:r>
      <w:r>
        <w:rPr>
          <w:sz w:val="22"/>
          <w:szCs w:val="22"/>
        </w:rPr>
        <w:t>MethaneSAT</w:t>
      </w:r>
      <w:r w:rsidRPr="00DF6169">
        <w:rPr>
          <w:sz w:val="22"/>
          <w:szCs w:val="22"/>
        </w:rPr>
        <w:t xml:space="preserve"> LLC without prejudice to refiling. </w:t>
      </w:r>
    </w:p>
    <w:p w:rsidR="00DF6169" w:rsidRPr="00DF6169" w:rsidP="00DF6169" w14:paraId="42CEE52F" w14:textId="77777777">
      <w:pPr>
        <w:rPr>
          <w:sz w:val="22"/>
          <w:szCs w:val="22"/>
        </w:rPr>
      </w:pPr>
    </w:p>
    <w:p w:rsidR="00DF6169" w:rsidRPr="00DF6169" w:rsidP="00DF6169" w14:paraId="7584EF80" w14:textId="77777777">
      <w:pPr>
        <w:ind w:left="2880" w:firstLine="720"/>
        <w:rPr>
          <w:sz w:val="22"/>
          <w:szCs w:val="22"/>
        </w:rPr>
      </w:pPr>
      <w:r w:rsidRPr="00DF6169">
        <w:rPr>
          <w:sz w:val="22"/>
          <w:szCs w:val="22"/>
        </w:rPr>
        <w:t>Sincerely,</w:t>
      </w:r>
    </w:p>
    <w:p w:rsidR="00DF6169" w:rsidRPr="00DF6169" w:rsidP="00DF6169" w14:paraId="07E50A8C" w14:textId="77777777">
      <w:pPr>
        <w:rPr>
          <w:sz w:val="22"/>
          <w:szCs w:val="22"/>
        </w:rPr>
      </w:pPr>
    </w:p>
    <w:p w:rsidR="00DF6169" w:rsidRPr="00DF6169" w:rsidP="00DF6169" w14:paraId="78D258E0" w14:textId="23FE2FE2">
      <w:pPr>
        <w:rPr>
          <w:rFonts w:ascii="Vladimir Script" w:hAnsi="Vladimir Script"/>
          <w:b/>
          <w:bCs/>
          <w:sz w:val="44"/>
          <w:szCs w:val="4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169">
        <w:rPr>
          <w:rFonts w:ascii="Vladimir Script" w:hAnsi="Vladimir Script"/>
          <w:b/>
          <w:bCs/>
          <w:sz w:val="44"/>
          <w:szCs w:val="44"/>
        </w:rPr>
        <w:t xml:space="preserve">Karl A. Kensinger </w:t>
      </w:r>
    </w:p>
    <w:p w:rsidR="00717498" w:rsidP="00DF6169" w14:paraId="688210D3" w14:textId="77777777">
      <w:pPr>
        <w:rPr>
          <w:sz w:val="22"/>
          <w:szCs w:val="22"/>
        </w:rPr>
      </w:pP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6169" w:rsidRPr="00DF6169" w:rsidP="00717498" w14:paraId="31CA45EF" w14:textId="2EA419E4">
      <w:pPr>
        <w:ind w:left="2880" w:firstLine="720"/>
        <w:rPr>
          <w:sz w:val="22"/>
          <w:szCs w:val="22"/>
        </w:rPr>
      </w:pPr>
      <w:r w:rsidRPr="00DF6169">
        <w:rPr>
          <w:sz w:val="22"/>
          <w:szCs w:val="22"/>
        </w:rPr>
        <w:t>Karl A. Kensinger</w:t>
      </w:r>
    </w:p>
    <w:p w:rsidR="00DF6169" w:rsidRPr="00DF6169" w:rsidP="00DF6169" w14:paraId="37E9B465" w14:textId="14023C12">
      <w:pPr>
        <w:rPr>
          <w:sz w:val="22"/>
          <w:szCs w:val="22"/>
        </w:rPr>
      </w:pP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169">
        <w:rPr>
          <w:sz w:val="22"/>
          <w:szCs w:val="22"/>
        </w:rPr>
        <w:t>Chief, Satellite Division</w:t>
      </w:r>
    </w:p>
    <w:p w:rsidR="00DF6169" w:rsidRPr="00DF6169" w:rsidP="00DF6169" w14:paraId="1BBA66FA" w14:textId="5C154FC0">
      <w:pPr>
        <w:rPr>
          <w:sz w:val="22"/>
          <w:szCs w:val="22"/>
        </w:rPr>
      </w:pP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 w:rsidRPr="00DF616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169">
        <w:rPr>
          <w:sz w:val="22"/>
          <w:szCs w:val="22"/>
        </w:rPr>
        <w:t>International Bureau</w:t>
      </w:r>
    </w:p>
    <w:p w:rsidR="00DF6169" w:rsidRPr="00DF6169" w:rsidP="00DF6169" w14:paraId="590D47F4" w14:textId="77777777">
      <w:pPr>
        <w:rPr>
          <w:sz w:val="22"/>
          <w:szCs w:val="22"/>
        </w:rPr>
      </w:pPr>
    </w:p>
    <w:p w:rsidR="00DF6169" w:rsidRPr="00DF6169" w:rsidP="00DF6169" w14:paraId="6D8E5240" w14:textId="77777777">
      <w:pPr>
        <w:rPr>
          <w:sz w:val="22"/>
          <w:szCs w:val="22"/>
        </w:rPr>
      </w:pPr>
    </w:p>
    <w:p w:rsidR="00204CE3" w:rsidRPr="00204CE3" w14:paraId="58776226" w14:textId="77777777">
      <w:pPr>
        <w:rPr>
          <w:sz w:val="22"/>
          <w:szCs w:val="22"/>
        </w:rPr>
      </w:pPr>
    </w:p>
    <w:sectPr>
      <w:headerReference w:type="default" r:id="rId6"/>
      <w:footerReference w:type="default" r:id="rId7"/>
      <w:headerReference w:type="first" r:id="rId8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169" w14:paraId="27E5B12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F6169" w14:paraId="1B70504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F6169" w14:paraId="6AE4623A" w14:textId="77777777">
      <w:r>
        <w:separator/>
      </w:r>
    </w:p>
  </w:footnote>
  <w:footnote w:type="continuationSeparator" w:id="1">
    <w:p w:rsidR="00DF6169" w14:paraId="525C8901" w14:textId="77777777">
      <w:r>
        <w:continuationSeparator/>
      </w:r>
    </w:p>
  </w:footnote>
  <w:footnote w:id="2">
    <w:p w:rsidR="00DF6169" w:rsidP="00DF6169" w14:paraId="70B3050E" w14:textId="7A2B3B65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F741F8">
        <w:t>47 CFR § 25.11</w:t>
      </w:r>
      <w:r>
        <w:t>2</w:t>
      </w:r>
      <w:r w:rsidRPr="00F741F8">
        <w:t>(</w:t>
      </w:r>
      <w:r>
        <w:t>a</w:t>
      </w:r>
      <w:r w:rsidRPr="00F741F8">
        <w:t>)(</w:t>
      </w:r>
      <w:r>
        <w:t>1).</w:t>
      </w:r>
    </w:p>
  </w:footnote>
  <w:footnote w:id="3">
    <w:p w:rsidR="00DF6169" w:rsidP="00DF6169" w14:paraId="0F5C2F9E" w14:textId="77777777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F741F8">
        <w:t>47 CFR § 25.114(d)</w:t>
      </w:r>
      <w:r>
        <w:t>.</w:t>
      </w:r>
    </w:p>
  </w:footnote>
  <w:footnote w:id="4">
    <w:p w:rsidR="00DF6169" w:rsidP="00DF6169" w14:paraId="5E9B6C9B" w14:textId="77777777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F741F8">
        <w:t>47 CFR § 25.114(d)(1).</w:t>
      </w:r>
    </w:p>
  </w:footnote>
  <w:footnote w:id="5">
    <w:p w:rsidR="00DF6169" w:rsidP="00DF6169" w14:paraId="0BA25698" w14:textId="77777777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5862E3">
        <w:t xml:space="preserve">47 CFR § </w:t>
      </w:r>
      <w:r w:rsidRPr="00863591">
        <w:t>25.114(d)</w:t>
      </w:r>
      <w:r>
        <w:t>(6).</w:t>
      </w:r>
    </w:p>
  </w:footnote>
  <w:footnote w:id="6">
    <w:p w:rsidR="00DF6169" w:rsidP="00DF6169" w14:paraId="63731B4E" w14:textId="67927E43">
      <w:pPr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B61DCD">
        <w:t>47 CFR § 25.114(d)(14)(i)-(iv).</w:t>
      </w:r>
    </w:p>
  </w:footnote>
  <w:footnote w:id="7">
    <w:p w:rsidR="00DF6169" w:rsidP="00DF6169" w14:paraId="51EB6DDB" w14:textId="77777777">
      <w:pPr>
        <w:pStyle w:val="FootnoteText"/>
        <w:spacing w:line="360" w:lineRule="auto"/>
      </w:pPr>
      <w:r>
        <w:rPr>
          <w:rStyle w:val="FootnoteReference"/>
        </w:rPr>
        <w:footnoteRef/>
      </w:r>
      <w:r>
        <w:t xml:space="preserve"> </w:t>
      </w:r>
      <w:r w:rsidRPr="00F741F8">
        <w:t>47 CFR § 25.</w:t>
      </w:r>
      <w:r>
        <w:t>122.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5348" w:rsidRPr="00A251F5" w:rsidP="00CB5348" w14:paraId="2D5D4E6B" w14:textId="43925D86">
    <w:pPr>
      <w:widowControl w:val="0"/>
      <w:tabs>
        <w:tab w:val="center" w:pos="4680"/>
        <w:tab w:val="right" w:pos="9360"/>
      </w:tabs>
      <w:rPr>
        <w:b/>
        <w:snapToGrid w:val="0"/>
        <w:kern w:val="28"/>
        <w:sz w:val="22"/>
        <w:u w:val="single"/>
      </w:rPr>
    </w:pPr>
    <w:r w:rsidRPr="00A251F5">
      <w:rPr>
        <w:b/>
        <w:snapToGrid w:val="0"/>
        <w:kern w:val="28"/>
        <w:sz w:val="22"/>
        <w:u w:val="single"/>
      </w:rPr>
      <w:tab/>
      <w:t>Federal Communications Commission</w:t>
    </w:r>
    <w:r w:rsidRPr="00A251F5">
      <w:rPr>
        <w:b/>
        <w:snapToGrid w:val="0"/>
        <w:kern w:val="28"/>
        <w:sz w:val="22"/>
        <w:u w:val="single"/>
      </w:rPr>
      <w:tab/>
    </w:r>
    <w:r>
      <w:rPr>
        <w:b/>
        <w:snapToGrid w:val="0"/>
        <w:kern w:val="28"/>
        <w:sz w:val="22"/>
        <w:u w:val="single"/>
      </w:rPr>
      <w:t>DA 23-</w:t>
    </w:r>
    <w:r w:rsidR="00717498">
      <w:rPr>
        <w:b/>
        <w:snapToGrid w:val="0"/>
        <w:kern w:val="28"/>
        <w:sz w:val="22"/>
        <w:u w:val="single"/>
      </w:rPr>
      <w:t>119</w:t>
    </w:r>
  </w:p>
  <w:p w:rsidR="00CB5348" w14:paraId="2394BF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06594D6A" w14:textId="19FC6CEA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0</wp:posOffset>
          </wp:positionV>
          <wp:extent cx="752475" cy="752475"/>
          <wp:effectExtent l="0" t="0" r="0" b="0"/>
          <wp:wrapTight wrapText="bothSides">
            <wp:wrapPolygon>
              <wp:start x="6015" y="0"/>
              <wp:lineTo x="0" y="3828"/>
              <wp:lineTo x="0" y="14765"/>
              <wp:lineTo x="1094" y="18046"/>
              <wp:lineTo x="5468" y="21327"/>
              <wp:lineTo x="6015" y="21327"/>
              <wp:lineTo x="15311" y="21327"/>
              <wp:lineTo x="15858" y="21327"/>
              <wp:lineTo x="20233" y="18046"/>
              <wp:lineTo x="21327" y="14765"/>
              <wp:lineTo x="21327" y="3828"/>
              <wp:lineTo x="15311" y="0"/>
              <wp:lineTo x="601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Times (W1)" w:hAnsi="CG Times (W1)"/>
        <w:sz w:val="28"/>
      </w:rPr>
      <w:t>Federal Communications Commission</w:t>
    </w:r>
  </w:p>
  <w:p w:rsidR="002B54DB" w:rsidP="001333F1" w14:paraId="2AFB8E03" w14:textId="77777777">
    <w:pPr>
      <w:tabs>
        <w:tab w:val="center" w:pos="4680"/>
        <w:tab w:val="left" w:pos="8400"/>
      </w:tabs>
    </w:pPr>
    <w:r>
      <w:rPr>
        <w:rFonts w:ascii="CG Times (W1)" w:hAnsi="CG Times (W1)"/>
        <w:sz w:val="28"/>
      </w:rPr>
      <w:tab/>
    </w:r>
    <w:r>
      <w:rPr>
        <w:rFonts w:ascii="CG Times (W1)" w:hAnsi="CG Times (W1)"/>
        <w:sz w:val="28"/>
      </w:rPr>
      <w:t>Washington, D.C. 20554</w:t>
    </w:r>
    <w:r>
      <w:rPr>
        <w:rFonts w:ascii="CG Times (W1)" w:hAnsi="CG Times (W1)"/>
        <w:sz w:val="28"/>
      </w:rPr>
      <w:tab/>
    </w:r>
  </w:p>
  <w:p w:rsidR="002B54DB" w14:paraId="0F83CCE7" w14:textId="77777777">
    <w:pPr>
      <w:pStyle w:val="Header"/>
      <w:tabs>
        <w:tab w:val="clear" w:pos="4320"/>
      </w:tabs>
      <w:jc w:val="center"/>
      <w:rPr>
        <w:sz w:val="22"/>
      </w:rPr>
    </w:pPr>
  </w:p>
  <w:p w:rsidR="002B54DB" w14:paraId="4E587C27" w14:textId="77777777">
    <w:pPr>
      <w:pStyle w:val="Header"/>
      <w:tabs>
        <w:tab w:val="clear" w:pos="43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0F5ADF"/>
    <w:multiLevelType w:val="hybridMultilevel"/>
    <w:tmpl w:val="CDDC292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072C7"/>
    <w:multiLevelType w:val="hybridMultilevel"/>
    <w:tmpl w:val="15B06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69"/>
    <w:rsid w:val="00035EA3"/>
    <w:rsid w:val="001333F1"/>
    <w:rsid w:val="00204CE3"/>
    <w:rsid w:val="002B54DB"/>
    <w:rsid w:val="003A5B89"/>
    <w:rsid w:val="004D3B53"/>
    <w:rsid w:val="005862E3"/>
    <w:rsid w:val="00596806"/>
    <w:rsid w:val="006D1B9A"/>
    <w:rsid w:val="00717498"/>
    <w:rsid w:val="00863591"/>
    <w:rsid w:val="0089150E"/>
    <w:rsid w:val="00A251F5"/>
    <w:rsid w:val="00B51457"/>
    <w:rsid w:val="00B61DCD"/>
    <w:rsid w:val="00C36FC3"/>
    <w:rsid w:val="00C7335F"/>
    <w:rsid w:val="00CB5348"/>
    <w:rsid w:val="00DF6169"/>
    <w:rsid w:val="00F42A69"/>
    <w:rsid w:val="00F741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8E9F1E"/>
  <w15:chartTrackingRefBased/>
  <w15:docId w15:val="{210EB4C0-FF4A-4865-B80B-B4C2C64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69"/>
  </w:style>
  <w:style w:type="character" w:styleId="FootnoteReference">
    <w:name w:val="footnote reference"/>
    <w:semiHidden/>
    <w:rsid w:val="00DF6169"/>
    <w:rPr>
      <w:rFonts w:ascii="Times New Roman" w:hAnsi="Times New Roman"/>
      <w:dstrike w:val="0"/>
      <w:color w:val="auto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DF616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F6169"/>
  </w:style>
  <w:style w:type="character" w:styleId="Hyperlink">
    <w:name w:val="Hyperlink"/>
    <w:basedOn w:val="DefaultParagraphFont"/>
    <w:uiPriority w:val="99"/>
    <w:unhideWhenUsed/>
    <w:rsid w:val="00F4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tingersoll@edf.org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