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B2C6C" w:rsidP="007043CF" w14:paraId="1B5EF40B" w14:textId="70951609">
      <w:pPr>
        <w:ind w:left="5760" w:firstLine="720"/>
      </w:pPr>
      <w:r>
        <w:t>DA 23-</w:t>
      </w:r>
      <w:r w:rsidR="009F70A3">
        <w:t>1204</w:t>
      </w:r>
    </w:p>
    <w:p w:rsidR="007043CF" w:rsidRPr="007043CF" w:rsidP="007043CF" w14:paraId="5F914B8B" w14:textId="0273465C">
      <w:pPr>
        <w:ind w:left="5760" w:firstLine="720"/>
      </w:pPr>
      <w:r w:rsidRPr="007043CF">
        <w:t xml:space="preserve">In </w:t>
      </w:r>
      <w:r w:rsidRPr="007043CF" w:rsidR="00734AD6">
        <w:t>R</w:t>
      </w:r>
      <w:r w:rsidRPr="007043CF">
        <w:t xml:space="preserve">eply </w:t>
      </w:r>
      <w:r w:rsidRPr="007043CF" w:rsidR="00734AD6">
        <w:t>R</w:t>
      </w:r>
      <w:r w:rsidRPr="007043CF">
        <w:t xml:space="preserve">efer to: </w:t>
      </w:r>
    </w:p>
    <w:p w:rsidR="00A3008F" w:rsidP="00002EB1" w14:paraId="67F35975" w14:textId="2D7CF7DA">
      <w:pPr>
        <w:ind w:left="6480"/>
      </w:pPr>
      <w:r w:rsidRPr="007043CF">
        <w:t>1800B3-</w:t>
      </w:r>
      <w:r w:rsidR="00F6526C">
        <w:t>RDM</w:t>
      </w:r>
    </w:p>
    <w:p w:rsidR="001B2C6C" w:rsidRPr="007043CF" w:rsidP="00002EB1" w14:paraId="5136AEE1" w14:textId="303B5C32">
      <w:pPr>
        <w:ind w:left="6480"/>
      </w:pPr>
      <w:r>
        <w:t xml:space="preserve">Released </w:t>
      </w:r>
      <w:r w:rsidR="009F70A3">
        <w:t>December 22, 2023</w:t>
      </w:r>
    </w:p>
    <w:p w:rsidR="00B54AF8" w:rsidRPr="00B54AF8" w:rsidP="00A3008F" w14:paraId="4559264E" w14:textId="587AF74C">
      <w:pPr>
        <w:tabs>
          <w:tab w:val="left" w:pos="6480"/>
        </w:tabs>
        <w:spacing w:after="240"/>
        <w:rPr>
          <w:szCs w:val="22"/>
        </w:rPr>
      </w:pPr>
      <w:r w:rsidRPr="00B54AF8">
        <w:rPr>
          <w:b/>
          <w:bCs/>
          <w:szCs w:val="22"/>
        </w:rPr>
        <w:t>CERTIFIED MAIL RETURN RECEIPT REQUESTED</w:t>
      </w:r>
    </w:p>
    <w:p w:rsidR="00F51836" w:rsidP="00E34004" w14:paraId="576D56CD" w14:textId="397D6499">
      <w:pPr>
        <w:tabs>
          <w:tab w:val="left" w:pos="0"/>
        </w:tabs>
        <w:suppressAutoHyphens/>
        <w:rPr>
          <w:szCs w:val="22"/>
        </w:rPr>
      </w:pPr>
      <w:r>
        <w:rPr>
          <w:szCs w:val="22"/>
        </w:rPr>
        <w:t>Birach Broadcasting Corporation</w:t>
      </w:r>
    </w:p>
    <w:p w:rsidR="007426EF" w:rsidP="00E34004" w14:paraId="01240637" w14:textId="48332D20">
      <w:pPr>
        <w:tabs>
          <w:tab w:val="left" w:pos="0"/>
        </w:tabs>
        <w:suppressAutoHyphens/>
        <w:rPr>
          <w:szCs w:val="22"/>
        </w:rPr>
      </w:pPr>
      <w:r w:rsidRPr="006923AB">
        <w:rPr>
          <w:szCs w:val="22"/>
        </w:rPr>
        <w:t>21700 Northwestern Highway Tower 14, Suite 1190</w:t>
      </w:r>
    </w:p>
    <w:p w:rsidR="007426EF" w:rsidP="00E34004" w14:paraId="205FA08D" w14:textId="03F8615C">
      <w:pPr>
        <w:tabs>
          <w:tab w:val="left" w:pos="0"/>
        </w:tabs>
        <w:suppressAutoHyphens/>
        <w:rPr>
          <w:szCs w:val="22"/>
        </w:rPr>
      </w:pPr>
      <w:r>
        <w:rPr>
          <w:szCs w:val="22"/>
        </w:rPr>
        <w:t>Southfield</w:t>
      </w:r>
      <w:r>
        <w:rPr>
          <w:szCs w:val="22"/>
        </w:rPr>
        <w:t xml:space="preserve">, </w:t>
      </w:r>
      <w:r>
        <w:rPr>
          <w:szCs w:val="22"/>
        </w:rPr>
        <w:t>MI</w:t>
      </w:r>
      <w:r>
        <w:rPr>
          <w:szCs w:val="22"/>
        </w:rPr>
        <w:t xml:space="preserve"> </w:t>
      </w:r>
      <w:r>
        <w:rPr>
          <w:szCs w:val="22"/>
        </w:rPr>
        <w:t>48075</w:t>
      </w:r>
    </w:p>
    <w:p w:rsidR="007043CF" w:rsidP="007043CF" w14:paraId="7CB757E3" w14:textId="22D72154">
      <w:pPr>
        <w:tabs>
          <w:tab w:val="left" w:pos="0"/>
        </w:tabs>
        <w:suppressAutoHyphens/>
        <w:rPr>
          <w:szCs w:val="22"/>
        </w:rPr>
      </w:pPr>
      <w:r>
        <w:rPr>
          <w:szCs w:val="22"/>
        </w:rPr>
        <w:t xml:space="preserve">Sent via email: </w:t>
      </w:r>
      <w:hyperlink r:id="rId5" w:history="1">
        <w:r w:rsidRPr="0014049A" w:rsidR="006B0A84">
          <w:rPr>
            <w:rStyle w:val="Hyperlink"/>
          </w:rPr>
          <w:t>sima@birach.com</w:t>
        </w:r>
      </w:hyperlink>
      <w:r w:rsidR="000A37D4">
        <w:t xml:space="preserve"> </w:t>
      </w:r>
      <w:r w:rsidR="00912FB5">
        <w:rPr>
          <w:szCs w:val="22"/>
        </w:rPr>
        <w:t xml:space="preserve"> </w:t>
      </w:r>
    </w:p>
    <w:p w:rsidR="007043CF" w:rsidP="007043CF" w14:paraId="20B39F38" w14:textId="77777777">
      <w:pPr>
        <w:tabs>
          <w:tab w:val="left" w:pos="0"/>
        </w:tabs>
        <w:suppressAutoHyphens/>
        <w:rPr>
          <w:szCs w:val="22"/>
        </w:rPr>
      </w:pPr>
      <w:r w:rsidRPr="005F0C13">
        <w:rPr>
          <w:szCs w:val="22"/>
        </w:rPr>
        <w:tab/>
      </w:r>
      <w:r w:rsidRPr="005F0C13">
        <w:rPr>
          <w:szCs w:val="22"/>
        </w:rPr>
        <w:tab/>
      </w:r>
      <w:r w:rsidRPr="005F0C13">
        <w:rPr>
          <w:szCs w:val="22"/>
        </w:rPr>
        <w:tab/>
      </w:r>
      <w:r w:rsidRPr="005F0C13">
        <w:rPr>
          <w:szCs w:val="22"/>
        </w:rPr>
        <w:tab/>
      </w:r>
    </w:p>
    <w:p w:rsidR="007043CF" w:rsidRPr="003D2939" w:rsidP="000A37D4" w14:paraId="25EFF5A5" w14:textId="57277C01">
      <w:pPr>
        <w:tabs>
          <w:tab w:val="left" w:pos="0"/>
        </w:tabs>
        <w:suppressAutoHyphens/>
        <w:ind w:left="4320" w:hanging="4320"/>
        <w:rPr>
          <w:b/>
          <w:bCs/>
          <w:szCs w:val="22"/>
        </w:rPr>
      </w:pPr>
      <w:r>
        <w:rPr>
          <w:szCs w:val="22"/>
        </w:rPr>
        <w:tab/>
      </w:r>
      <w:r>
        <w:rPr>
          <w:szCs w:val="22"/>
        </w:rPr>
        <w:tab/>
      </w:r>
      <w:r w:rsidRPr="00210016">
        <w:rPr>
          <w:szCs w:val="22"/>
        </w:rPr>
        <w:t>In re:</w:t>
      </w:r>
      <w:bookmarkStart w:id="0" w:name="_Hlk26369230"/>
      <w:bookmarkStart w:id="1" w:name="_Hlk21100666"/>
      <w:r>
        <w:rPr>
          <w:szCs w:val="22"/>
        </w:rPr>
        <w:tab/>
      </w:r>
      <w:bookmarkStart w:id="2" w:name="_Hlk36126556"/>
      <w:bookmarkStart w:id="3" w:name="_Hlk36200037"/>
      <w:bookmarkStart w:id="4" w:name="_Hlk52889655"/>
      <w:r w:rsidRPr="002E748C" w:rsidR="002E748C">
        <w:rPr>
          <w:b/>
          <w:bCs/>
          <w:szCs w:val="22"/>
        </w:rPr>
        <w:t>Birach Broadcasting Corporation</w:t>
      </w:r>
    </w:p>
    <w:p w:rsidR="0048351D" w:rsidP="007043CF" w14:paraId="22BA0302" w14:textId="2CBEF54A">
      <w:pPr>
        <w:tabs>
          <w:tab w:val="left" w:pos="0"/>
        </w:tabs>
        <w:suppressAutoHyphens/>
        <w:rPr>
          <w:bCs/>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bookmarkEnd w:id="0"/>
      <w:bookmarkEnd w:id="2"/>
      <w:bookmarkEnd w:id="3"/>
      <w:bookmarkEnd w:id="4"/>
      <w:r w:rsidR="004C597A">
        <w:rPr>
          <w:szCs w:val="22"/>
        </w:rPr>
        <w:t xml:space="preserve">Station </w:t>
      </w:r>
      <w:r w:rsidR="00D7179F">
        <w:rPr>
          <w:bCs/>
          <w:szCs w:val="22"/>
        </w:rPr>
        <w:t>KJMU</w:t>
      </w:r>
      <w:r w:rsidR="00D22108">
        <w:rPr>
          <w:bCs/>
          <w:szCs w:val="22"/>
        </w:rPr>
        <w:t>(</w:t>
      </w:r>
      <w:r w:rsidR="00B326B5">
        <w:rPr>
          <w:bCs/>
          <w:szCs w:val="22"/>
        </w:rPr>
        <w:t>A</w:t>
      </w:r>
      <w:r w:rsidR="00D22108">
        <w:rPr>
          <w:bCs/>
          <w:szCs w:val="22"/>
        </w:rPr>
        <w:t>M</w:t>
      </w:r>
      <w:r>
        <w:rPr>
          <w:bCs/>
          <w:szCs w:val="22"/>
        </w:rPr>
        <w:t xml:space="preserve">), </w:t>
      </w:r>
      <w:r w:rsidR="00D7179F">
        <w:rPr>
          <w:bCs/>
          <w:szCs w:val="22"/>
        </w:rPr>
        <w:t>Sand Springs</w:t>
      </w:r>
      <w:r>
        <w:rPr>
          <w:bCs/>
          <w:szCs w:val="22"/>
        </w:rPr>
        <w:t xml:space="preserve">, </w:t>
      </w:r>
    </w:p>
    <w:p w:rsidR="007043CF" w:rsidRPr="0062410C" w:rsidP="007043CF" w14:paraId="01AF8DAB" w14:textId="3BA85A35">
      <w:pPr>
        <w:tabs>
          <w:tab w:val="left" w:pos="0"/>
        </w:tabs>
        <w:suppressAutoHyphens/>
        <w:rPr>
          <w:bCs/>
          <w:szCs w:val="22"/>
        </w:rPr>
      </w:pP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D7179F">
        <w:rPr>
          <w:bCs/>
          <w:szCs w:val="22"/>
        </w:rPr>
        <w:t>Oklahoma</w:t>
      </w:r>
    </w:p>
    <w:p w:rsidR="007043CF" w:rsidRPr="007C5761" w:rsidP="007043CF" w14:paraId="46DA7A9D" w14:textId="44507FE6">
      <w:pPr>
        <w:rPr>
          <w:szCs w:val="22"/>
        </w:rPr>
      </w:pPr>
      <w:r w:rsidRPr="003010B3">
        <w:rPr>
          <w:szCs w:val="22"/>
        </w:rPr>
        <w:tab/>
      </w:r>
      <w:r w:rsidRPr="003010B3">
        <w:rPr>
          <w:szCs w:val="22"/>
        </w:rPr>
        <w:tab/>
      </w:r>
      <w:r w:rsidRPr="003010B3">
        <w:rPr>
          <w:szCs w:val="22"/>
        </w:rPr>
        <w:tab/>
      </w:r>
      <w:r w:rsidRPr="003010B3">
        <w:rPr>
          <w:szCs w:val="22"/>
        </w:rPr>
        <w:tab/>
      </w:r>
      <w:r w:rsidRPr="003010B3">
        <w:rPr>
          <w:szCs w:val="22"/>
        </w:rPr>
        <w:tab/>
      </w:r>
      <w:r w:rsidRPr="003010B3">
        <w:rPr>
          <w:szCs w:val="22"/>
        </w:rPr>
        <w:tab/>
      </w:r>
      <w:r w:rsidRPr="003010B3">
        <w:rPr>
          <w:szCs w:val="22"/>
        </w:rPr>
        <w:tab/>
      </w:r>
      <w:r w:rsidRPr="003010B3">
        <w:rPr>
          <w:szCs w:val="22"/>
        </w:rPr>
        <w:tab/>
      </w:r>
      <w:r w:rsidRPr="007C5761">
        <w:rPr>
          <w:szCs w:val="22"/>
        </w:rPr>
        <w:t>Facility ID No.</w:t>
      </w:r>
      <w:r>
        <w:rPr>
          <w:szCs w:val="22"/>
        </w:rPr>
        <w:t xml:space="preserve"> </w:t>
      </w:r>
      <w:r w:rsidRPr="00C65979" w:rsidR="00C65979">
        <w:rPr>
          <w:szCs w:val="22"/>
        </w:rPr>
        <w:t>47101</w:t>
      </w:r>
    </w:p>
    <w:p w:rsidR="007043CF" w:rsidRPr="005D7CD0" w:rsidP="007043CF" w14:paraId="469EBA4B" w14:textId="5B787AD6">
      <w:pPr>
        <w:spacing w:after="240"/>
        <w:rPr>
          <w:b/>
          <w:color w:val="000000"/>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E34004">
        <w:rPr>
          <w:szCs w:val="22"/>
        </w:rPr>
        <w:t xml:space="preserve">Application </w:t>
      </w:r>
      <w:r w:rsidRPr="007C5761">
        <w:rPr>
          <w:szCs w:val="22"/>
        </w:rPr>
        <w:t xml:space="preserve">File No. </w:t>
      </w:r>
      <w:bookmarkEnd w:id="1"/>
      <w:r w:rsidRPr="006B0A84" w:rsidR="006B0A84">
        <w:rPr>
          <w:szCs w:val="22"/>
        </w:rPr>
        <w:t>0000210889</w:t>
      </w:r>
    </w:p>
    <w:p w:rsidR="007043CF" w:rsidRPr="007C5761" w:rsidP="007043CF" w14:paraId="525DB73F" w14:textId="77777777">
      <w:pPr>
        <w:tabs>
          <w:tab w:val="left" w:pos="0"/>
        </w:tabs>
        <w:suppressAutoHyphens/>
        <w:spacing w:after="240"/>
        <w:outlineLvl w:val="0"/>
        <w:rPr>
          <w:b/>
          <w:color w:val="000000"/>
          <w:szCs w:val="22"/>
        </w:rPr>
      </w:pPr>
      <w:r w:rsidRPr="007C5761">
        <w:rPr>
          <w:color w:val="000000"/>
          <w:szCs w:val="22"/>
        </w:rPr>
        <w:t xml:space="preserve">Dear </w:t>
      </w:r>
      <w:r>
        <w:rPr>
          <w:color w:val="000000"/>
          <w:szCs w:val="22"/>
        </w:rPr>
        <w:t>Licensee:</w:t>
      </w:r>
    </w:p>
    <w:p w:rsidR="007043CF" w:rsidP="007043CF" w14:paraId="704BCA38" w14:textId="3E0A95AF">
      <w:pPr>
        <w:spacing w:after="240"/>
        <w:ind w:firstLine="720"/>
        <w:rPr>
          <w:szCs w:val="22"/>
        </w:rPr>
      </w:pPr>
      <w:r>
        <w:rPr>
          <w:szCs w:val="22"/>
        </w:rPr>
        <w:t xml:space="preserve">We have before us the application (Application) of </w:t>
      </w:r>
      <w:r w:rsidR="002E748C">
        <w:rPr>
          <w:szCs w:val="22"/>
        </w:rPr>
        <w:t>Birach Broadcasting Corporation</w:t>
      </w:r>
      <w:r>
        <w:rPr>
          <w:szCs w:val="22"/>
        </w:rPr>
        <w:t xml:space="preserve"> (Licensee) for renewal of its license </w:t>
      </w:r>
      <w:bookmarkStart w:id="5" w:name="_Hlk36200979"/>
      <w:r>
        <w:rPr>
          <w:szCs w:val="22"/>
        </w:rPr>
        <w:t xml:space="preserve">for Station </w:t>
      </w:r>
      <w:bookmarkEnd w:id="5"/>
      <w:r w:rsidR="00D84CF0">
        <w:rPr>
          <w:szCs w:val="22"/>
        </w:rPr>
        <w:t>KJMU</w:t>
      </w:r>
      <w:r w:rsidR="00B9378F">
        <w:rPr>
          <w:szCs w:val="22"/>
        </w:rPr>
        <w:t>(</w:t>
      </w:r>
      <w:r w:rsidR="00FB22C3">
        <w:rPr>
          <w:szCs w:val="22"/>
        </w:rPr>
        <w:t>A</w:t>
      </w:r>
      <w:r w:rsidR="00B9378F">
        <w:rPr>
          <w:szCs w:val="22"/>
        </w:rPr>
        <w:t>M</w:t>
      </w:r>
      <w:r>
        <w:rPr>
          <w:szCs w:val="22"/>
        </w:rPr>
        <w:t xml:space="preserve">), </w:t>
      </w:r>
      <w:r w:rsidR="00D84CF0">
        <w:rPr>
          <w:szCs w:val="22"/>
        </w:rPr>
        <w:t>Sand Springs</w:t>
      </w:r>
      <w:r w:rsidR="00B9378F">
        <w:rPr>
          <w:szCs w:val="22"/>
        </w:rPr>
        <w:t xml:space="preserve">, </w:t>
      </w:r>
      <w:r w:rsidR="00D84CF0">
        <w:rPr>
          <w:szCs w:val="22"/>
        </w:rPr>
        <w:t>Oklahoma</w:t>
      </w:r>
      <w:r>
        <w:rPr>
          <w:szCs w:val="22"/>
        </w:rPr>
        <w:t xml:space="preserve"> (Station).</w:t>
      </w:r>
      <w:r>
        <w:rPr>
          <w:rStyle w:val="FootnoteReference"/>
          <w:rFonts w:eastAsia="Calibri"/>
          <w:sz w:val="22"/>
          <w:szCs w:val="22"/>
        </w:rPr>
        <w:footnoteReference w:id="3"/>
      </w:r>
      <w:r>
        <w:rPr>
          <w:szCs w:val="22"/>
        </w:rPr>
        <w:t xml:space="preserve">  For the reasons set forth below, we </w:t>
      </w:r>
      <w:r w:rsidRPr="00E5555B">
        <w:rPr>
          <w:szCs w:val="22"/>
        </w:rPr>
        <w:t>grant</w:t>
      </w:r>
      <w:r>
        <w:rPr>
          <w:szCs w:val="22"/>
        </w:rPr>
        <w:t xml:space="preserve"> the Application for a</w:t>
      </w:r>
      <w:r w:rsidR="00E918BF">
        <w:rPr>
          <w:szCs w:val="22"/>
        </w:rPr>
        <w:t xml:space="preserve"> shortened</w:t>
      </w:r>
      <w:r>
        <w:rPr>
          <w:szCs w:val="22"/>
        </w:rPr>
        <w:t xml:space="preserve"> renewal period, instead of a full term of eight years, pursuant to section 309(k)(2) of the Communications Act of 1934, as amended (Act).</w:t>
      </w:r>
      <w:r>
        <w:rPr>
          <w:rStyle w:val="FootnoteReference"/>
          <w:rFonts w:eastAsia="Calibri"/>
          <w:sz w:val="22"/>
          <w:szCs w:val="22"/>
        </w:rPr>
        <w:footnoteReference w:id="4"/>
      </w:r>
      <w:r w:rsidR="00E918BF">
        <w:rPr>
          <w:szCs w:val="22"/>
        </w:rPr>
        <w:t xml:space="preserve">  </w:t>
      </w:r>
      <w:r w:rsidRPr="001D1363" w:rsidR="00E918BF">
        <w:rPr>
          <w:b/>
          <w:bCs/>
          <w:szCs w:val="22"/>
        </w:rPr>
        <w:t xml:space="preserve">The Station’s term will expire </w:t>
      </w:r>
      <w:r w:rsidRPr="00CF7250" w:rsidR="00E918BF">
        <w:rPr>
          <w:b/>
          <w:bCs/>
          <w:szCs w:val="22"/>
        </w:rPr>
        <w:t xml:space="preserve">on </w:t>
      </w:r>
      <w:bookmarkStart w:id="6" w:name="_Hlk153266830"/>
      <w:r w:rsidRPr="00CF7250" w:rsidR="003015E1">
        <w:rPr>
          <w:b/>
          <w:bCs/>
          <w:szCs w:val="22"/>
        </w:rPr>
        <w:t xml:space="preserve">December </w:t>
      </w:r>
      <w:r w:rsidRPr="00CF7250" w:rsidR="00CF7250">
        <w:rPr>
          <w:b/>
          <w:bCs/>
          <w:szCs w:val="22"/>
        </w:rPr>
        <w:t>22,</w:t>
      </w:r>
      <w:r w:rsidRPr="00CF7250" w:rsidR="006C04F2">
        <w:rPr>
          <w:b/>
          <w:bCs/>
          <w:szCs w:val="22"/>
        </w:rPr>
        <w:t xml:space="preserve"> 2024</w:t>
      </w:r>
      <w:bookmarkEnd w:id="6"/>
      <w:r w:rsidRPr="00CF7250" w:rsidR="00E918BF">
        <w:rPr>
          <w:b/>
          <w:bCs/>
          <w:szCs w:val="22"/>
        </w:rPr>
        <w:t>,</w:t>
      </w:r>
      <w:r w:rsidRPr="001D1363" w:rsidR="00E918BF">
        <w:rPr>
          <w:b/>
          <w:bCs/>
          <w:szCs w:val="22"/>
        </w:rPr>
        <w:t xml:space="preserve"> and a renewal application will be due </w:t>
      </w:r>
      <w:r w:rsidR="00D104B6">
        <w:rPr>
          <w:b/>
          <w:bCs/>
          <w:szCs w:val="22"/>
        </w:rPr>
        <w:t xml:space="preserve">on or before </w:t>
      </w:r>
      <w:r w:rsidRPr="00CF7250" w:rsidR="003015E1">
        <w:rPr>
          <w:b/>
          <w:bCs/>
          <w:szCs w:val="22"/>
        </w:rPr>
        <w:t xml:space="preserve">August </w:t>
      </w:r>
      <w:r w:rsidRPr="00CF7250" w:rsidR="0028047D">
        <w:rPr>
          <w:b/>
          <w:bCs/>
          <w:szCs w:val="22"/>
        </w:rPr>
        <w:t>1, 2024</w:t>
      </w:r>
      <w:r w:rsidRPr="00CF7250" w:rsidR="00E918BF">
        <w:rPr>
          <w:b/>
          <w:bCs/>
          <w:szCs w:val="22"/>
        </w:rPr>
        <w:t>.</w:t>
      </w:r>
      <w:r>
        <w:rPr>
          <w:rStyle w:val="FootnoteReference"/>
          <w:rFonts w:eastAsia="Calibri"/>
          <w:sz w:val="22"/>
        </w:rPr>
        <w:footnoteReference w:id="5"/>
      </w:r>
      <w:r w:rsidR="00E918BF">
        <w:rPr>
          <w:szCs w:val="22"/>
        </w:rPr>
        <w:t xml:space="preserve">  </w:t>
      </w:r>
      <w:r w:rsidR="00C027E1">
        <w:rPr>
          <w:b/>
          <w:bCs/>
          <w:szCs w:val="22"/>
        </w:rPr>
        <w:t>If, at the end of this</w:t>
      </w:r>
      <w:r w:rsidRPr="001308A2" w:rsidR="00C027E1">
        <w:rPr>
          <w:b/>
          <w:bCs/>
          <w:szCs w:val="22"/>
        </w:rPr>
        <w:t xml:space="preserve"> </w:t>
      </w:r>
      <w:r w:rsidRPr="001308A2" w:rsidR="006C65BC">
        <w:rPr>
          <w:b/>
          <w:bCs/>
          <w:szCs w:val="22"/>
        </w:rPr>
        <w:t xml:space="preserve">one-year license renewal </w:t>
      </w:r>
      <w:r w:rsidR="005D13FE">
        <w:rPr>
          <w:b/>
          <w:bCs/>
          <w:szCs w:val="22"/>
        </w:rPr>
        <w:t>period</w:t>
      </w:r>
      <w:r w:rsidR="00D96C64">
        <w:rPr>
          <w:b/>
          <w:bCs/>
          <w:szCs w:val="22"/>
        </w:rPr>
        <w:t xml:space="preserve">, the Commission finds that </w:t>
      </w:r>
      <w:r w:rsidR="00C84DC0">
        <w:rPr>
          <w:b/>
          <w:bCs/>
          <w:szCs w:val="22"/>
        </w:rPr>
        <w:t xml:space="preserve">the </w:t>
      </w:r>
      <w:r w:rsidR="00DF4F74">
        <w:rPr>
          <w:b/>
          <w:bCs/>
          <w:szCs w:val="22"/>
        </w:rPr>
        <w:t>Licensee’s conduct has again fallen short of that which would warrant routine license renewal,</w:t>
      </w:r>
      <w:r w:rsidR="00E67104">
        <w:rPr>
          <w:b/>
          <w:bCs/>
          <w:szCs w:val="22"/>
        </w:rPr>
        <w:t xml:space="preserve"> </w:t>
      </w:r>
      <w:r w:rsidRPr="00121AC1" w:rsidR="00121AC1">
        <w:rPr>
          <w:b/>
          <w:bCs/>
          <w:szCs w:val="22"/>
        </w:rPr>
        <w:t xml:space="preserve">or if the Licensee has failed to restore the Station to </w:t>
      </w:r>
      <w:r w:rsidR="00F77021">
        <w:rPr>
          <w:b/>
          <w:bCs/>
          <w:szCs w:val="22"/>
        </w:rPr>
        <w:t xml:space="preserve">unlimited </w:t>
      </w:r>
      <w:r w:rsidR="00D54FF8">
        <w:rPr>
          <w:b/>
          <w:bCs/>
          <w:szCs w:val="22"/>
        </w:rPr>
        <w:t>operation</w:t>
      </w:r>
      <w:r w:rsidR="00F77021">
        <w:rPr>
          <w:b/>
          <w:bCs/>
          <w:szCs w:val="22"/>
        </w:rPr>
        <w:t xml:space="preserve"> at the power levels specified in it</w:t>
      </w:r>
      <w:r w:rsidR="00942097">
        <w:rPr>
          <w:b/>
          <w:bCs/>
          <w:szCs w:val="22"/>
        </w:rPr>
        <w:t>s license</w:t>
      </w:r>
      <w:r w:rsidR="00121AC1">
        <w:rPr>
          <w:b/>
          <w:bCs/>
          <w:szCs w:val="22"/>
        </w:rPr>
        <w:t>,</w:t>
      </w:r>
      <w:r w:rsidR="00DF4F74">
        <w:rPr>
          <w:b/>
          <w:bCs/>
          <w:szCs w:val="22"/>
        </w:rPr>
        <w:t xml:space="preserve"> </w:t>
      </w:r>
      <w:r w:rsidR="00C6621C">
        <w:rPr>
          <w:b/>
          <w:bCs/>
          <w:szCs w:val="22"/>
        </w:rPr>
        <w:t xml:space="preserve">then </w:t>
      </w:r>
      <w:r w:rsidR="003727A5">
        <w:rPr>
          <w:b/>
          <w:bCs/>
          <w:szCs w:val="22"/>
        </w:rPr>
        <w:t xml:space="preserve">we </w:t>
      </w:r>
      <w:r w:rsidR="00253D50">
        <w:rPr>
          <w:b/>
          <w:bCs/>
          <w:szCs w:val="22"/>
        </w:rPr>
        <w:t xml:space="preserve">will </w:t>
      </w:r>
      <w:r w:rsidR="001E4E3A">
        <w:rPr>
          <w:b/>
          <w:bCs/>
          <w:szCs w:val="22"/>
        </w:rPr>
        <w:t xml:space="preserve">either </w:t>
      </w:r>
      <w:r w:rsidR="00E221F9">
        <w:rPr>
          <w:b/>
          <w:bCs/>
          <w:szCs w:val="22"/>
        </w:rPr>
        <w:t xml:space="preserve">1) </w:t>
      </w:r>
      <w:r w:rsidR="003727A5">
        <w:rPr>
          <w:b/>
          <w:bCs/>
          <w:szCs w:val="22"/>
        </w:rPr>
        <w:t>place</w:t>
      </w:r>
      <w:r w:rsidR="00E25DB9">
        <w:rPr>
          <w:b/>
          <w:bCs/>
          <w:szCs w:val="22"/>
        </w:rPr>
        <w:t xml:space="preserve"> a</w:t>
      </w:r>
      <w:r w:rsidR="003727A5">
        <w:rPr>
          <w:b/>
          <w:bCs/>
          <w:szCs w:val="22"/>
        </w:rPr>
        <w:t xml:space="preserve"> condition on the grant of the next license renewal </w:t>
      </w:r>
      <w:r w:rsidR="00E25DB9">
        <w:rPr>
          <w:b/>
          <w:bCs/>
          <w:szCs w:val="22"/>
        </w:rPr>
        <w:t xml:space="preserve">that specifies any additional license renewals will be </w:t>
      </w:r>
      <w:r w:rsidR="00574F7E">
        <w:rPr>
          <w:b/>
          <w:bCs/>
          <w:szCs w:val="22"/>
        </w:rPr>
        <w:t>conditioned</w:t>
      </w:r>
      <w:r w:rsidR="00674521">
        <w:rPr>
          <w:b/>
          <w:bCs/>
          <w:szCs w:val="22"/>
        </w:rPr>
        <w:t xml:space="preserve"> on the Licensee returning the Station to unlimited operation during that</w:t>
      </w:r>
      <w:r w:rsidR="00620BF3">
        <w:rPr>
          <w:b/>
          <w:bCs/>
          <w:szCs w:val="22"/>
        </w:rPr>
        <w:t xml:space="preserve"> license</w:t>
      </w:r>
      <w:r w:rsidR="00674521">
        <w:rPr>
          <w:b/>
          <w:bCs/>
          <w:szCs w:val="22"/>
        </w:rPr>
        <w:t xml:space="preserve"> term </w:t>
      </w:r>
      <w:r w:rsidR="003727A5">
        <w:rPr>
          <w:b/>
          <w:bCs/>
          <w:szCs w:val="22"/>
        </w:rPr>
        <w:t>or</w:t>
      </w:r>
      <w:r w:rsidR="00D326E1">
        <w:rPr>
          <w:b/>
          <w:bCs/>
          <w:szCs w:val="22"/>
        </w:rPr>
        <w:t xml:space="preserve"> </w:t>
      </w:r>
      <w:r w:rsidR="001F59F0">
        <w:rPr>
          <w:b/>
          <w:bCs/>
          <w:szCs w:val="22"/>
        </w:rPr>
        <w:t>2)</w:t>
      </w:r>
      <w:r w:rsidR="003727A5">
        <w:rPr>
          <w:b/>
          <w:bCs/>
          <w:szCs w:val="22"/>
        </w:rPr>
        <w:t xml:space="preserve"> designate the license for hearing</w:t>
      </w:r>
      <w:r w:rsidR="00D326E1">
        <w:rPr>
          <w:b/>
          <w:bCs/>
          <w:szCs w:val="22"/>
        </w:rPr>
        <w:t xml:space="preserve"> based on the Licensee’s failure to serve the public interest</w:t>
      </w:r>
      <w:r w:rsidR="003727A5">
        <w:rPr>
          <w:b/>
          <w:bCs/>
          <w:szCs w:val="22"/>
        </w:rPr>
        <w:t xml:space="preserve">.  </w:t>
      </w:r>
    </w:p>
    <w:p w:rsidR="00E5555B" w:rsidP="008A151B" w14:paraId="0402FADB" w14:textId="7D161123">
      <w:pPr>
        <w:widowControl/>
        <w:tabs>
          <w:tab w:val="left" w:pos="0"/>
        </w:tabs>
        <w:suppressAutoHyphens/>
        <w:spacing w:after="240"/>
        <w:rPr>
          <w:szCs w:val="22"/>
        </w:rPr>
      </w:pPr>
      <w:r>
        <w:rPr>
          <w:b/>
          <w:szCs w:val="22"/>
        </w:rPr>
        <w:tab/>
      </w:r>
      <w:r w:rsidRPr="007C5761">
        <w:rPr>
          <w:b/>
          <w:szCs w:val="22"/>
        </w:rPr>
        <w:t>Background.</w:t>
      </w:r>
      <w:r w:rsidRPr="007C5761">
        <w:rPr>
          <w:szCs w:val="22"/>
        </w:rPr>
        <w:t xml:space="preserve">  </w:t>
      </w:r>
      <w:r w:rsidRPr="005B7CB8">
        <w:rPr>
          <w:szCs w:val="22"/>
        </w:rPr>
        <w:t xml:space="preserve">The Application was filed on </w:t>
      </w:r>
      <w:r w:rsidRPr="00E5555B" w:rsidR="00A334B8">
        <w:rPr>
          <w:szCs w:val="22"/>
        </w:rPr>
        <w:t>February</w:t>
      </w:r>
      <w:r w:rsidRPr="00E5555B" w:rsidR="00D57DBC">
        <w:rPr>
          <w:szCs w:val="22"/>
        </w:rPr>
        <w:t xml:space="preserve"> </w:t>
      </w:r>
      <w:r w:rsidRPr="00E5555B" w:rsidR="00A334B8">
        <w:rPr>
          <w:szCs w:val="22"/>
        </w:rPr>
        <w:t>16</w:t>
      </w:r>
      <w:r w:rsidRPr="00E5555B" w:rsidR="00D57DBC">
        <w:rPr>
          <w:szCs w:val="22"/>
        </w:rPr>
        <w:t>, 202</w:t>
      </w:r>
      <w:r w:rsidRPr="00E5555B" w:rsidR="00A334B8">
        <w:rPr>
          <w:szCs w:val="22"/>
        </w:rPr>
        <w:t>3</w:t>
      </w:r>
      <w:r w:rsidRPr="005B7CB8">
        <w:rPr>
          <w:szCs w:val="22"/>
        </w:rPr>
        <w:t>, seeking to renew the Station</w:t>
      </w:r>
      <w:r>
        <w:rPr>
          <w:szCs w:val="22"/>
        </w:rPr>
        <w:t>’</w:t>
      </w:r>
      <w:r w:rsidRPr="005B7CB8">
        <w:rPr>
          <w:szCs w:val="22"/>
        </w:rPr>
        <w:t>s license.</w:t>
      </w:r>
      <w:r w:rsidR="001C21DA">
        <w:rPr>
          <w:szCs w:val="22"/>
        </w:rPr>
        <w:t xml:space="preserve"> </w:t>
      </w:r>
      <w:r w:rsidR="007659CE">
        <w:rPr>
          <w:szCs w:val="22"/>
        </w:rPr>
        <w:t xml:space="preserve"> </w:t>
      </w:r>
      <w:r w:rsidRPr="00E5555B" w:rsidR="00BA23F9">
        <w:rPr>
          <w:szCs w:val="22"/>
        </w:rPr>
        <w:t xml:space="preserve">The Station is currently operating </w:t>
      </w:r>
      <w:r w:rsidRPr="00E5555B" w:rsidR="00AC0745">
        <w:rPr>
          <w:szCs w:val="22"/>
        </w:rPr>
        <w:t>under a</w:t>
      </w:r>
      <w:r w:rsidRPr="00E5555B" w:rsidR="00BB398B">
        <w:rPr>
          <w:szCs w:val="22"/>
        </w:rPr>
        <w:t xml:space="preserve"> </w:t>
      </w:r>
      <w:r>
        <w:rPr>
          <w:szCs w:val="22"/>
        </w:rPr>
        <w:t xml:space="preserve">shortened </w:t>
      </w:r>
      <w:r w:rsidRPr="00E5555B" w:rsidR="00BB398B">
        <w:rPr>
          <w:szCs w:val="22"/>
        </w:rPr>
        <w:t xml:space="preserve">one-year license term that </w:t>
      </w:r>
      <w:r w:rsidRPr="00E5555B">
        <w:rPr>
          <w:szCs w:val="22"/>
        </w:rPr>
        <w:t xml:space="preserve">began on </w:t>
      </w:r>
      <w:r w:rsidRPr="00E5555B" w:rsidR="00EC16C9">
        <w:rPr>
          <w:szCs w:val="22"/>
        </w:rPr>
        <w:t>July</w:t>
      </w:r>
      <w:r w:rsidRPr="00E5555B" w:rsidR="00742CE5">
        <w:rPr>
          <w:szCs w:val="22"/>
        </w:rPr>
        <w:t xml:space="preserve"> </w:t>
      </w:r>
      <w:r w:rsidRPr="00E5555B" w:rsidR="00EC16C9">
        <w:rPr>
          <w:szCs w:val="22"/>
        </w:rPr>
        <w:t>15</w:t>
      </w:r>
      <w:r w:rsidRPr="00E5555B" w:rsidR="00B6746F">
        <w:rPr>
          <w:szCs w:val="22"/>
        </w:rPr>
        <w:t>, 20</w:t>
      </w:r>
      <w:r w:rsidRPr="00E5555B" w:rsidR="00EC16C9">
        <w:rPr>
          <w:szCs w:val="22"/>
        </w:rPr>
        <w:t>22</w:t>
      </w:r>
      <w:r w:rsidRPr="00E5555B">
        <w:rPr>
          <w:szCs w:val="22"/>
        </w:rPr>
        <w:t xml:space="preserve">, and ended on </w:t>
      </w:r>
      <w:r w:rsidRPr="00E5555B" w:rsidR="009D65D6">
        <w:rPr>
          <w:szCs w:val="22"/>
        </w:rPr>
        <w:t>July 15</w:t>
      </w:r>
      <w:r w:rsidRPr="00E5555B" w:rsidR="00742CE5">
        <w:rPr>
          <w:szCs w:val="22"/>
        </w:rPr>
        <w:t>, 202</w:t>
      </w:r>
      <w:r w:rsidRPr="00E5555B" w:rsidR="009D65D6">
        <w:rPr>
          <w:szCs w:val="22"/>
        </w:rPr>
        <w:t>3</w:t>
      </w:r>
      <w:r w:rsidRPr="00E5555B">
        <w:rPr>
          <w:szCs w:val="22"/>
        </w:rPr>
        <w:t>.</w:t>
      </w:r>
      <w:r w:rsidRPr="00E5555B">
        <w:rPr>
          <w:rStyle w:val="FootnoteReference"/>
          <w:rFonts w:eastAsia="Calibri"/>
          <w:sz w:val="22"/>
          <w:szCs w:val="22"/>
        </w:rPr>
        <w:t xml:space="preserve"> </w:t>
      </w:r>
      <w:r>
        <w:rPr>
          <w:rStyle w:val="FootnoteReference"/>
          <w:rFonts w:eastAsia="Calibri"/>
          <w:sz w:val="22"/>
          <w:szCs w:val="22"/>
        </w:rPr>
        <w:footnoteReference w:id="6"/>
      </w:r>
      <w:r>
        <w:rPr>
          <w:szCs w:val="22"/>
        </w:rPr>
        <w:t xml:space="preserve">  </w:t>
      </w:r>
      <w:r w:rsidR="0009401F">
        <w:rPr>
          <w:szCs w:val="22"/>
        </w:rPr>
        <w:t>The Bureau granted Licensee a shortened renewal term because the Station had been silent for extended periods of time during its prior license term.</w:t>
      </w:r>
      <w:r>
        <w:rPr>
          <w:rStyle w:val="FootnoteReference"/>
          <w:szCs w:val="22"/>
        </w:rPr>
        <w:footnoteReference w:id="7"/>
      </w:r>
      <w:r w:rsidR="0009401F">
        <w:rPr>
          <w:szCs w:val="22"/>
        </w:rPr>
        <w:t xml:space="preserve">  During this shortened </w:t>
      </w:r>
      <w:r w:rsidR="0009401F">
        <w:rPr>
          <w:szCs w:val="22"/>
        </w:rPr>
        <w:t>renewal term, t</w:t>
      </w:r>
      <w:r>
        <w:rPr>
          <w:szCs w:val="22"/>
        </w:rPr>
        <w:t xml:space="preserve">he Station was silent for </w:t>
      </w:r>
      <w:r w:rsidRPr="00E5555B" w:rsidR="008E29D7">
        <w:rPr>
          <w:szCs w:val="22"/>
        </w:rPr>
        <w:t>more than</w:t>
      </w:r>
      <w:r w:rsidRPr="00E5555B" w:rsidR="00867F5A">
        <w:rPr>
          <w:szCs w:val="22"/>
        </w:rPr>
        <w:t xml:space="preserve"> </w:t>
      </w:r>
      <w:r w:rsidRPr="00E5555B" w:rsidR="00A43CA6">
        <w:rPr>
          <w:szCs w:val="22"/>
        </w:rPr>
        <w:t>four</w:t>
      </w:r>
      <w:r w:rsidRPr="00E5555B" w:rsidR="00867F5A">
        <w:rPr>
          <w:szCs w:val="22"/>
        </w:rPr>
        <w:t xml:space="preserve"> month</w:t>
      </w:r>
      <w:r w:rsidRPr="00E5555B" w:rsidR="00966C2A">
        <w:rPr>
          <w:szCs w:val="22"/>
        </w:rPr>
        <w:t>s</w:t>
      </w:r>
      <w:r w:rsidR="00A479E1">
        <w:rPr>
          <w:szCs w:val="22"/>
        </w:rPr>
        <w:t>,</w:t>
      </w:r>
      <w:r w:rsidRPr="00E5555B">
        <w:rPr>
          <w:szCs w:val="22"/>
        </w:rPr>
        <w:t xml:space="preserve"> </w:t>
      </w:r>
      <w:r w:rsidRPr="00E5555B" w:rsidR="00693A35">
        <w:rPr>
          <w:szCs w:val="22"/>
        </w:rPr>
        <w:t>from</w:t>
      </w:r>
      <w:r w:rsidRPr="00E5555B" w:rsidR="003E4F6D">
        <w:rPr>
          <w:szCs w:val="22"/>
        </w:rPr>
        <w:t xml:space="preserve"> </w:t>
      </w:r>
      <w:r w:rsidRPr="00E5555B" w:rsidR="003C1E14">
        <w:rPr>
          <w:szCs w:val="22"/>
        </w:rPr>
        <w:t>January 8</w:t>
      </w:r>
      <w:r w:rsidRPr="00E5555B" w:rsidR="003E4F6D">
        <w:rPr>
          <w:szCs w:val="22"/>
        </w:rPr>
        <w:t>, 20</w:t>
      </w:r>
      <w:r w:rsidRPr="00E5555B" w:rsidR="00A7113F">
        <w:rPr>
          <w:szCs w:val="22"/>
        </w:rPr>
        <w:t>2</w:t>
      </w:r>
      <w:r w:rsidRPr="00E5555B" w:rsidR="003C1E14">
        <w:rPr>
          <w:szCs w:val="22"/>
        </w:rPr>
        <w:t>3</w:t>
      </w:r>
      <w:r w:rsidRPr="00E5555B" w:rsidR="003E4F6D">
        <w:rPr>
          <w:szCs w:val="22"/>
        </w:rPr>
        <w:t xml:space="preserve"> to </w:t>
      </w:r>
      <w:r w:rsidRPr="00E5555B" w:rsidR="003C1E14">
        <w:rPr>
          <w:szCs w:val="22"/>
        </w:rPr>
        <w:t>May</w:t>
      </w:r>
      <w:r w:rsidRPr="00E5555B" w:rsidR="003E4F6D">
        <w:rPr>
          <w:szCs w:val="22"/>
        </w:rPr>
        <w:t xml:space="preserve"> </w:t>
      </w:r>
      <w:r w:rsidRPr="00E5555B" w:rsidR="00C1355E">
        <w:rPr>
          <w:szCs w:val="22"/>
        </w:rPr>
        <w:t>2</w:t>
      </w:r>
      <w:r w:rsidRPr="00E5555B" w:rsidR="003C1E14">
        <w:rPr>
          <w:szCs w:val="22"/>
        </w:rPr>
        <w:t>4</w:t>
      </w:r>
      <w:r w:rsidRPr="00E5555B" w:rsidR="003E4F6D">
        <w:rPr>
          <w:szCs w:val="22"/>
        </w:rPr>
        <w:t>, 20</w:t>
      </w:r>
      <w:r w:rsidRPr="00E5555B" w:rsidR="00C028AA">
        <w:rPr>
          <w:szCs w:val="22"/>
        </w:rPr>
        <w:t>2</w:t>
      </w:r>
      <w:r w:rsidRPr="00E5555B" w:rsidR="003C1E14">
        <w:rPr>
          <w:szCs w:val="22"/>
        </w:rPr>
        <w:t>3</w:t>
      </w:r>
      <w:r w:rsidRPr="00E5555B" w:rsidR="008D700E">
        <w:rPr>
          <w:szCs w:val="22"/>
        </w:rPr>
        <w:t>.</w:t>
      </w:r>
      <w:r>
        <w:rPr>
          <w:rStyle w:val="FootnoteReference"/>
          <w:szCs w:val="22"/>
        </w:rPr>
        <w:footnoteReference w:id="8"/>
      </w:r>
      <w:r w:rsidR="00693A35">
        <w:rPr>
          <w:szCs w:val="22"/>
        </w:rPr>
        <w:t xml:space="preserve"> </w:t>
      </w:r>
      <w:r w:rsidR="00CD3FB5">
        <w:rPr>
          <w:szCs w:val="22"/>
        </w:rPr>
        <w:t xml:space="preserve"> </w:t>
      </w:r>
      <w:r w:rsidR="0009401F">
        <w:rPr>
          <w:szCs w:val="22"/>
        </w:rPr>
        <w:t>Licensee explained in the Silent STA Request that the reason for its silence was its transmitter was malfunctioning.</w:t>
      </w:r>
      <w:r>
        <w:rPr>
          <w:rStyle w:val="FootnoteReference"/>
          <w:szCs w:val="22"/>
        </w:rPr>
        <w:footnoteReference w:id="9"/>
      </w:r>
      <w:r w:rsidR="0009401F">
        <w:rPr>
          <w:szCs w:val="22"/>
        </w:rPr>
        <w:t xml:space="preserve">  </w:t>
      </w:r>
      <w:r>
        <w:rPr>
          <w:szCs w:val="22"/>
        </w:rPr>
        <w:t xml:space="preserve">Thus, the Station was silent for </w:t>
      </w:r>
      <w:r w:rsidRPr="0009401F" w:rsidR="00855C00">
        <w:rPr>
          <w:szCs w:val="22"/>
        </w:rPr>
        <w:t>37</w:t>
      </w:r>
      <w:r w:rsidRPr="0009401F">
        <w:rPr>
          <w:szCs w:val="22"/>
        </w:rPr>
        <w:t xml:space="preserve">% of its license term and </w:t>
      </w:r>
      <w:r w:rsidRPr="0009401F" w:rsidR="00855C00">
        <w:rPr>
          <w:szCs w:val="22"/>
        </w:rPr>
        <w:t>27</w:t>
      </w:r>
      <w:r w:rsidRPr="0009401F">
        <w:rPr>
          <w:szCs w:val="22"/>
        </w:rPr>
        <w:t>% of</w:t>
      </w:r>
      <w:r>
        <w:rPr>
          <w:szCs w:val="22"/>
        </w:rPr>
        <w:t xml:space="preserve"> its extended term under section 307(c)(3).</w:t>
      </w:r>
      <w:r>
        <w:rPr>
          <w:rStyle w:val="FootnoteReference"/>
          <w:rFonts w:eastAsia="Calibri"/>
          <w:sz w:val="22"/>
          <w:szCs w:val="22"/>
        </w:rPr>
        <w:footnoteReference w:id="10"/>
      </w:r>
      <w:r w:rsidR="00912FB5">
        <w:rPr>
          <w:szCs w:val="22"/>
        </w:rPr>
        <w:t xml:space="preserve">  </w:t>
      </w:r>
    </w:p>
    <w:p w:rsidR="007043CF" w:rsidRPr="005B7CB8" w:rsidP="00D8387D" w14:paraId="2699BA7C" w14:textId="5E752915">
      <w:pPr>
        <w:tabs>
          <w:tab w:val="left" w:pos="0"/>
        </w:tabs>
        <w:suppressAutoHyphens/>
        <w:spacing w:after="240"/>
        <w:rPr>
          <w:szCs w:val="22"/>
        </w:rPr>
      </w:pPr>
      <w:r>
        <w:rPr>
          <w:szCs w:val="22"/>
        </w:rPr>
        <w:tab/>
      </w:r>
      <w:r w:rsidR="0009401F">
        <w:rPr>
          <w:szCs w:val="22"/>
        </w:rPr>
        <w:t xml:space="preserve">In the Resumption Notice, Licensee disclosed that the Station had resumed operations </w:t>
      </w:r>
      <w:r w:rsidR="009D73F4">
        <w:rPr>
          <w:szCs w:val="22"/>
        </w:rPr>
        <w:t xml:space="preserve">on May 24, 2023 </w:t>
      </w:r>
      <w:r w:rsidR="0009401F">
        <w:rPr>
          <w:szCs w:val="22"/>
        </w:rPr>
        <w:t>at 25% of authorized power</w:t>
      </w:r>
      <w:r w:rsidR="00CA0AE4">
        <w:rPr>
          <w:szCs w:val="22"/>
        </w:rPr>
        <w:t xml:space="preserve"> during the day</w:t>
      </w:r>
      <w:r w:rsidR="00F06803">
        <w:rPr>
          <w:szCs w:val="22"/>
        </w:rPr>
        <w:t>time and was not operating at night</w:t>
      </w:r>
      <w:r w:rsidR="0009401F">
        <w:rPr>
          <w:szCs w:val="22"/>
        </w:rPr>
        <w:t>.</w:t>
      </w:r>
      <w:r>
        <w:rPr>
          <w:rStyle w:val="FootnoteReference"/>
          <w:szCs w:val="22"/>
        </w:rPr>
        <w:footnoteReference w:id="11"/>
      </w:r>
      <w:r w:rsidR="0009401F">
        <w:rPr>
          <w:szCs w:val="22"/>
        </w:rPr>
        <w:t xml:space="preserve">  </w:t>
      </w:r>
      <w:r w:rsidRPr="0009401F" w:rsidR="0009401F">
        <w:rPr>
          <w:color w:val="000000"/>
          <w:shd w:val="clear" w:color="auto" w:fill="FFFFFF"/>
        </w:rPr>
        <w:t xml:space="preserve">Licensee subsequently filed a request for special temporary authority (STA) to operate the Station at reduced power, </w:t>
      </w:r>
      <w:r w:rsidR="00F94A90">
        <w:rPr>
          <w:color w:val="000000"/>
          <w:shd w:val="clear" w:color="auto" w:fill="FFFFFF"/>
        </w:rPr>
        <w:t xml:space="preserve">citing the issues with its transmitter and delays in obtaining parts to repair it, </w:t>
      </w:r>
      <w:r w:rsidRPr="0009401F" w:rsidR="0009401F">
        <w:rPr>
          <w:color w:val="000000"/>
          <w:shd w:val="clear" w:color="auto" w:fill="FFFFFF"/>
        </w:rPr>
        <w:t xml:space="preserve">which the </w:t>
      </w:r>
      <w:r w:rsidRPr="0009401F" w:rsidR="00F94A90">
        <w:rPr>
          <w:color w:val="000000"/>
          <w:shd w:val="clear" w:color="auto" w:fill="FFFFFF"/>
        </w:rPr>
        <w:t>Bureau</w:t>
      </w:r>
      <w:r w:rsidRPr="0009401F" w:rsidR="0009401F">
        <w:rPr>
          <w:color w:val="000000"/>
          <w:shd w:val="clear" w:color="auto" w:fill="FFFFFF"/>
        </w:rPr>
        <w:t xml:space="preserve"> granted on July 20, 2023.</w:t>
      </w:r>
      <w:r>
        <w:rPr>
          <w:rStyle w:val="FootnoteReference"/>
          <w:shd w:val="clear" w:color="auto" w:fill="FFFFFF"/>
        </w:rPr>
        <w:footnoteReference w:id="12"/>
      </w:r>
      <w:r w:rsidRPr="0009401F" w:rsidR="0009401F">
        <w:rPr>
          <w:color w:val="000000"/>
          <w:shd w:val="clear" w:color="auto" w:fill="FFFFFF"/>
        </w:rPr>
        <w:t xml:space="preserve"> </w:t>
      </w:r>
      <w:r w:rsidR="00B71C7F">
        <w:rPr>
          <w:color w:val="000000"/>
          <w:shd w:val="clear" w:color="auto" w:fill="FFFFFF"/>
        </w:rPr>
        <w:t xml:space="preserve"> </w:t>
      </w:r>
      <w:r w:rsidRPr="0009401F" w:rsidR="00481BBC">
        <w:rPr>
          <w:szCs w:val="22"/>
        </w:rPr>
        <w:t>Thus</w:t>
      </w:r>
      <w:r w:rsidRPr="0009401F" w:rsidR="00481BBC">
        <w:rPr>
          <w:color w:val="000000"/>
          <w:shd w:val="clear" w:color="auto" w:fill="FFFFFF"/>
        </w:rPr>
        <w:t>, from May 24, 2023 to July 20, 2023, the Station operated at reduced power without authorization from the Commission.</w:t>
      </w:r>
      <w:r>
        <w:rPr>
          <w:rStyle w:val="FootnoteReference"/>
          <w:shd w:val="clear" w:color="auto" w:fill="FFFFFF"/>
        </w:rPr>
        <w:footnoteReference w:id="13"/>
      </w:r>
      <w:r w:rsidRPr="0009401F" w:rsidR="00481BBC">
        <w:rPr>
          <w:color w:val="000000"/>
          <w:shd w:val="clear" w:color="auto" w:fill="FFFFFF"/>
        </w:rPr>
        <w:t xml:space="preserve">  </w:t>
      </w:r>
      <w:r w:rsidR="00621E39">
        <w:rPr>
          <w:color w:val="000000"/>
          <w:shd w:val="clear" w:color="auto" w:fill="FFFFFF"/>
        </w:rPr>
        <w:t>Based upon Licensee’s certifications and statements in the Resumption Notice and the July 2023 STA Request</w:t>
      </w:r>
      <w:r w:rsidR="00AB5ADA">
        <w:rPr>
          <w:color w:val="000000"/>
          <w:shd w:val="clear" w:color="auto" w:fill="FFFFFF"/>
        </w:rPr>
        <w:t>, t</w:t>
      </w:r>
      <w:r w:rsidRPr="0009401F" w:rsidR="00AC43FA">
        <w:rPr>
          <w:color w:val="000000"/>
          <w:shd w:val="clear" w:color="auto" w:fill="FFFFFF"/>
        </w:rPr>
        <w:t>he Station continues to operate</w:t>
      </w:r>
      <w:r w:rsidR="00862D18">
        <w:rPr>
          <w:color w:val="000000"/>
          <w:shd w:val="clear" w:color="auto" w:fill="FFFFFF"/>
        </w:rPr>
        <w:t xml:space="preserve"> during the day</w:t>
      </w:r>
      <w:r w:rsidRPr="0009401F" w:rsidR="00AC43FA">
        <w:rPr>
          <w:color w:val="000000"/>
          <w:shd w:val="clear" w:color="auto" w:fill="FFFFFF"/>
        </w:rPr>
        <w:t xml:space="preserve"> at 25% of </w:t>
      </w:r>
      <w:r w:rsidRPr="0009401F" w:rsidR="00082CE5">
        <w:rPr>
          <w:color w:val="000000"/>
          <w:shd w:val="clear" w:color="auto" w:fill="FFFFFF"/>
        </w:rPr>
        <w:t>its licensed power level</w:t>
      </w:r>
      <w:r w:rsidRPr="0009401F" w:rsidR="00912FB5">
        <w:rPr>
          <w:color w:val="000000"/>
          <w:shd w:val="clear" w:color="auto" w:fill="FFFFFF"/>
        </w:rPr>
        <w:t xml:space="preserve"> pursuant to </w:t>
      </w:r>
      <w:r w:rsidRPr="0009401F" w:rsidR="00FC7792">
        <w:rPr>
          <w:color w:val="000000"/>
          <w:shd w:val="clear" w:color="auto" w:fill="FFFFFF"/>
        </w:rPr>
        <w:t>STA</w:t>
      </w:r>
      <w:r w:rsidR="003B5012">
        <w:rPr>
          <w:color w:val="000000"/>
          <w:shd w:val="clear" w:color="auto" w:fill="FFFFFF"/>
        </w:rPr>
        <w:t>, and does not operate at night</w:t>
      </w:r>
      <w:r w:rsidR="003727A5">
        <w:rPr>
          <w:color w:val="000000"/>
          <w:shd w:val="clear" w:color="auto" w:fill="FFFFFF"/>
        </w:rPr>
        <w:t>, even though the Station is a Class</w:t>
      </w:r>
      <w:r w:rsidR="00332BB0">
        <w:rPr>
          <w:color w:val="000000"/>
          <w:shd w:val="clear" w:color="auto" w:fill="FFFFFF"/>
        </w:rPr>
        <w:t xml:space="preserve"> C</w:t>
      </w:r>
      <w:r w:rsidR="003727A5">
        <w:rPr>
          <w:color w:val="000000"/>
          <w:shd w:val="clear" w:color="auto" w:fill="FFFFFF"/>
        </w:rPr>
        <w:t xml:space="preserve"> station operating on a local channel and there</w:t>
      </w:r>
      <w:r w:rsidR="00332BB0">
        <w:rPr>
          <w:color w:val="000000"/>
          <w:shd w:val="clear" w:color="auto" w:fill="FFFFFF"/>
        </w:rPr>
        <w:t>fore</w:t>
      </w:r>
      <w:r w:rsidR="003727A5">
        <w:rPr>
          <w:color w:val="000000"/>
          <w:shd w:val="clear" w:color="auto" w:fill="FFFFFF"/>
        </w:rPr>
        <w:t xml:space="preserve"> required to operate unlimited time.</w:t>
      </w:r>
      <w:r>
        <w:rPr>
          <w:rStyle w:val="FootnoteReference"/>
          <w:shd w:val="clear" w:color="auto" w:fill="FFFFFF"/>
        </w:rPr>
        <w:footnoteReference w:id="14"/>
      </w:r>
    </w:p>
    <w:p w:rsidR="0009401F" w:rsidP="007043CF" w14:paraId="57EDBBFB" w14:textId="77777777">
      <w:pPr>
        <w:tabs>
          <w:tab w:val="left" w:pos="0"/>
        </w:tabs>
        <w:suppressAutoHyphens/>
        <w:spacing w:after="240"/>
      </w:pPr>
      <w:r>
        <w:rPr>
          <w:szCs w:val="22"/>
        </w:rPr>
        <w:tab/>
      </w:r>
      <w:r w:rsidRPr="00756029">
        <w:rPr>
          <w:b/>
          <w:szCs w:val="22"/>
        </w:rPr>
        <w:t xml:space="preserve">Discussion.  </w:t>
      </w:r>
      <w:r w:rsidRPr="00617708">
        <w:t xml:space="preserve">Silence instead of operation </w:t>
      </w:r>
      <w:r>
        <w:t xml:space="preserve">in accordance with a station’s FCC authorization </w:t>
      </w:r>
      <w:r w:rsidRPr="00617708">
        <w:t xml:space="preserve">is a fundamental failure to serve </w:t>
      </w:r>
      <w:r>
        <w:t xml:space="preserve">a broadcast </w:t>
      </w:r>
      <w:r w:rsidRPr="00617708">
        <w:t>station’s community of license, because a silent station offers that community no public service programming such as news, public affairs, weather information, and Emergency Alert System notifications.  Moreover, brief periods of station operation sandwiched between prolonged periods of silence are of little value because the local audience is not accustomed to tuning into the station’s frequency.</w:t>
      </w:r>
      <w:r>
        <w:rPr>
          <w:rStyle w:val="FootnoteReference"/>
          <w:rFonts w:eastAsia="Calibri"/>
          <w:sz w:val="22"/>
        </w:rPr>
        <w:footnoteReference w:id="15"/>
      </w:r>
      <w:r w:rsidR="0070589A">
        <w:t xml:space="preserve"> </w:t>
      </w:r>
    </w:p>
    <w:p w:rsidR="007043CF" w:rsidP="007043CF" w14:paraId="7293EF80" w14:textId="75A16B8D">
      <w:pPr>
        <w:tabs>
          <w:tab w:val="left" w:pos="0"/>
        </w:tabs>
        <w:suppressAutoHyphens/>
        <w:spacing w:after="240"/>
      </w:pPr>
      <w:r>
        <w:tab/>
      </w:r>
      <w:r w:rsidRPr="004C1A4E" w:rsidR="0070589A">
        <w:t>In addition</w:t>
      </w:r>
      <w:r w:rsidRPr="004C1A4E" w:rsidR="00F420D1">
        <w:t>, operating at a reduced power level without authorization from the Commission</w:t>
      </w:r>
      <w:r w:rsidRPr="004C1A4E" w:rsidR="006839A3">
        <w:t xml:space="preserve"> is a violation of </w:t>
      </w:r>
      <w:r w:rsidRPr="004C1A4E" w:rsidR="00A61AB8">
        <w:t>section 301 of the Act, and sections 73.1350, 73.1560(a)(1), 73.1635,</w:t>
      </w:r>
      <w:r w:rsidRPr="004C1A4E" w:rsidR="00765A7F">
        <w:t xml:space="preserve"> 73.1690(b)(5)</w:t>
      </w:r>
      <w:r w:rsidRPr="004C1A4E" w:rsidR="00A61AB8">
        <w:t xml:space="preserve"> and 73.1745(a) of the</w:t>
      </w:r>
      <w:r w:rsidR="004C1A4E">
        <w:t xml:space="preserve"> Rules</w:t>
      </w:r>
      <w:r w:rsidRPr="004C1A4E" w:rsidR="00E740AC">
        <w:t>.</w:t>
      </w:r>
      <w:r>
        <w:rPr>
          <w:rStyle w:val="FootnoteReference"/>
        </w:rPr>
        <w:footnoteReference w:id="16"/>
      </w:r>
      <w:r w:rsidRPr="004C1A4E" w:rsidR="00C050E2">
        <w:t xml:space="preserve"> </w:t>
      </w:r>
      <w:r w:rsidRPr="004C1A4E" w:rsidR="00BC5E05">
        <w:t xml:space="preserve"> </w:t>
      </w:r>
      <w:r w:rsidRPr="004C1A4E" w:rsidR="00C050E2">
        <w:t xml:space="preserve">Section 73.1745(a) of the Rules requires licensees to operate pursuant to the </w:t>
      </w:r>
      <w:r w:rsidRPr="004C1A4E" w:rsidR="00C050E2">
        <w:t>terms contained in their authorizations.</w:t>
      </w:r>
      <w:r w:rsidRPr="004C1A4E" w:rsidR="00BC5E05">
        <w:t xml:space="preserve">  In order for a station to operate at a variance from such terms, the licensee must file and have been granted either an application to modify its station authorization or a request for STA.</w:t>
      </w:r>
      <w:r>
        <w:rPr>
          <w:rStyle w:val="FootnoteReference"/>
        </w:rPr>
        <w:footnoteReference w:id="17"/>
      </w:r>
      <w:r w:rsidRPr="004C1A4E" w:rsidR="0050197A">
        <w:t xml:space="preserve"> </w:t>
      </w:r>
      <w:r w:rsidRPr="004C1A4E" w:rsidR="004A780A">
        <w:t xml:space="preserve"> </w:t>
      </w:r>
      <w:r w:rsidRPr="004C1A4E" w:rsidR="0050197A">
        <w:t xml:space="preserve">In this case, the </w:t>
      </w:r>
      <w:r w:rsidRPr="004C1A4E" w:rsidR="00BA189C">
        <w:t>Station operat</w:t>
      </w:r>
      <w:r w:rsidR="0087239D">
        <w:t>ed</w:t>
      </w:r>
      <w:r w:rsidRPr="004C1A4E" w:rsidR="00BA189C">
        <w:t xml:space="preserve"> at an unauthorized reduced power level for </w:t>
      </w:r>
      <w:r w:rsidRPr="004C1A4E" w:rsidR="003226B4">
        <w:t>nearly two months before it obtained STA to operate at a reduced</w:t>
      </w:r>
      <w:r w:rsidRPr="004C1A4E" w:rsidR="004A780A">
        <w:t xml:space="preserve"> power level.</w:t>
      </w:r>
      <w:r w:rsidR="004C1A4E">
        <w:t xml:space="preserve">  Additionally, operating at reduced power for extended periods, even when authorized, is not in the public interest because the station may not serve its community of license.</w:t>
      </w:r>
      <w:r>
        <w:rPr>
          <w:rStyle w:val="FootnoteReference"/>
        </w:rPr>
        <w:footnoteReference w:id="18"/>
      </w:r>
      <w:r w:rsidR="004C1A4E">
        <w:t xml:space="preserve"> </w:t>
      </w:r>
    </w:p>
    <w:p w:rsidR="007043CF" w:rsidP="007043CF" w14:paraId="3057F424" w14:textId="77777777">
      <w:pPr>
        <w:tabs>
          <w:tab w:val="left" w:pos="0"/>
        </w:tabs>
        <w:suppressAutoHyphens/>
        <w:spacing w:after="240"/>
        <w:rPr>
          <w:b/>
          <w:szCs w:val="22"/>
        </w:rPr>
      </w:pPr>
      <w:r>
        <w:tab/>
      </w:r>
      <w:r>
        <w:rPr>
          <w:szCs w:val="22"/>
        </w:rPr>
        <w:t>The basic duty of broadcast licensees to serve their communities is reflected in</w:t>
      </w:r>
      <w:r w:rsidRPr="00617708">
        <w:t xml:space="preserve"> </w:t>
      </w:r>
      <w:r>
        <w:t>s</w:t>
      </w:r>
      <w:r w:rsidRPr="00617708">
        <w:t>ection 309(k) of the Act.</w:t>
      </w:r>
      <w:r>
        <w:rPr>
          <w:szCs w:val="22"/>
          <w:vertAlign w:val="superscript"/>
        </w:rPr>
        <w:footnoteReference w:id="19"/>
      </w:r>
      <w:r w:rsidRPr="00617708">
        <w:t xml:space="preserve">  That </w:t>
      </w:r>
      <w:r>
        <w:t>s</w:t>
      </w:r>
      <w:r w:rsidRPr="00617708">
        <w:t xml:space="preserve">ection provides that if, upon consideration of </w:t>
      </w:r>
      <w:r>
        <w:t>a station’s</w:t>
      </w:r>
      <w:r w:rsidRPr="00617708">
        <w:t xml:space="preserve"> </w:t>
      </w:r>
      <w:r>
        <w:t xml:space="preserve">license renewal </w:t>
      </w:r>
      <w:r w:rsidRPr="00617708">
        <w:t xml:space="preserve">application and </w:t>
      </w:r>
      <w:r>
        <w:t xml:space="preserve">related </w:t>
      </w:r>
      <w:r w:rsidRPr="00617708">
        <w:t xml:space="preserve">pleadings, we find that (1) the station has served the public interest, convenience, and necessity; (2) there have been no serious violations of the Act or the </w:t>
      </w:r>
      <w:r>
        <w:t>r</w:t>
      </w:r>
      <w:r w:rsidRPr="00617708">
        <w:t>ules; and (3) there have been no other violations which, taken together, constitute a pattern of abuse, we are to grant the renewal application.</w:t>
      </w:r>
      <w:r>
        <w:rPr>
          <w:szCs w:val="22"/>
          <w:vertAlign w:val="superscript"/>
        </w:rPr>
        <w:footnoteReference w:id="20"/>
      </w:r>
      <w:r w:rsidRPr="00617708">
        <w:t xml:space="preserve"> </w:t>
      </w:r>
      <w:r w:rsidRPr="00617708">
        <w:rPr>
          <w:i/>
        </w:rPr>
        <w:t xml:space="preserve"> </w:t>
      </w:r>
      <w:r w:rsidRPr="00617708">
        <w:t>If, however, the licensee fails to meet that standard, the Commission may deny the application</w:t>
      </w:r>
      <w:r>
        <w:t xml:space="preserve"> </w:t>
      </w:r>
      <w:r w:rsidRPr="00617708">
        <w:t>–</w:t>
      </w:r>
      <w:r>
        <w:t xml:space="preserve"> </w:t>
      </w:r>
      <w:r w:rsidRPr="00617708">
        <w:t xml:space="preserve">after notice and opportunity for a hearing under </w:t>
      </w:r>
      <w:r>
        <w:t>s</w:t>
      </w:r>
      <w:r w:rsidRPr="00617708">
        <w:t>ection 309(e) of the Act</w:t>
      </w:r>
      <w:r>
        <w:t xml:space="preserve"> </w:t>
      </w:r>
      <w:r w:rsidRPr="00617708">
        <w:t>–</w:t>
      </w:r>
      <w:r>
        <w:t xml:space="preserve"> </w:t>
      </w:r>
      <w:r w:rsidRPr="00617708">
        <w:t>or grant the application “on terms and conditions that are appropriate, including a renewal for a term less than the maximum otherwise permitted.”</w:t>
      </w:r>
      <w:r>
        <w:rPr>
          <w:szCs w:val="22"/>
          <w:vertAlign w:val="superscript"/>
        </w:rPr>
        <w:footnoteReference w:id="21"/>
      </w:r>
    </w:p>
    <w:p w:rsidR="007043CF" w:rsidRPr="00617708" w:rsidP="00A479E1" w14:paraId="393DDF9F" w14:textId="6402A8E5">
      <w:pPr>
        <w:tabs>
          <w:tab w:val="left" w:pos="0"/>
        </w:tabs>
        <w:suppressAutoHyphens/>
        <w:spacing w:after="240"/>
        <w:rPr>
          <w:i/>
        </w:rPr>
      </w:pPr>
      <w:r>
        <w:rPr>
          <w:szCs w:val="22"/>
        </w:rPr>
        <w:tab/>
      </w:r>
      <w:r w:rsidRPr="00617708">
        <w:rPr>
          <w:szCs w:val="22"/>
        </w:rPr>
        <w:t>In 2001, the Commission cautioned “all licensees that . . . a licensee will face a very heavy burden in demonstrating that it has served the public interest where it has remained silent for most or all of the prior license term.”</w:t>
      </w:r>
      <w:r>
        <w:rPr>
          <w:szCs w:val="22"/>
          <w:vertAlign w:val="superscript"/>
        </w:rPr>
        <w:footnoteReference w:id="22"/>
      </w:r>
      <w:r w:rsidRPr="00617708">
        <w:rPr>
          <w:szCs w:val="22"/>
        </w:rPr>
        <w:t xml:space="preserve">  </w:t>
      </w:r>
      <w:r>
        <w:rPr>
          <w:szCs w:val="22"/>
        </w:rPr>
        <w:t xml:space="preserve">It also </w:t>
      </w:r>
      <w:r w:rsidRPr="00617708">
        <w:rPr>
          <w:szCs w:val="22"/>
        </w:rPr>
        <w:t xml:space="preserve">acknowledged the agency’s longstanding policy to encourage stations </w:t>
      </w:r>
      <w:r w:rsidRPr="00617708">
        <w:rPr>
          <w:szCs w:val="22"/>
        </w:rPr>
        <w:t>to resume broadcast operations</w:t>
      </w:r>
      <w:r>
        <w:rPr>
          <w:szCs w:val="22"/>
        </w:rPr>
        <w:t xml:space="preserve"> when license renewal applications were pending</w:t>
      </w:r>
      <w:r w:rsidRPr="00617708">
        <w:rPr>
          <w:szCs w:val="22"/>
        </w:rPr>
        <w:t xml:space="preserve">.  However, the Commission noted that </w:t>
      </w:r>
      <w:r>
        <w:rPr>
          <w:szCs w:val="22"/>
        </w:rPr>
        <w:t>s</w:t>
      </w:r>
      <w:r w:rsidRPr="00617708">
        <w:rPr>
          <w:szCs w:val="22"/>
        </w:rPr>
        <w:t>ection 309(k)(1) applies a “backwards-looking standard” that does not give any weight to efforts to return a station to full-time operation in the future.</w:t>
      </w:r>
      <w:r>
        <w:rPr>
          <w:szCs w:val="22"/>
          <w:vertAlign w:val="superscript"/>
        </w:rPr>
        <w:footnoteReference w:id="23"/>
      </w:r>
      <w:r w:rsidRPr="00617708">
        <w:rPr>
          <w:szCs w:val="22"/>
        </w:rPr>
        <w:t xml:space="preserve">  The Commission held that denial of the renewal application of the station in question in</w:t>
      </w:r>
      <w:r w:rsidR="00C96C75">
        <w:rPr>
          <w:szCs w:val="22"/>
        </w:rPr>
        <w:t xml:space="preserve"> the</w:t>
      </w:r>
      <w:r w:rsidRPr="00617708">
        <w:rPr>
          <w:szCs w:val="22"/>
        </w:rPr>
        <w:t xml:space="preserve"> </w:t>
      </w:r>
      <w:r w:rsidRPr="00617708">
        <w:rPr>
          <w:i/>
          <w:szCs w:val="22"/>
        </w:rPr>
        <w:t>Birach</w:t>
      </w:r>
      <w:r w:rsidR="00A03E2D">
        <w:rPr>
          <w:i/>
          <w:szCs w:val="22"/>
        </w:rPr>
        <w:t xml:space="preserve"> </w:t>
      </w:r>
      <w:bookmarkStart w:id="7" w:name="_Hlk153369575"/>
      <w:r w:rsidR="00A03E2D">
        <w:rPr>
          <w:i/>
          <w:szCs w:val="22"/>
        </w:rPr>
        <w:t>2001 Order</w:t>
      </w:r>
      <w:r w:rsidRPr="00617708">
        <w:rPr>
          <w:szCs w:val="22"/>
        </w:rPr>
        <w:t xml:space="preserve"> </w:t>
      </w:r>
      <w:bookmarkEnd w:id="7"/>
      <w:r w:rsidRPr="00617708">
        <w:rPr>
          <w:szCs w:val="22"/>
        </w:rPr>
        <w:t xml:space="preserve">would be fundamentally unfair because the Commission had not provided sufficient notice of the effect the </w:t>
      </w:r>
      <w:r>
        <w:rPr>
          <w:szCs w:val="22"/>
        </w:rPr>
        <w:t>s</w:t>
      </w:r>
      <w:r w:rsidRPr="00617708">
        <w:rPr>
          <w:szCs w:val="22"/>
        </w:rPr>
        <w:t>ection 309(k)(1) standard would have on silent stations.</w:t>
      </w:r>
      <w:r>
        <w:rPr>
          <w:szCs w:val="22"/>
          <w:vertAlign w:val="superscript"/>
        </w:rPr>
        <w:footnoteReference w:id="24"/>
      </w:r>
      <w:r w:rsidRPr="00617708">
        <w:rPr>
          <w:szCs w:val="22"/>
        </w:rPr>
        <w:t xml:space="preserve">  Since the issuance of the </w:t>
      </w:r>
      <w:r w:rsidRPr="00617708">
        <w:rPr>
          <w:i/>
          <w:szCs w:val="22"/>
        </w:rPr>
        <w:t>Birach</w:t>
      </w:r>
      <w:r w:rsidRPr="00617708">
        <w:rPr>
          <w:szCs w:val="22"/>
        </w:rPr>
        <w:t xml:space="preserve"> </w:t>
      </w:r>
      <w:r w:rsidR="00A03E2D">
        <w:rPr>
          <w:i/>
          <w:szCs w:val="22"/>
        </w:rPr>
        <w:t>2001 Order</w:t>
      </w:r>
      <w:r w:rsidRPr="00617708">
        <w:rPr>
          <w:szCs w:val="22"/>
        </w:rPr>
        <w:t>, licensees</w:t>
      </w:r>
      <w:r w:rsidR="00F02507">
        <w:rPr>
          <w:szCs w:val="22"/>
        </w:rPr>
        <w:t xml:space="preserve">, and particularly this </w:t>
      </w:r>
      <w:r w:rsidR="006C41F8">
        <w:rPr>
          <w:szCs w:val="22"/>
        </w:rPr>
        <w:t>L</w:t>
      </w:r>
      <w:r w:rsidR="00F02507">
        <w:rPr>
          <w:szCs w:val="22"/>
        </w:rPr>
        <w:t>icensee that was the subject of the 2001 Order,</w:t>
      </w:r>
      <w:r w:rsidRPr="00617708">
        <w:rPr>
          <w:szCs w:val="22"/>
        </w:rPr>
        <w:t xml:space="preserve"> have been on notice as to how </w:t>
      </w:r>
      <w:r>
        <w:rPr>
          <w:szCs w:val="22"/>
        </w:rPr>
        <w:t>s</w:t>
      </w:r>
      <w:r w:rsidRPr="00617708">
        <w:rPr>
          <w:szCs w:val="22"/>
        </w:rPr>
        <w:t>ection 309(k)(1) applies to silent stations.</w:t>
      </w:r>
    </w:p>
    <w:p w:rsidR="00F5290C" w:rsidRPr="00B3756F" w:rsidP="00F740DF" w14:paraId="430FEEF8" w14:textId="471FBA8F">
      <w:pPr>
        <w:tabs>
          <w:tab w:val="num" w:pos="1080"/>
          <w:tab w:val="left" w:pos="1440"/>
          <w:tab w:val="num" w:pos="1620"/>
          <w:tab w:val="num" w:pos="1674"/>
        </w:tabs>
        <w:spacing w:after="240"/>
        <w:ind w:firstLine="720"/>
        <w:rPr>
          <w:color w:val="000000"/>
          <w:shd w:val="clear" w:color="auto" w:fill="FFFFFF"/>
        </w:rPr>
      </w:pPr>
      <w:r w:rsidRPr="00617708">
        <w:rPr>
          <w:szCs w:val="22"/>
        </w:rPr>
        <w:t xml:space="preserve">In this case, </w:t>
      </w:r>
      <w:r>
        <w:rPr>
          <w:szCs w:val="22"/>
        </w:rPr>
        <w:t xml:space="preserve">Licensee’s </w:t>
      </w:r>
      <w:r w:rsidRPr="00617708">
        <w:rPr>
          <w:szCs w:val="22"/>
        </w:rPr>
        <w:t xml:space="preserve">conduct has </w:t>
      </w:r>
      <w:r w:rsidR="00F02507">
        <w:rPr>
          <w:szCs w:val="22"/>
        </w:rPr>
        <w:t xml:space="preserve">repeatedly </w:t>
      </w:r>
      <w:r w:rsidRPr="00617708">
        <w:rPr>
          <w:szCs w:val="22"/>
        </w:rPr>
        <w:t xml:space="preserve">fallen short of that which would warrant routine license renewal.  </w:t>
      </w:r>
      <w:r>
        <w:rPr>
          <w:szCs w:val="22"/>
        </w:rPr>
        <w:t xml:space="preserve">Licensee’s </w:t>
      </w:r>
      <w:r w:rsidRPr="00617708">
        <w:rPr>
          <w:color w:val="000000"/>
          <w:shd w:val="clear" w:color="auto" w:fill="FFFFFF"/>
        </w:rPr>
        <w:t>stewardship of the Station fails to meet the public service commitment which licensees are expected to provide to their communities of license on a daily basis because</w:t>
      </w:r>
      <w:r w:rsidRPr="00617708">
        <w:rPr>
          <w:szCs w:val="22"/>
        </w:rPr>
        <w:t xml:space="preserve"> the Station w</w:t>
      </w:r>
      <w:r>
        <w:rPr>
          <w:szCs w:val="22"/>
        </w:rPr>
        <w:t>as</w:t>
      </w:r>
      <w:r w:rsidRPr="00617708">
        <w:rPr>
          <w:szCs w:val="22"/>
        </w:rPr>
        <w:t xml:space="preserve"> </w:t>
      </w:r>
      <w:r w:rsidRPr="00B3756F">
        <w:rPr>
          <w:szCs w:val="22"/>
        </w:rPr>
        <w:t>silent for a significant portion of the license term</w:t>
      </w:r>
      <w:r w:rsidRPr="00B3756F" w:rsidR="002B1C64">
        <w:rPr>
          <w:szCs w:val="22"/>
        </w:rPr>
        <w:t xml:space="preserve"> and operated at reduced power for a significant period of time without Commission authorization</w:t>
      </w:r>
      <w:r w:rsidRPr="00B3756F">
        <w:rPr>
          <w:szCs w:val="22"/>
        </w:rPr>
        <w:t>.</w:t>
      </w:r>
      <w:bookmarkStart w:id="8" w:name="FN[FN50]"/>
      <w:bookmarkEnd w:id="8"/>
      <w:r>
        <w:rPr>
          <w:rStyle w:val="FootnoteReference"/>
          <w:rFonts w:eastAsia="Calibri"/>
          <w:sz w:val="22"/>
          <w:szCs w:val="22"/>
        </w:rPr>
        <w:footnoteReference w:id="25"/>
      </w:r>
      <w:r w:rsidRPr="00B3756F">
        <w:rPr>
          <w:color w:val="000000"/>
          <w:shd w:val="clear" w:color="auto" w:fill="FFFFFF"/>
        </w:rPr>
        <w:t xml:space="preserve">  </w:t>
      </w:r>
    </w:p>
    <w:p w:rsidR="00F375AD" w:rsidP="00CF7250" w14:paraId="4575BC63" w14:textId="7A04CC18">
      <w:pPr>
        <w:widowControl/>
        <w:tabs>
          <w:tab w:val="num" w:pos="1080"/>
          <w:tab w:val="left" w:pos="1440"/>
          <w:tab w:val="num" w:pos="1620"/>
          <w:tab w:val="num" w:pos="1674"/>
        </w:tabs>
        <w:spacing w:after="240"/>
        <w:ind w:firstLine="720"/>
        <w:rPr>
          <w:color w:val="000000"/>
          <w:shd w:val="clear" w:color="auto" w:fill="FFFFFF"/>
        </w:rPr>
      </w:pPr>
      <w:r w:rsidRPr="00B3756F">
        <w:rPr>
          <w:color w:val="000000"/>
          <w:shd w:val="clear" w:color="auto" w:fill="FFFFFF"/>
        </w:rPr>
        <w:t>On the facts presented here, we conclude that a short-term license renewal for the Station is the appropriate sanction.</w:t>
      </w:r>
      <w:r w:rsidRPr="00B3756F">
        <w:rPr>
          <w:szCs w:val="22"/>
        </w:rPr>
        <w:t xml:space="preserve">  Although the </w:t>
      </w:r>
      <w:r w:rsidR="00A479E1">
        <w:rPr>
          <w:szCs w:val="22"/>
        </w:rPr>
        <w:t>Licensee did seek and obtain</w:t>
      </w:r>
      <w:r w:rsidRPr="00B3756F">
        <w:rPr>
          <w:bCs/>
          <w:color w:val="000000"/>
          <w:shd w:val="clear" w:color="auto" w:fill="FFFFFF"/>
        </w:rPr>
        <w:t xml:space="preserve"> Commission authorization for </w:t>
      </w:r>
      <w:r w:rsidRPr="00B3756F">
        <w:rPr>
          <w:bCs/>
        </w:rPr>
        <w:t>the period of silence</w:t>
      </w:r>
      <w:r w:rsidRPr="00B3756F">
        <w:rPr>
          <w:szCs w:val="22"/>
        </w:rPr>
        <w:t>, w</w:t>
      </w:r>
      <w:r w:rsidRPr="00B3756F">
        <w:rPr>
          <w:color w:val="000000"/>
          <w:shd w:val="clear" w:color="auto" w:fill="FFFFFF"/>
        </w:rPr>
        <w:t>e cannot find that the Station served the public interest, convenience and necessity during the license term due to the extended period of non-operation</w:t>
      </w:r>
      <w:r w:rsidRPr="00B3756F" w:rsidR="003E2BAC">
        <w:rPr>
          <w:color w:val="000000"/>
          <w:shd w:val="clear" w:color="auto" w:fill="FFFFFF"/>
        </w:rPr>
        <w:t xml:space="preserve"> and the extended period of operation at reduced power without authorization from the Commission</w:t>
      </w:r>
      <w:r w:rsidRPr="00B3756F" w:rsidR="00912FB5">
        <w:rPr>
          <w:color w:val="000000"/>
          <w:shd w:val="clear" w:color="auto" w:fill="FFFFFF"/>
        </w:rPr>
        <w:t>.</w:t>
      </w:r>
      <w:r w:rsidRPr="00B3756F" w:rsidR="00E918BF">
        <w:rPr>
          <w:color w:val="000000"/>
          <w:shd w:val="clear" w:color="auto" w:fill="FFFFFF"/>
        </w:rPr>
        <w:t xml:space="preserve">  </w:t>
      </w:r>
      <w:r w:rsidRPr="00B3756F" w:rsidR="00D25F90">
        <w:rPr>
          <w:color w:val="000000"/>
          <w:shd w:val="clear" w:color="auto" w:fill="FFFFFF"/>
        </w:rPr>
        <w:t xml:space="preserve">While the usual sanction for </w:t>
      </w:r>
      <w:r w:rsidRPr="00B3756F" w:rsidR="00485B27">
        <w:rPr>
          <w:color w:val="000000"/>
          <w:shd w:val="clear" w:color="auto" w:fill="FFFFFF"/>
        </w:rPr>
        <w:t xml:space="preserve">unauthorized reduced power operation is a Notice of Apparent Liability </w:t>
      </w:r>
      <w:r w:rsidRPr="00B3756F" w:rsidR="000B2063">
        <w:rPr>
          <w:color w:val="000000"/>
          <w:shd w:val="clear" w:color="auto" w:fill="FFFFFF"/>
        </w:rPr>
        <w:t>for forfeiture,</w:t>
      </w:r>
      <w:r>
        <w:rPr>
          <w:rStyle w:val="FootnoteReference"/>
          <w:shd w:val="clear" w:color="auto" w:fill="FFFFFF"/>
        </w:rPr>
        <w:footnoteReference w:id="26"/>
      </w:r>
      <w:r w:rsidRPr="00B3756F" w:rsidR="000B2063">
        <w:rPr>
          <w:color w:val="000000"/>
          <w:shd w:val="clear" w:color="auto" w:fill="FFFFFF"/>
        </w:rPr>
        <w:t xml:space="preserve"> in this case</w:t>
      </w:r>
      <w:r w:rsidRPr="00B3756F" w:rsidR="00AD025E">
        <w:rPr>
          <w:color w:val="000000"/>
          <w:shd w:val="clear" w:color="auto" w:fill="FFFFFF"/>
        </w:rPr>
        <w:t xml:space="preserve"> the Licensee </w:t>
      </w:r>
      <w:r w:rsidRPr="00B3756F" w:rsidR="00FF7EB6">
        <w:rPr>
          <w:color w:val="000000"/>
          <w:shd w:val="clear" w:color="auto" w:fill="FFFFFF"/>
        </w:rPr>
        <w:t xml:space="preserve">notified the </w:t>
      </w:r>
      <w:r w:rsidRPr="00B3756F" w:rsidR="00FF7EB6">
        <w:rPr>
          <w:color w:val="000000"/>
          <w:shd w:val="clear" w:color="auto" w:fill="FFFFFF"/>
        </w:rPr>
        <w:t xml:space="preserve">Commission </w:t>
      </w:r>
      <w:r w:rsidRPr="00B3756F" w:rsidR="00003E0B">
        <w:rPr>
          <w:color w:val="000000"/>
          <w:shd w:val="clear" w:color="auto" w:fill="FFFFFF"/>
        </w:rPr>
        <w:t xml:space="preserve">when it began operating at </w:t>
      </w:r>
      <w:r w:rsidR="004A109F">
        <w:rPr>
          <w:color w:val="000000"/>
          <w:shd w:val="clear" w:color="auto" w:fill="FFFFFF"/>
        </w:rPr>
        <w:t>reduced</w:t>
      </w:r>
      <w:r w:rsidRPr="00B3756F" w:rsidR="00003E0B">
        <w:rPr>
          <w:color w:val="000000"/>
          <w:shd w:val="clear" w:color="auto" w:fill="FFFFFF"/>
        </w:rPr>
        <w:t xml:space="preserve"> power,</w:t>
      </w:r>
      <w:r>
        <w:rPr>
          <w:rStyle w:val="FootnoteReference"/>
          <w:shd w:val="clear" w:color="auto" w:fill="FFFFFF"/>
        </w:rPr>
        <w:footnoteReference w:id="27"/>
      </w:r>
      <w:r w:rsidRPr="00B3756F" w:rsidR="00003E0B">
        <w:rPr>
          <w:color w:val="000000"/>
          <w:shd w:val="clear" w:color="auto" w:fill="FFFFFF"/>
        </w:rPr>
        <w:t xml:space="preserve"> and has since taken corrective action</w:t>
      </w:r>
      <w:r w:rsidRPr="00B3756F" w:rsidR="00BE3135">
        <w:rPr>
          <w:color w:val="000000"/>
          <w:shd w:val="clear" w:color="auto" w:fill="FFFFFF"/>
        </w:rPr>
        <w:t xml:space="preserve"> to come into compliance with the Act and the Rules by </w:t>
      </w:r>
      <w:r w:rsidRPr="00B3756F" w:rsidR="000C1BC5">
        <w:rPr>
          <w:color w:val="000000"/>
          <w:shd w:val="clear" w:color="auto" w:fill="FFFFFF"/>
        </w:rPr>
        <w:t xml:space="preserve">submitting </w:t>
      </w:r>
      <w:r w:rsidRPr="00B3756F" w:rsidR="00B3756F">
        <w:rPr>
          <w:color w:val="000000"/>
          <w:shd w:val="clear" w:color="auto" w:fill="FFFFFF"/>
        </w:rPr>
        <w:t>the July 2023 STA Request</w:t>
      </w:r>
      <w:r w:rsidRPr="00B3756F" w:rsidR="0040584C">
        <w:rPr>
          <w:color w:val="000000"/>
          <w:shd w:val="clear" w:color="auto" w:fill="FFFFFF"/>
        </w:rPr>
        <w:t>.</w:t>
      </w:r>
      <w:r>
        <w:rPr>
          <w:rStyle w:val="FootnoteReference"/>
          <w:shd w:val="clear" w:color="auto" w:fill="FFFFFF"/>
        </w:rPr>
        <w:footnoteReference w:id="28"/>
      </w:r>
      <w:r w:rsidRPr="00B3756F" w:rsidR="000B2063">
        <w:rPr>
          <w:color w:val="000000"/>
          <w:shd w:val="clear" w:color="auto" w:fill="FFFFFF"/>
        </w:rPr>
        <w:t xml:space="preserve"> </w:t>
      </w:r>
      <w:r w:rsidRPr="00B3756F" w:rsidR="00C10EAB">
        <w:rPr>
          <w:color w:val="000000"/>
          <w:shd w:val="clear" w:color="auto" w:fill="FFFFFF"/>
        </w:rPr>
        <w:t xml:space="preserve"> </w:t>
      </w:r>
    </w:p>
    <w:p w:rsidR="00B3756F" w:rsidRPr="00B3756F" w:rsidP="00F375AD" w14:paraId="303B49AE" w14:textId="49F0C2AB">
      <w:pPr>
        <w:tabs>
          <w:tab w:val="num" w:pos="1080"/>
          <w:tab w:val="left" w:pos="1440"/>
          <w:tab w:val="num" w:pos="1620"/>
          <w:tab w:val="num" w:pos="1674"/>
        </w:tabs>
        <w:spacing w:after="240"/>
        <w:ind w:firstLine="720"/>
      </w:pPr>
      <w:r w:rsidRPr="00B3756F">
        <w:t>Accordingly, pursuant to section 309(k)(2) of the Act, we will grant the Station a short-term license renewal</w:t>
      </w:r>
      <w:r w:rsidRPr="00B3756F" w:rsidR="00F5290C">
        <w:t>, limited to a period of one year from the date of this letter</w:t>
      </w:r>
      <w:r w:rsidRPr="00B3756F">
        <w:t>.</w:t>
      </w:r>
      <w:r>
        <w:rPr>
          <w:color w:val="000000"/>
          <w:szCs w:val="22"/>
          <w:vertAlign w:val="superscript"/>
        </w:rPr>
        <w:footnoteReference w:id="29"/>
      </w:r>
      <w:r w:rsidRPr="00B3756F">
        <w:t xml:space="preserve">  </w:t>
      </w:r>
      <w:r w:rsidR="00595B65">
        <w:t xml:space="preserve">Additionally, we admonish Licensee for its violation of the Rules by failing to request STA to operate at reduced power. </w:t>
      </w:r>
      <w:r w:rsidR="0054633B">
        <w:t xml:space="preserve"> </w:t>
      </w:r>
      <w:r w:rsidR="00791AF3">
        <w:t xml:space="preserve">The Commission does not take unauthorized operation </w:t>
      </w:r>
      <w:r w:rsidR="007966EB">
        <w:t>lightly</w:t>
      </w:r>
      <w:r w:rsidR="000B3406">
        <w:t>.</w:t>
      </w:r>
      <w:r w:rsidR="00E06116">
        <w:t xml:space="preserve">  </w:t>
      </w:r>
      <w:r w:rsidR="00BD0127">
        <w:t>Licensee should take care to avoid further unauthorized operation</w:t>
      </w:r>
      <w:r w:rsidR="00464502">
        <w:t xml:space="preserve"> and ensure it is fully in compliance with the Act and the Rules</w:t>
      </w:r>
      <w:r w:rsidR="00AF6CBB">
        <w:t>.</w:t>
      </w:r>
      <w:r w:rsidR="00982EE3">
        <w:t xml:space="preserve"> </w:t>
      </w:r>
      <w:r w:rsidRPr="00B3756F">
        <w:t xml:space="preserve"> </w:t>
      </w:r>
    </w:p>
    <w:p w:rsidR="007043CF" w:rsidRPr="00A22B1F" w:rsidP="008A151B" w14:paraId="682E0332" w14:textId="5FCF2B19">
      <w:pPr>
        <w:widowControl/>
        <w:tabs>
          <w:tab w:val="num" w:pos="1080"/>
          <w:tab w:val="left" w:pos="1440"/>
          <w:tab w:val="num" w:pos="1620"/>
          <w:tab w:val="num" w:pos="1674"/>
        </w:tabs>
        <w:suppressAutoHyphens/>
        <w:spacing w:after="240"/>
        <w:rPr>
          <w:b/>
          <w:bCs/>
        </w:rPr>
      </w:pPr>
      <w:r>
        <w:tab/>
      </w:r>
      <w:r w:rsidRPr="00B3756F" w:rsidR="009E2CDD">
        <w:t>This limited renewal period will afford the Commission an opportunity to</w:t>
      </w:r>
      <w:r w:rsidRPr="00617708" w:rsidR="009E2CDD">
        <w:t xml:space="preserve"> review the Station</w:t>
      </w:r>
      <w:r w:rsidR="009E2CDD">
        <w:t>’</w:t>
      </w:r>
      <w:r w:rsidRPr="00617708" w:rsidR="009E2CDD">
        <w:t xml:space="preserve">s </w:t>
      </w:r>
      <w:r w:rsidR="009E2CDD">
        <w:t xml:space="preserve">public service performance, as well as </w:t>
      </w:r>
      <w:r w:rsidRPr="00617708" w:rsidR="009E2CDD">
        <w:t xml:space="preserve">compliance with the Act and the </w:t>
      </w:r>
      <w:r w:rsidR="009E2CDD">
        <w:t>Commission’s r</w:t>
      </w:r>
      <w:r w:rsidRPr="00617708" w:rsidR="009E2CDD">
        <w:t>ules</w:t>
      </w:r>
      <w:r w:rsidR="009E2CDD">
        <w:t>,</w:t>
      </w:r>
      <w:r w:rsidRPr="00617708" w:rsidR="009E2CDD">
        <w:t xml:space="preserve"> and to take whatever corrective actions, if any, that may be warranted at that time</w:t>
      </w:r>
      <w:r w:rsidRPr="002D07E2" w:rsidR="009E2CDD">
        <w:t>.</w:t>
      </w:r>
      <w:r w:rsidR="009E2CDD">
        <w:t xml:space="preserve">  </w:t>
      </w:r>
      <w:r w:rsidRPr="00364CAB" w:rsidR="00BE1B2A">
        <w:t>Additionally, we expect Licensee during this time to return the Station to unlimited time operation at the power levels specified in its license (0.5 kW daytime, 1 kW nighttime, subject to the tolerances specified by section 73.1560(a)) by the end of the one-year license term</w:t>
      </w:r>
      <w:r w:rsidRPr="00BE1B2A" w:rsidR="00BE1B2A">
        <w:t>.</w:t>
      </w:r>
      <w:r w:rsidRPr="00B3756F" w:rsidR="00BE1B2A">
        <w:t xml:space="preserve">  </w:t>
      </w:r>
      <w:r w:rsidR="00665774">
        <w:t xml:space="preserve">If, at the end of </w:t>
      </w:r>
      <w:r w:rsidR="001B3E68">
        <w:t>this</w:t>
      </w:r>
      <w:r w:rsidR="00665774">
        <w:t xml:space="preserve"> limited renewal period, </w:t>
      </w:r>
      <w:r w:rsidR="00D31930">
        <w:t>the Commission finds that</w:t>
      </w:r>
      <w:r w:rsidR="00042AB9">
        <w:t xml:space="preserve"> the</w:t>
      </w:r>
      <w:r w:rsidR="00D31930">
        <w:t xml:space="preserve"> </w:t>
      </w:r>
      <w:r w:rsidR="00561819">
        <w:t xml:space="preserve">Licensee’s conduct has again </w:t>
      </w:r>
      <w:r w:rsidRPr="00617708" w:rsidR="00561819">
        <w:rPr>
          <w:szCs w:val="22"/>
        </w:rPr>
        <w:t>fallen short of that which would warrant routine license renewal</w:t>
      </w:r>
      <w:r w:rsidR="00D25BAF">
        <w:t xml:space="preserve">, </w:t>
      </w:r>
      <w:bookmarkStart w:id="9" w:name="_Hlk154065351"/>
      <w:r w:rsidR="00BE1B2A">
        <w:t>or if the Licensee has failed to restore the Station to full operations</w:t>
      </w:r>
      <w:bookmarkEnd w:id="9"/>
      <w:r w:rsidR="00BE1B2A">
        <w:t xml:space="preserve">, </w:t>
      </w:r>
      <w:r w:rsidR="003727A5">
        <w:rPr>
          <w:b/>
          <w:bCs/>
          <w:szCs w:val="22"/>
        </w:rPr>
        <w:t xml:space="preserve">we </w:t>
      </w:r>
      <w:r w:rsidR="003F3DF8">
        <w:rPr>
          <w:b/>
          <w:bCs/>
          <w:szCs w:val="22"/>
        </w:rPr>
        <w:t xml:space="preserve">will either </w:t>
      </w:r>
      <w:r w:rsidR="00134C5C">
        <w:rPr>
          <w:b/>
          <w:bCs/>
          <w:szCs w:val="22"/>
        </w:rPr>
        <w:t xml:space="preserve">1) </w:t>
      </w:r>
      <w:r w:rsidR="003727A5">
        <w:rPr>
          <w:b/>
          <w:bCs/>
          <w:szCs w:val="22"/>
        </w:rPr>
        <w:t>place</w:t>
      </w:r>
      <w:r w:rsidR="003F3DF8">
        <w:rPr>
          <w:b/>
          <w:bCs/>
          <w:szCs w:val="22"/>
        </w:rPr>
        <w:t xml:space="preserve"> a</w:t>
      </w:r>
      <w:r w:rsidR="003727A5">
        <w:rPr>
          <w:b/>
          <w:bCs/>
          <w:szCs w:val="22"/>
        </w:rPr>
        <w:t xml:space="preserve"> condition on the grant of the next license renewal</w:t>
      </w:r>
      <w:r w:rsidR="006D1C96">
        <w:rPr>
          <w:b/>
          <w:bCs/>
          <w:szCs w:val="22"/>
        </w:rPr>
        <w:t xml:space="preserve"> that specifies any additional license renewals will be </w:t>
      </w:r>
      <w:r w:rsidR="00D02342">
        <w:rPr>
          <w:b/>
          <w:bCs/>
          <w:szCs w:val="22"/>
        </w:rPr>
        <w:t>conditioned</w:t>
      </w:r>
      <w:r w:rsidR="006D1C96">
        <w:rPr>
          <w:b/>
          <w:bCs/>
          <w:szCs w:val="22"/>
        </w:rPr>
        <w:t xml:space="preserve"> on </w:t>
      </w:r>
      <w:r w:rsidR="00811832">
        <w:rPr>
          <w:b/>
          <w:bCs/>
          <w:szCs w:val="22"/>
        </w:rPr>
        <w:t>the Licensee returning the Station to unlimited operation during that term</w:t>
      </w:r>
      <w:r w:rsidR="003727A5">
        <w:rPr>
          <w:b/>
          <w:bCs/>
          <w:szCs w:val="22"/>
        </w:rPr>
        <w:t xml:space="preserve"> or</w:t>
      </w:r>
      <w:r w:rsidR="00134C5C">
        <w:rPr>
          <w:b/>
          <w:bCs/>
          <w:szCs w:val="22"/>
        </w:rPr>
        <w:t xml:space="preserve"> 2)</w:t>
      </w:r>
      <w:r w:rsidR="003727A5">
        <w:rPr>
          <w:b/>
          <w:bCs/>
          <w:szCs w:val="22"/>
        </w:rPr>
        <w:t xml:space="preserve"> designate the license for hearing</w:t>
      </w:r>
      <w:r w:rsidR="00134C5C">
        <w:rPr>
          <w:b/>
          <w:bCs/>
          <w:szCs w:val="22"/>
        </w:rPr>
        <w:t xml:space="preserve"> based on the Licensee’s failure to serve the public interest</w:t>
      </w:r>
      <w:r w:rsidR="003727A5">
        <w:rPr>
          <w:b/>
          <w:bCs/>
          <w:szCs w:val="22"/>
        </w:rPr>
        <w:t xml:space="preserve">.  </w:t>
      </w:r>
    </w:p>
    <w:p w:rsidR="007043CF" w:rsidP="009671DF" w14:paraId="483D7945" w14:textId="2F774D08">
      <w:pPr>
        <w:keepNext/>
        <w:keepLines/>
        <w:widowControl/>
        <w:tabs>
          <w:tab w:val="left" w:pos="0"/>
        </w:tabs>
        <w:suppressAutoHyphens/>
        <w:spacing w:after="240"/>
        <w:rPr>
          <w:color w:val="000000"/>
          <w:szCs w:val="22"/>
        </w:rPr>
      </w:pPr>
      <w:r>
        <w:rPr>
          <w:szCs w:val="22"/>
        </w:rPr>
        <w:tab/>
      </w:r>
      <w:r w:rsidRPr="008F767C">
        <w:rPr>
          <w:b/>
          <w:szCs w:val="22"/>
        </w:rPr>
        <w:t xml:space="preserve">Conclusion.  </w:t>
      </w:r>
      <w:r w:rsidRPr="007E7AD4">
        <w:rPr>
          <w:color w:val="000000"/>
          <w:szCs w:val="22"/>
        </w:rPr>
        <w:t xml:space="preserve">Accordingly, for the reasons set forth above, </w:t>
      </w:r>
      <w:r w:rsidRPr="004C597A">
        <w:rPr>
          <w:b/>
          <w:bCs/>
          <w:color w:val="000000"/>
          <w:szCs w:val="22"/>
        </w:rPr>
        <w:t>IT IS ORDERED THAT</w:t>
      </w:r>
      <w:r w:rsidRPr="007E7AD4">
        <w:rPr>
          <w:color w:val="000000"/>
          <w:szCs w:val="22"/>
        </w:rPr>
        <w:t xml:space="preserve"> </w:t>
      </w:r>
      <w:r>
        <w:rPr>
          <w:color w:val="000000"/>
          <w:szCs w:val="22"/>
        </w:rPr>
        <w:t>the license renewal application (</w:t>
      </w:r>
      <w:r w:rsidR="004C597A">
        <w:rPr>
          <w:color w:val="000000"/>
          <w:szCs w:val="22"/>
        </w:rPr>
        <w:t xml:space="preserve">Application </w:t>
      </w:r>
      <w:r>
        <w:rPr>
          <w:color w:val="000000"/>
          <w:szCs w:val="22"/>
        </w:rPr>
        <w:t xml:space="preserve">File No. </w:t>
      </w:r>
      <w:r w:rsidRPr="006B0A84" w:rsidR="005F5775">
        <w:rPr>
          <w:szCs w:val="22"/>
        </w:rPr>
        <w:t>0000210889</w:t>
      </w:r>
      <w:r>
        <w:rPr>
          <w:color w:val="000000"/>
          <w:szCs w:val="22"/>
        </w:rPr>
        <w:t>) filed by</w:t>
      </w:r>
      <w:r w:rsidRPr="00F27779">
        <w:rPr>
          <w:szCs w:val="22"/>
        </w:rPr>
        <w:t xml:space="preserve"> </w:t>
      </w:r>
      <w:r w:rsidR="005F5775">
        <w:rPr>
          <w:szCs w:val="22"/>
        </w:rPr>
        <w:t>Birach Broadcasting Corporation</w:t>
      </w:r>
      <w:r w:rsidR="007B2E03">
        <w:rPr>
          <w:szCs w:val="22"/>
        </w:rPr>
        <w:t>,</w:t>
      </w:r>
      <w:r w:rsidR="008C7F52">
        <w:rPr>
          <w:szCs w:val="22"/>
        </w:rPr>
        <w:t xml:space="preserve"> </w:t>
      </w:r>
      <w:r w:rsidRPr="005B2847">
        <w:rPr>
          <w:color w:val="000000"/>
          <w:szCs w:val="22"/>
        </w:rPr>
        <w:t xml:space="preserve">for </w:t>
      </w:r>
      <w:r w:rsidR="008C7F52">
        <w:rPr>
          <w:color w:val="000000"/>
          <w:szCs w:val="22"/>
        </w:rPr>
        <w:t>S</w:t>
      </w:r>
      <w:r w:rsidRPr="005B2847">
        <w:rPr>
          <w:color w:val="000000"/>
          <w:szCs w:val="22"/>
        </w:rPr>
        <w:t xml:space="preserve">tation </w:t>
      </w:r>
      <w:r w:rsidR="00D84CF0">
        <w:rPr>
          <w:szCs w:val="22"/>
        </w:rPr>
        <w:t>KJMU</w:t>
      </w:r>
      <w:r w:rsidR="00486592">
        <w:rPr>
          <w:szCs w:val="22"/>
        </w:rPr>
        <w:t>(</w:t>
      </w:r>
      <w:r w:rsidR="00907587">
        <w:rPr>
          <w:szCs w:val="22"/>
        </w:rPr>
        <w:t>A</w:t>
      </w:r>
      <w:r w:rsidR="00486592">
        <w:rPr>
          <w:szCs w:val="22"/>
        </w:rPr>
        <w:t xml:space="preserve">M), </w:t>
      </w:r>
      <w:r w:rsidR="00D84CF0">
        <w:rPr>
          <w:szCs w:val="22"/>
        </w:rPr>
        <w:t>Sand Springs</w:t>
      </w:r>
      <w:r w:rsidR="00486592">
        <w:rPr>
          <w:szCs w:val="22"/>
        </w:rPr>
        <w:t xml:space="preserve">, </w:t>
      </w:r>
      <w:r w:rsidR="00D84CF0">
        <w:rPr>
          <w:szCs w:val="22"/>
        </w:rPr>
        <w:t>Oklahoma</w:t>
      </w:r>
      <w:r>
        <w:rPr>
          <w:color w:val="000000"/>
          <w:szCs w:val="22"/>
        </w:rPr>
        <w:t>, IS GRANTED pursuant to section 309(k)</w:t>
      </w:r>
      <w:r w:rsidR="008E2492">
        <w:rPr>
          <w:color w:val="000000"/>
          <w:szCs w:val="22"/>
        </w:rPr>
        <w:t>(</w:t>
      </w:r>
      <w:r>
        <w:rPr>
          <w:color w:val="000000"/>
          <w:szCs w:val="22"/>
        </w:rPr>
        <w:t>2) of the Communications Act of 1934, as amended,</w:t>
      </w:r>
      <w:r>
        <w:rPr>
          <w:rStyle w:val="FootnoteReference"/>
          <w:rFonts w:eastAsia="Calibri"/>
          <w:color w:val="000000"/>
          <w:sz w:val="22"/>
          <w:szCs w:val="22"/>
        </w:rPr>
        <w:footnoteReference w:id="30"/>
      </w:r>
      <w:r>
        <w:rPr>
          <w:color w:val="000000"/>
          <w:szCs w:val="22"/>
        </w:rPr>
        <w:t xml:space="preserve"> for </w:t>
      </w:r>
      <w:r w:rsidR="00D612B1">
        <w:rPr>
          <w:color w:val="000000"/>
          <w:szCs w:val="22"/>
        </w:rPr>
        <w:t>a license term of one year from the date of this letter</w:t>
      </w:r>
      <w:r w:rsidR="00A4121E">
        <w:rPr>
          <w:color w:val="000000"/>
          <w:szCs w:val="22"/>
        </w:rPr>
        <w:t>.</w:t>
      </w:r>
      <w:r>
        <w:rPr>
          <w:rStyle w:val="FootnoteReference"/>
          <w:rFonts w:eastAsia="Calibri"/>
          <w:color w:val="000000"/>
          <w:sz w:val="22"/>
          <w:szCs w:val="22"/>
        </w:rPr>
        <w:footnoteReference w:id="31"/>
      </w:r>
    </w:p>
    <w:p w:rsidR="00AF6CBB" w:rsidRPr="00FB0AB6" w:rsidP="009671DF" w14:paraId="68E8F3AC" w14:textId="5C6B76F4">
      <w:pPr>
        <w:keepNext/>
        <w:keepLines/>
        <w:widowControl/>
        <w:tabs>
          <w:tab w:val="left" w:pos="0"/>
        </w:tabs>
        <w:suppressAutoHyphens/>
        <w:spacing w:after="240"/>
        <w:rPr>
          <w:szCs w:val="22"/>
        </w:rPr>
      </w:pPr>
      <w:r>
        <w:rPr>
          <w:color w:val="000000"/>
          <w:szCs w:val="22"/>
        </w:rPr>
        <w:tab/>
      </w:r>
      <w:r w:rsidRPr="00546036">
        <w:rPr>
          <w:b/>
          <w:bCs/>
          <w:color w:val="000000"/>
          <w:szCs w:val="22"/>
        </w:rPr>
        <w:t>IT IS FURTHER ORDERED</w:t>
      </w:r>
      <w:r>
        <w:rPr>
          <w:color w:val="000000"/>
          <w:szCs w:val="22"/>
        </w:rPr>
        <w:t xml:space="preserve"> that Birach Broadcasting Corporation </w:t>
      </w:r>
      <w:r w:rsidRPr="00546036">
        <w:rPr>
          <w:b/>
          <w:bCs/>
          <w:color w:val="000000"/>
          <w:szCs w:val="22"/>
        </w:rPr>
        <w:t>IS ADMONISHED</w:t>
      </w:r>
      <w:r>
        <w:rPr>
          <w:color w:val="000000"/>
          <w:szCs w:val="22"/>
        </w:rPr>
        <w:t xml:space="preserve"> for its violations of </w:t>
      </w:r>
      <w:r w:rsidRPr="004C1A4E">
        <w:t xml:space="preserve">section 301 of the </w:t>
      </w:r>
      <w:r>
        <w:t xml:space="preserve">Communications </w:t>
      </w:r>
      <w:r w:rsidRPr="004C1A4E">
        <w:t>Act</w:t>
      </w:r>
      <w:r>
        <w:t xml:space="preserve"> of 1934, as amended</w:t>
      </w:r>
      <w:r w:rsidRPr="004C1A4E">
        <w:t>, and sections 73.1350, 73.1560(a)(1), 73.1635, 73.1690(b)(5) and 73.1745(a) of the</w:t>
      </w:r>
      <w:r>
        <w:t xml:space="preserve"> Commission’s</w:t>
      </w:r>
      <w:r w:rsidRPr="004C1A4E">
        <w:t xml:space="preserve"> </w:t>
      </w:r>
      <w:r>
        <w:t>r</w:t>
      </w:r>
      <w:r w:rsidRPr="004C1A4E">
        <w:t>ules</w:t>
      </w:r>
      <w:r>
        <w:t>.</w:t>
      </w:r>
    </w:p>
    <w:p w:rsidR="007043CF" w:rsidRPr="007C5761" w:rsidP="009671DF" w14:paraId="79621950" w14:textId="77777777">
      <w:pPr>
        <w:keepNext/>
        <w:keepLines/>
        <w:widowControl/>
        <w:tabs>
          <w:tab w:val="left" w:pos="270"/>
        </w:tabs>
        <w:spacing w:after="480"/>
        <w:rPr>
          <w:color w:val="000000"/>
          <w:szCs w:val="22"/>
        </w:rPr>
      </w:pPr>
      <w:r w:rsidRPr="007C5761">
        <w:rPr>
          <w:color w:val="000000"/>
          <w:szCs w:val="22"/>
        </w:rPr>
        <w:tab/>
      </w:r>
      <w:r w:rsidRPr="007C5761">
        <w:rPr>
          <w:color w:val="000000"/>
          <w:szCs w:val="22"/>
        </w:rPr>
        <w:tab/>
      </w:r>
      <w:r w:rsidRPr="007C5761">
        <w:rPr>
          <w:color w:val="000000"/>
          <w:szCs w:val="22"/>
        </w:rPr>
        <w:tab/>
      </w:r>
      <w:r w:rsidRPr="007C5761">
        <w:rPr>
          <w:color w:val="000000"/>
          <w:szCs w:val="22"/>
        </w:rPr>
        <w:tab/>
      </w:r>
      <w:r>
        <w:rPr>
          <w:color w:val="000000"/>
          <w:szCs w:val="22"/>
        </w:rPr>
        <w:tab/>
      </w:r>
      <w:r>
        <w:rPr>
          <w:color w:val="000000"/>
          <w:szCs w:val="22"/>
        </w:rPr>
        <w:tab/>
      </w:r>
      <w:r>
        <w:rPr>
          <w:color w:val="000000"/>
          <w:szCs w:val="22"/>
        </w:rPr>
        <w:tab/>
      </w:r>
      <w:r>
        <w:rPr>
          <w:color w:val="000000"/>
          <w:szCs w:val="22"/>
        </w:rPr>
        <w:tab/>
      </w:r>
      <w:r w:rsidRPr="007C5761">
        <w:rPr>
          <w:color w:val="000000"/>
          <w:szCs w:val="22"/>
        </w:rPr>
        <w:t>Sincerely,</w:t>
      </w:r>
    </w:p>
    <w:p w:rsidR="007043CF" w:rsidRPr="007C5761" w:rsidP="009671DF" w14:paraId="43721CAE" w14:textId="77777777">
      <w:pPr>
        <w:keepNext/>
        <w:keepLines/>
        <w:widowControl/>
        <w:tabs>
          <w:tab w:val="left" w:pos="0"/>
          <w:tab w:val="left" w:pos="270"/>
        </w:tabs>
        <w:suppressAutoHyphens/>
        <w:rPr>
          <w:szCs w:val="22"/>
        </w:rPr>
      </w:pPr>
      <w:r w:rsidRPr="00450597">
        <w:rPr>
          <w:color w:val="000000"/>
          <w:szCs w:val="22"/>
        </w:rPr>
        <w:tab/>
      </w:r>
      <w:r w:rsidRPr="007C5761">
        <w:rPr>
          <w:color w:val="000000"/>
          <w:szCs w:val="22"/>
        </w:rPr>
        <w:tab/>
      </w:r>
      <w:r w:rsidRPr="007C5761">
        <w:rPr>
          <w:color w:val="000000"/>
          <w:szCs w:val="22"/>
        </w:rPr>
        <w:tab/>
      </w:r>
      <w:r w:rsidRPr="007C5761">
        <w:rPr>
          <w:color w:val="000000"/>
          <w:szCs w:val="22"/>
        </w:rPr>
        <w:tab/>
      </w:r>
      <w:r w:rsidRPr="007C5761">
        <w:rPr>
          <w:color w:val="000000"/>
          <w:szCs w:val="22"/>
        </w:rPr>
        <w:tab/>
      </w:r>
      <w:r w:rsidRPr="007C5761">
        <w:rPr>
          <w:color w:val="000000"/>
          <w:szCs w:val="22"/>
        </w:rPr>
        <w:tab/>
      </w:r>
      <w:r w:rsidRPr="007C5761">
        <w:rPr>
          <w:color w:val="000000"/>
          <w:szCs w:val="22"/>
        </w:rPr>
        <w:tab/>
      </w:r>
      <w:r w:rsidRPr="007C5761">
        <w:rPr>
          <w:color w:val="000000"/>
          <w:szCs w:val="22"/>
        </w:rPr>
        <w:tab/>
      </w:r>
      <w:r>
        <w:rPr>
          <w:color w:val="000000"/>
          <w:szCs w:val="22"/>
        </w:rPr>
        <w:t>Albert Shuldiner</w:t>
      </w:r>
    </w:p>
    <w:p w:rsidR="007043CF" w:rsidRPr="007C5761" w:rsidP="009671DF" w14:paraId="0BC31A8D" w14:textId="77777777">
      <w:pPr>
        <w:keepNext/>
        <w:keepLines/>
        <w:widowControl/>
        <w:tabs>
          <w:tab w:val="left" w:pos="0"/>
        </w:tabs>
        <w:suppressAutoHyphens/>
        <w:rPr>
          <w:szCs w:val="22"/>
        </w:rPr>
      </w:pPr>
      <w:r w:rsidRPr="007C5761">
        <w:rPr>
          <w:szCs w:val="22"/>
        </w:rPr>
        <w:tab/>
      </w:r>
      <w:r w:rsidRPr="007C5761">
        <w:rPr>
          <w:szCs w:val="22"/>
        </w:rPr>
        <w:tab/>
      </w:r>
      <w:r w:rsidRPr="007C5761">
        <w:rPr>
          <w:szCs w:val="22"/>
        </w:rPr>
        <w:tab/>
      </w:r>
      <w:r w:rsidRPr="007C5761">
        <w:rPr>
          <w:szCs w:val="22"/>
        </w:rPr>
        <w:tab/>
      </w:r>
      <w:r w:rsidRPr="007C5761">
        <w:rPr>
          <w:szCs w:val="22"/>
        </w:rPr>
        <w:tab/>
      </w:r>
      <w:r w:rsidRPr="007C5761">
        <w:rPr>
          <w:szCs w:val="22"/>
        </w:rPr>
        <w:tab/>
      </w:r>
      <w:r w:rsidRPr="007C5761">
        <w:rPr>
          <w:szCs w:val="22"/>
        </w:rPr>
        <w:tab/>
        <w:t>Chief, Audio Division</w:t>
      </w:r>
    </w:p>
    <w:p w:rsidR="00EF70C0" w:rsidRPr="00AF3EF5" w:rsidP="009671DF" w14:paraId="35C2D509" w14:textId="519A0611">
      <w:pPr>
        <w:keepNext/>
        <w:keepLines/>
        <w:widowControl/>
        <w:tabs>
          <w:tab w:val="left" w:pos="0"/>
        </w:tabs>
        <w:suppressAutoHyphens/>
        <w:spacing w:after="240"/>
        <w:rPr>
          <w:szCs w:val="22"/>
        </w:rPr>
      </w:pPr>
      <w:r w:rsidRPr="007C5761">
        <w:rPr>
          <w:szCs w:val="22"/>
        </w:rPr>
        <w:tab/>
      </w:r>
      <w:r w:rsidRPr="007C5761">
        <w:rPr>
          <w:szCs w:val="22"/>
        </w:rPr>
        <w:tab/>
      </w:r>
      <w:r w:rsidRPr="007C5761">
        <w:rPr>
          <w:szCs w:val="22"/>
        </w:rPr>
        <w:tab/>
      </w:r>
      <w:r w:rsidRPr="007C5761">
        <w:rPr>
          <w:szCs w:val="22"/>
        </w:rPr>
        <w:tab/>
      </w:r>
      <w:r w:rsidRPr="007C5761">
        <w:rPr>
          <w:szCs w:val="22"/>
        </w:rPr>
        <w:tab/>
      </w:r>
      <w:r w:rsidRPr="007C5761">
        <w:rPr>
          <w:szCs w:val="22"/>
        </w:rPr>
        <w:tab/>
      </w:r>
      <w:r w:rsidRPr="007C5761">
        <w:rPr>
          <w:szCs w:val="22"/>
        </w:rPr>
        <w:tab/>
        <w:t>Media Burea</w:t>
      </w:r>
      <w:r w:rsidR="007B2E03">
        <w:rPr>
          <w:szCs w:val="22"/>
        </w:rPr>
        <w:t>u</w:t>
      </w:r>
    </w:p>
    <w:p w:rsidR="00434A30" w:rsidRPr="00AF3EF5" w:rsidP="00434A30" w14:paraId="68F0935E" w14:textId="77777777">
      <w:pPr>
        <w:tabs>
          <w:tab w:val="left" w:pos="360"/>
          <w:tab w:val="left" w:pos="4320"/>
          <w:tab w:val="left" w:pos="4680"/>
          <w:tab w:val="left" w:pos="5400"/>
        </w:tabs>
        <w:rPr>
          <w:szCs w:val="22"/>
        </w:rPr>
      </w:pPr>
    </w:p>
    <w:p w:rsidR="004B0406" w:rsidP="004B0406" w14:paraId="4BA3B7C6" w14:textId="77777777">
      <w:pPr>
        <w:tabs>
          <w:tab w:val="left" w:pos="4320"/>
          <w:tab w:val="left" w:pos="4680"/>
          <w:tab w:val="left" w:pos="5400"/>
        </w:tabs>
        <w:rPr>
          <w:szCs w:val="22"/>
        </w:rPr>
      </w:pPr>
    </w:p>
    <w:p w:rsidR="004B0406" w:rsidRPr="00001EA9" w:rsidP="004B0406" w14:paraId="3289F5C9" w14:textId="23E2B76E">
      <w:pPr>
        <w:tabs>
          <w:tab w:val="left" w:pos="4320"/>
          <w:tab w:val="left" w:pos="4680"/>
          <w:tab w:val="left" w:pos="5400"/>
        </w:tabs>
        <w:rPr>
          <w:szCs w:val="22"/>
        </w:rPr>
      </w:pPr>
      <w:r w:rsidRPr="00001EA9">
        <w:rPr>
          <w:szCs w:val="22"/>
        </w:rPr>
        <w:t>cc (via electronic mail):</w:t>
      </w:r>
    </w:p>
    <w:p w:rsidR="004B0406" w:rsidRPr="00CE6B5D" w:rsidP="004B0406" w14:paraId="71A6E6D3" w14:textId="26080A5B">
      <w:pPr>
        <w:tabs>
          <w:tab w:val="left" w:pos="4320"/>
          <w:tab w:val="left" w:pos="4680"/>
          <w:tab w:val="left" w:pos="5400"/>
        </w:tabs>
        <w:rPr>
          <w:szCs w:val="22"/>
        </w:rPr>
      </w:pPr>
      <w:r>
        <w:rPr>
          <w:szCs w:val="22"/>
        </w:rPr>
        <w:t>John C. Trent, Esq.</w:t>
      </w:r>
      <w:r w:rsidRPr="00CE6B5D">
        <w:rPr>
          <w:szCs w:val="22"/>
        </w:rPr>
        <w:t xml:space="preserve"> (</w:t>
      </w:r>
      <w:hyperlink r:id="rId6" w:history="1">
        <w:r w:rsidRPr="0014049A" w:rsidR="002622B7">
          <w:rPr>
            <w:rStyle w:val="Hyperlink"/>
            <w:szCs w:val="22"/>
          </w:rPr>
          <w:t>fccman3@shentel.net</w:t>
        </w:r>
      </w:hyperlink>
      <w:r w:rsidRPr="00CE6B5D">
        <w:rPr>
          <w:szCs w:val="22"/>
        </w:rPr>
        <w:t>)</w:t>
      </w:r>
    </w:p>
    <w:p w:rsidR="004B0406" w:rsidP="004B0406" w14:paraId="2AF21F72" w14:textId="5B63FAEA">
      <w:pPr>
        <w:tabs>
          <w:tab w:val="left" w:pos="4320"/>
          <w:tab w:val="left" w:pos="4680"/>
          <w:tab w:val="left" w:pos="5400"/>
        </w:tabs>
        <w:rPr>
          <w:szCs w:val="22"/>
        </w:rPr>
      </w:pPr>
      <w:r w:rsidRPr="00AF3EF5">
        <w:rPr>
          <w:szCs w:val="22"/>
        </w:rPr>
        <w:t>(</w:t>
      </w:r>
      <w:r w:rsidR="003C38BB">
        <w:rPr>
          <w:szCs w:val="22"/>
        </w:rPr>
        <w:t>Contact</w:t>
      </w:r>
      <w:r>
        <w:rPr>
          <w:szCs w:val="22"/>
        </w:rPr>
        <w:t xml:space="preserve"> </w:t>
      </w:r>
      <w:r w:rsidRPr="00AF3EF5">
        <w:rPr>
          <w:szCs w:val="22"/>
        </w:rPr>
        <w:t>R</w:t>
      </w:r>
      <w:r>
        <w:rPr>
          <w:szCs w:val="22"/>
        </w:rPr>
        <w:t xml:space="preserve">epresentative for </w:t>
      </w:r>
      <w:r w:rsidR="003C38BB">
        <w:rPr>
          <w:szCs w:val="22"/>
        </w:rPr>
        <w:t>Birach Broadcasting Corporation</w:t>
      </w:r>
      <w:r>
        <w:rPr>
          <w:szCs w:val="22"/>
        </w:rPr>
        <w:t>)</w:t>
      </w:r>
    </w:p>
    <w:p w:rsidR="001117E6" w:rsidRPr="00AF3EF5" w:rsidP="001117E6" w14:paraId="5D03D8E3" w14:textId="7EA6F978">
      <w:pPr>
        <w:tabs>
          <w:tab w:val="left" w:pos="360"/>
          <w:tab w:val="left" w:pos="4320"/>
          <w:tab w:val="left" w:pos="4680"/>
          <w:tab w:val="left" w:pos="5400"/>
        </w:tabs>
        <w:rPr>
          <w:szCs w:val="22"/>
        </w:rPr>
      </w:pPr>
    </w:p>
    <w:sectPr>
      <w:footerReference w:type="default" r:id="rId7"/>
      <w:headerReference w:type="first" r:id="rId8"/>
      <w:footerReference w:type="first" r:id="rId9"/>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9D5" w14:paraId="0A8F421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939D5" w14:paraId="646E4D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9D5" w14:paraId="2706236C" w14:textId="3189B270">
    <w:pPr>
      <w:pStyle w:val="Footer"/>
      <w:jc w:val="center"/>
    </w:pPr>
  </w:p>
  <w:p w:rsidR="00D939D5" w14:paraId="2F173D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2359" w14:paraId="3987A86C" w14:textId="77777777">
      <w:r>
        <w:separator/>
      </w:r>
    </w:p>
  </w:footnote>
  <w:footnote w:type="continuationSeparator" w:id="1">
    <w:p w:rsidR="007C2359" w14:paraId="6F266FF1" w14:textId="77777777">
      <w:r>
        <w:continuationSeparator/>
      </w:r>
    </w:p>
  </w:footnote>
  <w:footnote w:type="continuationNotice" w:id="2">
    <w:p w:rsidR="007C2359" w14:paraId="3A6CE4EF" w14:textId="77777777"/>
  </w:footnote>
  <w:footnote w:id="3">
    <w:p w:rsidR="007043CF" w:rsidP="002D07E2" w14:paraId="2AB516E5" w14:textId="039AB598">
      <w:pPr>
        <w:pStyle w:val="FootnoteText"/>
      </w:pPr>
      <w:r>
        <w:rPr>
          <w:rStyle w:val="FootnoteReference"/>
          <w:rFonts w:eastAsia="Calibri"/>
        </w:rPr>
        <w:footnoteRef/>
      </w:r>
      <w:r>
        <w:t xml:space="preserve"> </w:t>
      </w:r>
      <w:r w:rsidR="002074DA">
        <w:t xml:space="preserve">Application </w:t>
      </w:r>
      <w:r w:rsidRPr="00502B7B">
        <w:t xml:space="preserve">File No. </w:t>
      </w:r>
      <w:r w:rsidRPr="00692863" w:rsidR="00692863">
        <w:t>0000210889</w:t>
      </w:r>
      <w:r w:rsidR="00E34004">
        <w:t>.</w:t>
      </w:r>
    </w:p>
  </w:footnote>
  <w:footnote w:id="4">
    <w:p w:rsidR="007043CF" w:rsidRPr="002312CA" w:rsidP="002D07E2" w14:paraId="003C24EA" w14:textId="77777777">
      <w:pPr>
        <w:pStyle w:val="FootnoteText"/>
      </w:pPr>
      <w:r w:rsidRPr="002312CA">
        <w:rPr>
          <w:rStyle w:val="FootnoteReference"/>
          <w:rFonts w:eastAsia="Calibri"/>
        </w:rPr>
        <w:footnoteRef/>
      </w:r>
      <w:r w:rsidRPr="002312CA">
        <w:t xml:space="preserve"> 47 U.S.C. § 309(k)(2).</w:t>
      </w:r>
    </w:p>
  </w:footnote>
  <w:footnote w:id="5">
    <w:p w:rsidR="00E918BF" w:rsidRPr="003B582C" w:rsidP="002D07E2" w14:paraId="40CA5685" w14:textId="77777777">
      <w:pPr>
        <w:pStyle w:val="FootnoteText"/>
      </w:pPr>
      <w:r w:rsidRPr="003B582C">
        <w:rPr>
          <w:rStyle w:val="FootnoteReference"/>
          <w:rFonts w:eastAsia="Calibri"/>
        </w:rPr>
        <w:footnoteRef/>
      </w:r>
      <w:r w:rsidRPr="003B582C">
        <w:t xml:space="preserve"> </w:t>
      </w:r>
      <w:r w:rsidRPr="003B582C">
        <w:rPr>
          <w:i/>
          <w:iCs/>
        </w:rPr>
        <w:t>See</w:t>
      </w:r>
      <w:r w:rsidRPr="003B582C">
        <w:t xml:space="preserve"> 47 CFR § 73.3539(a) (“an application for renewal of license shall be filed not later than the first day of the fourth full calendar month prior to the expiration date of the license sought to be renewed”).</w:t>
      </w:r>
    </w:p>
  </w:footnote>
  <w:footnote w:id="6">
    <w:p w:rsidR="00E5555B" w:rsidP="00E5555B" w14:paraId="0E653F16" w14:textId="1E074183">
      <w:pPr>
        <w:pStyle w:val="FootnoteText"/>
      </w:pPr>
      <w:r>
        <w:rPr>
          <w:rStyle w:val="FootnoteReference"/>
          <w:rFonts w:eastAsia="Calibri"/>
        </w:rPr>
        <w:footnoteRef/>
      </w:r>
      <w:r>
        <w:t xml:space="preserve"> </w:t>
      </w:r>
      <w:r>
        <w:rPr>
          <w:i/>
          <w:iCs/>
        </w:rPr>
        <w:t>See Birach Broadcasting Corporation</w:t>
      </w:r>
      <w:r>
        <w:t xml:space="preserve">, Order and Consent Decree, 37 FCC </w:t>
      </w:r>
      <w:r>
        <w:t>Rcd</w:t>
      </w:r>
      <w:r>
        <w:t xml:space="preserve"> 8429 (MB 2022)</w:t>
      </w:r>
      <w:r w:rsidR="0009401F">
        <w:t xml:space="preserve"> (</w:t>
      </w:r>
      <w:r w:rsidR="0009401F">
        <w:rPr>
          <w:i/>
          <w:iCs/>
        </w:rPr>
        <w:t>Birach</w:t>
      </w:r>
      <w:r w:rsidR="008E1D45">
        <w:rPr>
          <w:i/>
          <w:iCs/>
        </w:rPr>
        <w:t>-</w:t>
      </w:r>
      <w:r w:rsidR="0009401F">
        <w:rPr>
          <w:i/>
          <w:iCs/>
        </w:rPr>
        <w:t>KJMU</w:t>
      </w:r>
      <w:r w:rsidR="0009401F">
        <w:t>)</w:t>
      </w:r>
      <w:r>
        <w:t>;</w:t>
      </w:r>
      <w:r>
        <w:rPr>
          <w:i/>
          <w:iCs/>
        </w:rPr>
        <w:t xml:space="preserve"> </w:t>
      </w:r>
      <w:r w:rsidRPr="005D163B">
        <w:t xml:space="preserve">Application File No. </w:t>
      </w:r>
      <w:r w:rsidRPr="000A1FAC">
        <w:t>0000133723</w:t>
      </w:r>
      <w:r w:rsidRPr="005D163B">
        <w:t xml:space="preserve"> (</w:t>
      </w:r>
      <w:r>
        <w:t>Renewal of License, granted</w:t>
      </w:r>
      <w:r w:rsidRPr="005D163B">
        <w:t xml:space="preserve"> </w:t>
      </w:r>
      <w:r>
        <w:t>July</w:t>
      </w:r>
      <w:r w:rsidRPr="005D163B">
        <w:t xml:space="preserve"> </w:t>
      </w:r>
      <w:r>
        <w:t>15</w:t>
      </w:r>
      <w:r w:rsidRPr="005D163B">
        <w:t>, 20</w:t>
      </w:r>
      <w:r>
        <w:t>22</w:t>
      </w:r>
      <w:r w:rsidRPr="005D163B">
        <w:t>).</w:t>
      </w:r>
    </w:p>
  </w:footnote>
  <w:footnote w:id="7">
    <w:p w:rsidR="0009401F" w:rsidRPr="0009401F" w14:paraId="1BB600BD" w14:textId="4A09AC27">
      <w:pPr>
        <w:pStyle w:val="FootnoteText"/>
      </w:pPr>
      <w:r>
        <w:rPr>
          <w:rStyle w:val="FootnoteReference"/>
        </w:rPr>
        <w:footnoteRef/>
      </w:r>
      <w:r>
        <w:t xml:space="preserve"> </w:t>
      </w:r>
      <w:r>
        <w:rPr>
          <w:i/>
          <w:iCs/>
        </w:rPr>
        <w:t>Birach</w:t>
      </w:r>
      <w:r>
        <w:rPr>
          <w:i/>
          <w:iCs/>
        </w:rPr>
        <w:t>-KJMU</w:t>
      </w:r>
      <w:r>
        <w:t xml:space="preserve">, 37 FCC </w:t>
      </w:r>
      <w:r>
        <w:t>Rcd</w:t>
      </w:r>
      <w:r>
        <w:t xml:space="preserve"> at 8429, paras. 1-2.</w:t>
      </w:r>
    </w:p>
  </w:footnote>
  <w:footnote w:id="8">
    <w:p w:rsidR="00E23C43" w:rsidRPr="00E23C43" w14:paraId="0B889350" w14:textId="37535337">
      <w:pPr>
        <w:pStyle w:val="FootnoteText"/>
      </w:pPr>
      <w:r>
        <w:rPr>
          <w:rStyle w:val="FootnoteReference"/>
        </w:rPr>
        <w:footnoteRef/>
      </w:r>
      <w:r>
        <w:t xml:space="preserve"> </w:t>
      </w:r>
      <w:r>
        <w:rPr>
          <w:i/>
          <w:iCs/>
        </w:rPr>
        <w:t xml:space="preserve">See </w:t>
      </w:r>
      <w:r>
        <w:t xml:space="preserve">Application File No. </w:t>
      </w:r>
      <w:r w:rsidRPr="00A32902" w:rsidR="00A32902">
        <w:t>000206594</w:t>
      </w:r>
      <w:r>
        <w:t xml:space="preserve"> (</w:t>
      </w:r>
      <w:r w:rsidR="00E5555B">
        <w:t xml:space="preserve">Request for Silent STA, </w:t>
      </w:r>
      <w:r>
        <w:t xml:space="preserve">granted </w:t>
      </w:r>
      <w:r w:rsidR="00AE7630">
        <w:t>Jan</w:t>
      </w:r>
      <w:r w:rsidR="00990631">
        <w:t>. 26</w:t>
      </w:r>
      <w:r w:rsidR="00A060BF">
        <w:t xml:space="preserve">, </w:t>
      </w:r>
      <w:r w:rsidR="000000F9">
        <w:t>20</w:t>
      </w:r>
      <w:r w:rsidR="00EA2CF1">
        <w:t>2</w:t>
      </w:r>
      <w:r w:rsidR="00990631">
        <w:t>3</w:t>
      </w:r>
      <w:r>
        <w:t>)</w:t>
      </w:r>
      <w:r w:rsidR="00E5555B">
        <w:t xml:space="preserve"> (Silent STA Request)</w:t>
      </w:r>
      <w:r w:rsidR="00595660">
        <w:t xml:space="preserve">; </w:t>
      </w:r>
      <w:r w:rsidR="00E5555B">
        <w:t>Application File No. 0000215126 (Resume</w:t>
      </w:r>
      <w:r w:rsidR="00595660">
        <w:t xml:space="preserve"> Operations</w:t>
      </w:r>
      <w:r w:rsidR="002E58D7">
        <w:t xml:space="preserve">, </w:t>
      </w:r>
      <w:r w:rsidR="00E5555B">
        <w:t xml:space="preserve">filed </w:t>
      </w:r>
      <w:r w:rsidR="001B2FAA">
        <w:t>May 24</w:t>
      </w:r>
      <w:r w:rsidR="00B828C8">
        <w:t>, 20</w:t>
      </w:r>
      <w:r w:rsidR="00F95FD7">
        <w:t>2</w:t>
      </w:r>
      <w:r w:rsidR="008D700E">
        <w:t>3</w:t>
      </w:r>
      <w:r w:rsidR="00E5555B">
        <w:t>) (Resumption Notice)</w:t>
      </w:r>
      <w:r w:rsidR="002E58D7">
        <w:t>.</w:t>
      </w:r>
    </w:p>
  </w:footnote>
  <w:footnote w:id="9">
    <w:p w:rsidR="0009401F" w:rsidP="0009401F" w14:paraId="5409310D" w14:textId="7D1C8D74">
      <w:pPr>
        <w:pStyle w:val="FootnoteText"/>
      </w:pPr>
      <w:r>
        <w:rPr>
          <w:rStyle w:val="FootnoteReference"/>
        </w:rPr>
        <w:footnoteRef/>
      </w:r>
      <w:r>
        <w:t xml:space="preserve"> Silent STA</w:t>
      </w:r>
      <w:r w:rsidR="00F94A90">
        <w:t xml:space="preserve"> Request</w:t>
      </w:r>
      <w:r>
        <w:t xml:space="preserve"> at Attach. “Silent KJMU.01.10.2023.docx”. </w:t>
      </w:r>
    </w:p>
  </w:footnote>
  <w:footnote w:id="10">
    <w:p w:rsidR="007043CF" w:rsidP="002D07E2" w14:paraId="523D6B09" w14:textId="77777777">
      <w:pPr>
        <w:pStyle w:val="FootnoteText"/>
      </w:pPr>
      <w:r>
        <w:rPr>
          <w:rStyle w:val="FootnoteReference"/>
          <w:rFonts w:eastAsia="Calibri"/>
        </w:rPr>
        <w:footnoteRef/>
      </w:r>
      <w:r>
        <w:t xml:space="preserve"> </w:t>
      </w:r>
      <w:r w:rsidRPr="00CB2AC5">
        <w:t xml:space="preserve">Section 307(c)(3) of the Act mandates that the Commission continue a broadcast license in effect while the license renewal application is pending.  47 U.S.C. § 307(c)(3); </w:t>
      </w:r>
      <w:r w:rsidRPr="00CB2AC5">
        <w:rPr>
          <w:i/>
        </w:rPr>
        <w:t>see Fox Television Stations, Inc.</w:t>
      </w:r>
      <w:r w:rsidRPr="00CB2AC5">
        <w:t xml:space="preserve">, Memorandum Opinion and Order, 29 FCC </w:t>
      </w:r>
      <w:r w:rsidRPr="00CB2AC5">
        <w:t>Rcd</w:t>
      </w:r>
      <w:r w:rsidRPr="00CB2AC5">
        <w:t xml:space="preserve"> 9564, 9571 n.40 (MB 2014) (in acting on a renewal application, the Commission considers the licensee’s performance since the beginning of its most recent license term but gives less weight to improved performance during the pendency of the renewal application).</w:t>
      </w:r>
    </w:p>
  </w:footnote>
  <w:footnote w:id="11">
    <w:p w:rsidR="0009401F" w:rsidRPr="0009401F" w14:paraId="1921F729" w14:textId="627D1359">
      <w:pPr>
        <w:pStyle w:val="FootnoteText"/>
      </w:pPr>
      <w:r>
        <w:rPr>
          <w:rStyle w:val="FootnoteReference"/>
        </w:rPr>
        <w:footnoteRef/>
      </w:r>
      <w:r>
        <w:t xml:space="preserve"> </w:t>
      </w:r>
      <w:r>
        <w:rPr>
          <w:i/>
          <w:iCs/>
        </w:rPr>
        <w:t xml:space="preserve">See </w:t>
      </w:r>
      <w:r>
        <w:t>Resumption Notice at Attach. “KJMU.On.Air.05.24.2023.docx”.</w:t>
      </w:r>
    </w:p>
  </w:footnote>
  <w:footnote w:id="12">
    <w:p w:rsidR="0009401F" w:rsidRPr="00670A77" w:rsidP="0009401F" w14:paraId="4850551C" w14:textId="219A9769">
      <w:pPr>
        <w:pStyle w:val="FootnoteText"/>
      </w:pPr>
      <w:r>
        <w:rPr>
          <w:rStyle w:val="FootnoteReference"/>
        </w:rPr>
        <w:footnoteRef/>
      </w:r>
      <w:r>
        <w:t xml:space="preserve"> </w:t>
      </w:r>
      <w:r>
        <w:rPr>
          <w:i/>
          <w:iCs/>
        </w:rPr>
        <w:t xml:space="preserve">See </w:t>
      </w:r>
      <w:r>
        <w:t xml:space="preserve">Application File No. </w:t>
      </w:r>
      <w:r w:rsidRPr="00C42783">
        <w:t>BSTA-20230717AAB (Engineering STA</w:t>
      </w:r>
      <w:r>
        <w:t>,</w:t>
      </w:r>
      <w:r w:rsidRPr="00C42783">
        <w:t xml:space="preserve"> granted July 20, 2023)</w:t>
      </w:r>
      <w:r w:rsidR="00B3756F">
        <w:t xml:space="preserve"> (July 2023 STA Request)</w:t>
      </w:r>
      <w:r>
        <w:t>.</w:t>
      </w:r>
    </w:p>
  </w:footnote>
  <w:footnote w:id="13">
    <w:p w:rsidR="00481BBC" w:rsidRPr="00AC0CF2" w:rsidP="00481BBC" w14:paraId="35F46648" w14:textId="77777777">
      <w:pPr>
        <w:pStyle w:val="FootnoteText"/>
      </w:pPr>
      <w:r>
        <w:rPr>
          <w:rStyle w:val="FootnoteReference"/>
        </w:rPr>
        <w:footnoteRef/>
      </w:r>
      <w:r>
        <w:t xml:space="preserve"> </w:t>
      </w:r>
      <w:r>
        <w:rPr>
          <w:i/>
          <w:iCs/>
        </w:rPr>
        <w:t xml:space="preserve">See </w:t>
      </w:r>
      <w:r>
        <w:t xml:space="preserve">Application File Nos. </w:t>
      </w:r>
      <w:r w:rsidRPr="002B6EC9">
        <w:t>0000215126</w:t>
      </w:r>
      <w:r>
        <w:t xml:space="preserve"> (Notice of Resumption of Operations disclosing that the Station resumed operations at 25% of authorized power); </w:t>
      </w:r>
      <w:r w:rsidRPr="001E2BFF">
        <w:t>BSTA-20230717AAB</w:t>
      </w:r>
      <w:r>
        <w:t xml:space="preserve"> (Engineering STA, granted July 20, 2023).</w:t>
      </w:r>
    </w:p>
  </w:footnote>
  <w:footnote w:id="14">
    <w:p w:rsidR="003727A5" w14:paraId="310385A9" w14:textId="7EBED6A8">
      <w:pPr>
        <w:pStyle w:val="FootnoteText"/>
      </w:pPr>
      <w:r>
        <w:rPr>
          <w:rStyle w:val="FootnoteReference"/>
        </w:rPr>
        <w:footnoteRef/>
      </w:r>
      <w:r>
        <w:t xml:space="preserve"> Section 73.21(c) provides that a local channel is one on which stations operate unlimited time.</w:t>
      </w:r>
      <w:r w:rsidRPr="003727A5">
        <w:rPr>
          <w:i/>
          <w:iCs/>
        </w:rPr>
        <w:t xml:space="preserve"> </w:t>
      </w:r>
      <w:r>
        <w:rPr>
          <w:i/>
          <w:iCs/>
        </w:rPr>
        <w:t xml:space="preserve">See </w:t>
      </w:r>
      <w:r>
        <w:t xml:space="preserve">47 CFR </w:t>
      </w:r>
      <w:r w:rsidRPr="002312CA">
        <w:t>§</w:t>
      </w:r>
      <w:r>
        <w:t xml:space="preserve"> 73.21(c).</w:t>
      </w:r>
    </w:p>
  </w:footnote>
  <w:footnote w:id="15">
    <w:p w:rsidR="007043CF" w:rsidRPr="002312CA" w:rsidP="002D07E2" w14:paraId="19401C14" w14:textId="77777777">
      <w:pPr>
        <w:pStyle w:val="FootnoteText"/>
      </w:pPr>
      <w:r w:rsidRPr="002312CA">
        <w:rPr>
          <w:rStyle w:val="FootnoteReference"/>
          <w:rFonts w:eastAsia="Calibri"/>
        </w:rPr>
        <w:footnoteRef/>
      </w:r>
      <w:r w:rsidRPr="002312CA">
        <w:t xml:space="preserve"> </w:t>
      </w:r>
      <w:r w:rsidRPr="002312CA">
        <w:rPr>
          <w:i/>
        </w:rPr>
        <w:t>See Radioactive, LLC</w:t>
      </w:r>
      <w:r w:rsidRPr="002312CA">
        <w:t xml:space="preserve">, Hearing Designation Order, 32 FCC </w:t>
      </w:r>
      <w:r w:rsidRPr="002312CA">
        <w:t>Rcd</w:t>
      </w:r>
      <w:r w:rsidRPr="002312CA">
        <w:t xml:space="preserve"> 6392, para. 2 (2017).</w:t>
      </w:r>
    </w:p>
  </w:footnote>
  <w:footnote w:id="16">
    <w:p w:rsidR="00E740AC" w:rsidRPr="004C1A4E" w14:paraId="30D6BC15" w14:textId="05E1D6A4">
      <w:pPr>
        <w:pStyle w:val="FootnoteText"/>
      </w:pPr>
      <w:r w:rsidRPr="004C1A4E">
        <w:rPr>
          <w:rStyle w:val="FootnoteReference"/>
        </w:rPr>
        <w:footnoteRef/>
      </w:r>
      <w:r w:rsidRPr="004C1A4E">
        <w:t xml:space="preserve"> </w:t>
      </w:r>
      <w:r w:rsidRPr="002B4FC4" w:rsidR="009164EC">
        <w:t>47 U.S.C. § 301; 47 CFR §§ 73.1350, 73.1560, 73.1635,</w:t>
      </w:r>
      <w:r w:rsidRPr="002B4FC4" w:rsidR="005D5295">
        <w:t xml:space="preserve"> 73.1690,</w:t>
      </w:r>
      <w:r w:rsidRPr="002B4FC4" w:rsidR="009164EC">
        <w:t xml:space="preserve"> 73.1745. Section 301 of the Act and sections 73.1350(a), and 73.1745 of the Rules each require licensees to operate in accordance with their Commission-granted authorizations. </w:t>
      </w:r>
      <w:r w:rsidRPr="002B4FC4" w:rsidR="007A4836">
        <w:t xml:space="preserve"> </w:t>
      </w:r>
      <w:r w:rsidRPr="002B4FC4" w:rsidR="009164EC">
        <w:t>Section 73.1560 requires AM stations to maintain their antenna input power “as near as practicable to the authorized antenna input power” and specifies that it “may not be less than 90 percent nor greater than 105 percent of the authorized power.”</w:t>
      </w:r>
      <w:r w:rsidRPr="002B4FC4" w:rsidR="0043329E">
        <w:t xml:space="preserve">  Section 73.1</w:t>
      </w:r>
      <w:r w:rsidRPr="002B4FC4" w:rsidR="00A842F5">
        <w:t>560(d) provides that a station that is operating with reduced power for more than 30 days must obtain an STA to do so.</w:t>
      </w:r>
      <w:r w:rsidRPr="002B4FC4" w:rsidR="009164EC">
        <w:t xml:space="preserve"> </w:t>
      </w:r>
      <w:r w:rsidRPr="002B4FC4" w:rsidR="007A4836">
        <w:t xml:space="preserve"> </w:t>
      </w:r>
      <w:r w:rsidRPr="002B4FC4" w:rsidR="009164EC">
        <w:t>Section 73.1635 requires a licensee to obtain STA in order to operate “a broadcast facility for a limited period at a specified variance from the terms of the station authorization.”</w:t>
      </w:r>
      <w:r w:rsidRPr="002B4FC4" w:rsidR="00C119F1">
        <w:t xml:space="preserve">  Section 73.1690(b)(5) </w:t>
      </w:r>
      <w:r w:rsidRPr="002B4FC4" w:rsidR="00765A7F">
        <w:t>requires the licensee of a commercial AM station to apply for and obtain a construction permit from the Commission before reducing the AM station's</w:t>
      </w:r>
      <w:r w:rsidRPr="002B4FC4" w:rsidR="003E0019">
        <w:t xml:space="preserve"> authorized</w:t>
      </w:r>
      <w:r w:rsidRPr="002B4FC4" w:rsidR="00765A7F">
        <w:t xml:space="preserve"> power.</w:t>
      </w:r>
    </w:p>
  </w:footnote>
  <w:footnote w:id="17">
    <w:p w:rsidR="00990F4B" w:rsidRPr="00990F4B" w14:paraId="67E3DF4D" w14:textId="1EE41DF7">
      <w:pPr>
        <w:pStyle w:val="FootnoteText"/>
      </w:pPr>
      <w:r w:rsidRPr="004C1A4E">
        <w:rPr>
          <w:rStyle w:val="FootnoteReference"/>
        </w:rPr>
        <w:footnoteRef/>
      </w:r>
      <w:r w:rsidRPr="004C1A4E">
        <w:t xml:space="preserve"> </w:t>
      </w:r>
      <w:r w:rsidRPr="00373248">
        <w:rPr>
          <w:i/>
          <w:iCs/>
        </w:rPr>
        <w:t>See</w:t>
      </w:r>
      <w:r w:rsidRPr="00373248">
        <w:t xml:space="preserve"> 47 CFR § 73.1635.</w:t>
      </w:r>
    </w:p>
  </w:footnote>
  <w:footnote w:id="18">
    <w:p w:rsidR="00A74270" w:rsidRPr="00FF4FE3" w14:paraId="0C2071CB" w14:textId="6EAD2957">
      <w:pPr>
        <w:pStyle w:val="FootnoteText"/>
      </w:pPr>
      <w:r>
        <w:rPr>
          <w:rStyle w:val="FootnoteReference"/>
        </w:rPr>
        <w:footnoteRef/>
      </w:r>
      <w:r>
        <w:t xml:space="preserve"> </w:t>
      </w:r>
      <w:r>
        <w:rPr>
          <w:i/>
          <w:iCs/>
        </w:rPr>
        <w:t xml:space="preserve">See </w:t>
      </w:r>
      <w:r w:rsidR="00E877CD">
        <w:rPr>
          <w:i/>
          <w:iCs/>
        </w:rPr>
        <w:t>Alaska Educational Radio System, Inc.</w:t>
      </w:r>
      <w:r w:rsidR="00E877CD">
        <w:t xml:space="preserve">, </w:t>
      </w:r>
      <w:r w:rsidRPr="00AB187C" w:rsidR="00AB187C">
        <w:t>Memorandum Opinion and Order and Notice of Apparent Liability for Forfeiture</w:t>
      </w:r>
      <w:r w:rsidR="00AB187C">
        <w:t xml:space="preserve">, </w:t>
      </w:r>
      <w:r w:rsidR="00762CAE">
        <w:t xml:space="preserve">33 FCC </w:t>
      </w:r>
      <w:r w:rsidR="00762CAE">
        <w:t>Rcd</w:t>
      </w:r>
      <w:r w:rsidR="00762CAE">
        <w:t xml:space="preserve"> 6749,</w:t>
      </w:r>
      <w:r w:rsidR="001F5FCE">
        <w:t xml:space="preserve"> 6755</w:t>
      </w:r>
      <w:r w:rsidR="008C5512">
        <w:t>,</w:t>
      </w:r>
      <w:r w:rsidR="00762CAE">
        <w:t xml:space="preserve"> </w:t>
      </w:r>
      <w:r w:rsidR="00CF0757">
        <w:t>para. 17 (MB 2018) (</w:t>
      </w:r>
      <w:r w:rsidR="0003645D">
        <w:t xml:space="preserve">finding that </w:t>
      </w:r>
      <w:r w:rsidR="00694477">
        <w:t xml:space="preserve">the </w:t>
      </w:r>
      <w:r w:rsidR="009B10D4">
        <w:t xml:space="preserve">licensee failed to meet </w:t>
      </w:r>
      <w:r w:rsidR="00D64FCE">
        <w:t xml:space="preserve">the public service commitment licensees are expected to provide </w:t>
      </w:r>
      <w:r w:rsidR="007B6B12">
        <w:t xml:space="preserve">to </w:t>
      </w:r>
      <w:r w:rsidR="00D64FCE">
        <w:t xml:space="preserve">their communities of license because </w:t>
      </w:r>
      <w:r w:rsidR="0001008F">
        <w:t>it operated its station at reduced power</w:t>
      </w:r>
      <w:r w:rsidR="00732ADB">
        <w:t xml:space="preserve"> </w:t>
      </w:r>
      <w:r w:rsidR="0003645D">
        <w:t xml:space="preserve">for extended periods </w:t>
      </w:r>
      <w:r w:rsidR="00732ADB">
        <w:t>and was silent for a significant portion of its license term</w:t>
      </w:r>
      <w:r w:rsidR="007B6B12">
        <w:t>)</w:t>
      </w:r>
      <w:r w:rsidR="00AA0E50">
        <w:t xml:space="preserve">; </w:t>
      </w:r>
      <w:r w:rsidR="00595B65">
        <w:rPr>
          <w:i/>
          <w:iCs/>
        </w:rPr>
        <w:t>s</w:t>
      </w:r>
      <w:r w:rsidR="0087239D">
        <w:rPr>
          <w:i/>
          <w:iCs/>
        </w:rPr>
        <w:t xml:space="preserve">ee also </w:t>
      </w:r>
      <w:r w:rsidR="00FF4FE3">
        <w:rPr>
          <w:i/>
          <w:iCs/>
        </w:rPr>
        <w:t>Vandalia Media Partners 2, LLC</w:t>
      </w:r>
      <w:r w:rsidR="00FF4FE3">
        <w:t xml:space="preserve">, </w:t>
      </w:r>
      <w:r w:rsidRPr="007D2825" w:rsidR="007D2825">
        <w:t>Hearing Designation Order and Notice of Opportunity for Hearing</w:t>
      </w:r>
      <w:r w:rsidR="007D2825">
        <w:t xml:space="preserve">, 36 FCC </w:t>
      </w:r>
      <w:r w:rsidR="007D2825">
        <w:t>Rcd</w:t>
      </w:r>
      <w:r w:rsidR="007D2825">
        <w:t xml:space="preserve"> 7012, </w:t>
      </w:r>
      <w:r w:rsidR="00D042A8">
        <w:t>7013</w:t>
      </w:r>
      <w:r w:rsidR="00311EDA">
        <w:t>, para. 5</w:t>
      </w:r>
      <w:r w:rsidR="00D330D4">
        <w:t xml:space="preserve"> (MB 2021) (noting that reduced power</w:t>
      </w:r>
      <w:r w:rsidR="00707E0D">
        <w:t xml:space="preserve"> operations</w:t>
      </w:r>
      <w:r w:rsidR="00D330D4">
        <w:t xml:space="preserve"> </w:t>
      </w:r>
      <w:r w:rsidR="000F5D9C">
        <w:t xml:space="preserve">“cover a small portion of their service areas and may be insufficient to allow </w:t>
      </w:r>
      <w:r w:rsidR="00F16D95">
        <w:t>[stations]</w:t>
      </w:r>
      <w:r w:rsidR="000F5D9C">
        <w:t xml:space="preserve"> to provide service to their communities of license</w:t>
      </w:r>
      <w:r w:rsidR="008D1195">
        <w:t>.</w:t>
      </w:r>
      <w:r w:rsidR="000F5D9C">
        <w:t>”</w:t>
      </w:r>
      <w:r w:rsidR="00823F18">
        <w:t>).</w:t>
      </w:r>
    </w:p>
  </w:footnote>
  <w:footnote w:id="19">
    <w:p w:rsidR="007043CF" w:rsidRPr="002312CA" w:rsidP="002D07E2" w14:paraId="4B81DCA5" w14:textId="422A5523">
      <w:pPr>
        <w:pStyle w:val="FootnoteText"/>
      </w:pPr>
      <w:r w:rsidRPr="002312CA">
        <w:rPr>
          <w:rStyle w:val="FootnoteReference"/>
          <w:rFonts w:eastAsia="Calibri"/>
        </w:rPr>
        <w:footnoteRef/>
      </w:r>
      <w:r w:rsidRPr="002312CA">
        <w:rPr>
          <w:i/>
        </w:rPr>
        <w:t xml:space="preserve"> </w:t>
      </w:r>
      <w:r w:rsidRPr="002312CA">
        <w:t xml:space="preserve">47 U.S.C. § 309(k).  </w:t>
      </w:r>
      <w:r w:rsidRPr="002312CA">
        <w:rPr>
          <w:i/>
        </w:rPr>
        <w:t>See also</w:t>
      </w:r>
      <w:r w:rsidRPr="002312CA">
        <w:t xml:space="preserve"> 47 U.S.C. § 312(g)</w:t>
      </w:r>
      <w:r w:rsidR="00654D68">
        <w:t xml:space="preserve">.  </w:t>
      </w:r>
      <w:r w:rsidRPr="002312CA">
        <w:t xml:space="preserve">In addition to its enforcement of </w:t>
      </w:r>
      <w:r>
        <w:t>s</w:t>
      </w:r>
      <w:r w:rsidRPr="002312CA">
        <w:t xml:space="preserve">ections 309(k) and 312(g) of the Act, the Commission has stressed its interest in promoting efficient use of radio broadcast spectrum for the benefit of the public in several different contexts. </w:t>
      </w:r>
      <w:r w:rsidRPr="002312CA">
        <w:rPr>
          <w:i/>
        </w:rPr>
        <w:t xml:space="preserve"> See Policies to Promote Rural Radio Service and to Streamline Allotment and Assignment Procedures</w:t>
      </w:r>
      <w:r w:rsidRPr="002312CA">
        <w:t xml:space="preserve">, Third Report and Order, 26 FCC </w:t>
      </w:r>
      <w:r w:rsidRPr="002312CA">
        <w:t>Rcd</w:t>
      </w:r>
      <w:r w:rsidRPr="002312CA">
        <w:t xml:space="preserve"> 17642, 17645, para. 7 (2011) (citing the Commission’s “fundamental interest” in expediting new radio service and preventing “warehousing” of scarce spectrum); </w:t>
      </w:r>
      <w:r w:rsidRPr="002312CA">
        <w:rPr>
          <w:i/>
        </w:rPr>
        <w:t>1998 Biennial Regulatory Review – Streamlining of Mass Media Applications, Rules, and Processes</w:t>
      </w:r>
      <w:r w:rsidRPr="002312CA">
        <w:t xml:space="preserve">, Report and Order, 13 FCC </w:t>
      </w:r>
      <w:r w:rsidRPr="002312CA">
        <w:t>Rcd</w:t>
      </w:r>
      <w:r w:rsidRPr="002312CA">
        <w:t xml:space="preserve"> 23056, 23090-93, paras. 83-90 (1998), </w:t>
      </w:r>
      <w:r w:rsidRPr="002312CA">
        <w:rPr>
          <w:i/>
        </w:rPr>
        <w:t>on reconsideration</w:t>
      </w:r>
      <w:r w:rsidRPr="002312CA">
        <w:t xml:space="preserve">, 14 FCC </w:t>
      </w:r>
      <w:r w:rsidRPr="002312CA">
        <w:t>Rcd</w:t>
      </w:r>
      <w:r w:rsidRPr="002312CA">
        <w:t xml:space="preserve"> 17525, 17539, paras. 35-36 (1999); </w:t>
      </w:r>
      <w:r w:rsidRPr="002312CA">
        <w:rPr>
          <w:i/>
        </w:rPr>
        <w:t>Liberman Broad. of Dallas License LLC</w:t>
      </w:r>
      <w:r w:rsidRPr="002312CA">
        <w:t xml:space="preserve">, Letter, 25 FCC </w:t>
      </w:r>
      <w:r w:rsidRPr="002312CA">
        <w:t>Rcd</w:t>
      </w:r>
      <w:r w:rsidRPr="002312CA">
        <w:t xml:space="preserve"> 4765, 4768 (MB 2010).</w:t>
      </w:r>
    </w:p>
  </w:footnote>
  <w:footnote w:id="20">
    <w:p w:rsidR="007043CF" w:rsidRPr="002312CA" w:rsidP="002D07E2" w14:paraId="4FFA7451" w14:textId="77777777">
      <w:pPr>
        <w:pStyle w:val="FootnoteText"/>
      </w:pPr>
      <w:r w:rsidRPr="002312CA">
        <w:rPr>
          <w:rStyle w:val="FootnoteReference"/>
          <w:rFonts w:eastAsia="Calibri"/>
        </w:rPr>
        <w:footnoteRef/>
      </w:r>
      <w:r w:rsidRPr="002312CA">
        <w:t xml:space="preserve"> 47 U.S.C. § 309(k)(1).  The renewal standard was amended to read as described by </w:t>
      </w:r>
      <w:r>
        <w:t>s</w:t>
      </w:r>
      <w:r w:rsidRPr="002312CA">
        <w:t xml:space="preserve">ection 204(a) of the Telecommunications Act of 1996, Pub. L. No. 104-104, 110 Stat. 56 (1996).  </w:t>
      </w:r>
      <w:r w:rsidRPr="002312CA">
        <w:rPr>
          <w:i/>
        </w:rPr>
        <w:t>See Implementation of Sections 204(a) and 204(c) of the Telecomm. Act of 1996</w:t>
      </w:r>
      <w:r w:rsidRPr="002312CA">
        <w:t xml:space="preserve">, Order, 11 FCC </w:t>
      </w:r>
      <w:r w:rsidRPr="002312CA">
        <w:t>Rcd</w:t>
      </w:r>
      <w:r w:rsidRPr="002312CA">
        <w:t xml:space="preserve"> 6363 (1996).</w:t>
      </w:r>
    </w:p>
  </w:footnote>
  <w:footnote w:id="21">
    <w:p w:rsidR="007043CF" w:rsidRPr="002312CA" w:rsidP="002D07E2" w14:paraId="564D211D" w14:textId="77777777">
      <w:pPr>
        <w:pStyle w:val="FootnoteText"/>
      </w:pPr>
      <w:r w:rsidRPr="002312CA">
        <w:rPr>
          <w:rStyle w:val="FootnoteReference"/>
          <w:rFonts w:eastAsia="Calibri"/>
        </w:rPr>
        <w:footnoteRef/>
      </w:r>
      <w:r w:rsidRPr="002312CA">
        <w:t xml:space="preserve"> 47 U.S.C. §§ 309(k)(2), 309(k)(3).</w:t>
      </w:r>
    </w:p>
  </w:footnote>
  <w:footnote w:id="22">
    <w:p w:rsidR="007043CF" w:rsidRPr="002312CA" w:rsidP="002D07E2" w14:paraId="67FC3FA2" w14:textId="4BBAC9C8">
      <w:pPr>
        <w:pStyle w:val="FootnoteText"/>
      </w:pPr>
      <w:r w:rsidRPr="002312CA">
        <w:rPr>
          <w:rStyle w:val="FootnoteReference"/>
          <w:rFonts w:eastAsia="Calibri"/>
        </w:rPr>
        <w:footnoteRef/>
      </w:r>
      <w:r w:rsidRPr="002312CA">
        <w:t xml:space="preserve"> </w:t>
      </w:r>
      <w:r w:rsidRPr="002312CA">
        <w:rPr>
          <w:i/>
        </w:rPr>
        <w:t xml:space="preserve">See Birach Broad. Corp., </w:t>
      </w:r>
      <w:r w:rsidRPr="002312CA">
        <w:t xml:space="preserve">Memorandum Opinion and Order, 16 FCC </w:t>
      </w:r>
      <w:r w:rsidRPr="002312CA">
        <w:t>Rcd</w:t>
      </w:r>
      <w:r w:rsidRPr="002312CA">
        <w:t xml:space="preserve"> 5015, 5020, para. 13 (2001) (</w:t>
      </w:r>
      <w:r w:rsidRPr="002312CA">
        <w:rPr>
          <w:i/>
        </w:rPr>
        <w:t>Birach</w:t>
      </w:r>
      <w:r w:rsidR="00B2313A">
        <w:rPr>
          <w:i/>
        </w:rPr>
        <w:t xml:space="preserve"> 2001 Order</w:t>
      </w:r>
      <w:r w:rsidRPr="002312CA">
        <w:t>).</w:t>
      </w:r>
    </w:p>
  </w:footnote>
  <w:footnote w:id="23">
    <w:p w:rsidR="007043CF" w:rsidRPr="002312CA" w:rsidP="002D07E2" w14:paraId="53220B7B" w14:textId="77777777">
      <w:pPr>
        <w:pStyle w:val="FootnoteText"/>
      </w:pPr>
      <w:r w:rsidRPr="002312CA">
        <w:rPr>
          <w:rStyle w:val="FootnoteReference"/>
          <w:rFonts w:eastAsia="Calibri"/>
        </w:rPr>
        <w:footnoteRef/>
      </w:r>
      <w:r w:rsidRPr="002312CA">
        <w:t xml:space="preserve"> </w:t>
      </w:r>
      <w:r w:rsidRPr="002312CA">
        <w:rPr>
          <w:i/>
        </w:rPr>
        <w:t>Id.</w:t>
      </w:r>
      <w:r w:rsidRPr="002312CA">
        <w:t xml:space="preserve"> at para. 12 (“[C]</w:t>
      </w:r>
      <w:r w:rsidRPr="002312CA">
        <w:t>onsideration</w:t>
      </w:r>
      <w:r w:rsidRPr="002312CA">
        <w:t xml:space="preserve"> of post-term developments is fundamentally at odds with this backwards-looking standard.”).</w:t>
      </w:r>
    </w:p>
  </w:footnote>
  <w:footnote w:id="24">
    <w:p w:rsidR="007043CF" w:rsidRPr="009671DF" w:rsidP="002D07E2" w14:paraId="5C1F6185" w14:textId="0358B07B">
      <w:pPr>
        <w:pStyle w:val="FootnoteText"/>
      </w:pPr>
      <w:r w:rsidRPr="002312CA">
        <w:rPr>
          <w:rStyle w:val="FootnoteReference"/>
          <w:rFonts w:eastAsia="Calibri"/>
        </w:rPr>
        <w:footnoteRef/>
      </w:r>
      <w:r w:rsidRPr="002312CA">
        <w:t xml:space="preserve"> In</w:t>
      </w:r>
      <w:r w:rsidR="009822EE">
        <w:t xml:space="preserve"> the</w:t>
      </w:r>
      <w:r w:rsidRPr="002312CA">
        <w:t xml:space="preserve"> </w:t>
      </w:r>
      <w:r w:rsidRPr="002312CA">
        <w:rPr>
          <w:i/>
        </w:rPr>
        <w:t>Birach</w:t>
      </w:r>
      <w:r w:rsidR="009822EE">
        <w:rPr>
          <w:i/>
        </w:rPr>
        <w:t xml:space="preserve"> </w:t>
      </w:r>
      <w:r w:rsidRPr="009822EE" w:rsidR="009822EE">
        <w:rPr>
          <w:i/>
        </w:rPr>
        <w:t>2001 Order</w:t>
      </w:r>
      <w:r w:rsidRPr="002312CA">
        <w:t xml:space="preserve">, the station was silent for the entire period (approximately two and one-half years) in which the license renewal applicant (Birach) held the license.  Section 312(g) of the Act took effect during that period, and Birach </w:t>
      </w:r>
      <w:r w:rsidRPr="009671DF">
        <w:t xml:space="preserve">returned the station to operation before that provision would have applied.  </w:t>
      </w:r>
      <w:r w:rsidRPr="009671DF">
        <w:rPr>
          <w:i/>
        </w:rPr>
        <w:t>See</w:t>
      </w:r>
      <w:r w:rsidRPr="009671DF">
        <w:t xml:space="preserve"> 47 U.S.C. § 312(g).  The Commission stated:  “The fact that Birach resumed WDMV operations only when faced with the potential license cancellation is not lost on us.  Although we have concluded that Birach is qualified to be a licensee and that grant of the renewal application was proper, it is equally clear to us that </w:t>
      </w:r>
      <w:r w:rsidRPr="009671DF">
        <w:t>Birach’s</w:t>
      </w:r>
      <w:r w:rsidRPr="009671DF">
        <w:t xml:space="preserve"> conduct as a licensee upon acquiring WDMV fell far short of the service commitment which most licensees fulfill to their communities of license on a daily basis.”  </w:t>
      </w:r>
      <w:r w:rsidRPr="009671DF">
        <w:rPr>
          <w:i/>
        </w:rPr>
        <w:t>Id.</w:t>
      </w:r>
      <w:r w:rsidRPr="009671DF">
        <w:t xml:space="preserve">, 16 FCC </w:t>
      </w:r>
      <w:r w:rsidRPr="009671DF">
        <w:t>Rcd</w:t>
      </w:r>
      <w:r w:rsidRPr="009671DF">
        <w:t xml:space="preserve"> at 2021, para. 13.</w:t>
      </w:r>
    </w:p>
  </w:footnote>
  <w:footnote w:id="25">
    <w:p w:rsidR="007043CF" w:rsidRPr="009671DF" w:rsidP="002D07E2" w14:paraId="3AED247A" w14:textId="77777777">
      <w:pPr>
        <w:pStyle w:val="FootnoteText"/>
      </w:pPr>
      <w:r w:rsidRPr="009671DF">
        <w:rPr>
          <w:rStyle w:val="FootnoteReference"/>
          <w:rFonts w:eastAsia="Calibri"/>
        </w:rPr>
        <w:footnoteRef/>
      </w:r>
      <w:r w:rsidRPr="009671DF">
        <w:t xml:space="preserve"> </w:t>
      </w:r>
      <w:r w:rsidRPr="009671DF">
        <w:rPr>
          <w:i/>
        </w:rPr>
        <w:t>See Fox Television Stations, Inc.</w:t>
      </w:r>
      <w:r w:rsidRPr="009671DF">
        <w:t xml:space="preserve">, Memorandum Opinion and Order, 29 FCC </w:t>
      </w:r>
      <w:r w:rsidRPr="009671DF">
        <w:t>Rcd</w:t>
      </w:r>
      <w:r w:rsidRPr="009671DF">
        <w:t xml:space="preserve"> 9564, 9571 n. 40 (MB 2014) (Commission considers the licensee’s performance since the beginning of its most recent license term, but performance during the pendency of a renewal application is given less weight).</w:t>
      </w:r>
    </w:p>
  </w:footnote>
  <w:footnote w:id="26">
    <w:p w:rsidR="00B25C5C" w:rsidRPr="00624036" w14:paraId="4CF089DE" w14:textId="7EBCC0CB">
      <w:pPr>
        <w:pStyle w:val="FootnoteText"/>
      </w:pPr>
      <w:r w:rsidRPr="00B3756F">
        <w:rPr>
          <w:rStyle w:val="FootnoteReference"/>
        </w:rPr>
        <w:footnoteRef/>
      </w:r>
      <w:r w:rsidRPr="00B3756F">
        <w:t xml:space="preserve"> </w:t>
      </w:r>
      <w:r w:rsidRPr="00B3756F">
        <w:rPr>
          <w:i/>
          <w:iCs/>
        </w:rPr>
        <w:t>See, e.g.</w:t>
      </w:r>
      <w:r w:rsidRPr="00B3756F" w:rsidR="006C1E8D">
        <w:t xml:space="preserve">, </w:t>
      </w:r>
      <w:r w:rsidRPr="00B3756F" w:rsidR="006C1E8D">
        <w:rPr>
          <w:i/>
          <w:iCs/>
        </w:rPr>
        <w:t>Augustus Foundation, Inc.</w:t>
      </w:r>
      <w:r w:rsidRPr="00B3756F" w:rsidR="006C1E8D">
        <w:t xml:space="preserve">, </w:t>
      </w:r>
      <w:r w:rsidRPr="00B3756F" w:rsidR="006C45C5">
        <w:t xml:space="preserve">Memorandum Opinion and Order and Notice of Apparent Liability, </w:t>
      </w:r>
      <w:r w:rsidRPr="00B3756F" w:rsidR="00B3756F">
        <w:t xml:space="preserve">37 FCC </w:t>
      </w:r>
      <w:r w:rsidRPr="00B3756F" w:rsidR="00B3756F">
        <w:t>Rcd</w:t>
      </w:r>
      <w:r w:rsidRPr="00B3756F" w:rsidR="00B3756F">
        <w:t xml:space="preserve"> 12250</w:t>
      </w:r>
      <w:r w:rsidR="00092FBC">
        <w:t xml:space="preserve">, </w:t>
      </w:r>
      <w:r w:rsidR="00F85515">
        <w:t>12253</w:t>
      </w:r>
      <w:r w:rsidRPr="00B3756F" w:rsidR="003E0693">
        <w:t xml:space="preserve"> (MB 2022</w:t>
      </w:r>
      <w:r w:rsidRPr="00B3756F" w:rsidR="00EA0F17">
        <w:t>)</w:t>
      </w:r>
      <w:r w:rsidRPr="00B3756F" w:rsidR="004B4B1C">
        <w:t xml:space="preserve"> (proposing a </w:t>
      </w:r>
      <w:r w:rsidRPr="00B3756F" w:rsidR="00E7087D">
        <w:t xml:space="preserve">$3,000 forfeiture amount for the station’s </w:t>
      </w:r>
      <w:r w:rsidRPr="00B3756F" w:rsidR="0070306D">
        <w:t>failure to request an extension of its STA to operate at reduced power, which resulted in unauthorized reduced power operations</w:t>
      </w:r>
      <w:r w:rsidRPr="00B3756F" w:rsidR="00E7087D">
        <w:t xml:space="preserve">); </w:t>
      </w:r>
      <w:r w:rsidRPr="00B3756F" w:rsidR="00624036">
        <w:rPr>
          <w:i/>
          <w:iCs/>
        </w:rPr>
        <w:t>Roy E. Henderson</w:t>
      </w:r>
      <w:r w:rsidRPr="00B3756F" w:rsidR="00624036">
        <w:t>, Memorandum Opinion and Order and Notice of Apparent Liability</w:t>
      </w:r>
      <w:r w:rsidRPr="00B3756F" w:rsidR="00757923">
        <w:t xml:space="preserve">, </w:t>
      </w:r>
      <w:r w:rsidRPr="00B3756F" w:rsidR="0089159C">
        <w:t xml:space="preserve">33 FCC </w:t>
      </w:r>
      <w:r w:rsidRPr="00B3756F" w:rsidR="0089159C">
        <w:t>Rcd</w:t>
      </w:r>
      <w:r w:rsidRPr="00B3756F" w:rsidR="0089159C">
        <w:t xml:space="preserve"> </w:t>
      </w:r>
      <w:r w:rsidRPr="00B3756F" w:rsidR="001837D4">
        <w:t>5223, 5230 (MB 2018)</w:t>
      </w:r>
      <w:r w:rsidRPr="00B3756F" w:rsidR="00132A27">
        <w:t xml:space="preserve"> (proposing a $10,000 forfeiture amount for </w:t>
      </w:r>
      <w:r w:rsidRPr="00B3756F" w:rsidR="002B3294">
        <w:t>the station’s failure to operate in accordance with</w:t>
      </w:r>
      <w:r w:rsidRPr="00B3756F" w:rsidR="00BB3285">
        <w:t xml:space="preserve"> the terms of its authorization, by, among other things, operating at reduced power without authorization)</w:t>
      </w:r>
      <w:r w:rsidRPr="00B3756F" w:rsidR="00951BC2">
        <w:t xml:space="preserve">; </w:t>
      </w:r>
      <w:r w:rsidRPr="00B3756F" w:rsidR="002C757C">
        <w:rPr>
          <w:i/>
          <w:iCs/>
        </w:rPr>
        <w:t>Nassau Broadcasting II, LLC, Debtor-in-Possession</w:t>
      </w:r>
      <w:r w:rsidRPr="00B3756F" w:rsidR="00C23191">
        <w:t>, Notice of Apparent Liability for Forfeiture and Order</w:t>
      </w:r>
      <w:r w:rsidRPr="00B3756F" w:rsidR="00B823CF">
        <w:t xml:space="preserve">, 27 FCC </w:t>
      </w:r>
      <w:r w:rsidRPr="00B3756F" w:rsidR="00B823CF">
        <w:t>Rcd</w:t>
      </w:r>
      <w:r w:rsidRPr="00B3756F" w:rsidR="00B823CF">
        <w:t xml:space="preserve"> 322, 324 (</w:t>
      </w:r>
      <w:r w:rsidRPr="00B3756F" w:rsidR="00395812">
        <w:t xml:space="preserve">EB </w:t>
      </w:r>
      <w:r w:rsidRPr="00B3756F" w:rsidR="00B823CF">
        <w:t xml:space="preserve">2012) (proposing a forfeiture amount of </w:t>
      </w:r>
      <w:r w:rsidRPr="00B3756F" w:rsidR="00681347">
        <w:t>$5,000 for operating the station at reduced power in contravention</w:t>
      </w:r>
      <w:r w:rsidRPr="00B3756F" w:rsidR="001837D4">
        <w:t xml:space="preserve"> </w:t>
      </w:r>
      <w:r w:rsidRPr="00B3756F" w:rsidR="00681347">
        <w:t>of the terms of its authorization).</w:t>
      </w:r>
    </w:p>
  </w:footnote>
  <w:footnote w:id="27">
    <w:p w:rsidR="00003E0B" w14:paraId="42B949AF" w14:textId="0C0B4730">
      <w:pPr>
        <w:pStyle w:val="FootnoteText"/>
      </w:pPr>
      <w:r>
        <w:rPr>
          <w:rStyle w:val="FootnoteReference"/>
        </w:rPr>
        <w:footnoteRef/>
      </w:r>
      <w:r>
        <w:t xml:space="preserve"> </w:t>
      </w:r>
      <w:r w:rsidRPr="008A151B" w:rsidR="00476FD6">
        <w:rPr>
          <w:i/>
          <w:iCs/>
        </w:rPr>
        <w:t xml:space="preserve">See </w:t>
      </w:r>
      <w:r w:rsidR="00B3756F">
        <w:t>Resumption Notice.</w:t>
      </w:r>
    </w:p>
  </w:footnote>
  <w:footnote w:id="28">
    <w:p w:rsidR="0040584C" w14:paraId="221D6421" w14:textId="2B2FD65E">
      <w:pPr>
        <w:pStyle w:val="FootnoteText"/>
      </w:pPr>
      <w:r>
        <w:rPr>
          <w:rStyle w:val="FootnoteReference"/>
        </w:rPr>
        <w:footnoteRef/>
      </w:r>
      <w:r>
        <w:t xml:space="preserve"> </w:t>
      </w:r>
      <w:r w:rsidRPr="008A151B">
        <w:rPr>
          <w:i/>
          <w:iCs/>
        </w:rPr>
        <w:t>See</w:t>
      </w:r>
      <w:r w:rsidRPr="008A151B">
        <w:t xml:space="preserve"> </w:t>
      </w:r>
      <w:r w:rsidR="00B3756F">
        <w:t>July 2023 STA Request.</w:t>
      </w:r>
    </w:p>
  </w:footnote>
  <w:footnote w:id="29">
    <w:p w:rsidR="007043CF" w:rsidRPr="009671DF" w:rsidP="007043CF" w14:paraId="468D0794" w14:textId="77777777">
      <w:pPr>
        <w:pStyle w:val="Footer"/>
        <w:spacing w:after="120"/>
        <w:rPr>
          <w:sz w:val="20"/>
        </w:rPr>
      </w:pPr>
      <w:r w:rsidRPr="009671DF">
        <w:rPr>
          <w:rStyle w:val="FootnoteReference"/>
          <w:rFonts w:eastAsia="Calibri"/>
        </w:rPr>
        <w:footnoteRef/>
      </w:r>
      <w:r w:rsidRPr="009671DF">
        <w:rPr>
          <w:sz w:val="20"/>
        </w:rPr>
        <w:t xml:space="preserve"> </w:t>
      </w:r>
      <w:r w:rsidRPr="009671DF">
        <w:rPr>
          <w:i/>
          <w:sz w:val="20"/>
        </w:rPr>
        <w:t xml:space="preserve">See, e.g., South Seas Broad., Inc., </w:t>
      </w:r>
      <w:r w:rsidRPr="009671DF">
        <w:rPr>
          <w:sz w:val="20"/>
        </w:rPr>
        <w:t xml:space="preserve">Memorandum Opinion and Order and Notice of Apparent Liability, 24 FCC </w:t>
      </w:r>
      <w:r w:rsidRPr="009671DF">
        <w:rPr>
          <w:sz w:val="20"/>
        </w:rPr>
        <w:t>Rcd</w:t>
      </w:r>
      <w:r w:rsidRPr="009671DF">
        <w:rPr>
          <w:sz w:val="20"/>
        </w:rPr>
        <w:t xml:space="preserve"> 6474 (MB 2008) (two-year renewal granted, NAL issued, for willfully and repeatedly violating 47 CFR § 73.1350 by engaging in operation of the station at an unauthorized site and willfully and repeatedly violating 47 CFR § 73.1740 by leaving the station silent without the proper authorization).  </w:t>
      </w:r>
    </w:p>
  </w:footnote>
  <w:footnote w:id="30">
    <w:p w:rsidR="007043CF" w:rsidRPr="003B582C" w:rsidP="002D07E2" w14:paraId="64884498" w14:textId="77777777">
      <w:pPr>
        <w:pStyle w:val="FootnoteText"/>
      </w:pPr>
      <w:r w:rsidRPr="009671DF">
        <w:rPr>
          <w:rStyle w:val="FootnoteReference"/>
          <w:rFonts w:eastAsia="Calibri"/>
        </w:rPr>
        <w:footnoteRef/>
      </w:r>
      <w:r w:rsidRPr="009671DF">
        <w:t xml:space="preserve"> 47 U.S.C. § 309(k)(2).</w:t>
      </w:r>
    </w:p>
  </w:footnote>
  <w:footnote w:id="31">
    <w:p w:rsidR="007043CF" w:rsidP="002D07E2" w14:paraId="5ABC59ED" w14:textId="77777777">
      <w:pPr>
        <w:pStyle w:val="FootnoteText"/>
      </w:pPr>
      <w:r w:rsidRPr="003B582C">
        <w:rPr>
          <w:rStyle w:val="FootnoteReference"/>
          <w:rFonts w:eastAsia="Calibri"/>
        </w:rPr>
        <w:footnoteRef/>
      </w:r>
      <w:r w:rsidRPr="003B582C">
        <w:t xml:space="preserve"> The date set in this letter for the new license term supersedes any notice generated from the FCC Licensing and Management System (LMS).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151C80AA" w14:textId="76C98E45">
    <w:pPr>
      <w:pStyle w:val="Header"/>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0180A4D9"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3F40B6F4" w14:textId="6F486DEE">
    <w:pPr>
      <w:pStyle w:val="Header"/>
      <w:jc w:val="center"/>
    </w:pPr>
  </w:p>
  <w:p w:rsidR="00D11E69" w:rsidP="00A02990" w14:paraId="48AE4829" w14:textId="600B785E">
    <w:pPr>
      <w:pStyle w:val="Header"/>
      <w:spacing w:after="240"/>
      <w:jc w:val="center"/>
    </w:pPr>
    <w:r w:rsidRPr="00CF7250">
      <w:t xml:space="preserve">December </w:t>
    </w:r>
    <w:r w:rsidRPr="00CF7250" w:rsidR="00CF7250">
      <w:t>22</w:t>
    </w:r>
    <w:r w:rsidRPr="00CF7250" w:rsidR="006D038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26"/>
    <w:rsid w:val="000000F9"/>
    <w:rsid w:val="00001EA9"/>
    <w:rsid w:val="00002EB1"/>
    <w:rsid w:val="00003E0B"/>
    <w:rsid w:val="0001008F"/>
    <w:rsid w:val="000142FF"/>
    <w:rsid w:val="00020254"/>
    <w:rsid w:val="000209ED"/>
    <w:rsid w:val="00021136"/>
    <w:rsid w:val="0003004E"/>
    <w:rsid w:val="00034724"/>
    <w:rsid w:val="000353E0"/>
    <w:rsid w:val="000356DD"/>
    <w:rsid w:val="00035EA3"/>
    <w:rsid w:val="0003645D"/>
    <w:rsid w:val="00037FCA"/>
    <w:rsid w:val="00042AB9"/>
    <w:rsid w:val="00054044"/>
    <w:rsid w:val="00064C77"/>
    <w:rsid w:val="00067C13"/>
    <w:rsid w:val="00073B0B"/>
    <w:rsid w:val="00082CE5"/>
    <w:rsid w:val="0008480C"/>
    <w:rsid w:val="00084C5C"/>
    <w:rsid w:val="00086971"/>
    <w:rsid w:val="000901EA"/>
    <w:rsid w:val="00090D38"/>
    <w:rsid w:val="00092FBC"/>
    <w:rsid w:val="0009401F"/>
    <w:rsid w:val="0009535D"/>
    <w:rsid w:val="000A1FAC"/>
    <w:rsid w:val="000A37D4"/>
    <w:rsid w:val="000B1EE0"/>
    <w:rsid w:val="000B2063"/>
    <w:rsid w:val="000B3406"/>
    <w:rsid w:val="000B5C7B"/>
    <w:rsid w:val="000C06E5"/>
    <w:rsid w:val="000C1BC5"/>
    <w:rsid w:val="000C4E63"/>
    <w:rsid w:val="000C6B0C"/>
    <w:rsid w:val="000C767F"/>
    <w:rsid w:val="000E1BA9"/>
    <w:rsid w:val="000E56EF"/>
    <w:rsid w:val="000F2654"/>
    <w:rsid w:val="000F5A47"/>
    <w:rsid w:val="000F5D9C"/>
    <w:rsid w:val="00104EC7"/>
    <w:rsid w:val="0010570F"/>
    <w:rsid w:val="001117E6"/>
    <w:rsid w:val="00120520"/>
    <w:rsid w:val="001216A6"/>
    <w:rsid w:val="00121AC1"/>
    <w:rsid w:val="00123923"/>
    <w:rsid w:val="00130598"/>
    <w:rsid w:val="001308A2"/>
    <w:rsid w:val="00130B12"/>
    <w:rsid w:val="00132A27"/>
    <w:rsid w:val="001333F1"/>
    <w:rsid w:val="0013449D"/>
    <w:rsid w:val="00134AA6"/>
    <w:rsid w:val="00134C5C"/>
    <w:rsid w:val="00134FE0"/>
    <w:rsid w:val="00135CDC"/>
    <w:rsid w:val="0014049A"/>
    <w:rsid w:val="00140B30"/>
    <w:rsid w:val="00143F7B"/>
    <w:rsid w:val="00147302"/>
    <w:rsid w:val="001527EA"/>
    <w:rsid w:val="00156481"/>
    <w:rsid w:val="001564B8"/>
    <w:rsid w:val="00163E6C"/>
    <w:rsid w:val="00170CC8"/>
    <w:rsid w:val="00173BE0"/>
    <w:rsid w:val="0017407F"/>
    <w:rsid w:val="00182742"/>
    <w:rsid w:val="001837D4"/>
    <w:rsid w:val="001854A3"/>
    <w:rsid w:val="00190829"/>
    <w:rsid w:val="0019198C"/>
    <w:rsid w:val="001A063A"/>
    <w:rsid w:val="001A4D01"/>
    <w:rsid w:val="001B2C6C"/>
    <w:rsid w:val="001B2FAA"/>
    <w:rsid w:val="001B3E68"/>
    <w:rsid w:val="001C21DA"/>
    <w:rsid w:val="001C67A0"/>
    <w:rsid w:val="001C78D8"/>
    <w:rsid w:val="001D1363"/>
    <w:rsid w:val="001E2BFF"/>
    <w:rsid w:val="001E3F21"/>
    <w:rsid w:val="001E4E3A"/>
    <w:rsid w:val="001F0335"/>
    <w:rsid w:val="001F181F"/>
    <w:rsid w:val="001F59F0"/>
    <w:rsid w:val="001F5FCE"/>
    <w:rsid w:val="0020410C"/>
    <w:rsid w:val="00204CE3"/>
    <w:rsid w:val="00205D60"/>
    <w:rsid w:val="002074DA"/>
    <w:rsid w:val="00207ACC"/>
    <w:rsid w:val="00210016"/>
    <w:rsid w:val="002118A8"/>
    <w:rsid w:val="00213C0C"/>
    <w:rsid w:val="00216CCD"/>
    <w:rsid w:val="00222D62"/>
    <w:rsid w:val="002237C4"/>
    <w:rsid w:val="002312CA"/>
    <w:rsid w:val="00231B85"/>
    <w:rsid w:val="00237903"/>
    <w:rsid w:val="00240993"/>
    <w:rsid w:val="0024452A"/>
    <w:rsid w:val="00247E89"/>
    <w:rsid w:val="00253D50"/>
    <w:rsid w:val="00254B64"/>
    <w:rsid w:val="002622B7"/>
    <w:rsid w:val="0026339D"/>
    <w:rsid w:val="00264492"/>
    <w:rsid w:val="00266DA9"/>
    <w:rsid w:val="002715FF"/>
    <w:rsid w:val="0028047D"/>
    <w:rsid w:val="0028083C"/>
    <w:rsid w:val="002815BA"/>
    <w:rsid w:val="0028214B"/>
    <w:rsid w:val="002848B7"/>
    <w:rsid w:val="0028500E"/>
    <w:rsid w:val="00290CC1"/>
    <w:rsid w:val="00293831"/>
    <w:rsid w:val="002A0241"/>
    <w:rsid w:val="002B1C64"/>
    <w:rsid w:val="002B1C6B"/>
    <w:rsid w:val="002B3294"/>
    <w:rsid w:val="002B4FC4"/>
    <w:rsid w:val="002B54DB"/>
    <w:rsid w:val="002B6EC9"/>
    <w:rsid w:val="002C757C"/>
    <w:rsid w:val="002D0034"/>
    <w:rsid w:val="002D07E2"/>
    <w:rsid w:val="002D18A5"/>
    <w:rsid w:val="002D1DA4"/>
    <w:rsid w:val="002D2012"/>
    <w:rsid w:val="002E58D7"/>
    <w:rsid w:val="002E748C"/>
    <w:rsid w:val="002E7A18"/>
    <w:rsid w:val="002F0E93"/>
    <w:rsid w:val="002F1801"/>
    <w:rsid w:val="002F20B6"/>
    <w:rsid w:val="002F28E5"/>
    <w:rsid w:val="002F4D0E"/>
    <w:rsid w:val="003010B3"/>
    <w:rsid w:val="003015E1"/>
    <w:rsid w:val="00303B30"/>
    <w:rsid w:val="003050F5"/>
    <w:rsid w:val="00305920"/>
    <w:rsid w:val="0030668B"/>
    <w:rsid w:val="00311EDA"/>
    <w:rsid w:val="003226B4"/>
    <w:rsid w:val="0032789F"/>
    <w:rsid w:val="00332BB0"/>
    <w:rsid w:val="00333633"/>
    <w:rsid w:val="00335F09"/>
    <w:rsid w:val="00336375"/>
    <w:rsid w:val="00341A14"/>
    <w:rsid w:val="00343795"/>
    <w:rsid w:val="00344526"/>
    <w:rsid w:val="00352BCA"/>
    <w:rsid w:val="00355A1D"/>
    <w:rsid w:val="003560DE"/>
    <w:rsid w:val="0035635B"/>
    <w:rsid w:val="00363526"/>
    <w:rsid w:val="00363881"/>
    <w:rsid w:val="00364CAB"/>
    <w:rsid w:val="00367B77"/>
    <w:rsid w:val="00367DE6"/>
    <w:rsid w:val="003708D2"/>
    <w:rsid w:val="003727A5"/>
    <w:rsid w:val="00373248"/>
    <w:rsid w:val="00392782"/>
    <w:rsid w:val="0039286D"/>
    <w:rsid w:val="00393EAB"/>
    <w:rsid w:val="00395812"/>
    <w:rsid w:val="003A1C76"/>
    <w:rsid w:val="003B0B10"/>
    <w:rsid w:val="003B5012"/>
    <w:rsid w:val="003B582C"/>
    <w:rsid w:val="003B62F8"/>
    <w:rsid w:val="003C1E14"/>
    <w:rsid w:val="003C38BB"/>
    <w:rsid w:val="003C620A"/>
    <w:rsid w:val="003D2939"/>
    <w:rsid w:val="003E0019"/>
    <w:rsid w:val="003E0693"/>
    <w:rsid w:val="003E2BAC"/>
    <w:rsid w:val="003E3E8D"/>
    <w:rsid w:val="003E4F6D"/>
    <w:rsid w:val="003E6A8A"/>
    <w:rsid w:val="003F087A"/>
    <w:rsid w:val="003F3DF8"/>
    <w:rsid w:val="003F4F1C"/>
    <w:rsid w:val="003F5128"/>
    <w:rsid w:val="003F7D59"/>
    <w:rsid w:val="00402782"/>
    <w:rsid w:val="0040584C"/>
    <w:rsid w:val="00410536"/>
    <w:rsid w:val="00415774"/>
    <w:rsid w:val="00427340"/>
    <w:rsid w:val="00430B6F"/>
    <w:rsid w:val="00431803"/>
    <w:rsid w:val="004330C7"/>
    <w:rsid w:val="0043329E"/>
    <w:rsid w:val="00434A30"/>
    <w:rsid w:val="00435D02"/>
    <w:rsid w:val="004409B7"/>
    <w:rsid w:val="00450597"/>
    <w:rsid w:val="00451621"/>
    <w:rsid w:val="004529FA"/>
    <w:rsid w:val="00454837"/>
    <w:rsid w:val="004577BB"/>
    <w:rsid w:val="00462122"/>
    <w:rsid w:val="00464502"/>
    <w:rsid w:val="00475032"/>
    <w:rsid w:val="004756A4"/>
    <w:rsid w:val="00476FD6"/>
    <w:rsid w:val="00481053"/>
    <w:rsid w:val="00481BBC"/>
    <w:rsid w:val="004827CA"/>
    <w:rsid w:val="0048351D"/>
    <w:rsid w:val="004858F7"/>
    <w:rsid w:val="00485B27"/>
    <w:rsid w:val="00486592"/>
    <w:rsid w:val="00497C32"/>
    <w:rsid w:val="004A089F"/>
    <w:rsid w:val="004A109F"/>
    <w:rsid w:val="004A780A"/>
    <w:rsid w:val="004B0406"/>
    <w:rsid w:val="004B0E21"/>
    <w:rsid w:val="004B233F"/>
    <w:rsid w:val="004B3D23"/>
    <w:rsid w:val="004B4B1C"/>
    <w:rsid w:val="004C1A4E"/>
    <w:rsid w:val="004C4EED"/>
    <w:rsid w:val="004C597A"/>
    <w:rsid w:val="004C6EF3"/>
    <w:rsid w:val="004D3B53"/>
    <w:rsid w:val="004D4BE2"/>
    <w:rsid w:val="004D5C78"/>
    <w:rsid w:val="004F52AE"/>
    <w:rsid w:val="004F6209"/>
    <w:rsid w:val="005000B9"/>
    <w:rsid w:val="0050197A"/>
    <w:rsid w:val="00502B7B"/>
    <w:rsid w:val="005118B2"/>
    <w:rsid w:val="0051674E"/>
    <w:rsid w:val="00516FE2"/>
    <w:rsid w:val="00520794"/>
    <w:rsid w:val="00530F35"/>
    <w:rsid w:val="0053211B"/>
    <w:rsid w:val="0053360D"/>
    <w:rsid w:val="00534812"/>
    <w:rsid w:val="00534F34"/>
    <w:rsid w:val="00536408"/>
    <w:rsid w:val="00544D11"/>
    <w:rsid w:val="00546036"/>
    <w:rsid w:val="0054633B"/>
    <w:rsid w:val="00550085"/>
    <w:rsid w:val="00550883"/>
    <w:rsid w:val="00552023"/>
    <w:rsid w:val="005553A4"/>
    <w:rsid w:val="00560AC6"/>
    <w:rsid w:val="00561819"/>
    <w:rsid w:val="00564F86"/>
    <w:rsid w:val="0056722A"/>
    <w:rsid w:val="00574F7E"/>
    <w:rsid w:val="00580E5D"/>
    <w:rsid w:val="00586B9F"/>
    <w:rsid w:val="0059293C"/>
    <w:rsid w:val="00595660"/>
    <w:rsid w:val="00595B65"/>
    <w:rsid w:val="005A0E7B"/>
    <w:rsid w:val="005A5212"/>
    <w:rsid w:val="005B11DD"/>
    <w:rsid w:val="005B184C"/>
    <w:rsid w:val="005B2847"/>
    <w:rsid w:val="005B325A"/>
    <w:rsid w:val="005B7CB8"/>
    <w:rsid w:val="005C61F4"/>
    <w:rsid w:val="005D13FE"/>
    <w:rsid w:val="005D163B"/>
    <w:rsid w:val="005D191D"/>
    <w:rsid w:val="005D1F0D"/>
    <w:rsid w:val="005D25EC"/>
    <w:rsid w:val="005D5295"/>
    <w:rsid w:val="005D7CD0"/>
    <w:rsid w:val="005E4E40"/>
    <w:rsid w:val="005F0C13"/>
    <w:rsid w:val="005F1674"/>
    <w:rsid w:val="005F3D1A"/>
    <w:rsid w:val="005F5775"/>
    <w:rsid w:val="00606011"/>
    <w:rsid w:val="006060E3"/>
    <w:rsid w:val="00612573"/>
    <w:rsid w:val="00615D45"/>
    <w:rsid w:val="00617708"/>
    <w:rsid w:val="00620BF3"/>
    <w:rsid w:val="00621E39"/>
    <w:rsid w:val="00624036"/>
    <w:rsid w:val="0062410C"/>
    <w:rsid w:val="00626CDF"/>
    <w:rsid w:val="0062715E"/>
    <w:rsid w:val="006276F5"/>
    <w:rsid w:val="00636312"/>
    <w:rsid w:val="00651A58"/>
    <w:rsid w:val="006549C4"/>
    <w:rsid w:val="00654D68"/>
    <w:rsid w:val="00665774"/>
    <w:rsid w:val="00665AD6"/>
    <w:rsid w:val="00667FDA"/>
    <w:rsid w:val="00670A77"/>
    <w:rsid w:val="00671A9A"/>
    <w:rsid w:val="00674521"/>
    <w:rsid w:val="00675D84"/>
    <w:rsid w:val="00681347"/>
    <w:rsid w:val="006839A3"/>
    <w:rsid w:val="006923AB"/>
    <w:rsid w:val="00692863"/>
    <w:rsid w:val="00693A35"/>
    <w:rsid w:val="00694477"/>
    <w:rsid w:val="006B0A84"/>
    <w:rsid w:val="006B7E74"/>
    <w:rsid w:val="006C0232"/>
    <w:rsid w:val="006C04F2"/>
    <w:rsid w:val="006C1E8D"/>
    <w:rsid w:val="006C2E54"/>
    <w:rsid w:val="006C41F8"/>
    <w:rsid w:val="006C45C5"/>
    <w:rsid w:val="006C65BC"/>
    <w:rsid w:val="006D038F"/>
    <w:rsid w:val="006D1095"/>
    <w:rsid w:val="006D1C96"/>
    <w:rsid w:val="006D20B3"/>
    <w:rsid w:val="006D3CE3"/>
    <w:rsid w:val="006D7F4D"/>
    <w:rsid w:val="006E24D1"/>
    <w:rsid w:val="006E49FE"/>
    <w:rsid w:val="006F782B"/>
    <w:rsid w:val="0070306D"/>
    <w:rsid w:val="00703FAE"/>
    <w:rsid w:val="007043CF"/>
    <w:rsid w:val="00705737"/>
    <w:rsid w:val="0070589A"/>
    <w:rsid w:val="00707E0D"/>
    <w:rsid w:val="00720478"/>
    <w:rsid w:val="007210B2"/>
    <w:rsid w:val="00722342"/>
    <w:rsid w:val="00726C31"/>
    <w:rsid w:val="00727B95"/>
    <w:rsid w:val="00732ADB"/>
    <w:rsid w:val="00733B25"/>
    <w:rsid w:val="007349AA"/>
    <w:rsid w:val="00734AD6"/>
    <w:rsid w:val="00737875"/>
    <w:rsid w:val="00737E68"/>
    <w:rsid w:val="00740BBD"/>
    <w:rsid w:val="007426EF"/>
    <w:rsid w:val="00742CE5"/>
    <w:rsid w:val="00756029"/>
    <w:rsid w:val="00756211"/>
    <w:rsid w:val="00757923"/>
    <w:rsid w:val="00762A4B"/>
    <w:rsid w:val="00762CAE"/>
    <w:rsid w:val="007659CE"/>
    <w:rsid w:val="00765A7F"/>
    <w:rsid w:val="0077211F"/>
    <w:rsid w:val="007727EF"/>
    <w:rsid w:val="00773458"/>
    <w:rsid w:val="00775BEB"/>
    <w:rsid w:val="00775EC8"/>
    <w:rsid w:val="007763AD"/>
    <w:rsid w:val="007826D7"/>
    <w:rsid w:val="00782D23"/>
    <w:rsid w:val="0078669F"/>
    <w:rsid w:val="00791AF3"/>
    <w:rsid w:val="007966EB"/>
    <w:rsid w:val="007A4836"/>
    <w:rsid w:val="007A5841"/>
    <w:rsid w:val="007B2E03"/>
    <w:rsid w:val="007B66EE"/>
    <w:rsid w:val="007B6B12"/>
    <w:rsid w:val="007C2359"/>
    <w:rsid w:val="007C5761"/>
    <w:rsid w:val="007C5F1E"/>
    <w:rsid w:val="007D2825"/>
    <w:rsid w:val="007D4F12"/>
    <w:rsid w:val="007D7EAF"/>
    <w:rsid w:val="007E0DF2"/>
    <w:rsid w:val="007E50C3"/>
    <w:rsid w:val="007E5B65"/>
    <w:rsid w:val="007E7AD4"/>
    <w:rsid w:val="007F385F"/>
    <w:rsid w:val="007F48C6"/>
    <w:rsid w:val="008042A2"/>
    <w:rsid w:val="00811832"/>
    <w:rsid w:val="00811E23"/>
    <w:rsid w:val="008129AC"/>
    <w:rsid w:val="00823F18"/>
    <w:rsid w:val="00826593"/>
    <w:rsid w:val="008337D1"/>
    <w:rsid w:val="008401A5"/>
    <w:rsid w:val="00852566"/>
    <w:rsid w:val="00855C00"/>
    <w:rsid w:val="00862D18"/>
    <w:rsid w:val="0086527C"/>
    <w:rsid w:val="00867F5A"/>
    <w:rsid w:val="0087239D"/>
    <w:rsid w:val="00872561"/>
    <w:rsid w:val="00873FA2"/>
    <w:rsid w:val="00875AEB"/>
    <w:rsid w:val="008769CB"/>
    <w:rsid w:val="00877E58"/>
    <w:rsid w:val="00881DA6"/>
    <w:rsid w:val="008825AE"/>
    <w:rsid w:val="00883939"/>
    <w:rsid w:val="0089159C"/>
    <w:rsid w:val="00891899"/>
    <w:rsid w:val="00892A80"/>
    <w:rsid w:val="00893652"/>
    <w:rsid w:val="00895141"/>
    <w:rsid w:val="00896F19"/>
    <w:rsid w:val="008A151B"/>
    <w:rsid w:val="008A3318"/>
    <w:rsid w:val="008A3771"/>
    <w:rsid w:val="008B2737"/>
    <w:rsid w:val="008B58EE"/>
    <w:rsid w:val="008B66DB"/>
    <w:rsid w:val="008C0852"/>
    <w:rsid w:val="008C2F38"/>
    <w:rsid w:val="008C303F"/>
    <w:rsid w:val="008C489D"/>
    <w:rsid w:val="008C5512"/>
    <w:rsid w:val="008C7F52"/>
    <w:rsid w:val="008D1195"/>
    <w:rsid w:val="008D2BB8"/>
    <w:rsid w:val="008D5126"/>
    <w:rsid w:val="008D6206"/>
    <w:rsid w:val="008D700E"/>
    <w:rsid w:val="008E1D45"/>
    <w:rsid w:val="008E2492"/>
    <w:rsid w:val="008E29D7"/>
    <w:rsid w:val="008E3612"/>
    <w:rsid w:val="008E6CE1"/>
    <w:rsid w:val="008F15A5"/>
    <w:rsid w:val="008F4E77"/>
    <w:rsid w:val="008F767C"/>
    <w:rsid w:val="00904DF0"/>
    <w:rsid w:val="00905120"/>
    <w:rsid w:val="00907587"/>
    <w:rsid w:val="009124D9"/>
    <w:rsid w:val="00912FB5"/>
    <w:rsid w:val="009164EC"/>
    <w:rsid w:val="00922C14"/>
    <w:rsid w:val="009267A2"/>
    <w:rsid w:val="00931AD3"/>
    <w:rsid w:val="009362A3"/>
    <w:rsid w:val="0094052E"/>
    <w:rsid w:val="00941937"/>
    <w:rsid w:val="00942097"/>
    <w:rsid w:val="00943408"/>
    <w:rsid w:val="00951BC2"/>
    <w:rsid w:val="00952143"/>
    <w:rsid w:val="00952D75"/>
    <w:rsid w:val="00964386"/>
    <w:rsid w:val="00966C2A"/>
    <w:rsid w:val="009671DF"/>
    <w:rsid w:val="00967F6E"/>
    <w:rsid w:val="00975B18"/>
    <w:rsid w:val="009822EE"/>
    <w:rsid w:val="00982EE3"/>
    <w:rsid w:val="00990631"/>
    <w:rsid w:val="00990F4B"/>
    <w:rsid w:val="009A6754"/>
    <w:rsid w:val="009B10D4"/>
    <w:rsid w:val="009B73B5"/>
    <w:rsid w:val="009D3B27"/>
    <w:rsid w:val="009D65D6"/>
    <w:rsid w:val="009D73F4"/>
    <w:rsid w:val="009E2CDD"/>
    <w:rsid w:val="009F2937"/>
    <w:rsid w:val="009F2B4C"/>
    <w:rsid w:val="009F70A3"/>
    <w:rsid w:val="00A011B0"/>
    <w:rsid w:val="00A0235D"/>
    <w:rsid w:val="00A02990"/>
    <w:rsid w:val="00A0357E"/>
    <w:rsid w:val="00A03E2D"/>
    <w:rsid w:val="00A060BF"/>
    <w:rsid w:val="00A128EB"/>
    <w:rsid w:val="00A16803"/>
    <w:rsid w:val="00A16F69"/>
    <w:rsid w:val="00A22B1F"/>
    <w:rsid w:val="00A23F56"/>
    <w:rsid w:val="00A3008F"/>
    <w:rsid w:val="00A301A0"/>
    <w:rsid w:val="00A31C56"/>
    <w:rsid w:val="00A32902"/>
    <w:rsid w:val="00A334B8"/>
    <w:rsid w:val="00A3799F"/>
    <w:rsid w:val="00A4121E"/>
    <w:rsid w:val="00A43C90"/>
    <w:rsid w:val="00A43CA6"/>
    <w:rsid w:val="00A44A4B"/>
    <w:rsid w:val="00A46438"/>
    <w:rsid w:val="00A479E1"/>
    <w:rsid w:val="00A52B87"/>
    <w:rsid w:val="00A56C26"/>
    <w:rsid w:val="00A601D9"/>
    <w:rsid w:val="00A61AB8"/>
    <w:rsid w:val="00A65919"/>
    <w:rsid w:val="00A6609B"/>
    <w:rsid w:val="00A70620"/>
    <w:rsid w:val="00A7113F"/>
    <w:rsid w:val="00A74270"/>
    <w:rsid w:val="00A7544E"/>
    <w:rsid w:val="00A81BF1"/>
    <w:rsid w:val="00A82825"/>
    <w:rsid w:val="00A82CC4"/>
    <w:rsid w:val="00A842F5"/>
    <w:rsid w:val="00A95174"/>
    <w:rsid w:val="00A96725"/>
    <w:rsid w:val="00AA0E50"/>
    <w:rsid w:val="00AB0BAD"/>
    <w:rsid w:val="00AB187C"/>
    <w:rsid w:val="00AB5ADA"/>
    <w:rsid w:val="00AB642F"/>
    <w:rsid w:val="00AB7683"/>
    <w:rsid w:val="00AC0745"/>
    <w:rsid w:val="00AC0CF2"/>
    <w:rsid w:val="00AC43FA"/>
    <w:rsid w:val="00AD025E"/>
    <w:rsid w:val="00AD227F"/>
    <w:rsid w:val="00AD2A47"/>
    <w:rsid w:val="00AE7630"/>
    <w:rsid w:val="00AF3EF5"/>
    <w:rsid w:val="00AF6CBB"/>
    <w:rsid w:val="00B02F02"/>
    <w:rsid w:val="00B04A14"/>
    <w:rsid w:val="00B10ACE"/>
    <w:rsid w:val="00B165AB"/>
    <w:rsid w:val="00B1721F"/>
    <w:rsid w:val="00B20AA0"/>
    <w:rsid w:val="00B2313A"/>
    <w:rsid w:val="00B25113"/>
    <w:rsid w:val="00B25C5C"/>
    <w:rsid w:val="00B3016B"/>
    <w:rsid w:val="00B3037B"/>
    <w:rsid w:val="00B30A75"/>
    <w:rsid w:val="00B326B5"/>
    <w:rsid w:val="00B350D2"/>
    <w:rsid w:val="00B35593"/>
    <w:rsid w:val="00B3756F"/>
    <w:rsid w:val="00B43C05"/>
    <w:rsid w:val="00B47346"/>
    <w:rsid w:val="00B54AF8"/>
    <w:rsid w:val="00B54F1B"/>
    <w:rsid w:val="00B566F5"/>
    <w:rsid w:val="00B639F2"/>
    <w:rsid w:val="00B66E33"/>
    <w:rsid w:val="00B6746F"/>
    <w:rsid w:val="00B70B4F"/>
    <w:rsid w:val="00B71C7F"/>
    <w:rsid w:val="00B76C3E"/>
    <w:rsid w:val="00B77FB4"/>
    <w:rsid w:val="00B823CF"/>
    <w:rsid w:val="00B828C8"/>
    <w:rsid w:val="00B83077"/>
    <w:rsid w:val="00B84840"/>
    <w:rsid w:val="00B9378F"/>
    <w:rsid w:val="00BA189C"/>
    <w:rsid w:val="00BA1C07"/>
    <w:rsid w:val="00BA23F9"/>
    <w:rsid w:val="00BA30D6"/>
    <w:rsid w:val="00BA4F96"/>
    <w:rsid w:val="00BA5A52"/>
    <w:rsid w:val="00BA5FDA"/>
    <w:rsid w:val="00BB0278"/>
    <w:rsid w:val="00BB3285"/>
    <w:rsid w:val="00BB398B"/>
    <w:rsid w:val="00BB4F0F"/>
    <w:rsid w:val="00BB5287"/>
    <w:rsid w:val="00BB784D"/>
    <w:rsid w:val="00BC40C6"/>
    <w:rsid w:val="00BC5E05"/>
    <w:rsid w:val="00BD0127"/>
    <w:rsid w:val="00BE1B2A"/>
    <w:rsid w:val="00BE3135"/>
    <w:rsid w:val="00BE683E"/>
    <w:rsid w:val="00BE76AA"/>
    <w:rsid w:val="00BF0BFF"/>
    <w:rsid w:val="00BF5A8F"/>
    <w:rsid w:val="00C027E1"/>
    <w:rsid w:val="00C028AA"/>
    <w:rsid w:val="00C050E2"/>
    <w:rsid w:val="00C06E32"/>
    <w:rsid w:val="00C077E3"/>
    <w:rsid w:val="00C10EAB"/>
    <w:rsid w:val="00C119F1"/>
    <w:rsid w:val="00C12E7C"/>
    <w:rsid w:val="00C1355E"/>
    <w:rsid w:val="00C20271"/>
    <w:rsid w:val="00C23191"/>
    <w:rsid w:val="00C27317"/>
    <w:rsid w:val="00C2787A"/>
    <w:rsid w:val="00C27A53"/>
    <w:rsid w:val="00C41984"/>
    <w:rsid w:val="00C42783"/>
    <w:rsid w:val="00C46472"/>
    <w:rsid w:val="00C651A4"/>
    <w:rsid w:val="00C65979"/>
    <w:rsid w:val="00C6621C"/>
    <w:rsid w:val="00C840BA"/>
    <w:rsid w:val="00C84DC0"/>
    <w:rsid w:val="00C96C75"/>
    <w:rsid w:val="00CA0AE4"/>
    <w:rsid w:val="00CB138F"/>
    <w:rsid w:val="00CB1763"/>
    <w:rsid w:val="00CB2AC5"/>
    <w:rsid w:val="00CB2CD2"/>
    <w:rsid w:val="00CD3FB5"/>
    <w:rsid w:val="00CD6F09"/>
    <w:rsid w:val="00CD762F"/>
    <w:rsid w:val="00CE0D8C"/>
    <w:rsid w:val="00CE1FCE"/>
    <w:rsid w:val="00CE6B5D"/>
    <w:rsid w:val="00CF0757"/>
    <w:rsid w:val="00CF3C7E"/>
    <w:rsid w:val="00CF5856"/>
    <w:rsid w:val="00CF7250"/>
    <w:rsid w:val="00D01239"/>
    <w:rsid w:val="00D02342"/>
    <w:rsid w:val="00D042A8"/>
    <w:rsid w:val="00D04FF7"/>
    <w:rsid w:val="00D057DC"/>
    <w:rsid w:val="00D104B6"/>
    <w:rsid w:val="00D11E69"/>
    <w:rsid w:val="00D22108"/>
    <w:rsid w:val="00D22CE0"/>
    <w:rsid w:val="00D25BAF"/>
    <w:rsid w:val="00D25F90"/>
    <w:rsid w:val="00D266F5"/>
    <w:rsid w:val="00D26C53"/>
    <w:rsid w:val="00D31930"/>
    <w:rsid w:val="00D3220B"/>
    <w:rsid w:val="00D326E1"/>
    <w:rsid w:val="00D330D4"/>
    <w:rsid w:val="00D3369C"/>
    <w:rsid w:val="00D416ED"/>
    <w:rsid w:val="00D462C0"/>
    <w:rsid w:val="00D50DC8"/>
    <w:rsid w:val="00D54FF8"/>
    <w:rsid w:val="00D565EA"/>
    <w:rsid w:val="00D57DBC"/>
    <w:rsid w:val="00D612B1"/>
    <w:rsid w:val="00D6178B"/>
    <w:rsid w:val="00D64FCE"/>
    <w:rsid w:val="00D7179F"/>
    <w:rsid w:val="00D80970"/>
    <w:rsid w:val="00D816BD"/>
    <w:rsid w:val="00D8387D"/>
    <w:rsid w:val="00D84CF0"/>
    <w:rsid w:val="00D92FDF"/>
    <w:rsid w:val="00D939D5"/>
    <w:rsid w:val="00D96C64"/>
    <w:rsid w:val="00DA041D"/>
    <w:rsid w:val="00DA1575"/>
    <w:rsid w:val="00DA1939"/>
    <w:rsid w:val="00DA6258"/>
    <w:rsid w:val="00DA63E5"/>
    <w:rsid w:val="00DB4A18"/>
    <w:rsid w:val="00DB7872"/>
    <w:rsid w:val="00DC3A24"/>
    <w:rsid w:val="00DD3802"/>
    <w:rsid w:val="00DD3F1B"/>
    <w:rsid w:val="00DD58CB"/>
    <w:rsid w:val="00DE0083"/>
    <w:rsid w:val="00DE6386"/>
    <w:rsid w:val="00DF4F74"/>
    <w:rsid w:val="00DF62E2"/>
    <w:rsid w:val="00E06116"/>
    <w:rsid w:val="00E06D15"/>
    <w:rsid w:val="00E221F9"/>
    <w:rsid w:val="00E23C43"/>
    <w:rsid w:val="00E25DB9"/>
    <w:rsid w:val="00E33C41"/>
    <w:rsid w:val="00E34004"/>
    <w:rsid w:val="00E341C0"/>
    <w:rsid w:val="00E34EDB"/>
    <w:rsid w:val="00E35426"/>
    <w:rsid w:val="00E41E51"/>
    <w:rsid w:val="00E42BE3"/>
    <w:rsid w:val="00E46531"/>
    <w:rsid w:val="00E51228"/>
    <w:rsid w:val="00E5143B"/>
    <w:rsid w:val="00E55124"/>
    <w:rsid w:val="00E5555B"/>
    <w:rsid w:val="00E61694"/>
    <w:rsid w:val="00E62997"/>
    <w:rsid w:val="00E67104"/>
    <w:rsid w:val="00E7087D"/>
    <w:rsid w:val="00E71798"/>
    <w:rsid w:val="00E740AC"/>
    <w:rsid w:val="00E77CA7"/>
    <w:rsid w:val="00E82B7A"/>
    <w:rsid w:val="00E85958"/>
    <w:rsid w:val="00E8691E"/>
    <w:rsid w:val="00E877CD"/>
    <w:rsid w:val="00E912C8"/>
    <w:rsid w:val="00E918BF"/>
    <w:rsid w:val="00E93805"/>
    <w:rsid w:val="00E93F30"/>
    <w:rsid w:val="00EA0F17"/>
    <w:rsid w:val="00EA1BD4"/>
    <w:rsid w:val="00EA2CF1"/>
    <w:rsid w:val="00EA48EE"/>
    <w:rsid w:val="00EA5E7F"/>
    <w:rsid w:val="00EB257D"/>
    <w:rsid w:val="00EB34DF"/>
    <w:rsid w:val="00EB587D"/>
    <w:rsid w:val="00EB6649"/>
    <w:rsid w:val="00EC16C9"/>
    <w:rsid w:val="00EC413B"/>
    <w:rsid w:val="00EC5866"/>
    <w:rsid w:val="00EC68DC"/>
    <w:rsid w:val="00EC6A6D"/>
    <w:rsid w:val="00ED1F93"/>
    <w:rsid w:val="00EE18AB"/>
    <w:rsid w:val="00EE25DF"/>
    <w:rsid w:val="00EE45F0"/>
    <w:rsid w:val="00EE6850"/>
    <w:rsid w:val="00EF0685"/>
    <w:rsid w:val="00EF1DEE"/>
    <w:rsid w:val="00EF70C0"/>
    <w:rsid w:val="00F02507"/>
    <w:rsid w:val="00F06803"/>
    <w:rsid w:val="00F1074E"/>
    <w:rsid w:val="00F12446"/>
    <w:rsid w:val="00F156B4"/>
    <w:rsid w:val="00F16D95"/>
    <w:rsid w:val="00F27779"/>
    <w:rsid w:val="00F3140B"/>
    <w:rsid w:val="00F34A39"/>
    <w:rsid w:val="00F375AD"/>
    <w:rsid w:val="00F419FF"/>
    <w:rsid w:val="00F41CB2"/>
    <w:rsid w:val="00F420D1"/>
    <w:rsid w:val="00F51836"/>
    <w:rsid w:val="00F5290C"/>
    <w:rsid w:val="00F57DC0"/>
    <w:rsid w:val="00F60359"/>
    <w:rsid w:val="00F6526C"/>
    <w:rsid w:val="00F708A4"/>
    <w:rsid w:val="00F7308D"/>
    <w:rsid w:val="00F740DF"/>
    <w:rsid w:val="00F74120"/>
    <w:rsid w:val="00F74FC8"/>
    <w:rsid w:val="00F76E8C"/>
    <w:rsid w:val="00F77021"/>
    <w:rsid w:val="00F77A2F"/>
    <w:rsid w:val="00F8070C"/>
    <w:rsid w:val="00F80D04"/>
    <w:rsid w:val="00F83487"/>
    <w:rsid w:val="00F84007"/>
    <w:rsid w:val="00F85515"/>
    <w:rsid w:val="00F92661"/>
    <w:rsid w:val="00F9325A"/>
    <w:rsid w:val="00F94A90"/>
    <w:rsid w:val="00F95FD7"/>
    <w:rsid w:val="00F97F63"/>
    <w:rsid w:val="00FA2D12"/>
    <w:rsid w:val="00FA31C6"/>
    <w:rsid w:val="00FB0AB6"/>
    <w:rsid w:val="00FB22C3"/>
    <w:rsid w:val="00FB75C5"/>
    <w:rsid w:val="00FC3513"/>
    <w:rsid w:val="00FC7792"/>
    <w:rsid w:val="00FD7CDE"/>
    <w:rsid w:val="00FE42E3"/>
    <w:rsid w:val="00FE4906"/>
    <w:rsid w:val="00FE7166"/>
    <w:rsid w:val="00FF134E"/>
    <w:rsid w:val="00FF1CC8"/>
    <w:rsid w:val="00FF48E5"/>
    <w:rsid w:val="00FF4FE3"/>
    <w:rsid w:val="00FF7E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FA5567"/>
  <w15:chartTrackingRefBased/>
  <w15:docId w15:val="{FE02E5A1-6F79-4460-919C-8B1DCA1C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0A3"/>
    <w:pPr>
      <w:widowControl w:val="0"/>
    </w:pPr>
    <w:rPr>
      <w:snapToGrid w:val="0"/>
      <w:kern w:val="28"/>
      <w:sz w:val="22"/>
    </w:rPr>
  </w:style>
  <w:style w:type="paragraph" w:styleId="Heading1">
    <w:name w:val="heading 1"/>
    <w:basedOn w:val="Normal"/>
    <w:next w:val="ParaNum"/>
    <w:link w:val="Heading1Char"/>
    <w:qFormat/>
    <w:rsid w:val="009F70A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F70A3"/>
    <w:pPr>
      <w:keepNext/>
      <w:numPr>
        <w:ilvl w:val="1"/>
        <w:numId w:val="3"/>
      </w:numPr>
      <w:spacing w:after="120"/>
      <w:outlineLvl w:val="1"/>
    </w:pPr>
    <w:rPr>
      <w:b/>
    </w:rPr>
  </w:style>
  <w:style w:type="paragraph" w:styleId="Heading3">
    <w:name w:val="heading 3"/>
    <w:basedOn w:val="Normal"/>
    <w:next w:val="ParaNum"/>
    <w:link w:val="Heading3Char"/>
    <w:qFormat/>
    <w:rsid w:val="009F70A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F70A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F70A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9F70A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F70A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F70A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F70A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F70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70A3"/>
  </w:style>
  <w:style w:type="paragraph" w:styleId="Header">
    <w:name w:val="header"/>
    <w:basedOn w:val="Normal"/>
    <w:autoRedefine/>
    <w:rsid w:val="009F70A3"/>
    <w:pPr>
      <w:tabs>
        <w:tab w:val="center" w:pos="4680"/>
        <w:tab w:val="right" w:pos="9360"/>
      </w:tabs>
    </w:pPr>
    <w:rPr>
      <w:b/>
    </w:rPr>
  </w:style>
  <w:style w:type="paragraph" w:styleId="Footer">
    <w:name w:val="footer"/>
    <w:basedOn w:val="Normal"/>
    <w:link w:val="FooterChar"/>
    <w:uiPriority w:val="99"/>
    <w:rsid w:val="009F70A3"/>
    <w:pPr>
      <w:tabs>
        <w:tab w:val="center" w:pos="4320"/>
        <w:tab w:val="right" w:pos="8640"/>
      </w:tabs>
    </w:pPr>
  </w:style>
  <w:style w:type="paragraph" w:styleId="FootnoteText">
    <w:name w:val="footnote text"/>
    <w:aliases w:val="Footnote Text Char Char Char4 Char Char,Footnote Text Char1,Footnote Text Char1 Char,Footnote Text Char4 Char1 Char Char,Footnote Text Char7 Cha,Footnote Text Char7 Char Char,Footnote Text Char7 Char Char Char Char Char"/>
    <w:link w:val="FootnoteTextChar"/>
    <w:rsid w:val="009F70A3"/>
    <w:pPr>
      <w:spacing w:after="120"/>
    </w:pPr>
  </w:style>
  <w:style w:type="character" w:customStyle="1" w:styleId="FootnoteTextChar">
    <w:name w:val="Footnote Text Char"/>
    <w:aliases w:val="Footnote Text Char Char Char4 Char Char Char1,Footnote Text Char1 Char Char1,Footnote Text Char1 Char1,Footnote Text Char4 Char1 Char Char Char1,Footnote Text Char7 Char Char Char Char Char Char1,Footnote Text Char7 Char Char Char1"/>
    <w:link w:val="FootnoteText"/>
    <w:rsid w:val="002D07E2"/>
  </w:style>
  <w:style w:type="character" w:styleId="FootnoteReference">
    <w:name w:val="footnote reference"/>
    <w:aliases w:val="(NECG) Footn,(NECG) Footnote Reference,-E Funotenzeichen,A,Appel note de bas de p,FR,Footnote Reference/,Footnote Reference1,Ref,Style 1,Style 12,Style 124,Style 13,Style 17,Style 20,Style 3,Style 34,Style 4,Style 6,Style 7,fr,o"/>
    <w:rsid w:val="009F70A3"/>
    <w:rPr>
      <w:rFonts w:ascii="Times New Roman" w:hAnsi="Times New Roman"/>
      <w:dstrike w:val="0"/>
      <w:color w:val="auto"/>
      <w:sz w:val="20"/>
      <w:vertAlign w:val="superscript"/>
    </w:rPr>
  </w:style>
  <w:style w:type="paragraph" w:styleId="BodyTextIndent">
    <w:name w:val="Body Text Indent"/>
    <w:basedOn w:val="Normal"/>
    <w:link w:val="BodyTextIndentChar"/>
    <w:uiPriority w:val="99"/>
    <w:rsid w:val="00363526"/>
    <w:pPr>
      <w:tabs>
        <w:tab w:val="left" w:pos="-720"/>
      </w:tabs>
      <w:suppressAutoHyphens/>
      <w:ind w:firstLine="720"/>
    </w:pPr>
    <w:rPr>
      <w:rFonts w:ascii="CG Times" w:hAnsi="CG Times"/>
      <w:sz w:val="24"/>
    </w:rPr>
  </w:style>
  <w:style w:type="character" w:customStyle="1" w:styleId="BodyTextIndentChar">
    <w:name w:val="Body Text Indent Char"/>
    <w:link w:val="BodyTextIndent"/>
    <w:uiPriority w:val="99"/>
    <w:rsid w:val="00363526"/>
    <w:rPr>
      <w:rFonts w:ascii="CG Times" w:eastAsia="Calibri" w:hAnsi="CG Times"/>
      <w:sz w:val="24"/>
    </w:rPr>
  </w:style>
  <w:style w:type="character" w:styleId="Hyperlink">
    <w:name w:val="Hyperlink"/>
    <w:rsid w:val="009F70A3"/>
    <w:rPr>
      <w:color w:val="0000FF"/>
      <w:u w:val="single"/>
    </w:rPr>
  </w:style>
  <w:style w:type="character" w:styleId="UnresolvedMention">
    <w:name w:val="Unresolved Mention"/>
    <w:uiPriority w:val="99"/>
    <w:semiHidden/>
    <w:unhideWhenUsed/>
    <w:rsid w:val="00363526"/>
    <w:rPr>
      <w:color w:val="605E5C"/>
      <w:shd w:val="clear" w:color="auto" w:fill="E1DFDD"/>
    </w:rPr>
  </w:style>
  <w:style w:type="character" w:styleId="FollowedHyperlink">
    <w:name w:val="FollowedHyperlink"/>
    <w:uiPriority w:val="99"/>
    <w:semiHidden/>
    <w:unhideWhenUsed/>
    <w:rsid w:val="00363526"/>
    <w:rPr>
      <w:color w:val="954F72"/>
      <w:u w:val="single"/>
    </w:rPr>
  </w:style>
  <w:style w:type="paragraph" w:styleId="BalloonText">
    <w:name w:val="Balloon Text"/>
    <w:basedOn w:val="Normal"/>
    <w:link w:val="BalloonTextChar"/>
    <w:uiPriority w:val="99"/>
    <w:semiHidden/>
    <w:unhideWhenUsed/>
    <w:rsid w:val="003F5128"/>
    <w:rPr>
      <w:rFonts w:ascii="Segoe UI" w:hAnsi="Segoe UI" w:cs="Segoe UI"/>
      <w:sz w:val="18"/>
      <w:szCs w:val="18"/>
    </w:rPr>
  </w:style>
  <w:style w:type="character" w:customStyle="1" w:styleId="BalloonTextChar">
    <w:name w:val="Balloon Text Char"/>
    <w:link w:val="BalloonText"/>
    <w:uiPriority w:val="99"/>
    <w:semiHidden/>
    <w:rsid w:val="003F5128"/>
    <w:rPr>
      <w:rFonts w:ascii="Segoe UI" w:hAnsi="Segoe UI" w:cs="Segoe UI"/>
      <w:sz w:val="18"/>
      <w:szCs w:val="18"/>
    </w:rPr>
  </w:style>
  <w:style w:type="character" w:customStyle="1" w:styleId="FooterChar">
    <w:name w:val="Footer Char"/>
    <w:link w:val="Footer"/>
    <w:uiPriority w:val="99"/>
    <w:rsid w:val="009F70A3"/>
    <w:rPr>
      <w:snapToGrid w:val="0"/>
      <w:kern w:val="28"/>
      <w:sz w:val="22"/>
    </w:rPr>
  </w:style>
  <w:style w:type="character" w:customStyle="1" w:styleId="FootnoteTextChar2">
    <w:name w:val="Footnote Text Char2"/>
    <w:aliases w:val="Footnote Text Char Char,Footnote Text Char Char Char4 Char Char Char,Footnote Text Char1 Char Char,Footnote Text Char4 Char1 Char Char Char,Footnote Text Char7 Char Char Char,Footnote Text Char7 Char Char Char Char Char Char"/>
    <w:uiPriority w:val="99"/>
    <w:locked/>
    <w:rsid w:val="007043CF"/>
    <w:rPr>
      <w:lang w:val="en-US" w:eastAsia="en-US"/>
    </w:rPr>
  </w:style>
  <w:style w:type="paragraph" w:styleId="Revision">
    <w:name w:val="Revision"/>
    <w:hidden/>
    <w:uiPriority w:val="99"/>
    <w:semiHidden/>
    <w:rsid w:val="00D104B6"/>
  </w:style>
  <w:style w:type="character" w:customStyle="1" w:styleId="Heading1Char">
    <w:name w:val="Heading 1 Char"/>
    <w:link w:val="Heading1"/>
    <w:rsid w:val="006276F5"/>
    <w:rPr>
      <w:rFonts w:ascii="Times New Roman Bold" w:hAnsi="Times New Roman Bold"/>
      <w:b/>
      <w:caps/>
      <w:snapToGrid w:val="0"/>
      <w:kern w:val="28"/>
      <w:sz w:val="22"/>
    </w:rPr>
  </w:style>
  <w:style w:type="character" w:customStyle="1" w:styleId="Heading2Char">
    <w:name w:val="Heading 2 Char"/>
    <w:link w:val="Heading2"/>
    <w:rsid w:val="006276F5"/>
    <w:rPr>
      <w:b/>
      <w:snapToGrid w:val="0"/>
      <w:kern w:val="28"/>
      <w:sz w:val="22"/>
    </w:rPr>
  </w:style>
  <w:style w:type="character" w:customStyle="1" w:styleId="Heading3Char">
    <w:name w:val="Heading 3 Char"/>
    <w:link w:val="Heading3"/>
    <w:rsid w:val="006276F5"/>
    <w:rPr>
      <w:b/>
      <w:snapToGrid w:val="0"/>
      <w:kern w:val="28"/>
      <w:sz w:val="22"/>
    </w:rPr>
  </w:style>
  <w:style w:type="character" w:customStyle="1" w:styleId="Heading4Char">
    <w:name w:val="Heading 4 Char"/>
    <w:link w:val="Heading4"/>
    <w:rsid w:val="006276F5"/>
    <w:rPr>
      <w:b/>
      <w:snapToGrid w:val="0"/>
      <w:kern w:val="28"/>
      <w:sz w:val="22"/>
    </w:rPr>
  </w:style>
  <w:style w:type="character" w:customStyle="1" w:styleId="Heading5Char">
    <w:name w:val="Heading 5 Char"/>
    <w:link w:val="Heading5"/>
    <w:rsid w:val="006276F5"/>
    <w:rPr>
      <w:b/>
      <w:snapToGrid w:val="0"/>
      <w:kern w:val="28"/>
      <w:sz w:val="22"/>
    </w:rPr>
  </w:style>
  <w:style w:type="character" w:customStyle="1" w:styleId="Heading6Char">
    <w:name w:val="Heading 6 Char"/>
    <w:link w:val="Heading6"/>
    <w:rsid w:val="006276F5"/>
    <w:rPr>
      <w:b/>
      <w:snapToGrid w:val="0"/>
      <w:kern w:val="28"/>
      <w:sz w:val="22"/>
    </w:rPr>
  </w:style>
  <w:style w:type="character" w:customStyle="1" w:styleId="Heading7Char">
    <w:name w:val="Heading 7 Char"/>
    <w:link w:val="Heading7"/>
    <w:rsid w:val="006276F5"/>
    <w:rPr>
      <w:b/>
      <w:snapToGrid w:val="0"/>
      <w:kern w:val="28"/>
      <w:sz w:val="22"/>
    </w:rPr>
  </w:style>
  <w:style w:type="character" w:customStyle="1" w:styleId="Heading8Char">
    <w:name w:val="Heading 8 Char"/>
    <w:link w:val="Heading8"/>
    <w:rsid w:val="006276F5"/>
    <w:rPr>
      <w:b/>
      <w:snapToGrid w:val="0"/>
      <w:kern w:val="28"/>
      <w:sz w:val="22"/>
    </w:rPr>
  </w:style>
  <w:style w:type="character" w:customStyle="1" w:styleId="Heading9Char">
    <w:name w:val="Heading 9 Char"/>
    <w:link w:val="Heading9"/>
    <w:rsid w:val="006276F5"/>
    <w:rPr>
      <w:b/>
      <w:snapToGrid w:val="0"/>
      <w:kern w:val="28"/>
      <w:sz w:val="22"/>
    </w:rPr>
  </w:style>
  <w:style w:type="paragraph" w:customStyle="1" w:styleId="ParaNum">
    <w:name w:val="ParaNum"/>
    <w:basedOn w:val="Normal"/>
    <w:rsid w:val="009F70A3"/>
    <w:pPr>
      <w:numPr>
        <w:numId w:val="2"/>
      </w:numPr>
      <w:tabs>
        <w:tab w:val="clear" w:pos="1080"/>
        <w:tab w:val="num" w:pos="1440"/>
      </w:tabs>
      <w:spacing w:after="120"/>
    </w:pPr>
  </w:style>
  <w:style w:type="paragraph" w:styleId="EndnoteText">
    <w:name w:val="endnote text"/>
    <w:basedOn w:val="Normal"/>
    <w:link w:val="EndnoteTextChar"/>
    <w:semiHidden/>
    <w:rsid w:val="009F70A3"/>
    <w:rPr>
      <w:sz w:val="20"/>
    </w:rPr>
  </w:style>
  <w:style w:type="character" w:customStyle="1" w:styleId="EndnoteTextChar">
    <w:name w:val="Endnote Text Char"/>
    <w:link w:val="EndnoteText"/>
    <w:semiHidden/>
    <w:rsid w:val="006276F5"/>
    <w:rPr>
      <w:snapToGrid w:val="0"/>
      <w:kern w:val="28"/>
    </w:rPr>
  </w:style>
  <w:style w:type="character" w:styleId="EndnoteReference">
    <w:name w:val="endnote reference"/>
    <w:semiHidden/>
    <w:rsid w:val="009F70A3"/>
    <w:rPr>
      <w:vertAlign w:val="superscript"/>
    </w:rPr>
  </w:style>
  <w:style w:type="paragraph" w:styleId="TOC1">
    <w:name w:val="toc 1"/>
    <w:basedOn w:val="Normal"/>
    <w:next w:val="Normal"/>
    <w:semiHidden/>
    <w:rsid w:val="009F70A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F70A3"/>
    <w:pPr>
      <w:tabs>
        <w:tab w:val="left" w:pos="720"/>
        <w:tab w:val="right" w:leader="dot" w:pos="9360"/>
      </w:tabs>
      <w:suppressAutoHyphens/>
      <w:ind w:left="720" w:right="720" w:hanging="360"/>
    </w:pPr>
    <w:rPr>
      <w:noProof/>
    </w:rPr>
  </w:style>
  <w:style w:type="paragraph" w:styleId="TOC3">
    <w:name w:val="toc 3"/>
    <w:basedOn w:val="Normal"/>
    <w:next w:val="Normal"/>
    <w:semiHidden/>
    <w:rsid w:val="009F70A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F70A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F70A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F70A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F70A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F70A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F70A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70A3"/>
    <w:pPr>
      <w:tabs>
        <w:tab w:val="right" w:pos="9360"/>
      </w:tabs>
      <w:suppressAutoHyphens/>
    </w:pPr>
  </w:style>
  <w:style w:type="character" w:customStyle="1" w:styleId="EquationCaption">
    <w:name w:val="_Equation Caption"/>
    <w:rsid w:val="009F70A3"/>
  </w:style>
  <w:style w:type="character" w:styleId="PageNumber">
    <w:name w:val="page number"/>
    <w:basedOn w:val="DefaultParagraphFont"/>
    <w:rsid w:val="009F70A3"/>
  </w:style>
  <w:style w:type="paragraph" w:styleId="BlockText">
    <w:name w:val="Block Text"/>
    <w:basedOn w:val="Normal"/>
    <w:rsid w:val="009F70A3"/>
    <w:pPr>
      <w:spacing w:after="240"/>
      <w:ind w:left="1440" w:right="1440"/>
    </w:pPr>
  </w:style>
  <w:style w:type="paragraph" w:customStyle="1" w:styleId="Paratitle">
    <w:name w:val="Para title"/>
    <w:basedOn w:val="Normal"/>
    <w:rsid w:val="009F70A3"/>
    <w:pPr>
      <w:tabs>
        <w:tab w:val="center" w:pos="9270"/>
      </w:tabs>
      <w:spacing w:after="240"/>
    </w:pPr>
    <w:rPr>
      <w:spacing w:val="-2"/>
    </w:rPr>
  </w:style>
  <w:style w:type="paragraph" w:customStyle="1" w:styleId="Bullet">
    <w:name w:val="Bullet"/>
    <w:basedOn w:val="Normal"/>
    <w:rsid w:val="009F70A3"/>
    <w:pPr>
      <w:tabs>
        <w:tab w:val="left" w:pos="2160"/>
      </w:tabs>
      <w:spacing w:after="220"/>
      <w:ind w:left="2160" w:hanging="720"/>
    </w:pPr>
  </w:style>
  <w:style w:type="paragraph" w:customStyle="1" w:styleId="TableFormat">
    <w:name w:val="TableFormat"/>
    <w:basedOn w:val="Bullet"/>
    <w:rsid w:val="009F70A3"/>
    <w:pPr>
      <w:tabs>
        <w:tab w:val="clear" w:pos="2160"/>
        <w:tab w:val="left" w:pos="5040"/>
      </w:tabs>
      <w:ind w:left="5040" w:hanging="3600"/>
    </w:pPr>
  </w:style>
  <w:style w:type="paragraph" w:customStyle="1" w:styleId="TOCTitle">
    <w:name w:val="TOC Title"/>
    <w:basedOn w:val="Normal"/>
    <w:rsid w:val="009F70A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70A3"/>
    <w:pPr>
      <w:jc w:val="center"/>
    </w:pPr>
    <w:rPr>
      <w:rFonts w:ascii="Times New Roman Bold" w:hAnsi="Times New Roman Bold"/>
      <w:b/>
      <w:bCs/>
      <w:caps/>
      <w:szCs w:val="22"/>
    </w:rPr>
  </w:style>
  <w:style w:type="character" w:styleId="CommentReference">
    <w:name w:val="annotation reference"/>
    <w:uiPriority w:val="99"/>
    <w:semiHidden/>
    <w:unhideWhenUsed/>
    <w:rsid w:val="00EE25DF"/>
    <w:rPr>
      <w:sz w:val="16"/>
      <w:szCs w:val="16"/>
    </w:rPr>
  </w:style>
  <w:style w:type="paragraph" w:styleId="CommentText">
    <w:name w:val="annotation text"/>
    <w:basedOn w:val="Normal"/>
    <w:link w:val="CommentTextChar"/>
    <w:uiPriority w:val="99"/>
    <w:unhideWhenUsed/>
    <w:rsid w:val="00EE25DF"/>
    <w:rPr>
      <w:sz w:val="20"/>
    </w:rPr>
  </w:style>
  <w:style w:type="character" w:customStyle="1" w:styleId="CommentTextChar">
    <w:name w:val="Comment Text Char"/>
    <w:link w:val="CommentText"/>
    <w:uiPriority w:val="99"/>
    <w:rsid w:val="00EE25DF"/>
    <w:rPr>
      <w:snapToGrid w:val="0"/>
      <w:kern w:val="28"/>
    </w:rPr>
  </w:style>
  <w:style w:type="paragraph" w:styleId="CommentSubject">
    <w:name w:val="annotation subject"/>
    <w:basedOn w:val="CommentText"/>
    <w:next w:val="CommentText"/>
    <w:link w:val="CommentSubjectChar"/>
    <w:uiPriority w:val="99"/>
    <w:semiHidden/>
    <w:unhideWhenUsed/>
    <w:rsid w:val="00EE25DF"/>
    <w:rPr>
      <w:b/>
      <w:bCs/>
    </w:rPr>
  </w:style>
  <w:style w:type="character" w:customStyle="1" w:styleId="CommentSubjectChar">
    <w:name w:val="Comment Subject Char"/>
    <w:link w:val="CommentSubject"/>
    <w:uiPriority w:val="99"/>
    <w:semiHidden/>
    <w:rsid w:val="00EE25D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ima@birach.com" TargetMode="External" /><Relationship Id="rId6" Type="http://schemas.openxmlformats.org/officeDocument/2006/relationships/hyperlink" Target="mailto:fccman3@shentel.net"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