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20A07177" w14:textId="51A1B40D">
      <w:pPr>
        <w:jc w:val="right"/>
        <w:rPr>
          <w:b/>
          <w:sz w:val="24"/>
        </w:rPr>
      </w:pPr>
      <w:r>
        <w:rPr>
          <w:b/>
          <w:sz w:val="24"/>
        </w:rPr>
        <w:t xml:space="preserve">DA </w:t>
      </w:r>
      <w:r w:rsidR="00A473AD">
        <w:rPr>
          <w:b/>
          <w:sz w:val="24"/>
        </w:rPr>
        <w:t>23-</w:t>
      </w:r>
      <w:r w:rsidR="00C67A7C">
        <w:rPr>
          <w:b/>
          <w:sz w:val="24"/>
        </w:rPr>
        <w:t>1207</w:t>
      </w:r>
    </w:p>
    <w:p w:rsidR="00013A8B" w:rsidRPr="00B20363" w:rsidP="00013A8B" w14:paraId="462DAB83" w14:textId="4A799FDE">
      <w:pPr>
        <w:spacing w:before="60"/>
        <w:jc w:val="right"/>
        <w:rPr>
          <w:b/>
          <w:sz w:val="24"/>
        </w:rPr>
      </w:pPr>
      <w:r>
        <w:rPr>
          <w:b/>
          <w:sz w:val="24"/>
        </w:rPr>
        <w:t xml:space="preserve">Released:  </w:t>
      </w:r>
      <w:r w:rsidR="000F6996">
        <w:rPr>
          <w:b/>
          <w:sz w:val="24"/>
        </w:rPr>
        <w:t xml:space="preserve">December </w:t>
      </w:r>
      <w:r w:rsidR="00C67A7C">
        <w:rPr>
          <w:b/>
          <w:sz w:val="24"/>
        </w:rPr>
        <w:t>26</w:t>
      </w:r>
      <w:r w:rsidR="000F6996">
        <w:rPr>
          <w:b/>
          <w:sz w:val="24"/>
        </w:rPr>
        <w:t xml:space="preserve">, </w:t>
      </w:r>
      <w:r w:rsidR="00DD5B28">
        <w:rPr>
          <w:b/>
          <w:sz w:val="24"/>
        </w:rPr>
        <w:t>2023</w:t>
      </w:r>
    </w:p>
    <w:p w:rsidR="00013A8B" w:rsidP="00013A8B" w14:paraId="6119984B" w14:textId="77777777">
      <w:pPr>
        <w:jc w:val="right"/>
        <w:rPr>
          <w:sz w:val="24"/>
        </w:rPr>
      </w:pPr>
    </w:p>
    <w:p w:rsidR="00013A8B" w:rsidRPr="00B20363" w:rsidP="00013A8B" w14:paraId="2DF4535C" w14:textId="460E8A3C">
      <w:pPr>
        <w:spacing w:after="240"/>
        <w:jc w:val="center"/>
        <w:rPr>
          <w:rFonts w:ascii="Times New Roman Bold" w:hAnsi="Times New Roman Bold"/>
          <w:b/>
          <w:caps/>
          <w:sz w:val="24"/>
        </w:rPr>
      </w:pPr>
      <w:r w:rsidRPr="000F6996">
        <w:rPr>
          <w:rFonts w:ascii="Times New Roman Bold" w:hAnsi="Times New Roman Bold"/>
          <w:b/>
          <w:caps/>
          <w:sz w:val="24"/>
        </w:rPr>
        <w:t xml:space="preserve">WIRELINE COMPETITION BUREAU AND OFFICE OF ECONOMICS AND ANALYTICS ANNOUNCE </w:t>
      </w:r>
      <w:r w:rsidR="00633080">
        <w:rPr>
          <w:rFonts w:ascii="Times New Roman Bold" w:hAnsi="Times New Roman Bold"/>
          <w:b/>
          <w:caps/>
          <w:sz w:val="24"/>
        </w:rPr>
        <w:t xml:space="preserve">revised </w:t>
      </w:r>
      <w:r w:rsidRPr="000F6996" w:rsidR="00AA7110">
        <w:rPr>
          <w:rFonts w:ascii="Times New Roman Bold" w:hAnsi="Times New Roman Bold"/>
          <w:b/>
          <w:caps/>
          <w:sz w:val="24"/>
        </w:rPr>
        <w:t>202</w:t>
      </w:r>
      <w:r w:rsidR="00AA7110">
        <w:rPr>
          <w:rFonts w:ascii="Times New Roman Bold" w:hAnsi="Times New Roman Bold"/>
          <w:b/>
          <w:caps/>
          <w:sz w:val="24"/>
        </w:rPr>
        <w:t>4</w:t>
      </w:r>
      <w:r w:rsidRPr="000F6996" w:rsidR="00AA7110">
        <w:rPr>
          <w:rFonts w:ascii="Times New Roman Bold" w:hAnsi="Times New Roman Bold"/>
          <w:b/>
          <w:caps/>
          <w:sz w:val="24"/>
        </w:rPr>
        <w:t xml:space="preserve"> URBAN RATE SURVEY </w:t>
      </w:r>
      <w:r w:rsidR="00AA7110">
        <w:rPr>
          <w:rFonts w:ascii="Times New Roman Bold" w:hAnsi="Times New Roman Bold"/>
          <w:b/>
          <w:caps/>
          <w:sz w:val="24"/>
        </w:rPr>
        <w:t xml:space="preserve">broadband services benchmarks </w:t>
      </w:r>
      <w:r w:rsidR="00BC3D5A">
        <w:rPr>
          <w:rFonts w:ascii="Times New Roman Bold" w:hAnsi="Times New Roman Bold"/>
          <w:b/>
          <w:caps/>
          <w:sz w:val="24"/>
        </w:rPr>
        <w:t>and waiver of implementation date to february 1, 2024</w:t>
      </w:r>
    </w:p>
    <w:p w:rsidR="00013A8B" w:rsidP="00013A8B" w14:paraId="462176EA" w14:textId="00AD32CA">
      <w:pPr>
        <w:jc w:val="center"/>
        <w:rPr>
          <w:b/>
          <w:sz w:val="24"/>
        </w:rPr>
      </w:pPr>
      <w:r>
        <w:rPr>
          <w:b/>
          <w:sz w:val="24"/>
        </w:rPr>
        <w:t>WC Docket No. 10-90</w:t>
      </w:r>
    </w:p>
    <w:p w:rsidR="000F6996" w:rsidP="000F6996" w14:paraId="50E4919D" w14:textId="57A7926A">
      <w:pPr>
        <w:rPr>
          <w:b/>
          <w:sz w:val="24"/>
        </w:rPr>
      </w:pPr>
    </w:p>
    <w:p w:rsidR="000F6996" w:rsidP="000F6996" w14:paraId="36E0CCF5" w14:textId="28B3CE18">
      <w:pPr>
        <w:widowControl/>
        <w:spacing w:after="120"/>
        <w:ind w:firstLine="720"/>
      </w:pPr>
      <w:r w:rsidRPr="72E9EE6C">
        <w:t xml:space="preserve">By this Public Notice, the </w:t>
      </w:r>
      <w:bookmarkStart w:id="0" w:name="_Hlk26440772"/>
      <w:r w:rsidRPr="72E9EE6C">
        <w:t xml:space="preserve">Wireline Competition Bureau (Bureau) and the Office of Economics and Analytics (Office) announce </w:t>
      </w:r>
      <w:r w:rsidRPr="72E9EE6C" w:rsidR="003F0474">
        <w:t xml:space="preserve">revised </w:t>
      </w:r>
      <w:r w:rsidRPr="72E9EE6C" w:rsidR="00DD5B28">
        <w:t>2024</w:t>
      </w:r>
      <w:r w:rsidRPr="00A87AD7" w:rsidR="00DD5B28">
        <w:rPr>
          <w:szCs w:val="22"/>
        </w:rPr>
        <w:t xml:space="preserve"> </w:t>
      </w:r>
      <w:r w:rsidRPr="72E9EE6C">
        <w:t>reasonable comparability benchmarks for fixed broadband services for eligible telecommunications carriers (ETCs) that are subject to broadband public interest obligations.</w:t>
      </w:r>
      <w:r>
        <w:rPr>
          <w:rStyle w:val="FootnoteReference"/>
        </w:rPr>
        <w:footnoteReference w:id="3"/>
      </w:r>
      <w:bookmarkEnd w:id="0"/>
      <w:r w:rsidRPr="00A87AD7">
        <w:rPr>
          <w:szCs w:val="22"/>
        </w:rPr>
        <w:t xml:space="preserve">  </w:t>
      </w:r>
      <w:r w:rsidRPr="72E9EE6C" w:rsidR="003C4F75">
        <w:t>The Bureau and Office determined there was an error in calculation of the broadband rates</w:t>
      </w:r>
      <w:r w:rsidRPr="72E9EE6C" w:rsidR="00034142">
        <w:t>; therefore, we have posted revised broadband rat</w:t>
      </w:r>
      <w:r w:rsidRPr="72E9EE6C" w:rsidR="00A4576C">
        <w:t xml:space="preserve">es and explanatory notes </w:t>
      </w:r>
      <w:r w:rsidRPr="72E9EE6C">
        <w:t xml:space="preserve">on the Commission’s website at </w:t>
      </w:r>
      <w:hyperlink r:id="rId5" w:history="1">
        <w:r w:rsidRPr="15B99E7A" w:rsidR="00606C10">
          <w:rPr>
            <w:rStyle w:val="Hyperlink"/>
          </w:rPr>
          <w:t>https://www.fcc.gov/economics-analytics/industry-analysis-division/urban-rate-survey-data-resources</w:t>
        </w:r>
      </w:hyperlink>
      <w:r w:rsidRPr="00A87AD7" w:rsidR="00112E92">
        <w:rPr>
          <w:szCs w:val="22"/>
        </w:rPr>
        <w:t>.</w:t>
      </w:r>
      <w:r w:rsidRPr="00A87AD7">
        <w:rPr>
          <w:szCs w:val="22"/>
        </w:rPr>
        <w:t xml:space="preserve">  </w:t>
      </w:r>
      <w:r w:rsidRPr="72E9EE6C" w:rsidR="00A4576C">
        <w:t xml:space="preserve">The </w:t>
      </w:r>
      <w:r w:rsidRPr="72E9EE6C" w:rsidR="00225379">
        <w:t xml:space="preserve">reasonable comparability benchmark for voice services and the </w:t>
      </w:r>
      <w:r w:rsidRPr="72E9EE6C">
        <w:t>required minimum usage allowance for fixed broadband</w:t>
      </w:r>
      <w:r w:rsidRPr="72E9EE6C" w:rsidR="00225379">
        <w:t xml:space="preserve"> remain the same</w:t>
      </w:r>
      <w:r w:rsidRPr="72E9EE6C" w:rsidR="003F72FE">
        <w:t xml:space="preserve"> as announced previously</w:t>
      </w:r>
      <w:r>
        <w:rPr>
          <w:szCs w:val="22"/>
        </w:rPr>
        <w:t>.</w:t>
      </w:r>
      <w:r>
        <w:rPr>
          <w:rStyle w:val="FootnoteReference"/>
        </w:rPr>
        <w:footnoteReference w:id="4"/>
      </w:r>
      <w:r>
        <w:rPr>
          <w:szCs w:val="22"/>
        </w:rPr>
        <w:t xml:space="preserve">  </w:t>
      </w:r>
    </w:p>
    <w:p w:rsidR="00530287" w:rsidRPr="00F02A12" w:rsidP="000F6996" w14:paraId="7B038CBD" w14:textId="7D3A1917">
      <w:pPr>
        <w:spacing w:after="120"/>
        <w:ind w:firstLine="720"/>
      </w:pPr>
      <w:r>
        <w:t xml:space="preserve">The following table provides the </w:t>
      </w:r>
      <w:r w:rsidR="006F4B59">
        <w:t xml:space="preserve">revised </w:t>
      </w:r>
      <w:r w:rsidR="006338B8">
        <w:t xml:space="preserve">2024 </w:t>
      </w:r>
      <w:r>
        <w:t xml:space="preserve">benchmark for </w:t>
      </w:r>
      <w:r w:rsidR="002B25D7">
        <w:t>several</w:t>
      </w:r>
      <w:r>
        <w:t xml:space="preserve"> different broadband service offerings, though providers will need to determine the benchmark for services with characteristics not shown in the table:</w:t>
      </w:r>
      <w:r>
        <w:rPr>
          <w:rStyle w:val="FootnoteReference"/>
        </w:rPr>
        <w:footnoteReference w:id="5"/>
      </w:r>
      <w:r>
        <w:t xml:space="preserve"> </w:t>
      </w:r>
      <w:r>
        <w:br w:type="page"/>
      </w:r>
    </w:p>
    <w:tbl>
      <w:tblPr>
        <w:tblW w:w="5626" w:type="dxa"/>
        <w:tblInd w:w="1869" w:type="dxa"/>
        <w:tblCellMar>
          <w:left w:w="0" w:type="dxa"/>
          <w:right w:w="0" w:type="dxa"/>
        </w:tblCellMar>
        <w:tblLook w:val="04A0"/>
      </w:tblPr>
      <w:tblGrid>
        <w:gridCol w:w="1256"/>
        <w:gridCol w:w="1256"/>
        <w:gridCol w:w="1194"/>
        <w:gridCol w:w="960"/>
        <w:gridCol w:w="960"/>
      </w:tblGrid>
      <w:tr w14:paraId="08A98972" w14:textId="77777777" w:rsidTr="001B6FAE">
        <w:tblPrEx>
          <w:tblW w:w="5626" w:type="dxa"/>
          <w:tblInd w:w="1869" w:type="dxa"/>
          <w:tblCellMar>
            <w:left w:w="0" w:type="dxa"/>
            <w:right w:w="0" w:type="dxa"/>
          </w:tblCellMar>
          <w:tblLook w:val="04A0"/>
        </w:tblPrEx>
        <w:trPr>
          <w:trHeight w:val="288"/>
        </w:trPr>
        <w:tc>
          <w:tcPr>
            <w:tcW w:w="1256" w:type="dxa"/>
            <w:tcBorders>
              <w:bottom w:val="single" w:sz="4" w:space="0" w:color="auto"/>
            </w:tcBorders>
            <w:noWrap/>
            <w:tcMar>
              <w:top w:w="0" w:type="dxa"/>
              <w:left w:w="108" w:type="dxa"/>
              <w:bottom w:w="0" w:type="dxa"/>
              <w:right w:w="108" w:type="dxa"/>
            </w:tcMar>
            <w:vAlign w:val="bottom"/>
            <w:hideMark/>
          </w:tcPr>
          <w:p w:rsidR="001B6FAE" w:rsidRPr="00F82C10" w:rsidP="00446FB2" w14:paraId="06BBAA81" w14:textId="77777777">
            <w:pPr>
              <w:jc w:val="center"/>
              <w:rPr>
                <w:b/>
                <w:bCs/>
                <w:color w:val="000000"/>
                <w:szCs w:val="22"/>
              </w:rPr>
            </w:pPr>
            <w:r w:rsidRPr="00F82C10">
              <w:rPr>
                <w:b/>
                <w:bCs/>
                <w:color w:val="000000"/>
                <w:szCs w:val="22"/>
              </w:rPr>
              <w:t>Download Bandwidth (Mbps)</w:t>
            </w:r>
          </w:p>
        </w:tc>
        <w:tc>
          <w:tcPr>
            <w:tcW w:w="1256" w:type="dxa"/>
            <w:tcBorders>
              <w:bottom w:val="single" w:sz="4" w:space="0" w:color="auto"/>
            </w:tcBorders>
            <w:noWrap/>
            <w:tcMar>
              <w:top w:w="0" w:type="dxa"/>
              <w:left w:w="108" w:type="dxa"/>
              <w:bottom w:w="0" w:type="dxa"/>
              <w:right w:w="108" w:type="dxa"/>
            </w:tcMar>
            <w:vAlign w:val="bottom"/>
            <w:hideMark/>
          </w:tcPr>
          <w:p w:rsidR="001B6FAE" w:rsidRPr="00F82C10" w:rsidP="00446FB2" w14:paraId="6888D5A7" w14:textId="77777777">
            <w:pPr>
              <w:jc w:val="center"/>
              <w:rPr>
                <w:b/>
                <w:bCs/>
                <w:color w:val="000000"/>
                <w:szCs w:val="22"/>
              </w:rPr>
            </w:pPr>
            <w:r w:rsidRPr="00F82C10">
              <w:rPr>
                <w:b/>
                <w:bCs/>
                <w:color w:val="000000"/>
                <w:szCs w:val="22"/>
              </w:rPr>
              <w:t>Upload Bandwidth (Mbps)</w:t>
            </w:r>
          </w:p>
        </w:tc>
        <w:tc>
          <w:tcPr>
            <w:tcW w:w="1194" w:type="dxa"/>
            <w:tcBorders>
              <w:bottom w:val="single" w:sz="4" w:space="0" w:color="auto"/>
            </w:tcBorders>
            <w:noWrap/>
            <w:tcMar>
              <w:top w:w="0" w:type="dxa"/>
              <w:left w:w="108" w:type="dxa"/>
              <w:bottom w:w="0" w:type="dxa"/>
              <w:right w:w="108" w:type="dxa"/>
            </w:tcMar>
            <w:vAlign w:val="bottom"/>
            <w:hideMark/>
          </w:tcPr>
          <w:p w:rsidR="001B6FAE" w:rsidRPr="00F82C10" w:rsidP="00446FB2" w14:paraId="647949BF" w14:textId="77777777">
            <w:pPr>
              <w:jc w:val="center"/>
              <w:rPr>
                <w:b/>
                <w:bCs/>
                <w:color w:val="000000"/>
                <w:szCs w:val="22"/>
              </w:rPr>
            </w:pPr>
            <w:r w:rsidRPr="00F82C10">
              <w:rPr>
                <w:b/>
                <w:bCs/>
                <w:color w:val="000000"/>
                <w:szCs w:val="22"/>
              </w:rPr>
              <w:t>Capacity Allowance (GB)</w:t>
            </w:r>
          </w:p>
        </w:tc>
        <w:tc>
          <w:tcPr>
            <w:tcW w:w="960" w:type="dxa"/>
            <w:tcBorders>
              <w:bottom w:val="single" w:sz="4" w:space="0" w:color="auto"/>
            </w:tcBorders>
            <w:noWrap/>
            <w:tcMar>
              <w:top w:w="0" w:type="dxa"/>
              <w:left w:w="108" w:type="dxa"/>
              <w:bottom w:w="0" w:type="dxa"/>
              <w:right w:w="108" w:type="dxa"/>
            </w:tcMar>
            <w:vAlign w:val="bottom"/>
            <w:hideMark/>
          </w:tcPr>
          <w:p w:rsidR="001B6FAE" w:rsidRPr="00F82C10" w:rsidP="00446FB2" w14:paraId="1C0F1BAD" w14:textId="77777777">
            <w:pPr>
              <w:jc w:val="center"/>
              <w:rPr>
                <w:b/>
                <w:bCs/>
                <w:color w:val="000000"/>
                <w:szCs w:val="22"/>
              </w:rPr>
            </w:pPr>
            <w:r w:rsidRPr="00F82C10">
              <w:rPr>
                <w:b/>
                <w:bCs/>
                <w:color w:val="000000"/>
                <w:szCs w:val="22"/>
              </w:rPr>
              <w:t>2024 U.S.</w:t>
            </w:r>
          </w:p>
        </w:tc>
        <w:tc>
          <w:tcPr>
            <w:tcW w:w="960" w:type="dxa"/>
            <w:tcBorders>
              <w:bottom w:val="single" w:sz="4" w:space="0" w:color="auto"/>
            </w:tcBorders>
            <w:noWrap/>
            <w:tcMar>
              <w:top w:w="0" w:type="dxa"/>
              <w:left w:w="108" w:type="dxa"/>
              <w:bottom w:w="0" w:type="dxa"/>
              <w:right w:w="108" w:type="dxa"/>
            </w:tcMar>
            <w:vAlign w:val="bottom"/>
            <w:hideMark/>
          </w:tcPr>
          <w:p w:rsidR="001B6FAE" w:rsidRPr="00F82C10" w:rsidP="00446FB2" w14:paraId="0AA575EC" w14:textId="77777777">
            <w:pPr>
              <w:jc w:val="center"/>
              <w:rPr>
                <w:b/>
                <w:bCs/>
                <w:color w:val="000000"/>
                <w:szCs w:val="22"/>
              </w:rPr>
            </w:pPr>
            <w:r w:rsidRPr="00F82C10">
              <w:rPr>
                <w:b/>
                <w:bCs/>
                <w:color w:val="000000"/>
                <w:szCs w:val="22"/>
              </w:rPr>
              <w:t>2024 Alaska</w:t>
            </w:r>
          </w:p>
        </w:tc>
      </w:tr>
      <w:tr w14:paraId="08C05D74" w14:textId="77777777" w:rsidTr="001B6FAE">
        <w:tblPrEx>
          <w:tblW w:w="5626" w:type="dxa"/>
          <w:tblInd w:w="1869" w:type="dxa"/>
          <w:tblCellMar>
            <w:left w:w="0" w:type="dxa"/>
            <w:right w:w="0" w:type="dxa"/>
          </w:tblCellMar>
          <w:tblLook w:val="04A0"/>
        </w:tblPrEx>
        <w:trPr>
          <w:trHeight w:val="288"/>
        </w:trPr>
        <w:tc>
          <w:tcPr>
            <w:tcW w:w="1256" w:type="dxa"/>
            <w:tcBorders>
              <w:top w:val="single" w:sz="4" w:space="0" w:color="auto"/>
            </w:tcBorders>
            <w:noWrap/>
            <w:tcMar>
              <w:top w:w="0" w:type="dxa"/>
              <w:left w:w="108" w:type="dxa"/>
              <w:bottom w:w="0" w:type="dxa"/>
              <w:right w:w="108" w:type="dxa"/>
            </w:tcMar>
            <w:vAlign w:val="bottom"/>
            <w:hideMark/>
          </w:tcPr>
          <w:p w:rsidR="001B6FAE" w:rsidRPr="00F82C10" w:rsidP="005C2623" w14:paraId="6B0AA26B" w14:textId="77777777">
            <w:pPr>
              <w:jc w:val="center"/>
              <w:rPr>
                <w:color w:val="000000"/>
                <w:szCs w:val="22"/>
              </w:rPr>
            </w:pPr>
            <w:r w:rsidRPr="00F82C10">
              <w:rPr>
                <w:color w:val="000000"/>
                <w:szCs w:val="22"/>
              </w:rPr>
              <w:t>4</w:t>
            </w:r>
          </w:p>
        </w:tc>
        <w:tc>
          <w:tcPr>
            <w:tcW w:w="1256" w:type="dxa"/>
            <w:tcBorders>
              <w:top w:val="single" w:sz="4" w:space="0" w:color="auto"/>
            </w:tcBorders>
            <w:noWrap/>
            <w:tcMar>
              <w:top w:w="0" w:type="dxa"/>
              <w:left w:w="108" w:type="dxa"/>
              <w:bottom w:w="0" w:type="dxa"/>
              <w:right w:w="108" w:type="dxa"/>
            </w:tcMar>
            <w:vAlign w:val="bottom"/>
            <w:hideMark/>
          </w:tcPr>
          <w:p w:rsidR="001B6FAE" w:rsidRPr="00F82C10" w:rsidP="005C2623" w14:paraId="1205D211" w14:textId="77777777">
            <w:pPr>
              <w:jc w:val="center"/>
              <w:rPr>
                <w:color w:val="000000"/>
                <w:szCs w:val="22"/>
              </w:rPr>
            </w:pPr>
            <w:r w:rsidRPr="00F82C10">
              <w:rPr>
                <w:color w:val="000000"/>
                <w:szCs w:val="22"/>
              </w:rPr>
              <w:t>1</w:t>
            </w:r>
          </w:p>
        </w:tc>
        <w:tc>
          <w:tcPr>
            <w:tcW w:w="1194" w:type="dxa"/>
            <w:tcBorders>
              <w:top w:val="single" w:sz="4" w:space="0" w:color="auto"/>
            </w:tcBorders>
            <w:noWrap/>
            <w:tcMar>
              <w:top w:w="0" w:type="dxa"/>
              <w:left w:w="108" w:type="dxa"/>
              <w:bottom w:w="0" w:type="dxa"/>
              <w:right w:w="108" w:type="dxa"/>
            </w:tcMar>
            <w:vAlign w:val="bottom"/>
            <w:hideMark/>
          </w:tcPr>
          <w:p w:rsidR="001B6FAE" w:rsidRPr="00F82C10" w:rsidP="005C2623" w14:paraId="04589EEF" w14:textId="77777777">
            <w:pPr>
              <w:jc w:val="center"/>
              <w:rPr>
                <w:color w:val="000000"/>
                <w:szCs w:val="22"/>
              </w:rPr>
            </w:pPr>
            <w:r w:rsidRPr="00F82C10">
              <w:rPr>
                <w:color w:val="000000"/>
                <w:szCs w:val="22"/>
              </w:rPr>
              <w:t>660</w:t>
            </w:r>
          </w:p>
        </w:tc>
        <w:tc>
          <w:tcPr>
            <w:tcW w:w="960" w:type="dxa"/>
            <w:tcBorders>
              <w:top w:val="single" w:sz="4" w:space="0" w:color="auto"/>
            </w:tcBorders>
            <w:noWrap/>
            <w:tcMar>
              <w:top w:w="0" w:type="dxa"/>
              <w:left w:w="108" w:type="dxa"/>
              <w:bottom w:w="0" w:type="dxa"/>
              <w:right w:w="108" w:type="dxa"/>
            </w:tcMar>
            <w:vAlign w:val="bottom"/>
            <w:hideMark/>
          </w:tcPr>
          <w:p w:rsidR="001B6FAE" w:rsidRPr="00F82C10" w:rsidP="005C2623" w14:paraId="56D5F89C" w14:textId="46CC705C">
            <w:pPr>
              <w:jc w:val="center"/>
              <w:rPr>
                <w:color w:val="000000"/>
                <w:szCs w:val="22"/>
              </w:rPr>
            </w:pPr>
            <w:r w:rsidRPr="00F82C10">
              <w:rPr>
                <w:color w:val="000000"/>
                <w:szCs w:val="22"/>
              </w:rPr>
              <w:t>$83.80</w:t>
            </w:r>
          </w:p>
        </w:tc>
        <w:tc>
          <w:tcPr>
            <w:tcW w:w="960" w:type="dxa"/>
            <w:tcBorders>
              <w:top w:val="single" w:sz="4" w:space="0" w:color="auto"/>
            </w:tcBorders>
            <w:noWrap/>
            <w:tcMar>
              <w:top w:w="0" w:type="dxa"/>
              <w:left w:w="108" w:type="dxa"/>
              <w:bottom w:w="0" w:type="dxa"/>
              <w:right w:w="108" w:type="dxa"/>
            </w:tcMar>
            <w:vAlign w:val="bottom"/>
            <w:hideMark/>
          </w:tcPr>
          <w:p w:rsidR="001B6FAE" w:rsidRPr="00F82C10" w:rsidP="005C2623" w14:paraId="69AF64F1" w14:textId="2BFF6372">
            <w:pPr>
              <w:jc w:val="center"/>
              <w:rPr>
                <w:color w:val="000000"/>
                <w:szCs w:val="22"/>
              </w:rPr>
            </w:pPr>
            <w:r w:rsidRPr="00F82C10">
              <w:rPr>
                <w:color w:val="000000"/>
                <w:szCs w:val="22"/>
              </w:rPr>
              <w:t>$109.44</w:t>
            </w:r>
          </w:p>
        </w:tc>
      </w:tr>
      <w:tr w14:paraId="7D588A3B" w14:textId="77777777" w:rsidTr="001B6FAE">
        <w:tblPrEx>
          <w:tblW w:w="5626" w:type="dxa"/>
          <w:tblInd w:w="1869" w:type="dxa"/>
          <w:tblCellMar>
            <w:left w:w="0" w:type="dxa"/>
            <w:right w:w="0" w:type="dxa"/>
          </w:tblCellMar>
          <w:tblLook w:val="04A0"/>
        </w:tblPrEx>
        <w:trPr>
          <w:trHeight w:val="288"/>
        </w:trPr>
        <w:tc>
          <w:tcPr>
            <w:tcW w:w="1256" w:type="dxa"/>
            <w:noWrap/>
            <w:tcMar>
              <w:top w:w="0" w:type="dxa"/>
              <w:left w:w="108" w:type="dxa"/>
              <w:bottom w:w="0" w:type="dxa"/>
              <w:right w:w="108" w:type="dxa"/>
            </w:tcMar>
            <w:vAlign w:val="bottom"/>
            <w:hideMark/>
          </w:tcPr>
          <w:p w:rsidR="001B6FAE" w:rsidRPr="00F82C10" w:rsidP="005C2623" w14:paraId="56CDCDD5" w14:textId="77777777">
            <w:pPr>
              <w:jc w:val="center"/>
              <w:rPr>
                <w:color w:val="000000"/>
                <w:szCs w:val="22"/>
              </w:rPr>
            </w:pPr>
            <w:r w:rsidRPr="00F82C10">
              <w:rPr>
                <w:color w:val="000000"/>
                <w:szCs w:val="22"/>
              </w:rPr>
              <w:t>4</w:t>
            </w:r>
          </w:p>
        </w:tc>
        <w:tc>
          <w:tcPr>
            <w:tcW w:w="1256" w:type="dxa"/>
            <w:noWrap/>
            <w:tcMar>
              <w:top w:w="0" w:type="dxa"/>
              <w:left w:w="108" w:type="dxa"/>
              <w:bottom w:w="0" w:type="dxa"/>
              <w:right w:w="108" w:type="dxa"/>
            </w:tcMar>
            <w:vAlign w:val="bottom"/>
            <w:hideMark/>
          </w:tcPr>
          <w:p w:rsidR="001B6FAE" w:rsidRPr="00F82C10" w:rsidP="005C2623" w14:paraId="305E420A" w14:textId="77777777">
            <w:pPr>
              <w:jc w:val="center"/>
              <w:rPr>
                <w:color w:val="000000"/>
                <w:szCs w:val="22"/>
              </w:rPr>
            </w:pPr>
            <w:r w:rsidRPr="00F82C10">
              <w:rPr>
                <w:color w:val="000000"/>
                <w:szCs w:val="22"/>
              </w:rPr>
              <w:t>1</w:t>
            </w:r>
          </w:p>
        </w:tc>
        <w:tc>
          <w:tcPr>
            <w:tcW w:w="1194" w:type="dxa"/>
            <w:noWrap/>
            <w:tcMar>
              <w:top w:w="0" w:type="dxa"/>
              <w:left w:w="108" w:type="dxa"/>
              <w:bottom w:w="0" w:type="dxa"/>
              <w:right w:w="108" w:type="dxa"/>
            </w:tcMar>
            <w:vAlign w:val="bottom"/>
            <w:hideMark/>
          </w:tcPr>
          <w:p w:rsidR="001B6FAE" w:rsidRPr="00F82C10" w:rsidP="005C2623" w14:paraId="2B18556C" w14:textId="77777777">
            <w:pPr>
              <w:jc w:val="center"/>
              <w:rPr>
                <w:color w:val="000000"/>
                <w:szCs w:val="22"/>
              </w:rPr>
            </w:pPr>
            <w:r w:rsidRPr="00F82C10">
              <w:rPr>
                <w:color w:val="000000"/>
                <w:szCs w:val="22"/>
              </w:rPr>
              <w:t>Unlimited</w:t>
            </w:r>
          </w:p>
        </w:tc>
        <w:tc>
          <w:tcPr>
            <w:tcW w:w="960" w:type="dxa"/>
            <w:noWrap/>
            <w:tcMar>
              <w:top w:w="0" w:type="dxa"/>
              <w:left w:w="108" w:type="dxa"/>
              <w:bottom w:w="0" w:type="dxa"/>
              <w:right w:w="108" w:type="dxa"/>
            </w:tcMar>
            <w:vAlign w:val="bottom"/>
            <w:hideMark/>
          </w:tcPr>
          <w:p w:rsidR="001B6FAE" w:rsidRPr="00F82C10" w:rsidP="005C2623" w14:paraId="5F91D744" w14:textId="7F96E713">
            <w:pPr>
              <w:jc w:val="center"/>
              <w:rPr>
                <w:color w:val="000000"/>
                <w:szCs w:val="22"/>
              </w:rPr>
            </w:pPr>
            <w:r w:rsidRPr="00F82C10">
              <w:rPr>
                <w:color w:val="000000"/>
                <w:szCs w:val="22"/>
              </w:rPr>
              <w:t>$83.80</w:t>
            </w:r>
          </w:p>
        </w:tc>
        <w:tc>
          <w:tcPr>
            <w:tcW w:w="960" w:type="dxa"/>
            <w:noWrap/>
            <w:tcMar>
              <w:top w:w="0" w:type="dxa"/>
              <w:left w:w="108" w:type="dxa"/>
              <w:bottom w:w="0" w:type="dxa"/>
              <w:right w:w="108" w:type="dxa"/>
            </w:tcMar>
            <w:vAlign w:val="bottom"/>
            <w:hideMark/>
          </w:tcPr>
          <w:p w:rsidR="001B6FAE" w:rsidRPr="00F82C10" w:rsidP="005C2623" w14:paraId="78FC2D08" w14:textId="5B2BBBDC">
            <w:pPr>
              <w:jc w:val="center"/>
              <w:rPr>
                <w:color w:val="000000"/>
                <w:szCs w:val="22"/>
              </w:rPr>
            </w:pPr>
            <w:r w:rsidRPr="00F82C10">
              <w:rPr>
                <w:color w:val="000000"/>
                <w:szCs w:val="22"/>
              </w:rPr>
              <w:t>$109.44</w:t>
            </w:r>
          </w:p>
        </w:tc>
      </w:tr>
      <w:tr w14:paraId="64CEE414" w14:textId="77777777" w:rsidTr="001B6FAE">
        <w:tblPrEx>
          <w:tblW w:w="5626" w:type="dxa"/>
          <w:tblInd w:w="1869" w:type="dxa"/>
          <w:tblCellMar>
            <w:left w:w="0" w:type="dxa"/>
            <w:right w:w="0" w:type="dxa"/>
          </w:tblCellMar>
          <w:tblLook w:val="04A0"/>
        </w:tblPrEx>
        <w:trPr>
          <w:trHeight w:val="288"/>
        </w:trPr>
        <w:tc>
          <w:tcPr>
            <w:tcW w:w="1256" w:type="dxa"/>
            <w:noWrap/>
            <w:tcMar>
              <w:top w:w="0" w:type="dxa"/>
              <w:left w:w="108" w:type="dxa"/>
              <w:bottom w:w="0" w:type="dxa"/>
              <w:right w:w="108" w:type="dxa"/>
            </w:tcMar>
            <w:vAlign w:val="bottom"/>
            <w:hideMark/>
          </w:tcPr>
          <w:p w:rsidR="001B6FAE" w:rsidRPr="00F82C10" w:rsidP="005C2623" w14:paraId="48BC033A" w14:textId="77777777">
            <w:pPr>
              <w:jc w:val="center"/>
              <w:rPr>
                <w:color w:val="000000"/>
                <w:szCs w:val="22"/>
              </w:rPr>
            </w:pPr>
            <w:r w:rsidRPr="00F82C10">
              <w:rPr>
                <w:color w:val="000000"/>
                <w:szCs w:val="22"/>
              </w:rPr>
              <w:t>10</w:t>
            </w:r>
          </w:p>
        </w:tc>
        <w:tc>
          <w:tcPr>
            <w:tcW w:w="1256" w:type="dxa"/>
            <w:noWrap/>
            <w:tcMar>
              <w:top w:w="0" w:type="dxa"/>
              <w:left w:w="108" w:type="dxa"/>
              <w:bottom w:w="0" w:type="dxa"/>
              <w:right w:w="108" w:type="dxa"/>
            </w:tcMar>
            <w:vAlign w:val="bottom"/>
            <w:hideMark/>
          </w:tcPr>
          <w:p w:rsidR="001B6FAE" w:rsidRPr="00F82C10" w:rsidP="005C2623" w14:paraId="6FD4A368" w14:textId="77777777">
            <w:pPr>
              <w:jc w:val="center"/>
              <w:rPr>
                <w:color w:val="000000"/>
                <w:szCs w:val="22"/>
              </w:rPr>
            </w:pPr>
            <w:r w:rsidRPr="00F82C10">
              <w:rPr>
                <w:color w:val="000000"/>
                <w:szCs w:val="22"/>
              </w:rPr>
              <w:t>1</w:t>
            </w:r>
          </w:p>
        </w:tc>
        <w:tc>
          <w:tcPr>
            <w:tcW w:w="1194" w:type="dxa"/>
            <w:noWrap/>
            <w:tcMar>
              <w:top w:w="0" w:type="dxa"/>
              <w:left w:w="108" w:type="dxa"/>
              <w:bottom w:w="0" w:type="dxa"/>
              <w:right w:w="108" w:type="dxa"/>
            </w:tcMar>
            <w:vAlign w:val="bottom"/>
            <w:hideMark/>
          </w:tcPr>
          <w:p w:rsidR="001B6FAE" w:rsidRPr="00F82C10" w:rsidP="005C2623" w14:paraId="4B8DB6BB" w14:textId="77777777">
            <w:pPr>
              <w:jc w:val="center"/>
              <w:rPr>
                <w:color w:val="000000"/>
                <w:szCs w:val="22"/>
              </w:rPr>
            </w:pPr>
            <w:r w:rsidRPr="00F82C10">
              <w:rPr>
                <w:color w:val="000000"/>
                <w:szCs w:val="22"/>
              </w:rPr>
              <w:t>660</w:t>
            </w:r>
          </w:p>
        </w:tc>
        <w:tc>
          <w:tcPr>
            <w:tcW w:w="960" w:type="dxa"/>
            <w:noWrap/>
            <w:tcMar>
              <w:top w:w="0" w:type="dxa"/>
              <w:left w:w="108" w:type="dxa"/>
              <w:bottom w:w="0" w:type="dxa"/>
              <w:right w:w="108" w:type="dxa"/>
            </w:tcMar>
            <w:vAlign w:val="bottom"/>
            <w:hideMark/>
          </w:tcPr>
          <w:p w:rsidR="001B6FAE" w:rsidRPr="00F82C10" w:rsidP="005C2623" w14:paraId="16A7F7C8" w14:textId="37D2DFC8">
            <w:pPr>
              <w:jc w:val="center"/>
              <w:rPr>
                <w:color w:val="000000"/>
                <w:szCs w:val="22"/>
              </w:rPr>
            </w:pPr>
            <w:r w:rsidRPr="00F82C10">
              <w:rPr>
                <w:color w:val="000000"/>
                <w:szCs w:val="22"/>
              </w:rPr>
              <w:t>$83.80</w:t>
            </w:r>
          </w:p>
        </w:tc>
        <w:tc>
          <w:tcPr>
            <w:tcW w:w="960" w:type="dxa"/>
            <w:noWrap/>
            <w:tcMar>
              <w:top w:w="0" w:type="dxa"/>
              <w:left w:w="108" w:type="dxa"/>
              <w:bottom w:w="0" w:type="dxa"/>
              <w:right w:w="108" w:type="dxa"/>
            </w:tcMar>
            <w:vAlign w:val="bottom"/>
            <w:hideMark/>
          </w:tcPr>
          <w:p w:rsidR="001B6FAE" w:rsidRPr="00F82C10" w:rsidP="005C2623" w14:paraId="44D970F3" w14:textId="2FDFD4F9">
            <w:pPr>
              <w:jc w:val="center"/>
              <w:rPr>
                <w:color w:val="000000"/>
                <w:szCs w:val="22"/>
              </w:rPr>
            </w:pPr>
            <w:r w:rsidRPr="00F82C10">
              <w:rPr>
                <w:color w:val="000000"/>
                <w:szCs w:val="22"/>
              </w:rPr>
              <w:t>$109.44</w:t>
            </w:r>
          </w:p>
        </w:tc>
      </w:tr>
      <w:tr w14:paraId="05EAEE54" w14:textId="77777777" w:rsidTr="001B6FAE">
        <w:tblPrEx>
          <w:tblW w:w="5626" w:type="dxa"/>
          <w:tblInd w:w="1869" w:type="dxa"/>
          <w:tblCellMar>
            <w:left w:w="0" w:type="dxa"/>
            <w:right w:w="0" w:type="dxa"/>
          </w:tblCellMar>
          <w:tblLook w:val="04A0"/>
        </w:tblPrEx>
        <w:trPr>
          <w:trHeight w:val="288"/>
        </w:trPr>
        <w:tc>
          <w:tcPr>
            <w:tcW w:w="1256" w:type="dxa"/>
            <w:noWrap/>
            <w:tcMar>
              <w:top w:w="0" w:type="dxa"/>
              <w:left w:w="108" w:type="dxa"/>
              <w:bottom w:w="0" w:type="dxa"/>
              <w:right w:w="108" w:type="dxa"/>
            </w:tcMar>
            <w:vAlign w:val="bottom"/>
            <w:hideMark/>
          </w:tcPr>
          <w:p w:rsidR="001B6FAE" w:rsidRPr="00F82C10" w:rsidP="005C2623" w14:paraId="7010D03E" w14:textId="77777777">
            <w:pPr>
              <w:jc w:val="center"/>
              <w:rPr>
                <w:color w:val="000000"/>
                <w:szCs w:val="22"/>
              </w:rPr>
            </w:pPr>
            <w:r w:rsidRPr="00F82C10">
              <w:rPr>
                <w:color w:val="000000"/>
                <w:szCs w:val="22"/>
              </w:rPr>
              <w:t>10</w:t>
            </w:r>
          </w:p>
        </w:tc>
        <w:tc>
          <w:tcPr>
            <w:tcW w:w="1256" w:type="dxa"/>
            <w:noWrap/>
            <w:tcMar>
              <w:top w:w="0" w:type="dxa"/>
              <w:left w:w="108" w:type="dxa"/>
              <w:bottom w:w="0" w:type="dxa"/>
              <w:right w:w="108" w:type="dxa"/>
            </w:tcMar>
            <w:vAlign w:val="bottom"/>
            <w:hideMark/>
          </w:tcPr>
          <w:p w:rsidR="001B6FAE" w:rsidRPr="00F82C10" w:rsidP="005C2623" w14:paraId="5011D9D3" w14:textId="77777777">
            <w:pPr>
              <w:jc w:val="center"/>
              <w:rPr>
                <w:color w:val="000000"/>
                <w:szCs w:val="22"/>
              </w:rPr>
            </w:pPr>
            <w:r w:rsidRPr="00F82C10">
              <w:rPr>
                <w:color w:val="000000"/>
                <w:szCs w:val="22"/>
              </w:rPr>
              <w:t>1</w:t>
            </w:r>
          </w:p>
        </w:tc>
        <w:tc>
          <w:tcPr>
            <w:tcW w:w="1194" w:type="dxa"/>
            <w:noWrap/>
            <w:tcMar>
              <w:top w:w="0" w:type="dxa"/>
              <w:left w:w="108" w:type="dxa"/>
              <w:bottom w:w="0" w:type="dxa"/>
              <w:right w:w="108" w:type="dxa"/>
            </w:tcMar>
            <w:vAlign w:val="bottom"/>
            <w:hideMark/>
          </w:tcPr>
          <w:p w:rsidR="001B6FAE" w:rsidRPr="00F82C10" w:rsidP="005C2623" w14:paraId="57DE64DE" w14:textId="77777777">
            <w:pPr>
              <w:jc w:val="center"/>
              <w:rPr>
                <w:color w:val="000000"/>
                <w:szCs w:val="22"/>
              </w:rPr>
            </w:pPr>
            <w:r w:rsidRPr="00F82C10">
              <w:rPr>
                <w:color w:val="000000"/>
                <w:szCs w:val="22"/>
              </w:rPr>
              <w:t>Unlimited</w:t>
            </w:r>
          </w:p>
        </w:tc>
        <w:tc>
          <w:tcPr>
            <w:tcW w:w="960" w:type="dxa"/>
            <w:noWrap/>
            <w:tcMar>
              <w:top w:w="0" w:type="dxa"/>
              <w:left w:w="108" w:type="dxa"/>
              <w:bottom w:w="0" w:type="dxa"/>
              <w:right w:w="108" w:type="dxa"/>
            </w:tcMar>
            <w:vAlign w:val="bottom"/>
            <w:hideMark/>
          </w:tcPr>
          <w:p w:rsidR="001B6FAE" w:rsidRPr="00F82C10" w:rsidP="005C2623" w14:paraId="09D08419" w14:textId="38FA1BB7">
            <w:pPr>
              <w:jc w:val="center"/>
              <w:rPr>
                <w:color w:val="000000"/>
                <w:szCs w:val="22"/>
              </w:rPr>
            </w:pPr>
            <w:r w:rsidRPr="00F82C10">
              <w:rPr>
                <w:color w:val="000000"/>
                <w:szCs w:val="22"/>
              </w:rPr>
              <w:t>$83.80</w:t>
            </w:r>
          </w:p>
        </w:tc>
        <w:tc>
          <w:tcPr>
            <w:tcW w:w="960" w:type="dxa"/>
            <w:noWrap/>
            <w:tcMar>
              <w:top w:w="0" w:type="dxa"/>
              <w:left w:w="108" w:type="dxa"/>
              <w:bottom w:w="0" w:type="dxa"/>
              <w:right w:w="108" w:type="dxa"/>
            </w:tcMar>
            <w:vAlign w:val="bottom"/>
            <w:hideMark/>
          </w:tcPr>
          <w:p w:rsidR="001B6FAE" w:rsidRPr="00F82C10" w:rsidP="005C2623" w14:paraId="1F6878B1" w14:textId="6E060B5A">
            <w:pPr>
              <w:jc w:val="center"/>
              <w:rPr>
                <w:color w:val="000000"/>
                <w:szCs w:val="22"/>
              </w:rPr>
            </w:pPr>
            <w:r w:rsidRPr="00F82C10">
              <w:rPr>
                <w:color w:val="000000"/>
                <w:szCs w:val="22"/>
              </w:rPr>
              <w:t>$109.44</w:t>
            </w:r>
          </w:p>
        </w:tc>
      </w:tr>
      <w:tr w14:paraId="48782F87" w14:textId="77777777" w:rsidTr="001B6FAE">
        <w:tblPrEx>
          <w:tblW w:w="5626" w:type="dxa"/>
          <w:tblInd w:w="1869" w:type="dxa"/>
          <w:tblCellMar>
            <w:left w:w="0" w:type="dxa"/>
            <w:right w:w="0" w:type="dxa"/>
          </w:tblCellMar>
          <w:tblLook w:val="04A0"/>
        </w:tblPrEx>
        <w:trPr>
          <w:trHeight w:val="288"/>
        </w:trPr>
        <w:tc>
          <w:tcPr>
            <w:tcW w:w="1256" w:type="dxa"/>
            <w:noWrap/>
            <w:tcMar>
              <w:top w:w="0" w:type="dxa"/>
              <w:left w:w="108" w:type="dxa"/>
              <w:bottom w:w="0" w:type="dxa"/>
              <w:right w:w="108" w:type="dxa"/>
            </w:tcMar>
            <w:vAlign w:val="bottom"/>
            <w:hideMark/>
          </w:tcPr>
          <w:p w:rsidR="001B6FAE" w:rsidRPr="00F82C10" w:rsidP="005C2623" w14:paraId="20C5BFB2" w14:textId="77777777">
            <w:pPr>
              <w:jc w:val="center"/>
              <w:rPr>
                <w:color w:val="000000"/>
                <w:szCs w:val="22"/>
              </w:rPr>
            </w:pPr>
            <w:r w:rsidRPr="00F82C10">
              <w:rPr>
                <w:color w:val="000000"/>
                <w:szCs w:val="22"/>
              </w:rPr>
              <w:t>25</w:t>
            </w:r>
          </w:p>
        </w:tc>
        <w:tc>
          <w:tcPr>
            <w:tcW w:w="1256" w:type="dxa"/>
            <w:noWrap/>
            <w:tcMar>
              <w:top w:w="0" w:type="dxa"/>
              <w:left w:w="108" w:type="dxa"/>
              <w:bottom w:w="0" w:type="dxa"/>
              <w:right w:w="108" w:type="dxa"/>
            </w:tcMar>
            <w:vAlign w:val="bottom"/>
            <w:hideMark/>
          </w:tcPr>
          <w:p w:rsidR="001B6FAE" w:rsidRPr="00F82C10" w:rsidP="005C2623" w14:paraId="5D57C576" w14:textId="77777777">
            <w:pPr>
              <w:jc w:val="center"/>
              <w:rPr>
                <w:color w:val="000000"/>
                <w:szCs w:val="22"/>
              </w:rPr>
            </w:pPr>
            <w:r w:rsidRPr="00F82C10">
              <w:rPr>
                <w:color w:val="000000"/>
                <w:szCs w:val="22"/>
              </w:rPr>
              <w:t>3</w:t>
            </w:r>
          </w:p>
        </w:tc>
        <w:tc>
          <w:tcPr>
            <w:tcW w:w="1194" w:type="dxa"/>
            <w:noWrap/>
            <w:tcMar>
              <w:top w:w="0" w:type="dxa"/>
              <w:left w:w="108" w:type="dxa"/>
              <w:bottom w:w="0" w:type="dxa"/>
              <w:right w:w="108" w:type="dxa"/>
            </w:tcMar>
            <w:vAlign w:val="bottom"/>
            <w:hideMark/>
          </w:tcPr>
          <w:p w:rsidR="001B6FAE" w:rsidRPr="00F82C10" w:rsidP="005C2623" w14:paraId="0B3F29BF" w14:textId="77777777">
            <w:pPr>
              <w:jc w:val="center"/>
              <w:rPr>
                <w:color w:val="000000"/>
                <w:szCs w:val="22"/>
              </w:rPr>
            </w:pPr>
            <w:r w:rsidRPr="00F82C10">
              <w:rPr>
                <w:color w:val="000000"/>
                <w:szCs w:val="22"/>
              </w:rPr>
              <w:t>660</w:t>
            </w:r>
          </w:p>
        </w:tc>
        <w:tc>
          <w:tcPr>
            <w:tcW w:w="960" w:type="dxa"/>
            <w:noWrap/>
            <w:tcMar>
              <w:top w:w="0" w:type="dxa"/>
              <w:left w:w="108" w:type="dxa"/>
              <w:bottom w:w="0" w:type="dxa"/>
              <w:right w:w="108" w:type="dxa"/>
            </w:tcMar>
            <w:vAlign w:val="bottom"/>
            <w:hideMark/>
          </w:tcPr>
          <w:p w:rsidR="001B6FAE" w:rsidRPr="00F82C10" w:rsidP="005C2623" w14:paraId="11312AC1" w14:textId="78EE6DA8">
            <w:pPr>
              <w:jc w:val="center"/>
              <w:rPr>
                <w:color w:val="000000"/>
                <w:szCs w:val="22"/>
              </w:rPr>
            </w:pPr>
            <w:r w:rsidRPr="00F82C10">
              <w:rPr>
                <w:color w:val="000000"/>
                <w:szCs w:val="22"/>
              </w:rPr>
              <w:t>$89.41</w:t>
            </w:r>
          </w:p>
        </w:tc>
        <w:tc>
          <w:tcPr>
            <w:tcW w:w="960" w:type="dxa"/>
            <w:noWrap/>
            <w:tcMar>
              <w:top w:w="0" w:type="dxa"/>
              <w:left w:w="108" w:type="dxa"/>
              <w:bottom w:w="0" w:type="dxa"/>
              <w:right w:w="108" w:type="dxa"/>
            </w:tcMar>
            <w:vAlign w:val="bottom"/>
            <w:hideMark/>
          </w:tcPr>
          <w:p w:rsidR="001B6FAE" w:rsidRPr="00F82C10" w:rsidP="005C2623" w14:paraId="2641E197" w14:textId="6DF1D0DF">
            <w:pPr>
              <w:jc w:val="center"/>
              <w:rPr>
                <w:color w:val="000000"/>
                <w:szCs w:val="22"/>
              </w:rPr>
            </w:pPr>
            <w:r w:rsidRPr="00F82C10">
              <w:rPr>
                <w:color w:val="000000"/>
                <w:szCs w:val="22"/>
              </w:rPr>
              <w:t>$128.70</w:t>
            </w:r>
          </w:p>
        </w:tc>
      </w:tr>
      <w:tr w14:paraId="4C7547CB" w14:textId="77777777" w:rsidTr="001B6FAE">
        <w:tblPrEx>
          <w:tblW w:w="5626" w:type="dxa"/>
          <w:tblInd w:w="1869" w:type="dxa"/>
          <w:tblCellMar>
            <w:left w:w="0" w:type="dxa"/>
            <w:right w:w="0" w:type="dxa"/>
          </w:tblCellMar>
          <w:tblLook w:val="04A0"/>
        </w:tblPrEx>
        <w:trPr>
          <w:trHeight w:val="288"/>
        </w:trPr>
        <w:tc>
          <w:tcPr>
            <w:tcW w:w="1256" w:type="dxa"/>
            <w:noWrap/>
            <w:tcMar>
              <w:top w:w="0" w:type="dxa"/>
              <w:left w:w="108" w:type="dxa"/>
              <w:bottom w:w="0" w:type="dxa"/>
              <w:right w:w="108" w:type="dxa"/>
            </w:tcMar>
            <w:vAlign w:val="bottom"/>
            <w:hideMark/>
          </w:tcPr>
          <w:p w:rsidR="001B6FAE" w:rsidRPr="00F82C10" w:rsidP="005C2623" w14:paraId="45C4276F" w14:textId="77777777">
            <w:pPr>
              <w:jc w:val="center"/>
              <w:rPr>
                <w:color w:val="000000"/>
                <w:szCs w:val="22"/>
              </w:rPr>
            </w:pPr>
            <w:r w:rsidRPr="00F82C10">
              <w:rPr>
                <w:color w:val="000000"/>
                <w:szCs w:val="22"/>
              </w:rPr>
              <w:t>25</w:t>
            </w:r>
          </w:p>
        </w:tc>
        <w:tc>
          <w:tcPr>
            <w:tcW w:w="1256" w:type="dxa"/>
            <w:noWrap/>
            <w:tcMar>
              <w:top w:w="0" w:type="dxa"/>
              <w:left w:w="108" w:type="dxa"/>
              <w:bottom w:w="0" w:type="dxa"/>
              <w:right w:w="108" w:type="dxa"/>
            </w:tcMar>
            <w:vAlign w:val="bottom"/>
            <w:hideMark/>
          </w:tcPr>
          <w:p w:rsidR="001B6FAE" w:rsidRPr="00F82C10" w:rsidP="005C2623" w14:paraId="11299B8D" w14:textId="77777777">
            <w:pPr>
              <w:jc w:val="center"/>
              <w:rPr>
                <w:color w:val="000000"/>
                <w:szCs w:val="22"/>
              </w:rPr>
            </w:pPr>
            <w:r w:rsidRPr="00F82C10">
              <w:rPr>
                <w:color w:val="000000"/>
                <w:szCs w:val="22"/>
              </w:rPr>
              <w:t>3</w:t>
            </w:r>
          </w:p>
        </w:tc>
        <w:tc>
          <w:tcPr>
            <w:tcW w:w="1194" w:type="dxa"/>
            <w:noWrap/>
            <w:tcMar>
              <w:top w:w="0" w:type="dxa"/>
              <w:left w:w="108" w:type="dxa"/>
              <w:bottom w:w="0" w:type="dxa"/>
              <w:right w:w="108" w:type="dxa"/>
            </w:tcMar>
            <w:vAlign w:val="bottom"/>
            <w:hideMark/>
          </w:tcPr>
          <w:p w:rsidR="001B6FAE" w:rsidRPr="00F82C10" w:rsidP="005C2623" w14:paraId="04413BFB" w14:textId="77777777">
            <w:pPr>
              <w:jc w:val="center"/>
              <w:rPr>
                <w:color w:val="000000"/>
                <w:szCs w:val="22"/>
              </w:rPr>
            </w:pPr>
            <w:r w:rsidRPr="00F82C10">
              <w:rPr>
                <w:color w:val="000000"/>
                <w:szCs w:val="22"/>
              </w:rPr>
              <w:t>Unlimited</w:t>
            </w:r>
          </w:p>
        </w:tc>
        <w:tc>
          <w:tcPr>
            <w:tcW w:w="960" w:type="dxa"/>
            <w:noWrap/>
            <w:tcMar>
              <w:top w:w="0" w:type="dxa"/>
              <w:left w:w="108" w:type="dxa"/>
              <w:bottom w:w="0" w:type="dxa"/>
              <w:right w:w="108" w:type="dxa"/>
            </w:tcMar>
            <w:vAlign w:val="bottom"/>
            <w:hideMark/>
          </w:tcPr>
          <w:p w:rsidR="001B6FAE" w:rsidRPr="00F82C10" w:rsidP="005C2623" w14:paraId="55A6B1CC" w14:textId="70E6EB2D">
            <w:pPr>
              <w:jc w:val="center"/>
              <w:rPr>
                <w:color w:val="000000"/>
                <w:szCs w:val="22"/>
              </w:rPr>
            </w:pPr>
            <w:r w:rsidRPr="00F82C10">
              <w:rPr>
                <w:color w:val="000000"/>
                <w:szCs w:val="22"/>
              </w:rPr>
              <w:t>$89.41</w:t>
            </w:r>
          </w:p>
        </w:tc>
        <w:tc>
          <w:tcPr>
            <w:tcW w:w="960" w:type="dxa"/>
            <w:noWrap/>
            <w:tcMar>
              <w:top w:w="0" w:type="dxa"/>
              <w:left w:w="108" w:type="dxa"/>
              <w:bottom w:w="0" w:type="dxa"/>
              <w:right w:w="108" w:type="dxa"/>
            </w:tcMar>
            <w:vAlign w:val="bottom"/>
            <w:hideMark/>
          </w:tcPr>
          <w:p w:rsidR="001B6FAE" w:rsidRPr="00F82C10" w:rsidP="005C2623" w14:paraId="76FFBFFD" w14:textId="65D91A67">
            <w:pPr>
              <w:jc w:val="center"/>
              <w:rPr>
                <w:color w:val="000000"/>
                <w:szCs w:val="22"/>
              </w:rPr>
            </w:pPr>
            <w:r w:rsidRPr="00F82C10">
              <w:rPr>
                <w:color w:val="000000"/>
                <w:szCs w:val="22"/>
              </w:rPr>
              <w:t>$128.70</w:t>
            </w:r>
          </w:p>
        </w:tc>
      </w:tr>
      <w:tr w14:paraId="69881EDF" w14:textId="77777777" w:rsidTr="001B6FAE">
        <w:tblPrEx>
          <w:tblW w:w="5626" w:type="dxa"/>
          <w:tblInd w:w="1869" w:type="dxa"/>
          <w:tblCellMar>
            <w:left w:w="0" w:type="dxa"/>
            <w:right w:w="0" w:type="dxa"/>
          </w:tblCellMar>
          <w:tblLook w:val="04A0"/>
        </w:tblPrEx>
        <w:trPr>
          <w:trHeight w:val="288"/>
        </w:trPr>
        <w:tc>
          <w:tcPr>
            <w:tcW w:w="1256" w:type="dxa"/>
            <w:noWrap/>
            <w:tcMar>
              <w:top w:w="0" w:type="dxa"/>
              <w:left w:w="108" w:type="dxa"/>
              <w:bottom w:w="0" w:type="dxa"/>
              <w:right w:w="108" w:type="dxa"/>
            </w:tcMar>
            <w:vAlign w:val="bottom"/>
            <w:hideMark/>
          </w:tcPr>
          <w:p w:rsidR="001B6FAE" w:rsidRPr="00F82C10" w:rsidP="005C2623" w14:paraId="4A500C64" w14:textId="77777777">
            <w:pPr>
              <w:jc w:val="center"/>
              <w:rPr>
                <w:color w:val="000000"/>
                <w:szCs w:val="22"/>
              </w:rPr>
            </w:pPr>
            <w:r w:rsidRPr="00F82C10">
              <w:rPr>
                <w:color w:val="000000"/>
                <w:szCs w:val="22"/>
              </w:rPr>
              <w:t>25</w:t>
            </w:r>
          </w:p>
        </w:tc>
        <w:tc>
          <w:tcPr>
            <w:tcW w:w="1256" w:type="dxa"/>
            <w:noWrap/>
            <w:tcMar>
              <w:top w:w="0" w:type="dxa"/>
              <w:left w:w="108" w:type="dxa"/>
              <w:bottom w:w="0" w:type="dxa"/>
              <w:right w:w="108" w:type="dxa"/>
            </w:tcMar>
            <w:vAlign w:val="bottom"/>
            <w:hideMark/>
          </w:tcPr>
          <w:p w:rsidR="001B6FAE" w:rsidRPr="00F82C10" w:rsidP="005C2623" w14:paraId="7BF82367" w14:textId="77777777">
            <w:pPr>
              <w:jc w:val="center"/>
              <w:rPr>
                <w:color w:val="000000"/>
                <w:szCs w:val="22"/>
              </w:rPr>
            </w:pPr>
            <w:r w:rsidRPr="00F82C10">
              <w:rPr>
                <w:color w:val="000000"/>
                <w:szCs w:val="22"/>
              </w:rPr>
              <w:t>5</w:t>
            </w:r>
          </w:p>
        </w:tc>
        <w:tc>
          <w:tcPr>
            <w:tcW w:w="1194" w:type="dxa"/>
            <w:noWrap/>
            <w:tcMar>
              <w:top w:w="0" w:type="dxa"/>
              <w:left w:w="108" w:type="dxa"/>
              <w:bottom w:w="0" w:type="dxa"/>
              <w:right w:w="108" w:type="dxa"/>
            </w:tcMar>
            <w:vAlign w:val="bottom"/>
            <w:hideMark/>
          </w:tcPr>
          <w:p w:rsidR="001B6FAE" w:rsidRPr="00F82C10" w:rsidP="005C2623" w14:paraId="797326C4" w14:textId="77777777">
            <w:pPr>
              <w:jc w:val="center"/>
              <w:rPr>
                <w:color w:val="000000"/>
                <w:szCs w:val="22"/>
              </w:rPr>
            </w:pPr>
            <w:r w:rsidRPr="00F82C10">
              <w:rPr>
                <w:color w:val="000000"/>
                <w:szCs w:val="22"/>
              </w:rPr>
              <w:t>660</w:t>
            </w:r>
          </w:p>
        </w:tc>
        <w:tc>
          <w:tcPr>
            <w:tcW w:w="960" w:type="dxa"/>
            <w:noWrap/>
            <w:tcMar>
              <w:top w:w="0" w:type="dxa"/>
              <w:left w:w="108" w:type="dxa"/>
              <w:bottom w:w="0" w:type="dxa"/>
              <w:right w:w="108" w:type="dxa"/>
            </w:tcMar>
            <w:vAlign w:val="bottom"/>
            <w:hideMark/>
          </w:tcPr>
          <w:p w:rsidR="001B6FAE" w:rsidRPr="00F82C10" w:rsidP="005C2623" w14:paraId="51A33340" w14:textId="54D6C166">
            <w:pPr>
              <w:jc w:val="center"/>
              <w:rPr>
                <w:color w:val="000000"/>
                <w:szCs w:val="22"/>
              </w:rPr>
            </w:pPr>
            <w:r w:rsidRPr="00F82C10">
              <w:rPr>
                <w:color w:val="000000"/>
                <w:szCs w:val="22"/>
              </w:rPr>
              <w:t>$88.91</w:t>
            </w:r>
          </w:p>
        </w:tc>
        <w:tc>
          <w:tcPr>
            <w:tcW w:w="960" w:type="dxa"/>
            <w:noWrap/>
            <w:tcMar>
              <w:top w:w="0" w:type="dxa"/>
              <w:left w:w="108" w:type="dxa"/>
              <w:bottom w:w="0" w:type="dxa"/>
              <w:right w:w="108" w:type="dxa"/>
            </w:tcMar>
            <w:vAlign w:val="bottom"/>
            <w:hideMark/>
          </w:tcPr>
          <w:p w:rsidR="001B6FAE" w:rsidRPr="00F82C10" w:rsidP="005C2623" w14:paraId="7CF1F670" w14:textId="4DC65A0B">
            <w:pPr>
              <w:jc w:val="center"/>
              <w:rPr>
                <w:color w:val="000000"/>
                <w:szCs w:val="22"/>
              </w:rPr>
            </w:pPr>
            <w:r w:rsidRPr="00F82C10">
              <w:rPr>
                <w:color w:val="000000"/>
                <w:szCs w:val="22"/>
              </w:rPr>
              <w:t>$127.03</w:t>
            </w:r>
          </w:p>
        </w:tc>
      </w:tr>
      <w:tr w14:paraId="0C7FC410" w14:textId="77777777" w:rsidTr="001B6FAE">
        <w:tblPrEx>
          <w:tblW w:w="5626" w:type="dxa"/>
          <w:tblInd w:w="1869" w:type="dxa"/>
          <w:tblCellMar>
            <w:left w:w="0" w:type="dxa"/>
            <w:right w:w="0" w:type="dxa"/>
          </w:tblCellMar>
          <w:tblLook w:val="04A0"/>
        </w:tblPrEx>
        <w:trPr>
          <w:trHeight w:val="288"/>
        </w:trPr>
        <w:tc>
          <w:tcPr>
            <w:tcW w:w="1256" w:type="dxa"/>
            <w:noWrap/>
            <w:tcMar>
              <w:top w:w="0" w:type="dxa"/>
              <w:left w:w="108" w:type="dxa"/>
              <w:bottom w:w="0" w:type="dxa"/>
              <w:right w:w="108" w:type="dxa"/>
            </w:tcMar>
            <w:vAlign w:val="bottom"/>
            <w:hideMark/>
          </w:tcPr>
          <w:p w:rsidR="001B6FAE" w:rsidRPr="00F82C10" w:rsidP="005C2623" w14:paraId="26153857" w14:textId="77777777">
            <w:pPr>
              <w:jc w:val="center"/>
              <w:rPr>
                <w:color w:val="000000"/>
                <w:szCs w:val="22"/>
              </w:rPr>
            </w:pPr>
            <w:r w:rsidRPr="00F82C10">
              <w:rPr>
                <w:color w:val="000000"/>
                <w:szCs w:val="22"/>
              </w:rPr>
              <w:t>25</w:t>
            </w:r>
          </w:p>
        </w:tc>
        <w:tc>
          <w:tcPr>
            <w:tcW w:w="1256" w:type="dxa"/>
            <w:noWrap/>
            <w:tcMar>
              <w:top w:w="0" w:type="dxa"/>
              <w:left w:w="108" w:type="dxa"/>
              <w:bottom w:w="0" w:type="dxa"/>
              <w:right w:w="108" w:type="dxa"/>
            </w:tcMar>
            <w:vAlign w:val="bottom"/>
            <w:hideMark/>
          </w:tcPr>
          <w:p w:rsidR="001B6FAE" w:rsidRPr="00F82C10" w:rsidP="005C2623" w14:paraId="171F2797" w14:textId="77777777">
            <w:pPr>
              <w:jc w:val="center"/>
              <w:rPr>
                <w:color w:val="000000"/>
                <w:szCs w:val="22"/>
              </w:rPr>
            </w:pPr>
            <w:r w:rsidRPr="00F82C10">
              <w:rPr>
                <w:color w:val="000000"/>
                <w:szCs w:val="22"/>
              </w:rPr>
              <w:t>5</w:t>
            </w:r>
          </w:p>
        </w:tc>
        <w:tc>
          <w:tcPr>
            <w:tcW w:w="1194" w:type="dxa"/>
            <w:noWrap/>
            <w:tcMar>
              <w:top w:w="0" w:type="dxa"/>
              <w:left w:w="108" w:type="dxa"/>
              <w:bottom w:w="0" w:type="dxa"/>
              <w:right w:w="108" w:type="dxa"/>
            </w:tcMar>
            <w:vAlign w:val="bottom"/>
            <w:hideMark/>
          </w:tcPr>
          <w:p w:rsidR="001B6FAE" w:rsidRPr="00F82C10" w:rsidP="005C2623" w14:paraId="213E985C" w14:textId="77777777">
            <w:pPr>
              <w:jc w:val="center"/>
              <w:rPr>
                <w:color w:val="000000"/>
                <w:szCs w:val="22"/>
              </w:rPr>
            </w:pPr>
            <w:r w:rsidRPr="00F82C10">
              <w:rPr>
                <w:color w:val="000000"/>
                <w:szCs w:val="22"/>
              </w:rPr>
              <w:t>Unlimited</w:t>
            </w:r>
          </w:p>
        </w:tc>
        <w:tc>
          <w:tcPr>
            <w:tcW w:w="960" w:type="dxa"/>
            <w:noWrap/>
            <w:tcMar>
              <w:top w:w="0" w:type="dxa"/>
              <w:left w:w="108" w:type="dxa"/>
              <w:bottom w:w="0" w:type="dxa"/>
              <w:right w:w="108" w:type="dxa"/>
            </w:tcMar>
            <w:vAlign w:val="bottom"/>
            <w:hideMark/>
          </w:tcPr>
          <w:p w:rsidR="001B6FAE" w:rsidRPr="00F82C10" w:rsidP="005C2623" w14:paraId="7967C65A" w14:textId="4D7938BA">
            <w:pPr>
              <w:jc w:val="center"/>
              <w:rPr>
                <w:color w:val="000000"/>
                <w:szCs w:val="22"/>
              </w:rPr>
            </w:pPr>
            <w:r w:rsidRPr="00F82C10">
              <w:rPr>
                <w:color w:val="000000"/>
                <w:szCs w:val="22"/>
              </w:rPr>
              <w:t>$88.91</w:t>
            </w:r>
          </w:p>
        </w:tc>
        <w:tc>
          <w:tcPr>
            <w:tcW w:w="960" w:type="dxa"/>
            <w:noWrap/>
            <w:tcMar>
              <w:top w:w="0" w:type="dxa"/>
              <w:left w:w="108" w:type="dxa"/>
              <w:bottom w:w="0" w:type="dxa"/>
              <w:right w:w="108" w:type="dxa"/>
            </w:tcMar>
            <w:vAlign w:val="bottom"/>
            <w:hideMark/>
          </w:tcPr>
          <w:p w:rsidR="001B6FAE" w:rsidRPr="00F82C10" w:rsidP="005C2623" w14:paraId="1D316F19" w14:textId="3E822484">
            <w:pPr>
              <w:jc w:val="center"/>
              <w:rPr>
                <w:color w:val="000000"/>
                <w:szCs w:val="22"/>
              </w:rPr>
            </w:pPr>
            <w:r w:rsidRPr="00F82C10">
              <w:rPr>
                <w:color w:val="000000"/>
                <w:szCs w:val="22"/>
              </w:rPr>
              <w:t>$127.03</w:t>
            </w:r>
          </w:p>
        </w:tc>
      </w:tr>
      <w:tr w14:paraId="2E7D801F" w14:textId="77777777" w:rsidTr="001B6FAE">
        <w:tblPrEx>
          <w:tblW w:w="5626" w:type="dxa"/>
          <w:tblInd w:w="1869" w:type="dxa"/>
          <w:tblCellMar>
            <w:left w:w="0" w:type="dxa"/>
            <w:right w:w="0" w:type="dxa"/>
          </w:tblCellMar>
          <w:tblLook w:val="04A0"/>
        </w:tblPrEx>
        <w:trPr>
          <w:trHeight w:val="288"/>
        </w:trPr>
        <w:tc>
          <w:tcPr>
            <w:tcW w:w="1256" w:type="dxa"/>
            <w:noWrap/>
            <w:tcMar>
              <w:top w:w="0" w:type="dxa"/>
              <w:left w:w="108" w:type="dxa"/>
              <w:bottom w:w="0" w:type="dxa"/>
              <w:right w:w="108" w:type="dxa"/>
            </w:tcMar>
            <w:vAlign w:val="bottom"/>
            <w:hideMark/>
          </w:tcPr>
          <w:p w:rsidR="001B6FAE" w:rsidRPr="00F82C10" w:rsidP="005C2623" w14:paraId="1C915336" w14:textId="77777777">
            <w:pPr>
              <w:jc w:val="center"/>
              <w:rPr>
                <w:color w:val="000000"/>
                <w:szCs w:val="22"/>
              </w:rPr>
            </w:pPr>
            <w:r w:rsidRPr="00F82C10">
              <w:rPr>
                <w:color w:val="000000"/>
                <w:szCs w:val="22"/>
              </w:rPr>
              <w:t>50</w:t>
            </w:r>
          </w:p>
        </w:tc>
        <w:tc>
          <w:tcPr>
            <w:tcW w:w="1256" w:type="dxa"/>
            <w:noWrap/>
            <w:tcMar>
              <w:top w:w="0" w:type="dxa"/>
              <w:left w:w="108" w:type="dxa"/>
              <w:bottom w:w="0" w:type="dxa"/>
              <w:right w:w="108" w:type="dxa"/>
            </w:tcMar>
            <w:vAlign w:val="bottom"/>
            <w:hideMark/>
          </w:tcPr>
          <w:p w:rsidR="001B6FAE" w:rsidRPr="00F82C10" w:rsidP="005C2623" w14:paraId="0E31F757" w14:textId="77777777">
            <w:pPr>
              <w:jc w:val="center"/>
              <w:rPr>
                <w:color w:val="000000"/>
                <w:szCs w:val="22"/>
              </w:rPr>
            </w:pPr>
            <w:r w:rsidRPr="00F82C10">
              <w:rPr>
                <w:color w:val="000000"/>
                <w:szCs w:val="22"/>
              </w:rPr>
              <w:t>5</w:t>
            </w:r>
          </w:p>
        </w:tc>
        <w:tc>
          <w:tcPr>
            <w:tcW w:w="1194" w:type="dxa"/>
            <w:noWrap/>
            <w:tcMar>
              <w:top w:w="0" w:type="dxa"/>
              <w:left w:w="108" w:type="dxa"/>
              <w:bottom w:w="0" w:type="dxa"/>
              <w:right w:w="108" w:type="dxa"/>
            </w:tcMar>
            <w:vAlign w:val="bottom"/>
            <w:hideMark/>
          </w:tcPr>
          <w:p w:rsidR="001B6FAE" w:rsidRPr="00F82C10" w:rsidP="005C2623" w14:paraId="2DEA8B57" w14:textId="77777777">
            <w:pPr>
              <w:jc w:val="center"/>
              <w:rPr>
                <w:color w:val="000000"/>
                <w:szCs w:val="22"/>
              </w:rPr>
            </w:pPr>
            <w:r w:rsidRPr="00F82C10">
              <w:rPr>
                <w:color w:val="000000"/>
                <w:szCs w:val="22"/>
              </w:rPr>
              <w:t>660</w:t>
            </w:r>
          </w:p>
        </w:tc>
        <w:tc>
          <w:tcPr>
            <w:tcW w:w="960" w:type="dxa"/>
            <w:noWrap/>
            <w:tcMar>
              <w:top w:w="0" w:type="dxa"/>
              <w:left w:w="108" w:type="dxa"/>
              <w:bottom w:w="0" w:type="dxa"/>
              <w:right w:w="108" w:type="dxa"/>
            </w:tcMar>
            <w:vAlign w:val="bottom"/>
            <w:hideMark/>
          </w:tcPr>
          <w:p w:rsidR="001B6FAE" w:rsidRPr="00F82C10" w:rsidP="005C2623" w14:paraId="19F04E11" w14:textId="21BFB9D7">
            <w:pPr>
              <w:jc w:val="center"/>
              <w:rPr>
                <w:color w:val="000000"/>
                <w:szCs w:val="22"/>
              </w:rPr>
            </w:pPr>
            <w:r w:rsidRPr="00F82C10">
              <w:rPr>
                <w:color w:val="000000"/>
                <w:szCs w:val="22"/>
              </w:rPr>
              <w:t>$89.66</w:t>
            </w:r>
          </w:p>
        </w:tc>
        <w:tc>
          <w:tcPr>
            <w:tcW w:w="960" w:type="dxa"/>
            <w:noWrap/>
            <w:tcMar>
              <w:top w:w="0" w:type="dxa"/>
              <w:left w:w="108" w:type="dxa"/>
              <w:bottom w:w="0" w:type="dxa"/>
              <w:right w:w="108" w:type="dxa"/>
            </w:tcMar>
            <w:vAlign w:val="bottom"/>
            <w:hideMark/>
          </w:tcPr>
          <w:p w:rsidR="001B6FAE" w:rsidRPr="00F82C10" w:rsidP="005C2623" w14:paraId="32EFA443" w14:textId="5349376F">
            <w:pPr>
              <w:jc w:val="center"/>
              <w:rPr>
                <w:color w:val="000000"/>
                <w:szCs w:val="22"/>
              </w:rPr>
            </w:pPr>
            <w:r w:rsidRPr="00F82C10">
              <w:rPr>
                <w:color w:val="000000"/>
                <w:szCs w:val="22"/>
              </w:rPr>
              <w:t>$129.94</w:t>
            </w:r>
          </w:p>
        </w:tc>
      </w:tr>
      <w:tr w14:paraId="3636B51C" w14:textId="77777777" w:rsidTr="001B6FAE">
        <w:tblPrEx>
          <w:tblW w:w="5626" w:type="dxa"/>
          <w:tblInd w:w="1869" w:type="dxa"/>
          <w:tblCellMar>
            <w:left w:w="0" w:type="dxa"/>
            <w:right w:w="0" w:type="dxa"/>
          </w:tblCellMar>
          <w:tblLook w:val="04A0"/>
        </w:tblPrEx>
        <w:trPr>
          <w:trHeight w:val="288"/>
        </w:trPr>
        <w:tc>
          <w:tcPr>
            <w:tcW w:w="1256" w:type="dxa"/>
            <w:noWrap/>
            <w:tcMar>
              <w:top w:w="0" w:type="dxa"/>
              <w:left w:w="108" w:type="dxa"/>
              <w:bottom w:w="0" w:type="dxa"/>
              <w:right w:w="108" w:type="dxa"/>
            </w:tcMar>
            <w:vAlign w:val="bottom"/>
            <w:hideMark/>
          </w:tcPr>
          <w:p w:rsidR="001B6FAE" w:rsidRPr="00F82C10" w:rsidP="005C2623" w14:paraId="1FA900AD" w14:textId="77777777">
            <w:pPr>
              <w:jc w:val="center"/>
              <w:rPr>
                <w:color w:val="000000"/>
                <w:szCs w:val="22"/>
              </w:rPr>
            </w:pPr>
            <w:r w:rsidRPr="00F82C10">
              <w:rPr>
                <w:color w:val="000000"/>
                <w:szCs w:val="22"/>
              </w:rPr>
              <w:t>50</w:t>
            </w:r>
          </w:p>
        </w:tc>
        <w:tc>
          <w:tcPr>
            <w:tcW w:w="1256" w:type="dxa"/>
            <w:noWrap/>
            <w:tcMar>
              <w:top w:w="0" w:type="dxa"/>
              <w:left w:w="108" w:type="dxa"/>
              <w:bottom w:w="0" w:type="dxa"/>
              <w:right w:w="108" w:type="dxa"/>
            </w:tcMar>
            <w:vAlign w:val="bottom"/>
            <w:hideMark/>
          </w:tcPr>
          <w:p w:rsidR="001B6FAE" w:rsidRPr="00F82C10" w:rsidP="005C2623" w14:paraId="318BB767" w14:textId="77777777">
            <w:pPr>
              <w:jc w:val="center"/>
              <w:rPr>
                <w:color w:val="000000"/>
                <w:szCs w:val="22"/>
              </w:rPr>
            </w:pPr>
            <w:r w:rsidRPr="00F82C10">
              <w:rPr>
                <w:color w:val="000000"/>
                <w:szCs w:val="22"/>
              </w:rPr>
              <w:t>5</w:t>
            </w:r>
          </w:p>
        </w:tc>
        <w:tc>
          <w:tcPr>
            <w:tcW w:w="1194" w:type="dxa"/>
            <w:noWrap/>
            <w:tcMar>
              <w:top w:w="0" w:type="dxa"/>
              <w:left w:w="108" w:type="dxa"/>
              <w:bottom w:w="0" w:type="dxa"/>
              <w:right w:w="108" w:type="dxa"/>
            </w:tcMar>
            <w:vAlign w:val="bottom"/>
            <w:hideMark/>
          </w:tcPr>
          <w:p w:rsidR="001B6FAE" w:rsidRPr="00F82C10" w:rsidP="005C2623" w14:paraId="5807B9FE" w14:textId="77777777">
            <w:pPr>
              <w:jc w:val="center"/>
              <w:rPr>
                <w:color w:val="000000"/>
                <w:szCs w:val="22"/>
              </w:rPr>
            </w:pPr>
            <w:r w:rsidRPr="00F82C10">
              <w:rPr>
                <w:color w:val="000000"/>
                <w:szCs w:val="22"/>
              </w:rPr>
              <w:t>Unlimited</w:t>
            </w:r>
          </w:p>
        </w:tc>
        <w:tc>
          <w:tcPr>
            <w:tcW w:w="960" w:type="dxa"/>
            <w:noWrap/>
            <w:tcMar>
              <w:top w:w="0" w:type="dxa"/>
              <w:left w:w="108" w:type="dxa"/>
              <w:bottom w:w="0" w:type="dxa"/>
              <w:right w:w="108" w:type="dxa"/>
            </w:tcMar>
            <w:vAlign w:val="bottom"/>
            <w:hideMark/>
          </w:tcPr>
          <w:p w:rsidR="001B6FAE" w:rsidRPr="00F82C10" w:rsidP="005C2623" w14:paraId="3B771B5E" w14:textId="3AE07E5B">
            <w:pPr>
              <w:jc w:val="center"/>
              <w:rPr>
                <w:color w:val="000000"/>
                <w:szCs w:val="22"/>
              </w:rPr>
            </w:pPr>
            <w:r w:rsidRPr="00F82C10">
              <w:rPr>
                <w:color w:val="000000"/>
                <w:szCs w:val="22"/>
              </w:rPr>
              <w:t>$92.19</w:t>
            </w:r>
          </w:p>
        </w:tc>
        <w:tc>
          <w:tcPr>
            <w:tcW w:w="960" w:type="dxa"/>
            <w:noWrap/>
            <w:tcMar>
              <w:top w:w="0" w:type="dxa"/>
              <w:left w:w="108" w:type="dxa"/>
              <w:bottom w:w="0" w:type="dxa"/>
              <w:right w:w="108" w:type="dxa"/>
            </w:tcMar>
            <w:vAlign w:val="bottom"/>
            <w:hideMark/>
          </w:tcPr>
          <w:p w:rsidR="001B6FAE" w:rsidRPr="00F82C10" w:rsidP="005C2623" w14:paraId="6361B3AC" w14:textId="515C4B83">
            <w:pPr>
              <w:jc w:val="center"/>
              <w:rPr>
                <w:color w:val="000000"/>
                <w:szCs w:val="22"/>
              </w:rPr>
            </w:pPr>
            <w:r w:rsidRPr="00F82C10">
              <w:rPr>
                <w:color w:val="000000"/>
                <w:szCs w:val="22"/>
              </w:rPr>
              <w:t>$132.83</w:t>
            </w:r>
          </w:p>
        </w:tc>
      </w:tr>
      <w:tr w14:paraId="59B8A5DD" w14:textId="77777777" w:rsidTr="001B6FAE">
        <w:tblPrEx>
          <w:tblW w:w="5626" w:type="dxa"/>
          <w:tblInd w:w="1869" w:type="dxa"/>
          <w:tblCellMar>
            <w:left w:w="0" w:type="dxa"/>
            <w:right w:w="0" w:type="dxa"/>
          </w:tblCellMar>
          <w:tblLook w:val="04A0"/>
        </w:tblPrEx>
        <w:trPr>
          <w:trHeight w:val="288"/>
        </w:trPr>
        <w:tc>
          <w:tcPr>
            <w:tcW w:w="1256" w:type="dxa"/>
            <w:noWrap/>
            <w:tcMar>
              <w:top w:w="0" w:type="dxa"/>
              <w:left w:w="108" w:type="dxa"/>
              <w:bottom w:w="0" w:type="dxa"/>
              <w:right w:w="108" w:type="dxa"/>
            </w:tcMar>
            <w:vAlign w:val="bottom"/>
            <w:hideMark/>
          </w:tcPr>
          <w:p w:rsidR="001B6FAE" w:rsidRPr="00F82C10" w:rsidP="005C2623" w14:paraId="6BCED507" w14:textId="77777777">
            <w:pPr>
              <w:jc w:val="center"/>
              <w:rPr>
                <w:color w:val="000000"/>
                <w:szCs w:val="22"/>
              </w:rPr>
            </w:pPr>
            <w:r w:rsidRPr="00F82C10">
              <w:rPr>
                <w:color w:val="000000"/>
                <w:szCs w:val="22"/>
              </w:rPr>
              <w:t>100</w:t>
            </w:r>
          </w:p>
        </w:tc>
        <w:tc>
          <w:tcPr>
            <w:tcW w:w="1256" w:type="dxa"/>
            <w:noWrap/>
            <w:tcMar>
              <w:top w:w="0" w:type="dxa"/>
              <w:left w:w="108" w:type="dxa"/>
              <w:bottom w:w="0" w:type="dxa"/>
              <w:right w:w="108" w:type="dxa"/>
            </w:tcMar>
            <w:vAlign w:val="bottom"/>
            <w:hideMark/>
          </w:tcPr>
          <w:p w:rsidR="001B6FAE" w:rsidRPr="00F82C10" w:rsidP="005C2623" w14:paraId="78CF4FEC" w14:textId="77777777">
            <w:pPr>
              <w:jc w:val="center"/>
              <w:rPr>
                <w:color w:val="000000"/>
                <w:szCs w:val="22"/>
              </w:rPr>
            </w:pPr>
            <w:r w:rsidRPr="00F82C10">
              <w:rPr>
                <w:color w:val="000000"/>
                <w:szCs w:val="22"/>
              </w:rPr>
              <w:t>10</w:t>
            </w:r>
          </w:p>
        </w:tc>
        <w:tc>
          <w:tcPr>
            <w:tcW w:w="1194" w:type="dxa"/>
            <w:noWrap/>
            <w:tcMar>
              <w:top w:w="0" w:type="dxa"/>
              <w:left w:w="108" w:type="dxa"/>
              <w:bottom w:w="0" w:type="dxa"/>
              <w:right w:w="108" w:type="dxa"/>
            </w:tcMar>
            <w:vAlign w:val="bottom"/>
            <w:hideMark/>
          </w:tcPr>
          <w:p w:rsidR="001B6FAE" w:rsidRPr="00F82C10" w:rsidP="005C2623" w14:paraId="4439FD9B" w14:textId="77777777">
            <w:pPr>
              <w:jc w:val="center"/>
              <w:rPr>
                <w:color w:val="000000"/>
                <w:szCs w:val="22"/>
              </w:rPr>
            </w:pPr>
            <w:r w:rsidRPr="00F82C10">
              <w:rPr>
                <w:color w:val="000000"/>
                <w:szCs w:val="22"/>
              </w:rPr>
              <w:t>Unlimited</w:t>
            </w:r>
          </w:p>
        </w:tc>
        <w:tc>
          <w:tcPr>
            <w:tcW w:w="960" w:type="dxa"/>
            <w:noWrap/>
            <w:tcMar>
              <w:top w:w="0" w:type="dxa"/>
              <w:left w:w="108" w:type="dxa"/>
              <w:bottom w:w="0" w:type="dxa"/>
              <w:right w:w="108" w:type="dxa"/>
            </w:tcMar>
            <w:vAlign w:val="bottom"/>
            <w:hideMark/>
          </w:tcPr>
          <w:p w:rsidR="001B6FAE" w:rsidRPr="00F82C10" w:rsidP="005C2623" w14:paraId="7FC2FA4C" w14:textId="5CC9D45A">
            <w:pPr>
              <w:jc w:val="center"/>
              <w:rPr>
                <w:color w:val="000000"/>
                <w:szCs w:val="22"/>
              </w:rPr>
            </w:pPr>
            <w:r w:rsidRPr="00F82C10">
              <w:rPr>
                <w:color w:val="000000"/>
                <w:szCs w:val="22"/>
              </w:rPr>
              <w:t>$91.35</w:t>
            </w:r>
          </w:p>
        </w:tc>
        <w:tc>
          <w:tcPr>
            <w:tcW w:w="960" w:type="dxa"/>
            <w:noWrap/>
            <w:tcMar>
              <w:top w:w="0" w:type="dxa"/>
              <w:left w:w="108" w:type="dxa"/>
              <w:bottom w:w="0" w:type="dxa"/>
              <w:right w:w="108" w:type="dxa"/>
            </w:tcMar>
            <w:vAlign w:val="bottom"/>
            <w:hideMark/>
          </w:tcPr>
          <w:p w:rsidR="001B6FAE" w:rsidRPr="00F82C10" w:rsidP="005C2623" w14:paraId="76093163" w14:textId="45E472E3">
            <w:pPr>
              <w:jc w:val="center"/>
              <w:rPr>
                <w:color w:val="000000"/>
                <w:szCs w:val="22"/>
              </w:rPr>
            </w:pPr>
            <w:r w:rsidRPr="00F82C10">
              <w:rPr>
                <w:color w:val="000000"/>
                <w:szCs w:val="22"/>
              </w:rPr>
              <w:t>$131.66</w:t>
            </w:r>
          </w:p>
        </w:tc>
      </w:tr>
      <w:tr w14:paraId="14162FEA" w14:textId="77777777" w:rsidTr="001B6FAE">
        <w:tblPrEx>
          <w:tblW w:w="5626" w:type="dxa"/>
          <w:tblInd w:w="1869" w:type="dxa"/>
          <w:tblCellMar>
            <w:left w:w="0" w:type="dxa"/>
            <w:right w:w="0" w:type="dxa"/>
          </w:tblCellMar>
          <w:tblLook w:val="04A0"/>
        </w:tblPrEx>
        <w:trPr>
          <w:trHeight w:val="288"/>
        </w:trPr>
        <w:tc>
          <w:tcPr>
            <w:tcW w:w="1256" w:type="dxa"/>
            <w:noWrap/>
            <w:tcMar>
              <w:top w:w="0" w:type="dxa"/>
              <w:left w:w="108" w:type="dxa"/>
              <w:bottom w:w="0" w:type="dxa"/>
              <w:right w:w="108" w:type="dxa"/>
            </w:tcMar>
            <w:vAlign w:val="bottom"/>
            <w:hideMark/>
          </w:tcPr>
          <w:p w:rsidR="001B6FAE" w:rsidRPr="00F82C10" w:rsidP="005C2623" w14:paraId="1BBFF5B7" w14:textId="77777777">
            <w:pPr>
              <w:jc w:val="center"/>
              <w:rPr>
                <w:color w:val="000000"/>
                <w:szCs w:val="22"/>
              </w:rPr>
            </w:pPr>
            <w:r w:rsidRPr="00F82C10">
              <w:rPr>
                <w:color w:val="000000"/>
                <w:szCs w:val="22"/>
              </w:rPr>
              <w:t>100</w:t>
            </w:r>
          </w:p>
        </w:tc>
        <w:tc>
          <w:tcPr>
            <w:tcW w:w="1256" w:type="dxa"/>
            <w:noWrap/>
            <w:tcMar>
              <w:top w:w="0" w:type="dxa"/>
              <w:left w:w="108" w:type="dxa"/>
              <w:bottom w:w="0" w:type="dxa"/>
              <w:right w:w="108" w:type="dxa"/>
            </w:tcMar>
            <w:vAlign w:val="bottom"/>
            <w:hideMark/>
          </w:tcPr>
          <w:p w:rsidR="001B6FAE" w:rsidRPr="00F82C10" w:rsidP="005C2623" w14:paraId="2E422C92" w14:textId="77777777">
            <w:pPr>
              <w:jc w:val="center"/>
              <w:rPr>
                <w:color w:val="000000"/>
                <w:szCs w:val="22"/>
              </w:rPr>
            </w:pPr>
            <w:r w:rsidRPr="00F82C10">
              <w:rPr>
                <w:color w:val="000000"/>
                <w:szCs w:val="22"/>
              </w:rPr>
              <w:t>20</w:t>
            </w:r>
          </w:p>
        </w:tc>
        <w:tc>
          <w:tcPr>
            <w:tcW w:w="1194" w:type="dxa"/>
            <w:noWrap/>
            <w:tcMar>
              <w:top w:w="0" w:type="dxa"/>
              <w:left w:w="108" w:type="dxa"/>
              <w:bottom w:w="0" w:type="dxa"/>
              <w:right w:w="108" w:type="dxa"/>
            </w:tcMar>
            <w:vAlign w:val="bottom"/>
            <w:hideMark/>
          </w:tcPr>
          <w:p w:rsidR="001B6FAE" w:rsidRPr="00F82C10" w:rsidP="005C2623" w14:paraId="3BB4B4A1" w14:textId="77777777">
            <w:pPr>
              <w:jc w:val="center"/>
              <w:rPr>
                <w:color w:val="000000"/>
                <w:szCs w:val="22"/>
              </w:rPr>
            </w:pPr>
            <w:r w:rsidRPr="00F82C10">
              <w:rPr>
                <w:color w:val="000000"/>
                <w:szCs w:val="22"/>
              </w:rPr>
              <w:t>660</w:t>
            </w:r>
          </w:p>
        </w:tc>
        <w:tc>
          <w:tcPr>
            <w:tcW w:w="960" w:type="dxa"/>
            <w:noWrap/>
            <w:tcMar>
              <w:top w:w="0" w:type="dxa"/>
              <w:left w:w="108" w:type="dxa"/>
              <w:bottom w:w="0" w:type="dxa"/>
              <w:right w:w="108" w:type="dxa"/>
            </w:tcMar>
            <w:vAlign w:val="bottom"/>
            <w:hideMark/>
          </w:tcPr>
          <w:p w:rsidR="001B6FAE" w:rsidRPr="00F82C10" w:rsidP="005C2623" w14:paraId="1E826B4B" w14:textId="68184169">
            <w:pPr>
              <w:jc w:val="center"/>
              <w:rPr>
                <w:color w:val="000000"/>
                <w:szCs w:val="22"/>
              </w:rPr>
            </w:pPr>
            <w:r w:rsidRPr="00F82C10">
              <w:rPr>
                <w:color w:val="000000"/>
                <w:szCs w:val="22"/>
              </w:rPr>
              <w:t>$91.24</w:t>
            </w:r>
          </w:p>
        </w:tc>
        <w:tc>
          <w:tcPr>
            <w:tcW w:w="960" w:type="dxa"/>
            <w:noWrap/>
            <w:tcMar>
              <w:top w:w="0" w:type="dxa"/>
              <w:left w:w="108" w:type="dxa"/>
              <w:bottom w:w="0" w:type="dxa"/>
              <w:right w:w="108" w:type="dxa"/>
            </w:tcMar>
            <w:vAlign w:val="bottom"/>
            <w:hideMark/>
          </w:tcPr>
          <w:p w:rsidR="001B6FAE" w:rsidRPr="00F82C10" w:rsidP="005C2623" w14:paraId="0C5AD7D1" w14:textId="059235E9">
            <w:pPr>
              <w:jc w:val="center"/>
              <w:rPr>
                <w:color w:val="000000"/>
                <w:szCs w:val="22"/>
              </w:rPr>
            </w:pPr>
            <w:r w:rsidRPr="00F82C10">
              <w:rPr>
                <w:color w:val="000000"/>
                <w:szCs w:val="22"/>
              </w:rPr>
              <w:t>$132.47</w:t>
            </w:r>
          </w:p>
        </w:tc>
      </w:tr>
      <w:tr w14:paraId="0B9A4248" w14:textId="77777777" w:rsidTr="001B6FAE">
        <w:tblPrEx>
          <w:tblW w:w="5626" w:type="dxa"/>
          <w:tblInd w:w="1869" w:type="dxa"/>
          <w:tblCellMar>
            <w:left w:w="0" w:type="dxa"/>
            <w:right w:w="0" w:type="dxa"/>
          </w:tblCellMar>
          <w:tblLook w:val="04A0"/>
        </w:tblPrEx>
        <w:trPr>
          <w:trHeight w:val="288"/>
        </w:trPr>
        <w:tc>
          <w:tcPr>
            <w:tcW w:w="1256" w:type="dxa"/>
            <w:noWrap/>
            <w:tcMar>
              <w:top w:w="0" w:type="dxa"/>
              <w:left w:w="108" w:type="dxa"/>
              <w:bottom w:w="0" w:type="dxa"/>
              <w:right w:w="108" w:type="dxa"/>
            </w:tcMar>
            <w:vAlign w:val="bottom"/>
            <w:hideMark/>
          </w:tcPr>
          <w:p w:rsidR="001B6FAE" w:rsidRPr="00F82C10" w:rsidP="005C2623" w14:paraId="3238E652" w14:textId="77777777">
            <w:pPr>
              <w:jc w:val="center"/>
              <w:rPr>
                <w:color w:val="000000"/>
                <w:szCs w:val="22"/>
              </w:rPr>
            </w:pPr>
            <w:r w:rsidRPr="00F82C10">
              <w:rPr>
                <w:color w:val="000000"/>
                <w:szCs w:val="22"/>
              </w:rPr>
              <w:t>100</w:t>
            </w:r>
          </w:p>
        </w:tc>
        <w:tc>
          <w:tcPr>
            <w:tcW w:w="1256" w:type="dxa"/>
            <w:noWrap/>
            <w:tcMar>
              <w:top w:w="0" w:type="dxa"/>
              <w:left w:w="108" w:type="dxa"/>
              <w:bottom w:w="0" w:type="dxa"/>
              <w:right w:w="108" w:type="dxa"/>
            </w:tcMar>
            <w:vAlign w:val="bottom"/>
            <w:hideMark/>
          </w:tcPr>
          <w:p w:rsidR="001B6FAE" w:rsidRPr="00F82C10" w:rsidP="005C2623" w14:paraId="4BE8A81D" w14:textId="77777777">
            <w:pPr>
              <w:jc w:val="center"/>
              <w:rPr>
                <w:color w:val="000000"/>
                <w:szCs w:val="22"/>
              </w:rPr>
            </w:pPr>
            <w:r w:rsidRPr="00F82C10">
              <w:rPr>
                <w:color w:val="000000"/>
                <w:szCs w:val="22"/>
              </w:rPr>
              <w:t>20</w:t>
            </w:r>
          </w:p>
        </w:tc>
        <w:tc>
          <w:tcPr>
            <w:tcW w:w="1194" w:type="dxa"/>
            <w:noWrap/>
            <w:tcMar>
              <w:top w:w="0" w:type="dxa"/>
              <w:left w:w="108" w:type="dxa"/>
              <w:bottom w:w="0" w:type="dxa"/>
              <w:right w:w="108" w:type="dxa"/>
            </w:tcMar>
            <w:vAlign w:val="bottom"/>
            <w:hideMark/>
          </w:tcPr>
          <w:p w:rsidR="001B6FAE" w:rsidRPr="00F82C10" w:rsidP="005C2623" w14:paraId="37862F96" w14:textId="77777777">
            <w:pPr>
              <w:jc w:val="center"/>
              <w:rPr>
                <w:color w:val="000000"/>
                <w:szCs w:val="22"/>
              </w:rPr>
            </w:pPr>
            <w:r w:rsidRPr="00F82C10">
              <w:rPr>
                <w:color w:val="000000"/>
                <w:szCs w:val="22"/>
              </w:rPr>
              <w:t>Unlimited</w:t>
            </w:r>
          </w:p>
        </w:tc>
        <w:tc>
          <w:tcPr>
            <w:tcW w:w="960" w:type="dxa"/>
            <w:noWrap/>
            <w:tcMar>
              <w:top w:w="0" w:type="dxa"/>
              <w:left w:w="108" w:type="dxa"/>
              <w:bottom w:w="0" w:type="dxa"/>
              <w:right w:w="108" w:type="dxa"/>
            </w:tcMar>
            <w:vAlign w:val="bottom"/>
            <w:hideMark/>
          </w:tcPr>
          <w:p w:rsidR="001B6FAE" w:rsidRPr="00F82C10" w:rsidP="005C2623" w14:paraId="31DC592C" w14:textId="552ADA2D">
            <w:pPr>
              <w:jc w:val="center"/>
              <w:rPr>
                <w:color w:val="000000"/>
                <w:szCs w:val="22"/>
              </w:rPr>
            </w:pPr>
            <w:r w:rsidRPr="00F82C10">
              <w:rPr>
                <w:color w:val="000000"/>
                <w:szCs w:val="22"/>
              </w:rPr>
              <w:t>$92.24</w:t>
            </w:r>
          </w:p>
        </w:tc>
        <w:tc>
          <w:tcPr>
            <w:tcW w:w="960" w:type="dxa"/>
            <w:noWrap/>
            <w:tcMar>
              <w:top w:w="0" w:type="dxa"/>
              <w:left w:w="108" w:type="dxa"/>
              <w:bottom w:w="0" w:type="dxa"/>
              <w:right w:w="108" w:type="dxa"/>
            </w:tcMar>
            <w:vAlign w:val="bottom"/>
            <w:hideMark/>
          </w:tcPr>
          <w:p w:rsidR="001B6FAE" w:rsidRPr="00F82C10" w:rsidP="005C2623" w14:paraId="6D55B1FE" w14:textId="6800C278">
            <w:pPr>
              <w:jc w:val="center"/>
              <w:rPr>
                <w:color w:val="000000"/>
                <w:szCs w:val="22"/>
              </w:rPr>
            </w:pPr>
            <w:r w:rsidRPr="00F82C10">
              <w:rPr>
                <w:color w:val="000000"/>
                <w:szCs w:val="22"/>
              </w:rPr>
              <w:t>$134.23</w:t>
            </w:r>
          </w:p>
        </w:tc>
      </w:tr>
      <w:tr w14:paraId="7BCED117" w14:textId="77777777" w:rsidTr="001B6FAE">
        <w:tblPrEx>
          <w:tblW w:w="5626" w:type="dxa"/>
          <w:tblInd w:w="1869" w:type="dxa"/>
          <w:tblCellMar>
            <w:left w:w="0" w:type="dxa"/>
            <w:right w:w="0" w:type="dxa"/>
          </w:tblCellMar>
          <w:tblLook w:val="04A0"/>
        </w:tblPrEx>
        <w:trPr>
          <w:trHeight w:val="288"/>
        </w:trPr>
        <w:tc>
          <w:tcPr>
            <w:tcW w:w="1256" w:type="dxa"/>
            <w:noWrap/>
            <w:tcMar>
              <w:top w:w="0" w:type="dxa"/>
              <w:left w:w="108" w:type="dxa"/>
              <w:bottom w:w="0" w:type="dxa"/>
              <w:right w:w="108" w:type="dxa"/>
            </w:tcMar>
            <w:vAlign w:val="bottom"/>
            <w:hideMark/>
          </w:tcPr>
          <w:p w:rsidR="001B6FAE" w:rsidRPr="00F82C10" w:rsidP="005C2623" w14:paraId="37ED71F0" w14:textId="77777777">
            <w:pPr>
              <w:jc w:val="center"/>
              <w:rPr>
                <w:color w:val="000000"/>
                <w:szCs w:val="22"/>
              </w:rPr>
            </w:pPr>
            <w:r w:rsidRPr="00F82C10">
              <w:rPr>
                <w:color w:val="000000"/>
                <w:szCs w:val="22"/>
              </w:rPr>
              <w:t>250</w:t>
            </w:r>
          </w:p>
        </w:tc>
        <w:tc>
          <w:tcPr>
            <w:tcW w:w="1256" w:type="dxa"/>
            <w:noWrap/>
            <w:tcMar>
              <w:top w:w="0" w:type="dxa"/>
              <w:left w:w="108" w:type="dxa"/>
              <w:bottom w:w="0" w:type="dxa"/>
              <w:right w:w="108" w:type="dxa"/>
            </w:tcMar>
            <w:vAlign w:val="bottom"/>
            <w:hideMark/>
          </w:tcPr>
          <w:p w:rsidR="001B6FAE" w:rsidRPr="00F82C10" w:rsidP="005C2623" w14:paraId="2B38DD5B" w14:textId="77777777">
            <w:pPr>
              <w:jc w:val="center"/>
              <w:rPr>
                <w:color w:val="000000"/>
                <w:szCs w:val="22"/>
              </w:rPr>
            </w:pPr>
            <w:r w:rsidRPr="00F82C10">
              <w:rPr>
                <w:color w:val="000000"/>
                <w:szCs w:val="22"/>
              </w:rPr>
              <w:t>25</w:t>
            </w:r>
          </w:p>
        </w:tc>
        <w:tc>
          <w:tcPr>
            <w:tcW w:w="1194" w:type="dxa"/>
            <w:noWrap/>
            <w:tcMar>
              <w:top w:w="0" w:type="dxa"/>
              <w:left w:w="108" w:type="dxa"/>
              <w:bottom w:w="0" w:type="dxa"/>
              <w:right w:w="108" w:type="dxa"/>
            </w:tcMar>
            <w:vAlign w:val="bottom"/>
            <w:hideMark/>
          </w:tcPr>
          <w:p w:rsidR="001B6FAE" w:rsidRPr="00F82C10" w:rsidP="005C2623" w14:paraId="3F90A561" w14:textId="77777777">
            <w:pPr>
              <w:jc w:val="center"/>
              <w:rPr>
                <w:color w:val="000000"/>
                <w:szCs w:val="22"/>
              </w:rPr>
            </w:pPr>
            <w:r w:rsidRPr="00F82C10">
              <w:rPr>
                <w:color w:val="000000"/>
                <w:szCs w:val="22"/>
              </w:rPr>
              <w:t>Unlimited</w:t>
            </w:r>
          </w:p>
        </w:tc>
        <w:tc>
          <w:tcPr>
            <w:tcW w:w="960" w:type="dxa"/>
            <w:noWrap/>
            <w:tcMar>
              <w:top w:w="0" w:type="dxa"/>
              <w:left w:w="108" w:type="dxa"/>
              <w:bottom w:w="0" w:type="dxa"/>
              <w:right w:w="108" w:type="dxa"/>
            </w:tcMar>
            <w:vAlign w:val="bottom"/>
            <w:hideMark/>
          </w:tcPr>
          <w:p w:rsidR="001B6FAE" w:rsidRPr="00F82C10" w:rsidP="005C2623" w14:paraId="2B25525B" w14:textId="0031526F">
            <w:pPr>
              <w:jc w:val="center"/>
              <w:rPr>
                <w:color w:val="000000"/>
                <w:szCs w:val="22"/>
              </w:rPr>
            </w:pPr>
            <w:r w:rsidRPr="00F82C10">
              <w:rPr>
                <w:color w:val="000000"/>
                <w:szCs w:val="22"/>
              </w:rPr>
              <w:t>$104.62</w:t>
            </w:r>
          </w:p>
        </w:tc>
        <w:tc>
          <w:tcPr>
            <w:tcW w:w="960" w:type="dxa"/>
            <w:noWrap/>
            <w:tcMar>
              <w:top w:w="0" w:type="dxa"/>
              <w:left w:w="108" w:type="dxa"/>
              <w:bottom w:w="0" w:type="dxa"/>
              <w:right w:w="108" w:type="dxa"/>
            </w:tcMar>
            <w:vAlign w:val="bottom"/>
            <w:hideMark/>
          </w:tcPr>
          <w:p w:rsidR="001B6FAE" w:rsidRPr="00F82C10" w:rsidP="005C2623" w14:paraId="51D537E9" w14:textId="7F3421D2">
            <w:pPr>
              <w:jc w:val="center"/>
              <w:rPr>
                <w:color w:val="000000"/>
                <w:szCs w:val="22"/>
              </w:rPr>
            </w:pPr>
            <w:r w:rsidRPr="00F82C10">
              <w:rPr>
                <w:color w:val="000000"/>
                <w:szCs w:val="22"/>
              </w:rPr>
              <w:t>$153.98</w:t>
            </w:r>
          </w:p>
        </w:tc>
      </w:tr>
      <w:tr w14:paraId="0CB496E5" w14:textId="77777777" w:rsidTr="001B6FAE">
        <w:tblPrEx>
          <w:tblW w:w="5626" w:type="dxa"/>
          <w:tblInd w:w="1869" w:type="dxa"/>
          <w:tblCellMar>
            <w:left w:w="0" w:type="dxa"/>
            <w:right w:w="0" w:type="dxa"/>
          </w:tblCellMar>
          <w:tblLook w:val="04A0"/>
        </w:tblPrEx>
        <w:trPr>
          <w:trHeight w:val="288"/>
        </w:trPr>
        <w:tc>
          <w:tcPr>
            <w:tcW w:w="1256" w:type="dxa"/>
            <w:noWrap/>
            <w:tcMar>
              <w:top w:w="0" w:type="dxa"/>
              <w:left w:w="108" w:type="dxa"/>
              <w:bottom w:w="0" w:type="dxa"/>
              <w:right w:w="108" w:type="dxa"/>
            </w:tcMar>
            <w:vAlign w:val="bottom"/>
            <w:hideMark/>
          </w:tcPr>
          <w:p w:rsidR="001B6FAE" w:rsidRPr="00F82C10" w:rsidP="005C2623" w14:paraId="48384B54" w14:textId="77777777">
            <w:pPr>
              <w:jc w:val="center"/>
              <w:rPr>
                <w:color w:val="000000"/>
                <w:szCs w:val="22"/>
              </w:rPr>
            </w:pPr>
            <w:r w:rsidRPr="00F82C10">
              <w:rPr>
                <w:color w:val="000000"/>
                <w:szCs w:val="22"/>
              </w:rPr>
              <w:t>500</w:t>
            </w:r>
          </w:p>
        </w:tc>
        <w:tc>
          <w:tcPr>
            <w:tcW w:w="1256" w:type="dxa"/>
            <w:noWrap/>
            <w:tcMar>
              <w:top w:w="0" w:type="dxa"/>
              <w:left w:w="108" w:type="dxa"/>
              <w:bottom w:w="0" w:type="dxa"/>
              <w:right w:w="108" w:type="dxa"/>
            </w:tcMar>
            <w:vAlign w:val="bottom"/>
            <w:hideMark/>
          </w:tcPr>
          <w:p w:rsidR="001B6FAE" w:rsidRPr="00F82C10" w:rsidP="005C2623" w14:paraId="32AEA59D" w14:textId="77777777">
            <w:pPr>
              <w:jc w:val="center"/>
              <w:rPr>
                <w:color w:val="000000"/>
                <w:szCs w:val="22"/>
              </w:rPr>
            </w:pPr>
            <w:r w:rsidRPr="00F82C10">
              <w:rPr>
                <w:color w:val="000000"/>
                <w:szCs w:val="22"/>
              </w:rPr>
              <w:t>50</w:t>
            </w:r>
          </w:p>
        </w:tc>
        <w:tc>
          <w:tcPr>
            <w:tcW w:w="1194" w:type="dxa"/>
            <w:noWrap/>
            <w:tcMar>
              <w:top w:w="0" w:type="dxa"/>
              <w:left w:w="108" w:type="dxa"/>
              <w:bottom w:w="0" w:type="dxa"/>
              <w:right w:w="108" w:type="dxa"/>
            </w:tcMar>
            <w:vAlign w:val="bottom"/>
            <w:hideMark/>
          </w:tcPr>
          <w:p w:rsidR="001B6FAE" w:rsidRPr="00F82C10" w:rsidP="005C2623" w14:paraId="7114588A" w14:textId="77777777">
            <w:pPr>
              <w:jc w:val="center"/>
              <w:rPr>
                <w:color w:val="000000"/>
                <w:szCs w:val="22"/>
              </w:rPr>
            </w:pPr>
            <w:r w:rsidRPr="00F82C10">
              <w:rPr>
                <w:color w:val="000000"/>
                <w:szCs w:val="22"/>
              </w:rPr>
              <w:t>Unlimited</w:t>
            </w:r>
          </w:p>
        </w:tc>
        <w:tc>
          <w:tcPr>
            <w:tcW w:w="960" w:type="dxa"/>
            <w:noWrap/>
            <w:tcMar>
              <w:top w:w="0" w:type="dxa"/>
              <w:left w:w="108" w:type="dxa"/>
              <w:bottom w:w="0" w:type="dxa"/>
              <w:right w:w="108" w:type="dxa"/>
            </w:tcMar>
            <w:vAlign w:val="bottom"/>
            <w:hideMark/>
          </w:tcPr>
          <w:p w:rsidR="001B6FAE" w:rsidRPr="00F82C10" w:rsidP="005C2623" w14:paraId="3495A48A" w14:textId="0E0269A8">
            <w:pPr>
              <w:jc w:val="center"/>
              <w:rPr>
                <w:color w:val="000000"/>
                <w:szCs w:val="22"/>
              </w:rPr>
            </w:pPr>
            <w:r w:rsidRPr="00F82C10">
              <w:rPr>
                <w:color w:val="000000"/>
                <w:szCs w:val="22"/>
              </w:rPr>
              <w:t>$119.73</w:t>
            </w:r>
          </w:p>
        </w:tc>
        <w:tc>
          <w:tcPr>
            <w:tcW w:w="960" w:type="dxa"/>
            <w:noWrap/>
            <w:tcMar>
              <w:top w:w="0" w:type="dxa"/>
              <w:left w:w="108" w:type="dxa"/>
              <w:bottom w:w="0" w:type="dxa"/>
              <w:right w:w="108" w:type="dxa"/>
            </w:tcMar>
            <w:vAlign w:val="bottom"/>
            <w:hideMark/>
          </w:tcPr>
          <w:p w:rsidR="001B6FAE" w:rsidRPr="00F82C10" w:rsidP="005C2623" w14:paraId="6BD60617" w14:textId="0D9C1758">
            <w:pPr>
              <w:jc w:val="center"/>
              <w:rPr>
                <w:color w:val="000000"/>
                <w:szCs w:val="22"/>
              </w:rPr>
            </w:pPr>
            <w:r w:rsidRPr="00F82C10">
              <w:rPr>
                <w:color w:val="000000"/>
                <w:szCs w:val="22"/>
              </w:rPr>
              <w:t>$175.78</w:t>
            </w:r>
          </w:p>
        </w:tc>
      </w:tr>
      <w:tr w14:paraId="158D981A" w14:textId="77777777" w:rsidTr="001B6FAE">
        <w:tblPrEx>
          <w:tblW w:w="5626" w:type="dxa"/>
          <w:tblInd w:w="1869" w:type="dxa"/>
          <w:tblCellMar>
            <w:left w:w="0" w:type="dxa"/>
            <w:right w:w="0" w:type="dxa"/>
          </w:tblCellMar>
          <w:tblLook w:val="04A0"/>
        </w:tblPrEx>
        <w:trPr>
          <w:trHeight w:val="288"/>
        </w:trPr>
        <w:tc>
          <w:tcPr>
            <w:tcW w:w="1256" w:type="dxa"/>
            <w:noWrap/>
            <w:tcMar>
              <w:top w:w="0" w:type="dxa"/>
              <w:left w:w="108" w:type="dxa"/>
              <w:bottom w:w="0" w:type="dxa"/>
              <w:right w:w="108" w:type="dxa"/>
            </w:tcMar>
            <w:vAlign w:val="bottom"/>
            <w:hideMark/>
          </w:tcPr>
          <w:p w:rsidR="001B6FAE" w:rsidRPr="00F82C10" w:rsidP="005C2623" w14:paraId="070D9075" w14:textId="77777777">
            <w:pPr>
              <w:jc w:val="center"/>
              <w:rPr>
                <w:color w:val="000000"/>
                <w:szCs w:val="22"/>
              </w:rPr>
            </w:pPr>
            <w:r w:rsidRPr="00F82C10">
              <w:rPr>
                <w:color w:val="000000"/>
                <w:szCs w:val="22"/>
              </w:rPr>
              <w:t>1000</w:t>
            </w:r>
          </w:p>
        </w:tc>
        <w:tc>
          <w:tcPr>
            <w:tcW w:w="1256" w:type="dxa"/>
            <w:noWrap/>
            <w:tcMar>
              <w:top w:w="0" w:type="dxa"/>
              <w:left w:w="108" w:type="dxa"/>
              <w:bottom w:w="0" w:type="dxa"/>
              <w:right w:w="108" w:type="dxa"/>
            </w:tcMar>
            <w:vAlign w:val="bottom"/>
            <w:hideMark/>
          </w:tcPr>
          <w:p w:rsidR="001B6FAE" w:rsidRPr="00F82C10" w:rsidP="005C2623" w14:paraId="2E6B9400" w14:textId="77777777">
            <w:pPr>
              <w:jc w:val="center"/>
              <w:rPr>
                <w:color w:val="000000"/>
                <w:szCs w:val="22"/>
              </w:rPr>
            </w:pPr>
            <w:r w:rsidRPr="00F82C10">
              <w:rPr>
                <w:color w:val="000000"/>
                <w:szCs w:val="22"/>
              </w:rPr>
              <w:t>100</w:t>
            </w:r>
          </w:p>
        </w:tc>
        <w:tc>
          <w:tcPr>
            <w:tcW w:w="1194" w:type="dxa"/>
            <w:noWrap/>
            <w:tcMar>
              <w:top w:w="0" w:type="dxa"/>
              <w:left w:w="108" w:type="dxa"/>
              <w:bottom w:w="0" w:type="dxa"/>
              <w:right w:w="108" w:type="dxa"/>
            </w:tcMar>
            <w:vAlign w:val="bottom"/>
            <w:hideMark/>
          </w:tcPr>
          <w:p w:rsidR="001B6FAE" w:rsidRPr="00F82C10" w:rsidP="005C2623" w14:paraId="70198004" w14:textId="77777777">
            <w:pPr>
              <w:jc w:val="center"/>
              <w:rPr>
                <w:color w:val="000000"/>
                <w:szCs w:val="22"/>
              </w:rPr>
            </w:pPr>
            <w:r w:rsidRPr="00F82C10">
              <w:rPr>
                <w:color w:val="000000"/>
                <w:szCs w:val="22"/>
              </w:rPr>
              <w:t>Unlimited</w:t>
            </w:r>
          </w:p>
        </w:tc>
        <w:tc>
          <w:tcPr>
            <w:tcW w:w="960" w:type="dxa"/>
            <w:noWrap/>
            <w:tcMar>
              <w:top w:w="0" w:type="dxa"/>
              <w:left w:w="108" w:type="dxa"/>
              <w:bottom w:w="0" w:type="dxa"/>
              <w:right w:w="108" w:type="dxa"/>
            </w:tcMar>
            <w:vAlign w:val="bottom"/>
            <w:hideMark/>
          </w:tcPr>
          <w:p w:rsidR="001B6FAE" w:rsidRPr="00F82C10" w:rsidP="005C2623" w14:paraId="1D510640" w14:textId="38383F1F">
            <w:pPr>
              <w:jc w:val="center"/>
              <w:rPr>
                <w:color w:val="000000"/>
                <w:szCs w:val="22"/>
              </w:rPr>
            </w:pPr>
            <w:r w:rsidRPr="00F82C10">
              <w:rPr>
                <w:color w:val="000000"/>
                <w:szCs w:val="22"/>
              </w:rPr>
              <w:t>$134.28</w:t>
            </w:r>
          </w:p>
        </w:tc>
        <w:tc>
          <w:tcPr>
            <w:tcW w:w="960" w:type="dxa"/>
            <w:noWrap/>
            <w:tcMar>
              <w:top w:w="0" w:type="dxa"/>
              <w:left w:w="108" w:type="dxa"/>
              <w:bottom w:w="0" w:type="dxa"/>
              <w:right w:w="108" w:type="dxa"/>
            </w:tcMar>
            <w:vAlign w:val="bottom"/>
            <w:hideMark/>
          </w:tcPr>
          <w:p w:rsidR="001B6FAE" w:rsidRPr="00F82C10" w:rsidP="005C2623" w14:paraId="48699533" w14:textId="60DA4BEC">
            <w:pPr>
              <w:jc w:val="center"/>
              <w:rPr>
                <w:color w:val="000000"/>
                <w:szCs w:val="22"/>
              </w:rPr>
            </w:pPr>
            <w:r w:rsidRPr="00F82C10">
              <w:rPr>
                <w:color w:val="000000"/>
                <w:szCs w:val="22"/>
              </w:rPr>
              <w:t>$193.39</w:t>
            </w:r>
          </w:p>
        </w:tc>
      </w:tr>
      <w:tr w14:paraId="691D2971" w14:textId="77777777" w:rsidTr="001B6FAE">
        <w:tblPrEx>
          <w:tblW w:w="5626" w:type="dxa"/>
          <w:tblInd w:w="1869" w:type="dxa"/>
          <w:tblCellMar>
            <w:left w:w="0" w:type="dxa"/>
            <w:right w:w="0" w:type="dxa"/>
          </w:tblCellMar>
          <w:tblLook w:val="04A0"/>
        </w:tblPrEx>
        <w:trPr>
          <w:trHeight w:val="288"/>
        </w:trPr>
        <w:tc>
          <w:tcPr>
            <w:tcW w:w="1256" w:type="dxa"/>
            <w:noWrap/>
            <w:tcMar>
              <w:top w:w="0" w:type="dxa"/>
              <w:left w:w="108" w:type="dxa"/>
              <w:bottom w:w="0" w:type="dxa"/>
              <w:right w:w="108" w:type="dxa"/>
            </w:tcMar>
            <w:vAlign w:val="bottom"/>
            <w:hideMark/>
          </w:tcPr>
          <w:p w:rsidR="001B6FAE" w:rsidRPr="00F82C10" w:rsidP="005C2623" w14:paraId="7410D75D" w14:textId="77777777">
            <w:pPr>
              <w:jc w:val="center"/>
              <w:rPr>
                <w:color w:val="000000"/>
                <w:szCs w:val="22"/>
              </w:rPr>
            </w:pPr>
            <w:r w:rsidRPr="00F82C10">
              <w:rPr>
                <w:color w:val="000000"/>
                <w:szCs w:val="22"/>
              </w:rPr>
              <w:t>1000</w:t>
            </w:r>
          </w:p>
        </w:tc>
        <w:tc>
          <w:tcPr>
            <w:tcW w:w="1256" w:type="dxa"/>
            <w:noWrap/>
            <w:tcMar>
              <w:top w:w="0" w:type="dxa"/>
              <w:left w:w="108" w:type="dxa"/>
              <w:bottom w:w="0" w:type="dxa"/>
              <w:right w:w="108" w:type="dxa"/>
            </w:tcMar>
            <w:vAlign w:val="bottom"/>
            <w:hideMark/>
          </w:tcPr>
          <w:p w:rsidR="001B6FAE" w:rsidRPr="00F82C10" w:rsidP="005C2623" w14:paraId="4522F449" w14:textId="77777777">
            <w:pPr>
              <w:jc w:val="center"/>
              <w:rPr>
                <w:color w:val="000000"/>
                <w:szCs w:val="22"/>
              </w:rPr>
            </w:pPr>
            <w:r w:rsidRPr="00F82C10">
              <w:rPr>
                <w:color w:val="000000"/>
                <w:szCs w:val="22"/>
              </w:rPr>
              <w:t>500</w:t>
            </w:r>
          </w:p>
        </w:tc>
        <w:tc>
          <w:tcPr>
            <w:tcW w:w="1194" w:type="dxa"/>
            <w:noWrap/>
            <w:tcMar>
              <w:top w:w="0" w:type="dxa"/>
              <w:left w:w="108" w:type="dxa"/>
              <w:bottom w:w="0" w:type="dxa"/>
              <w:right w:w="108" w:type="dxa"/>
            </w:tcMar>
            <w:vAlign w:val="bottom"/>
            <w:hideMark/>
          </w:tcPr>
          <w:p w:rsidR="001B6FAE" w:rsidRPr="00F82C10" w:rsidP="005C2623" w14:paraId="690264C4" w14:textId="77777777">
            <w:pPr>
              <w:jc w:val="center"/>
              <w:rPr>
                <w:color w:val="000000"/>
                <w:szCs w:val="22"/>
              </w:rPr>
            </w:pPr>
            <w:r w:rsidRPr="00F82C10">
              <w:rPr>
                <w:color w:val="000000"/>
                <w:szCs w:val="22"/>
              </w:rPr>
              <w:t>660</w:t>
            </w:r>
          </w:p>
        </w:tc>
        <w:tc>
          <w:tcPr>
            <w:tcW w:w="960" w:type="dxa"/>
            <w:noWrap/>
            <w:tcMar>
              <w:top w:w="0" w:type="dxa"/>
              <w:left w:w="108" w:type="dxa"/>
              <w:bottom w:w="0" w:type="dxa"/>
              <w:right w:w="108" w:type="dxa"/>
            </w:tcMar>
            <w:vAlign w:val="bottom"/>
            <w:hideMark/>
          </w:tcPr>
          <w:p w:rsidR="001B6FAE" w:rsidRPr="00F82C10" w:rsidP="005C2623" w14:paraId="1BE0A1A6" w14:textId="319F7766">
            <w:pPr>
              <w:jc w:val="center"/>
              <w:rPr>
                <w:color w:val="000000"/>
                <w:szCs w:val="22"/>
              </w:rPr>
            </w:pPr>
            <w:r w:rsidRPr="00F82C10">
              <w:rPr>
                <w:color w:val="000000"/>
                <w:szCs w:val="22"/>
              </w:rPr>
              <w:t>$133.36</w:t>
            </w:r>
          </w:p>
        </w:tc>
        <w:tc>
          <w:tcPr>
            <w:tcW w:w="960" w:type="dxa"/>
            <w:noWrap/>
            <w:tcMar>
              <w:top w:w="0" w:type="dxa"/>
              <w:left w:w="108" w:type="dxa"/>
              <w:bottom w:w="0" w:type="dxa"/>
              <w:right w:w="108" w:type="dxa"/>
            </w:tcMar>
            <w:vAlign w:val="bottom"/>
            <w:hideMark/>
          </w:tcPr>
          <w:p w:rsidR="001B6FAE" w:rsidRPr="00F82C10" w:rsidP="005C2623" w14:paraId="13A62D1B" w14:textId="4DB455A7">
            <w:pPr>
              <w:jc w:val="center"/>
              <w:rPr>
                <w:color w:val="000000"/>
                <w:szCs w:val="22"/>
              </w:rPr>
            </w:pPr>
            <w:r w:rsidRPr="00F82C10">
              <w:rPr>
                <w:color w:val="000000"/>
                <w:szCs w:val="22"/>
              </w:rPr>
              <w:t>$191.77</w:t>
            </w:r>
          </w:p>
        </w:tc>
      </w:tr>
      <w:tr w14:paraId="76E2B1BF" w14:textId="77777777" w:rsidTr="001B6FAE">
        <w:tblPrEx>
          <w:tblW w:w="5626" w:type="dxa"/>
          <w:tblInd w:w="1869" w:type="dxa"/>
          <w:tblCellMar>
            <w:left w:w="0" w:type="dxa"/>
            <w:right w:w="0" w:type="dxa"/>
          </w:tblCellMar>
          <w:tblLook w:val="04A0"/>
        </w:tblPrEx>
        <w:trPr>
          <w:trHeight w:val="288"/>
        </w:trPr>
        <w:tc>
          <w:tcPr>
            <w:tcW w:w="1256" w:type="dxa"/>
            <w:noWrap/>
            <w:tcMar>
              <w:top w:w="0" w:type="dxa"/>
              <w:left w:w="108" w:type="dxa"/>
              <w:bottom w:w="0" w:type="dxa"/>
              <w:right w:w="108" w:type="dxa"/>
            </w:tcMar>
            <w:vAlign w:val="bottom"/>
            <w:hideMark/>
          </w:tcPr>
          <w:p w:rsidR="001B6FAE" w:rsidRPr="00F82C10" w:rsidP="005C2623" w14:paraId="1ECBBC94" w14:textId="77777777">
            <w:pPr>
              <w:jc w:val="center"/>
              <w:rPr>
                <w:color w:val="000000"/>
                <w:szCs w:val="22"/>
              </w:rPr>
            </w:pPr>
            <w:r w:rsidRPr="00F82C10">
              <w:rPr>
                <w:color w:val="000000"/>
                <w:szCs w:val="22"/>
              </w:rPr>
              <w:t>1000</w:t>
            </w:r>
          </w:p>
        </w:tc>
        <w:tc>
          <w:tcPr>
            <w:tcW w:w="1256" w:type="dxa"/>
            <w:noWrap/>
            <w:tcMar>
              <w:top w:w="0" w:type="dxa"/>
              <w:left w:w="108" w:type="dxa"/>
              <w:bottom w:w="0" w:type="dxa"/>
              <w:right w:w="108" w:type="dxa"/>
            </w:tcMar>
            <w:vAlign w:val="bottom"/>
            <w:hideMark/>
          </w:tcPr>
          <w:p w:rsidR="001B6FAE" w:rsidRPr="00F82C10" w:rsidP="005C2623" w14:paraId="090E3C28" w14:textId="77777777">
            <w:pPr>
              <w:jc w:val="center"/>
              <w:rPr>
                <w:color w:val="000000"/>
                <w:szCs w:val="22"/>
              </w:rPr>
            </w:pPr>
            <w:r w:rsidRPr="00F82C10">
              <w:rPr>
                <w:color w:val="000000"/>
                <w:szCs w:val="22"/>
              </w:rPr>
              <w:t>500</w:t>
            </w:r>
          </w:p>
        </w:tc>
        <w:tc>
          <w:tcPr>
            <w:tcW w:w="1194" w:type="dxa"/>
            <w:noWrap/>
            <w:tcMar>
              <w:top w:w="0" w:type="dxa"/>
              <w:left w:w="108" w:type="dxa"/>
              <w:bottom w:w="0" w:type="dxa"/>
              <w:right w:w="108" w:type="dxa"/>
            </w:tcMar>
            <w:vAlign w:val="bottom"/>
            <w:hideMark/>
          </w:tcPr>
          <w:p w:rsidR="001B6FAE" w:rsidRPr="00F82C10" w:rsidP="005C2623" w14:paraId="02267B77" w14:textId="77777777">
            <w:pPr>
              <w:jc w:val="center"/>
              <w:rPr>
                <w:color w:val="000000"/>
                <w:szCs w:val="22"/>
              </w:rPr>
            </w:pPr>
            <w:r w:rsidRPr="00F82C10">
              <w:rPr>
                <w:color w:val="000000"/>
                <w:szCs w:val="22"/>
              </w:rPr>
              <w:t>Unlimited</w:t>
            </w:r>
          </w:p>
        </w:tc>
        <w:tc>
          <w:tcPr>
            <w:tcW w:w="960" w:type="dxa"/>
            <w:noWrap/>
            <w:tcMar>
              <w:top w:w="0" w:type="dxa"/>
              <w:left w:w="108" w:type="dxa"/>
              <w:bottom w:w="0" w:type="dxa"/>
              <w:right w:w="108" w:type="dxa"/>
            </w:tcMar>
            <w:vAlign w:val="bottom"/>
            <w:hideMark/>
          </w:tcPr>
          <w:p w:rsidR="001B6FAE" w:rsidRPr="00F82C10" w:rsidP="005C2623" w14:paraId="195B28CC" w14:textId="1A46BA17">
            <w:pPr>
              <w:jc w:val="center"/>
              <w:rPr>
                <w:color w:val="000000"/>
                <w:szCs w:val="22"/>
              </w:rPr>
            </w:pPr>
            <w:r w:rsidRPr="00F82C10">
              <w:rPr>
                <w:color w:val="000000"/>
                <w:szCs w:val="22"/>
              </w:rPr>
              <w:t>$134.29</w:t>
            </w:r>
          </w:p>
        </w:tc>
        <w:tc>
          <w:tcPr>
            <w:tcW w:w="960" w:type="dxa"/>
            <w:noWrap/>
            <w:tcMar>
              <w:top w:w="0" w:type="dxa"/>
              <w:left w:w="108" w:type="dxa"/>
              <w:bottom w:w="0" w:type="dxa"/>
              <w:right w:w="108" w:type="dxa"/>
            </w:tcMar>
            <w:vAlign w:val="bottom"/>
            <w:hideMark/>
          </w:tcPr>
          <w:p w:rsidR="001B6FAE" w:rsidRPr="00F82C10" w:rsidP="005C2623" w14:paraId="5938E62A" w14:textId="265DD6B4">
            <w:pPr>
              <w:jc w:val="center"/>
              <w:rPr>
                <w:color w:val="000000"/>
                <w:szCs w:val="22"/>
              </w:rPr>
            </w:pPr>
            <w:r w:rsidRPr="00F82C10">
              <w:rPr>
                <w:color w:val="000000"/>
                <w:szCs w:val="22"/>
              </w:rPr>
              <w:t>$193.39</w:t>
            </w:r>
          </w:p>
        </w:tc>
      </w:tr>
    </w:tbl>
    <w:p w:rsidR="001B6FAE" w:rsidRPr="001B6FAE" w:rsidP="000F6996" w14:paraId="5E914973" w14:textId="77777777">
      <w:pPr>
        <w:ind w:left="720" w:right="810"/>
        <w:rPr>
          <w:b/>
          <w:bCs/>
          <w:sz w:val="20"/>
        </w:rPr>
      </w:pPr>
    </w:p>
    <w:p w:rsidR="000F6996" w:rsidRPr="001247D0" w:rsidP="000F6996" w14:paraId="34E5E662" w14:textId="6F77B615">
      <w:pPr>
        <w:ind w:left="720" w:right="810"/>
        <w:rPr>
          <w:sz w:val="20"/>
        </w:rPr>
      </w:pPr>
      <w:r>
        <w:rPr>
          <w:sz w:val="20"/>
        </w:rPr>
        <w:t>*</w:t>
      </w:r>
      <w:r w:rsidRPr="001247D0">
        <w:rPr>
          <w:sz w:val="20"/>
        </w:rPr>
        <w:t xml:space="preserve">As noted below, the minimum usage allowance for carriers receiving support from the Rural Digital Opportunity Fund is 2 </w:t>
      </w:r>
      <w:r w:rsidRPr="001247D0">
        <w:rPr>
          <w:sz w:val="20"/>
          <w:shd w:val="clear" w:color="auto" w:fill="FFFFFF"/>
        </w:rPr>
        <w:t xml:space="preserve">Terabytes (TB) </w:t>
      </w:r>
      <w:r w:rsidRPr="001247D0">
        <w:rPr>
          <w:sz w:val="20"/>
        </w:rPr>
        <w:t>for the Above-Baseline and Gigabit tiers.</w:t>
      </w:r>
    </w:p>
    <w:p w:rsidR="000F6996" w:rsidP="000F6996" w14:paraId="72C3FF3C" w14:textId="77777777">
      <w:pPr>
        <w:rPr>
          <w:sz w:val="24"/>
        </w:rPr>
      </w:pPr>
    </w:p>
    <w:p w:rsidR="000F6996" w:rsidP="000F6996" w14:paraId="4690C6FD" w14:textId="3192EAE5">
      <w:pPr>
        <w:widowControl/>
        <w:spacing w:after="120"/>
      </w:pPr>
      <w:bookmarkStart w:id="1" w:name="_Hlk26441032"/>
      <w:r>
        <w:t>T</w:t>
      </w:r>
      <w:r w:rsidR="00F45DF9">
        <w:t xml:space="preserve">he Office </w:t>
      </w:r>
      <w:r>
        <w:t>has posted a revised</w:t>
      </w:r>
      <w:r w:rsidR="00F45DF9">
        <w:t xml:space="preserve"> Excel file with a tool in which providers can enter the relevant variables to determine the benchmark for specific service characteristics at </w:t>
      </w:r>
      <w:hyperlink r:id="rId5" w:history="1">
        <w:r w:rsidRPr="00F13D3E" w:rsidR="005E1BAE">
          <w:rPr>
            <w:rStyle w:val="Hyperlink"/>
          </w:rPr>
          <w:t>https://www.fcc.gov/economics-analytics/industry-analysis-division/urban-rate-survey-data-resources</w:t>
        </w:r>
      </w:hyperlink>
      <w:r w:rsidR="00F45DF9">
        <w:t>.</w:t>
      </w:r>
    </w:p>
    <w:p w:rsidR="00FA01BE" w:rsidRPr="00984C5F" w:rsidP="00241C5C" w14:paraId="1B76F8FB" w14:textId="664FAA4D">
      <w:pPr>
        <w:widowControl/>
        <w:spacing w:after="120"/>
        <w:ind w:firstLine="720"/>
        <w:rPr>
          <w:szCs w:val="22"/>
        </w:rPr>
      </w:pPr>
      <w:r w:rsidRPr="5C2D4360">
        <w:t>Under the Commission’s rules, each ETC</w:t>
      </w:r>
      <w:r w:rsidR="0088662D">
        <w:t xml:space="preserve"> must certify that it is meeting the relevant reasonable comparability benchmarks for </w:t>
      </w:r>
      <w:r w:rsidR="00003D59">
        <w:t>fixed voice and broadband services provided during 2024 in FCC Form 481</w:t>
      </w:r>
      <w:r w:rsidR="00EE24D3">
        <w:t>, to be</w:t>
      </w:r>
      <w:r w:rsidR="009C14BA">
        <w:t xml:space="preserve"> filed no later than July 1, 2025.</w:t>
      </w:r>
      <w:r>
        <w:rPr>
          <w:rStyle w:val="FootnoteReference"/>
        </w:rPr>
        <w:footnoteReference w:id="6"/>
      </w:r>
      <w:r w:rsidR="009C14BA">
        <w:t xml:space="preserve">  </w:t>
      </w:r>
      <w:r w:rsidR="00BB3EF3">
        <w:t xml:space="preserve">However, because the broadband comparability benchmarks are being revised, </w:t>
      </w:r>
      <w:r w:rsidR="00045769">
        <w:t>the Office and Bureau waive the requirement that ETC</w:t>
      </w:r>
      <w:r w:rsidR="00EE24D3">
        <w:t>s</w:t>
      </w:r>
      <w:r w:rsidR="00045769">
        <w:t xml:space="preserve"> meet these benchmarks beginning January 1, 2024 and instead will provide ETCs until February 1, 2024 to meet the 2024 benchmarks.  This waiver </w:t>
      </w:r>
      <w:r w:rsidR="00F86184">
        <w:t xml:space="preserve">is in the public interest as it </w:t>
      </w:r>
      <w:r w:rsidR="00045769">
        <w:t xml:space="preserve">will ensure that ETCs have sufficient time to inform customers of any rate changes and </w:t>
      </w:r>
      <w:r w:rsidR="005522DA">
        <w:t>to make any necessary changes to their billing systems.</w:t>
      </w:r>
      <w:r>
        <w:rPr>
          <w:rStyle w:val="FootnoteReference"/>
        </w:rPr>
        <w:footnoteReference w:id="7"/>
      </w:r>
      <w:r w:rsidR="005522DA">
        <w:t xml:space="preserve">  </w:t>
      </w:r>
    </w:p>
    <w:p w:rsidR="005E1BAE" w:rsidP="000F6996" w14:paraId="70E2C94A" w14:textId="3E3A7493">
      <w:pPr>
        <w:widowControl/>
        <w:spacing w:after="120"/>
      </w:pPr>
    </w:p>
    <w:p w:rsidR="000F6996" w:rsidRPr="00984C5F" w:rsidP="000F6996" w14:paraId="2C610D6C" w14:textId="55104284">
      <w:pPr>
        <w:widowControl/>
        <w:spacing w:after="120"/>
        <w:ind w:firstLine="720"/>
      </w:pPr>
      <w:r>
        <w:t>For further information, please contact Suzanne Yelen, Wireline Competition Bureau, at (202) 418-7400</w:t>
      </w:r>
      <w:r>
        <w:t xml:space="preserve"> or </w:t>
      </w:r>
      <w:r>
        <w:t xml:space="preserve">at </w:t>
      </w:r>
      <w:hyperlink r:id="rId6">
        <w:r w:rsidRPr="74AC308A" w:rsidR="00112E92">
          <w:rPr>
            <w:rStyle w:val="Hyperlink"/>
          </w:rPr>
          <w:t>suzanne.yelen@fcc.gov</w:t>
        </w:r>
      </w:hyperlink>
      <w:r>
        <w:t xml:space="preserve">. </w:t>
      </w:r>
    </w:p>
    <w:p w:rsidR="005F48E9" w:rsidP="000F6996" w14:paraId="2F6025B1" w14:textId="77777777">
      <w:pPr>
        <w:jc w:val="center"/>
        <w:rPr>
          <w:b/>
          <w:szCs w:val="22"/>
        </w:rPr>
      </w:pPr>
    </w:p>
    <w:p w:rsidR="000F6996" w:rsidP="000F6996" w14:paraId="1CDBA728" w14:textId="4B379BC8">
      <w:pPr>
        <w:jc w:val="center"/>
        <w:rPr>
          <w:b/>
          <w:szCs w:val="22"/>
        </w:rPr>
      </w:pPr>
      <w:r w:rsidRPr="000F6996">
        <w:rPr>
          <w:b/>
          <w:szCs w:val="22"/>
        </w:rPr>
        <w:t>-</w:t>
      </w:r>
      <w:r>
        <w:rPr>
          <w:b/>
          <w:szCs w:val="22"/>
        </w:rPr>
        <w:t xml:space="preserve"> FCC -</w:t>
      </w:r>
      <w:bookmarkEnd w:id="1"/>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B2D174B" w14:textId="77777777">
    <w:pPr>
      <w:pStyle w:val="Footer"/>
      <w:framePr w:wrap="around" w:vAnchor="text" w:hAnchor="margin" w:xAlign="center" w:y="1"/>
    </w:pPr>
    <w:r>
      <w:fldChar w:fldCharType="begin"/>
    </w:r>
    <w:r>
      <w:instrText xml:space="preserve">PAGE  </w:instrText>
    </w:r>
    <w:r w:rsidR="004F2741">
      <w:fldChar w:fldCharType="separate"/>
    </w:r>
    <w:r>
      <w:fldChar w:fldCharType="end"/>
    </w:r>
  </w:p>
  <w:p w:rsidR="006F7393" w14:paraId="4BE36A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8A5A8A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7D4947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2B6F" w14:paraId="2C66F7D8" w14:textId="77777777">
      <w:r>
        <w:separator/>
      </w:r>
    </w:p>
  </w:footnote>
  <w:footnote w:type="continuationSeparator" w:id="1">
    <w:p w:rsidR="00C52B6F" w14:paraId="5BA14884" w14:textId="77777777">
      <w:pPr>
        <w:rPr>
          <w:sz w:val="20"/>
        </w:rPr>
      </w:pPr>
      <w:r>
        <w:rPr>
          <w:sz w:val="20"/>
        </w:rPr>
        <w:t xml:space="preserve">(Continued from previous page)  </w:t>
      </w:r>
      <w:r>
        <w:rPr>
          <w:sz w:val="20"/>
        </w:rPr>
        <w:separator/>
      </w:r>
    </w:p>
  </w:footnote>
  <w:footnote w:type="continuationNotice" w:id="2">
    <w:p w:rsidR="00C52B6F" w:rsidP="00910F12" w14:paraId="0B674EE5" w14:textId="77777777">
      <w:pPr>
        <w:jc w:val="right"/>
        <w:rPr>
          <w:sz w:val="20"/>
        </w:rPr>
      </w:pPr>
      <w:r>
        <w:rPr>
          <w:sz w:val="20"/>
        </w:rPr>
        <w:t>(continued….)</w:t>
      </w:r>
    </w:p>
  </w:footnote>
  <w:footnote w:id="3">
    <w:p w:rsidR="00AB6B5C" w14:paraId="6304476B" w14:textId="7FFBB8DD">
      <w:pPr>
        <w:pStyle w:val="FootnoteText"/>
      </w:pPr>
      <w:r>
        <w:rPr>
          <w:rStyle w:val="FootnoteReference"/>
        </w:rPr>
        <w:footnoteRef/>
      </w:r>
      <w:r>
        <w:t xml:space="preserve"> </w:t>
      </w:r>
      <w:r w:rsidR="00FB79D1">
        <w:rPr>
          <w:szCs w:val="22"/>
        </w:rPr>
        <w:t xml:space="preserve">These ETCs include incumbent local exchange rate-of-return carriers, Rural Broadband Experiment providers, </w:t>
      </w:r>
      <w:hyperlink r:id="rId1" w:history="1">
        <w:r w:rsidR="00FB79D1">
          <w:rPr>
            <w:bCs/>
            <w:shd w:val="clear" w:color="auto" w:fill="FFFFFF"/>
          </w:rPr>
          <w:t>CAF</w:t>
        </w:r>
        <w:r w:rsidRPr="009F4707" w:rsidR="00FB79D1">
          <w:rPr>
            <w:bCs/>
            <w:shd w:val="clear" w:color="auto" w:fill="FFFFFF"/>
          </w:rPr>
          <w:t xml:space="preserve"> Phase II Auction (Auction 903)</w:t>
        </w:r>
      </w:hyperlink>
      <w:r w:rsidRPr="009F4707" w:rsidR="00FB79D1">
        <w:t xml:space="preserve"> </w:t>
      </w:r>
      <w:r w:rsidR="00FB79D1">
        <w:t>winners, Rural Digital Opportunity Fund Auction (Auction 904) winners, Bringing Puerto Rico Together Fund providers, Connect USVI providers, and Enhanced A-CAM providers</w:t>
      </w:r>
      <w:r w:rsidRPr="00A87AD7" w:rsidR="00FB79D1">
        <w:rPr>
          <w:szCs w:val="22"/>
        </w:rPr>
        <w:t>.</w:t>
      </w:r>
      <w:r w:rsidR="00FB79D1">
        <w:rPr>
          <w:szCs w:val="22"/>
        </w:rPr>
        <w:t xml:space="preserve"> </w:t>
      </w:r>
      <w:r w:rsidRPr="00FB79D1" w:rsidR="00FB79D1">
        <w:rPr>
          <w:i/>
        </w:rPr>
        <w:t xml:space="preserve"> </w:t>
      </w:r>
      <w:r w:rsidRPr="00F75A5D" w:rsidR="00FB79D1">
        <w:rPr>
          <w:i/>
        </w:rPr>
        <w:t>See Connect America Fund et al.</w:t>
      </w:r>
      <w:r w:rsidRPr="00F75A5D" w:rsidR="00FB79D1">
        <w:t>,</w:t>
      </w:r>
      <w:r w:rsidRPr="00F75A5D" w:rsidR="00FB79D1">
        <w:rPr>
          <w:i/>
        </w:rPr>
        <w:t xml:space="preserve"> </w:t>
      </w:r>
      <w:r w:rsidRPr="00F75A5D" w:rsidR="00FB79D1">
        <w:t>WC Docket No. 10-90 et al., Report and Order and Further Notice of Proposed Rulemaking, 26 FCC Rcd 17663 (2011) (</w:t>
      </w:r>
      <w:r w:rsidRPr="00F75A5D" w:rsidR="00FB79D1">
        <w:rPr>
          <w:i/>
        </w:rPr>
        <w:t>USF/ICC Transformation Order</w:t>
      </w:r>
      <w:r w:rsidRPr="00F75A5D" w:rsidR="00FB79D1">
        <w:t xml:space="preserve">), </w:t>
      </w:r>
      <w:r w:rsidRPr="00F75A5D" w:rsidR="00FB79D1">
        <w:rPr>
          <w:i/>
          <w:iCs/>
        </w:rPr>
        <w:t>aff’d sub nom, In re: FCC 11-161</w:t>
      </w:r>
      <w:r w:rsidRPr="00F75A5D" w:rsidR="00FB79D1">
        <w:rPr>
          <w:iCs/>
        </w:rPr>
        <w:t xml:space="preserve">, </w:t>
      </w:r>
      <w:r w:rsidRPr="00F75A5D" w:rsidR="00FB79D1">
        <w:t xml:space="preserve">753 F.3d 1015 (10th Cir. </w:t>
      </w:r>
      <w:r w:rsidRPr="00E22363" w:rsidR="00FB79D1">
        <w:t xml:space="preserve">2014); </w:t>
      </w:r>
      <w:r w:rsidRPr="009A0C34" w:rsidR="00FB79D1">
        <w:rPr>
          <w:i/>
          <w:iCs/>
        </w:rPr>
        <w:t>Rural Digital Opportunity Fund</w:t>
      </w:r>
      <w:r w:rsidRPr="00E22363" w:rsidR="00FB79D1">
        <w:t xml:space="preserve">, WC Docket No. 19-126, </w:t>
      </w:r>
      <w:r w:rsidRPr="009A0C34" w:rsidR="00FB79D1">
        <w:rPr>
          <w:i/>
          <w:iCs/>
        </w:rPr>
        <w:t>Connect America Fund,</w:t>
      </w:r>
      <w:r w:rsidRPr="00E22363" w:rsidR="00FB79D1">
        <w:t xml:space="preserve"> WC Docket No. 10-90, </w:t>
      </w:r>
      <w:r w:rsidR="00FB79D1">
        <w:t xml:space="preserve">Report and Order, </w:t>
      </w:r>
      <w:r w:rsidRPr="00E22363" w:rsidR="00FB79D1">
        <w:rPr>
          <w:color w:val="1D2B3E"/>
        </w:rPr>
        <w:t>35 FCC Rcd 686, 707, para. 42 (2020)</w:t>
      </w:r>
      <w:r w:rsidRPr="00E22363" w:rsidR="00FB79D1">
        <w:t>.</w:t>
      </w:r>
    </w:p>
  </w:footnote>
  <w:footnote w:id="4">
    <w:p w:rsidR="003F72FE" w:rsidRPr="00D66B56" w14:paraId="31CE8BBD" w14:textId="0A783D24">
      <w:pPr>
        <w:pStyle w:val="FootnoteText"/>
      </w:pPr>
      <w:r w:rsidRPr="00D66B56">
        <w:rPr>
          <w:rStyle w:val="FootnoteReference"/>
          <w:sz w:val="20"/>
        </w:rPr>
        <w:footnoteRef/>
      </w:r>
      <w:r w:rsidRPr="00D66B56">
        <w:t xml:space="preserve"> </w:t>
      </w:r>
      <w:r w:rsidRPr="00D66B56" w:rsidR="00D74B19">
        <w:rPr>
          <w:i/>
          <w:iCs/>
          <w:color w:val="212529"/>
          <w:shd w:val="clear" w:color="auto" w:fill="FFFFFF"/>
        </w:rPr>
        <w:t xml:space="preserve">Wireline Competition Bureau and Office of Economics and Analytics </w:t>
      </w:r>
      <w:r w:rsidRPr="2F37D4B9" w:rsidR="2F37D4B9">
        <w:rPr>
          <w:i/>
          <w:iCs/>
          <w:color w:val="212529"/>
          <w:shd w:val="clear" w:color="auto" w:fill="FFFFFF"/>
        </w:rPr>
        <w:t>A</w:t>
      </w:r>
      <w:r w:rsidRPr="00D66B56" w:rsidR="00D74B19">
        <w:rPr>
          <w:i/>
          <w:iCs/>
          <w:color w:val="212529"/>
          <w:shd w:val="clear" w:color="auto" w:fill="FFFFFF"/>
        </w:rPr>
        <w:t xml:space="preserve">nnounce </w:t>
      </w:r>
      <w:r w:rsidRPr="274553B9" w:rsidR="274553B9">
        <w:rPr>
          <w:i/>
          <w:iCs/>
          <w:color w:val="212529"/>
          <w:shd w:val="clear" w:color="auto" w:fill="FFFFFF"/>
        </w:rPr>
        <w:t>R</w:t>
      </w:r>
      <w:r w:rsidRPr="00D66B56" w:rsidR="00D74B19">
        <w:rPr>
          <w:i/>
          <w:iCs/>
          <w:color w:val="212529"/>
          <w:shd w:val="clear" w:color="auto" w:fill="FFFFFF"/>
        </w:rPr>
        <w:t xml:space="preserve">esults of 2024 Urban Rates Survey for Fixed Voice and Broadband Services, Posting of Survey Data and Explanatory Notes, and Required Minimum Usage Allowance </w:t>
      </w:r>
      <w:r w:rsidRPr="5A5EB0D7" w:rsidR="5A5EB0D7">
        <w:rPr>
          <w:i/>
          <w:iCs/>
          <w:color w:val="212529"/>
          <w:shd w:val="clear" w:color="auto" w:fill="FFFFFF"/>
        </w:rPr>
        <w:t>f</w:t>
      </w:r>
      <w:r w:rsidRPr="00D66B56" w:rsidR="00D74B19">
        <w:rPr>
          <w:i/>
          <w:iCs/>
          <w:color w:val="212529"/>
          <w:shd w:val="clear" w:color="auto" w:fill="FFFFFF"/>
        </w:rPr>
        <w:t>or Eligible Telecommunications Carriers</w:t>
      </w:r>
      <w:r w:rsidRPr="00D66B56" w:rsidR="00D74B19">
        <w:rPr>
          <w:color w:val="212529"/>
          <w:shd w:val="clear" w:color="auto" w:fill="FFFFFF"/>
        </w:rPr>
        <w:t xml:space="preserve">, Public Notice, WC Docket No. 10-90, </w:t>
      </w:r>
      <w:r w:rsidRPr="00D66B56" w:rsidR="00D66B56">
        <w:rPr>
          <w:color w:val="212529"/>
          <w:shd w:val="clear" w:color="auto" w:fill="FFFFFF"/>
        </w:rPr>
        <w:t>DA 23-1172 (WCB/OEA Dec. 15, 2023).</w:t>
      </w:r>
    </w:p>
  </w:footnote>
  <w:footnote w:id="5">
    <w:p w:rsidR="000F6996" w:rsidRPr="00F75A5D" w:rsidP="000F6996" w14:paraId="27BB36BD" w14:textId="77777777">
      <w:pPr>
        <w:pStyle w:val="FootnoteText"/>
      </w:pPr>
      <w:r w:rsidRPr="00F75A5D">
        <w:rPr>
          <w:rStyle w:val="FootnoteReference"/>
          <w:sz w:val="20"/>
        </w:rPr>
        <w:footnoteRef/>
      </w:r>
      <w:r w:rsidRPr="00F75A5D">
        <w:t xml:space="preserve"> We emphasize that carriers subject to broadband public interest obligations may offer their customers services other than those meeting the defined benchmark and minimum usage allowance.  As long as the carrier offers at least one broadband service plan that meets the relevant metrics, it is free to offer other plans and packages to meet the varying needs of consumers.  We note that usage allowance requirements do not apply to those areas that rely exclusively on satellite backhaul.  </w:t>
      </w:r>
      <w:r w:rsidRPr="00F75A5D">
        <w:rPr>
          <w:i/>
        </w:rPr>
        <w:t>See USF/ICC Transformation Order</w:t>
      </w:r>
      <w:r w:rsidRPr="00F75A5D">
        <w:t>, 26 FCC Rcd</w:t>
      </w:r>
      <w:r w:rsidRPr="00F75A5D">
        <w:rPr>
          <w:i/>
        </w:rPr>
        <w:t xml:space="preserve"> </w:t>
      </w:r>
      <w:r w:rsidRPr="00F75A5D">
        <w:t xml:space="preserve">at 17699-700, para. 101; </w:t>
      </w:r>
      <w:r w:rsidRPr="00F75A5D">
        <w:rPr>
          <w:i/>
        </w:rPr>
        <w:t xml:space="preserve">see also </w:t>
      </w:r>
      <w:r w:rsidRPr="00F75A5D">
        <w:t>47 CFR § 54.313(g).</w:t>
      </w:r>
    </w:p>
  </w:footnote>
  <w:footnote w:id="6">
    <w:p w:rsidR="005522DA" w14:paraId="0BD2D5EF" w14:textId="551C652F">
      <w:pPr>
        <w:pStyle w:val="FootnoteText"/>
      </w:pPr>
      <w:r>
        <w:rPr>
          <w:rStyle w:val="FootnoteReference"/>
        </w:rPr>
        <w:footnoteRef/>
      </w:r>
      <w:r w:rsidR="144AF2D9">
        <w:t xml:space="preserve"> </w:t>
      </w:r>
      <w:r w:rsidRPr="00F75A5D" w:rsidR="144AF2D9">
        <w:t>47 CFR § 54.313(a)(10)</w:t>
      </w:r>
      <w:r w:rsidR="144AF2D9">
        <w:t>, (a)(12)</w:t>
      </w:r>
      <w:r w:rsidRPr="00F75A5D" w:rsidR="144AF2D9">
        <w:t xml:space="preserve">; </w:t>
      </w:r>
      <w:r w:rsidRPr="144AF2D9" w:rsidR="144AF2D9">
        <w:rPr>
          <w:i/>
          <w:iCs/>
        </w:rPr>
        <w:t>see also</w:t>
      </w:r>
      <w:r w:rsidRPr="00F75A5D" w:rsidR="144AF2D9">
        <w:t xml:space="preserve"> </w:t>
      </w:r>
      <w:r w:rsidRPr="144AF2D9" w:rsidR="144AF2D9">
        <w:rPr>
          <w:i/>
          <w:iCs/>
        </w:rPr>
        <w:t>USF/ICC Transformation Order</w:t>
      </w:r>
      <w:r w:rsidRPr="00F75A5D" w:rsidR="144AF2D9">
        <w:t>, 26 FCC Rcd at 17693, 17695,18046-47</w:t>
      </w:r>
      <w:r w:rsidRPr="00E75749" w:rsidR="144AF2D9">
        <w:t>,</w:t>
      </w:r>
      <w:r w:rsidRPr="00F75A5D" w:rsidR="144AF2D9">
        <w:t xml:space="preserve"> paras. 81, 86, 1026</w:t>
      </w:r>
      <w:r w:rsidR="144AF2D9">
        <w:t xml:space="preserve">.  Carriers subject to the Alaska Plan are required to meet Alaska-specific benchmarks and to certify that they are meeting the relevant reasonable comparability benchmark for their broadband service offering in the FCC Form 481 filed no later than July 1, 2025.  </w:t>
      </w:r>
      <w:r w:rsidRPr="144AF2D9" w:rsidR="144AF2D9">
        <w:rPr>
          <w:i/>
          <w:iCs/>
        </w:rPr>
        <w:t>See</w:t>
      </w:r>
      <w:r w:rsidRPr="00F75A5D" w:rsidR="144AF2D9">
        <w:t xml:space="preserve"> </w:t>
      </w:r>
      <w:r w:rsidRPr="144AF2D9" w:rsidR="144AF2D9">
        <w:rPr>
          <w:i/>
          <w:iCs/>
        </w:rPr>
        <w:t>Connect America Fund; Universal Service Reform–Mobility Fund; Connect America Fund–Alaska Plan</w:t>
      </w:r>
      <w:r w:rsidRPr="00F75A5D" w:rsidR="144AF2D9">
        <w:t xml:space="preserve">, WC Docket Nos. 10-90, 16-271, WT Docket No. 10-208, Report and Order and Further Notice of Proposed Rulemaking, 31 FCC Rcd 10139, 10149, para. 28 (2016); </w:t>
      </w:r>
      <w:r w:rsidRPr="144AF2D9" w:rsidR="144AF2D9">
        <w:rPr>
          <w:i/>
          <w:iCs/>
        </w:rPr>
        <w:t>Connect America Fund</w:t>
      </w:r>
      <w:r w:rsidRPr="00F75A5D" w:rsidR="144AF2D9">
        <w:t xml:space="preserve">, WC Docket No. 10-90, Order, </w:t>
      </w:r>
      <w:r w:rsidRPr="144AF2D9" w:rsidR="144AF2D9">
        <w:rPr>
          <w:shd w:val="clear" w:color="auto" w:fill="FFFFFF"/>
        </w:rPr>
        <w:t>31 FCC Rcd 12086, 12092, para. 21</w:t>
      </w:r>
      <w:r w:rsidRPr="00F75A5D" w:rsidR="144AF2D9">
        <w:t xml:space="preserve"> (2016).</w:t>
      </w:r>
    </w:p>
  </w:footnote>
  <w:footnote w:id="7">
    <w:p w:rsidR="0084201B" w:rsidRPr="00A13111" w:rsidP="0084201B" w14:paraId="1A5CF23F" w14:textId="77777777">
      <w:pPr>
        <w:pStyle w:val="ParaNum"/>
        <w:numPr>
          <w:ilvl w:val="0"/>
          <w:numId w:val="0"/>
        </w:numPr>
        <w:rPr>
          <w:sz w:val="20"/>
        </w:rPr>
      </w:pPr>
      <w:r w:rsidRPr="00A13111">
        <w:rPr>
          <w:rStyle w:val="FootnoteReference"/>
          <w:sz w:val="20"/>
        </w:rPr>
        <w:footnoteRef/>
      </w:r>
      <w:r w:rsidRPr="00A13111">
        <w:rPr>
          <w:sz w:val="20"/>
        </w:rPr>
        <w:t xml:space="preserve"> Generally, the Commission’s rules may be waived for good cause shown.</w:t>
      </w:r>
      <w:r w:rsidRPr="00A13111">
        <w:rPr>
          <w:rFonts w:eastAsiaTheme="majorEastAsia"/>
          <w:sz w:val="20"/>
        </w:rPr>
        <w:t xml:space="preserve">  </w:t>
      </w:r>
      <w:r w:rsidRPr="00A13111">
        <w:rPr>
          <w:sz w:val="20"/>
        </w:rPr>
        <w:t>47 CFR § 1.3.  Waiver of the Commission’s rules is appropriate only if both: (1) special circumstances warrant a deviation from the general rule, and (2) such deviation will serve the public interest.</w:t>
      </w:r>
      <w:r w:rsidRPr="00A13111">
        <w:rPr>
          <w:rFonts w:eastAsiaTheme="majorEastAsia"/>
          <w:spacing w:val="-2"/>
          <w:sz w:val="20"/>
        </w:rPr>
        <w:t xml:space="preserve">  </w:t>
      </w:r>
      <w:r w:rsidRPr="00A13111">
        <w:rPr>
          <w:i/>
          <w:iCs/>
          <w:sz w:val="20"/>
        </w:rPr>
        <w:t>See Northeast Cellular Tel. Co. v. FCC</w:t>
      </w:r>
      <w:r w:rsidRPr="00A13111">
        <w:rPr>
          <w:sz w:val="20"/>
        </w:rPr>
        <w:t xml:space="preserve">, 897 F.2d 1164, 1166 (D.C. Cir. 1990) (citing </w:t>
      </w:r>
      <w:r w:rsidRPr="00A13111">
        <w:rPr>
          <w:i/>
          <w:iCs/>
          <w:sz w:val="20"/>
        </w:rPr>
        <w:t>WAIT Radio v. FCC</w:t>
      </w:r>
      <w:r w:rsidRPr="00A13111">
        <w:rPr>
          <w:sz w:val="20"/>
        </w:rPr>
        <w:t xml:space="preserve">, 418 F.2d 1153, 1157-59 (D.C. Cir. 1969), </w:t>
      </w:r>
      <w:r w:rsidRPr="00A13111">
        <w:rPr>
          <w:i/>
          <w:iCs/>
          <w:sz w:val="20"/>
        </w:rPr>
        <w:t>cert. denied</w:t>
      </w:r>
      <w:r w:rsidRPr="00A13111">
        <w:rPr>
          <w:sz w:val="20"/>
        </w:rPr>
        <w:t xml:space="preserve">, 93 </w:t>
      </w:r>
      <w:r w:rsidRPr="00A13111">
        <w:rPr>
          <w:sz w:val="20"/>
        </w:rPr>
        <w:t>S.Ct</w:t>
      </w:r>
      <w:r w:rsidRPr="00A13111">
        <w:rPr>
          <w:sz w:val="20"/>
        </w:rPr>
        <w:t>. 461 (1972)).</w:t>
      </w:r>
      <w:r w:rsidRPr="00A13111">
        <w:rPr>
          <w:i/>
          <w:iCs/>
          <w:sz w:val="20"/>
        </w:rPr>
        <w:t xml:space="preserve"> </w:t>
      </w:r>
      <w:r w:rsidRPr="00A13111">
        <w:rPr>
          <w:sz w:val="20"/>
        </w:rPr>
        <w:t xml:space="preserve"> </w:t>
      </w:r>
    </w:p>
    <w:p w:rsidR="0084201B" w:rsidP="0084201B" w14:paraId="7AC61C85"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56B90B4" w14:textId="66342E1D">
    <w:pPr>
      <w:tabs>
        <w:tab w:val="center" w:pos="4680"/>
        <w:tab w:val="right" w:pos="9360"/>
      </w:tabs>
    </w:pPr>
    <w:r w:rsidRPr="009838BC">
      <w:rPr>
        <w:b/>
      </w:rPr>
      <w:tab/>
      <w:t>Federal Communications Commission</w:t>
    </w:r>
    <w:r w:rsidRPr="009838BC">
      <w:rPr>
        <w:b/>
      </w:rPr>
      <w:tab/>
    </w:r>
    <w:r w:rsidR="00454BAE">
      <w:rPr>
        <w:b/>
      </w:rPr>
      <w:t xml:space="preserve">DA </w:t>
    </w:r>
    <w:r w:rsidR="00774C60">
      <w:rPr>
        <w:b/>
      </w:rPr>
      <w:t>xx</w:t>
    </w:r>
  </w:p>
  <w:p w:rsidR="009838BC" w:rsidRPr="009838BC" w:rsidP="009838BC" w14:paraId="6A9B4219" w14:textId="2C4EB2DE">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6143AAD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95D691A" w14:textId="27B5E091">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E0AB8" w:rsidP="00DE0AB8" w14:paraId="5F6E60CA" w14:textId="77777777">
                    <w:pPr>
                      <w:rPr>
                        <w:rFonts w:ascii="Arial" w:hAnsi="Arial"/>
                        <w:b/>
                        <w:snapToGrid/>
                      </w:rPr>
                    </w:pPr>
                    <w:r>
                      <w:rPr>
                        <w:rFonts w:ascii="Arial" w:hAnsi="Arial"/>
                        <w:b/>
                      </w:rPr>
                      <w:t>Federal Communications Commission</w:t>
                    </w:r>
                  </w:p>
                  <w:p w:rsidR="00DE0AB8" w:rsidP="00DE0AB8" w14:paraId="28840584" w14:textId="77777777">
                    <w:pPr>
                      <w:rPr>
                        <w:rFonts w:ascii="Arial" w:hAnsi="Arial"/>
                        <w:b/>
                      </w:rPr>
                    </w:pPr>
                    <w:r>
                      <w:rPr>
                        <w:rFonts w:ascii="Arial" w:hAnsi="Arial"/>
                        <w:b/>
                      </w:rPr>
                      <w:t>45 L Street NE</w:t>
                    </w:r>
                  </w:p>
                  <w:p w:rsidR="009838BC" w:rsidP="00DE0AB8" w14:paraId="6BD47483"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02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61292D">
      <w:rPr>
        <w:rFonts w:ascii="Arial" w:hAnsi="Arial" w:cs="Arial"/>
        <w:b/>
        <w:sz w:val="96"/>
      </w:rPr>
      <w:t>PUBLIC NOTICE</w:t>
    </w:r>
  </w:p>
  <w:p w:rsidR="009838BC" w:rsidRPr="00357D50" w:rsidP="009838BC" w14:paraId="0F960E3F" w14:textId="603D6700">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5080" t="5715" r="4445" b="381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58312619" w14:textId="77777777">
                    <w:pPr>
                      <w:spacing w:before="40"/>
                      <w:jc w:val="right"/>
                      <w:rPr>
                        <w:rFonts w:ascii="Arial" w:hAnsi="Arial"/>
                        <w:b/>
                        <w:sz w:val="16"/>
                      </w:rPr>
                    </w:pPr>
                    <w:r>
                      <w:rPr>
                        <w:rFonts w:ascii="Arial" w:hAnsi="Arial"/>
                        <w:b/>
                        <w:sz w:val="16"/>
                      </w:rPr>
                      <w:t>News Media Information 202 / 418-0500</w:t>
                    </w:r>
                  </w:p>
                  <w:p w:rsidR="009838BC" w:rsidP="009838BC" w14:paraId="708F76CE"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ACDA1FD" w14:textId="77777777">
                    <w:pPr>
                      <w:jc w:val="right"/>
                    </w:pPr>
                    <w:r>
                      <w:rPr>
                        <w:rFonts w:ascii="Arial" w:hAnsi="Arial"/>
                        <w:b/>
                        <w:sz w:val="16"/>
                      </w:rPr>
                      <w:t>TTY: 1-888-835-5322</w:t>
                    </w:r>
                  </w:p>
                </w:txbxContent>
              </v:textbox>
            </v:shape>
          </w:pict>
        </mc:Fallback>
      </mc:AlternateContent>
    </w:r>
  </w:p>
  <w:p w:rsidR="006F7393" w:rsidRPr="009838BC" w:rsidP="009838BC" w14:paraId="0AAD4DD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AEF5EB7"/>
    <w:multiLevelType w:val="hybridMultilevel"/>
    <w:tmpl w:val="EF984916"/>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996"/>
    <w:rsid w:val="0000034F"/>
    <w:rsid w:val="00000AAB"/>
    <w:rsid w:val="00003D59"/>
    <w:rsid w:val="00004F0E"/>
    <w:rsid w:val="000072CE"/>
    <w:rsid w:val="00013172"/>
    <w:rsid w:val="000131E6"/>
    <w:rsid w:val="00013A8B"/>
    <w:rsid w:val="00016E31"/>
    <w:rsid w:val="000178FC"/>
    <w:rsid w:val="00020FCC"/>
    <w:rsid w:val="00021445"/>
    <w:rsid w:val="00030B59"/>
    <w:rsid w:val="00031165"/>
    <w:rsid w:val="000328C5"/>
    <w:rsid w:val="00034142"/>
    <w:rsid w:val="00036039"/>
    <w:rsid w:val="0003711C"/>
    <w:rsid w:val="00037F90"/>
    <w:rsid w:val="0004424F"/>
    <w:rsid w:val="00045769"/>
    <w:rsid w:val="000875BF"/>
    <w:rsid w:val="00091537"/>
    <w:rsid w:val="00096D8C"/>
    <w:rsid w:val="000C0B65"/>
    <w:rsid w:val="000C182C"/>
    <w:rsid w:val="000C23C7"/>
    <w:rsid w:val="000C6F5F"/>
    <w:rsid w:val="000D1DCB"/>
    <w:rsid w:val="000D2110"/>
    <w:rsid w:val="000D4806"/>
    <w:rsid w:val="000E3D42"/>
    <w:rsid w:val="000E5884"/>
    <w:rsid w:val="000F34D1"/>
    <w:rsid w:val="000F6996"/>
    <w:rsid w:val="00112E92"/>
    <w:rsid w:val="001223D8"/>
    <w:rsid w:val="00122BD5"/>
    <w:rsid w:val="001247D0"/>
    <w:rsid w:val="0012675C"/>
    <w:rsid w:val="00137A44"/>
    <w:rsid w:val="00141C76"/>
    <w:rsid w:val="00143392"/>
    <w:rsid w:val="001441EC"/>
    <w:rsid w:val="001567AC"/>
    <w:rsid w:val="0016260E"/>
    <w:rsid w:val="00173824"/>
    <w:rsid w:val="00176948"/>
    <w:rsid w:val="00182CF4"/>
    <w:rsid w:val="001831DE"/>
    <w:rsid w:val="00186C40"/>
    <w:rsid w:val="001979D9"/>
    <w:rsid w:val="001A1646"/>
    <w:rsid w:val="001A3FAA"/>
    <w:rsid w:val="001A592F"/>
    <w:rsid w:val="001A6E39"/>
    <w:rsid w:val="001B3608"/>
    <w:rsid w:val="001B4EB3"/>
    <w:rsid w:val="001B6FAE"/>
    <w:rsid w:val="001C2D5B"/>
    <w:rsid w:val="001C3B3D"/>
    <w:rsid w:val="001C56A1"/>
    <w:rsid w:val="001C5FC0"/>
    <w:rsid w:val="001D29F8"/>
    <w:rsid w:val="001D3D13"/>
    <w:rsid w:val="001D4F1F"/>
    <w:rsid w:val="001D6BCF"/>
    <w:rsid w:val="001E01CA"/>
    <w:rsid w:val="001E06A5"/>
    <w:rsid w:val="001E49B8"/>
    <w:rsid w:val="001E71EF"/>
    <w:rsid w:val="001F1590"/>
    <w:rsid w:val="002060D9"/>
    <w:rsid w:val="0021373D"/>
    <w:rsid w:val="00220DC9"/>
    <w:rsid w:val="00221A18"/>
    <w:rsid w:val="00225379"/>
    <w:rsid w:val="00226822"/>
    <w:rsid w:val="00241C5C"/>
    <w:rsid w:val="00241C82"/>
    <w:rsid w:val="00256C67"/>
    <w:rsid w:val="002577CB"/>
    <w:rsid w:val="00257FB1"/>
    <w:rsid w:val="00260594"/>
    <w:rsid w:val="002613E8"/>
    <w:rsid w:val="002736C3"/>
    <w:rsid w:val="00275A54"/>
    <w:rsid w:val="00276CA9"/>
    <w:rsid w:val="00285017"/>
    <w:rsid w:val="002A0173"/>
    <w:rsid w:val="002A2D2E"/>
    <w:rsid w:val="002A7B46"/>
    <w:rsid w:val="002B25D7"/>
    <w:rsid w:val="002B26F6"/>
    <w:rsid w:val="002C4097"/>
    <w:rsid w:val="002D4611"/>
    <w:rsid w:val="002E0906"/>
    <w:rsid w:val="002E245B"/>
    <w:rsid w:val="002E513D"/>
    <w:rsid w:val="002F5123"/>
    <w:rsid w:val="00310123"/>
    <w:rsid w:val="003115D4"/>
    <w:rsid w:val="00313578"/>
    <w:rsid w:val="00316225"/>
    <w:rsid w:val="00327E65"/>
    <w:rsid w:val="00343749"/>
    <w:rsid w:val="00347B52"/>
    <w:rsid w:val="003533C6"/>
    <w:rsid w:val="00357D50"/>
    <w:rsid w:val="00363364"/>
    <w:rsid w:val="00366A89"/>
    <w:rsid w:val="00372AE4"/>
    <w:rsid w:val="00372BE1"/>
    <w:rsid w:val="00381DE5"/>
    <w:rsid w:val="003831D9"/>
    <w:rsid w:val="0038600B"/>
    <w:rsid w:val="003925DC"/>
    <w:rsid w:val="00392643"/>
    <w:rsid w:val="00394E6B"/>
    <w:rsid w:val="003A3C31"/>
    <w:rsid w:val="003A3C5F"/>
    <w:rsid w:val="003A4734"/>
    <w:rsid w:val="003A5815"/>
    <w:rsid w:val="003A79E3"/>
    <w:rsid w:val="003B0550"/>
    <w:rsid w:val="003B694F"/>
    <w:rsid w:val="003C0B0A"/>
    <w:rsid w:val="003C4F75"/>
    <w:rsid w:val="003C7982"/>
    <w:rsid w:val="003D158A"/>
    <w:rsid w:val="003D4F78"/>
    <w:rsid w:val="003D7AE6"/>
    <w:rsid w:val="003E08CC"/>
    <w:rsid w:val="003E1D10"/>
    <w:rsid w:val="003E26A9"/>
    <w:rsid w:val="003E4610"/>
    <w:rsid w:val="003F0474"/>
    <w:rsid w:val="003F171C"/>
    <w:rsid w:val="003F6962"/>
    <w:rsid w:val="003F72FE"/>
    <w:rsid w:val="004013D7"/>
    <w:rsid w:val="00402C13"/>
    <w:rsid w:val="00404318"/>
    <w:rsid w:val="00412FC5"/>
    <w:rsid w:val="00414DAA"/>
    <w:rsid w:val="00422276"/>
    <w:rsid w:val="004242F1"/>
    <w:rsid w:val="00425425"/>
    <w:rsid w:val="0043248E"/>
    <w:rsid w:val="0043597C"/>
    <w:rsid w:val="004446CD"/>
    <w:rsid w:val="00445A00"/>
    <w:rsid w:val="00445BCA"/>
    <w:rsid w:val="004460E9"/>
    <w:rsid w:val="004461D7"/>
    <w:rsid w:val="00446FB2"/>
    <w:rsid w:val="00451B0F"/>
    <w:rsid w:val="00454BAE"/>
    <w:rsid w:val="0046125F"/>
    <w:rsid w:val="00471FB6"/>
    <w:rsid w:val="00487524"/>
    <w:rsid w:val="004909F0"/>
    <w:rsid w:val="00490BF5"/>
    <w:rsid w:val="00491428"/>
    <w:rsid w:val="004960C0"/>
    <w:rsid w:val="00496106"/>
    <w:rsid w:val="004A581C"/>
    <w:rsid w:val="004C12D0"/>
    <w:rsid w:val="004C2EE3"/>
    <w:rsid w:val="004C3F82"/>
    <w:rsid w:val="004C53EC"/>
    <w:rsid w:val="004D69D7"/>
    <w:rsid w:val="004E4A22"/>
    <w:rsid w:val="004F10D6"/>
    <w:rsid w:val="004F2741"/>
    <w:rsid w:val="005110A0"/>
    <w:rsid w:val="00511968"/>
    <w:rsid w:val="00512816"/>
    <w:rsid w:val="00517404"/>
    <w:rsid w:val="005209C7"/>
    <w:rsid w:val="0052227A"/>
    <w:rsid w:val="00527365"/>
    <w:rsid w:val="00530287"/>
    <w:rsid w:val="00537861"/>
    <w:rsid w:val="00537E5E"/>
    <w:rsid w:val="00541B0C"/>
    <w:rsid w:val="00543B83"/>
    <w:rsid w:val="0054425B"/>
    <w:rsid w:val="00544B38"/>
    <w:rsid w:val="0055174B"/>
    <w:rsid w:val="005522DA"/>
    <w:rsid w:val="00553C01"/>
    <w:rsid w:val="005548CF"/>
    <w:rsid w:val="0055614C"/>
    <w:rsid w:val="005627B8"/>
    <w:rsid w:val="00581FAE"/>
    <w:rsid w:val="005830F8"/>
    <w:rsid w:val="00583254"/>
    <w:rsid w:val="0058353F"/>
    <w:rsid w:val="00586584"/>
    <w:rsid w:val="00587EB2"/>
    <w:rsid w:val="00590322"/>
    <w:rsid w:val="0059099E"/>
    <w:rsid w:val="00593C12"/>
    <w:rsid w:val="00594BBA"/>
    <w:rsid w:val="00594D3C"/>
    <w:rsid w:val="00596E92"/>
    <w:rsid w:val="005B3227"/>
    <w:rsid w:val="005C2623"/>
    <w:rsid w:val="005C7CC1"/>
    <w:rsid w:val="005D1F07"/>
    <w:rsid w:val="005E1BAE"/>
    <w:rsid w:val="005E6B63"/>
    <w:rsid w:val="005E6DFB"/>
    <w:rsid w:val="005F38AC"/>
    <w:rsid w:val="005F48E9"/>
    <w:rsid w:val="00602508"/>
    <w:rsid w:val="00606C10"/>
    <w:rsid w:val="00607BA5"/>
    <w:rsid w:val="0061292D"/>
    <w:rsid w:val="00615996"/>
    <w:rsid w:val="00620329"/>
    <w:rsid w:val="00622EB4"/>
    <w:rsid w:val="00625067"/>
    <w:rsid w:val="00626EB6"/>
    <w:rsid w:val="00633080"/>
    <w:rsid w:val="006338B8"/>
    <w:rsid w:val="006353A3"/>
    <w:rsid w:val="0064733C"/>
    <w:rsid w:val="00655D03"/>
    <w:rsid w:val="00657883"/>
    <w:rsid w:val="0066470B"/>
    <w:rsid w:val="00666216"/>
    <w:rsid w:val="00666848"/>
    <w:rsid w:val="00667B77"/>
    <w:rsid w:val="006723F0"/>
    <w:rsid w:val="00672434"/>
    <w:rsid w:val="00675E3F"/>
    <w:rsid w:val="00683F84"/>
    <w:rsid w:val="00684DFB"/>
    <w:rsid w:val="00690846"/>
    <w:rsid w:val="00691188"/>
    <w:rsid w:val="00697AAA"/>
    <w:rsid w:val="006A34E9"/>
    <w:rsid w:val="006A48AF"/>
    <w:rsid w:val="006A6A81"/>
    <w:rsid w:val="006B0BE2"/>
    <w:rsid w:val="006B1892"/>
    <w:rsid w:val="006C534B"/>
    <w:rsid w:val="006C5525"/>
    <w:rsid w:val="006C5BF1"/>
    <w:rsid w:val="006D186A"/>
    <w:rsid w:val="006E26AF"/>
    <w:rsid w:val="006F4B59"/>
    <w:rsid w:val="006F7393"/>
    <w:rsid w:val="0070224F"/>
    <w:rsid w:val="00706123"/>
    <w:rsid w:val="007115F7"/>
    <w:rsid w:val="007126AA"/>
    <w:rsid w:val="00712937"/>
    <w:rsid w:val="007220B0"/>
    <w:rsid w:val="007249CA"/>
    <w:rsid w:val="00724AE7"/>
    <w:rsid w:val="00741DB7"/>
    <w:rsid w:val="007450A8"/>
    <w:rsid w:val="00767E8B"/>
    <w:rsid w:val="007709C8"/>
    <w:rsid w:val="00774C60"/>
    <w:rsid w:val="00776481"/>
    <w:rsid w:val="00785689"/>
    <w:rsid w:val="0078641B"/>
    <w:rsid w:val="00795112"/>
    <w:rsid w:val="0079754B"/>
    <w:rsid w:val="007A1E6D"/>
    <w:rsid w:val="007A39DF"/>
    <w:rsid w:val="007D19B1"/>
    <w:rsid w:val="007D1D42"/>
    <w:rsid w:val="007E45CD"/>
    <w:rsid w:val="007E71AE"/>
    <w:rsid w:val="007F2C1E"/>
    <w:rsid w:val="007F46A7"/>
    <w:rsid w:val="00806B91"/>
    <w:rsid w:val="00816E88"/>
    <w:rsid w:val="008177F2"/>
    <w:rsid w:val="008223C5"/>
    <w:rsid w:val="00822CE0"/>
    <w:rsid w:val="0082735D"/>
    <w:rsid w:val="00837C62"/>
    <w:rsid w:val="00841AB1"/>
    <w:rsid w:val="0084201B"/>
    <w:rsid w:val="008456DE"/>
    <w:rsid w:val="00860099"/>
    <w:rsid w:val="00864350"/>
    <w:rsid w:val="00866F48"/>
    <w:rsid w:val="00873D76"/>
    <w:rsid w:val="00876955"/>
    <w:rsid w:val="00877EBC"/>
    <w:rsid w:val="00882F45"/>
    <w:rsid w:val="0088662D"/>
    <w:rsid w:val="008902A7"/>
    <w:rsid w:val="00894201"/>
    <w:rsid w:val="00897F60"/>
    <w:rsid w:val="008A3415"/>
    <w:rsid w:val="008B76E6"/>
    <w:rsid w:val="008C1835"/>
    <w:rsid w:val="008C22FD"/>
    <w:rsid w:val="008C586F"/>
    <w:rsid w:val="008D215E"/>
    <w:rsid w:val="008D336B"/>
    <w:rsid w:val="008E0F26"/>
    <w:rsid w:val="008F48B7"/>
    <w:rsid w:val="009005E4"/>
    <w:rsid w:val="0090165A"/>
    <w:rsid w:val="009060D3"/>
    <w:rsid w:val="00910F12"/>
    <w:rsid w:val="009232CD"/>
    <w:rsid w:val="0092337E"/>
    <w:rsid w:val="00925249"/>
    <w:rsid w:val="00926503"/>
    <w:rsid w:val="00930ECF"/>
    <w:rsid w:val="009313E6"/>
    <w:rsid w:val="0094140D"/>
    <w:rsid w:val="009439C6"/>
    <w:rsid w:val="009526D0"/>
    <w:rsid w:val="009544C1"/>
    <w:rsid w:val="00955873"/>
    <w:rsid w:val="00966D7B"/>
    <w:rsid w:val="00973A73"/>
    <w:rsid w:val="009838BC"/>
    <w:rsid w:val="00984C5F"/>
    <w:rsid w:val="00993F33"/>
    <w:rsid w:val="009A05D7"/>
    <w:rsid w:val="009A0C34"/>
    <w:rsid w:val="009A57AE"/>
    <w:rsid w:val="009B6E92"/>
    <w:rsid w:val="009C14BA"/>
    <w:rsid w:val="009C3EEE"/>
    <w:rsid w:val="009D33D2"/>
    <w:rsid w:val="009D4C1F"/>
    <w:rsid w:val="009D63E5"/>
    <w:rsid w:val="009D6AB5"/>
    <w:rsid w:val="009E6BC0"/>
    <w:rsid w:val="009F4707"/>
    <w:rsid w:val="009F5DC4"/>
    <w:rsid w:val="00A13111"/>
    <w:rsid w:val="00A252FB"/>
    <w:rsid w:val="00A32E66"/>
    <w:rsid w:val="00A43037"/>
    <w:rsid w:val="00A4576C"/>
    <w:rsid w:val="00A45F4F"/>
    <w:rsid w:val="00A46964"/>
    <w:rsid w:val="00A473AD"/>
    <w:rsid w:val="00A51530"/>
    <w:rsid w:val="00A54D14"/>
    <w:rsid w:val="00A563BB"/>
    <w:rsid w:val="00A600A9"/>
    <w:rsid w:val="00A642ED"/>
    <w:rsid w:val="00A6547C"/>
    <w:rsid w:val="00A70B04"/>
    <w:rsid w:val="00A74742"/>
    <w:rsid w:val="00A8033B"/>
    <w:rsid w:val="00A85842"/>
    <w:rsid w:val="00A866AC"/>
    <w:rsid w:val="00A87AD7"/>
    <w:rsid w:val="00A9234D"/>
    <w:rsid w:val="00A92FD5"/>
    <w:rsid w:val="00A941CF"/>
    <w:rsid w:val="00AA14BC"/>
    <w:rsid w:val="00AA2BC9"/>
    <w:rsid w:val="00AA55B7"/>
    <w:rsid w:val="00AA5B9E"/>
    <w:rsid w:val="00AA6CA3"/>
    <w:rsid w:val="00AA7110"/>
    <w:rsid w:val="00AB00D4"/>
    <w:rsid w:val="00AB2407"/>
    <w:rsid w:val="00AB4866"/>
    <w:rsid w:val="00AB53DF"/>
    <w:rsid w:val="00AB6020"/>
    <w:rsid w:val="00AB6351"/>
    <w:rsid w:val="00AB6B5C"/>
    <w:rsid w:val="00AC3C40"/>
    <w:rsid w:val="00AC5F95"/>
    <w:rsid w:val="00AD3E5E"/>
    <w:rsid w:val="00AD5E05"/>
    <w:rsid w:val="00AE6420"/>
    <w:rsid w:val="00AE77D6"/>
    <w:rsid w:val="00B0161C"/>
    <w:rsid w:val="00B07E5C"/>
    <w:rsid w:val="00B110D2"/>
    <w:rsid w:val="00B20363"/>
    <w:rsid w:val="00B22CC9"/>
    <w:rsid w:val="00B24D22"/>
    <w:rsid w:val="00B326E3"/>
    <w:rsid w:val="00B46C20"/>
    <w:rsid w:val="00B54404"/>
    <w:rsid w:val="00B574C6"/>
    <w:rsid w:val="00B576D0"/>
    <w:rsid w:val="00B618F4"/>
    <w:rsid w:val="00B638CB"/>
    <w:rsid w:val="00B811F7"/>
    <w:rsid w:val="00B928E9"/>
    <w:rsid w:val="00B95257"/>
    <w:rsid w:val="00BA29C1"/>
    <w:rsid w:val="00BA5B2F"/>
    <w:rsid w:val="00BA5DC6"/>
    <w:rsid w:val="00BA6196"/>
    <w:rsid w:val="00BB074C"/>
    <w:rsid w:val="00BB3EF3"/>
    <w:rsid w:val="00BC3D5A"/>
    <w:rsid w:val="00BC4979"/>
    <w:rsid w:val="00BC6D8C"/>
    <w:rsid w:val="00BD4E92"/>
    <w:rsid w:val="00BD4F57"/>
    <w:rsid w:val="00BD793F"/>
    <w:rsid w:val="00BE03D2"/>
    <w:rsid w:val="00BE493C"/>
    <w:rsid w:val="00BE5778"/>
    <w:rsid w:val="00BE768A"/>
    <w:rsid w:val="00BF2871"/>
    <w:rsid w:val="00BF5292"/>
    <w:rsid w:val="00BF6527"/>
    <w:rsid w:val="00C0516D"/>
    <w:rsid w:val="00C12540"/>
    <w:rsid w:val="00C16AF2"/>
    <w:rsid w:val="00C1726C"/>
    <w:rsid w:val="00C1733B"/>
    <w:rsid w:val="00C17EF7"/>
    <w:rsid w:val="00C312A8"/>
    <w:rsid w:val="00C33209"/>
    <w:rsid w:val="00C34006"/>
    <w:rsid w:val="00C35F8B"/>
    <w:rsid w:val="00C41DE1"/>
    <w:rsid w:val="00C42572"/>
    <w:rsid w:val="00C426B1"/>
    <w:rsid w:val="00C525EA"/>
    <w:rsid w:val="00C52B6F"/>
    <w:rsid w:val="00C67A7C"/>
    <w:rsid w:val="00C80D02"/>
    <w:rsid w:val="00C82B6B"/>
    <w:rsid w:val="00C84711"/>
    <w:rsid w:val="00C86BE6"/>
    <w:rsid w:val="00C87DFA"/>
    <w:rsid w:val="00C90D6A"/>
    <w:rsid w:val="00C94E78"/>
    <w:rsid w:val="00CA74A1"/>
    <w:rsid w:val="00CC72B6"/>
    <w:rsid w:val="00CD1DCE"/>
    <w:rsid w:val="00CE46F0"/>
    <w:rsid w:val="00CE6679"/>
    <w:rsid w:val="00CE7938"/>
    <w:rsid w:val="00D0218D"/>
    <w:rsid w:val="00D02E6E"/>
    <w:rsid w:val="00D12F9D"/>
    <w:rsid w:val="00D216CD"/>
    <w:rsid w:val="00D318D7"/>
    <w:rsid w:val="00D40359"/>
    <w:rsid w:val="00D40B36"/>
    <w:rsid w:val="00D51481"/>
    <w:rsid w:val="00D60A9B"/>
    <w:rsid w:val="00D66B56"/>
    <w:rsid w:val="00D7183C"/>
    <w:rsid w:val="00D74B19"/>
    <w:rsid w:val="00D871C4"/>
    <w:rsid w:val="00D948AA"/>
    <w:rsid w:val="00D94E1F"/>
    <w:rsid w:val="00D94F86"/>
    <w:rsid w:val="00DA2529"/>
    <w:rsid w:val="00DB0970"/>
    <w:rsid w:val="00DB130A"/>
    <w:rsid w:val="00DB6046"/>
    <w:rsid w:val="00DB7119"/>
    <w:rsid w:val="00DC10A1"/>
    <w:rsid w:val="00DC27BB"/>
    <w:rsid w:val="00DC655F"/>
    <w:rsid w:val="00DC7793"/>
    <w:rsid w:val="00DD5B28"/>
    <w:rsid w:val="00DD6596"/>
    <w:rsid w:val="00DD76EC"/>
    <w:rsid w:val="00DD7EBD"/>
    <w:rsid w:val="00DE0AB8"/>
    <w:rsid w:val="00DE3FF1"/>
    <w:rsid w:val="00DF3459"/>
    <w:rsid w:val="00DF62B6"/>
    <w:rsid w:val="00DF7459"/>
    <w:rsid w:val="00E027CC"/>
    <w:rsid w:val="00E07225"/>
    <w:rsid w:val="00E155B7"/>
    <w:rsid w:val="00E22363"/>
    <w:rsid w:val="00E27049"/>
    <w:rsid w:val="00E274F9"/>
    <w:rsid w:val="00E35990"/>
    <w:rsid w:val="00E37A25"/>
    <w:rsid w:val="00E44202"/>
    <w:rsid w:val="00E448D6"/>
    <w:rsid w:val="00E45D06"/>
    <w:rsid w:val="00E5409F"/>
    <w:rsid w:val="00E5586C"/>
    <w:rsid w:val="00E633C1"/>
    <w:rsid w:val="00E73395"/>
    <w:rsid w:val="00E75749"/>
    <w:rsid w:val="00E75902"/>
    <w:rsid w:val="00E808E9"/>
    <w:rsid w:val="00E8195E"/>
    <w:rsid w:val="00E87B20"/>
    <w:rsid w:val="00E91EB3"/>
    <w:rsid w:val="00E941CA"/>
    <w:rsid w:val="00E958C1"/>
    <w:rsid w:val="00EA001B"/>
    <w:rsid w:val="00EA0FC6"/>
    <w:rsid w:val="00EA56EC"/>
    <w:rsid w:val="00EB0214"/>
    <w:rsid w:val="00EB2EB6"/>
    <w:rsid w:val="00EC0185"/>
    <w:rsid w:val="00EC2DE4"/>
    <w:rsid w:val="00EC599B"/>
    <w:rsid w:val="00EC5A77"/>
    <w:rsid w:val="00ED0AFF"/>
    <w:rsid w:val="00ED4106"/>
    <w:rsid w:val="00ED4EAF"/>
    <w:rsid w:val="00EE24D3"/>
    <w:rsid w:val="00EF42A1"/>
    <w:rsid w:val="00F021FA"/>
    <w:rsid w:val="00F02A12"/>
    <w:rsid w:val="00F07770"/>
    <w:rsid w:val="00F10D65"/>
    <w:rsid w:val="00F13D3E"/>
    <w:rsid w:val="00F206C6"/>
    <w:rsid w:val="00F3781F"/>
    <w:rsid w:val="00F42943"/>
    <w:rsid w:val="00F449BE"/>
    <w:rsid w:val="00F45C74"/>
    <w:rsid w:val="00F45DF9"/>
    <w:rsid w:val="00F537B4"/>
    <w:rsid w:val="00F57ACA"/>
    <w:rsid w:val="00F600E9"/>
    <w:rsid w:val="00F622F9"/>
    <w:rsid w:val="00F62933"/>
    <w:rsid w:val="00F62E97"/>
    <w:rsid w:val="00F64209"/>
    <w:rsid w:val="00F7108C"/>
    <w:rsid w:val="00F741FE"/>
    <w:rsid w:val="00F75A5D"/>
    <w:rsid w:val="00F76111"/>
    <w:rsid w:val="00F77659"/>
    <w:rsid w:val="00F82C10"/>
    <w:rsid w:val="00F86184"/>
    <w:rsid w:val="00F86E0D"/>
    <w:rsid w:val="00F93BF5"/>
    <w:rsid w:val="00F96F63"/>
    <w:rsid w:val="00FA01BE"/>
    <w:rsid w:val="00FA3540"/>
    <w:rsid w:val="00FB2F36"/>
    <w:rsid w:val="00FB79D1"/>
    <w:rsid w:val="00FC1394"/>
    <w:rsid w:val="00FC6EDF"/>
    <w:rsid w:val="00FD03A8"/>
    <w:rsid w:val="00FD3F9B"/>
    <w:rsid w:val="00FD7873"/>
    <w:rsid w:val="00FE0122"/>
    <w:rsid w:val="00FF1F01"/>
    <w:rsid w:val="0190A7E0"/>
    <w:rsid w:val="0323AACD"/>
    <w:rsid w:val="03ADD689"/>
    <w:rsid w:val="04C1B245"/>
    <w:rsid w:val="07045617"/>
    <w:rsid w:val="0A0717D9"/>
    <w:rsid w:val="0F124674"/>
    <w:rsid w:val="0F53C773"/>
    <w:rsid w:val="0F888AB7"/>
    <w:rsid w:val="10A26558"/>
    <w:rsid w:val="11FE84ED"/>
    <w:rsid w:val="12B71115"/>
    <w:rsid w:val="136AFD1F"/>
    <w:rsid w:val="144AF2D9"/>
    <w:rsid w:val="14FC1CBD"/>
    <w:rsid w:val="15231AE5"/>
    <w:rsid w:val="15B99E7A"/>
    <w:rsid w:val="164A7CC4"/>
    <w:rsid w:val="1653829A"/>
    <w:rsid w:val="16FAF890"/>
    <w:rsid w:val="17B11940"/>
    <w:rsid w:val="1C3B57FE"/>
    <w:rsid w:val="1EFCBC29"/>
    <w:rsid w:val="1FBB2F6D"/>
    <w:rsid w:val="205D78FF"/>
    <w:rsid w:val="238354DF"/>
    <w:rsid w:val="26BAB7C3"/>
    <w:rsid w:val="26D783FB"/>
    <w:rsid w:val="274553B9"/>
    <w:rsid w:val="27B024ED"/>
    <w:rsid w:val="28562E8A"/>
    <w:rsid w:val="2E12BF4F"/>
    <w:rsid w:val="2E81DAE0"/>
    <w:rsid w:val="2F37D4B9"/>
    <w:rsid w:val="31A872A1"/>
    <w:rsid w:val="31E61F15"/>
    <w:rsid w:val="34030FE0"/>
    <w:rsid w:val="3597EFD5"/>
    <w:rsid w:val="35C5C2AD"/>
    <w:rsid w:val="36C8578A"/>
    <w:rsid w:val="370C9AD0"/>
    <w:rsid w:val="379EC43B"/>
    <w:rsid w:val="39A598A1"/>
    <w:rsid w:val="3A90D696"/>
    <w:rsid w:val="3BC10B7A"/>
    <w:rsid w:val="3D561E40"/>
    <w:rsid w:val="4126630E"/>
    <w:rsid w:val="41A3E0DE"/>
    <w:rsid w:val="41F509FD"/>
    <w:rsid w:val="42F67B6A"/>
    <w:rsid w:val="430D4574"/>
    <w:rsid w:val="451419DA"/>
    <w:rsid w:val="4679A97A"/>
    <w:rsid w:val="46D56AE6"/>
    <w:rsid w:val="47EAEDA8"/>
    <w:rsid w:val="48062C35"/>
    <w:rsid w:val="49FE9DD7"/>
    <w:rsid w:val="4EABEC58"/>
    <w:rsid w:val="50829B13"/>
    <w:rsid w:val="51710131"/>
    <w:rsid w:val="5347AFEC"/>
    <w:rsid w:val="55098D63"/>
    <w:rsid w:val="55CE9938"/>
    <w:rsid w:val="5681E15F"/>
    <w:rsid w:val="56D96FE0"/>
    <w:rsid w:val="575525E7"/>
    <w:rsid w:val="5805587C"/>
    <w:rsid w:val="584A9311"/>
    <w:rsid w:val="592EFCCB"/>
    <w:rsid w:val="5A1A6D91"/>
    <w:rsid w:val="5A5EB0D7"/>
    <w:rsid w:val="5C2D4360"/>
    <w:rsid w:val="5FA4CA14"/>
    <w:rsid w:val="60900809"/>
    <w:rsid w:val="60A6B655"/>
    <w:rsid w:val="62AED5DC"/>
    <w:rsid w:val="636D4920"/>
    <w:rsid w:val="63CA397C"/>
    <w:rsid w:val="68A110F1"/>
    <w:rsid w:val="69516DD6"/>
    <w:rsid w:val="69CBBF81"/>
    <w:rsid w:val="6B566872"/>
    <w:rsid w:val="6C16B580"/>
    <w:rsid w:val="6F3294BF"/>
    <w:rsid w:val="6FB2E522"/>
    <w:rsid w:val="72E9EE6C"/>
    <w:rsid w:val="7369EAF3"/>
    <w:rsid w:val="74AC308A"/>
    <w:rsid w:val="7542D050"/>
    <w:rsid w:val="75DB52AF"/>
    <w:rsid w:val="75F7EABE"/>
    <w:rsid w:val="77931787"/>
    <w:rsid w:val="77B52993"/>
    <w:rsid w:val="798F0077"/>
    <w:rsid w:val="79D3F766"/>
    <w:rsid w:val="7AD0D22A"/>
    <w:rsid w:val="7B50DDEE"/>
    <w:rsid w:val="7D6C8398"/>
    <w:rsid w:val="7EA585F0"/>
    <w:rsid w:val="7F9D83DE"/>
    <w:rsid w:val="7FAA061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403029A"/>
  <w15:chartTrackingRefBased/>
  <w15:docId w15:val="{1DDD6CF8-32BB-40E4-804A-BBBDCBE7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Footnote Text Char Char Char Char,Footnote Text Char1,Footnote Text Char2 Char Char2 Char2 Char Char,Footnote Text Char4 Char Char1 Char Char,Footnote Text Char5 Char Char,fn,fn Char"/>
    <w:link w:val="FootnoteTextChar2"/>
    <w:rsid w:val="000E3D42"/>
    <w:pPr>
      <w:spacing w:after="120"/>
    </w:pPr>
  </w:style>
  <w:style w:type="character" w:styleId="FootnoteReference">
    <w:name w:val="footnote reference"/>
    <w:aliases w:val="(NECG) Footnote Reference,Appel note de bas de p,FR,Footnote Reference/,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ALTS FOOTNOTE Char,Footnote Text Char Char Char,Footnote Text Char Char Char Char Char,Footnote Text Char Char1,Footnote Text Char1 Char,Footnote Text Char2 Char Char2 Char2 Char Char Char,Footnote Text Char5 Char Char Char,fn Char1"/>
    <w:link w:val="FootnoteText"/>
    <w:locked/>
    <w:rsid w:val="000F6996"/>
  </w:style>
  <w:style w:type="character" w:customStyle="1" w:styleId="ParaNumChar1">
    <w:name w:val="ParaNum Char1"/>
    <w:link w:val="ParaNum"/>
    <w:rsid w:val="000F6996"/>
    <w:rPr>
      <w:snapToGrid w:val="0"/>
      <w:kern w:val="28"/>
      <w:sz w:val="22"/>
    </w:rPr>
  </w:style>
  <w:style w:type="character" w:customStyle="1" w:styleId="UnresolvedMention1">
    <w:name w:val="Unresolved Mention1"/>
    <w:uiPriority w:val="99"/>
    <w:semiHidden/>
    <w:unhideWhenUsed/>
    <w:rsid w:val="00454BAE"/>
    <w:rPr>
      <w:color w:val="605E5C"/>
      <w:shd w:val="clear" w:color="auto" w:fill="E1DFDD"/>
    </w:rPr>
  </w:style>
  <w:style w:type="character" w:styleId="FollowedHyperlink">
    <w:name w:val="FollowedHyperlink"/>
    <w:uiPriority w:val="99"/>
    <w:semiHidden/>
    <w:unhideWhenUsed/>
    <w:rsid w:val="00454BAE"/>
    <w:rPr>
      <w:color w:val="954F72"/>
      <w:u w:val="single"/>
    </w:rPr>
  </w:style>
  <w:style w:type="paragraph" w:styleId="Revision">
    <w:name w:val="Revision"/>
    <w:hidden/>
    <w:uiPriority w:val="99"/>
    <w:semiHidden/>
    <w:rsid w:val="009526D0"/>
    <w:rPr>
      <w:snapToGrid w:val="0"/>
      <w:kern w:val="28"/>
      <w:sz w:val="22"/>
    </w:rPr>
  </w:style>
  <w:style w:type="character" w:styleId="CommentReference">
    <w:name w:val="annotation reference"/>
    <w:uiPriority w:val="99"/>
    <w:semiHidden/>
    <w:unhideWhenUsed/>
    <w:rsid w:val="00EA56EC"/>
    <w:rPr>
      <w:sz w:val="16"/>
      <w:szCs w:val="16"/>
    </w:rPr>
  </w:style>
  <w:style w:type="paragraph" w:styleId="CommentText">
    <w:name w:val="annotation text"/>
    <w:basedOn w:val="Normal"/>
    <w:link w:val="CommentTextChar"/>
    <w:uiPriority w:val="99"/>
    <w:unhideWhenUsed/>
    <w:rsid w:val="00EA56EC"/>
    <w:pPr>
      <w:snapToGrid w:val="0"/>
    </w:pPr>
    <w:rPr>
      <w:snapToGrid/>
      <w:sz w:val="20"/>
    </w:rPr>
  </w:style>
  <w:style w:type="character" w:customStyle="1" w:styleId="CommentTextChar">
    <w:name w:val="Comment Text Char"/>
    <w:link w:val="CommentText"/>
    <w:uiPriority w:val="99"/>
    <w:rsid w:val="00EA56EC"/>
    <w:rPr>
      <w:kern w:val="28"/>
    </w:rPr>
  </w:style>
  <w:style w:type="paragraph" w:styleId="CommentSubject">
    <w:name w:val="annotation subject"/>
    <w:basedOn w:val="CommentText"/>
    <w:next w:val="CommentText"/>
    <w:link w:val="CommentSubjectChar"/>
    <w:uiPriority w:val="99"/>
    <w:semiHidden/>
    <w:unhideWhenUsed/>
    <w:rsid w:val="00B24D22"/>
    <w:pPr>
      <w:snapToGrid/>
    </w:pPr>
    <w:rPr>
      <w:b/>
      <w:bCs/>
      <w:snapToGrid w:val="0"/>
    </w:rPr>
  </w:style>
  <w:style w:type="character" w:customStyle="1" w:styleId="CommentSubjectChar">
    <w:name w:val="Comment Subject Char"/>
    <w:link w:val="CommentSubject"/>
    <w:uiPriority w:val="99"/>
    <w:semiHidden/>
    <w:rsid w:val="00B24D22"/>
    <w:rPr>
      <w:b/>
      <w:bCs/>
      <w:snapToGrid w:val="0"/>
      <w:kern w:val="28"/>
    </w:rPr>
  </w:style>
  <w:style w:type="character" w:styleId="UnresolvedMention">
    <w:name w:val="Unresolved Mention"/>
    <w:uiPriority w:val="99"/>
    <w:rsid w:val="00CE7938"/>
    <w:rPr>
      <w:color w:val="605E5C"/>
      <w:shd w:val="clear" w:color="auto" w:fill="E1DFDD"/>
    </w:rPr>
  </w:style>
  <w:style w:type="character" w:customStyle="1" w:styleId="ParaNumChar">
    <w:name w:val="ParaNum Char"/>
    <w:uiPriority w:val="99"/>
    <w:locked/>
    <w:rsid w:val="00A13111"/>
    <w:rPr>
      <w:rFonts w:ascii="Times New Roman" w:eastAsia="Times New Roman" w:hAnsi="Times New Roman" w:cs="Times New Roman"/>
      <w:snapToGrid w:val="0"/>
      <w:kern w:val="28"/>
      <w:sz w:val="22"/>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onomics-analytics/industry-analysis-division/urban-rate-survey-data-resources" TargetMode="External" /><Relationship Id="rId6" Type="http://schemas.openxmlformats.org/officeDocument/2006/relationships/hyperlink" Target="mailto:suzanne.yele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auction/903"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