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773C1B" w:rsidRPr="00773C1B" w:rsidP="000343BF" w14:paraId="23D3A9E9" w14:textId="441B1D21">
      <w:pPr>
        <w:tabs>
          <w:tab w:val="left" w:pos="6480"/>
        </w:tabs>
        <w:rPr>
          <w:b/>
          <w:bCs/>
          <w:szCs w:val="22"/>
        </w:rPr>
      </w:pPr>
      <w:r w:rsidRPr="00FF24DF">
        <w:rPr>
          <w:szCs w:val="22"/>
        </w:rPr>
        <w:tab/>
      </w:r>
      <w:r>
        <w:rPr>
          <w:b/>
          <w:bCs/>
          <w:szCs w:val="22"/>
        </w:rPr>
        <w:t>DA 23-</w:t>
      </w:r>
      <w:r w:rsidR="00A87CE0">
        <w:rPr>
          <w:b/>
          <w:bCs/>
          <w:szCs w:val="22"/>
        </w:rPr>
        <w:t>1208</w:t>
      </w:r>
    </w:p>
    <w:p w:rsidR="00372B80" w:rsidRPr="002B3117" w:rsidP="000343BF" w14:paraId="1917E9EC" w14:textId="0A2A1D20">
      <w:pPr>
        <w:tabs>
          <w:tab w:val="left" w:pos="6480"/>
        </w:tabs>
        <w:rPr>
          <w:bCs/>
          <w:i/>
          <w:szCs w:val="22"/>
        </w:rPr>
      </w:pPr>
      <w:r>
        <w:rPr>
          <w:szCs w:val="22"/>
        </w:rPr>
        <w:tab/>
      </w:r>
      <w:r w:rsidRPr="007A4DB9" w:rsidR="00533B3B">
        <w:rPr>
          <w:i/>
        </w:rPr>
        <w:t xml:space="preserve">In Reply Refer to: </w:t>
      </w:r>
    </w:p>
    <w:p w:rsidR="00684FEE" w:rsidP="000343BF" w14:paraId="4575C87E" w14:textId="6B024FC6">
      <w:pPr>
        <w:tabs>
          <w:tab w:val="left" w:pos="6480"/>
        </w:tabs>
      </w:pPr>
      <w:r w:rsidRPr="002B3117">
        <w:rPr>
          <w:bCs/>
          <w:i/>
          <w:szCs w:val="22"/>
        </w:rPr>
        <w:tab/>
      </w:r>
      <w:r w:rsidRPr="007A4DB9">
        <w:t>1800B3</w:t>
      </w:r>
      <w:r w:rsidRPr="007A4DB9" w:rsidR="00111449">
        <w:t>-</w:t>
      </w:r>
      <w:r w:rsidR="00D7104C">
        <w:t>ARR</w:t>
      </w:r>
    </w:p>
    <w:p w:rsidR="00773C1B" w:rsidRPr="00A87CE0" w:rsidP="000343BF" w14:paraId="471618EF" w14:textId="2EF6993E">
      <w:pPr>
        <w:tabs>
          <w:tab w:val="left" w:pos="6480"/>
        </w:tabs>
        <w:rPr>
          <w:sz w:val="20"/>
          <w:szCs w:val="20"/>
        </w:rPr>
      </w:pPr>
      <w:r>
        <w:tab/>
      </w:r>
      <w:r w:rsidRPr="00A87CE0">
        <w:rPr>
          <w:sz w:val="20"/>
          <w:szCs w:val="20"/>
        </w:rPr>
        <w:t xml:space="preserve">Released: </w:t>
      </w:r>
      <w:r w:rsidRPr="00A87CE0" w:rsidR="00A87CE0">
        <w:rPr>
          <w:sz w:val="20"/>
          <w:szCs w:val="20"/>
        </w:rPr>
        <w:t>December 27, 2023</w:t>
      </w:r>
    </w:p>
    <w:p w:rsidR="003E28D3" w:rsidRPr="00FF24DF" w:rsidP="00B90F78" w14:paraId="74CB10D1" w14:textId="1A7C386F">
      <w:pPr>
        <w:tabs>
          <w:tab w:val="left" w:pos="6480"/>
        </w:tabs>
        <w:rPr>
          <w:b/>
          <w:bCs/>
          <w:noProof/>
          <w:szCs w:val="22"/>
        </w:rPr>
      </w:pPr>
      <w:r>
        <w:tab/>
      </w:r>
    </w:p>
    <w:p w:rsidR="004E1F6A" w:rsidRPr="00F15610" w:rsidP="004E1F6A" w14:paraId="1BF8D73D" w14:textId="77777777">
      <w:pPr>
        <w:pStyle w:val="NormalWeb"/>
        <w:shd w:val="clear" w:color="auto" w:fill="FFFFFF"/>
        <w:spacing w:before="0" w:beforeAutospacing="0" w:after="0" w:afterAutospacing="0"/>
        <w:rPr>
          <w:szCs w:val="22"/>
        </w:rPr>
      </w:pPr>
      <w:r w:rsidRPr="00F15610">
        <w:rPr>
          <w:szCs w:val="22"/>
        </w:rPr>
        <w:t>Omni Broadcasting, LLC</w:t>
      </w:r>
    </w:p>
    <w:p w:rsidR="000154F5" w:rsidRPr="00F15610" w:rsidP="000154F5" w14:paraId="05F441D7" w14:textId="77777777">
      <w:pPr>
        <w:pStyle w:val="NormalWeb"/>
        <w:shd w:val="clear" w:color="auto" w:fill="FFFFFF"/>
        <w:spacing w:before="0" w:beforeAutospacing="0" w:after="0" w:afterAutospacing="0"/>
        <w:rPr>
          <w:szCs w:val="22"/>
        </w:rPr>
      </w:pPr>
      <w:r w:rsidRPr="00F15610">
        <w:rPr>
          <w:szCs w:val="22"/>
        </w:rPr>
        <w:t>c/o Jennifer F. Hale</w:t>
      </w:r>
    </w:p>
    <w:p w:rsidR="000154F5" w:rsidRPr="00F15610" w:rsidP="000154F5" w14:paraId="21D4A2FD" w14:textId="7D1D396F">
      <w:pPr>
        <w:pStyle w:val="NormalWeb"/>
        <w:shd w:val="clear" w:color="auto" w:fill="FFFFFF"/>
        <w:spacing w:before="0" w:beforeAutospacing="0" w:after="0" w:afterAutospacing="0"/>
        <w:rPr>
          <w:szCs w:val="22"/>
        </w:rPr>
      </w:pPr>
      <w:r w:rsidRPr="00F15610">
        <w:rPr>
          <w:szCs w:val="22"/>
        </w:rPr>
        <w:t>1320 Miracle Strip Parkway Suite 200</w:t>
      </w:r>
    </w:p>
    <w:p w:rsidR="000154F5" w:rsidRPr="00F15610" w:rsidP="000154F5" w14:paraId="2FC75755" w14:textId="77777777">
      <w:pPr>
        <w:pStyle w:val="NormalWeb"/>
        <w:shd w:val="clear" w:color="auto" w:fill="FFFFFF"/>
        <w:spacing w:before="0" w:beforeAutospacing="0" w:after="0" w:afterAutospacing="0"/>
      </w:pPr>
      <w:r w:rsidRPr="00F15610">
        <w:rPr>
          <w:szCs w:val="22"/>
        </w:rPr>
        <w:t>Ft. Walton Beach, FL 35248</w:t>
      </w:r>
    </w:p>
    <w:p w:rsidR="004E1F6A" w:rsidP="000154F5" w14:paraId="7993F707" w14:textId="41DF4D81">
      <w:pPr>
        <w:pStyle w:val="NormalWeb"/>
        <w:shd w:val="clear" w:color="auto" w:fill="FFFFFF"/>
        <w:spacing w:before="0" w:beforeAutospacing="0" w:after="0" w:afterAutospacing="0"/>
        <w:rPr>
          <w:color w:val="333333"/>
          <w:szCs w:val="22"/>
        </w:rPr>
      </w:pPr>
      <w:hyperlink r:id="rId5" w:history="1">
        <w:r w:rsidRPr="00353B86" w:rsidR="00F15610">
          <w:rPr>
            <w:rStyle w:val="Hyperlink"/>
            <w:szCs w:val="22"/>
          </w:rPr>
          <w:t>ronhalesr@gmail.com</w:t>
        </w:r>
      </w:hyperlink>
    </w:p>
    <w:p w:rsidR="00115971" w:rsidRPr="00763CE9" w:rsidP="00115971" w14:paraId="48E6EC8E" w14:textId="77777777">
      <w:pPr>
        <w:widowControl w:val="0"/>
        <w:tabs>
          <w:tab w:val="left" w:pos="4140"/>
          <w:tab w:val="left" w:pos="4860"/>
        </w:tabs>
        <w:rPr>
          <w:szCs w:val="22"/>
        </w:rPr>
      </w:pPr>
    </w:p>
    <w:p w:rsidR="00AD1E51" w:rsidRPr="00AD1E51" w:rsidP="00774DC6" w14:paraId="28FE9CB6" w14:textId="734A221D">
      <w:pPr>
        <w:widowControl w:val="0"/>
        <w:ind w:left="4320" w:firstLine="720"/>
        <w:rPr>
          <w:szCs w:val="22"/>
        </w:rPr>
      </w:pPr>
      <w:r w:rsidRPr="00476A28">
        <w:rPr>
          <w:szCs w:val="22"/>
        </w:rPr>
        <w:t>Re</w:t>
      </w:r>
      <w:bookmarkStart w:id="0" w:name="_Hlk62581650"/>
      <w:bookmarkStart w:id="1" w:name="_Hlk18670527"/>
      <w:r w:rsidRPr="00476A28">
        <w:rPr>
          <w:szCs w:val="22"/>
        </w:rPr>
        <w:t>:</w:t>
      </w:r>
      <w:r w:rsidRPr="005634FF">
        <w:rPr>
          <w:b/>
          <w:bCs/>
          <w:szCs w:val="22"/>
        </w:rPr>
        <w:t xml:space="preserve">  </w:t>
      </w:r>
      <w:r w:rsidRPr="005634FF">
        <w:rPr>
          <w:b/>
          <w:bCs/>
          <w:szCs w:val="22"/>
        </w:rPr>
        <w:tab/>
      </w:r>
      <w:bookmarkEnd w:id="0"/>
      <w:bookmarkEnd w:id="1"/>
      <w:r w:rsidRPr="00AD1E51">
        <w:rPr>
          <w:b/>
          <w:bCs/>
          <w:szCs w:val="22"/>
        </w:rPr>
        <w:t>Omni Broadcasting, LLC</w:t>
      </w:r>
    </w:p>
    <w:p w:rsidR="00476A28" w:rsidRPr="00AD1E51" w:rsidP="00AD1E51" w14:paraId="070996CB" w14:textId="239512CA">
      <w:pPr>
        <w:widowControl w:val="0"/>
        <w:ind w:left="5040" w:firstLine="720"/>
        <w:rPr>
          <w:szCs w:val="22"/>
        </w:rPr>
      </w:pPr>
      <w:r w:rsidRPr="00AD1E51">
        <w:rPr>
          <w:szCs w:val="22"/>
        </w:rPr>
        <w:t>WTKP(FM), Port St. Joe, Florida</w:t>
      </w:r>
    </w:p>
    <w:p w:rsidR="00476A28" w:rsidRPr="007F6F86" w:rsidP="00476A28" w14:paraId="15EA95BB" w14:textId="0EA24987">
      <w:pPr>
        <w:widowControl w:val="0"/>
        <w:rPr>
          <w:szCs w:val="22"/>
        </w:rPr>
      </w:pPr>
      <w:r w:rsidRPr="007F6F86">
        <w:rPr>
          <w:szCs w:val="22"/>
        </w:rPr>
        <w:tab/>
      </w:r>
      <w:r w:rsidRPr="007F6F86">
        <w:rPr>
          <w:szCs w:val="22"/>
        </w:rPr>
        <w:tab/>
      </w:r>
      <w:r w:rsidRPr="007F6F86">
        <w:rPr>
          <w:szCs w:val="22"/>
        </w:rPr>
        <w:tab/>
      </w:r>
      <w:r w:rsidRPr="007F6F86">
        <w:rPr>
          <w:szCs w:val="22"/>
        </w:rPr>
        <w:tab/>
      </w:r>
      <w:r w:rsidRPr="007F6F86">
        <w:rPr>
          <w:szCs w:val="22"/>
        </w:rPr>
        <w:tab/>
      </w:r>
      <w:r w:rsidRPr="007F6F86">
        <w:rPr>
          <w:szCs w:val="22"/>
        </w:rPr>
        <w:tab/>
      </w:r>
      <w:r w:rsidRPr="007F6F86">
        <w:rPr>
          <w:szCs w:val="22"/>
        </w:rPr>
        <w:tab/>
      </w:r>
      <w:r w:rsidR="00774DC6">
        <w:rPr>
          <w:szCs w:val="22"/>
        </w:rPr>
        <w:tab/>
      </w:r>
      <w:r w:rsidRPr="007F6F86">
        <w:rPr>
          <w:szCs w:val="22"/>
        </w:rPr>
        <w:t>Facility ID</w:t>
      </w:r>
      <w:r>
        <w:rPr>
          <w:szCs w:val="22"/>
        </w:rPr>
        <w:t xml:space="preserve"> No.</w:t>
      </w:r>
      <w:r w:rsidRPr="007F6F86">
        <w:rPr>
          <w:szCs w:val="22"/>
        </w:rPr>
        <w:t xml:space="preserve"> </w:t>
      </w:r>
      <w:r>
        <w:rPr>
          <w:szCs w:val="22"/>
        </w:rPr>
        <w:t>67579</w:t>
      </w:r>
    </w:p>
    <w:p w:rsidR="00476A28" w:rsidP="00774DC6" w14:paraId="637EF24F" w14:textId="17C8E425">
      <w:pPr>
        <w:widowControl w:val="0"/>
        <w:ind w:left="5760"/>
        <w:rPr>
          <w:szCs w:val="22"/>
        </w:rPr>
      </w:pPr>
      <w:r>
        <w:rPr>
          <w:szCs w:val="22"/>
        </w:rPr>
        <w:t xml:space="preserve">Application </w:t>
      </w:r>
      <w:r w:rsidRPr="006A4857">
        <w:rPr>
          <w:szCs w:val="22"/>
        </w:rPr>
        <w:t>File No</w:t>
      </w:r>
      <w:r>
        <w:rPr>
          <w:szCs w:val="22"/>
        </w:rPr>
        <w:t xml:space="preserve">s. </w:t>
      </w:r>
      <w:bookmarkStart w:id="2" w:name="_Hlk134621322"/>
      <w:r w:rsidRPr="0053728E">
        <w:rPr>
          <w:szCs w:val="22"/>
        </w:rPr>
        <w:t>BLH-19940613KM</w:t>
      </w:r>
      <w:r>
        <w:rPr>
          <w:szCs w:val="22"/>
        </w:rPr>
        <w:t xml:space="preserve">; </w:t>
      </w:r>
      <w:r w:rsidRPr="006E2155">
        <w:rPr>
          <w:szCs w:val="22"/>
        </w:rPr>
        <w:t>0000087367</w:t>
      </w:r>
      <w:bookmarkEnd w:id="2"/>
      <w:r w:rsidR="001765DD">
        <w:rPr>
          <w:szCs w:val="22"/>
        </w:rPr>
        <w:t xml:space="preserve">; </w:t>
      </w:r>
      <w:r w:rsidRPr="006E2155" w:rsidR="001765DD">
        <w:rPr>
          <w:szCs w:val="22"/>
        </w:rPr>
        <w:t>0000212297</w:t>
      </w:r>
      <w:r w:rsidR="001765DD">
        <w:rPr>
          <w:szCs w:val="22"/>
        </w:rPr>
        <w:t xml:space="preserve">; </w:t>
      </w:r>
      <w:bookmarkStart w:id="3" w:name="_Hlk134622532"/>
      <w:r w:rsidRPr="000C1739" w:rsidR="001765DD">
        <w:rPr>
          <w:szCs w:val="22"/>
        </w:rPr>
        <w:t>BSTA-20210913AAF</w:t>
      </w:r>
      <w:bookmarkEnd w:id="3"/>
      <w:r w:rsidR="001765DD">
        <w:rPr>
          <w:szCs w:val="22"/>
        </w:rPr>
        <w:t xml:space="preserve">; </w:t>
      </w:r>
      <w:r w:rsidRPr="000C1739" w:rsidR="001765DD">
        <w:rPr>
          <w:szCs w:val="22"/>
        </w:rPr>
        <w:t>0000124529</w:t>
      </w:r>
      <w:r w:rsidR="001765DD">
        <w:rPr>
          <w:szCs w:val="22"/>
        </w:rPr>
        <w:t xml:space="preserve"> </w:t>
      </w:r>
      <w:r>
        <w:rPr>
          <w:szCs w:val="22"/>
        </w:rPr>
        <w:t xml:space="preserve"> </w:t>
      </w:r>
    </w:p>
    <w:p w:rsidR="00766D7D" w:rsidP="00766D7D" w14:paraId="7097EA61" w14:textId="77777777">
      <w:pPr>
        <w:widowControl w:val="0"/>
        <w:ind w:left="5040" w:firstLine="720"/>
        <w:rPr>
          <w:b/>
          <w:bCs/>
          <w:szCs w:val="22"/>
        </w:rPr>
      </w:pPr>
    </w:p>
    <w:p w:rsidR="00110647" w:rsidP="00766D7D" w14:paraId="2F3946FD" w14:textId="679F9805">
      <w:pPr>
        <w:widowControl w:val="0"/>
        <w:ind w:left="5040" w:firstLine="720"/>
        <w:rPr>
          <w:b/>
          <w:bCs/>
          <w:szCs w:val="22"/>
        </w:rPr>
      </w:pPr>
      <w:r>
        <w:rPr>
          <w:b/>
          <w:bCs/>
          <w:szCs w:val="22"/>
        </w:rPr>
        <w:t>Petition for Reconsideration</w:t>
      </w:r>
    </w:p>
    <w:p w:rsidR="00115971" w:rsidP="00115971" w14:paraId="1AF632A6" w14:textId="77777777">
      <w:pPr>
        <w:widowControl w:val="0"/>
        <w:tabs>
          <w:tab w:val="left" w:pos="4680"/>
          <w:tab w:val="left" w:pos="4860"/>
          <w:tab w:val="left" w:pos="5310"/>
        </w:tabs>
        <w:spacing w:after="120"/>
        <w:rPr>
          <w:szCs w:val="22"/>
        </w:rPr>
      </w:pPr>
      <w:r>
        <w:rPr>
          <w:b/>
          <w:szCs w:val="22"/>
        </w:rPr>
        <w:tab/>
      </w:r>
      <w:r>
        <w:rPr>
          <w:b/>
          <w:szCs w:val="22"/>
        </w:rPr>
        <w:tab/>
      </w:r>
      <w:r>
        <w:rPr>
          <w:b/>
          <w:szCs w:val="22"/>
        </w:rPr>
        <w:tab/>
      </w:r>
      <w:r>
        <w:rPr>
          <w:b/>
          <w:szCs w:val="22"/>
        </w:rPr>
        <w:tab/>
      </w:r>
      <w:r w:rsidRPr="00DC0B50">
        <w:rPr>
          <w:szCs w:val="22"/>
        </w:rPr>
        <w:t xml:space="preserve"> </w:t>
      </w:r>
    </w:p>
    <w:p w:rsidR="00684FEE" w:rsidRPr="00FF24DF" w:rsidP="004663C2" w14:paraId="7201DCA6" w14:textId="576CC3F2">
      <w:pPr>
        <w:widowControl w:val="0"/>
        <w:tabs>
          <w:tab w:val="left" w:pos="4680"/>
          <w:tab w:val="left" w:pos="4860"/>
          <w:tab w:val="left" w:pos="5310"/>
        </w:tabs>
        <w:spacing w:after="120"/>
        <w:rPr>
          <w:szCs w:val="22"/>
        </w:rPr>
      </w:pPr>
      <w:r w:rsidRPr="00DC0B50">
        <w:rPr>
          <w:szCs w:val="22"/>
        </w:rPr>
        <w:t xml:space="preserve">Dear </w:t>
      </w:r>
      <w:r w:rsidR="00D86330">
        <w:rPr>
          <w:szCs w:val="22"/>
        </w:rPr>
        <w:t>Petitioner</w:t>
      </w:r>
      <w:r w:rsidRPr="00DC0B50">
        <w:rPr>
          <w:szCs w:val="22"/>
        </w:rPr>
        <w:t>:</w:t>
      </w:r>
    </w:p>
    <w:p w:rsidR="003F0E2C" w:rsidRPr="007F6F86" w:rsidP="004663C2" w14:paraId="4C7ABE0C" w14:textId="752FE9ED">
      <w:pPr>
        <w:suppressAutoHyphens/>
        <w:spacing w:after="120"/>
        <w:rPr>
          <w:szCs w:val="22"/>
        </w:rPr>
      </w:pPr>
      <w:r w:rsidRPr="00FF24DF">
        <w:rPr>
          <w:szCs w:val="22"/>
        </w:rPr>
        <w:tab/>
      </w:r>
      <w:r w:rsidR="00777328">
        <w:rPr>
          <w:szCs w:val="22"/>
        </w:rPr>
        <w:t xml:space="preserve">In this letter, we </w:t>
      </w:r>
      <w:r w:rsidR="006C6B76">
        <w:rPr>
          <w:szCs w:val="22"/>
        </w:rPr>
        <w:t>deny</w:t>
      </w:r>
      <w:r w:rsidR="00777328">
        <w:rPr>
          <w:szCs w:val="22"/>
        </w:rPr>
        <w:t xml:space="preserve"> the </w:t>
      </w:r>
      <w:r w:rsidR="009F16CE">
        <w:rPr>
          <w:szCs w:val="22"/>
        </w:rPr>
        <w:t>Petition for Reconsideration</w:t>
      </w:r>
      <w:r w:rsidR="000A1B4C">
        <w:rPr>
          <w:szCs w:val="22"/>
        </w:rPr>
        <w:t xml:space="preserve"> (Petition)</w:t>
      </w:r>
      <w:r w:rsidR="009F16CE">
        <w:rPr>
          <w:szCs w:val="22"/>
        </w:rPr>
        <w:t xml:space="preserve"> filed by </w:t>
      </w:r>
      <w:r w:rsidR="006C19BD">
        <w:rPr>
          <w:szCs w:val="22"/>
        </w:rPr>
        <w:t>Omni Broadcasting, LLC</w:t>
      </w:r>
      <w:r w:rsidR="009F16CE">
        <w:rPr>
          <w:szCs w:val="22"/>
        </w:rPr>
        <w:t xml:space="preserve"> (</w:t>
      </w:r>
      <w:r w:rsidR="006C19BD">
        <w:rPr>
          <w:szCs w:val="22"/>
        </w:rPr>
        <w:t>O</w:t>
      </w:r>
      <w:r w:rsidR="00726D36">
        <w:rPr>
          <w:szCs w:val="22"/>
        </w:rPr>
        <w:t>mni</w:t>
      </w:r>
      <w:r w:rsidR="009F16CE">
        <w:rPr>
          <w:szCs w:val="22"/>
        </w:rPr>
        <w:t>),</w:t>
      </w:r>
      <w:r>
        <w:rPr>
          <w:rStyle w:val="FootnoteReference"/>
          <w:szCs w:val="22"/>
        </w:rPr>
        <w:footnoteReference w:id="3"/>
      </w:r>
      <w:r w:rsidR="009F16CE">
        <w:rPr>
          <w:szCs w:val="22"/>
        </w:rPr>
        <w:t xml:space="preserve"> </w:t>
      </w:r>
      <w:r w:rsidR="006046F7">
        <w:rPr>
          <w:szCs w:val="22"/>
        </w:rPr>
        <w:t xml:space="preserve">which seeks </w:t>
      </w:r>
      <w:r w:rsidR="009F16CE">
        <w:rPr>
          <w:szCs w:val="22"/>
        </w:rPr>
        <w:t xml:space="preserve">reconsideration of </w:t>
      </w:r>
      <w:r w:rsidR="004A26ED">
        <w:rPr>
          <w:szCs w:val="22"/>
        </w:rPr>
        <w:t>a Media Bureau</w:t>
      </w:r>
      <w:r w:rsidR="00B90F78">
        <w:rPr>
          <w:szCs w:val="22"/>
        </w:rPr>
        <w:t xml:space="preserve"> (Bureau)</w:t>
      </w:r>
      <w:r w:rsidR="004A26ED">
        <w:rPr>
          <w:szCs w:val="22"/>
        </w:rPr>
        <w:t xml:space="preserve"> decision that found that </w:t>
      </w:r>
      <w:r w:rsidR="00077D17">
        <w:rPr>
          <w:szCs w:val="22"/>
        </w:rPr>
        <w:t>the</w:t>
      </w:r>
      <w:r w:rsidR="00C172C7">
        <w:rPr>
          <w:szCs w:val="22"/>
        </w:rPr>
        <w:t xml:space="preserve"> </w:t>
      </w:r>
      <w:r w:rsidR="00077D17">
        <w:rPr>
          <w:szCs w:val="22"/>
        </w:rPr>
        <w:t xml:space="preserve">license </w:t>
      </w:r>
      <w:r w:rsidR="004A26ED">
        <w:rPr>
          <w:szCs w:val="22"/>
        </w:rPr>
        <w:t>for S</w:t>
      </w:r>
      <w:r w:rsidR="00077D17">
        <w:rPr>
          <w:szCs w:val="22"/>
        </w:rPr>
        <w:t xml:space="preserve">tation </w:t>
      </w:r>
      <w:r w:rsidRPr="00E952AA" w:rsidR="00E952AA">
        <w:rPr>
          <w:szCs w:val="22"/>
        </w:rPr>
        <w:t xml:space="preserve">WTKP(FM), Port St. Joe, Florida </w:t>
      </w:r>
      <w:r w:rsidR="000A1B4C">
        <w:rPr>
          <w:szCs w:val="22"/>
        </w:rPr>
        <w:t>(Station)</w:t>
      </w:r>
      <w:r w:rsidR="004A26ED">
        <w:rPr>
          <w:szCs w:val="22"/>
        </w:rPr>
        <w:t xml:space="preserve"> had expired as a matter of law under</w:t>
      </w:r>
      <w:r w:rsidR="006046F7">
        <w:rPr>
          <w:szCs w:val="22"/>
        </w:rPr>
        <w:t xml:space="preserve"> section 312(g) of the Communications Act of 1934, as amended (Act)</w:t>
      </w:r>
      <w:r w:rsidR="003522A6">
        <w:rPr>
          <w:szCs w:val="22"/>
        </w:rPr>
        <w:t>, a</w:t>
      </w:r>
      <w:r w:rsidR="007D05C5">
        <w:rPr>
          <w:szCs w:val="22"/>
        </w:rPr>
        <w:t xml:space="preserve">nd </w:t>
      </w:r>
      <w:r w:rsidR="006046F7">
        <w:rPr>
          <w:szCs w:val="22"/>
        </w:rPr>
        <w:t xml:space="preserve">dismissed </w:t>
      </w:r>
      <w:r w:rsidR="0047349A">
        <w:rPr>
          <w:szCs w:val="22"/>
        </w:rPr>
        <w:t xml:space="preserve">the </w:t>
      </w:r>
      <w:r w:rsidR="00F06A6E">
        <w:rPr>
          <w:szCs w:val="22"/>
        </w:rPr>
        <w:t>above referenced</w:t>
      </w:r>
      <w:r w:rsidR="007D05C5">
        <w:rPr>
          <w:szCs w:val="22"/>
        </w:rPr>
        <w:t xml:space="preserve"> application</w:t>
      </w:r>
      <w:r w:rsidR="006046F7">
        <w:rPr>
          <w:szCs w:val="22"/>
        </w:rPr>
        <w:t xml:space="preserve"> for renewal of the Station’s license</w:t>
      </w:r>
      <w:r w:rsidR="001765DD">
        <w:rPr>
          <w:szCs w:val="22"/>
        </w:rPr>
        <w:t xml:space="preserve"> and related pending applications</w:t>
      </w:r>
      <w:r w:rsidR="000A1B4C">
        <w:rPr>
          <w:szCs w:val="22"/>
        </w:rPr>
        <w:t>.</w:t>
      </w:r>
      <w:r>
        <w:rPr>
          <w:rStyle w:val="FootnoteReference"/>
          <w:szCs w:val="22"/>
        </w:rPr>
        <w:footnoteReference w:id="4"/>
      </w:r>
      <w:r w:rsidR="000A1B4C">
        <w:rPr>
          <w:szCs w:val="22"/>
        </w:rPr>
        <w:t xml:space="preserve">  </w:t>
      </w:r>
      <w:r w:rsidRPr="00FF24DF" w:rsidR="00D740B1">
        <w:rPr>
          <w:szCs w:val="22"/>
        </w:rPr>
        <w:t xml:space="preserve">  </w:t>
      </w:r>
    </w:p>
    <w:p w:rsidR="00EA2047" w:rsidP="004663C2" w14:paraId="5424A897" w14:textId="448FA828">
      <w:pPr>
        <w:spacing w:after="120"/>
        <w:ind w:firstLine="720"/>
        <w:rPr>
          <w:szCs w:val="22"/>
        </w:rPr>
      </w:pPr>
      <w:r w:rsidRPr="00141ED4">
        <w:rPr>
          <w:b/>
          <w:bCs/>
          <w:szCs w:val="22"/>
        </w:rPr>
        <w:t>Background</w:t>
      </w:r>
      <w:r>
        <w:rPr>
          <w:szCs w:val="22"/>
        </w:rPr>
        <w:t>.</w:t>
      </w:r>
      <w:r w:rsidR="00933157">
        <w:rPr>
          <w:szCs w:val="22"/>
        </w:rPr>
        <w:t xml:space="preserve">  </w:t>
      </w:r>
      <w:r w:rsidR="00324FB1">
        <w:rPr>
          <w:szCs w:val="22"/>
        </w:rPr>
        <w:t xml:space="preserve">Omni </w:t>
      </w:r>
      <w:r w:rsidR="00917380">
        <w:rPr>
          <w:szCs w:val="22"/>
        </w:rPr>
        <w:t>became the</w:t>
      </w:r>
      <w:r>
        <w:rPr>
          <w:szCs w:val="22"/>
        </w:rPr>
        <w:t xml:space="preserve"> licensee of the Station </w:t>
      </w:r>
      <w:r w:rsidR="00917380">
        <w:rPr>
          <w:szCs w:val="22"/>
        </w:rPr>
        <w:t xml:space="preserve">in </w:t>
      </w:r>
      <w:r>
        <w:rPr>
          <w:szCs w:val="22"/>
        </w:rPr>
        <w:t>2012.</w:t>
      </w:r>
      <w:r>
        <w:rPr>
          <w:rStyle w:val="FootnoteReference"/>
          <w:szCs w:val="22"/>
        </w:rPr>
        <w:footnoteReference w:id="5"/>
      </w:r>
      <w:r>
        <w:rPr>
          <w:szCs w:val="22"/>
        </w:rPr>
        <w:t xml:space="preserve">  On November 5, 2015, the Station went silent due to a dispute with the tower owner at the licensed site (Site A) and resumed operation using an alternate site (Site B) pursuant to </w:t>
      </w:r>
      <w:r w:rsidR="00917380">
        <w:rPr>
          <w:szCs w:val="22"/>
        </w:rPr>
        <w:t>special temporary authority (</w:t>
      </w:r>
      <w:r>
        <w:rPr>
          <w:szCs w:val="22"/>
        </w:rPr>
        <w:t>STA</w:t>
      </w:r>
      <w:r w:rsidR="00917380">
        <w:rPr>
          <w:szCs w:val="22"/>
        </w:rPr>
        <w:t>)</w:t>
      </w:r>
      <w:r>
        <w:rPr>
          <w:szCs w:val="22"/>
        </w:rPr>
        <w:t xml:space="preserve"> </w:t>
      </w:r>
      <w:r w:rsidR="001A2265">
        <w:rPr>
          <w:szCs w:val="22"/>
        </w:rPr>
        <w:t xml:space="preserve">the Media Bureau </w:t>
      </w:r>
      <w:r>
        <w:rPr>
          <w:szCs w:val="22"/>
        </w:rPr>
        <w:t>granted December 3, 2015</w:t>
      </w:r>
      <w:r w:rsidR="001A2265">
        <w:rPr>
          <w:szCs w:val="22"/>
        </w:rPr>
        <w:t>.</w:t>
      </w:r>
      <w:r>
        <w:rPr>
          <w:rStyle w:val="FootnoteReference"/>
          <w:szCs w:val="22"/>
        </w:rPr>
        <w:footnoteReference w:id="6"/>
      </w:r>
      <w:r w:rsidR="001A2265">
        <w:rPr>
          <w:szCs w:val="22"/>
        </w:rPr>
        <w:t xml:space="preserve">  The 2015 Engineering STA expired</w:t>
      </w:r>
      <w:r>
        <w:rPr>
          <w:szCs w:val="22"/>
        </w:rPr>
        <w:t xml:space="preserve"> June 1, 2016</w:t>
      </w:r>
      <w:r w:rsidR="001A2265">
        <w:rPr>
          <w:szCs w:val="22"/>
        </w:rPr>
        <w:t>,</w:t>
      </w:r>
      <w:r>
        <w:rPr>
          <w:szCs w:val="22"/>
        </w:rPr>
        <w:t xml:space="preserve"> </w:t>
      </w:r>
      <w:r w:rsidR="001A2265">
        <w:rPr>
          <w:szCs w:val="22"/>
        </w:rPr>
        <w:t>and</w:t>
      </w:r>
      <w:r>
        <w:rPr>
          <w:szCs w:val="22"/>
        </w:rPr>
        <w:t xml:space="preserve"> </w:t>
      </w:r>
      <w:r w:rsidR="00324FB1">
        <w:rPr>
          <w:szCs w:val="22"/>
        </w:rPr>
        <w:t>Omni</w:t>
      </w:r>
      <w:r>
        <w:rPr>
          <w:szCs w:val="22"/>
        </w:rPr>
        <w:t xml:space="preserve"> did not file a request to extend </w:t>
      </w:r>
      <w:r w:rsidR="001A2265">
        <w:rPr>
          <w:szCs w:val="22"/>
        </w:rPr>
        <w:t>it</w:t>
      </w:r>
      <w:r>
        <w:rPr>
          <w:szCs w:val="22"/>
        </w:rPr>
        <w:t>.</w:t>
      </w:r>
      <w:r w:rsidR="001A2265">
        <w:rPr>
          <w:szCs w:val="22"/>
        </w:rPr>
        <w:t xml:space="preserve">  Consequently, Omni’s authorization to operate at Site B expired on June 1, 2016,</w:t>
      </w:r>
      <w:r>
        <w:rPr>
          <w:szCs w:val="22"/>
        </w:rPr>
        <w:t xml:space="preserve"> </w:t>
      </w:r>
      <w:r w:rsidR="001A2265">
        <w:rPr>
          <w:szCs w:val="22"/>
        </w:rPr>
        <w:t>and</w:t>
      </w:r>
      <w:r>
        <w:rPr>
          <w:szCs w:val="22"/>
        </w:rPr>
        <w:t xml:space="preserve"> </w:t>
      </w:r>
      <w:r w:rsidR="001A2265">
        <w:rPr>
          <w:szCs w:val="22"/>
        </w:rPr>
        <w:t xml:space="preserve">its only </w:t>
      </w:r>
      <w:r w:rsidR="007021AF">
        <w:rPr>
          <w:szCs w:val="22"/>
        </w:rPr>
        <w:t xml:space="preserve">authorized site reverted to Site A.  </w:t>
      </w:r>
      <w:r>
        <w:rPr>
          <w:szCs w:val="22"/>
        </w:rPr>
        <w:t xml:space="preserve">On August 29, 2016, </w:t>
      </w:r>
      <w:r w:rsidR="00324FB1">
        <w:rPr>
          <w:szCs w:val="22"/>
        </w:rPr>
        <w:t xml:space="preserve">Omni </w:t>
      </w:r>
      <w:r>
        <w:rPr>
          <w:szCs w:val="22"/>
        </w:rPr>
        <w:t xml:space="preserve">filed an application for construction permit to operate at its STA site, Site B, which </w:t>
      </w:r>
      <w:r w:rsidR="00917380">
        <w:rPr>
          <w:szCs w:val="22"/>
        </w:rPr>
        <w:t xml:space="preserve">the Bureau </w:t>
      </w:r>
      <w:r>
        <w:rPr>
          <w:szCs w:val="22"/>
        </w:rPr>
        <w:t>granted on July 28, 2017.</w:t>
      </w:r>
      <w:r>
        <w:rPr>
          <w:rStyle w:val="FootnoteReference"/>
          <w:szCs w:val="22"/>
        </w:rPr>
        <w:footnoteReference w:id="7"/>
      </w:r>
      <w:r>
        <w:rPr>
          <w:szCs w:val="22"/>
        </w:rPr>
        <w:t xml:space="preserve">  </w:t>
      </w:r>
      <w:r w:rsidR="00324FB1">
        <w:rPr>
          <w:szCs w:val="22"/>
        </w:rPr>
        <w:t xml:space="preserve">Omni </w:t>
      </w:r>
      <w:r>
        <w:rPr>
          <w:szCs w:val="22"/>
        </w:rPr>
        <w:t>never filed a covering license application for this construction permit.</w:t>
      </w:r>
      <w:r w:rsidR="007021AF">
        <w:rPr>
          <w:szCs w:val="22"/>
        </w:rPr>
        <w:t xml:space="preserve">  Consequently, Omni’s authorized site remained Site A.</w:t>
      </w:r>
      <w:r w:rsidR="001A2265">
        <w:rPr>
          <w:szCs w:val="22"/>
        </w:rPr>
        <w:t xml:space="preserve">  The record does not address where Omni operated from between June 1, 2016, and August 29, 2016, or whether Omni resolved its dispute with its landlord during this time.</w:t>
      </w:r>
    </w:p>
    <w:p w:rsidR="00EA2047" w:rsidP="004663C2" w14:paraId="36273F1E" w14:textId="5BA5AF39">
      <w:pPr>
        <w:spacing w:after="120"/>
        <w:ind w:firstLine="720"/>
        <w:rPr>
          <w:szCs w:val="22"/>
        </w:rPr>
      </w:pPr>
      <w:r>
        <w:rPr>
          <w:szCs w:val="22"/>
        </w:rPr>
        <w:t xml:space="preserve">On September 7, 2017, FCC Field inspectors observed the Station operating from an </w:t>
      </w:r>
      <w:r w:rsidRPr="00CE511B">
        <w:rPr>
          <w:szCs w:val="22"/>
        </w:rPr>
        <w:t>unauthorized location (Site C)</w:t>
      </w:r>
      <w:r>
        <w:rPr>
          <w:szCs w:val="22"/>
        </w:rPr>
        <w:t xml:space="preserve">, approximately 40 miles from the licensed site, Site A, and verified from staff on site that </w:t>
      </w:r>
      <w:r w:rsidR="00913357">
        <w:rPr>
          <w:szCs w:val="22"/>
        </w:rPr>
        <w:t xml:space="preserve">Omni </w:t>
      </w:r>
      <w:r>
        <w:rPr>
          <w:szCs w:val="22"/>
        </w:rPr>
        <w:t xml:space="preserve">was leasing space on the tower at that location to operate the Station.  </w:t>
      </w:r>
      <w:r w:rsidR="006C15D9">
        <w:rPr>
          <w:szCs w:val="22"/>
        </w:rPr>
        <w:t>Omni never sought Commission authorization to operate the Station from Site C.</w:t>
      </w:r>
    </w:p>
    <w:p w:rsidR="00516223" w:rsidP="004663C2" w14:paraId="494D143C" w14:textId="534BE4F2">
      <w:pPr>
        <w:spacing w:after="120"/>
        <w:ind w:firstLine="720"/>
        <w:rPr>
          <w:szCs w:val="22"/>
        </w:rPr>
      </w:pPr>
      <w:r>
        <w:rPr>
          <w:szCs w:val="22"/>
        </w:rPr>
        <w:t xml:space="preserve">On </w:t>
      </w:r>
      <w:r w:rsidR="00014245">
        <w:rPr>
          <w:szCs w:val="22"/>
        </w:rPr>
        <w:t xml:space="preserve">October 25, 2019, </w:t>
      </w:r>
      <w:r w:rsidR="006E38C4">
        <w:rPr>
          <w:szCs w:val="22"/>
        </w:rPr>
        <w:t>Omni filed an application for renewal of the license for the Station.</w:t>
      </w:r>
      <w:r>
        <w:rPr>
          <w:rStyle w:val="FootnoteReference"/>
          <w:szCs w:val="22"/>
        </w:rPr>
        <w:footnoteReference w:id="8"/>
      </w:r>
      <w:r w:rsidR="00AF338C">
        <w:rPr>
          <w:szCs w:val="22"/>
        </w:rPr>
        <w:t xml:space="preserve">  In that application, Omni inaccurately answered </w:t>
      </w:r>
      <w:r w:rsidR="000A3F27">
        <w:rPr>
          <w:szCs w:val="22"/>
        </w:rPr>
        <w:t>“Yes” to certifications that the Station</w:t>
      </w:r>
      <w:r w:rsidR="007A17AE">
        <w:rPr>
          <w:szCs w:val="22"/>
        </w:rPr>
        <w:t>’s operations had not violated the Act or the Commission’s rules (Rules).</w:t>
      </w:r>
      <w:r>
        <w:rPr>
          <w:rStyle w:val="FootnoteReference"/>
          <w:szCs w:val="22"/>
        </w:rPr>
        <w:footnoteReference w:id="9"/>
      </w:r>
    </w:p>
    <w:p w:rsidR="00EA2047" w:rsidP="004663C2" w14:paraId="1AAD3D50" w14:textId="4A500B40">
      <w:pPr>
        <w:spacing w:after="120"/>
        <w:rPr>
          <w:szCs w:val="22"/>
        </w:rPr>
      </w:pPr>
      <w:r>
        <w:rPr>
          <w:szCs w:val="22"/>
        </w:rPr>
        <w:t xml:space="preserve"> </w:t>
      </w:r>
      <w:r w:rsidR="004A26ED">
        <w:rPr>
          <w:szCs w:val="22"/>
        </w:rPr>
        <w:tab/>
      </w:r>
      <w:r>
        <w:rPr>
          <w:szCs w:val="22"/>
        </w:rPr>
        <w:t xml:space="preserve">On October </w:t>
      </w:r>
      <w:r w:rsidRPr="00CE511B">
        <w:rPr>
          <w:szCs w:val="22"/>
        </w:rPr>
        <w:t xml:space="preserve">13, 2020, </w:t>
      </w:r>
      <w:r w:rsidR="00324FB1">
        <w:rPr>
          <w:szCs w:val="22"/>
        </w:rPr>
        <w:t xml:space="preserve">Omni </w:t>
      </w:r>
      <w:r w:rsidRPr="00CE511B">
        <w:rPr>
          <w:szCs w:val="22"/>
        </w:rPr>
        <w:t xml:space="preserve">filed an application for </w:t>
      </w:r>
      <w:r w:rsidR="004A26ED">
        <w:rPr>
          <w:szCs w:val="22"/>
        </w:rPr>
        <w:t xml:space="preserve">a </w:t>
      </w:r>
      <w:r w:rsidRPr="00CE511B">
        <w:rPr>
          <w:szCs w:val="22"/>
        </w:rPr>
        <w:t>construction permit specifying a new community of license and transmitter site (Site D).</w:t>
      </w:r>
      <w:r>
        <w:rPr>
          <w:rStyle w:val="FootnoteReference"/>
          <w:szCs w:val="22"/>
        </w:rPr>
        <w:footnoteReference w:id="10"/>
      </w:r>
      <w:r>
        <w:rPr>
          <w:szCs w:val="22"/>
        </w:rPr>
        <w:t xml:space="preserve">  </w:t>
      </w:r>
      <w:r w:rsidRPr="00CE511B">
        <w:rPr>
          <w:szCs w:val="22"/>
        </w:rPr>
        <w:t xml:space="preserve">On August 12, 2021, </w:t>
      </w:r>
      <w:r w:rsidR="00324FB1">
        <w:rPr>
          <w:szCs w:val="22"/>
        </w:rPr>
        <w:t xml:space="preserve">Omni </w:t>
      </w:r>
      <w:r w:rsidRPr="00CE511B">
        <w:rPr>
          <w:szCs w:val="22"/>
        </w:rPr>
        <w:t>requested silent STA, stating that it had lost the temporary Site B, from which it had been operating as of that date.</w:t>
      </w:r>
      <w:r>
        <w:rPr>
          <w:rStyle w:val="FootnoteReference"/>
          <w:szCs w:val="22"/>
        </w:rPr>
        <w:footnoteReference w:id="11"/>
      </w:r>
      <w:r w:rsidRPr="00CE511B">
        <w:rPr>
          <w:szCs w:val="22"/>
        </w:rPr>
        <w:t xml:space="preserve">  On September 13, 2021, </w:t>
      </w:r>
      <w:r w:rsidR="00324FB1">
        <w:rPr>
          <w:szCs w:val="22"/>
        </w:rPr>
        <w:t xml:space="preserve">Omni </w:t>
      </w:r>
      <w:r w:rsidRPr="00CE511B">
        <w:rPr>
          <w:szCs w:val="22"/>
        </w:rPr>
        <w:t>requested STA to operate from Site D.</w:t>
      </w:r>
      <w:r>
        <w:rPr>
          <w:rStyle w:val="FootnoteReference"/>
          <w:szCs w:val="22"/>
        </w:rPr>
        <w:footnoteReference w:id="12"/>
      </w:r>
      <w:r w:rsidRPr="00CE511B">
        <w:rPr>
          <w:szCs w:val="22"/>
        </w:rPr>
        <w:t xml:space="preserve">  </w:t>
      </w:r>
      <w:r w:rsidR="00EB7478">
        <w:rPr>
          <w:szCs w:val="22"/>
        </w:rPr>
        <w:t>None of these a</w:t>
      </w:r>
      <w:r w:rsidR="00115B01">
        <w:rPr>
          <w:szCs w:val="22"/>
        </w:rPr>
        <w:t xml:space="preserve">pplications disclosed to the Bureau Omni’s operation at Site C or the FCC field inspectors’ visit to the Station.  Because the Bureau remained unaware of </w:t>
      </w:r>
      <w:r w:rsidR="0085656C">
        <w:rPr>
          <w:szCs w:val="22"/>
        </w:rPr>
        <w:t>Omni’s operation at Site C</w:t>
      </w:r>
      <w:r w:rsidR="00980DA1">
        <w:rPr>
          <w:szCs w:val="22"/>
        </w:rPr>
        <w:t xml:space="preserve"> and the FCC field inspectors’ interactions with the Station, the Bureau routinely processed </w:t>
      </w:r>
      <w:r w:rsidR="00960C1D">
        <w:rPr>
          <w:szCs w:val="22"/>
        </w:rPr>
        <w:t>Omni’s request, and</w:t>
      </w:r>
      <w:r w:rsidR="0085656C">
        <w:rPr>
          <w:szCs w:val="22"/>
        </w:rPr>
        <w:t xml:space="preserve"> o</w:t>
      </w:r>
      <w:r w:rsidRPr="00CE511B">
        <w:rPr>
          <w:szCs w:val="22"/>
        </w:rPr>
        <w:t xml:space="preserve">n October 20, 2021, </w:t>
      </w:r>
      <w:r w:rsidR="004B0220">
        <w:rPr>
          <w:szCs w:val="22"/>
        </w:rPr>
        <w:t>the Bureau</w:t>
      </w:r>
      <w:r w:rsidRPr="00CE511B">
        <w:rPr>
          <w:szCs w:val="22"/>
        </w:rPr>
        <w:t xml:space="preserve"> granted the STA, expiring August 13, 2022.  On August 11, 2022, </w:t>
      </w:r>
      <w:r w:rsidR="00324FB1">
        <w:rPr>
          <w:szCs w:val="22"/>
        </w:rPr>
        <w:t xml:space="preserve">Omni </w:t>
      </w:r>
      <w:r w:rsidRPr="00CE511B">
        <w:rPr>
          <w:szCs w:val="22"/>
        </w:rPr>
        <w:t>filed a notice of resumption of operations, stating that it had resumed “operations on the tower authorized by the current license [</w:t>
      </w:r>
      <w:r w:rsidRPr="00CE511B">
        <w:rPr>
          <w:i/>
          <w:iCs/>
          <w:szCs w:val="22"/>
        </w:rPr>
        <w:t>i.e.</w:t>
      </w:r>
      <w:r w:rsidRPr="00CE511B">
        <w:rPr>
          <w:szCs w:val="22"/>
        </w:rPr>
        <w:t>, Site A].”</w:t>
      </w:r>
      <w:r>
        <w:rPr>
          <w:rStyle w:val="FootnoteReference"/>
          <w:szCs w:val="22"/>
        </w:rPr>
        <w:footnoteReference w:id="13"/>
      </w:r>
      <w:r w:rsidRPr="00CE511B">
        <w:rPr>
          <w:szCs w:val="22"/>
        </w:rPr>
        <w:t xml:space="preserve">  </w:t>
      </w:r>
      <w:r w:rsidR="00324FB1">
        <w:rPr>
          <w:szCs w:val="22"/>
        </w:rPr>
        <w:t xml:space="preserve">Omni </w:t>
      </w:r>
      <w:r w:rsidRPr="00CE511B">
        <w:rPr>
          <w:szCs w:val="22"/>
        </w:rPr>
        <w:t>also filed a reduced power notification which stated the Station was operating from its licensed site, Site A.</w:t>
      </w:r>
      <w:r>
        <w:rPr>
          <w:rStyle w:val="FootnoteReference"/>
          <w:szCs w:val="22"/>
        </w:rPr>
        <w:footnoteReference w:id="14"/>
      </w:r>
      <w:r w:rsidRPr="00CE511B">
        <w:rPr>
          <w:szCs w:val="22"/>
        </w:rPr>
        <w:t xml:space="preserve">  On September 9, 2022, </w:t>
      </w:r>
      <w:r w:rsidR="00913357">
        <w:rPr>
          <w:szCs w:val="22"/>
        </w:rPr>
        <w:t xml:space="preserve">Omni </w:t>
      </w:r>
      <w:r w:rsidRPr="00CE511B">
        <w:rPr>
          <w:szCs w:val="22"/>
        </w:rPr>
        <w:t xml:space="preserve">filed an amendment to the 2021 Engineering STA to </w:t>
      </w:r>
      <w:r w:rsidR="00B833A2">
        <w:rPr>
          <w:szCs w:val="22"/>
        </w:rPr>
        <w:t xml:space="preserve">move from Site D to </w:t>
      </w:r>
      <w:r w:rsidRPr="00CE511B">
        <w:rPr>
          <w:szCs w:val="22"/>
        </w:rPr>
        <w:t>an alternate location (Site E) at</w:t>
      </w:r>
      <w:r>
        <w:rPr>
          <w:szCs w:val="22"/>
        </w:rPr>
        <w:t xml:space="preserve"> reduced power because the Site A facility </w:t>
      </w:r>
      <w:r w:rsidR="00784903">
        <w:rPr>
          <w:szCs w:val="22"/>
        </w:rPr>
        <w:t xml:space="preserve">was </w:t>
      </w:r>
      <w:r>
        <w:rPr>
          <w:szCs w:val="22"/>
        </w:rPr>
        <w:t>unavailable for long term operations.</w:t>
      </w:r>
      <w:r>
        <w:rPr>
          <w:rStyle w:val="FootnoteReference"/>
          <w:szCs w:val="22"/>
        </w:rPr>
        <w:footnoteReference w:id="15"/>
      </w:r>
      <w:r>
        <w:rPr>
          <w:szCs w:val="22"/>
        </w:rPr>
        <w:t xml:space="preserve">  On March 9, 2023, </w:t>
      </w:r>
      <w:r w:rsidR="00913357">
        <w:rPr>
          <w:szCs w:val="22"/>
        </w:rPr>
        <w:t xml:space="preserve">Omni </w:t>
      </w:r>
      <w:r>
        <w:rPr>
          <w:szCs w:val="22"/>
        </w:rPr>
        <w:t xml:space="preserve">filed </w:t>
      </w:r>
      <w:r w:rsidR="004A26ED">
        <w:rPr>
          <w:szCs w:val="22"/>
        </w:rPr>
        <w:t xml:space="preserve">an application to assign the Station’s license to </w:t>
      </w:r>
      <w:r w:rsidR="00876E17">
        <w:rPr>
          <w:szCs w:val="22"/>
        </w:rPr>
        <w:t>Divine Word Communications</w:t>
      </w:r>
      <w:r w:rsidR="004A26ED">
        <w:rPr>
          <w:szCs w:val="22"/>
        </w:rPr>
        <w:t>.</w:t>
      </w:r>
      <w:r>
        <w:rPr>
          <w:rStyle w:val="FootnoteReference"/>
          <w:szCs w:val="22"/>
        </w:rPr>
        <w:footnoteReference w:id="16"/>
      </w:r>
      <w:r>
        <w:rPr>
          <w:szCs w:val="22"/>
        </w:rPr>
        <w:t xml:space="preserve">  </w:t>
      </w:r>
    </w:p>
    <w:p w:rsidR="00EA2047" w:rsidP="004663C2" w14:paraId="7BBCACF8" w14:textId="74BDBED2">
      <w:pPr>
        <w:spacing w:after="120"/>
        <w:ind w:firstLine="720"/>
        <w:rPr>
          <w:szCs w:val="22"/>
        </w:rPr>
      </w:pPr>
      <w:r>
        <w:rPr>
          <w:szCs w:val="22"/>
        </w:rPr>
        <w:t xml:space="preserve">After the </w:t>
      </w:r>
      <w:r w:rsidR="009E6DB8">
        <w:rPr>
          <w:szCs w:val="22"/>
        </w:rPr>
        <w:t xml:space="preserve">Bureau became aware of the Station’s </w:t>
      </w:r>
      <w:r>
        <w:rPr>
          <w:szCs w:val="22"/>
        </w:rPr>
        <w:t xml:space="preserve">operational history, the Bureau determined that the Station may have been silent or operating with unauthorized facilities for more than one year, specifically from June 1, 2016 to June 1, 2017.  Accordingly, the Bureau issued </w:t>
      </w:r>
      <w:r w:rsidR="00401CD3">
        <w:rPr>
          <w:szCs w:val="22"/>
        </w:rPr>
        <w:t>a Letter of Inquiry (</w:t>
      </w:r>
      <w:r w:rsidRPr="00876E17" w:rsidR="00401CD3">
        <w:rPr>
          <w:i/>
          <w:iCs/>
          <w:szCs w:val="22"/>
        </w:rPr>
        <w:t>LOI</w:t>
      </w:r>
      <w:r w:rsidR="00401CD3">
        <w:rPr>
          <w:szCs w:val="22"/>
        </w:rPr>
        <w:t>)</w:t>
      </w:r>
      <w:r w:rsidRPr="004F068C">
        <w:rPr>
          <w:szCs w:val="22"/>
        </w:rPr>
        <w:t xml:space="preserve"> </w:t>
      </w:r>
      <w:r>
        <w:rPr>
          <w:szCs w:val="22"/>
        </w:rPr>
        <w:t>on April 6, 2022,</w:t>
      </w:r>
      <w:r>
        <w:rPr>
          <w:rStyle w:val="FootnoteReference"/>
          <w:szCs w:val="22"/>
        </w:rPr>
        <w:footnoteReference w:id="17"/>
      </w:r>
      <w:r>
        <w:rPr>
          <w:szCs w:val="22"/>
        </w:rPr>
        <w:t xml:space="preserve"> </w:t>
      </w:r>
      <w:r w:rsidRPr="004F068C">
        <w:rPr>
          <w:szCs w:val="22"/>
        </w:rPr>
        <w:t xml:space="preserve">to evaluate </w:t>
      </w:r>
      <w:r>
        <w:rPr>
          <w:szCs w:val="22"/>
        </w:rPr>
        <w:t>whether the Station was silent or operating with unauthorized facilities for more than one year</w:t>
      </w:r>
      <w:r w:rsidRPr="004F068C">
        <w:rPr>
          <w:szCs w:val="22"/>
        </w:rPr>
        <w:t xml:space="preserve">, </w:t>
      </w:r>
      <w:r>
        <w:rPr>
          <w:szCs w:val="22"/>
        </w:rPr>
        <w:t>in</w:t>
      </w:r>
      <w:r w:rsidRPr="004F068C">
        <w:rPr>
          <w:szCs w:val="22"/>
        </w:rPr>
        <w:t xml:space="preserve"> violation of section 312(g)</w:t>
      </w:r>
      <w:r>
        <w:rPr>
          <w:szCs w:val="22"/>
        </w:rPr>
        <w:t xml:space="preserve"> of the Act</w:t>
      </w:r>
      <w:r w:rsidRPr="004F068C">
        <w:rPr>
          <w:szCs w:val="22"/>
        </w:rPr>
        <w:t xml:space="preserve">. </w:t>
      </w:r>
    </w:p>
    <w:p w:rsidR="00EA2047" w:rsidRPr="00F70009" w:rsidP="004663C2" w14:paraId="341CE0C0" w14:textId="76B15808">
      <w:pPr>
        <w:spacing w:after="120"/>
        <w:ind w:firstLine="720"/>
        <w:rPr>
          <w:szCs w:val="22"/>
        </w:rPr>
      </w:pPr>
      <w:r>
        <w:rPr>
          <w:szCs w:val="22"/>
        </w:rPr>
        <w:t xml:space="preserve">Specifically, the Bureau requested:  1) </w:t>
      </w:r>
      <w:r w:rsidRPr="00A54AEC">
        <w:rPr>
          <w:szCs w:val="22"/>
        </w:rPr>
        <w:t>the location, effective radiated power and antenna height above ground level for all periods of operation from June 2, 2016, to the present</w:t>
      </w:r>
      <w:r>
        <w:rPr>
          <w:szCs w:val="22"/>
        </w:rPr>
        <w:t xml:space="preserve">; 2) </w:t>
      </w:r>
      <w:r w:rsidRPr="00A54AEC">
        <w:rPr>
          <w:szCs w:val="22"/>
        </w:rPr>
        <w:t xml:space="preserve">copies of all leases, personnel records (including payroll records appropriately redacted to protect the privacy of individual employees), engineering records, and station records, including </w:t>
      </w:r>
      <w:r>
        <w:rPr>
          <w:szCs w:val="22"/>
        </w:rPr>
        <w:t>Emergency Alert System (</w:t>
      </w:r>
      <w:r w:rsidRPr="00A54AEC">
        <w:rPr>
          <w:szCs w:val="22"/>
        </w:rPr>
        <w:t>EAS</w:t>
      </w:r>
      <w:r>
        <w:rPr>
          <w:szCs w:val="22"/>
        </w:rPr>
        <w:t>)</w:t>
      </w:r>
      <w:r w:rsidRPr="00A54AEC">
        <w:rPr>
          <w:szCs w:val="22"/>
        </w:rPr>
        <w:t xml:space="preserve"> logs, and all correspondence (including emails and text messages) relating to the Station</w:t>
      </w:r>
      <w:r>
        <w:rPr>
          <w:szCs w:val="22"/>
        </w:rPr>
        <w:t xml:space="preserve"> since June 2, 2016; 3) </w:t>
      </w:r>
      <w:r w:rsidRPr="00A54AEC">
        <w:rPr>
          <w:szCs w:val="22"/>
        </w:rPr>
        <w:t>invoices, bills, checks written or received, credit card charges, wire transfers or deposits of funds</w:t>
      </w:r>
      <w:r>
        <w:rPr>
          <w:szCs w:val="22"/>
        </w:rPr>
        <w:t xml:space="preserve">, and </w:t>
      </w:r>
      <w:r>
        <w:rPr>
          <w:szCs w:val="22"/>
        </w:rPr>
        <w:t>accounting software records</w:t>
      </w:r>
      <w:r w:rsidRPr="00A54AEC">
        <w:rPr>
          <w:szCs w:val="22"/>
        </w:rPr>
        <w:t xml:space="preserve"> relating to the Station’s operation</w:t>
      </w:r>
      <w:r>
        <w:rPr>
          <w:szCs w:val="22"/>
        </w:rPr>
        <w:t xml:space="preserve"> since June 2, 2016; and 4) </w:t>
      </w:r>
      <w:r w:rsidRPr="00A54AEC">
        <w:rPr>
          <w:szCs w:val="22"/>
        </w:rPr>
        <w:t xml:space="preserve">pictures of the Station’s studio facilities and transmission facilities </w:t>
      </w:r>
      <w:r>
        <w:rPr>
          <w:szCs w:val="22"/>
        </w:rPr>
        <w:t>since June 2, 2016</w:t>
      </w:r>
      <w:r w:rsidRPr="00A54AEC">
        <w:rPr>
          <w:szCs w:val="22"/>
        </w:rPr>
        <w:t>, and provide exact coordinates for th</w:t>
      </w:r>
      <w:r>
        <w:rPr>
          <w:szCs w:val="22"/>
        </w:rPr>
        <w:t xml:space="preserve">e </w:t>
      </w:r>
      <w:r w:rsidRPr="00A54AEC">
        <w:rPr>
          <w:szCs w:val="22"/>
        </w:rPr>
        <w:t>Station’s transmitter site</w:t>
      </w:r>
      <w:r>
        <w:rPr>
          <w:szCs w:val="22"/>
        </w:rPr>
        <w:t xml:space="preserve">.  </w:t>
      </w:r>
    </w:p>
    <w:p w:rsidR="00EA2047" w:rsidP="00B90F78" w14:paraId="039D2D62" w14:textId="6537DF99">
      <w:pPr>
        <w:spacing w:after="120"/>
        <w:rPr>
          <w:szCs w:val="22"/>
        </w:rPr>
      </w:pPr>
      <w:r w:rsidRPr="004F068C">
        <w:rPr>
          <w:szCs w:val="22"/>
        </w:rPr>
        <w:tab/>
      </w:r>
      <w:r>
        <w:rPr>
          <w:szCs w:val="22"/>
        </w:rPr>
        <w:t>On</w:t>
      </w:r>
      <w:r w:rsidRPr="004F068C">
        <w:rPr>
          <w:szCs w:val="22"/>
        </w:rPr>
        <w:t xml:space="preserve"> </w:t>
      </w:r>
      <w:r>
        <w:rPr>
          <w:szCs w:val="22"/>
        </w:rPr>
        <w:t>May 16</w:t>
      </w:r>
      <w:r w:rsidRPr="004F068C">
        <w:rPr>
          <w:szCs w:val="22"/>
        </w:rPr>
        <w:t>, 202</w:t>
      </w:r>
      <w:r>
        <w:rPr>
          <w:szCs w:val="22"/>
        </w:rPr>
        <w:t>2</w:t>
      </w:r>
      <w:r w:rsidRPr="004F068C">
        <w:rPr>
          <w:szCs w:val="22"/>
        </w:rPr>
        <w:t xml:space="preserve">, </w:t>
      </w:r>
      <w:r w:rsidR="00324FB1">
        <w:rPr>
          <w:szCs w:val="22"/>
        </w:rPr>
        <w:t xml:space="preserve">Omni </w:t>
      </w:r>
      <w:r w:rsidRPr="004F068C">
        <w:rPr>
          <w:szCs w:val="22"/>
        </w:rPr>
        <w:t xml:space="preserve">submitted a written response </w:t>
      </w:r>
      <w:r w:rsidR="00B90F78">
        <w:rPr>
          <w:szCs w:val="22"/>
        </w:rPr>
        <w:t xml:space="preserve">to the </w:t>
      </w:r>
      <w:r w:rsidR="00B90F78">
        <w:rPr>
          <w:i/>
          <w:iCs/>
          <w:szCs w:val="22"/>
        </w:rPr>
        <w:t xml:space="preserve">LOI </w:t>
      </w:r>
      <w:r w:rsidRPr="004F068C">
        <w:rPr>
          <w:szCs w:val="22"/>
        </w:rPr>
        <w:t>and supporting documentation</w:t>
      </w:r>
      <w:r>
        <w:rPr>
          <w:szCs w:val="22"/>
        </w:rPr>
        <w:t>.</w:t>
      </w:r>
      <w:r>
        <w:rPr>
          <w:rStyle w:val="FootnoteReference"/>
          <w:szCs w:val="22"/>
        </w:rPr>
        <w:footnoteReference w:id="18"/>
      </w:r>
      <w:r w:rsidRPr="004F068C">
        <w:rPr>
          <w:szCs w:val="22"/>
        </w:rPr>
        <w:t xml:space="preserve">  </w:t>
      </w:r>
      <w:r w:rsidR="00913357">
        <w:rPr>
          <w:szCs w:val="22"/>
        </w:rPr>
        <w:t xml:space="preserve">Omni </w:t>
      </w:r>
      <w:r>
        <w:rPr>
          <w:szCs w:val="22"/>
        </w:rPr>
        <w:t>also submitted a supplemental response on May 31, 2022.</w:t>
      </w:r>
      <w:r>
        <w:rPr>
          <w:rStyle w:val="FootnoteReference"/>
          <w:szCs w:val="22"/>
        </w:rPr>
        <w:footnoteReference w:id="19"/>
      </w:r>
      <w:r>
        <w:rPr>
          <w:szCs w:val="22"/>
        </w:rPr>
        <w:t xml:space="preserve">  In the LOI Response, </w:t>
      </w:r>
      <w:r w:rsidR="00324FB1">
        <w:rPr>
          <w:szCs w:val="22"/>
        </w:rPr>
        <w:t xml:space="preserve">Omni </w:t>
      </w:r>
      <w:r>
        <w:rPr>
          <w:szCs w:val="22"/>
        </w:rPr>
        <w:t>state</w:t>
      </w:r>
      <w:r w:rsidR="00324FB1">
        <w:rPr>
          <w:szCs w:val="22"/>
        </w:rPr>
        <w:t>d</w:t>
      </w:r>
      <w:r w:rsidRPr="008B0719">
        <w:rPr>
          <w:szCs w:val="22"/>
        </w:rPr>
        <w:t xml:space="preserve"> that due to extreme hardship, including the regional economy and natural disaster</w:t>
      </w:r>
      <w:r>
        <w:rPr>
          <w:szCs w:val="22"/>
        </w:rPr>
        <w:t>s, it was required to file a series of STAs</w:t>
      </w:r>
      <w:r w:rsidRPr="008B0719">
        <w:rPr>
          <w:szCs w:val="22"/>
        </w:rPr>
        <w:t xml:space="preserve">.  Specifically, </w:t>
      </w:r>
      <w:r w:rsidR="00324FB1">
        <w:rPr>
          <w:szCs w:val="22"/>
        </w:rPr>
        <w:t xml:space="preserve">Omni </w:t>
      </w:r>
      <w:r w:rsidR="00AA3D6D">
        <w:rPr>
          <w:szCs w:val="22"/>
        </w:rPr>
        <w:t>admitted</w:t>
      </w:r>
      <w:r w:rsidRPr="008B0719" w:rsidR="00AA3D6D">
        <w:rPr>
          <w:szCs w:val="22"/>
        </w:rPr>
        <w:t xml:space="preserve"> </w:t>
      </w:r>
      <w:r w:rsidRPr="008B0719">
        <w:rPr>
          <w:szCs w:val="22"/>
        </w:rPr>
        <w:t>that:</w:t>
      </w:r>
      <w:r w:rsidRPr="004F068C">
        <w:rPr>
          <w:szCs w:val="22"/>
        </w:rPr>
        <w:t xml:space="preserve">  1) </w:t>
      </w:r>
      <w:r w:rsidR="00AA3D6D">
        <w:rPr>
          <w:szCs w:val="22"/>
        </w:rPr>
        <w:t xml:space="preserve">although </w:t>
      </w:r>
      <w:r>
        <w:rPr>
          <w:szCs w:val="22"/>
        </w:rPr>
        <w:t>it made a good faith effort to maintain the Station, at times has not been “within the Standards of Good Engineering Practice;”</w:t>
      </w:r>
      <w:r>
        <w:rPr>
          <w:rStyle w:val="FootnoteReference"/>
          <w:szCs w:val="22"/>
        </w:rPr>
        <w:footnoteReference w:id="20"/>
      </w:r>
      <w:r>
        <w:rPr>
          <w:szCs w:val="22"/>
        </w:rPr>
        <w:t xml:space="preserve"> </w:t>
      </w:r>
      <w:r w:rsidR="00AA3D6D">
        <w:rPr>
          <w:szCs w:val="22"/>
        </w:rPr>
        <w:t xml:space="preserve">and </w:t>
      </w:r>
      <w:r>
        <w:rPr>
          <w:szCs w:val="22"/>
        </w:rPr>
        <w:t xml:space="preserve">2) administrative mistakes were made, including failure to adhere to legal and technical requirements and </w:t>
      </w:r>
      <w:r w:rsidR="00B833A2">
        <w:rPr>
          <w:szCs w:val="22"/>
        </w:rPr>
        <w:t xml:space="preserve">to file </w:t>
      </w:r>
      <w:r>
        <w:rPr>
          <w:szCs w:val="22"/>
        </w:rPr>
        <w:t>notifications</w:t>
      </w:r>
      <w:r w:rsidR="00AA3D6D">
        <w:rPr>
          <w:szCs w:val="22"/>
        </w:rPr>
        <w:t>.</w:t>
      </w:r>
      <w:r>
        <w:rPr>
          <w:rStyle w:val="FootnoteReference"/>
          <w:szCs w:val="22"/>
        </w:rPr>
        <w:footnoteReference w:id="21"/>
      </w:r>
      <w:r w:rsidR="00672263">
        <w:rPr>
          <w:szCs w:val="22"/>
        </w:rPr>
        <w:t xml:space="preserve">  Omni also claimed</w:t>
      </w:r>
      <w:r w:rsidRPr="00BE667D">
        <w:rPr>
          <w:szCs w:val="22"/>
        </w:rPr>
        <w:t xml:space="preserve"> operational delays were due to </w:t>
      </w:r>
      <w:r w:rsidR="00672263">
        <w:rPr>
          <w:szCs w:val="22"/>
        </w:rPr>
        <w:t xml:space="preserve">what it characterized as </w:t>
      </w:r>
      <w:r w:rsidRPr="00BE667D">
        <w:rPr>
          <w:szCs w:val="22"/>
        </w:rPr>
        <w:t>the Bureau’s slow processing of applications during the COVID-19 pandemic</w:t>
      </w:r>
      <w:r w:rsidR="00672263">
        <w:rPr>
          <w:szCs w:val="22"/>
        </w:rPr>
        <w:t xml:space="preserve">, however, Omni failed to </w:t>
      </w:r>
      <w:r w:rsidR="00C06E48">
        <w:rPr>
          <w:szCs w:val="22"/>
        </w:rPr>
        <w:t>identify any specific Commission delay or how any delay impacted its operations</w:t>
      </w:r>
      <w:r w:rsidRPr="002F7CA8">
        <w:rPr>
          <w:szCs w:val="22"/>
        </w:rPr>
        <w:t>.</w:t>
      </w:r>
      <w:r>
        <w:rPr>
          <w:rStyle w:val="FootnoteReference"/>
          <w:szCs w:val="22"/>
        </w:rPr>
        <w:footnoteReference w:id="22"/>
      </w:r>
    </w:p>
    <w:p w:rsidR="001C444E" w:rsidP="00876E17" w14:paraId="20B2C434" w14:textId="6932BC38">
      <w:pPr>
        <w:spacing w:after="120"/>
        <w:ind w:firstLine="720"/>
        <w:rPr>
          <w:szCs w:val="22"/>
        </w:rPr>
      </w:pPr>
      <w:r>
        <w:rPr>
          <w:szCs w:val="22"/>
        </w:rPr>
        <w:t xml:space="preserve">In support of its claims, </w:t>
      </w:r>
      <w:r w:rsidR="00324FB1">
        <w:rPr>
          <w:szCs w:val="22"/>
        </w:rPr>
        <w:t xml:space="preserve">Omni </w:t>
      </w:r>
      <w:r>
        <w:rPr>
          <w:szCs w:val="22"/>
        </w:rPr>
        <w:t>submitted</w:t>
      </w:r>
      <w:r>
        <w:rPr>
          <w:szCs w:val="22"/>
        </w:rPr>
        <w:t xml:space="preserve"> declarations signed under penalty of perjury from Jennifer F. Hale, Managing Member of Omni Broadcasting, LLC</w:t>
      </w:r>
      <w:r w:rsidR="00B833A2">
        <w:rPr>
          <w:szCs w:val="22"/>
        </w:rPr>
        <w:t>,</w:t>
      </w:r>
      <w:r>
        <w:rPr>
          <w:szCs w:val="22"/>
        </w:rPr>
        <w:t xml:space="preserve"> and Jim Turvaville, engineer and consultant, and a declaration from Bryan A. Covey, engineer and consultant.  </w:t>
      </w:r>
      <w:r w:rsidR="00324FB1">
        <w:rPr>
          <w:szCs w:val="22"/>
        </w:rPr>
        <w:t xml:space="preserve">Omni </w:t>
      </w:r>
      <w:r>
        <w:rPr>
          <w:szCs w:val="22"/>
        </w:rPr>
        <w:t>also submit</w:t>
      </w:r>
      <w:r>
        <w:rPr>
          <w:szCs w:val="22"/>
        </w:rPr>
        <w:t>ted</w:t>
      </w:r>
      <w:r>
        <w:rPr>
          <w:szCs w:val="22"/>
        </w:rPr>
        <w:t xml:space="preserve"> certain tower lease agreements, engineering invoices, monthly expenses for Omni Broadcasting, LLC, and photographs of destruction at the original licensed site.</w:t>
      </w:r>
      <w:r>
        <w:rPr>
          <w:rStyle w:val="FootnoteReference"/>
          <w:szCs w:val="22"/>
        </w:rPr>
        <w:footnoteReference w:id="23"/>
      </w:r>
      <w:r>
        <w:rPr>
          <w:szCs w:val="22"/>
        </w:rPr>
        <w:t xml:space="preserve"> </w:t>
      </w:r>
    </w:p>
    <w:p w:rsidR="0074667C" w:rsidRPr="00E50F08" w:rsidP="004663C2" w14:paraId="46825DED" w14:textId="49F61767">
      <w:pPr>
        <w:spacing w:after="120"/>
        <w:rPr>
          <w:szCs w:val="22"/>
        </w:rPr>
      </w:pPr>
      <w:r>
        <w:rPr>
          <w:szCs w:val="22"/>
        </w:rPr>
        <w:tab/>
      </w:r>
      <w:r w:rsidRPr="00A42746">
        <w:rPr>
          <w:szCs w:val="22"/>
        </w:rPr>
        <w:t xml:space="preserve">In the </w:t>
      </w:r>
      <w:r w:rsidRPr="00A42746">
        <w:rPr>
          <w:i/>
          <w:iCs/>
          <w:szCs w:val="22"/>
        </w:rPr>
        <w:t>Letter Decision</w:t>
      </w:r>
      <w:r>
        <w:rPr>
          <w:szCs w:val="22"/>
        </w:rPr>
        <w:t xml:space="preserve">, </w:t>
      </w:r>
      <w:r w:rsidR="00AD1E51">
        <w:rPr>
          <w:szCs w:val="22"/>
        </w:rPr>
        <w:t xml:space="preserve">the Bureau </w:t>
      </w:r>
      <w:r w:rsidR="002B70ED">
        <w:rPr>
          <w:szCs w:val="22"/>
        </w:rPr>
        <w:t>held</w:t>
      </w:r>
      <w:r w:rsidR="00A42746">
        <w:rPr>
          <w:szCs w:val="22"/>
        </w:rPr>
        <w:t xml:space="preserve"> that t</w:t>
      </w:r>
      <w:r w:rsidRPr="003B32D5" w:rsidR="00A42746">
        <w:rPr>
          <w:szCs w:val="22"/>
        </w:rPr>
        <w:t xml:space="preserve">he </w:t>
      </w:r>
      <w:r w:rsidR="00A42746">
        <w:rPr>
          <w:szCs w:val="22"/>
        </w:rPr>
        <w:t>Station failed to operate from an authorized site for at least a “consecutive twelve-month” period, from June 1, 2016, when the 2015 Engineering STA to operate at a temporary facility expired, through June 1, 2017, during which the Station failed to operate from its authorized site for one year,</w:t>
      </w:r>
      <w:r w:rsidRPr="003B32D5" w:rsidR="00A42746">
        <w:rPr>
          <w:szCs w:val="22"/>
        </w:rPr>
        <w:t xml:space="preserve"> </w:t>
      </w:r>
      <w:r w:rsidR="00A42746">
        <w:rPr>
          <w:szCs w:val="22"/>
        </w:rPr>
        <w:t>warranting automatic license expiration pursuant to section 312(g) of the Act.</w:t>
      </w:r>
      <w:r>
        <w:rPr>
          <w:rStyle w:val="FootnoteReference"/>
          <w:szCs w:val="22"/>
        </w:rPr>
        <w:footnoteReference w:id="24"/>
      </w:r>
      <w:r w:rsidR="00A42746">
        <w:rPr>
          <w:szCs w:val="22"/>
        </w:rPr>
        <w:t xml:space="preserve"> </w:t>
      </w:r>
      <w:r w:rsidRPr="003B32D5" w:rsidR="00A42746">
        <w:rPr>
          <w:szCs w:val="22"/>
        </w:rPr>
        <w:t xml:space="preserve"> </w:t>
      </w:r>
      <w:r w:rsidR="002E4376">
        <w:rPr>
          <w:szCs w:val="22"/>
        </w:rPr>
        <w:t>As a separate and independent basis for dismissing the</w:t>
      </w:r>
      <w:r w:rsidR="005F2920">
        <w:rPr>
          <w:szCs w:val="22"/>
        </w:rPr>
        <w:t xml:space="preserve"> pending</w:t>
      </w:r>
      <w:r w:rsidR="002E4376">
        <w:rPr>
          <w:szCs w:val="22"/>
        </w:rPr>
        <w:t xml:space="preserve"> applications</w:t>
      </w:r>
      <w:r w:rsidRPr="007F6F86" w:rsidR="002E4376">
        <w:rPr>
          <w:szCs w:val="22"/>
        </w:rPr>
        <w:t xml:space="preserve">, </w:t>
      </w:r>
      <w:r w:rsidR="004B0220">
        <w:rPr>
          <w:szCs w:val="22"/>
        </w:rPr>
        <w:t>the Bureau</w:t>
      </w:r>
      <w:r w:rsidR="002E4376">
        <w:rPr>
          <w:szCs w:val="22"/>
        </w:rPr>
        <w:t xml:space="preserve"> found that </w:t>
      </w:r>
      <w:r w:rsidRPr="007F6F86" w:rsidR="002E4376">
        <w:rPr>
          <w:szCs w:val="22"/>
        </w:rPr>
        <w:t xml:space="preserve">the LOI </w:t>
      </w:r>
      <w:r w:rsidR="002E4376">
        <w:rPr>
          <w:szCs w:val="22"/>
        </w:rPr>
        <w:t>R</w:t>
      </w:r>
      <w:r w:rsidRPr="00561F19" w:rsidR="002E4376">
        <w:rPr>
          <w:szCs w:val="22"/>
        </w:rPr>
        <w:t xml:space="preserve">esponse </w:t>
      </w:r>
      <w:r w:rsidR="002E4376">
        <w:rPr>
          <w:szCs w:val="22"/>
        </w:rPr>
        <w:t>was</w:t>
      </w:r>
      <w:r w:rsidRPr="00561F19" w:rsidR="002E4376">
        <w:rPr>
          <w:szCs w:val="22"/>
        </w:rPr>
        <w:t xml:space="preserve"> incomplete because </w:t>
      </w:r>
      <w:r w:rsidR="002E4376">
        <w:rPr>
          <w:szCs w:val="22"/>
        </w:rPr>
        <w:t>it failed to respond to all the interrogatories or explain why a response was not available.</w:t>
      </w:r>
      <w:r>
        <w:rPr>
          <w:rStyle w:val="FootnoteReference"/>
          <w:szCs w:val="22"/>
        </w:rPr>
        <w:footnoteReference w:id="25"/>
      </w:r>
      <w:r w:rsidR="00BB3E7E">
        <w:rPr>
          <w:szCs w:val="22"/>
        </w:rPr>
        <w:t xml:space="preserve"> </w:t>
      </w:r>
      <w:r w:rsidR="00DF5114">
        <w:rPr>
          <w:szCs w:val="22"/>
        </w:rPr>
        <w:t xml:space="preserve"> </w:t>
      </w:r>
      <w:r w:rsidR="007E42CD">
        <w:rPr>
          <w:szCs w:val="22"/>
        </w:rPr>
        <w:t>Specifically,</w:t>
      </w:r>
      <w:r w:rsidR="00DF5114">
        <w:rPr>
          <w:szCs w:val="22"/>
        </w:rPr>
        <w:t xml:space="preserve"> </w:t>
      </w:r>
      <w:r w:rsidR="007E42CD">
        <w:rPr>
          <w:szCs w:val="22"/>
        </w:rPr>
        <w:t xml:space="preserve">Omni’s response was incomplete because it contained no submission of EAS logs, no explanation of when the Station operated at Site C, and no copy of the </w:t>
      </w:r>
      <w:r w:rsidR="007E42CD">
        <w:rPr>
          <w:szCs w:val="22"/>
        </w:rPr>
        <w:t>tower lease agreement for Site C.</w:t>
      </w:r>
      <w:r w:rsidR="00E50F08">
        <w:rPr>
          <w:szCs w:val="22"/>
        </w:rPr>
        <w:t xml:space="preserve">  The </w:t>
      </w:r>
      <w:r w:rsidR="00E50F08">
        <w:rPr>
          <w:i/>
          <w:iCs/>
          <w:szCs w:val="22"/>
        </w:rPr>
        <w:t>Letter Decision</w:t>
      </w:r>
      <w:r w:rsidR="00E50F08">
        <w:rPr>
          <w:szCs w:val="22"/>
        </w:rPr>
        <w:t xml:space="preserve"> also dismissed the Renewal Application, the Assignment Application, and all other pending applications related to the Station</w:t>
      </w:r>
      <w:r w:rsidR="00100D92">
        <w:rPr>
          <w:szCs w:val="22"/>
        </w:rPr>
        <w:t>,</w:t>
      </w:r>
      <w:r w:rsidR="00E50F08">
        <w:rPr>
          <w:szCs w:val="22"/>
        </w:rPr>
        <w:t xml:space="preserve"> as moot.</w:t>
      </w:r>
    </w:p>
    <w:p w:rsidR="0038773F" w:rsidP="004663C2" w14:paraId="17B18556" w14:textId="08B5514E">
      <w:pPr>
        <w:spacing w:after="120"/>
        <w:ind w:firstLine="720"/>
        <w:rPr>
          <w:szCs w:val="22"/>
        </w:rPr>
      </w:pPr>
      <w:r>
        <w:rPr>
          <w:szCs w:val="22"/>
        </w:rPr>
        <w:t xml:space="preserve">In the Petition, Omni argues that:  1) its failure to provide certain documentation requested by the </w:t>
      </w:r>
      <w:r w:rsidRPr="00B06441">
        <w:rPr>
          <w:i/>
          <w:iCs/>
          <w:szCs w:val="22"/>
        </w:rPr>
        <w:t>LOI</w:t>
      </w:r>
      <w:r>
        <w:rPr>
          <w:szCs w:val="22"/>
        </w:rPr>
        <w:t>, or an explanation why they were omitted, is not grounds for dismissal</w:t>
      </w:r>
      <w:r w:rsidR="00334F5C">
        <w:rPr>
          <w:szCs w:val="22"/>
        </w:rPr>
        <w:t xml:space="preserve"> of its Renewal Application</w:t>
      </w:r>
      <w:r>
        <w:rPr>
          <w:szCs w:val="22"/>
        </w:rPr>
        <w:t>;</w:t>
      </w:r>
      <w:r>
        <w:rPr>
          <w:rStyle w:val="FootnoteReference"/>
          <w:szCs w:val="22"/>
        </w:rPr>
        <w:footnoteReference w:id="26"/>
      </w:r>
      <w:r>
        <w:rPr>
          <w:szCs w:val="22"/>
        </w:rPr>
        <w:t xml:space="preserve"> 2) absence of EAS logs has no bearing on the Station’s operational status because its multiple station relay panel does not log individual station activity;</w:t>
      </w:r>
      <w:r>
        <w:rPr>
          <w:rStyle w:val="FootnoteReference"/>
          <w:szCs w:val="22"/>
        </w:rPr>
        <w:footnoteReference w:id="27"/>
      </w:r>
      <w:r>
        <w:rPr>
          <w:szCs w:val="22"/>
        </w:rPr>
        <w:t xml:space="preserve"> 3) Site C is only </w:t>
      </w:r>
      <w:r w:rsidR="00862433">
        <w:rPr>
          <w:szCs w:val="22"/>
        </w:rPr>
        <w:t xml:space="preserve">a few miles from the licensed site, and </w:t>
      </w:r>
      <w:r>
        <w:rPr>
          <w:szCs w:val="22"/>
        </w:rPr>
        <w:t>operation at Site C from August 25, 2016 through September 13, 2017, was due to loss of the licensed site</w:t>
      </w:r>
      <w:r w:rsidR="00862433">
        <w:rPr>
          <w:szCs w:val="22"/>
        </w:rPr>
        <w:t>;</w:t>
      </w:r>
      <w:r>
        <w:rPr>
          <w:rStyle w:val="FootnoteReference"/>
          <w:szCs w:val="22"/>
        </w:rPr>
        <w:footnoteReference w:id="28"/>
      </w:r>
      <w:r>
        <w:rPr>
          <w:szCs w:val="22"/>
        </w:rPr>
        <w:t xml:space="preserve"> </w:t>
      </w:r>
      <w:r w:rsidR="00BC7C5F">
        <w:rPr>
          <w:szCs w:val="22"/>
        </w:rPr>
        <w:t xml:space="preserve">4) </w:t>
      </w:r>
      <w:r w:rsidR="00852B09">
        <w:rPr>
          <w:szCs w:val="22"/>
        </w:rPr>
        <w:t>operation from Site C could have been licensed under STA</w:t>
      </w:r>
      <w:r w:rsidR="00291053">
        <w:rPr>
          <w:szCs w:val="22"/>
        </w:rPr>
        <w:t>, if requested;</w:t>
      </w:r>
      <w:r>
        <w:rPr>
          <w:rStyle w:val="FootnoteReference"/>
          <w:szCs w:val="22"/>
        </w:rPr>
        <w:footnoteReference w:id="29"/>
      </w:r>
      <w:r w:rsidR="001906AC">
        <w:rPr>
          <w:szCs w:val="22"/>
        </w:rPr>
        <w:t xml:space="preserve"> 5) </w:t>
      </w:r>
      <w:r w:rsidR="00156F21">
        <w:rPr>
          <w:szCs w:val="22"/>
        </w:rPr>
        <w:t xml:space="preserve">Omni operated from the unauthorized location in order to </w:t>
      </w:r>
      <w:r w:rsidR="00970D68">
        <w:rPr>
          <w:szCs w:val="22"/>
        </w:rPr>
        <w:t>keep the Station on the air</w:t>
      </w:r>
      <w:r w:rsidR="00156F21">
        <w:rPr>
          <w:szCs w:val="22"/>
        </w:rPr>
        <w:t>;</w:t>
      </w:r>
      <w:r>
        <w:rPr>
          <w:rStyle w:val="FootnoteReference"/>
          <w:szCs w:val="22"/>
        </w:rPr>
        <w:footnoteReference w:id="30"/>
      </w:r>
      <w:r w:rsidR="00970D68">
        <w:rPr>
          <w:szCs w:val="22"/>
        </w:rPr>
        <w:t xml:space="preserve"> 6) Omni is unable to afford </w:t>
      </w:r>
      <w:r w:rsidR="005F35E9">
        <w:rPr>
          <w:szCs w:val="22"/>
        </w:rPr>
        <w:t>full-time engineering staff or legal counsel, which led to its unauthorized operation</w:t>
      </w:r>
      <w:r w:rsidR="00D5602B">
        <w:rPr>
          <w:szCs w:val="22"/>
        </w:rPr>
        <w:t>;</w:t>
      </w:r>
      <w:r>
        <w:rPr>
          <w:rStyle w:val="FootnoteReference"/>
          <w:szCs w:val="22"/>
        </w:rPr>
        <w:footnoteReference w:id="31"/>
      </w:r>
      <w:r w:rsidR="00D5602B">
        <w:rPr>
          <w:szCs w:val="22"/>
        </w:rPr>
        <w:t xml:space="preserve"> </w:t>
      </w:r>
      <w:r w:rsidR="00B87A45">
        <w:rPr>
          <w:szCs w:val="22"/>
        </w:rPr>
        <w:t>7</w:t>
      </w:r>
      <w:r w:rsidR="006B2A57">
        <w:rPr>
          <w:szCs w:val="22"/>
        </w:rPr>
        <w:t xml:space="preserve">) </w:t>
      </w:r>
      <w:r w:rsidR="008F2BD2">
        <w:rPr>
          <w:szCs w:val="22"/>
        </w:rPr>
        <w:t>the Bureau</w:t>
      </w:r>
      <w:r w:rsidR="00534B41">
        <w:rPr>
          <w:szCs w:val="22"/>
        </w:rPr>
        <w:t>’s</w:t>
      </w:r>
      <w:r w:rsidR="008F2BD2">
        <w:rPr>
          <w:szCs w:val="22"/>
        </w:rPr>
        <w:t xml:space="preserve"> </w:t>
      </w:r>
      <w:r w:rsidR="00534B41">
        <w:rPr>
          <w:szCs w:val="22"/>
        </w:rPr>
        <w:t xml:space="preserve">grant </w:t>
      </w:r>
      <w:r w:rsidR="00457AAA">
        <w:rPr>
          <w:szCs w:val="22"/>
        </w:rPr>
        <w:t xml:space="preserve">of </w:t>
      </w:r>
      <w:r w:rsidR="008F2BD2">
        <w:rPr>
          <w:szCs w:val="22"/>
        </w:rPr>
        <w:t xml:space="preserve">STA applications </w:t>
      </w:r>
      <w:r w:rsidR="00694729">
        <w:rPr>
          <w:szCs w:val="22"/>
        </w:rPr>
        <w:t xml:space="preserve">after </w:t>
      </w:r>
      <w:r w:rsidR="00457AAA">
        <w:rPr>
          <w:szCs w:val="22"/>
        </w:rPr>
        <w:t xml:space="preserve">the June 1, 2017 </w:t>
      </w:r>
      <w:r w:rsidR="00694729">
        <w:rPr>
          <w:szCs w:val="22"/>
        </w:rPr>
        <w:t>expiration</w:t>
      </w:r>
      <w:r w:rsidR="00B95E32">
        <w:rPr>
          <w:szCs w:val="22"/>
        </w:rPr>
        <w:t xml:space="preserve"> date</w:t>
      </w:r>
      <w:r w:rsidR="00457AAA">
        <w:rPr>
          <w:szCs w:val="22"/>
        </w:rPr>
        <w:t xml:space="preserve"> </w:t>
      </w:r>
      <w:r w:rsidR="00FF1538">
        <w:rPr>
          <w:szCs w:val="22"/>
        </w:rPr>
        <w:t>impacted expiration of the license</w:t>
      </w:r>
      <w:r w:rsidR="00B95E32">
        <w:rPr>
          <w:szCs w:val="22"/>
        </w:rPr>
        <w:t>;</w:t>
      </w:r>
      <w:r>
        <w:rPr>
          <w:rStyle w:val="FootnoteReference"/>
          <w:szCs w:val="22"/>
        </w:rPr>
        <w:footnoteReference w:id="32"/>
      </w:r>
      <w:r w:rsidR="00781652">
        <w:rPr>
          <w:szCs w:val="22"/>
        </w:rPr>
        <w:t xml:space="preserve"> </w:t>
      </w:r>
      <w:r w:rsidR="00B87A45">
        <w:rPr>
          <w:szCs w:val="22"/>
        </w:rPr>
        <w:t>8</w:t>
      </w:r>
      <w:r w:rsidR="00781652">
        <w:rPr>
          <w:szCs w:val="22"/>
        </w:rPr>
        <w:t xml:space="preserve">) </w:t>
      </w:r>
      <w:r w:rsidR="00FF21C8">
        <w:rPr>
          <w:szCs w:val="22"/>
        </w:rPr>
        <w:t xml:space="preserve">the Bureau should have imposed a monetary forfeiture for Omni’s unauthorized operation, as it did </w:t>
      </w:r>
      <w:r w:rsidR="005406CF">
        <w:rPr>
          <w:szCs w:val="22"/>
        </w:rPr>
        <w:t xml:space="preserve">in a recent unrelated case involving </w:t>
      </w:r>
      <w:r w:rsidR="00FF21C8">
        <w:rPr>
          <w:szCs w:val="22"/>
        </w:rPr>
        <w:t xml:space="preserve">KEUC(FM), rather than </w:t>
      </w:r>
      <w:r w:rsidR="001765DD">
        <w:rPr>
          <w:szCs w:val="22"/>
        </w:rPr>
        <w:t xml:space="preserve">cancelling the Station license and </w:t>
      </w:r>
      <w:r w:rsidR="00FF21C8">
        <w:rPr>
          <w:szCs w:val="22"/>
        </w:rPr>
        <w:t xml:space="preserve">dismissing </w:t>
      </w:r>
      <w:r w:rsidR="001765DD">
        <w:rPr>
          <w:szCs w:val="22"/>
        </w:rPr>
        <w:t>the Renewal</w:t>
      </w:r>
      <w:r w:rsidR="00FF21C8">
        <w:rPr>
          <w:szCs w:val="22"/>
        </w:rPr>
        <w:t xml:space="preserve"> </w:t>
      </w:r>
      <w:r w:rsidR="001765DD">
        <w:rPr>
          <w:szCs w:val="22"/>
        </w:rPr>
        <w:t>A</w:t>
      </w:r>
      <w:r w:rsidR="00FF21C8">
        <w:rPr>
          <w:szCs w:val="22"/>
        </w:rPr>
        <w:t>pplication;</w:t>
      </w:r>
      <w:r>
        <w:rPr>
          <w:rStyle w:val="FootnoteReference"/>
          <w:szCs w:val="22"/>
        </w:rPr>
        <w:footnoteReference w:id="33"/>
      </w:r>
      <w:r w:rsidR="00FF21C8">
        <w:rPr>
          <w:szCs w:val="22"/>
        </w:rPr>
        <w:t xml:space="preserve"> </w:t>
      </w:r>
      <w:r w:rsidR="001C1E09">
        <w:rPr>
          <w:szCs w:val="22"/>
        </w:rPr>
        <w:t xml:space="preserve">and </w:t>
      </w:r>
      <w:r w:rsidR="00B87A45">
        <w:rPr>
          <w:szCs w:val="22"/>
        </w:rPr>
        <w:t>9</w:t>
      </w:r>
      <w:r w:rsidR="00FF21C8">
        <w:rPr>
          <w:szCs w:val="22"/>
        </w:rPr>
        <w:t xml:space="preserve">) </w:t>
      </w:r>
      <w:r w:rsidR="00BB4216">
        <w:rPr>
          <w:szCs w:val="22"/>
        </w:rPr>
        <w:t>dismissal of the Renewal Application is counter to the Commission’s’ policy to support minority-owned stations</w:t>
      </w:r>
      <w:r w:rsidR="008A13BA">
        <w:rPr>
          <w:szCs w:val="22"/>
        </w:rPr>
        <w:t>.</w:t>
      </w:r>
      <w:r>
        <w:rPr>
          <w:rStyle w:val="FootnoteReference"/>
          <w:szCs w:val="22"/>
        </w:rPr>
        <w:footnoteReference w:id="34"/>
      </w:r>
    </w:p>
    <w:p w:rsidR="00124AE7" w:rsidP="004663C2" w14:paraId="6748328E" w14:textId="738E380A">
      <w:pPr>
        <w:suppressAutoHyphens/>
        <w:spacing w:after="120"/>
        <w:ind w:firstLine="720"/>
        <w:rPr>
          <w:bCs/>
          <w:szCs w:val="22"/>
        </w:rPr>
      </w:pPr>
      <w:r w:rsidRPr="001D498E">
        <w:rPr>
          <w:b/>
          <w:bCs/>
          <w:szCs w:val="22"/>
        </w:rPr>
        <w:t>Discussion</w:t>
      </w:r>
      <w:r>
        <w:rPr>
          <w:szCs w:val="22"/>
        </w:rPr>
        <w:t xml:space="preserve">.  </w:t>
      </w:r>
      <w:r w:rsidRPr="002B7C49" w:rsidR="00282A29">
        <w:rPr>
          <w:szCs w:val="22"/>
        </w:rPr>
        <w:t xml:space="preserve">The Commission will consider a </w:t>
      </w:r>
      <w:bookmarkStart w:id="4" w:name="SR;772"/>
      <w:bookmarkStart w:id="5" w:name="SearchTerm"/>
      <w:bookmarkEnd w:id="4"/>
      <w:r w:rsidRPr="002B7C49" w:rsidR="00282A29">
        <w:rPr>
          <w:szCs w:val="22"/>
        </w:rPr>
        <w:t>petition for reconsideration</w:t>
      </w:r>
      <w:bookmarkStart w:id="6" w:name="SR;774"/>
      <w:bookmarkEnd w:id="5"/>
      <w:bookmarkEnd w:id="6"/>
      <w:r w:rsidRPr="002B7C49" w:rsidR="00282A29">
        <w:rPr>
          <w:szCs w:val="22"/>
        </w:rPr>
        <w:t xml:space="preserve"> only when the petitioner shows either a material error in the Commission</w:t>
      </w:r>
      <w:r w:rsidR="008871D5">
        <w:rPr>
          <w:szCs w:val="22"/>
        </w:rPr>
        <w:t>’</w:t>
      </w:r>
      <w:r w:rsidRPr="002B7C49" w:rsidR="00282A29">
        <w:rPr>
          <w:szCs w:val="22"/>
        </w:rPr>
        <w:t>s original order or raises additional facts not known or existing at the time of the petitioner</w:t>
      </w:r>
      <w:r w:rsidR="008871D5">
        <w:rPr>
          <w:szCs w:val="22"/>
        </w:rPr>
        <w:t>’</w:t>
      </w:r>
      <w:r w:rsidRPr="002B7C49" w:rsidR="00282A29">
        <w:rPr>
          <w:szCs w:val="22"/>
        </w:rPr>
        <w:t>s last opportunity to present such matters.</w:t>
      </w:r>
      <w:bookmarkStart w:id="7" w:name="FN[FN11]"/>
      <w:bookmarkEnd w:id="7"/>
      <w:r>
        <w:rPr>
          <w:szCs w:val="22"/>
          <w:vertAlign w:val="superscript"/>
        </w:rPr>
        <w:footnoteReference w:id="35"/>
      </w:r>
      <w:r w:rsidRPr="002B7C49" w:rsidR="00282A29">
        <w:rPr>
          <w:szCs w:val="22"/>
          <w:vertAlign w:val="superscript"/>
        </w:rPr>
        <w:t xml:space="preserve"> </w:t>
      </w:r>
      <w:r w:rsidRPr="002B7C49" w:rsidR="00282A29">
        <w:rPr>
          <w:szCs w:val="22"/>
        </w:rPr>
        <w:t xml:space="preserve"> </w:t>
      </w:r>
      <w:r w:rsidRPr="002B3117" w:rsidR="006F68B9">
        <w:rPr>
          <w:szCs w:val="22"/>
        </w:rPr>
        <w:t xml:space="preserve">Section 312(g) of the </w:t>
      </w:r>
      <w:r w:rsidR="00334F5C">
        <w:rPr>
          <w:szCs w:val="22"/>
        </w:rPr>
        <w:t>Act</w:t>
      </w:r>
      <w:r w:rsidR="006F68B9">
        <w:rPr>
          <w:szCs w:val="22"/>
        </w:rPr>
        <w:t xml:space="preserve">, </w:t>
      </w:r>
      <w:r w:rsidRPr="002B3117" w:rsidR="006F68B9">
        <w:rPr>
          <w:szCs w:val="22"/>
        </w:rPr>
        <w:t xml:space="preserve">provides </w:t>
      </w:r>
      <w:r w:rsidRPr="002B3117" w:rsidR="006F68B9">
        <w:rPr>
          <w:bCs/>
          <w:szCs w:val="22"/>
        </w:rPr>
        <w:t xml:space="preserve">that the Commission may extend or reinstate </w:t>
      </w:r>
      <w:r w:rsidR="006F68B9">
        <w:rPr>
          <w:bCs/>
          <w:szCs w:val="22"/>
        </w:rPr>
        <w:t xml:space="preserve">a </w:t>
      </w:r>
      <w:r w:rsidRPr="002B3117" w:rsidR="006F68B9">
        <w:rPr>
          <w:bCs/>
          <w:szCs w:val="22"/>
        </w:rPr>
        <w:t xml:space="preserve">station license </w:t>
      </w:r>
      <w:r w:rsidR="006F68B9">
        <w:rPr>
          <w:bCs/>
          <w:szCs w:val="22"/>
        </w:rPr>
        <w:t xml:space="preserve">that expired pursuant to section 312(g) </w:t>
      </w:r>
      <w:r w:rsidRPr="002B3117" w:rsidR="006F68B9">
        <w:rPr>
          <w:bCs/>
          <w:szCs w:val="22"/>
        </w:rPr>
        <w:t>to promote equity and fairness.</w:t>
      </w:r>
      <w:r>
        <w:rPr>
          <w:rStyle w:val="FootnoteReference"/>
          <w:bCs/>
          <w:szCs w:val="22"/>
        </w:rPr>
        <w:footnoteReference w:id="36"/>
      </w:r>
      <w:r w:rsidR="006F68B9">
        <w:rPr>
          <w:bCs/>
          <w:szCs w:val="22"/>
        </w:rPr>
        <w:t xml:space="preserve">  </w:t>
      </w:r>
      <w:r>
        <w:rPr>
          <w:szCs w:val="22"/>
        </w:rPr>
        <w:t>Omni</w:t>
      </w:r>
      <w:r w:rsidRPr="00E03ADA">
        <w:rPr>
          <w:szCs w:val="22"/>
        </w:rPr>
        <w:t xml:space="preserve"> has </w:t>
      </w:r>
      <w:r w:rsidR="00903B07">
        <w:rPr>
          <w:szCs w:val="22"/>
        </w:rPr>
        <w:t>not</w:t>
      </w:r>
      <w:r w:rsidRPr="00E03ADA">
        <w:rPr>
          <w:szCs w:val="22"/>
        </w:rPr>
        <w:t xml:space="preserve"> </w:t>
      </w:r>
      <w:r w:rsidR="00903B07">
        <w:rPr>
          <w:szCs w:val="22"/>
        </w:rPr>
        <w:t>demonstrated any</w:t>
      </w:r>
      <w:r w:rsidRPr="00E03ADA">
        <w:rPr>
          <w:szCs w:val="22"/>
        </w:rPr>
        <w:t xml:space="preserve"> legal error in the </w:t>
      </w:r>
      <w:r w:rsidRPr="00E03ADA">
        <w:rPr>
          <w:i/>
          <w:iCs/>
          <w:szCs w:val="22"/>
        </w:rPr>
        <w:t>Letter Decision</w:t>
      </w:r>
      <w:r w:rsidRPr="00E03ADA">
        <w:rPr>
          <w:szCs w:val="22"/>
        </w:rPr>
        <w:t xml:space="preserve">, </w:t>
      </w:r>
      <w:r w:rsidR="00707E17">
        <w:rPr>
          <w:szCs w:val="22"/>
        </w:rPr>
        <w:t>nor</w:t>
      </w:r>
      <w:r>
        <w:rPr>
          <w:szCs w:val="22"/>
        </w:rPr>
        <w:t xml:space="preserve"> </w:t>
      </w:r>
      <w:r w:rsidR="00903B07">
        <w:rPr>
          <w:szCs w:val="22"/>
        </w:rPr>
        <w:t xml:space="preserve">has it </w:t>
      </w:r>
      <w:r>
        <w:rPr>
          <w:szCs w:val="22"/>
        </w:rPr>
        <w:t>cite</w:t>
      </w:r>
      <w:r w:rsidR="00707E17">
        <w:rPr>
          <w:szCs w:val="22"/>
        </w:rPr>
        <w:t>d</w:t>
      </w:r>
      <w:r>
        <w:rPr>
          <w:szCs w:val="22"/>
        </w:rPr>
        <w:t xml:space="preserve"> any precedent that </w:t>
      </w:r>
      <w:r w:rsidR="00CC1C08">
        <w:rPr>
          <w:szCs w:val="22"/>
        </w:rPr>
        <w:t>warrant</w:t>
      </w:r>
      <w:r w:rsidR="00903B07">
        <w:rPr>
          <w:szCs w:val="22"/>
        </w:rPr>
        <w:t>s</w:t>
      </w:r>
      <w:r>
        <w:rPr>
          <w:szCs w:val="22"/>
        </w:rPr>
        <w:t xml:space="preserve"> reinstatement</w:t>
      </w:r>
      <w:r w:rsidRPr="00E03ADA">
        <w:rPr>
          <w:szCs w:val="22"/>
        </w:rPr>
        <w:t>.</w:t>
      </w:r>
    </w:p>
    <w:p w:rsidR="008871D5" w:rsidP="004663C2" w14:paraId="5B8DFDD3" w14:textId="6BE1F557">
      <w:pPr>
        <w:suppressAutoHyphens/>
        <w:spacing w:after="120"/>
        <w:ind w:firstLine="720"/>
        <w:rPr>
          <w:szCs w:val="22"/>
        </w:rPr>
      </w:pPr>
      <w:r>
        <w:rPr>
          <w:bCs/>
          <w:szCs w:val="22"/>
        </w:rPr>
        <w:t xml:space="preserve">The </w:t>
      </w:r>
      <w:r>
        <w:rPr>
          <w:bCs/>
          <w:i/>
          <w:iCs/>
          <w:szCs w:val="22"/>
        </w:rPr>
        <w:t>Letter Decision</w:t>
      </w:r>
      <w:r>
        <w:rPr>
          <w:bCs/>
          <w:szCs w:val="22"/>
        </w:rPr>
        <w:t xml:space="preserve"> correctly concluded that Omni had operated from an unauthorized location for more than twelve months resulting in expiration of the license.  </w:t>
      </w:r>
      <w:r w:rsidR="00B60EF6">
        <w:rPr>
          <w:bCs/>
          <w:szCs w:val="22"/>
        </w:rPr>
        <w:t xml:space="preserve">In the Petition, </w:t>
      </w:r>
      <w:r w:rsidR="006B41E6">
        <w:rPr>
          <w:szCs w:val="22"/>
        </w:rPr>
        <w:t xml:space="preserve">Omni admits that it operated from </w:t>
      </w:r>
      <w:r w:rsidR="002667CB">
        <w:rPr>
          <w:szCs w:val="22"/>
        </w:rPr>
        <w:t>the</w:t>
      </w:r>
      <w:r w:rsidR="006B41E6">
        <w:rPr>
          <w:szCs w:val="22"/>
        </w:rPr>
        <w:t xml:space="preserve"> unauthorized</w:t>
      </w:r>
      <w:r w:rsidR="002667CB">
        <w:rPr>
          <w:szCs w:val="22"/>
        </w:rPr>
        <w:t xml:space="preserve"> Site C</w:t>
      </w:r>
      <w:r w:rsidR="006B41E6">
        <w:rPr>
          <w:szCs w:val="22"/>
        </w:rPr>
        <w:t xml:space="preserve"> location for over one year</w:t>
      </w:r>
      <w:r w:rsidR="00AF7721">
        <w:rPr>
          <w:szCs w:val="22"/>
        </w:rPr>
        <w:t xml:space="preserve"> – “</w:t>
      </w:r>
      <w:r w:rsidR="008B0D33">
        <w:rPr>
          <w:szCs w:val="22"/>
        </w:rPr>
        <w:t>[t]</w:t>
      </w:r>
      <w:r w:rsidRPr="008B0D33" w:rsidR="008B0D33">
        <w:rPr>
          <w:szCs w:val="22"/>
        </w:rPr>
        <w:t xml:space="preserve">he operation of WTKP from </w:t>
      </w:r>
      <w:r w:rsidR="008B0D33">
        <w:rPr>
          <w:szCs w:val="22"/>
        </w:rPr>
        <w:t>‘</w:t>
      </w:r>
      <w:r w:rsidRPr="008B0D33" w:rsidR="008B0D33">
        <w:rPr>
          <w:szCs w:val="22"/>
        </w:rPr>
        <w:t>Site C</w:t>
      </w:r>
      <w:r w:rsidR="008B0D33">
        <w:rPr>
          <w:szCs w:val="22"/>
        </w:rPr>
        <w:t>’ . . .</w:t>
      </w:r>
      <w:r w:rsidRPr="008B0D33" w:rsidR="008B0D33">
        <w:rPr>
          <w:szCs w:val="22"/>
        </w:rPr>
        <w:t xml:space="preserve"> commenced on or about August 25,</w:t>
      </w:r>
      <w:r w:rsidR="008B0D33">
        <w:rPr>
          <w:szCs w:val="22"/>
        </w:rPr>
        <w:t xml:space="preserve"> </w:t>
      </w:r>
      <w:r w:rsidRPr="008B0D33" w:rsidR="008B0D33">
        <w:rPr>
          <w:szCs w:val="22"/>
        </w:rPr>
        <w:t>2016 and continued until September 13, 2017</w:t>
      </w:r>
      <w:r w:rsidR="008B0D33">
        <w:rPr>
          <w:szCs w:val="22"/>
        </w:rPr>
        <w:t>.”</w:t>
      </w:r>
      <w:r>
        <w:rPr>
          <w:rStyle w:val="FootnoteReference"/>
          <w:szCs w:val="22"/>
        </w:rPr>
        <w:footnoteReference w:id="37"/>
      </w:r>
      <w:r w:rsidR="00E5791F">
        <w:rPr>
          <w:szCs w:val="22"/>
        </w:rPr>
        <w:t xml:space="preserve"> </w:t>
      </w:r>
      <w:r w:rsidR="002667CB">
        <w:rPr>
          <w:szCs w:val="22"/>
        </w:rPr>
        <w:t xml:space="preserve"> </w:t>
      </w:r>
      <w:r w:rsidR="007446F0">
        <w:rPr>
          <w:szCs w:val="22"/>
        </w:rPr>
        <w:t xml:space="preserve">Omni also acknowledges that it </w:t>
      </w:r>
      <w:r w:rsidR="0044429D">
        <w:rPr>
          <w:szCs w:val="22"/>
        </w:rPr>
        <w:t xml:space="preserve">failed to </w:t>
      </w:r>
      <w:r w:rsidR="008720A0">
        <w:rPr>
          <w:szCs w:val="22"/>
        </w:rPr>
        <w:t>seek STA to operate from Site C</w:t>
      </w:r>
      <w:r w:rsidR="00692F14">
        <w:rPr>
          <w:szCs w:val="22"/>
        </w:rPr>
        <w:t>.</w:t>
      </w:r>
      <w:r>
        <w:rPr>
          <w:rStyle w:val="FootnoteReference"/>
          <w:szCs w:val="22"/>
        </w:rPr>
        <w:footnoteReference w:id="38"/>
      </w:r>
      <w:r>
        <w:rPr>
          <w:szCs w:val="22"/>
        </w:rPr>
        <w:t xml:space="preserve">  Our analysis need not go any further.  </w:t>
      </w:r>
      <w:r w:rsidR="00466D31">
        <w:rPr>
          <w:szCs w:val="22"/>
        </w:rPr>
        <w:t>The Commission has consistently applied section 312(g) to cancel licenses when the station has operated from an unauthorized site for more than 12 months</w:t>
      </w:r>
      <w:r w:rsidR="0040798A">
        <w:rPr>
          <w:szCs w:val="22"/>
        </w:rPr>
        <w:t>.</w:t>
      </w:r>
      <w:r>
        <w:rPr>
          <w:rStyle w:val="FootnoteReference"/>
          <w:szCs w:val="22"/>
        </w:rPr>
        <w:footnoteReference w:id="39"/>
      </w:r>
    </w:p>
    <w:p w:rsidR="00334F5C" w:rsidP="004663C2" w14:paraId="78FE29E2" w14:textId="0B371C1C">
      <w:pPr>
        <w:suppressAutoHyphens/>
        <w:spacing w:after="120"/>
        <w:ind w:firstLine="720"/>
        <w:rPr>
          <w:szCs w:val="22"/>
        </w:rPr>
      </w:pPr>
      <w:r>
        <w:rPr>
          <w:szCs w:val="22"/>
        </w:rPr>
        <w:t xml:space="preserve">We are not persuaded by Omni’s attempts to excuse its actions.  </w:t>
      </w:r>
      <w:r w:rsidR="00220C34">
        <w:rPr>
          <w:szCs w:val="22"/>
        </w:rPr>
        <w:t xml:space="preserve">Although </w:t>
      </w:r>
      <w:r w:rsidR="00D51AEC">
        <w:rPr>
          <w:szCs w:val="22"/>
        </w:rPr>
        <w:t xml:space="preserve">section 312(g) grants the Commission authority </w:t>
      </w:r>
      <w:r w:rsidR="00C57A3A">
        <w:rPr>
          <w:szCs w:val="22"/>
        </w:rPr>
        <w:t xml:space="preserve">to reinstate expired licenses </w:t>
      </w:r>
      <w:r w:rsidR="00337FB4">
        <w:rPr>
          <w:szCs w:val="22"/>
        </w:rPr>
        <w:t>“to promote equity and fairness,”</w:t>
      </w:r>
      <w:r>
        <w:rPr>
          <w:rStyle w:val="FootnoteReference"/>
          <w:szCs w:val="22"/>
        </w:rPr>
        <w:footnoteReference w:id="40"/>
      </w:r>
      <w:r w:rsidR="00DA745B">
        <w:rPr>
          <w:szCs w:val="22"/>
        </w:rPr>
        <w:t xml:space="preserve"> the Commission only exercises that discretion in cases where the silence or unauthorized operation has been outside the control of the licensee.</w:t>
      </w:r>
      <w:r>
        <w:rPr>
          <w:rStyle w:val="FootnoteReference"/>
          <w:szCs w:val="22"/>
        </w:rPr>
        <w:footnoteReference w:id="41"/>
      </w:r>
      <w:r w:rsidR="00DA745B">
        <w:rPr>
          <w:szCs w:val="22"/>
        </w:rPr>
        <w:t xml:space="preserve">  Omni has failed to provide any evidence that its operation at Site C was due to factors beyond its control.</w:t>
      </w:r>
      <w:r w:rsidR="00692F14">
        <w:rPr>
          <w:szCs w:val="22"/>
        </w:rPr>
        <w:t xml:space="preserve"> </w:t>
      </w:r>
      <w:r w:rsidR="007446F0">
        <w:rPr>
          <w:szCs w:val="22"/>
        </w:rPr>
        <w:t xml:space="preserve"> </w:t>
      </w:r>
      <w:r w:rsidR="005E2A2E">
        <w:rPr>
          <w:szCs w:val="22"/>
        </w:rPr>
        <w:t xml:space="preserve">Omni’s claim that </w:t>
      </w:r>
      <w:r w:rsidR="00E86793">
        <w:rPr>
          <w:szCs w:val="22"/>
        </w:rPr>
        <w:t>its</w:t>
      </w:r>
      <w:r w:rsidR="005E2A2E">
        <w:rPr>
          <w:szCs w:val="22"/>
        </w:rPr>
        <w:t xml:space="preserve"> </w:t>
      </w:r>
      <w:r w:rsidR="00E86793">
        <w:rPr>
          <w:szCs w:val="22"/>
        </w:rPr>
        <w:t xml:space="preserve">unauthorized </w:t>
      </w:r>
      <w:r w:rsidR="005E2A2E">
        <w:rPr>
          <w:szCs w:val="22"/>
        </w:rPr>
        <w:t xml:space="preserve">operation could have been authorized via </w:t>
      </w:r>
      <w:r>
        <w:rPr>
          <w:szCs w:val="22"/>
        </w:rPr>
        <w:t xml:space="preserve">STA </w:t>
      </w:r>
      <w:r w:rsidR="005E2A2E">
        <w:rPr>
          <w:szCs w:val="22"/>
        </w:rPr>
        <w:t>is unpersuasive</w:t>
      </w:r>
      <w:r w:rsidR="00703E95">
        <w:rPr>
          <w:szCs w:val="22"/>
        </w:rPr>
        <w:t xml:space="preserve"> because Omni never sought such authorization.  </w:t>
      </w:r>
      <w:r w:rsidR="00253113">
        <w:rPr>
          <w:szCs w:val="22"/>
        </w:rPr>
        <w:t xml:space="preserve">Omni’s claim that </w:t>
      </w:r>
      <w:r w:rsidR="0027299C">
        <w:rPr>
          <w:szCs w:val="22"/>
        </w:rPr>
        <w:t>S</w:t>
      </w:r>
      <w:r w:rsidR="00253113">
        <w:rPr>
          <w:szCs w:val="22"/>
        </w:rPr>
        <w:t xml:space="preserve">ite C is </w:t>
      </w:r>
      <w:r w:rsidR="00A61B6A">
        <w:rPr>
          <w:szCs w:val="22"/>
        </w:rPr>
        <w:t>only</w:t>
      </w:r>
      <w:r w:rsidR="006A1F55">
        <w:rPr>
          <w:szCs w:val="22"/>
        </w:rPr>
        <w:t xml:space="preserve"> </w:t>
      </w:r>
      <w:r w:rsidR="00253113">
        <w:rPr>
          <w:szCs w:val="22"/>
        </w:rPr>
        <w:t>a few miles from the licensed site is also unpersuasive, since it was still not an authorized location.</w:t>
      </w:r>
      <w:r>
        <w:rPr>
          <w:rStyle w:val="FootnoteReference"/>
          <w:szCs w:val="22"/>
        </w:rPr>
        <w:footnoteReference w:id="42"/>
      </w:r>
      <w:r w:rsidR="00A81FE6">
        <w:rPr>
          <w:szCs w:val="22"/>
        </w:rPr>
        <w:t xml:space="preserve">  </w:t>
      </w:r>
      <w:r w:rsidR="002E6D97">
        <w:rPr>
          <w:szCs w:val="22"/>
        </w:rPr>
        <w:t xml:space="preserve">As the Commission found in </w:t>
      </w:r>
      <w:r w:rsidR="002E6D97">
        <w:rPr>
          <w:i/>
          <w:iCs/>
          <w:szCs w:val="22"/>
        </w:rPr>
        <w:t>Chinese Voice of Golden City</w:t>
      </w:r>
      <w:r w:rsidR="002E6D97">
        <w:rPr>
          <w:szCs w:val="22"/>
        </w:rPr>
        <w:t xml:space="preserve">, </w:t>
      </w:r>
      <w:r w:rsidR="00220C1B">
        <w:rPr>
          <w:szCs w:val="22"/>
        </w:rPr>
        <w:t xml:space="preserve">section 312(g) </w:t>
      </w:r>
      <w:r w:rsidR="00372448">
        <w:rPr>
          <w:szCs w:val="22"/>
        </w:rPr>
        <w:t xml:space="preserve">applies </w:t>
      </w:r>
      <w:r w:rsidR="00220C1B">
        <w:rPr>
          <w:szCs w:val="22"/>
        </w:rPr>
        <w:t>to unauthorized operation even when the licensee has characterized the distance between the authorized and actual site</w:t>
      </w:r>
      <w:r w:rsidR="00372448">
        <w:rPr>
          <w:szCs w:val="22"/>
        </w:rPr>
        <w:t>s</w:t>
      </w:r>
      <w:r w:rsidR="00220C1B">
        <w:rPr>
          <w:szCs w:val="22"/>
        </w:rPr>
        <w:t xml:space="preserve"> as </w:t>
      </w:r>
      <w:r w:rsidRPr="00A81FE6" w:rsidR="00220C1B">
        <w:rPr>
          <w:i/>
          <w:iCs/>
          <w:szCs w:val="22"/>
        </w:rPr>
        <w:t>de minimis</w:t>
      </w:r>
      <w:r w:rsidR="00220C1B">
        <w:rPr>
          <w:szCs w:val="22"/>
        </w:rPr>
        <w:t>.</w:t>
      </w:r>
      <w:r w:rsidR="00253113">
        <w:rPr>
          <w:szCs w:val="22"/>
        </w:rPr>
        <w:t xml:space="preserve"> </w:t>
      </w:r>
      <w:r w:rsidR="004B601F">
        <w:rPr>
          <w:szCs w:val="22"/>
        </w:rPr>
        <w:t xml:space="preserve"> </w:t>
      </w:r>
      <w:r w:rsidR="00A11540">
        <w:rPr>
          <w:szCs w:val="22"/>
        </w:rPr>
        <w:t xml:space="preserve">Finally, Omni’s claims that it merely sought to keep the Station operating does not excuse unauthorized operations, and </w:t>
      </w:r>
      <w:r w:rsidR="00CE7D89">
        <w:rPr>
          <w:szCs w:val="22"/>
        </w:rPr>
        <w:t>this argument is</w:t>
      </w:r>
      <w:r w:rsidR="00A11540">
        <w:rPr>
          <w:szCs w:val="22"/>
        </w:rPr>
        <w:t xml:space="preserve"> undermined by the fact that the Station was subsequently silent for another 12 month period from October 2018 to October 2019.</w:t>
      </w:r>
      <w:r>
        <w:rPr>
          <w:rStyle w:val="FootnoteReference"/>
          <w:szCs w:val="22"/>
        </w:rPr>
        <w:footnoteReference w:id="43"/>
      </w:r>
    </w:p>
    <w:p w:rsidR="00EC084B" w:rsidP="004663C2" w14:paraId="51DBFD4C" w14:textId="035CE27E">
      <w:pPr>
        <w:suppressAutoHyphens/>
        <w:spacing w:after="120"/>
        <w:ind w:firstLine="720"/>
        <w:rPr>
          <w:szCs w:val="22"/>
        </w:rPr>
      </w:pPr>
      <w:r>
        <w:rPr>
          <w:szCs w:val="22"/>
        </w:rPr>
        <w:t xml:space="preserve">Omni’s </w:t>
      </w:r>
      <w:r w:rsidR="00F12D72">
        <w:rPr>
          <w:szCs w:val="22"/>
        </w:rPr>
        <w:t>lack of</w:t>
      </w:r>
      <w:r w:rsidRPr="00820637" w:rsidR="003A34AC">
        <w:rPr>
          <w:szCs w:val="22"/>
        </w:rPr>
        <w:t xml:space="preserve"> legal counsel does not </w:t>
      </w:r>
      <w:r w:rsidR="003A34AC">
        <w:rPr>
          <w:szCs w:val="22"/>
        </w:rPr>
        <w:t>excuse its failure</w:t>
      </w:r>
      <w:r w:rsidRPr="00820637" w:rsidR="003A34AC">
        <w:rPr>
          <w:szCs w:val="22"/>
        </w:rPr>
        <w:t xml:space="preserve"> to comply with the </w:t>
      </w:r>
      <w:r w:rsidR="0012415A">
        <w:rPr>
          <w:szCs w:val="22"/>
        </w:rPr>
        <w:t xml:space="preserve">Commission’s Rules and most notably the </w:t>
      </w:r>
      <w:r w:rsidR="00652286">
        <w:rPr>
          <w:szCs w:val="22"/>
        </w:rPr>
        <w:t xml:space="preserve">requirement to seek an </w:t>
      </w:r>
      <w:r w:rsidR="003A34AC">
        <w:rPr>
          <w:szCs w:val="22"/>
        </w:rPr>
        <w:t>STA</w:t>
      </w:r>
      <w:r w:rsidRPr="00820637" w:rsidR="003A34AC">
        <w:rPr>
          <w:szCs w:val="22"/>
        </w:rPr>
        <w:t xml:space="preserve"> </w:t>
      </w:r>
      <w:r w:rsidR="00652286">
        <w:rPr>
          <w:szCs w:val="22"/>
        </w:rPr>
        <w:t>for a new operating location</w:t>
      </w:r>
      <w:r w:rsidRPr="00820637" w:rsidR="003A34AC">
        <w:rPr>
          <w:szCs w:val="22"/>
        </w:rPr>
        <w:t>.</w:t>
      </w:r>
      <w:r w:rsidR="003A34AC">
        <w:rPr>
          <w:szCs w:val="22"/>
        </w:rPr>
        <w:t xml:space="preserve">  </w:t>
      </w:r>
      <w:r>
        <w:rPr>
          <w:szCs w:val="22"/>
        </w:rPr>
        <w:t>Applicants</w:t>
      </w:r>
      <w:r w:rsidRPr="00820637">
        <w:rPr>
          <w:szCs w:val="22"/>
        </w:rPr>
        <w:t xml:space="preserve"> are solely responsible for complying with the </w:t>
      </w:r>
      <w:r w:rsidR="000D23D3">
        <w:rPr>
          <w:szCs w:val="22"/>
        </w:rPr>
        <w:t xml:space="preserve">Rules, </w:t>
      </w:r>
      <w:r w:rsidRPr="00820637">
        <w:rPr>
          <w:szCs w:val="22"/>
        </w:rPr>
        <w:t>regardless of whether</w:t>
      </w:r>
      <w:r>
        <w:rPr>
          <w:szCs w:val="22"/>
        </w:rPr>
        <w:t xml:space="preserve"> they </w:t>
      </w:r>
      <w:r w:rsidRPr="00820637">
        <w:rPr>
          <w:szCs w:val="22"/>
        </w:rPr>
        <w:t>are represented by counsel</w:t>
      </w:r>
      <w:r w:rsidR="003D4151">
        <w:rPr>
          <w:szCs w:val="22"/>
        </w:rPr>
        <w:t>,</w:t>
      </w:r>
      <w:r>
        <w:rPr>
          <w:rStyle w:val="FootnoteReference"/>
          <w:szCs w:val="22"/>
        </w:rPr>
        <w:footnoteReference w:id="44"/>
      </w:r>
      <w:r>
        <w:rPr>
          <w:szCs w:val="22"/>
        </w:rPr>
        <w:t xml:space="preserve"> </w:t>
      </w:r>
      <w:r w:rsidR="003D4151">
        <w:rPr>
          <w:szCs w:val="22"/>
        </w:rPr>
        <w:t>and</w:t>
      </w:r>
      <w:r w:rsidR="00587A1E">
        <w:rPr>
          <w:szCs w:val="22"/>
        </w:rPr>
        <w:t xml:space="preserve"> </w:t>
      </w:r>
      <w:r w:rsidR="00587A1E">
        <w:rPr>
          <w:szCs w:val="22"/>
        </w:rPr>
        <w:t xml:space="preserve">Bureau staff is not required to take into consideration whether an applicant is </w:t>
      </w:r>
      <w:r w:rsidR="00405A79">
        <w:rPr>
          <w:szCs w:val="22"/>
        </w:rPr>
        <w:t>assisted by counsel.</w:t>
      </w:r>
      <w:r>
        <w:rPr>
          <w:rStyle w:val="FootnoteReference"/>
          <w:szCs w:val="22"/>
        </w:rPr>
        <w:footnoteReference w:id="45"/>
      </w:r>
      <w:r w:rsidRPr="00820637">
        <w:rPr>
          <w:szCs w:val="22"/>
        </w:rPr>
        <w:t xml:space="preserve"> </w:t>
      </w:r>
      <w:r w:rsidR="00796FCA">
        <w:rPr>
          <w:szCs w:val="22"/>
        </w:rPr>
        <w:t xml:space="preserve"> </w:t>
      </w:r>
      <w:r w:rsidR="003A34AC">
        <w:rPr>
          <w:szCs w:val="22"/>
        </w:rPr>
        <w:t>Moreover</w:t>
      </w:r>
      <w:r w:rsidRPr="00820637">
        <w:rPr>
          <w:szCs w:val="22"/>
        </w:rPr>
        <w:t>,</w:t>
      </w:r>
      <w:r w:rsidR="003A34AC">
        <w:rPr>
          <w:szCs w:val="22"/>
        </w:rPr>
        <w:t xml:space="preserve"> </w:t>
      </w:r>
      <w:r w:rsidR="009D239F">
        <w:rPr>
          <w:szCs w:val="22"/>
        </w:rPr>
        <w:t xml:space="preserve">the Commission has held that </w:t>
      </w:r>
      <w:r w:rsidR="00B14B1F">
        <w:rPr>
          <w:szCs w:val="22"/>
        </w:rPr>
        <w:t xml:space="preserve">applicants that decline to hire counsel </w:t>
      </w:r>
      <w:r w:rsidRPr="009D239F" w:rsidR="009D239F">
        <w:rPr>
          <w:szCs w:val="22"/>
        </w:rPr>
        <w:t>assume the burden of</w:t>
      </w:r>
      <w:r w:rsidR="00784080">
        <w:rPr>
          <w:szCs w:val="22"/>
        </w:rPr>
        <w:t xml:space="preserve"> complying with the Rules</w:t>
      </w:r>
      <w:r w:rsidR="004B52DD">
        <w:rPr>
          <w:szCs w:val="22"/>
        </w:rPr>
        <w:t>,</w:t>
      </w:r>
      <w:r>
        <w:rPr>
          <w:rStyle w:val="FootnoteReference"/>
          <w:szCs w:val="22"/>
        </w:rPr>
        <w:footnoteReference w:id="46"/>
      </w:r>
      <w:r w:rsidR="004B52DD">
        <w:rPr>
          <w:szCs w:val="22"/>
        </w:rPr>
        <w:t xml:space="preserve"> and</w:t>
      </w:r>
      <w:r w:rsidR="00CC4E82">
        <w:rPr>
          <w:szCs w:val="22"/>
        </w:rPr>
        <w:t xml:space="preserve"> </w:t>
      </w:r>
      <w:r w:rsidRPr="009D239F" w:rsidR="009D239F">
        <w:rPr>
          <w:szCs w:val="22"/>
        </w:rPr>
        <w:t xml:space="preserve">cannot be allowed to disavow </w:t>
      </w:r>
      <w:r w:rsidR="00BC1075">
        <w:rPr>
          <w:szCs w:val="22"/>
        </w:rPr>
        <w:t>their</w:t>
      </w:r>
      <w:r w:rsidRPr="009D239F" w:rsidR="00BC1075">
        <w:rPr>
          <w:szCs w:val="22"/>
        </w:rPr>
        <w:t xml:space="preserve"> </w:t>
      </w:r>
      <w:r w:rsidRPr="009D239F" w:rsidR="009D239F">
        <w:rPr>
          <w:szCs w:val="22"/>
        </w:rPr>
        <w:t>decision after an unfavorable result.</w:t>
      </w:r>
      <w:r>
        <w:rPr>
          <w:rStyle w:val="FootnoteReference"/>
          <w:szCs w:val="22"/>
        </w:rPr>
        <w:footnoteReference w:id="47"/>
      </w:r>
    </w:p>
    <w:p w:rsidR="00132DD8" w:rsidP="004663C2" w14:paraId="7DB17EFD" w14:textId="79C8F151">
      <w:pPr>
        <w:suppressAutoHyphens/>
        <w:spacing w:after="120"/>
        <w:ind w:firstLine="720"/>
        <w:rPr>
          <w:szCs w:val="22"/>
        </w:rPr>
      </w:pPr>
      <w:r>
        <w:rPr>
          <w:szCs w:val="22"/>
        </w:rPr>
        <w:t>We reject Omni’s claim that the Bureau</w:t>
      </w:r>
      <w:r w:rsidR="00BC1075">
        <w:rPr>
          <w:szCs w:val="22"/>
        </w:rPr>
        <w:t>’s</w:t>
      </w:r>
      <w:r>
        <w:rPr>
          <w:szCs w:val="22"/>
        </w:rPr>
        <w:t xml:space="preserve"> grant </w:t>
      </w:r>
      <w:r w:rsidR="00BC1075">
        <w:rPr>
          <w:szCs w:val="22"/>
        </w:rPr>
        <w:t>of</w:t>
      </w:r>
      <w:r>
        <w:rPr>
          <w:szCs w:val="22"/>
        </w:rPr>
        <w:t xml:space="preserve"> STAs after June 1, 2017, has any bearing on the Station’s expiration under section 312(g). Under section 312(g), the Station license </w:t>
      </w:r>
      <w:r w:rsidR="00A11540">
        <w:rPr>
          <w:szCs w:val="22"/>
        </w:rPr>
        <w:t xml:space="preserve">had already </w:t>
      </w:r>
      <w:r>
        <w:rPr>
          <w:szCs w:val="22"/>
        </w:rPr>
        <w:t xml:space="preserve">expired automatically, absent any </w:t>
      </w:r>
      <w:r w:rsidR="00FC72B6">
        <w:rPr>
          <w:szCs w:val="22"/>
        </w:rPr>
        <w:t xml:space="preserve">Bureau </w:t>
      </w:r>
      <w:r>
        <w:rPr>
          <w:szCs w:val="22"/>
        </w:rPr>
        <w:t xml:space="preserve">action, on June 1, 2017.  </w:t>
      </w:r>
      <w:r w:rsidR="00A11540">
        <w:rPr>
          <w:szCs w:val="22"/>
        </w:rPr>
        <w:t>The Bureau’s g</w:t>
      </w:r>
      <w:r w:rsidR="00A11540">
        <w:t xml:space="preserve">rant of STAs had no effect—and could not have had an effect—on the earlier statutory expiration of the Station’s license. Bureau staff issued the STAs to allow temporary operations on a going forward basis, for a limited period.  The STAs did not address whether the Station’s license expired under section 312(g), nor did they reinstate or extend the Station’s license term.  Accordingly, </w:t>
      </w:r>
      <w:r>
        <w:rPr>
          <w:szCs w:val="22"/>
        </w:rPr>
        <w:t>Bureau staff’s grant of STAs after June 1, 2017</w:t>
      </w:r>
      <w:r w:rsidR="006A19EB">
        <w:rPr>
          <w:szCs w:val="22"/>
        </w:rPr>
        <w:t>,</w:t>
      </w:r>
      <w:r>
        <w:rPr>
          <w:szCs w:val="22"/>
        </w:rPr>
        <w:t xml:space="preserve"> did not have any effect on the Station’s license expiration.</w:t>
      </w:r>
      <w:r>
        <w:rPr>
          <w:rStyle w:val="FootnoteReference"/>
          <w:szCs w:val="22"/>
        </w:rPr>
        <w:footnoteReference w:id="48"/>
      </w:r>
    </w:p>
    <w:p w:rsidR="008B1A26" w:rsidP="004663C2" w14:paraId="6C39664E" w14:textId="7FEE013B">
      <w:pPr>
        <w:suppressAutoHyphens/>
        <w:spacing w:after="120"/>
        <w:ind w:firstLine="720"/>
        <w:rPr>
          <w:szCs w:val="22"/>
        </w:rPr>
      </w:pPr>
      <w:r>
        <w:rPr>
          <w:szCs w:val="22"/>
        </w:rPr>
        <w:t>Omni’s argument that its unauthorized operation was a minor infraction for which the Bureau should have assessed a monetary forfeiture</w:t>
      </w:r>
      <w:r w:rsidR="00820C5A">
        <w:rPr>
          <w:szCs w:val="22"/>
        </w:rPr>
        <w:t xml:space="preserve"> is</w:t>
      </w:r>
      <w:r w:rsidR="00FC72B6">
        <w:rPr>
          <w:szCs w:val="22"/>
        </w:rPr>
        <w:t xml:space="preserve"> also</w:t>
      </w:r>
      <w:r w:rsidR="00820C5A">
        <w:rPr>
          <w:szCs w:val="22"/>
        </w:rPr>
        <w:t xml:space="preserve"> unavailing</w:t>
      </w:r>
      <w:r>
        <w:rPr>
          <w:szCs w:val="22"/>
        </w:rPr>
        <w:t>.</w:t>
      </w:r>
      <w:r>
        <w:rPr>
          <w:rStyle w:val="FootnoteReference"/>
          <w:szCs w:val="22"/>
        </w:rPr>
        <w:footnoteReference w:id="49"/>
      </w:r>
      <w:r>
        <w:rPr>
          <w:szCs w:val="22"/>
        </w:rPr>
        <w:t xml:space="preserve">  Omni cites </w:t>
      </w:r>
      <w:r w:rsidR="007D38DE">
        <w:rPr>
          <w:szCs w:val="22"/>
        </w:rPr>
        <w:t xml:space="preserve">the </w:t>
      </w:r>
      <w:r>
        <w:rPr>
          <w:szCs w:val="22"/>
        </w:rPr>
        <w:t xml:space="preserve">recent </w:t>
      </w:r>
      <w:r w:rsidR="007D38DE">
        <w:rPr>
          <w:i/>
          <w:iCs/>
          <w:szCs w:val="22"/>
        </w:rPr>
        <w:t xml:space="preserve">Oklahoma City Consent Decree </w:t>
      </w:r>
      <w:r>
        <w:rPr>
          <w:szCs w:val="22"/>
        </w:rPr>
        <w:t>regarding station KEUC</w:t>
      </w:r>
      <w:r w:rsidR="007D38DE">
        <w:rPr>
          <w:szCs w:val="22"/>
        </w:rPr>
        <w:t>(FM)</w:t>
      </w:r>
      <w:r>
        <w:rPr>
          <w:szCs w:val="22"/>
        </w:rPr>
        <w:t>, in which the Bureau entered into a consent decree imposing a monetary forfeiture and compliance plan, where a station failed to notify the Bureau that it was silent for a period of roughly eleven months.</w:t>
      </w:r>
      <w:r>
        <w:rPr>
          <w:rStyle w:val="FootnoteReference"/>
          <w:szCs w:val="22"/>
        </w:rPr>
        <w:footnoteReference w:id="50"/>
      </w:r>
      <w:r>
        <w:rPr>
          <w:szCs w:val="22"/>
        </w:rPr>
        <w:t xml:space="preserve">  Omni’s reliance on this case is inapposite, because unlike KEUC</w:t>
      </w:r>
      <w:r w:rsidR="007D38DE">
        <w:rPr>
          <w:szCs w:val="22"/>
        </w:rPr>
        <w:t>(FM)</w:t>
      </w:r>
      <w:r>
        <w:rPr>
          <w:szCs w:val="22"/>
        </w:rPr>
        <w:t xml:space="preserve">, WTKP operated from an unauthorized location for </w:t>
      </w:r>
      <w:r w:rsidRPr="00631373">
        <w:rPr>
          <w:i/>
          <w:iCs/>
          <w:szCs w:val="22"/>
        </w:rPr>
        <w:t>more than</w:t>
      </w:r>
      <w:r>
        <w:rPr>
          <w:szCs w:val="22"/>
        </w:rPr>
        <w:t xml:space="preserve"> twelve consecutive months, which warrants automatic license expiration under section 312(g).</w:t>
      </w:r>
      <w:r>
        <w:rPr>
          <w:rStyle w:val="FootnoteReference"/>
          <w:szCs w:val="22"/>
        </w:rPr>
        <w:footnoteReference w:id="51"/>
      </w:r>
      <w:r>
        <w:rPr>
          <w:szCs w:val="22"/>
        </w:rPr>
        <w:t xml:space="preserve">  </w:t>
      </w:r>
    </w:p>
    <w:p w:rsidR="006F3ABE" w:rsidP="006F3ABE" w14:paraId="0F63FA2E" w14:textId="77777777">
      <w:pPr>
        <w:suppressAutoHyphens/>
        <w:spacing w:after="120"/>
        <w:ind w:firstLine="720"/>
        <w:rPr>
          <w:szCs w:val="22"/>
        </w:rPr>
      </w:pPr>
      <w:r>
        <w:rPr>
          <w:szCs w:val="22"/>
        </w:rPr>
        <w:t xml:space="preserve">The </w:t>
      </w:r>
      <w:r>
        <w:rPr>
          <w:i/>
          <w:iCs/>
          <w:szCs w:val="22"/>
        </w:rPr>
        <w:t>Letter Decision</w:t>
      </w:r>
      <w:r>
        <w:rPr>
          <w:szCs w:val="22"/>
        </w:rPr>
        <w:t xml:space="preserve"> also correctly found that Omni’s failure to fully respond to the LOI was an appropriate reason to dismiss the Renewal Application.  Omni acknowledges that it failed to</w:t>
      </w:r>
      <w:r w:rsidRPr="00253113">
        <w:rPr>
          <w:szCs w:val="22"/>
        </w:rPr>
        <w:t xml:space="preserve"> respond to all </w:t>
      </w:r>
      <w:r>
        <w:rPr>
          <w:szCs w:val="22"/>
        </w:rPr>
        <w:t xml:space="preserve">of </w:t>
      </w:r>
      <w:r w:rsidRPr="00253113">
        <w:rPr>
          <w:szCs w:val="22"/>
        </w:rPr>
        <w:t xml:space="preserve">the </w:t>
      </w:r>
      <w:r>
        <w:rPr>
          <w:szCs w:val="22"/>
        </w:rPr>
        <w:t xml:space="preserve">LOI </w:t>
      </w:r>
      <w:r w:rsidRPr="00253113">
        <w:rPr>
          <w:szCs w:val="22"/>
        </w:rPr>
        <w:t>interrogatories</w:t>
      </w:r>
      <w:r>
        <w:rPr>
          <w:szCs w:val="22"/>
        </w:rPr>
        <w:t>,</w:t>
      </w:r>
      <w:r w:rsidRPr="00253113">
        <w:rPr>
          <w:szCs w:val="22"/>
        </w:rPr>
        <w:t xml:space="preserve"> or explain why a response was not available.</w:t>
      </w:r>
      <w:r>
        <w:rPr>
          <w:rStyle w:val="FootnoteReference"/>
          <w:szCs w:val="22"/>
        </w:rPr>
        <w:footnoteReference w:id="52"/>
      </w:r>
      <w:r>
        <w:rPr>
          <w:szCs w:val="22"/>
        </w:rPr>
        <w:t xml:space="preserve">  We reject Omni’s argument that this failure to respond to the LOI is not grounds for dismissal of its Renewal Application.  It is well settled that the failure to respond to Commission interrogatories is grounds for the dismissal of an application pending before the Commission.</w:t>
      </w:r>
      <w:r>
        <w:rPr>
          <w:rStyle w:val="FootnoteReference"/>
          <w:szCs w:val="22"/>
        </w:rPr>
        <w:footnoteReference w:id="53"/>
      </w:r>
      <w:r>
        <w:rPr>
          <w:szCs w:val="22"/>
        </w:rPr>
        <w:t xml:space="preserve"> </w:t>
      </w:r>
    </w:p>
    <w:p w:rsidR="008B1A26" w:rsidP="004663C2" w14:paraId="3A6FCEFF" w14:textId="5A0B3E70">
      <w:pPr>
        <w:suppressAutoHyphens/>
        <w:spacing w:after="120"/>
        <w:ind w:firstLine="720"/>
        <w:rPr>
          <w:szCs w:val="22"/>
        </w:rPr>
      </w:pPr>
      <w:r>
        <w:rPr>
          <w:szCs w:val="22"/>
        </w:rPr>
        <w:t xml:space="preserve">Lastly, </w:t>
      </w:r>
      <w:r w:rsidR="006B663B">
        <w:rPr>
          <w:szCs w:val="22"/>
        </w:rPr>
        <w:t>w</w:t>
      </w:r>
      <w:r w:rsidRPr="008C156D" w:rsidR="006B663B">
        <w:rPr>
          <w:szCs w:val="22"/>
        </w:rPr>
        <w:t xml:space="preserve">hile the Commission </w:t>
      </w:r>
      <w:r w:rsidR="00652286">
        <w:rPr>
          <w:szCs w:val="22"/>
        </w:rPr>
        <w:t>has promoted</w:t>
      </w:r>
      <w:r w:rsidRPr="008C156D" w:rsidR="006B663B">
        <w:rPr>
          <w:szCs w:val="22"/>
        </w:rPr>
        <w:t xml:space="preserve"> minorit</w:t>
      </w:r>
      <w:r w:rsidR="006B663B">
        <w:rPr>
          <w:szCs w:val="22"/>
        </w:rPr>
        <w:t xml:space="preserve">y and female ownership, </w:t>
      </w:r>
      <w:r w:rsidRPr="008C156D" w:rsidR="008C156D">
        <w:rPr>
          <w:szCs w:val="22"/>
        </w:rPr>
        <w:t xml:space="preserve">minority status </w:t>
      </w:r>
      <w:r w:rsidR="006B663B">
        <w:rPr>
          <w:szCs w:val="22"/>
        </w:rPr>
        <w:t xml:space="preserve">alone </w:t>
      </w:r>
      <w:r w:rsidR="00442ABB">
        <w:rPr>
          <w:szCs w:val="22"/>
        </w:rPr>
        <w:t>does not warrant reinstatement under the equity and fairness provision of section 312(g)</w:t>
      </w:r>
      <w:r w:rsidRPr="008C156D" w:rsidR="008C156D">
        <w:rPr>
          <w:szCs w:val="22"/>
        </w:rPr>
        <w:t>.</w:t>
      </w:r>
      <w:r>
        <w:rPr>
          <w:rStyle w:val="FootnoteReference"/>
          <w:szCs w:val="22"/>
        </w:rPr>
        <w:footnoteReference w:id="54"/>
      </w:r>
    </w:p>
    <w:p w:rsidR="009F2564" w:rsidRPr="00A5520D" w:rsidP="004663C2" w14:paraId="517BFD05" w14:textId="70928843">
      <w:pPr>
        <w:suppressAutoHyphens/>
        <w:spacing w:after="120"/>
        <w:ind w:firstLine="720"/>
        <w:rPr>
          <w:szCs w:val="22"/>
        </w:rPr>
      </w:pPr>
      <w:r w:rsidRPr="00A5520D">
        <w:rPr>
          <w:szCs w:val="22"/>
        </w:rPr>
        <w:t>Omni</w:t>
      </w:r>
      <w:r w:rsidRPr="00A5520D" w:rsidR="00533B3B">
        <w:rPr>
          <w:szCs w:val="22"/>
        </w:rPr>
        <w:t xml:space="preserve"> has not demonstrated </w:t>
      </w:r>
      <w:r w:rsidR="00326ADB">
        <w:rPr>
          <w:szCs w:val="22"/>
        </w:rPr>
        <w:t xml:space="preserve">any </w:t>
      </w:r>
      <w:r w:rsidRPr="00A5520D" w:rsidR="00533B3B">
        <w:rPr>
          <w:szCs w:val="22"/>
        </w:rPr>
        <w:t xml:space="preserve">legal error to justify reversing the </w:t>
      </w:r>
      <w:r w:rsidRPr="00A5520D" w:rsidR="00533B3B">
        <w:rPr>
          <w:i/>
          <w:iCs/>
          <w:szCs w:val="22"/>
        </w:rPr>
        <w:t>Letter Decision</w:t>
      </w:r>
      <w:r w:rsidRPr="00A5520D">
        <w:rPr>
          <w:szCs w:val="22"/>
        </w:rPr>
        <w:t>,</w:t>
      </w:r>
      <w:r w:rsidRPr="00A5520D" w:rsidR="00533B3B">
        <w:rPr>
          <w:szCs w:val="22"/>
        </w:rPr>
        <w:t xml:space="preserve"> </w:t>
      </w:r>
      <w:r w:rsidRPr="00A5520D">
        <w:rPr>
          <w:szCs w:val="22"/>
        </w:rPr>
        <w:t xml:space="preserve">and </w:t>
      </w:r>
      <w:r w:rsidRPr="00A5520D" w:rsidR="00533B3B">
        <w:rPr>
          <w:szCs w:val="22"/>
        </w:rPr>
        <w:t xml:space="preserve">the </w:t>
      </w:r>
      <w:r w:rsidRPr="00A5520D" w:rsidR="00852EFF">
        <w:rPr>
          <w:szCs w:val="22"/>
        </w:rPr>
        <w:t xml:space="preserve">Bureau’s conclusion in the </w:t>
      </w:r>
      <w:r w:rsidRPr="00A5520D" w:rsidR="00852EFF">
        <w:rPr>
          <w:i/>
          <w:iCs/>
          <w:szCs w:val="22"/>
        </w:rPr>
        <w:t>Letter Decision</w:t>
      </w:r>
      <w:r w:rsidRPr="00A5520D" w:rsidR="00852EFF">
        <w:rPr>
          <w:szCs w:val="22"/>
        </w:rPr>
        <w:t xml:space="preserve"> that </w:t>
      </w:r>
      <w:r w:rsidRPr="00A5520D">
        <w:rPr>
          <w:szCs w:val="22"/>
        </w:rPr>
        <w:t>Omni’s</w:t>
      </w:r>
      <w:r w:rsidRPr="00A5520D" w:rsidR="00852EFF">
        <w:rPr>
          <w:szCs w:val="22"/>
        </w:rPr>
        <w:t xml:space="preserve"> license expired pursuant to section 312(g) is consistent with long-standing Commission precedent.</w:t>
      </w:r>
      <w:r w:rsidRPr="00A5520D" w:rsidR="0057577F">
        <w:rPr>
          <w:szCs w:val="22"/>
        </w:rPr>
        <w:t xml:space="preserve">  Moreover, </w:t>
      </w:r>
      <w:r w:rsidRPr="00A5520D">
        <w:rPr>
          <w:szCs w:val="22"/>
        </w:rPr>
        <w:t>Omni</w:t>
      </w:r>
      <w:r w:rsidRPr="00A5520D" w:rsidR="0057577F">
        <w:rPr>
          <w:szCs w:val="22"/>
        </w:rPr>
        <w:t xml:space="preserve"> has failed to demonstrate</w:t>
      </w:r>
      <w:r w:rsidRPr="00A5520D" w:rsidR="00757FB3">
        <w:rPr>
          <w:szCs w:val="22"/>
        </w:rPr>
        <w:t xml:space="preserve"> that</w:t>
      </w:r>
      <w:r w:rsidRPr="00A5520D" w:rsidR="0057577F">
        <w:rPr>
          <w:szCs w:val="22"/>
        </w:rPr>
        <w:t xml:space="preserve"> </w:t>
      </w:r>
      <w:r w:rsidRPr="00A5520D" w:rsidR="00B95910">
        <w:rPr>
          <w:szCs w:val="22"/>
        </w:rPr>
        <w:t>it experienced any circumstances that</w:t>
      </w:r>
      <w:r w:rsidRPr="00A5520D" w:rsidR="0057577F">
        <w:rPr>
          <w:szCs w:val="22"/>
        </w:rPr>
        <w:t xml:space="preserve"> </w:t>
      </w:r>
      <w:r w:rsidRPr="00A5520D" w:rsidR="006E3306">
        <w:rPr>
          <w:szCs w:val="22"/>
        </w:rPr>
        <w:t>would warrant the exercise of discretion under the “equity and fairness” provision of section 312(g).</w:t>
      </w:r>
      <w:r w:rsidRPr="00A5520D" w:rsidR="001A7A2F">
        <w:rPr>
          <w:szCs w:val="22"/>
        </w:rPr>
        <w:t xml:space="preserve">  </w:t>
      </w:r>
      <w:r w:rsidR="00A5520D">
        <w:rPr>
          <w:szCs w:val="22"/>
        </w:rPr>
        <w:t>Accordingly, we deny the Petition.</w:t>
      </w:r>
    </w:p>
    <w:p w:rsidR="003902A7" w:rsidRPr="00A5520D" w:rsidP="004663C2" w14:paraId="03C98756" w14:textId="6F7C70AA">
      <w:pPr>
        <w:suppressAutoHyphens/>
        <w:spacing w:after="120"/>
        <w:ind w:firstLine="720"/>
        <w:rPr>
          <w:i/>
          <w:iCs/>
          <w:szCs w:val="22"/>
        </w:rPr>
      </w:pPr>
      <w:r w:rsidRPr="00A5520D">
        <w:rPr>
          <w:rStyle w:val="SubtleEmphasis"/>
          <w:rFonts w:eastAsia="Calibri"/>
          <w:b/>
          <w:bCs/>
          <w:i w:val="0"/>
          <w:iCs w:val="0"/>
          <w:color w:val="auto"/>
        </w:rPr>
        <w:t>Conclusion</w:t>
      </w:r>
      <w:r w:rsidRPr="00A5520D">
        <w:rPr>
          <w:rStyle w:val="SubtleEmphasis"/>
          <w:rFonts w:eastAsia="Calibri"/>
          <w:i w:val="0"/>
          <w:iCs w:val="0"/>
          <w:color w:val="auto"/>
        </w:rPr>
        <w:t xml:space="preserve">.  </w:t>
      </w:r>
      <w:r w:rsidRPr="00A5520D" w:rsidR="008F7FC3">
        <w:rPr>
          <w:rStyle w:val="SubtleEmphasis"/>
          <w:rFonts w:eastAsia="Calibri"/>
          <w:i w:val="0"/>
          <w:iCs w:val="0"/>
          <w:color w:val="auto"/>
        </w:rPr>
        <w:t>For the reasons</w:t>
      </w:r>
      <w:r w:rsidR="00F0262E">
        <w:rPr>
          <w:rStyle w:val="SubtleEmphasis"/>
          <w:rFonts w:eastAsia="Calibri"/>
          <w:i w:val="0"/>
          <w:iCs w:val="0"/>
          <w:color w:val="auto"/>
        </w:rPr>
        <w:t xml:space="preserve"> set forth above</w:t>
      </w:r>
      <w:r w:rsidRPr="00A5520D" w:rsidR="008F7FC3">
        <w:rPr>
          <w:rStyle w:val="SubtleEmphasis"/>
          <w:rFonts w:eastAsia="Calibri"/>
          <w:i w:val="0"/>
          <w:iCs w:val="0"/>
          <w:color w:val="auto"/>
        </w:rPr>
        <w:t xml:space="preserve">, </w:t>
      </w:r>
      <w:r w:rsidR="00F0262E">
        <w:rPr>
          <w:rStyle w:val="SubtleEmphasis"/>
          <w:rFonts w:eastAsia="Calibri"/>
          <w:b/>
          <w:bCs/>
          <w:i w:val="0"/>
          <w:iCs w:val="0"/>
          <w:color w:val="auto"/>
        </w:rPr>
        <w:t xml:space="preserve">IT IS ORDERED </w:t>
      </w:r>
      <w:r w:rsidRPr="007B2588" w:rsidR="00F0262E">
        <w:rPr>
          <w:rStyle w:val="SubtleEmphasis"/>
          <w:rFonts w:eastAsia="Calibri"/>
          <w:i w:val="0"/>
          <w:iCs w:val="0"/>
          <w:color w:val="auto"/>
        </w:rPr>
        <w:t>that</w:t>
      </w:r>
      <w:r w:rsidR="00F0262E">
        <w:rPr>
          <w:rStyle w:val="SubtleEmphasis"/>
          <w:rFonts w:eastAsia="Calibri"/>
          <w:b/>
          <w:bCs/>
          <w:i w:val="0"/>
          <w:iCs w:val="0"/>
          <w:color w:val="auto"/>
        </w:rPr>
        <w:t xml:space="preserve"> </w:t>
      </w:r>
      <w:r w:rsidRPr="00A5520D" w:rsidR="008F7FC3">
        <w:rPr>
          <w:rStyle w:val="SubtleEmphasis"/>
          <w:rFonts w:eastAsia="Calibri"/>
          <w:i w:val="0"/>
          <w:iCs w:val="0"/>
          <w:color w:val="auto"/>
        </w:rPr>
        <w:t>t</w:t>
      </w:r>
      <w:r w:rsidRPr="00A5520D" w:rsidR="001A7A2F">
        <w:rPr>
          <w:rStyle w:val="SubtleEmphasis"/>
          <w:rFonts w:eastAsia="Calibri"/>
          <w:i w:val="0"/>
          <w:iCs w:val="0"/>
          <w:color w:val="auto"/>
        </w:rPr>
        <w:t>he</w:t>
      </w:r>
      <w:r w:rsidRPr="00A5520D">
        <w:rPr>
          <w:rStyle w:val="SubtleEmphasis"/>
          <w:rFonts w:eastAsia="Calibri"/>
          <w:i w:val="0"/>
          <w:iCs w:val="0"/>
          <w:color w:val="auto"/>
        </w:rPr>
        <w:t xml:space="preserve"> Petition for Reconsideration</w:t>
      </w:r>
      <w:r w:rsidRPr="00A5520D" w:rsidR="001A7A2F">
        <w:rPr>
          <w:rStyle w:val="SubtleEmphasis"/>
          <w:rFonts w:eastAsia="Calibri"/>
          <w:i w:val="0"/>
          <w:iCs w:val="0"/>
          <w:color w:val="auto"/>
        </w:rPr>
        <w:t xml:space="preserve"> filed by Omni </w:t>
      </w:r>
      <w:r w:rsidRPr="00A5520D" w:rsidR="009752D7">
        <w:rPr>
          <w:rStyle w:val="SubtleEmphasis"/>
          <w:rFonts w:eastAsia="Calibri"/>
          <w:i w:val="0"/>
          <w:iCs w:val="0"/>
          <w:color w:val="auto"/>
        </w:rPr>
        <w:t>Broadcasting, LLC</w:t>
      </w:r>
      <w:r w:rsidRPr="00A5520D" w:rsidR="00EC5BE5">
        <w:rPr>
          <w:rStyle w:val="SubtleEmphasis"/>
          <w:rFonts w:eastAsia="Calibri"/>
          <w:i w:val="0"/>
          <w:iCs w:val="0"/>
          <w:color w:val="auto"/>
        </w:rPr>
        <w:t>,</w:t>
      </w:r>
      <w:r w:rsidRPr="00A5520D" w:rsidR="009752D7">
        <w:rPr>
          <w:rStyle w:val="SubtleEmphasis"/>
          <w:rFonts w:eastAsia="Calibri"/>
          <w:i w:val="0"/>
          <w:iCs w:val="0"/>
          <w:color w:val="auto"/>
        </w:rPr>
        <w:t xml:space="preserve"> on August 25, 2023</w:t>
      </w:r>
      <w:r w:rsidR="00F0262E">
        <w:rPr>
          <w:rStyle w:val="SubtleEmphasis"/>
          <w:rFonts w:eastAsia="Calibri"/>
          <w:i w:val="0"/>
          <w:iCs w:val="0"/>
          <w:color w:val="auto"/>
        </w:rPr>
        <w:t xml:space="preserve"> (Pleading File No. 0000219926)</w:t>
      </w:r>
      <w:r w:rsidRPr="00A5520D" w:rsidR="009752D7">
        <w:rPr>
          <w:rStyle w:val="SubtleEmphasis"/>
          <w:rFonts w:eastAsia="Calibri"/>
          <w:i w:val="0"/>
          <w:iCs w:val="0"/>
          <w:color w:val="auto"/>
        </w:rPr>
        <w:t>,</w:t>
      </w:r>
      <w:r w:rsidRPr="00A5520D">
        <w:rPr>
          <w:rStyle w:val="SubtleEmphasis"/>
          <w:rFonts w:eastAsia="Calibri"/>
          <w:i w:val="0"/>
          <w:iCs w:val="0"/>
          <w:color w:val="auto"/>
        </w:rPr>
        <w:t xml:space="preserve"> </w:t>
      </w:r>
      <w:r w:rsidRPr="00A5520D" w:rsidR="00D3647C">
        <w:rPr>
          <w:rStyle w:val="SubtleEmphasis"/>
          <w:rFonts w:eastAsia="Calibri"/>
          <w:i w:val="0"/>
          <w:iCs w:val="0"/>
          <w:color w:val="auto"/>
        </w:rPr>
        <w:t>IS DENIED</w:t>
      </w:r>
      <w:r w:rsidRPr="00A5520D">
        <w:rPr>
          <w:rStyle w:val="SubtleEmphasis"/>
          <w:rFonts w:eastAsia="Calibri"/>
          <w:i w:val="0"/>
          <w:iCs w:val="0"/>
          <w:color w:val="auto"/>
        </w:rPr>
        <w:t>.</w:t>
      </w:r>
    </w:p>
    <w:p w:rsidR="008A5EB0" w:rsidP="008A5EB0" w14:paraId="6559AF81" w14:textId="77777777">
      <w:pPr>
        <w:tabs>
          <w:tab w:val="left" w:pos="4680"/>
        </w:tabs>
        <w:suppressAutoHyphens/>
        <w:rPr>
          <w:szCs w:val="22"/>
        </w:rPr>
      </w:pPr>
      <w:r w:rsidRPr="003D4BCE">
        <w:rPr>
          <w:szCs w:val="22"/>
        </w:rPr>
        <w:tab/>
        <w:t>Sincerely,</w:t>
      </w:r>
    </w:p>
    <w:p w:rsidR="008A5EB0" w:rsidP="008A5EB0" w14:paraId="3CAEC9B8" w14:textId="77777777">
      <w:pPr>
        <w:tabs>
          <w:tab w:val="left" w:pos="4680"/>
        </w:tabs>
        <w:suppressAutoHyphens/>
        <w:rPr>
          <w:szCs w:val="22"/>
        </w:rPr>
      </w:pPr>
    </w:p>
    <w:p w:rsidR="008A5EB0" w:rsidP="008A5EB0" w14:paraId="187D7A3A" w14:textId="77777777">
      <w:pPr>
        <w:tabs>
          <w:tab w:val="left" w:pos="4680"/>
        </w:tabs>
        <w:suppressAutoHyphens/>
        <w:rPr>
          <w:szCs w:val="22"/>
        </w:rPr>
      </w:pPr>
    </w:p>
    <w:p w:rsidR="008A5EB0" w:rsidRPr="003D4BCE" w:rsidP="008A5EB0" w14:paraId="20C6C981" w14:textId="77777777">
      <w:pPr>
        <w:tabs>
          <w:tab w:val="left" w:pos="4680"/>
        </w:tabs>
        <w:suppressAutoHyphens/>
        <w:rPr>
          <w:szCs w:val="22"/>
        </w:rPr>
      </w:pPr>
    </w:p>
    <w:p w:rsidR="00684FEE" w:rsidRPr="00FF24DF" w:rsidP="006D617F" w14:paraId="052D29D1" w14:textId="77777777">
      <w:pPr>
        <w:tabs>
          <w:tab w:val="left" w:pos="4680"/>
        </w:tabs>
        <w:suppressAutoHyphens/>
        <w:rPr>
          <w:szCs w:val="22"/>
        </w:rPr>
      </w:pPr>
      <w:r w:rsidRPr="00100C9F">
        <w:rPr>
          <w:szCs w:val="22"/>
        </w:rPr>
        <w:tab/>
        <w:t>Albert Shuldiner</w:t>
      </w:r>
    </w:p>
    <w:p w:rsidR="00684FEE" w:rsidRPr="00FF24DF" w:rsidP="006D617F" w14:paraId="30A9E322" w14:textId="77777777">
      <w:pPr>
        <w:pStyle w:val="EndnoteText"/>
        <w:widowControl/>
        <w:tabs>
          <w:tab w:val="left" w:pos="4680"/>
        </w:tabs>
        <w:suppressAutoHyphens/>
        <w:rPr>
          <w:rFonts w:ascii="Times New Roman" w:hAnsi="Times New Roman"/>
          <w:snapToGrid/>
          <w:szCs w:val="22"/>
        </w:rPr>
      </w:pPr>
      <w:r w:rsidRPr="00FF24DF">
        <w:rPr>
          <w:rFonts w:ascii="Times New Roman" w:hAnsi="Times New Roman"/>
          <w:snapToGrid/>
          <w:szCs w:val="22"/>
        </w:rPr>
        <w:tab/>
        <w:t>Chief, Audio Division</w:t>
      </w:r>
    </w:p>
    <w:p w:rsidR="00684FEE" w:rsidRPr="00FF24DF" w:rsidP="006D617F" w14:paraId="007B6FA3" w14:textId="77777777">
      <w:pPr>
        <w:tabs>
          <w:tab w:val="left" w:pos="3960"/>
          <w:tab w:val="left" w:pos="4680"/>
        </w:tabs>
        <w:rPr>
          <w:szCs w:val="22"/>
        </w:rPr>
      </w:pPr>
      <w:r w:rsidRPr="00FF24DF">
        <w:rPr>
          <w:szCs w:val="22"/>
        </w:rPr>
        <w:tab/>
      </w:r>
      <w:r w:rsidRPr="00FF24DF">
        <w:rPr>
          <w:szCs w:val="22"/>
        </w:rPr>
        <w:tab/>
        <w:t>Media Bureau</w:t>
      </w:r>
    </w:p>
    <w:p w:rsidR="00684FEE" w:rsidRPr="00FF24DF" w:rsidP="006D617F" w14:paraId="1A76835A" w14:textId="77777777">
      <w:pPr>
        <w:tabs>
          <w:tab w:val="left" w:pos="3960"/>
          <w:tab w:val="left" w:pos="4680"/>
        </w:tabs>
        <w:rPr>
          <w:szCs w:val="22"/>
        </w:rPr>
      </w:pPr>
    </w:p>
    <w:p w:rsidR="000343BF" w:rsidRPr="009E77D9" w:rsidP="000343BF" w14:paraId="5DCA8E7F" w14:textId="797D1AC4">
      <w:pPr>
        <w:tabs>
          <w:tab w:val="left" w:pos="3960"/>
          <w:tab w:val="left" w:pos="4680"/>
        </w:tabs>
        <w:spacing w:after="120"/>
        <w:rPr>
          <w:color w:val="333333"/>
          <w:szCs w:val="22"/>
        </w:rPr>
      </w:pPr>
    </w:p>
    <w:sectPr w:rsidSect="00684FEE">
      <w:footerReference w:type="default" r:id="rId6"/>
      <w:headerReference w:type="first" r:id="rId7"/>
      <w:footerReference w:type="first" r:id="rId8"/>
      <w:type w:val="continuous"/>
      <w:pgSz w:w="12240" w:h="15840"/>
      <w:pgMar w:top="1440" w:right="1440" w:bottom="1440" w:left="1440" w:header="576"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051B" w:rsidP="00FB0C7D" w14:paraId="2A74DB1F" w14:textId="77777777">
    <w:pPr>
      <w:pStyle w:val="Footer"/>
      <w:jc w:val="center"/>
      <w:rPr>
        <w:sz w:val="20"/>
        <w:szCs w:val="20"/>
      </w:rPr>
    </w:pPr>
    <w:r w:rsidRPr="00FB0C7D">
      <w:rPr>
        <w:sz w:val="20"/>
        <w:szCs w:val="20"/>
      </w:rPr>
      <w:fldChar w:fldCharType="begin"/>
    </w:r>
    <w:r w:rsidRPr="00FB0C7D">
      <w:rPr>
        <w:sz w:val="20"/>
        <w:szCs w:val="20"/>
      </w:rPr>
      <w:instrText xml:space="preserve"> PAGE   \* MERGEFORMAT </w:instrText>
    </w:r>
    <w:r w:rsidRPr="00FB0C7D">
      <w:rPr>
        <w:sz w:val="20"/>
        <w:szCs w:val="20"/>
      </w:rPr>
      <w:fldChar w:fldCharType="separate"/>
    </w:r>
    <w:r w:rsidRPr="00FB0C7D">
      <w:rPr>
        <w:sz w:val="20"/>
        <w:szCs w:val="20"/>
      </w:rPr>
      <w:t>2</w:t>
    </w:r>
    <w:r w:rsidRPr="00FB0C7D">
      <w:rPr>
        <w:noProof/>
        <w:sz w:val="20"/>
        <w:szCs w:val="20"/>
      </w:rPr>
      <w:fldChar w:fldCharType="end"/>
    </w:r>
  </w:p>
  <w:p w:rsidR="00FB0C7D" w:rsidP="00FB0C7D" w14:paraId="6006FBBE" w14:textId="77777777">
    <w:pPr>
      <w:pStyle w:val="Footer"/>
      <w:jc w:val="center"/>
      <w:rPr>
        <w:sz w:val="20"/>
        <w:szCs w:val="20"/>
      </w:rPr>
    </w:pPr>
  </w:p>
  <w:p w:rsidR="00FB0C7D" w:rsidP="00FB0C7D" w14:paraId="06F48CCE" w14:textId="77777777">
    <w:pPr>
      <w:pStyle w:val="Footer"/>
      <w:jc w:val="center"/>
      <w:rPr>
        <w:sz w:val="20"/>
        <w:szCs w:val="20"/>
      </w:rPr>
    </w:pPr>
  </w:p>
  <w:p w:rsidR="00FB0C7D" w:rsidP="00FB0C7D" w14:paraId="6ECA7A13" w14:textId="77777777">
    <w:pPr>
      <w:pStyle w:val="Footer"/>
      <w:jc w:val="center"/>
      <w:rPr>
        <w:sz w:val="20"/>
        <w:szCs w:val="20"/>
      </w:rPr>
    </w:pPr>
  </w:p>
  <w:p w:rsidR="00FB0C7D" w:rsidRPr="00FB0C7D" w:rsidP="00FB0C7D" w14:paraId="68BA106E" w14:textId="77777777">
    <w:pPr>
      <w:pStyle w:val="Footer"/>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051B" w:rsidP="00FB0C7D" w14:paraId="5E4B5326" w14:textId="77777777">
    <w:pPr>
      <w:pStyle w:val="Footer"/>
      <w:spacing w:after="480"/>
      <w:jc w:val="center"/>
    </w:pPr>
  </w:p>
  <w:p w:rsidR="0021051B" w14:paraId="0AC1C54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64BB6" w14:paraId="3A817188" w14:textId="77777777">
      <w:r>
        <w:separator/>
      </w:r>
    </w:p>
  </w:footnote>
  <w:footnote w:type="continuationSeparator" w:id="1">
    <w:p w:rsidR="00764BB6" w14:paraId="30533497" w14:textId="77777777">
      <w:r>
        <w:continuationSeparator/>
      </w:r>
    </w:p>
  </w:footnote>
  <w:footnote w:type="continuationNotice" w:id="2">
    <w:p w:rsidR="00764BB6" w14:paraId="654C0AEE" w14:textId="77777777"/>
  </w:footnote>
  <w:footnote w:id="3">
    <w:p w:rsidR="00137566" w:rsidRPr="00EA1B47" w:rsidP="00EA1B47" w14:paraId="4E7C9776" w14:textId="259D3BD0">
      <w:pPr>
        <w:pStyle w:val="FootnoteText"/>
      </w:pPr>
      <w:r w:rsidRPr="00EA1B47">
        <w:rPr>
          <w:rStyle w:val="FootnoteReference"/>
        </w:rPr>
        <w:footnoteRef/>
      </w:r>
      <w:r w:rsidRPr="00EA1B47">
        <w:t xml:space="preserve"> Pleading File No. </w:t>
      </w:r>
      <w:r w:rsidRPr="00EA1B47" w:rsidR="00930D2C">
        <w:t>0000219926 (filed Aug. 25, 2023)</w:t>
      </w:r>
      <w:r w:rsidRPr="00EA1B47">
        <w:t>.</w:t>
      </w:r>
    </w:p>
  </w:footnote>
  <w:footnote w:id="4">
    <w:p w:rsidR="000A1B4C" w:rsidRPr="00EA1B47" w:rsidP="00EA1B47" w14:paraId="1CCB70D2" w14:textId="3EDE7324">
      <w:pPr>
        <w:pStyle w:val="FootnoteText"/>
      </w:pPr>
      <w:r w:rsidRPr="00EA1B47">
        <w:rPr>
          <w:rStyle w:val="FootnoteReference"/>
        </w:rPr>
        <w:footnoteRef/>
      </w:r>
      <w:r w:rsidRPr="00EA1B47">
        <w:t xml:space="preserve"> </w:t>
      </w:r>
      <w:r w:rsidRPr="00EA1B47" w:rsidR="007D05C5">
        <w:rPr>
          <w:i/>
          <w:iCs/>
        </w:rPr>
        <w:t>Omni Broadcasting, LLC</w:t>
      </w:r>
      <w:r w:rsidRPr="00EA1B47" w:rsidR="00912836">
        <w:t>, Letter Decision, Ref. No. 1800B3-</w:t>
      </w:r>
      <w:r w:rsidRPr="00EA1B47" w:rsidR="007D05C5">
        <w:t>ARR</w:t>
      </w:r>
      <w:r w:rsidRPr="00EA1B47" w:rsidR="00912836">
        <w:t xml:space="preserve"> (MB </w:t>
      </w:r>
      <w:r w:rsidRPr="00EA1B47" w:rsidR="004258FF">
        <w:t>July 26</w:t>
      </w:r>
      <w:r w:rsidRPr="00EA1B47" w:rsidR="00912836">
        <w:t>, 2023) (</w:t>
      </w:r>
      <w:r w:rsidRPr="00EA1B47" w:rsidR="00912836">
        <w:rPr>
          <w:i/>
          <w:iCs/>
        </w:rPr>
        <w:t>Letter Decision</w:t>
      </w:r>
      <w:r w:rsidRPr="00EA1B47" w:rsidR="00912836">
        <w:t>)</w:t>
      </w:r>
      <w:r w:rsidRPr="00EA1B47" w:rsidR="00692D9F">
        <w:t xml:space="preserve">; Application File No. </w:t>
      </w:r>
      <w:r w:rsidRPr="00EA1B47" w:rsidR="005633F1">
        <w:t xml:space="preserve">0000087367 (filed </w:t>
      </w:r>
      <w:r w:rsidRPr="00EA1B47" w:rsidR="003E3F55">
        <w:t>Oct. 25, 2019) (Renewal Application).</w:t>
      </w:r>
    </w:p>
  </w:footnote>
  <w:footnote w:id="5">
    <w:p w:rsidR="00EA2047" w:rsidRPr="00EA1B47" w:rsidP="00EA1B47" w14:paraId="47B5BA39" w14:textId="77777777">
      <w:pPr>
        <w:pStyle w:val="FootnoteText"/>
      </w:pPr>
      <w:r w:rsidRPr="00EA1B47">
        <w:rPr>
          <w:rStyle w:val="FootnoteReference"/>
        </w:rPr>
        <w:footnoteRef/>
      </w:r>
      <w:r w:rsidRPr="00EA1B47">
        <w:t xml:space="preserve"> </w:t>
      </w:r>
      <w:r w:rsidRPr="00EA1B47">
        <w:rPr>
          <w:i/>
          <w:iCs/>
        </w:rPr>
        <w:t>See</w:t>
      </w:r>
      <w:r w:rsidRPr="00EA1B47">
        <w:t xml:space="preserve"> Application File No. BALH-20120515ACM (filed May 15, 2012) (consummated on July 6, 2012).</w:t>
      </w:r>
    </w:p>
  </w:footnote>
  <w:footnote w:id="6">
    <w:p w:rsidR="001A2265" w:rsidRPr="00EA1B47" w:rsidP="001A2265" w14:paraId="2E4A31BC" w14:textId="77777777">
      <w:pPr>
        <w:pStyle w:val="FootnoteText"/>
      </w:pPr>
      <w:r w:rsidRPr="00EA1B47">
        <w:rPr>
          <w:rStyle w:val="FootnoteReference"/>
        </w:rPr>
        <w:footnoteRef/>
      </w:r>
      <w:r w:rsidRPr="00EA1B47">
        <w:t xml:space="preserve"> </w:t>
      </w:r>
      <w:r w:rsidRPr="00EA1B47">
        <w:rPr>
          <w:i/>
          <w:iCs/>
        </w:rPr>
        <w:t xml:space="preserve">See </w:t>
      </w:r>
      <w:r w:rsidRPr="00EA1B47">
        <w:t>Application File No. BSTA-20151125ACO (filed Nov. 25, 2015) (2015 Engineering STA).</w:t>
      </w:r>
    </w:p>
  </w:footnote>
  <w:footnote w:id="7">
    <w:p w:rsidR="00EA2047" w:rsidRPr="00EA1B47" w:rsidP="00EA1B47" w14:paraId="5BA0B776" w14:textId="77777777">
      <w:pPr>
        <w:pStyle w:val="FootnoteText"/>
      </w:pPr>
      <w:r w:rsidRPr="00EA1B47">
        <w:rPr>
          <w:rStyle w:val="FootnoteReference"/>
        </w:rPr>
        <w:footnoteRef/>
      </w:r>
      <w:r w:rsidRPr="00EA1B47">
        <w:t xml:space="preserve"> </w:t>
      </w:r>
      <w:r w:rsidRPr="00EA1B47">
        <w:rPr>
          <w:i/>
          <w:iCs/>
        </w:rPr>
        <w:t>See</w:t>
      </w:r>
      <w:r w:rsidRPr="00EA1B47">
        <w:t xml:space="preserve"> Application File No. BPH-20160829ACO (filed Aug. 29, 2016).</w:t>
      </w:r>
    </w:p>
  </w:footnote>
  <w:footnote w:id="8">
    <w:p w:rsidR="006E38C4" w:rsidRPr="006E38C4" w14:paraId="49C90B1B" w14:textId="2442D43A">
      <w:pPr>
        <w:pStyle w:val="FootnoteText"/>
      </w:pPr>
      <w:r>
        <w:rPr>
          <w:rStyle w:val="FootnoteReference"/>
        </w:rPr>
        <w:footnoteRef/>
      </w:r>
      <w:r>
        <w:t xml:space="preserve"> </w:t>
      </w:r>
      <w:r>
        <w:rPr>
          <w:i/>
          <w:iCs/>
        </w:rPr>
        <w:t>See</w:t>
      </w:r>
      <w:r>
        <w:t xml:space="preserve"> </w:t>
      </w:r>
      <w:r w:rsidR="00775904">
        <w:t>Renewal Application.</w:t>
      </w:r>
    </w:p>
  </w:footnote>
  <w:footnote w:id="9">
    <w:p w:rsidR="00281A43" w14:paraId="472DCC9A" w14:textId="68CC4435">
      <w:pPr>
        <w:pStyle w:val="FootnoteText"/>
      </w:pPr>
      <w:r>
        <w:rPr>
          <w:rStyle w:val="FootnoteReference"/>
        </w:rPr>
        <w:footnoteRef/>
      </w:r>
      <w:r>
        <w:t xml:space="preserve"> Due to our conclusion that the Station’s license has expired, we refrain from any further exploration of the significance of </w:t>
      </w:r>
      <w:r w:rsidR="00414F0E">
        <w:t xml:space="preserve">Omni’s certifications in its renewal application.  </w:t>
      </w:r>
    </w:p>
  </w:footnote>
  <w:footnote w:id="10">
    <w:p w:rsidR="00EA2047" w:rsidRPr="00EA1B47" w:rsidP="00EA1B47" w14:paraId="3FAB1FBB" w14:textId="0835E5EC">
      <w:pPr>
        <w:pStyle w:val="FootnoteText"/>
      </w:pPr>
      <w:r w:rsidRPr="00EA1B47">
        <w:rPr>
          <w:rStyle w:val="FootnoteReference"/>
        </w:rPr>
        <w:footnoteRef/>
      </w:r>
      <w:r w:rsidRPr="00EA1B47">
        <w:t xml:space="preserve"> </w:t>
      </w:r>
      <w:r w:rsidRPr="00EA1B47">
        <w:rPr>
          <w:i/>
          <w:iCs/>
        </w:rPr>
        <w:t xml:space="preserve">See </w:t>
      </w:r>
      <w:r w:rsidRPr="000E2199" w:rsidR="00876E17">
        <w:t>Application File No. 0000124529 (filed Oct. 13, 2020)</w:t>
      </w:r>
      <w:r w:rsidR="0006288E">
        <w:t>.</w:t>
      </w:r>
      <w:r w:rsidRPr="00EA1B47" w:rsidR="0006288E">
        <w:t xml:space="preserve"> </w:t>
      </w:r>
    </w:p>
  </w:footnote>
  <w:footnote w:id="11">
    <w:p w:rsidR="00EA2047" w:rsidRPr="00EA1B47" w:rsidP="00EA1B47" w14:paraId="22ED180F" w14:textId="77777777">
      <w:pPr>
        <w:pStyle w:val="FootnoteText"/>
      </w:pPr>
      <w:r w:rsidRPr="00EA1B47">
        <w:rPr>
          <w:rStyle w:val="FootnoteReference"/>
        </w:rPr>
        <w:footnoteRef/>
      </w:r>
      <w:r w:rsidRPr="00EA1B47">
        <w:t xml:space="preserve"> </w:t>
      </w:r>
      <w:r w:rsidRPr="00EA1B47">
        <w:rPr>
          <w:i/>
          <w:iCs/>
        </w:rPr>
        <w:t xml:space="preserve">See </w:t>
      </w:r>
      <w:r w:rsidRPr="00EA1B47">
        <w:t>Application File No. BLSTA-20210812AAG (filed Aug. 12, 2021) (expiring Apr. 18, 2022).</w:t>
      </w:r>
    </w:p>
  </w:footnote>
  <w:footnote w:id="12">
    <w:p w:rsidR="00EA2047" w:rsidRPr="00EA1B47" w:rsidP="00EA1B47" w14:paraId="7CC0CA17" w14:textId="07E6D546">
      <w:pPr>
        <w:pStyle w:val="FootnoteText"/>
      </w:pPr>
      <w:r w:rsidRPr="00EA1B47">
        <w:rPr>
          <w:rStyle w:val="FootnoteReference"/>
        </w:rPr>
        <w:footnoteRef/>
      </w:r>
      <w:r w:rsidRPr="00EA1B47">
        <w:t xml:space="preserve"> </w:t>
      </w:r>
      <w:r w:rsidRPr="00EA1B47">
        <w:rPr>
          <w:i/>
          <w:iCs/>
        </w:rPr>
        <w:t xml:space="preserve">See </w:t>
      </w:r>
      <w:r w:rsidRPr="000E2199" w:rsidR="00876E17">
        <w:t>Application File No. BSTA-20210913AAF (filed Sept. 13, 2021)</w:t>
      </w:r>
      <w:r w:rsidR="00876E17">
        <w:t xml:space="preserve"> (</w:t>
      </w:r>
      <w:r w:rsidRPr="00EA1B47">
        <w:t>2021 Engineering STA</w:t>
      </w:r>
      <w:r w:rsidR="00876E17">
        <w:t>)</w:t>
      </w:r>
      <w:r w:rsidRPr="00EA1B47">
        <w:t>.</w:t>
      </w:r>
    </w:p>
  </w:footnote>
  <w:footnote w:id="13">
    <w:p w:rsidR="00EA2047" w:rsidRPr="00EA1B47" w:rsidP="00EA1B47" w14:paraId="0B15E1F9" w14:textId="77777777">
      <w:pPr>
        <w:pStyle w:val="FootnoteText"/>
      </w:pPr>
      <w:r w:rsidRPr="00EA1B47">
        <w:rPr>
          <w:rStyle w:val="FootnoteReference"/>
        </w:rPr>
        <w:footnoteRef/>
      </w:r>
      <w:r w:rsidRPr="00EA1B47">
        <w:t xml:space="preserve"> Application File No. 0000197401 (filed Aug. 11, 2022).  </w:t>
      </w:r>
      <w:r w:rsidRPr="00EA1B47">
        <w:rPr>
          <w:i/>
          <w:iCs/>
        </w:rPr>
        <w:t>See also</w:t>
      </w:r>
      <w:r w:rsidRPr="00EA1B47">
        <w:t xml:space="preserve"> Application File No. BLH-19940613KM.  </w:t>
      </w:r>
    </w:p>
  </w:footnote>
  <w:footnote w:id="14">
    <w:p w:rsidR="00EA2047" w:rsidRPr="00EA1B47" w:rsidP="00EA1B47" w14:paraId="618ACC9F" w14:textId="77777777">
      <w:pPr>
        <w:pStyle w:val="FootnoteText"/>
      </w:pPr>
      <w:r w:rsidRPr="00EA1B47">
        <w:rPr>
          <w:rStyle w:val="FootnoteReference"/>
        </w:rPr>
        <w:footnoteRef/>
      </w:r>
      <w:r w:rsidRPr="00EA1B47">
        <w:t xml:space="preserve"> Application File No. 0000197402 (filed Aug. 11, 2022).</w:t>
      </w:r>
    </w:p>
  </w:footnote>
  <w:footnote w:id="15">
    <w:p w:rsidR="00EA2047" w:rsidRPr="00EA1B47" w:rsidP="00EA1B47" w14:paraId="24D8CE53" w14:textId="3D909700">
      <w:pPr>
        <w:pStyle w:val="FootnoteText"/>
      </w:pPr>
      <w:r w:rsidRPr="00EA1B47">
        <w:rPr>
          <w:rStyle w:val="FootnoteReference"/>
        </w:rPr>
        <w:footnoteRef/>
      </w:r>
      <w:r w:rsidRPr="00EA1B47">
        <w:t xml:space="preserve"> Application File No. BSTA-20210913AAF (filed Sept. 9, 2022). </w:t>
      </w:r>
    </w:p>
  </w:footnote>
  <w:footnote w:id="16">
    <w:p w:rsidR="004A26ED" w14:paraId="3A1E3956" w14:textId="7E7AA2FE">
      <w:pPr>
        <w:pStyle w:val="FootnoteText"/>
      </w:pPr>
      <w:r>
        <w:rPr>
          <w:rStyle w:val="FootnoteReference"/>
        </w:rPr>
        <w:footnoteRef/>
      </w:r>
      <w:r>
        <w:t xml:space="preserve"> </w:t>
      </w:r>
      <w:r w:rsidRPr="000E2199" w:rsidR="00876E17">
        <w:t xml:space="preserve">Application File No. 0000212297 (filed Mar. 9, 2023) </w:t>
      </w:r>
      <w:r>
        <w:t>(Assignment Application).</w:t>
      </w:r>
    </w:p>
  </w:footnote>
  <w:footnote w:id="17">
    <w:p w:rsidR="00E94940" w:rsidRPr="00EA1B47" w:rsidP="00EA1B47" w14:paraId="4B1B66B4" w14:textId="77777777">
      <w:pPr>
        <w:pStyle w:val="FootnoteText"/>
      </w:pPr>
      <w:r w:rsidRPr="00EA1B47">
        <w:rPr>
          <w:rStyle w:val="FootnoteReference"/>
        </w:rPr>
        <w:footnoteRef/>
      </w:r>
      <w:r w:rsidRPr="00EA1B47">
        <w:t xml:space="preserve"> </w:t>
      </w:r>
      <w:r w:rsidRPr="00EA1B47">
        <w:rPr>
          <w:i/>
          <w:iCs/>
        </w:rPr>
        <w:t xml:space="preserve">See </w:t>
      </w:r>
      <w:r w:rsidRPr="00EA1B47">
        <w:t>Letter</w:t>
      </w:r>
      <w:r w:rsidRPr="00EA1B47">
        <w:rPr>
          <w:i/>
          <w:iCs/>
        </w:rPr>
        <w:t xml:space="preserve"> from Albert Shuldiner, Chief, Audio Division, Media Bureau, FCC, to</w:t>
      </w:r>
      <w:r w:rsidRPr="00EA1B47">
        <w:t xml:space="preserve"> </w:t>
      </w:r>
      <w:r w:rsidRPr="00EA1B47">
        <w:rPr>
          <w:i/>
          <w:iCs/>
        </w:rPr>
        <w:t>Omni Broadcasting, LLC</w:t>
      </w:r>
      <w:r w:rsidRPr="00EA1B47">
        <w:t xml:space="preserve"> (Apr. 6, 2022).</w:t>
      </w:r>
    </w:p>
  </w:footnote>
  <w:footnote w:id="18">
    <w:p w:rsidR="00EA2047" w:rsidRPr="00EA1B47" w:rsidP="00EA1B47" w14:paraId="1D9F3862" w14:textId="77777777">
      <w:pPr>
        <w:pStyle w:val="FootnoteText"/>
      </w:pPr>
      <w:r w:rsidRPr="00EA1B47">
        <w:rPr>
          <w:rStyle w:val="FootnoteReference"/>
        </w:rPr>
        <w:footnoteRef/>
      </w:r>
      <w:r w:rsidRPr="00EA1B47">
        <w:t xml:space="preserve"> </w:t>
      </w:r>
      <w:r w:rsidRPr="00EA1B47">
        <w:rPr>
          <w:i/>
          <w:iCs/>
        </w:rPr>
        <w:t>See Email from John C. Trent, Attorney, to Victoria McCauley, Attorney, Audio Division, MB, FCC</w:t>
      </w:r>
      <w:r w:rsidRPr="00EA1B47">
        <w:t xml:space="preserve"> (May 16, 2022, 17:10, EDT) (LOI Response)</w:t>
      </w:r>
      <w:r w:rsidRPr="00EA1B47">
        <w:rPr>
          <w:i/>
          <w:iCs/>
        </w:rPr>
        <w:t>.</w:t>
      </w:r>
      <w:r w:rsidRPr="00EA1B47">
        <w:t xml:space="preserve">  </w:t>
      </w:r>
    </w:p>
  </w:footnote>
  <w:footnote w:id="19">
    <w:p w:rsidR="00EA2047" w:rsidRPr="00EA1B47" w:rsidP="00EA1B47" w14:paraId="0042DBAD" w14:textId="77777777">
      <w:pPr>
        <w:pStyle w:val="FootnoteText"/>
      </w:pPr>
      <w:r w:rsidRPr="00EA1B47">
        <w:rPr>
          <w:rStyle w:val="FootnoteReference"/>
        </w:rPr>
        <w:footnoteRef/>
      </w:r>
      <w:r w:rsidRPr="00EA1B47">
        <w:t xml:space="preserve"> </w:t>
      </w:r>
      <w:r w:rsidRPr="00EA1B47">
        <w:rPr>
          <w:i/>
          <w:iCs/>
        </w:rPr>
        <w:t>See Email from John C. Trent, Attorney, to Victoria McCauley, Attorney, Audio Division, MB, FCC</w:t>
      </w:r>
      <w:r w:rsidRPr="00EA1B47">
        <w:t xml:space="preserve"> (May 31, 2022, 10:34, EDT) (LOI Response Supplement)</w:t>
      </w:r>
      <w:r w:rsidRPr="00EA1B47">
        <w:rPr>
          <w:i/>
          <w:iCs/>
        </w:rPr>
        <w:t>.</w:t>
      </w:r>
      <w:r w:rsidRPr="00EA1B47">
        <w:t xml:space="preserve">  </w:t>
      </w:r>
    </w:p>
  </w:footnote>
  <w:footnote w:id="20">
    <w:p w:rsidR="00EA2047" w:rsidRPr="00EA1B47" w:rsidP="00EA1B47" w14:paraId="1FF227AF" w14:textId="77777777">
      <w:pPr>
        <w:pStyle w:val="FootnoteText"/>
      </w:pPr>
      <w:r w:rsidRPr="00EA1B47">
        <w:rPr>
          <w:rStyle w:val="FootnoteReference"/>
        </w:rPr>
        <w:footnoteRef/>
      </w:r>
      <w:r w:rsidRPr="00EA1B47">
        <w:t xml:space="preserve"> LOI Response at 4.</w:t>
      </w:r>
    </w:p>
  </w:footnote>
  <w:footnote w:id="21">
    <w:p w:rsidR="00EA2047" w:rsidRPr="00EA1B47" w:rsidP="00EA1B47" w14:paraId="27E92205" w14:textId="77777777">
      <w:pPr>
        <w:pStyle w:val="FootnoteText"/>
      </w:pPr>
      <w:r w:rsidRPr="00EA1B47">
        <w:rPr>
          <w:rStyle w:val="FootnoteReference"/>
        </w:rPr>
        <w:footnoteRef/>
      </w:r>
      <w:r w:rsidRPr="00EA1B47">
        <w:t xml:space="preserve"> </w:t>
      </w:r>
      <w:r w:rsidRPr="00EA1B47">
        <w:rPr>
          <w:i/>
          <w:iCs/>
        </w:rPr>
        <w:t>Id.</w:t>
      </w:r>
    </w:p>
  </w:footnote>
  <w:footnote w:id="22">
    <w:p w:rsidR="00EA2047" w:rsidRPr="00EA1B47" w:rsidP="00EA1B47" w14:paraId="35CAD995" w14:textId="77777777">
      <w:pPr>
        <w:pStyle w:val="FootnoteText"/>
        <w:rPr>
          <w:i/>
          <w:iCs/>
        </w:rPr>
      </w:pPr>
      <w:r w:rsidRPr="00EA1B47">
        <w:rPr>
          <w:rStyle w:val="FootnoteReference"/>
        </w:rPr>
        <w:footnoteRef/>
      </w:r>
      <w:r w:rsidRPr="00EA1B47">
        <w:t xml:space="preserve"> </w:t>
      </w:r>
      <w:r w:rsidRPr="00EA1B47">
        <w:rPr>
          <w:i/>
          <w:iCs/>
        </w:rPr>
        <w:t>Id.</w:t>
      </w:r>
    </w:p>
  </w:footnote>
  <w:footnote w:id="23">
    <w:p w:rsidR="00EA2047" w:rsidRPr="00EA1B47" w:rsidP="00EA1B47" w14:paraId="4209F2B5" w14:textId="77777777">
      <w:pPr>
        <w:pStyle w:val="FootnoteText"/>
      </w:pPr>
      <w:r w:rsidRPr="00EA1B47">
        <w:rPr>
          <w:rStyle w:val="FootnoteReference"/>
        </w:rPr>
        <w:footnoteRef/>
      </w:r>
      <w:r w:rsidRPr="00EA1B47">
        <w:t xml:space="preserve"> </w:t>
      </w:r>
      <w:r w:rsidRPr="00EA1B47">
        <w:rPr>
          <w:i/>
          <w:iCs/>
        </w:rPr>
        <w:t xml:space="preserve">See generally </w:t>
      </w:r>
      <w:r w:rsidRPr="00EA1B47">
        <w:t xml:space="preserve">LOI Response and LOI Response Supplement. </w:t>
      </w:r>
    </w:p>
  </w:footnote>
  <w:footnote w:id="24">
    <w:p w:rsidR="00474E36" w:rsidRPr="00EA1B47" w:rsidP="00EA1B47" w14:paraId="09F7D41D" w14:textId="24C380D0">
      <w:pPr>
        <w:pStyle w:val="FootnoteText"/>
      </w:pPr>
      <w:r w:rsidRPr="00EA1B47">
        <w:rPr>
          <w:rStyle w:val="FootnoteReference"/>
        </w:rPr>
        <w:footnoteRef/>
      </w:r>
      <w:r w:rsidRPr="00EA1B47">
        <w:t xml:space="preserve"> </w:t>
      </w:r>
      <w:r w:rsidRPr="00EA1B47">
        <w:rPr>
          <w:i/>
          <w:iCs/>
        </w:rPr>
        <w:t xml:space="preserve">Letter Decision </w:t>
      </w:r>
      <w:r w:rsidRPr="00EA1B47">
        <w:t xml:space="preserve">at </w:t>
      </w:r>
      <w:r w:rsidRPr="00EA1B47" w:rsidR="00377B70">
        <w:t>3-4</w:t>
      </w:r>
      <w:r w:rsidRPr="00EA1B47" w:rsidR="00AD1E51">
        <w:t xml:space="preserve"> (citing </w:t>
      </w:r>
      <w:r w:rsidRPr="00EA1B47" w:rsidR="00AD1E51">
        <w:rPr>
          <w:i/>
          <w:iCs/>
        </w:rPr>
        <w:t>Chinese Voice of Golden City v. FCC</w:t>
      </w:r>
      <w:r w:rsidRPr="00EA1B47" w:rsidR="00AD1E51">
        <w:t>, 2021 WL 6102191 (D.C. Cir. 2021) (affirming that transmissions from an unauthorized location do not constitute “broadcast signals” for purposes of § 312(g));</w:t>
      </w:r>
      <w:r w:rsidRPr="00EA1B47" w:rsidR="00AD1E51">
        <w:rPr>
          <w:i/>
          <w:iCs/>
        </w:rPr>
        <w:t xml:space="preserve"> Kingdom of God, Inc. v. FCC</w:t>
      </w:r>
      <w:r w:rsidRPr="00EA1B47" w:rsidR="00AD1E51">
        <w:t>,</w:t>
      </w:r>
      <w:r w:rsidRPr="00EA1B47" w:rsidR="00AD1E51">
        <w:rPr>
          <w:i/>
          <w:iCs/>
        </w:rPr>
        <w:t xml:space="preserve"> </w:t>
      </w:r>
      <w:r w:rsidRPr="00EA1B47" w:rsidR="00AD1E51">
        <w:t>719 Fed. Appx. 19, 20 (D.C. Cir. 2018) (Mem.) (“Kingdom’s transmissions from its unauthorized location in Beech Grove do not constitute ‘broadcast signals’ for purposes of § 312(g)”);</w:t>
      </w:r>
      <w:r w:rsidRPr="00EA1B47" w:rsidR="00AD1E51">
        <w:rPr>
          <w:i/>
          <w:iCs/>
        </w:rPr>
        <w:t xml:space="preserve"> Roy E. Henderson, </w:t>
      </w:r>
      <w:r w:rsidRPr="00EA1B47" w:rsidR="00AD1E51">
        <w:t>Memorandum Opinion and Order, 33 FCC Rcd 3385, 3385, n.3 (2018) (upholding a section 312(g) finding where the licensee had lost its licensed site and had not obtained authorization to operate at other temporary sites))</w:t>
      </w:r>
      <w:r w:rsidRPr="00EA1B47" w:rsidR="00377B70">
        <w:t>.</w:t>
      </w:r>
    </w:p>
  </w:footnote>
  <w:footnote w:id="25">
    <w:p w:rsidR="002E4376" w:rsidRPr="00EA1B47" w:rsidP="00EA1B47" w14:paraId="6D30E778" w14:textId="6ABA00B3">
      <w:pPr>
        <w:pStyle w:val="FootnoteText"/>
      </w:pPr>
      <w:r w:rsidRPr="00EA1B47">
        <w:rPr>
          <w:rStyle w:val="FootnoteReference"/>
        </w:rPr>
        <w:footnoteRef/>
      </w:r>
      <w:r w:rsidRPr="00EA1B47">
        <w:t xml:space="preserve"> </w:t>
      </w:r>
      <w:r w:rsidRPr="00EA1B47" w:rsidR="00E95B9B">
        <w:rPr>
          <w:i/>
          <w:iCs/>
        </w:rPr>
        <w:t xml:space="preserve">Letter Decision </w:t>
      </w:r>
      <w:r w:rsidRPr="00EA1B47" w:rsidR="00E95B9B">
        <w:t xml:space="preserve">at 4 </w:t>
      </w:r>
      <w:r w:rsidR="00E50F08">
        <w:t xml:space="preserve">(citing </w:t>
      </w:r>
      <w:r w:rsidRPr="00EA1B47">
        <w:t>47 CFR §§ 73.3566(b) (“If an applicant is requested by the FCC to file any additional documents or information not included in the prescribed application form, a failure to comply with such request will be deemed to render the application defective, and such application will be dismissed.”), 73.3568(a) (“. . .  failure to respond to official correspondence or request for additional information, will be cause for dismissal.”)</w:t>
      </w:r>
      <w:r w:rsidR="00E50F08">
        <w:t>, and</w:t>
      </w:r>
      <w:r w:rsidRPr="00EA1B47">
        <w:rPr>
          <w:i/>
          <w:iCs/>
        </w:rPr>
        <w:t xml:space="preserve"> LPFM MX Group 37</w:t>
      </w:r>
      <w:r w:rsidRPr="00EA1B47">
        <w:t>, Memorandum Opinion and Order, 31 FCC Rcd 7512, 7517, para. 12 (2016) (dismissing application for failure to respond to letter of inquiry)</w:t>
      </w:r>
      <w:r w:rsidR="00E50F08">
        <w:t>)</w:t>
      </w:r>
      <w:r w:rsidRPr="00EA1B47">
        <w:t xml:space="preserve">.  </w:t>
      </w:r>
    </w:p>
  </w:footnote>
  <w:footnote w:id="26">
    <w:p w:rsidR="0074667C" w:rsidRPr="00EA1B47" w:rsidP="00EA1B47" w14:paraId="0825201A" w14:textId="13D5E7EE">
      <w:pPr>
        <w:pStyle w:val="FootnoteText"/>
      </w:pPr>
      <w:r w:rsidRPr="00EA1B47">
        <w:rPr>
          <w:rStyle w:val="FootnoteReference"/>
        </w:rPr>
        <w:footnoteRef/>
      </w:r>
      <w:r w:rsidRPr="00EA1B47">
        <w:t xml:space="preserve"> Petition at 1.</w:t>
      </w:r>
    </w:p>
  </w:footnote>
  <w:footnote w:id="27">
    <w:p w:rsidR="0074667C" w:rsidRPr="00EA1B47" w:rsidP="00EA1B47" w14:paraId="09804B6A" w14:textId="6375897F">
      <w:pPr>
        <w:pStyle w:val="FootnoteText"/>
      </w:pPr>
      <w:r w:rsidRPr="00EA1B47">
        <w:rPr>
          <w:rStyle w:val="FootnoteReference"/>
        </w:rPr>
        <w:footnoteRef/>
      </w:r>
      <w:r w:rsidRPr="00EA1B47">
        <w:t xml:space="preserve"> </w:t>
      </w:r>
      <w:r w:rsidRPr="00EA1B47">
        <w:rPr>
          <w:i/>
          <w:iCs/>
        </w:rPr>
        <w:t xml:space="preserve">Id. </w:t>
      </w:r>
      <w:r w:rsidRPr="00EA1B47">
        <w:t xml:space="preserve">at 2. </w:t>
      </w:r>
    </w:p>
  </w:footnote>
  <w:footnote w:id="28">
    <w:p w:rsidR="00862433" w:rsidRPr="00EA1B47" w:rsidP="00EA1B47" w14:paraId="1F6737D4" w14:textId="500E7D2D">
      <w:pPr>
        <w:pStyle w:val="FootnoteText"/>
        <w:rPr>
          <w:i/>
          <w:iCs/>
        </w:rPr>
      </w:pPr>
      <w:r w:rsidRPr="00EA1B47">
        <w:rPr>
          <w:rStyle w:val="FootnoteReference"/>
        </w:rPr>
        <w:footnoteRef/>
      </w:r>
      <w:r w:rsidRPr="00EA1B47">
        <w:t xml:space="preserve"> </w:t>
      </w:r>
      <w:r w:rsidRPr="00EA1B47">
        <w:rPr>
          <w:i/>
          <w:iCs/>
        </w:rPr>
        <w:t>Id.</w:t>
      </w:r>
    </w:p>
  </w:footnote>
  <w:footnote w:id="29">
    <w:p w:rsidR="00291053" w:rsidRPr="00EA1B47" w:rsidP="00EA1B47" w14:paraId="2F39BA06" w14:textId="2A1522E5">
      <w:pPr>
        <w:pStyle w:val="FootnoteText"/>
        <w:rPr>
          <w:i/>
          <w:iCs/>
        </w:rPr>
      </w:pPr>
      <w:r w:rsidRPr="00EA1B47">
        <w:rPr>
          <w:rStyle w:val="FootnoteReference"/>
        </w:rPr>
        <w:footnoteRef/>
      </w:r>
      <w:r w:rsidRPr="00EA1B47">
        <w:t xml:space="preserve"> </w:t>
      </w:r>
      <w:r w:rsidRPr="00EA1B47">
        <w:rPr>
          <w:i/>
          <w:iCs/>
        </w:rPr>
        <w:t>Id.</w:t>
      </w:r>
    </w:p>
  </w:footnote>
  <w:footnote w:id="30">
    <w:p w:rsidR="00156F21" w:rsidRPr="00B06441" w:rsidP="00EA1B47" w14:paraId="499B3063" w14:textId="14FC19BE">
      <w:pPr>
        <w:pStyle w:val="FootnoteText"/>
      </w:pPr>
      <w:r w:rsidRPr="00EA1B47">
        <w:rPr>
          <w:rStyle w:val="FootnoteReference"/>
        </w:rPr>
        <w:footnoteRef/>
      </w:r>
      <w:r w:rsidRPr="00EA1B47">
        <w:t xml:space="preserve"> </w:t>
      </w:r>
      <w:r w:rsidRPr="00EA1B47">
        <w:rPr>
          <w:i/>
          <w:iCs/>
        </w:rPr>
        <w:t>Id.</w:t>
      </w:r>
      <w:r w:rsidR="00B87A45">
        <w:t xml:space="preserve"> at 2-3.</w:t>
      </w:r>
    </w:p>
  </w:footnote>
  <w:footnote w:id="31">
    <w:p w:rsidR="00D5602B" w:rsidRPr="00EA1B47" w:rsidP="00EA1B47" w14:paraId="290183E7" w14:textId="3CA89C64">
      <w:pPr>
        <w:pStyle w:val="FootnoteText"/>
      </w:pPr>
      <w:r w:rsidRPr="00EA1B47">
        <w:rPr>
          <w:rStyle w:val="FootnoteReference"/>
        </w:rPr>
        <w:footnoteRef/>
      </w:r>
      <w:r w:rsidRPr="00EA1B47">
        <w:t xml:space="preserve"> </w:t>
      </w:r>
      <w:r w:rsidRPr="00EA1B47">
        <w:rPr>
          <w:i/>
          <w:iCs/>
        </w:rPr>
        <w:t>Id.</w:t>
      </w:r>
      <w:r w:rsidRPr="00EA1B47">
        <w:t xml:space="preserve"> at 3.</w:t>
      </w:r>
    </w:p>
  </w:footnote>
  <w:footnote w:id="32">
    <w:p w:rsidR="00B95E32" w:rsidRPr="00EA1B47" w:rsidP="00EA1B47" w14:paraId="787587BB" w14:textId="7406FAC1">
      <w:pPr>
        <w:pStyle w:val="FootnoteText"/>
        <w:rPr>
          <w:i/>
          <w:iCs/>
        </w:rPr>
      </w:pPr>
      <w:r w:rsidRPr="00EA1B47">
        <w:rPr>
          <w:rStyle w:val="FootnoteReference"/>
        </w:rPr>
        <w:footnoteRef/>
      </w:r>
      <w:r w:rsidRPr="00EA1B47">
        <w:t xml:space="preserve"> </w:t>
      </w:r>
      <w:r w:rsidRPr="00EA1B47">
        <w:rPr>
          <w:i/>
          <w:iCs/>
        </w:rPr>
        <w:t>Id.</w:t>
      </w:r>
    </w:p>
  </w:footnote>
  <w:footnote w:id="33">
    <w:p w:rsidR="00FF21C8" w:rsidRPr="00EA1B47" w:rsidP="00EA1B47" w14:paraId="36E8028C" w14:textId="33CD269A">
      <w:pPr>
        <w:pStyle w:val="FootnoteText"/>
      </w:pPr>
      <w:r w:rsidRPr="00EA1B47">
        <w:rPr>
          <w:rStyle w:val="FootnoteReference"/>
        </w:rPr>
        <w:footnoteRef/>
      </w:r>
      <w:r w:rsidRPr="00EA1B47">
        <w:t xml:space="preserve"> </w:t>
      </w:r>
      <w:r w:rsidRPr="00EA1B47">
        <w:rPr>
          <w:i/>
          <w:iCs/>
        </w:rPr>
        <w:t>Id.</w:t>
      </w:r>
      <w:r w:rsidRPr="00EA1B47">
        <w:t xml:space="preserve"> at 4</w:t>
      </w:r>
      <w:r w:rsidR="006D5516">
        <w:t xml:space="preserve">; </w:t>
      </w:r>
      <w:r w:rsidR="006D5516">
        <w:rPr>
          <w:i/>
          <w:iCs/>
        </w:rPr>
        <w:t xml:space="preserve">see also </w:t>
      </w:r>
      <w:r w:rsidRPr="00EA1B47" w:rsidR="006D5516">
        <w:rPr>
          <w:i/>
          <w:iCs/>
        </w:rPr>
        <w:t>Oklahoma City Broad</w:t>
      </w:r>
      <w:r w:rsidR="006D5516">
        <w:rPr>
          <w:i/>
          <w:iCs/>
        </w:rPr>
        <w:t>.</w:t>
      </w:r>
      <w:r w:rsidRPr="00EA1B47" w:rsidR="006D5516">
        <w:rPr>
          <w:i/>
          <w:iCs/>
        </w:rPr>
        <w:t>, Inc.</w:t>
      </w:r>
      <w:r w:rsidRPr="00EA1B47" w:rsidR="006D5516">
        <w:t>, Order and Consent Decree, DA 23-663 (MB Aug. 7, 2023) (</w:t>
      </w:r>
      <w:r w:rsidRPr="00EA1B47" w:rsidR="006D5516">
        <w:rPr>
          <w:i/>
          <w:iCs/>
        </w:rPr>
        <w:t>Oklahoma City</w:t>
      </w:r>
      <w:r w:rsidR="007D38DE">
        <w:rPr>
          <w:i/>
          <w:iCs/>
        </w:rPr>
        <w:t xml:space="preserve"> Consent Decree</w:t>
      </w:r>
      <w:r w:rsidRPr="00EA1B47" w:rsidR="006D5516">
        <w:t>)</w:t>
      </w:r>
      <w:r w:rsidRPr="00EA1B47">
        <w:t xml:space="preserve">. </w:t>
      </w:r>
    </w:p>
  </w:footnote>
  <w:footnote w:id="34">
    <w:p w:rsidR="008A13BA" w:rsidRPr="00EA1B47" w:rsidP="00EA1B47" w14:paraId="6D4E33C6" w14:textId="0A781133">
      <w:pPr>
        <w:pStyle w:val="FootnoteText"/>
      </w:pPr>
      <w:r w:rsidRPr="00EA1B47">
        <w:rPr>
          <w:rStyle w:val="FootnoteReference"/>
        </w:rPr>
        <w:footnoteRef/>
      </w:r>
      <w:r w:rsidRPr="00EA1B47">
        <w:t xml:space="preserve"> </w:t>
      </w:r>
      <w:r w:rsidRPr="00EA1B47">
        <w:rPr>
          <w:i/>
          <w:iCs/>
        </w:rPr>
        <w:t>Id.</w:t>
      </w:r>
    </w:p>
  </w:footnote>
  <w:footnote w:id="35">
    <w:p w:rsidR="00282A29" w:rsidRPr="00EA1B47" w:rsidP="00EA1B47" w14:paraId="5332D7B7" w14:textId="77777777">
      <w:pPr>
        <w:pStyle w:val="FootnoteText"/>
      </w:pPr>
      <w:r w:rsidRPr="00EA1B47">
        <w:rPr>
          <w:rStyle w:val="FootnoteReference"/>
        </w:rPr>
        <w:footnoteRef/>
      </w:r>
      <w:r w:rsidRPr="00EA1B47">
        <w:t xml:space="preserve"> </w:t>
      </w:r>
      <w:r w:rsidRPr="00EA1B47">
        <w:rPr>
          <w:i/>
          <w:iCs/>
        </w:rPr>
        <w:t>See</w:t>
      </w:r>
      <w:r w:rsidRPr="00EA1B47">
        <w:t xml:space="preserve"> 47 CFR § 1.106(c), (d); </w:t>
      </w:r>
      <w:r w:rsidRPr="00EA1B47">
        <w:rPr>
          <w:i/>
        </w:rPr>
        <w:t>s</w:t>
      </w:r>
      <w:r w:rsidRPr="00EA1B47">
        <w:rPr>
          <w:i/>
          <w:iCs/>
        </w:rPr>
        <w:t>ee also WWIZ, Inc.,</w:t>
      </w:r>
      <w:r w:rsidRPr="00EA1B47">
        <w:t xml:space="preserve"> Memorandum Opinion and Order, 37 FCC 685, 686 (1964).</w:t>
      </w:r>
    </w:p>
  </w:footnote>
  <w:footnote w:id="36">
    <w:p w:rsidR="006F68B9" w:rsidRPr="00EA1B47" w:rsidP="00EA1B47" w14:paraId="51703DD1" w14:textId="0B17C55F">
      <w:pPr>
        <w:pStyle w:val="FootnoteText"/>
      </w:pPr>
      <w:r w:rsidRPr="00EA1B47">
        <w:rPr>
          <w:rStyle w:val="FootnoteReference"/>
        </w:rPr>
        <w:footnoteRef/>
      </w:r>
      <w:r w:rsidRPr="00EA1B47">
        <w:t xml:space="preserve"> 47 U.S.C. § 312(g); </w:t>
      </w:r>
      <w:r w:rsidRPr="00EA1B47">
        <w:rPr>
          <w:i/>
          <w:iCs/>
        </w:rPr>
        <w:t>see also</w:t>
      </w:r>
      <w:r w:rsidRPr="00EA1B47">
        <w:t xml:space="preserve"> </w:t>
      </w:r>
      <w:r w:rsidRPr="00EA1B47">
        <w:rPr>
          <w:i/>
          <w:iCs/>
        </w:rPr>
        <w:t>Eagle Broad. Group, Ltd. v. FCC</w:t>
      </w:r>
      <w:r w:rsidRPr="00EA1B47">
        <w:t>, 563 F.3d 543, 545 (D.C. Cir. 2009)</w:t>
      </w:r>
      <w:r w:rsidR="00334F5C">
        <w:t xml:space="preserve"> (</w:t>
      </w:r>
      <w:r w:rsidR="00334F5C">
        <w:rPr>
          <w:i/>
          <w:iCs/>
        </w:rPr>
        <w:t>Eagle</w:t>
      </w:r>
      <w:r w:rsidR="00334F5C">
        <w:t>)</w:t>
      </w:r>
      <w:r w:rsidRPr="00EA1B47">
        <w:t>.</w:t>
      </w:r>
    </w:p>
  </w:footnote>
  <w:footnote w:id="37">
    <w:p w:rsidR="00B60EF6" w:rsidRPr="00EA1B47" w:rsidP="00EA1B47" w14:paraId="09EE29AC" w14:textId="5DB0B5B2">
      <w:pPr>
        <w:pStyle w:val="FootnoteText"/>
      </w:pPr>
      <w:r w:rsidRPr="00EA1B47">
        <w:rPr>
          <w:rStyle w:val="FootnoteReference"/>
        </w:rPr>
        <w:footnoteRef/>
      </w:r>
      <w:r w:rsidRPr="00EA1B47">
        <w:t xml:space="preserve"> Petition at 2.</w:t>
      </w:r>
    </w:p>
  </w:footnote>
  <w:footnote w:id="38">
    <w:p w:rsidR="00692F14" w:rsidRPr="00EA1B47" w:rsidP="00EA1B47" w14:paraId="232C9501" w14:textId="765A7962">
      <w:pPr>
        <w:pStyle w:val="FootnoteText"/>
      </w:pPr>
      <w:r w:rsidRPr="00EA1B47">
        <w:rPr>
          <w:rStyle w:val="FootnoteReference"/>
        </w:rPr>
        <w:footnoteRef/>
      </w:r>
      <w:r w:rsidRPr="00EA1B47">
        <w:t xml:space="preserve"> </w:t>
      </w:r>
      <w:r w:rsidRPr="00EA1B47">
        <w:rPr>
          <w:i/>
          <w:iCs/>
        </w:rPr>
        <w:t>Id.</w:t>
      </w:r>
      <w:r w:rsidRPr="00EA1B47">
        <w:t xml:space="preserve"> at 2-3. </w:t>
      </w:r>
    </w:p>
  </w:footnote>
  <w:footnote w:id="39">
    <w:p w:rsidR="0040798A" w14:paraId="568DEA83" w14:textId="1839F0D7">
      <w:pPr>
        <w:pStyle w:val="FootnoteText"/>
      </w:pPr>
      <w:r>
        <w:rPr>
          <w:rStyle w:val="FootnoteReference"/>
        </w:rPr>
        <w:footnoteRef/>
      </w:r>
      <w:r>
        <w:t xml:space="preserve"> </w:t>
      </w:r>
      <w:r w:rsidRPr="00EA1B47">
        <w:rPr>
          <w:i/>
          <w:iCs/>
        </w:rPr>
        <w:t>Eagle Broadcasting</w:t>
      </w:r>
      <w:r w:rsidRPr="00EA1B47">
        <w:t xml:space="preserve">, 23 FCC Rcd at 592, para. 9 (unauthorized, unlicensed broadcasts cannot constitute transmission of broadcast signals to avoid license expiration under section 312(g)). </w:t>
      </w:r>
      <w:r w:rsidRPr="00EA1B47">
        <w:rPr>
          <w:i/>
          <w:iCs/>
        </w:rPr>
        <w:t>Absolute Broad. LLC</w:t>
      </w:r>
      <w:r w:rsidRPr="00EA1B47">
        <w:t>, Memorandum Opinion and Order, FCC-23-38 at 8, para. 18 (2023) (unauthorized operation is no better than silence for purposes of section 312(g))</w:t>
      </w:r>
      <w:r w:rsidR="009874C5">
        <w:t xml:space="preserve">; </w:t>
      </w:r>
      <w:r w:rsidRPr="00594F70" w:rsidR="00F24A80">
        <w:rPr>
          <w:i/>
          <w:iCs/>
        </w:rPr>
        <w:t>A-O Broadcasting</w:t>
      </w:r>
      <w:r w:rsidRPr="00F24A80" w:rsidR="00F24A80">
        <w:t>, 23 FCC Rcd 603</w:t>
      </w:r>
      <w:r w:rsidR="000C25FA">
        <w:t>, 608, para.10 (2008)</w:t>
      </w:r>
      <w:r w:rsidRPr="00F24A80" w:rsidR="00F24A80">
        <w:t xml:space="preserve"> (transmission from unauthorized location</w:t>
      </w:r>
      <w:r w:rsidR="00B53152">
        <w:t xml:space="preserve"> is</w:t>
      </w:r>
      <w:r w:rsidRPr="00F24A80" w:rsidR="00F24A80">
        <w:t xml:space="preserve"> not sufficient to avoid the consequences of section 312(g)</w:t>
      </w:r>
      <w:r w:rsidR="00F24A80">
        <w:t xml:space="preserve">; </w:t>
      </w:r>
      <w:r w:rsidRPr="000F0196" w:rsidR="009874C5">
        <w:rPr>
          <w:i/>
          <w:iCs/>
        </w:rPr>
        <w:t>Int'l Aerospace Sols., Inc</w:t>
      </w:r>
      <w:r w:rsidRPr="009874C5" w:rsidR="009874C5">
        <w:t>.</w:t>
      </w:r>
      <w:r w:rsidR="009874C5">
        <w:t xml:space="preserve">, Memorandum Opinion and Order, FCC 23-8, para. </w:t>
      </w:r>
      <w:r w:rsidR="00B0273E">
        <w:t>9</w:t>
      </w:r>
      <w:r w:rsidR="009874C5">
        <w:t xml:space="preserve"> (2023) (upholding Bureau’s determination that </w:t>
      </w:r>
      <w:r w:rsidR="00B0273E">
        <w:t>the s</w:t>
      </w:r>
      <w:r w:rsidRPr="00B0273E" w:rsidR="00B0273E">
        <w:t>tation licenses expired pursuant to section 312(g)</w:t>
      </w:r>
      <w:r w:rsidR="00B0273E">
        <w:t xml:space="preserve"> due to</w:t>
      </w:r>
      <w:r w:rsidR="00C9353C">
        <w:t xml:space="preserve"> combined silence and </w:t>
      </w:r>
      <w:r w:rsidR="00A86210">
        <w:t>operation from an unauthorized site</w:t>
      </w:r>
      <w:r w:rsidR="00B0273E">
        <w:t>).</w:t>
      </w:r>
    </w:p>
  </w:footnote>
  <w:footnote w:id="40">
    <w:p w:rsidR="00337FB4" w14:paraId="3C4C7446" w14:textId="44F0B1F5">
      <w:pPr>
        <w:pStyle w:val="FootnoteText"/>
      </w:pPr>
      <w:r>
        <w:rPr>
          <w:rStyle w:val="FootnoteReference"/>
        </w:rPr>
        <w:footnoteRef/>
      </w:r>
      <w:r>
        <w:t xml:space="preserve"> 47 C.F.R. § 312(g).</w:t>
      </w:r>
    </w:p>
  </w:footnote>
  <w:footnote w:id="41">
    <w:p w:rsidR="00DA745B" w14:paraId="28326E56" w14:textId="1C2678D3">
      <w:pPr>
        <w:pStyle w:val="FootnoteText"/>
      </w:pPr>
      <w:r>
        <w:rPr>
          <w:rStyle w:val="FootnoteReference"/>
        </w:rPr>
        <w:footnoteRef/>
      </w:r>
      <w:r>
        <w:t xml:space="preserve"> </w:t>
      </w:r>
      <w:r w:rsidRPr="00EA1B47" w:rsidR="004A5F6C">
        <w:rPr>
          <w:i/>
          <w:iCs/>
        </w:rPr>
        <w:t>See V.I. Stereo Commc'ns Corp.</w:t>
      </w:r>
      <w:r w:rsidRPr="00EA1B47" w:rsidR="004A5F6C">
        <w:t>, Memorandum Opinion and Order, 21 FCC Rcd 14259 (2006) (finding reinstatement of a 312(g)-cancelled license appropriate for a station that sustained damage from three hurricanes where original facilities were destroyed and the rebuilt facility also sustained damage)</w:t>
      </w:r>
      <w:r w:rsidR="002501A4">
        <w:t xml:space="preserve">; </w:t>
      </w:r>
      <w:r w:rsidRPr="00594F70" w:rsidR="002501A4">
        <w:rPr>
          <w:i/>
          <w:iCs/>
        </w:rPr>
        <w:t>Community Bible Church</w:t>
      </w:r>
      <w:r w:rsidRPr="002501A4" w:rsidR="002501A4">
        <w:t xml:space="preserve">, Letter Order, 23 FCC Rcd 15012, 15014 (MB 2008) (reinstatement warranted where licensee took all steps needed to return to air, but remained off air to promote air safety after discovering and reporting that FCC and FAA records contained incorrect tower information); </w:t>
      </w:r>
      <w:r w:rsidRPr="00594F70" w:rsidR="00F57389">
        <w:rPr>
          <w:i/>
          <w:iCs/>
        </w:rPr>
        <w:t>Sumiton Broadcasting Company, Inc</w:t>
      </w:r>
      <w:r w:rsidRPr="00F57389" w:rsidR="00F57389">
        <w:t>.</w:t>
      </w:r>
      <w:r w:rsidRPr="002501A4" w:rsidR="002501A4">
        <w:t xml:space="preserve">, Letter Order, 22 FCC Rcd 6578, 6580 (MB 2007) (reinstating license where silence necessitated by licensee's compliance with court order); </w:t>
      </w:r>
      <w:r w:rsidRPr="00594F70" w:rsidR="002501A4">
        <w:rPr>
          <w:i/>
          <w:iCs/>
        </w:rPr>
        <w:t>Universal Broadcasting of New York, Inc</w:t>
      </w:r>
      <w:r w:rsidRPr="002501A4" w:rsidR="002501A4">
        <w:t>., 34 FCC Rcd 10319 (MB 2019) (finding that station's inability to file an STA to resume service due to a federal government shutdown was a compelling circumstance under section 312(g))</w:t>
      </w:r>
      <w:r w:rsidRPr="00EA1B47" w:rsidR="004A5F6C">
        <w:t>.</w:t>
      </w:r>
      <w:r w:rsidR="004A5F6C">
        <w:t xml:space="preserve">  </w:t>
      </w:r>
    </w:p>
  </w:footnote>
  <w:footnote w:id="42">
    <w:p w:rsidR="00EF5424" w:rsidRPr="00EF5424" w14:paraId="4D0F57A5" w14:textId="732B0DA6">
      <w:pPr>
        <w:pStyle w:val="FootnoteText"/>
      </w:pPr>
      <w:r>
        <w:rPr>
          <w:rStyle w:val="FootnoteReference"/>
        </w:rPr>
        <w:footnoteRef/>
      </w:r>
      <w:r>
        <w:t xml:space="preserve"> </w:t>
      </w:r>
      <w:r>
        <w:rPr>
          <w:i/>
          <w:iCs/>
        </w:rPr>
        <w:t>See Chinese Voice of Golden City</w:t>
      </w:r>
      <w:r>
        <w:t xml:space="preserve">, Memorandum Opinion and Order, 35 FCC Rcd 567, 570, para. 11 (2020) (rejecting argument that operating from incorrect site that was </w:t>
      </w:r>
      <w:r w:rsidR="00CE7D89">
        <w:t xml:space="preserve">256 feet from authorized site was a </w:t>
      </w:r>
      <w:r w:rsidR="00CE7D89">
        <w:rPr>
          <w:i/>
          <w:iCs/>
        </w:rPr>
        <w:t xml:space="preserve">de minimis </w:t>
      </w:r>
      <w:r w:rsidR="00CE7D89">
        <w:t>and did not trigger automatic expiration under section 312(g))</w:t>
      </w:r>
      <w:r w:rsidR="00B0273E">
        <w:t xml:space="preserve">; </w:t>
      </w:r>
      <w:r w:rsidR="000C25FA">
        <w:rPr>
          <w:i/>
          <w:iCs/>
        </w:rPr>
        <w:t>Shelby Broadcast Associates, LLC</w:t>
      </w:r>
      <w:r w:rsidRPr="009A502F" w:rsidR="009A502F">
        <w:t>, Letter Decision, 34 FCC Rcd 6202, 6203-4 (MB 2019) (cancelling station's license after operating an unauthorized site at a greater distance than the three-second “tolerance zone” of 47 CFR § 73.1690(b)(2))</w:t>
      </w:r>
      <w:r w:rsidR="009A502F">
        <w:t xml:space="preserve">; </w:t>
      </w:r>
      <w:r w:rsidRPr="00654EF0" w:rsidR="00B0273E">
        <w:rPr>
          <w:i/>
          <w:iCs/>
        </w:rPr>
        <w:t>Powell Meredith Communications Co</w:t>
      </w:r>
      <w:r w:rsidRPr="009874C5" w:rsidR="00B0273E">
        <w:t xml:space="preserve">., </w:t>
      </w:r>
      <w:r w:rsidR="00B0273E">
        <w:t xml:space="preserve">Letter Order, </w:t>
      </w:r>
      <w:r w:rsidR="00300F95">
        <w:t>37 FCC Rcd 15044</w:t>
      </w:r>
      <w:r w:rsidRPr="009874C5" w:rsidR="00B0273E">
        <w:t xml:space="preserve"> (</w:t>
      </w:r>
      <w:r w:rsidR="00B0273E">
        <w:t>MB</w:t>
      </w:r>
      <w:r w:rsidRPr="009874C5" w:rsidR="00B0273E">
        <w:t xml:space="preserve"> 2022) </w:t>
      </w:r>
      <w:r w:rsidR="00B0273E">
        <w:t>(affirming rescission of license where the station was built only 30 yards from the authorized location).</w:t>
      </w:r>
    </w:p>
  </w:footnote>
  <w:footnote w:id="43">
    <w:p w:rsidR="00A11540" w:rsidRPr="0015453C" w:rsidP="00A11540" w14:paraId="2BEE13B1" w14:textId="3C88868F">
      <w:pPr>
        <w:pStyle w:val="FootnoteText"/>
      </w:pPr>
      <w:r>
        <w:rPr>
          <w:rStyle w:val="FootnoteReference"/>
        </w:rPr>
        <w:footnoteRef/>
      </w:r>
      <w:r>
        <w:t xml:space="preserve"> </w:t>
      </w:r>
      <w:r>
        <w:rPr>
          <w:i/>
          <w:iCs/>
        </w:rPr>
        <w:t xml:space="preserve">See </w:t>
      </w:r>
      <w:r w:rsidR="00362DF7">
        <w:t>Silent Notification (</w:t>
      </w:r>
      <w:r w:rsidR="000B3551">
        <w:t>filed</w:t>
      </w:r>
      <w:r w:rsidR="00362DF7">
        <w:t xml:space="preserve"> Oct. 30 2018).  Licensee did not file a</w:t>
      </w:r>
      <w:r w:rsidR="000B3551">
        <w:t xml:space="preserve"> request for silent</w:t>
      </w:r>
      <w:r w:rsidR="00362DF7">
        <w:t xml:space="preserve"> STA even though it was required to do so after </w:t>
      </w:r>
      <w:r w:rsidR="000B3551">
        <w:t>30</w:t>
      </w:r>
      <w:r w:rsidR="00362DF7">
        <w:t xml:space="preserve"> days of silence.  47 CFR 73.</w:t>
      </w:r>
      <w:r w:rsidR="000B3551">
        <w:t xml:space="preserve">1740(a)(4). </w:t>
      </w:r>
      <w:r w:rsidR="00362DF7">
        <w:t xml:space="preserve"> License claimed that the Station was silent from October 10, 2018, until October 5, 2019, when it resumed operations “at the license tower site [Site A].”  Resumption Notice (filed Oct. 16, 2019). </w:t>
      </w:r>
      <w:r w:rsidR="000B3551">
        <w:t xml:space="preserve">However, in the </w:t>
      </w:r>
      <w:r w:rsidRPr="00EA1B47" w:rsidR="000B3551">
        <w:t>2015 Engineering ST</w:t>
      </w:r>
      <w:r w:rsidR="000B3551">
        <w:t>A, License also claimed that it lost access to Site A.</w:t>
      </w:r>
      <w:r w:rsidR="00A109DA">
        <w:t xml:space="preserve">  Omni offers no explanation for this discrepancy. </w:t>
      </w:r>
    </w:p>
  </w:footnote>
  <w:footnote w:id="44">
    <w:p w:rsidR="00820637" w:rsidRPr="00EA1B47" w:rsidP="00EA1B47" w14:paraId="32142B03" w14:textId="21A8A1FE">
      <w:pPr>
        <w:pStyle w:val="FootnoteText"/>
      </w:pPr>
      <w:r w:rsidRPr="00EA1B47">
        <w:rPr>
          <w:rStyle w:val="FootnoteReference"/>
        </w:rPr>
        <w:footnoteRef/>
      </w:r>
      <w:r w:rsidRPr="00EA1B47">
        <w:t xml:space="preserve"> </w:t>
      </w:r>
      <w:r w:rsidRPr="00EA1B47" w:rsidR="007238A5">
        <w:rPr>
          <w:i/>
          <w:iCs/>
        </w:rPr>
        <w:t>See Burlington Cablevision, Inc</w:t>
      </w:r>
      <w:r w:rsidRPr="00EA1B47" w:rsidR="007238A5">
        <w:t xml:space="preserve">., </w:t>
      </w:r>
      <w:r w:rsidRPr="00EA1B47" w:rsidR="00884DCA">
        <w:t xml:space="preserve">Order on Reconsideration, </w:t>
      </w:r>
      <w:r w:rsidRPr="00EA1B47" w:rsidR="007238A5">
        <w:t>13 FCC Rcd 772, 779</w:t>
      </w:r>
      <w:r w:rsidR="00FC72B6">
        <w:t>, para. 18</w:t>
      </w:r>
      <w:r w:rsidRPr="00EA1B47" w:rsidR="007238A5">
        <w:t xml:space="preserve"> (1998).</w:t>
      </w:r>
    </w:p>
  </w:footnote>
  <w:footnote w:id="45">
    <w:p w:rsidR="00405A79" w:rsidRPr="00EA1B47" w:rsidP="00EA1B47" w14:paraId="5599A450" w14:textId="07E3C91F">
      <w:pPr>
        <w:pStyle w:val="FootnoteText"/>
      </w:pPr>
      <w:r w:rsidRPr="00EA1B47">
        <w:rPr>
          <w:rStyle w:val="FootnoteReference"/>
        </w:rPr>
        <w:footnoteRef/>
      </w:r>
      <w:r w:rsidRPr="00EA1B47">
        <w:t xml:space="preserve"> </w:t>
      </w:r>
      <w:r w:rsidRPr="00EA1B47" w:rsidR="000A4E97">
        <w:rPr>
          <w:i/>
          <w:iCs/>
        </w:rPr>
        <w:t>See Salzer v. FCC</w:t>
      </w:r>
      <w:r w:rsidRPr="00EA1B47" w:rsidR="000A4E97">
        <w:t xml:space="preserve">, </w:t>
      </w:r>
      <w:r w:rsidRPr="00EA1B47" w:rsidR="000A4E97">
        <w:rPr>
          <w:i/>
          <w:iCs/>
        </w:rPr>
        <w:t xml:space="preserve"> </w:t>
      </w:r>
      <w:r w:rsidRPr="00EA1B47" w:rsidR="000A4E97">
        <w:t>778 F.2d 869</w:t>
      </w:r>
      <w:r w:rsidRPr="00EA1B47" w:rsidR="00F62369">
        <w:t>, 875 n.27</w:t>
      </w:r>
      <w:r w:rsidRPr="00EA1B47" w:rsidR="000A4E97">
        <w:t xml:space="preserve"> (D.C. Cir. 1985) </w:t>
      </w:r>
      <w:r w:rsidRPr="00EA1B47">
        <w:t>(“we do not rely on the fortuity that [the applicants] filed their applications without assistance of counsel; the FCC need not take this circumstance into consideration.”)</w:t>
      </w:r>
      <w:r w:rsidRPr="00EA1B47" w:rsidR="00C534A4">
        <w:t>.</w:t>
      </w:r>
    </w:p>
  </w:footnote>
  <w:footnote w:id="46">
    <w:p w:rsidR="00CC4E82" w:rsidRPr="00EA1B47" w:rsidP="00EA1B47" w14:paraId="41C80AA9" w14:textId="25660DFF">
      <w:pPr>
        <w:shd w:val="clear" w:color="auto" w:fill="FFFFFF"/>
        <w:spacing w:after="120" w:line="0" w:lineRule="atLeast"/>
        <w:contextualSpacing/>
        <w:rPr>
          <w:rFonts w:ascii="Source Sans Pro" w:hAnsi="Source Sans Pro"/>
          <w:sz w:val="20"/>
          <w:szCs w:val="20"/>
        </w:rPr>
      </w:pPr>
      <w:r w:rsidRPr="00EA1B47">
        <w:rPr>
          <w:rStyle w:val="FootnoteReference"/>
          <w:sz w:val="20"/>
          <w:szCs w:val="20"/>
        </w:rPr>
        <w:footnoteRef/>
      </w:r>
      <w:r w:rsidRPr="00EA1B47">
        <w:rPr>
          <w:sz w:val="20"/>
          <w:szCs w:val="20"/>
        </w:rPr>
        <w:t xml:space="preserve"> </w:t>
      </w:r>
      <w:r w:rsidRPr="00EA1B47" w:rsidR="008F7A65">
        <w:rPr>
          <w:i/>
          <w:iCs/>
          <w:sz w:val="20"/>
          <w:szCs w:val="20"/>
        </w:rPr>
        <w:t xml:space="preserve">See </w:t>
      </w:r>
      <w:r w:rsidRPr="0033327A" w:rsidR="0033327A">
        <w:rPr>
          <w:i/>
          <w:iCs/>
          <w:sz w:val="20"/>
          <w:szCs w:val="20"/>
          <w:bdr w:val="none" w:sz="0" w:space="0" w:color="auto" w:frame="1"/>
        </w:rPr>
        <w:t>United Broad</w:t>
      </w:r>
      <w:r w:rsidRPr="00EA1B47" w:rsidR="000141D6">
        <w:rPr>
          <w:i/>
          <w:iCs/>
          <w:sz w:val="20"/>
          <w:szCs w:val="20"/>
          <w:bdr w:val="none" w:sz="0" w:space="0" w:color="auto" w:frame="1"/>
        </w:rPr>
        <w:t>casting</w:t>
      </w:r>
      <w:r w:rsidRPr="0033327A" w:rsidR="0033327A">
        <w:rPr>
          <w:i/>
          <w:iCs/>
          <w:sz w:val="20"/>
          <w:szCs w:val="20"/>
          <w:bdr w:val="none" w:sz="0" w:space="0" w:color="auto" w:frame="1"/>
        </w:rPr>
        <w:t xml:space="preserve"> Co.</w:t>
      </w:r>
      <w:r w:rsidRPr="0033327A" w:rsidR="0033327A">
        <w:rPr>
          <w:sz w:val="20"/>
          <w:szCs w:val="20"/>
        </w:rPr>
        <w:t>, 93 FCC</w:t>
      </w:r>
      <w:r w:rsidR="00FC72B6">
        <w:rPr>
          <w:sz w:val="20"/>
          <w:szCs w:val="20"/>
        </w:rPr>
        <w:t xml:space="preserve"> </w:t>
      </w:r>
      <w:r w:rsidRPr="0033327A" w:rsidR="0033327A">
        <w:rPr>
          <w:sz w:val="20"/>
          <w:szCs w:val="20"/>
        </w:rPr>
        <w:t>2d 482, 487</w:t>
      </w:r>
      <w:r w:rsidR="00FC72B6">
        <w:rPr>
          <w:sz w:val="20"/>
          <w:szCs w:val="20"/>
        </w:rPr>
        <w:t>, para. 12</w:t>
      </w:r>
      <w:r w:rsidRPr="0033327A" w:rsidR="0033327A">
        <w:rPr>
          <w:sz w:val="20"/>
          <w:szCs w:val="20"/>
        </w:rPr>
        <w:t xml:space="preserve"> (1983)</w:t>
      </w:r>
      <w:r w:rsidRPr="00EA1B47" w:rsidR="0033327A">
        <w:rPr>
          <w:sz w:val="20"/>
          <w:szCs w:val="20"/>
        </w:rPr>
        <w:t xml:space="preserve"> (“</w:t>
      </w:r>
      <w:r w:rsidRPr="00EA1B47" w:rsidR="00AB0660">
        <w:rPr>
          <w:sz w:val="20"/>
          <w:szCs w:val="20"/>
        </w:rPr>
        <w:t>[w]</w:t>
      </w:r>
      <w:r w:rsidRPr="00EA1B47" w:rsidR="0033327A">
        <w:rPr>
          <w:sz w:val="20"/>
          <w:szCs w:val="20"/>
        </w:rPr>
        <w:t xml:space="preserve">here, as here, a party elects to proceed </w:t>
      </w:r>
      <w:r w:rsidRPr="00EA1B47" w:rsidR="0033327A">
        <w:rPr>
          <w:i/>
          <w:iCs/>
          <w:sz w:val="20"/>
          <w:szCs w:val="20"/>
          <w:bdr w:val="none" w:sz="0" w:space="0" w:color="auto" w:frame="1"/>
          <w:shd w:val="clear" w:color="auto" w:fill="FFFFFF"/>
        </w:rPr>
        <w:t>pro</w:t>
      </w:r>
      <w:r w:rsidRPr="00EA1B47" w:rsidR="0033327A">
        <w:rPr>
          <w:i/>
          <w:iCs/>
          <w:sz w:val="20"/>
          <w:szCs w:val="20"/>
          <w:bdr w:val="none" w:sz="0" w:space="0" w:color="auto" w:frame="1"/>
        </w:rPr>
        <w:t xml:space="preserve"> </w:t>
      </w:r>
      <w:r w:rsidRPr="00EA1B47" w:rsidR="0033327A">
        <w:rPr>
          <w:i/>
          <w:iCs/>
          <w:sz w:val="20"/>
          <w:szCs w:val="20"/>
          <w:bdr w:val="none" w:sz="0" w:space="0" w:color="auto" w:frame="1"/>
          <w:shd w:val="clear" w:color="auto" w:fill="FFFFFF"/>
        </w:rPr>
        <w:t>se</w:t>
      </w:r>
      <w:r w:rsidRPr="00EA1B47" w:rsidR="0033327A">
        <w:rPr>
          <w:sz w:val="20"/>
          <w:szCs w:val="20"/>
        </w:rPr>
        <w:t>, it must assume the burden of becoming familiar with Commission Rules and conforming to Rule requirements.)</w:t>
      </w:r>
      <w:r w:rsidRPr="00EA1B47" w:rsidR="006331C1">
        <w:rPr>
          <w:sz w:val="20"/>
          <w:szCs w:val="20"/>
        </w:rPr>
        <w:t xml:space="preserve">  </w:t>
      </w:r>
    </w:p>
  </w:footnote>
  <w:footnote w:id="47">
    <w:p w:rsidR="008F7A65" w:rsidRPr="00EA1B47" w:rsidP="00EA1B47" w14:paraId="0226FA9A" w14:textId="112717EC">
      <w:pPr>
        <w:pStyle w:val="FootnoteText"/>
      </w:pPr>
      <w:r w:rsidRPr="00EA1B47">
        <w:rPr>
          <w:rStyle w:val="FootnoteReference"/>
        </w:rPr>
        <w:footnoteRef/>
      </w:r>
      <w:r w:rsidRPr="00EA1B47">
        <w:t xml:space="preserve"> </w:t>
      </w:r>
      <w:r w:rsidRPr="00EA1B47">
        <w:rPr>
          <w:i/>
          <w:iCs/>
        </w:rPr>
        <w:t>See Enterprise Broadcasting, Inc.</w:t>
      </w:r>
      <w:r w:rsidRPr="00EA1B47">
        <w:t>, Memorandum Opinion and Order, 60 FCC 2d 852, 857</w:t>
      </w:r>
      <w:r w:rsidR="00FC72B6">
        <w:t>, para. 14</w:t>
      </w:r>
      <w:r w:rsidRPr="00EA1B47">
        <w:t xml:space="preserve"> (1976).</w:t>
      </w:r>
    </w:p>
  </w:footnote>
  <w:footnote w:id="48">
    <w:p w:rsidR="00132DD8" w:rsidRPr="00EA1B47" w:rsidP="00132DD8" w14:paraId="1D61BCB4" w14:textId="6068F605">
      <w:pPr>
        <w:pStyle w:val="FootnoteText"/>
      </w:pPr>
      <w:r w:rsidRPr="00EA1B47">
        <w:rPr>
          <w:rStyle w:val="FootnoteReference"/>
        </w:rPr>
        <w:footnoteRef/>
      </w:r>
      <w:r w:rsidRPr="00EA1B47">
        <w:t xml:space="preserve"> </w:t>
      </w:r>
      <w:r w:rsidRPr="00EA1B47">
        <w:rPr>
          <w:i/>
          <w:iCs/>
        </w:rPr>
        <w:t>See</w:t>
      </w:r>
      <w:r w:rsidRPr="00EA1B47">
        <w:t xml:space="preserve"> </w:t>
      </w:r>
      <w:r w:rsidR="00FC72B6">
        <w:rPr>
          <w:i/>
          <w:iCs/>
        </w:rPr>
        <w:t>Inca Communications, Inc.</w:t>
      </w:r>
      <w:r w:rsidRPr="00EA1B47">
        <w:t xml:space="preserve">, Letter Order, 31 FCC Rcd 7087, 7090 (MB 2016) </w:t>
      </w:r>
      <w:r w:rsidR="00F7377B">
        <w:t>(</w:t>
      </w:r>
      <w:r w:rsidR="00F0262E">
        <w:rPr>
          <w:i/>
          <w:iCs/>
        </w:rPr>
        <w:t>Inca</w:t>
      </w:r>
      <w:r w:rsidR="00F7377B">
        <w:t xml:space="preserve">) </w:t>
      </w:r>
      <w:r w:rsidRPr="00EA1B47">
        <w:t>(“irrespective of whether the staff had acted on the Second STA Request, its license would still have expired on exactly the same date because the staff's grant of STA does not supersede the automatic cancellation provision of Section 312(g)”)</w:t>
      </w:r>
      <w:r w:rsidR="000D7139">
        <w:t xml:space="preserve">; </w:t>
      </w:r>
      <w:r w:rsidRPr="0089078F" w:rsidR="000D7139">
        <w:rPr>
          <w:i/>
          <w:iCs/>
        </w:rPr>
        <w:t>Universal Broadcasting of New York, Inc</w:t>
      </w:r>
      <w:r w:rsidR="000D7139">
        <w:t>., Memorandum Opinion and Order, 34 FCC Rcd 10319, 10321</w:t>
      </w:r>
      <w:r w:rsidR="00DC70D2">
        <w:t>,</w:t>
      </w:r>
      <w:r w:rsidR="000D7139">
        <w:t xml:space="preserve"> para. </w:t>
      </w:r>
      <w:r w:rsidR="001C7EDD">
        <w:t>7 (MB 2019) (holding that grant of STA after a 12-month silence period did not implicitly reinstate or extend license term)</w:t>
      </w:r>
      <w:r w:rsidRPr="00EA1B47">
        <w:t>.</w:t>
      </w:r>
    </w:p>
  </w:footnote>
  <w:footnote w:id="49">
    <w:p w:rsidR="00132DD8" w:rsidRPr="00EA1B47" w:rsidP="00132DD8" w14:paraId="610EC2C4" w14:textId="77777777">
      <w:pPr>
        <w:pStyle w:val="FootnoteText"/>
      </w:pPr>
      <w:r w:rsidRPr="00EA1B47">
        <w:rPr>
          <w:rStyle w:val="FootnoteReference"/>
        </w:rPr>
        <w:footnoteRef/>
      </w:r>
      <w:r w:rsidRPr="00EA1B47">
        <w:t xml:space="preserve"> Petition at 4.</w:t>
      </w:r>
    </w:p>
  </w:footnote>
  <w:footnote w:id="50">
    <w:p w:rsidR="00132DD8" w:rsidRPr="00EA1B47" w:rsidP="00132DD8" w14:paraId="0E52B717" w14:textId="066D48E7">
      <w:pPr>
        <w:pStyle w:val="FootnoteText"/>
      </w:pPr>
      <w:r w:rsidRPr="00EA1B47">
        <w:rPr>
          <w:rStyle w:val="FootnoteReference"/>
        </w:rPr>
        <w:footnoteRef/>
      </w:r>
      <w:r w:rsidRPr="00EA1B47">
        <w:t xml:space="preserve"> </w:t>
      </w:r>
      <w:r w:rsidRPr="00EA1B47">
        <w:rPr>
          <w:i/>
          <w:iCs/>
        </w:rPr>
        <w:t xml:space="preserve">See Oklahoma </w:t>
      </w:r>
      <w:r w:rsidRPr="00EA1B47" w:rsidR="007D38DE">
        <w:rPr>
          <w:i/>
          <w:iCs/>
        </w:rPr>
        <w:t>City</w:t>
      </w:r>
      <w:r w:rsidR="007D38DE">
        <w:rPr>
          <w:i/>
          <w:iCs/>
        </w:rPr>
        <w:t xml:space="preserve"> Consent Decree</w:t>
      </w:r>
      <w:r w:rsidRPr="00EA1B47">
        <w:t xml:space="preserve">). </w:t>
      </w:r>
    </w:p>
  </w:footnote>
  <w:footnote w:id="51">
    <w:p w:rsidR="00132DD8" w:rsidRPr="00EA1B47" w:rsidP="00132DD8" w14:paraId="1646B7B0" w14:textId="5FDB2168">
      <w:pPr>
        <w:pStyle w:val="FootnoteText"/>
      </w:pPr>
      <w:r w:rsidRPr="00EA1B47">
        <w:rPr>
          <w:rStyle w:val="FootnoteReference"/>
        </w:rPr>
        <w:footnoteRef/>
      </w:r>
      <w:r w:rsidRPr="00EA1B47">
        <w:t xml:space="preserve"> 47 U.S.C. § 312(g); </w:t>
      </w:r>
      <w:r w:rsidRPr="00EA1B47">
        <w:rPr>
          <w:i/>
          <w:iCs/>
        </w:rPr>
        <w:t>Eagle Broad. Group, Ltd.</w:t>
      </w:r>
      <w:r w:rsidRPr="00EA1B47">
        <w:t xml:space="preserve">, Memorandum Opinion and Order, 23 FCC Rcd 588, 592, para. 9 (2008), </w:t>
      </w:r>
      <w:r w:rsidRPr="00EA1B47">
        <w:rPr>
          <w:i/>
          <w:iCs/>
        </w:rPr>
        <w:t>aff’d by Eagle</w:t>
      </w:r>
      <w:r w:rsidRPr="00EA1B47">
        <w:t xml:space="preserve">, 563 F.3d 543; </w:t>
      </w:r>
      <w:r w:rsidRPr="00EA1B47">
        <w:rPr>
          <w:i/>
          <w:iCs/>
        </w:rPr>
        <w:t xml:space="preserve">Absolute </w:t>
      </w:r>
      <w:r w:rsidRPr="00EA1B47">
        <w:t>at 8, para. 18</w:t>
      </w:r>
      <w:r w:rsidR="00E056D8">
        <w:t>.</w:t>
      </w:r>
      <w:r w:rsidRPr="00EA1B47">
        <w:t xml:space="preserve"> </w:t>
      </w:r>
    </w:p>
  </w:footnote>
  <w:footnote w:id="52">
    <w:p w:rsidR="006F3ABE" w:rsidP="006F3ABE" w14:paraId="44AE26CA" w14:textId="77777777">
      <w:pPr>
        <w:pStyle w:val="FootnoteText"/>
      </w:pPr>
      <w:r>
        <w:rPr>
          <w:rStyle w:val="FootnoteReference"/>
        </w:rPr>
        <w:footnoteRef/>
      </w:r>
      <w:r>
        <w:t xml:space="preserve"> Petition at 1-2. </w:t>
      </w:r>
    </w:p>
  </w:footnote>
  <w:footnote w:id="53">
    <w:p w:rsidR="006F3ABE" w:rsidRPr="007F03A2" w:rsidP="006F3ABE" w14:paraId="6812FBFB" w14:textId="47430223">
      <w:pPr>
        <w:pStyle w:val="FootnoteText"/>
      </w:pPr>
      <w:r>
        <w:rPr>
          <w:rStyle w:val="FootnoteReference"/>
        </w:rPr>
        <w:footnoteRef/>
      </w:r>
      <w:r>
        <w:t xml:space="preserve"> </w:t>
      </w:r>
      <w:r>
        <w:rPr>
          <w:i/>
          <w:iCs/>
        </w:rPr>
        <w:t xml:space="preserve">See </w:t>
      </w:r>
      <w:r w:rsidRPr="009B7DBF">
        <w:t>note</w:t>
      </w:r>
      <w:r>
        <w:t xml:space="preserve"> 21 </w:t>
      </w:r>
      <w:r>
        <w:rPr>
          <w:i/>
          <w:iCs/>
        </w:rPr>
        <w:t>supra</w:t>
      </w:r>
      <w:r>
        <w:t>.</w:t>
      </w:r>
      <w:r w:rsidR="001F18E5">
        <w:t xml:space="preserve">  </w:t>
      </w:r>
      <w:r w:rsidR="001F18E5">
        <w:rPr>
          <w:i/>
          <w:iCs/>
        </w:rPr>
        <w:t>See also Warren L. Percival</w:t>
      </w:r>
      <w:r w:rsidR="001F18E5">
        <w:t>, Order of Revocation, 8 FCC 2d 333, 333-34, para. 4 (1967) (withholding information from the Commission “frustrates the Commission of the performance of its duty.  In such event, denial or revocation of a license where such information is not furnished may be warranted on this ground alone, since it is the licensee who deprives the Commission of information necessary to determine its compliance with the public interest standard.”).  Here, for example, Omni failed to respond to provide information concerning its operations in October of 2019, where it claimed to have lo</w:t>
      </w:r>
      <w:r w:rsidR="00CE7D89">
        <w:t>st</w:t>
      </w:r>
      <w:r w:rsidR="001F18E5">
        <w:t xml:space="preserve"> access to Site A, and then subsequently claimed to have resumed operations at Site A.</w:t>
      </w:r>
    </w:p>
  </w:footnote>
  <w:footnote w:id="54">
    <w:p w:rsidR="0081255C" w14:paraId="3F6D5016" w14:textId="2C8887C1">
      <w:pPr>
        <w:pStyle w:val="FootnoteText"/>
      </w:pPr>
      <w:r>
        <w:rPr>
          <w:rStyle w:val="FootnoteReference"/>
        </w:rPr>
        <w:footnoteRef/>
      </w:r>
      <w:r>
        <w:t xml:space="preserve"> </w:t>
      </w:r>
      <w:r w:rsidRPr="00EA1B47" w:rsidR="007A5D77">
        <w:rPr>
          <w:i/>
          <w:iCs/>
        </w:rPr>
        <w:t>See</w:t>
      </w:r>
      <w:r w:rsidR="00F0262E">
        <w:rPr>
          <w:i/>
          <w:iCs/>
        </w:rPr>
        <w:t>, e.g.</w:t>
      </w:r>
      <w:r w:rsidRPr="00EA1B47" w:rsidR="007A5D77">
        <w:t xml:space="preserve"> </w:t>
      </w:r>
      <w:r w:rsidR="00F0262E">
        <w:rPr>
          <w:i/>
          <w:iCs/>
        </w:rPr>
        <w:t>Inca</w:t>
      </w:r>
      <w:r w:rsidRPr="00EA1B47" w:rsidR="007A5D77">
        <w:rPr>
          <w:i/>
          <w:iCs/>
        </w:rPr>
        <w:t>,</w:t>
      </w:r>
      <w:r w:rsidRPr="00EA1B47" w:rsidR="007A5D77">
        <w:t xml:space="preserve"> 31 FCC Rcd </w:t>
      </w:r>
      <w:r w:rsidR="00561443">
        <w:t>at</w:t>
      </w:r>
      <w:r w:rsidRPr="00EA1B47" w:rsidR="007A5D77">
        <w:t xml:space="preserve"> 7090</w:t>
      </w:r>
      <w:r w:rsidR="00212B73">
        <w:t xml:space="preserve"> (“</w:t>
      </w:r>
      <w:r w:rsidRPr="00212B73" w:rsidR="00212B73">
        <w:t>while the Commission strongly encourages minorities to become broadcast licensees, we find no basis in the statute or its legislative history to apply a more lenient reinstatement standard for minority-owned broadcast stations.</w:t>
      </w:r>
      <w:r w:rsidR="00212B7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051B" w:rsidP="0021051B" w14:paraId="580FF2DE" w14:textId="77777777">
    <w:pPr>
      <w:pStyle w:val="Header"/>
      <w:spacing w:before="360" w:line="228" w:lineRule="auto"/>
      <w:ind w:firstLine="1440"/>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9525" b="9525"/>
          <wp:wrapTight wrapText="bothSides">
            <wp:wrapPolygon>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1)" w:hAnsi="CG Times (W1)"/>
        <w:sz w:val="28"/>
      </w:rPr>
      <w:t xml:space="preserve">     Federal Communications Commission</w:t>
    </w:r>
  </w:p>
  <w:p w:rsidR="0021051B" w:rsidP="0021051B" w14:paraId="76E50CD5" w14:textId="77777777">
    <w:pPr>
      <w:tabs>
        <w:tab w:val="center" w:pos="4680"/>
        <w:tab w:val="left" w:pos="8400"/>
      </w:tabs>
    </w:pPr>
    <w:r>
      <w:rPr>
        <w:rFonts w:ascii="CG Times (W1)" w:hAnsi="CG Times (W1)"/>
        <w:sz w:val="28"/>
      </w:rPr>
      <w:tab/>
      <w:t>Washington, D.C. 20554</w:t>
    </w:r>
    <w:r>
      <w:rPr>
        <w:rFonts w:ascii="CG Times (W1)" w:hAnsi="CG Times (W1)"/>
        <w:sz w:val="28"/>
      </w:rPr>
      <w:tab/>
    </w:r>
  </w:p>
  <w:p w:rsidR="0021051B" w:rsidP="0021051B" w14:paraId="4C2A2D95" w14:textId="77777777">
    <w:pPr>
      <w:pStyle w:val="Header"/>
      <w:jc w:val="center"/>
    </w:pPr>
  </w:p>
  <w:p w:rsidR="0021051B" w:rsidRPr="00004D12" w:rsidP="00D333E4" w14:paraId="09237DAE" w14:textId="3033EDA1">
    <w:pPr>
      <w:pStyle w:val="Header"/>
      <w:spacing w:after="240"/>
      <w:jc w:val="center"/>
      <w:rPr>
        <w:noProof/>
      </w:rPr>
    </w:pPr>
    <w:r>
      <w:rPr>
        <w:noProof/>
      </w:rPr>
      <w:fldChar w:fldCharType="begin"/>
    </w:r>
    <w:r>
      <w:rPr>
        <w:noProof/>
      </w:rPr>
      <w:instrText xml:space="preserve"> DATE \@ "MMMM d, yyyy" </w:instrText>
    </w:r>
    <w:r>
      <w:rPr>
        <w:noProof/>
      </w:rPr>
      <w:fldChar w:fldCharType="separate"/>
    </w:r>
    <w:r w:rsidR="00A87CE0">
      <w:rPr>
        <w:noProof/>
      </w:rPr>
      <w:t>December 27, 2023</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A26"/>
    <w:rsid w:val="00000816"/>
    <w:rsid w:val="00000CB8"/>
    <w:rsid w:val="000027B9"/>
    <w:rsid w:val="00003AC9"/>
    <w:rsid w:val="00004D12"/>
    <w:rsid w:val="00006099"/>
    <w:rsid w:val="00006FC8"/>
    <w:rsid w:val="00010C7F"/>
    <w:rsid w:val="00011904"/>
    <w:rsid w:val="00011E5D"/>
    <w:rsid w:val="000132E2"/>
    <w:rsid w:val="000141D6"/>
    <w:rsid w:val="00014245"/>
    <w:rsid w:val="000154F5"/>
    <w:rsid w:val="000168D0"/>
    <w:rsid w:val="000176FA"/>
    <w:rsid w:val="0002309F"/>
    <w:rsid w:val="00023508"/>
    <w:rsid w:val="00023B45"/>
    <w:rsid w:val="00025C1E"/>
    <w:rsid w:val="00026506"/>
    <w:rsid w:val="00026BB2"/>
    <w:rsid w:val="00026C71"/>
    <w:rsid w:val="000279DA"/>
    <w:rsid w:val="00031F98"/>
    <w:rsid w:val="00034285"/>
    <w:rsid w:val="000343BF"/>
    <w:rsid w:val="00036A6D"/>
    <w:rsid w:val="000407B0"/>
    <w:rsid w:val="00046F10"/>
    <w:rsid w:val="000537B2"/>
    <w:rsid w:val="000552BD"/>
    <w:rsid w:val="00055940"/>
    <w:rsid w:val="00055A80"/>
    <w:rsid w:val="000612D2"/>
    <w:rsid w:val="00061915"/>
    <w:rsid w:val="0006288E"/>
    <w:rsid w:val="000630FA"/>
    <w:rsid w:val="0006771C"/>
    <w:rsid w:val="0007143D"/>
    <w:rsid w:val="00072A06"/>
    <w:rsid w:val="00073094"/>
    <w:rsid w:val="000738DB"/>
    <w:rsid w:val="00077685"/>
    <w:rsid w:val="00077D17"/>
    <w:rsid w:val="0008096A"/>
    <w:rsid w:val="000836ED"/>
    <w:rsid w:val="00083D95"/>
    <w:rsid w:val="0008480C"/>
    <w:rsid w:val="00085031"/>
    <w:rsid w:val="00087679"/>
    <w:rsid w:val="0009147C"/>
    <w:rsid w:val="000931C5"/>
    <w:rsid w:val="00096A7C"/>
    <w:rsid w:val="00097750"/>
    <w:rsid w:val="00097D02"/>
    <w:rsid w:val="000A1B4C"/>
    <w:rsid w:val="000A23B1"/>
    <w:rsid w:val="000A2B32"/>
    <w:rsid w:val="000A3F27"/>
    <w:rsid w:val="000A4E97"/>
    <w:rsid w:val="000A676A"/>
    <w:rsid w:val="000A6F26"/>
    <w:rsid w:val="000A78E9"/>
    <w:rsid w:val="000A7ECA"/>
    <w:rsid w:val="000B089B"/>
    <w:rsid w:val="000B0B5F"/>
    <w:rsid w:val="000B0CFC"/>
    <w:rsid w:val="000B0DF8"/>
    <w:rsid w:val="000B2682"/>
    <w:rsid w:val="000B2F22"/>
    <w:rsid w:val="000B3551"/>
    <w:rsid w:val="000B47AF"/>
    <w:rsid w:val="000B617B"/>
    <w:rsid w:val="000C0CBD"/>
    <w:rsid w:val="000C1739"/>
    <w:rsid w:val="000C2409"/>
    <w:rsid w:val="000C25FA"/>
    <w:rsid w:val="000C3B7B"/>
    <w:rsid w:val="000D0E14"/>
    <w:rsid w:val="000D0E37"/>
    <w:rsid w:val="000D23D3"/>
    <w:rsid w:val="000D7139"/>
    <w:rsid w:val="000D7728"/>
    <w:rsid w:val="000E1705"/>
    <w:rsid w:val="000E1F9B"/>
    <w:rsid w:val="000E2199"/>
    <w:rsid w:val="000E5D57"/>
    <w:rsid w:val="000F0196"/>
    <w:rsid w:val="000F3761"/>
    <w:rsid w:val="00100C9F"/>
    <w:rsid w:val="00100D92"/>
    <w:rsid w:val="00100EF1"/>
    <w:rsid w:val="001021F5"/>
    <w:rsid w:val="00104813"/>
    <w:rsid w:val="00107A16"/>
    <w:rsid w:val="00110647"/>
    <w:rsid w:val="00111449"/>
    <w:rsid w:val="00113F82"/>
    <w:rsid w:val="00115628"/>
    <w:rsid w:val="00115971"/>
    <w:rsid w:val="00115B01"/>
    <w:rsid w:val="0012415A"/>
    <w:rsid w:val="00124AE7"/>
    <w:rsid w:val="00126E0C"/>
    <w:rsid w:val="00132973"/>
    <w:rsid w:val="00132AB0"/>
    <w:rsid w:val="00132DD8"/>
    <w:rsid w:val="00137566"/>
    <w:rsid w:val="00140359"/>
    <w:rsid w:val="00140FA3"/>
    <w:rsid w:val="00141ED4"/>
    <w:rsid w:val="0014293C"/>
    <w:rsid w:val="001440A3"/>
    <w:rsid w:val="00144110"/>
    <w:rsid w:val="00145FC6"/>
    <w:rsid w:val="0014601E"/>
    <w:rsid w:val="0015187F"/>
    <w:rsid w:val="00152DFE"/>
    <w:rsid w:val="0015453C"/>
    <w:rsid w:val="00156A1A"/>
    <w:rsid w:val="00156F21"/>
    <w:rsid w:val="001626D1"/>
    <w:rsid w:val="0016396C"/>
    <w:rsid w:val="0016441B"/>
    <w:rsid w:val="00166C7E"/>
    <w:rsid w:val="00166D7F"/>
    <w:rsid w:val="001674F9"/>
    <w:rsid w:val="0017361F"/>
    <w:rsid w:val="00175D4B"/>
    <w:rsid w:val="0017639A"/>
    <w:rsid w:val="001765DD"/>
    <w:rsid w:val="001807DA"/>
    <w:rsid w:val="00182F97"/>
    <w:rsid w:val="0018375D"/>
    <w:rsid w:val="001844A7"/>
    <w:rsid w:val="001906AC"/>
    <w:rsid w:val="001956B3"/>
    <w:rsid w:val="00195D21"/>
    <w:rsid w:val="001A2265"/>
    <w:rsid w:val="001A50E8"/>
    <w:rsid w:val="001A7A2F"/>
    <w:rsid w:val="001B13A8"/>
    <w:rsid w:val="001B68C7"/>
    <w:rsid w:val="001C1E09"/>
    <w:rsid w:val="001C2C4D"/>
    <w:rsid w:val="001C444E"/>
    <w:rsid w:val="001C57B4"/>
    <w:rsid w:val="001C6F9C"/>
    <w:rsid w:val="001C70FE"/>
    <w:rsid w:val="001C77A8"/>
    <w:rsid w:val="001C7EDD"/>
    <w:rsid w:val="001D32D2"/>
    <w:rsid w:val="001D498E"/>
    <w:rsid w:val="001D4B37"/>
    <w:rsid w:val="001D717D"/>
    <w:rsid w:val="001D74CA"/>
    <w:rsid w:val="001E25D0"/>
    <w:rsid w:val="001E47D8"/>
    <w:rsid w:val="001E48D9"/>
    <w:rsid w:val="001E4979"/>
    <w:rsid w:val="001E60E5"/>
    <w:rsid w:val="001F16E6"/>
    <w:rsid w:val="001F18E5"/>
    <w:rsid w:val="001F241D"/>
    <w:rsid w:val="001F5300"/>
    <w:rsid w:val="00202183"/>
    <w:rsid w:val="002031F6"/>
    <w:rsid w:val="00203C91"/>
    <w:rsid w:val="002042D4"/>
    <w:rsid w:val="00207D32"/>
    <w:rsid w:val="0021051B"/>
    <w:rsid w:val="0021244A"/>
    <w:rsid w:val="00212553"/>
    <w:rsid w:val="00212B73"/>
    <w:rsid w:val="002134BE"/>
    <w:rsid w:val="00216CB1"/>
    <w:rsid w:val="00216D8A"/>
    <w:rsid w:val="00220C1B"/>
    <w:rsid w:val="00220C34"/>
    <w:rsid w:val="002233C8"/>
    <w:rsid w:val="002233F1"/>
    <w:rsid w:val="002268AE"/>
    <w:rsid w:val="00231ED3"/>
    <w:rsid w:val="00233E88"/>
    <w:rsid w:val="00234E4C"/>
    <w:rsid w:val="00235EF8"/>
    <w:rsid w:val="00236A85"/>
    <w:rsid w:val="0024021B"/>
    <w:rsid w:val="002421E6"/>
    <w:rsid w:val="00245E8A"/>
    <w:rsid w:val="00246D7A"/>
    <w:rsid w:val="002501A4"/>
    <w:rsid w:val="00253113"/>
    <w:rsid w:val="002533E3"/>
    <w:rsid w:val="002547F1"/>
    <w:rsid w:val="002561D5"/>
    <w:rsid w:val="00256659"/>
    <w:rsid w:val="00256AC9"/>
    <w:rsid w:val="0025729B"/>
    <w:rsid w:val="00261A69"/>
    <w:rsid w:val="002663B3"/>
    <w:rsid w:val="002667CB"/>
    <w:rsid w:val="00267A61"/>
    <w:rsid w:val="002723A2"/>
    <w:rsid w:val="0027299C"/>
    <w:rsid w:val="00272DDF"/>
    <w:rsid w:val="002806C0"/>
    <w:rsid w:val="00281714"/>
    <w:rsid w:val="00281A43"/>
    <w:rsid w:val="00282A29"/>
    <w:rsid w:val="00284603"/>
    <w:rsid w:val="002873FC"/>
    <w:rsid w:val="00287C97"/>
    <w:rsid w:val="00291053"/>
    <w:rsid w:val="00291337"/>
    <w:rsid w:val="0029252C"/>
    <w:rsid w:val="002929CE"/>
    <w:rsid w:val="00292AE3"/>
    <w:rsid w:val="00292EEF"/>
    <w:rsid w:val="00294837"/>
    <w:rsid w:val="0029507D"/>
    <w:rsid w:val="00295891"/>
    <w:rsid w:val="00297E2C"/>
    <w:rsid w:val="002A036C"/>
    <w:rsid w:val="002A17F4"/>
    <w:rsid w:val="002A4DC0"/>
    <w:rsid w:val="002A50F6"/>
    <w:rsid w:val="002A640C"/>
    <w:rsid w:val="002A6702"/>
    <w:rsid w:val="002A7C27"/>
    <w:rsid w:val="002B0554"/>
    <w:rsid w:val="002B28FF"/>
    <w:rsid w:val="002B2B52"/>
    <w:rsid w:val="002B3117"/>
    <w:rsid w:val="002B361E"/>
    <w:rsid w:val="002B70ED"/>
    <w:rsid w:val="002B7C49"/>
    <w:rsid w:val="002C29D9"/>
    <w:rsid w:val="002C2E20"/>
    <w:rsid w:val="002C5A7A"/>
    <w:rsid w:val="002D0F75"/>
    <w:rsid w:val="002D249F"/>
    <w:rsid w:val="002D2F5A"/>
    <w:rsid w:val="002D52EF"/>
    <w:rsid w:val="002D7746"/>
    <w:rsid w:val="002E2080"/>
    <w:rsid w:val="002E3691"/>
    <w:rsid w:val="002E4376"/>
    <w:rsid w:val="002E5D59"/>
    <w:rsid w:val="002E6C69"/>
    <w:rsid w:val="002E6D97"/>
    <w:rsid w:val="002F01EE"/>
    <w:rsid w:val="002F25B7"/>
    <w:rsid w:val="002F3E4F"/>
    <w:rsid w:val="002F45CF"/>
    <w:rsid w:val="002F7CA8"/>
    <w:rsid w:val="002F7D46"/>
    <w:rsid w:val="00300F95"/>
    <w:rsid w:val="0030340A"/>
    <w:rsid w:val="00303ECD"/>
    <w:rsid w:val="003042A1"/>
    <w:rsid w:val="00306F92"/>
    <w:rsid w:val="003112C0"/>
    <w:rsid w:val="00312FF3"/>
    <w:rsid w:val="00314FBC"/>
    <w:rsid w:val="003153AA"/>
    <w:rsid w:val="00315620"/>
    <w:rsid w:val="00315A50"/>
    <w:rsid w:val="00321221"/>
    <w:rsid w:val="0032248F"/>
    <w:rsid w:val="00322BF9"/>
    <w:rsid w:val="00324FB1"/>
    <w:rsid w:val="003252AB"/>
    <w:rsid w:val="003264FF"/>
    <w:rsid w:val="00326ADB"/>
    <w:rsid w:val="00330556"/>
    <w:rsid w:val="00330AF2"/>
    <w:rsid w:val="0033180E"/>
    <w:rsid w:val="00331D87"/>
    <w:rsid w:val="0033327A"/>
    <w:rsid w:val="003335AC"/>
    <w:rsid w:val="00333D10"/>
    <w:rsid w:val="00334F5C"/>
    <w:rsid w:val="00336BC7"/>
    <w:rsid w:val="0033796D"/>
    <w:rsid w:val="00337FB4"/>
    <w:rsid w:val="00340B7D"/>
    <w:rsid w:val="00341DCB"/>
    <w:rsid w:val="00342622"/>
    <w:rsid w:val="00344686"/>
    <w:rsid w:val="00344BEF"/>
    <w:rsid w:val="00345402"/>
    <w:rsid w:val="00346624"/>
    <w:rsid w:val="00346794"/>
    <w:rsid w:val="00347422"/>
    <w:rsid w:val="003519E4"/>
    <w:rsid w:val="003522A6"/>
    <w:rsid w:val="00352503"/>
    <w:rsid w:val="00353B86"/>
    <w:rsid w:val="003579BC"/>
    <w:rsid w:val="003614F1"/>
    <w:rsid w:val="00362A02"/>
    <w:rsid w:val="00362B39"/>
    <w:rsid w:val="00362DF7"/>
    <w:rsid w:val="0036310E"/>
    <w:rsid w:val="003672E2"/>
    <w:rsid w:val="00371CBA"/>
    <w:rsid w:val="00372444"/>
    <w:rsid w:val="00372448"/>
    <w:rsid w:val="00372B80"/>
    <w:rsid w:val="003742D9"/>
    <w:rsid w:val="00376AC9"/>
    <w:rsid w:val="00377B70"/>
    <w:rsid w:val="00385E01"/>
    <w:rsid w:val="0038773F"/>
    <w:rsid w:val="00387DA4"/>
    <w:rsid w:val="003902A7"/>
    <w:rsid w:val="00391530"/>
    <w:rsid w:val="00391C99"/>
    <w:rsid w:val="00394BB5"/>
    <w:rsid w:val="0039638E"/>
    <w:rsid w:val="00397613"/>
    <w:rsid w:val="003A11CF"/>
    <w:rsid w:val="003A34AC"/>
    <w:rsid w:val="003A5D7F"/>
    <w:rsid w:val="003A5FE9"/>
    <w:rsid w:val="003A7DDF"/>
    <w:rsid w:val="003B12D1"/>
    <w:rsid w:val="003B199D"/>
    <w:rsid w:val="003B32D5"/>
    <w:rsid w:val="003B3AAF"/>
    <w:rsid w:val="003B4E7B"/>
    <w:rsid w:val="003B540D"/>
    <w:rsid w:val="003B5A9F"/>
    <w:rsid w:val="003C0C29"/>
    <w:rsid w:val="003C38DA"/>
    <w:rsid w:val="003C4039"/>
    <w:rsid w:val="003D1A4A"/>
    <w:rsid w:val="003D2F47"/>
    <w:rsid w:val="003D4151"/>
    <w:rsid w:val="003D4BCE"/>
    <w:rsid w:val="003D6B7B"/>
    <w:rsid w:val="003E1BE7"/>
    <w:rsid w:val="003E28D3"/>
    <w:rsid w:val="003E3F55"/>
    <w:rsid w:val="003E63F1"/>
    <w:rsid w:val="003F038B"/>
    <w:rsid w:val="003F0E2C"/>
    <w:rsid w:val="003F1AC2"/>
    <w:rsid w:val="003F1DF9"/>
    <w:rsid w:val="003F3527"/>
    <w:rsid w:val="003F6920"/>
    <w:rsid w:val="00400B63"/>
    <w:rsid w:val="00401CD3"/>
    <w:rsid w:val="004034AD"/>
    <w:rsid w:val="00403A73"/>
    <w:rsid w:val="00404A4B"/>
    <w:rsid w:val="00405A79"/>
    <w:rsid w:val="0040798A"/>
    <w:rsid w:val="0041095A"/>
    <w:rsid w:val="00412379"/>
    <w:rsid w:val="00414F0E"/>
    <w:rsid w:val="00416E7B"/>
    <w:rsid w:val="0042066A"/>
    <w:rsid w:val="0042372B"/>
    <w:rsid w:val="004249A8"/>
    <w:rsid w:val="004258FF"/>
    <w:rsid w:val="00427328"/>
    <w:rsid w:val="00431247"/>
    <w:rsid w:val="00431A2C"/>
    <w:rsid w:val="00431EBA"/>
    <w:rsid w:val="004336F9"/>
    <w:rsid w:val="00436311"/>
    <w:rsid w:val="0043768C"/>
    <w:rsid w:val="00440486"/>
    <w:rsid w:val="004427C0"/>
    <w:rsid w:val="00442ABB"/>
    <w:rsid w:val="0044429D"/>
    <w:rsid w:val="0044503A"/>
    <w:rsid w:val="00445799"/>
    <w:rsid w:val="00445D4A"/>
    <w:rsid w:val="00445FDB"/>
    <w:rsid w:val="00457AAA"/>
    <w:rsid w:val="0046200A"/>
    <w:rsid w:val="004663C2"/>
    <w:rsid w:val="00466D31"/>
    <w:rsid w:val="00470BD6"/>
    <w:rsid w:val="004731BF"/>
    <w:rsid w:val="0047349A"/>
    <w:rsid w:val="0047368F"/>
    <w:rsid w:val="00474915"/>
    <w:rsid w:val="00474E36"/>
    <w:rsid w:val="00476A28"/>
    <w:rsid w:val="0047709F"/>
    <w:rsid w:val="00480B6B"/>
    <w:rsid w:val="00480EA5"/>
    <w:rsid w:val="0048373A"/>
    <w:rsid w:val="00484B7D"/>
    <w:rsid w:val="00485453"/>
    <w:rsid w:val="00485A9F"/>
    <w:rsid w:val="00487954"/>
    <w:rsid w:val="00487DCF"/>
    <w:rsid w:val="0049504D"/>
    <w:rsid w:val="00495961"/>
    <w:rsid w:val="004979B5"/>
    <w:rsid w:val="00497D47"/>
    <w:rsid w:val="004A1542"/>
    <w:rsid w:val="004A18BE"/>
    <w:rsid w:val="004A26ED"/>
    <w:rsid w:val="004A5F6C"/>
    <w:rsid w:val="004A6C03"/>
    <w:rsid w:val="004A6C1F"/>
    <w:rsid w:val="004B0220"/>
    <w:rsid w:val="004B249E"/>
    <w:rsid w:val="004B52DD"/>
    <w:rsid w:val="004B601F"/>
    <w:rsid w:val="004C196F"/>
    <w:rsid w:val="004C3D8C"/>
    <w:rsid w:val="004D2520"/>
    <w:rsid w:val="004E0397"/>
    <w:rsid w:val="004E13BB"/>
    <w:rsid w:val="004E1F6A"/>
    <w:rsid w:val="004E2BBA"/>
    <w:rsid w:val="004E504A"/>
    <w:rsid w:val="004E60B5"/>
    <w:rsid w:val="004E78D4"/>
    <w:rsid w:val="004E7D23"/>
    <w:rsid w:val="004F068C"/>
    <w:rsid w:val="004F3251"/>
    <w:rsid w:val="004F7473"/>
    <w:rsid w:val="004F7E8D"/>
    <w:rsid w:val="00502048"/>
    <w:rsid w:val="005048E1"/>
    <w:rsid w:val="0050551D"/>
    <w:rsid w:val="00512199"/>
    <w:rsid w:val="00512491"/>
    <w:rsid w:val="00513127"/>
    <w:rsid w:val="00515D26"/>
    <w:rsid w:val="005160F0"/>
    <w:rsid w:val="00516223"/>
    <w:rsid w:val="00522507"/>
    <w:rsid w:val="0052262E"/>
    <w:rsid w:val="00524F25"/>
    <w:rsid w:val="005267AA"/>
    <w:rsid w:val="005306AE"/>
    <w:rsid w:val="005324A2"/>
    <w:rsid w:val="00533536"/>
    <w:rsid w:val="00533B3B"/>
    <w:rsid w:val="00534B41"/>
    <w:rsid w:val="00536C96"/>
    <w:rsid w:val="0053728E"/>
    <w:rsid w:val="00537B80"/>
    <w:rsid w:val="00537F27"/>
    <w:rsid w:val="005406CF"/>
    <w:rsid w:val="00540C46"/>
    <w:rsid w:val="00542B52"/>
    <w:rsid w:val="005459E3"/>
    <w:rsid w:val="00555E16"/>
    <w:rsid w:val="00556541"/>
    <w:rsid w:val="00561443"/>
    <w:rsid w:val="00561F19"/>
    <w:rsid w:val="005630DA"/>
    <w:rsid w:val="005633F1"/>
    <w:rsid w:val="005634FF"/>
    <w:rsid w:val="00565715"/>
    <w:rsid w:val="00570913"/>
    <w:rsid w:val="005726D0"/>
    <w:rsid w:val="0057369E"/>
    <w:rsid w:val="0057577F"/>
    <w:rsid w:val="00576949"/>
    <w:rsid w:val="00576ADA"/>
    <w:rsid w:val="00580045"/>
    <w:rsid w:val="00580582"/>
    <w:rsid w:val="00582186"/>
    <w:rsid w:val="00585437"/>
    <w:rsid w:val="005856E7"/>
    <w:rsid w:val="00585F7D"/>
    <w:rsid w:val="00586837"/>
    <w:rsid w:val="00587A1E"/>
    <w:rsid w:val="0059149D"/>
    <w:rsid w:val="0059228A"/>
    <w:rsid w:val="00594F70"/>
    <w:rsid w:val="00595023"/>
    <w:rsid w:val="005967B3"/>
    <w:rsid w:val="00597E9A"/>
    <w:rsid w:val="005A0328"/>
    <w:rsid w:val="005A12EF"/>
    <w:rsid w:val="005A1AFC"/>
    <w:rsid w:val="005A2F8A"/>
    <w:rsid w:val="005A3CB1"/>
    <w:rsid w:val="005B337A"/>
    <w:rsid w:val="005B3EFB"/>
    <w:rsid w:val="005B4AA0"/>
    <w:rsid w:val="005B510C"/>
    <w:rsid w:val="005B5D87"/>
    <w:rsid w:val="005B77EE"/>
    <w:rsid w:val="005C0A1E"/>
    <w:rsid w:val="005C3E7A"/>
    <w:rsid w:val="005C5C7D"/>
    <w:rsid w:val="005C7778"/>
    <w:rsid w:val="005D06EC"/>
    <w:rsid w:val="005D08F2"/>
    <w:rsid w:val="005D5880"/>
    <w:rsid w:val="005E2A2E"/>
    <w:rsid w:val="005E4257"/>
    <w:rsid w:val="005E6F8E"/>
    <w:rsid w:val="005E7078"/>
    <w:rsid w:val="005E7F37"/>
    <w:rsid w:val="005F0139"/>
    <w:rsid w:val="005F04C9"/>
    <w:rsid w:val="005F2920"/>
    <w:rsid w:val="005F35E9"/>
    <w:rsid w:val="005F4156"/>
    <w:rsid w:val="005F5BF5"/>
    <w:rsid w:val="005F5FBF"/>
    <w:rsid w:val="005F662B"/>
    <w:rsid w:val="005F6B53"/>
    <w:rsid w:val="00600347"/>
    <w:rsid w:val="006017C2"/>
    <w:rsid w:val="00601965"/>
    <w:rsid w:val="00603ED2"/>
    <w:rsid w:val="006046F7"/>
    <w:rsid w:val="00604F85"/>
    <w:rsid w:val="00611DF6"/>
    <w:rsid w:val="006121CF"/>
    <w:rsid w:val="00612592"/>
    <w:rsid w:val="006135F7"/>
    <w:rsid w:val="00614306"/>
    <w:rsid w:val="0061689A"/>
    <w:rsid w:val="006249EA"/>
    <w:rsid w:val="00625CD5"/>
    <w:rsid w:val="00631373"/>
    <w:rsid w:val="006330F3"/>
    <w:rsid w:val="006331C1"/>
    <w:rsid w:val="006332AC"/>
    <w:rsid w:val="0063331C"/>
    <w:rsid w:val="00634EF3"/>
    <w:rsid w:val="00643FD0"/>
    <w:rsid w:val="006459FD"/>
    <w:rsid w:val="00646DAF"/>
    <w:rsid w:val="00651772"/>
    <w:rsid w:val="0065187E"/>
    <w:rsid w:val="00652286"/>
    <w:rsid w:val="0065499F"/>
    <w:rsid w:val="00654EF0"/>
    <w:rsid w:val="0065710C"/>
    <w:rsid w:val="006573CD"/>
    <w:rsid w:val="0066002A"/>
    <w:rsid w:val="00661FBA"/>
    <w:rsid w:val="00661FF0"/>
    <w:rsid w:val="006703A2"/>
    <w:rsid w:val="00670732"/>
    <w:rsid w:val="00672263"/>
    <w:rsid w:val="00683DAC"/>
    <w:rsid w:val="00684224"/>
    <w:rsid w:val="006844A0"/>
    <w:rsid w:val="00684FEE"/>
    <w:rsid w:val="006923D2"/>
    <w:rsid w:val="00692C79"/>
    <w:rsid w:val="00692D9F"/>
    <w:rsid w:val="00692F14"/>
    <w:rsid w:val="006935C1"/>
    <w:rsid w:val="00694729"/>
    <w:rsid w:val="00695DAD"/>
    <w:rsid w:val="006966DB"/>
    <w:rsid w:val="0069698B"/>
    <w:rsid w:val="00696A78"/>
    <w:rsid w:val="00697851"/>
    <w:rsid w:val="006979C3"/>
    <w:rsid w:val="006A0B86"/>
    <w:rsid w:val="006A19EB"/>
    <w:rsid w:val="006A1F55"/>
    <w:rsid w:val="006A2383"/>
    <w:rsid w:val="006A429E"/>
    <w:rsid w:val="006A4857"/>
    <w:rsid w:val="006A4A34"/>
    <w:rsid w:val="006A504B"/>
    <w:rsid w:val="006A59FA"/>
    <w:rsid w:val="006B0742"/>
    <w:rsid w:val="006B23B6"/>
    <w:rsid w:val="006B2A57"/>
    <w:rsid w:val="006B3FC6"/>
    <w:rsid w:val="006B41E6"/>
    <w:rsid w:val="006B6038"/>
    <w:rsid w:val="006B663B"/>
    <w:rsid w:val="006B678B"/>
    <w:rsid w:val="006B6B24"/>
    <w:rsid w:val="006B7F4D"/>
    <w:rsid w:val="006C0503"/>
    <w:rsid w:val="006C0BE0"/>
    <w:rsid w:val="006C15D9"/>
    <w:rsid w:val="006C19BD"/>
    <w:rsid w:val="006C2C1E"/>
    <w:rsid w:val="006C2F00"/>
    <w:rsid w:val="006C6B76"/>
    <w:rsid w:val="006C6CC3"/>
    <w:rsid w:val="006C73D4"/>
    <w:rsid w:val="006C7717"/>
    <w:rsid w:val="006D3580"/>
    <w:rsid w:val="006D3726"/>
    <w:rsid w:val="006D430F"/>
    <w:rsid w:val="006D5516"/>
    <w:rsid w:val="006D617F"/>
    <w:rsid w:val="006D6D27"/>
    <w:rsid w:val="006D6D86"/>
    <w:rsid w:val="006E2155"/>
    <w:rsid w:val="006E3306"/>
    <w:rsid w:val="006E38C4"/>
    <w:rsid w:val="006E3D18"/>
    <w:rsid w:val="006E445D"/>
    <w:rsid w:val="006E6487"/>
    <w:rsid w:val="006F30A9"/>
    <w:rsid w:val="006F3ABE"/>
    <w:rsid w:val="006F4FE0"/>
    <w:rsid w:val="006F5CEA"/>
    <w:rsid w:val="006F68B9"/>
    <w:rsid w:val="006F69F5"/>
    <w:rsid w:val="006F7B9E"/>
    <w:rsid w:val="007021AF"/>
    <w:rsid w:val="007028AD"/>
    <w:rsid w:val="00703E95"/>
    <w:rsid w:val="00706A26"/>
    <w:rsid w:val="00707E17"/>
    <w:rsid w:val="00710C96"/>
    <w:rsid w:val="00710F71"/>
    <w:rsid w:val="00711190"/>
    <w:rsid w:val="00711F6B"/>
    <w:rsid w:val="007129EE"/>
    <w:rsid w:val="00713E8B"/>
    <w:rsid w:val="007156F6"/>
    <w:rsid w:val="007216F3"/>
    <w:rsid w:val="00721A58"/>
    <w:rsid w:val="007238A5"/>
    <w:rsid w:val="00725000"/>
    <w:rsid w:val="00725B08"/>
    <w:rsid w:val="0072635A"/>
    <w:rsid w:val="00726D36"/>
    <w:rsid w:val="00727A26"/>
    <w:rsid w:val="00736AAE"/>
    <w:rsid w:val="0074258A"/>
    <w:rsid w:val="0074366B"/>
    <w:rsid w:val="007446F0"/>
    <w:rsid w:val="00745337"/>
    <w:rsid w:val="00745685"/>
    <w:rsid w:val="0074650C"/>
    <w:rsid w:val="0074667C"/>
    <w:rsid w:val="00751A5A"/>
    <w:rsid w:val="00757FB3"/>
    <w:rsid w:val="00762134"/>
    <w:rsid w:val="00763A18"/>
    <w:rsid w:val="00763CE9"/>
    <w:rsid w:val="00764BB6"/>
    <w:rsid w:val="00765D2B"/>
    <w:rsid w:val="00766A05"/>
    <w:rsid w:val="00766D7D"/>
    <w:rsid w:val="0077045D"/>
    <w:rsid w:val="00773C1B"/>
    <w:rsid w:val="00774DC6"/>
    <w:rsid w:val="00774DF8"/>
    <w:rsid w:val="00774E64"/>
    <w:rsid w:val="00775904"/>
    <w:rsid w:val="00777328"/>
    <w:rsid w:val="00781652"/>
    <w:rsid w:val="00784080"/>
    <w:rsid w:val="0078463E"/>
    <w:rsid w:val="00784903"/>
    <w:rsid w:val="00784B63"/>
    <w:rsid w:val="00785062"/>
    <w:rsid w:val="0078578F"/>
    <w:rsid w:val="007858AA"/>
    <w:rsid w:val="00787894"/>
    <w:rsid w:val="007900B2"/>
    <w:rsid w:val="0079025A"/>
    <w:rsid w:val="00790337"/>
    <w:rsid w:val="00790D22"/>
    <w:rsid w:val="00792378"/>
    <w:rsid w:val="007935AC"/>
    <w:rsid w:val="00796FCA"/>
    <w:rsid w:val="00797D96"/>
    <w:rsid w:val="007A03B9"/>
    <w:rsid w:val="007A0604"/>
    <w:rsid w:val="007A17AE"/>
    <w:rsid w:val="007A19B0"/>
    <w:rsid w:val="007A2817"/>
    <w:rsid w:val="007A3EEE"/>
    <w:rsid w:val="007A427A"/>
    <w:rsid w:val="007A43D1"/>
    <w:rsid w:val="007A4BD0"/>
    <w:rsid w:val="007A4DB9"/>
    <w:rsid w:val="007A5D77"/>
    <w:rsid w:val="007A78C5"/>
    <w:rsid w:val="007B2588"/>
    <w:rsid w:val="007B3B74"/>
    <w:rsid w:val="007B4ACD"/>
    <w:rsid w:val="007C0ECC"/>
    <w:rsid w:val="007C26DA"/>
    <w:rsid w:val="007C4D66"/>
    <w:rsid w:val="007C52B5"/>
    <w:rsid w:val="007C7E77"/>
    <w:rsid w:val="007D05C5"/>
    <w:rsid w:val="007D0914"/>
    <w:rsid w:val="007D37CF"/>
    <w:rsid w:val="007D38DE"/>
    <w:rsid w:val="007D5CF1"/>
    <w:rsid w:val="007D67C2"/>
    <w:rsid w:val="007D6C23"/>
    <w:rsid w:val="007E04EA"/>
    <w:rsid w:val="007E14B4"/>
    <w:rsid w:val="007E2F91"/>
    <w:rsid w:val="007E3624"/>
    <w:rsid w:val="007E42CD"/>
    <w:rsid w:val="007E625E"/>
    <w:rsid w:val="007E7E65"/>
    <w:rsid w:val="007F03A2"/>
    <w:rsid w:val="007F1ED2"/>
    <w:rsid w:val="007F374C"/>
    <w:rsid w:val="007F4062"/>
    <w:rsid w:val="007F6F86"/>
    <w:rsid w:val="007F7F49"/>
    <w:rsid w:val="00802A9B"/>
    <w:rsid w:val="00804921"/>
    <w:rsid w:val="00805141"/>
    <w:rsid w:val="00807BDA"/>
    <w:rsid w:val="00811129"/>
    <w:rsid w:val="0081224B"/>
    <w:rsid w:val="0081255C"/>
    <w:rsid w:val="008137E5"/>
    <w:rsid w:val="008144CF"/>
    <w:rsid w:val="00820637"/>
    <w:rsid w:val="00820C5A"/>
    <w:rsid w:val="008216A8"/>
    <w:rsid w:val="008231D2"/>
    <w:rsid w:val="00824197"/>
    <w:rsid w:val="00830321"/>
    <w:rsid w:val="0083092D"/>
    <w:rsid w:val="00831F36"/>
    <w:rsid w:val="00832901"/>
    <w:rsid w:val="00833894"/>
    <w:rsid w:val="00834058"/>
    <w:rsid w:val="008429C8"/>
    <w:rsid w:val="00845E69"/>
    <w:rsid w:val="0084780E"/>
    <w:rsid w:val="00850EF0"/>
    <w:rsid w:val="008523EE"/>
    <w:rsid w:val="00852B09"/>
    <w:rsid w:val="00852EFF"/>
    <w:rsid w:val="00853CBA"/>
    <w:rsid w:val="0085497A"/>
    <w:rsid w:val="0085656C"/>
    <w:rsid w:val="00861EAD"/>
    <w:rsid w:val="00862433"/>
    <w:rsid w:val="008649A2"/>
    <w:rsid w:val="00864AC2"/>
    <w:rsid w:val="00867774"/>
    <w:rsid w:val="00867F14"/>
    <w:rsid w:val="0087025F"/>
    <w:rsid w:val="008720A0"/>
    <w:rsid w:val="008724B7"/>
    <w:rsid w:val="00876E17"/>
    <w:rsid w:val="00877257"/>
    <w:rsid w:val="00877E23"/>
    <w:rsid w:val="0088158E"/>
    <w:rsid w:val="0088189B"/>
    <w:rsid w:val="00884DCA"/>
    <w:rsid w:val="00885943"/>
    <w:rsid w:val="008871D5"/>
    <w:rsid w:val="00887B37"/>
    <w:rsid w:val="0089078F"/>
    <w:rsid w:val="00892A15"/>
    <w:rsid w:val="00892BE4"/>
    <w:rsid w:val="008962B6"/>
    <w:rsid w:val="008A13BA"/>
    <w:rsid w:val="008A564E"/>
    <w:rsid w:val="008A5EB0"/>
    <w:rsid w:val="008B0719"/>
    <w:rsid w:val="008B0B53"/>
    <w:rsid w:val="008B0D33"/>
    <w:rsid w:val="008B0D3F"/>
    <w:rsid w:val="008B1895"/>
    <w:rsid w:val="008B1A26"/>
    <w:rsid w:val="008C156D"/>
    <w:rsid w:val="008C314E"/>
    <w:rsid w:val="008C5DD8"/>
    <w:rsid w:val="008C6A0F"/>
    <w:rsid w:val="008C7255"/>
    <w:rsid w:val="008D02E7"/>
    <w:rsid w:val="008D10DA"/>
    <w:rsid w:val="008D28A8"/>
    <w:rsid w:val="008D4D8C"/>
    <w:rsid w:val="008D5432"/>
    <w:rsid w:val="008F16CF"/>
    <w:rsid w:val="008F2BD2"/>
    <w:rsid w:val="008F44AE"/>
    <w:rsid w:val="008F4C10"/>
    <w:rsid w:val="008F4DDB"/>
    <w:rsid w:val="008F66B5"/>
    <w:rsid w:val="008F7A65"/>
    <w:rsid w:val="008F7FC3"/>
    <w:rsid w:val="00900651"/>
    <w:rsid w:val="009006A8"/>
    <w:rsid w:val="00903B07"/>
    <w:rsid w:val="009064F2"/>
    <w:rsid w:val="009068E4"/>
    <w:rsid w:val="009100B5"/>
    <w:rsid w:val="009111EA"/>
    <w:rsid w:val="0091275B"/>
    <w:rsid w:val="00912836"/>
    <w:rsid w:val="00913357"/>
    <w:rsid w:val="009141EF"/>
    <w:rsid w:val="00916E41"/>
    <w:rsid w:val="0091720E"/>
    <w:rsid w:val="00917380"/>
    <w:rsid w:val="009225AC"/>
    <w:rsid w:val="00923E00"/>
    <w:rsid w:val="00925EF2"/>
    <w:rsid w:val="009262C2"/>
    <w:rsid w:val="0092742C"/>
    <w:rsid w:val="00927CDA"/>
    <w:rsid w:val="00930D2C"/>
    <w:rsid w:val="009312C1"/>
    <w:rsid w:val="009312F0"/>
    <w:rsid w:val="00931430"/>
    <w:rsid w:val="00933157"/>
    <w:rsid w:val="00933FB9"/>
    <w:rsid w:val="0093418B"/>
    <w:rsid w:val="00935F5E"/>
    <w:rsid w:val="00943484"/>
    <w:rsid w:val="00947E73"/>
    <w:rsid w:val="00950F6B"/>
    <w:rsid w:val="00952912"/>
    <w:rsid w:val="00952AD5"/>
    <w:rsid w:val="00953B8A"/>
    <w:rsid w:val="00954DF8"/>
    <w:rsid w:val="0095587E"/>
    <w:rsid w:val="009565F3"/>
    <w:rsid w:val="00960C1D"/>
    <w:rsid w:val="00961AC1"/>
    <w:rsid w:val="00962D12"/>
    <w:rsid w:val="009708B9"/>
    <w:rsid w:val="00970D68"/>
    <w:rsid w:val="0097162C"/>
    <w:rsid w:val="00971998"/>
    <w:rsid w:val="00972222"/>
    <w:rsid w:val="00972D89"/>
    <w:rsid w:val="00973F1B"/>
    <w:rsid w:val="009752D7"/>
    <w:rsid w:val="0097573C"/>
    <w:rsid w:val="00977E85"/>
    <w:rsid w:val="00980DA1"/>
    <w:rsid w:val="00982222"/>
    <w:rsid w:val="00982AC3"/>
    <w:rsid w:val="0098305F"/>
    <w:rsid w:val="00985831"/>
    <w:rsid w:val="009858B0"/>
    <w:rsid w:val="0098660D"/>
    <w:rsid w:val="009874C5"/>
    <w:rsid w:val="0099408E"/>
    <w:rsid w:val="00996AFE"/>
    <w:rsid w:val="009A1D6A"/>
    <w:rsid w:val="009A481B"/>
    <w:rsid w:val="009A502F"/>
    <w:rsid w:val="009A5C44"/>
    <w:rsid w:val="009A7143"/>
    <w:rsid w:val="009B04E3"/>
    <w:rsid w:val="009B1159"/>
    <w:rsid w:val="009B297D"/>
    <w:rsid w:val="009B45CB"/>
    <w:rsid w:val="009B68AA"/>
    <w:rsid w:val="009B68BC"/>
    <w:rsid w:val="009B7DBF"/>
    <w:rsid w:val="009C0697"/>
    <w:rsid w:val="009C0732"/>
    <w:rsid w:val="009C15E6"/>
    <w:rsid w:val="009C2753"/>
    <w:rsid w:val="009C2A52"/>
    <w:rsid w:val="009C4ADB"/>
    <w:rsid w:val="009C7640"/>
    <w:rsid w:val="009D239F"/>
    <w:rsid w:val="009D2924"/>
    <w:rsid w:val="009D4662"/>
    <w:rsid w:val="009D6E99"/>
    <w:rsid w:val="009D72DB"/>
    <w:rsid w:val="009D78ED"/>
    <w:rsid w:val="009E0D2A"/>
    <w:rsid w:val="009E5CB4"/>
    <w:rsid w:val="009E6DB8"/>
    <w:rsid w:val="009E77D9"/>
    <w:rsid w:val="009E78E6"/>
    <w:rsid w:val="009F16CE"/>
    <w:rsid w:val="009F2564"/>
    <w:rsid w:val="009F408E"/>
    <w:rsid w:val="00A01E0F"/>
    <w:rsid w:val="00A0407B"/>
    <w:rsid w:val="00A04F8C"/>
    <w:rsid w:val="00A109DA"/>
    <w:rsid w:val="00A11540"/>
    <w:rsid w:val="00A12957"/>
    <w:rsid w:val="00A14B6C"/>
    <w:rsid w:val="00A16169"/>
    <w:rsid w:val="00A22125"/>
    <w:rsid w:val="00A2447F"/>
    <w:rsid w:val="00A25C51"/>
    <w:rsid w:val="00A27F8E"/>
    <w:rsid w:val="00A3008F"/>
    <w:rsid w:val="00A30BD5"/>
    <w:rsid w:val="00A30DB7"/>
    <w:rsid w:val="00A32212"/>
    <w:rsid w:val="00A33D52"/>
    <w:rsid w:val="00A34A44"/>
    <w:rsid w:val="00A36A44"/>
    <w:rsid w:val="00A406FB"/>
    <w:rsid w:val="00A41A38"/>
    <w:rsid w:val="00A42746"/>
    <w:rsid w:val="00A42CDF"/>
    <w:rsid w:val="00A46C8F"/>
    <w:rsid w:val="00A512D9"/>
    <w:rsid w:val="00A538F1"/>
    <w:rsid w:val="00A53963"/>
    <w:rsid w:val="00A54AEC"/>
    <w:rsid w:val="00A54C62"/>
    <w:rsid w:val="00A5520D"/>
    <w:rsid w:val="00A558EB"/>
    <w:rsid w:val="00A60616"/>
    <w:rsid w:val="00A60CFC"/>
    <w:rsid w:val="00A61B6A"/>
    <w:rsid w:val="00A62CD0"/>
    <w:rsid w:val="00A6320C"/>
    <w:rsid w:val="00A662B5"/>
    <w:rsid w:val="00A7086F"/>
    <w:rsid w:val="00A708F6"/>
    <w:rsid w:val="00A70BA7"/>
    <w:rsid w:val="00A72CA2"/>
    <w:rsid w:val="00A75A06"/>
    <w:rsid w:val="00A80D14"/>
    <w:rsid w:val="00A81FE6"/>
    <w:rsid w:val="00A82E4D"/>
    <w:rsid w:val="00A83F00"/>
    <w:rsid w:val="00A86210"/>
    <w:rsid w:val="00A862C2"/>
    <w:rsid w:val="00A86CB5"/>
    <w:rsid w:val="00A86E36"/>
    <w:rsid w:val="00A87CE0"/>
    <w:rsid w:val="00A90C1D"/>
    <w:rsid w:val="00A96994"/>
    <w:rsid w:val="00AA0B2A"/>
    <w:rsid w:val="00AA3D6D"/>
    <w:rsid w:val="00AA3F29"/>
    <w:rsid w:val="00AA4E01"/>
    <w:rsid w:val="00AB0660"/>
    <w:rsid w:val="00AB0A5C"/>
    <w:rsid w:val="00AB62D1"/>
    <w:rsid w:val="00AC0861"/>
    <w:rsid w:val="00AC27DF"/>
    <w:rsid w:val="00AC3AA6"/>
    <w:rsid w:val="00AC466B"/>
    <w:rsid w:val="00AC58B5"/>
    <w:rsid w:val="00AD0822"/>
    <w:rsid w:val="00AD1E51"/>
    <w:rsid w:val="00AD3547"/>
    <w:rsid w:val="00AD3A8C"/>
    <w:rsid w:val="00AD4A8E"/>
    <w:rsid w:val="00AD53A8"/>
    <w:rsid w:val="00AE0CFB"/>
    <w:rsid w:val="00AE28F1"/>
    <w:rsid w:val="00AE30C2"/>
    <w:rsid w:val="00AE3AE5"/>
    <w:rsid w:val="00AE51D3"/>
    <w:rsid w:val="00AF338C"/>
    <w:rsid w:val="00AF4D4F"/>
    <w:rsid w:val="00AF59F3"/>
    <w:rsid w:val="00AF5DF6"/>
    <w:rsid w:val="00AF7721"/>
    <w:rsid w:val="00B00889"/>
    <w:rsid w:val="00B01779"/>
    <w:rsid w:val="00B0273E"/>
    <w:rsid w:val="00B02C07"/>
    <w:rsid w:val="00B03CF8"/>
    <w:rsid w:val="00B05000"/>
    <w:rsid w:val="00B05235"/>
    <w:rsid w:val="00B06441"/>
    <w:rsid w:val="00B0657D"/>
    <w:rsid w:val="00B06D3E"/>
    <w:rsid w:val="00B10525"/>
    <w:rsid w:val="00B110EF"/>
    <w:rsid w:val="00B12DD5"/>
    <w:rsid w:val="00B14717"/>
    <w:rsid w:val="00B14B1F"/>
    <w:rsid w:val="00B1548D"/>
    <w:rsid w:val="00B20AE2"/>
    <w:rsid w:val="00B21D14"/>
    <w:rsid w:val="00B23486"/>
    <w:rsid w:val="00B25B42"/>
    <w:rsid w:val="00B2775D"/>
    <w:rsid w:val="00B31F7F"/>
    <w:rsid w:val="00B3205D"/>
    <w:rsid w:val="00B4129F"/>
    <w:rsid w:val="00B45DA7"/>
    <w:rsid w:val="00B465A9"/>
    <w:rsid w:val="00B46D15"/>
    <w:rsid w:val="00B474C3"/>
    <w:rsid w:val="00B5007E"/>
    <w:rsid w:val="00B51C3F"/>
    <w:rsid w:val="00B53152"/>
    <w:rsid w:val="00B54B17"/>
    <w:rsid w:val="00B57EC8"/>
    <w:rsid w:val="00B60EF6"/>
    <w:rsid w:val="00B6189C"/>
    <w:rsid w:val="00B636E3"/>
    <w:rsid w:val="00B63897"/>
    <w:rsid w:val="00B63BFE"/>
    <w:rsid w:val="00B64762"/>
    <w:rsid w:val="00B64F08"/>
    <w:rsid w:val="00B65B95"/>
    <w:rsid w:val="00B679B8"/>
    <w:rsid w:val="00B733C1"/>
    <w:rsid w:val="00B7607A"/>
    <w:rsid w:val="00B775A6"/>
    <w:rsid w:val="00B833A2"/>
    <w:rsid w:val="00B83CD9"/>
    <w:rsid w:val="00B84A33"/>
    <w:rsid w:val="00B8648B"/>
    <w:rsid w:val="00B87110"/>
    <w:rsid w:val="00B87A45"/>
    <w:rsid w:val="00B90738"/>
    <w:rsid w:val="00B90F78"/>
    <w:rsid w:val="00B91521"/>
    <w:rsid w:val="00B92D26"/>
    <w:rsid w:val="00B9302A"/>
    <w:rsid w:val="00B957B3"/>
    <w:rsid w:val="00B95910"/>
    <w:rsid w:val="00B95E32"/>
    <w:rsid w:val="00B97B55"/>
    <w:rsid w:val="00B97E47"/>
    <w:rsid w:val="00BA1587"/>
    <w:rsid w:val="00BB2680"/>
    <w:rsid w:val="00BB3E7E"/>
    <w:rsid w:val="00BB4216"/>
    <w:rsid w:val="00BB4A78"/>
    <w:rsid w:val="00BB53F1"/>
    <w:rsid w:val="00BB5FFF"/>
    <w:rsid w:val="00BB6211"/>
    <w:rsid w:val="00BC1075"/>
    <w:rsid w:val="00BC1730"/>
    <w:rsid w:val="00BC34C5"/>
    <w:rsid w:val="00BC3616"/>
    <w:rsid w:val="00BC7C5F"/>
    <w:rsid w:val="00BD0002"/>
    <w:rsid w:val="00BD0990"/>
    <w:rsid w:val="00BD7EC6"/>
    <w:rsid w:val="00BE2204"/>
    <w:rsid w:val="00BE5D9E"/>
    <w:rsid w:val="00BE667D"/>
    <w:rsid w:val="00BE671B"/>
    <w:rsid w:val="00BE795B"/>
    <w:rsid w:val="00BF4629"/>
    <w:rsid w:val="00BF4D18"/>
    <w:rsid w:val="00BF562B"/>
    <w:rsid w:val="00C01215"/>
    <w:rsid w:val="00C03A64"/>
    <w:rsid w:val="00C06C40"/>
    <w:rsid w:val="00C06E48"/>
    <w:rsid w:val="00C07DAD"/>
    <w:rsid w:val="00C11257"/>
    <w:rsid w:val="00C11709"/>
    <w:rsid w:val="00C12C34"/>
    <w:rsid w:val="00C12F6B"/>
    <w:rsid w:val="00C1447F"/>
    <w:rsid w:val="00C15B4B"/>
    <w:rsid w:val="00C172C7"/>
    <w:rsid w:val="00C21F42"/>
    <w:rsid w:val="00C25E69"/>
    <w:rsid w:val="00C277DB"/>
    <w:rsid w:val="00C31BAB"/>
    <w:rsid w:val="00C351ED"/>
    <w:rsid w:val="00C358AE"/>
    <w:rsid w:val="00C359C2"/>
    <w:rsid w:val="00C37722"/>
    <w:rsid w:val="00C415EE"/>
    <w:rsid w:val="00C420E4"/>
    <w:rsid w:val="00C4411E"/>
    <w:rsid w:val="00C4489A"/>
    <w:rsid w:val="00C52FFE"/>
    <w:rsid w:val="00C534A4"/>
    <w:rsid w:val="00C53888"/>
    <w:rsid w:val="00C54162"/>
    <w:rsid w:val="00C558D0"/>
    <w:rsid w:val="00C57A3A"/>
    <w:rsid w:val="00C60175"/>
    <w:rsid w:val="00C60228"/>
    <w:rsid w:val="00C63F64"/>
    <w:rsid w:val="00C650AC"/>
    <w:rsid w:val="00C65842"/>
    <w:rsid w:val="00C67E59"/>
    <w:rsid w:val="00C70009"/>
    <w:rsid w:val="00C87EA9"/>
    <w:rsid w:val="00C9353C"/>
    <w:rsid w:val="00C93B5C"/>
    <w:rsid w:val="00C9710A"/>
    <w:rsid w:val="00C97A26"/>
    <w:rsid w:val="00CA063E"/>
    <w:rsid w:val="00CA2481"/>
    <w:rsid w:val="00CA37AC"/>
    <w:rsid w:val="00CA4BC6"/>
    <w:rsid w:val="00CA6758"/>
    <w:rsid w:val="00CA76E1"/>
    <w:rsid w:val="00CB5E3F"/>
    <w:rsid w:val="00CB696A"/>
    <w:rsid w:val="00CC07D6"/>
    <w:rsid w:val="00CC136D"/>
    <w:rsid w:val="00CC1C08"/>
    <w:rsid w:val="00CC4E82"/>
    <w:rsid w:val="00CD030D"/>
    <w:rsid w:val="00CD05AD"/>
    <w:rsid w:val="00CD0A12"/>
    <w:rsid w:val="00CD1CD4"/>
    <w:rsid w:val="00CD5967"/>
    <w:rsid w:val="00CE0FB6"/>
    <w:rsid w:val="00CE472F"/>
    <w:rsid w:val="00CE511B"/>
    <w:rsid w:val="00CE6A81"/>
    <w:rsid w:val="00CE6FBB"/>
    <w:rsid w:val="00CE7D89"/>
    <w:rsid w:val="00CF135C"/>
    <w:rsid w:val="00CF5622"/>
    <w:rsid w:val="00CF6908"/>
    <w:rsid w:val="00CF72F4"/>
    <w:rsid w:val="00CF7C35"/>
    <w:rsid w:val="00D00BEE"/>
    <w:rsid w:val="00D011B5"/>
    <w:rsid w:val="00D0304B"/>
    <w:rsid w:val="00D045E7"/>
    <w:rsid w:val="00D06391"/>
    <w:rsid w:val="00D11A2E"/>
    <w:rsid w:val="00D131C8"/>
    <w:rsid w:val="00D1321A"/>
    <w:rsid w:val="00D132A7"/>
    <w:rsid w:val="00D1680C"/>
    <w:rsid w:val="00D1771E"/>
    <w:rsid w:val="00D20371"/>
    <w:rsid w:val="00D205CB"/>
    <w:rsid w:val="00D22593"/>
    <w:rsid w:val="00D230A6"/>
    <w:rsid w:val="00D239D5"/>
    <w:rsid w:val="00D2497C"/>
    <w:rsid w:val="00D25041"/>
    <w:rsid w:val="00D26F03"/>
    <w:rsid w:val="00D305AB"/>
    <w:rsid w:val="00D333E4"/>
    <w:rsid w:val="00D33651"/>
    <w:rsid w:val="00D339CA"/>
    <w:rsid w:val="00D33D19"/>
    <w:rsid w:val="00D34B0D"/>
    <w:rsid w:val="00D3514A"/>
    <w:rsid w:val="00D358B2"/>
    <w:rsid w:val="00D35F89"/>
    <w:rsid w:val="00D3647C"/>
    <w:rsid w:val="00D4358E"/>
    <w:rsid w:val="00D441CE"/>
    <w:rsid w:val="00D4643B"/>
    <w:rsid w:val="00D47535"/>
    <w:rsid w:val="00D47E56"/>
    <w:rsid w:val="00D51AEC"/>
    <w:rsid w:val="00D52E50"/>
    <w:rsid w:val="00D53307"/>
    <w:rsid w:val="00D5602B"/>
    <w:rsid w:val="00D567F1"/>
    <w:rsid w:val="00D571B0"/>
    <w:rsid w:val="00D616F7"/>
    <w:rsid w:val="00D6254B"/>
    <w:rsid w:val="00D652AA"/>
    <w:rsid w:val="00D6675D"/>
    <w:rsid w:val="00D70E7A"/>
    <w:rsid w:val="00D7104C"/>
    <w:rsid w:val="00D73143"/>
    <w:rsid w:val="00D740B1"/>
    <w:rsid w:val="00D745D7"/>
    <w:rsid w:val="00D8166C"/>
    <w:rsid w:val="00D8211A"/>
    <w:rsid w:val="00D83643"/>
    <w:rsid w:val="00D84398"/>
    <w:rsid w:val="00D86330"/>
    <w:rsid w:val="00D921A7"/>
    <w:rsid w:val="00D95D23"/>
    <w:rsid w:val="00D96D34"/>
    <w:rsid w:val="00D971DC"/>
    <w:rsid w:val="00DA047B"/>
    <w:rsid w:val="00DA745B"/>
    <w:rsid w:val="00DB036A"/>
    <w:rsid w:val="00DB04B4"/>
    <w:rsid w:val="00DB14A2"/>
    <w:rsid w:val="00DB75A3"/>
    <w:rsid w:val="00DC0B50"/>
    <w:rsid w:val="00DC70D2"/>
    <w:rsid w:val="00DD0D6F"/>
    <w:rsid w:val="00DD3C0C"/>
    <w:rsid w:val="00DD65BC"/>
    <w:rsid w:val="00DE11EC"/>
    <w:rsid w:val="00DE1724"/>
    <w:rsid w:val="00DE1813"/>
    <w:rsid w:val="00DE2D3D"/>
    <w:rsid w:val="00DE2D60"/>
    <w:rsid w:val="00DE7CA9"/>
    <w:rsid w:val="00DE7DDE"/>
    <w:rsid w:val="00DF1FDD"/>
    <w:rsid w:val="00DF2B63"/>
    <w:rsid w:val="00DF3991"/>
    <w:rsid w:val="00DF39A0"/>
    <w:rsid w:val="00DF4BB2"/>
    <w:rsid w:val="00DF5114"/>
    <w:rsid w:val="00DF6C5D"/>
    <w:rsid w:val="00E0303D"/>
    <w:rsid w:val="00E03ADA"/>
    <w:rsid w:val="00E056D8"/>
    <w:rsid w:val="00E06433"/>
    <w:rsid w:val="00E06A77"/>
    <w:rsid w:val="00E10033"/>
    <w:rsid w:val="00E14B6A"/>
    <w:rsid w:val="00E173D4"/>
    <w:rsid w:val="00E175A6"/>
    <w:rsid w:val="00E1787D"/>
    <w:rsid w:val="00E17D8A"/>
    <w:rsid w:val="00E207A2"/>
    <w:rsid w:val="00E2589B"/>
    <w:rsid w:val="00E26310"/>
    <w:rsid w:val="00E2725C"/>
    <w:rsid w:val="00E3008E"/>
    <w:rsid w:val="00E300AA"/>
    <w:rsid w:val="00E30A6E"/>
    <w:rsid w:val="00E329EB"/>
    <w:rsid w:val="00E32AC0"/>
    <w:rsid w:val="00E32D34"/>
    <w:rsid w:val="00E33E89"/>
    <w:rsid w:val="00E36FBB"/>
    <w:rsid w:val="00E37B6D"/>
    <w:rsid w:val="00E44C61"/>
    <w:rsid w:val="00E47042"/>
    <w:rsid w:val="00E50A7E"/>
    <w:rsid w:val="00E50F08"/>
    <w:rsid w:val="00E52E0A"/>
    <w:rsid w:val="00E56231"/>
    <w:rsid w:val="00E5791F"/>
    <w:rsid w:val="00E61B9A"/>
    <w:rsid w:val="00E62524"/>
    <w:rsid w:val="00E653D7"/>
    <w:rsid w:val="00E713C4"/>
    <w:rsid w:val="00E722BC"/>
    <w:rsid w:val="00E744FE"/>
    <w:rsid w:val="00E77C6A"/>
    <w:rsid w:val="00E80E52"/>
    <w:rsid w:val="00E81323"/>
    <w:rsid w:val="00E827DE"/>
    <w:rsid w:val="00E8332B"/>
    <w:rsid w:val="00E83BF9"/>
    <w:rsid w:val="00E86793"/>
    <w:rsid w:val="00E86A29"/>
    <w:rsid w:val="00E90041"/>
    <w:rsid w:val="00E90C14"/>
    <w:rsid w:val="00E9291D"/>
    <w:rsid w:val="00E94940"/>
    <w:rsid w:val="00E952AA"/>
    <w:rsid w:val="00E958DE"/>
    <w:rsid w:val="00E95B64"/>
    <w:rsid w:val="00E95B9B"/>
    <w:rsid w:val="00E97535"/>
    <w:rsid w:val="00E97802"/>
    <w:rsid w:val="00EA1B47"/>
    <w:rsid w:val="00EA2047"/>
    <w:rsid w:val="00EA3E31"/>
    <w:rsid w:val="00EA44CC"/>
    <w:rsid w:val="00EA6E90"/>
    <w:rsid w:val="00EA7D60"/>
    <w:rsid w:val="00EB4752"/>
    <w:rsid w:val="00EB5ED4"/>
    <w:rsid w:val="00EB7478"/>
    <w:rsid w:val="00EC084B"/>
    <w:rsid w:val="00EC5BE5"/>
    <w:rsid w:val="00EC6D27"/>
    <w:rsid w:val="00ED31E5"/>
    <w:rsid w:val="00ED65D0"/>
    <w:rsid w:val="00EE080D"/>
    <w:rsid w:val="00EE0FCA"/>
    <w:rsid w:val="00EE1A30"/>
    <w:rsid w:val="00EE2849"/>
    <w:rsid w:val="00EE360E"/>
    <w:rsid w:val="00EE3BA3"/>
    <w:rsid w:val="00EE4FD3"/>
    <w:rsid w:val="00EE5C90"/>
    <w:rsid w:val="00EE6582"/>
    <w:rsid w:val="00EF3DC7"/>
    <w:rsid w:val="00EF475F"/>
    <w:rsid w:val="00EF5424"/>
    <w:rsid w:val="00EF5775"/>
    <w:rsid w:val="00EF6293"/>
    <w:rsid w:val="00F01B3C"/>
    <w:rsid w:val="00F0262E"/>
    <w:rsid w:val="00F05232"/>
    <w:rsid w:val="00F058E4"/>
    <w:rsid w:val="00F06A6E"/>
    <w:rsid w:val="00F10E06"/>
    <w:rsid w:val="00F11D14"/>
    <w:rsid w:val="00F12D72"/>
    <w:rsid w:val="00F14956"/>
    <w:rsid w:val="00F15610"/>
    <w:rsid w:val="00F15AFD"/>
    <w:rsid w:val="00F2122A"/>
    <w:rsid w:val="00F216A9"/>
    <w:rsid w:val="00F238AE"/>
    <w:rsid w:val="00F24023"/>
    <w:rsid w:val="00F24A80"/>
    <w:rsid w:val="00F2580B"/>
    <w:rsid w:val="00F27F64"/>
    <w:rsid w:val="00F27FB3"/>
    <w:rsid w:val="00F3215C"/>
    <w:rsid w:val="00F33FE1"/>
    <w:rsid w:val="00F3472F"/>
    <w:rsid w:val="00F349D2"/>
    <w:rsid w:val="00F358B4"/>
    <w:rsid w:val="00F36865"/>
    <w:rsid w:val="00F40220"/>
    <w:rsid w:val="00F410BB"/>
    <w:rsid w:val="00F43F75"/>
    <w:rsid w:val="00F440DF"/>
    <w:rsid w:val="00F458A1"/>
    <w:rsid w:val="00F471F4"/>
    <w:rsid w:val="00F51704"/>
    <w:rsid w:val="00F54AE8"/>
    <w:rsid w:val="00F55965"/>
    <w:rsid w:val="00F56852"/>
    <w:rsid w:val="00F57389"/>
    <w:rsid w:val="00F57BC7"/>
    <w:rsid w:val="00F615A2"/>
    <w:rsid w:val="00F61C8F"/>
    <w:rsid w:val="00F61F79"/>
    <w:rsid w:val="00F62369"/>
    <w:rsid w:val="00F62FEC"/>
    <w:rsid w:val="00F63D15"/>
    <w:rsid w:val="00F67812"/>
    <w:rsid w:val="00F67C15"/>
    <w:rsid w:val="00F67E57"/>
    <w:rsid w:val="00F70009"/>
    <w:rsid w:val="00F7377B"/>
    <w:rsid w:val="00F83A88"/>
    <w:rsid w:val="00F85233"/>
    <w:rsid w:val="00F85D43"/>
    <w:rsid w:val="00F86D2A"/>
    <w:rsid w:val="00F94DD7"/>
    <w:rsid w:val="00FA0B9E"/>
    <w:rsid w:val="00FA2F81"/>
    <w:rsid w:val="00FA3884"/>
    <w:rsid w:val="00FA4719"/>
    <w:rsid w:val="00FA49EA"/>
    <w:rsid w:val="00FA7E7D"/>
    <w:rsid w:val="00FB0C7D"/>
    <w:rsid w:val="00FB0D06"/>
    <w:rsid w:val="00FB16D0"/>
    <w:rsid w:val="00FB45BB"/>
    <w:rsid w:val="00FB52C4"/>
    <w:rsid w:val="00FB63FD"/>
    <w:rsid w:val="00FC08DA"/>
    <w:rsid w:val="00FC49AD"/>
    <w:rsid w:val="00FC72B6"/>
    <w:rsid w:val="00FC738E"/>
    <w:rsid w:val="00FC75C3"/>
    <w:rsid w:val="00FD3BF0"/>
    <w:rsid w:val="00FD3E9B"/>
    <w:rsid w:val="00FD482E"/>
    <w:rsid w:val="00FD5F26"/>
    <w:rsid w:val="00FE066E"/>
    <w:rsid w:val="00FE3AF8"/>
    <w:rsid w:val="00FE46E1"/>
    <w:rsid w:val="00FE6226"/>
    <w:rsid w:val="00FE6749"/>
    <w:rsid w:val="00FE74A6"/>
    <w:rsid w:val="00FE7C11"/>
    <w:rsid w:val="00FF0229"/>
    <w:rsid w:val="00FF1243"/>
    <w:rsid w:val="00FF14EE"/>
    <w:rsid w:val="00FF1538"/>
    <w:rsid w:val="00FF21C8"/>
    <w:rsid w:val="00FF24DF"/>
    <w:rsid w:val="00FF47E5"/>
    <w:rsid w:val="00FF57E4"/>
    <w:rsid w:val="00FF5CB1"/>
    <w:rsid w:val="00FF6F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7E95F2E"/>
  <w15:docId w15:val="{C7E2A65C-6DEC-43F1-AD6C-FD660AF7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249E"/>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B5FFF"/>
    <w:pPr>
      <w:jc w:val="center"/>
    </w:pPr>
    <w:rPr>
      <w:rFonts w:ascii="CG Times" w:hAnsi="CG Times"/>
      <w:sz w:val="28"/>
      <w:szCs w:val="20"/>
    </w:rPr>
  </w:style>
  <w:style w:type="paragraph" w:styleId="EndnoteText">
    <w:name w:val="endnote text"/>
    <w:basedOn w:val="Normal"/>
    <w:semiHidden/>
    <w:rsid w:val="003F038B"/>
    <w:pPr>
      <w:widowControl w:val="0"/>
    </w:pPr>
    <w:rPr>
      <w:rFonts w:ascii="Courier" w:hAnsi="Courier"/>
      <w:snapToGrid w:val="0"/>
      <w:szCs w:val="20"/>
    </w:rPr>
  </w:style>
  <w:style w:type="paragraph" w:styleId="BalloonText">
    <w:name w:val="Balloon Text"/>
    <w:basedOn w:val="Normal"/>
    <w:semiHidden/>
    <w:rsid w:val="00DB75A3"/>
    <w:rPr>
      <w:rFonts w:ascii="Tahoma" w:hAnsi="Tahoma" w:cs="Tahoma"/>
      <w:sz w:val="16"/>
      <w:szCs w:val="16"/>
    </w:rPr>
  </w:style>
  <w:style w:type="paragraph" w:styleId="FootnoteText">
    <w:name w:val="footnote text"/>
    <w:aliases w:val="ALTS FOOTNOT,Footnote Text Char Char6 Char,Footnote Text Char Char6 Char Char1 Char1,Footnote Text Char1,Footnote Text Char2 Char3,Footnote Text Char4 Char2 Char Char Char Char,Footnote Text Char6 Char,Footnote Text Char6 Char Char Char,fn"/>
    <w:basedOn w:val="Normal"/>
    <w:link w:val="FootnoteTextChar"/>
    <w:uiPriority w:val="99"/>
    <w:qFormat/>
    <w:rsid w:val="000B2F22"/>
    <w:pPr>
      <w:spacing w:after="120"/>
    </w:pPr>
    <w:rPr>
      <w:sz w:val="20"/>
      <w:szCs w:val="20"/>
    </w:rPr>
  </w:style>
  <w:style w:type="character" w:styleId="FootnoteReference">
    <w:name w:val="footnote reference"/>
    <w:aliases w:val="(NECG) Footnote Reference,Appel note de bas de p,FR,Footnote Reference/,Footnote Reference1,Style 12,Style 124,Style 13,Style 17,Style 3,Style 34,Style 4,Style 6,Style 7,Style 9,fr,o"/>
    <w:basedOn w:val="DefaultParagraphFont"/>
    <w:uiPriority w:val="99"/>
    <w:rsid w:val="006D617F"/>
    <w:rPr>
      <w:vertAlign w:val="superscript"/>
    </w:rPr>
  </w:style>
  <w:style w:type="paragraph" w:styleId="Header">
    <w:name w:val="header"/>
    <w:basedOn w:val="Normal"/>
    <w:link w:val="HeaderChar"/>
    <w:rsid w:val="006D3580"/>
    <w:pPr>
      <w:tabs>
        <w:tab w:val="center" w:pos="4680"/>
        <w:tab w:val="right" w:pos="9360"/>
      </w:tabs>
    </w:pPr>
  </w:style>
  <w:style w:type="character" w:customStyle="1" w:styleId="HeaderChar">
    <w:name w:val="Header Char"/>
    <w:basedOn w:val="DefaultParagraphFont"/>
    <w:link w:val="Header"/>
    <w:rsid w:val="006D3580"/>
    <w:rPr>
      <w:sz w:val="24"/>
      <w:szCs w:val="24"/>
    </w:rPr>
  </w:style>
  <w:style w:type="paragraph" w:styleId="Footer">
    <w:name w:val="footer"/>
    <w:basedOn w:val="Normal"/>
    <w:link w:val="FooterChar"/>
    <w:rsid w:val="006D3580"/>
    <w:pPr>
      <w:tabs>
        <w:tab w:val="center" w:pos="4680"/>
        <w:tab w:val="right" w:pos="9360"/>
      </w:tabs>
    </w:pPr>
  </w:style>
  <w:style w:type="character" w:customStyle="1" w:styleId="FooterChar">
    <w:name w:val="Footer Char"/>
    <w:basedOn w:val="DefaultParagraphFont"/>
    <w:link w:val="Footer"/>
    <w:rsid w:val="006D3580"/>
    <w:rPr>
      <w:sz w:val="24"/>
      <w:szCs w:val="24"/>
    </w:rPr>
  </w:style>
  <w:style w:type="character" w:styleId="Hyperlink">
    <w:name w:val="Hyperlink"/>
    <w:basedOn w:val="DefaultParagraphFont"/>
    <w:unhideWhenUsed/>
    <w:rsid w:val="0085497A"/>
    <w:rPr>
      <w:color w:val="0000FF" w:themeColor="hyperlink"/>
      <w:u w:val="single"/>
    </w:rPr>
  </w:style>
  <w:style w:type="character" w:customStyle="1" w:styleId="FootnoteTextChar">
    <w:name w:val="Footnote Text Char"/>
    <w:aliases w:val="ALTS FOOTNOT Char,Footnote Text Char Char6 Char Char,Footnote Text Char Char6 Char Char1 Char1 Char,Footnote Text Char1 Char,Footnote Text Char2 Char3 Char,Footnote Text Char4 Char2 Char Char Char Char Char,fn Char1"/>
    <w:basedOn w:val="DefaultParagraphFont"/>
    <w:link w:val="FootnoteText"/>
    <w:uiPriority w:val="99"/>
    <w:rsid w:val="000B2F22"/>
  </w:style>
  <w:style w:type="character" w:styleId="UnresolvedMention">
    <w:name w:val="Unresolved Mention"/>
    <w:basedOn w:val="DefaultParagraphFont"/>
    <w:uiPriority w:val="99"/>
    <w:semiHidden/>
    <w:unhideWhenUsed/>
    <w:rsid w:val="00D26F03"/>
    <w:rPr>
      <w:color w:val="605E5C"/>
      <w:shd w:val="clear" w:color="auto" w:fill="E1DFDD"/>
    </w:rPr>
  </w:style>
  <w:style w:type="character" w:styleId="CommentReference">
    <w:name w:val="annotation reference"/>
    <w:basedOn w:val="DefaultParagraphFont"/>
    <w:semiHidden/>
    <w:unhideWhenUsed/>
    <w:rsid w:val="00BC3616"/>
    <w:rPr>
      <w:sz w:val="16"/>
      <w:szCs w:val="16"/>
    </w:rPr>
  </w:style>
  <w:style w:type="paragraph" w:styleId="CommentText">
    <w:name w:val="annotation text"/>
    <w:basedOn w:val="Normal"/>
    <w:link w:val="CommentTextChar"/>
    <w:unhideWhenUsed/>
    <w:rsid w:val="00BC3616"/>
    <w:rPr>
      <w:sz w:val="20"/>
      <w:szCs w:val="20"/>
    </w:rPr>
  </w:style>
  <w:style w:type="character" w:customStyle="1" w:styleId="CommentTextChar">
    <w:name w:val="Comment Text Char"/>
    <w:basedOn w:val="DefaultParagraphFont"/>
    <w:link w:val="CommentText"/>
    <w:rsid w:val="00BC3616"/>
  </w:style>
  <w:style w:type="paragraph" w:styleId="CommentSubject">
    <w:name w:val="annotation subject"/>
    <w:basedOn w:val="CommentText"/>
    <w:next w:val="CommentText"/>
    <w:link w:val="CommentSubjectChar"/>
    <w:semiHidden/>
    <w:unhideWhenUsed/>
    <w:rsid w:val="00BC3616"/>
    <w:rPr>
      <w:b/>
      <w:bCs/>
    </w:rPr>
  </w:style>
  <w:style w:type="character" w:customStyle="1" w:styleId="CommentSubjectChar">
    <w:name w:val="Comment Subject Char"/>
    <w:basedOn w:val="CommentTextChar"/>
    <w:link w:val="CommentSubject"/>
    <w:semiHidden/>
    <w:rsid w:val="00BC3616"/>
    <w:rPr>
      <w:b/>
      <w:bCs/>
    </w:rPr>
  </w:style>
  <w:style w:type="paragraph" w:styleId="NormalWeb">
    <w:name w:val="Normal (Web)"/>
    <w:basedOn w:val="Normal"/>
    <w:uiPriority w:val="99"/>
    <w:unhideWhenUsed/>
    <w:rsid w:val="00111449"/>
    <w:pPr>
      <w:spacing w:before="100" w:beforeAutospacing="1" w:after="100" w:afterAutospacing="1"/>
    </w:pPr>
  </w:style>
  <w:style w:type="character" w:customStyle="1" w:styleId="cohl">
    <w:name w:val="co_hl"/>
    <w:basedOn w:val="DefaultParagraphFont"/>
    <w:rsid w:val="00B02C07"/>
  </w:style>
  <w:style w:type="paragraph" w:styleId="Revision">
    <w:name w:val="Revision"/>
    <w:hidden/>
    <w:uiPriority w:val="99"/>
    <w:semiHidden/>
    <w:rsid w:val="00A406FB"/>
    <w:rPr>
      <w:sz w:val="24"/>
      <w:szCs w:val="24"/>
    </w:rPr>
  </w:style>
  <w:style w:type="character" w:styleId="FollowedHyperlink">
    <w:name w:val="FollowedHyperlink"/>
    <w:basedOn w:val="DefaultParagraphFont"/>
    <w:semiHidden/>
    <w:unhideWhenUsed/>
    <w:rsid w:val="0098660D"/>
    <w:rPr>
      <w:color w:val="800080" w:themeColor="followedHyperlink"/>
      <w:u w:val="single"/>
    </w:rPr>
  </w:style>
  <w:style w:type="character" w:customStyle="1" w:styleId="cf01">
    <w:name w:val="cf01"/>
    <w:basedOn w:val="DefaultParagraphFont"/>
    <w:rsid w:val="00C420E4"/>
    <w:rPr>
      <w:rFonts w:ascii="Segoe UI" w:hAnsi="Segoe UI" w:cs="Segoe UI" w:hint="default"/>
      <w:sz w:val="18"/>
      <w:szCs w:val="18"/>
    </w:rPr>
  </w:style>
  <w:style w:type="character" w:styleId="SubtleEmphasis">
    <w:name w:val="Subtle Emphasis"/>
    <w:basedOn w:val="DefaultParagraphFont"/>
    <w:uiPriority w:val="19"/>
    <w:qFormat/>
    <w:rsid w:val="006B23B6"/>
    <w:rPr>
      <w:i/>
      <w:iCs/>
      <w:color w:val="404040" w:themeColor="text1" w:themeTint="BF"/>
    </w:rPr>
  </w:style>
  <w:style w:type="character" w:customStyle="1" w:styleId="FootnoteTextChar2">
    <w:name w:val="Footnote Text Char2"/>
    <w:aliases w:val="Footnote Text Char Char Char,Footnote Text Char Char Char4 Char Char Char Char,Footnote Text Char1 Char Char Char,Footnote Text Char1 Char1,Footnote Text Char4 Char1 Char Char Char Char,Footnote Text Char7 Char Char Char Char,fn Char"/>
    <w:rsid w:val="00282A29"/>
    <w:rPr>
      <w:lang w:val="en-US" w:eastAsia="en-US" w:bidi="ar-SA"/>
    </w:rPr>
  </w:style>
  <w:style w:type="character" w:styleId="Emphasis">
    <w:name w:val="Emphasis"/>
    <w:basedOn w:val="DefaultParagraphFont"/>
    <w:uiPriority w:val="20"/>
    <w:qFormat/>
    <w:rsid w:val="0033327A"/>
    <w:rPr>
      <w:i/>
      <w:iCs/>
    </w:rPr>
  </w:style>
  <w:style w:type="character" w:customStyle="1" w:styleId="coconcept4146">
    <w:name w:val="co_concept_41_46"/>
    <w:basedOn w:val="DefaultParagraphFont"/>
    <w:rsid w:val="00333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nhalesr@gmail.com" TargetMode="Externa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footer" Target="footer2.xml" /><Relationship Id="rId9"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