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A137DB" w14:paraId="67AC8A8B" w14:textId="77777777">
      <w:pPr>
        <w:jc w:val="right"/>
        <w:rPr>
          <w:sz w:val="24"/>
        </w:rPr>
      </w:pPr>
    </w:p>
    <w:p w:rsidR="00A137DB" w:rsidRPr="007B579B" w14:paraId="3A218FB7" w14:textId="249A7415">
      <w:pPr>
        <w:jc w:val="right"/>
        <w:rPr>
          <w:b/>
          <w:sz w:val="24"/>
        </w:rPr>
      </w:pPr>
      <w:r w:rsidRPr="007B579B">
        <w:rPr>
          <w:b/>
          <w:sz w:val="24"/>
        </w:rPr>
        <w:t xml:space="preserve">DA </w:t>
      </w:r>
      <w:r w:rsidR="002B5D45">
        <w:rPr>
          <w:b/>
          <w:sz w:val="24"/>
        </w:rPr>
        <w:t>23-128</w:t>
      </w:r>
    </w:p>
    <w:p w:rsidR="00A137DB" w14:paraId="34933BF1" w14:textId="2EA6094F">
      <w:pPr>
        <w:spacing w:before="60"/>
        <w:jc w:val="right"/>
        <w:rPr>
          <w:b/>
          <w:sz w:val="24"/>
        </w:rPr>
      </w:pPr>
      <w:r w:rsidRPr="007B579B">
        <w:rPr>
          <w:b/>
          <w:sz w:val="24"/>
        </w:rPr>
        <w:t xml:space="preserve">Released:  </w:t>
      </w:r>
      <w:r w:rsidR="006540B6">
        <w:rPr>
          <w:b/>
          <w:sz w:val="24"/>
        </w:rPr>
        <w:t>February 15, 2023</w:t>
      </w:r>
    </w:p>
    <w:p w:rsidR="00A137DB" w14:paraId="0F6F6BF0" w14:textId="77777777">
      <w:pPr>
        <w:jc w:val="right"/>
        <w:rPr>
          <w:sz w:val="24"/>
        </w:rPr>
      </w:pPr>
    </w:p>
    <w:p w:rsidR="00A137DB" w:rsidP="475C25DC" w14:paraId="408C926E" w14:textId="3848273A">
      <w:pPr>
        <w:spacing w:after="240"/>
        <w:jc w:val="center"/>
        <w:rPr>
          <w:rFonts w:ascii="Times New Roman Bold" w:hAnsi="Times New Roman Bold"/>
          <w:b/>
          <w:bCs/>
          <w:caps/>
          <w:sz w:val="24"/>
          <w:szCs w:val="24"/>
        </w:rPr>
      </w:pPr>
      <w:r w:rsidRPr="475C25DC">
        <w:rPr>
          <w:rFonts w:ascii="Times New Roman Bold" w:hAnsi="Times New Roman Bold"/>
          <w:b/>
          <w:bCs/>
          <w:caps/>
          <w:sz w:val="24"/>
          <w:szCs w:val="24"/>
        </w:rPr>
        <w:t xml:space="preserve">ROBOCALL </w:t>
      </w:r>
      <w:r w:rsidRPr="475C25DC" w:rsidR="00B000AE">
        <w:rPr>
          <w:rFonts w:ascii="Times New Roman Bold" w:hAnsi="Times New Roman Bold"/>
          <w:b/>
          <w:bCs/>
          <w:caps/>
          <w:sz w:val="24"/>
          <w:szCs w:val="24"/>
        </w:rPr>
        <w:t>ENFORCEMENT NOTICE</w:t>
      </w:r>
      <w:r w:rsidRPr="475C25DC" w:rsidR="00AA48B5">
        <w:rPr>
          <w:rFonts w:ascii="Times New Roman Bold" w:hAnsi="Times New Roman Bold"/>
          <w:b/>
          <w:bCs/>
          <w:caps/>
          <w:sz w:val="24"/>
          <w:szCs w:val="24"/>
        </w:rPr>
        <w:t xml:space="preserve"> TO ALL U.S.-BASED VOICE SERVICE PROVIDERS</w:t>
      </w:r>
    </w:p>
    <w:p w:rsidR="00A137DB" w:rsidP="475C25DC" w14:paraId="6BDA614C" w14:textId="5E9B752E">
      <w:pPr>
        <w:spacing w:after="240"/>
        <w:jc w:val="center"/>
        <w:rPr>
          <w:b/>
          <w:bCs/>
          <w:sz w:val="24"/>
          <w:szCs w:val="24"/>
        </w:rPr>
      </w:pPr>
      <w:r w:rsidRPr="475C25DC">
        <w:rPr>
          <w:b/>
          <w:bCs/>
          <w:sz w:val="24"/>
          <w:szCs w:val="24"/>
        </w:rPr>
        <w:t xml:space="preserve">FCC Enforcement Bureau </w:t>
      </w:r>
      <w:r w:rsidRPr="475C25DC" w:rsidR="00B000AE">
        <w:rPr>
          <w:b/>
          <w:bCs/>
          <w:sz w:val="24"/>
          <w:szCs w:val="24"/>
        </w:rPr>
        <w:t xml:space="preserve">Notifies </w:t>
      </w:r>
      <w:r w:rsidRPr="475C25DC" w:rsidR="005E338A">
        <w:rPr>
          <w:b/>
          <w:bCs/>
          <w:sz w:val="24"/>
          <w:szCs w:val="24"/>
        </w:rPr>
        <w:t xml:space="preserve">All U.S.-Based Providers </w:t>
      </w:r>
      <w:r w:rsidR="0004156A">
        <w:rPr>
          <w:b/>
          <w:bCs/>
          <w:sz w:val="24"/>
          <w:szCs w:val="24"/>
        </w:rPr>
        <w:t>of Rules Permitting Them to</w:t>
      </w:r>
      <w:r w:rsidRPr="475C25DC" w:rsidR="00B000AE">
        <w:rPr>
          <w:b/>
          <w:bCs/>
          <w:sz w:val="24"/>
          <w:szCs w:val="24"/>
        </w:rPr>
        <w:t xml:space="preserve"> Block</w:t>
      </w:r>
      <w:r w:rsidR="00C05F51">
        <w:rPr>
          <w:b/>
          <w:bCs/>
          <w:sz w:val="24"/>
          <w:szCs w:val="24"/>
        </w:rPr>
        <w:t xml:space="preserve"> </w:t>
      </w:r>
      <w:r w:rsidR="00D23869">
        <w:rPr>
          <w:b/>
          <w:bCs/>
          <w:sz w:val="24"/>
          <w:szCs w:val="24"/>
        </w:rPr>
        <w:t>Robocalls</w:t>
      </w:r>
      <w:r w:rsidRPr="475C25DC" w:rsidR="00B000AE">
        <w:rPr>
          <w:b/>
          <w:bCs/>
          <w:sz w:val="24"/>
          <w:szCs w:val="24"/>
        </w:rPr>
        <w:t xml:space="preserve"> </w:t>
      </w:r>
      <w:r w:rsidR="00741917">
        <w:rPr>
          <w:b/>
          <w:bCs/>
          <w:sz w:val="24"/>
          <w:szCs w:val="24"/>
        </w:rPr>
        <w:t>Transmitting</w:t>
      </w:r>
      <w:r w:rsidRPr="475C25DC" w:rsidR="00B000AE">
        <w:rPr>
          <w:b/>
          <w:bCs/>
          <w:sz w:val="24"/>
          <w:szCs w:val="24"/>
        </w:rPr>
        <w:t xml:space="preserve"> From </w:t>
      </w:r>
      <w:r w:rsidR="0095039A">
        <w:rPr>
          <w:b/>
          <w:bCs/>
          <w:sz w:val="24"/>
          <w:szCs w:val="24"/>
        </w:rPr>
        <w:t>One Eye LLC</w:t>
      </w:r>
    </w:p>
    <w:p w:rsidR="00A137DB" w14:paraId="33D38A8F" w14:textId="0DEDC774">
      <w:pPr>
        <w:jc w:val="center"/>
        <w:rPr>
          <w:b/>
          <w:sz w:val="24"/>
        </w:rPr>
      </w:pPr>
      <w:r>
        <w:rPr>
          <w:b/>
          <w:sz w:val="24"/>
        </w:rPr>
        <w:t xml:space="preserve">File No. </w:t>
      </w:r>
      <w:r w:rsidRPr="001418EB" w:rsidR="001418EB">
        <w:rPr>
          <w:b/>
          <w:bCs/>
          <w:color w:val="000000"/>
          <w:szCs w:val="22"/>
        </w:rPr>
        <w:t>EB-TCD-</w:t>
      </w:r>
      <w:r w:rsidR="00C778CD">
        <w:rPr>
          <w:b/>
          <w:bCs/>
          <w:color w:val="000000"/>
          <w:szCs w:val="22"/>
        </w:rPr>
        <w:t>20-00031678</w:t>
      </w:r>
    </w:p>
    <w:p w:rsidR="00A137DB" w14:paraId="557763CB" w14:textId="77777777">
      <w:bookmarkStart w:id="0" w:name="TOChere"/>
    </w:p>
    <w:p w:rsidR="00290351" w:rsidP="009159BB" w14:paraId="06F8D637" w14:textId="3068E47C">
      <w:pPr>
        <w:spacing w:after="120"/>
      </w:pPr>
      <w:r>
        <w:t xml:space="preserve">By </w:t>
      </w:r>
      <w:r>
        <w:t>the Chief, Enforcement Bureau:</w:t>
      </w:r>
    </w:p>
    <w:p w:rsidR="00692591" w:rsidP="009159BB" w14:paraId="6500B8AE" w14:textId="4F39B727">
      <w:pPr>
        <w:widowControl/>
        <w:spacing w:after="120"/>
      </w:pPr>
      <w:r>
        <w:t>The Enforcement Bureau (Bureau) of the Federal Communications Commission (FCC or Commission) issues t</w:t>
      </w:r>
      <w:r w:rsidR="00A31282">
        <w:t>his Public Notice</w:t>
      </w:r>
      <w:r>
        <w:t xml:space="preserve"> to </w:t>
      </w:r>
      <w:r w:rsidR="00CB632F">
        <w:t xml:space="preserve">notify </w:t>
      </w:r>
      <w:r w:rsidR="008C23DC">
        <w:t xml:space="preserve">all </w:t>
      </w:r>
      <w:r w:rsidR="00572C32">
        <w:t>U.S</w:t>
      </w:r>
      <w:r w:rsidR="001061E8">
        <w:t>.</w:t>
      </w:r>
      <w:r w:rsidR="008C23DC">
        <w:t>-based voice service providers about</w:t>
      </w:r>
      <w:r w:rsidR="00CB632F">
        <w:t xml:space="preserve"> substantial </w:t>
      </w:r>
      <w:r w:rsidR="00394CF1">
        <w:t xml:space="preserve">amounts of </w:t>
      </w:r>
      <w:r w:rsidR="00832CD6">
        <w:t xml:space="preserve">apparently unlawful </w:t>
      </w:r>
      <w:r w:rsidR="00C05F51">
        <w:t xml:space="preserve">robocalls </w:t>
      </w:r>
      <w:r w:rsidR="003644A7">
        <w:t>transmitted by One Eye LLC (One Eye)</w:t>
      </w:r>
      <w:r w:rsidR="00C05F51">
        <w:t>.</w:t>
      </w:r>
      <w:r w:rsidR="008D55CC">
        <w:t xml:space="preserve">  </w:t>
      </w:r>
      <w:r w:rsidR="00A62D7D">
        <w:rPr>
          <w:b/>
          <w:bCs/>
        </w:rPr>
        <w:t>Pursuant to section 64.1200(k)(4) of the Commission’s Rules, w</w:t>
      </w:r>
      <w:r w:rsidRPr="00510345" w:rsidR="008C47C1">
        <w:rPr>
          <w:b/>
          <w:bCs/>
        </w:rPr>
        <w:t xml:space="preserve">e </w:t>
      </w:r>
      <w:r w:rsidR="00663213">
        <w:rPr>
          <w:b/>
          <w:bCs/>
        </w:rPr>
        <w:t>hereby</w:t>
      </w:r>
      <w:r w:rsidR="008C47C1">
        <w:t xml:space="preserve"> </w:t>
      </w:r>
      <w:r w:rsidR="00126290">
        <w:rPr>
          <w:b/>
          <w:bCs/>
        </w:rPr>
        <w:t>notify</w:t>
      </w:r>
      <w:r w:rsidR="00ED61E3">
        <w:rPr>
          <w:b/>
          <w:bCs/>
        </w:rPr>
        <w:t xml:space="preserve"> all U.S.-based voice service providers</w:t>
      </w:r>
      <w:r w:rsidR="00044A61">
        <w:rPr>
          <w:b/>
          <w:bCs/>
        </w:rPr>
        <w:t xml:space="preserve"> </w:t>
      </w:r>
      <w:r w:rsidR="00126290">
        <w:rPr>
          <w:b/>
          <w:bCs/>
        </w:rPr>
        <w:t>that</w:t>
      </w:r>
      <w:r w:rsidR="003178B2">
        <w:rPr>
          <w:b/>
          <w:bCs/>
        </w:rPr>
        <w:t xml:space="preserve"> if One Eye fail</w:t>
      </w:r>
      <w:r w:rsidR="0095039A">
        <w:rPr>
          <w:b/>
          <w:bCs/>
        </w:rPr>
        <w:t>s</w:t>
      </w:r>
      <w:r w:rsidR="003178B2">
        <w:rPr>
          <w:b/>
          <w:bCs/>
        </w:rPr>
        <w:t xml:space="preserve"> to mitigate the identified traffic </w:t>
      </w:r>
      <w:r w:rsidR="009D1131">
        <w:rPr>
          <w:b/>
          <w:bCs/>
        </w:rPr>
        <w:t>described in the</w:t>
      </w:r>
      <w:r w:rsidR="002529AB">
        <w:rPr>
          <w:b/>
          <w:bCs/>
        </w:rPr>
        <w:t xml:space="preserve"> cease-and-desist letter </w:t>
      </w:r>
      <w:r w:rsidR="001A5881">
        <w:rPr>
          <w:b/>
          <w:bCs/>
        </w:rPr>
        <w:t>listed</w:t>
      </w:r>
      <w:r w:rsidR="002529AB">
        <w:rPr>
          <w:b/>
          <w:bCs/>
        </w:rPr>
        <w:t xml:space="preserve"> below, </w:t>
      </w:r>
      <w:r w:rsidR="00126290">
        <w:rPr>
          <w:b/>
          <w:bCs/>
        </w:rPr>
        <w:t xml:space="preserve">they </w:t>
      </w:r>
      <w:r w:rsidRPr="00126290" w:rsidR="00126290">
        <w:rPr>
          <w:b/>
          <w:bCs/>
        </w:rPr>
        <w:t>may block voice calls or cease to accept traffic from</w:t>
      </w:r>
      <w:r w:rsidR="002529AB">
        <w:rPr>
          <w:b/>
          <w:bCs/>
        </w:rPr>
        <w:t xml:space="preserve"> One Eye</w:t>
      </w:r>
      <w:r w:rsidR="001E3327">
        <w:rPr>
          <w:b/>
          <w:bCs/>
          <w:i/>
          <w:iCs/>
        </w:rPr>
        <w:t>,</w:t>
      </w:r>
      <w:r w:rsidRPr="00126290" w:rsidR="00126290">
        <w:rPr>
          <w:b/>
          <w:bCs/>
        </w:rPr>
        <w:t xml:space="preserve"> without liability under the Communications Act or the Commission</w:t>
      </w:r>
      <w:r w:rsidR="00663213">
        <w:rPr>
          <w:b/>
          <w:bCs/>
        </w:rPr>
        <w:t>’</w:t>
      </w:r>
      <w:r w:rsidRPr="00126290" w:rsidR="00126290">
        <w:rPr>
          <w:b/>
          <w:bCs/>
        </w:rPr>
        <w:t>s rules</w:t>
      </w:r>
      <w:r w:rsidR="00663213">
        <w:rPr>
          <w:b/>
          <w:bCs/>
        </w:rPr>
        <w:t>.</w:t>
      </w:r>
      <w:r>
        <w:rPr>
          <w:rStyle w:val="FootnoteReference"/>
        </w:rPr>
        <w:footnoteReference w:id="3"/>
      </w:r>
      <w:r w:rsidR="00085277">
        <w:rPr>
          <w:b/>
          <w:bCs/>
        </w:rPr>
        <w:t xml:space="preserve">  </w:t>
      </w:r>
    </w:p>
    <w:p w:rsidR="009F6D5C" w:rsidP="009159BB" w14:paraId="61C9B913" w14:textId="1CB3D3C8">
      <w:pPr>
        <w:keepNext/>
        <w:widowControl/>
        <w:spacing w:after="120"/>
      </w:pPr>
      <w:r>
        <w:t xml:space="preserve">Contemporaneous with this </w:t>
      </w:r>
      <w:r w:rsidR="00B16FD3">
        <w:rPr>
          <w:i/>
          <w:iCs/>
        </w:rPr>
        <w:t>Public Notice</w:t>
      </w:r>
      <w:r>
        <w:t xml:space="preserve">, the Bureau is issuing </w:t>
      </w:r>
      <w:r w:rsidR="00053CD3">
        <w:t xml:space="preserve">a </w:t>
      </w:r>
      <w:r>
        <w:t>cease-and</w:t>
      </w:r>
      <w:r w:rsidR="007A313E">
        <w:t>-</w:t>
      </w:r>
      <w:r>
        <w:t>desist letter to the following voice service provider:</w:t>
      </w:r>
      <w:r>
        <w:rPr>
          <w:rStyle w:val="FootnoteReference"/>
        </w:rPr>
        <w:footnoteReference w:id="4"/>
      </w:r>
      <w:r>
        <w:t xml:space="preserve">  </w:t>
      </w:r>
    </w:p>
    <w:p w:rsidR="00431BAF" w:rsidP="009159BB" w14:paraId="57D23395" w14:textId="5855AEAE">
      <w:pPr>
        <w:pStyle w:val="ListParagraph"/>
        <w:widowControl/>
        <w:numPr>
          <w:ilvl w:val="0"/>
          <w:numId w:val="7"/>
        </w:numPr>
        <w:spacing w:after="120"/>
        <w:contextualSpacing w:val="0"/>
        <w:rPr>
          <w:b/>
          <w:bCs/>
        </w:rPr>
      </w:pPr>
      <w:r>
        <w:rPr>
          <w:b/>
          <w:bCs/>
        </w:rPr>
        <w:t>One Eye LLC</w:t>
      </w:r>
    </w:p>
    <w:p w:rsidR="00A50A2A" w:rsidP="009159BB" w14:paraId="1F7B3872" w14:textId="08B309C9">
      <w:pPr>
        <w:widowControl/>
        <w:spacing w:after="120"/>
      </w:pPr>
      <w:r>
        <w:t>USTelecom’s</w:t>
      </w:r>
      <w:r>
        <w:t xml:space="preserve"> Industry Traceback Group (Traceback Consortium)</w:t>
      </w:r>
      <w:r>
        <w:rPr>
          <w:rStyle w:val="FootnoteReference"/>
        </w:rPr>
        <w:footnoteReference w:id="5"/>
      </w:r>
      <w:r w:rsidR="00085277">
        <w:t xml:space="preserve"> </w:t>
      </w:r>
      <w:r w:rsidR="00D23869">
        <w:t xml:space="preserve">identified </w:t>
      </w:r>
      <w:r w:rsidR="001860F8">
        <w:t xml:space="preserve">One Eye as </w:t>
      </w:r>
      <w:r w:rsidR="0095039A">
        <w:t xml:space="preserve">a </w:t>
      </w:r>
      <w:r w:rsidR="001860F8">
        <w:t>gateway provider</w:t>
      </w:r>
      <w:r w:rsidR="00D23869">
        <w:t xml:space="preserve"> for</w:t>
      </w:r>
      <w:r w:rsidR="00C05F51">
        <w:t xml:space="preserve"> substantial volumes of </w:t>
      </w:r>
      <w:r w:rsidR="00832CD6">
        <w:t xml:space="preserve">apparently unlawful </w:t>
      </w:r>
      <w:r w:rsidR="001860F8">
        <w:t xml:space="preserve">robocalls related </w:t>
      </w:r>
      <w:r w:rsidR="00B045BD">
        <w:t>to various fraudulent schemes</w:t>
      </w:r>
      <w:r w:rsidR="00C05F51">
        <w:t>.</w:t>
      </w:r>
      <w:r w:rsidR="00B16FD3">
        <w:t xml:space="preserve">  </w:t>
      </w:r>
      <w:r>
        <w:t xml:space="preserve">Pursuant to </w:t>
      </w:r>
      <w:r w:rsidR="00B000AE">
        <w:t>the cease-and-desist</w:t>
      </w:r>
      <w:r>
        <w:t xml:space="preserve"> letter, </w:t>
      </w:r>
      <w:r w:rsidR="001860F8">
        <w:t xml:space="preserve">One Eye </w:t>
      </w:r>
      <w:r>
        <w:t>must</w:t>
      </w:r>
      <w:r w:rsidR="00E3019E">
        <w:t xml:space="preserve">: </w:t>
      </w:r>
      <w:r>
        <w:t xml:space="preserve"> </w:t>
      </w:r>
      <w:r w:rsidR="001E3327">
        <w:t xml:space="preserve">(1) </w:t>
      </w:r>
      <w:r>
        <w:t xml:space="preserve">immediately investigate and </w:t>
      </w:r>
      <w:r w:rsidR="00085277">
        <w:t xml:space="preserve">effectively </w:t>
      </w:r>
      <w:r>
        <w:t xml:space="preserve">mitigate the traffic identified in </w:t>
      </w:r>
      <w:r w:rsidR="001C40CA">
        <w:t xml:space="preserve">the </w:t>
      </w:r>
      <w:r>
        <w:t>letter</w:t>
      </w:r>
      <w:r w:rsidR="00E3019E">
        <w:t>;</w:t>
      </w:r>
      <w:r>
        <w:t xml:space="preserve"> </w:t>
      </w:r>
      <w:r w:rsidR="001E3327">
        <w:t xml:space="preserve">(2) </w:t>
      </w:r>
      <w:r>
        <w:t>notify the Bureau and the Traceback Consortium</w:t>
      </w:r>
      <w:r w:rsidR="001E3327">
        <w:t>,</w:t>
      </w:r>
      <w:r>
        <w:t xml:space="preserve"> within 48 hours</w:t>
      </w:r>
      <w:r w:rsidR="001E3327">
        <w:t>,</w:t>
      </w:r>
      <w:r>
        <w:t xml:space="preserve"> of the steps taken to mitigate the identified traffic</w:t>
      </w:r>
      <w:r w:rsidR="00E3019E">
        <w:t>;</w:t>
      </w:r>
      <w:r>
        <w:t xml:space="preserve"> and </w:t>
      </w:r>
      <w:r w:rsidR="001E3327">
        <w:t xml:space="preserve">(3) </w:t>
      </w:r>
      <w:r>
        <w:t>inform the Bureau and the Traceback Consortium</w:t>
      </w:r>
      <w:r w:rsidR="001E3327">
        <w:t>,</w:t>
      </w:r>
      <w:r>
        <w:t xml:space="preserve"> within 14 days</w:t>
      </w:r>
      <w:r w:rsidR="001E3327">
        <w:t>,</w:t>
      </w:r>
      <w:r>
        <w:t xml:space="preserve"> of the steps </w:t>
      </w:r>
      <w:r w:rsidR="00905198">
        <w:t xml:space="preserve">that </w:t>
      </w:r>
      <w:r w:rsidR="001860F8">
        <w:t>One Eye ha</w:t>
      </w:r>
      <w:r w:rsidR="0095039A">
        <w:t>s</w:t>
      </w:r>
      <w:r w:rsidR="00905198">
        <w:t xml:space="preserve"> </w:t>
      </w:r>
      <w:r>
        <w:t>taken to prevent</w:t>
      </w:r>
      <w:r w:rsidR="003F0751">
        <w:t xml:space="preserve"> new or renewing</w:t>
      </w:r>
      <w:r>
        <w:t xml:space="preserve"> customers </w:t>
      </w:r>
      <w:r>
        <w:t xml:space="preserve">from using </w:t>
      </w:r>
      <w:r w:rsidR="006A5D5A">
        <w:t>its</w:t>
      </w:r>
      <w:r>
        <w:t xml:space="preserve"> network to transmit illegal robocalls.</w:t>
      </w:r>
      <w:r>
        <w:rPr>
          <w:rStyle w:val="FootnoteReference"/>
        </w:rPr>
        <w:footnoteReference w:id="6"/>
      </w:r>
      <w:r>
        <w:t xml:space="preserve">  If </w:t>
      </w:r>
      <w:r w:rsidR="001860F8">
        <w:t xml:space="preserve">One Eye </w:t>
      </w:r>
      <w:r>
        <w:t xml:space="preserve">fails to comply with the requirements set forth in the letter, </w:t>
      </w:r>
      <w:r w:rsidR="00053CD3">
        <w:t>it</w:t>
      </w:r>
      <w:r>
        <w:t xml:space="preserve"> may be </w:t>
      </w:r>
      <w:r w:rsidR="001860F8">
        <w:t>subject to mandatory blocking by their downstream providers</w:t>
      </w:r>
      <w:r>
        <w:t>.</w:t>
      </w:r>
      <w:r>
        <w:rPr>
          <w:rStyle w:val="FootnoteReference"/>
        </w:rPr>
        <w:footnoteReference w:id="7"/>
      </w:r>
    </w:p>
    <w:p w:rsidR="00986D14" w:rsidP="009159BB" w14:paraId="4FA0E46E" w14:textId="351B54DE">
      <w:pPr>
        <w:widowControl/>
        <w:spacing w:after="120"/>
      </w:pPr>
      <w:r w:rsidRPr="00F80DA2">
        <w:rPr>
          <w:i/>
          <w:iCs/>
        </w:rPr>
        <w:t>Purpose</w:t>
      </w:r>
      <w:r>
        <w:t xml:space="preserve">.  </w:t>
      </w:r>
      <w:r w:rsidR="00D847A3">
        <w:t xml:space="preserve">Protecting </w:t>
      </w:r>
      <w:r w:rsidR="007A313E">
        <w:t>individuals</w:t>
      </w:r>
      <w:r w:rsidR="001061E8">
        <w:t xml:space="preserve"> and entities</w:t>
      </w:r>
      <w:r w:rsidR="00D847A3">
        <w:t xml:space="preserve"> from the dangers of unwanted and illegal robocalls is the Commission’s top consumer protection priority.  As part of the Commission’s multi</w:t>
      </w:r>
      <w:r w:rsidR="003E2FDD">
        <w:t>-</w:t>
      </w:r>
      <w:r w:rsidR="00D847A3">
        <w:t>prong</w:t>
      </w:r>
      <w:r w:rsidR="003E2FDD">
        <w:t>ed</w:t>
      </w:r>
      <w:r w:rsidR="00D847A3">
        <w:t xml:space="preserve"> approach to combatting illegal robocalls, the Commission has</w:t>
      </w:r>
      <w:r w:rsidR="001B20B6">
        <w:t xml:space="preserve"> </w:t>
      </w:r>
      <w:r w:rsidR="00F97B7C">
        <w:t xml:space="preserve">taken steps to </w:t>
      </w:r>
      <w:r w:rsidR="0097012C">
        <w:rPr>
          <w:iCs/>
        </w:rPr>
        <w:t>encourage</w:t>
      </w:r>
      <w:r w:rsidRPr="00856B9F" w:rsidR="00F97B7C">
        <w:rPr>
          <w:i/>
        </w:rPr>
        <w:t xml:space="preserve"> </w:t>
      </w:r>
      <w:r w:rsidR="00F97B7C">
        <w:t>voice service providers to block suspected illegal robocalls.</w:t>
      </w:r>
      <w:r>
        <w:rPr>
          <w:rStyle w:val="FootnoteReference"/>
        </w:rPr>
        <w:footnoteReference w:id="8"/>
      </w:r>
      <w:r w:rsidR="00F97B7C">
        <w:t xml:space="preserve">  </w:t>
      </w:r>
      <w:r w:rsidR="001E3327">
        <w:t>T</w:t>
      </w:r>
      <w:r w:rsidR="00F97B7C">
        <w:t>he Commission permit</w:t>
      </w:r>
      <w:r w:rsidR="001E3327">
        <w:t>s</w:t>
      </w:r>
      <w:r w:rsidR="00F97B7C">
        <w:t xml:space="preserve"> voice service providers to block traffic from </w:t>
      </w:r>
      <w:r w:rsidR="00457A05">
        <w:t xml:space="preserve">other </w:t>
      </w:r>
      <w:r w:rsidR="00F97B7C">
        <w:t>voice service providers that</w:t>
      </w:r>
      <w:r w:rsidR="001E3327">
        <w:t xml:space="preserve"> the </w:t>
      </w:r>
      <w:r w:rsidR="008D2EB2">
        <w:t>Bureau</w:t>
      </w:r>
      <w:r w:rsidR="001E3327">
        <w:t xml:space="preserve"> has</w:t>
      </w:r>
      <w:r w:rsidR="00F97B7C">
        <w:t xml:space="preserve"> warned </w:t>
      </w:r>
      <w:r w:rsidR="001E3327">
        <w:t xml:space="preserve">are </w:t>
      </w:r>
      <w:r w:rsidR="00F97B7C">
        <w:t>transmitting suspected illegal robocalls.</w:t>
      </w:r>
      <w:r>
        <w:rPr>
          <w:rStyle w:val="FootnoteReference"/>
        </w:rPr>
        <w:footnoteReference w:id="9"/>
      </w:r>
      <w:r w:rsidR="00F97B7C">
        <w:t xml:space="preserve">  The Bureau has issued several “cease-and-desist” letters, warning voice providers that they were transmitting suspected illegal robocalls and could be subject to blocking.</w:t>
      </w:r>
      <w:r>
        <w:rPr>
          <w:rStyle w:val="FootnoteReference"/>
        </w:rPr>
        <w:footnoteReference w:id="10"/>
      </w:r>
      <w:r w:rsidR="00A371F1">
        <w:t xml:space="preserve">  The Commission placed additional obligations on gateway providers in May 2022</w:t>
      </w:r>
      <w:r w:rsidR="00BF354B">
        <w:t xml:space="preserve"> by requiring they</w:t>
      </w:r>
      <w:r w:rsidR="00A371F1">
        <w:t xml:space="preserve"> block illegal traffic when notified of such traffic by the </w:t>
      </w:r>
      <w:r w:rsidR="00B47600">
        <w:t>Bureau</w:t>
      </w:r>
      <w:r w:rsidR="00A371F1">
        <w:t>.</w:t>
      </w:r>
      <w:r>
        <w:rPr>
          <w:rStyle w:val="FootnoteReference"/>
        </w:rPr>
        <w:footnoteReference w:id="11"/>
      </w:r>
      <w:r w:rsidR="00A371F1">
        <w:t xml:space="preserve">  Failure to do so</w:t>
      </w:r>
      <w:r w:rsidR="00D4189C">
        <w:t xml:space="preserve"> may</w:t>
      </w:r>
      <w:r w:rsidR="00A371F1">
        <w:t xml:space="preserve"> require the gateway provider’s immediate downstream providers to block all of its traffic</w:t>
      </w:r>
      <w:r w:rsidR="00B47600">
        <w:t xml:space="preserve"> if the gateway provider continues to transmit substantially similar traffic or fails to respond to the Bureau’s cease-and-desist letter</w:t>
      </w:r>
      <w:r w:rsidR="00A371F1">
        <w:t>.</w:t>
      </w:r>
      <w:r>
        <w:rPr>
          <w:rStyle w:val="FootnoteReference"/>
        </w:rPr>
        <w:footnoteReference w:id="12"/>
      </w:r>
    </w:p>
    <w:p w:rsidR="00B03D49" w:rsidP="009159BB" w14:paraId="69865D7B" w14:textId="59CD0F21">
      <w:pPr>
        <w:widowControl/>
        <w:spacing w:after="120"/>
      </w:pPr>
      <w:r>
        <w:rPr>
          <w:i/>
          <w:iCs/>
        </w:rPr>
        <w:t>Nature of Apparently Unlawful Robocall Traffic.</w:t>
      </w:r>
      <w:r>
        <w:t xml:space="preserve"> </w:t>
      </w:r>
      <w:r w:rsidR="00053CD3">
        <w:t xml:space="preserve"> </w:t>
      </w:r>
      <w:r w:rsidR="00FE5026">
        <w:t xml:space="preserve">One Eye </w:t>
      </w:r>
      <w:r w:rsidR="0095039A">
        <w:t>is</w:t>
      </w:r>
      <w:r w:rsidR="00FE5026">
        <w:t xml:space="preserve"> transmitting apparent fraudulent calls.</w:t>
      </w:r>
      <w:r w:rsidR="00DB1DDC">
        <w:t xml:space="preserve">  One Eye transmitted calls related to apparent bank </w:t>
      </w:r>
      <w:r w:rsidR="00DD4CA7">
        <w:t>impersonation</w:t>
      </w:r>
      <w:r w:rsidR="00AC6BB8">
        <w:t>.</w:t>
      </w:r>
      <w:r>
        <w:rPr>
          <w:rStyle w:val="FootnoteReference"/>
        </w:rPr>
        <w:footnoteReference w:id="13"/>
      </w:r>
      <w:r w:rsidR="00AC6BB8">
        <w:t xml:space="preserve">  It also transmitted calls </w:t>
      </w:r>
      <w:r w:rsidR="00BF354B">
        <w:t>that</w:t>
      </w:r>
      <w:r w:rsidR="00AC6BB8">
        <w:t xml:space="preserve"> said “a pre-authorized order had been placed on your name.”  The call script did not state what the order was for or where the order was placed.</w:t>
      </w:r>
      <w:r>
        <w:rPr>
          <w:rStyle w:val="FootnoteReference"/>
        </w:rPr>
        <w:footnoteReference w:id="14"/>
      </w:r>
      <w:r w:rsidR="00AC6BB8">
        <w:t xml:space="preserve">  </w:t>
      </w:r>
      <w:r w:rsidR="00BD03CE">
        <w:t>Additionally, One Eye</w:t>
      </w:r>
      <w:r w:rsidR="0095039A">
        <w:t>’s predecessor company, PZ Illum Telecommunications,</w:t>
      </w:r>
      <w:r w:rsidR="00BD03CE">
        <w:t xml:space="preserve"> </w:t>
      </w:r>
      <w:r w:rsidR="0095039A">
        <w:t>has</w:t>
      </w:r>
      <w:r w:rsidR="00BD03CE">
        <w:t xml:space="preserve"> been subject to previous Commission enforcement actions</w:t>
      </w:r>
      <w:r w:rsidR="00BF354B">
        <w:t xml:space="preserve"> as described below</w:t>
      </w:r>
      <w:r w:rsidR="00BD03CE">
        <w:t>.</w:t>
      </w:r>
      <w:r w:rsidR="00FE5026">
        <w:t xml:space="preserve"> </w:t>
      </w:r>
    </w:p>
    <w:p w:rsidR="00F744E1" w:rsidP="009159BB" w14:paraId="30504436" w14:textId="501C50E3">
      <w:pPr>
        <w:autoSpaceDE w:val="0"/>
        <w:autoSpaceDN w:val="0"/>
        <w:adjustRightInd w:val="0"/>
        <w:spacing w:after="120"/>
        <w:rPr>
          <w:szCs w:val="22"/>
        </w:rPr>
      </w:pPr>
      <w:r>
        <w:rPr>
          <w:szCs w:val="22"/>
        </w:rPr>
        <w:t>We have determined that Prince Anand, the CEO of PZ Illum Telecommunications and recipient of a cease-and-desist letter from the Bureau on October 21, 2021,</w:t>
      </w:r>
      <w:r>
        <w:rPr>
          <w:rStyle w:val="FootnoteReference"/>
          <w:szCs w:val="22"/>
        </w:rPr>
        <w:footnoteReference w:id="15"/>
      </w:r>
      <w:r>
        <w:rPr>
          <w:szCs w:val="22"/>
        </w:rPr>
        <w:t xml:space="preserve"> apparently created One Eye to evade our past enforcement efforts. </w:t>
      </w:r>
      <w:r w:rsidR="00BF354B">
        <w:rPr>
          <w:szCs w:val="22"/>
        </w:rPr>
        <w:t xml:space="preserve"> </w:t>
      </w:r>
      <w:r>
        <w:rPr>
          <w:szCs w:val="22"/>
        </w:rPr>
        <w:t xml:space="preserve">In a Skype conversation with </w:t>
      </w:r>
      <w:r w:rsidR="0095039A">
        <w:rPr>
          <w:szCs w:val="22"/>
        </w:rPr>
        <w:t>a downstream provider</w:t>
      </w:r>
      <w:r w:rsidR="00ED0CB1">
        <w:rPr>
          <w:szCs w:val="22"/>
        </w:rPr>
        <w:t xml:space="preserve">, </w:t>
      </w:r>
      <w:r w:rsidR="00053CD3">
        <w:rPr>
          <w:szCs w:val="22"/>
        </w:rPr>
        <w:t xml:space="preserve">Prince Anand, also </w:t>
      </w:r>
      <w:r w:rsidR="00ED0CB1">
        <w:rPr>
          <w:szCs w:val="22"/>
        </w:rPr>
        <w:t>One Eye’s owner</w:t>
      </w:r>
      <w:r w:rsidR="00BF354B">
        <w:rPr>
          <w:szCs w:val="22"/>
        </w:rPr>
        <w:t>,</w:t>
      </w:r>
      <w:r>
        <w:rPr>
          <w:szCs w:val="22"/>
        </w:rPr>
        <w:t xml:space="preserve"> explained that he shut down PZ/Illum Telecommunication due to </w:t>
      </w:r>
      <w:r w:rsidR="00053CD3">
        <w:rPr>
          <w:szCs w:val="22"/>
        </w:rPr>
        <w:t>the Bureau’s</w:t>
      </w:r>
      <w:r>
        <w:rPr>
          <w:szCs w:val="22"/>
        </w:rPr>
        <w:t xml:space="preserve"> letter</w:t>
      </w:r>
      <w:r w:rsidR="00BF354B">
        <w:rPr>
          <w:szCs w:val="22"/>
        </w:rPr>
        <w:t>,</w:t>
      </w:r>
      <w:r>
        <w:rPr>
          <w:szCs w:val="22"/>
        </w:rPr>
        <w:t xml:space="preserve"> but that he created a new company called One Eye LLC that would originate calls.</w:t>
      </w:r>
      <w:r>
        <w:rPr>
          <w:rStyle w:val="FootnoteReference"/>
          <w:szCs w:val="22"/>
        </w:rPr>
        <w:footnoteReference w:id="16"/>
      </w:r>
      <w:r>
        <w:rPr>
          <w:szCs w:val="22"/>
        </w:rPr>
        <w:t xml:space="preserve">  Prince Anand further explained that his name would not be on the paperwork for One Eye, but he would be the only owner</w:t>
      </w:r>
      <w:r w:rsidR="00D637D1">
        <w:rPr>
          <w:szCs w:val="22"/>
        </w:rPr>
        <w:t>.</w:t>
      </w:r>
      <w:r>
        <w:rPr>
          <w:rStyle w:val="FootnoteReference"/>
          <w:szCs w:val="22"/>
        </w:rPr>
        <w:footnoteReference w:id="17"/>
      </w:r>
      <w:r w:rsidR="00D637D1">
        <w:rPr>
          <w:szCs w:val="22"/>
        </w:rPr>
        <w:t xml:space="preserve">  </w:t>
      </w:r>
      <w:r>
        <w:rPr>
          <w:szCs w:val="22"/>
        </w:rPr>
        <w:t xml:space="preserve">Since </w:t>
      </w:r>
      <w:r w:rsidR="00053CD3">
        <w:rPr>
          <w:szCs w:val="22"/>
        </w:rPr>
        <w:t>the Bureau’s</w:t>
      </w:r>
      <w:r>
        <w:rPr>
          <w:szCs w:val="22"/>
        </w:rPr>
        <w:t xml:space="preserve"> October 21, 2021 letter, One Eye has appeared in 100 tracebacks as a gateway provider for suspected illegal robocalls.  </w:t>
      </w:r>
    </w:p>
    <w:p w:rsidR="003D68C4" w:rsidP="009159BB" w14:paraId="6DCD0C52" w14:textId="2BF0962C">
      <w:pPr>
        <w:widowControl/>
        <w:spacing w:after="120"/>
      </w:pPr>
      <w:bookmarkStart w:id="4" w:name="_Hlk90543882"/>
      <w:r>
        <w:rPr>
          <w:i/>
          <w:iCs/>
        </w:rPr>
        <w:t>Follow-Up Order</w:t>
      </w:r>
      <w:r w:rsidR="00C32101">
        <w:rPr>
          <w:i/>
          <w:iCs/>
        </w:rPr>
        <w:t>s</w:t>
      </w:r>
      <w:r>
        <w:rPr>
          <w:i/>
          <w:iCs/>
        </w:rPr>
        <w:t>.</w:t>
      </w:r>
      <w:r>
        <w:t xml:space="preserve">  </w:t>
      </w:r>
      <w:r w:rsidR="00B000AE">
        <w:t>In the event that</w:t>
      </w:r>
      <w:r w:rsidRPr="00F5668B" w:rsidR="00CB562F">
        <w:t xml:space="preserve"> </w:t>
      </w:r>
      <w:r w:rsidR="0095039A">
        <w:t>One Eye</w:t>
      </w:r>
      <w:r w:rsidR="00A371F1">
        <w:t xml:space="preserve"> </w:t>
      </w:r>
      <w:r w:rsidRPr="00F5668B" w:rsidR="006D4454">
        <w:t>fail</w:t>
      </w:r>
      <w:r w:rsidR="00C83E4E">
        <w:t>s</w:t>
      </w:r>
      <w:r w:rsidRPr="00F5668B" w:rsidR="006D4454">
        <w:t xml:space="preserve"> to </w:t>
      </w:r>
      <w:r w:rsidR="00B47600">
        <w:t>respond to the cease-and-desist letter,</w:t>
      </w:r>
      <w:r w:rsidR="00C32101">
        <w:t xml:space="preserve"> the Bureau </w:t>
      </w:r>
      <w:r w:rsidR="00A90F32">
        <w:t>determines</w:t>
      </w:r>
      <w:r w:rsidR="00C32101">
        <w:t xml:space="preserve"> that the response is </w:t>
      </w:r>
      <w:r w:rsidR="00A90F32">
        <w:t>insufficient</w:t>
      </w:r>
      <w:r w:rsidR="00B47600">
        <w:t xml:space="preserve"> </w:t>
      </w:r>
      <w:r w:rsidR="00A90F32">
        <w:t xml:space="preserve">or that the traffic is illegal despite the provider’s assertions, or the Bureau determines that </w:t>
      </w:r>
      <w:r w:rsidR="0095039A">
        <w:t>One Eye</w:t>
      </w:r>
      <w:r w:rsidR="00A90F32">
        <w:t xml:space="preserve"> is continuing to allow substantially similar traffic onto the U.S. network, then </w:t>
      </w:r>
      <w:r w:rsidR="00B47600">
        <w:t>the Bureau will issue an Initial Determination Order</w:t>
      </w:r>
      <w:r w:rsidRPr="00F5668B" w:rsidR="006F514A">
        <w:t>.</w:t>
      </w:r>
      <w:r>
        <w:rPr>
          <w:rStyle w:val="FootnoteReference"/>
        </w:rPr>
        <w:footnoteReference w:id="18"/>
      </w:r>
      <w:r w:rsidR="00B47600">
        <w:t xml:space="preserve">  </w:t>
      </w:r>
      <w:r w:rsidR="0095039A">
        <w:t>One Eye</w:t>
      </w:r>
      <w:r w:rsidR="00B47600">
        <w:t xml:space="preserve"> will have </w:t>
      </w:r>
      <w:r w:rsidR="00521FBD">
        <w:t xml:space="preserve">at least </w:t>
      </w:r>
      <w:r w:rsidR="00B47600">
        <w:t>14 days to respond to the Initial Determination Order.</w:t>
      </w:r>
      <w:r>
        <w:rPr>
          <w:rStyle w:val="FootnoteReference"/>
        </w:rPr>
        <w:footnoteReference w:id="19"/>
      </w:r>
      <w:r w:rsidR="00B47600">
        <w:t xml:space="preserve">  If </w:t>
      </w:r>
      <w:r w:rsidR="0095039A">
        <w:t>One Eye’s</w:t>
      </w:r>
      <w:r w:rsidR="00A90F32">
        <w:t xml:space="preserve"> response to that order is insufficient or we find that </w:t>
      </w:r>
      <w:r w:rsidR="0095039A">
        <w:t>it</w:t>
      </w:r>
      <w:r w:rsidR="00A90F32">
        <w:t xml:space="preserve"> continues to allow substantially similar traffic onto the U.S. network</w:t>
      </w:r>
      <w:r w:rsidR="00C32101">
        <w:t>, then we will publish a Final Determination Order in EB Docket No. 22-174</w:t>
      </w:r>
      <w:r w:rsidR="00A90F32">
        <w:t xml:space="preserve"> finding that </w:t>
      </w:r>
      <w:r w:rsidR="0095039A">
        <w:t>One Eye</w:t>
      </w:r>
      <w:r w:rsidR="00A90F32">
        <w:t xml:space="preserve"> is not in compliance with section 64.1200(n)(5)</w:t>
      </w:r>
      <w:r w:rsidR="00C32101">
        <w:t>.</w:t>
      </w:r>
      <w:r>
        <w:rPr>
          <w:rStyle w:val="FootnoteReference"/>
        </w:rPr>
        <w:footnoteReference w:id="20"/>
      </w:r>
      <w:r w:rsidR="006F514A">
        <w:t xml:space="preserve">  </w:t>
      </w:r>
      <w:r w:rsidRPr="00010DA5" w:rsidR="006F514A">
        <w:rPr>
          <w:b/>
          <w:bCs/>
        </w:rPr>
        <w:t xml:space="preserve">In the event that </w:t>
      </w:r>
      <w:r w:rsidR="00B21108">
        <w:rPr>
          <w:b/>
          <w:bCs/>
        </w:rPr>
        <w:t xml:space="preserve">the Bureau issues </w:t>
      </w:r>
      <w:r w:rsidRPr="00010DA5" w:rsidR="00497E2A">
        <w:rPr>
          <w:b/>
          <w:bCs/>
        </w:rPr>
        <w:t xml:space="preserve">a </w:t>
      </w:r>
      <w:r w:rsidR="00C32101">
        <w:rPr>
          <w:b/>
          <w:bCs/>
        </w:rPr>
        <w:t>Final Determination Order</w:t>
      </w:r>
      <w:r w:rsidRPr="00010DA5" w:rsidR="00FD0EAC">
        <w:rPr>
          <w:b/>
          <w:bCs/>
        </w:rPr>
        <w:t xml:space="preserve"> </w:t>
      </w:r>
      <w:r w:rsidRPr="00010DA5" w:rsidR="00497E2A">
        <w:rPr>
          <w:b/>
          <w:bCs/>
        </w:rPr>
        <w:t xml:space="preserve">in this matter, </w:t>
      </w:r>
      <w:r w:rsidR="00B000AE">
        <w:rPr>
          <w:b/>
          <w:bCs/>
        </w:rPr>
        <w:t>pursuant to section 64.1200(n)(</w:t>
      </w:r>
      <w:r w:rsidR="00C32101">
        <w:rPr>
          <w:b/>
          <w:bCs/>
        </w:rPr>
        <w:t>6</w:t>
      </w:r>
      <w:r w:rsidR="00B000AE">
        <w:rPr>
          <w:b/>
          <w:bCs/>
        </w:rPr>
        <w:t xml:space="preserve">) of the Commission’s Rules, </w:t>
      </w:r>
      <w:r w:rsidRPr="00010DA5" w:rsidR="00497E2A">
        <w:rPr>
          <w:b/>
          <w:bCs/>
        </w:rPr>
        <w:t xml:space="preserve">all </w:t>
      </w:r>
      <w:r w:rsidR="00572C32">
        <w:rPr>
          <w:b/>
          <w:bCs/>
        </w:rPr>
        <w:t>U.S</w:t>
      </w:r>
      <w:r w:rsidR="001061E8">
        <w:rPr>
          <w:b/>
          <w:bCs/>
        </w:rPr>
        <w:t>.</w:t>
      </w:r>
      <w:r w:rsidRPr="00010DA5" w:rsidR="00497E2A">
        <w:rPr>
          <w:b/>
          <w:bCs/>
        </w:rPr>
        <w:t xml:space="preserve">-based voice service providers </w:t>
      </w:r>
      <w:r w:rsidR="00B000AE">
        <w:rPr>
          <w:b/>
          <w:bCs/>
        </w:rPr>
        <w:t xml:space="preserve">shall be required to </w:t>
      </w:r>
      <w:r w:rsidR="00B47600">
        <w:rPr>
          <w:b/>
          <w:bCs/>
        </w:rPr>
        <w:t xml:space="preserve">block </w:t>
      </w:r>
      <w:r w:rsidR="0095039A">
        <w:rPr>
          <w:b/>
          <w:bCs/>
        </w:rPr>
        <w:t>One Eye’s</w:t>
      </w:r>
      <w:r w:rsidR="00B47600">
        <w:rPr>
          <w:b/>
          <w:bCs/>
        </w:rPr>
        <w:t xml:space="preserve"> traffic</w:t>
      </w:r>
      <w:r w:rsidRPr="00B1730F" w:rsidR="00B000AE">
        <w:rPr>
          <w:b/>
          <w:bCs/>
        </w:rPr>
        <w:t>.</w:t>
      </w:r>
      <w:bookmarkEnd w:id="0"/>
      <w:bookmarkEnd w:id="4"/>
      <w:r>
        <w:rPr>
          <w:rStyle w:val="FootnoteReference"/>
          <w:b/>
          <w:bCs/>
        </w:rPr>
        <w:footnoteReference w:id="21"/>
      </w:r>
    </w:p>
    <w:p w:rsidR="00F80DA2" w:rsidP="009159BB" w14:paraId="6F927A4D" w14:textId="65664538">
      <w:pPr>
        <w:keepNext/>
        <w:widowControl/>
        <w:spacing w:after="120"/>
      </w:pPr>
      <w:r w:rsidRPr="00F80DA2">
        <w:rPr>
          <w:i/>
          <w:iCs/>
        </w:rPr>
        <w:t>Contact Information</w:t>
      </w:r>
      <w:r w:rsidRPr="00F80DA2">
        <w:t xml:space="preserve">. </w:t>
      </w:r>
      <w:r w:rsidR="00A674FD">
        <w:t xml:space="preserve"> </w:t>
      </w:r>
      <w:r w:rsidRPr="00F80DA2">
        <w:t>For further information, please contact</w:t>
      </w:r>
      <w:r>
        <w:t xml:space="preserve"> Kristi Thompson, </w:t>
      </w:r>
      <w:r w:rsidR="00EB72A6">
        <w:t xml:space="preserve">Division Chief, </w:t>
      </w:r>
      <w:r>
        <w:t>Enforcement Bureau,</w:t>
      </w:r>
      <w:r w:rsidR="007C4BE1">
        <w:t xml:space="preserve"> Telecommunications Consumers Division, at 202-418-1318 or by email at </w:t>
      </w:r>
      <w:hyperlink r:id="rId5" w:history="1">
        <w:r w:rsidRPr="00536A47" w:rsidR="007C4BE1">
          <w:rPr>
            <w:rStyle w:val="Hyperlink"/>
          </w:rPr>
          <w:t>Kristi.Thompson@fcc.gov</w:t>
        </w:r>
      </w:hyperlink>
      <w:r w:rsidR="00EB72A6">
        <w:t xml:space="preserve">; Lisa Zaina, Asst. Chief, Enforcement Bureau, Telecommunications Consumers Division, at </w:t>
      </w:r>
      <w:r w:rsidR="00B4528B">
        <w:t xml:space="preserve">202-418-2803 or by email at </w:t>
      </w:r>
      <w:hyperlink r:id="rId6" w:history="1">
        <w:r w:rsidRPr="00536A47" w:rsidR="00B4528B">
          <w:rPr>
            <w:rStyle w:val="Hyperlink"/>
          </w:rPr>
          <w:t>Lisa.Zaina@fcc.gov</w:t>
        </w:r>
      </w:hyperlink>
      <w:r w:rsidR="00B4528B">
        <w:t xml:space="preserve">; or Daniel Stepanicich, </w:t>
      </w:r>
      <w:r w:rsidR="00B4528B">
        <w:t>Enforcement Bureau, Telecommunications Consumers Division, at 202-418-</w:t>
      </w:r>
      <w:r w:rsidR="001218F2">
        <w:t xml:space="preserve">7451 or by email at </w:t>
      </w:r>
      <w:hyperlink r:id="rId7" w:history="1">
        <w:r w:rsidRPr="00536A47" w:rsidR="002E5792">
          <w:rPr>
            <w:rStyle w:val="Hyperlink"/>
          </w:rPr>
          <w:t>Daniel.Stepanicich@fcc.gov</w:t>
        </w:r>
      </w:hyperlink>
      <w:r w:rsidR="002E5792">
        <w:t>.</w:t>
      </w:r>
    </w:p>
    <w:p w:rsidR="002E5792" w:rsidP="00040A2A" w14:paraId="50DAF174" w14:textId="7A6DCF6C">
      <w:pPr>
        <w:keepNext/>
        <w:widowControl/>
        <w:spacing w:after="220"/>
      </w:pPr>
    </w:p>
    <w:p w:rsidR="002E5792" w:rsidP="00040A2A" w14:paraId="61BB4BBB" w14:textId="77777777">
      <w:pPr>
        <w:keepNext/>
        <w:widowControl/>
        <w:spacing w:after="220"/>
      </w:pPr>
    </w:p>
    <w:p w:rsidR="008B0727" w:rsidP="00323850" w14:paraId="6A7BBEC0" w14:textId="3C17C162">
      <w:pPr>
        <w:keepNext/>
        <w:widowControl/>
        <w:ind w:left="4680"/>
      </w:pPr>
      <w:r>
        <w:t>ENFORCEMENT BUREAU</w:t>
      </w:r>
    </w:p>
    <w:p w:rsidR="008B0727" w:rsidP="00323850" w14:paraId="15E02FBF" w14:textId="7B401658">
      <w:pPr>
        <w:keepNext/>
        <w:widowControl/>
        <w:ind w:left="4680"/>
      </w:pPr>
      <w:r>
        <w:t xml:space="preserve">Loyaan </w:t>
      </w:r>
      <w:r w:rsidR="00B02635">
        <w:t xml:space="preserve">A. </w:t>
      </w:r>
      <w:r>
        <w:t>Egal</w:t>
      </w:r>
    </w:p>
    <w:p w:rsidR="008B0727" w:rsidP="00323850" w14:paraId="015AF293" w14:textId="463EF59B">
      <w:pPr>
        <w:ind w:left="4680"/>
      </w:pPr>
      <w:r>
        <w:t>Chief</w:t>
      </w:r>
    </w:p>
    <w:sectPr>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37DB" w14:paraId="010FBE9F" w14:textId="77777777">
    <w:pPr>
      <w:pStyle w:val="Footer"/>
      <w:framePr w:wrap="around" w:vAnchor="text" w:hAnchor="margin" w:xAlign="center" w:y="1"/>
    </w:pPr>
    <w:r>
      <w:fldChar w:fldCharType="begin"/>
    </w:r>
    <w:r>
      <w:instrText xml:space="preserve">PAGE  </w:instrText>
    </w:r>
    <w:r>
      <w:fldChar w:fldCharType="separate"/>
    </w:r>
    <w:r>
      <w:fldChar w:fldCharType="end"/>
    </w:r>
  </w:p>
  <w:p w:rsidR="00A137DB" w14:paraId="541099D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37DB" w14:paraId="7ED203DC" w14:textId="77777777">
    <w:pPr>
      <w:pStyle w:val="Footer"/>
      <w:jc w:val="center"/>
    </w:pPr>
    <w:r>
      <w:fldChar w:fldCharType="begin"/>
    </w:r>
    <w:r>
      <w:instrText xml:space="preserve"> PAGE   \* MERGEFORMAT </w:instrText>
    </w:r>
    <w:r>
      <w:fldChar w:fldCharType="separate"/>
    </w:r>
    <w:r w:rsidR="00C61BBB">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37DB" w14:paraId="7AE89E7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1224B" w14:paraId="57DFE893" w14:textId="77777777">
      <w:r>
        <w:separator/>
      </w:r>
    </w:p>
  </w:footnote>
  <w:footnote w:type="continuationSeparator" w:id="1">
    <w:p w:rsidR="00A1224B" w14:paraId="0A9311CF" w14:textId="77777777">
      <w:pPr>
        <w:rPr>
          <w:sz w:val="20"/>
        </w:rPr>
      </w:pPr>
      <w:r>
        <w:rPr>
          <w:sz w:val="20"/>
        </w:rPr>
        <w:t xml:space="preserve">(Continued from previous page)  </w:t>
      </w:r>
      <w:r>
        <w:rPr>
          <w:sz w:val="20"/>
        </w:rPr>
        <w:separator/>
      </w:r>
    </w:p>
  </w:footnote>
  <w:footnote w:type="continuationNotice" w:id="2">
    <w:p w:rsidR="00A1224B" w14:paraId="088BC1F2" w14:textId="77777777">
      <w:pPr>
        <w:jc w:val="right"/>
        <w:rPr>
          <w:sz w:val="20"/>
        </w:rPr>
      </w:pPr>
      <w:r>
        <w:rPr>
          <w:sz w:val="20"/>
        </w:rPr>
        <w:t>(continued….)</w:t>
      </w:r>
    </w:p>
  </w:footnote>
  <w:footnote w:id="3">
    <w:p w:rsidR="00BC6741" w:rsidP="00BC6741" w14:paraId="79D66B2F" w14:textId="79B96906">
      <w:pPr>
        <w:pStyle w:val="FootnoteText"/>
      </w:pPr>
      <w:r>
        <w:rPr>
          <w:rStyle w:val="FootnoteReference"/>
        </w:rPr>
        <w:footnoteRef/>
      </w:r>
      <w:r>
        <w:t xml:space="preserve"> 47 CFR § 64.1200(k)(4)</w:t>
      </w:r>
      <w:r w:rsidR="00FB7EB8">
        <w:t xml:space="preserve"> (permitting downstream providers to block calls from a notified </w:t>
      </w:r>
      <w:r w:rsidR="003E7A4E">
        <w:t>provider that fails to mitigate the identified traffic within 48 hours</w:t>
      </w:r>
      <w:r w:rsidR="00612144">
        <w:t>)</w:t>
      </w:r>
      <w:r>
        <w:t>.</w:t>
      </w:r>
      <w:r w:rsidR="0092599C">
        <w:t xml:space="preserve"> Prior to </w:t>
      </w:r>
      <w:r w:rsidR="00F7524F">
        <w:t xml:space="preserve">initiating blocking, providers must provide the Commission with notice and a brief summary of the </w:t>
      </w:r>
      <w:r w:rsidR="004F3924">
        <w:t>basis for their determination that the conditions are met for bl</w:t>
      </w:r>
      <w:r w:rsidR="00D52412">
        <w:t xml:space="preserve">ocking. </w:t>
      </w:r>
      <w:r w:rsidR="00D52412">
        <w:rPr>
          <w:i/>
          <w:iCs/>
        </w:rPr>
        <w:t>Id.</w:t>
      </w:r>
      <w:r>
        <w:t xml:space="preserve">  We remind downstream voice service providers that taking advantage of this safe harbor and blocking calls from recipients of cease-and-desist letters that fail to take mitigation measures assists both Commission and industry efforts to reduce the impact of illegal robocalls on consumers.</w:t>
      </w:r>
    </w:p>
  </w:footnote>
  <w:footnote w:id="4">
    <w:p w:rsidR="00A50A2A" w:rsidP="00A50A2A" w14:paraId="5D3149AC" w14:textId="2C41CF38">
      <w:pPr>
        <w:pStyle w:val="FootnoteText"/>
      </w:pPr>
      <w:r>
        <w:rPr>
          <w:rStyle w:val="FootnoteReference"/>
        </w:rPr>
        <w:footnoteRef/>
      </w:r>
      <w:r>
        <w:t xml:space="preserve"> </w:t>
      </w:r>
      <w:r w:rsidRPr="00040A2A" w:rsidR="00DB1DDC">
        <w:t xml:space="preserve">Letter from Loyaan A. Egal, Chief, FCC Enforcement Bureau, to </w:t>
      </w:r>
      <w:r w:rsidR="00DB1DDC">
        <w:t>Kaushal Bhavsar, CEO</w:t>
      </w:r>
      <w:r w:rsidRPr="00040A2A" w:rsidR="00DB1DDC">
        <w:t xml:space="preserve">, </w:t>
      </w:r>
      <w:r w:rsidR="00DB1DDC">
        <w:t>One Eye LLC</w:t>
      </w:r>
      <w:r w:rsidRPr="00040A2A" w:rsidR="00DB1DDC">
        <w:t xml:space="preserve"> (</w:t>
      </w:r>
      <w:r w:rsidR="006540B6">
        <w:t>Feb. 15, 2023</w:t>
      </w:r>
      <w:r w:rsidR="00DB1DDC">
        <w:t>) (One Eye Letter</w:t>
      </w:r>
      <w:r w:rsidR="0095039A">
        <w:t>)</w:t>
      </w:r>
      <w:r w:rsidR="00DB1DDC">
        <w:t xml:space="preserve">.  </w:t>
      </w:r>
      <w:r w:rsidRPr="00040A2A" w:rsidR="00040A2A">
        <w:t>Th</w:t>
      </w:r>
      <w:r w:rsidR="0095039A">
        <w:t>is</w:t>
      </w:r>
      <w:r w:rsidRPr="00040A2A" w:rsidR="00040A2A">
        <w:t xml:space="preserve"> letter </w:t>
      </w:r>
      <w:r w:rsidR="0095039A">
        <w:t>is</w:t>
      </w:r>
      <w:r w:rsidRPr="00040A2A" w:rsidR="00040A2A">
        <w:t xml:space="preserve"> available on the Commission</w:t>
      </w:r>
      <w:r w:rsidR="00E3019E">
        <w:t>’</w:t>
      </w:r>
      <w:r w:rsidRPr="00040A2A" w:rsidR="00040A2A">
        <w:t xml:space="preserve">s website at </w:t>
      </w:r>
      <w:hyperlink r:id="rId1" w:history="1">
        <w:r w:rsidRPr="006567FE" w:rsidR="00040A2A">
          <w:rPr>
            <w:rStyle w:val="Hyperlink"/>
          </w:rPr>
          <w:t>https://www.fcc.gov/robocall-facilitators-must-cease-and-desist</w:t>
        </w:r>
      </w:hyperlink>
      <w:r w:rsidR="00040A2A">
        <w:t>.</w:t>
      </w:r>
    </w:p>
  </w:footnote>
  <w:footnote w:id="5">
    <w:p w:rsidR="00492BCC" w:rsidP="00492BCC" w14:paraId="72DC34F0" w14:textId="490D69A7">
      <w:pPr>
        <w:pStyle w:val="FootnoteText"/>
      </w:pPr>
      <w:r>
        <w:rPr>
          <w:rStyle w:val="FootnoteReference"/>
        </w:rPr>
        <w:footnoteRef/>
      </w:r>
      <w:r>
        <w:t xml:space="preserve"> </w:t>
      </w:r>
      <w:r>
        <w:t>USTelecom’s</w:t>
      </w:r>
      <w:r>
        <w:t xml:space="preserve"> Industry Traceback Group is the registered industry consortium selected pursuant to the TRACED Act, to conduct tracebacks to identify suspected bad actors. </w:t>
      </w:r>
      <w:r>
        <w:rPr>
          <w:i/>
          <w:iCs/>
        </w:rPr>
        <w:t>Implementing Section 13(d) of the Pallone-Thune Telephone Robocall Abuse Criminal Enforcement and Deterrence Act (TRACED Act)</w:t>
      </w:r>
      <w:r>
        <w:t xml:space="preserve">, EB Docket No. 20-22, Report and Order, DA </w:t>
      </w:r>
      <w:r w:rsidR="002935ED">
        <w:t>22-870</w:t>
      </w:r>
      <w:r>
        <w:t xml:space="preserve"> (EB 202</w:t>
      </w:r>
      <w:r w:rsidR="002935ED">
        <w:t>2</w:t>
      </w:r>
      <w:r>
        <w:t>) (</w:t>
      </w:r>
      <w:r w:rsidRPr="00025D54">
        <w:rPr>
          <w:i/>
          <w:iCs/>
        </w:rPr>
        <w:t>202</w:t>
      </w:r>
      <w:r w:rsidR="002935ED">
        <w:rPr>
          <w:i/>
          <w:iCs/>
        </w:rPr>
        <w:t>2</w:t>
      </w:r>
      <w:r w:rsidRPr="00025D54">
        <w:rPr>
          <w:i/>
          <w:iCs/>
        </w:rPr>
        <w:t xml:space="preserve"> Consortium Selection Order</w:t>
      </w:r>
      <w:r>
        <w:t xml:space="preserve">).  </w:t>
      </w:r>
      <w:r>
        <w:rPr>
          <w:i/>
          <w:iCs/>
        </w:rPr>
        <w:t xml:space="preserve">See also </w:t>
      </w:r>
      <w:r>
        <w:t>TRACED Act § 13(d).</w:t>
      </w:r>
    </w:p>
  </w:footnote>
  <w:footnote w:id="6">
    <w:p w:rsidR="00A50A2A" w:rsidRPr="007C12C5" w:rsidP="00A50A2A" w14:paraId="46E442EC" w14:textId="0568B111">
      <w:pPr>
        <w:pStyle w:val="FootnoteText"/>
      </w:pPr>
      <w:r>
        <w:rPr>
          <w:rStyle w:val="FootnoteReference"/>
        </w:rPr>
        <w:footnoteRef/>
      </w:r>
      <w:r>
        <w:t xml:space="preserve"> </w:t>
      </w:r>
      <w:r w:rsidR="00DB1DDC">
        <w:rPr>
          <w:i/>
          <w:iCs/>
        </w:rPr>
        <w:t xml:space="preserve">See </w:t>
      </w:r>
      <w:r w:rsidR="00DB1DDC">
        <w:t>One Eye Letter</w:t>
      </w:r>
      <w:r w:rsidR="00BF354B">
        <w:t xml:space="preserve">, </w:t>
      </w:r>
      <w:r w:rsidRPr="005920FE" w:rsidR="00BF354B">
        <w:rPr>
          <w:i/>
          <w:iCs/>
        </w:rPr>
        <w:t>supra</w:t>
      </w:r>
      <w:r w:rsidR="00BF354B">
        <w:t xml:space="preserve"> note 2</w:t>
      </w:r>
      <w:r w:rsidR="00DB1DDC">
        <w:t>;</w:t>
      </w:r>
      <w:r>
        <w:t xml:space="preserve"> </w:t>
      </w:r>
      <w:r>
        <w:rPr>
          <w:i/>
          <w:iCs/>
        </w:rPr>
        <w:t>see also</w:t>
      </w:r>
      <w:r>
        <w:t xml:space="preserve"> 47 CFR § 64.1200(k)(4).</w:t>
      </w:r>
      <w:r w:rsidR="00085277">
        <w:t xml:space="preserve">  </w:t>
      </w:r>
      <w:bookmarkStart w:id="1" w:name="_Hlk118125870"/>
      <w:r w:rsidR="00085277">
        <w:t>In the circumstances set forth in</w:t>
      </w:r>
      <w:r w:rsidR="007B6DDC">
        <w:t xml:space="preserve"> this</w:t>
      </w:r>
      <w:r w:rsidR="00085277">
        <w:t xml:space="preserve"> cease</w:t>
      </w:r>
      <w:r w:rsidR="00492BCC">
        <w:t>-</w:t>
      </w:r>
      <w:r w:rsidR="00085277">
        <w:t>and</w:t>
      </w:r>
      <w:r w:rsidR="00492BCC">
        <w:t>-</w:t>
      </w:r>
      <w:r w:rsidR="00085277">
        <w:t>desist letter, we construe “effective mitigation measures” to mean taking all action necessary to cease carrying any such illegal traffic.</w:t>
      </w:r>
      <w:bookmarkEnd w:id="1"/>
    </w:p>
  </w:footnote>
  <w:footnote w:id="7">
    <w:p w:rsidR="00A50A2A" w:rsidRPr="00971F86" w:rsidP="00A50A2A" w14:paraId="3DE81FBE" w14:textId="51FC6957">
      <w:pPr>
        <w:pStyle w:val="FootnoteText"/>
      </w:pPr>
      <w:r>
        <w:rPr>
          <w:rStyle w:val="FootnoteReference"/>
        </w:rPr>
        <w:footnoteRef/>
      </w:r>
      <w:r>
        <w:t xml:space="preserve"> </w:t>
      </w:r>
      <w:r w:rsidRPr="00971F86">
        <w:rPr>
          <w:i/>
          <w:iCs/>
          <w:color w:val="201F1E"/>
          <w:shd w:val="clear" w:color="auto" w:fill="FFFFFF"/>
        </w:rPr>
        <w:t>See</w:t>
      </w:r>
      <w:r w:rsidR="00EC0C15">
        <w:rPr>
          <w:color w:val="201F1E"/>
          <w:shd w:val="clear" w:color="auto" w:fill="FFFFFF"/>
        </w:rPr>
        <w:t xml:space="preserve"> 47 CFR § </w:t>
      </w:r>
      <w:r w:rsidR="001860F8">
        <w:rPr>
          <w:color w:val="201F1E"/>
          <w:shd w:val="clear" w:color="auto" w:fill="FFFFFF"/>
        </w:rPr>
        <w:t>64.1200(n)(5)</w:t>
      </w:r>
      <w:r w:rsidR="00EC0C15">
        <w:rPr>
          <w:color w:val="201F1E"/>
          <w:shd w:val="clear" w:color="auto" w:fill="FFFFFF"/>
        </w:rPr>
        <w:t xml:space="preserve"> </w:t>
      </w:r>
      <w:r w:rsidR="001860F8">
        <w:rPr>
          <w:color w:val="201F1E"/>
          <w:shd w:val="clear" w:color="auto" w:fill="FFFFFF"/>
        </w:rPr>
        <w:t>(requiring blocking</w:t>
      </w:r>
      <w:r w:rsidR="00456261">
        <w:rPr>
          <w:color w:val="201F1E"/>
          <w:shd w:val="clear" w:color="auto" w:fill="FFFFFF"/>
        </w:rPr>
        <w:t>)</w:t>
      </w:r>
      <w:r w:rsidR="00CF1950">
        <w:rPr>
          <w:color w:val="201F1E"/>
          <w:shd w:val="clear" w:color="auto" w:fill="FFFFFF"/>
        </w:rPr>
        <w:t xml:space="preserve">; </w:t>
      </w:r>
      <w:r w:rsidR="00CF1950">
        <w:rPr>
          <w:i/>
          <w:iCs/>
          <w:color w:val="201F1E"/>
          <w:shd w:val="clear" w:color="auto" w:fill="FFFFFF"/>
        </w:rPr>
        <w:t>see also</w:t>
      </w:r>
      <w:r w:rsidRPr="00971F86">
        <w:rPr>
          <w:color w:val="201F1E"/>
          <w:shd w:val="clear" w:color="auto" w:fill="FFFFFF"/>
        </w:rPr>
        <w:t> </w:t>
      </w:r>
      <w:r w:rsidRPr="00971F86">
        <w:rPr>
          <w:i/>
          <w:iCs/>
          <w:color w:val="201F1E"/>
          <w:shd w:val="clear" w:color="auto" w:fill="FFFFFF"/>
        </w:rPr>
        <w:t>Advanced Methods to Target and Eliminate Unlawful Robocalls, Call Authentication Trust Anchor</w:t>
      </w:r>
      <w:r w:rsidRPr="00971F86">
        <w:rPr>
          <w:color w:val="201F1E"/>
          <w:shd w:val="clear" w:color="auto" w:fill="FFFFFF"/>
        </w:rPr>
        <w:t>, CG Docket No. 17-59, WC Docket No. 17-97, Sixth Report and Order in CG Docket No. 17-59, Fifth Report and Order in WC Docket No. 17-97, Order on Reconsideration in WC Docket No. 17-97, Order, Seventh Further Notice of Proposed Rulemaking in CG Docket No. 17-59, and Fifth Further Notice of Proposed Rulemaking in WC Docket No. 17-97, FCC 22-37, paras. 35 &amp; 40 (2022)</w:t>
      </w:r>
      <w:r w:rsidR="001860F8">
        <w:rPr>
          <w:color w:val="201F1E"/>
          <w:shd w:val="clear" w:color="auto" w:fill="FFFFFF"/>
        </w:rPr>
        <w:t xml:space="preserve"> (</w:t>
      </w:r>
      <w:r w:rsidR="001860F8">
        <w:rPr>
          <w:i/>
          <w:iCs/>
          <w:color w:val="201F1E"/>
          <w:shd w:val="clear" w:color="auto" w:fill="FFFFFF"/>
        </w:rPr>
        <w:t>Gateway Provider Order</w:t>
      </w:r>
      <w:r w:rsidR="001860F8">
        <w:rPr>
          <w:color w:val="201F1E"/>
          <w:shd w:val="clear" w:color="auto" w:fill="FFFFFF"/>
        </w:rPr>
        <w:t>)</w:t>
      </w:r>
      <w:r w:rsidR="00F951C3">
        <w:rPr>
          <w:color w:val="201F1E"/>
          <w:shd w:val="clear" w:color="auto" w:fill="FFFFFF"/>
        </w:rPr>
        <w:t xml:space="preserve"> (</w:t>
      </w:r>
      <w:r w:rsidR="001860F8">
        <w:rPr>
          <w:color w:val="201F1E"/>
          <w:shd w:val="clear" w:color="auto" w:fill="FFFFFF"/>
        </w:rPr>
        <w:t>requiring immediate downstream providers to block traffic from gateway providers that failed to meet their obligations to block traffic following Commission notification</w:t>
      </w:r>
      <w:r w:rsidR="00F951C3">
        <w:rPr>
          <w:color w:val="201F1E"/>
          <w:shd w:val="clear" w:color="auto" w:fill="FFFFFF"/>
        </w:rPr>
        <w:t>)</w:t>
      </w:r>
      <w:r w:rsidRPr="00971F86">
        <w:rPr>
          <w:color w:val="201F1E"/>
          <w:shd w:val="clear" w:color="auto" w:fill="FFFFFF"/>
        </w:rPr>
        <w:t xml:space="preserve">.  </w:t>
      </w:r>
    </w:p>
  </w:footnote>
  <w:footnote w:id="8">
    <w:p w:rsidR="00F97B7C" w:rsidP="00F97B7C" w14:paraId="73ECDB76" w14:textId="6BA81B1B">
      <w:pPr>
        <w:pStyle w:val="FootnoteText"/>
      </w:pPr>
      <w:r>
        <w:rPr>
          <w:rStyle w:val="FootnoteReference"/>
        </w:rPr>
        <w:footnoteRef/>
      </w:r>
      <w:r>
        <w:t xml:space="preserve"> </w:t>
      </w:r>
      <w:r>
        <w:rPr>
          <w:i/>
          <w:iCs/>
        </w:rPr>
        <w:t xml:space="preserve">See </w:t>
      </w:r>
      <w:r>
        <w:t xml:space="preserve">47 CFR § 64.1200(k); </w:t>
      </w:r>
      <w:r>
        <w:rPr>
          <w:i/>
          <w:iCs/>
        </w:rPr>
        <w:t>Advanced Methods to Target and Eliminate Unlawful Robocalls</w:t>
      </w:r>
      <w:r>
        <w:t xml:space="preserve">, CG Docket No. 17-59, Third Report and Order, Order on Reconsideration, and Fourth Further Notice of Proposed Rulemaking, 35 FCC </w:t>
      </w:r>
      <w:r>
        <w:t>Rcd</w:t>
      </w:r>
      <w:r>
        <w:t xml:space="preserve"> 7614, 7622, para. 19 (2020) (</w:t>
      </w:r>
      <w:r>
        <w:rPr>
          <w:i/>
          <w:iCs/>
        </w:rPr>
        <w:t>July 2020 Call Blocking Order</w:t>
      </w:r>
      <w:r>
        <w:t>) (establishing safe harbor for blocking traffic from bad-actor upstream voice service providers);</w:t>
      </w:r>
      <w:r>
        <w:rPr>
          <w:i/>
          <w:iCs/>
        </w:rPr>
        <w:t xml:space="preserve"> Advanced Methods to Target and Eliminate Unlawful Robocalls; Call Authentication Trust Anchor</w:t>
      </w:r>
      <w:r>
        <w:t xml:space="preserve">, CG Docket No 17-59, WC Docket No. 17-97, Declaratory Ruling and Third Further Notice of Proposed Rulemaking, 34 FCC </w:t>
      </w:r>
      <w:r>
        <w:t>Rcd</w:t>
      </w:r>
      <w:r>
        <w:t xml:space="preserve"> 4876, 4887-88, paras. 34-46 (2019) (</w:t>
      </w:r>
      <w:r>
        <w:rPr>
          <w:i/>
          <w:iCs/>
        </w:rPr>
        <w:t>2019 Call Blocking Order</w:t>
      </w:r>
      <w:r>
        <w:t xml:space="preserve">) (blocking based on reasonable analytics with consumer op-out and consumer </w:t>
      </w:r>
      <w:r w:rsidR="005441A9">
        <w:t>whitelists</w:t>
      </w:r>
      <w:r>
        <w:t>);</w:t>
      </w:r>
      <w:r>
        <w:rPr>
          <w:i/>
          <w:iCs/>
        </w:rPr>
        <w:t xml:space="preserve"> Advanced Methods to Target and Eliminate Unlawful Robocalls</w:t>
      </w:r>
      <w:r>
        <w:t xml:space="preserve">, CG Docket No. 17-59, Report and Order and Further Notice of Proposed Rulemaking, 32 FCC </w:t>
      </w:r>
      <w:r>
        <w:t>Rcd</w:t>
      </w:r>
      <w:r>
        <w:t xml:space="preserve"> 9706, 9709, para. 9 (2017) (</w:t>
      </w:r>
      <w:r>
        <w:rPr>
          <w:i/>
          <w:iCs/>
        </w:rPr>
        <w:t>2017 Call Blocking Order</w:t>
      </w:r>
      <w:r>
        <w:t>) (blocking of certain categories of calls highly likely to be illegal).</w:t>
      </w:r>
    </w:p>
  </w:footnote>
  <w:footnote w:id="9">
    <w:p w:rsidR="00F97B7C" w:rsidP="00F97B7C" w14:paraId="60AC4629" w14:textId="2B3DE952">
      <w:pPr>
        <w:pStyle w:val="FootnoteText"/>
      </w:pPr>
      <w:r>
        <w:rPr>
          <w:rStyle w:val="FootnoteReference"/>
        </w:rPr>
        <w:footnoteRef/>
      </w:r>
      <w:r>
        <w:t xml:space="preserve"> </w:t>
      </w:r>
      <w:r>
        <w:rPr>
          <w:i/>
          <w:iCs/>
        </w:rPr>
        <w:t>July 2020 Call Blocking Order</w:t>
      </w:r>
      <w:r>
        <w:t xml:space="preserve">, 35 FCC </w:t>
      </w:r>
      <w:r>
        <w:t>Rcd</w:t>
      </w:r>
      <w:r>
        <w:t xml:space="preserve"> at 7628-29, para. 36-39; </w:t>
      </w:r>
      <w:r>
        <w:rPr>
          <w:i/>
          <w:iCs/>
        </w:rPr>
        <w:t>see</w:t>
      </w:r>
      <w:r>
        <w:t xml:space="preserve"> 47 CFR § 64.1200(k)(4).</w:t>
      </w:r>
      <w:r w:rsidR="0097012C">
        <w:t xml:space="preserve">  </w:t>
      </w:r>
    </w:p>
  </w:footnote>
  <w:footnote w:id="10">
    <w:p w:rsidR="00F97B7C" w:rsidRPr="00905198" w:rsidP="00F97B7C" w14:paraId="4C0C7C51" w14:textId="2D26FE1D">
      <w:pPr>
        <w:pStyle w:val="FootnoteText"/>
        <w:rPr>
          <w:i/>
          <w:iCs/>
        </w:rPr>
      </w:pPr>
      <w:r>
        <w:rPr>
          <w:rStyle w:val="FootnoteReference"/>
        </w:rPr>
        <w:footnoteRef/>
      </w:r>
      <w:r>
        <w:t xml:space="preserve"> </w:t>
      </w:r>
      <w:r>
        <w:rPr>
          <w:i/>
          <w:iCs/>
        </w:rPr>
        <w:t>See, e.g.</w:t>
      </w:r>
      <w:r>
        <w:t xml:space="preserve">, </w:t>
      </w:r>
      <w:r w:rsidRPr="00B4653C">
        <w:t xml:space="preserve">Letter from </w:t>
      </w:r>
      <w:r>
        <w:t>Rosemary Harold</w:t>
      </w:r>
      <w:r w:rsidRPr="00B4653C">
        <w:t>,</w:t>
      </w:r>
      <w:r>
        <w:t xml:space="preserve"> Chief,</w:t>
      </w:r>
      <w:r w:rsidRPr="00B4653C">
        <w:t xml:space="preserve"> FCC Enforcement Bureau, to </w:t>
      </w:r>
      <w:r>
        <w:t>Omar Luna, CEO, R Squared Telecom LLC</w:t>
      </w:r>
      <w:r w:rsidRPr="00B4653C">
        <w:t xml:space="preserve"> (</w:t>
      </w:r>
      <w:r>
        <w:t>Apr</w:t>
      </w:r>
      <w:r w:rsidR="00492BCC">
        <w:t>.</w:t>
      </w:r>
      <w:r>
        <w:t xml:space="preserve"> 13, 2021</w:t>
      </w:r>
      <w:r w:rsidRPr="00B4653C">
        <w:t>)</w:t>
      </w:r>
      <w:r>
        <w:t xml:space="preserve">; </w:t>
      </w:r>
      <w:r w:rsidRPr="00B4653C">
        <w:t xml:space="preserve">Letter from </w:t>
      </w:r>
      <w:r>
        <w:t>Rosemary Harold</w:t>
      </w:r>
      <w:r w:rsidRPr="00B4653C">
        <w:t>,</w:t>
      </w:r>
      <w:r>
        <w:t xml:space="preserve"> Chief,</w:t>
      </w:r>
      <w:r w:rsidRPr="00B4653C">
        <w:t xml:space="preserve"> FCC Enforcement Bureau, to </w:t>
      </w:r>
      <w:r>
        <w:t xml:space="preserve">Vitaly Potapov, CEO, </w:t>
      </w:r>
      <w:r>
        <w:t>RSCom</w:t>
      </w:r>
      <w:r>
        <w:t xml:space="preserve"> LTD</w:t>
      </w:r>
      <w:r w:rsidRPr="00B4653C">
        <w:t xml:space="preserve"> (</w:t>
      </w:r>
      <w:r>
        <w:t>Mar. 17, 2021</w:t>
      </w:r>
      <w:r w:rsidRPr="00B4653C">
        <w:t>).</w:t>
      </w:r>
      <w:r w:rsidR="0011461C">
        <w:t xml:space="preserve">  The Bureau uses data obtained from </w:t>
      </w:r>
      <w:r w:rsidR="00457A05">
        <w:t xml:space="preserve">the Traceback Consortium.  </w:t>
      </w:r>
      <w:r w:rsidR="0011461C">
        <w:t>The Commission uses</w:t>
      </w:r>
      <w:r w:rsidRPr="007C12C5" w:rsidR="0011461C">
        <w:t xml:space="preserve"> the term “bad actor” when discussing an originating or terminating provider that fails to take appropriate steps to prevent their network from being used to originate or transmit illegal calls.</w:t>
      </w:r>
      <w:r w:rsidR="0011461C">
        <w:t xml:space="preserve">  </w:t>
      </w:r>
      <w:r w:rsidR="0011461C">
        <w:rPr>
          <w:i/>
          <w:iCs/>
        </w:rPr>
        <w:t>See</w:t>
      </w:r>
      <w:r w:rsidR="0011461C">
        <w:t xml:space="preserve"> </w:t>
      </w:r>
      <w:r w:rsidR="0011461C">
        <w:rPr>
          <w:i/>
          <w:iCs/>
        </w:rPr>
        <w:t>July 2020 Call Blocking Order</w:t>
      </w:r>
      <w:r w:rsidR="0011461C">
        <w:t xml:space="preserve">, 35 FCC </w:t>
      </w:r>
      <w:r w:rsidR="0011461C">
        <w:t>Rcd</w:t>
      </w:r>
      <w:r w:rsidR="0011461C">
        <w:t xml:space="preserve"> at 7623, para. 19, n.</w:t>
      </w:r>
      <w:r w:rsidR="005441A9">
        <w:t xml:space="preserve"> </w:t>
      </w:r>
      <w:r w:rsidR="0011461C">
        <w:t>57.</w:t>
      </w:r>
      <w:r w:rsidRPr="00AD3718" w:rsidR="00AD3718">
        <w:t xml:space="preserve"> </w:t>
      </w:r>
      <w:r w:rsidR="00AD3718">
        <w:t xml:space="preserve"> More recent cease-and-desist letters have also warned the bad actor that continued origination of illegal robocalls following the letter will be used as evidence of a defective Robocall Mitigation Database certification, and the Bureau may initiate proceedings to remove the bad actor’s certification from the database.</w:t>
      </w:r>
      <w:r w:rsidRPr="00AD3718" w:rsidR="00AD3718">
        <w:t xml:space="preserve"> </w:t>
      </w:r>
      <w:r w:rsidR="00AD3718">
        <w:t xml:space="preserve"> </w:t>
      </w:r>
      <w:r w:rsidR="008D4235">
        <w:rPr>
          <w:i/>
          <w:iCs/>
        </w:rPr>
        <w:t>See, e.g.</w:t>
      </w:r>
      <w:r w:rsidR="008D4235">
        <w:t xml:space="preserve">, </w:t>
      </w:r>
      <w:r w:rsidRPr="00B4653C" w:rsidR="00AD3718">
        <w:t xml:space="preserve">Letter from </w:t>
      </w:r>
      <w:r w:rsidR="00AD3718">
        <w:t>Rosemary Harold</w:t>
      </w:r>
      <w:r w:rsidRPr="00B4653C" w:rsidR="00AD3718">
        <w:t>,</w:t>
      </w:r>
      <w:r w:rsidR="00AD3718">
        <w:t xml:space="preserve"> Chief,</w:t>
      </w:r>
      <w:r w:rsidRPr="00B4653C" w:rsidR="00AD3718">
        <w:t xml:space="preserve"> FCC Enforcement Bureau, to </w:t>
      </w:r>
      <w:r w:rsidR="00AD3718">
        <w:t>Prince Anand, CEO, PZ/Illum Telecommunication LLC (Oct. 21, 2021)</w:t>
      </w:r>
      <w:r w:rsidR="008D4235">
        <w:t xml:space="preserve">.  </w:t>
      </w:r>
      <w:r w:rsidR="00AD3718">
        <w:rPr>
          <w:i/>
          <w:iCs/>
        </w:rPr>
        <w:t>See also</w:t>
      </w:r>
      <w:r w:rsidR="00AD3718">
        <w:t xml:space="preserve"> 47 CFR §</w:t>
      </w:r>
      <w:r w:rsidR="00DA39D3">
        <w:t> </w:t>
      </w:r>
      <w:r w:rsidR="00AD3718">
        <w:t>64.6305(</w:t>
      </w:r>
      <w:r w:rsidR="00EE45FB">
        <w:t>e</w:t>
      </w:r>
      <w:r w:rsidR="00AD3718">
        <w:t>).</w:t>
      </w:r>
    </w:p>
  </w:footnote>
  <w:footnote w:id="11">
    <w:p w:rsidR="00A371F1" w:rsidRPr="00A371F1" w14:paraId="0F0ED192" w14:textId="766D8AC7">
      <w:pPr>
        <w:pStyle w:val="FootnoteText"/>
      </w:pPr>
      <w:r>
        <w:rPr>
          <w:rStyle w:val="FootnoteReference"/>
        </w:rPr>
        <w:footnoteRef/>
      </w:r>
      <w:r>
        <w:t xml:space="preserve"> </w:t>
      </w:r>
      <w:r w:rsidR="00FD1FCB">
        <w:t>47 CFR § 64.1200(n)(5)</w:t>
      </w:r>
      <w:r w:rsidR="00620581">
        <w:t xml:space="preserve">; </w:t>
      </w:r>
      <w:r>
        <w:rPr>
          <w:i/>
          <w:iCs/>
        </w:rPr>
        <w:t>Gateway Provider Order</w:t>
      </w:r>
      <w:r>
        <w:t xml:space="preserve">, </w:t>
      </w:r>
      <w:r w:rsidRPr="005920FE" w:rsidR="004A62F8">
        <w:rPr>
          <w:i/>
          <w:iCs/>
        </w:rPr>
        <w:t>supra</w:t>
      </w:r>
      <w:r w:rsidR="004A62F8">
        <w:t xml:space="preserve"> note 5, </w:t>
      </w:r>
      <w:r>
        <w:t>FCC 22-37 at para. 74.</w:t>
      </w:r>
    </w:p>
  </w:footnote>
  <w:footnote w:id="12">
    <w:p w:rsidR="00A371F1" w:rsidRPr="00A371F1" w14:paraId="4F99362C" w14:textId="634899E4">
      <w:pPr>
        <w:pStyle w:val="FootnoteText"/>
        <w:rPr>
          <w:i/>
          <w:iCs/>
        </w:rPr>
      </w:pPr>
      <w:r>
        <w:rPr>
          <w:rStyle w:val="FootnoteReference"/>
        </w:rPr>
        <w:footnoteRef/>
      </w:r>
      <w:r>
        <w:t xml:space="preserve"> </w:t>
      </w:r>
      <w:r w:rsidR="00620581">
        <w:t>47 CFR § 64.1200(n)(</w:t>
      </w:r>
      <w:r w:rsidR="00B51FB1">
        <w:t>6</w:t>
      </w:r>
      <w:r w:rsidR="00620581">
        <w:t>)</w:t>
      </w:r>
      <w:r w:rsidR="00D4189C">
        <w:t xml:space="preserve"> (requiring downstream providers to block a gateway provider’s traffic </w:t>
      </w:r>
      <w:r w:rsidR="00BB5A06">
        <w:t>if the Bureau issues a Final Determination Order finding that the gateway provider has failed to</w:t>
      </w:r>
      <w:r w:rsidR="009567B7">
        <w:t xml:space="preserve"> block illegal traffic as required by section 64.1200(n)(5)</w:t>
      </w:r>
      <w:r w:rsidR="00905027">
        <w:t>)</w:t>
      </w:r>
      <w:r w:rsidR="00620581">
        <w:t xml:space="preserve">; </w:t>
      </w:r>
      <w:r w:rsidR="00620581">
        <w:rPr>
          <w:i/>
          <w:iCs/>
        </w:rPr>
        <w:t>Gateway Provider Order</w:t>
      </w:r>
      <w:r w:rsidR="00620581">
        <w:t xml:space="preserve">, </w:t>
      </w:r>
      <w:r w:rsidRPr="005920FE" w:rsidR="00897683">
        <w:rPr>
          <w:i/>
          <w:iCs/>
        </w:rPr>
        <w:t>supra</w:t>
      </w:r>
      <w:r w:rsidR="00897683">
        <w:t xml:space="preserve"> note 5, </w:t>
      </w:r>
      <w:r w:rsidR="00620581">
        <w:t>FCC 22-37 at para. 74.</w:t>
      </w:r>
    </w:p>
  </w:footnote>
  <w:footnote w:id="13">
    <w:p w:rsidR="00AC6BB8" w14:paraId="37AFCB20" w14:textId="4D1ED575">
      <w:pPr>
        <w:pStyle w:val="FootnoteText"/>
      </w:pPr>
      <w:r>
        <w:rPr>
          <w:rStyle w:val="FootnoteReference"/>
        </w:rPr>
        <w:footnoteRef/>
      </w:r>
      <w:r>
        <w:t xml:space="preserve"> </w:t>
      </w:r>
      <w:r>
        <w:rPr>
          <w:i/>
          <w:iCs/>
        </w:rPr>
        <w:t xml:space="preserve">See </w:t>
      </w:r>
      <w:r>
        <w:t>One Eye Letter</w:t>
      </w:r>
      <w:r w:rsidR="00BF354B">
        <w:t xml:space="preserve">, </w:t>
      </w:r>
      <w:r w:rsidRPr="005920FE" w:rsidR="00BF354B">
        <w:rPr>
          <w:i/>
          <w:iCs/>
        </w:rPr>
        <w:t>supra</w:t>
      </w:r>
      <w:r w:rsidR="00BF354B">
        <w:t xml:space="preserve"> note 2</w:t>
      </w:r>
      <w:r>
        <w:t>.</w:t>
      </w:r>
    </w:p>
  </w:footnote>
  <w:footnote w:id="14">
    <w:p w:rsidR="00AC6BB8" w:rsidRPr="00AC6BB8" w:rsidP="00AC6BB8" w14:paraId="53F7311E" w14:textId="17B6E3AA">
      <w:pPr>
        <w:pStyle w:val="FootnoteText"/>
        <w:rPr>
          <w:i/>
          <w:iCs/>
        </w:rPr>
      </w:pPr>
      <w:r>
        <w:rPr>
          <w:rStyle w:val="FootnoteReference"/>
        </w:rPr>
        <w:footnoteRef/>
      </w:r>
      <w:r>
        <w:t xml:space="preserve"> </w:t>
      </w:r>
      <w:r>
        <w:rPr>
          <w:i/>
          <w:iCs/>
        </w:rPr>
        <w:t>See id.</w:t>
      </w:r>
    </w:p>
  </w:footnote>
  <w:footnote w:id="15">
    <w:p w:rsidR="00BD03CE" w:rsidP="00BD03CE" w14:paraId="6522F847" w14:textId="77777777">
      <w:pPr>
        <w:pStyle w:val="FootnoteText"/>
        <w:spacing w:before="120"/>
      </w:pPr>
      <w:r>
        <w:rPr>
          <w:rStyle w:val="FootnoteReference"/>
        </w:rPr>
        <w:footnoteRef/>
      </w:r>
      <w:r>
        <w:t xml:space="preserve"> </w:t>
      </w:r>
      <w:r w:rsidRPr="00EF3DB1">
        <w:t xml:space="preserve">Letter from Loyaan A. Egal, Chief, FCC Enforcement Bureau, to </w:t>
      </w:r>
      <w:r>
        <w:t>Prince Anand</w:t>
      </w:r>
      <w:r w:rsidRPr="00EF3DB1">
        <w:t xml:space="preserve">, CEO, </w:t>
      </w:r>
      <w:r>
        <w:t>PZ/Illum Telecommunication</w:t>
      </w:r>
      <w:r w:rsidRPr="00EF3DB1">
        <w:t xml:space="preserve"> (</w:t>
      </w:r>
      <w:r>
        <w:t>Oct. 21</w:t>
      </w:r>
      <w:r w:rsidRPr="00EF3DB1">
        <w:t>, 2022)</w:t>
      </w:r>
      <w:r>
        <w:t>.  This letter is</w:t>
      </w:r>
      <w:r w:rsidRPr="00EF3DB1">
        <w:t xml:space="preserve"> available on the Commission's website at </w:t>
      </w:r>
      <w:hyperlink r:id="rId1" w:history="1">
        <w:r w:rsidRPr="00EF3DB1">
          <w:rPr>
            <w:rStyle w:val="Hyperlink"/>
          </w:rPr>
          <w:t>https://www.fcc.gov/robocall-facilitators-must-cease-and-desist</w:t>
        </w:r>
      </w:hyperlink>
      <w:r w:rsidRPr="00EF3DB1">
        <w:t>.</w:t>
      </w:r>
    </w:p>
  </w:footnote>
  <w:footnote w:id="16">
    <w:p w:rsidR="00F744E1" w:rsidRPr="00981869" w:rsidP="00F744E1" w14:paraId="0A469666" w14:textId="04959B14">
      <w:pPr>
        <w:pStyle w:val="FootnoteText"/>
        <w:spacing w:before="120"/>
      </w:pPr>
      <w:r>
        <w:rPr>
          <w:rStyle w:val="FootnoteReference"/>
        </w:rPr>
        <w:footnoteRef/>
      </w:r>
      <w:r>
        <w:t xml:space="preserve"> </w:t>
      </w:r>
      <w:bookmarkStart w:id="2" w:name="_Hlk121504610"/>
      <w:r>
        <w:t>Prince Anand Skype Chat (Oct. 24, 2021) on file at EB-TCD-20-00031678 (Prince Anand Skype Chat).</w:t>
      </w:r>
      <w:bookmarkEnd w:id="2"/>
      <w:r>
        <w:t xml:space="preserve">  </w:t>
      </w:r>
      <w:bookmarkStart w:id="3" w:name="_Hlk121504766"/>
      <w:r>
        <w:t xml:space="preserve">The Skype chat is between “Frank Murphy” and </w:t>
      </w:r>
      <w:r>
        <w:t>onlywebleads</w:t>
      </w:r>
      <w:r>
        <w:t xml:space="preserve">.  In the course of the conversation, “Frank Murphy” identifies himself as Prince Anand.  </w:t>
      </w:r>
      <w:r>
        <w:rPr>
          <w:i/>
          <w:iCs/>
        </w:rPr>
        <w:t xml:space="preserve">Id. </w:t>
      </w:r>
      <w:r>
        <w:t>at June 10, 2021.  .</w:t>
      </w:r>
      <w:bookmarkEnd w:id="3"/>
    </w:p>
  </w:footnote>
  <w:footnote w:id="17">
    <w:p w:rsidR="00D637D1" w14:paraId="2AA502EE" w14:textId="53668B19">
      <w:pPr>
        <w:pStyle w:val="FootnoteText"/>
      </w:pPr>
      <w:r>
        <w:rPr>
          <w:rStyle w:val="FootnoteReference"/>
        </w:rPr>
        <w:footnoteRef/>
      </w:r>
      <w:r>
        <w:t xml:space="preserve"> </w:t>
      </w:r>
      <w:r>
        <w:rPr>
          <w:i/>
          <w:iCs/>
        </w:rPr>
        <w:t>Id.</w:t>
      </w:r>
      <w:r>
        <w:t xml:space="preserve"> at Oct. 24, 2021.</w:t>
      </w:r>
    </w:p>
  </w:footnote>
  <w:footnote w:id="18">
    <w:p w:rsidR="00C32101" w14:paraId="506EEF53" w14:textId="2DE684D7">
      <w:pPr>
        <w:pStyle w:val="FootnoteText"/>
      </w:pPr>
      <w:r>
        <w:rPr>
          <w:rStyle w:val="FootnoteReference"/>
        </w:rPr>
        <w:footnoteRef/>
      </w:r>
      <w:r>
        <w:t xml:space="preserve"> 47 CFR § 64.1200(n)(5)(ii).</w:t>
      </w:r>
    </w:p>
  </w:footnote>
  <w:footnote w:id="19">
    <w:p w:rsidR="00C32101" w14:paraId="5FCE8922" w14:textId="3AE8F6A3">
      <w:pPr>
        <w:pStyle w:val="FootnoteText"/>
      </w:pPr>
      <w:r>
        <w:rPr>
          <w:rStyle w:val="FootnoteReference"/>
        </w:rPr>
        <w:footnoteRef/>
      </w:r>
      <w:r>
        <w:t xml:space="preserve"> </w:t>
      </w:r>
      <w:r w:rsidRPr="005920FE" w:rsidR="00897683">
        <w:rPr>
          <w:i/>
          <w:iCs/>
        </w:rPr>
        <w:t>Id.</w:t>
      </w:r>
      <w:r>
        <w:t xml:space="preserve"> § 64.1200(n)(5)(ii)-(iii).</w:t>
      </w:r>
    </w:p>
  </w:footnote>
  <w:footnote w:id="20">
    <w:p w:rsidR="00C32101" w14:paraId="22AF255E" w14:textId="200451E9">
      <w:pPr>
        <w:pStyle w:val="FootnoteText"/>
      </w:pPr>
      <w:r>
        <w:rPr>
          <w:rStyle w:val="FootnoteReference"/>
        </w:rPr>
        <w:footnoteRef/>
      </w:r>
      <w:r>
        <w:t xml:space="preserve"> </w:t>
      </w:r>
      <w:r w:rsidRPr="005920FE" w:rsidR="00897683">
        <w:rPr>
          <w:i/>
          <w:iCs/>
        </w:rPr>
        <w:t>Id.</w:t>
      </w:r>
      <w:r>
        <w:t xml:space="preserve"> § 64.1200(n)(5)(iii).</w:t>
      </w:r>
    </w:p>
  </w:footnote>
  <w:footnote w:id="21">
    <w:p w:rsidR="00152641" w:rsidRPr="00C32101" w14:paraId="12F72CEC" w14:textId="0877204F">
      <w:pPr>
        <w:pStyle w:val="FootnoteText"/>
        <w:rPr>
          <w:i/>
          <w:iCs/>
        </w:rPr>
      </w:pPr>
      <w:r>
        <w:rPr>
          <w:rStyle w:val="FootnoteReference"/>
        </w:rPr>
        <w:footnoteRef/>
      </w:r>
      <w:r>
        <w:t xml:space="preserve"> </w:t>
      </w:r>
      <w:r w:rsidRPr="005920FE" w:rsidR="00897683">
        <w:rPr>
          <w:i/>
          <w:iCs/>
        </w:rPr>
        <w:t>Id.</w:t>
      </w:r>
      <w:r w:rsidR="00C32101">
        <w:t xml:space="preserve"> § 64.1200(n)(6).  Providers must monitor EB Docket No. 22-174 and initiate blocking no later than </w:t>
      </w:r>
      <w:r w:rsidR="008B25AF">
        <w:t>3</w:t>
      </w:r>
      <w:r w:rsidR="00C32101">
        <w:t xml:space="preserve">0 days from the release date of the Final Determination Order.  </w:t>
      </w:r>
      <w:r w:rsidR="00C32101">
        <w:rPr>
          <w:i/>
          <w:iCs/>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579B" w:rsidRPr="007B579B" w14:paraId="0A8E9849" w14:textId="5ADCAB5E">
    <w:pPr>
      <w:tabs>
        <w:tab w:val="center" w:pos="4680"/>
        <w:tab w:val="right" w:pos="9360"/>
      </w:tabs>
      <w:rPr>
        <w:b/>
      </w:rPr>
    </w:pPr>
    <w:r>
      <w:rPr>
        <w:b/>
      </w:rPr>
      <w:tab/>
      <w:t>Federal Communications Commission</w:t>
    </w:r>
    <w:r>
      <w:rPr>
        <w:b/>
      </w:rPr>
      <w:tab/>
    </w:r>
    <w:r>
      <w:rPr>
        <w:b/>
      </w:rPr>
      <w:t xml:space="preserve">DA </w:t>
    </w:r>
    <w:r w:rsidR="004B3E55">
      <w:rPr>
        <w:b/>
      </w:rPr>
      <w:t>23-128</w:t>
    </w:r>
  </w:p>
  <w:p w:rsidR="00A137DB" w:rsidRPr="0028163C" w:rsidP="0028163C" w14:paraId="05BD26FD" w14:textId="61037A1E">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37DB" w14:paraId="2A6DC7D7" w14:textId="331893BC">
    <w:pPr>
      <w:pStyle w:val="Header"/>
    </w:pPr>
    <w:r>
      <w:rPr>
        <w:noProof/>
        <w:snapToGrid/>
      </w:rPr>
      <w:drawing>
        <wp:inline distT="0" distB="0" distL="0" distR="0">
          <wp:extent cx="594360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69B93833"/>
    <w:multiLevelType w:val="hybridMultilevel"/>
    <w:tmpl w:val="9802F7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8C4"/>
    <w:rsid w:val="00001A8E"/>
    <w:rsid w:val="00002732"/>
    <w:rsid w:val="00006E81"/>
    <w:rsid w:val="00010DA5"/>
    <w:rsid w:val="00014512"/>
    <w:rsid w:val="0001604F"/>
    <w:rsid w:val="00025D54"/>
    <w:rsid w:val="00026DA7"/>
    <w:rsid w:val="00033045"/>
    <w:rsid w:val="00040A2A"/>
    <w:rsid w:val="0004156A"/>
    <w:rsid w:val="00044A61"/>
    <w:rsid w:val="00047274"/>
    <w:rsid w:val="00050621"/>
    <w:rsid w:val="00052393"/>
    <w:rsid w:val="000526EC"/>
    <w:rsid w:val="00053CD3"/>
    <w:rsid w:val="00057421"/>
    <w:rsid w:val="00060D40"/>
    <w:rsid w:val="00066793"/>
    <w:rsid w:val="0006711A"/>
    <w:rsid w:val="00074AB1"/>
    <w:rsid w:val="00074EE3"/>
    <w:rsid w:val="00085277"/>
    <w:rsid w:val="00085B28"/>
    <w:rsid w:val="0009369A"/>
    <w:rsid w:val="000B450D"/>
    <w:rsid w:val="000C3F16"/>
    <w:rsid w:val="000C6930"/>
    <w:rsid w:val="000C7469"/>
    <w:rsid w:val="000D331E"/>
    <w:rsid w:val="000E72BB"/>
    <w:rsid w:val="000F34D5"/>
    <w:rsid w:val="000F5B57"/>
    <w:rsid w:val="001061E8"/>
    <w:rsid w:val="0010689B"/>
    <w:rsid w:val="00110740"/>
    <w:rsid w:val="0011461C"/>
    <w:rsid w:val="001218F2"/>
    <w:rsid w:val="00125D55"/>
    <w:rsid w:val="00126290"/>
    <w:rsid w:val="001267E4"/>
    <w:rsid w:val="00126BD7"/>
    <w:rsid w:val="001303D4"/>
    <w:rsid w:val="0013521F"/>
    <w:rsid w:val="00135247"/>
    <w:rsid w:val="001418EB"/>
    <w:rsid w:val="00142A3B"/>
    <w:rsid w:val="001431C1"/>
    <w:rsid w:val="00152641"/>
    <w:rsid w:val="00166371"/>
    <w:rsid w:val="001716AF"/>
    <w:rsid w:val="00173492"/>
    <w:rsid w:val="0017386A"/>
    <w:rsid w:val="00176061"/>
    <w:rsid w:val="00185281"/>
    <w:rsid w:val="001860F8"/>
    <w:rsid w:val="001A1AD1"/>
    <w:rsid w:val="001A5881"/>
    <w:rsid w:val="001B20B6"/>
    <w:rsid w:val="001C40CA"/>
    <w:rsid w:val="001D5674"/>
    <w:rsid w:val="001E3327"/>
    <w:rsid w:val="001F67EF"/>
    <w:rsid w:val="00203786"/>
    <w:rsid w:val="002068CA"/>
    <w:rsid w:val="00212C73"/>
    <w:rsid w:val="002331C2"/>
    <w:rsid w:val="00236E5F"/>
    <w:rsid w:val="00240BF2"/>
    <w:rsid w:val="00242164"/>
    <w:rsid w:val="00242756"/>
    <w:rsid w:val="00245CFD"/>
    <w:rsid w:val="002465DB"/>
    <w:rsid w:val="0024670C"/>
    <w:rsid w:val="0025010B"/>
    <w:rsid w:val="002529AB"/>
    <w:rsid w:val="00253878"/>
    <w:rsid w:val="00257ED3"/>
    <w:rsid w:val="00262047"/>
    <w:rsid w:val="00262CB8"/>
    <w:rsid w:val="00264745"/>
    <w:rsid w:val="0028163C"/>
    <w:rsid w:val="00286808"/>
    <w:rsid w:val="00290351"/>
    <w:rsid w:val="002911CB"/>
    <w:rsid w:val="0029220F"/>
    <w:rsid w:val="002935ED"/>
    <w:rsid w:val="002954BE"/>
    <w:rsid w:val="002A1FCD"/>
    <w:rsid w:val="002A4321"/>
    <w:rsid w:val="002A47BC"/>
    <w:rsid w:val="002A5234"/>
    <w:rsid w:val="002B4FBB"/>
    <w:rsid w:val="002B5D45"/>
    <w:rsid w:val="002C051E"/>
    <w:rsid w:val="002D3B7A"/>
    <w:rsid w:val="002D7AD8"/>
    <w:rsid w:val="002E5792"/>
    <w:rsid w:val="002F2AF8"/>
    <w:rsid w:val="002F72E0"/>
    <w:rsid w:val="00301B90"/>
    <w:rsid w:val="00302AD9"/>
    <w:rsid w:val="003079DF"/>
    <w:rsid w:val="00316D3F"/>
    <w:rsid w:val="003178B2"/>
    <w:rsid w:val="00323850"/>
    <w:rsid w:val="003351B7"/>
    <w:rsid w:val="00346D3F"/>
    <w:rsid w:val="0035304B"/>
    <w:rsid w:val="0035381B"/>
    <w:rsid w:val="00363A95"/>
    <w:rsid w:val="003644A7"/>
    <w:rsid w:val="003646CA"/>
    <w:rsid w:val="00366AE5"/>
    <w:rsid w:val="00366D52"/>
    <w:rsid w:val="00373989"/>
    <w:rsid w:val="00374018"/>
    <w:rsid w:val="0037618A"/>
    <w:rsid w:val="00376BEE"/>
    <w:rsid w:val="00383B6F"/>
    <w:rsid w:val="00385488"/>
    <w:rsid w:val="00394CF1"/>
    <w:rsid w:val="003B0CC9"/>
    <w:rsid w:val="003B6948"/>
    <w:rsid w:val="003C3A09"/>
    <w:rsid w:val="003C42DB"/>
    <w:rsid w:val="003D5019"/>
    <w:rsid w:val="003D68C4"/>
    <w:rsid w:val="003D784D"/>
    <w:rsid w:val="003E2FDD"/>
    <w:rsid w:val="003E7A4E"/>
    <w:rsid w:val="003F0751"/>
    <w:rsid w:val="003F1479"/>
    <w:rsid w:val="003F45A7"/>
    <w:rsid w:val="003F562F"/>
    <w:rsid w:val="00407B48"/>
    <w:rsid w:val="00413A1D"/>
    <w:rsid w:val="0042061B"/>
    <w:rsid w:val="00420D14"/>
    <w:rsid w:val="00431BAF"/>
    <w:rsid w:val="00445082"/>
    <w:rsid w:val="00445CFD"/>
    <w:rsid w:val="00456261"/>
    <w:rsid w:val="00456C33"/>
    <w:rsid w:val="00457A05"/>
    <w:rsid w:val="00465CE1"/>
    <w:rsid w:val="00476420"/>
    <w:rsid w:val="004822E7"/>
    <w:rsid w:val="004829A0"/>
    <w:rsid w:val="004923BD"/>
    <w:rsid w:val="00492BCC"/>
    <w:rsid w:val="00495B60"/>
    <w:rsid w:val="00497E2A"/>
    <w:rsid w:val="004A11AD"/>
    <w:rsid w:val="004A62F8"/>
    <w:rsid w:val="004B05BD"/>
    <w:rsid w:val="004B3E55"/>
    <w:rsid w:val="004C209F"/>
    <w:rsid w:val="004C6009"/>
    <w:rsid w:val="004D5740"/>
    <w:rsid w:val="004E08E7"/>
    <w:rsid w:val="004E65A6"/>
    <w:rsid w:val="004F3924"/>
    <w:rsid w:val="004F7824"/>
    <w:rsid w:val="005004BD"/>
    <w:rsid w:val="00505D5C"/>
    <w:rsid w:val="00510345"/>
    <w:rsid w:val="0051195B"/>
    <w:rsid w:val="005179E7"/>
    <w:rsid w:val="00521FBD"/>
    <w:rsid w:val="00530DE6"/>
    <w:rsid w:val="00531C42"/>
    <w:rsid w:val="00535379"/>
    <w:rsid w:val="00536A47"/>
    <w:rsid w:val="005436DE"/>
    <w:rsid w:val="005441A9"/>
    <w:rsid w:val="00550121"/>
    <w:rsid w:val="005638D3"/>
    <w:rsid w:val="00565031"/>
    <w:rsid w:val="00570849"/>
    <w:rsid w:val="00572C32"/>
    <w:rsid w:val="005757B3"/>
    <w:rsid w:val="00584965"/>
    <w:rsid w:val="00591E86"/>
    <w:rsid w:val="005920FE"/>
    <w:rsid w:val="005A0395"/>
    <w:rsid w:val="005A7AD1"/>
    <w:rsid w:val="005B67CF"/>
    <w:rsid w:val="005B6A3D"/>
    <w:rsid w:val="005B70D5"/>
    <w:rsid w:val="005C241A"/>
    <w:rsid w:val="005C3DB6"/>
    <w:rsid w:val="005C72E1"/>
    <w:rsid w:val="005D04A7"/>
    <w:rsid w:val="005D1052"/>
    <w:rsid w:val="005D7D83"/>
    <w:rsid w:val="005E02D7"/>
    <w:rsid w:val="005E0F10"/>
    <w:rsid w:val="005E338A"/>
    <w:rsid w:val="005F18D3"/>
    <w:rsid w:val="005F3FB1"/>
    <w:rsid w:val="00600F2F"/>
    <w:rsid w:val="00605E3B"/>
    <w:rsid w:val="00612144"/>
    <w:rsid w:val="00615CFA"/>
    <w:rsid w:val="00620581"/>
    <w:rsid w:val="00624036"/>
    <w:rsid w:val="00626CB6"/>
    <w:rsid w:val="00626E82"/>
    <w:rsid w:val="00641CF8"/>
    <w:rsid w:val="006540B6"/>
    <w:rsid w:val="006567FE"/>
    <w:rsid w:val="00662300"/>
    <w:rsid w:val="00663213"/>
    <w:rsid w:val="00664B5C"/>
    <w:rsid w:val="00667CF5"/>
    <w:rsid w:val="006737CF"/>
    <w:rsid w:val="00676160"/>
    <w:rsid w:val="00692591"/>
    <w:rsid w:val="00692F36"/>
    <w:rsid w:val="00695BA3"/>
    <w:rsid w:val="006A1B66"/>
    <w:rsid w:val="006A2FA4"/>
    <w:rsid w:val="006A5925"/>
    <w:rsid w:val="006A5D5A"/>
    <w:rsid w:val="006A75BA"/>
    <w:rsid w:val="006C77F7"/>
    <w:rsid w:val="006D4454"/>
    <w:rsid w:val="006D47E4"/>
    <w:rsid w:val="006D4DD2"/>
    <w:rsid w:val="006D5374"/>
    <w:rsid w:val="006E4045"/>
    <w:rsid w:val="006F2B23"/>
    <w:rsid w:val="006F514A"/>
    <w:rsid w:val="00700350"/>
    <w:rsid w:val="00711E1B"/>
    <w:rsid w:val="00725570"/>
    <w:rsid w:val="00727E38"/>
    <w:rsid w:val="0073318D"/>
    <w:rsid w:val="00741917"/>
    <w:rsid w:val="007468C1"/>
    <w:rsid w:val="007536B2"/>
    <w:rsid w:val="00755786"/>
    <w:rsid w:val="00766F70"/>
    <w:rsid w:val="00770BBE"/>
    <w:rsid w:val="007777E2"/>
    <w:rsid w:val="00784E03"/>
    <w:rsid w:val="00785478"/>
    <w:rsid w:val="00790AC9"/>
    <w:rsid w:val="0079237F"/>
    <w:rsid w:val="00792F04"/>
    <w:rsid w:val="00797DBA"/>
    <w:rsid w:val="007A313E"/>
    <w:rsid w:val="007A4278"/>
    <w:rsid w:val="007B2A48"/>
    <w:rsid w:val="007B579B"/>
    <w:rsid w:val="007B64EF"/>
    <w:rsid w:val="007B6DDC"/>
    <w:rsid w:val="007B7799"/>
    <w:rsid w:val="007C12C5"/>
    <w:rsid w:val="007C1E55"/>
    <w:rsid w:val="007C20F0"/>
    <w:rsid w:val="007C4BE1"/>
    <w:rsid w:val="007D2F79"/>
    <w:rsid w:val="007D5B45"/>
    <w:rsid w:val="007F3A8A"/>
    <w:rsid w:val="007F5B79"/>
    <w:rsid w:val="007F722A"/>
    <w:rsid w:val="007F73AF"/>
    <w:rsid w:val="00803ED3"/>
    <w:rsid w:val="0080435F"/>
    <w:rsid w:val="00813775"/>
    <w:rsid w:val="00813F2D"/>
    <w:rsid w:val="00816FE0"/>
    <w:rsid w:val="0082791D"/>
    <w:rsid w:val="00832CD6"/>
    <w:rsid w:val="00841E2A"/>
    <w:rsid w:val="008437C9"/>
    <w:rsid w:val="00847591"/>
    <w:rsid w:val="00847D76"/>
    <w:rsid w:val="008514D9"/>
    <w:rsid w:val="00854B56"/>
    <w:rsid w:val="00855F40"/>
    <w:rsid w:val="00856B9F"/>
    <w:rsid w:val="00856C7A"/>
    <w:rsid w:val="008744EE"/>
    <w:rsid w:val="00885E78"/>
    <w:rsid w:val="00893C7F"/>
    <w:rsid w:val="0089467A"/>
    <w:rsid w:val="00897683"/>
    <w:rsid w:val="008A1328"/>
    <w:rsid w:val="008A247A"/>
    <w:rsid w:val="008A2DEB"/>
    <w:rsid w:val="008A5539"/>
    <w:rsid w:val="008A5E26"/>
    <w:rsid w:val="008B0727"/>
    <w:rsid w:val="008B23BC"/>
    <w:rsid w:val="008B25AF"/>
    <w:rsid w:val="008B4466"/>
    <w:rsid w:val="008C23DC"/>
    <w:rsid w:val="008C47C1"/>
    <w:rsid w:val="008C7B9B"/>
    <w:rsid w:val="008D2EB2"/>
    <w:rsid w:val="008D3082"/>
    <w:rsid w:val="008D34A9"/>
    <w:rsid w:val="008D4235"/>
    <w:rsid w:val="008D55CC"/>
    <w:rsid w:val="008D5910"/>
    <w:rsid w:val="008D775A"/>
    <w:rsid w:val="008E18F4"/>
    <w:rsid w:val="008E720D"/>
    <w:rsid w:val="008F1652"/>
    <w:rsid w:val="00903324"/>
    <w:rsid w:val="00904733"/>
    <w:rsid w:val="00905027"/>
    <w:rsid w:val="00905198"/>
    <w:rsid w:val="009159BB"/>
    <w:rsid w:val="00915FEC"/>
    <w:rsid w:val="00916995"/>
    <w:rsid w:val="00920DCC"/>
    <w:rsid w:val="009222A1"/>
    <w:rsid w:val="00924CAA"/>
    <w:rsid w:val="0092599C"/>
    <w:rsid w:val="009342BB"/>
    <w:rsid w:val="0093486A"/>
    <w:rsid w:val="00940C64"/>
    <w:rsid w:val="00944683"/>
    <w:rsid w:val="00950277"/>
    <w:rsid w:val="0095039A"/>
    <w:rsid w:val="00950D7D"/>
    <w:rsid w:val="00951E37"/>
    <w:rsid w:val="0095619A"/>
    <w:rsid w:val="009567B7"/>
    <w:rsid w:val="00957A2E"/>
    <w:rsid w:val="00964535"/>
    <w:rsid w:val="00965E5D"/>
    <w:rsid w:val="0097012C"/>
    <w:rsid w:val="00971F86"/>
    <w:rsid w:val="00975211"/>
    <w:rsid w:val="00977A35"/>
    <w:rsid w:val="00981869"/>
    <w:rsid w:val="00985D47"/>
    <w:rsid w:val="00986D14"/>
    <w:rsid w:val="00993C4D"/>
    <w:rsid w:val="009A0D14"/>
    <w:rsid w:val="009A56B3"/>
    <w:rsid w:val="009B14A8"/>
    <w:rsid w:val="009B3B50"/>
    <w:rsid w:val="009B47B6"/>
    <w:rsid w:val="009C0FE2"/>
    <w:rsid w:val="009C4B35"/>
    <w:rsid w:val="009C540B"/>
    <w:rsid w:val="009C7249"/>
    <w:rsid w:val="009D1131"/>
    <w:rsid w:val="009D6B15"/>
    <w:rsid w:val="009E0607"/>
    <w:rsid w:val="009F1217"/>
    <w:rsid w:val="009F3565"/>
    <w:rsid w:val="009F6D5C"/>
    <w:rsid w:val="00A114DE"/>
    <w:rsid w:val="00A1224B"/>
    <w:rsid w:val="00A137DB"/>
    <w:rsid w:val="00A15C51"/>
    <w:rsid w:val="00A17518"/>
    <w:rsid w:val="00A223CC"/>
    <w:rsid w:val="00A25C8E"/>
    <w:rsid w:val="00A261F7"/>
    <w:rsid w:val="00A31282"/>
    <w:rsid w:val="00A353C2"/>
    <w:rsid w:val="00A371F1"/>
    <w:rsid w:val="00A40ACA"/>
    <w:rsid w:val="00A413C3"/>
    <w:rsid w:val="00A4165F"/>
    <w:rsid w:val="00A42414"/>
    <w:rsid w:val="00A46DCA"/>
    <w:rsid w:val="00A50A2A"/>
    <w:rsid w:val="00A62D7D"/>
    <w:rsid w:val="00A674FD"/>
    <w:rsid w:val="00A7215B"/>
    <w:rsid w:val="00A85962"/>
    <w:rsid w:val="00A90F32"/>
    <w:rsid w:val="00A914ED"/>
    <w:rsid w:val="00AA089F"/>
    <w:rsid w:val="00AA48B5"/>
    <w:rsid w:val="00AA5746"/>
    <w:rsid w:val="00AB0298"/>
    <w:rsid w:val="00AB0A98"/>
    <w:rsid w:val="00AB1EF7"/>
    <w:rsid w:val="00AB58A7"/>
    <w:rsid w:val="00AC4F2B"/>
    <w:rsid w:val="00AC6BB8"/>
    <w:rsid w:val="00AD2128"/>
    <w:rsid w:val="00AD3718"/>
    <w:rsid w:val="00AD3F93"/>
    <w:rsid w:val="00AE06B2"/>
    <w:rsid w:val="00AE0F89"/>
    <w:rsid w:val="00AE1E7A"/>
    <w:rsid w:val="00AE6FB6"/>
    <w:rsid w:val="00AF206A"/>
    <w:rsid w:val="00AF560E"/>
    <w:rsid w:val="00B000AE"/>
    <w:rsid w:val="00B014A5"/>
    <w:rsid w:val="00B02635"/>
    <w:rsid w:val="00B02EB2"/>
    <w:rsid w:val="00B03D49"/>
    <w:rsid w:val="00B045BD"/>
    <w:rsid w:val="00B16FD3"/>
    <w:rsid w:val="00B1730F"/>
    <w:rsid w:val="00B17C0D"/>
    <w:rsid w:val="00B20319"/>
    <w:rsid w:val="00B21108"/>
    <w:rsid w:val="00B2787E"/>
    <w:rsid w:val="00B368EE"/>
    <w:rsid w:val="00B36C06"/>
    <w:rsid w:val="00B4528B"/>
    <w:rsid w:val="00B4653C"/>
    <w:rsid w:val="00B47600"/>
    <w:rsid w:val="00B51FB1"/>
    <w:rsid w:val="00B52B67"/>
    <w:rsid w:val="00B61C6B"/>
    <w:rsid w:val="00B756D3"/>
    <w:rsid w:val="00B915A8"/>
    <w:rsid w:val="00BA5243"/>
    <w:rsid w:val="00BB2D2D"/>
    <w:rsid w:val="00BB51A7"/>
    <w:rsid w:val="00BB5A06"/>
    <w:rsid w:val="00BC2097"/>
    <w:rsid w:val="00BC4090"/>
    <w:rsid w:val="00BC6741"/>
    <w:rsid w:val="00BD03CE"/>
    <w:rsid w:val="00BD0428"/>
    <w:rsid w:val="00BD7AFF"/>
    <w:rsid w:val="00BF00E7"/>
    <w:rsid w:val="00BF307C"/>
    <w:rsid w:val="00BF354B"/>
    <w:rsid w:val="00C05F51"/>
    <w:rsid w:val="00C22664"/>
    <w:rsid w:val="00C3062C"/>
    <w:rsid w:val="00C32101"/>
    <w:rsid w:val="00C33E3A"/>
    <w:rsid w:val="00C344EF"/>
    <w:rsid w:val="00C40B93"/>
    <w:rsid w:val="00C51529"/>
    <w:rsid w:val="00C51E7C"/>
    <w:rsid w:val="00C558F9"/>
    <w:rsid w:val="00C57546"/>
    <w:rsid w:val="00C61BBB"/>
    <w:rsid w:val="00C62B91"/>
    <w:rsid w:val="00C7283B"/>
    <w:rsid w:val="00C73C71"/>
    <w:rsid w:val="00C778CD"/>
    <w:rsid w:val="00C80DD2"/>
    <w:rsid w:val="00C83E4E"/>
    <w:rsid w:val="00C95C06"/>
    <w:rsid w:val="00C977FE"/>
    <w:rsid w:val="00CA2737"/>
    <w:rsid w:val="00CB1DB0"/>
    <w:rsid w:val="00CB562F"/>
    <w:rsid w:val="00CB5D09"/>
    <w:rsid w:val="00CB632F"/>
    <w:rsid w:val="00CD7236"/>
    <w:rsid w:val="00CE579F"/>
    <w:rsid w:val="00CF13EB"/>
    <w:rsid w:val="00CF1950"/>
    <w:rsid w:val="00CF2FD8"/>
    <w:rsid w:val="00CF3419"/>
    <w:rsid w:val="00D12C39"/>
    <w:rsid w:val="00D132A2"/>
    <w:rsid w:val="00D23869"/>
    <w:rsid w:val="00D26768"/>
    <w:rsid w:val="00D370B2"/>
    <w:rsid w:val="00D37BC7"/>
    <w:rsid w:val="00D41226"/>
    <w:rsid w:val="00D4189C"/>
    <w:rsid w:val="00D50A43"/>
    <w:rsid w:val="00D52412"/>
    <w:rsid w:val="00D564B0"/>
    <w:rsid w:val="00D637D1"/>
    <w:rsid w:val="00D71772"/>
    <w:rsid w:val="00D720F4"/>
    <w:rsid w:val="00D74E95"/>
    <w:rsid w:val="00D83DF2"/>
    <w:rsid w:val="00D847A3"/>
    <w:rsid w:val="00D849AD"/>
    <w:rsid w:val="00D85B5E"/>
    <w:rsid w:val="00D86972"/>
    <w:rsid w:val="00DA39D3"/>
    <w:rsid w:val="00DB1DDC"/>
    <w:rsid w:val="00DB2239"/>
    <w:rsid w:val="00DB5C46"/>
    <w:rsid w:val="00DB739B"/>
    <w:rsid w:val="00DB7D5B"/>
    <w:rsid w:val="00DC00F2"/>
    <w:rsid w:val="00DC4CF7"/>
    <w:rsid w:val="00DD4CA7"/>
    <w:rsid w:val="00DE1ED1"/>
    <w:rsid w:val="00DF3A5D"/>
    <w:rsid w:val="00E00BFD"/>
    <w:rsid w:val="00E01F79"/>
    <w:rsid w:val="00E224B7"/>
    <w:rsid w:val="00E3019E"/>
    <w:rsid w:val="00E31B57"/>
    <w:rsid w:val="00E466AC"/>
    <w:rsid w:val="00E62BE5"/>
    <w:rsid w:val="00E66419"/>
    <w:rsid w:val="00E66D36"/>
    <w:rsid w:val="00E72B4D"/>
    <w:rsid w:val="00E76DAC"/>
    <w:rsid w:val="00E83857"/>
    <w:rsid w:val="00E859DE"/>
    <w:rsid w:val="00E878E8"/>
    <w:rsid w:val="00E90463"/>
    <w:rsid w:val="00E9482D"/>
    <w:rsid w:val="00E96ED6"/>
    <w:rsid w:val="00E975EA"/>
    <w:rsid w:val="00EA375A"/>
    <w:rsid w:val="00EB65D5"/>
    <w:rsid w:val="00EB72A6"/>
    <w:rsid w:val="00EC0C15"/>
    <w:rsid w:val="00EC2969"/>
    <w:rsid w:val="00EC4A1C"/>
    <w:rsid w:val="00ED0CB1"/>
    <w:rsid w:val="00ED61E3"/>
    <w:rsid w:val="00ED7EFB"/>
    <w:rsid w:val="00EE2F1A"/>
    <w:rsid w:val="00EE45FB"/>
    <w:rsid w:val="00EE6498"/>
    <w:rsid w:val="00EF2A6B"/>
    <w:rsid w:val="00EF3DB1"/>
    <w:rsid w:val="00F030C8"/>
    <w:rsid w:val="00F04C46"/>
    <w:rsid w:val="00F06FDE"/>
    <w:rsid w:val="00F2766E"/>
    <w:rsid w:val="00F32D03"/>
    <w:rsid w:val="00F37631"/>
    <w:rsid w:val="00F40925"/>
    <w:rsid w:val="00F410E6"/>
    <w:rsid w:val="00F42812"/>
    <w:rsid w:val="00F513C8"/>
    <w:rsid w:val="00F5668B"/>
    <w:rsid w:val="00F61EB6"/>
    <w:rsid w:val="00F64CE8"/>
    <w:rsid w:val="00F744E1"/>
    <w:rsid w:val="00F7524F"/>
    <w:rsid w:val="00F75D1B"/>
    <w:rsid w:val="00F80DA2"/>
    <w:rsid w:val="00F8168C"/>
    <w:rsid w:val="00F81D2C"/>
    <w:rsid w:val="00F951C3"/>
    <w:rsid w:val="00F97B7C"/>
    <w:rsid w:val="00FA68C9"/>
    <w:rsid w:val="00FB7EB8"/>
    <w:rsid w:val="00FC323C"/>
    <w:rsid w:val="00FD0EAC"/>
    <w:rsid w:val="00FD1FCB"/>
    <w:rsid w:val="00FD54FA"/>
    <w:rsid w:val="00FD5B56"/>
    <w:rsid w:val="00FD7CB1"/>
    <w:rsid w:val="00FE1102"/>
    <w:rsid w:val="00FE5026"/>
    <w:rsid w:val="00FE6753"/>
    <w:rsid w:val="475C25D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9890337"/>
  <w15:docId w15:val="{360A8A48-9CA2-4C69-A6A9-79772CA81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 Char,ALTS FOOTNOTE Char Char Char Char,Footnote Text Char,Footnote Text Char Char,Footnote Text Char Char Char Char,Footnote Text Char1,Footnote Text Char1 Char Char,f,fn Char,fn Char Char,fn Char Char Char Char,fn Char1"/>
    <w:link w:val="FootnoteTextChar2"/>
    <w:pPr>
      <w:spacing w:after="120"/>
    </w:pPr>
  </w:style>
  <w:style w:type="character" w:styleId="FootnoteReference">
    <w:name w:val="footnote reference"/>
    <w:aliases w:val="(N... + 11 pt,(NECG) Footnote Reference,-E Funotenzeichen,A,Appel note de bas de p,FR,Footnote Reference/,Footnote Reference1,Style 12,Style 124,Style 13,Style 17,Style 20,Style 3,Style 34,Style 4,Style 6,Style 7,Style 9,callout,fr,o"/>
    <w:uiPriority w:val="99"/>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1">
    <w:name w:val="Unresolved Mention1"/>
    <w:uiPriority w:val="99"/>
    <w:semiHidden/>
    <w:unhideWhenUsed/>
    <w:rPr>
      <w:color w:val="605E5C"/>
      <w:shd w:val="clear" w:color="auto" w:fill="E1DFDD"/>
    </w:rPr>
  </w:style>
  <w:style w:type="character" w:customStyle="1" w:styleId="FootnoteTextChar2">
    <w:name w:val="Footnote Text Char2"/>
    <w:aliases w:val="ALTS FOOTNOTE Char Char Char,ALTS FOOTNOTE Char Char Char Char Char,Footnote Text Char Char Char,Footnote Text Char Char Char Char Char,Footnote Text Char Char1,Footnote Text Char1 Char,Footnote Text Char1 Char Char Char,f Char"/>
    <w:link w:val="FootnoteText"/>
    <w:locked/>
    <w:rsid w:val="00F97B7C"/>
  </w:style>
  <w:style w:type="table" w:styleId="TableGrid">
    <w:name w:val="Table Grid"/>
    <w:basedOn w:val="TableNormal"/>
    <w:uiPriority w:val="59"/>
    <w:rsid w:val="00D412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AE0F89"/>
    <w:rPr>
      <w:sz w:val="16"/>
      <w:szCs w:val="16"/>
    </w:rPr>
  </w:style>
  <w:style w:type="paragraph" w:styleId="CommentText">
    <w:name w:val="annotation text"/>
    <w:basedOn w:val="Normal"/>
    <w:link w:val="CommentTextChar"/>
    <w:uiPriority w:val="99"/>
    <w:unhideWhenUsed/>
    <w:rsid w:val="00AE0F89"/>
    <w:rPr>
      <w:sz w:val="20"/>
    </w:rPr>
  </w:style>
  <w:style w:type="character" w:customStyle="1" w:styleId="CommentTextChar">
    <w:name w:val="Comment Text Char"/>
    <w:link w:val="CommentText"/>
    <w:uiPriority w:val="99"/>
    <w:rsid w:val="00AE0F89"/>
    <w:rPr>
      <w:snapToGrid w:val="0"/>
      <w:kern w:val="28"/>
    </w:rPr>
  </w:style>
  <w:style w:type="paragraph" w:styleId="CommentSubject">
    <w:name w:val="annotation subject"/>
    <w:basedOn w:val="CommentText"/>
    <w:next w:val="CommentText"/>
    <w:link w:val="CommentSubjectChar"/>
    <w:uiPriority w:val="99"/>
    <w:semiHidden/>
    <w:unhideWhenUsed/>
    <w:rsid w:val="00AE0F89"/>
    <w:rPr>
      <w:b/>
      <w:bCs/>
    </w:rPr>
  </w:style>
  <w:style w:type="character" w:customStyle="1" w:styleId="CommentSubjectChar">
    <w:name w:val="Comment Subject Char"/>
    <w:link w:val="CommentSubject"/>
    <w:uiPriority w:val="99"/>
    <w:semiHidden/>
    <w:rsid w:val="00AE0F89"/>
    <w:rPr>
      <w:b/>
      <w:bCs/>
      <w:snapToGrid w:val="0"/>
      <w:kern w:val="28"/>
    </w:rPr>
  </w:style>
  <w:style w:type="paragraph" w:customStyle="1" w:styleId="xmsonormal">
    <w:name w:val="x_msonormal"/>
    <w:basedOn w:val="Normal"/>
    <w:rsid w:val="008E720D"/>
    <w:pPr>
      <w:widowControl/>
      <w:spacing w:before="100" w:beforeAutospacing="1" w:after="100" w:afterAutospacing="1"/>
    </w:pPr>
    <w:rPr>
      <w:rFonts w:ascii="Calibri" w:eastAsia="Calibri" w:hAnsi="Calibri" w:cs="Calibri"/>
      <w:snapToGrid/>
      <w:kern w:val="0"/>
      <w:szCs w:val="22"/>
    </w:rPr>
  </w:style>
  <w:style w:type="character" w:customStyle="1" w:styleId="FootnoteTextChar1CharChar2">
    <w:name w:val="Footnote Text Char1 Char Char2"/>
    <w:aliases w:val="Footnote Text Char Char Char Char Char Char2,Footnote Text Char Char Char Char2,Footnote Text Char1 Char Char Char Char2,Styl Char1,Style 5 Char Char Char2,f Char1,rrfootnote Char Char Char2"/>
    <w:rsid w:val="00BD042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97DBA"/>
    <w:rPr>
      <w:rFonts w:ascii="Tahoma" w:hAnsi="Tahoma" w:cs="Tahoma"/>
      <w:sz w:val="16"/>
      <w:szCs w:val="16"/>
    </w:rPr>
  </w:style>
  <w:style w:type="character" w:customStyle="1" w:styleId="BalloonTextChar">
    <w:name w:val="Balloon Text Char"/>
    <w:basedOn w:val="DefaultParagraphFont"/>
    <w:link w:val="BalloonText"/>
    <w:uiPriority w:val="99"/>
    <w:semiHidden/>
    <w:rsid w:val="00797DBA"/>
    <w:rPr>
      <w:rFonts w:ascii="Tahoma" w:hAnsi="Tahoma" w:cs="Tahoma"/>
      <w:snapToGrid w:val="0"/>
      <w:kern w:val="28"/>
      <w:sz w:val="16"/>
      <w:szCs w:val="16"/>
    </w:rPr>
  </w:style>
  <w:style w:type="paragraph" w:styleId="Revision">
    <w:name w:val="Revision"/>
    <w:hidden/>
    <w:uiPriority w:val="99"/>
    <w:semiHidden/>
    <w:rsid w:val="008E18F4"/>
    <w:rPr>
      <w:snapToGrid w:val="0"/>
      <w:kern w:val="28"/>
      <w:sz w:val="22"/>
    </w:rPr>
  </w:style>
  <w:style w:type="paragraph" w:styleId="ListParagraph">
    <w:name w:val="List Paragraph"/>
    <w:basedOn w:val="Normal"/>
    <w:uiPriority w:val="34"/>
    <w:qFormat/>
    <w:rsid w:val="00431BAF"/>
    <w:pPr>
      <w:ind w:left="720"/>
      <w:contextualSpacing/>
    </w:pPr>
  </w:style>
  <w:style w:type="character" w:customStyle="1" w:styleId="UnresolvedMention2">
    <w:name w:val="Unresolved Mention2"/>
    <w:basedOn w:val="DefaultParagraphFont"/>
    <w:uiPriority w:val="99"/>
    <w:semiHidden/>
    <w:unhideWhenUsed/>
    <w:rsid w:val="00040A2A"/>
    <w:rPr>
      <w:color w:val="605E5C"/>
      <w:shd w:val="clear" w:color="auto" w:fill="E1DFDD"/>
    </w:rPr>
  </w:style>
  <w:style w:type="character" w:customStyle="1" w:styleId="UnresolvedMention3">
    <w:name w:val="Unresolved Mention3"/>
    <w:basedOn w:val="DefaultParagraphFont"/>
    <w:uiPriority w:val="99"/>
    <w:semiHidden/>
    <w:unhideWhenUsed/>
    <w:rsid w:val="00E66419"/>
    <w:rPr>
      <w:color w:val="605E5C"/>
      <w:shd w:val="clear" w:color="auto" w:fill="E1DFDD"/>
    </w:rPr>
  </w:style>
  <w:style w:type="character" w:customStyle="1" w:styleId="UnresolvedMention4">
    <w:name w:val="Unresolved Mention4"/>
    <w:basedOn w:val="DefaultParagraphFont"/>
    <w:uiPriority w:val="99"/>
    <w:semiHidden/>
    <w:unhideWhenUsed/>
    <w:rsid w:val="004E08E7"/>
    <w:rPr>
      <w:color w:val="605E5C"/>
      <w:shd w:val="clear" w:color="auto" w:fill="E1DFDD"/>
    </w:rPr>
  </w:style>
  <w:style w:type="character" w:styleId="UnresolvedMention">
    <w:name w:val="Unresolved Mention"/>
    <w:basedOn w:val="DefaultParagraphFont"/>
    <w:uiPriority w:val="99"/>
    <w:semiHidden/>
    <w:unhideWhenUsed/>
    <w:rsid w:val="00166371"/>
    <w:rPr>
      <w:color w:val="605E5C"/>
      <w:shd w:val="clear" w:color="auto" w:fill="E1DFDD"/>
    </w:rPr>
  </w:style>
  <w:style w:type="paragraph" w:customStyle="1" w:styleId="Default">
    <w:name w:val="Default"/>
    <w:rsid w:val="00C7283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Kristi.Thompson@fcc.gov" TargetMode="External" /><Relationship Id="rId6" Type="http://schemas.openxmlformats.org/officeDocument/2006/relationships/hyperlink" Target="mailto:Lisa.Zaina@fcc.gov" TargetMode="External" /><Relationship Id="rId7" Type="http://schemas.openxmlformats.org/officeDocument/2006/relationships/hyperlink" Target="mailto:Daniel.Stepanicich@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robocall-facilitators-must-cease-and-desist"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