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rsidP="003F0594" w14:paraId="6E233DBF" w14:textId="4C4E1BC9">
      <w:pPr>
        <w:pStyle w:val="Header"/>
        <w:tabs>
          <w:tab w:val="clear" w:pos="4320"/>
          <w:tab w:val="clear" w:pos="8640"/>
        </w:tabs>
        <w:spacing w:after="200"/>
        <w:rPr>
          <w:szCs w:val="22"/>
        </w:rPr>
        <w:sectPr>
          <w:headerReference w:type="default" r:id="rId5"/>
          <w:footerReference w:type="even" r:id="rId6"/>
          <w:footerReference w:type="default" r:id="rId7"/>
          <w:headerReference w:type="first" r:id="rId8"/>
          <w:pgSz w:w="12240" w:h="15840" w:code="1"/>
          <w:pgMar w:top="720" w:right="720" w:bottom="1440" w:left="720" w:header="720" w:footer="1440" w:gutter="0"/>
          <w:cols w:space="720"/>
          <w:titlePg/>
        </w:sectPr>
      </w:pPr>
    </w:p>
    <w:p w:rsidR="006E2F27" w:rsidP="006E2F27" w14:paraId="5B154E96" w14:textId="5B74B053">
      <w:pPr>
        <w:widowControl w:val="0"/>
        <w:rPr>
          <w:color w:val="000000"/>
          <w:szCs w:val="22"/>
        </w:rPr>
      </w:pPr>
    </w:p>
    <w:p w:rsidR="006E2F27" w:rsidRPr="006E2F27" w:rsidP="006E2F27" w14:paraId="33196636" w14:textId="5F8620A6">
      <w:pPr>
        <w:ind w:left="6480" w:hanging="90"/>
        <w:jc w:val="center"/>
        <w:rPr>
          <w:b/>
          <w:szCs w:val="22"/>
        </w:rPr>
      </w:pPr>
      <w:r w:rsidRPr="006E2F27">
        <w:rPr>
          <w:b/>
        </w:rPr>
        <w:t xml:space="preserve">              DA 23-</w:t>
      </w:r>
      <w:r w:rsidR="000A534D">
        <w:rPr>
          <w:b/>
        </w:rPr>
        <w:t>130</w:t>
      </w:r>
    </w:p>
    <w:p w:rsidR="006E2F27" w:rsidRPr="006E2F27" w:rsidP="006E2F27" w14:paraId="7072F650" w14:textId="77777777">
      <w:pPr>
        <w:spacing w:before="60"/>
        <w:ind w:left="6930"/>
        <w:jc w:val="center"/>
        <w:rPr>
          <w:b/>
          <w:szCs w:val="22"/>
        </w:rPr>
      </w:pPr>
      <w:r w:rsidRPr="006E2F27">
        <w:rPr>
          <w:b/>
          <w:szCs w:val="22"/>
        </w:rPr>
        <w:t>February 15, 2023</w:t>
      </w:r>
    </w:p>
    <w:p w:rsidR="006E2F27" w:rsidRPr="006E2F27" w:rsidP="006E2F27" w14:paraId="05604CF5" w14:textId="77777777">
      <w:pPr>
        <w:tabs>
          <w:tab w:val="left" w:pos="5900"/>
        </w:tabs>
        <w:rPr>
          <w:szCs w:val="22"/>
        </w:rPr>
      </w:pPr>
      <w:r w:rsidRPr="006E2F27">
        <w:rPr>
          <w:szCs w:val="22"/>
        </w:rPr>
        <w:tab/>
      </w:r>
    </w:p>
    <w:p w:rsidR="006E2F27" w:rsidRPr="006E2F27" w:rsidP="006E2F27" w14:paraId="5A750A13" w14:textId="77777777">
      <w:pPr>
        <w:autoSpaceDE w:val="0"/>
        <w:autoSpaceDN w:val="0"/>
        <w:adjustRightInd w:val="0"/>
        <w:jc w:val="center"/>
        <w:rPr>
          <w:b/>
          <w:bCs/>
          <w:szCs w:val="22"/>
        </w:rPr>
      </w:pPr>
      <w:bookmarkStart w:id="1" w:name="_Hlk519509475"/>
      <w:bookmarkStart w:id="2" w:name="_Hlk502044717"/>
      <w:bookmarkStart w:id="3" w:name="_Hlk516578398"/>
      <w:bookmarkStart w:id="4" w:name="_Hlk70525706"/>
      <w:r w:rsidRPr="006E2F27">
        <w:rPr>
          <w:b/>
          <w:bCs/>
          <w:szCs w:val="22"/>
        </w:rPr>
        <w:t>APPLICATIONS GRANTED FOR THE TRANSFER OF CONTROL OF</w:t>
      </w:r>
    </w:p>
    <w:p w:rsidR="006E2F27" w:rsidRPr="006E2F27" w:rsidP="006E2F27" w14:paraId="57106826" w14:textId="77777777">
      <w:pPr>
        <w:widowControl w:val="0"/>
        <w:autoSpaceDE w:val="0"/>
        <w:autoSpaceDN w:val="0"/>
        <w:adjustRightInd w:val="0"/>
        <w:jc w:val="center"/>
        <w:rPr>
          <w:b/>
          <w:bCs/>
          <w:snapToGrid w:val="0"/>
          <w:kern w:val="28"/>
          <w:szCs w:val="22"/>
        </w:rPr>
      </w:pPr>
      <w:r w:rsidRPr="006E2F27">
        <w:rPr>
          <w:b/>
          <w:bCs/>
          <w:snapToGrid w:val="0"/>
          <w:kern w:val="28"/>
          <w:szCs w:val="22"/>
        </w:rPr>
        <w:t>SPRINT COMMUNICATIONS COMPANY L.P. TO</w:t>
      </w:r>
    </w:p>
    <w:p w:rsidR="006E2F27" w:rsidRPr="006E2F27" w:rsidP="006E2F27" w14:paraId="2B784D34" w14:textId="77777777">
      <w:pPr>
        <w:widowControl w:val="0"/>
        <w:autoSpaceDE w:val="0"/>
        <w:autoSpaceDN w:val="0"/>
        <w:adjustRightInd w:val="0"/>
        <w:jc w:val="center"/>
        <w:rPr>
          <w:b/>
          <w:bCs/>
          <w:snapToGrid w:val="0"/>
          <w:kern w:val="28"/>
          <w:szCs w:val="22"/>
        </w:rPr>
      </w:pPr>
      <w:r w:rsidRPr="006E2F27">
        <w:rPr>
          <w:b/>
          <w:bCs/>
          <w:snapToGrid w:val="0"/>
          <w:kern w:val="28"/>
          <w:szCs w:val="22"/>
        </w:rPr>
        <w:t>COGENT INFRASTRUCTURE, INC.</w:t>
      </w:r>
    </w:p>
    <w:bookmarkEnd w:id="1"/>
    <w:bookmarkEnd w:id="2"/>
    <w:bookmarkEnd w:id="3"/>
    <w:p w:rsidR="006E2F27" w:rsidRPr="006E2F27" w:rsidP="006E2F27" w14:paraId="41367DBC" w14:textId="77777777">
      <w:pPr>
        <w:autoSpaceDE w:val="0"/>
        <w:autoSpaceDN w:val="0"/>
        <w:adjustRightInd w:val="0"/>
        <w:jc w:val="center"/>
        <w:rPr>
          <w:b/>
          <w:szCs w:val="22"/>
        </w:rPr>
      </w:pPr>
    </w:p>
    <w:p w:rsidR="006E2F27" w:rsidRPr="006E2F27" w:rsidP="006E2F27" w14:paraId="628277D3" w14:textId="77777777">
      <w:pPr>
        <w:jc w:val="center"/>
        <w:rPr>
          <w:b/>
          <w:szCs w:val="22"/>
        </w:rPr>
      </w:pPr>
      <w:r w:rsidRPr="006E2F27">
        <w:rPr>
          <w:b/>
          <w:szCs w:val="22"/>
        </w:rPr>
        <w:t xml:space="preserve"> WC Docket No. 22-360</w:t>
      </w:r>
    </w:p>
    <w:p w:rsidR="006E2F27" w:rsidRPr="006E2F27" w:rsidP="006E2F27" w14:paraId="423BD463" w14:textId="77777777">
      <w:pPr>
        <w:jc w:val="center"/>
        <w:rPr>
          <w:szCs w:val="22"/>
        </w:rPr>
      </w:pPr>
    </w:p>
    <w:p w:rsidR="006E2F27" w:rsidRPr="006E2F27" w:rsidP="006E2F27" w14:paraId="0C4FA1AD" w14:textId="77777777">
      <w:pPr>
        <w:autoSpaceDE w:val="0"/>
        <w:autoSpaceDN w:val="0"/>
        <w:adjustRightInd w:val="0"/>
        <w:spacing w:after="120"/>
        <w:ind w:firstLine="720"/>
        <w:rPr>
          <w:szCs w:val="22"/>
        </w:rPr>
      </w:pPr>
      <w:r w:rsidRPr="006E2F27">
        <w:rPr>
          <w:szCs w:val="22"/>
        </w:rPr>
        <w:t xml:space="preserve">By this Public Notice, the Wireline Competition Bureau, International Bureau, and Wireless Telecommunications Bureau (together, Bureaus) grant </w:t>
      </w:r>
      <w:r w:rsidRPr="006E2F27">
        <w:rPr>
          <w:snapToGrid w:val="0"/>
          <w:kern w:val="28"/>
        </w:rPr>
        <w:t>applications filed by</w:t>
      </w:r>
      <w:r w:rsidRPr="006E2F27">
        <w:rPr>
          <w:snapToGrid w:val="0"/>
          <w:color w:val="231F20"/>
          <w:kern w:val="28"/>
        </w:rPr>
        <w:t xml:space="preserve"> </w:t>
      </w:r>
      <w:r w:rsidRPr="006E2F27">
        <w:rPr>
          <w:snapToGrid w:val="0"/>
          <w:kern w:val="28"/>
        </w:rPr>
        <w:t>Sprint LLC and Cogent Infrastructure, Inc.</w:t>
      </w:r>
      <w:r w:rsidRPr="006E2F27">
        <w:rPr>
          <w:snapToGrid w:val="0"/>
          <w:kern w:val="28"/>
          <w:szCs w:val="22"/>
        </w:rPr>
        <w:t xml:space="preserve"> </w:t>
      </w:r>
      <w:r w:rsidRPr="006E2F27">
        <w:rPr>
          <w:snapToGrid w:val="0"/>
          <w:kern w:val="28"/>
        </w:rPr>
        <w:t>(Cogent Infrastructure) (together, Applicants) for the transfer of control of Sprint Communications Company L.P. (SCCLP) to Cogent Infrastructure (Transaction)</w:t>
      </w:r>
      <w:r w:rsidRPr="006E2F27">
        <w:rPr>
          <w:snapToGrid w:val="0"/>
          <w:color w:val="231F20"/>
          <w:kern w:val="28"/>
        </w:rPr>
        <w:t xml:space="preserve">, </w:t>
      </w:r>
      <w:r w:rsidRPr="006E2F27">
        <w:rPr>
          <w:snapToGrid w:val="0"/>
          <w:kern w:val="28"/>
        </w:rPr>
        <w:t>pursuant to sections 214 and 310(d) of the Communications Act of 1934, as amended (Act),</w:t>
      </w:r>
      <w:r>
        <w:rPr>
          <w:snapToGrid w:val="0"/>
          <w:kern w:val="28"/>
          <w:vertAlign w:val="superscript"/>
        </w:rPr>
        <w:footnoteReference w:id="3"/>
      </w:r>
      <w:r w:rsidRPr="006E2F27">
        <w:rPr>
          <w:snapToGrid w:val="0"/>
          <w:kern w:val="28"/>
          <w:szCs w:val="22"/>
        </w:rPr>
        <w:t xml:space="preserve"> </w:t>
      </w:r>
      <w:r w:rsidRPr="006E2F27">
        <w:rPr>
          <w:snapToGrid w:val="0"/>
          <w:color w:val="000000"/>
          <w:kern w:val="28"/>
        </w:rPr>
        <w:t>the Cable Landing License Act of 1921,</w:t>
      </w:r>
      <w:r>
        <w:rPr>
          <w:snapToGrid w:val="0"/>
          <w:color w:val="000000"/>
          <w:kern w:val="28"/>
          <w:vertAlign w:val="superscript"/>
        </w:rPr>
        <w:footnoteReference w:id="4"/>
      </w:r>
      <w:r w:rsidRPr="006E2F27">
        <w:rPr>
          <w:snapToGrid w:val="0"/>
          <w:color w:val="000000"/>
          <w:kern w:val="28"/>
        </w:rPr>
        <w:t xml:space="preserve"> </w:t>
      </w:r>
      <w:r w:rsidRPr="006E2F27">
        <w:rPr>
          <w:snapToGrid w:val="0"/>
          <w:kern w:val="28"/>
        </w:rPr>
        <w:t>and sections 1.767, 1.948, 25.119, 63.03-04, 63.12, 63.18, and 63.24 of the Federal Communications Commission’s (Commission) rules.</w:t>
      </w:r>
      <w:r>
        <w:rPr>
          <w:snapToGrid w:val="0"/>
          <w:kern w:val="28"/>
          <w:vertAlign w:val="superscript"/>
        </w:rPr>
        <w:footnoteReference w:id="5"/>
      </w:r>
      <w:r w:rsidRPr="006E2F27">
        <w:rPr>
          <w:snapToGrid w:val="0"/>
          <w:color w:val="000000"/>
          <w:kern w:val="28"/>
        </w:rPr>
        <w:t xml:space="preserve"> </w:t>
      </w:r>
    </w:p>
    <w:p w:rsidR="006E2F27" w:rsidRPr="006E2F27" w:rsidP="006E2F27" w14:paraId="65FA16CD" w14:textId="77777777">
      <w:pPr>
        <w:autoSpaceDE w:val="0"/>
        <w:autoSpaceDN w:val="0"/>
        <w:adjustRightInd w:val="0"/>
        <w:spacing w:after="120"/>
        <w:ind w:firstLine="720"/>
        <w:rPr>
          <w:color w:val="000000"/>
          <w:szCs w:val="22"/>
        </w:rPr>
      </w:pPr>
      <w:r w:rsidRPr="006E2F27">
        <w:rPr>
          <w:szCs w:val="22"/>
        </w:rPr>
        <w:t xml:space="preserve">On November 10, 2022, </w:t>
      </w:r>
      <w:r w:rsidRPr="006E2F27">
        <w:rPr>
          <w:color w:val="000000"/>
        </w:rPr>
        <w:t>the Bureaus released a public notice seeking comment on the Applications.</w:t>
      </w:r>
      <w:r>
        <w:rPr>
          <w:szCs w:val="22"/>
          <w:vertAlign w:val="superscript"/>
        </w:rPr>
        <w:footnoteReference w:id="6"/>
      </w:r>
      <w:r w:rsidRPr="006E2F27">
        <w:rPr>
          <w:color w:val="000000"/>
          <w:szCs w:val="22"/>
        </w:rPr>
        <w:t xml:space="preserve">  We did not receive comments or petitions in opposition to the Applications.  </w:t>
      </w:r>
    </w:p>
    <w:p w:rsidR="006E2F27" w:rsidRPr="006E2F27" w:rsidP="006E2F27" w14:paraId="4649B613" w14:textId="77777777">
      <w:pPr>
        <w:widowControl w:val="0"/>
        <w:autoSpaceDE w:val="0"/>
        <w:autoSpaceDN w:val="0"/>
        <w:adjustRightInd w:val="0"/>
        <w:spacing w:after="120"/>
        <w:rPr>
          <w:b/>
          <w:snapToGrid w:val="0"/>
          <w:kern w:val="28"/>
          <w:szCs w:val="22"/>
          <w:u w:val="single"/>
        </w:rPr>
      </w:pPr>
      <w:r w:rsidRPr="006E2F27">
        <w:rPr>
          <w:b/>
          <w:snapToGrid w:val="0"/>
          <w:kern w:val="28"/>
          <w:szCs w:val="22"/>
          <w:u w:val="single"/>
        </w:rPr>
        <w:t>Applicants and Services Provided</w:t>
      </w:r>
    </w:p>
    <w:p w:rsidR="006E2F27" w:rsidRPr="006E2F27" w:rsidP="006E2F27" w14:paraId="14DADD8F" w14:textId="77777777">
      <w:pPr>
        <w:widowControl w:val="0"/>
        <w:autoSpaceDE w:val="0"/>
        <w:autoSpaceDN w:val="0"/>
        <w:adjustRightInd w:val="0"/>
        <w:ind w:firstLine="720"/>
        <w:rPr>
          <w:snapToGrid w:val="0"/>
          <w:kern w:val="28"/>
          <w:szCs w:val="22"/>
        </w:rPr>
      </w:pPr>
      <w:r w:rsidRPr="006E2F27">
        <w:rPr>
          <w:snapToGrid w:val="0"/>
          <w:kern w:val="28"/>
        </w:rPr>
        <w:t>SCCLP is a Delaware limited partnership indirectly wholly owned by Sprint LLC.</w:t>
      </w:r>
      <w:r>
        <w:rPr>
          <w:snapToGrid w:val="0"/>
          <w:kern w:val="28"/>
          <w:vertAlign w:val="superscript"/>
        </w:rPr>
        <w:footnoteReference w:id="7"/>
      </w:r>
      <w:r w:rsidRPr="006E2F27">
        <w:rPr>
          <w:snapToGrid w:val="0"/>
          <w:kern w:val="28"/>
        </w:rPr>
        <w:t xml:space="preserve">  Sprint </w:t>
      </w:r>
      <w:r w:rsidRPr="006E2F27">
        <w:rPr>
          <w:snapToGrid w:val="0"/>
          <w:kern w:val="28"/>
        </w:rPr>
        <w:t>LLC, which itself does not provide telecommunications services,</w:t>
      </w:r>
      <w:r>
        <w:rPr>
          <w:snapToGrid w:val="0"/>
          <w:kern w:val="28"/>
          <w:vertAlign w:val="superscript"/>
        </w:rPr>
        <w:footnoteReference w:id="8"/>
      </w:r>
      <w:r w:rsidRPr="006E2F27">
        <w:rPr>
          <w:snapToGrid w:val="0"/>
          <w:kern w:val="28"/>
        </w:rPr>
        <w:t xml:space="preserve"> is, in turn, a direct, wholly owned subsidiary of T-Mobile USA, Inc. (T-Mobile), a nationwide wireless telecommunications provider.</w:t>
      </w:r>
      <w:r>
        <w:rPr>
          <w:snapToGrid w:val="0"/>
          <w:kern w:val="28"/>
          <w:vertAlign w:val="superscript"/>
        </w:rPr>
        <w:footnoteReference w:id="9"/>
      </w:r>
      <w:r w:rsidRPr="006E2F27">
        <w:rPr>
          <w:snapToGrid w:val="0"/>
          <w:kern w:val="28"/>
          <w:szCs w:val="22"/>
        </w:rPr>
        <w:t xml:space="preserve">  </w:t>
      </w:r>
      <w:r w:rsidRPr="006E2F27">
        <w:rPr>
          <w:snapToGrid w:val="0"/>
          <w:kern w:val="28"/>
        </w:rPr>
        <w:t>Operating as a subsidiary of T-Mobile,</w:t>
      </w:r>
      <w:r w:rsidRPr="006E2F27">
        <w:rPr>
          <w:b/>
          <w:bCs/>
          <w:snapToGrid w:val="0"/>
          <w:kern w:val="28"/>
        </w:rPr>
        <w:t xml:space="preserve"> </w:t>
      </w:r>
      <w:r w:rsidRPr="006E2F27">
        <w:rPr>
          <w:snapToGrid w:val="0"/>
          <w:kern w:val="28"/>
        </w:rPr>
        <w:t>SCCLP provides facilities-based and resold wireline telecommunications services, including retail business data services (BDS) and Internet Protocol (IP) transit, to enterprise customers throughout the United States via the legacy Sprint wireline network.</w:t>
      </w:r>
      <w:r>
        <w:rPr>
          <w:snapToGrid w:val="0"/>
          <w:kern w:val="28"/>
          <w:vertAlign w:val="superscript"/>
        </w:rPr>
        <w:footnoteReference w:id="10"/>
      </w:r>
      <w:r w:rsidRPr="006E2F27">
        <w:rPr>
          <w:snapToGrid w:val="0"/>
          <w:kern w:val="28"/>
        </w:rPr>
        <w:t xml:space="preserve">  That wireline network includes “approximately 37,000 domestic route miles (consisting primarily of long-haul fiber, owned and leased) as well as 28 data center facilities, 250 domestic and more than 60 international Points of Presence,” as well as ownership interests in five submarine cables (Sprint Wireline network or business).</w:t>
      </w:r>
      <w:r>
        <w:rPr>
          <w:snapToGrid w:val="0"/>
          <w:kern w:val="28"/>
          <w:vertAlign w:val="superscript"/>
        </w:rPr>
        <w:footnoteReference w:id="11"/>
      </w:r>
      <w:r w:rsidRPr="006E2F27">
        <w:rPr>
          <w:snapToGrid w:val="0"/>
          <w:kern w:val="28"/>
          <w:szCs w:val="22"/>
        </w:rPr>
        <w:t xml:space="preserve"> </w:t>
      </w:r>
    </w:p>
    <w:p w:rsidR="006E2F27" w:rsidRPr="006E2F27" w:rsidP="006E2F27" w14:paraId="2B726495" w14:textId="77777777">
      <w:pPr>
        <w:widowControl w:val="0"/>
        <w:autoSpaceDE w:val="0"/>
        <w:autoSpaceDN w:val="0"/>
        <w:adjustRightInd w:val="0"/>
        <w:rPr>
          <w:snapToGrid w:val="0"/>
          <w:kern w:val="28"/>
          <w:szCs w:val="22"/>
        </w:rPr>
      </w:pPr>
    </w:p>
    <w:p w:rsidR="006E2F27" w:rsidRPr="006E2F27" w:rsidP="006E2F27" w14:paraId="5E89735B" w14:textId="77777777">
      <w:pPr>
        <w:widowControl w:val="0"/>
        <w:autoSpaceDE w:val="0"/>
        <w:autoSpaceDN w:val="0"/>
        <w:adjustRightInd w:val="0"/>
        <w:ind w:firstLine="720"/>
        <w:rPr>
          <w:snapToGrid w:val="0"/>
          <w:kern w:val="28"/>
        </w:rPr>
      </w:pPr>
      <w:r w:rsidRPr="006E2F27">
        <w:rPr>
          <w:snapToGrid w:val="0"/>
          <w:kern w:val="28"/>
        </w:rPr>
        <w:t>Cogent Infrastructure is a Delaware corporation that is a direct, wholly owned subsidiary of Cogent Communications Holdings, Inc. (Cogent Communications), which is a publicly held Delaware corporation.</w:t>
      </w:r>
      <w:r>
        <w:rPr>
          <w:snapToGrid w:val="0"/>
          <w:kern w:val="28"/>
          <w:vertAlign w:val="superscript"/>
        </w:rPr>
        <w:footnoteReference w:id="12"/>
      </w:r>
      <w:r w:rsidRPr="006E2F27">
        <w:rPr>
          <w:snapToGrid w:val="0"/>
          <w:kern w:val="28"/>
        </w:rPr>
        <w:t xml:space="preserve">  Through a subsidiary, Cogent Communications provides “Internet access services, private network solutions, and data center colocation space” to Internet service providers (ISPs), telecommunications carriers, and small and medium business and enterprise customers across the United States.</w:t>
      </w:r>
      <w:r>
        <w:rPr>
          <w:snapToGrid w:val="0"/>
          <w:kern w:val="28"/>
          <w:vertAlign w:val="superscript"/>
        </w:rPr>
        <w:footnoteReference w:id="13"/>
      </w:r>
      <w:r w:rsidRPr="006E2F27">
        <w:rPr>
          <w:snapToGrid w:val="0"/>
          <w:kern w:val="28"/>
        </w:rPr>
        <w:t xml:space="preserve">  Cogent Communications is a global IP transit provider.</w:t>
      </w:r>
      <w:r>
        <w:rPr>
          <w:snapToGrid w:val="0"/>
          <w:kern w:val="28"/>
          <w:vertAlign w:val="superscript"/>
        </w:rPr>
        <w:footnoteReference w:id="14"/>
      </w:r>
      <w:r w:rsidRPr="006E2F27">
        <w:rPr>
          <w:snapToGrid w:val="0"/>
          <w:kern w:val="28"/>
        </w:rPr>
        <w:t xml:space="preserve">  It also provides certain private line services that it states may be a substitute for customers who purchase BDS.</w:t>
      </w:r>
      <w:r>
        <w:rPr>
          <w:snapToGrid w:val="0"/>
          <w:kern w:val="28"/>
          <w:vertAlign w:val="superscript"/>
        </w:rPr>
        <w:footnoteReference w:id="15"/>
      </w:r>
      <w:r w:rsidRPr="006E2F27">
        <w:rPr>
          <w:snapToGrid w:val="0"/>
          <w:kern w:val="28"/>
        </w:rPr>
        <w:t xml:space="preserve">   </w:t>
      </w:r>
    </w:p>
    <w:p w:rsidR="006E2F27" w:rsidRPr="006E2F27" w:rsidP="006E2F27" w14:paraId="5A1B51FC" w14:textId="77777777">
      <w:pPr>
        <w:widowControl w:val="0"/>
        <w:autoSpaceDE w:val="0"/>
        <w:autoSpaceDN w:val="0"/>
        <w:adjustRightInd w:val="0"/>
        <w:ind w:firstLine="720"/>
        <w:rPr>
          <w:snapToGrid w:val="0"/>
          <w:kern w:val="28"/>
        </w:rPr>
      </w:pPr>
    </w:p>
    <w:p w:rsidR="006E2F27" w:rsidRPr="006E2F27" w:rsidP="006E2F27" w14:paraId="652507E9" w14:textId="77777777">
      <w:pPr>
        <w:widowControl w:val="0"/>
        <w:autoSpaceDE w:val="0"/>
        <w:autoSpaceDN w:val="0"/>
        <w:adjustRightInd w:val="0"/>
        <w:ind w:firstLine="720"/>
        <w:rPr>
          <w:snapToGrid w:val="0"/>
          <w:kern w:val="28"/>
        </w:rPr>
      </w:pPr>
      <w:r w:rsidRPr="006E2F27">
        <w:rPr>
          <w:snapToGrid w:val="0"/>
          <w:kern w:val="28"/>
        </w:rPr>
        <w:t>One individual and two entities hold an interest in Cogent Communications of 10% or more:  David Schaeffer., a U.S. citizen who is CEO and Chairman of Cogent Communications (10.2% of Cogent Communications’ common stock); BlackRock Inc., a U.S. entity (14.7% of Cogent Communications’ common stock);</w:t>
      </w:r>
      <w:r>
        <w:rPr>
          <w:snapToGrid w:val="0"/>
          <w:kern w:val="28"/>
          <w:vertAlign w:val="superscript"/>
        </w:rPr>
        <w:footnoteReference w:id="16"/>
      </w:r>
      <w:r w:rsidRPr="006E2F27">
        <w:rPr>
          <w:snapToGrid w:val="0"/>
          <w:kern w:val="28"/>
        </w:rPr>
        <w:t xml:space="preserve"> and The Vanguard Group, Inc., a U.S. entity (10.1% of Cogent </w:t>
      </w:r>
      <w:r w:rsidRPr="006E2F27">
        <w:rPr>
          <w:snapToGrid w:val="0"/>
          <w:kern w:val="28"/>
        </w:rPr>
        <w:t>Communications’ common stock).</w:t>
      </w:r>
      <w:r>
        <w:rPr>
          <w:snapToGrid w:val="0"/>
          <w:kern w:val="28"/>
          <w:vertAlign w:val="superscript"/>
        </w:rPr>
        <w:footnoteReference w:id="17"/>
      </w:r>
      <w:r w:rsidRPr="006E2F27">
        <w:rPr>
          <w:snapToGrid w:val="0"/>
          <w:kern w:val="28"/>
        </w:rPr>
        <w:t xml:space="preserve">  Applicants state that Cogent Infrastructure is not affiliated with other communications providers in which BlackRock</w:t>
      </w:r>
      <w:r w:rsidRPr="006E2F27">
        <w:rPr>
          <w:snapToGrid w:val="0"/>
          <w:kern w:val="28"/>
          <w:szCs w:val="22"/>
        </w:rPr>
        <w:t xml:space="preserve"> </w:t>
      </w:r>
      <w:r w:rsidRPr="006E2F27">
        <w:rPr>
          <w:snapToGrid w:val="0"/>
          <w:kern w:val="28"/>
        </w:rPr>
        <w:t>or Vanguard may hold an ownership interest.</w:t>
      </w:r>
      <w:r>
        <w:rPr>
          <w:snapToGrid w:val="0"/>
          <w:kern w:val="28"/>
          <w:szCs w:val="22"/>
          <w:vertAlign w:val="superscript"/>
        </w:rPr>
        <w:footnoteReference w:id="18"/>
      </w:r>
    </w:p>
    <w:p w:rsidR="006E2F27" w:rsidRPr="006E2F27" w:rsidP="006E2F27" w14:paraId="58AD6DE7" w14:textId="77777777">
      <w:pPr>
        <w:widowControl w:val="0"/>
        <w:autoSpaceDE w:val="0"/>
        <w:autoSpaceDN w:val="0"/>
        <w:adjustRightInd w:val="0"/>
        <w:rPr>
          <w:snapToGrid w:val="0"/>
          <w:kern w:val="28"/>
          <w:szCs w:val="22"/>
        </w:rPr>
      </w:pPr>
    </w:p>
    <w:p w:rsidR="006E2F27" w:rsidRPr="006E2F27" w:rsidP="006E2F27" w14:paraId="105E2537" w14:textId="77777777">
      <w:pPr>
        <w:autoSpaceDE w:val="0"/>
        <w:autoSpaceDN w:val="0"/>
        <w:adjustRightInd w:val="0"/>
        <w:ind w:firstLine="720"/>
        <w:rPr>
          <w:snapToGrid w:val="0"/>
          <w:kern w:val="28"/>
          <w:szCs w:val="22"/>
        </w:rPr>
      </w:pPr>
      <w:r w:rsidRPr="006E2F27">
        <w:rPr>
          <w:snapToGrid w:val="0"/>
          <w:kern w:val="28"/>
          <w:szCs w:val="22"/>
        </w:rPr>
        <w:t xml:space="preserve">Pursuant to a Membership Interest Purchase Agreement (Purchase Agreement), dated September 6, 2022, </w:t>
      </w:r>
      <w:r w:rsidRPr="006E2F27">
        <w:rPr>
          <w:snapToGrid w:val="0"/>
          <w:kern w:val="28"/>
        </w:rPr>
        <w:t>Cogent Infrastructure will purchase from Sprint LLC the membership interests of SCCLP’s direct parent company.</w:t>
      </w:r>
      <w:r>
        <w:rPr>
          <w:snapToGrid w:val="0"/>
          <w:kern w:val="28"/>
          <w:vertAlign w:val="superscript"/>
        </w:rPr>
        <w:footnoteReference w:id="19"/>
      </w:r>
      <w:r w:rsidRPr="006E2F27">
        <w:rPr>
          <w:snapToGrid w:val="0"/>
          <w:kern w:val="28"/>
        </w:rPr>
        <w:t xml:space="preserve">  Applicants explain that currently the direct parent is Sprint Communications LLC, a Kansas limited liability company</w:t>
      </w:r>
      <w:r w:rsidRPr="006E2F27">
        <w:rPr>
          <w:snapToGrid w:val="0"/>
          <w:kern w:val="28"/>
          <w:szCs w:val="22"/>
        </w:rPr>
        <w:t>.</w:t>
      </w:r>
      <w:r>
        <w:rPr>
          <w:snapToGrid w:val="0"/>
          <w:kern w:val="28"/>
          <w:szCs w:val="22"/>
          <w:vertAlign w:val="superscript"/>
        </w:rPr>
        <w:footnoteReference w:id="20"/>
      </w:r>
      <w:r w:rsidRPr="006E2F27">
        <w:rPr>
          <w:snapToGrid w:val="0"/>
          <w:kern w:val="28"/>
          <w:szCs w:val="22"/>
        </w:rPr>
        <w:t xml:space="preserve">  </w:t>
      </w:r>
      <w:r w:rsidRPr="006E2F27">
        <w:rPr>
          <w:snapToGrid w:val="0"/>
          <w:kern w:val="28"/>
        </w:rPr>
        <w:t>However, shortly before the Transaction is consummated, Sprint Communications LLC will become a Delaware limited liability company and then will divide into two separate limited liability companies:  (</w:t>
      </w:r>
      <w:r w:rsidRPr="006E2F27">
        <w:rPr>
          <w:snapToGrid w:val="0"/>
          <w:kern w:val="28"/>
        </w:rPr>
        <w:t>i</w:t>
      </w:r>
      <w:r w:rsidRPr="006E2F27">
        <w:rPr>
          <w:snapToGrid w:val="0"/>
          <w:kern w:val="28"/>
        </w:rPr>
        <w:t xml:space="preserve">) a new Delaware limited liability company (Patagonia </w:t>
      </w:r>
      <w:r w:rsidRPr="006E2F27">
        <w:rPr>
          <w:snapToGrid w:val="0"/>
          <w:kern w:val="28"/>
        </w:rPr>
        <w:t>SaleCo</w:t>
      </w:r>
      <w:r w:rsidRPr="006E2F27">
        <w:rPr>
          <w:snapToGrid w:val="0"/>
          <w:kern w:val="28"/>
        </w:rPr>
        <w:t xml:space="preserve"> 2, LLC) that will hold Sprint Communications LLC’s assets and liabilities relating to the legacy Sprint Wireline business to be transferred, including the rights and obligations of Sprint Communications LLC as the sole general partner of SCCLP and as the 100% owner of </w:t>
      </w:r>
      <w:r w:rsidRPr="006E2F27">
        <w:rPr>
          <w:snapToGrid w:val="0"/>
          <w:kern w:val="28"/>
        </w:rPr>
        <w:t>Utelcom</w:t>
      </w:r>
      <w:r w:rsidRPr="006E2F27">
        <w:rPr>
          <w:snapToGrid w:val="0"/>
          <w:kern w:val="28"/>
        </w:rPr>
        <w:t xml:space="preserve"> LLC, the sole limited partner of SCCLP, and (ii) the continuation of Sprint Communications LLC as a Delaware limited liability company (which will continue to be named Sprint Communications LLC) that will retain Sprint Communications LLC’s assets and liabilities not being transferred.</w:t>
      </w:r>
      <w:r>
        <w:rPr>
          <w:snapToGrid w:val="0"/>
          <w:kern w:val="28"/>
          <w:vertAlign w:val="superscript"/>
        </w:rPr>
        <w:footnoteReference w:id="21"/>
      </w:r>
      <w:r w:rsidRPr="006E2F27">
        <w:rPr>
          <w:snapToGrid w:val="0"/>
          <w:kern w:val="28"/>
        </w:rPr>
        <w:t xml:space="preserve">  At the time of the Transaction, Cogent Infrastructure will acquire Patagonia </w:t>
      </w:r>
      <w:r w:rsidRPr="006E2F27">
        <w:rPr>
          <w:snapToGrid w:val="0"/>
          <w:kern w:val="28"/>
        </w:rPr>
        <w:t>SaleCo</w:t>
      </w:r>
      <w:r w:rsidRPr="006E2F27">
        <w:rPr>
          <w:snapToGrid w:val="0"/>
          <w:kern w:val="28"/>
        </w:rPr>
        <w:t xml:space="preserve"> 2, LLC, which will own 100% of SCCLP (through a combination of direct and indirect ownership), among other assets.</w:t>
      </w:r>
      <w:r>
        <w:rPr>
          <w:snapToGrid w:val="0"/>
          <w:kern w:val="28"/>
          <w:vertAlign w:val="superscript"/>
        </w:rPr>
        <w:footnoteReference w:id="22"/>
      </w:r>
      <w:r w:rsidRPr="006E2F27">
        <w:rPr>
          <w:snapToGrid w:val="0"/>
          <w:kern w:val="28"/>
          <w:szCs w:val="22"/>
        </w:rPr>
        <w:t xml:space="preserve"> </w:t>
      </w:r>
    </w:p>
    <w:p w:rsidR="006E2F27" w:rsidRPr="006E2F27" w:rsidP="006E2F27" w14:paraId="06C670D9" w14:textId="77777777">
      <w:pPr>
        <w:widowControl w:val="0"/>
        <w:autoSpaceDE w:val="0"/>
        <w:autoSpaceDN w:val="0"/>
        <w:adjustRightInd w:val="0"/>
        <w:ind w:firstLine="720"/>
        <w:rPr>
          <w:snapToGrid w:val="0"/>
          <w:kern w:val="28"/>
          <w:szCs w:val="22"/>
        </w:rPr>
      </w:pPr>
    </w:p>
    <w:p w:rsidR="006E2F27" w:rsidRPr="006E2F27" w:rsidP="006E2F27" w14:paraId="05E3DB59" w14:textId="77777777">
      <w:pPr>
        <w:autoSpaceDE w:val="0"/>
        <w:autoSpaceDN w:val="0"/>
        <w:adjustRightInd w:val="0"/>
        <w:spacing w:after="120"/>
        <w:rPr>
          <w:b/>
          <w:snapToGrid w:val="0"/>
          <w:color w:val="212121"/>
          <w:kern w:val="28"/>
          <w:szCs w:val="22"/>
          <w:u w:val="single"/>
        </w:rPr>
      </w:pPr>
      <w:bookmarkStart w:id="6" w:name="FN[FN8]"/>
      <w:bookmarkEnd w:id="6"/>
      <w:r w:rsidRPr="006E2F27">
        <w:rPr>
          <w:b/>
          <w:snapToGrid w:val="0"/>
          <w:color w:val="212121"/>
          <w:kern w:val="28"/>
          <w:szCs w:val="22"/>
          <w:u w:val="single"/>
        </w:rPr>
        <w:t>Grant of Applications</w:t>
      </w:r>
    </w:p>
    <w:p w:rsidR="006E2F27" w:rsidRPr="006E2F27" w:rsidP="006E2F27" w14:paraId="1162A6BF" w14:textId="77777777">
      <w:pPr>
        <w:autoSpaceDE w:val="0"/>
        <w:autoSpaceDN w:val="0"/>
        <w:adjustRightInd w:val="0"/>
        <w:spacing w:after="120"/>
        <w:ind w:firstLine="720"/>
        <w:rPr>
          <w:snapToGrid w:val="0"/>
          <w:color w:val="000000"/>
          <w:kern w:val="28"/>
        </w:rPr>
      </w:pPr>
      <w:r w:rsidRPr="006E2F27">
        <w:rPr>
          <w:snapToGrid w:val="0"/>
          <w:kern w:val="28"/>
          <w:szCs w:val="22"/>
        </w:rPr>
        <w:t xml:space="preserve">We find, upon consideration of the record, that a grant of the Applications will serve the public interest, convenience, and necessity.  To make this determination under Commission precedent, </w:t>
      </w:r>
      <w:r w:rsidRPr="006E2F27">
        <w:rPr>
          <w:snapToGrid w:val="0"/>
          <w:kern w:val="28"/>
        </w:rPr>
        <w:t>we consider whether the proposed transaction complies with the Act, related statutes, and the Commission’s rules and, if so, whether it could result in public interest harms by substantially frustrating or impairing the objectives or implementation of the Act or related statutes.</w:t>
      </w:r>
      <w:r>
        <w:rPr>
          <w:snapToGrid w:val="0"/>
          <w:kern w:val="28"/>
          <w:sz w:val="20"/>
          <w:vertAlign w:val="superscript"/>
        </w:rPr>
        <w:footnoteReference w:id="23"/>
      </w:r>
      <w:r w:rsidRPr="006E2F27">
        <w:rPr>
          <w:snapToGrid w:val="0"/>
          <w:kern w:val="28"/>
        </w:rPr>
        <w:t xml:space="preserve">  </w:t>
      </w:r>
      <w:r w:rsidRPr="006E2F27">
        <w:rPr>
          <w:snapToGrid w:val="0"/>
          <w:color w:val="000000"/>
          <w:kern w:val="28"/>
        </w:rPr>
        <w:t xml:space="preserve">We then </w:t>
      </w:r>
      <w:r w:rsidRPr="006E2F27">
        <w:rPr>
          <w:snapToGrid w:val="0"/>
          <w:color w:val="000000"/>
          <w:kern w:val="28"/>
        </w:rPr>
        <w:t>employ a balancing test that weighs any potential public interest harms of the proposed transaction against any potential public interest benefits.</w:t>
      </w:r>
      <w:r>
        <w:rPr>
          <w:snapToGrid w:val="0"/>
          <w:color w:val="000000"/>
          <w:kern w:val="28"/>
          <w:sz w:val="20"/>
          <w:vertAlign w:val="superscript"/>
        </w:rPr>
        <w:footnoteReference w:id="24"/>
      </w:r>
      <w:r w:rsidRPr="006E2F27">
        <w:rPr>
          <w:snapToGrid w:val="0"/>
          <w:color w:val="000000"/>
          <w:kern w:val="28"/>
        </w:rPr>
        <w:t xml:space="preserve">  The Applicants bear the burden of proving, by a preponderance of the evidence, that the proposed transaction, on balance, serves the public interest.</w:t>
      </w:r>
      <w:r>
        <w:rPr>
          <w:snapToGrid w:val="0"/>
          <w:color w:val="000000"/>
          <w:kern w:val="28"/>
          <w:sz w:val="20"/>
          <w:vertAlign w:val="superscript"/>
        </w:rPr>
        <w:footnoteReference w:id="25"/>
      </w:r>
      <w:r w:rsidRPr="006E2F27">
        <w:rPr>
          <w:snapToGrid w:val="0"/>
          <w:color w:val="000000"/>
          <w:kern w:val="28"/>
        </w:rPr>
        <w:t xml:space="preserve">  </w:t>
      </w:r>
      <w:r w:rsidRPr="006E2F27">
        <w:rPr>
          <w:snapToGrid w:val="0"/>
          <w:kern w:val="28"/>
        </w:rPr>
        <w:t>We next consider whether the proposed transaction is likely to generate verifiable, transaction-specific public interest benefits.</w:t>
      </w:r>
      <w:r>
        <w:rPr>
          <w:snapToGrid w:val="0"/>
          <w:kern w:val="28"/>
          <w:vertAlign w:val="superscript"/>
        </w:rPr>
        <w:footnoteReference w:id="26"/>
      </w:r>
      <w:r w:rsidRPr="006E2F27">
        <w:rPr>
          <w:snapToGrid w:val="0"/>
          <w:kern w:val="28"/>
        </w:rPr>
        <w:t xml:space="preserve">  Applicants must provide evidence of a claimed benefit to allow the Commission to verify its likelihood and magnitude.</w:t>
      </w:r>
      <w:r>
        <w:rPr>
          <w:snapToGrid w:val="0"/>
          <w:kern w:val="28"/>
          <w:vertAlign w:val="superscript"/>
        </w:rPr>
        <w:footnoteReference w:id="27"/>
      </w:r>
      <w:r w:rsidRPr="006E2F27">
        <w:rPr>
          <w:snapToGrid w:val="0"/>
          <w:kern w:val="28"/>
        </w:rPr>
        <w:t xml:space="preserve">  Where potential harms appear unlikely, as is the case with the Application before us here, the Commission accepts a lesser degree of magnitude and likelihood than when harms are present.</w:t>
      </w:r>
      <w:r>
        <w:rPr>
          <w:snapToGrid w:val="0"/>
          <w:kern w:val="28"/>
          <w:vertAlign w:val="superscript"/>
        </w:rPr>
        <w:footnoteReference w:id="28"/>
      </w:r>
    </w:p>
    <w:p w:rsidR="006E2F27" w:rsidRPr="006E2F27" w:rsidP="006E2F27" w14:paraId="10A3B6D2" w14:textId="77777777">
      <w:pPr>
        <w:autoSpaceDE w:val="0"/>
        <w:autoSpaceDN w:val="0"/>
        <w:adjustRightInd w:val="0"/>
        <w:spacing w:after="120"/>
        <w:ind w:firstLine="720"/>
        <w:rPr>
          <w:snapToGrid w:val="0"/>
          <w:color w:val="000000"/>
          <w:kern w:val="28"/>
        </w:rPr>
      </w:pPr>
      <w:r w:rsidRPr="006E2F27">
        <w:rPr>
          <w:szCs w:val="22"/>
        </w:rPr>
        <w:t xml:space="preserve">We find that the record contains no evidence of any potential public interest harms, including competitive harms. </w:t>
      </w:r>
      <w:r w:rsidRPr="006E2F27">
        <w:rPr>
          <w:snapToGrid w:val="0"/>
          <w:color w:val="000000"/>
          <w:kern w:val="28"/>
        </w:rPr>
        <w:t xml:space="preserve"> While SCCLP offers some BDS offerings over its legacy wireline network to a small customer base,</w:t>
      </w:r>
      <w:r>
        <w:rPr>
          <w:snapToGrid w:val="0"/>
          <w:kern w:val="28"/>
          <w:vertAlign w:val="superscript"/>
        </w:rPr>
        <w:footnoteReference w:id="29"/>
      </w:r>
      <w:r w:rsidRPr="006E2F27">
        <w:rPr>
          <w:snapToGrid w:val="0"/>
          <w:color w:val="000000"/>
          <w:kern w:val="28"/>
        </w:rPr>
        <w:t xml:space="preserve"> Cogent Infrastructure states that to the extent that it offers any service that is similar to SCCLP’s BDS offerings, there are other competitors in the marketplace.</w:t>
      </w:r>
      <w:r>
        <w:rPr>
          <w:snapToGrid w:val="0"/>
          <w:kern w:val="28"/>
          <w:vertAlign w:val="superscript"/>
        </w:rPr>
        <w:footnoteReference w:id="30"/>
      </w:r>
      <w:r w:rsidRPr="006E2F27">
        <w:rPr>
          <w:snapToGrid w:val="0"/>
          <w:color w:val="000000"/>
          <w:kern w:val="28"/>
        </w:rPr>
        <w:t xml:space="preserve">  We agree with Applicants that rather than harming competition, combining SCCLP’s network with Cogent Communications’ network and thereby allowing Cogent Communications to offer expanded facilities-based services will better enable the company to compete against larger providers.</w:t>
      </w:r>
      <w:r w:rsidRPr="006E2F27">
        <w:rPr>
          <w:snapToGrid w:val="0"/>
          <w:kern w:val="28"/>
          <w:vertAlign w:val="superscript"/>
        </w:rPr>
        <w:t xml:space="preserve"> </w:t>
      </w:r>
      <w:r>
        <w:rPr>
          <w:snapToGrid w:val="0"/>
          <w:kern w:val="28"/>
          <w:vertAlign w:val="superscript"/>
        </w:rPr>
        <w:footnoteReference w:id="31"/>
      </w:r>
      <w:r w:rsidRPr="006E2F27">
        <w:rPr>
          <w:snapToGrid w:val="0"/>
          <w:color w:val="000000"/>
          <w:kern w:val="28"/>
        </w:rPr>
        <w:t xml:space="preserve">  </w:t>
      </w:r>
    </w:p>
    <w:p w:rsidR="006E2F27" w:rsidRPr="006E2F27" w:rsidP="006E2F27" w14:paraId="73A94A10" w14:textId="77777777">
      <w:pPr>
        <w:autoSpaceDE w:val="0"/>
        <w:autoSpaceDN w:val="0"/>
        <w:adjustRightInd w:val="0"/>
        <w:spacing w:after="120"/>
        <w:ind w:firstLine="720"/>
        <w:rPr>
          <w:snapToGrid w:val="0"/>
          <w:kern w:val="28"/>
        </w:rPr>
      </w:pPr>
      <w:r w:rsidRPr="006E2F27">
        <w:rPr>
          <w:snapToGrid w:val="0"/>
          <w:color w:val="000000"/>
          <w:kern w:val="28"/>
        </w:rPr>
        <w:t>SCCLP and Cogent Communications are also IP transit providers</w:t>
      </w:r>
      <w:r w:rsidRPr="006E2F27">
        <w:rPr>
          <w:snapToGrid w:val="0"/>
          <w:kern w:val="28"/>
        </w:rPr>
        <w:t>.  SCCLP ranks as the 22</w:t>
      </w:r>
      <w:r w:rsidRPr="006E2F27">
        <w:rPr>
          <w:snapToGrid w:val="0"/>
          <w:kern w:val="28"/>
          <w:vertAlign w:val="superscript"/>
        </w:rPr>
        <w:t>nd</w:t>
      </w:r>
      <w:r w:rsidRPr="006E2F27">
        <w:rPr>
          <w:snapToGrid w:val="0"/>
          <w:kern w:val="28"/>
        </w:rPr>
        <w:t xml:space="preserve"> and Cogent Communications ranks as the 3</w:t>
      </w:r>
      <w:r w:rsidRPr="006E2F27">
        <w:rPr>
          <w:snapToGrid w:val="0"/>
          <w:kern w:val="28"/>
          <w:vertAlign w:val="superscript"/>
        </w:rPr>
        <w:t>rd</w:t>
      </w:r>
      <w:r w:rsidRPr="006E2F27">
        <w:rPr>
          <w:snapToGrid w:val="0"/>
          <w:kern w:val="28"/>
        </w:rPr>
        <w:t xml:space="preserve"> largest transit provider globally.</w:t>
      </w:r>
      <w:r>
        <w:rPr>
          <w:snapToGrid w:val="0"/>
          <w:kern w:val="28"/>
          <w:vertAlign w:val="superscript"/>
        </w:rPr>
        <w:footnoteReference w:id="32"/>
      </w:r>
      <w:r w:rsidRPr="006E2F27">
        <w:rPr>
          <w:snapToGrid w:val="0"/>
          <w:kern w:val="28"/>
        </w:rPr>
        <w:t xml:space="preserve">  </w:t>
      </w:r>
      <w:r w:rsidRPr="006E2F27">
        <w:rPr>
          <w:snapToGrid w:val="0"/>
          <w:color w:val="000000"/>
          <w:kern w:val="28"/>
        </w:rPr>
        <w:t xml:space="preserve">Cogent Communications explains that it competes against </w:t>
      </w:r>
      <w:r w:rsidRPr="006E2F27">
        <w:rPr>
          <w:snapToGrid w:val="0"/>
          <w:kern w:val="28"/>
        </w:rPr>
        <w:t xml:space="preserve">major global providers, including </w:t>
      </w:r>
      <w:r w:rsidRPr="006E2F27">
        <w:rPr>
          <w:snapToGrid w:val="0"/>
          <w:kern w:val="28"/>
        </w:rPr>
        <w:t>Arelion</w:t>
      </w:r>
      <w:r w:rsidRPr="006E2F27">
        <w:rPr>
          <w:snapToGrid w:val="0"/>
          <w:kern w:val="28"/>
        </w:rPr>
        <w:t>, NTT Communications, Tata Communications, Telecom Italia Sparkle, and Zayo, as well as other large U.S. telecommunications carriers and cable operators</w:t>
      </w:r>
      <w:r w:rsidRPr="006E2F27">
        <w:rPr>
          <w:snapToGrid w:val="0"/>
          <w:color w:val="000000"/>
          <w:kern w:val="28"/>
          <w:sz w:val="20"/>
        </w:rPr>
        <w:t>.</w:t>
      </w:r>
      <w:r>
        <w:rPr>
          <w:snapToGrid w:val="0"/>
          <w:kern w:val="28"/>
          <w:sz w:val="20"/>
          <w:vertAlign w:val="superscript"/>
        </w:rPr>
        <w:footnoteReference w:id="33"/>
      </w:r>
      <w:r w:rsidRPr="006E2F27">
        <w:rPr>
          <w:snapToGrid w:val="0"/>
          <w:color w:val="000000"/>
          <w:kern w:val="28"/>
          <w:sz w:val="20"/>
        </w:rPr>
        <w:t xml:space="preserve">  </w:t>
      </w:r>
      <w:r w:rsidRPr="006E2F27">
        <w:rPr>
          <w:snapToGrid w:val="0"/>
          <w:color w:val="3D3D3D"/>
          <w:kern w:val="28"/>
          <w:sz w:val="20"/>
          <w:shd w:val="clear" w:color="auto" w:fill="FFFFFF"/>
        </w:rPr>
        <w:t> </w:t>
      </w:r>
      <w:r w:rsidRPr="006E2F27">
        <w:rPr>
          <w:snapToGrid w:val="0"/>
          <w:color w:val="3D3D3D"/>
          <w:kern w:val="28"/>
          <w:szCs w:val="22"/>
          <w:shd w:val="clear" w:color="auto" w:fill="FFFFFF"/>
        </w:rPr>
        <w:t xml:space="preserve">There are no comments in this proceeding alleging that the proposed transaction will harm the IP transit marketplace.  </w:t>
      </w:r>
      <w:r w:rsidRPr="006E2F27">
        <w:rPr>
          <w:snapToGrid w:val="0"/>
          <w:color w:val="000000"/>
          <w:kern w:val="28"/>
          <w:szCs w:val="22"/>
        </w:rPr>
        <w:t>As the Commission has found, the transit services marketplace is highly competitive,</w:t>
      </w:r>
      <w:r>
        <w:rPr>
          <w:snapToGrid w:val="0"/>
          <w:kern w:val="28"/>
          <w:szCs w:val="22"/>
          <w:vertAlign w:val="superscript"/>
        </w:rPr>
        <w:footnoteReference w:id="34"/>
      </w:r>
      <w:r w:rsidRPr="006E2F27">
        <w:rPr>
          <w:snapToGrid w:val="0"/>
          <w:color w:val="000000"/>
          <w:kern w:val="28"/>
          <w:szCs w:val="22"/>
        </w:rPr>
        <w:t xml:space="preserve"> and the loss of SCCLP is unlikely to significantly decrease competition for customers of IP transit.  We agree with Applicants that acquiring the SCCLP network will allow Cogent Communications to expand its reach in order to compete more effectively and that it will continue to be subject to significant competitive pressure post-transaction.</w:t>
      </w:r>
      <w:r>
        <w:rPr>
          <w:snapToGrid w:val="0"/>
          <w:kern w:val="28"/>
          <w:szCs w:val="22"/>
          <w:vertAlign w:val="superscript"/>
        </w:rPr>
        <w:footnoteReference w:id="35"/>
      </w:r>
      <w:r w:rsidRPr="006E2F27">
        <w:rPr>
          <w:snapToGrid w:val="0"/>
          <w:color w:val="000000"/>
          <w:kern w:val="28"/>
          <w:szCs w:val="22"/>
        </w:rPr>
        <w:t xml:space="preserve"> Moreover, Applicants have stated on</w:t>
      </w:r>
      <w:r w:rsidRPr="006E2F27">
        <w:rPr>
          <w:snapToGrid w:val="0"/>
          <w:color w:val="000000"/>
          <w:kern w:val="28"/>
        </w:rPr>
        <w:t xml:space="preserve"> the record that absent the proposed transaction, T-Mobile planned to wind down the SCCLP business and decommission the network, thereby eliminating SCCLP as a competitor in any case.</w:t>
      </w:r>
      <w:r>
        <w:rPr>
          <w:snapToGrid w:val="0"/>
          <w:kern w:val="28"/>
          <w:vertAlign w:val="superscript"/>
        </w:rPr>
        <w:footnoteReference w:id="36"/>
      </w:r>
      <w:r w:rsidRPr="006E2F27">
        <w:rPr>
          <w:snapToGrid w:val="0"/>
          <w:color w:val="000000"/>
          <w:kern w:val="28"/>
        </w:rPr>
        <w:t xml:space="preserve">  Further,</w:t>
      </w:r>
      <w:r w:rsidRPr="006E2F27">
        <w:rPr>
          <w:szCs w:val="22"/>
        </w:rPr>
        <w:t xml:space="preserve"> Applicants state that Cogent Infrastructure will continue to serve SCCLP customers with existing arrangements as well as offer additional service options,</w:t>
      </w:r>
      <w:r>
        <w:rPr>
          <w:snapToGrid w:val="0"/>
          <w:szCs w:val="22"/>
          <w:vertAlign w:val="superscript"/>
        </w:rPr>
        <w:footnoteReference w:id="37"/>
      </w:r>
      <w:r w:rsidRPr="006E2F27">
        <w:rPr>
          <w:szCs w:val="22"/>
        </w:rPr>
        <w:t xml:space="preserve"> and we thus expect no potential harm to existing customers to result from the proposed transaction.</w:t>
      </w:r>
      <w:r>
        <w:rPr>
          <w:szCs w:val="22"/>
          <w:vertAlign w:val="superscript"/>
        </w:rPr>
        <w:footnoteReference w:id="38"/>
      </w:r>
    </w:p>
    <w:p w:rsidR="006E2F27" w:rsidRPr="006E2F27" w:rsidP="006E2F27" w14:paraId="408B355C" w14:textId="77777777">
      <w:pPr>
        <w:widowControl w:val="0"/>
        <w:autoSpaceDE w:val="0"/>
        <w:autoSpaceDN w:val="0"/>
        <w:adjustRightInd w:val="0"/>
        <w:spacing w:after="120"/>
        <w:ind w:firstLine="720"/>
        <w:rPr>
          <w:snapToGrid w:val="0"/>
          <w:color w:val="000000"/>
          <w:kern w:val="28"/>
          <w:szCs w:val="22"/>
        </w:rPr>
      </w:pPr>
      <w:r w:rsidRPr="006E2F27">
        <w:rPr>
          <w:snapToGrid w:val="0"/>
          <w:kern w:val="28"/>
        </w:rPr>
        <w:t>Applicants assert that the proposed transaction also will benefit customers by transferring the SCCLP network assets to Cogent Infrastructure, which will invest in and use them to expand service offerings and better compete.</w:t>
      </w:r>
      <w:r>
        <w:rPr>
          <w:snapToGrid w:val="0"/>
          <w:kern w:val="28"/>
          <w:vertAlign w:val="superscript"/>
        </w:rPr>
        <w:footnoteReference w:id="39"/>
      </w:r>
      <w:r w:rsidRPr="006E2F27">
        <w:rPr>
          <w:snapToGrid w:val="0"/>
          <w:kern w:val="28"/>
        </w:rPr>
        <w:t xml:space="preserve">  Specifically, Applicants assert that legacy SCCLP customers will have the opportunity to switch from legacy MPLS services to more advanced VPLS services.</w:t>
      </w:r>
      <w:r>
        <w:rPr>
          <w:snapToGrid w:val="0"/>
          <w:kern w:val="28"/>
          <w:vertAlign w:val="superscript"/>
        </w:rPr>
        <w:footnoteReference w:id="40"/>
      </w:r>
      <w:r w:rsidRPr="006E2F27">
        <w:rPr>
          <w:snapToGrid w:val="0"/>
          <w:kern w:val="28"/>
        </w:rPr>
        <w:t xml:space="preserve">  They also assert that acquiring SCCLP’s network will allow Cogent Communications to increase ownership of core network facilities, improve service, decrease network costs, and compete more effectively in the provision of IP transit service.</w:t>
      </w:r>
      <w:r>
        <w:rPr>
          <w:snapToGrid w:val="0"/>
          <w:kern w:val="28"/>
          <w:vertAlign w:val="superscript"/>
        </w:rPr>
        <w:footnoteReference w:id="41"/>
      </w:r>
      <w:r w:rsidRPr="006E2F27">
        <w:rPr>
          <w:snapToGrid w:val="0"/>
          <w:kern w:val="28"/>
        </w:rPr>
        <w:t xml:space="preserve">  We agree that the transaction should allow </w:t>
      </w:r>
      <w:r w:rsidRPr="006E2F27">
        <w:rPr>
          <w:snapToGrid w:val="0"/>
          <w:kern w:val="28"/>
        </w:rPr>
        <w:t>Cogent to lower costs and provide better service, thereby enhancing competition.  The Commission has recognized that a transaction can enhance a firm’s ability to compete, lower prices, and improve service quality where the transaction allows it to reduce reliance on leased fiber facilities and serve multi-location customers over owned facilities.</w:t>
      </w:r>
      <w:r>
        <w:rPr>
          <w:snapToGrid w:val="0"/>
          <w:kern w:val="28"/>
          <w:vertAlign w:val="superscript"/>
        </w:rPr>
        <w:footnoteReference w:id="42"/>
      </w:r>
      <w:r w:rsidRPr="006E2F27">
        <w:rPr>
          <w:snapToGrid w:val="0"/>
          <w:kern w:val="28"/>
        </w:rPr>
        <w:t xml:space="preserve">  In addition, ensuring consumers receive new or additional services is an important public interest factor,</w:t>
      </w:r>
      <w:r>
        <w:rPr>
          <w:snapToGrid w:val="0"/>
          <w:kern w:val="28"/>
          <w:vertAlign w:val="superscript"/>
        </w:rPr>
        <w:footnoteReference w:id="43"/>
      </w:r>
      <w:r w:rsidRPr="006E2F27">
        <w:rPr>
          <w:snapToGrid w:val="0"/>
          <w:kern w:val="28"/>
        </w:rPr>
        <w:t xml:space="preserve"> and </w:t>
      </w:r>
      <w:r w:rsidRPr="006E2F27">
        <w:rPr>
          <w:snapToGrid w:val="0"/>
          <w:color w:val="000000"/>
          <w:kern w:val="28"/>
        </w:rPr>
        <w:t>accelerating private sector deployment of advanced services is one of the aims of the Act.</w:t>
      </w:r>
      <w:r>
        <w:rPr>
          <w:snapToGrid w:val="0"/>
          <w:color w:val="000000"/>
          <w:kern w:val="28"/>
          <w:sz w:val="20"/>
          <w:vertAlign w:val="superscript"/>
        </w:rPr>
        <w:footnoteReference w:id="44"/>
      </w:r>
      <w:r w:rsidRPr="006E2F27">
        <w:rPr>
          <w:snapToGrid w:val="0"/>
          <w:color w:val="000000"/>
          <w:kern w:val="28"/>
        </w:rPr>
        <w:t xml:space="preserve">  We also find that transferring the SCCLP network assets to Cogent Infrastructure will allow existing customers to remain on the network rather than endure the disruption of switching to a new provider as would be required if SCCLP decommissioned the network.</w:t>
      </w:r>
      <w:r>
        <w:rPr>
          <w:snapToGrid w:val="0"/>
          <w:kern w:val="28"/>
          <w:vertAlign w:val="superscript"/>
        </w:rPr>
        <w:footnoteReference w:id="45"/>
      </w:r>
      <w:r w:rsidRPr="006E2F27">
        <w:rPr>
          <w:snapToGrid w:val="0"/>
          <w:color w:val="000000"/>
          <w:kern w:val="28"/>
        </w:rPr>
        <w:t xml:space="preserve">  Overall, we find </w:t>
      </w:r>
      <w:r w:rsidRPr="006E2F27">
        <w:rPr>
          <w:bCs/>
          <w:szCs w:val="22"/>
        </w:rPr>
        <w:t xml:space="preserve">it likely that the proposed transaction would result in some public interest benefits and, given the lack of potential harms, </w:t>
      </w:r>
      <w:r w:rsidRPr="006E2F27">
        <w:rPr>
          <w:szCs w:val="22"/>
        </w:rPr>
        <w:t xml:space="preserve">find on balance that the proposed transaction serves the public interest.  </w:t>
      </w:r>
      <w:r w:rsidRPr="006E2F27">
        <w:rPr>
          <w:color w:val="000000"/>
        </w:rPr>
        <w:t xml:space="preserve">We </w:t>
      </w:r>
      <w:r w:rsidRPr="006E2F27">
        <w:rPr>
          <w:szCs w:val="22"/>
        </w:rPr>
        <w:t>therefore grant the Applications</w:t>
      </w:r>
      <w:r w:rsidRPr="006E2F27">
        <w:rPr>
          <w:color w:val="000000"/>
          <w:kern w:val="28"/>
        </w:rPr>
        <w:t>.</w:t>
      </w:r>
      <w:r w:rsidRPr="006E2F27">
        <w:rPr>
          <w:snapToGrid w:val="0"/>
          <w:color w:val="000000"/>
          <w:kern w:val="28"/>
          <w:szCs w:val="22"/>
        </w:rPr>
        <w:t xml:space="preserve">  </w:t>
      </w:r>
      <w:r w:rsidRPr="006E2F27">
        <w:t xml:space="preserve">  </w:t>
      </w:r>
    </w:p>
    <w:p w:rsidR="006E2F27" w:rsidRPr="006E2F27" w:rsidP="006E2F27" w14:paraId="378AD37A" w14:textId="77777777">
      <w:pPr>
        <w:widowControl w:val="0"/>
        <w:spacing w:after="120"/>
        <w:ind w:firstLine="720"/>
      </w:pPr>
      <w:r w:rsidRPr="006E2F27">
        <w:t>Accordingly, pursuant to sections 4(</w:t>
      </w:r>
      <w:r w:rsidRPr="006E2F27">
        <w:t>i</w:t>
      </w:r>
      <w:r w:rsidRPr="006E2F27">
        <w:t>) and (j), 5(c), 214(a), 214(c), 303(r), 309, and 310(d) of the Act, 47 U.S.C. §§ 154(</w:t>
      </w:r>
      <w:r w:rsidRPr="006E2F27">
        <w:t>i</w:t>
      </w:r>
      <w:r w:rsidRPr="006E2F27">
        <w:t xml:space="preserve">), 154(j), 155(c), 214(a), 214(c), 303(r), 309, 310(d), </w:t>
      </w:r>
      <w:r w:rsidRPr="006E2F27">
        <w:rPr>
          <w:snapToGrid w:val="0"/>
          <w:color w:val="000000"/>
          <w:kern w:val="28"/>
          <w:szCs w:val="22"/>
        </w:rPr>
        <w:t xml:space="preserve">the Cable Landing License Act of 1921, </w:t>
      </w:r>
      <w:r w:rsidRPr="006E2F27">
        <w:t>47 U.S.C. §§ 34-39, and sections 1.767, 1.948</w:t>
      </w:r>
      <w:r w:rsidRPr="006E2F27">
        <w:rPr>
          <w:snapToGrid w:val="0"/>
          <w:kern w:val="28"/>
        </w:rPr>
        <w:t>,</w:t>
      </w:r>
      <w:r w:rsidRPr="006E2F27">
        <w:t xml:space="preserve"> 63.04, and 63.24 of the Commission’s rules, 47 C.F.R. §§ 1.767, 1.948</w:t>
      </w:r>
      <w:r w:rsidRPr="006E2F27">
        <w:rPr>
          <w:snapToGrid w:val="0"/>
          <w:kern w:val="28"/>
        </w:rPr>
        <w:t>,</w:t>
      </w:r>
      <w:r w:rsidRPr="006E2F27">
        <w:t xml:space="preserve"> 63.04, 63.24, and pursuant to the authority delegated under sections 0.51, 0.91, 0.131, 0.261, 0.291, and 0.331 of the Commission’s rules, 47 CFR §§ 0.51, 0.91, 0.131, 0.261, 0.291, 0.331, we grant the</w:t>
      </w:r>
      <w:r w:rsidRPr="006E2F27">
        <w:rPr>
          <w:i/>
        </w:rPr>
        <w:t xml:space="preserve"> </w:t>
      </w:r>
      <w:r w:rsidRPr="006E2F27">
        <w:t>Applications listed in Attachment A.</w:t>
      </w:r>
    </w:p>
    <w:p w:rsidR="006E2F27" w:rsidRPr="006E2F27" w:rsidP="006E2F27" w14:paraId="63DFCCFB" w14:textId="77777777">
      <w:pPr>
        <w:widowControl w:val="0"/>
        <w:spacing w:after="120"/>
        <w:ind w:firstLine="720"/>
        <w:rPr>
          <w:snapToGrid w:val="0"/>
          <w:kern w:val="28"/>
        </w:rPr>
      </w:pPr>
      <w:r w:rsidRPr="006E2F27">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6E2F27" w:rsidRPr="006E2F27" w:rsidP="006E2F27" w14:paraId="1BC794F9" w14:textId="77777777">
      <w:pPr>
        <w:ind w:firstLine="720"/>
        <w:rPr>
          <w:snapToGrid w:val="0"/>
          <w:color w:val="000000"/>
          <w:kern w:val="28"/>
          <w:szCs w:val="22"/>
        </w:rPr>
      </w:pPr>
      <w:r w:rsidRPr="006E2F27">
        <w:rPr>
          <w:snapToGrid w:val="0"/>
          <w:color w:val="000000"/>
          <w:kern w:val="28"/>
          <w:szCs w:val="22"/>
        </w:rPr>
        <w:t xml:space="preserve">For further information, please contact Keith Buell, Wireline Competition Bureau, (202) 418-2378; Clay </w:t>
      </w:r>
      <w:r w:rsidRPr="006E2F27">
        <w:rPr>
          <w:snapToGrid w:val="0"/>
          <w:color w:val="000000"/>
          <w:kern w:val="28"/>
          <w:szCs w:val="22"/>
        </w:rPr>
        <w:t>DeCell</w:t>
      </w:r>
      <w:r w:rsidRPr="006E2F27">
        <w:rPr>
          <w:snapToGrid w:val="0"/>
          <w:color w:val="000000"/>
          <w:kern w:val="28"/>
          <w:szCs w:val="22"/>
        </w:rPr>
        <w:t xml:space="preserve">, </w:t>
      </w:r>
      <w:bookmarkStart w:id="8" w:name="_Hlk63082595"/>
      <w:r w:rsidRPr="006E2F27">
        <w:rPr>
          <w:snapToGrid w:val="0"/>
          <w:color w:val="000000"/>
          <w:kern w:val="28"/>
          <w:szCs w:val="22"/>
        </w:rPr>
        <w:t>International Bureau, (202) 418-</w:t>
      </w:r>
      <w:bookmarkEnd w:id="8"/>
      <w:r w:rsidRPr="006E2F27">
        <w:rPr>
          <w:snapToGrid w:val="0"/>
          <w:color w:val="000000"/>
          <w:kern w:val="28"/>
          <w:szCs w:val="22"/>
        </w:rPr>
        <w:t>0803; David Krech, International Bureau, (202) 418-7443; or for the Wireless Telecommunications Bureau, Jeff Tobias, (202) 418-1617.</w:t>
      </w:r>
    </w:p>
    <w:p w:rsidR="006E2F27" w:rsidRPr="006E2F27" w:rsidP="006E2F27" w14:paraId="52AADB7D" w14:textId="77777777">
      <w:pPr>
        <w:autoSpaceDE w:val="0"/>
        <w:autoSpaceDN w:val="0"/>
        <w:adjustRightInd w:val="0"/>
        <w:rPr>
          <w:szCs w:val="22"/>
        </w:rPr>
      </w:pPr>
    </w:p>
    <w:p w:rsidR="006E2F27" w:rsidRPr="006E2F27" w:rsidP="006E2F27" w14:paraId="7FB32BBD" w14:textId="77777777">
      <w:pPr>
        <w:autoSpaceDE w:val="0"/>
        <w:autoSpaceDN w:val="0"/>
        <w:adjustRightInd w:val="0"/>
        <w:rPr>
          <w:color w:val="000000"/>
          <w:szCs w:val="22"/>
        </w:rPr>
      </w:pPr>
      <w:r w:rsidRPr="006E2F27">
        <w:rPr>
          <w:szCs w:val="22"/>
        </w:rPr>
        <w:tab/>
      </w:r>
    </w:p>
    <w:p w:rsidR="006E2F27" w:rsidRPr="006E2F27" w:rsidP="006E2F27" w14:paraId="17A1EFFE" w14:textId="77777777">
      <w:pPr>
        <w:jc w:val="center"/>
        <w:rPr>
          <w:b/>
          <w:color w:val="000000"/>
          <w:szCs w:val="22"/>
          <w:u w:val="single"/>
        </w:rPr>
      </w:pPr>
      <w:r w:rsidRPr="006E2F27">
        <w:rPr>
          <w:b/>
          <w:color w:val="000000"/>
          <w:szCs w:val="22"/>
        </w:rPr>
        <w:br w:type="page"/>
      </w:r>
      <w:r w:rsidRPr="006E2F27">
        <w:rPr>
          <w:b/>
          <w:color w:val="000000"/>
          <w:szCs w:val="22"/>
          <w:u w:val="single"/>
        </w:rPr>
        <w:t>ATTACHMENT A</w:t>
      </w:r>
    </w:p>
    <w:p w:rsidR="006E2F27" w:rsidRPr="006E2F27" w:rsidP="006E2F27" w14:paraId="3A80A057" w14:textId="77777777">
      <w:pPr>
        <w:rPr>
          <w:b/>
          <w:color w:val="000000"/>
          <w:szCs w:val="22"/>
        </w:rPr>
      </w:pPr>
    </w:p>
    <w:p w:rsidR="006E2F27" w:rsidRPr="006E2F27" w:rsidP="006E2F27" w14:paraId="739404DE" w14:textId="77777777">
      <w:pPr>
        <w:rPr>
          <w:b/>
          <w:color w:val="000000"/>
          <w:szCs w:val="22"/>
        </w:rPr>
      </w:pPr>
    </w:p>
    <w:p w:rsidR="006E2F27" w:rsidRPr="006E2F27" w:rsidP="006E2F27" w14:paraId="108B9BA2" w14:textId="77777777">
      <w:pPr>
        <w:rPr>
          <w:color w:val="000000"/>
          <w:szCs w:val="22"/>
        </w:rPr>
      </w:pPr>
      <w:r w:rsidRPr="006E2F27">
        <w:rPr>
          <w:b/>
          <w:color w:val="000000"/>
          <w:szCs w:val="22"/>
        </w:rPr>
        <w:t>SECTION 214 AUTHORIZATIONS</w:t>
      </w:r>
    </w:p>
    <w:p w:rsidR="006E2F27" w:rsidRPr="006E2F27" w:rsidP="006E2F27" w14:paraId="56DE4761" w14:textId="77777777">
      <w:pPr>
        <w:rPr>
          <w:color w:val="000000"/>
          <w:szCs w:val="22"/>
        </w:rPr>
      </w:pPr>
    </w:p>
    <w:p w:rsidR="006E2F27" w:rsidRPr="006E2F27" w:rsidP="006E2F27" w14:paraId="2865308D" w14:textId="77777777">
      <w:pPr>
        <w:rPr>
          <w:b/>
          <w:color w:val="000000"/>
          <w:szCs w:val="22"/>
        </w:rPr>
      </w:pPr>
      <w:r w:rsidRPr="006E2F27">
        <w:rPr>
          <w:b/>
          <w:color w:val="000000"/>
          <w:szCs w:val="22"/>
        </w:rPr>
        <w:t>A.</w:t>
      </w:r>
      <w:r w:rsidRPr="006E2F27">
        <w:rPr>
          <w:b/>
          <w:color w:val="000000"/>
          <w:szCs w:val="22"/>
        </w:rPr>
        <w:tab/>
        <w:t>International</w:t>
      </w:r>
    </w:p>
    <w:p w:rsidR="006E2F27" w:rsidRPr="006E2F27" w:rsidP="006E2F27" w14:paraId="4D0462AB" w14:textId="77777777">
      <w:pPr>
        <w:widowControl w:val="0"/>
        <w:rPr>
          <w:snapToGrid w:val="0"/>
          <w:color w:val="000000"/>
          <w:kern w:val="28"/>
          <w:szCs w:val="22"/>
        </w:rPr>
      </w:pPr>
    </w:p>
    <w:p w:rsidR="006E2F27" w:rsidRPr="006E2F27" w:rsidP="006E2F27" w14:paraId="3C4A24F8" w14:textId="77777777">
      <w:pPr>
        <w:widowControl w:val="0"/>
        <w:rPr>
          <w:snapToGrid w:val="0"/>
          <w:color w:val="000000"/>
          <w:kern w:val="28"/>
          <w:szCs w:val="22"/>
        </w:rPr>
      </w:pPr>
    </w:p>
    <w:tbl>
      <w:tblPr>
        <w:tblW w:w="9738" w:type="dxa"/>
        <w:tblLook w:val="01E0"/>
      </w:tblPr>
      <w:tblGrid>
        <w:gridCol w:w="2880"/>
        <w:gridCol w:w="3888"/>
        <w:gridCol w:w="2970"/>
      </w:tblGrid>
      <w:tr w14:paraId="4E7A6B82" w14:textId="77777777" w:rsidTr="007F070D">
        <w:tblPrEx>
          <w:tblW w:w="9738" w:type="dxa"/>
          <w:tblLook w:val="01E0"/>
        </w:tblPrEx>
        <w:tc>
          <w:tcPr>
            <w:tcW w:w="2880" w:type="dxa"/>
          </w:tcPr>
          <w:p w:rsidR="006E2F27" w:rsidRPr="006E2F27" w:rsidP="006E2F27" w14:paraId="037918B0" w14:textId="77777777">
            <w:pPr>
              <w:widowControl w:val="0"/>
              <w:rPr>
                <w:b/>
                <w:bCs/>
                <w:snapToGrid w:val="0"/>
                <w:color w:val="000000"/>
                <w:kern w:val="28"/>
                <w:szCs w:val="22"/>
              </w:rPr>
            </w:pPr>
            <w:r w:rsidRPr="006E2F27">
              <w:rPr>
                <w:b/>
                <w:bCs/>
                <w:snapToGrid w:val="0"/>
                <w:color w:val="000000"/>
                <w:kern w:val="28"/>
                <w:szCs w:val="22"/>
                <w:u w:val="single"/>
              </w:rPr>
              <w:t>File Number</w:t>
            </w:r>
          </w:p>
        </w:tc>
        <w:tc>
          <w:tcPr>
            <w:tcW w:w="3888" w:type="dxa"/>
          </w:tcPr>
          <w:p w:rsidR="006E2F27" w:rsidRPr="006E2F27" w:rsidP="006E2F27" w14:paraId="57B4BC34" w14:textId="77777777">
            <w:pPr>
              <w:widowControl w:val="0"/>
              <w:rPr>
                <w:b/>
                <w:bCs/>
                <w:snapToGrid w:val="0"/>
                <w:color w:val="000000"/>
                <w:kern w:val="28"/>
                <w:szCs w:val="22"/>
              </w:rPr>
            </w:pPr>
            <w:r w:rsidRPr="006E2F27">
              <w:rPr>
                <w:b/>
                <w:bCs/>
                <w:snapToGrid w:val="0"/>
                <w:color w:val="000000"/>
                <w:kern w:val="28"/>
                <w:szCs w:val="22"/>
                <w:u w:val="single"/>
              </w:rPr>
              <w:t>Authorization Holder</w:t>
            </w:r>
          </w:p>
        </w:tc>
        <w:tc>
          <w:tcPr>
            <w:tcW w:w="2970" w:type="dxa"/>
          </w:tcPr>
          <w:p w:rsidR="006E2F27" w:rsidRPr="006E2F27" w:rsidP="006E2F27" w14:paraId="4BA4ED6F" w14:textId="77777777">
            <w:pPr>
              <w:widowControl w:val="0"/>
              <w:rPr>
                <w:b/>
                <w:bCs/>
                <w:snapToGrid w:val="0"/>
                <w:color w:val="000000"/>
                <w:kern w:val="28"/>
                <w:szCs w:val="22"/>
                <w:u w:val="single"/>
              </w:rPr>
            </w:pPr>
            <w:r w:rsidRPr="006E2F27">
              <w:rPr>
                <w:b/>
                <w:bCs/>
                <w:snapToGrid w:val="0"/>
                <w:color w:val="000000"/>
                <w:kern w:val="28"/>
                <w:szCs w:val="22"/>
                <w:u w:val="single"/>
              </w:rPr>
              <w:t>Authorization Number</w:t>
            </w:r>
          </w:p>
          <w:p w:rsidR="006E2F27" w:rsidRPr="006E2F27" w:rsidP="006E2F27" w14:paraId="11358D4D" w14:textId="77777777">
            <w:pPr>
              <w:widowControl w:val="0"/>
              <w:rPr>
                <w:snapToGrid w:val="0"/>
                <w:color w:val="000000"/>
                <w:kern w:val="28"/>
                <w:szCs w:val="22"/>
                <w:u w:val="single"/>
              </w:rPr>
            </w:pPr>
          </w:p>
        </w:tc>
      </w:tr>
      <w:tr w14:paraId="7FE4406C" w14:textId="77777777" w:rsidTr="007F070D">
        <w:tblPrEx>
          <w:tblW w:w="9738" w:type="dxa"/>
          <w:tblLook w:val="01E0"/>
        </w:tblPrEx>
        <w:tc>
          <w:tcPr>
            <w:tcW w:w="2880" w:type="dxa"/>
          </w:tcPr>
          <w:p w:rsidR="006E2F27" w:rsidRPr="006E2F27" w:rsidP="006E2F27" w14:paraId="497B3E55" w14:textId="77777777">
            <w:pPr>
              <w:widowControl w:val="0"/>
              <w:rPr>
                <w:snapToGrid w:val="0"/>
                <w:color w:val="000000"/>
                <w:kern w:val="28"/>
                <w:szCs w:val="22"/>
                <w:highlight w:val="yellow"/>
              </w:rPr>
            </w:pPr>
            <w:r w:rsidRPr="006E2F27">
              <w:rPr>
                <w:snapToGrid w:val="0"/>
                <w:kern w:val="28"/>
              </w:rPr>
              <w:t>ITC-T/C-20221012-00124</w:t>
            </w:r>
          </w:p>
        </w:tc>
        <w:tc>
          <w:tcPr>
            <w:tcW w:w="3888" w:type="dxa"/>
          </w:tcPr>
          <w:p w:rsidR="006E2F27" w:rsidRPr="006E2F27" w:rsidP="006E2F27" w14:paraId="18131022" w14:textId="77777777">
            <w:pPr>
              <w:widowControl w:val="0"/>
              <w:rPr>
                <w:snapToGrid w:val="0"/>
                <w:color w:val="000000"/>
                <w:kern w:val="28"/>
                <w:szCs w:val="22"/>
              </w:rPr>
            </w:pPr>
            <w:r w:rsidRPr="006E2F27">
              <w:rPr>
                <w:snapToGrid w:val="0"/>
                <w:color w:val="000000"/>
                <w:kern w:val="28"/>
                <w:szCs w:val="22"/>
              </w:rPr>
              <w:t>Sprint Communications Company L.P.</w:t>
            </w:r>
          </w:p>
        </w:tc>
        <w:tc>
          <w:tcPr>
            <w:tcW w:w="2970" w:type="dxa"/>
          </w:tcPr>
          <w:p w:rsidR="006E2F27" w:rsidRPr="006E2F27" w:rsidP="006E2F27" w14:paraId="2E5EA63E" w14:textId="77777777">
            <w:pPr>
              <w:widowControl w:val="0"/>
              <w:rPr>
                <w:snapToGrid w:val="0"/>
                <w:color w:val="000000"/>
                <w:kern w:val="28"/>
                <w:szCs w:val="22"/>
              </w:rPr>
            </w:pPr>
            <w:r w:rsidRPr="006E2F27">
              <w:rPr>
                <w:snapToGrid w:val="0"/>
                <w:color w:val="000000"/>
                <w:kern w:val="28"/>
                <w:szCs w:val="22"/>
              </w:rPr>
              <w:t>ITC-214-20221010-00118</w:t>
            </w:r>
          </w:p>
          <w:p w:rsidR="006E2F27" w:rsidRPr="006E2F27" w:rsidP="006E2F27" w14:paraId="001C73B7" w14:textId="77777777">
            <w:pPr>
              <w:widowControl w:val="0"/>
              <w:rPr>
                <w:snapToGrid w:val="0"/>
                <w:color w:val="000000"/>
                <w:kern w:val="28"/>
                <w:szCs w:val="22"/>
              </w:rPr>
            </w:pPr>
            <w:r w:rsidRPr="006E2F27">
              <w:rPr>
                <w:snapToGrid w:val="0"/>
                <w:color w:val="000000"/>
                <w:kern w:val="28"/>
                <w:szCs w:val="22"/>
              </w:rPr>
              <w:t>ITC-MOD-20200221-00034</w:t>
            </w:r>
          </w:p>
          <w:p w:rsidR="006E2F27" w:rsidRPr="006E2F27" w:rsidP="006E2F27" w14:paraId="5E8FE921" w14:textId="77777777">
            <w:pPr>
              <w:widowControl w:val="0"/>
              <w:rPr>
                <w:snapToGrid w:val="0"/>
                <w:color w:val="000000"/>
                <w:kern w:val="28"/>
                <w:szCs w:val="22"/>
              </w:rPr>
            </w:pPr>
            <w:r w:rsidRPr="006E2F27">
              <w:rPr>
                <w:snapToGrid w:val="0"/>
                <w:color w:val="000000"/>
                <w:kern w:val="28"/>
                <w:szCs w:val="22"/>
              </w:rPr>
              <w:t>ITC-214-19950818-00039</w:t>
            </w:r>
          </w:p>
          <w:p w:rsidR="006E2F27" w:rsidRPr="006E2F27" w:rsidP="006E2F27" w14:paraId="51EF72ED" w14:textId="77777777">
            <w:pPr>
              <w:widowControl w:val="0"/>
              <w:rPr>
                <w:snapToGrid w:val="0"/>
                <w:color w:val="000000"/>
                <w:kern w:val="28"/>
                <w:szCs w:val="22"/>
              </w:rPr>
            </w:pPr>
            <w:r w:rsidRPr="006E2F27">
              <w:rPr>
                <w:snapToGrid w:val="0"/>
                <w:color w:val="000000"/>
                <w:kern w:val="28"/>
                <w:szCs w:val="22"/>
              </w:rPr>
              <w:t>ITC-214-19990325-00153</w:t>
            </w:r>
          </w:p>
          <w:p w:rsidR="006E2F27" w:rsidRPr="006E2F27" w:rsidP="006E2F27" w14:paraId="6A18D173" w14:textId="77777777">
            <w:pPr>
              <w:widowControl w:val="0"/>
              <w:rPr>
                <w:snapToGrid w:val="0"/>
                <w:color w:val="000000"/>
                <w:kern w:val="28"/>
                <w:szCs w:val="22"/>
              </w:rPr>
            </w:pPr>
            <w:r w:rsidRPr="006E2F27">
              <w:rPr>
                <w:snapToGrid w:val="0"/>
                <w:color w:val="000000"/>
                <w:kern w:val="28"/>
                <w:szCs w:val="22"/>
              </w:rPr>
              <w:t>ITC-214-19970421-00220</w:t>
            </w:r>
          </w:p>
          <w:p w:rsidR="006E2F27" w:rsidRPr="006E2F27" w:rsidP="006E2F27" w14:paraId="5528236F" w14:textId="77777777">
            <w:pPr>
              <w:widowControl w:val="0"/>
              <w:rPr>
                <w:snapToGrid w:val="0"/>
                <w:color w:val="000000"/>
                <w:kern w:val="28"/>
                <w:szCs w:val="22"/>
                <w:highlight w:val="yellow"/>
              </w:rPr>
            </w:pPr>
            <w:r w:rsidRPr="006E2F27">
              <w:rPr>
                <w:snapToGrid w:val="0"/>
                <w:color w:val="000000"/>
                <w:kern w:val="28"/>
                <w:szCs w:val="22"/>
              </w:rPr>
              <w:t>ITC-MOD-20191025-00173</w:t>
            </w:r>
          </w:p>
        </w:tc>
      </w:tr>
    </w:tbl>
    <w:p w:rsidR="006E2F27" w:rsidRPr="006E2F27" w:rsidP="006E2F27" w14:paraId="72886D09" w14:textId="77777777">
      <w:pPr>
        <w:rPr>
          <w:color w:val="000000"/>
          <w:szCs w:val="22"/>
        </w:rPr>
      </w:pPr>
    </w:p>
    <w:tbl>
      <w:tblPr>
        <w:tblW w:w="9738" w:type="dxa"/>
        <w:tblLook w:val="01E0"/>
      </w:tblPr>
      <w:tblGrid>
        <w:gridCol w:w="2880"/>
        <w:gridCol w:w="3888"/>
        <w:gridCol w:w="2970"/>
      </w:tblGrid>
      <w:tr w14:paraId="310C9426" w14:textId="77777777" w:rsidTr="007F070D">
        <w:tblPrEx>
          <w:tblW w:w="9738" w:type="dxa"/>
          <w:tblLook w:val="01E0"/>
        </w:tblPrEx>
        <w:tc>
          <w:tcPr>
            <w:tcW w:w="2880" w:type="dxa"/>
          </w:tcPr>
          <w:p w:rsidR="006E2F27" w:rsidRPr="006E2F27" w:rsidP="006E2F27" w14:paraId="76CBF192" w14:textId="77777777">
            <w:pPr>
              <w:rPr>
                <w:color w:val="000000"/>
                <w:szCs w:val="22"/>
                <w:highlight w:val="yellow"/>
              </w:rPr>
            </w:pPr>
          </w:p>
          <w:p w:rsidR="006E2F27" w:rsidRPr="006E2F27" w:rsidP="006E2F27" w14:paraId="08FF5F42" w14:textId="77777777">
            <w:pPr>
              <w:rPr>
                <w:color w:val="000000"/>
                <w:szCs w:val="22"/>
                <w:highlight w:val="yellow"/>
              </w:rPr>
            </w:pPr>
          </w:p>
        </w:tc>
        <w:tc>
          <w:tcPr>
            <w:tcW w:w="3888" w:type="dxa"/>
          </w:tcPr>
          <w:p w:rsidR="006E2F27" w:rsidRPr="006E2F27" w:rsidP="006E2F27" w14:paraId="47F62C23" w14:textId="77777777">
            <w:pPr>
              <w:rPr>
                <w:color w:val="000000"/>
                <w:szCs w:val="22"/>
              </w:rPr>
            </w:pPr>
          </w:p>
        </w:tc>
        <w:tc>
          <w:tcPr>
            <w:tcW w:w="2970" w:type="dxa"/>
          </w:tcPr>
          <w:p w:rsidR="006E2F27" w:rsidRPr="006E2F27" w:rsidP="006E2F27" w14:paraId="4A08074B" w14:textId="77777777">
            <w:pPr>
              <w:rPr>
                <w:color w:val="000000"/>
                <w:szCs w:val="22"/>
                <w:highlight w:val="yellow"/>
              </w:rPr>
            </w:pPr>
          </w:p>
        </w:tc>
      </w:tr>
    </w:tbl>
    <w:p w:rsidR="006E2F27" w:rsidRPr="006E2F27" w:rsidP="006E2F27" w14:paraId="4A9C4FB8" w14:textId="77777777">
      <w:pPr>
        <w:rPr>
          <w:b/>
          <w:color w:val="000000"/>
          <w:szCs w:val="22"/>
        </w:rPr>
      </w:pPr>
      <w:r w:rsidRPr="006E2F27">
        <w:rPr>
          <w:b/>
          <w:color w:val="000000"/>
          <w:szCs w:val="22"/>
        </w:rPr>
        <w:t>B.</w:t>
      </w:r>
      <w:r w:rsidRPr="006E2F27">
        <w:rPr>
          <w:b/>
          <w:color w:val="000000"/>
          <w:szCs w:val="22"/>
        </w:rPr>
        <w:tab/>
        <w:t>Domestic</w:t>
      </w:r>
    </w:p>
    <w:p w:rsidR="006E2F27" w:rsidRPr="006E2F27" w:rsidP="006E2F27" w14:paraId="69AB1E7B" w14:textId="77777777">
      <w:pPr>
        <w:rPr>
          <w:color w:val="000000"/>
          <w:szCs w:val="22"/>
        </w:rPr>
      </w:pPr>
    </w:p>
    <w:p w:rsidR="006E2F27" w:rsidRPr="006E2F27" w:rsidP="006E2F27" w14:paraId="64BD5050" w14:textId="77777777">
      <w:pPr>
        <w:rPr>
          <w:color w:val="000000"/>
          <w:szCs w:val="22"/>
        </w:rPr>
      </w:pPr>
      <w:r w:rsidRPr="006E2F27">
        <w:rPr>
          <w:color w:val="000000"/>
          <w:szCs w:val="22"/>
        </w:rPr>
        <w:t xml:space="preserve">The Wireline Competition Bureau grants the application to transfer control of domestic section 214 authority in connection with the proposed transaction. </w:t>
      </w:r>
    </w:p>
    <w:tbl>
      <w:tblPr>
        <w:tblW w:w="9744" w:type="dxa"/>
        <w:tblLook w:val="01E0"/>
      </w:tblPr>
      <w:tblGrid>
        <w:gridCol w:w="2882"/>
        <w:gridCol w:w="3890"/>
        <w:gridCol w:w="2972"/>
      </w:tblGrid>
      <w:tr w14:paraId="4D9A9F83" w14:textId="77777777" w:rsidTr="007F070D">
        <w:tblPrEx>
          <w:tblW w:w="9744" w:type="dxa"/>
          <w:tblLook w:val="01E0"/>
        </w:tblPrEx>
        <w:trPr>
          <w:trHeight w:val="297"/>
        </w:trPr>
        <w:tc>
          <w:tcPr>
            <w:tcW w:w="2882" w:type="dxa"/>
          </w:tcPr>
          <w:p w:rsidR="006E2F27" w:rsidRPr="006E2F27" w:rsidP="006E2F27" w14:paraId="4DBF0206" w14:textId="77777777">
            <w:pPr>
              <w:rPr>
                <w:color w:val="000000"/>
                <w:szCs w:val="22"/>
              </w:rPr>
            </w:pPr>
          </w:p>
        </w:tc>
        <w:tc>
          <w:tcPr>
            <w:tcW w:w="3890" w:type="dxa"/>
          </w:tcPr>
          <w:p w:rsidR="006E2F27" w:rsidRPr="006E2F27" w:rsidP="006E2F27" w14:paraId="33BD8EC6" w14:textId="77777777">
            <w:pPr>
              <w:rPr>
                <w:color w:val="000000"/>
                <w:szCs w:val="22"/>
              </w:rPr>
            </w:pPr>
          </w:p>
        </w:tc>
        <w:tc>
          <w:tcPr>
            <w:tcW w:w="2972" w:type="dxa"/>
          </w:tcPr>
          <w:p w:rsidR="006E2F27" w:rsidRPr="006E2F27" w:rsidP="006E2F27" w14:paraId="0A1B1FAB" w14:textId="77777777">
            <w:pPr>
              <w:rPr>
                <w:color w:val="000000"/>
                <w:szCs w:val="22"/>
              </w:rPr>
            </w:pPr>
          </w:p>
        </w:tc>
      </w:tr>
    </w:tbl>
    <w:p w:rsidR="006E2F27" w:rsidRPr="006E2F27" w:rsidP="006E2F27" w14:paraId="3FE64DDD" w14:textId="77777777">
      <w:pPr>
        <w:widowControl w:val="0"/>
        <w:rPr>
          <w:b/>
          <w:snapToGrid w:val="0"/>
          <w:color w:val="000000"/>
          <w:kern w:val="28"/>
          <w:szCs w:val="22"/>
        </w:rPr>
      </w:pPr>
      <w:r w:rsidRPr="006E2F27">
        <w:rPr>
          <w:b/>
          <w:snapToGrid w:val="0"/>
          <w:color w:val="000000"/>
          <w:kern w:val="28"/>
          <w:szCs w:val="22"/>
        </w:rPr>
        <w:t>CABLE LANDING LICENSES</w:t>
      </w:r>
    </w:p>
    <w:p w:rsidR="006E2F27" w:rsidRPr="006E2F27" w:rsidP="006E2F27" w14:paraId="0145F8FF" w14:textId="77777777">
      <w:pPr>
        <w:widowControl w:val="0"/>
        <w:rPr>
          <w:b/>
          <w:snapToGrid w:val="0"/>
          <w:color w:val="000000"/>
          <w:kern w:val="28"/>
          <w:szCs w:val="22"/>
        </w:rPr>
      </w:pPr>
      <w:r w:rsidRPr="006E2F27">
        <w:rPr>
          <w:b/>
          <w:snapToGrid w:val="0"/>
          <w:color w:val="000000"/>
          <w:kern w:val="28"/>
          <w:szCs w:val="22"/>
        </w:rPr>
        <w:tab/>
      </w:r>
    </w:p>
    <w:tbl>
      <w:tblPr>
        <w:tblW w:w="9738" w:type="dxa"/>
        <w:tblLook w:val="01E0"/>
      </w:tblPr>
      <w:tblGrid>
        <w:gridCol w:w="2880"/>
        <w:gridCol w:w="3888"/>
        <w:gridCol w:w="2970"/>
      </w:tblGrid>
      <w:tr w14:paraId="743CD3F7" w14:textId="77777777" w:rsidTr="007F070D">
        <w:tblPrEx>
          <w:tblW w:w="9738" w:type="dxa"/>
          <w:tblLook w:val="01E0"/>
        </w:tblPrEx>
        <w:tc>
          <w:tcPr>
            <w:tcW w:w="2880" w:type="dxa"/>
          </w:tcPr>
          <w:p w:rsidR="006E2F27" w:rsidRPr="006E2F27" w:rsidP="006E2F27" w14:paraId="746DFCB7" w14:textId="77777777">
            <w:pPr>
              <w:widowControl w:val="0"/>
              <w:rPr>
                <w:b/>
                <w:snapToGrid w:val="0"/>
                <w:color w:val="000000"/>
                <w:kern w:val="28"/>
                <w:szCs w:val="22"/>
              </w:rPr>
            </w:pPr>
            <w:r w:rsidRPr="006E2F27">
              <w:rPr>
                <w:b/>
                <w:snapToGrid w:val="0"/>
                <w:color w:val="000000"/>
                <w:kern w:val="28"/>
                <w:szCs w:val="22"/>
                <w:u w:val="single"/>
              </w:rPr>
              <w:t>File Number</w:t>
            </w:r>
          </w:p>
        </w:tc>
        <w:tc>
          <w:tcPr>
            <w:tcW w:w="3888" w:type="dxa"/>
          </w:tcPr>
          <w:p w:rsidR="006E2F27" w:rsidRPr="006E2F27" w:rsidP="006E2F27" w14:paraId="3A84ED85" w14:textId="77777777">
            <w:pPr>
              <w:widowControl w:val="0"/>
              <w:rPr>
                <w:b/>
                <w:snapToGrid w:val="0"/>
                <w:color w:val="000000"/>
                <w:kern w:val="28"/>
                <w:szCs w:val="22"/>
                <w:u w:val="single"/>
              </w:rPr>
            </w:pPr>
            <w:r w:rsidRPr="006E2F27">
              <w:rPr>
                <w:b/>
                <w:snapToGrid w:val="0"/>
                <w:color w:val="000000"/>
                <w:kern w:val="28"/>
                <w:szCs w:val="22"/>
                <w:u w:val="single"/>
              </w:rPr>
              <w:t>Licensee</w:t>
            </w:r>
          </w:p>
        </w:tc>
        <w:tc>
          <w:tcPr>
            <w:tcW w:w="2970" w:type="dxa"/>
          </w:tcPr>
          <w:p w:rsidR="006E2F27" w:rsidRPr="006E2F27" w:rsidP="006E2F27" w14:paraId="1898E20F" w14:textId="77777777">
            <w:pPr>
              <w:widowControl w:val="0"/>
              <w:rPr>
                <w:b/>
                <w:snapToGrid w:val="0"/>
                <w:color w:val="000000"/>
                <w:kern w:val="28"/>
                <w:szCs w:val="22"/>
                <w:u w:val="single"/>
              </w:rPr>
            </w:pPr>
            <w:r w:rsidRPr="006E2F27">
              <w:rPr>
                <w:b/>
                <w:snapToGrid w:val="0"/>
                <w:color w:val="000000"/>
                <w:kern w:val="28"/>
                <w:szCs w:val="22"/>
                <w:u w:val="single"/>
              </w:rPr>
              <w:t>License Number</w:t>
            </w:r>
          </w:p>
          <w:p w:rsidR="006E2F27" w:rsidRPr="006E2F27" w:rsidP="006E2F27" w14:paraId="3C250BA7" w14:textId="77777777">
            <w:pPr>
              <w:widowControl w:val="0"/>
              <w:rPr>
                <w:b/>
                <w:snapToGrid w:val="0"/>
                <w:color w:val="000000"/>
                <w:kern w:val="28"/>
                <w:szCs w:val="22"/>
                <w:u w:val="single"/>
              </w:rPr>
            </w:pPr>
          </w:p>
        </w:tc>
      </w:tr>
      <w:tr w14:paraId="6CE6C5FC" w14:textId="77777777" w:rsidTr="007F070D">
        <w:tblPrEx>
          <w:tblW w:w="9738" w:type="dxa"/>
          <w:tblLook w:val="01E0"/>
        </w:tblPrEx>
        <w:tc>
          <w:tcPr>
            <w:tcW w:w="2880" w:type="dxa"/>
          </w:tcPr>
          <w:p w:rsidR="006E2F27" w:rsidRPr="006E2F27" w:rsidP="006E2F27" w14:paraId="5C9CA3D0" w14:textId="77777777">
            <w:pPr>
              <w:widowControl w:val="0"/>
              <w:rPr>
                <w:snapToGrid w:val="0"/>
                <w:color w:val="000000"/>
                <w:kern w:val="28"/>
                <w:szCs w:val="22"/>
              </w:rPr>
            </w:pPr>
            <w:r w:rsidRPr="006E2F27">
              <w:rPr>
                <w:snapToGrid w:val="0"/>
                <w:color w:val="000000"/>
                <w:kern w:val="28"/>
                <w:szCs w:val="22"/>
              </w:rPr>
              <w:t>SCL-T/C-20221013-00028</w:t>
            </w:r>
          </w:p>
          <w:p w:rsidR="006E2F27" w:rsidRPr="006E2F27" w:rsidP="006E2F27" w14:paraId="004550C9" w14:textId="77777777">
            <w:pPr>
              <w:widowControl w:val="0"/>
              <w:rPr>
                <w:snapToGrid w:val="0"/>
                <w:color w:val="000000"/>
                <w:kern w:val="28"/>
                <w:szCs w:val="22"/>
              </w:rPr>
            </w:pPr>
          </w:p>
          <w:p w:rsidR="006E2F27" w:rsidRPr="006E2F27" w:rsidP="006E2F27" w14:paraId="7E38E9E9" w14:textId="77777777">
            <w:pPr>
              <w:widowControl w:val="0"/>
              <w:rPr>
                <w:snapToGrid w:val="0"/>
                <w:color w:val="000000"/>
                <w:kern w:val="28"/>
                <w:szCs w:val="22"/>
              </w:rPr>
            </w:pPr>
          </w:p>
        </w:tc>
        <w:tc>
          <w:tcPr>
            <w:tcW w:w="3888" w:type="dxa"/>
          </w:tcPr>
          <w:p w:rsidR="006E2F27" w:rsidRPr="006E2F27" w:rsidP="006E2F27" w14:paraId="68728701" w14:textId="77777777">
            <w:pPr>
              <w:widowControl w:val="0"/>
              <w:rPr>
                <w:snapToGrid w:val="0"/>
                <w:color w:val="000000"/>
                <w:kern w:val="28"/>
                <w:szCs w:val="22"/>
              </w:rPr>
            </w:pPr>
            <w:r w:rsidRPr="006E2F27">
              <w:rPr>
                <w:snapToGrid w:val="0"/>
                <w:color w:val="000000"/>
                <w:kern w:val="28"/>
                <w:szCs w:val="22"/>
              </w:rPr>
              <w:t>Sprint Communications Company L.P.</w:t>
            </w:r>
          </w:p>
          <w:p w:rsidR="006E2F27" w:rsidRPr="006E2F27" w:rsidP="006E2F27" w14:paraId="0CB2273B" w14:textId="77777777">
            <w:pPr>
              <w:widowControl w:val="0"/>
              <w:rPr>
                <w:snapToGrid w:val="0"/>
                <w:color w:val="000000"/>
                <w:kern w:val="28"/>
                <w:szCs w:val="22"/>
              </w:rPr>
            </w:pPr>
          </w:p>
          <w:p w:rsidR="006E2F27" w:rsidRPr="006E2F27" w:rsidP="006E2F27" w14:paraId="2997AB32" w14:textId="77777777">
            <w:pPr>
              <w:widowControl w:val="0"/>
              <w:rPr>
                <w:snapToGrid w:val="0"/>
                <w:color w:val="000000"/>
                <w:kern w:val="28"/>
                <w:szCs w:val="22"/>
              </w:rPr>
            </w:pPr>
          </w:p>
        </w:tc>
        <w:tc>
          <w:tcPr>
            <w:tcW w:w="2970" w:type="dxa"/>
          </w:tcPr>
          <w:p w:rsidR="006E2F27" w:rsidRPr="006E2F27" w:rsidP="006E2F27" w14:paraId="3A8F6FD0" w14:textId="77777777">
            <w:pPr>
              <w:widowControl w:val="0"/>
              <w:rPr>
                <w:snapToGrid w:val="0"/>
                <w:kern w:val="28"/>
              </w:rPr>
            </w:pPr>
            <w:r w:rsidRPr="006E2F27">
              <w:rPr>
                <w:snapToGrid w:val="0"/>
                <w:kern w:val="28"/>
              </w:rPr>
              <w:t>SCL-MOD-20191202-00038</w:t>
            </w:r>
            <w:r>
              <w:rPr>
                <w:snapToGrid w:val="0"/>
                <w:kern w:val="28"/>
                <w:vertAlign w:val="superscript"/>
              </w:rPr>
              <w:footnoteReference w:id="46"/>
            </w:r>
          </w:p>
          <w:p w:rsidR="006E2F27" w:rsidRPr="006E2F27" w:rsidP="006E2F27" w14:paraId="2BC13F74" w14:textId="77777777">
            <w:pPr>
              <w:widowControl w:val="0"/>
              <w:rPr>
                <w:snapToGrid w:val="0"/>
                <w:color w:val="000000"/>
                <w:kern w:val="28"/>
                <w:szCs w:val="22"/>
              </w:rPr>
            </w:pPr>
            <w:r w:rsidRPr="006E2F27">
              <w:rPr>
                <w:snapToGrid w:val="0"/>
                <w:color w:val="000000"/>
                <w:kern w:val="28"/>
                <w:szCs w:val="22"/>
              </w:rPr>
              <w:t>SCL-LIC-19951013-00002</w:t>
            </w:r>
            <w:r>
              <w:rPr>
                <w:snapToGrid w:val="0"/>
                <w:color w:val="000000"/>
                <w:kern w:val="28"/>
                <w:szCs w:val="22"/>
                <w:vertAlign w:val="superscript"/>
              </w:rPr>
              <w:footnoteReference w:id="47"/>
            </w:r>
          </w:p>
          <w:p w:rsidR="006E2F27" w:rsidRPr="006E2F27" w:rsidP="006E2F27" w14:paraId="2FAC0428" w14:textId="77777777">
            <w:pPr>
              <w:widowControl w:val="0"/>
              <w:rPr>
                <w:snapToGrid w:val="0"/>
                <w:color w:val="000000"/>
                <w:kern w:val="28"/>
                <w:szCs w:val="22"/>
              </w:rPr>
            </w:pPr>
            <w:r w:rsidRPr="006E2F27">
              <w:rPr>
                <w:snapToGrid w:val="0"/>
                <w:color w:val="000000"/>
                <w:kern w:val="28"/>
                <w:szCs w:val="22"/>
              </w:rPr>
              <w:t>SCL-MOD-20130227-00002</w:t>
            </w:r>
            <w:r>
              <w:rPr>
                <w:snapToGrid w:val="0"/>
                <w:color w:val="000000"/>
                <w:kern w:val="28"/>
                <w:szCs w:val="22"/>
                <w:vertAlign w:val="superscript"/>
              </w:rPr>
              <w:footnoteReference w:id="48"/>
            </w:r>
          </w:p>
          <w:p w:rsidR="006E2F27" w:rsidRPr="006E2F27" w:rsidP="006E2F27" w14:paraId="75284327" w14:textId="77777777">
            <w:pPr>
              <w:widowControl w:val="0"/>
              <w:rPr>
                <w:snapToGrid w:val="0"/>
                <w:color w:val="000000"/>
                <w:kern w:val="28"/>
                <w:szCs w:val="22"/>
              </w:rPr>
            </w:pPr>
            <w:r w:rsidRPr="006E2F27">
              <w:rPr>
                <w:snapToGrid w:val="0"/>
                <w:color w:val="000000"/>
                <w:kern w:val="28"/>
                <w:szCs w:val="22"/>
              </w:rPr>
              <w:t>SCL-MOD-20110928-00028</w:t>
            </w:r>
            <w:r>
              <w:rPr>
                <w:snapToGrid w:val="0"/>
                <w:color w:val="000000"/>
                <w:kern w:val="28"/>
                <w:szCs w:val="22"/>
                <w:vertAlign w:val="superscript"/>
              </w:rPr>
              <w:footnoteReference w:id="49"/>
            </w:r>
          </w:p>
          <w:p w:rsidR="006E2F27" w:rsidRPr="006E2F27" w:rsidP="006E2F27" w14:paraId="24A51A18" w14:textId="77777777">
            <w:pPr>
              <w:widowControl w:val="0"/>
              <w:rPr>
                <w:snapToGrid w:val="0"/>
                <w:color w:val="000000"/>
                <w:kern w:val="28"/>
                <w:szCs w:val="22"/>
              </w:rPr>
            </w:pPr>
            <w:r w:rsidRPr="006E2F27">
              <w:rPr>
                <w:snapToGrid w:val="0"/>
                <w:color w:val="000000"/>
                <w:kern w:val="28"/>
                <w:szCs w:val="22"/>
              </w:rPr>
              <w:t>SCL-LIC-20180702-00019</w:t>
            </w:r>
            <w:r>
              <w:rPr>
                <w:snapToGrid w:val="0"/>
                <w:color w:val="000000"/>
                <w:kern w:val="28"/>
                <w:szCs w:val="22"/>
                <w:vertAlign w:val="superscript"/>
              </w:rPr>
              <w:footnoteReference w:id="50"/>
            </w:r>
          </w:p>
        </w:tc>
      </w:tr>
      <w:tr w14:paraId="790CF9DB" w14:textId="77777777" w:rsidTr="007F070D">
        <w:tblPrEx>
          <w:tblW w:w="9738" w:type="dxa"/>
          <w:tblLook w:val="01E0"/>
        </w:tblPrEx>
        <w:tc>
          <w:tcPr>
            <w:tcW w:w="2880" w:type="dxa"/>
          </w:tcPr>
          <w:p w:rsidR="006E2F27" w:rsidRPr="006E2F27" w:rsidP="006E2F27" w14:paraId="6C464862" w14:textId="77777777">
            <w:pPr>
              <w:widowControl w:val="0"/>
              <w:rPr>
                <w:snapToGrid w:val="0"/>
                <w:color w:val="000000"/>
                <w:kern w:val="28"/>
              </w:rPr>
            </w:pPr>
          </w:p>
          <w:p w:rsidR="006E2F27" w:rsidRPr="006E2F27" w:rsidP="006E2F27" w14:paraId="5F53D0E9" w14:textId="77777777">
            <w:pPr>
              <w:widowControl w:val="0"/>
              <w:rPr>
                <w:snapToGrid w:val="0"/>
                <w:color w:val="000000"/>
                <w:kern w:val="28"/>
              </w:rPr>
            </w:pPr>
          </w:p>
        </w:tc>
        <w:tc>
          <w:tcPr>
            <w:tcW w:w="3888" w:type="dxa"/>
          </w:tcPr>
          <w:p w:rsidR="006E2F27" w:rsidRPr="006E2F27" w:rsidP="006E2F27" w14:paraId="2D82577B" w14:textId="77777777">
            <w:pPr>
              <w:widowControl w:val="0"/>
              <w:rPr>
                <w:snapToGrid w:val="0"/>
                <w:color w:val="000000"/>
                <w:kern w:val="28"/>
                <w:szCs w:val="22"/>
              </w:rPr>
            </w:pPr>
          </w:p>
        </w:tc>
        <w:tc>
          <w:tcPr>
            <w:tcW w:w="2970" w:type="dxa"/>
          </w:tcPr>
          <w:p w:rsidR="006E2F27" w:rsidRPr="006E2F27" w:rsidP="006E2F27" w14:paraId="7C62E58B" w14:textId="77777777">
            <w:pPr>
              <w:widowControl w:val="0"/>
              <w:rPr>
                <w:snapToGrid w:val="0"/>
                <w:color w:val="000000"/>
                <w:kern w:val="28"/>
              </w:rPr>
            </w:pPr>
          </w:p>
        </w:tc>
      </w:tr>
    </w:tbl>
    <w:p w:rsidR="006E2F27" w:rsidRPr="006E2F27" w:rsidP="006E2F27" w14:paraId="01DA4A36" w14:textId="77777777">
      <w:pPr>
        <w:widowControl w:val="0"/>
        <w:rPr>
          <w:b/>
          <w:snapToGrid w:val="0"/>
          <w:color w:val="000000"/>
          <w:kern w:val="28"/>
          <w:szCs w:val="22"/>
        </w:rPr>
      </w:pPr>
    </w:p>
    <w:p w:rsidR="006E2F27" w:rsidRPr="006E2F27" w:rsidP="006E2F27" w14:paraId="2E5DB2A4" w14:textId="77777777">
      <w:pPr>
        <w:widowControl w:val="0"/>
        <w:rPr>
          <w:b/>
          <w:snapToGrid w:val="0"/>
          <w:color w:val="000000"/>
          <w:kern w:val="28"/>
          <w:szCs w:val="22"/>
        </w:rPr>
      </w:pPr>
    </w:p>
    <w:p w:rsidR="006E2F27" w:rsidRPr="006E2F27" w:rsidP="006E2F27" w14:paraId="5B9AF9D2" w14:textId="77777777">
      <w:pPr>
        <w:widowControl w:val="0"/>
        <w:rPr>
          <w:b/>
          <w:snapToGrid w:val="0"/>
          <w:color w:val="000000"/>
          <w:kern w:val="28"/>
          <w:szCs w:val="22"/>
        </w:rPr>
      </w:pPr>
      <w:r w:rsidRPr="006E2F27">
        <w:rPr>
          <w:b/>
          <w:snapToGrid w:val="0"/>
          <w:color w:val="000000"/>
          <w:kern w:val="28"/>
          <w:szCs w:val="22"/>
        </w:rPr>
        <w:t>EARTH STATION LICENSES</w:t>
      </w:r>
    </w:p>
    <w:p w:rsidR="006E2F27" w:rsidRPr="006E2F27" w:rsidP="006E2F27" w14:paraId="636EDFA1" w14:textId="77777777">
      <w:pPr>
        <w:widowControl w:val="0"/>
        <w:rPr>
          <w:b/>
          <w:snapToGrid w:val="0"/>
          <w:color w:val="000000"/>
          <w:kern w:val="28"/>
          <w:szCs w:val="22"/>
        </w:rPr>
      </w:pPr>
    </w:p>
    <w:tbl>
      <w:tblPr>
        <w:tblW w:w="9738" w:type="dxa"/>
        <w:tblLook w:val="01E0"/>
      </w:tblPr>
      <w:tblGrid>
        <w:gridCol w:w="2880"/>
        <w:gridCol w:w="3888"/>
        <w:gridCol w:w="2970"/>
      </w:tblGrid>
      <w:tr w14:paraId="793400F5" w14:textId="77777777" w:rsidTr="007F070D">
        <w:tblPrEx>
          <w:tblW w:w="9738" w:type="dxa"/>
          <w:tblLook w:val="01E0"/>
        </w:tblPrEx>
        <w:tc>
          <w:tcPr>
            <w:tcW w:w="2880" w:type="dxa"/>
          </w:tcPr>
          <w:p w:rsidR="006E2F27" w:rsidRPr="006E2F27" w:rsidP="006E2F27" w14:paraId="2F86045F" w14:textId="77777777">
            <w:pPr>
              <w:widowControl w:val="0"/>
              <w:rPr>
                <w:b/>
                <w:bCs/>
                <w:snapToGrid w:val="0"/>
                <w:color w:val="000000"/>
                <w:kern w:val="28"/>
                <w:szCs w:val="22"/>
              </w:rPr>
            </w:pPr>
            <w:r w:rsidRPr="006E2F27">
              <w:rPr>
                <w:b/>
                <w:bCs/>
                <w:snapToGrid w:val="0"/>
                <w:color w:val="000000"/>
                <w:kern w:val="28"/>
                <w:szCs w:val="22"/>
                <w:u w:val="single"/>
              </w:rPr>
              <w:t>File Number</w:t>
            </w:r>
          </w:p>
        </w:tc>
        <w:tc>
          <w:tcPr>
            <w:tcW w:w="3888" w:type="dxa"/>
          </w:tcPr>
          <w:p w:rsidR="006E2F27" w:rsidRPr="006E2F27" w:rsidP="006E2F27" w14:paraId="43628508" w14:textId="77777777">
            <w:pPr>
              <w:widowControl w:val="0"/>
              <w:rPr>
                <w:b/>
                <w:bCs/>
                <w:snapToGrid w:val="0"/>
                <w:color w:val="000000"/>
                <w:kern w:val="28"/>
                <w:szCs w:val="22"/>
              </w:rPr>
            </w:pPr>
            <w:r w:rsidRPr="006E2F27">
              <w:rPr>
                <w:b/>
                <w:bCs/>
                <w:snapToGrid w:val="0"/>
                <w:color w:val="000000"/>
                <w:kern w:val="28"/>
                <w:szCs w:val="22"/>
                <w:u w:val="single"/>
              </w:rPr>
              <w:t>Licensee</w:t>
            </w:r>
          </w:p>
        </w:tc>
        <w:tc>
          <w:tcPr>
            <w:tcW w:w="2970" w:type="dxa"/>
          </w:tcPr>
          <w:p w:rsidR="006E2F27" w:rsidRPr="006E2F27" w:rsidP="006E2F27" w14:paraId="3596598D" w14:textId="77777777">
            <w:pPr>
              <w:widowControl w:val="0"/>
              <w:rPr>
                <w:b/>
                <w:bCs/>
                <w:snapToGrid w:val="0"/>
                <w:color w:val="000000"/>
                <w:kern w:val="28"/>
                <w:szCs w:val="22"/>
                <w:u w:val="single"/>
              </w:rPr>
            </w:pPr>
            <w:r w:rsidRPr="006E2F27">
              <w:rPr>
                <w:b/>
                <w:bCs/>
                <w:snapToGrid w:val="0"/>
                <w:color w:val="000000"/>
                <w:kern w:val="28"/>
                <w:szCs w:val="22"/>
                <w:u w:val="single"/>
              </w:rPr>
              <w:t>Lead Call Sign</w:t>
            </w:r>
          </w:p>
          <w:p w:rsidR="006E2F27" w:rsidRPr="006E2F27" w:rsidP="006E2F27" w14:paraId="63F6414D" w14:textId="77777777">
            <w:pPr>
              <w:widowControl w:val="0"/>
              <w:rPr>
                <w:snapToGrid w:val="0"/>
                <w:color w:val="000000"/>
                <w:kern w:val="28"/>
                <w:szCs w:val="22"/>
                <w:u w:val="single"/>
              </w:rPr>
            </w:pPr>
          </w:p>
        </w:tc>
      </w:tr>
      <w:tr w14:paraId="2C2C68B9" w14:textId="77777777" w:rsidTr="007F070D">
        <w:tblPrEx>
          <w:tblW w:w="9738" w:type="dxa"/>
          <w:tblLook w:val="01E0"/>
        </w:tblPrEx>
        <w:tc>
          <w:tcPr>
            <w:tcW w:w="2880" w:type="dxa"/>
          </w:tcPr>
          <w:p w:rsidR="006E2F27" w:rsidRPr="006E2F27" w:rsidP="006E2F27" w14:paraId="5B15BCF9" w14:textId="77777777">
            <w:pPr>
              <w:widowControl w:val="0"/>
              <w:rPr>
                <w:snapToGrid w:val="0"/>
                <w:color w:val="000000"/>
                <w:kern w:val="28"/>
                <w:szCs w:val="22"/>
              </w:rPr>
            </w:pPr>
            <w:r w:rsidRPr="006E2F27">
              <w:rPr>
                <w:snapToGrid w:val="0"/>
                <w:color w:val="000000"/>
                <w:kern w:val="28"/>
                <w:szCs w:val="22"/>
              </w:rPr>
              <w:t>SES-T/C-20221104-01180</w:t>
            </w:r>
          </w:p>
          <w:p w:rsidR="006E2F27" w:rsidRPr="006E2F27" w:rsidP="006E2F27" w14:paraId="6BFF93F7" w14:textId="77777777">
            <w:pPr>
              <w:widowControl w:val="0"/>
              <w:rPr>
                <w:snapToGrid w:val="0"/>
                <w:color w:val="000000"/>
                <w:kern w:val="28"/>
                <w:szCs w:val="22"/>
                <w:highlight w:val="yellow"/>
              </w:rPr>
            </w:pPr>
            <w:r w:rsidRPr="006E2F27">
              <w:rPr>
                <w:snapToGrid w:val="0"/>
                <w:color w:val="000000"/>
                <w:kern w:val="28"/>
                <w:szCs w:val="22"/>
              </w:rPr>
              <w:t>SES-T/C-20221104-01181</w:t>
            </w:r>
          </w:p>
        </w:tc>
        <w:tc>
          <w:tcPr>
            <w:tcW w:w="3888" w:type="dxa"/>
          </w:tcPr>
          <w:p w:rsidR="006E2F27" w:rsidRPr="006E2F27" w:rsidP="006E2F27" w14:paraId="46DC6011" w14:textId="77777777">
            <w:pPr>
              <w:widowControl w:val="0"/>
              <w:rPr>
                <w:snapToGrid w:val="0"/>
                <w:color w:val="000000"/>
                <w:kern w:val="28"/>
                <w:szCs w:val="22"/>
              </w:rPr>
            </w:pPr>
            <w:r w:rsidRPr="006E2F27">
              <w:rPr>
                <w:snapToGrid w:val="0"/>
                <w:color w:val="000000"/>
                <w:kern w:val="28"/>
                <w:szCs w:val="22"/>
              </w:rPr>
              <w:t>Sprint Communications Company L.P.</w:t>
            </w:r>
          </w:p>
          <w:p w:rsidR="006E2F27" w:rsidRPr="006E2F27" w:rsidP="006E2F27" w14:paraId="0F5E5767" w14:textId="77777777">
            <w:pPr>
              <w:widowControl w:val="0"/>
              <w:rPr>
                <w:snapToGrid w:val="0"/>
                <w:color w:val="000000"/>
                <w:kern w:val="28"/>
                <w:szCs w:val="22"/>
              </w:rPr>
            </w:pPr>
            <w:r w:rsidRPr="006E2F27">
              <w:rPr>
                <w:snapToGrid w:val="0"/>
                <w:color w:val="000000"/>
                <w:kern w:val="28"/>
                <w:szCs w:val="22"/>
              </w:rPr>
              <w:t>Sprint Communications Company L.P.</w:t>
            </w:r>
          </w:p>
        </w:tc>
        <w:tc>
          <w:tcPr>
            <w:tcW w:w="2970" w:type="dxa"/>
          </w:tcPr>
          <w:p w:rsidR="006E2F27" w:rsidRPr="006E2F27" w:rsidP="006E2F27" w14:paraId="314BBB1F" w14:textId="77777777">
            <w:pPr>
              <w:widowControl w:val="0"/>
              <w:rPr>
                <w:snapToGrid w:val="0"/>
                <w:color w:val="000000"/>
                <w:kern w:val="28"/>
                <w:szCs w:val="22"/>
                <w:highlight w:val="yellow"/>
              </w:rPr>
            </w:pPr>
            <w:r w:rsidRPr="006E2F27">
              <w:rPr>
                <w:snapToGrid w:val="0"/>
                <w:color w:val="000000"/>
                <w:kern w:val="28"/>
                <w:szCs w:val="22"/>
              </w:rPr>
              <w:t>E6777</w:t>
            </w:r>
          </w:p>
          <w:p w:rsidR="006E2F27" w:rsidRPr="006E2F27" w:rsidP="006E2F27" w14:paraId="415670A6" w14:textId="77777777">
            <w:pPr>
              <w:widowControl w:val="0"/>
              <w:rPr>
                <w:snapToGrid w:val="0"/>
                <w:color w:val="000000"/>
                <w:kern w:val="28"/>
                <w:szCs w:val="22"/>
                <w:highlight w:val="yellow"/>
              </w:rPr>
            </w:pPr>
            <w:r w:rsidRPr="006E2F27">
              <w:rPr>
                <w:snapToGrid w:val="0"/>
                <w:color w:val="000000"/>
                <w:kern w:val="28"/>
                <w:szCs w:val="22"/>
              </w:rPr>
              <w:t>E6241</w:t>
            </w:r>
          </w:p>
        </w:tc>
      </w:tr>
    </w:tbl>
    <w:p w:rsidR="006E2F27" w:rsidRPr="006E2F27" w:rsidP="006E2F27" w14:paraId="3EBA4192" w14:textId="77777777">
      <w:pPr>
        <w:widowControl w:val="0"/>
        <w:rPr>
          <w:b/>
          <w:snapToGrid w:val="0"/>
          <w:color w:val="000000"/>
          <w:kern w:val="28"/>
          <w:szCs w:val="22"/>
        </w:rPr>
      </w:pPr>
    </w:p>
    <w:p w:rsidR="006E2F27" w:rsidRPr="006E2F27" w:rsidP="006E2F27" w14:paraId="0A725901" w14:textId="77777777">
      <w:pPr>
        <w:widowControl w:val="0"/>
        <w:rPr>
          <w:b/>
          <w:bCs/>
          <w:snapToGrid w:val="0"/>
          <w:kern w:val="28"/>
        </w:rPr>
      </w:pPr>
    </w:p>
    <w:p w:rsidR="006E2F27" w:rsidRPr="006E2F27" w:rsidP="006E2F27" w14:paraId="5FCD4278" w14:textId="77777777">
      <w:pPr>
        <w:widowControl w:val="0"/>
        <w:rPr>
          <w:b/>
          <w:snapToGrid w:val="0"/>
          <w:color w:val="000000"/>
          <w:kern w:val="28"/>
          <w:szCs w:val="22"/>
        </w:rPr>
      </w:pPr>
      <w:r w:rsidRPr="006E2F27">
        <w:rPr>
          <w:b/>
          <w:snapToGrid w:val="0"/>
          <w:color w:val="000000"/>
          <w:kern w:val="28"/>
          <w:szCs w:val="22"/>
        </w:rPr>
        <w:t>SECTION 310(d) APPLICATIONS</w:t>
      </w:r>
    </w:p>
    <w:tbl>
      <w:tblPr>
        <w:tblW w:w="9738" w:type="dxa"/>
        <w:tblLayout w:type="fixed"/>
        <w:tblLook w:val="01E0"/>
      </w:tblPr>
      <w:tblGrid>
        <w:gridCol w:w="2970"/>
        <w:gridCol w:w="3870"/>
        <w:gridCol w:w="2898"/>
      </w:tblGrid>
      <w:tr w14:paraId="643FC9A7" w14:textId="77777777" w:rsidTr="007F070D">
        <w:tblPrEx>
          <w:tblW w:w="9738" w:type="dxa"/>
          <w:tblLayout w:type="fixed"/>
          <w:tblLook w:val="01E0"/>
        </w:tblPrEx>
        <w:trPr>
          <w:trHeight w:val="669"/>
        </w:trPr>
        <w:tc>
          <w:tcPr>
            <w:tcW w:w="2970" w:type="dxa"/>
          </w:tcPr>
          <w:p w:rsidR="006E2F27" w:rsidRPr="006E2F27" w:rsidP="006E2F27" w14:paraId="607BDDE4" w14:textId="77777777">
            <w:pPr>
              <w:widowControl w:val="0"/>
              <w:rPr>
                <w:b/>
                <w:snapToGrid w:val="0"/>
                <w:color w:val="000000"/>
                <w:kern w:val="28"/>
                <w:szCs w:val="22"/>
                <w:u w:val="single"/>
              </w:rPr>
            </w:pPr>
          </w:p>
          <w:p w:rsidR="006E2F27" w:rsidRPr="006E2F27" w:rsidP="006E2F27" w14:paraId="0AFC6E0A" w14:textId="77777777">
            <w:pPr>
              <w:widowControl w:val="0"/>
              <w:rPr>
                <w:b/>
                <w:snapToGrid w:val="0"/>
                <w:color w:val="000000"/>
                <w:kern w:val="28"/>
                <w:szCs w:val="22"/>
                <w:u w:val="single"/>
              </w:rPr>
            </w:pPr>
            <w:r w:rsidRPr="006E2F27">
              <w:rPr>
                <w:b/>
                <w:snapToGrid w:val="0"/>
                <w:color w:val="000000"/>
                <w:kern w:val="28"/>
                <w:szCs w:val="22"/>
                <w:u w:val="single"/>
              </w:rPr>
              <w:t>File Number</w:t>
            </w:r>
          </w:p>
          <w:p w:rsidR="006E2F27" w:rsidRPr="006E2F27" w:rsidP="006E2F27" w14:paraId="111632ED" w14:textId="77777777">
            <w:pPr>
              <w:widowControl w:val="0"/>
              <w:rPr>
                <w:snapToGrid w:val="0"/>
                <w:kern w:val="28"/>
              </w:rPr>
            </w:pPr>
          </w:p>
          <w:p w:rsidR="006E2F27" w:rsidRPr="006E2F27" w:rsidP="006E2F27" w14:paraId="1BAC77E8" w14:textId="77777777">
            <w:pPr>
              <w:widowControl w:val="0"/>
              <w:rPr>
                <w:b/>
                <w:snapToGrid w:val="0"/>
                <w:color w:val="000000"/>
                <w:kern w:val="28"/>
                <w:szCs w:val="22"/>
              </w:rPr>
            </w:pPr>
            <w:r w:rsidRPr="006E2F27">
              <w:rPr>
                <w:snapToGrid w:val="0"/>
                <w:kern w:val="28"/>
              </w:rPr>
              <w:t>0010235820</w:t>
            </w:r>
          </w:p>
        </w:tc>
        <w:tc>
          <w:tcPr>
            <w:tcW w:w="3870" w:type="dxa"/>
          </w:tcPr>
          <w:p w:rsidR="006E2F27" w:rsidRPr="006E2F27" w:rsidP="006E2F27" w14:paraId="4280AF89" w14:textId="77777777">
            <w:pPr>
              <w:widowControl w:val="0"/>
              <w:rPr>
                <w:b/>
                <w:snapToGrid w:val="0"/>
                <w:color w:val="000000"/>
                <w:kern w:val="28"/>
                <w:szCs w:val="22"/>
                <w:u w:val="single"/>
              </w:rPr>
            </w:pPr>
          </w:p>
          <w:p w:rsidR="006E2F27" w:rsidRPr="006E2F27" w:rsidP="006E2F27" w14:paraId="5DDAF3B5" w14:textId="77777777">
            <w:pPr>
              <w:widowControl w:val="0"/>
              <w:rPr>
                <w:b/>
                <w:snapToGrid w:val="0"/>
                <w:color w:val="000000"/>
                <w:kern w:val="28"/>
                <w:szCs w:val="22"/>
                <w:u w:val="single"/>
              </w:rPr>
            </w:pPr>
            <w:r w:rsidRPr="006E2F27">
              <w:rPr>
                <w:b/>
                <w:snapToGrid w:val="0"/>
                <w:color w:val="000000"/>
                <w:kern w:val="28"/>
                <w:szCs w:val="22"/>
                <w:u w:val="single"/>
              </w:rPr>
              <w:t>Licensee</w:t>
            </w:r>
          </w:p>
          <w:p w:rsidR="006E2F27" w:rsidRPr="006E2F27" w:rsidP="006E2F27" w14:paraId="33C457E6" w14:textId="77777777">
            <w:pPr>
              <w:widowControl w:val="0"/>
              <w:rPr>
                <w:b/>
                <w:snapToGrid w:val="0"/>
                <w:color w:val="000000"/>
                <w:kern w:val="28"/>
                <w:szCs w:val="22"/>
                <w:u w:val="single"/>
              </w:rPr>
            </w:pPr>
          </w:p>
          <w:p w:rsidR="006E2F27" w:rsidRPr="006E2F27" w:rsidP="006E2F27" w14:paraId="0E6CD0AC" w14:textId="77777777">
            <w:pPr>
              <w:widowControl w:val="0"/>
              <w:rPr>
                <w:b/>
                <w:snapToGrid w:val="0"/>
                <w:color w:val="000000"/>
                <w:kern w:val="28"/>
                <w:szCs w:val="22"/>
                <w:u w:val="single"/>
              </w:rPr>
            </w:pPr>
            <w:r w:rsidRPr="006E2F27">
              <w:rPr>
                <w:snapToGrid w:val="0"/>
                <w:kern w:val="28"/>
              </w:rPr>
              <w:t>Sprint Communications Company L.P.</w:t>
            </w:r>
          </w:p>
        </w:tc>
        <w:tc>
          <w:tcPr>
            <w:tcW w:w="2898" w:type="dxa"/>
          </w:tcPr>
          <w:p w:rsidR="006E2F27" w:rsidRPr="006E2F27" w:rsidP="006E2F27" w14:paraId="7F8E2036" w14:textId="77777777">
            <w:pPr>
              <w:widowControl w:val="0"/>
              <w:rPr>
                <w:b/>
                <w:snapToGrid w:val="0"/>
                <w:color w:val="000000"/>
                <w:kern w:val="28"/>
                <w:szCs w:val="22"/>
                <w:u w:val="single"/>
              </w:rPr>
            </w:pPr>
          </w:p>
          <w:p w:rsidR="006E2F27" w:rsidRPr="006E2F27" w:rsidP="006E2F27" w14:paraId="0A76ADA2" w14:textId="77777777">
            <w:pPr>
              <w:widowControl w:val="0"/>
              <w:rPr>
                <w:b/>
                <w:snapToGrid w:val="0"/>
                <w:color w:val="000000"/>
                <w:kern w:val="28"/>
                <w:szCs w:val="22"/>
                <w:u w:val="single"/>
              </w:rPr>
            </w:pPr>
            <w:r w:rsidRPr="006E2F27">
              <w:rPr>
                <w:b/>
                <w:snapToGrid w:val="0"/>
                <w:color w:val="000000"/>
                <w:kern w:val="28"/>
                <w:szCs w:val="22"/>
                <w:u w:val="single"/>
              </w:rPr>
              <w:t>Lead Call Sign</w:t>
            </w:r>
          </w:p>
          <w:p w:rsidR="006E2F27" w:rsidRPr="006E2F27" w:rsidP="006E2F27" w14:paraId="05EFD6A1" w14:textId="77777777">
            <w:pPr>
              <w:widowControl w:val="0"/>
              <w:rPr>
                <w:b/>
                <w:snapToGrid w:val="0"/>
                <w:color w:val="000000"/>
                <w:kern w:val="28"/>
                <w:szCs w:val="22"/>
                <w:u w:val="single"/>
              </w:rPr>
            </w:pPr>
          </w:p>
          <w:p w:rsidR="006E2F27" w:rsidRPr="006E2F27" w:rsidP="006E2F27" w14:paraId="5D09897F" w14:textId="77777777">
            <w:pPr>
              <w:widowControl w:val="0"/>
              <w:rPr>
                <w:b/>
                <w:snapToGrid w:val="0"/>
                <w:color w:val="000000"/>
                <w:kern w:val="28"/>
                <w:szCs w:val="22"/>
                <w:u w:val="single"/>
              </w:rPr>
            </w:pPr>
            <w:r w:rsidRPr="006E2F27">
              <w:rPr>
                <w:snapToGrid w:val="0"/>
                <w:kern w:val="28"/>
              </w:rPr>
              <w:t>KA86929</w:t>
            </w:r>
          </w:p>
          <w:p w:rsidR="006E2F27" w:rsidRPr="006E2F27" w:rsidP="006E2F27" w14:paraId="51ECB104" w14:textId="77777777">
            <w:pPr>
              <w:widowControl w:val="0"/>
              <w:rPr>
                <w:b/>
                <w:snapToGrid w:val="0"/>
                <w:color w:val="000000"/>
                <w:kern w:val="28"/>
                <w:szCs w:val="22"/>
                <w:u w:val="single"/>
              </w:rPr>
            </w:pPr>
          </w:p>
          <w:p w:rsidR="006E2F27" w:rsidRPr="006E2F27" w:rsidP="006E2F27" w14:paraId="004FC52B" w14:textId="77777777">
            <w:pPr>
              <w:widowControl w:val="0"/>
              <w:rPr>
                <w:b/>
                <w:snapToGrid w:val="0"/>
                <w:color w:val="000000"/>
                <w:kern w:val="28"/>
                <w:szCs w:val="22"/>
                <w:u w:val="single"/>
              </w:rPr>
            </w:pPr>
            <w:r w:rsidRPr="006E2F27">
              <w:rPr>
                <w:snapToGrid w:val="0"/>
                <w:kern w:val="28"/>
              </w:rPr>
              <w:t xml:space="preserve">                                                             </w:t>
            </w:r>
          </w:p>
          <w:p w:rsidR="006E2F27" w:rsidRPr="006E2F27" w:rsidP="006E2F27" w14:paraId="0F4BA684" w14:textId="77777777">
            <w:pPr>
              <w:widowControl w:val="0"/>
              <w:rPr>
                <w:b/>
                <w:snapToGrid w:val="0"/>
                <w:color w:val="000000"/>
                <w:kern w:val="28"/>
                <w:szCs w:val="22"/>
                <w:u w:val="single"/>
              </w:rPr>
            </w:pPr>
          </w:p>
        </w:tc>
      </w:tr>
    </w:tbl>
    <w:p w:rsidR="006E2F27" w:rsidRPr="006E2F27" w:rsidP="006E2F27" w14:paraId="7E28009C" w14:textId="77777777">
      <w:pPr>
        <w:rPr>
          <w:b/>
          <w:bCs/>
          <w:color w:val="000000"/>
          <w:szCs w:val="22"/>
        </w:rPr>
      </w:pPr>
      <w:r w:rsidRPr="006E2F27">
        <w:rPr>
          <w:b/>
          <w:bCs/>
          <w:color w:val="000000"/>
          <w:szCs w:val="22"/>
        </w:rPr>
        <w:tab/>
      </w:r>
      <w:r w:rsidRPr="006E2F27">
        <w:rPr>
          <w:b/>
          <w:bCs/>
          <w:color w:val="000000"/>
          <w:szCs w:val="22"/>
        </w:rPr>
        <w:tab/>
      </w:r>
      <w:r w:rsidRPr="006E2F27">
        <w:rPr>
          <w:b/>
          <w:bCs/>
          <w:color w:val="000000"/>
          <w:szCs w:val="22"/>
        </w:rPr>
        <w:tab/>
      </w:r>
      <w:r w:rsidRPr="006E2F27">
        <w:rPr>
          <w:b/>
          <w:bCs/>
          <w:color w:val="000000"/>
          <w:szCs w:val="22"/>
        </w:rPr>
        <w:tab/>
      </w:r>
      <w:r w:rsidRPr="006E2F27">
        <w:rPr>
          <w:b/>
          <w:bCs/>
          <w:color w:val="000000"/>
          <w:szCs w:val="22"/>
        </w:rPr>
        <w:tab/>
        <w:t>-FCC-</w:t>
      </w:r>
      <w:bookmarkEnd w:id="4"/>
    </w:p>
    <w:p w:rsidR="006E2F27" w:rsidP="006E2F27" w14:paraId="269D4635" w14:textId="77777777">
      <w:pPr>
        <w:widowControl w:val="0"/>
        <w:jc w:val="right"/>
        <w:rPr>
          <w:color w:val="000000"/>
          <w:szCs w:val="22"/>
        </w:rPr>
      </w:pPr>
    </w:p>
    <w:sectPr>
      <w:footerReference w:type="default" r:id="rId9"/>
      <w:headerReference w:type="first" r:id="rId10"/>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0A1" w14:paraId="73C1537A" w14:textId="77777777">
      <w:r>
        <w:separator/>
      </w:r>
    </w:p>
  </w:footnote>
  <w:footnote w:type="continuationSeparator" w:id="1">
    <w:p w:rsidR="004B50A1" w14:paraId="23F75CBD" w14:textId="77777777">
      <w:r>
        <w:continuationSeparator/>
      </w:r>
    </w:p>
  </w:footnote>
  <w:footnote w:type="continuationNotice" w:id="2">
    <w:p w:rsidR="004B50A1" w14:paraId="103717EF" w14:textId="77777777"/>
  </w:footnote>
  <w:footnote w:id="3">
    <w:p w:rsidR="006E2F27" w:rsidRPr="006E2F27" w:rsidP="006E2F27" w14:paraId="5FAC5722" w14:textId="77777777">
      <w:pPr>
        <w:pStyle w:val="FootnoteText"/>
        <w:rPr>
          <w:sz w:val="20"/>
        </w:rPr>
      </w:pPr>
      <w:r w:rsidRPr="0027112C">
        <w:rPr>
          <w:rStyle w:val="FootnoteReference"/>
        </w:rPr>
        <w:footnoteRef/>
      </w:r>
      <w:r w:rsidRPr="0027112C">
        <w:t xml:space="preserve"> </w:t>
      </w:r>
      <w:r w:rsidRPr="006E2F27">
        <w:rPr>
          <w:sz w:val="20"/>
        </w:rPr>
        <w:t>47 U.S.C. §§ 214, 310(d).</w:t>
      </w:r>
    </w:p>
  </w:footnote>
  <w:footnote w:id="4">
    <w:p w:rsidR="006E2F27" w:rsidRPr="006E2F27" w:rsidP="006E2F27" w14:paraId="719793EE" w14:textId="77777777">
      <w:pPr>
        <w:pStyle w:val="FootnoteText"/>
        <w:rPr>
          <w:sz w:val="20"/>
        </w:rPr>
      </w:pPr>
      <w:r w:rsidRPr="006E2F27">
        <w:rPr>
          <w:rStyle w:val="FootnoteReference"/>
          <w:sz w:val="20"/>
        </w:rPr>
        <w:footnoteRef/>
      </w:r>
      <w:r w:rsidRPr="006E2F27">
        <w:rPr>
          <w:sz w:val="20"/>
        </w:rPr>
        <w:t xml:space="preserve"> </w:t>
      </w:r>
      <w:hyperlink r:id="rId1" w:history="1">
        <w:r w:rsidRPr="006E2F27">
          <w:rPr>
            <w:rStyle w:val="Hyperlink"/>
            <w:color w:val="000000"/>
            <w:sz w:val="20"/>
          </w:rPr>
          <w:t>47 U.S.C. §§ 34</w:t>
        </w:r>
      </w:hyperlink>
      <w:r w:rsidRPr="006E2F27">
        <w:rPr>
          <w:color w:val="000000"/>
          <w:sz w:val="20"/>
        </w:rPr>
        <w:t>-</w:t>
      </w:r>
      <w:hyperlink r:id="rId2" w:history="1">
        <w:r w:rsidRPr="006E2F27">
          <w:rPr>
            <w:rStyle w:val="Hyperlink"/>
            <w:color w:val="000000"/>
            <w:sz w:val="20"/>
          </w:rPr>
          <w:t>39</w:t>
        </w:r>
      </w:hyperlink>
      <w:r w:rsidRPr="006E2F27">
        <w:rPr>
          <w:color w:val="000000"/>
          <w:sz w:val="20"/>
        </w:rPr>
        <w:t xml:space="preserve">; </w:t>
      </w:r>
      <w:r w:rsidRPr="006E2F27">
        <w:rPr>
          <w:i/>
          <w:color w:val="000000"/>
          <w:sz w:val="20"/>
        </w:rPr>
        <w:t>s</w:t>
      </w:r>
      <w:r w:rsidRPr="006E2F27">
        <w:rPr>
          <w:i/>
          <w:iCs/>
          <w:color w:val="000000"/>
          <w:sz w:val="20"/>
        </w:rPr>
        <w:t>ee also</w:t>
      </w:r>
      <w:r w:rsidRPr="006E2F27">
        <w:rPr>
          <w:color w:val="000000"/>
          <w:sz w:val="20"/>
        </w:rPr>
        <w:t xml:space="preserve"> </w:t>
      </w:r>
      <w:hyperlink r:id="rId3" w:history="1">
        <w:r w:rsidRPr="006E2F27">
          <w:rPr>
            <w:rStyle w:val="Hyperlink"/>
            <w:color w:val="000000"/>
            <w:sz w:val="20"/>
          </w:rPr>
          <w:t>Exec. Ord. No. 10530</w:t>
        </w:r>
      </w:hyperlink>
      <w:r w:rsidRPr="006E2F27">
        <w:rPr>
          <w:color w:val="000000"/>
          <w:sz w:val="20"/>
        </w:rPr>
        <w:t xml:space="preserve">, Sec. 5(a), reprinted as amended at </w:t>
      </w:r>
      <w:hyperlink r:id="rId4" w:history="1">
        <w:r w:rsidRPr="006E2F27">
          <w:rPr>
            <w:rStyle w:val="Hyperlink"/>
            <w:color w:val="000000"/>
            <w:sz w:val="20"/>
          </w:rPr>
          <w:t>3 U.S.C. § 301</w:t>
        </w:r>
      </w:hyperlink>
      <w:r w:rsidRPr="006E2F27">
        <w:rPr>
          <w:color w:val="000000"/>
          <w:sz w:val="20"/>
        </w:rPr>
        <w:t xml:space="preserve"> (delegating the President’s authority under the Cable Landing License Act to the Commission).</w:t>
      </w:r>
    </w:p>
  </w:footnote>
  <w:footnote w:id="5">
    <w:p w:rsidR="006E2F27" w:rsidRPr="006E2F27" w:rsidP="006E2F27" w14:paraId="5F1316D5" w14:textId="77777777">
      <w:pPr>
        <w:pStyle w:val="FootnoteText"/>
        <w:rPr>
          <w:b/>
          <w:bCs/>
          <w:sz w:val="20"/>
        </w:rPr>
      </w:pPr>
      <w:r w:rsidRPr="006E2F27">
        <w:rPr>
          <w:rStyle w:val="FootnoteReference"/>
          <w:sz w:val="20"/>
        </w:rPr>
        <w:footnoteRef/>
      </w:r>
      <w:r w:rsidRPr="006E2F27">
        <w:rPr>
          <w:sz w:val="20"/>
        </w:rPr>
        <w:t xml:space="preserve"> 47 CFR §§ 1.767, 1.948, 25.119, 63.03-04, 63.12, 63.18, 63.24; Joint Application, WC Docket No. 22-360 (filed Oct. 12, 2022) (Lead Application); Letter from Nancy J. Victory, Counsel for Sprint LLC and Sprint Communications Company L.P., and Matthew A. Brill, Counsel for Cogent Infrastructure, to Marlene Dortch, Secretary, FCC (filed Oct. 27, 2022) (on file in WC Docket No. 22-360) (Supplement).  The Commission licenses and authorizations subject to the applications are listed in Attachment A to this Public Notice and include domestic and international section 214 authorizations, wireless licenses, earth station licenses, and submarine cable landing licenses. </w:t>
      </w:r>
    </w:p>
  </w:footnote>
  <w:footnote w:id="6">
    <w:p w:rsidR="006E2F27" w:rsidRPr="006E2F27" w:rsidP="006E2F27" w14:paraId="7A5FCF81" w14:textId="77777777">
      <w:pPr>
        <w:pStyle w:val="FootnoteText"/>
        <w:rPr>
          <w:sz w:val="20"/>
        </w:rPr>
      </w:pPr>
      <w:r w:rsidRPr="006E2F27">
        <w:rPr>
          <w:rStyle w:val="FootnoteReference"/>
          <w:sz w:val="20"/>
        </w:rPr>
        <w:footnoteRef/>
      </w:r>
      <w:r w:rsidRPr="006E2F27">
        <w:rPr>
          <w:sz w:val="20"/>
        </w:rPr>
        <w:t xml:space="preserve"> </w:t>
      </w:r>
      <w:r w:rsidRPr="006E2F27">
        <w:rPr>
          <w:i/>
          <w:sz w:val="20"/>
        </w:rPr>
        <w:t>Applications Filed for the Transfer of Control of Sprint Communications Company L.P. to Cogent Infrastructure, Inc.,</w:t>
      </w:r>
      <w:r w:rsidRPr="006E2F27">
        <w:rPr>
          <w:sz w:val="20"/>
        </w:rPr>
        <w:t xml:space="preserve"> WC Docket No. 22-360, Public Notice, DA 22-1185 (WCB/IB/WTB 2022).</w:t>
      </w:r>
    </w:p>
  </w:footnote>
  <w:footnote w:id="7">
    <w:p w:rsidR="006E2F27" w:rsidRPr="006E2F27" w:rsidP="006E2F27" w14:paraId="48A877CE" w14:textId="77777777">
      <w:pPr>
        <w:pStyle w:val="FootnoteText"/>
        <w:rPr>
          <w:sz w:val="20"/>
        </w:rPr>
      </w:pPr>
      <w:r w:rsidRPr="006E2F27">
        <w:rPr>
          <w:rStyle w:val="FootnoteReference"/>
          <w:sz w:val="20"/>
        </w:rPr>
        <w:footnoteRef/>
      </w:r>
      <w:r w:rsidRPr="006E2F27">
        <w:rPr>
          <w:sz w:val="20"/>
        </w:rPr>
        <w:t xml:space="preserve"> Lead Application at 2.</w:t>
      </w:r>
    </w:p>
  </w:footnote>
  <w:footnote w:id="8">
    <w:p w:rsidR="006E2F27" w:rsidRPr="006E2F27" w:rsidP="006E2F27" w14:paraId="02090211" w14:textId="77777777">
      <w:pPr>
        <w:pStyle w:val="FootnoteText"/>
        <w:rPr>
          <w:sz w:val="20"/>
        </w:rPr>
      </w:pPr>
      <w:r w:rsidRPr="0027112C">
        <w:rPr>
          <w:rStyle w:val="FootnoteReference"/>
        </w:rPr>
        <w:footnoteRef/>
      </w:r>
      <w:r w:rsidRPr="0027112C">
        <w:t xml:space="preserve"> </w:t>
      </w:r>
      <w:r w:rsidRPr="006E2F27">
        <w:rPr>
          <w:i/>
          <w:iCs/>
          <w:sz w:val="20"/>
        </w:rPr>
        <w:t xml:space="preserve">Id. </w:t>
      </w:r>
      <w:r w:rsidRPr="006E2F27">
        <w:rPr>
          <w:sz w:val="20"/>
        </w:rPr>
        <w:t>at 7, 14.</w:t>
      </w:r>
    </w:p>
  </w:footnote>
  <w:footnote w:id="9">
    <w:p w:rsidR="006E2F27" w:rsidRPr="006E2F27" w:rsidP="006E2F27" w14:paraId="2EA0ECB1"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 xml:space="preserve">Id. </w:t>
      </w:r>
      <w:r w:rsidRPr="006E2F27">
        <w:rPr>
          <w:sz w:val="20"/>
        </w:rPr>
        <w:t xml:space="preserve">at 2.  On April 1, 2020, T-Mobile acquired Sprint Corporation, including Sprint’s wireline network.  </w:t>
      </w:r>
      <w:r w:rsidRPr="006E2F27">
        <w:rPr>
          <w:i/>
          <w:iCs/>
          <w:sz w:val="20"/>
        </w:rPr>
        <w:t>Applications of T-Mobile US, Inc., and Sprint Corporation, for Consent to Transfer Control of Licenses and Authorizations, Applications for American H Block Wireless L.L.C., DBSD Corporation, Gamma Acquisition L.L.C., and Manifest Wireless L.L.C. for Extension of Time</w:t>
      </w:r>
      <w:r w:rsidRPr="006E2F27">
        <w:rPr>
          <w:sz w:val="20"/>
        </w:rPr>
        <w:t xml:space="preserve">, WT Docket No. 18-197, Memorandum Opinion and Order, Declaratory Ruling, and Order of Proposed Modification, 34 FCC </w:t>
      </w:r>
      <w:r w:rsidRPr="006E2F27">
        <w:rPr>
          <w:sz w:val="20"/>
        </w:rPr>
        <w:t>Rcd</w:t>
      </w:r>
      <w:r w:rsidRPr="006E2F27">
        <w:rPr>
          <w:sz w:val="20"/>
        </w:rPr>
        <w:t xml:space="preserve"> 10578, 10584, para. 15 (2019); Letter from Nancy Victory, Counsel for T-Mobile US, Inc., to Marlene H. Dortch, Secretary, FCC, WT Docket No. 18-197 (filed Apr. 14, 2020) (notice of consummation).</w:t>
      </w:r>
    </w:p>
  </w:footnote>
  <w:footnote w:id="10">
    <w:p w:rsidR="006E2F27" w:rsidRPr="006E2F27" w:rsidP="006E2F27" w14:paraId="6EA503B7" w14:textId="77777777">
      <w:pPr>
        <w:pStyle w:val="FootnoteText"/>
        <w:rPr>
          <w:sz w:val="20"/>
        </w:rPr>
      </w:pPr>
      <w:r w:rsidRPr="006E2F27">
        <w:rPr>
          <w:rStyle w:val="FootnoteReference"/>
          <w:sz w:val="20"/>
        </w:rPr>
        <w:footnoteRef/>
      </w:r>
      <w:r w:rsidRPr="006E2F27">
        <w:rPr>
          <w:sz w:val="20"/>
        </w:rPr>
        <w:t xml:space="preserve"> Lead Application at 2-3, 7, 14.  SCCLP does not provide telecommunications services to residential customers.  Supplement at 1.</w:t>
      </w:r>
    </w:p>
  </w:footnote>
  <w:footnote w:id="11">
    <w:p w:rsidR="006E2F27" w:rsidRPr="006E2F27" w:rsidP="006E2F27" w14:paraId="4B8C63EA" w14:textId="77777777">
      <w:pPr>
        <w:pStyle w:val="FootnoteText"/>
        <w:rPr>
          <w:sz w:val="20"/>
        </w:rPr>
      </w:pPr>
      <w:r w:rsidRPr="006E2F27">
        <w:rPr>
          <w:rStyle w:val="FootnoteReference"/>
          <w:sz w:val="20"/>
        </w:rPr>
        <w:footnoteRef/>
      </w:r>
      <w:r w:rsidRPr="006E2F27">
        <w:rPr>
          <w:sz w:val="20"/>
        </w:rPr>
        <w:t xml:space="preserve"> </w:t>
      </w:r>
      <w:bookmarkStart w:id="5" w:name="_Hlk62745485"/>
      <w:r w:rsidRPr="006E2F27">
        <w:rPr>
          <w:sz w:val="20"/>
        </w:rPr>
        <w:t>Lead Application at 3</w:t>
      </w:r>
      <w:bookmarkEnd w:id="5"/>
      <w:r w:rsidRPr="006E2F27">
        <w:rPr>
          <w:sz w:val="20"/>
        </w:rPr>
        <w:t xml:space="preserve"> </w:t>
      </w:r>
    </w:p>
  </w:footnote>
  <w:footnote w:id="12">
    <w:p w:rsidR="006E2F27" w:rsidRPr="006E2F27" w:rsidP="006E2F27" w14:paraId="63E1D927"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2-3.</w:t>
      </w:r>
    </w:p>
  </w:footnote>
  <w:footnote w:id="13">
    <w:p w:rsidR="006E2F27" w:rsidRPr="006E2F27" w:rsidP="006E2F27" w14:paraId="6A54A281"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3.</w:t>
      </w:r>
    </w:p>
  </w:footnote>
  <w:footnote w:id="14">
    <w:p w:rsidR="006E2F27" w:rsidRPr="006E2F27" w:rsidP="006E2F27" w14:paraId="4BEB19EF"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Id</w:t>
      </w:r>
      <w:r w:rsidRPr="006E2F27">
        <w:rPr>
          <w:sz w:val="20"/>
        </w:rPr>
        <w:t>. at 6.</w:t>
      </w:r>
    </w:p>
  </w:footnote>
  <w:footnote w:id="15">
    <w:p w:rsidR="006E2F27" w:rsidRPr="006E2F27" w:rsidP="006E2F27" w14:paraId="154ED552"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Id</w:t>
      </w:r>
      <w:r w:rsidRPr="006E2F27">
        <w:rPr>
          <w:sz w:val="20"/>
        </w:rPr>
        <w:t>. at 6-7.</w:t>
      </w:r>
    </w:p>
  </w:footnote>
  <w:footnote w:id="16">
    <w:p w:rsidR="006E2F27" w:rsidRPr="006E2F27" w:rsidP="006E2F27" w14:paraId="0C5A690F" w14:textId="77777777">
      <w:pPr>
        <w:pStyle w:val="FootnoteText"/>
        <w:rPr>
          <w:i/>
          <w:sz w:val="20"/>
        </w:rPr>
      </w:pPr>
      <w:r w:rsidRPr="006E2F27">
        <w:rPr>
          <w:rStyle w:val="FootnoteReference"/>
          <w:sz w:val="20"/>
        </w:rPr>
        <w:footnoteRef/>
      </w:r>
      <w:r w:rsidRPr="006E2F27">
        <w:rPr>
          <w:sz w:val="20"/>
        </w:rPr>
        <w:t xml:space="preserve"> </w:t>
      </w:r>
      <w:r w:rsidRPr="006E2F27">
        <w:rPr>
          <w:i/>
          <w:iCs/>
          <w:sz w:val="20"/>
        </w:rPr>
        <w:t xml:space="preserve">Id. </w:t>
      </w:r>
      <w:r w:rsidRPr="006E2F27">
        <w:rPr>
          <w:iCs/>
          <w:sz w:val="20"/>
        </w:rPr>
        <w:t xml:space="preserve">at 11-12, </w:t>
      </w:r>
      <w:r w:rsidRPr="006E2F27">
        <w:rPr>
          <w:iCs/>
          <w:sz w:val="20"/>
        </w:rPr>
        <w:t>Exh</w:t>
      </w:r>
      <w:r w:rsidRPr="006E2F27">
        <w:rPr>
          <w:iCs/>
          <w:sz w:val="20"/>
        </w:rPr>
        <w:t xml:space="preserve">. B (Post-Transaction Organizational Chart).  </w:t>
      </w:r>
      <w:r w:rsidRPr="006E2F27">
        <w:rPr>
          <w:sz w:val="20"/>
        </w:rPr>
        <w:t xml:space="preserve">BlackRock, Inc. (BlackRock) is a publicly traded Delaware corporation that owns 14.7% of Cogent Communications’ common stock through various subsidiaries.  </w:t>
      </w:r>
      <w:r w:rsidRPr="006E2F27">
        <w:rPr>
          <w:i/>
          <w:iCs/>
          <w:sz w:val="20"/>
        </w:rPr>
        <w:t>See id.</w:t>
      </w:r>
      <w:r w:rsidRPr="006E2F27">
        <w:rPr>
          <w:sz w:val="20"/>
        </w:rPr>
        <w:t>;</w:t>
      </w:r>
      <w:r w:rsidRPr="006E2F27">
        <w:rPr>
          <w:i/>
          <w:iCs/>
          <w:sz w:val="20"/>
        </w:rPr>
        <w:t xml:space="preserve"> </w:t>
      </w:r>
      <w:r w:rsidRPr="006E2F27">
        <w:rPr>
          <w:sz w:val="20"/>
        </w:rPr>
        <w:t>Supplement at 1-3 (“According to the BlackRock 13G, BlackRock and certain of its subsidiaries collectively own 7,072,055 shares, or 14.8 percent, of the common stock of Cogent Communications.”).  BlackRock is an investment entity and neither it nor its subsidiaries have the</w:t>
      </w:r>
      <w:r w:rsidRPr="0027112C">
        <w:t xml:space="preserve"> </w:t>
      </w:r>
      <w:r w:rsidRPr="006E2F27">
        <w:rPr>
          <w:sz w:val="20"/>
        </w:rPr>
        <w:t>power to</w:t>
      </w:r>
      <w:r w:rsidRPr="0027112C">
        <w:t xml:space="preserve"> </w:t>
      </w:r>
      <w:r w:rsidRPr="006E2F27">
        <w:rPr>
          <w:sz w:val="20"/>
        </w:rPr>
        <w:t>manage, operate, or control Cogent Communications, and they do not have the power to individually elect members of the Board of Cogent Communications.  Supplement at 3.</w:t>
      </w:r>
    </w:p>
  </w:footnote>
  <w:footnote w:id="17">
    <w:p w:rsidR="006E2F27" w:rsidRPr="006E2F27" w:rsidP="006E2F27" w14:paraId="037D15C2" w14:textId="77777777">
      <w:pPr>
        <w:pStyle w:val="FootnoteText"/>
        <w:rPr>
          <w:sz w:val="20"/>
        </w:rPr>
      </w:pPr>
      <w:r w:rsidRPr="006E2F27">
        <w:rPr>
          <w:rStyle w:val="FootnoteReference"/>
          <w:sz w:val="20"/>
        </w:rPr>
        <w:footnoteRef/>
      </w:r>
      <w:r w:rsidRPr="006E2F27">
        <w:rPr>
          <w:sz w:val="20"/>
        </w:rPr>
        <w:t xml:space="preserve"> </w:t>
      </w:r>
      <w:r w:rsidRPr="006E2F27">
        <w:rPr>
          <w:iCs/>
          <w:sz w:val="20"/>
        </w:rPr>
        <w:t xml:space="preserve">Lead Application at 11-12, </w:t>
      </w:r>
      <w:r w:rsidRPr="006E2F27">
        <w:rPr>
          <w:iCs/>
          <w:sz w:val="20"/>
        </w:rPr>
        <w:t>Exh</w:t>
      </w:r>
      <w:r w:rsidRPr="006E2F27">
        <w:rPr>
          <w:iCs/>
          <w:sz w:val="20"/>
        </w:rPr>
        <w:t xml:space="preserve">. B (Post-Transaction Organizational Chart).  </w:t>
      </w:r>
      <w:r w:rsidRPr="006E2F27">
        <w:rPr>
          <w:sz w:val="20"/>
        </w:rPr>
        <w:t xml:space="preserve">The Vanguard Group, Inc. (Vanguard) is a Pennsylvania corporation that owns 10.1% of Cogent Communications’ common stock through various subsidiaries.  </w:t>
      </w:r>
      <w:r w:rsidRPr="006E2F27">
        <w:rPr>
          <w:i/>
          <w:iCs/>
          <w:sz w:val="20"/>
        </w:rPr>
        <w:t>See id.</w:t>
      </w:r>
      <w:r w:rsidRPr="006E2F27">
        <w:rPr>
          <w:sz w:val="20"/>
        </w:rPr>
        <w:t>;</w:t>
      </w:r>
      <w:r w:rsidRPr="006E2F27">
        <w:rPr>
          <w:i/>
          <w:iCs/>
          <w:sz w:val="20"/>
        </w:rPr>
        <w:t xml:space="preserve"> </w:t>
      </w:r>
      <w:r w:rsidRPr="006E2F27">
        <w:rPr>
          <w:sz w:val="20"/>
        </w:rPr>
        <w:t>Supplement at 1-3 (“According to the Vanguard 13G, Vanguard and certain of its subsidiaries collectively own 4,835,162, or 10.14 percent, of the common stock of Cogent Communications.”).  Vanguard is an investment entity and neither it nor its subsidiaries have the power to manage, operate, or control Cogent Communications, and they do not have the power to individually elect members of the Board of Cogent Communications.  Supplement at 3.</w:t>
      </w:r>
    </w:p>
  </w:footnote>
  <w:footnote w:id="18">
    <w:p w:rsidR="006E2F27" w:rsidRPr="006E2F27" w:rsidP="006E2F27" w14:paraId="70B85484" w14:textId="77777777">
      <w:pPr>
        <w:pStyle w:val="FootnoteText"/>
        <w:rPr>
          <w:sz w:val="20"/>
        </w:rPr>
      </w:pPr>
      <w:r w:rsidRPr="006E2F27">
        <w:rPr>
          <w:rStyle w:val="FootnoteReference"/>
          <w:sz w:val="20"/>
        </w:rPr>
        <w:footnoteRef/>
      </w:r>
      <w:r w:rsidRPr="006E2F27">
        <w:rPr>
          <w:sz w:val="20"/>
        </w:rPr>
        <w:t xml:space="preserve"> Supplement at 3.</w:t>
      </w:r>
    </w:p>
  </w:footnote>
  <w:footnote w:id="19">
    <w:p w:rsidR="006E2F27" w:rsidRPr="006E2F27" w:rsidP="006E2F27" w14:paraId="6A8F5020" w14:textId="77777777">
      <w:pPr>
        <w:pStyle w:val="FootnoteText"/>
        <w:rPr>
          <w:sz w:val="20"/>
        </w:rPr>
      </w:pPr>
      <w:r w:rsidRPr="006E2F27">
        <w:rPr>
          <w:rStyle w:val="FootnoteReference"/>
          <w:sz w:val="20"/>
        </w:rPr>
        <w:footnoteRef/>
      </w:r>
      <w:r w:rsidRPr="006E2F27">
        <w:rPr>
          <w:sz w:val="20"/>
        </w:rPr>
        <w:t xml:space="preserve"> Lead Application at 3.</w:t>
      </w:r>
    </w:p>
  </w:footnote>
  <w:footnote w:id="20">
    <w:p w:rsidR="006E2F27" w:rsidRPr="006E2F27" w:rsidP="006E2F27" w14:paraId="1701C55A"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3-4.</w:t>
      </w:r>
    </w:p>
  </w:footnote>
  <w:footnote w:id="21">
    <w:p w:rsidR="006E2F27" w:rsidRPr="006E2F27" w:rsidP="006E2F27" w14:paraId="39FCCC7C"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4.</w:t>
      </w:r>
    </w:p>
  </w:footnote>
  <w:footnote w:id="22">
    <w:p w:rsidR="006E2F27" w:rsidRPr="006E2F27" w:rsidP="006E2F27" w14:paraId="323D9321"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w:t>
      </w:r>
    </w:p>
  </w:footnote>
  <w:footnote w:id="23">
    <w:p w:rsidR="006E2F27" w:rsidRPr="006E2F27" w:rsidP="006E2F27" w14:paraId="7F4229E8" w14:textId="77777777">
      <w:pPr>
        <w:pStyle w:val="FootnoteText"/>
        <w:widowControl w:val="0"/>
        <w:rPr>
          <w:sz w:val="20"/>
        </w:rPr>
      </w:pPr>
      <w:r w:rsidRPr="006E2F27">
        <w:rPr>
          <w:rStyle w:val="FootnoteReference"/>
          <w:sz w:val="20"/>
        </w:rPr>
        <w:footnoteRef/>
      </w:r>
      <w:r w:rsidRPr="006E2F27">
        <w:rPr>
          <w:sz w:val="20"/>
        </w:rPr>
        <w:t xml:space="preserve"> </w:t>
      </w:r>
      <w:r w:rsidRPr="006E2F27">
        <w:rPr>
          <w:i/>
          <w:sz w:val="20"/>
        </w:rPr>
        <w:t>See, e.g.</w:t>
      </w:r>
      <w:r w:rsidRPr="006E2F27">
        <w:rPr>
          <w:sz w:val="20"/>
        </w:rPr>
        <w:t xml:space="preserve">, </w:t>
      </w:r>
      <w:r w:rsidRPr="006E2F27">
        <w:rPr>
          <w:i/>
          <w:iCs/>
          <w:sz w:val="20"/>
        </w:rPr>
        <w:t xml:space="preserve">Application of Verizon Communications Inc. and </w:t>
      </w:r>
      <w:r w:rsidRPr="006E2F27">
        <w:rPr>
          <w:rStyle w:val="markedcontent"/>
          <w:i/>
          <w:iCs/>
          <w:sz w:val="20"/>
        </w:rPr>
        <w:t xml:space="preserve">América </w:t>
      </w:r>
      <w:r w:rsidRPr="006E2F27">
        <w:rPr>
          <w:rStyle w:val="markedcontent"/>
          <w:i/>
          <w:iCs/>
          <w:sz w:val="20"/>
        </w:rPr>
        <w:t>Móvil</w:t>
      </w:r>
      <w:r w:rsidRPr="006E2F27">
        <w:rPr>
          <w:rStyle w:val="markedcontent"/>
          <w:i/>
          <w:iCs/>
          <w:sz w:val="20"/>
        </w:rPr>
        <w:t xml:space="preserve"> S.A.B. de C.V for Consent to Transfer Control of International Section 214 Authorization</w:t>
      </w:r>
      <w:r w:rsidRPr="006E2F27">
        <w:rPr>
          <w:rStyle w:val="markedcontent"/>
          <w:sz w:val="20"/>
        </w:rPr>
        <w:t xml:space="preserve">, GN Docket No. 21-112, </w:t>
      </w:r>
      <w:r w:rsidRPr="006E2F27">
        <w:rPr>
          <w:sz w:val="20"/>
        </w:rPr>
        <w:t xml:space="preserve">IBFS File No. ITC-T/C-20200930-00173, </w:t>
      </w:r>
      <w:r w:rsidRPr="006E2F27">
        <w:rPr>
          <w:rStyle w:val="markedcontent"/>
          <w:sz w:val="20"/>
        </w:rPr>
        <w:t xml:space="preserve">Memorandum Opinion and Order, 36 FCC </w:t>
      </w:r>
      <w:r w:rsidRPr="006E2F27">
        <w:rPr>
          <w:rStyle w:val="markedcontent"/>
          <w:sz w:val="20"/>
        </w:rPr>
        <w:t>Rcd</w:t>
      </w:r>
      <w:r w:rsidRPr="006E2F27">
        <w:rPr>
          <w:rStyle w:val="markedcontent"/>
          <w:sz w:val="20"/>
        </w:rPr>
        <w:t xml:space="preserve"> 16994, 16996, para. 21 (2021) (</w:t>
      </w:r>
      <w:r w:rsidRPr="006E2F27">
        <w:rPr>
          <w:rStyle w:val="markedcontent"/>
          <w:i/>
          <w:iCs/>
          <w:sz w:val="20"/>
        </w:rPr>
        <w:t>Verizon-TracFone Order</w:t>
      </w:r>
      <w:r w:rsidRPr="006E2F27">
        <w:rPr>
          <w:rStyle w:val="markedcontent"/>
          <w:sz w:val="20"/>
        </w:rPr>
        <w:t xml:space="preserve">) </w:t>
      </w:r>
      <w:r w:rsidRPr="006E2F27">
        <w:rPr>
          <w:sz w:val="20"/>
        </w:rPr>
        <w:t xml:space="preserve">(citing </w:t>
      </w:r>
      <w:r w:rsidRPr="006E2F27">
        <w:rPr>
          <w:i/>
          <w:sz w:val="20"/>
        </w:rPr>
        <w:t>China Mobile International (USA) Inc., Application for Global Facilities-Based and Global Resale International Telecommunications Authority Pursuant to Section 214 of the Communications</w:t>
      </w:r>
      <w:r w:rsidRPr="007A3609">
        <w:rPr>
          <w:i/>
        </w:rPr>
        <w:t xml:space="preserve"> </w:t>
      </w:r>
      <w:r w:rsidRPr="006E2F27">
        <w:rPr>
          <w:i/>
          <w:sz w:val="20"/>
        </w:rPr>
        <w:t>Act of 1934, as Amended</w:t>
      </w:r>
      <w:r w:rsidRPr="006E2F27">
        <w:rPr>
          <w:sz w:val="20"/>
        </w:rPr>
        <w:t xml:space="preserve">, ITC-214-20110901-00289, Memorandum Opinion and Order, 34 FCC </w:t>
      </w:r>
      <w:r w:rsidRPr="006E2F27">
        <w:rPr>
          <w:sz w:val="20"/>
        </w:rPr>
        <w:t>Rcd</w:t>
      </w:r>
      <w:r w:rsidRPr="006E2F27">
        <w:rPr>
          <w:sz w:val="20"/>
        </w:rPr>
        <w:t xml:space="preserve"> 3361, 3366, para. 9 (2019); </w:t>
      </w:r>
      <w:r w:rsidRPr="006E2F27">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6E2F27">
        <w:rPr>
          <w:sz w:val="20"/>
        </w:rPr>
        <w:t xml:space="preserve">., MB Docket No. 05-192, Memorandum Opinion and Order, 21 FCC </w:t>
      </w:r>
      <w:r w:rsidRPr="006E2F27">
        <w:rPr>
          <w:sz w:val="20"/>
        </w:rPr>
        <w:t>Rcd</w:t>
      </w:r>
      <w:r w:rsidRPr="006E2F27">
        <w:rPr>
          <w:sz w:val="20"/>
        </w:rPr>
        <w:t xml:space="preserve"> 8203, 8219-21, paras. 27-28 (2006) (</w:t>
      </w:r>
      <w:r w:rsidRPr="006E2F27">
        <w:rPr>
          <w:i/>
          <w:iCs/>
          <w:sz w:val="20"/>
        </w:rPr>
        <w:t>Adelphia-TWC Order</w:t>
      </w:r>
      <w:r w:rsidRPr="006E2F27">
        <w:rPr>
          <w:sz w:val="20"/>
        </w:rPr>
        <w:t>)).</w:t>
      </w:r>
    </w:p>
  </w:footnote>
  <w:footnote w:id="24">
    <w:p w:rsidR="006E2F27" w:rsidRPr="006E2F27" w:rsidP="006E2F27" w14:paraId="284EB014" w14:textId="77777777">
      <w:pPr>
        <w:pStyle w:val="FootnoteText"/>
        <w:rPr>
          <w:sz w:val="20"/>
        </w:rPr>
      </w:pPr>
      <w:r w:rsidRPr="006E2F27">
        <w:rPr>
          <w:rStyle w:val="FootnoteReference"/>
          <w:sz w:val="20"/>
        </w:rPr>
        <w:footnoteRef/>
      </w:r>
      <w:r w:rsidRPr="006E2F27">
        <w:rPr>
          <w:sz w:val="20"/>
        </w:rPr>
        <w:t xml:space="preserve"> </w:t>
      </w:r>
      <w:r w:rsidRPr="006E2F27">
        <w:rPr>
          <w:i/>
          <w:sz w:val="20"/>
        </w:rPr>
        <w:t>See Verizon-TracFone Order</w:t>
      </w:r>
      <w:r w:rsidRPr="006E2F27">
        <w:rPr>
          <w:iCs/>
          <w:sz w:val="20"/>
        </w:rPr>
        <w:t xml:space="preserve">, </w:t>
      </w:r>
      <w:r w:rsidRPr="006E2F27">
        <w:rPr>
          <w:rStyle w:val="markedcontent"/>
          <w:sz w:val="20"/>
        </w:rPr>
        <w:t xml:space="preserve">36 FCC </w:t>
      </w:r>
      <w:r w:rsidRPr="006E2F27">
        <w:rPr>
          <w:rStyle w:val="markedcontent"/>
          <w:sz w:val="20"/>
        </w:rPr>
        <w:t>Rcd</w:t>
      </w:r>
      <w:r w:rsidRPr="006E2F27">
        <w:rPr>
          <w:rStyle w:val="markedcontent"/>
          <w:sz w:val="20"/>
        </w:rPr>
        <w:t xml:space="preserve"> at 16996</w:t>
      </w:r>
      <w:r w:rsidRPr="006E2F27">
        <w:rPr>
          <w:iCs/>
          <w:sz w:val="20"/>
        </w:rPr>
        <w:t xml:space="preserve">, para. 21 (citing </w:t>
      </w:r>
      <w:r w:rsidRPr="006E2F27">
        <w:rPr>
          <w:i/>
          <w:sz w:val="20"/>
        </w:rPr>
        <w:t xml:space="preserve">Applications of </w:t>
      </w:r>
      <w:r w:rsidRPr="006E2F27">
        <w:rPr>
          <w:i/>
          <w:iCs/>
          <w:sz w:val="20"/>
        </w:rPr>
        <w:t>AT&amp;T</w:t>
      </w:r>
      <w:r w:rsidRPr="006E2F27">
        <w:rPr>
          <w:i/>
          <w:sz w:val="20"/>
        </w:rPr>
        <w:t xml:space="preserve"> Inc. and </w:t>
      </w:r>
      <w:r w:rsidRPr="006E2F27">
        <w:rPr>
          <w:i/>
          <w:iCs/>
          <w:sz w:val="20"/>
        </w:rPr>
        <w:t xml:space="preserve">DIRECTV </w:t>
      </w:r>
      <w:r w:rsidRPr="006E2F27">
        <w:rPr>
          <w:i/>
          <w:sz w:val="20"/>
        </w:rPr>
        <w:t>for Consent to Assign or Transfer Control of Licenses and Authorizations</w:t>
      </w:r>
      <w:r w:rsidRPr="006E2F27">
        <w:rPr>
          <w:sz w:val="20"/>
        </w:rPr>
        <w:t xml:space="preserve">, MB Docket No. 14-90, Memorandum Opinion and Order, 30 </w:t>
      </w:r>
      <w:r w:rsidRPr="006E2F27">
        <w:rPr>
          <w:iCs/>
          <w:sz w:val="20"/>
        </w:rPr>
        <w:t xml:space="preserve">FCC </w:t>
      </w:r>
      <w:r w:rsidRPr="006E2F27">
        <w:rPr>
          <w:iCs/>
          <w:sz w:val="20"/>
        </w:rPr>
        <w:t>Rcd</w:t>
      </w:r>
      <w:r w:rsidRPr="006E2F27">
        <w:rPr>
          <w:iCs/>
          <w:sz w:val="20"/>
        </w:rPr>
        <w:t xml:space="preserve"> </w:t>
      </w:r>
      <w:r w:rsidRPr="006E2F27">
        <w:rPr>
          <w:sz w:val="20"/>
        </w:rPr>
        <w:t>9131,</w:t>
      </w:r>
      <w:r w:rsidRPr="006E2F27">
        <w:rPr>
          <w:iCs/>
          <w:sz w:val="20"/>
        </w:rPr>
        <w:t xml:space="preserve"> 9140, para. 18</w:t>
      </w:r>
      <w:r w:rsidRPr="006E2F27">
        <w:rPr>
          <w:sz w:val="20"/>
        </w:rPr>
        <w:t xml:space="preserve"> (2015) (</w:t>
      </w:r>
      <w:r w:rsidRPr="006E2F27">
        <w:rPr>
          <w:i/>
          <w:iCs/>
          <w:sz w:val="20"/>
        </w:rPr>
        <w:t>AT&amp;T-DIRECTV Order</w:t>
      </w:r>
      <w:r w:rsidRPr="006E2F27">
        <w:rPr>
          <w:iCs/>
          <w:sz w:val="20"/>
        </w:rPr>
        <w:t>)) (further citations omitted).</w:t>
      </w:r>
    </w:p>
  </w:footnote>
  <w:footnote w:id="25">
    <w:p w:rsidR="006E2F27" w:rsidRPr="006E2F27" w:rsidP="006E2F27" w14:paraId="6DC5C069" w14:textId="77777777">
      <w:pPr>
        <w:pStyle w:val="FootnoteText"/>
        <w:rPr>
          <w:sz w:val="20"/>
        </w:rPr>
      </w:pPr>
      <w:r w:rsidRPr="006E2F27">
        <w:rPr>
          <w:rStyle w:val="FootnoteReference"/>
          <w:sz w:val="20"/>
        </w:rPr>
        <w:footnoteRef/>
      </w:r>
      <w:r w:rsidRPr="006E2F27">
        <w:rPr>
          <w:sz w:val="20"/>
        </w:rPr>
        <w:t xml:space="preserve"> </w:t>
      </w:r>
      <w:r w:rsidRPr="006E2F27">
        <w:rPr>
          <w:i/>
          <w:sz w:val="20"/>
        </w:rPr>
        <w:t>See Verizon-TracFone Order</w:t>
      </w:r>
      <w:r w:rsidRPr="006E2F27">
        <w:rPr>
          <w:iCs/>
          <w:sz w:val="20"/>
        </w:rPr>
        <w:t xml:space="preserve">, 36 FCC </w:t>
      </w:r>
      <w:r w:rsidRPr="006E2F27">
        <w:rPr>
          <w:iCs/>
          <w:sz w:val="20"/>
        </w:rPr>
        <w:t>Rcd</w:t>
      </w:r>
      <w:r w:rsidRPr="006E2F27">
        <w:rPr>
          <w:iCs/>
          <w:sz w:val="20"/>
        </w:rPr>
        <w:t xml:space="preserve"> at 16996, para. 21 (citing</w:t>
      </w:r>
      <w:r w:rsidRPr="006E2F27">
        <w:rPr>
          <w:sz w:val="20"/>
        </w:rPr>
        <w:t xml:space="preserve"> </w:t>
      </w:r>
      <w:r w:rsidRPr="006E2F27">
        <w:rPr>
          <w:i/>
          <w:iCs/>
          <w:sz w:val="20"/>
        </w:rPr>
        <w:t>AT&amp;T-DIRECTV Order</w:t>
      </w:r>
      <w:r w:rsidRPr="006E2F27">
        <w:rPr>
          <w:iCs/>
          <w:sz w:val="20"/>
        </w:rPr>
        <w:t xml:space="preserve">, </w:t>
      </w:r>
      <w:r w:rsidRPr="006E2F27">
        <w:rPr>
          <w:sz w:val="20"/>
        </w:rPr>
        <w:t xml:space="preserve">30 </w:t>
      </w:r>
      <w:r w:rsidRPr="006E2F27">
        <w:rPr>
          <w:iCs/>
          <w:sz w:val="20"/>
        </w:rPr>
        <w:t xml:space="preserve">FCC </w:t>
      </w:r>
      <w:r w:rsidRPr="006E2F27">
        <w:rPr>
          <w:iCs/>
          <w:sz w:val="20"/>
        </w:rPr>
        <w:t>Rcd</w:t>
      </w:r>
      <w:r w:rsidRPr="006E2F27">
        <w:rPr>
          <w:iCs/>
          <w:sz w:val="20"/>
        </w:rPr>
        <w:t xml:space="preserve"> at 9140, para. 18; </w:t>
      </w:r>
      <w:r w:rsidRPr="006E2F27">
        <w:rPr>
          <w:i/>
          <w:sz w:val="20"/>
        </w:rPr>
        <w:t>Adelphia-TWC Order</w:t>
      </w:r>
      <w:r w:rsidRPr="006E2F27">
        <w:rPr>
          <w:sz w:val="20"/>
        </w:rPr>
        <w:t xml:space="preserve">, 21 FCC </w:t>
      </w:r>
      <w:r w:rsidRPr="006E2F27">
        <w:rPr>
          <w:sz w:val="20"/>
        </w:rPr>
        <w:t>Rcd</w:t>
      </w:r>
      <w:r w:rsidRPr="006E2F27">
        <w:rPr>
          <w:sz w:val="20"/>
        </w:rPr>
        <w:t xml:space="preserve"> at 8217, para. 23; </w:t>
      </w:r>
      <w:r w:rsidRPr="006E2F27">
        <w:rPr>
          <w:i/>
          <w:sz w:val="20"/>
        </w:rPr>
        <w:t>Application of EchoStar Communications Corp., General Motors Corp., and Hughes Electronics Corp., Transferors, and EchoStar Communications Corp., Transferee</w:t>
      </w:r>
      <w:r w:rsidRPr="006E2F27">
        <w:rPr>
          <w:sz w:val="20"/>
        </w:rPr>
        <w:t xml:space="preserve">, CS Docket No. 01-348, Hearing Designation Order, 17 FCC </w:t>
      </w:r>
      <w:r w:rsidRPr="006E2F27">
        <w:rPr>
          <w:sz w:val="20"/>
        </w:rPr>
        <w:t>Rcd</w:t>
      </w:r>
      <w:r w:rsidRPr="006E2F27">
        <w:rPr>
          <w:sz w:val="20"/>
        </w:rPr>
        <w:t xml:space="preserve"> 20559, </w:t>
      </w:r>
      <w:r w:rsidRPr="006E2F27">
        <w:rPr>
          <w:snapToGrid w:val="0"/>
          <w:sz w:val="20"/>
        </w:rPr>
        <w:t>20574, para.</w:t>
      </w:r>
      <w:r w:rsidRPr="006E2F27">
        <w:rPr>
          <w:sz w:val="20"/>
        </w:rPr>
        <w:t xml:space="preserve"> 25 (2002)) </w:t>
      </w:r>
      <w:r w:rsidRPr="006E2F27">
        <w:rPr>
          <w:iCs/>
          <w:sz w:val="20"/>
        </w:rPr>
        <w:t>(further citations omitted)</w:t>
      </w:r>
      <w:r w:rsidRPr="006E2F27">
        <w:rPr>
          <w:sz w:val="20"/>
        </w:rPr>
        <w:t>.</w:t>
      </w:r>
    </w:p>
  </w:footnote>
  <w:footnote w:id="26">
    <w:p w:rsidR="006E2F27" w:rsidRPr="006E2F27" w:rsidP="006E2F27" w14:paraId="5673717B"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AT&amp;T/DIRECTV Order</w:t>
      </w:r>
      <w:r w:rsidRPr="006E2F27">
        <w:rPr>
          <w:sz w:val="20"/>
        </w:rPr>
        <w:t xml:space="preserve">, 30 FCC </w:t>
      </w:r>
      <w:r w:rsidRPr="006E2F27">
        <w:rPr>
          <w:sz w:val="20"/>
        </w:rPr>
        <w:t>Rcd</w:t>
      </w:r>
      <w:r w:rsidRPr="006E2F27">
        <w:rPr>
          <w:sz w:val="20"/>
        </w:rPr>
        <w:t xml:space="preserve"> at 9237, paras. 273-74.</w:t>
      </w:r>
    </w:p>
  </w:footnote>
  <w:footnote w:id="27">
    <w:p w:rsidR="006E2F27" w:rsidRPr="006E2F27" w:rsidP="006E2F27" w14:paraId="25D566E8"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id</w:t>
      </w:r>
      <w:r w:rsidRPr="006E2F27">
        <w:rPr>
          <w:sz w:val="20"/>
        </w:rPr>
        <w:t>. at 9237-38, paras. 275-76.</w:t>
      </w:r>
    </w:p>
  </w:footnote>
  <w:footnote w:id="28">
    <w:p w:rsidR="006E2F27" w:rsidRPr="006E2F27" w:rsidP="006E2F27" w14:paraId="06D9A95A"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id</w:t>
      </w:r>
      <w:r w:rsidRPr="006E2F27">
        <w:rPr>
          <w:sz w:val="20"/>
        </w:rPr>
        <w:t>.</w:t>
      </w:r>
    </w:p>
  </w:footnote>
  <w:footnote w:id="29">
    <w:p w:rsidR="006E2F27" w:rsidRPr="006E2F27" w:rsidP="006E2F27" w14:paraId="674297B7" w14:textId="77777777">
      <w:pPr>
        <w:pStyle w:val="FootnoteText"/>
        <w:rPr>
          <w:sz w:val="20"/>
        </w:rPr>
      </w:pPr>
      <w:r w:rsidRPr="006E2F27">
        <w:rPr>
          <w:rStyle w:val="FootnoteReference"/>
          <w:sz w:val="20"/>
        </w:rPr>
        <w:footnoteRef/>
      </w:r>
      <w:r w:rsidRPr="006E2F27">
        <w:rPr>
          <w:sz w:val="20"/>
        </w:rPr>
        <w:t xml:space="preserve"> Lead Application at 7-8, 14.</w:t>
      </w:r>
    </w:p>
  </w:footnote>
  <w:footnote w:id="30">
    <w:p w:rsidR="006E2F27" w:rsidRPr="006E2F27" w:rsidP="006E2F27" w14:paraId="00C34643"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6-7 (stating that Cogent Communications’ virtual private LAN service (VPLS) and SCCLP’s Enterprise Multiprotocol Label Switching Service (MPLS) may constitute partial substitutes and that both companies face competition for services offered from larger providers).  Cogent Infrastructure and its affiliates do not have a BDS tariff filed with the Commission.  </w:t>
      </w:r>
    </w:p>
  </w:footnote>
  <w:footnote w:id="31">
    <w:p w:rsidR="006E2F27" w:rsidRPr="006E2F27" w:rsidP="006E2F27" w14:paraId="5E6B38B4"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6-8 (stating that Cogent “currently relies almost entirely on leased fiber,” and the proposed transaction will increase its ownership of core network facilities).  </w:t>
      </w:r>
      <w:r w:rsidRPr="006E2F27">
        <w:rPr>
          <w:i/>
          <w:iCs/>
          <w:sz w:val="20"/>
        </w:rPr>
        <w:t>See, e.g.</w:t>
      </w:r>
      <w:r w:rsidRPr="006E2F27">
        <w:rPr>
          <w:sz w:val="20"/>
        </w:rPr>
        <w:t>,</w:t>
      </w:r>
      <w:r w:rsidRPr="006E2F27">
        <w:rPr>
          <w:i/>
          <w:iCs/>
          <w:sz w:val="20"/>
        </w:rPr>
        <w:t xml:space="preserve"> Applications of Level 3 Communications, Inc. and CenturyLink, Inc. for Consent to Transfer Control of Licenses and Authorizations</w:t>
      </w:r>
      <w:r w:rsidRPr="006E2F27">
        <w:rPr>
          <w:sz w:val="20"/>
        </w:rPr>
        <w:t xml:space="preserve">, Memorandum Opinion and Order, 32 FCC </w:t>
      </w:r>
      <w:r w:rsidRPr="006E2F27">
        <w:rPr>
          <w:sz w:val="20"/>
        </w:rPr>
        <w:t>Rcd</w:t>
      </w:r>
      <w:r w:rsidRPr="006E2F27">
        <w:rPr>
          <w:sz w:val="20"/>
        </w:rPr>
        <w:t xml:space="preserve"> 9581, 9594, 9605, paras. 26 and 52 (2017) (</w:t>
      </w:r>
      <w:bookmarkStart w:id="7" w:name="_Hlk126178293"/>
      <w:r w:rsidRPr="006E2F27">
        <w:rPr>
          <w:i/>
          <w:iCs/>
          <w:sz w:val="20"/>
        </w:rPr>
        <w:t>CenturyLink-Level 3 Order</w:t>
      </w:r>
      <w:bookmarkEnd w:id="7"/>
      <w:r w:rsidRPr="006E2F27">
        <w:rPr>
          <w:sz w:val="20"/>
        </w:rPr>
        <w:t>) (finding no harm to competition areas where both applicants operate as competitive LECs, and further</w:t>
      </w:r>
      <w:r>
        <w:t xml:space="preserve"> </w:t>
      </w:r>
      <w:r w:rsidRPr="006E2F27">
        <w:rPr>
          <w:sz w:val="20"/>
        </w:rPr>
        <w:t>finding that the</w:t>
      </w:r>
      <w:r>
        <w:t xml:space="preserve"> </w:t>
      </w:r>
      <w:r w:rsidRPr="006E2F27">
        <w:rPr>
          <w:sz w:val="20"/>
        </w:rPr>
        <w:t>transaction “will expand the on-net reach of the newly combined firm resulting in a more effective and stronger competitor against larger cable and incumbent LEC competitors, among others, particularly outside of CenturyLink's incumbent LEC region, where it, like Level 3, operates as a competitive LEC.”).</w:t>
      </w:r>
    </w:p>
  </w:footnote>
  <w:footnote w:id="32">
    <w:p w:rsidR="006E2F27" w:rsidRPr="006E2F27" w:rsidP="006E2F27" w14:paraId="526B2C5B" w14:textId="77777777">
      <w:pPr>
        <w:pStyle w:val="FootnoteText"/>
        <w:rPr>
          <w:i/>
          <w:iCs/>
          <w:sz w:val="20"/>
        </w:rPr>
      </w:pPr>
      <w:r w:rsidRPr="006E2F27">
        <w:rPr>
          <w:rStyle w:val="FootnoteReference"/>
          <w:sz w:val="20"/>
        </w:rPr>
        <w:footnoteRef/>
      </w:r>
      <w:r w:rsidRPr="006E2F27">
        <w:rPr>
          <w:sz w:val="20"/>
        </w:rPr>
        <w:t xml:space="preserve"> </w:t>
      </w:r>
      <w:r w:rsidRPr="006E2F27">
        <w:rPr>
          <w:i/>
          <w:iCs/>
          <w:sz w:val="20"/>
        </w:rPr>
        <w:t xml:space="preserve">See </w:t>
      </w:r>
      <w:r w:rsidRPr="006E2F27">
        <w:rPr>
          <w:sz w:val="20"/>
        </w:rPr>
        <w:t xml:space="preserve">Center for Applied Internet Data Analysis, Current </w:t>
      </w:r>
      <w:r w:rsidRPr="006E2F27">
        <w:rPr>
          <w:color w:val="3D3D3D"/>
          <w:sz w:val="20"/>
          <w:shd w:val="clear" w:color="auto" w:fill="FFFFFF"/>
        </w:rPr>
        <w:t>AS Ranking,</w:t>
      </w:r>
      <w:r w:rsidRPr="006E2F27">
        <w:rPr>
          <w:sz w:val="20"/>
        </w:rPr>
        <w:t xml:space="preserve"> </w:t>
      </w:r>
      <w:hyperlink r:id="rId5" w:history="1">
        <w:r w:rsidRPr="006E2F27">
          <w:rPr>
            <w:rStyle w:val="Hyperlink"/>
            <w:sz w:val="20"/>
            <w:shd w:val="clear" w:color="auto" w:fill="FFFFFF"/>
          </w:rPr>
          <w:t>https://asrank.caida.org/</w:t>
        </w:r>
      </w:hyperlink>
      <w:r w:rsidRPr="006E2F27">
        <w:rPr>
          <w:color w:val="3D3D3D"/>
          <w:sz w:val="20"/>
          <w:shd w:val="clear" w:color="auto" w:fill="FFFFFF"/>
        </w:rPr>
        <w:t xml:space="preserve">.  The Commission has referred to this ranking source in other transactions.  </w:t>
      </w:r>
      <w:r w:rsidRPr="006E2F27">
        <w:rPr>
          <w:i/>
          <w:iCs/>
          <w:color w:val="3D3D3D"/>
          <w:sz w:val="20"/>
          <w:shd w:val="clear" w:color="auto" w:fill="FFFFFF"/>
        </w:rPr>
        <w:t xml:space="preserve">See </w:t>
      </w:r>
      <w:r w:rsidRPr="006E2F27">
        <w:rPr>
          <w:i/>
          <w:iCs/>
          <w:sz w:val="20"/>
        </w:rPr>
        <w:t>CenturyLink-Level 3 Order</w:t>
      </w:r>
      <w:r w:rsidRPr="006E2F27">
        <w:rPr>
          <w:sz w:val="20"/>
        </w:rPr>
        <w:t xml:space="preserve">, 32 FCC </w:t>
      </w:r>
      <w:r w:rsidRPr="006E2F27">
        <w:rPr>
          <w:sz w:val="20"/>
        </w:rPr>
        <w:t>Rcd</w:t>
      </w:r>
      <w:r w:rsidRPr="006E2F27">
        <w:rPr>
          <w:sz w:val="20"/>
        </w:rPr>
        <w:t xml:space="preserve"> at 9602, para. 46.</w:t>
      </w:r>
    </w:p>
  </w:footnote>
  <w:footnote w:id="33">
    <w:p w:rsidR="006E2F27" w:rsidRPr="006E2F27" w:rsidP="006E2F27" w14:paraId="749171A0" w14:textId="77777777">
      <w:pPr>
        <w:pStyle w:val="FootnoteText"/>
        <w:rPr>
          <w:sz w:val="20"/>
        </w:rPr>
      </w:pPr>
      <w:r w:rsidRPr="006E2F27">
        <w:rPr>
          <w:rStyle w:val="FootnoteReference"/>
          <w:sz w:val="20"/>
        </w:rPr>
        <w:footnoteRef/>
      </w:r>
      <w:r w:rsidRPr="006E2F27">
        <w:rPr>
          <w:sz w:val="20"/>
        </w:rPr>
        <w:t xml:space="preserve"> Lead Application at 6.  </w:t>
      </w:r>
    </w:p>
  </w:footnote>
  <w:footnote w:id="34">
    <w:p w:rsidR="006E2F27" w:rsidRPr="006E2F27" w:rsidP="006E2F27" w14:paraId="0AC10DC6"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 e.g.</w:t>
      </w:r>
      <w:r w:rsidRPr="006E2F27">
        <w:rPr>
          <w:sz w:val="20"/>
        </w:rPr>
        <w:t>,</w:t>
      </w:r>
      <w:r w:rsidRPr="006E2F27">
        <w:rPr>
          <w:i/>
          <w:iCs/>
          <w:sz w:val="20"/>
        </w:rPr>
        <w:t xml:space="preserve"> CenturyLink-Level 3 Order</w:t>
      </w:r>
      <w:r w:rsidRPr="006E2F27">
        <w:rPr>
          <w:sz w:val="20"/>
        </w:rPr>
        <w:t xml:space="preserve">, 32 FCC </w:t>
      </w:r>
      <w:r w:rsidRPr="006E2F27">
        <w:rPr>
          <w:sz w:val="20"/>
        </w:rPr>
        <w:t>Rcd</w:t>
      </w:r>
      <w:r w:rsidRPr="006E2F27">
        <w:rPr>
          <w:sz w:val="20"/>
        </w:rPr>
        <w:t xml:space="preserve"> at 9602, para. 46; </w:t>
      </w:r>
      <w:r w:rsidRPr="006E2F27">
        <w:rPr>
          <w:i/>
          <w:iCs/>
          <w:sz w:val="20"/>
        </w:rPr>
        <w:t>Applications of XO Holdings and Verizon Communications Inc. for Consent to Transfer Control of Licenses and Authorizations</w:t>
      </w:r>
      <w:r w:rsidRPr="006E2F27">
        <w:rPr>
          <w:sz w:val="20"/>
        </w:rPr>
        <w:t xml:space="preserve">, 31 FCC </w:t>
      </w:r>
      <w:r w:rsidRPr="006E2F27">
        <w:rPr>
          <w:sz w:val="20"/>
        </w:rPr>
        <w:t>Rcd</w:t>
      </w:r>
      <w:r w:rsidRPr="006E2F27">
        <w:rPr>
          <w:sz w:val="20"/>
        </w:rPr>
        <w:t xml:space="preserve"> 12501, 12526, paras. 43-44 (WCB 2016) (</w:t>
      </w:r>
      <w:r w:rsidRPr="006E2F27">
        <w:rPr>
          <w:i/>
          <w:iCs/>
          <w:sz w:val="20"/>
        </w:rPr>
        <w:t>Verizon-XO Order</w:t>
      </w:r>
      <w:r w:rsidRPr="006E2F27">
        <w:rPr>
          <w:sz w:val="20"/>
        </w:rPr>
        <w:t xml:space="preserve">). </w:t>
      </w:r>
    </w:p>
  </w:footnote>
  <w:footnote w:id="35">
    <w:p w:rsidR="006E2F27" w:rsidRPr="006E2F27" w:rsidP="006E2F27" w14:paraId="2B3A2824" w14:textId="77777777">
      <w:pPr>
        <w:pStyle w:val="FootnoteText"/>
        <w:rPr>
          <w:sz w:val="20"/>
        </w:rPr>
      </w:pPr>
      <w:r w:rsidRPr="006E2F27">
        <w:rPr>
          <w:rStyle w:val="FootnoteReference"/>
          <w:sz w:val="20"/>
        </w:rPr>
        <w:footnoteRef/>
      </w:r>
      <w:r w:rsidRPr="006E2F27">
        <w:rPr>
          <w:sz w:val="20"/>
        </w:rPr>
        <w:t xml:space="preserve"> Lead Application at 6-7.</w:t>
      </w:r>
    </w:p>
  </w:footnote>
  <w:footnote w:id="36">
    <w:p w:rsidR="006E2F27" w:rsidRPr="006E2F27" w:rsidP="006E2F27" w14:paraId="7122C44B"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5, 8.</w:t>
      </w:r>
    </w:p>
  </w:footnote>
  <w:footnote w:id="37">
    <w:p w:rsidR="006E2F27" w:rsidRPr="006E2F27" w:rsidP="006E2F27" w14:paraId="5DD15B91"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Id.</w:t>
      </w:r>
      <w:r w:rsidRPr="006E2F27">
        <w:rPr>
          <w:sz w:val="20"/>
        </w:rPr>
        <w:t xml:space="preserve"> at 5.</w:t>
      </w:r>
    </w:p>
  </w:footnote>
  <w:footnote w:id="38">
    <w:p w:rsidR="006E2F27" w:rsidRPr="006E2F27" w:rsidP="006E2F27" w14:paraId="43B2C04A"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Id</w:t>
      </w:r>
      <w:r w:rsidRPr="006E2F27">
        <w:rPr>
          <w:sz w:val="20"/>
        </w:rPr>
        <w:t>. at 8.</w:t>
      </w:r>
    </w:p>
  </w:footnote>
  <w:footnote w:id="39">
    <w:p w:rsidR="006E2F27" w:rsidRPr="006E2F27" w:rsidP="006E2F27" w14:paraId="3B879EF7"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Id</w:t>
      </w:r>
      <w:r w:rsidRPr="006E2F27">
        <w:rPr>
          <w:sz w:val="20"/>
        </w:rPr>
        <w:t xml:space="preserve">. at 5-8.  </w:t>
      </w:r>
    </w:p>
  </w:footnote>
  <w:footnote w:id="40">
    <w:p w:rsidR="006E2F27" w:rsidRPr="006E2F27" w:rsidP="006E2F27" w14:paraId="5CEA3987" w14:textId="77777777">
      <w:pPr>
        <w:pStyle w:val="FootnoteText"/>
        <w:rPr>
          <w:sz w:val="20"/>
        </w:rPr>
      </w:pPr>
      <w:r w:rsidRPr="006E2F27">
        <w:rPr>
          <w:rStyle w:val="FootnoteReference"/>
          <w:sz w:val="20"/>
        </w:rPr>
        <w:footnoteRef/>
      </w:r>
      <w:r w:rsidRPr="006E2F27">
        <w:rPr>
          <w:sz w:val="20"/>
        </w:rPr>
        <w:t xml:space="preserve"> </w:t>
      </w:r>
      <w:r w:rsidRPr="006E2F27">
        <w:rPr>
          <w:i/>
          <w:sz w:val="20"/>
        </w:rPr>
        <w:t>Id.</w:t>
      </w:r>
      <w:r w:rsidRPr="006E2F27">
        <w:rPr>
          <w:sz w:val="20"/>
        </w:rPr>
        <w:t xml:space="preserve"> at 8.</w:t>
      </w:r>
    </w:p>
  </w:footnote>
  <w:footnote w:id="41">
    <w:p w:rsidR="006E2F27" w:rsidRPr="006D642E" w:rsidP="006E2F27" w14:paraId="20ADDB0B" w14:textId="77777777">
      <w:pPr>
        <w:pStyle w:val="FootnoteText"/>
      </w:pPr>
      <w:r>
        <w:rPr>
          <w:rStyle w:val="FootnoteReference"/>
        </w:rPr>
        <w:footnoteRef/>
      </w:r>
      <w:r>
        <w:t xml:space="preserve"> </w:t>
      </w:r>
      <w:r>
        <w:rPr>
          <w:i/>
          <w:iCs/>
        </w:rPr>
        <w:t>Id</w:t>
      </w:r>
      <w:r>
        <w:t xml:space="preserve">. at 1-2.   </w:t>
      </w:r>
    </w:p>
  </w:footnote>
  <w:footnote w:id="42">
    <w:p w:rsidR="006E2F27" w:rsidRPr="006E2F27" w:rsidP="006E2F27" w14:paraId="48B8F728"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CenturyLink-Level 3 Order</w:t>
      </w:r>
      <w:r w:rsidRPr="006E2F27">
        <w:rPr>
          <w:sz w:val="20"/>
        </w:rPr>
        <w:t xml:space="preserve">, 32 FCC </w:t>
      </w:r>
      <w:r w:rsidRPr="006E2F27">
        <w:rPr>
          <w:sz w:val="20"/>
        </w:rPr>
        <w:t>Rcd</w:t>
      </w:r>
      <w:r w:rsidRPr="006E2F27">
        <w:rPr>
          <w:sz w:val="20"/>
        </w:rPr>
        <w:t xml:space="preserve"> at 9606-07, para. 57 (citing </w:t>
      </w:r>
      <w:r w:rsidRPr="006E2F27">
        <w:rPr>
          <w:i/>
          <w:iCs/>
          <w:sz w:val="20"/>
        </w:rPr>
        <w:t>Verizon-XO Order</w:t>
      </w:r>
      <w:r w:rsidRPr="006E2F27">
        <w:rPr>
          <w:sz w:val="20"/>
        </w:rPr>
        <w:t xml:space="preserve">, 31 FCC </w:t>
      </w:r>
      <w:r w:rsidRPr="006E2F27">
        <w:rPr>
          <w:sz w:val="20"/>
        </w:rPr>
        <w:t>Rcd</w:t>
      </w:r>
      <w:r w:rsidRPr="006E2F27">
        <w:rPr>
          <w:sz w:val="20"/>
        </w:rPr>
        <w:t xml:space="preserve"> at 12536, para. 63 (</w:t>
      </w:r>
      <w:r w:rsidRPr="006E2F27">
        <w:rPr>
          <w:color w:val="3D3D3D"/>
          <w:sz w:val="20"/>
          <w:shd w:val="clear" w:color="auto" w:fill="FFFFFF"/>
        </w:rPr>
        <w:t>finding that facilities-based ownership enables the provider to maximize service reliability, identify and resolve service disruptions, process customers' orders more quickly, avoid unintended route redundancy, and minimize customer traffic handoff to other networks)).</w:t>
      </w:r>
    </w:p>
  </w:footnote>
  <w:footnote w:id="43">
    <w:p w:rsidR="006E2F27" w:rsidRPr="006E2F27" w:rsidP="006E2F27" w14:paraId="7AEEA247" w14:textId="77777777">
      <w:pPr>
        <w:pStyle w:val="FootnoteText"/>
        <w:rPr>
          <w:sz w:val="20"/>
        </w:rPr>
      </w:pPr>
      <w:r w:rsidRPr="006E2F27">
        <w:rPr>
          <w:rStyle w:val="FootnoteReference"/>
          <w:sz w:val="20"/>
        </w:rPr>
        <w:footnoteRef/>
      </w:r>
      <w:r w:rsidRPr="006E2F27">
        <w:rPr>
          <w:sz w:val="20"/>
        </w:rPr>
        <w:t xml:space="preserve"> </w:t>
      </w:r>
      <w:r w:rsidRPr="006E2F27">
        <w:rPr>
          <w:i/>
          <w:iCs/>
          <w:sz w:val="20"/>
        </w:rPr>
        <w:t>See, e.g.</w:t>
      </w:r>
      <w:r w:rsidRPr="006E2F27">
        <w:rPr>
          <w:sz w:val="20"/>
        </w:rPr>
        <w:t>,</w:t>
      </w:r>
      <w:r w:rsidRPr="006E2F27">
        <w:rPr>
          <w:i/>
          <w:iCs/>
          <w:sz w:val="20"/>
        </w:rPr>
        <w:t xml:space="preserve"> AT&amp;T-DIRECTV Order</w:t>
      </w:r>
      <w:r w:rsidRPr="006E2F27">
        <w:rPr>
          <w:iCs/>
          <w:sz w:val="20"/>
        </w:rPr>
        <w:t xml:space="preserve">, </w:t>
      </w:r>
      <w:r w:rsidRPr="006E2F27">
        <w:rPr>
          <w:sz w:val="20"/>
        </w:rPr>
        <w:t xml:space="preserve">30 </w:t>
      </w:r>
      <w:r w:rsidRPr="006E2F27">
        <w:rPr>
          <w:iCs/>
          <w:sz w:val="20"/>
        </w:rPr>
        <w:t xml:space="preserve">FCC </w:t>
      </w:r>
      <w:r w:rsidRPr="006E2F27">
        <w:rPr>
          <w:iCs/>
          <w:sz w:val="20"/>
        </w:rPr>
        <w:t>Rcd</w:t>
      </w:r>
      <w:r w:rsidRPr="006E2F27">
        <w:rPr>
          <w:iCs/>
          <w:sz w:val="20"/>
        </w:rPr>
        <w:t xml:space="preserve"> at 9140, para. 19.</w:t>
      </w:r>
    </w:p>
  </w:footnote>
  <w:footnote w:id="44">
    <w:p w:rsidR="006E2F27" w:rsidRPr="006E2F27" w:rsidP="006E2F27" w14:paraId="2FD47B73" w14:textId="77777777">
      <w:pPr>
        <w:pStyle w:val="FootnoteText"/>
        <w:rPr>
          <w:sz w:val="20"/>
        </w:rPr>
      </w:pPr>
      <w:r w:rsidRPr="006E2F27">
        <w:rPr>
          <w:rStyle w:val="FootnoteReference"/>
          <w:sz w:val="20"/>
        </w:rPr>
        <w:footnoteRef/>
      </w:r>
      <w:r w:rsidRPr="006E2F27">
        <w:rPr>
          <w:sz w:val="20"/>
        </w:rPr>
        <w:t xml:space="preserve"> </w:t>
      </w:r>
      <w:r w:rsidRPr="006E2F27">
        <w:rPr>
          <w:i/>
          <w:sz w:val="20"/>
        </w:rPr>
        <w:t>See Verizon-TracFone Order</w:t>
      </w:r>
      <w:r w:rsidRPr="006E2F27">
        <w:rPr>
          <w:iCs/>
          <w:sz w:val="20"/>
        </w:rPr>
        <w:t>,</w:t>
      </w:r>
      <w:r w:rsidRPr="006E2F27">
        <w:rPr>
          <w:i/>
          <w:sz w:val="20"/>
        </w:rPr>
        <w:t xml:space="preserve"> </w:t>
      </w:r>
      <w:r w:rsidRPr="006E2F27">
        <w:rPr>
          <w:rStyle w:val="markedcontent"/>
          <w:sz w:val="20"/>
        </w:rPr>
        <w:t xml:space="preserve">36 FCC </w:t>
      </w:r>
      <w:r w:rsidRPr="006E2F27">
        <w:rPr>
          <w:rStyle w:val="markedcontent"/>
          <w:sz w:val="20"/>
        </w:rPr>
        <w:t>Rcd</w:t>
      </w:r>
      <w:r w:rsidRPr="006E2F27">
        <w:rPr>
          <w:rStyle w:val="markedcontent"/>
          <w:sz w:val="20"/>
        </w:rPr>
        <w:t xml:space="preserve"> at 16996-97</w:t>
      </w:r>
      <w:r w:rsidRPr="006E2F27">
        <w:rPr>
          <w:iCs/>
          <w:sz w:val="20"/>
        </w:rPr>
        <w:t xml:space="preserve">, para. 22 (citing </w:t>
      </w:r>
      <w:r w:rsidRPr="006E2F27">
        <w:rPr>
          <w:sz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45">
    <w:p w:rsidR="006E2F27" w:rsidRPr="006E2F27" w:rsidP="006E2F27" w14:paraId="0590B5C9" w14:textId="77777777">
      <w:pPr>
        <w:pStyle w:val="FootnoteText"/>
        <w:rPr>
          <w:sz w:val="20"/>
        </w:rPr>
      </w:pPr>
      <w:r w:rsidRPr="006E2F27">
        <w:rPr>
          <w:rStyle w:val="FootnoteReference"/>
          <w:sz w:val="20"/>
        </w:rPr>
        <w:footnoteRef/>
      </w:r>
      <w:r w:rsidRPr="006E2F27">
        <w:rPr>
          <w:sz w:val="20"/>
        </w:rPr>
        <w:t xml:space="preserve"> Lead Application at 8.</w:t>
      </w:r>
    </w:p>
  </w:footnote>
  <w:footnote w:id="46">
    <w:p w:rsidR="006E2F27" w:rsidRPr="006E2F27" w:rsidP="006E2F27" w14:paraId="1B9A8CAE" w14:textId="77777777">
      <w:pPr>
        <w:pStyle w:val="FootnoteText"/>
        <w:rPr>
          <w:sz w:val="20"/>
        </w:rPr>
      </w:pPr>
      <w:r w:rsidRPr="006E2F27">
        <w:rPr>
          <w:rStyle w:val="FootnoteReference"/>
          <w:sz w:val="20"/>
        </w:rPr>
        <w:footnoteRef/>
      </w:r>
      <w:r w:rsidRPr="006E2F27">
        <w:rPr>
          <w:sz w:val="20"/>
        </w:rPr>
        <w:t xml:space="preserve"> The current file number for the Americas II submarine cable landing license.</w:t>
      </w:r>
    </w:p>
  </w:footnote>
  <w:footnote w:id="47">
    <w:p w:rsidR="006E2F27" w:rsidRPr="006E2F27" w:rsidP="006E2F27" w14:paraId="1313AC95" w14:textId="77777777">
      <w:pPr>
        <w:pStyle w:val="FootnoteText"/>
        <w:rPr>
          <w:sz w:val="20"/>
        </w:rPr>
      </w:pPr>
      <w:r w:rsidRPr="006E2F27">
        <w:rPr>
          <w:rStyle w:val="FootnoteReference"/>
          <w:sz w:val="20"/>
        </w:rPr>
        <w:footnoteRef/>
      </w:r>
      <w:r w:rsidRPr="006E2F27">
        <w:rPr>
          <w:sz w:val="20"/>
        </w:rPr>
        <w:t xml:space="preserve"> The current file number for the </w:t>
      </w:r>
      <w:r w:rsidRPr="006E2F27">
        <w:rPr>
          <w:sz w:val="20"/>
        </w:rPr>
        <w:t>Antillas</w:t>
      </w:r>
      <w:r w:rsidRPr="006E2F27">
        <w:rPr>
          <w:sz w:val="20"/>
        </w:rPr>
        <w:t xml:space="preserve"> I submarine cable landing license.  The cable is currently operating pursuant to Special Temporary Authority (SCL-STA-20221014-00029).</w:t>
      </w:r>
    </w:p>
  </w:footnote>
  <w:footnote w:id="48">
    <w:p w:rsidR="006E2F27" w:rsidRPr="006E2F27" w:rsidP="006E2F27" w14:paraId="74D07A89" w14:textId="77777777">
      <w:pPr>
        <w:pStyle w:val="FootnoteText"/>
        <w:rPr>
          <w:sz w:val="20"/>
        </w:rPr>
      </w:pPr>
      <w:r w:rsidRPr="006E2F27">
        <w:rPr>
          <w:rStyle w:val="FootnoteReference"/>
          <w:sz w:val="20"/>
        </w:rPr>
        <w:footnoteRef/>
      </w:r>
      <w:r w:rsidRPr="006E2F27">
        <w:rPr>
          <w:sz w:val="20"/>
        </w:rPr>
        <w:t xml:space="preserve"> The current file number for the Japan-U.S. Cable Network cable landing license.</w:t>
      </w:r>
    </w:p>
  </w:footnote>
  <w:footnote w:id="49">
    <w:p w:rsidR="006E2F27" w:rsidRPr="006E2F27" w:rsidP="006E2F27" w14:paraId="7CF9D2A0" w14:textId="77777777">
      <w:pPr>
        <w:pStyle w:val="FootnoteText"/>
        <w:rPr>
          <w:sz w:val="20"/>
        </w:rPr>
      </w:pPr>
      <w:r w:rsidRPr="006E2F27">
        <w:rPr>
          <w:rStyle w:val="FootnoteReference"/>
          <w:sz w:val="20"/>
        </w:rPr>
        <w:footnoteRef/>
      </w:r>
      <w:r w:rsidRPr="006E2F27">
        <w:rPr>
          <w:sz w:val="20"/>
        </w:rPr>
        <w:t xml:space="preserve"> The current file number for the Maya-1 submarine cable landing license.</w:t>
      </w:r>
    </w:p>
  </w:footnote>
  <w:footnote w:id="50">
    <w:p w:rsidR="006E2F27" w:rsidRPr="006E2F27" w:rsidP="006E2F27" w14:paraId="171243E1" w14:textId="77777777">
      <w:pPr>
        <w:pStyle w:val="FootnoteText"/>
        <w:rPr>
          <w:sz w:val="20"/>
        </w:rPr>
      </w:pPr>
      <w:r w:rsidRPr="006E2F27">
        <w:rPr>
          <w:rStyle w:val="FootnoteReference"/>
          <w:sz w:val="20"/>
        </w:rPr>
        <w:footnoteRef/>
      </w:r>
      <w:r w:rsidRPr="006E2F27">
        <w:rPr>
          <w:sz w:val="20"/>
        </w:rPr>
        <w:t xml:space="preserve"> The current file number for the Taino-Carib Cable System cable landing 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B8C" w:rsidP="00FF3BB8" w14:paraId="11A858B9" w14:textId="31BA8CB4">
    <w:pPr>
      <w:pStyle w:val="Header"/>
      <w:pBdr>
        <w:top w:val="single" w:sz="4" w:space="1" w:color="auto"/>
      </w:pBdr>
    </w:pPr>
  </w:p>
  <w:p w:rsidR="00E83B8C" w:rsidRPr="00FF3BB8" w:rsidP="00E83B8C" w14:paraId="658570EF" w14:textId="2FDC750A">
    <w:pPr>
      <w:pStyle w:val="Header"/>
      <w:spacing w:before="240"/>
      <w:jc w:val="center"/>
      <w:rPr>
        <w:b/>
        <w:bCs/>
        <w:u w:val="single"/>
      </w:rPr>
    </w:pPr>
    <w:r w:rsidRPr="00FF3BB8">
      <w:rPr>
        <w:b/>
        <w:bCs/>
        <w:u w:val="single"/>
      </w:rPr>
      <w:t>_______________________</w:t>
    </w:r>
    <w:r w:rsidRPr="00FF3BB8">
      <w:rPr>
        <w:b/>
        <w:bCs/>
        <w:u w:val="single"/>
      </w:rPr>
      <w:t>Federal Communications Commission</w:t>
    </w:r>
    <w:r w:rsidRPr="00FF3BB8">
      <w:rPr>
        <w:b/>
        <w:bCs/>
        <w:u w:val="single"/>
      </w:rPr>
      <w:t>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4808FC"/>
    <w:rsid w:val="00001825"/>
    <w:rsid w:val="000020ED"/>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554"/>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6A75"/>
    <w:rsid w:val="00050A3A"/>
    <w:rsid w:val="000534AC"/>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3019"/>
    <w:rsid w:val="000A534D"/>
    <w:rsid w:val="000A5FD3"/>
    <w:rsid w:val="000A65C4"/>
    <w:rsid w:val="000A671D"/>
    <w:rsid w:val="000A7EB9"/>
    <w:rsid w:val="000B0795"/>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41"/>
    <w:rsid w:val="0014084C"/>
    <w:rsid w:val="00140D24"/>
    <w:rsid w:val="00141388"/>
    <w:rsid w:val="00142ED5"/>
    <w:rsid w:val="001449F9"/>
    <w:rsid w:val="00144E61"/>
    <w:rsid w:val="001470F0"/>
    <w:rsid w:val="00147DFD"/>
    <w:rsid w:val="001513B4"/>
    <w:rsid w:val="0015217F"/>
    <w:rsid w:val="00152CF6"/>
    <w:rsid w:val="001538C4"/>
    <w:rsid w:val="001551A7"/>
    <w:rsid w:val="00155CC3"/>
    <w:rsid w:val="00156EA3"/>
    <w:rsid w:val="00161A99"/>
    <w:rsid w:val="00163FCF"/>
    <w:rsid w:val="00165FDC"/>
    <w:rsid w:val="001702A2"/>
    <w:rsid w:val="00171181"/>
    <w:rsid w:val="001736D0"/>
    <w:rsid w:val="00176BD0"/>
    <w:rsid w:val="0018581D"/>
    <w:rsid w:val="00187617"/>
    <w:rsid w:val="00190745"/>
    <w:rsid w:val="001916C0"/>
    <w:rsid w:val="00193234"/>
    <w:rsid w:val="00193B43"/>
    <w:rsid w:val="001947E9"/>
    <w:rsid w:val="00194E1E"/>
    <w:rsid w:val="001A00A7"/>
    <w:rsid w:val="001A2DFA"/>
    <w:rsid w:val="001A3813"/>
    <w:rsid w:val="001A3D47"/>
    <w:rsid w:val="001A3E67"/>
    <w:rsid w:val="001A47EC"/>
    <w:rsid w:val="001A5568"/>
    <w:rsid w:val="001B1B08"/>
    <w:rsid w:val="001B1E25"/>
    <w:rsid w:val="001B2C26"/>
    <w:rsid w:val="001B2FBB"/>
    <w:rsid w:val="001B4C2F"/>
    <w:rsid w:val="001B57A4"/>
    <w:rsid w:val="001B69F9"/>
    <w:rsid w:val="001B6EFA"/>
    <w:rsid w:val="001C2314"/>
    <w:rsid w:val="001C3C98"/>
    <w:rsid w:val="001C5D07"/>
    <w:rsid w:val="001C5E9C"/>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05AA"/>
    <w:rsid w:val="0020089B"/>
    <w:rsid w:val="0020342F"/>
    <w:rsid w:val="002057AC"/>
    <w:rsid w:val="002073D2"/>
    <w:rsid w:val="00207926"/>
    <w:rsid w:val="00210341"/>
    <w:rsid w:val="00211CCB"/>
    <w:rsid w:val="00212AB7"/>
    <w:rsid w:val="00213D04"/>
    <w:rsid w:val="00214441"/>
    <w:rsid w:val="00215D21"/>
    <w:rsid w:val="0021680F"/>
    <w:rsid w:val="002217F0"/>
    <w:rsid w:val="00221BF3"/>
    <w:rsid w:val="00221E35"/>
    <w:rsid w:val="002223D3"/>
    <w:rsid w:val="00222993"/>
    <w:rsid w:val="0022329B"/>
    <w:rsid w:val="002233EF"/>
    <w:rsid w:val="00223E8C"/>
    <w:rsid w:val="0022449B"/>
    <w:rsid w:val="00225F62"/>
    <w:rsid w:val="00226656"/>
    <w:rsid w:val="0022673B"/>
    <w:rsid w:val="00226C9D"/>
    <w:rsid w:val="00226CC3"/>
    <w:rsid w:val="00227DED"/>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112C"/>
    <w:rsid w:val="0027167D"/>
    <w:rsid w:val="00272142"/>
    <w:rsid w:val="00280873"/>
    <w:rsid w:val="0028149F"/>
    <w:rsid w:val="0028397D"/>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1AA9"/>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2F6BCA"/>
    <w:rsid w:val="00303BA6"/>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57F4"/>
    <w:rsid w:val="0033631D"/>
    <w:rsid w:val="00340881"/>
    <w:rsid w:val="003416E5"/>
    <w:rsid w:val="00344CF0"/>
    <w:rsid w:val="00345CA2"/>
    <w:rsid w:val="003471AE"/>
    <w:rsid w:val="003479C9"/>
    <w:rsid w:val="00351689"/>
    <w:rsid w:val="00351D1D"/>
    <w:rsid w:val="00353CB5"/>
    <w:rsid w:val="0035663A"/>
    <w:rsid w:val="003570A6"/>
    <w:rsid w:val="00360A78"/>
    <w:rsid w:val="00362305"/>
    <w:rsid w:val="003632CF"/>
    <w:rsid w:val="00364590"/>
    <w:rsid w:val="00364DFB"/>
    <w:rsid w:val="00365194"/>
    <w:rsid w:val="00366BC6"/>
    <w:rsid w:val="00367E50"/>
    <w:rsid w:val="00370A7F"/>
    <w:rsid w:val="00371142"/>
    <w:rsid w:val="00372CA2"/>
    <w:rsid w:val="00373F1C"/>
    <w:rsid w:val="003768D4"/>
    <w:rsid w:val="0037705C"/>
    <w:rsid w:val="003811C7"/>
    <w:rsid w:val="003817EB"/>
    <w:rsid w:val="003855A0"/>
    <w:rsid w:val="00387294"/>
    <w:rsid w:val="003879D0"/>
    <w:rsid w:val="00387BBE"/>
    <w:rsid w:val="0039175A"/>
    <w:rsid w:val="00394A9A"/>
    <w:rsid w:val="00395294"/>
    <w:rsid w:val="003954A4"/>
    <w:rsid w:val="00395A7A"/>
    <w:rsid w:val="00396D92"/>
    <w:rsid w:val="00397CA0"/>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2DD0"/>
    <w:rsid w:val="003E3AD7"/>
    <w:rsid w:val="003E5630"/>
    <w:rsid w:val="003E58EC"/>
    <w:rsid w:val="003E6571"/>
    <w:rsid w:val="003F0594"/>
    <w:rsid w:val="003F0ECD"/>
    <w:rsid w:val="003F16BE"/>
    <w:rsid w:val="003F1D04"/>
    <w:rsid w:val="003F2CD4"/>
    <w:rsid w:val="003F398A"/>
    <w:rsid w:val="003F58EA"/>
    <w:rsid w:val="00401B7B"/>
    <w:rsid w:val="0040580F"/>
    <w:rsid w:val="0040610B"/>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46C24"/>
    <w:rsid w:val="004503EA"/>
    <w:rsid w:val="00452843"/>
    <w:rsid w:val="00453514"/>
    <w:rsid w:val="0045717F"/>
    <w:rsid w:val="00460914"/>
    <w:rsid w:val="004609A4"/>
    <w:rsid w:val="00462D8F"/>
    <w:rsid w:val="004640B7"/>
    <w:rsid w:val="00464B4D"/>
    <w:rsid w:val="00464E8A"/>
    <w:rsid w:val="00465520"/>
    <w:rsid w:val="00466B9F"/>
    <w:rsid w:val="00473955"/>
    <w:rsid w:val="00476EFB"/>
    <w:rsid w:val="004808FC"/>
    <w:rsid w:val="00482B06"/>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50A1"/>
    <w:rsid w:val="004B666C"/>
    <w:rsid w:val="004C0C77"/>
    <w:rsid w:val="004C0CEF"/>
    <w:rsid w:val="004C219F"/>
    <w:rsid w:val="004C22B8"/>
    <w:rsid w:val="004C2516"/>
    <w:rsid w:val="004C3432"/>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0BD0"/>
    <w:rsid w:val="00501D17"/>
    <w:rsid w:val="00501F06"/>
    <w:rsid w:val="00504505"/>
    <w:rsid w:val="00504BF5"/>
    <w:rsid w:val="005054CA"/>
    <w:rsid w:val="00505DA1"/>
    <w:rsid w:val="0050614C"/>
    <w:rsid w:val="005107DF"/>
    <w:rsid w:val="0051681C"/>
    <w:rsid w:val="00517652"/>
    <w:rsid w:val="00521FBD"/>
    <w:rsid w:val="005226C6"/>
    <w:rsid w:val="00522D66"/>
    <w:rsid w:val="00524D79"/>
    <w:rsid w:val="00526561"/>
    <w:rsid w:val="005267B0"/>
    <w:rsid w:val="005273AB"/>
    <w:rsid w:val="005320B5"/>
    <w:rsid w:val="005336D7"/>
    <w:rsid w:val="00533917"/>
    <w:rsid w:val="00535877"/>
    <w:rsid w:val="00536ED2"/>
    <w:rsid w:val="0053732F"/>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4FE7"/>
    <w:rsid w:val="005666E4"/>
    <w:rsid w:val="00567286"/>
    <w:rsid w:val="00570DA8"/>
    <w:rsid w:val="00573CA8"/>
    <w:rsid w:val="00576EDE"/>
    <w:rsid w:val="00580DBD"/>
    <w:rsid w:val="00581792"/>
    <w:rsid w:val="00585D57"/>
    <w:rsid w:val="0059084B"/>
    <w:rsid w:val="00591C54"/>
    <w:rsid w:val="00592F09"/>
    <w:rsid w:val="005932BA"/>
    <w:rsid w:val="00594A46"/>
    <w:rsid w:val="00594E8C"/>
    <w:rsid w:val="0059771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60028F"/>
    <w:rsid w:val="0060093C"/>
    <w:rsid w:val="00600B5F"/>
    <w:rsid w:val="0060105E"/>
    <w:rsid w:val="0060106A"/>
    <w:rsid w:val="0060110D"/>
    <w:rsid w:val="00601476"/>
    <w:rsid w:val="00601534"/>
    <w:rsid w:val="00602F88"/>
    <w:rsid w:val="006034FD"/>
    <w:rsid w:val="00603880"/>
    <w:rsid w:val="00603E1E"/>
    <w:rsid w:val="00604A3C"/>
    <w:rsid w:val="00604CFF"/>
    <w:rsid w:val="0061117C"/>
    <w:rsid w:val="0061137C"/>
    <w:rsid w:val="00611B99"/>
    <w:rsid w:val="00611CD9"/>
    <w:rsid w:val="00611E7B"/>
    <w:rsid w:val="00615BB7"/>
    <w:rsid w:val="00616221"/>
    <w:rsid w:val="00616757"/>
    <w:rsid w:val="00617093"/>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11DE"/>
    <w:rsid w:val="00653610"/>
    <w:rsid w:val="00654B1F"/>
    <w:rsid w:val="00656321"/>
    <w:rsid w:val="00656777"/>
    <w:rsid w:val="0065693D"/>
    <w:rsid w:val="006619A7"/>
    <w:rsid w:val="00661D82"/>
    <w:rsid w:val="00663300"/>
    <w:rsid w:val="00663975"/>
    <w:rsid w:val="006639BB"/>
    <w:rsid w:val="00665C2A"/>
    <w:rsid w:val="00667736"/>
    <w:rsid w:val="006703D5"/>
    <w:rsid w:val="0067115F"/>
    <w:rsid w:val="0067323C"/>
    <w:rsid w:val="00673CA0"/>
    <w:rsid w:val="006768CC"/>
    <w:rsid w:val="00677DF3"/>
    <w:rsid w:val="0068067C"/>
    <w:rsid w:val="00680868"/>
    <w:rsid w:val="00684AB3"/>
    <w:rsid w:val="006876EF"/>
    <w:rsid w:val="00687C77"/>
    <w:rsid w:val="0069035E"/>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D642E"/>
    <w:rsid w:val="006D648E"/>
    <w:rsid w:val="006E099D"/>
    <w:rsid w:val="006E2F27"/>
    <w:rsid w:val="006E37FC"/>
    <w:rsid w:val="006E3B3B"/>
    <w:rsid w:val="006E3C11"/>
    <w:rsid w:val="006E3E11"/>
    <w:rsid w:val="006E4EF0"/>
    <w:rsid w:val="006E55CF"/>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4887"/>
    <w:rsid w:val="0071593B"/>
    <w:rsid w:val="00721062"/>
    <w:rsid w:val="00721165"/>
    <w:rsid w:val="00724722"/>
    <w:rsid w:val="0072750E"/>
    <w:rsid w:val="00733B9B"/>
    <w:rsid w:val="007349C4"/>
    <w:rsid w:val="0074057C"/>
    <w:rsid w:val="00740E8D"/>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17E6"/>
    <w:rsid w:val="0077396E"/>
    <w:rsid w:val="00774E30"/>
    <w:rsid w:val="00774F8B"/>
    <w:rsid w:val="007758B4"/>
    <w:rsid w:val="00775CD4"/>
    <w:rsid w:val="00776827"/>
    <w:rsid w:val="00776D7B"/>
    <w:rsid w:val="00777B41"/>
    <w:rsid w:val="00777F32"/>
    <w:rsid w:val="00780F55"/>
    <w:rsid w:val="00785172"/>
    <w:rsid w:val="007904D9"/>
    <w:rsid w:val="00790DDF"/>
    <w:rsid w:val="007915C7"/>
    <w:rsid w:val="00796E19"/>
    <w:rsid w:val="00796E54"/>
    <w:rsid w:val="007976EF"/>
    <w:rsid w:val="00797794"/>
    <w:rsid w:val="007A0A24"/>
    <w:rsid w:val="007A2155"/>
    <w:rsid w:val="007A3609"/>
    <w:rsid w:val="007A41CD"/>
    <w:rsid w:val="007A4B45"/>
    <w:rsid w:val="007A5BDB"/>
    <w:rsid w:val="007A6E23"/>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18AE"/>
    <w:rsid w:val="007D2657"/>
    <w:rsid w:val="007D27E1"/>
    <w:rsid w:val="007D2E71"/>
    <w:rsid w:val="007D31F7"/>
    <w:rsid w:val="007D3B6A"/>
    <w:rsid w:val="007D3B8F"/>
    <w:rsid w:val="007E0464"/>
    <w:rsid w:val="007E051A"/>
    <w:rsid w:val="007E44C2"/>
    <w:rsid w:val="007E47B5"/>
    <w:rsid w:val="007E64BB"/>
    <w:rsid w:val="007E6693"/>
    <w:rsid w:val="007F1CE8"/>
    <w:rsid w:val="007F23AB"/>
    <w:rsid w:val="007F3103"/>
    <w:rsid w:val="007F6E7B"/>
    <w:rsid w:val="007F7E7B"/>
    <w:rsid w:val="0080023C"/>
    <w:rsid w:val="0080055D"/>
    <w:rsid w:val="00800DBF"/>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332E"/>
    <w:rsid w:val="0084563E"/>
    <w:rsid w:val="008470BA"/>
    <w:rsid w:val="0084778A"/>
    <w:rsid w:val="00850A62"/>
    <w:rsid w:val="0085101A"/>
    <w:rsid w:val="00851095"/>
    <w:rsid w:val="00853114"/>
    <w:rsid w:val="00853ACD"/>
    <w:rsid w:val="0085536D"/>
    <w:rsid w:val="0085579D"/>
    <w:rsid w:val="00856944"/>
    <w:rsid w:val="008620D4"/>
    <w:rsid w:val="008650A4"/>
    <w:rsid w:val="0086691C"/>
    <w:rsid w:val="008675C7"/>
    <w:rsid w:val="00870E07"/>
    <w:rsid w:val="00872D12"/>
    <w:rsid w:val="00873C90"/>
    <w:rsid w:val="0087554B"/>
    <w:rsid w:val="00876629"/>
    <w:rsid w:val="0087685F"/>
    <w:rsid w:val="00876BE1"/>
    <w:rsid w:val="00877D35"/>
    <w:rsid w:val="008850A3"/>
    <w:rsid w:val="00885BBC"/>
    <w:rsid w:val="00886763"/>
    <w:rsid w:val="00890CFD"/>
    <w:rsid w:val="00893308"/>
    <w:rsid w:val="00894B20"/>
    <w:rsid w:val="008950DE"/>
    <w:rsid w:val="008954D0"/>
    <w:rsid w:val="00895561"/>
    <w:rsid w:val="00895EC3"/>
    <w:rsid w:val="0089666B"/>
    <w:rsid w:val="008978EA"/>
    <w:rsid w:val="008A103A"/>
    <w:rsid w:val="008A16BE"/>
    <w:rsid w:val="008A2C82"/>
    <w:rsid w:val="008A3AA2"/>
    <w:rsid w:val="008A5AB2"/>
    <w:rsid w:val="008A5E93"/>
    <w:rsid w:val="008A65A6"/>
    <w:rsid w:val="008A6CDA"/>
    <w:rsid w:val="008B34E1"/>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5E0"/>
    <w:rsid w:val="008D5CEF"/>
    <w:rsid w:val="008D6817"/>
    <w:rsid w:val="008E0514"/>
    <w:rsid w:val="008E1F98"/>
    <w:rsid w:val="008E27B4"/>
    <w:rsid w:val="008E3218"/>
    <w:rsid w:val="008E416A"/>
    <w:rsid w:val="008E6F5B"/>
    <w:rsid w:val="008E7011"/>
    <w:rsid w:val="008F1B26"/>
    <w:rsid w:val="008F1B9F"/>
    <w:rsid w:val="008F3E16"/>
    <w:rsid w:val="008F438E"/>
    <w:rsid w:val="008F4B15"/>
    <w:rsid w:val="008F4D2D"/>
    <w:rsid w:val="008F67DB"/>
    <w:rsid w:val="008F6981"/>
    <w:rsid w:val="009004A5"/>
    <w:rsid w:val="0090059F"/>
    <w:rsid w:val="00900883"/>
    <w:rsid w:val="00903154"/>
    <w:rsid w:val="00903330"/>
    <w:rsid w:val="00903D35"/>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04A8"/>
    <w:rsid w:val="0097409F"/>
    <w:rsid w:val="0097560B"/>
    <w:rsid w:val="00976736"/>
    <w:rsid w:val="0097746C"/>
    <w:rsid w:val="00977B5C"/>
    <w:rsid w:val="0098015F"/>
    <w:rsid w:val="00980592"/>
    <w:rsid w:val="00980EF3"/>
    <w:rsid w:val="0098437F"/>
    <w:rsid w:val="00990455"/>
    <w:rsid w:val="00990C6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52E2"/>
    <w:rsid w:val="00A00CAA"/>
    <w:rsid w:val="00A02787"/>
    <w:rsid w:val="00A03D75"/>
    <w:rsid w:val="00A07DE6"/>
    <w:rsid w:val="00A11865"/>
    <w:rsid w:val="00A1269E"/>
    <w:rsid w:val="00A132F3"/>
    <w:rsid w:val="00A14824"/>
    <w:rsid w:val="00A14FAC"/>
    <w:rsid w:val="00A15248"/>
    <w:rsid w:val="00A21A77"/>
    <w:rsid w:val="00A229F0"/>
    <w:rsid w:val="00A25AB6"/>
    <w:rsid w:val="00A25C41"/>
    <w:rsid w:val="00A26754"/>
    <w:rsid w:val="00A268CF"/>
    <w:rsid w:val="00A30C04"/>
    <w:rsid w:val="00A326BD"/>
    <w:rsid w:val="00A3545A"/>
    <w:rsid w:val="00A36DEA"/>
    <w:rsid w:val="00A37CD0"/>
    <w:rsid w:val="00A4540E"/>
    <w:rsid w:val="00A47815"/>
    <w:rsid w:val="00A47EA1"/>
    <w:rsid w:val="00A55996"/>
    <w:rsid w:val="00A55BA1"/>
    <w:rsid w:val="00A55F2F"/>
    <w:rsid w:val="00A569E4"/>
    <w:rsid w:val="00A64935"/>
    <w:rsid w:val="00A72A27"/>
    <w:rsid w:val="00A75157"/>
    <w:rsid w:val="00A8041F"/>
    <w:rsid w:val="00A824AF"/>
    <w:rsid w:val="00A826F0"/>
    <w:rsid w:val="00A829E5"/>
    <w:rsid w:val="00A845DF"/>
    <w:rsid w:val="00A85921"/>
    <w:rsid w:val="00A864B1"/>
    <w:rsid w:val="00A91559"/>
    <w:rsid w:val="00A92C9E"/>
    <w:rsid w:val="00A930EF"/>
    <w:rsid w:val="00A94D7F"/>
    <w:rsid w:val="00A95B96"/>
    <w:rsid w:val="00A964BE"/>
    <w:rsid w:val="00A9705F"/>
    <w:rsid w:val="00AA04BA"/>
    <w:rsid w:val="00AA1CE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E07D2"/>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5DD0"/>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E65"/>
    <w:rsid w:val="00B5576C"/>
    <w:rsid w:val="00B55A93"/>
    <w:rsid w:val="00B565D8"/>
    <w:rsid w:val="00B56E1B"/>
    <w:rsid w:val="00B57D2A"/>
    <w:rsid w:val="00B621AB"/>
    <w:rsid w:val="00B63B58"/>
    <w:rsid w:val="00B64D59"/>
    <w:rsid w:val="00B6681C"/>
    <w:rsid w:val="00B66A71"/>
    <w:rsid w:val="00B7010C"/>
    <w:rsid w:val="00B70D34"/>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94"/>
    <w:rsid w:val="00BC7555"/>
    <w:rsid w:val="00BC7A80"/>
    <w:rsid w:val="00BD2520"/>
    <w:rsid w:val="00BD3278"/>
    <w:rsid w:val="00BD5AFA"/>
    <w:rsid w:val="00BD5F83"/>
    <w:rsid w:val="00BD6631"/>
    <w:rsid w:val="00BE0364"/>
    <w:rsid w:val="00BE063A"/>
    <w:rsid w:val="00BE09A9"/>
    <w:rsid w:val="00BE1FC9"/>
    <w:rsid w:val="00BE22A0"/>
    <w:rsid w:val="00BE4C7C"/>
    <w:rsid w:val="00BE73A4"/>
    <w:rsid w:val="00BF0215"/>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24E6"/>
    <w:rsid w:val="00C324EE"/>
    <w:rsid w:val="00C33788"/>
    <w:rsid w:val="00C35C48"/>
    <w:rsid w:val="00C3643D"/>
    <w:rsid w:val="00C3705B"/>
    <w:rsid w:val="00C37D69"/>
    <w:rsid w:val="00C404CF"/>
    <w:rsid w:val="00C405A1"/>
    <w:rsid w:val="00C40D41"/>
    <w:rsid w:val="00C42D1B"/>
    <w:rsid w:val="00C4446E"/>
    <w:rsid w:val="00C459B6"/>
    <w:rsid w:val="00C4607F"/>
    <w:rsid w:val="00C500B8"/>
    <w:rsid w:val="00C51F75"/>
    <w:rsid w:val="00C53E5E"/>
    <w:rsid w:val="00C60F32"/>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0665"/>
    <w:rsid w:val="00CC3327"/>
    <w:rsid w:val="00CC3DC6"/>
    <w:rsid w:val="00CC45A6"/>
    <w:rsid w:val="00CC70CB"/>
    <w:rsid w:val="00CC7E97"/>
    <w:rsid w:val="00CD20C1"/>
    <w:rsid w:val="00CD3CBE"/>
    <w:rsid w:val="00CD491B"/>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B0"/>
    <w:rsid w:val="00D05475"/>
    <w:rsid w:val="00D06AF1"/>
    <w:rsid w:val="00D111DF"/>
    <w:rsid w:val="00D130E3"/>
    <w:rsid w:val="00D13A95"/>
    <w:rsid w:val="00D1542F"/>
    <w:rsid w:val="00D1762A"/>
    <w:rsid w:val="00D209FB"/>
    <w:rsid w:val="00D20D70"/>
    <w:rsid w:val="00D218FF"/>
    <w:rsid w:val="00D21C12"/>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3850"/>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08DB"/>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D475F"/>
    <w:rsid w:val="00DD6EDB"/>
    <w:rsid w:val="00DE03F3"/>
    <w:rsid w:val="00DE10E3"/>
    <w:rsid w:val="00DE12DE"/>
    <w:rsid w:val="00DE1DB8"/>
    <w:rsid w:val="00DE2494"/>
    <w:rsid w:val="00DE39A5"/>
    <w:rsid w:val="00DE3FF0"/>
    <w:rsid w:val="00DE4457"/>
    <w:rsid w:val="00DE4EC0"/>
    <w:rsid w:val="00DE684E"/>
    <w:rsid w:val="00DE74F2"/>
    <w:rsid w:val="00DE79C9"/>
    <w:rsid w:val="00DF0B88"/>
    <w:rsid w:val="00DF18C1"/>
    <w:rsid w:val="00DF1AD9"/>
    <w:rsid w:val="00DF21C9"/>
    <w:rsid w:val="00DF3C71"/>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0C0"/>
    <w:rsid w:val="00E21D8E"/>
    <w:rsid w:val="00E22E53"/>
    <w:rsid w:val="00E23AF4"/>
    <w:rsid w:val="00E277C6"/>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17FA"/>
    <w:rsid w:val="00E74981"/>
    <w:rsid w:val="00E76148"/>
    <w:rsid w:val="00E77553"/>
    <w:rsid w:val="00E77C88"/>
    <w:rsid w:val="00E825DA"/>
    <w:rsid w:val="00E83B8C"/>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9BC"/>
    <w:rsid w:val="00EE7A85"/>
    <w:rsid w:val="00EF03E8"/>
    <w:rsid w:val="00EF45D4"/>
    <w:rsid w:val="00EF4851"/>
    <w:rsid w:val="00EF59CB"/>
    <w:rsid w:val="00F0047B"/>
    <w:rsid w:val="00F005CF"/>
    <w:rsid w:val="00F016FA"/>
    <w:rsid w:val="00F02029"/>
    <w:rsid w:val="00F02173"/>
    <w:rsid w:val="00F02FD1"/>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D70"/>
    <w:rsid w:val="00F36FF9"/>
    <w:rsid w:val="00F3762F"/>
    <w:rsid w:val="00F40EE5"/>
    <w:rsid w:val="00F41DFE"/>
    <w:rsid w:val="00F43CCF"/>
    <w:rsid w:val="00F4490B"/>
    <w:rsid w:val="00F451CB"/>
    <w:rsid w:val="00F51F08"/>
    <w:rsid w:val="00F52571"/>
    <w:rsid w:val="00F54AF5"/>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57"/>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41D5"/>
    <w:rsid w:val="00FE43B3"/>
    <w:rsid w:val="00FE48E3"/>
    <w:rsid w:val="00FE6F2D"/>
    <w:rsid w:val="00FF0927"/>
    <w:rsid w:val="00FF1466"/>
    <w:rsid w:val="00FF23CF"/>
    <w:rsid w:val="00FF29DC"/>
    <w:rsid w:val="00FF30FF"/>
    <w:rsid w:val="00FF3BB8"/>
    <w:rsid w:val="00FF411B"/>
    <w:rsid w:val="00FF42EE"/>
    <w:rsid w:val="00FF437B"/>
    <w:rsid w:val="00FF44B1"/>
    <w:rsid w:val="00FF4D79"/>
    <w:rsid w:val="00FF6AD9"/>
    <w:rsid w:val="00FF700D"/>
    <w:rsid w:val="00FF789C"/>
    <w:rsid w:val="081B4224"/>
    <w:rsid w:val="0D599FCF"/>
    <w:rsid w:val="0FE794F4"/>
    <w:rsid w:val="0FFF8E61"/>
    <w:rsid w:val="1BC60F5D"/>
    <w:rsid w:val="21388CF3"/>
    <w:rsid w:val="227E8551"/>
    <w:rsid w:val="2E66D150"/>
    <w:rsid w:val="2E8197DC"/>
    <w:rsid w:val="388B303C"/>
    <w:rsid w:val="4401FF60"/>
    <w:rsid w:val="4766A13B"/>
    <w:rsid w:val="4783C115"/>
    <w:rsid w:val="5265BA22"/>
    <w:rsid w:val="64ECEC0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uiPriority w:val="99"/>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 w:type="character" w:customStyle="1" w:styleId="markedcontent">
    <w:name w:val="markedcontent"/>
    <w:basedOn w:val="DefaultParagraphFont"/>
    <w:rsid w:val="006E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 Id="rId5" Type="http://schemas.openxmlformats.org/officeDocument/2006/relationships/hyperlink" Target="https://asrank.caida.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