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708E2E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AF6078C" w14:textId="77777777">
      <w:pPr>
        <w:pStyle w:val="StyleBoldCentered"/>
      </w:pPr>
      <w:r>
        <w:t>F</w:t>
      </w:r>
      <w:r>
        <w:rPr>
          <w:caps w:val="0"/>
        </w:rPr>
        <w:t>ederal Communications Commission</w:t>
      </w:r>
    </w:p>
    <w:p w:rsidR="004C2EE3" w:rsidP="00096D8C" w14:paraId="1B8C45DA" w14:textId="77777777">
      <w:pPr>
        <w:pStyle w:val="StyleBoldCentered"/>
      </w:pPr>
      <w:r>
        <w:rPr>
          <w:caps w:val="0"/>
        </w:rPr>
        <w:t>Washington, D.C. 20554</w:t>
      </w:r>
    </w:p>
    <w:p w:rsidR="004C2EE3" w:rsidP="0070224F" w14:paraId="6F607450" w14:textId="77777777"/>
    <w:p w:rsidR="004C2EE3" w:rsidP="0070224F" w14:paraId="625B2323" w14:textId="77777777"/>
    <w:tbl>
      <w:tblPr>
        <w:tblW w:w="0" w:type="auto"/>
        <w:tblLayout w:type="fixed"/>
        <w:tblLook w:val="0000"/>
      </w:tblPr>
      <w:tblGrid>
        <w:gridCol w:w="4698"/>
        <w:gridCol w:w="630"/>
        <w:gridCol w:w="4248"/>
      </w:tblGrid>
      <w:tr w14:paraId="524B2CBE" w14:textId="77777777">
        <w:tblPrEx>
          <w:tblW w:w="0" w:type="auto"/>
          <w:tblLayout w:type="fixed"/>
          <w:tblLook w:val="0000"/>
        </w:tblPrEx>
        <w:tc>
          <w:tcPr>
            <w:tcW w:w="4698" w:type="dxa"/>
          </w:tcPr>
          <w:p w:rsidR="004C2EE3" w14:paraId="5D5FDC24" w14:textId="77777777">
            <w:pPr>
              <w:tabs>
                <w:tab w:val="center" w:pos="4680"/>
              </w:tabs>
              <w:suppressAutoHyphens/>
              <w:rPr>
                <w:spacing w:val="-2"/>
              </w:rPr>
            </w:pPr>
            <w:r>
              <w:rPr>
                <w:spacing w:val="-2"/>
              </w:rPr>
              <w:t>In the Matter of</w:t>
            </w:r>
          </w:p>
          <w:p w:rsidR="004C2EE3" w14:paraId="418D3688" w14:textId="77777777">
            <w:pPr>
              <w:tabs>
                <w:tab w:val="center" w:pos="4680"/>
              </w:tabs>
              <w:suppressAutoHyphens/>
              <w:rPr>
                <w:spacing w:val="-2"/>
              </w:rPr>
            </w:pPr>
          </w:p>
          <w:p w:rsidR="000565FD" w:rsidP="00900FC7" w14:paraId="6171D6FF" w14:textId="77777777">
            <w:pPr>
              <w:tabs>
                <w:tab w:val="center" w:pos="4680"/>
              </w:tabs>
              <w:suppressAutoHyphens/>
            </w:pPr>
            <w:r w:rsidRPr="0071338A">
              <w:t>WTB &amp; OET Seek Comment on Ericsson Waiver of Sections 27.53 and 2.947</w:t>
            </w:r>
          </w:p>
          <w:p w:rsidR="004C2EE3" w:rsidRPr="007115F7" w:rsidP="00900FC7" w14:paraId="6751DB70" w14:textId="77777777">
            <w:pPr>
              <w:tabs>
                <w:tab w:val="center" w:pos="4680"/>
              </w:tabs>
              <w:suppressAutoHyphens/>
              <w:rPr>
                <w:spacing w:val="-2"/>
              </w:rPr>
            </w:pPr>
          </w:p>
        </w:tc>
        <w:tc>
          <w:tcPr>
            <w:tcW w:w="630" w:type="dxa"/>
          </w:tcPr>
          <w:p w:rsidR="004C2EE3" w14:paraId="4A5C399E" w14:textId="77777777">
            <w:pPr>
              <w:tabs>
                <w:tab w:val="center" w:pos="4680"/>
              </w:tabs>
              <w:suppressAutoHyphens/>
              <w:rPr>
                <w:b/>
                <w:spacing w:val="-2"/>
              </w:rPr>
            </w:pPr>
            <w:r>
              <w:rPr>
                <w:b/>
                <w:spacing w:val="-2"/>
              </w:rPr>
              <w:t>)</w:t>
            </w:r>
          </w:p>
          <w:p w:rsidR="004C2EE3" w14:paraId="4F1B4BBF" w14:textId="77777777">
            <w:pPr>
              <w:tabs>
                <w:tab w:val="center" w:pos="4680"/>
              </w:tabs>
              <w:suppressAutoHyphens/>
              <w:rPr>
                <w:b/>
                <w:spacing w:val="-2"/>
              </w:rPr>
            </w:pPr>
            <w:r>
              <w:rPr>
                <w:b/>
                <w:spacing w:val="-2"/>
              </w:rPr>
              <w:t>)</w:t>
            </w:r>
          </w:p>
          <w:p w:rsidR="004C2EE3" w14:paraId="6535C70F" w14:textId="77777777">
            <w:pPr>
              <w:tabs>
                <w:tab w:val="center" w:pos="4680"/>
              </w:tabs>
              <w:suppressAutoHyphens/>
              <w:rPr>
                <w:b/>
                <w:spacing w:val="-2"/>
              </w:rPr>
            </w:pPr>
            <w:r>
              <w:rPr>
                <w:b/>
                <w:spacing w:val="-2"/>
              </w:rPr>
              <w:t>)</w:t>
            </w:r>
          </w:p>
          <w:p w:rsidR="004C2EE3" w14:paraId="5B228122" w14:textId="77777777">
            <w:pPr>
              <w:tabs>
                <w:tab w:val="center" w:pos="4680"/>
              </w:tabs>
              <w:suppressAutoHyphens/>
              <w:rPr>
                <w:b/>
                <w:spacing w:val="-2"/>
              </w:rPr>
            </w:pPr>
            <w:r>
              <w:rPr>
                <w:b/>
                <w:spacing w:val="-2"/>
              </w:rPr>
              <w:t>)</w:t>
            </w:r>
          </w:p>
          <w:p w:rsidR="004C2EE3" w14:paraId="55C0EAC3" w14:textId="77777777">
            <w:pPr>
              <w:tabs>
                <w:tab w:val="center" w:pos="4680"/>
              </w:tabs>
              <w:suppressAutoHyphens/>
              <w:rPr>
                <w:b/>
                <w:spacing w:val="-2"/>
              </w:rPr>
            </w:pPr>
            <w:r>
              <w:rPr>
                <w:b/>
                <w:spacing w:val="-2"/>
              </w:rPr>
              <w:t>)</w:t>
            </w:r>
          </w:p>
          <w:p w:rsidR="00640F6C" w14:paraId="64FB2CE1" w14:textId="77777777">
            <w:pPr>
              <w:tabs>
                <w:tab w:val="center" w:pos="4680"/>
              </w:tabs>
              <w:suppressAutoHyphens/>
              <w:rPr>
                <w:b/>
                <w:spacing w:val="-2"/>
              </w:rPr>
            </w:pPr>
            <w:r>
              <w:rPr>
                <w:b/>
                <w:spacing w:val="-2"/>
              </w:rPr>
              <w:t>)</w:t>
            </w:r>
          </w:p>
          <w:p w:rsidR="00777BD6" w:rsidRPr="00FC1185" w14:paraId="12F59F1D" w14:textId="77777777">
            <w:pPr>
              <w:tabs>
                <w:tab w:val="center" w:pos="4680"/>
              </w:tabs>
              <w:suppressAutoHyphens/>
              <w:rPr>
                <w:b/>
                <w:spacing w:val="-2"/>
              </w:rPr>
            </w:pPr>
            <w:r>
              <w:rPr>
                <w:b/>
                <w:spacing w:val="-2"/>
              </w:rPr>
              <w:t>)</w:t>
            </w:r>
          </w:p>
        </w:tc>
        <w:tc>
          <w:tcPr>
            <w:tcW w:w="4248" w:type="dxa"/>
          </w:tcPr>
          <w:p w:rsidR="004C2EE3" w14:paraId="73E5DA2C" w14:textId="77777777">
            <w:pPr>
              <w:tabs>
                <w:tab w:val="center" w:pos="4680"/>
              </w:tabs>
              <w:suppressAutoHyphens/>
              <w:rPr>
                <w:spacing w:val="-2"/>
              </w:rPr>
            </w:pPr>
          </w:p>
          <w:p w:rsidR="004C2EE3" w14:paraId="53EFC47E" w14:textId="77777777">
            <w:pPr>
              <w:pStyle w:val="TOAHeading"/>
              <w:tabs>
                <w:tab w:val="center" w:pos="4680"/>
                <w:tab w:val="clear" w:pos="9360"/>
              </w:tabs>
              <w:rPr>
                <w:spacing w:val="-2"/>
              </w:rPr>
            </w:pPr>
          </w:p>
          <w:p w:rsidR="00777BD6" w14:paraId="3051EF04" w14:textId="77777777">
            <w:pPr>
              <w:tabs>
                <w:tab w:val="center" w:pos="4680"/>
              </w:tabs>
              <w:suppressAutoHyphens/>
              <w:rPr>
                <w:spacing w:val="-2"/>
              </w:rPr>
            </w:pPr>
            <w:r>
              <w:rPr>
                <w:spacing w:val="-2"/>
              </w:rPr>
              <w:t>WT</w:t>
            </w:r>
            <w:r w:rsidR="009D1B82">
              <w:rPr>
                <w:spacing w:val="-2"/>
              </w:rPr>
              <w:t xml:space="preserve"> Docket No. </w:t>
            </w:r>
            <w:r>
              <w:rPr>
                <w:spacing w:val="-2"/>
              </w:rPr>
              <w:t>22</w:t>
            </w:r>
            <w:r w:rsidRPr="003C2070" w:rsidR="009D1B82">
              <w:rPr>
                <w:spacing w:val="-2"/>
              </w:rPr>
              <w:t>-</w:t>
            </w:r>
            <w:r>
              <w:rPr>
                <w:spacing w:val="-2"/>
              </w:rPr>
              <w:t>298</w:t>
            </w:r>
          </w:p>
        </w:tc>
      </w:tr>
    </w:tbl>
    <w:p w:rsidR="004C2EE3" w:rsidP="0070224F" w14:paraId="29004905" w14:textId="77777777"/>
    <w:p w:rsidR="00841AB1" w:rsidP="00F021FA" w14:paraId="0AFE100C" w14:textId="77777777">
      <w:pPr>
        <w:pStyle w:val="StyleBoldCentered"/>
      </w:pPr>
      <w:r>
        <w:t>ORDER</w:t>
      </w:r>
    </w:p>
    <w:p w:rsidR="004C2EE3" w14:paraId="4FBA5DEC" w14:textId="77777777">
      <w:pPr>
        <w:tabs>
          <w:tab w:val="left" w:pos="-720"/>
        </w:tabs>
        <w:suppressAutoHyphens/>
        <w:spacing w:line="227" w:lineRule="auto"/>
        <w:rPr>
          <w:spacing w:val="-2"/>
        </w:rPr>
      </w:pPr>
    </w:p>
    <w:p w:rsidR="004C2EE3" w:rsidP="00133F79" w14:paraId="3BB1FE1A" w14:textId="77777777">
      <w:pPr>
        <w:tabs>
          <w:tab w:val="left" w:pos="720"/>
          <w:tab w:val="right" w:pos="9360"/>
        </w:tabs>
        <w:suppressAutoHyphens/>
        <w:spacing w:line="227" w:lineRule="auto"/>
        <w:rPr>
          <w:b/>
          <w:spacing w:val="-2"/>
        </w:rPr>
      </w:pPr>
      <w:r>
        <w:rPr>
          <w:b/>
          <w:spacing w:val="-2"/>
        </w:rPr>
        <w:t xml:space="preserve">Adopted:  </w:t>
      </w:r>
      <w:r w:rsidR="00FC04C3">
        <w:rPr>
          <w:b/>
          <w:spacing w:val="-2"/>
        </w:rPr>
        <w:t>February</w:t>
      </w:r>
      <w:r w:rsidR="009C1AB9">
        <w:rPr>
          <w:b/>
          <w:spacing w:val="-2"/>
        </w:rPr>
        <w:t xml:space="preserve"> </w:t>
      </w:r>
      <w:r w:rsidRPr="00D36CE0" w:rsidR="00D36CE0">
        <w:rPr>
          <w:b/>
          <w:spacing w:val="-2"/>
        </w:rPr>
        <w:t>22</w:t>
      </w:r>
      <w:r w:rsidRPr="00D36CE0" w:rsidR="009C1AB9">
        <w:rPr>
          <w:b/>
          <w:spacing w:val="-2"/>
        </w:rPr>
        <w:t>, 202</w:t>
      </w:r>
      <w:r w:rsidR="006405E2">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04C3">
        <w:rPr>
          <w:b/>
          <w:spacing w:val="-2"/>
        </w:rPr>
        <w:t>February</w:t>
      </w:r>
      <w:r w:rsidR="009C1AB9">
        <w:rPr>
          <w:b/>
          <w:spacing w:val="-2"/>
        </w:rPr>
        <w:t xml:space="preserve"> </w:t>
      </w:r>
      <w:r w:rsidRPr="00D36CE0" w:rsidR="00D36CE0">
        <w:rPr>
          <w:b/>
          <w:spacing w:val="-2"/>
        </w:rPr>
        <w:t>22</w:t>
      </w:r>
      <w:r w:rsidRPr="00D36CE0" w:rsidR="009C1AB9">
        <w:rPr>
          <w:b/>
          <w:spacing w:val="-2"/>
        </w:rPr>
        <w:t>, 202</w:t>
      </w:r>
      <w:r w:rsidR="006405E2">
        <w:rPr>
          <w:b/>
          <w:spacing w:val="-2"/>
        </w:rPr>
        <w:t>3</w:t>
      </w:r>
    </w:p>
    <w:p w:rsidR="00EA0D30" w:rsidP="00133F79" w14:paraId="366DFD58" w14:textId="77777777">
      <w:pPr>
        <w:tabs>
          <w:tab w:val="left" w:pos="720"/>
          <w:tab w:val="right" w:pos="9360"/>
        </w:tabs>
        <w:suppressAutoHyphens/>
        <w:spacing w:line="227" w:lineRule="auto"/>
        <w:rPr>
          <w:b/>
          <w:spacing w:val="-2"/>
        </w:rPr>
      </w:pPr>
    </w:p>
    <w:p w:rsidR="00822CE0" w14:paraId="349CE0E7" w14:textId="77777777">
      <w:r>
        <w:t xml:space="preserve">By the </w:t>
      </w:r>
      <w:r w:rsidR="008D17D5">
        <w:t xml:space="preserve">Mobility Division, </w:t>
      </w:r>
      <w:r>
        <w:t>Wireless Telecommunications Bureau:</w:t>
      </w:r>
    </w:p>
    <w:p w:rsidR="00004C2C" w14:paraId="016CBFC9" w14:textId="77777777">
      <w:pPr>
        <w:rPr>
          <w:spacing w:val="-2"/>
        </w:rPr>
      </w:pPr>
    </w:p>
    <w:p w:rsidR="00412FC5" w:rsidP="00C36B4C" w14:paraId="44062888" w14:textId="77777777">
      <w:pPr>
        <w:pStyle w:val="Heading1"/>
      </w:pPr>
      <w:bookmarkStart w:id="0" w:name="_Toc58853842"/>
      <w:bookmarkStart w:id="1" w:name="_Toc58853895"/>
      <w:bookmarkStart w:id="2" w:name="_Toc61528487"/>
      <w:r>
        <w:t>INTRODUCTION</w:t>
      </w:r>
      <w:bookmarkEnd w:id="0"/>
      <w:bookmarkEnd w:id="1"/>
      <w:bookmarkEnd w:id="2"/>
    </w:p>
    <w:p w:rsidR="00EE43D2" w:rsidRPr="0012215C" w:rsidP="00656E75" w14:paraId="3B4DD12F" w14:textId="77777777">
      <w:pPr>
        <w:pStyle w:val="ParaNum"/>
        <w:widowControl/>
        <w:tabs>
          <w:tab w:val="clear" w:pos="1080"/>
          <w:tab w:val="num" w:pos="1440"/>
        </w:tabs>
      </w:pPr>
      <w:r>
        <w:rPr>
          <w:spacing w:val="-2"/>
        </w:rPr>
        <w:t>By this Order, the Wireless Telecommunications Bureau</w:t>
      </w:r>
      <w:r w:rsidR="00A6190D">
        <w:rPr>
          <w:spacing w:val="-2"/>
        </w:rPr>
        <w:t xml:space="preserve">, Mobility Division, </w:t>
      </w:r>
      <w:r w:rsidRPr="009D7CFA" w:rsidR="00A6190D">
        <w:rPr>
          <w:spacing w:val="-2"/>
        </w:rPr>
        <w:t>conditionally grants</w:t>
      </w:r>
      <w:r w:rsidR="00A6190D">
        <w:rPr>
          <w:spacing w:val="-2"/>
        </w:rPr>
        <w:t xml:space="preserve"> </w:t>
      </w:r>
      <w:r w:rsidR="007625A2">
        <w:rPr>
          <w:spacing w:val="-2"/>
        </w:rPr>
        <w:t xml:space="preserve">Ericsson’s </w:t>
      </w:r>
      <w:r w:rsidR="00A6190D">
        <w:rPr>
          <w:spacing w:val="-2"/>
        </w:rPr>
        <w:t xml:space="preserve">request </w:t>
      </w:r>
      <w:r w:rsidR="006F30F6">
        <w:t xml:space="preserve">(Ericsson or Petitioner) </w:t>
      </w:r>
      <w:r w:rsidR="00A6190D">
        <w:t>for a waiver</w:t>
      </w:r>
      <w:r>
        <w:rPr>
          <w:rStyle w:val="FootnoteReference"/>
        </w:rPr>
        <w:footnoteReference w:id="3"/>
      </w:r>
      <w:r w:rsidR="00A6190D">
        <w:t xml:space="preserve"> </w:t>
      </w:r>
      <w:r w:rsidRPr="004C1B98" w:rsidR="009D1B82">
        <w:t xml:space="preserve">of </w:t>
      </w:r>
      <w:r w:rsidR="00842C2C">
        <w:t xml:space="preserve">section </w:t>
      </w:r>
      <w:r w:rsidR="00DC18B5">
        <w:t xml:space="preserve">27.53(n) </w:t>
      </w:r>
      <w:r w:rsidRPr="004C1B98" w:rsidR="009D1B82">
        <w:t xml:space="preserve">of the Commission’s </w:t>
      </w:r>
      <w:r w:rsidRPr="00D15060" w:rsidR="009D1B82">
        <w:t>rules</w:t>
      </w:r>
      <w:r w:rsidR="009D7CFA">
        <w:t xml:space="preserve"> governing out-of-band emissions </w:t>
      </w:r>
      <w:r w:rsidR="006F30F6">
        <w:t xml:space="preserve">(OOBE) </w:t>
      </w:r>
      <w:r w:rsidR="009D7CFA">
        <w:t xml:space="preserve">in the 3.45 GHz </w:t>
      </w:r>
      <w:r w:rsidR="006F30F6">
        <w:t>S</w:t>
      </w:r>
      <w:r w:rsidR="009D7CFA">
        <w:t>ervice</w:t>
      </w:r>
      <w:r w:rsidRPr="001B235B" w:rsidR="00410C42">
        <w:t>.</w:t>
      </w:r>
      <w:r>
        <w:rPr>
          <w:rStyle w:val="FootnoteReference"/>
        </w:rPr>
        <w:footnoteReference w:id="4"/>
      </w:r>
      <w:r w:rsidRPr="001B235B" w:rsidR="00656E75">
        <w:t xml:space="preserve"> </w:t>
      </w:r>
      <w:r w:rsidRPr="001B235B" w:rsidR="009D1B82">
        <w:t xml:space="preserve"> </w:t>
      </w:r>
      <w:r w:rsidR="00D5174B">
        <w:t>Ericsson requests the waiver to allow it to</w:t>
      </w:r>
      <w:r w:rsidR="006F30F6">
        <w:t xml:space="preserve"> </w:t>
      </w:r>
      <w:r w:rsidRPr="005372A8" w:rsidR="00F824CD">
        <w:t>manufacture</w:t>
      </w:r>
      <w:r w:rsidRPr="005372A8" w:rsidR="00E15348">
        <w:t xml:space="preserve">, market, </w:t>
      </w:r>
      <w:r w:rsidRPr="005372A8" w:rsidR="00F824CD">
        <w:t xml:space="preserve">and </w:t>
      </w:r>
      <w:r w:rsidR="005372A8">
        <w:t>sell</w:t>
      </w:r>
      <w:r w:rsidR="00F824CD">
        <w:t xml:space="preserve"> a multiband </w:t>
      </w:r>
      <w:r w:rsidR="00D5174B">
        <w:t xml:space="preserve">base station </w:t>
      </w:r>
      <w:r w:rsidR="003F6CFB">
        <w:t>radio</w:t>
      </w:r>
      <w:r w:rsidR="00D5174B">
        <w:t xml:space="preserve">—for use </w:t>
      </w:r>
      <w:r w:rsidR="007625A2">
        <w:t xml:space="preserve">by </w:t>
      </w:r>
      <w:r w:rsidR="00D5174B">
        <w:t>wireless providers that hold licenses in the 3.45 and 3.7 GHz Services—</w:t>
      </w:r>
      <w:r w:rsidR="003F6CFB">
        <w:t xml:space="preserve">that would exceed the 3.45 GHz </w:t>
      </w:r>
      <w:r w:rsidR="00D5174B">
        <w:t xml:space="preserve">Service </w:t>
      </w:r>
      <w:r w:rsidR="006F30F6">
        <w:t>OOBE</w:t>
      </w:r>
      <w:r w:rsidR="003F6CFB">
        <w:t xml:space="preserve"> limits in the 3.7-4.0 GHz </w:t>
      </w:r>
      <w:r w:rsidR="008C7D1E">
        <w:t>frequency range</w:t>
      </w:r>
      <w:r w:rsidR="003F6CFB">
        <w:t>.</w:t>
      </w:r>
      <w:r>
        <w:rPr>
          <w:rStyle w:val="FootnoteReference"/>
        </w:rPr>
        <w:footnoteReference w:id="5"/>
      </w:r>
      <w:r w:rsidR="003F3CB1">
        <w:t xml:space="preserve">  For the reasons discussed below, we grant Petitioner’s waiver request, subject to conditions outlined herein.</w:t>
      </w:r>
    </w:p>
    <w:p w:rsidR="00900FC7" w:rsidRPr="0012215C" w:rsidP="00900FC7" w14:paraId="335ECCF8" w14:textId="77777777">
      <w:pPr>
        <w:pStyle w:val="Heading1"/>
      </w:pPr>
      <w:bookmarkStart w:id="3" w:name="_Toc58853843"/>
      <w:bookmarkStart w:id="4" w:name="_Toc58853896"/>
      <w:bookmarkStart w:id="5" w:name="_Toc61528488"/>
      <w:r w:rsidRPr="0012215C">
        <w:t>BACKGROUND</w:t>
      </w:r>
      <w:bookmarkEnd w:id="3"/>
      <w:bookmarkEnd w:id="4"/>
      <w:bookmarkEnd w:id="5"/>
    </w:p>
    <w:p w:rsidR="00F741E1" w:rsidRPr="00BF41DE" w:rsidP="007163C9" w14:paraId="56EA1837" w14:textId="77777777">
      <w:pPr>
        <w:pStyle w:val="ParaNum"/>
        <w:widowControl/>
        <w:tabs>
          <w:tab w:val="clear" w:pos="1080"/>
          <w:tab w:val="num" w:pos="1440"/>
        </w:tabs>
      </w:pPr>
      <w:r>
        <w:t>T</w:t>
      </w:r>
      <w:r w:rsidRPr="00B4199F" w:rsidR="00B4199F">
        <w:t>he</w:t>
      </w:r>
      <w:r>
        <w:t xml:space="preserve"> </w:t>
      </w:r>
      <w:r w:rsidRPr="00B4199F" w:rsidR="00B4199F">
        <w:t xml:space="preserve">3.45 GHz </w:t>
      </w:r>
      <w:r w:rsidR="00D5174B">
        <w:t>Service, in the 3.45-3.55 GHz band (3.45 GHz band),</w:t>
      </w:r>
      <w:r w:rsidRPr="00B4199F" w:rsidR="00B4199F">
        <w:t xml:space="preserve"> </w:t>
      </w:r>
      <w:r w:rsidR="009A76C7">
        <w:t>together with the</w:t>
      </w:r>
      <w:r w:rsidRPr="00B4199F" w:rsidR="00B4199F">
        <w:t xml:space="preserve"> </w:t>
      </w:r>
      <w:r w:rsidR="00D5174B">
        <w:t xml:space="preserve">Citizens </w:t>
      </w:r>
      <w:r w:rsidR="00EA7554">
        <w:t>Broadband</w:t>
      </w:r>
      <w:r w:rsidR="00D5174B">
        <w:t xml:space="preserve"> Radio Service, in the </w:t>
      </w:r>
      <w:r w:rsidRPr="00B4199F" w:rsidR="00B4199F">
        <w:t>3.5</w:t>
      </w:r>
      <w:r w:rsidR="009F3877">
        <w:t>5-3.7</w:t>
      </w:r>
      <w:r w:rsidRPr="00B4199F" w:rsidR="00B4199F">
        <w:t xml:space="preserve"> GHz</w:t>
      </w:r>
      <w:r w:rsidR="009F3877">
        <w:t xml:space="preserve"> </w:t>
      </w:r>
      <w:r w:rsidR="00EA7554">
        <w:t xml:space="preserve">band </w:t>
      </w:r>
      <w:r w:rsidR="009F3877">
        <w:t xml:space="preserve">(3.5 GHz </w:t>
      </w:r>
      <w:r w:rsidR="00CD7289">
        <w:t>b</w:t>
      </w:r>
      <w:r w:rsidR="009F3877">
        <w:t>and)</w:t>
      </w:r>
      <w:r w:rsidR="00EA7554">
        <w:t>,</w:t>
      </w:r>
      <w:r w:rsidRPr="00B4199F" w:rsidR="00B4199F">
        <w:t xml:space="preserve"> and </w:t>
      </w:r>
      <w:r w:rsidR="00EA7554">
        <w:t xml:space="preserve">the 3.7 GHz Service, in the </w:t>
      </w:r>
      <w:r w:rsidRPr="00B4199F" w:rsidR="00B4199F">
        <w:t>3.7</w:t>
      </w:r>
      <w:r w:rsidR="009F3877">
        <w:t>-</w:t>
      </w:r>
      <w:r w:rsidR="00D82C2C">
        <w:t>4.2</w:t>
      </w:r>
      <w:r w:rsidRPr="00B4199F" w:rsidR="00B4199F">
        <w:t xml:space="preserve"> GHz</w:t>
      </w:r>
      <w:r w:rsidR="009F3877">
        <w:t xml:space="preserve"> </w:t>
      </w:r>
      <w:r w:rsidRPr="00B4199F" w:rsidR="00B4199F">
        <w:t>band</w:t>
      </w:r>
      <w:r w:rsidR="005D445A">
        <w:t xml:space="preserve"> (3.7 GHz band)</w:t>
      </w:r>
      <w:r w:rsidR="00FB3F77">
        <w:t>,</w:t>
      </w:r>
      <w:r w:rsidRPr="00B4199F" w:rsidR="00B4199F">
        <w:t xml:space="preserve"> offer </w:t>
      </w:r>
      <w:r w:rsidR="00EA7554">
        <w:t>wire</w:t>
      </w:r>
      <w:r w:rsidR="002A35C3">
        <w:t>less</w:t>
      </w:r>
      <w:r w:rsidR="00EA7554">
        <w:t xml:space="preserve"> operators </w:t>
      </w:r>
      <w:r w:rsidRPr="00B4199F" w:rsidR="00B4199F">
        <w:t>530 megahertz of mid-band spectrum for</w:t>
      </w:r>
      <w:r w:rsidR="009A76C7">
        <w:t xml:space="preserve"> next generation wireless services, including</w:t>
      </w:r>
      <w:r w:rsidRPr="00B4199F" w:rsidR="00B4199F">
        <w:t xml:space="preserve"> 5G.</w:t>
      </w:r>
      <w:r>
        <w:rPr>
          <w:rStyle w:val="FootnoteReference"/>
        </w:rPr>
        <w:footnoteReference w:id="6"/>
      </w:r>
      <w:r w:rsidR="00B4199F">
        <w:t xml:space="preserve"> </w:t>
      </w:r>
      <w:r w:rsidR="00E24423">
        <w:t xml:space="preserve"> </w:t>
      </w:r>
      <w:r w:rsidR="001C3AB3">
        <w:t>To ensure effective coexistence across these bands, t</w:t>
      </w:r>
      <w:r w:rsidR="00CD7289">
        <w:t>he</w:t>
      </w:r>
      <w:r w:rsidR="004F46FB">
        <w:t xml:space="preserve"> Commission adopted</w:t>
      </w:r>
      <w:r w:rsidR="00E62E91">
        <w:t xml:space="preserve"> base station</w:t>
      </w:r>
      <w:r w:rsidR="004F46FB">
        <w:t xml:space="preserve"> out-of-band emission </w:t>
      </w:r>
      <w:r w:rsidR="001C3AB3">
        <w:t xml:space="preserve">(OOBE) </w:t>
      </w:r>
      <w:r w:rsidR="004F46FB">
        <w:t xml:space="preserve">limits for </w:t>
      </w:r>
      <w:r w:rsidR="00CD7289">
        <w:t xml:space="preserve">each of the </w:t>
      </w:r>
      <w:r w:rsidR="001C3AB3">
        <w:t>three wireless services.  These OOBE limits reflect</w:t>
      </w:r>
      <w:r w:rsidR="00CD7289">
        <w:t xml:space="preserve"> the unique operational environment in and adjacent to each of the </w:t>
      </w:r>
      <w:r w:rsidR="00CD7289">
        <w:t>three bands.</w:t>
      </w:r>
      <w:r>
        <w:rPr>
          <w:rStyle w:val="FootnoteReference"/>
        </w:rPr>
        <w:footnoteReference w:id="7"/>
      </w:r>
      <w:r w:rsidR="00A2493F">
        <w:t xml:space="preserve">  </w:t>
      </w:r>
      <w:r w:rsidR="00E62E91">
        <w:t xml:space="preserve">For </w:t>
      </w:r>
      <w:r w:rsidR="00EA7554">
        <w:t>all three services</w:t>
      </w:r>
      <w:r w:rsidR="00A2493F">
        <w:t xml:space="preserve">, the Commission </w:t>
      </w:r>
      <w:r w:rsidR="006F30F6">
        <w:t>required base station</w:t>
      </w:r>
      <w:r w:rsidR="00EA7554">
        <w:t xml:space="preserve">s </w:t>
      </w:r>
      <w:r w:rsidR="006F30F6">
        <w:t>to limit their conducted power to no greater than</w:t>
      </w:r>
      <w:r w:rsidR="00956836">
        <w:t xml:space="preserve"> -13 </w:t>
      </w:r>
      <w:r w:rsidRPr="00A2493F" w:rsidR="00956836">
        <w:t>dBm/MHz</w:t>
      </w:r>
      <w:r w:rsidR="006F30F6">
        <w:t xml:space="preserve"> </w:t>
      </w:r>
      <w:r w:rsidR="00731CF1">
        <w:t>outside of their authorized channel(s)</w:t>
      </w:r>
      <w:r w:rsidR="00F848E6">
        <w:t>.</w:t>
      </w:r>
      <w:r>
        <w:rPr>
          <w:rStyle w:val="FootnoteReference"/>
        </w:rPr>
        <w:footnoteReference w:id="8"/>
      </w:r>
      <w:r w:rsidR="00E24423">
        <w:t xml:space="preserve"> </w:t>
      </w:r>
      <w:r w:rsidR="00A2493F">
        <w:t xml:space="preserve"> </w:t>
      </w:r>
      <w:r w:rsidR="008A7E28">
        <w:t>B</w:t>
      </w:r>
      <w:r w:rsidR="00F848E6">
        <w:t xml:space="preserve">ase stations </w:t>
      </w:r>
      <w:r w:rsidR="00055D09">
        <w:t xml:space="preserve">in the 3.45 GHz band </w:t>
      </w:r>
      <w:r w:rsidR="00F848E6">
        <w:t>are</w:t>
      </w:r>
      <w:r w:rsidR="00186B5F">
        <w:t xml:space="preserve"> </w:t>
      </w:r>
      <w:r w:rsidR="008A7E28">
        <w:t>further</w:t>
      </w:r>
      <w:r w:rsidR="00F848E6">
        <w:t xml:space="preserve"> required to </w:t>
      </w:r>
      <w:r w:rsidR="00956836">
        <w:t>limit their OOBE</w:t>
      </w:r>
      <w:r w:rsidR="00F848E6">
        <w:t xml:space="preserve"> to a conducted power level of </w:t>
      </w:r>
      <w:r w:rsidR="00E24423">
        <w:t xml:space="preserve">no greater than </w:t>
      </w:r>
      <w:r w:rsidRPr="00A2493F" w:rsidR="00F848E6">
        <w:t>-25</w:t>
      </w:r>
      <w:r w:rsidR="00055D09">
        <w:t xml:space="preserve"> </w:t>
      </w:r>
      <w:r w:rsidRPr="00A2493F" w:rsidR="00F848E6">
        <w:t>dBm/MHz</w:t>
      </w:r>
      <w:r w:rsidR="00F848E6">
        <w:t xml:space="preserve"> below 3440 MHz and above 3560 MHz, and to a conducted power level of</w:t>
      </w:r>
      <w:r w:rsidR="00130DE3">
        <w:t xml:space="preserve"> no greater than</w:t>
      </w:r>
      <w:r w:rsidR="00F848E6">
        <w:t xml:space="preserve"> </w:t>
      </w:r>
      <w:r w:rsidR="008A7E28">
        <w:t>-</w:t>
      </w:r>
      <w:r w:rsidRPr="00A2493F" w:rsidR="00F848E6">
        <w:t>40</w:t>
      </w:r>
      <w:r w:rsidR="00055D09">
        <w:t xml:space="preserve"> </w:t>
      </w:r>
      <w:r w:rsidRPr="00A2493F" w:rsidR="00F848E6">
        <w:t>dBm/MH</w:t>
      </w:r>
      <w:r w:rsidR="00F848E6">
        <w:t xml:space="preserve">z </w:t>
      </w:r>
      <w:r w:rsidRPr="00F848E6" w:rsidR="00F848E6">
        <w:t xml:space="preserve">below 3430 MHz </w:t>
      </w:r>
      <w:r w:rsidR="00F848E6">
        <w:t>and</w:t>
      </w:r>
      <w:r w:rsidRPr="00F848E6" w:rsidR="00F848E6">
        <w:t xml:space="preserve"> above 3570 </w:t>
      </w:r>
      <w:r w:rsidRPr="00F848E6" w:rsidR="003C05DA">
        <w:t>MHz</w:t>
      </w:r>
      <w:r w:rsidR="009264E8">
        <w:t>.</w:t>
      </w:r>
      <w:r>
        <w:rPr>
          <w:rStyle w:val="FootnoteReference"/>
        </w:rPr>
        <w:footnoteReference w:id="9"/>
      </w:r>
      <w:r w:rsidR="003F3CB1">
        <w:t xml:space="preserve">  </w:t>
      </w:r>
      <w:r w:rsidR="00EA7554">
        <w:t>In the 3.5 GHz band, b</w:t>
      </w:r>
      <w:r w:rsidR="00055D09">
        <w:t xml:space="preserve">ase </w:t>
      </w:r>
      <w:r w:rsidR="00EA7554">
        <w:t xml:space="preserve">stations are </w:t>
      </w:r>
      <w:r w:rsidR="00055D09">
        <w:t xml:space="preserve">required to limit their OOBE to </w:t>
      </w:r>
      <w:bookmarkStart w:id="6" w:name="_Hlk125126100"/>
      <w:r w:rsidR="00055D09">
        <w:t xml:space="preserve">-25 </w:t>
      </w:r>
      <w:r w:rsidRPr="00A2493F" w:rsidR="00055D09">
        <w:t>dBm/MHz</w:t>
      </w:r>
      <w:r w:rsidR="00055D09">
        <w:t xml:space="preserve"> </w:t>
      </w:r>
      <w:bookmarkEnd w:id="6"/>
      <w:r w:rsidR="00EA7554">
        <w:t xml:space="preserve">beyond 10 megahertz from </w:t>
      </w:r>
      <w:r w:rsidR="007163C9">
        <w:t>the edge of their authorized channel(s)</w:t>
      </w:r>
      <w:r w:rsidR="00055D09">
        <w:t xml:space="preserve"> and to </w:t>
      </w:r>
      <w:bookmarkStart w:id="7" w:name="_Hlk125126112"/>
      <w:r w:rsidR="00055D09">
        <w:t>-40 dBm/MHz</w:t>
      </w:r>
      <w:bookmarkEnd w:id="7"/>
      <w:r w:rsidR="00055D09">
        <w:t xml:space="preserve"> </w:t>
      </w:r>
      <w:r w:rsidRPr="00055D09" w:rsidR="00055D09">
        <w:t>below 3530</w:t>
      </w:r>
      <w:r w:rsidR="00055D09">
        <w:t xml:space="preserve"> MHz</w:t>
      </w:r>
      <w:r w:rsidRPr="00055D09" w:rsidR="00055D09">
        <w:t xml:space="preserve"> and above 3720 </w:t>
      </w:r>
      <w:r w:rsidR="00055D09">
        <w:t>MHz</w:t>
      </w:r>
      <w:r w:rsidR="00130DE3">
        <w:t>.</w:t>
      </w:r>
      <w:r>
        <w:rPr>
          <w:rStyle w:val="FootnoteReference"/>
        </w:rPr>
        <w:footnoteReference w:id="10"/>
      </w:r>
      <w:r w:rsidR="00130DE3">
        <w:t xml:space="preserve">  </w:t>
      </w:r>
    </w:p>
    <w:p w:rsidR="007163C9" w:rsidP="007163C9" w14:paraId="6DAFD2D0" w14:textId="77777777">
      <w:pPr>
        <w:pStyle w:val="ParaNum"/>
        <w:widowControl/>
        <w:tabs>
          <w:tab w:val="clear" w:pos="1080"/>
          <w:tab w:val="num" w:pos="1440"/>
        </w:tabs>
      </w:pPr>
      <w:r>
        <w:t xml:space="preserve">Petitioner seeks a waiver of the </w:t>
      </w:r>
      <w:r w:rsidR="00972845">
        <w:t>3.45 GHz band</w:t>
      </w:r>
      <w:r>
        <w:t xml:space="preserve"> </w:t>
      </w:r>
      <w:r w:rsidR="00402452">
        <w:t xml:space="preserve">-40 dBm/MHz </w:t>
      </w:r>
      <w:r w:rsidR="00972845">
        <w:t>OOBE</w:t>
      </w:r>
      <w:r>
        <w:t xml:space="preserve"> limit in the 3.7</w:t>
      </w:r>
      <w:r w:rsidR="006D06E9">
        <w:t>-4.0</w:t>
      </w:r>
      <w:r>
        <w:t xml:space="preserve"> </w:t>
      </w:r>
      <w:r w:rsidR="00C702EB">
        <w:t>GHz</w:t>
      </w:r>
      <w:r w:rsidR="005E54A5">
        <w:t xml:space="preserve"> </w:t>
      </w:r>
      <w:r w:rsidR="006D06E9">
        <w:t>range</w:t>
      </w:r>
      <w:r w:rsidR="00CC29FB">
        <w:t xml:space="preserve">, as well as a conforming waiver of section 2.947(f) to permit equipment authorization in accordance with </w:t>
      </w:r>
      <w:r w:rsidR="00402452">
        <w:t xml:space="preserve">a higher </w:t>
      </w:r>
      <w:r w:rsidR="00CC29FB">
        <w:t>emission limit</w:t>
      </w:r>
      <w:r w:rsidR="00402452">
        <w:t xml:space="preserve"> than allowed by the rule</w:t>
      </w:r>
      <w:r>
        <w:t>.</w:t>
      </w:r>
      <w:r>
        <w:rPr>
          <w:rStyle w:val="FootnoteReference"/>
        </w:rPr>
        <w:footnoteReference w:id="11"/>
      </w:r>
      <w:r>
        <w:t xml:space="preserve"> </w:t>
      </w:r>
      <w:r w:rsidR="00FC4BDA">
        <w:t xml:space="preserve"> </w:t>
      </w:r>
      <w:r>
        <w:t xml:space="preserve">Petitioner seeks this relief so that it can manufacture, market, and sell a multiband radio to be used by wireless carriers holding licenses in the 3.45 and 3.7 GHz </w:t>
      </w:r>
      <w:r w:rsidR="006D06E9">
        <w:t>Services</w:t>
      </w:r>
      <w:r>
        <w:t>.</w:t>
      </w:r>
      <w:r>
        <w:rPr>
          <w:rStyle w:val="FootnoteReference"/>
        </w:rPr>
        <w:footnoteReference w:id="12"/>
      </w:r>
      <w:r>
        <w:t xml:space="preserve">  </w:t>
      </w:r>
      <w:r w:rsidR="000A09C3">
        <w:t xml:space="preserve">Ericsson states </w:t>
      </w:r>
      <w:r w:rsidR="00FF19BF">
        <w:t>its proposed</w:t>
      </w:r>
      <w:r w:rsidR="00CB3203">
        <w:t xml:space="preserve"> multiband radio would be </w:t>
      </w:r>
      <w:r w:rsidR="00D45AB4">
        <w:t>“</w:t>
      </w:r>
      <w:r w:rsidR="00B73724">
        <w:t>capable of transmitting</w:t>
      </w:r>
      <w:r w:rsidR="00D45AB4">
        <w:t xml:space="preserve"> (i) in standalone 3.7 GHz spectrum or (ii) with carrier aggregation</w:t>
      </w:r>
      <w:r w:rsidR="004D3492">
        <w:t>, in both the 3.7 and 3.45 GHz</w:t>
      </w:r>
      <w:r w:rsidR="000A09C3">
        <w:t xml:space="preserve"> band simultaneously.”</w:t>
      </w:r>
      <w:r>
        <w:rPr>
          <w:rStyle w:val="FootnoteReference"/>
        </w:rPr>
        <w:footnoteReference w:id="13"/>
      </w:r>
      <w:r w:rsidR="000A09C3">
        <w:t xml:space="preserve"> </w:t>
      </w:r>
      <w:r w:rsidR="00B73724">
        <w:t xml:space="preserve"> </w:t>
      </w:r>
      <w:r>
        <w:t>According to Ericsson, when operated in carrier aggregation mode, the 3.45 GHz-3.55 GHz waveform generated by its base station will exceed the 3.45 GHz OOBE limit in the 3.7</w:t>
      </w:r>
      <w:r w:rsidR="00997E63">
        <w:t>-4.0</w:t>
      </w:r>
      <w:r>
        <w:t xml:space="preserve"> GHz </w:t>
      </w:r>
      <w:r w:rsidR="00997E63">
        <w:t>range</w:t>
      </w:r>
      <w:r>
        <w:t>.</w:t>
      </w:r>
      <w:r>
        <w:rPr>
          <w:rStyle w:val="FootnoteReference"/>
        </w:rPr>
        <w:footnoteReference w:id="14"/>
      </w:r>
      <w:r>
        <w:t xml:space="preserve">  However, Petitioner represents that emissions from these operations will not exceed the -</w:t>
      </w:r>
      <w:bookmarkStart w:id="8" w:name="_Hlk125125802"/>
      <w:r>
        <w:t xml:space="preserve">13 dBm/MHz emission </w:t>
      </w:r>
      <w:bookmarkStart w:id="9" w:name="_Hlk125126170"/>
      <w:r>
        <w:t xml:space="preserve">limit </w:t>
      </w:r>
      <w:bookmarkEnd w:id="8"/>
      <w:r>
        <w:t xml:space="preserve">required </w:t>
      </w:r>
      <w:r w:rsidR="00402452">
        <w:t xml:space="preserve">for base stations operated by licensees </w:t>
      </w:r>
      <w:r>
        <w:t xml:space="preserve">in the 3.7 GHz </w:t>
      </w:r>
      <w:r w:rsidR="00997E63">
        <w:t>Service</w:t>
      </w:r>
      <w:r>
        <w:t xml:space="preserve"> </w:t>
      </w:r>
      <w:bookmarkEnd w:id="9"/>
      <w:r>
        <w:t>and, as such, will not increase the likelihood of harmful interference in the 3.7 GHz band.</w:t>
      </w:r>
      <w:r>
        <w:rPr>
          <w:rStyle w:val="FootnoteReference"/>
        </w:rPr>
        <w:footnoteReference w:id="15"/>
      </w:r>
      <w:r>
        <w:t xml:space="preserve">  Finally, Petitioner represents that operation o</w:t>
      </w:r>
      <w:r w:rsidR="1084A2F9">
        <w:t>f</w:t>
      </w:r>
      <w:r>
        <w:t xml:space="preserve"> its proposed radio, in both carrier aggregation mode and standalone 3.7 GHz </w:t>
      </w:r>
      <w:r w:rsidR="005143F9">
        <w:t>Service</w:t>
      </w:r>
      <w:r>
        <w:t xml:space="preserve"> mode, complies with the 3.45 GHz service OOBE limits across the 3.5 GHz band, as well as below the 3.45 GHz band edge.</w:t>
      </w:r>
      <w:r>
        <w:rPr>
          <w:rStyle w:val="FootnoteReference"/>
        </w:rPr>
        <w:footnoteReference w:id="16"/>
      </w:r>
    </w:p>
    <w:p w:rsidR="009A65A9" w:rsidRPr="00CD7289" w:rsidP="004800B7" w14:paraId="0D3777CB" w14:textId="77777777">
      <w:pPr>
        <w:pStyle w:val="ParaNum"/>
        <w:widowControl/>
        <w:tabs>
          <w:tab w:val="clear" w:pos="1080"/>
          <w:tab w:val="num" w:pos="1440"/>
        </w:tabs>
      </w:pPr>
      <w:r w:rsidRPr="00CD7289">
        <w:t xml:space="preserve">On August 8, 2022, </w:t>
      </w:r>
      <w:r w:rsidRPr="00CD7289" w:rsidR="00301200">
        <w:t xml:space="preserve">the Commission’s </w:t>
      </w:r>
      <w:r w:rsidRPr="0067521E" w:rsidR="00301200">
        <w:rPr>
          <w:snapToGrid/>
          <w:kern w:val="0"/>
          <w:szCs w:val="22"/>
        </w:rPr>
        <w:t>Wireless Telecommunications Bureau and Office of Engineering and Technology sought comment on the Petition.</w:t>
      </w:r>
      <w:r>
        <w:rPr>
          <w:rStyle w:val="FootnoteReference"/>
          <w:snapToGrid/>
          <w:kern w:val="0"/>
          <w:szCs w:val="22"/>
        </w:rPr>
        <w:footnoteReference w:id="17"/>
      </w:r>
      <w:r w:rsidRPr="0067521E" w:rsidR="00301200">
        <w:rPr>
          <w:snapToGrid/>
          <w:kern w:val="0"/>
          <w:szCs w:val="22"/>
        </w:rPr>
        <w:t xml:space="preserve">  </w:t>
      </w:r>
      <w:r w:rsidR="004800B7">
        <w:rPr>
          <w:snapToGrid/>
          <w:kern w:val="0"/>
          <w:szCs w:val="22"/>
        </w:rPr>
        <w:t>Mavenir Systems, Inc., AT&amp;T Services, Inc., T-Mobile USA, Inc., United States Cellular Corporation, Samsung Electronics America, Qualcomm Incorporated, and Nokia filed comments in support of the Petition.</w:t>
      </w:r>
      <w:r>
        <w:rPr>
          <w:rStyle w:val="FootnoteReference"/>
          <w:snapToGrid/>
          <w:kern w:val="0"/>
          <w:szCs w:val="22"/>
        </w:rPr>
        <w:footnoteReference w:id="18"/>
      </w:r>
      <w:r w:rsidR="004800B7">
        <w:rPr>
          <w:snapToGrid/>
          <w:kern w:val="0"/>
          <w:szCs w:val="22"/>
        </w:rPr>
        <w:t xml:space="preserve">  </w:t>
      </w:r>
      <w:r w:rsidRPr="004800B7">
        <w:rPr>
          <w:snapToGrid/>
          <w:kern w:val="0"/>
          <w:szCs w:val="22"/>
        </w:rPr>
        <w:t xml:space="preserve">The National Telecommunications and Information Administration (NTIA) also filed comments on behalf of the Federal Aviation Administration (FAA) expressing concerns that Petitioner’s proposal would increase </w:t>
      </w:r>
      <w:r w:rsidRPr="004800B7">
        <w:rPr>
          <w:snapToGrid/>
          <w:kern w:val="0"/>
          <w:szCs w:val="22"/>
        </w:rPr>
        <w:t>OOBE levels in the 3.7 GHz band.</w:t>
      </w:r>
      <w:r>
        <w:rPr>
          <w:snapToGrid/>
          <w:kern w:val="0"/>
          <w:szCs w:val="22"/>
          <w:vertAlign w:val="superscript"/>
        </w:rPr>
        <w:footnoteReference w:id="19"/>
      </w:r>
      <w:r w:rsidRPr="004800B7">
        <w:rPr>
          <w:snapToGrid/>
          <w:kern w:val="0"/>
          <w:szCs w:val="22"/>
        </w:rPr>
        <w:t xml:space="preserve">  NTIA later submitted a letter indicating that, after the original comments were filed, Ericsson provided sufficient information </w:t>
      </w:r>
      <w:r w:rsidR="009F1DF8">
        <w:rPr>
          <w:snapToGrid/>
          <w:kern w:val="0"/>
          <w:szCs w:val="22"/>
        </w:rPr>
        <w:t xml:space="preserve">to </w:t>
      </w:r>
      <w:r w:rsidRPr="004800B7">
        <w:rPr>
          <w:snapToGrid/>
          <w:kern w:val="0"/>
          <w:szCs w:val="22"/>
        </w:rPr>
        <w:t xml:space="preserve">confirm that its proposed radio will meet the spurious emission performance that Petitioner had demonstrated for 3.7 GHz </w:t>
      </w:r>
      <w:r w:rsidR="009F1DF8">
        <w:rPr>
          <w:snapToGrid/>
          <w:kern w:val="0"/>
          <w:szCs w:val="22"/>
        </w:rPr>
        <w:t xml:space="preserve">Service </w:t>
      </w:r>
      <w:r w:rsidRPr="004800B7">
        <w:rPr>
          <w:snapToGrid/>
          <w:kern w:val="0"/>
          <w:szCs w:val="22"/>
        </w:rPr>
        <w:t>devices</w:t>
      </w:r>
      <w:r w:rsidR="009F1DF8">
        <w:rPr>
          <w:snapToGrid/>
          <w:kern w:val="0"/>
          <w:szCs w:val="22"/>
        </w:rPr>
        <w:t xml:space="preserve"> into the 4.2-4.4 GHz band</w:t>
      </w:r>
      <w:r w:rsidRPr="004800B7">
        <w:rPr>
          <w:snapToGrid/>
          <w:kern w:val="0"/>
          <w:szCs w:val="22"/>
        </w:rPr>
        <w:t>.</w:t>
      </w:r>
      <w:r>
        <w:rPr>
          <w:snapToGrid/>
          <w:kern w:val="0"/>
          <w:szCs w:val="22"/>
          <w:vertAlign w:val="superscript"/>
        </w:rPr>
        <w:footnoteReference w:id="20"/>
      </w:r>
      <w:r w:rsidRPr="004800B7">
        <w:rPr>
          <w:snapToGrid/>
          <w:kern w:val="0"/>
          <w:szCs w:val="22"/>
        </w:rPr>
        <w:t xml:space="preserve">  </w:t>
      </w:r>
    </w:p>
    <w:p w:rsidR="00900FC7" w:rsidRPr="00624800" w:rsidP="00900FC7" w14:paraId="23FB4E89" w14:textId="77777777">
      <w:pPr>
        <w:pStyle w:val="Heading1"/>
      </w:pPr>
      <w:bookmarkStart w:id="10" w:name="_Toc58853844"/>
      <w:bookmarkStart w:id="11" w:name="_Toc58853897"/>
      <w:bookmarkStart w:id="12" w:name="_Toc61528489"/>
      <w:r w:rsidRPr="00624800">
        <w:t>DISCUSSION</w:t>
      </w:r>
      <w:bookmarkEnd w:id="10"/>
      <w:bookmarkEnd w:id="11"/>
      <w:bookmarkEnd w:id="12"/>
    </w:p>
    <w:p w:rsidR="00327B16" w:rsidP="00BA7592" w14:paraId="7B00A28D" w14:textId="77777777">
      <w:pPr>
        <w:pStyle w:val="ParaNum"/>
        <w:widowControl/>
        <w:tabs>
          <w:tab w:val="clear" w:pos="1080"/>
          <w:tab w:val="num" w:pos="1440"/>
        </w:tabs>
      </w:pPr>
      <w:r w:rsidRPr="00624800">
        <w:t xml:space="preserve">Section 1.925(b)(3) of the Commission’s rules states that the Commission may grant a waiver when either (i) “[t]he underlying purpose of the rule(s) would not be served or would be frustrated by application to the instant case, and </w:t>
      </w:r>
      <w:r w:rsidR="00B26223">
        <w:t>that a</w:t>
      </w:r>
      <w:r w:rsidRPr="00624800">
        <w:t xml:space="preserve">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1"/>
      </w:r>
      <w:r w:rsidRPr="00624800">
        <w:t xml:space="preserve">  </w:t>
      </w:r>
      <w:r w:rsidR="00CA4361">
        <w:t xml:space="preserve">After consideration of the </w:t>
      </w:r>
      <w:r w:rsidRPr="00D55796" w:rsidR="00CA4361">
        <w:rPr>
          <w:i/>
          <w:iCs/>
        </w:rPr>
        <w:t xml:space="preserve">Ericsson Petition </w:t>
      </w:r>
      <w:r w:rsidR="00CA4361">
        <w:t xml:space="preserve">and the record in this proceeding, we find that Petitioner has satisfied </w:t>
      </w:r>
      <w:r w:rsidR="007163C9">
        <w:t xml:space="preserve">the requirements of </w:t>
      </w:r>
      <w:r w:rsidR="00CA4361">
        <w:t>section 1.925(b)(3)</w:t>
      </w:r>
      <w:r w:rsidR="007050C0">
        <w:t xml:space="preserve"> and, accordingly, we grant Petitioner’s request to waive section 27.53(n) of the Commission’s rules</w:t>
      </w:r>
      <w:r w:rsidR="007163C9">
        <w:t xml:space="preserve"> </w:t>
      </w:r>
      <w:r w:rsidR="00CA4361">
        <w:t xml:space="preserve">subject to the conditions set forth below.  </w:t>
      </w:r>
    </w:p>
    <w:p w:rsidR="00527197" w:rsidP="005A6AED" w14:paraId="6268F1AF" w14:textId="77777777">
      <w:pPr>
        <w:pStyle w:val="ParaNum"/>
        <w:widowControl/>
        <w:tabs>
          <w:tab w:val="clear" w:pos="1080"/>
          <w:tab w:val="num" w:pos="1440"/>
        </w:tabs>
      </w:pPr>
      <w:r>
        <w:t xml:space="preserve">First, </w:t>
      </w:r>
      <w:r w:rsidR="00CA4361">
        <w:t>we find that</w:t>
      </w:r>
      <w:r w:rsidR="007163C9">
        <w:t>, given the facts presented by Ericsson,</w:t>
      </w:r>
      <w:r w:rsidR="00CA4361">
        <w:t xml:space="preserve"> </w:t>
      </w:r>
      <w:r w:rsidR="00292E05">
        <w:t xml:space="preserve">the purpose of section 27.53(n) would not be served by </w:t>
      </w:r>
      <w:r w:rsidR="008A7E28">
        <w:t>its</w:t>
      </w:r>
      <w:r w:rsidR="00292E05">
        <w:t xml:space="preserve"> </w:t>
      </w:r>
      <w:r w:rsidR="00DC3797">
        <w:t xml:space="preserve">strict </w:t>
      </w:r>
      <w:r w:rsidR="00292E05">
        <w:t xml:space="preserve">application </w:t>
      </w:r>
      <w:r w:rsidR="007163C9">
        <w:t>in this case</w:t>
      </w:r>
      <w:r w:rsidR="00292E05">
        <w:t>.</w:t>
      </w:r>
      <w:r>
        <w:rPr>
          <w:rStyle w:val="FootnoteReference"/>
        </w:rPr>
        <w:footnoteReference w:id="22"/>
      </w:r>
      <w:r w:rsidR="00292E05">
        <w:t xml:space="preserve">  T</w:t>
      </w:r>
      <w:r>
        <w:t xml:space="preserve">he purpose of section 27.53(n) is to ensure </w:t>
      </w:r>
      <w:r w:rsidR="009F1DF8">
        <w:t xml:space="preserve">that 3.45 GHz devices </w:t>
      </w:r>
      <w:r>
        <w:t>effective</w:t>
      </w:r>
      <w:r w:rsidR="009F1DF8">
        <w:t>ly</w:t>
      </w:r>
      <w:r>
        <w:t xml:space="preserve"> coexist with services operating in adjacent bands.</w:t>
      </w:r>
      <w:r>
        <w:rPr>
          <w:rStyle w:val="FootnoteReference"/>
        </w:rPr>
        <w:footnoteReference w:id="23"/>
      </w:r>
      <w:r w:rsidR="00DC3797">
        <w:t xml:space="preserve">  As noted above, the</w:t>
      </w:r>
      <w:r w:rsidRPr="00D55796" w:rsidR="00070DB1">
        <w:t xml:space="preserve"> </w:t>
      </w:r>
      <w:r w:rsidR="00DC3797">
        <w:t xml:space="preserve">rules governing the </w:t>
      </w:r>
      <w:r w:rsidR="00972845">
        <w:t xml:space="preserve">3.7 GHz </w:t>
      </w:r>
      <w:r w:rsidR="00DC3797">
        <w:t>Service</w:t>
      </w:r>
      <w:r w:rsidRPr="00D55796" w:rsidR="00070DB1">
        <w:t xml:space="preserve"> </w:t>
      </w:r>
      <w:r w:rsidR="00070DB1">
        <w:t xml:space="preserve">permit </w:t>
      </w:r>
      <w:r w:rsidR="00DC3797">
        <w:t xml:space="preserve">base station </w:t>
      </w:r>
      <w:r w:rsidR="00972845">
        <w:t>OOBE</w:t>
      </w:r>
      <w:r w:rsidR="00070DB1">
        <w:t xml:space="preserve"> of</w:t>
      </w:r>
      <w:r w:rsidR="008A2BEA">
        <w:t xml:space="preserve"> no greater than</w:t>
      </w:r>
      <w:r w:rsidRPr="00D55796" w:rsidR="00070DB1">
        <w:t xml:space="preserve"> -13 dBm/MHz </w:t>
      </w:r>
      <w:r w:rsidR="009F1DF8">
        <w:t xml:space="preserve">outside </w:t>
      </w:r>
      <w:r w:rsidRPr="00D55796" w:rsidR="00070DB1">
        <w:t>the 3.7-</w:t>
      </w:r>
      <w:r w:rsidR="00D37ED3">
        <w:t>3.98</w:t>
      </w:r>
      <w:r w:rsidRPr="00D55796" w:rsidR="00070DB1">
        <w:t xml:space="preserve"> GHz </w:t>
      </w:r>
      <w:r w:rsidR="00DC3797">
        <w:t xml:space="preserve">frequency </w:t>
      </w:r>
      <w:r w:rsidRPr="00D55796" w:rsidR="00070DB1">
        <w:t>range</w:t>
      </w:r>
      <w:r w:rsidR="00DC3797">
        <w:t>.</w:t>
      </w:r>
      <w:r>
        <w:rPr>
          <w:rStyle w:val="FootnoteReference"/>
        </w:rPr>
        <w:footnoteReference w:id="24"/>
      </w:r>
      <w:r w:rsidR="00DC3797">
        <w:t xml:space="preserve">  </w:t>
      </w:r>
      <w:r w:rsidR="003C05DA">
        <w:t xml:space="preserve">Petitioner </w:t>
      </w:r>
      <w:r w:rsidR="00DC3797">
        <w:t>asserts that</w:t>
      </w:r>
      <w:r w:rsidR="00070DB1">
        <w:t xml:space="preserve"> </w:t>
      </w:r>
      <w:r w:rsidR="003C05DA">
        <w:t>its</w:t>
      </w:r>
      <w:r w:rsidR="00070DB1">
        <w:t xml:space="preserve"> proposed radio will not exceed -13 dBm/MHz</w:t>
      </w:r>
      <w:r w:rsidR="00DC3797">
        <w:t xml:space="preserve"> within the 3.7-4.0 GHz frequency range</w:t>
      </w:r>
      <w:r w:rsidR="00070DB1">
        <w:t>.</w:t>
      </w:r>
      <w:r>
        <w:rPr>
          <w:rStyle w:val="FootnoteReference"/>
        </w:rPr>
        <w:footnoteReference w:id="25"/>
      </w:r>
      <w:r w:rsidR="00070DB1">
        <w:t xml:space="preserve">  </w:t>
      </w:r>
      <w:r w:rsidR="00BD05C4">
        <w:t>Petitioner has also provided diagrams and figures demonstrating that its proposed radio</w:t>
      </w:r>
      <w:r w:rsidR="00AD40DE">
        <w:t xml:space="preserve"> </w:t>
      </w:r>
      <w:r w:rsidR="00BD05C4">
        <w:t xml:space="preserve">complies with the 3.45 GHz </w:t>
      </w:r>
      <w:r w:rsidR="00AD40DE">
        <w:t>band</w:t>
      </w:r>
      <w:r w:rsidR="00BD05C4">
        <w:t xml:space="preserve"> OOBE limits across the 3.5 GHz band, as well as below 3.45 GHz.</w:t>
      </w:r>
      <w:r>
        <w:rPr>
          <w:rStyle w:val="FootnoteReference"/>
        </w:rPr>
        <w:footnoteReference w:id="26"/>
      </w:r>
      <w:r w:rsidR="00BD05C4">
        <w:t xml:space="preserve">  </w:t>
      </w:r>
      <w:r w:rsidR="00115E3C">
        <w:t xml:space="preserve">Commenters agree </w:t>
      </w:r>
      <w:r w:rsidR="00BD05C4">
        <w:t xml:space="preserve">with </w:t>
      </w:r>
      <w:r w:rsidR="00E155B5">
        <w:t>Ericsson’s assertions on both of these points</w:t>
      </w:r>
      <w:r w:rsidR="009C633A">
        <w:t>,</w:t>
      </w:r>
      <w:r>
        <w:rPr>
          <w:rStyle w:val="FootnoteReference"/>
        </w:rPr>
        <w:footnoteReference w:id="27"/>
      </w:r>
      <w:r w:rsidR="00176EF6">
        <w:t xml:space="preserve"> and no commenters express concerns related to </w:t>
      </w:r>
      <w:r w:rsidR="009F1DF8">
        <w:t xml:space="preserve">harmful </w:t>
      </w:r>
      <w:r w:rsidR="00176EF6">
        <w:t>interference</w:t>
      </w:r>
      <w:r w:rsidR="00DC3797">
        <w:t xml:space="preserve"> with operations in the 3.45 GHz, 3.5 GHz, or 3.7 GHz band</w:t>
      </w:r>
      <w:r w:rsidR="00E155B5">
        <w:t>s</w:t>
      </w:r>
      <w:r w:rsidR="00176EF6">
        <w:t>.</w:t>
      </w:r>
      <w:r w:rsidR="00115E3C">
        <w:t xml:space="preserve">  </w:t>
      </w:r>
      <w:r w:rsidR="008A7E28">
        <w:t xml:space="preserve">For </w:t>
      </w:r>
      <w:r w:rsidR="00176EF6">
        <w:t>those</w:t>
      </w:r>
      <w:r w:rsidR="008A7E28">
        <w:t xml:space="preserve"> reason</w:t>
      </w:r>
      <w:r w:rsidR="00176EF6">
        <w:t>s</w:t>
      </w:r>
      <w:r w:rsidR="008A7E28">
        <w:t>, we find that</w:t>
      </w:r>
      <w:r w:rsidR="00DC3797">
        <w:t xml:space="preserve"> conditionally granting Ericsson’s petition is consistent with the purpose of section 27.53(n) of the Commission’s rules</w:t>
      </w:r>
      <w:r w:rsidR="008A7E28">
        <w:t>.</w:t>
      </w:r>
      <w:r>
        <w:t xml:space="preserve"> </w:t>
      </w:r>
      <w:r w:rsidRPr="0081352F">
        <w:t xml:space="preserve"> </w:t>
      </w:r>
    </w:p>
    <w:p w:rsidR="00D55796" w:rsidP="005A6AED" w14:paraId="6F0CA727" w14:textId="77777777">
      <w:pPr>
        <w:pStyle w:val="ParaNum"/>
        <w:widowControl/>
        <w:tabs>
          <w:tab w:val="clear" w:pos="1080"/>
          <w:tab w:val="num" w:pos="1440"/>
        </w:tabs>
      </w:pPr>
      <w:r>
        <w:t>We also</w:t>
      </w:r>
      <w:r w:rsidR="00090BB9">
        <w:t xml:space="preserve"> find that granting</w:t>
      </w:r>
      <w:r w:rsidR="00A404F9">
        <w:t xml:space="preserve"> </w:t>
      </w:r>
      <w:r>
        <w:t>Ericsson a conditional waiver would serve the public interest by helping to facilitate the deployment</w:t>
      </w:r>
      <w:r w:rsidR="009D1F92">
        <w:t xml:space="preserve"> of</w:t>
      </w:r>
      <w:r>
        <w:t xml:space="preserve"> multiband wireless services while ensuring that adjacent band operations are protected from harmful interference.</w:t>
      </w:r>
      <w:r w:rsidR="00115354">
        <w:t xml:space="preserve"> </w:t>
      </w:r>
      <w:r>
        <w:t xml:space="preserve"> </w:t>
      </w:r>
      <w:r w:rsidR="00090BB9">
        <w:t xml:space="preserve">In the </w:t>
      </w:r>
      <w:r w:rsidR="00090BB9">
        <w:rPr>
          <w:i/>
          <w:iCs/>
        </w:rPr>
        <w:t>3.45 GHz Second R&amp;O</w:t>
      </w:r>
      <w:r w:rsidR="00090BB9">
        <w:t xml:space="preserve">, </w:t>
      </w:r>
      <w:r w:rsidR="00115354">
        <w:t>the Commission</w:t>
      </w:r>
      <w:r w:rsidR="004D48BA">
        <w:t xml:space="preserve"> </w:t>
      </w:r>
      <w:r w:rsidR="00EE40C0">
        <w:t>found</w:t>
      </w:r>
      <w:r w:rsidR="004D48BA">
        <w:t xml:space="preserve"> that </w:t>
      </w:r>
      <w:r w:rsidR="00090BB9">
        <w:t xml:space="preserve">enabling </w:t>
      </w:r>
      <w:r w:rsidR="004D48BA">
        <w:t xml:space="preserve">carriers </w:t>
      </w:r>
      <w:r w:rsidR="00090BB9">
        <w:t xml:space="preserve">to </w:t>
      </w:r>
      <w:r w:rsidR="004D48BA">
        <w:t xml:space="preserve">pair spectrum in the 3.45 GHz </w:t>
      </w:r>
      <w:r w:rsidR="00090BB9">
        <w:t>b</w:t>
      </w:r>
      <w:r w:rsidR="004D48BA">
        <w:t>and with other spectrum</w:t>
      </w:r>
      <w:r w:rsidR="00090BB9">
        <w:t xml:space="preserve"> </w:t>
      </w:r>
      <w:r w:rsidR="00EE40C0">
        <w:t xml:space="preserve">bands </w:t>
      </w:r>
      <w:r w:rsidR="00090BB9">
        <w:t xml:space="preserve">would serve the public interest by supporting investment, minimizing harmful interference, and aligning with international </w:t>
      </w:r>
      <w:r w:rsidR="00090BB9">
        <w:t>agreements</w:t>
      </w:r>
      <w:r w:rsidR="004D48BA">
        <w:t>.</w:t>
      </w:r>
      <w:r>
        <w:rPr>
          <w:rStyle w:val="FootnoteReference"/>
        </w:rPr>
        <w:footnoteReference w:id="28"/>
      </w:r>
      <w:r w:rsidR="004D48BA">
        <w:rPr>
          <w:i/>
          <w:iCs/>
        </w:rPr>
        <w:t xml:space="preserve">  </w:t>
      </w:r>
      <w:r w:rsidR="00BA58EC">
        <w:t xml:space="preserve">Commenters </w:t>
      </w:r>
      <w:r w:rsidR="00AD40DE">
        <w:t>assert</w:t>
      </w:r>
      <w:r w:rsidR="00BA58EC">
        <w:t xml:space="preserve"> that granting the </w:t>
      </w:r>
      <w:r w:rsidR="00BA58EC">
        <w:rPr>
          <w:i/>
          <w:iCs/>
        </w:rPr>
        <w:t>Ericsson Petition</w:t>
      </w:r>
      <w:r w:rsidR="00BA58EC">
        <w:t xml:space="preserve"> will promote these public interest goals by making spectrum pairing more feasible.</w:t>
      </w:r>
      <w:r>
        <w:rPr>
          <w:rStyle w:val="FootnoteReference"/>
        </w:rPr>
        <w:footnoteReference w:id="29"/>
      </w:r>
      <w:r w:rsidR="00BA58EC">
        <w:t xml:space="preserve">  Specifically, c</w:t>
      </w:r>
      <w:r w:rsidR="00090BB9">
        <w:t xml:space="preserve">ommenters </w:t>
      </w:r>
      <w:r w:rsidR="00470D17">
        <w:t xml:space="preserve">claim </w:t>
      </w:r>
      <w:r w:rsidR="00090BB9">
        <w:t xml:space="preserve">that </w:t>
      </w:r>
      <w:r w:rsidR="00913E62">
        <w:t>Petitioner’s proposed radio will reduce tower loading by allowing carriers to pair both bands with a single radio.</w:t>
      </w:r>
      <w:r>
        <w:rPr>
          <w:rStyle w:val="FootnoteReference"/>
        </w:rPr>
        <w:footnoteReference w:id="30"/>
      </w:r>
      <w:r w:rsidR="00972845">
        <w:t xml:space="preserve">  </w:t>
      </w:r>
      <w:r w:rsidR="00470D17">
        <w:t>Commenters also assert that l</w:t>
      </w:r>
      <w:r w:rsidR="00BA58EC">
        <w:t>ighter</w:t>
      </w:r>
      <w:r w:rsidR="008A7E28">
        <w:t xml:space="preserve"> structural load</w:t>
      </w:r>
      <w:r w:rsidR="00BA58EC">
        <w:t>ing</w:t>
      </w:r>
      <w:r w:rsidR="008A7E28">
        <w:t xml:space="preserve"> on towers</w:t>
      </w:r>
      <w:r w:rsidR="00913E62">
        <w:t xml:space="preserve"> increases the likelihood that </w:t>
      </w:r>
      <w:r w:rsidR="008A7E28">
        <w:t>carriers will be able to pair spectrum in</w:t>
      </w:r>
      <w:r w:rsidR="00997E63">
        <w:t xml:space="preserve"> the</w:t>
      </w:r>
      <w:r w:rsidR="00913E62">
        <w:t xml:space="preserve"> 3.45 GHz and 3.7 GHz </w:t>
      </w:r>
      <w:r w:rsidR="005143F9">
        <w:t>Services</w:t>
      </w:r>
      <w:r w:rsidR="00485144">
        <w:t xml:space="preserve"> </w:t>
      </w:r>
      <w:r w:rsidR="008A7E28">
        <w:t>from a single site</w:t>
      </w:r>
      <w:r w:rsidR="00B33433">
        <w:t>, which increases the likelihood that carriers will pair spectrum</w:t>
      </w:r>
      <w:r w:rsidR="00AD40DE">
        <w:t xml:space="preserve"> in those bands</w:t>
      </w:r>
      <w:r w:rsidR="00B33433">
        <w:t xml:space="preserve"> at all</w:t>
      </w:r>
      <w:r w:rsidR="00972845">
        <w:t>.</w:t>
      </w:r>
      <w:r>
        <w:rPr>
          <w:rStyle w:val="FootnoteReference"/>
        </w:rPr>
        <w:footnoteReference w:id="31"/>
      </w:r>
      <w:r w:rsidR="00913E62">
        <w:t xml:space="preserve"> </w:t>
      </w:r>
      <w:r w:rsidR="00972845">
        <w:t xml:space="preserve"> </w:t>
      </w:r>
      <w:r w:rsidR="005A543F">
        <w:t xml:space="preserve">Commenters </w:t>
      </w:r>
      <w:r w:rsidR="00EE40C0">
        <w:t>also claim that</w:t>
      </w:r>
      <w:r w:rsidR="00B33433">
        <w:t xml:space="preserve"> spectrum </w:t>
      </w:r>
      <w:r w:rsidR="005A543F">
        <w:t>pairing will broaden</w:t>
      </w:r>
      <w:r w:rsidR="00B33433">
        <w:t xml:space="preserve"> coverage and improve network performance.</w:t>
      </w:r>
      <w:r>
        <w:rPr>
          <w:rStyle w:val="FootnoteReference"/>
        </w:rPr>
        <w:footnoteReference w:id="32"/>
      </w:r>
      <w:r w:rsidR="00B33433">
        <w:t xml:space="preserve">  </w:t>
      </w:r>
      <w:r w:rsidR="00176EF6">
        <w:t>W</w:t>
      </w:r>
      <w:r w:rsidR="00972845">
        <w:t xml:space="preserve">e </w:t>
      </w:r>
      <w:r w:rsidR="00EE40C0">
        <w:t xml:space="preserve">therefore </w:t>
      </w:r>
      <w:r w:rsidR="00972845">
        <w:t xml:space="preserve">find that </w:t>
      </w:r>
      <w:r w:rsidR="000F4DED">
        <w:t xml:space="preserve">conditionally </w:t>
      </w:r>
      <w:r w:rsidR="00913E62">
        <w:t xml:space="preserve">granting the </w:t>
      </w:r>
      <w:r w:rsidR="00913E62">
        <w:rPr>
          <w:i/>
          <w:iCs/>
        </w:rPr>
        <w:t>Ericsson Petition</w:t>
      </w:r>
      <w:r w:rsidR="00722439">
        <w:rPr>
          <w:i/>
          <w:iCs/>
        </w:rPr>
        <w:t xml:space="preserve"> </w:t>
      </w:r>
      <w:r w:rsidR="006D15AA">
        <w:t xml:space="preserve">will </w:t>
      </w:r>
      <w:r w:rsidR="00EE40C0">
        <w:t xml:space="preserve">advance the Commission’s </w:t>
      </w:r>
      <w:r w:rsidR="00AD40DE">
        <w:t xml:space="preserve">public interest goals </w:t>
      </w:r>
      <w:r w:rsidR="00176EF6">
        <w:t xml:space="preserve">without, as previously discussed, increasing the risk of </w:t>
      </w:r>
      <w:r w:rsidR="00EE40C0">
        <w:t xml:space="preserve">harmful </w:t>
      </w:r>
      <w:r w:rsidR="00176EF6">
        <w:t>interference to services</w:t>
      </w:r>
      <w:r w:rsidR="00AD40DE">
        <w:t xml:space="preserve"> operating</w:t>
      </w:r>
      <w:r w:rsidR="00176EF6">
        <w:t xml:space="preserve"> in adjacent bands</w:t>
      </w:r>
      <w:r w:rsidR="00722439">
        <w:t>.</w:t>
      </w:r>
      <w:r w:rsidR="00972845">
        <w:t xml:space="preserve"> </w:t>
      </w:r>
    </w:p>
    <w:p w:rsidR="00FC78E2" w:rsidRPr="00FC78E2" w:rsidP="00A17471" w14:paraId="5375888A" w14:textId="77777777">
      <w:pPr>
        <w:pStyle w:val="ParaNum"/>
        <w:widowControl/>
        <w:tabs>
          <w:tab w:val="clear" w:pos="1080"/>
          <w:tab w:val="num" w:pos="1440"/>
        </w:tabs>
      </w:pPr>
      <w:r>
        <w:t xml:space="preserve">We </w:t>
      </w:r>
      <w:r w:rsidR="00FB3B92">
        <w:t xml:space="preserve">also </w:t>
      </w:r>
      <w:r>
        <w:t>conclude</w:t>
      </w:r>
      <w:r w:rsidR="00FB3B92">
        <w:t xml:space="preserve"> that</w:t>
      </w:r>
      <w:r>
        <w:t xml:space="preserve"> the </w:t>
      </w:r>
      <w:r>
        <w:rPr>
          <w:i/>
          <w:iCs/>
        </w:rPr>
        <w:t>Ericsson Petition</w:t>
      </w:r>
      <w:r>
        <w:t xml:space="preserve"> satisfies the second prong of section 1.925(b)(3)</w:t>
      </w:r>
      <w:r w:rsidR="00115354">
        <w:t xml:space="preserve">.  In this case, </w:t>
      </w:r>
      <w:r w:rsidR="00EE40C0">
        <w:t xml:space="preserve">Ericsson </w:t>
      </w:r>
      <w:r w:rsidR="00542E1B">
        <w:t xml:space="preserve">presents unique factual circumstances and </w:t>
      </w:r>
      <w:r w:rsidR="00EE40C0">
        <w:t>argues that a</w:t>
      </w:r>
      <w:r w:rsidR="00115354">
        <w:t>pplying section 27.53(n)</w:t>
      </w:r>
      <w:r w:rsidR="00542E1B">
        <w:t xml:space="preserve"> to </w:t>
      </w:r>
      <w:r w:rsidR="00762D84">
        <w:t xml:space="preserve">it </w:t>
      </w:r>
      <w:r w:rsidR="00115354">
        <w:t>would</w:t>
      </w:r>
      <w:r w:rsidR="00251FD0">
        <w:t xml:space="preserve"> result in </w:t>
      </w:r>
      <w:r w:rsidR="00F24375">
        <w:t>slower, more costly, and less logical deployment of 5G services in mid-band spectrum</w:t>
      </w:r>
      <w:r w:rsidR="00251FD0">
        <w:t>.</w:t>
      </w:r>
      <w:r>
        <w:rPr>
          <w:rStyle w:val="FootnoteReference"/>
        </w:rPr>
        <w:footnoteReference w:id="33"/>
      </w:r>
      <w:r w:rsidR="003D3C6B">
        <w:t xml:space="preserve"> </w:t>
      </w:r>
      <w:r w:rsidR="00E606E4">
        <w:t xml:space="preserve"> </w:t>
      </w:r>
      <w:r w:rsidR="00B81AE2">
        <w:t xml:space="preserve">Commenters </w:t>
      </w:r>
      <w:r w:rsidR="00542E1B">
        <w:t xml:space="preserve">agree and </w:t>
      </w:r>
      <w:r w:rsidR="00EE40C0">
        <w:t xml:space="preserve">contend </w:t>
      </w:r>
      <w:r w:rsidR="00B81AE2">
        <w:t>that a</w:t>
      </w:r>
      <w:r w:rsidR="00583604">
        <w:t xml:space="preserve">pplying section 27.53(n) in this case would require </w:t>
      </w:r>
      <w:r w:rsidR="00F24375">
        <w:t xml:space="preserve">licensees in the 3.45 GHz and 3.7 GHz </w:t>
      </w:r>
      <w:r w:rsidR="00997E63">
        <w:t xml:space="preserve">Services </w:t>
      </w:r>
      <w:r w:rsidR="00583604">
        <w:t>to lease more space</w:t>
      </w:r>
      <w:r w:rsidR="00646769">
        <w:t xml:space="preserve"> </w:t>
      </w:r>
      <w:r w:rsidR="006D15AA">
        <w:t xml:space="preserve">on </w:t>
      </w:r>
      <w:r w:rsidR="00646769">
        <w:t>towers</w:t>
      </w:r>
      <w:r w:rsidR="00F24375">
        <w:t>,</w:t>
      </w:r>
      <w:r w:rsidR="00583604">
        <w:t xml:space="preserve"> </w:t>
      </w:r>
      <w:r w:rsidR="00646769">
        <w:t xml:space="preserve">as they would need to deploy separate radios </w:t>
      </w:r>
      <w:r w:rsidR="00025E90">
        <w:t>for each band</w:t>
      </w:r>
      <w:r w:rsidR="00646769">
        <w:t>.</w:t>
      </w:r>
      <w:r>
        <w:rPr>
          <w:rStyle w:val="FootnoteReference"/>
        </w:rPr>
        <w:footnoteReference w:id="34"/>
      </w:r>
      <w:r w:rsidR="00646769">
        <w:t xml:space="preserve">  </w:t>
      </w:r>
      <w:r w:rsidR="00EE40C0">
        <w:t>These commenters assert that, since</w:t>
      </w:r>
      <w:r w:rsidR="00F24375">
        <w:t xml:space="preserve"> some towers </w:t>
      </w:r>
      <w:r w:rsidR="00E96534">
        <w:t xml:space="preserve">may </w:t>
      </w:r>
      <w:r w:rsidR="00F24375">
        <w:t>not have capacity for a second radio, carriers w</w:t>
      </w:r>
      <w:r w:rsidR="00EE40C0">
        <w:t>ould</w:t>
      </w:r>
      <w:r w:rsidR="00F24375">
        <w:t xml:space="preserve"> </w:t>
      </w:r>
      <w:r w:rsidR="00063AB8">
        <w:t xml:space="preserve">otherwise </w:t>
      </w:r>
      <w:r w:rsidR="006D15AA">
        <w:t xml:space="preserve">need to </w:t>
      </w:r>
      <w:r w:rsidR="00F24375">
        <w:t>lease separate tower sites</w:t>
      </w:r>
      <w:r w:rsidR="00EE40C0">
        <w:t xml:space="preserve"> to accommodate multiple base station radios in some circumstances</w:t>
      </w:r>
      <w:r w:rsidR="00F24375">
        <w:t>.</w:t>
      </w:r>
      <w:r>
        <w:rPr>
          <w:rStyle w:val="FootnoteReference"/>
        </w:rPr>
        <w:footnoteReference w:id="35"/>
      </w:r>
      <w:r w:rsidR="00F24375">
        <w:t xml:space="preserve">  </w:t>
      </w:r>
      <w:r w:rsidR="00EE40C0">
        <w:t xml:space="preserve">Commenters also claim that these additional sites will lead to increased </w:t>
      </w:r>
      <w:r w:rsidR="00025E90">
        <w:t>installation</w:t>
      </w:r>
      <w:r w:rsidR="006D15AA">
        <w:t xml:space="preserve"> costs</w:t>
      </w:r>
      <w:r w:rsidR="00F24375">
        <w:t xml:space="preserve">, </w:t>
      </w:r>
      <w:r w:rsidR="00025E90">
        <w:t>historical and environmental reviews</w:t>
      </w:r>
      <w:r w:rsidR="00F24375">
        <w:t xml:space="preserve">, and </w:t>
      </w:r>
      <w:r w:rsidR="00025E90">
        <w:t>maintenance</w:t>
      </w:r>
      <w:r w:rsidR="00F24375">
        <w:t>.</w:t>
      </w:r>
      <w:r>
        <w:rPr>
          <w:rStyle w:val="FootnoteReference"/>
        </w:rPr>
        <w:footnoteReference w:id="36"/>
      </w:r>
      <w:r w:rsidR="00F24375">
        <w:t xml:space="preserve"> </w:t>
      </w:r>
      <w:r w:rsidR="00B33433">
        <w:t xml:space="preserve"> </w:t>
      </w:r>
      <w:r w:rsidR="00070DB1">
        <w:t xml:space="preserve">In addition, </w:t>
      </w:r>
      <w:r w:rsidR="00EE40C0">
        <w:t xml:space="preserve">according to </w:t>
      </w:r>
      <w:r w:rsidR="00250A84">
        <w:t xml:space="preserve">Ericsson and </w:t>
      </w:r>
      <w:r w:rsidR="00EE40C0">
        <w:t xml:space="preserve">commenters, </w:t>
      </w:r>
      <w:r w:rsidR="00070DB1">
        <w:t xml:space="preserve">applying section 27.53(n) to these </w:t>
      </w:r>
      <w:r w:rsidR="00542E1B">
        <w:t xml:space="preserve">unique </w:t>
      </w:r>
      <w:r w:rsidR="00070DB1">
        <w:t xml:space="preserve">facts </w:t>
      </w:r>
      <w:r w:rsidR="00EF7AC6">
        <w:t>would</w:t>
      </w:r>
      <w:r w:rsidR="00B81AE2">
        <w:t xml:space="preserve"> </w:t>
      </w:r>
      <w:r w:rsidR="00893B52">
        <w:t>raise the environmental impact</w:t>
      </w:r>
      <w:r w:rsidR="00EF7AC6">
        <w:t xml:space="preserve"> </w:t>
      </w:r>
      <w:r w:rsidR="00BA58EC">
        <w:t xml:space="preserve">from mobile networks </w:t>
      </w:r>
      <w:r w:rsidR="00EF7AC6">
        <w:t xml:space="preserve">by increasing raw material and energy consumption by </w:t>
      </w:r>
      <w:r w:rsidR="00FB3B92">
        <w:t>carriers unable to combine equipment for the two bands</w:t>
      </w:r>
      <w:r w:rsidR="00EF7AC6">
        <w:t>.</w:t>
      </w:r>
      <w:r>
        <w:rPr>
          <w:rStyle w:val="FootnoteReference"/>
        </w:rPr>
        <w:footnoteReference w:id="37"/>
      </w:r>
      <w:r w:rsidR="00EF7AC6">
        <w:t xml:space="preserve"> </w:t>
      </w:r>
      <w:r w:rsidR="002A4C8B">
        <w:t xml:space="preserve"> </w:t>
      </w:r>
      <w:r w:rsidR="00AC4FB9">
        <w:t xml:space="preserve">No commenters opposed Ericsson’s arguments or expressed concerns about </w:t>
      </w:r>
      <w:r w:rsidR="006D15AA">
        <w:t xml:space="preserve">harmful </w:t>
      </w:r>
      <w:r w:rsidR="00AC4FB9">
        <w:t xml:space="preserve">interference to other services in the 3 GHz bands.  After consideration of the record, we </w:t>
      </w:r>
      <w:r w:rsidR="00EE40C0">
        <w:t>find that</w:t>
      </w:r>
      <w:r w:rsidR="00AC4FB9">
        <w:t>, given the</w:t>
      </w:r>
      <w:r w:rsidR="00EE40C0">
        <w:t xml:space="preserve"> unique factual </w:t>
      </w:r>
      <w:r w:rsidR="00AC4FB9">
        <w:t>circumstances described by Erics</w:t>
      </w:r>
      <w:r w:rsidR="00E155B5">
        <w:t>son</w:t>
      </w:r>
      <w:r w:rsidR="00AC4FB9">
        <w:t xml:space="preserve">, strict application of section 27.53(n) of the Commission’s rules </w:t>
      </w:r>
      <w:r w:rsidR="00AD5BE7">
        <w:t xml:space="preserve">in this case </w:t>
      </w:r>
      <w:r w:rsidR="00AC4FB9">
        <w:t>would be contrary to the public interest.</w:t>
      </w:r>
    </w:p>
    <w:p w:rsidR="00331FB6" w:rsidP="00A17471" w14:paraId="5F03FC42" w14:textId="77777777">
      <w:pPr>
        <w:pStyle w:val="ParaNum"/>
        <w:widowControl/>
        <w:tabs>
          <w:tab w:val="clear" w:pos="1080"/>
          <w:tab w:val="num" w:pos="1440"/>
        </w:tabs>
      </w:pPr>
      <w:r>
        <w:t xml:space="preserve">In </w:t>
      </w:r>
      <w:r w:rsidR="006C32B2">
        <w:t>sum</w:t>
      </w:r>
      <w:r>
        <w:t>, we find that</w:t>
      </w:r>
      <w:r w:rsidR="00A404F9">
        <w:t xml:space="preserve"> conditionally</w:t>
      </w:r>
      <w:r>
        <w:t xml:space="preserve"> granting the </w:t>
      </w:r>
      <w:r>
        <w:rPr>
          <w:i/>
          <w:iCs/>
        </w:rPr>
        <w:t>Ericsson Petition</w:t>
      </w:r>
      <w:r>
        <w:t xml:space="preserve"> will not undermine the polic</w:t>
      </w:r>
      <w:r w:rsidR="00846F21">
        <w:t>y</w:t>
      </w:r>
      <w:r>
        <w:t xml:space="preserve"> of section </w:t>
      </w:r>
      <w:r w:rsidR="00C63930">
        <w:t>27.53(n)</w:t>
      </w:r>
      <w:r>
        <w:t xml:space="preserve"> of the Commission’s rules</w:t>
      </w:r>
      <w:r w:rsidR="00C63930">
        <w:t xml:space="preserve">, and that </w:t>
      </w:r>
      <w:r w:rsidR="00A404F9">
        <w:t xml:space="preserve">conditional </w:t>
      </w:r>
      <w:r w:rsidR="00722439">
        <w:t xml:space="preserve">waiver is in the public interest. </w:t>
      </w:r>
      <w:r w:rsidR="00AC4FB9">
        <w:t>Specifically, Ericsson’s waiver request is granted subject to the foll</w:t>
      </w:r>
      <w:r w:rsidRPr="00BC1F08" w:rsidR="00AC4FB9">
        <w:t xml:space="preserve">owing conditions: (1) </w:t>
      </w:r>
      <w:r w:rsidRPr="00BC1F08" w:rsidR="009E2F66">
        <w:t xml:space="preserve">Petitioner’s radio </w:t>
      </w:r>
      <w:r w:rsidR="006D15AA">
        <w:t xml:space="preserve">when operated in carrier aggregation mode across the 3.5 GHz and 3.7 GHz </w:t>
      </w:r>
      <w:r w:rsidR="005143F9">
        <w:t>Services</w:t>
      </w:r>
      <w:r w:rsidR="00485144">
        <w:t xml:space="preserve"> </w:t>
      </w:r>
      <w:r w:rsidRPr="00BC1F08" w:rsidR="00107F55">
        <w:t>must</w:t>
      </w:r>
      <w:r w:rsidRPr="00BC1F08" w:rsidR="009E2F66">
        <w:t xml:space="preserve"> comply with section 27.53(n)</w:t>
      </w:r>
      <w:r w:rsidRPr="00BC1F08" w:rsidR="00423EA7">
        <w:t>(1)</w:t>
      </w:r>
      <w:r w:rsidRPr="00BC1F08" w:rsidR="009E2F66">
        <w:t xml:space="preserve"> of the Commission’s rules</w:t>
      </w:r>
      <w:r w:rsidRPr="00BC1F08" w:rsidR="001A5362">
        <w:t xml:space="preserve"> in its entirety, except for the</w:t>
      </w:r>
      <w:r w:rsidRPr="00BC1F08" w:rsidR="00AD3EDD">
        <w:t xml:space="preserve"> </w:t>
      </w:r>
      <w:r w:rsidRPr="00BC1F08" w:rsidR="00BC1F08">
        <w:rPr>
          <w:shd w:val="clear" w:color="auto" w:fill="FFFFFF"/>
        </w:rPr>
        <w:t>-</w:t>
      </w:r>
      <w:r w:rsidRPr="00BC1F08" w:rsidR="00AD3EDD">
        <w:rPr>
          <w:shd w:val="clear" w:color="auto" w:fill="FFFFFF"/>
        </w:rPr>
        <w:t>25 dBm/MHz</w:t>
      </w:r>
      <w:r w:rsidRPr="00BC1F08" w:rsidR="00AD3EDD">
        <w:t xml:space="preserve"> </w:t>
      </w:r>
      <w:r w:rsidRPr="00BC1F08" w:rsidR="00107F55">
        <w:t>conducted power</w:t>
      </w:r>
      <w:r w:rsidRPr="00BC1F08" w:rsidR="00AD3EDD">
        <w:t xml:space="preserve"> limit</w:t>
      </w:r>
      <w:r w:rsidRPr="00BC1F08" w:rsidR="001A5362">
        <w:t xml:space="preserve"> specified</w:t>
      </w:r>
      <w:r w:rsidRPr="00BC1F08" w:rsidR="004214E3">
        <w:t xml:space="preserve"> for </w:t>
      </w:r>
      <w:r w:rsidRPr="00BC1F08" w:rsidR="00AD3EDD">
        <w:rPr>
          <w:shd w:val="clear" w:color="auto" w:fill="FFFFFF"/>
        </w:rPr>
        <w:t>emissions above 3560 MHz</w:t>
      </w:r>
      <w:r w:rsidRPr="00BC1F08" w:rsidR="00AD3EDD">
        <w:t xml:space="preserve"> and the </w:t>
      </w:r>
      <w:r w:rsidRPr="00BC1F08" w:rsidR="00BC1F08">
        <w:rPr>
          <w:shd w:val="clear" w:color="auto" w:fill="FFFFFF"/>
        </w:rPr>
        <w:t>-</w:t>
      </w:r>
      <w:r w:rsidRPr="00BC1F08" w:rsidR="00AD3EDD">
        <w:rPr>
          <w:shd w:val="clear" w:color="auto" w:fill="FFFFFF"/>
        </w:rPr>
        <w:t xml:space="preserve">40 dBm/MHz </w:t>
      </w:r>
      <w:r w:rsidRPr="00BC1F08" w:rsidR="00107F55">
        <w:rPr>
          <w:shd w:val="clear" w:color="auto" w:fill="FFFFFF"/>
        </w:rPr>
        <w:t>conducted power</w:t>
      </w:r>
      <w:r w:rsidRPr="00BC1F08" w:rsidR="00AD3EDD">
        <w:rPr>
          <w:shd w:val="clear" w:color="auto" w:fill="FFFFFF"/>
        </w:rPr>
        <w:t xml:space="preserve"> limit above </w:t>
      </w:r>
      <w:r w:rsidRPr="00BC1F08" w:rsidR="00AD3EDD">
        <w:rPr>
          <w:shd w:val="clear" w:color="auto" w:fill="FFFFFF"/>
        </w:rPr>
        <w:t>35</w:t>
      </w:r>
      <w:r w:rsidRPr="00BC1F08" w:rsidR="00107F55">
        <w:rPr>
          <w:shd w:val="clear" w:color="auto" w:fill="FFFFFF"/>
        </w:rPr>
        <w:t>7</w:t>
      </w:r>
      <w:r w:rsidRPr="00BC1F08" w:rsidR="00AD3EDD">
        <w:rPr>
          <w:shd w:val="clear" w:color="auto" w:fill="FFFFFF"/>
        </w:rPr>
        <w:t>0 MHz,</w:t>
      </w:r>
      <w:r w:rsidRPr="00BC1F08" w:rsidR="004214E3">
        <w:rPr>
          <w:rStyle w:val="FootnoteReference"/>
        </w:rPr>
        <w:t xml:space="preserve"> </w:t>
      </w:r>
      <w:r>
        <w:rPr>
          <w:rStyle w:val="FootnoteReference"/>
        </w:rPr>
        <w:footnoteReference w:id="38"/>
      </w:r>
      <w:r w:rsidRPr="00BC1F08" w:rsidR="004214E3">
        <w:t xml:space="preserve"> as </w:t>
      </w:r>
      <w:r w:rsidRPr="00BC1F08" w:rsidR="0096564D">
        <w:t xml:space="preserve">those limits </w:t>
      </w:r>
      <w:r w:rsidRPr="00BC1F08" w:rsidR="004214E3">
        <w:t>appl</w:t>
      </w:r>
      <w:r w:rsidRPr="00BC1F08" w:rsidR="0096564D">
        <w:t>y</w:t>
      </w:r>
      <w:r w:rsidRPr="00BC1F08" w:rsidR="001A5362">
        <w:t xml:space="preserve"> </w:t>
      </w:r>
      <w:r w:rsidR="006D15AA">
        <w:t>throughout</w:t>
      </w:r>
      <w:r w:rsidRPr="00BC1F08" w:rsidR="006D15AA">
        <w:t xml:space="preserve"> </w:t>
      </w:r>
      <w:r w:rsidR="009A4A82">
        <w:t xml:space="preserve">the </w:t>
      </w:r>
      <w:r w:rsidRPr="00BC1F08" w:rsidR="001A5362">
        <w:t xml:space="preserve">3.7 GHz </w:t>
      </w:r>
      <w:r w:rsidR="00D03D6B">
        <w:t>band</w:t>
      </w:r>
      <w:r w:rsidRPr="00BC1F08" w:rsidR="001A5362">
        <w:t xml:space="preserve">; </w:t>
      </w:r>
      <w:r w:rsidRPr="00BC1F08" w:rsidR="001A5362">
        <w:rPr>
          <w:shd w:val="clear" w:color="auto" w:fill="FFFFFF"/>
        </w:rPr>
        <w:t xml:space="preserve">(2) </w:t>
      </w:r>
      <w:r w:rsidRPr="00BC1F08" w:rsidR="00AD3EDD">
        <w:t xml:space="preserve">Petitioner’s radio </w:t>
      </w:r>
      <w:r w:rsidRPr="00BC1F08" w:rsidR="00107F55">
        <w:t xml:space="preserve">must </w:t>
      </w:r>
      <w:r w:rsidRPr="00BC1F08" w:rsidR="00AD3EDD">
        <w:t xml:space="preserve">comply with all </w:t>
      </w:r>
      <w:r w:rsidRPr="00BC1F08" w:rsidR="00107F55">
        <w:t xml:space="preserve">Commission rules </w:t>
      </w:r>
      <w:r w:rsidRPr="00BC1F08" w:rsidR="00AD3EDD">
        <w:t>not specifically waiv</w:t>
      </w:r>
      <w:r w:rsidR="00AD3EDD">
        <w:t>ed herein</w:t>
      </w:r>
      <w:r w:rsidR="00160A9D">
        <w:t>;</w:t>
      </w:r>
      <w:r>
        <w:rPr>
          <w:rStyle w:val="FootnoteReference"/>
        </w:rPr>
        <w:footnoteReference w:id="39"/>
      </w:r>
      <w:r w:rsidR="00160A9D">
        <w:t xml:space="preserve"> </w:t>
      </w:r>
      <w:r w:rsidR="00E427FB">
        <w:t>and (</w:t>
      </w:r>
      <w:r w:rsidR="0096564D">
        <w:t>3</w:t>
      </w:r>
      <w:r w:rsidR="00E427FB">
        <w:t>)</w:t>
      </w:r>
      <w:r w:rsidR="00160A9D">
        <w:t xml:space="preserve"> </w:t>
      </w:r>
      <w:r w:rsidR="000F409E">
        <w:t>w</w:t>
      </w:r>
      <w:r w:rsidR="00921C67">
        <w:t xml:space="preserve">hen operating as a </w:t>
      </w:r>
      <w:r w:rsidR="00AC4FB9">
        <w:t xml:space="preserve">standalone device in </w:t>
      </w:r>
      <w:r w:rsidR="00921C67">
        <w:t>any particular band, the device must meet the technical rules, including OOBE, for that band</w:t>
      </w:r>
      <w:r w:rsidR="007050C0">
        <w:t>.</w:t>
      </w:r>
      <w:r>
        <w:rPr>
          <w:rStyle w:val="FootnoteReference"/>
        </w:rPr>
        <w:footnoteReference w:id="40"/>
      </w:r>
      <w:r w:rsidR="007050C0">
        <w:t xml:space="preserve">  Prior to marketing the multiband base station described in its waiver request, Petitioner must submit its base station for testing and certification—and the base station must demonstrate compliance with the conditions of this waiver order during the testing and certification process—in accordance with </w:t>
      </w:r>
      <w:r w:rsidR="6440E232">
        <w:t>p</w:t>
      </w:r>
      <w:r w:rsidR="007050C0">
        <w:t>art 2 of the Commission’s rules.</w:t>
      </w:r>
      <w:r>
        <w:rPr>
          <w:rStyle w:val="FootnoteReference"/>
        </w:rPr>
        <w:footnoteReference w:id="41"/>
      </w:r>
    </w:p>
    <w:p w:rsidR="00182324" w:rsidRPr="00CD755D" w:rsidP="00CD755D" w14:paraId="36F15FEC" w14:textId="77777777">
      <w:pPr>
        <w:pStyle w:val="ParaNum"/>
        <w:widowControl/>
        <w:tabs>
          <w:tab w:val="clear" w:pos="1080"/>
          <w:tab w:val="num" w:pos="1440"/>
        </w:tabs>
      </w:pPr>
      <w:r w:rsidRPr="00CD755D">
        <w:t xml:space="preserve">For these reasons, we find it is in the public interest to </w:t>
      </w:r>
      <w:r w:rsidRPr="00CD755D" w:rsidR="00977920">
        <w:t xml:space="preserve">conditionally </w:t>
      </w:r>
      <w:r w:rsidRPr="00CD755D">
        <w:t>grant Petitioner</w:t>
      </w:r>
      <w:r w:rsidR="00790024">
        <w:t>’</w:t>
      </w:r>
      <w:r w:rsidR="00F02B60">
        <w:t>s</w:t>
      </w:r>
      <w:r w:rsidRPr="00CD755D">
        <w:t xml:space="preserve"> request for a waiver of section</w:t>
      </w:r>
      <w:r w:rsidR="00F02B60">
        <w:t xml:space="preserve"> </w:t>
      </w:r>
      <w:r w:rsidR="00954211">
        <w:t xml:space="preserve">27.53(n) </w:t>
      </w:r>
      <w:r w:rsidRPr="00CD755D">
        <w:t xml:space="preserve">subject to </w:t>
      </w:r>
      <w:r w:rsidR="3AB3FD7E">
        <w:t xml:space="preserve">the </w:t>
      </w:r>
      <w:r w:rsidRPr="00CD755D">
        <w:t>conditions described herein.</w:t>
      </w:r>
      <w:r w:rsidR="00E427FB">
        <w:t xml:space="preserve">  </w:t>
      </w:r>
      <w:r w:rsidRPr="00EA719E" w:rsidR="00BC1F08">
        <w:t>Although Petitioner also requested a conforming waiver of section 2.947(f) of the Commission’s rules, we find that a waiver of section 2.947(f) is unnecessary for</w:t>
      </w:r>
      <w:r w:rsidR="00C6083D">
        <w:t xml:space="preserve"> </w:t>
      </w:r>
      <w:r w:rsidRPr="00EA719E" w:rsidR="00BC1F08">
        <w:t>Petitioner to obtain equipment certification pursuant to the conditionally waived OOBE limits in section 27.53(n).</w:t>
      </w:r>
      <w:r>
        <w:rPr>
          <w:rStyle w:val="FootnoteReference"/>
        </w:rPr>
        <w:footnoteReference w:id="42"/>
      </w:r>
      <w:r w:rsidRPr="00EA719E" w:rsidR="00BC1F08">
        <w:t xml:space="preserve">  </w:t>
      </w:r>
    </w:p>
    <w:p w:rsidR="00900FC7" w:rsidRPr="00006A36" w:rsidP="00900FC7" w14:paraId="64F9A272" w14:textId="77777777">
      <w:pPr>
        <w:pStyle w:val="Heading1"/>
      </w:pPr>
      <w:bookmarkStart w:id="13" w:name="_Toc58853848"/>
      <w:bookmarkStart w:id="14" w:name="_Toc58853901"/>
      <w:bookmarkStart w:id="15" w:name="_Toc61528493"/>
      <w:r w:rsidRPr="00006A36">
        <w:t>ORDERING CLAUSES</w:t>
      </w:r>
      <w:bookmarkEnd w:id="13"/>
      <w:bookmarkEnd w:id="14"/>
      <w:bookmarkEnd w:id="15"/>
    </w:p>
    <w:p w:rsidR="001C228A" w:rsidRPr="0040083F" w:rsidP="001C228A" w14:paraId="57D9D4B7" w14:textId="77777777">
      <w:pPr>
        <w:pStyle w:val="ParaNum"/>
        <w:widowControl/>
        <w:tabs>
          <w:tab w:val="clear" w:pos="1080"/>
          <w:tab w:val="num" w:pos="1440"/>
        </w:tabs>
        <w:rPr>
          <w:color w:val="FF0000"/>
        </w:rPr>
      </w:pPr>
      <w:r w:rsidRPr="00006A36">
        <w:t xml:space="preserve">Accordingly, IT IS ORDERED, pursuant to Section 4(i) of the Communications Act of 1934, as </w:t>
      </w:r>
      <w:r w:rsidRPr="00B9674C">
        <w:t>amended, 47 U.S.C. § 154(i),</w:t>
      </w:r>
      <w:r w:rsidRPr="00B9674C">
        <w:rPr>
          <w:i/>
        </w:rPr>
        <w:t xml:space="preserve"> </w:t>
      </w:r>
      <w:r w:rsidRPr="00B9674C">
        <w:t>and section</w:t>
      </w:r>
      <w:r w:rsidR="00FC04C3">
        <w:t xml:space="preserve"> </w:t>
      </w:r>
      <w:r w:rsidRPr="00B9674C">
        <w:t xml:space="preserve">1.925 of the Commission’s rules, 47 CFR § 1.925, that the request filed by </w:t>
      </w:r>
      <w:r w:rsidR="00954211">
        <w:rPr>
          <w:spacing w:val="-2"/>
        </w:rPr>
        <w:t>Ericsson</w:t>
      </w:r>
      <w:r w:rsidRPr="00605A9F">
        <w:rPr>
          <w:spacing w:val="-2"/>
        </w:rPr>
        <w:t xml:space="preserve"> </w:t>
      </w:r>
      <w:r w:rsidRPr="00605A9F">
        <w:t xml:space="preserve">for waiver of section </w:t>
      </w:r>
      <w:r w:rsidR="00954211">
        <w:t>27.53(n) of the Commission’s rules</w:t>
      </w:r>
      <w:r w:rsidRPr="00605A9F">
        <w:t xml:space="preserve">, 47 CFR </w:t>
      </w:r>
      <w:r w:rsidR="00F02B60">
        <w:t>§</w:t>
      </w:r>
      <w:r w:rsidRPr="00605A9F">
        <w:t xml:space="preserve"> </w:t>
      </w:r>
      <w:r w:rsidR="00954211">
        <w:t>27.53(n)</w:t>
      </w:r>
      <w:r w:rsidRPr="00605A9F">
        <w:t xml:space="preserve">, </w:t>
      </w:r>
      <w:r w:rsidR="00954211">
        <w:t>is</w:t>
      </w:r>
      <w:r w:rsidRPr="00605A9F">
        <w:t xml:space="preserve"> GRANTED to the extent described, and with the conditions specified herein</w:t>
      </w:r>
      <w:r w:rsidR="00D95DF0">
        <w:t xml:space="preserve">, and </w:t>
      </w:r>
      <w:r w:rsidR="00775165">
        <w:t>that the request filed by Ericsson for waiver of section 2.947</w:t>
      </w:r>
      <w:r w:rsidR="008901FD">
        <w:t>(f)</w:t>
      </w:r>
      <w:r w:rsidR="00775165">
        <w:t xml:space="preserve"> of the Commission’s rules, 47 CFR § 2.947</w:t>
      </w:r>
      <w:r w:rsidR="008901FD">
        <w:t>(f)</w:t>
      </w:r>
      <w:r w:rsidR="00775165">
        <w:t xml:space="preserve"> </w:t>
      </w:r>
      <w:r w:rsidR="00BC1F08">
        <w:t xml:space="preserve">is </w:t>
      </w:r>
      <w:r w:rsidR="00D95DF0">
        <w:t>DENIED</w:t>
      </w:r>
      <w:r w:rsidRPr="00605A9F">
        <w:t>.</w:t>
      </w:r>
    </w:p>
    <w:p w:rsidR="001C228A" w:rsidRPr="00ED6EF1" w:rsidP="001C228A" w14:paraId="5AC2607F" w14:textId="77777777">
      <w:pPr>
        <w:pStyle w:val="ParaNum"/>
        <w:widowControl/>
        <w:tabs>
          <w:tab w:val="clear" w:pos="1080"/>
          <w:tab w:val="num" w:pos="1440"/>
        </w:tabs>
      </w:pPr>
      <w:r w:rsidRPr="00ED6EF1">
        <w:t>Th</w:t>
      </w:r>
      <w:r w:rsidR="00EA41A7">
        <w:t>is</w:t>
      </w:r>
      <w:r w:rsidRPr="00ED6EF1">
        <w:t xml:space="preserve"> action </w:t>
      </w:r>
      <w:r w:rsidR="00EA41A7">
        <w:t>is</w:t>
      </w:r>
      <w:r w:rsidRPr="00ED6EF1">
        <w:t xml:space="preserve"> taken under delegated authority pursuant to se</w:t>
      </w:r>
      <w:r w:rsidRPr="00BE44FD">
        <w:t>cti</w:t>
      </w:r>
      <w:r w:rsidRPr="00C232BE">
        <w:t xml:space="preserve">ons </w:t>
      </w:r>
      <w:r w:rsidRPr="00C51DBB">
        <w:t>0.131 and 0.331 of the Commission’s rules, 47 CFR §§ 0.131 and 0.331.</w:t>
      </w:r>
    </w:p>
    <w:p w:rsidR="00004C2C" w:rsidRPr="00ED6EF1" w:rsidP="001C228A" w14:paraId="6DFCD72E" w14:textId="77777777">
      <w:pPr>
        <w:ind w:left="4320"/>
        <w:rPr>
          <w:szCs w:val="22"/>
        </w:rPr>
      </w:pPr>
    </w:p>
    <w:p w:rsidR="001C228A" w:rsidRPr="00ED6EF1" w:rsidP="001C228A" w14:paraId="17D7E0E5" w14:textId="77777777">
      <w:pPr>
        <w:ind w:left="4320"/>
        <w:rPr>
          <w:szCs w:val="22"/>
        </w:rPr>
      </w:pPr>
      <w:r w:rsidRPr="00ED6EF1">
        <w:rPr>
          <w:szCs w:val="22"/>
        </w:rPr>
        <w:t>FEDERAL COMMUNICATIONS COMMISSION</w:t>
      </w:r>
    </w:p>
    <w:p w:rsidR="001C228A" w:rsidRPr="00ED6EF1" w:rsidP="001C228A" w14:paraId="4FDB7B4B"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p>
    <w:p w:rsidR="001C228A" w:rsidRPr="00ED6EF1" w:rsidP="001C228A" w14:paraId="3215DEBD"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0C0EC11F"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2D13682D"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32F601E4" w14:paraId="5C905CBD" w14:textId="77777777">
      <w:pPr>
        <w:keepNext/>
        <w:keepLines/>
        <w:tabs>
          <w:tab w:val="left" w:pos="720"/>
          <w:tab w:val="left" w:pos="1080"/>
          <w:tab w:val="left" w:pos="1440"/>
        </w:tabs>
        <w:suppressAutoHyphens/>
        <w:ind w:left="720"/>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32F601E4">
        <w:t>Roger Noel</w:t>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32F601E4">
        <w:t>Chief, Mobility Division</w:t>
      </w:r>
    </w:p>
    <w:p w:rsidR="00A75296" w:rsidRPr="00ED6EF1" w:rsidP="001C228A" w14:paraId="2942A90F"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Wireless Telecommunications Bureau</w:t>
      </w:r>
    </w:p>
    <w:p w:rsidR="00B85C70" w:rsidP="0096564D" w14:paraId="7D5C7B96" w14:textId="77777777">
      <w:pPr>
        <w:keepNext/>
        <w:keepLines/>
        <w:tabs>
          <w:tab w:val="left" w:pos="-1440"/>
          <w:tab w:val="left" w:pos="-720"/>
          <w:tab w:val="left" w:pos="0"/>
          <w:tab w:val="left" w:pos="720"/>
          <w:tab w:val="left" w:pos="1080"/>
          <w:tab w:val="left" w:pos="1440"/>
        </w:tabs>
        <w:suppressAutoHyphens/>
        <w:rPr>
          <w:snapToGrid/>
          <w:kern w:val="0"/>
          <w:szCs w:val="22"/>
        </w:rPr>
      </w:pPr>
    </w:p>
    <w:p w:rsidR="0096564D" w:rsidRPr="00ED6EF1" w:rsidP="0096564D" w14:paraId="5FFE3335" w14:textId="77777777">
      <w:pPr>
        <w:keepNext/>
        <w:keepLines/>
        <w:tabs>
          <w:tab w:val="left" w:pos="-1440"/>
          <w:tab w:val="left" w:pos="-720"/>
          <w:tab w:val="left" w:pos="0"/>
          <w:tab w:val="left" w:pos="720"/>
          <w:tab w:val="left" w:pos="1080"/>
          <w:tab w:val="left" w:pos="1440"/>
        </w:tabs>
        <w:suppressAutoHyphens/>
        <w:rPr>
          <w:snapToGrid/>
          <w:kern w:val="0"/>
          <w:szCs w:val="22"/>
        </w:rPr>
      </w:pP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5614C" w14:paraId="65B3093D" w14:textId="77777777">
    <w:pPr>
      <w:pStyle w:val="Footer"/>
      <w:framePr w:wrap="around" w:vAnchor="text" w:hAnchor="margin" w:xAlign="center" w:y="1"/>
    </w:pPr>
    <w:r>
      <w:fldChar w:fldCharType="begin"/>
    </w:r>
    <w:r>
      <w:instrText xml:space="preserve">PAGE  </w:instrText>
    </w:r>
    <w:r w:rsidR="00C662D3">
      <w:fldChar w:fldCharType="separate"/>
    </w:r>
    <w:r>
      <w:fldChar w:fldCharType="end"/>
    </w:r>
  </w:p>
  <w:p w:rsidR="0080662C" w14:paraId="207649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14:paraId="71B412E8"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1FF3" w14:paraId="625A30CB" w14:textId="77777777">
      <w:r>
        <w:separator/>
      </w:r>
    </w:p>
  </w:footnote>
  <w:footnote w:type="continuationSeparator" w:id="1">
    <w:p w:rsidR="00401FF3" w:rsidP="00C721AC" w14:paraId="041CAFE2" w14:textId="77777777">
      <w:pPr>
        <w:spacing w:before="120"/>
        <w:rPr>
          <w:sz w:val="20"/>
        </w:rPr>
      </w:pPr>
      <w:r>
        <w:rPr>
          <w:sz w:val="20"/>
        </w:rPr>
        <w:t xml:space="preserve">(Continued from previous page)  </w:t>
      </w:r>
      <w:r>
        <w:rPr>
          <w:sz w:val="20"/>
        </w:rPr>
        <w:separator/>
      </w:r>
    </w:p>
  </w:footnote>
  <w:footnote w:type="continuationNotice" w:id="2">
    <w:p w:rsidR="00401FF3" w:rsidP="00C721AC" w14:paraId="5EB36345" w14:textId="77777777">
      <w:pPr>
        <w:jc w:val="right"/>
        <w:rPr>
          <w:sz w:val="20"/>
        </w:rPr>
      </w:pPr>
      <w:r>
        <w:rPr>
          <w:sz w:val="20"/>
        </w:rPr>
        <w:t>(continued….)</w:t>
      </w:r>
    </w:p>
  </w:footnote>
  <w:footnote w:id="3">
    <w:p w:rsidR="007625A2" w:rsidRPr="00EA719E" w:rsidP="007625A2" w14:paraId="52617875" w14:textId="77777777">
      <w:pPr>
        <w:pStyle w:val="FootnoteText"/>
        <w:rPr>
          <w:rFonts w:ascii="TimesNewRomanPSMT" w:hAnsi="TimesNewRomanPSMT" w:cs="TimesNewRomanPSMT"/>
        </w:rPr>
      </w:pPr>
      <w:r w:rsidRPr="00EA719E">
        <w:rPr>
          <w:rStyle w:val="FootnoteReference"/>
        </w:rPr>
        <w:footnoteRef/>
      </w:r>
      <w:r w:rsidRPr="00EA719E">
        <w:t xml:space="preserve"> </w:t>
      </w:r>
      <w:r w:rsidRPr="00EA719E">
        <w:rPr>
          <w:i/>
          <w:iCs/>
        </w:rPr>
        <w:t xml:space="preserve">See </w:t>
      </w:r>
      <w:r w:rsidRPr="00EA719E">
        <w:rPr>
          <w:rFonts w:ascii="TimesNewRomanPSMT" w:hAnsi="TimesNewRomanPSMT" w:cs="TimesNewRomanPSMT"/>
        </w:rPr>
        <w:t xml:space="preserve">Petition of Ericsson for Waiver, WT Docket No. 22-298 (filed Mar. 4, 2022) </w:t>
      </w:r>
      <w:hyperlink r:id="rId1" w:history="1">
        <w:r w:rsidRPr="00CC562B">
          <w:rPr>
            <w:rStyle w:val="Hyperlink"/>
          </w:rPr>
          <w:t>https://www.fcc.gov/ecfs/document/10808146788120/1</w:t>
        </w:r>
      </w:hyperlink>
      <w:r>
        <w:t xml:space="preserve"> </w:t>
      </w:r>
      <w:r w:rsidRPr="00EA719E">
        <w:t>(</w:t>
      </w:r>
      <w:r w:rsidRPr="00EA719E">
        <w:rPr>
          <w:i/>
          <w:iCs/>
        </w:rPr>
        <w:t>Ericsson Petition</w:t>
      </w:r>
      <w:r w:rsidRPr="00EA719E">
        <w:t xml:space="preserve">). </w:t>
      </w:r>
    </w:p>
  </w:footnote>
  <w:footnote w:id="4">
    <w:p w:rsidR="0080662C" w:rsidRPr="00EA719E" w:rsidP="00410C42" w14:paraId="0056F63A" w14:textId="77777777">
      <w:pPr>
        <w:pStyle w:val="FootnoteText"/>
      </w:pPr>
      <w:r w:rsidRPr="00EA719E">
        <w:rPr>
          <w:rStyle w:val="FootnoteReference"/>
        </w:rPr>
        <w:footnoteRef/>
      </w:r>
      <w:r w:rsidRPr="00EA719E">
        <w:t xml:space="preserve"> 47 CFR §</w:t>
      </w:r>
      <w:r w:rsidRPr="00EA719E" w:rsidR="009D7CFA">
        <w:t xml:space="preserve"> </w:t>
      </w:r>
      <w:r w:rsidRPr="00EA719E" w:rsidR="00DC18B5">
        <w:t>27.53(n)</w:t>
      </w:r>
      <w:r w:rsidRPr="00EA719E">
        <w:t>.</w:t>
      </w:r>
      <w:r w:rsidRPr="00EA719E" w:rsidR="000014B6">
        <w:t xml:space="preserve">  Ericsson also requested a conforming waiver of section 2.947(f) of the Commission’s rules for purposes of obtaining equipment certification.  </w:t>
      </w:r>
      <w:r w:rsidRPr="00EA719E" w:rsidR="000014B6">
        <w:rPr>
          <w:i/>
          <w:iCs/>
        </w:rPr>
        <w:t>Ericsson Petition</w:t>
      </w:r>
      <w:r w:rsidRPr="00EA719E" w:rsidR="000014B6">
        <w:t xml:space="preserve"> at 3; 47 CFR § 2.947(f).  As discussed below, we find that a waiver of section 2.947(f) is unnecessary in this case. </w:t>
      </w:r>
    </w:p>
  </w:footnote>
  <w:footnote w:id="5">
    <w:p w:rsidR="006F30F6" w:rsidRPr="006959E5" w14:paraId="2330BAC1" w14:textId="1AE78A65">
      <w:pPr>
        <w:pStyle w:val="FootnoteText"/>
      </w:pPr>
      <w:r w:rsidRPr="00EA719E">
        <w:rPr>
          <w:rStyle w:val="FootnoteReference"/>
        </w:rPr>
        <w:footnoteRef/>
      </w:r>
      <w:r w:rsidRPr="00EA719E">
        <w:t xml:space="preserve"> </w:t>
      </w:r>
      <w:r w:rsidRPr="00EA719E">
        <w:rPr>
          <w:i/>
          <w:iCs/>
        </w:rPr>
        <w:t xml:space="preserve">See Ericsson Petition </w:t>
      </w:r>
      <w:r w:rsidRPr="00EA719E">
        <w:t>at 1</w:t>
      </w:r>
      <w:r w:rsidRPr="00EA719E">
        <w:rPr>
          <w:i/>
          <w:iCs/>
        </w:rPr>
        <w:t>.</w:t>
      </w:r>
      <w:r w:rsidR="008C7D1E">
        <w:rPr>
          <w:i/>
          <w:iCs/>
        </w:rPr>
        <w:t xml:space="preserve"> </w:t>
      </w:r>
      <w:r w:rsidR="008C7D1E">
        <w:t xml:space="preserve">While Ericsson’s waiver request specified the 3.7-4.0 GHz frequency range, the 3.7 GHz Service—and its associated OOBE limits—are limited to the 3.7-3.98 GHz frequency range under the Commission’s rules.  </w:t>
      </w:r>
      <w:r w:rsidR="008C7D1E">
        <w:rPr>
          <w:i/>
          <w:iCs/>
        </w:rPr>
        <w:t xml:space="preserve">See </w:t>
      </w:r>
      <w:r w:rsidR="008C7D1E">
        <w:t>47 CFR §§ 27.4, 27.5(m), 27.5</w:t>
      </w:r>
      <w:r w:rsidR="008E08FB">
        <w:t>3</w:t>
      </w:r>
      <w:r w:rsidR="008C7D1E">
        <w:t xml:space="preserve">(l). </w:t>
      </w:r>
      <w:r>
        <w:t xml:space="preserve"> </w:t>
      </w:r>
      <w:r w:rsidRPr="0058097E" w:rsidR="0058097E">
        <w:t>Accordingly, this conditional waiver grant is limited to operations in the 3.7-3.98 GHz frequency range.</w:t>
      </w:r>
      <w:r w:rsidR="008C7D1E">
        <w:t xml:space="preserve">  </w:t>
      </w:r>
    </w:p>
  </w:footnote>
  <w:footnote w:id="6">
    <w:p w:rsidR="00B4199F" w:rsidRPr="00EA719E" w14:paraId="1F7953FC" w14:textId="77777777">
      <w:pPr>
        <w:pStyle w:val="FootnoteText"/>
      </w:pPr>
      <w:r w:rsidRPr="00EA719E">
        <w:rPr>
          <w:rStyle w:val="FootnoteReference"/>
        </w:rPr>
        <w:footnoteRef/>
      </w:r>
      <w:r w:rsidRPr="00EA719E">
        <w:t xml:space="preserve"> </w:t>
      </w:r>
      <w:r w:rsidRPr="00EA719E" w:rsidR="00D5174B">
        <w:rPr>
          <w:i/>
          <w:iCs/>
        </w:rPr>
        <w:t xml:space="preserve"> See Facilitating Shared Use in the 3100-3550 MHz Band</w:t>
      </w:r>
      <w:r w:rsidRPr="00EA719E" w:rsidR="00D5174B">
        <w:t>, WT Docket No. 19-348, Second Report and Order, Order on Reconsideration, and Order of Proposed Modification, 36 FCC Rcd 5987, 5994 at para. 12 (2021) (</w:t>
      </w:r>
      <w:r w:rsidRPr="00EA719E" w:rsidR="00D5174B">
        <w:rPr>
          <w:i/>
          <w:iCs/>
        </w:rPr>
        <w:t>3.45 GHz Second R&amp;O</w:t>
      </w:r>
      <w:r w:rsidRPr="00EA719E" w:rsidR="00D5174B">
        <w:t>)</w:t>
      </w:r>
      <w:r w:rsidRPr="00EA719E">
        <w:t xml:space="preserve">; </w:t>
      </w:r>
      <w:r w:rsidRPr="00EA719E" w:rsidR="00F741E1">
        <w:rPr>
          <w:i/>
          <w:iCs/>
        </w:rPr>
        <w:t>Expanding Flexible Use of the 3.7 to 4.2 GHz Band</w:t>
      </w:r>
      <w:r w:rsidRPr="00EA719E" w:rsidR="00F741E1">
        <w:t>, GN Docket No. 18-122, Report and Order and Order of Proposed Modification, 35 FCC Rcd 2343 (2020) (establishing the 3.7 GHz Service in the 3.7-4.2 GHz band)</w:t>
      </w:r>
      <w:r w:rsidRPr="00EA719E" w:rsidR="00E62E91">
        <w:t xml:space="preserve"> (</w:t>
      </w:r>
      <w:r w:rsidRPr="00EA719E" w:rsidR="00E62E91">
        <w:rPr>
          <w:i/>
          <w:iCs/>
        </w:rPr>
        <w:t>3.7 GHz R&amp;O</w:t>
      </w:r>
      <w:r w:rsidRPr="00EA719E" w:rsidR="00E62E91">
        <w:t>)</w:t>
      </w:r>
      <w:r w:rsidRPr="00EA719E" w:rsidR="00F741E1">
        <w:t xml:space="preserve">; </w:t>
      </w:r>
      <w:r w:rsidRPr="00EA719E" w:rsidR="00F741E1">
        <w:rPr>
          <w:i/>
          <w:iCs/>
        </w:rPr>
        <w:t>Amendment of the Commission’s Rules with Regard to Commercial Operations in the 3550-3650 MHz Band</w:t>
      </w:r>
      <w:r w:rsidRPr="00EA719E" w:rsidR="00F741E1">
        <w:t xml:space="preserve">, GN Docket No. 12-354, Report and Order and Second Further Notice of Proposed Rulemaking, 30 FCC Rcd 3959 </w:t>
      </w:r>
      <w:r w:rsidRPr="00EA719E" w:rsidR="00A54A73">
        <w:t xml:space="preserve">(2015) </w:t>
      </w:r>
      <w:r w:rsidRPr="00EA719E" w:rsidR="00F741E1">
        <w:t>(establishing the Citizens Broadband Radio Service in the 3.55-3.7 GHz band)</w:t>
      </w:r>
      <w:r w:rsidRPr="00EA719E" w:rsidR="00E62E91">
        <w:t xml:space="preserve"> (</w:t>
      </w:r>
      <w:r w:rsidRPr="00EA719E" w:rsidR="00E62E91">
        <w:rPr>
          <w:i/>
          <w:iCs/>
        </w:rPr>
        <w:t>3.5 GHz R&amp;O</w:t>
      </w:r>
      <w:r w:rsidRPr="00EA719E" w:rsidR="00E62E91">
        <w:t>)</w:t>
      </w:r>
      <w:r w:rsidRPr="00EA719E" w:rsidR="00F741E1">
        <w:t>.</w:t>
      </w:r>
    </w:p>
  </w:footnote>
  <w:footnote w:id="7">
    <w:p w:rsidR="00A2493F" w:rsidRPr="00EA719E" w14:paraId="0C97B28E" w14:textId="77777777">
      <w:pPr>
        <w:pStyle w:val="FootnoteText"/>
      </w:pPr>
      <w:r w:rsidRPr="00EA719E">
        <w:rPr>
          <w:rStyle w:val="FootnoteReference"/>
        </w:rPr>
        <w:footnoteRef/>
      </w:r>
      <w:r w:rsidRPr="00EA719E">
        <w:t xml:space="preserve"> </w:t>
      </w:r>
      <w:r w:rsidRPr="00EA719E">
        <w:rPr>
          <w:i/>
          <w:iCs/>
        </w:rPr>
        <w:t>3.45 GHz Second R&amp;O</w:t>
      </w:r>
      <w:r w:rsidRPr="00EA719E">
        <w:t xml:space="preserve"> at 6016-19, paras. 7</w:t>
      </w:r>
      <w:r w:rsidRPr="00EA719E" w:rsidR="003F3CB1">
        <w:t>9</w:t>
      </w:r>
      <w:r w:rsidRPr="00EA719E">
        <w:t>-87.</w:t>
      </w:r>
    </w:p>
  </w:footnote>
  <w:footnote w:id="8">
    <w:p w:rsidR="00186B5F" w:rsidRPr="00EA719E" w14:paraId="32A9BA6B" w14:textId="77777777">
      <w:pPr>
        <w:pStyle w:val="FootnoteText"/>
      </w:pPr>
      <w:r w:rsidRPr="00EA719E">
        <w:rPr>
          <w:rStyle w:val="FootnoteReference"/>
        </w:rPr>
        <w:footnoteRef/>
      </w:r>
      <w:r w:rsidRPr="00EA719E">
        <w:t xml:space="preserve"> </w:t>
      </w:r>
      <w:r w:rsidRPr="00EA719E">
        <w:rPr>
          <w:i/>
          <w:iCs/>
        </w:rPr>
        <w:t>Id.</w:t>
      </w:r>
      <w:r w:rsidRPr="00EA719E">
        <w:t xml:space="preserve"> at 6016-17, paras. 79-83; 47 CFR § 27.53(n)</w:t>
      </w:r>
      <w:r w:rsidRPr="00EA719E" w:rsidR="000F0C30">
        <w:t>(1)</w:t>
      </w:r>
      <w:r w:rsidRPr="00EA719E" w:rsidR="00A81B44">
        <w:t xml:space="preserve">; </w:t>
      </w:r>
      <w:r w:rsidRPr="00EA719E" w:rsidR="00A81B44">
        <w:rPr>
          <w:i/>
          <w:iCs/>
        </w:rPr>
        <w:t>3.5 GHz R&amp;O</w:t>
      </w:r>
      <w:r w:rsidRPr="00EA719E" w:rsidR="00A81B44">
        <w:t xml:space="preserve"> at 4017, para. 184; 47 CFR § 96.41(e)(1);</w:t>
      </w:r>
      <w:r w:rsidRPr="00EA719E" w:rsidR="00A81B44">
        <w:rPr>
          <w:i/>
          <w:iCs/>
        </w:rPr>
        <w:t xml:space="preserve"> 3.7 GHz R&amp;O</w:t>
      </w:r>
      <w:r w:rsidRPr="00EA719E" w:rsidR="00A81B44">
        <w:t xml:space="preserve"> at 2470, para 343; 47 CFR § 27.53(l)</w:t>
      </w:r>
      <w:r w:rsidRPr="00EA719E" w:rsidR="00211129">
        <w:t>(1)</w:t>
      </w:r>
      <w:r w:rsidRPr="00EA719E" w:rsidR="00130DE3">
        <w:t>.</w:t>
      </w:r>
      <w:r w:rsidRPr="00EA719E">
        <w:t xml:space="preserve"> </w:t>
      </w:r>
    </w:p>
  </w:footnote>
  <w:footnote w:id="9">
    <w:p w:rsidR="00A2493F" w:rsidRPr="00EA719E" w14:paraId="346163A1" w14:textId="77777777">
      <w:pPr>
        <w:pStyle w:val="FootnoteText"/>
        <w:rPr>
          <w:i/>
          <w:iCs/>
        </w:rPr>
      </w:pPr>
      <w:r w:rsidRPr="00EA719E">
        <w:rPr>
          <w:rStyle w:val="FootnoteReference"/>
        </w:rPr>
        <w:footnoteRef/>
      </w:r>
      <w:r w:rsidRPr="00EA719E">
        <w:t xml:space="preserve"> </w:t>
      </w:r>
      <w:r w:rsidRPr="00EA719E" w:rsidR="00A81B44">
        <w:rPr>
          <w:i/>
          <w:iCs/>
        </w:rPr>
        <w:t>3.45 GHz Second R&amp;O</w:t>
      </w:r>
      <w:r w:rsidRPr="00EA719E" w:rsidR="00A81B44">
        <w:t xml:space="preserve"> at 6016-17, paras. 79-83</w:t>
      </w:r>
      <w:r w:rsidRPr="00EA719E" w:rsidR="000F0C30">
        <w:t>; 47 CFR § 27.53(n)(1).</w:t>
      </w:r>
    </w:p>
  </w:footnote>
  <w:footnote w:id="10">
    <w:p w:rsidR="00130DE3" w:rsidRPr="00EA719E" w14:paraId="1737D947" w14:textId="77777777">
      <w:pPr>
        <w:pStyle w:val="FootnoteText"/>
        <w:rPr>
          <w:i/>
          <w:iCs/>
        </w:rPr>
      </w:pPr>
      <w:r w:rsidRPr="00EA719E">
        <w:rPr>
          <w:rStyle w:val="FootnoteReference"/>
        </w:rPr>
        <w:footnoteRef/>
      </w:r>
      <w:r w:rsidRPr="00EA719E">
        <w:t xml:space="preserve"> </w:t>
      </w:r>
      <w:r w:rsidRPr="00EA719E" w:rsidR="00D76860">
        <w:rPr>
          <w:i/>
          <w:iCs/>
        </w:rPr>
        <w:t>3.5 GHz R&amp;O</w:t>
      </w:r>
      <w:r w:rsidRPr="00EA719E" w:rsidR="00D76860">
        <w:t xml:space="preserve"> at 4017, para. 184; 47 CFR § 96.41(e)</w:t>
      </w:r>
      <w:r w:rsidRPr="00EA719E" w:rsidR="007163C9">
        <w:t>(1)-</w:t>
      </w:r>
      <w:r w:rsidRPr="00EA719E" w:rsidR="00D76860">
        <w:t>(2).</w:t>
      </w:r>
    </w:p>
  </w:footnote>
  <w:footnote w:id="11">
    <w:p w:rsidR="00615246" w:rsidRPr="00EA719E" w14:paraId="54973EB3" w14:textId="77777777">
      <w:pPr>
        <w:pStyle w:val="FootnoteText"/>
      </w:pPr>
      <w:r w:rsidRPr="00EA719E">
        <w:rPr>
          <w:rStyle w:val="FootnoteReference"/>
        </w:rPr>
        <w:footnoteRef/>
      </w:r>
      <w:r w:rsidRPr="00EA719E">
        <w:t xml:space="preserve"> </w:t>
      </w:r>
      <w:r w:rsidRPr="00EA719E">
        <w:rPr>
          <w:i/>
          <w:iCs/>
        </w:rPr>
        <w:t>Ericsson Petition</w:t>
      </w:r>
      <w:r w:rsidRPr="00EA719E">
        <w:t xml:space="preserve"> at 1</w:t>
      </w:r>
      <w:r w:rsidRPr="00EA719E" w:rsidR="00CC29FB">
        <w:t>, 3</w:t>
      </w:r>
      <w:r w:rsidRPr="00EA719E">
        <w:t xml:space="preserve">. </w:t>
      </w:r>
      <w:r w:rsidRPr="00EA719E" w:rsidR="00FC4BDA">
        <w:t xml:space="preserve"> </w:t>
      </w:r>
      <w:r w:rsidRPr="00EA719E">
        <w:rPr>
          <w:i/>
          <w:iCs/>
        </w:rPr>
        <w:t>See</w:t>
      </w:r>
      <w:r w:rsidRPr="00EA719E">
        <w:t xml:space="preserve"> 47 CFR §</w:t>
      </w:r>
      <w:r w:rsidRPr="00EA719E" w:rsidR="00CC29FB">
        <w:t>§</w:t>
      </w:r>
      <w:r w:rsidRPr="00EA719E">
        <w:t xml:space="preserve"> </w:t>
      </w:r>
      <w:r w:rsidRPr="00EA719E" w:rsidR="00CC29FB">
        <w:t xml:space="preserve">2.497(f), </w:t>
      </w:r>
      <w:r w:rsidRPr="00EA719E">
        <w:t>27.53(n).</w:t>
      </w:r>
      <w:r w:rsidRPr="00EA719E" w:rsidR="00CC29FB">
        <w:t xml:space="preserve">  The Commission’s “composite system” rule states that radio frequency devices that operate in multiple bands must meet the rules for each band.  </w:t>
      </w:r>
      <w:r w:rsidRPr="00EA719E" w:rsidR="00CC29FB">
        <w:rPr>
          <w:i/>
          <w:iCs/>
        </w:rPr>
        <w:t xml:space="preserve">See </w:t>
      </w:r>
      <w:r w:rsidRPr="00EA719E" w:rsidR="00CC29FB">
        <w:t>47 CFR § 2.947(f).</w:t>
      </w:r>
      <w:r w:rsidRPr="00EA719E" w:rsidR="006D2806">
        <w:t xml:space="preserve">  </w:t>
      </w:r>
    </w:p>
  </w:footnote>
  <w:footnote w:id="12">
    <w:p w:rsidR="007163C9" w:rsidRPr="00EA719E" w:rsidP="007163C9" w14:paraId="494D44ED" w14:textId="77777777">
      <w:pPr>
        <w:pStyle w:val="FootnoteText"/>
      </w:pPr>
      <w:r w:rsidRPr="00EA719E">
        <w:rPr>
          <w:rStyle w:val="FootnoteReference"/>
        </w:rPr>
        <w:footnoteRef/>
      </w:r>
      <w:r w:rsidRPr="00EA719E">
        <w:t xml:space="preserve"> </w:t>
      </w:r>
      <w:r w:rsidRPr="00EA719E">
        <w:rPr>
          <w:i/>
          <w:iCs/>
        </w:rPr>
        <w:t>Ericsson Petition</w:t>
      </w:r>
      <w:r w:rsidRPr="00EA719E">
        <w:t xml:space="preserve"> at 2.</w:t>
      </w:r>
    </w:p>
  </w:footnote>
  <w:footnote w:id="13">
    <w:p w:rsidR="00F72D7C" w:rsidRPr="00F72D7C" w14:paraId="345A0127" w14:textId="77777777">
      <w:pPr>
        <w:pStyle w:val="FootnoteText"/>
      </w:pPr>
      <w:r>
        <w:rPr>
          <w:rStyle w:val="FootnoteReference"/>
        </w:rPr>
        <w:footnoteRef/>
      </w:r>
      <w:r>
        <w:t xml:space="preserve"> </w:t>
      </w:r>
      <w:r>
        <w:rPr>
          <w:i/>
          <w:iCs/>
        </w:rPr>
        <w:t>Id.</w:t>
      </w:r>
      <w:r>
        <w:t xml:space="preserve"> at </w:t>
      </w:r>
      <w:r w:rsidR="00413F11">
        <w:t>2.</w:t>
      </w:r>
    </w:p>
  </w:footnote>
  <w:footnote w:id="14">
    <w:p w:rsidR="007163C9" w:rsidRPr="00EA719E" w:rsidP="007163C9" w14:paraId="7BEB12D3" w14:textId="77777777">
      <w:pPr>
        <w:pStyle w:val="FootnoteText"/>
      </w:pPr>
      <w:r w:rsidRPr="00EA719E">
        <w:rPr>
          <w:rStyle w:val="FootnoteReference"/>
        </w:rPr>
        <w:footnoteRef/>
      </w:r>
      <w:r w:rsidRPr="00EA719E">
        <w:t xml:space="preserve"> </w:t>
      </w:r>
      <w:r w:rsidRPr="00EA719E">
        <w:rPr>
          <w:i/>
          <w:iCs/>
        </w:rPr>
        <w:t>Id.</w:t>
      </w:r>
      <w:r w:rsidRPr="00EA719E">
        <w:t xml:space="preserve"> at 7.</w:t>
      </w:r>
    </w:p>
  </w:footnote>
  <w:footnote w:id="15">
    <w:p w:rsidR="007163C9" w:rsidRPr="00EA719E" w:rsidP="007163C9" w14:paraId="043E2ACF" w14:textId="77777777">
      <w:pPr>
        <w:pStyle w:val="FootnoteText"/>
      </w:pPr>
      <w:r w:rsidRPr="00EA719E">
        <w:rPr>
          <w:rStyle w:val="FootnoteReference"/>
        </w:rPr>
        <w:footnoteRef/>
      </w:r>
      <w:r w:rsidRPr="00EA719E">
        <w:t xml:space="preserve"> </w:t>
      </w:r>
      <w:r w:rsidRPr="00EA719E">
        <w:rPr>
          <w:i/>
          <w:iCs/>
        </w:rPr>
        <w:t>Id.</w:t>
      </w:r>
      <w:r w:rsidRPr="00EA719E">
        <w:t xml:space="preserve"> at 5-7.</w:t>
      </w:r>
    </w:p>
  </w:footnote>
  <w:footnote w:id="16">
    <w:p w:rsidR="007163C9" w:rsidRPr="00EA719E" w:rsidP="007163C9" w14:paraId="5FFCE7F1" w14:textId="77777777">
      <w:pPr>
        <w:pStyle w:val="FootnoteText"/>
      </w:pPr>
      <w:r w:rsidRPr="00EA719E">
        <w:rPr>
          <w:rStyle w:val="FootnoteReference"/>
        </w:rPr>
        <w:footnoteRef/>
      </w:r>
      <w:r w:rsidRPr="00EA719E">
        <w:t xml:space="preserve"> </w:t>
      </w:r>
      <w:r w:rsidRPr="00EA719E">
        <w:rPr>
          <w:i/>
          <w:iCs/>
        </w:rPr>
        <w:t>Id.</w:t>
      </w:r>
      <w:r w:rsidRPr="00EA719E">
        <w:t xml:space="preserve"> at 5-6.</w:t>
      </w:r>
    </w:p>
  </w:footnote>
  <w:footnote w:id="17">
    <w:p w:rsidR="00301200" w:rsidRPr="00EA719E" w14:paraId="045AF0DB" w14:textId="77777777">
      <w:pPr>
        <w:pStyle w:val="FootnoteText"/>
      </w:pPr>
      <w:r w:rsidRPr="00EA719E">
        <w:rPr>
          <w:rStyle w:val="FootnoteReference"/>
        </w:rPr>
        <w:footnoteRef/>
      </w:r>
      <w:r w:rsidRPr="00EA719E">
        <w:t xml:space="preserve"> </w:t>
      </w:r>
      <w:r w:rsidRPr="00EA719E">
        <w:rPr>
          <w:i/>
          <w:iCs/>
        </w:rPr>
        <w:t>Wireless Telecommunications Bureau and Office of Engineering and Technology Seek Comment on Ericsson’s Waiver Request to Enable Multiband Devices for the 3.45 GHz and 3.7 GHz Services</w:t>
      </w:r>
      <w:r w:rsidRPr="00EA719E">
        <w:t>, Public Notice, DA 22-834 (WTB/OET Aug. 8, 2022), 2022 WL 3339410.</w:t>
      </w:r>
    </w:p>
  </w:footnote>
  <w:footnote w:id="18">
    <w:p w:rsidR="004800B7" w:rsidRPr="00EA719E" w14:paraId="2FD6AF0B" w14:textId="77777777">
      <w:pPr>
        <w:pStyle w:val="FootnoteText"/>
      </w:pPr>
      <w:r w:rsidRPr="00EA719E">
        <w:rPr>
          <w:rStyle w:val="FootnoteReference"/>
        </w:rPr>
        <w:footnoteRef/>
      </w:r>
      <w:r w:rsidRPr="00EA719E">
        <w:t xml:space="preserve"> </w:t>
      </w:r>
      <w:r w:rsidRPr="00EA719E">
        <w:rPr>
          <w:i/>
          <w:iCs/>
        </w:rPr>
        <w:t>See</w:t>
      </w:r>
      <w:r w:rsidRPr="00EA719E" w:rsidR="00121BCD">
        <w:rPr>
          <w:i/>
          <w:iCs/>
        </w:rPr>
        <w:t xml:space="preserve"> generally</w:t>
      </w:r>
      <w:r w:rsidRPr="00EA719E">
        <w:rPr>
          <w:i/>
          <w:iCs/>
        </w:rPr>
        <w:t xml:space="preserve"> </w:t>
      </w:r>
      <w:r w:rsidRPr="00EA719E" w:rsidR="00121BCD">
        <w:t xml:space="preserve">Nokia Comments; </w:t>
      </w:r>
      <w:r w:rsidRPr="00EA719E">
        <w:t>AT&amp;T Services, Inc. Comments (</w:t>
      </w:r>
      <w:r w:rsidRPr="00EA719E">
        <w:rPr>
          <w:i/>
          <w:iCs/>
        </w:rPr>
        <w:t>AT&amp;T Comments</w:t>
      </w:r>
      <w:r w:rsidRPr="00EA719E">
        <w:t>); T-Mobile USA, Inc. Comments</w:t>
      </w:r>
      <w:r w:rsidR="00637BA2">
        <w:t xml:space="preserve"> </w:t>
      </w:r>
      <w:r w:rsidRPr="00EA719E">
        <w:t>(</w:t>
      </w:r>
      <w:r w:rsidRPr="00EA719E">
        <w:rPr>
          <w:i/>
          <w:iCs/>
        </w:rPr>
        <w:t>T-Mobile Comments</w:t>
      </w:r>
      <w:r w:rsidRPr="00EA719E">
        <w:t>)</w:t>
      </w:r>
      <w:r w:rsidRPr="00EA719E" w:rsidR="00121BCD">
        <w:t>; Samsung Electronics America Comments (</w:t>
      </w:r>
      <w:r w:rsidRPr="00EA719E" w:rsidR="00121BCD">
        <w:rPr>
          <w:i/>
          <w:iCs/>
        </w:rPr>
        <w:t>Samsung Comments</w:t>
      </w:r>
      <w:r w:rsidRPr="00EA719E" w:rsidR="00121BCD">
        <w:t>); United States Cellular Corporation Comments (</w:t>
      </w:r>
      <w:r w:rsidRPr="00EA719E" w:rsidR="00121BCD">
        <w:rPr>
          <w:i/>
          <w:iCs/>
        </w:rPr>
        <w:t>U.S. Cellular Comments</w:t>
      </w:r>
      <w:r w:rsidRPr="00EA719E" w:rsidR="00121BCD">
        <w:t>); Qualcomm Incorporated Comments; Mavenir Systems, Inc. Comments (</w:t>
      </w:r>
      <w:r w:rsidRPr="00EA719E" w:rsidR="00121BCD">
        <w:rPr>
          <w:i/>
          <w:iCs/>
        </w:rPr>
        <w:t>Mavenir Comments</w:t>
      </w:r>
      <w:r w:rsidRPr="00EA719E" w:rsidR="00121BCD">
        <w:t>).</w:t>
      </w:r>
    </w:p>
  </w:footnote>
  <w:footnote w:id="19">
    <w:p w:rsidR="009A65A9" w:rsidRPr="00EA719E" w:rsidP="009A65A9" w14:paraId="5A05F649" w14:textId="77777777">
      <w:pPr>
        <w:pStyle w:val="FootnoteText"/>
      </w:pPr>
      <w:r w:rsidRPr="00EA719E">
        <w:rPr>
          <w:rStyle w:val="FootnoteReference"/>
        </w:rPr>
        <w:footnoteRef/>
      </w:r>
      <w:r w:rsidRPr="00EA719E">
        <w:t xml:space="preserve"> National Telecommunications and Information Administration Comments.</w:t>
      </w:r>
    </w:p>
  </w:footnote>
  <w:footnote w:id="20">
    <w:p w:rsidR="009A65A9" w:rsidRPr="00EA719E" w:rsidP="009A65A9" w14:paraId="31C63EB0" w14:textId="77777777">
      <w:pPr>
        <w:pStyle w:val="FootnoteText"/>
      </w:pPr>
      <w:r w:rsidRPr="00EA719E">
        <w:rPr>
          <w:rStyle w:val="FootnoteReference"/>
        </w:rPr>
        <w:footnoteRef/>
      </w:r>
      <w:r w:rsidRPr="00EA719E">
        <w:t xml:space="preserve"> Letter from Sandra Wright, IRAC Alternate Representative, Federal Aviation Administration, to Alan Frable, Chairman, Interdepartment Radio Advisory Committee National Telecommunications and Information Administration</w:t>
      </w:r>
      <w:r w:rsidR="00877BF4">
        <w:t xml:space="preserve"> (</w:t>
      </w:r>
      <w:r w:rsidR="002C787D">
        <w:t>Dec. 2, 2022)</w:t>
      </w:r>
      <w:r w:rsidRPr="00EA719E">
        <w:t xml:space="preserve"> (filed </w:t>
      </w:r>
      <w:r w:rsidR="002C787D">
        <w:t xml:space="preserve">by NTIA in WT Docket No. 22-298 on </w:t>
      </w:r>
      <w:r w:rsidRPr="00EA719E">
        <w:t>Dec. 12, 2022).</w:t>
      </w:r>
    </w:p>
  </w:footnote>
  <w:footnote w:id="21">
    <w:p w:rsidR="0080662C" w:rsidRPr="00EA719E" w14:paraId="1D5FBC8F" w14:textId="77777777">
      <w:pPr>
        <w:pStyle w:val="FootnoteText"/>
      </w:pPr>
      <w:r w:rsidRPr="00EA719E">
        <w:rPr>
          <w:rStyle w:val="FootnoteReference"/>
        </w:rPr>
        <w:footnoteRef/>
      </w:r>
      <w:r w:rsidRPr="00EA719E">
        <w:t xml:space="preserve"> 47 CFR § 1.925(b)(3).</w:t>
      </w:r>
      <w:r w:rsidRPr="00EA719E" w:rsidR="00722439">
        <w:t xml:space="preserve">  While Petitioner requests relief under section 1.3, we note the waiver standard under section 1.3 is “virtually identical” to the waiver standard under section 1.925.  </w:t>
      </w:r>
      <w:r w:rsidRPr="00EA719E" w:rsidR="00722439">
        <w:rPr>
          <w:i/>
          <w:iCs/>
        </w:rPr>
        <w:t>See</w:t>
      </w:r>
      <w:r w:rsidRPr="00EA719E" w:rsidR="00722439">
        <w:t xml:space="preserve"> </w:t>
      </w:r>
      <w:r w:rsidRPr="00EA719E" w:rsidR="00722439">
        <w:rPr>
          <w:i/>
          <w:iCs/>
        </w:rPr>
        <w:t>Delta Radio Inc.</w:t>
      </w:r>
      <w:r w:rsidRPr="00EA719E" w:rsidR="00722439">
        <w:t xml:space="preserve">, Memorandum Opinion and Order, 18 FCC Rcd 16889, 16891, para. 7 (2003) (affirming Bureau-level waiver denial) (citing </w:t>
      </w:r>
      <w:r w:rsidRPr="00EA719E" w:rsidR="00722439">
        <w:rPr>
          <w:i/>
          <w:iCs/>
        </w:rPr>
        <w:t>BellSouth Corp. v. FCC</w:t>
      </w:r>
      <w:r w:rsidRPr="00EA719E" w:rsidR="00722439">
        <w:t>, 162 F.3d 1215, 1225 n.10 (D.C. Cir. 1999)).</w:t>
      </w:r>
    </w:p>
  </w:footnote>
  <w:footnote w:id="22">
    <w:p w:rsidR="00E234EE" w:rsidRPr="00EA719E" w14:paraId="7CD16C86" w14:textId="77777777">
      <w:pPr>
        <w:pStyle w:val="FootnoteText"/>
      </w:pPr>
      <w:r w:rsidRPr="00EA719E">
        <w:rPr>
          <w:rStyle w:val="FootnoteReference"/>
        </w:rPr>
        <w:footnoteRef/>
      </w:r>
      <w:r w:rsidRPr="00EA719E">
        <w:t xml:space="preserve"> </w:t>
      </w:r>
      <w:r w:rsidRPr="00EA719E">
        <w:rPr>
          <w:i/>
          <w:iCs/>
        </w:rPr>
        <w:t xml:space="preserve">See </w:t>
      </w:r>
      <w:r w:rsidRPr="00EA719E">
        <w:t>47 CFR § 1.925(b)(3)(i) (permitting waiver if the underlying purpose of the rule(s) would not be served or would be frustrated by application to the instant case, and if waiver is in the public interest).</w:t>
      </w:r>
    </w:p>
  </w:footnote>
  <w:footnote w:id="23">
    <w:p w:rsidR="00527197" w:rsidRPr="00EA719E" w:rsidP="00527197" w14:paraId="093D41D3" w14:textId="77777777">
      <w:pPr>
        <w:pStyle w:val="FootnoteText"/>
      </w:pPr>
      <w:r w:rsidRPr="00EA719E">
        <w:rPr>
          <w:rStyle w:val="FootnoteReference"/>
        </w:rPr>
        <w:footnoteRef/>
      </w:r>
      <w:r w:rsidRPr="00EA719E">
        <w:t xml:space="preserve"> </w:t>
      </w:r>
      <w:r w:rsidRPr="00EA719E" w:rsidR="00AD40DE">
        <w:rPr>
          <w:i/>
          <w:iCs/>
        </w:rPr>
        <w:t>3.45 GHz Second R&amp;</w:t>
      </w:r>
      <w:r w:rsidRPr="00EA719E" w:rsidR="00AD40DE">
        <w:t>O</w:t>
      </w:r>
      <w:r w:rsidRPr="00EA719E">
        <w:t xml:space="preserve"> at 6016-17, paras. 80-81.  </w:t>
      </w:r>
    </w:p>
  </w:footnote>
  <w:footnote w:id="24">
    <w:p w:rsidR="00070DB1" w:rsidRPr="00EA719E" w:rsidP="00070DB1" w14:paraId="0E12F9EC" w14:textId="77777777">
      <w:pPr>
        <w:pStyle w:val="FootnoteText"/>
      </w:pPr>
      <w:r w:rsidRPr="00EA719E">
        <w:rPr>
          <w:rStyle w:val="FootnoteReference"/>
        </w:rPr>
        <w:footnoteRef/>
      </w:r>
      <w:r w:rsidRPr="00EA719E">
        <w:t xml:space="preserve"> </w:t>
      </w:r>
      <w:r w:rsidRPr="00EA719E" w:rsidR="00EA719E">
        <w:rPr>
          <w:i/>
          <w:iCs/>
        </w:rPr>
        <w:t>See</w:t>
      </w:r>
      <w:r w:rsidR="00EA719E">
        <w:t xml:space="preserve"> </w:t>
      </w:r>
      <w:r w:rsidRPr="00EA719E">
        <w:t>47 CFR § 27.53(l)(1).</w:t>
      </w:r>
    </w:p>
  </w:footnote>
  <w:footnote w:id="25">
    <w:p w:rsidR="00070DB1" w:rsidRPr="00EA719E" w:rsidP="00070DB1" w14:paraId="090A840A" w14:textId="77777777">
      <w:pPr>
        <w:pStyle w:val="FootnoteText"/>
      </w:pPr>
      <w:r w:rsidRPr="00EA719E">
        <w:rPr>
          <w:rStyle w:val="FootnoteReference"/>
        </w:rPr>
        <w:footnoteRef/>
      </w:r>
      <w:r w:rsidRPr="00EA719E">
        <w:t xml:space="preserve"> </w:t>
      </w:r>
      <w:r w:rsidRPr="00EA719E">
        <w:rPr>
          <w:i/>
          <w:iCs/>
        </w:rPr>
        <w:t>Ericsson Petition</w:t>
      </w:r>
      <w:r w:rsidRPr="00EA719E">
        <w:t xml:space="preserve"> at 8.</w:t>
      </w:r>
    </w:p>
  </w:footnote>
  <w:footnote w:id="26">
    <w:p w:rsidR="00BD05C4" w:rsidRPr="00EA719E" w:rsidP="00BD05C4" w14:paraId="73783B09" w14:textId="77777777">
      <w:pPr>
        <w:pStyle w:val="FootnoteText"/>
      </w:pPr>
      <w:r w:rsidRPr="00EA719E">
        <w:rPr>
          <w:rStyle w:val="FootnoteReference"/>
        </w:rPr>
        <w:footnoteRef/>
      </w:r>
      <w:r w:rsidRPr="00EA719E">
        <w:t xml:space="preserve"> </w:t>
      </w:r>
      <w:r w:rsidRPr="00EA719E">
        <w:rPr>
          <w:i/>
          <w:iCs/>
        </w:rPr>
        <w:t>Id.</w:t>
      </w:r>
      <w:r w:rsidRPr="00EA719E">
        <w:t xml:space="preserve"> at 5-</w:t>
      </w:r>
      <w:r w:rsidRPr="00EA719E" w:rsidR="00176EF6">
        <w:t>7</w:t>
      </w:r>
      <w:r w:rsidRPr="00EA719E">
        <w:t>.</w:t>
      </w:r>
    </w:p>
  </w:footnote>
  <w:footnote w:id="27">
    <w:p w:rsidR="00115E3C" w:rsidRPr="00EA719E" w14:paraId="667DCC71" w14:textId="77777777">
      <w:pPr>
        <w:pStyle w:val="FootnoteText"/>
      </w:pPr>
      <w:r w:rsidRPr="00EA719E">
        <w:rPr>
          <w:rStyle w:val="FootnoteReference"/>
        </w:rPr>
        <w:footnoteRef/>
      </w:r>
      <w:r w:rsidRPr="00EA719E">
        <w:t xml:space="preserve"> </w:t>
      </w:r>
      <w:r w:rsidRPr="00EA719E">
        <w:rPr>
          <w:i/>
          <w:iCs/>
        </w:rPr>
        <w:t>AT&amp;T Comments</w:t>
      </w:r>
      <w:r w:rsidRPr="00EA719E">
        <w:t xml:space="preserve"> at 2-3; </w:t>
      </w:r>
      <w:r w:rsidRPr="00EA719E">
        <w:rPr>
          <w:i/>
          <w:iCs/>
        </w:rPr>
        <w:t>T-Mobile Comments</w:t>
      </w:r>
      <w:r w:rsidRPr="00EA719E">
        <w:t xml:space="preserve"> at 4; </w:t>
      </w:r>
      <w:r w:rsidRPr="00EA719E">
        <w:rPr>
          <w:i/>
          <w:iCs/>
        </w:rPr>
        <w:t>U.S. Cellular</w:t>
      </w:r>
      <w:r w:rsidRPr="00EA719E">
        <w:t xml:space="preserve"> </w:t>
      </w:r>
      <w:r w:rsidRPr="00EA719E">
        <w:rPr>
          <w:i/>
          <w:iCs/>
        </w:rPr>
        <w:t>Comments</w:t>
      </w:r>
      <w:r w:rsidRPr="00EA719E">
        <w:t xml:space="preserve"> at 3; </w:t>
      </w:r>
      <w:r w:rsidRPr="00EA719E">
        <w:rPr>
          <w:i/>
          <w:iCs/>
        </w:rPr>
        <w:t>Samsung Comments</w:t>
      </w:r>
      <w:r w:rsidRPr="00EA719E">
        <w:t xml:space="preserve"> at 2.</w:t>
      </w:r>
    </w:p>
  </w:footnote>
  <w:footnote w:id="28">
    <w:p w:rsidR="004D48BA" w:rsidRPr="00EA719E" w14:paraId="0318F4C7" w14:textId="77777777">
      <w:pPr>
        <w:pStyle w:val="FootnoteText"/>
      </w:pPr>
      <w:r w:rsidRPr="00EA719E">
        <w:rPr>
          <w:rStyle w:val="FootnoteReference"/>
        </w:rPr>
        <w:footnoteRef/>
      </w:r>
      <w:r w:rsidRPr="00EA719E">
        <w:t xml:space="preserve"> </w:t>
      </w:r>
      <w:r w:rsidRPr="00EA719E">
        <w:rPr>
          <w:i/>
          <w:iCs/>
        </w:rPr>
        <w:t>3.45 GHz Second R&amp;O</w:t>
      </w:r>
      <w:r w:rsidRPr="00EA719E">
        <w:t xml:space="preserve"> at 5995, para. 16</w:t>
      </w:r>
    </w:p>
  </w:footnote>
  <w:footnote w:id="29">
    <w:p w:rsidR="000F0C30" w:rsidRPr="00EA719E" w14:paraId="6F733515" w14:textId="77777777">
      <w:pPr>
        <w:pStyle w:val="FootnoteText"/>
      </w:pPr>
      <w:r w:rsidRPr="00EA719E">
        <w:rPr>
          <w:rStyle w:val="FootnoteReference"/>
        </w:rPr>
        <w:footnoteRef/>
      </w:r>
      <w:r w:rsidRPr="00EA719E">
        <w:t xml:space="preserve"> </w:t>
      </w:r>
      <w:r w:rsidRPr="00EA719E" w:rsidR="00250A84">
        <w:rPr>
          <w:i/>
          <w:iCs/>
        </w:rPr>
        <w:t>See AT&amp;T Comments</w:t>
      </w:r>
      <w:r w:rsidRPr="00EA719E" w:rsidR="00250A84">
        <w:t xml:space="preserve"> at 1-2; </w:t>
      </w:r>
      <w:r w:rsidRPr="00EA719E" w:rsidR="00250A84">
        <w:rPr>
          <w:i/>
          <w:iCs/>
        </w:rPr>
        <w:t>Mavenir Comments</w:t>
      </w:r>
      <w:r w:rsidRPr="00EA719E" w:rsidR="00250A84">
        <w:t xml:space="preserve"> at 1-2; </w:t>
      </w:r>
      <w:r w:rsidRPr="00EA719E" w:rsidR="00250A84">
        <w:rPr>
          <w:i/>
          <w:iCs/>
        </w:rPr>
        <w:t>T-Mobile Comments</w:t>
      </w:r>
      <w:r w:rsidRPr="00EA719E" w:rsidR="00250A84">
        <w:t xml:space="preserve"> at 1-2.</w:t>
      </w:r>
    </w:p>
  </w:footnote>
  <w:footnote w:id="30">
    <w:p w:rsidR="00972845" w:rsidRPr="00EA719E" w14:paraId="31C848B7" w14:textId="77777777">
      <w:pPr>
        <w:pStyle w:val="FootnoteText"/>
      </w:pPr>
      <w:r w:rsidRPr="00EA719E">
        <w:rPr>
          <w:rStyle w:val="FootnoteReference"/>
        </w:rPr>
        <w:footnoteRef/>
      </w:r>
      <w:r w:rsidRPr="00EA719E">
        <w:t xml:space="preserve"> More radios result in increased tower loads, necessarily leading to less capacity.  </w:t>
      </w:r>
      <w:r w:rsidRPr="00EA719E">
        <w:rPr>
          <w:i/>
          <w:iCs/>
        </w:rPr>
        <w:t xml:space="preserve">See </w:t>
      </w:r>
      <w:r w:rsidRPr="00EA719E" w:rsidR="00AD40DE">
        <w:rPr>
          <w:i/>
          <w:iCs/>
        </w:rPr>
        <w:t>AT&amp;T Comments</w:t>
      </w:r>
      <w:r w:rsidRPr="00EA719E">
        <w:t xml:space="preserve"> at 1-2.  </w:t>
      </w:r>
      <w:r w:rsidRPr="00EA719E">
        <w:rPr>
          <w:i/>
          <w:iCs/>
        </w:rPr>
        <w:t xml:space="preserve">See also Ericsson Petition </w:t>
      </w:r>
      <w:r w:rsidRPr="00EA719E">
        <w:t xml:space="preserve">at 10 (noting that multiple radios will result in increasing the weight of equipment and associated space needed at a cell site); </w:t>
      </w:r>
      <w:r w:rsidRPr="00EA719E" w:rsidR="00AD40DE">
        <w:rPr>
          <w:i/>
          <w:iCs/>
        </w:rPr>
        <w:t>Mavenir Comments</w:t>
      </w:r>
      <w:r w:rsidRPr="00EA719E">
        <w:t xml:space="preserve"> at 1-2 (noting that two radios increase size, weight, and cost).</w:t>
      </w:r>
    </w:p>
  </w:footnote>
  <w:footnote w:id="31">
    <w:p w:rsidR="00972845" w:rsidRPr="00EA719E" w14:paraId="6B9A560A" w14:textId="77777777">
      <w:pPr>
        <w:pStyle w:val="FootnoteText"/>
      </w:pPr>
      <w:r w:rsidRPr="00EA719E">
        <w:rPr>
          <w:rStyle w:val="FootnoteReference"/>
        </w:rPr>
        <w:footnoteRef/>
      </w:r>
      <w:r w:rsidRPr="00EA719E">
        <w:t xml:space="preserve"> </w:t>
      </w:r>
      <w:r w:rsidRPr="00EA719E" w:rsidR="00BF253F">
        <w:rPr>
          <w:i/>
          <w:iCs/>
        </w:rPr>
        <w:t>AT&amp;T Comments</w:t>
      </w:r>
      <w:r w:rsidRPr="00EA719E" w:rsidR="00BF253F">
        <w:t xml:space="preserve"> at 2</w:t>
      </w:r>
      <w:r w:rsidRPr="00EA719E" w:rsidR="00025E90">
        <w:t xml:space="preserve">; </w:t>
      </w:r>
      <w:r w:rsidRPr="00EA719E" w:rsidR="00025E90">
        <w:rPr>
          <w:i/>
          <w:iCs/>
        </w:rPr>
        <w:t>T-Mobile Comments</w:t>
      </w:r>
      <w:r w:rsidRPr="00EA719E" w:rsidR="00025E90">
        <w:t xml:space="preserve"> at 1-2.</w:t>
      </w:r>
    </w:p>
  </w:footnote>
  <w:footnote w:id="32">
    <w:p w:rsidR="00B33433" w:rsidRPr="00EA719E" w14:paraId="1AE3BB5D" w14:textId="77777777">
      <w:pPr>
        <w:pStyle w:val="FootnoteText"/>
      </w:pPr>
      <w:r w:rsidRPr="00EA719E">
        <w:rPr>
          <w:rStyle w:val="FootnoteReference"/>
        </w:rPr>
        <w:footnoteRef/>
      </w:r>
      <w:r w:rsidRPr="00EA719E">
        <w:t xml:space="preserve"> </w:t>
      </w:r>
      <w:r w:rsidRPr="00EA719E">
        <w:rPr>
          <w:i/>
          <w:iCs/>
        </w:rPr>
        <w:t>Samsung Comments</w:t>
      </w:r>
      <w:r w:rsidRPr="00EA719E">
        <w:t xml:space="preserve"> at 3; </w:t>
      </w:r>
      <w:r w:rsidRPr="00EA719E">
        <w:rPr>
          <w:i/>
          <w:iCs/>
        </w:rPr>
        <w:t>T-Mobile Comments</w:t>
      </w:r>
      <w:r w:rsidRPr="00EA719E">
        <w:t xml:space="preserve"> at 3-4.</w:t>
      </w:r>
    </w:p>
  </w:footnote>
  <w:footnote w:id="33">
    <w:p w:rsidR="00250A84" w:rsidRPr="00EA719E" w14:paraId="2D97B0D5" w14:textId="77777777">
      <w:pPr>
        <w:pStyle w:val="FootnoteText"/>
      </w:pPr>
      <w:r w:rsidRPr="00EA719E">
        <w:rPr>
          <w:rStyle w:val="FootnoteReference"/>
        </w:rPr>
        <w:footnoteRef/>
      </w:r>
      <w:r w:rsidRPr="00EA719E">
        <w:t xml:space="preserve"> </w:t>
      </w:r>
      <w:r w:rsidRPr="00EA719E">
        <w:rPr>
          <w:i/>
          <w:iCs/>
        </w:rPr>
        <w:t>Ericsson Petition</w:t>
      </w:r>
      <w:r w:rsidRPr="00EA719E">
        <w:t xml:space="preserve"> at 10-12.</w:t>
      </w:r>
    </w:p>
  </w:footnote>
  <w:footnote w:id="34">
    <w:p w:rsidR="00646769" w:rsidRPr="00EA719E" w14:paraId="2F67B140" w14:textId="77777777">
      <w:pPr>
        <w:pStyle w:val="FootnoteText"/>
      </w:pPr>
      <w:r w:rsidRPr="00EA719E">
        <w:rPr>
          <w:rStyle w:val="FootnoteReference"/>
        </w:rPr>
        <w:footnoteRef/>
      </w:r>
      <w:r w:rsidRPr="00EA719E">
        <w:t xml:space="preserve"> </w:t>
      </w:r>
      <w:r w:rsidRPr="00EA719E">
        <w:rPr>
          <w:i/>
          <w:iCs/>
        </w:rPr>
        <w:t>See U.S. Cellular Comments</w:t>
      </w:r>
      <w:r w:rsidRPr="00EA719E" w:rsidR="00025E90">
        <w:t xml:space="preserve"> at 1-2</w:t>
      </w:r>
      <w:r w:rsidRPr="00EA719E">
        <w:t xml:space="preserve">; </w:t>
      </w:r>
      <w:r w:rsidRPr="00EA719E">
        <w:rPr>
          <w:i/>
          <w:iCs/>
        </w:rPr>
        <w:t>T-Mobile Comments</w:t>
      </w:r>
      <w:r w:rsidRPr="00EA719E">
        <w:t xml:space="preserve"> at 3-4; </w:t>
      </w:r>
      <w:r w:rsidRPr="00EA719E">
        <w:rPr>
          <w:i/>
          <w:iCs/>
        </w:rPr>
        <w:t>AT&amp;T Comments</w:t>
      </w:r>
      <w:r w:rsidRPr="00EA719E">
        <w:t xml:space="preserve"> at </w:t>
      </w:r>
      <w:r w:rsidRPr="00EA719E" w:rsidR="00361730">
        <w:t xml:space="preserve">2.  </w:t>
      </w:r>
    </w:p>
  </w:footnote>
  <w:footnote w:id="35">
    <w:p w:rsidR="00F24375" w:rsidRPr="00EA719E" w14:paraId="38079DDF" w14:textId="77777777">
      <w:pPr>
        <w:pStyle w:val="FootnoteText"/>
      </w:pPr>
      <w:r w:rsidRPr="00EA719E">
        <w:rPr>
          <w:rStyle w:val="FootnoteReference"/>
        </w:rPr>
        <w:footnoteRef/>
      </w:r>
      <w:r w:rsidRPr="00EA719E">
        <w:t xml:space="preserve"> </w:t>
      </w:r>
      <w:r w:rsidRPr="00EA719E">
        <w:rPr>
          <w:i/>
          <w:iCs/>
        </w:rPr>
        <w:t>Id.</w:t>
      </w:r>
    </w:p>
  </w:footnote>
  <w:footnote w:id="36">
    <w:p w:rsidR="00F24375" w:rsidRPr="00EA719E" w14:paraId="174041A4" w14:textId="77777777">
      <w:pPr>
        <w:pStyle w:val="FootnoteText"/>
      </w:pPr>
      <w:r w:rsidRPr="00EA719E">
        <w:rPr>
          <w:rStyle w:val="FootnoteReference"/>
        </w:rPr>
        <w:footnoteRef/>
      </w:r>
      <w:r w:rsidRPr="00EA719E">
        <w:t xml:space="preserve"> </w:t>
      </w:r>
      <w:r w:rsidRPr="00EA719E">
        <w:rPr>
          <w:i/>
          <w:iCs/>
        </w:rPr>
        <w:t>Mavenir Comments</w:t>
      </w:r>
      <w:r w:rsidRPr="00EA719E">
        <w:t xml:space="preserve"> at 1-2; </w:t>
      </w:r>
      <w:r w:rsidRPr="00EA719E">
        <w:rPr>
          <w:i/>
          <w:iCs/>
        </w:rPr>
        <w:t>AT&amp;T Comments</w:t>
      </w:r>
      <w:r w:rsidRPr="00EA719E">
        <w:t xml:space="preserve"> at 2.</w:t>
      </w:r>
    </w:p>
  </w:footnote>
  <w:footnote w:id="37">
    <w:p w:rsidR="00EF7AC6" w:rsidRPr="00EA719E" w14:paraId="1722EAF3" w14:textId="77777777">
      <w:pPr>
        <w:pStyle w:val="FootnoteText"/>
      </w:pPr>
      <w:r w:rsidRPr="00EA719E">
        <w:rPr>
          <w:rStyle w:val="FootnoteReference"/>
        </w:rPr>
        <w:footnoteRef/>
      </w:r>
      <w:r w:rsidRPr="00EA719E">
        <w:t xml:space="preserve"> </w:t>
      </w:r>
      <w:r w:rsidRPr="00EA719E">
        <w:rPr>
          <w:i/>
          <w:iCs/>
        </w:rPr>
        <w:t>Ericsson Petition</w:t>
      </w:r>
      <w:r w:rsidRPr="00EA719E">
        <w:t xml:space="preserve"> at 12; </w:t>
      </w:r>
      <w:r w:rsidRPr="00EA719E">
        <w:rPr>
          <w:i/>
          <w:iCs/>
        </w:rPr>
        <w:t>T-Mobile Comments</w:t>
      </w:r>
      <w:r w:rsidRPr="00EA719E">
        <w:t xml:space="preserve"> at 1, 4.</w:t>
      </w:r>
    </w:p>
  </w:footnote>
  <w:footnote w:id="38">
    <w:p w:rsidR="004214E3" w:rsidRPr="00EA719E" w:rsidP="004214E3" w14:paraId="319C32DC" w14:textId="77777777">
      <w:pPr>
        <w:pStyle w:val="FootnoteText"/>
      </w:pPr>
      <w:r w:rsidRPr="00EA719E">
        <w:rPr>
          <w:rStyle w:val="FootnoteReference"/>
        </w:rPr>
        <w:footnoteRef/>
      </w:r>
      <w:r w:rsidRPr="00EA719E">
        <w:t xml:space="preserve"> 47 CFR § 27.</w:t>
      </w:r>
      <w:r w:rsidRPr="00BC1F08">
        <w:t>53(n)(1) (</w:t>
      </w:r>
      <w:r w:rsidRPr="00BC1F08" w:rsidR="00AD3EDD">
        <w:t>“</w:t>
      </w:r>
      <w:r w:rsidRPr="00BC1F08" w:rsidR="00AD3EDD">
        <w:rPr>
          <w:shd w:val="clear" w:color="auto" w:fill="FFFFFF"/>
        </w:rPr>
        <w:t xml:space="preserve">Notwithstanding the channel edge requirement of </w:t>
      </w:r>
      <w:r w:rsidR="00BC1F08">
        <w:rPr>
          <w:shd w:val="clear" w:color="auto" w:fill="FFFFFF"/>
        </w:rPr>
        <w:t>-</w:t>
      </w:r>
      <w:r w:rsidRPr="00BC1F08" w:rsidR="00AD3EDD">
        <w:rPr>
          <w:shd w:val="clear" w:color="auto" w:fill="FFFFFF"/>
        </w:rPr>
        <w:t xml:space="preserve">13 dBm per megahertz, for base station operations in the 3450-3550 MHz band, the conducted power of any emission below 3440 MHz or above 3560 MHz shall not exceed </w:t>
      </w:r>
      <w:r w:rsidR="00BC1F08">
        <w:rPr>
          <w:shd w:val="clear" w:color="auto" w:fill="FFFFFF"/>
        </w:rPr>
        <w:t>-</w:t>
      </w:r>
      <w:r w:rsidRPr="00BC1F08" w:rsidR="00AD3EDD">
        <w:rPr>
          <w:shd w:val="clear" w:color="auto" w:fill="FFFFFF"/>
        </w:rPr>
        <w:t xml:space="preserve">25 dBm/MHz, and the conducted power of emissions below 3430 MHz or above 3570 MHz shall not exceed </w:t>
      </w:r>
      <w:r w:rsidR="00BC1F08">
        <w:rPr>
          <w:shd w:val="clear" w:color="auto" w:fill="FFFFFF"/>
        </w:rPr>
        <w:t>-</w:t>
      </w:r>
      <w:r w:rsidRPr="00BC1F08" w:rsidR="00AD3EDD">
        <w:rPr>
          <w:shd w:val="clear" w:color="auto" w:fill="FFFFFF"/>
        </w:rPr>
        <w:t>40 dBm/MHz.”</w:t>
      </w:r>
      <w:r w:rsidRPr="00BC1F08">
        <w:rPr>
          <w:shd w:val="clear" w:color="auto" w:fill="FFFFFF"/>
        </w:rPr>
        <w:t xml:space="preserve">).    </w:t>
      </w:r>
    </w:p>
  </w:footnote>
  <w:footnote w:id="39">
    <w:p w:rsidR="00AD3EDD" w:rsidRPr="00EA719E" w14:paraId="5057FFCE" w14:textId="77777777">
      <w:pPr>
        <w:pStyle w:val="FootnoteText"/>
      </w:pPr>
      <w:r w:rsidRPr="00EA719E">
        <w:rPr>
          <w:rStyle w:val="FootnoteReference"/>
        </w:rPr>
        <w:footnoteRef/>
      </w:r>
      <w:r w:rsidRPr="00EA719E">
        <w:t xml:space="preserve"> </w:t>
      </w:r>
      <w:r w:rsidRPr="00EA719E" w:rsidR="00107F55">
        <w:t xml:space="preserve">These rules include the other OOBE limits referenced in this order.  </w:t>
      </w:r>
      <w:r w:rsidRPr="00EA719E">
        <w:rPr>
          <w:i/>
          <w:iCs/>
        </w:rPr>
        <w:t>See</w:t>
      </w:r>
      <w:r w:rsidRPr="00EA719E">
        <w:t xml:space="preserve"> 47 CFR § 27.53</w:t>
      </w:r>
      <w:r w:rsidRPr="00EA719E" w:rsidR="0096564D">
        <w:t xml:space="preserve">(l)(1), </w:t>
      </w:r>
      <w:r w:rsidRPr="00EA719E">
        <w:t>(n)(1)</w:t>
      </w:r>
    </w:p>
  </w:footnote>
  <w:footnote w:id="40">
    <w:p w:rsidR="00AC4FB9" w:rsidRPr="00EA719E" w14:paraId="5AFD7287" w14:textId="77777777">
      <w:pPr>
        <w:pStyle w:val="FootnoteText"/>
      </w:pPr>
      <w:r w:rsidRPr="00EA719E">
        <w:rPr>
          <w:rStyle w:val="FootnoteReference"/>
        </w:rPr>
        <w:footnoteRef/>
      </w:r>
      <w:r w:rsidRPr="00EA719E">
        <w:t xml:space="preserve"> </w:t>
      </w:r>
      <w:r w:rsidR="00921C67">
        <w:t xml:space="preserve">Although </w:t>
      </w:r>
      <w:r w:rsidRPr="00EA719E">
        <w:t xml:space="preserve">Petitioner represents that its proposed radio </w:t>
      </w:r>
      <w:r w:rsidR="00E80CB4">
        <w:t>would</w:t>
      </w:r>
      <w:r w:rsidRPr="00EA719E" w:rsidR="00E80CB4">
        <w:t xml:space="preserve"> </w:t>
      </w:r>
      <w:r w:rsidRPr="00EA719E">
        <w:t>not be capable o</w:t>
      </w:r>
      <w:r w:rsidR="004A65CD">
        <w:t>f</w:t>
      </w:r>
      <w:r w:rsidRPr="00EA719E">
        <w:t xml:space="preserve"> standalone 3.45 GHz operation</w:t>
      </w:r>
      <w:r w:rsidR="00921C67">
        <w:t xml:space="preserve"> (</w:t>
      </w:r>
      <w:r w:rsidRPr="00EA719E">
        <w:rPr>
          <w:i/>
          <w:iCs/>
        </w:rPr>
        <w:t>See Ericsson Petition</w:t>
      </w:r>
      <w:r w:rsidRPr="00EA719E">
        <w:t xml:space="preserve"> at 5</w:t>
      </w:r>
      <w:r w:rsidR="00921C67">
        <w:t>), this Waiver Order does not preclude such operation</w:t>
      </w:r>
      <w:r w:rsidRPr="00EA719E">
        <w:t>.</w:t>
      </w:r>
    </w:p>
  </w:footnote>
  <w:footnote w:id="41">
    <w:p w:rsidR="007050C0" w:rsidRPr="00EA719E" w:rsidP="007050C0" w14:paraId="481F8613" w14:textId="77777777">
      <w:pPr>
        <w:pStyle w:val="FootnoteText"/>
      </w:pPr>
      <w:r w:rsidRPr="00EA719E">
        <w:rPr>
          <w:rStyle w:val="FootnoteReference"/>
        </w:rPr>
        <w:footnoteRef/>
      </w:r>
      <w:r w:rsidRPr="00EA719E">
        <w:t xml:space="preserve"> </w:t>
      </w:r>
      <w:r w:rsidRPr="00EA719E">
        <w:rPr>
          <w:i/>
          <w:iCs/>
        </w:rPr>
        <w:t xml:space="preserve">See generally </w:t>
      </w:r>
      <w:r w:rsidRPr="00EA719E">
        <w:t>47 CFR pt. 2.</w:t>
      </w:r>
    </w:p>
  </w:footnote>
  <w:footnote w:id="42">
    <w:p w:rsidR="00BC1F08" w14:paraId="7C67695B" w14:textId="77777777">
      <w:pPr>
        <w:pStyle w:val="FootnoteText"/>
      </w:pPr>
      <w:r>
        <w:rPr>
          <w:rStyle w:val="FootnoteReference"/>
        </w:rPr>
        <w:footnoteRef/>
      </w:r>
      <w:r>
        <w:t xml:space="preserve"> </w:t>
      </w:r>
      <w:r w:rsidRPr="00EA719E">
        <w:rPr>
          <w:i/>
          <w:iCs/>
        </w:rPr>
        <w:t>Ericsson Petition</w:t>
      </w:r>
      <w:r w:rsidRPr="00EA719E">
        <w:t xml:space="preserve"> at 3; 47 CFR § 2.947(f).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10B6F" w14:paraId="23CC9941" w14:textId="77777777">
    <w:pPr>
      <w:pStyle w:val="Header"/>
      <w:rPr>
        <w:b w:val="0"/>
      </w:rPr>
    </w:pPr>
    <w:r>
      <w:tab/>
      <w:t>Federal Communications Commission</w:t>
    </w:r>
    <w:r>
      <w:tab/>
    </w:r>
    <w:r w:rsidR="009C1AB9">
      <w:t>DA 2</w:t>
    </w:r>
    <w:r w:rsidR="001D7BF6">
      <w:t>3-142</w:t>
    </w:r>
  </w:p>
  <w:p w:rsidR="0080662C" w14:paraId="7B2026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662C" w14:paraId="1B6A7A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10B6F" w14:paraId="355DDDE7"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C1AB9">
      <w:rPr>
        <w:spacing w:val="-2"/>
      </w:rPr>
      <w:t>DA 2</w:t>
    </w:r>
    <w:r w:rsidR="001D7BF6">
      <w:rPr>
        <w:spacing w:val="-2"/>
      </w:rPr>
      <w:t>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AC10C0"/>
    <w:multiLevelType w:val="hybridMultilevel"/>
    <w:tmpl w:val="A3E65E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2C556D"/>
    <w:multiLevelType w:val="hybridMultilevel"/>
    <w:tmpl w:val="C5B2CF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EC5C257A"/>
    <w:lvl w:ilvl="0">
      <w:start w:val="1"/>
      <w:numFmt w:val="decimal"/>
      <w:pStyle w:val="ParaNum"/>
      <w:lvlText w:val="%1."/>
      <w:lvlJc w:val="left"/>
      <w:pPr>
        <w:tabs>
          <w:tab w:val="num" w:pos="1080"/>
        </w:tabs>
        <w:ind w:left="0" w:firstLine="720"/>
      </w:pPr>
      <w:rPr>
        <w:color w:val="auto"/>
      </w:rPr>
    </w:lvl>
  </w:abstractNum>
  <w:abstractNum w:abstractNumId="8">
    <w:nsid w:val="696E741C"/>
    <w:multiLevelType w:val="hybridMultilevel"/>
    <w:tmpl w:val="78586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7135F7"/>
    <w:multiLevelType w:val="hybridMultilevel"/>
    <w:tmpl w:val="04B295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3C65344"/>
    <w:multiLevelType w:val="hybridMultilevel"/>
    <w:tmpl w:val="4ED4B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7640009"/>
    <w:multiLevelType w:val="hybridMultilevel"/>
    <w:tmpl w:val="6930C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10"/>
  </w:num>
  <w:num w:numId="9">
    <w:abstractNumId w:val="3"/>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C7"/>
    <w:rsid w:val="000010D8"/>
    <w:rsid w:val="000014B6"/>
    <w:rsid w:val="000017F9"/>
    <w:rsid w:val="00001BFB"/>
    <w:rsid w:val="00002B27"/>
    <w:rsid w:val="000034C5"/>
    <w:rsid w:val="00003CF6"/>
    <w:rsid w:val="00003E9D"/>
    <w:rsid w:val="00004C2C"/>
    <w:rsid w:val="00006A36"/>
    <w:rsid w:val="00006EB3"/>
    <w:rsid w:val="000070F4"/>
    <w:rsid w:val="0001002B"/>
    <w:rsid w:val="00010181"/>
    <w:rsid w:val="00010209"/>
    <w:rsid w:val="000106CF"/>
    <w:rsid w:val="00010A53"/>
    <w:rsid w:val="00012351"/>
    <w:rsid w:val="00012944"/>
    <w:rsid w:val="000146C3"/>
    <w:rsid w:val="00014701"/>
    <w:rsid w:val="00017115"/>
    <w:rsid w:val="00017E43"/>
    <w:rsid w:val="0002079B"/>
    <w:rsid w:val="00023B56"/>
    <w:rsid w:val="00024940"/>
    <w:rsid w:val="00025CEC"/>
    <w:rsid w:val="00025E09"/>
    <w:rsid w:val="00025E8C"/>
    <w:rsid w:val="00025E90"/>
    <w:rsid w:val="00026A6C"/>
    <w:rsid w:val="000302CB"/>
    <w:rsid w:val="0003363E"/>
    <w:rsid w:val="000351EF"/>
    <w:rsid w:val="00036039"/>
    <w:rsid w:val="00037F90"/>
    <w:rsid w:val="00042507"/>
    <w:rsid w:val="000428F2"/>
    <w:rsid w:val="00042BCA"/>
    <w:rsid w:val="00042CB4"/>
    <w:rsid w:val="0005014B"/>
    <w:rsid w:val="00052965"/>
    <w:rsid w:val="00053829"/>
    <w:rsid w:val="00054BAC"/>
    <w:rsid w:val="000559AD"/>
    <w:rsid w:val="00055D09"/>
    <w:rsid w:val="000565FD"/>
    <w:rsid w:val="00063AB8"/>
    <w:rsid w:val="00064E6F"/>
    <w:rsid w:val="00065791"/>
    <w:rsid w:val="00066EEA"/>
    <w:rsid w:val="00070DB1"/>
    <w:rsid w:val="0007466A"/>
    <w:rsid w:val="00074AF7"/>
    <w:rsid w:val="00074DE9"/>
    <w:rsid w:val="000775ED"/>
    <w:rsid w:val="00081A90"/>
    <w:rsid w:val="0008321A"/>
    <w:rsid w:val="00084368"/>
    <w:rsid w:val="00084C8B"/>
    <w:rsid w:val="000875BF"/>
    <w:rsid w:val="00090BB9"/>
    <w:rsid w:val="00090F3A"/>
    <w:rsid w:val="000912C9"/>
    <w:rsid w:val="00093609"/>
    <w:rsid w:val="00093B7A"/>
    <w:rsid w:val="00093F8C"/>
    <w:rsid w:val="0009507B"/>
    <w:rsid w:val="00096D8C"/>
    <w:rsid w:val="00096F0C"/>
    <w:rsid w:val="00097523"/>
    <w:rsid w:val="000A0992"/>
    <w:rsid w:val="000A09C3"/>
    <w:rsid w:val="000A4A38"/>
    <w:rsid w:val="000A5FC2"/>
    <w:rsid w:val="000A78D8"/>
    <w:rsid w:val="000B04F8"/>
    <w:rsid w:val="000B309F"/>
    <w:rsid w:val="000B34C2"/>
    <w:rsid w:val="000B480C"/>
    <w:rsid w:val="000B4B32"/>
    <w:rsid w:val="000B51CC"/>
    <w:rsid w:val="000C0B65"/>
    <w:rsid w:val="000C112B"/>
    <w:rsid w:val="000C1237"/>
    <w:rsid w:val="000C3378"/>
    <w:rsid w:val="000C597E"/>
    <w:rsid w:val="000C72B6"/>
    <w:rsid w:val="000C72EE"/>
    <w:rsid w:val="000C7687"/>
    <w:rsid w:val="000D1202"/>
    <w:rsid w:val="000D2E83"/>
    <w:rsid w:val="000D363B"/>
    <w:rsid w:val="000E05FE"/>
    <w:rsid w:val="000E1687"/>
    <w:rsid w:val="000E2C5F"/>
    <w:rsid w:val="000E3D42"/>
    <w:rsid w:val="000E4287"/>
    <w:rsid w:val="000E49CF"/>
    <w:rsid w:val="000E7333"/>
    <w:rsid w:val="000F0C30"/>
    <w:rsid w:val="000F2BFF"/>
    <w:rsid w:val="000F409E"/>
    <w:rsid w:val="000F471B"/>
    <w:rsid w:val="000F4DED"/>
    <w:rsid w:val="000F4DEF"/>
    <w:rsid w:val="000F64D5"/>
    <w:rsid w:val="00100966"/>
    <w:rsid w:val="0010099E"/>
    <w:rsid w:val="00102DF5"/>
    <w:rsid w:val="00102F1C"/>
    <w:rsid w:val="0010435C"/>
    <w:rsid w:val="001045FC"/>
    <w:rsid w:val="00104967"/>
    <w:rsid w:val="00104C09"/>
    <w:rsid w:val="0010610F"/>
    <w:rsid w:val="00106738"/>
    <w:rsid w:val="0010691D"/>
    <w:rsid w:val="00107F55"/>
    <w:rsid w:val="001108BB"/>
    <w:rsid w:val="00110A7C"/>
    <w:rsid w:val="00110D36"/>
    <w:rsid w:val="00115058"/>
    <w:rsid w:val="00115354"/>
    <w:rsid w:val="00115E3C"/>
    <w:rsid w:val="00120146"/>
    <w:rsid w:val="00120420"/>
    <w:rsid w:val="00120476"/>
    <w:rsid w:val="00120844"/>
    <w:rsid w:val="00121BCD"/>
    <w:rsid w:val="0012215C"/>
    <w:rsid w:val="00122BD5"/>
    <w:rsid w:val="00122C7D"/>
    <w:rsid w:val="00122E46"/>
    <w:rsid w:val="00123A65"/>
    <w:rsid w:val="00124BF8"/>
    <w:rsid w:val="0012587F"/>
    <w:rsid w:val="00130DE3"/>
    <w:rsid w:val="001311EC"/>
    <w:rsid w:val="00133F79"/>
    <w:rsid w:val="00135249"/>
    <w:rsid w:val="00135587"/>
    <w:rsid w:val="00136BB9"/>
    <w:rsid w:val="0013725B"/>
    <w:rsid w:val="001374BD"/>
    <w:rsid w:val="00137B72"/>
    <w:rsid w:val="00141357"/>
    <w:rsid w:val="0014522D"/>
    <w:rsid w:val="0014644E"/>
    <w:rsid w:val="00146591"/>
    <w:rsid w:val="00150581"/>
    <w:rsid w:val="00152222"/>
    <w:rsid w:val="00155C5B"/>
    <w:rsid w:val="00155CF7"/>
    <w:rsid w:val="00160411"/>
    <w:rsid w:val="00160A9D"/>
    <w:rsid w:val="0016192D"/>
    <w:rsid w:val="00165C7F"/>
    <w:rsid w:val="0016670A"/>
    <w:rsid w:val="00166ACA"/>
    <w:rsid w:val="0016796D"/>
    <w:rsid w:val="00171155"/>
    <w:rsid w:val="001717FD"/>
    <w:rsid w:val="0017329E"/>
    <w:rsid w:val="00173CE5"/>
    <w:rsid w:val="00175DD7"/>
    <w:rsid w:val="001764CC"/>
    <w:rsid w:val="00176EF6"/>
    <w:rsid w:val="00176F30"/>
    <w:rsid w:val="001776B3"/>
    <w:rsid w:val="00181F82"/>
    <w:rsid w:val="00182324"/>
    <w:rsid w:val="00183AEE"/>
    <w:rsid w:val="001858F3"/>
    <w:rsid w:val="00186B5F"/>
    <w:rsid w:val="001870BF"/>
    <w:rsid w:val="0018738B"/>
    <w:rsid w:val="00190E51"/>
    <w:rsid w:val="001920F8"/>
    <w:rsid w:val="001921B4"/>
    <w:rsid w:val="00192A39"/>
    <w:rsid w:val="00193302"/>
    <w:rsid w:val="00193C3B"/>
    <w:rsid w:val="00194A66"/>
    <w:rsid w:val="00195940"/>
    <w:rsid w:val="001A1044"/>
    <w:rsid w:val="001A162B"/>
    <w:rsid w:val="001A4EB9"/>
    <w:rsid w:val="001A5362"/>
    <w:rsid w:val="001A72DD"/>
    <w:rsid w:val="001A74DD"/>
    <w:rsid w:val="001A7A78"/>
    <w:rsid w:val="001B0A41"/>
    <w:rsid w:val="001B0E2C"/>
    <w:rsid w:val="001B1641"/>
    <w:rsid w:val="001B21F3"/>
    <w:rsid w:val="001B235B"/>
    <w:rsid w:val="001B4548"/>
    <w:rsid w:val="001B4958"/>
    <w:rsid w:val="001C02AF"/>
    <w:rsid w:val="001C1EB8"/>
    <w:rsid w:val="001C203E"/>
    <w:rsid w:val="001C228A"/>
    <w:rsid w:val="001C3AB3"/>
    <w:rsid w:val="001C3C86"/>
    <w:rsid w:val="001C6E8C"/>
    <w:rsid w:val="001C795C"/>
    <w:rsid w:val="001D0503"/>
    <w:rsid w:val="001D3026"/>
    <w:rsid w:val="001D45A7"/>
    <w:rsid w:val="001D4CFD"/>
    <w:rsid w:val="001D5D32"/>
    <w:rsid w:val="001D6BCF"/>
    <w:rsid w:val="001D7BF6"/>
    <w:rsid w:val="001D7E26"/>
    <w:rsid w:val="001E01CA"/>
    <w:rsid w:val="001E0EA8"/>
    <w:rsid w:val="001E178A"/>
    <w:rsid w:val="001E1B5A"/>
    <w:rsid w:val="001E4E6C"/>
    <w:rsid w:val="001E5588"/>
    <w:rsid w:val="001E6C04"/>
    <w:rsid w:val="001E7622"/>
    <w:rsid w:val="001E7ABA"/>
    <w:rsid w:val="001F41B2"/>
    <w:rsid w:val="001F5A5C"/>
    <w:rsid w:val="001F7B5E"/>
    <w:rsid w:val="00200897"/>
    <w:rsid w:val="00201D26"/>
    <w:rsid w:val="00203833"/>
    <w:rsid w:val="00205A71"/>
    <w:rsid w:val="00210243"/>
    <w:rsid w:val="002103A0"/>
    <w:rsid w:val="00210556"/>
    <w:rsid w:val="002110B0"/>
    <w:rsid w:val="00211129"/>
    <w:rsid w:val="002118CB"/>
    <w:rsid w:val="0021593B"/>
    <w:rsid w:val="00216297"/>
    <w:rsid w:val="00220E6F"/>
    <w:rsid w:val="00224AB7"/>
    <w:rsid w:val="00224FC0"/>
    <w:rsid w:val="002265C2"/>
    <w:rsid w:val="00232D26"/>
    <w:rsid w:val="00234B53"/>
    <w:rsid w:val="00236D45"/>
    <w:rsid w:val="00240EAB"/>
    <w:rsid w:val="002417E4"/>
    <w:rsid w:val="0024298A"/>
    <w:rsid w:val="00243080"/>
    <w:rsid w:val="00244352"/>
    <w:rsid w:val="00245D71"/>
    <w:rsid w:val="00246402"/>
    <w:rsid w:val="00247A97"/>
    <w:rsid w:val="00250A84"/>
    <w:rsid w:val="002512A7"/>
    <w:rsid w:val="002512AD"/>
    <w:rsid w:val="002519B4"/>
    <w:rsid w:val="00251FD0"/>
    <w:rsid w:val="00252244"/>
    <w:rsid w:val="00262D87"/>
    <w:rsid w:val="0026519E"/>
    <w:rsid w:val="002655D8"/>
    <w:rsid w:val="002656D4"/>
    <w:rsid w:val="00266140"/>
    <w:rsid w:val="002670B4"/>
    <w:rsid w:val="00271B57"/>
    <w:rsid w:val="00272A21"/>
    <w:rsid w:val="00272DF4"/>
    <w:rsid w:val="002733BB"/>
    <w:rsid w:val="00274F8D"/>
    <w:rsid w:val="00275CF5"/>
    <w:rsid w:val="002768B4"/>
    <w:rsid w:val="002778C9"/>
    <w:rsid w:val="00281087"/>
    <w:rsid w:val="00282B92"/>
    <w:rsid w:val="0028301F"/>
    <w:rsid w:val="00285017"/>
    <w:rsid w:val="002856AE"/>
    <w:rsid w:val="00285BE5"/>
    <w:rsid w:val="002866EA"/>
    <w:rsid w:val="002878AF"/>
    <w:rsid w:val="00292E05"/>
    <w:rsid w:val="00293993"/>
    <w:rsid w:val="00294F5D"/>
    <w:rsid w:val="0029509C"/>
    <w:rsid w:val="00296396"/>
    <w:rsid w:val="00296CAC"/>
    <w:rsid w:val="00297149"/>
    <w:rsid w:val="00297416"/>
    <w:rsid w:val="0029789E"/>
    <w:rsid w:val="002A0093"/>
    <w:rsid w:val="002A10DD"/>
    <w:rsid w:val="002A1489"/>
    <w:rsid w:val="002A2D2E"/>
    <w:rsid w:val="002A35C3"/>
    <w:rsid w:val="002A46AB"/>
    <w:rsid w:val="002A4C8B"/>
    <w:rsid w:val="002A67F2"/>
    <w:rsid w:val="002B4C0F"/>
    <w:rsid w:val="002C00E8"/>
    <w:rsid w:val="002C21A2"/>
    <w:rsid w:val="002C3E44"/>
    <w:rsid w:val="002C70C8"/>
    <w:rsid w:val="002C77BD"/>
    <w:rsid w:val="002C787D"/>
    <w:rsid w:val="002D651D"/>
    <w:rsid w:val="002D7097"/>
    <w:rsid w:val="002D7198"/>
    <w:rsid w:val="002E2AFA"/>
    <w:rsid w:val="002E3D57"/>
    <w:rsid w:val="002E7851"/>
    <w:rsid w:val="002F27D2"/>
    <w:rsid w:val="002F49AC"/>
    <w:rsid w:val="002F4D35"/>
    <w:rsid w:val="002F631B"/>
    <w:rsid w:val="0030093E"/>
    <w:rsid w:val="00300BAD"/>
    <w:rsid w:val="0030110E"/>
    <w:rsid w:val="00301200"/>
    <w:rsid w:val="00302996"/>
    <w:rsid w:val="00306CF5"/>
    <w:rsid w:val="00307C8D"/>
    <w:rsid w:val="00310A0C"/>
    <w:rsid w:val="00311959"/>
    <w:rsid w:val="0031198F"/>
    <w:rsid w:val="003136B4"/>
    <w:rsid w:val="003147D1"/>
    <w:rsid w:val="0031768A"/>
    <w:rsid w:val="0031768B"/>
    <w:rsid w:val="00317B6E"/>
    <w:rsid w:val="00320F83"/>
    <w:rsid w:val="0032124D"/>
    <w:rsid w:val="00321BE8"/>
    <w:rsid w:val="00322A9F"/>
    <w:rsid w:val="0032330D"/>
    <w:rsid w:val="003236F4"/>
    <w:rsid w:val="00326819"/>
    <w:rsid w:val="00327B16"/>
    <w:rsid w:val="00330060"/>
    <w:rsid w:val="00330714"/>
    <w:rsid w:val="00331FB6"/>
    <w:rsid w:val="00332624"/>
    <w:rsid w:val="00333681"/>
    <w:rsid w:val="0033567D"/>
    <w:rsid w:val="003413D1"/>
    <w:rsid w:val="003419E0"/>
    <w:rsid w:val="00342075"/>
    <w:rsid w:val="00343749"/>
    <w:rsid w:val="0034433D"/>
    <w:rsid w:val="0034499C"/>
    <w:rsid w:val="00346011"/>
    <w:rsid w:val="0035124C"/>
    <w:rsid w:val="00353D2D"/>
    <w:rsid w:val="00354B08"/>
    <w:rsid w:val="003563D8"/>
    <w:rsid w:val="0035669B"/>
    <w:rsid w:val="00356781"/>
    <w:rsid w:val="00357177"/>
    <w:rsid w:val="00360056"/>
    <w:rsid w:val="00361730"/>
    <w:rsid w:val="00361932"/>
    <w:rsid w:val="003625DF"/>
    <w:rsid w:val="003636F7"/>
    <w:rsid w:val="00363A2E"/>
    <w:rsid w:val="003660ED"/>
    <w:rsid w:val="00370710"/>
    <w:rsid w:val="0037159A"/>
    <w:rsid w:val="00371B98"/>
    <w:rsid w:val="00373455"/>
    <w:rsid w:val="00376A7A"/>
    <w:rsid w:val="00376B6F"/>
    <w:rsid w:val="00377A87"/>
    <w:rsid w:val="00382487"/>
    <w:rsid w:val="0038491F"/>
    <w:rsid w:val="00384C07"/>
    <w:rsid w:val="00387BE0"/>
    <w:rsid w:val="0039703F"/>
    <w:rsid w:val="0039716C"/>
    <w:rsid w:val="00397EC3"/>
    <w:rsid w:val="003A090D"/>
    <w:rsid w:val="003A25B6"/>
    <w:rsid w:val="003A3B13"/>
    <w:rsid w:val="003A6122"/>
    <w:rsid w:val="003A6CB1"/>
    <w:rsid w:val="003B0550"/>
    <w:rsid w:val="003B09FB"/>
    <w:rsid w:val="003B3F2D"/>
    <w:rsid w:val="003B4BF5"/>
    <w:rsid w:val="003B694F"/>
    <w:rsid w:val="003C05DA"/>
    <w:rsid w:val="003C1556"/>
    <w:rsid w:val="003C1A0C"/>
    <w:rsid w:val="003C1BB8"/>
    <w:rsid w:val="003C2070"/>
    <w:rsid w:val="003C5885"/>
    <w:rsid w:val="003C65D5"/>
    <w:rsid w:val="003C6810"/>
    <w:rsid w:val="003D1FA2"/>
    <w:rsid w:val="003D26FC"/>
    <w:rsid w:val="003D3C6B"/>
    <w:rsid w:val="003D3CDF"/>
    <w:rsid w:val="003D3E94"/>
    <w:rsid w:val="003D4341"/>
    <w:rsid w:val="003D7582"/>
    <w:rsid w:val="003D76A7"/>
    <w:rsid w:val="003E08C1"/>
    <w:rsid w:val="003E13C7"/>
    <w:rsid w:val="003E1431"/>
    <w:rsid w:val="003E2207"/>
    <w:rsid w:val="003E2857"/>
    <w:rsid w:val="003E3502"/>
    <w:rsid w:val="003E4F52"/>
    <w:rsid w:val="003E56FD"/>
    <w:rsid w:val="003E59A0"/>
    <w:rsid w:val="003E5DE0"/>
    <w:rsid w:val="003E722D"/>
    <w:rsid w:val="003F171C"/>
    <w:rsid w:val="003F2A9D"/>
    <w:rsid w:val="003F2D47"/>
    <w:rsid w:val="003F3CB1"/>
    <w:rsid w:val="003F4256"/>
    <w:rsid w:val="003F4302"/>
    <w:rsid w:val="003F5E8E"/>
    <w:rsid w:val="003F6CFB"/>
    <w:rsid w:val="00400756"/>
    <w:rsid w:val="0040083F"/>
    <w:rsid w:val="00401FF3"/>
    <w:rsid w:val="00402452"/>
    <w:rsid w:val="004026C0"/>
    <w:rsid w:val="0040498D"/>
    <w:rsid w:val="00404B8A"/>
    <w:rsid w:val="004069A3"/>
    <w:rsid w:val="0040704E"/>
    <w:rsid w:val="00407505"/>
    <w:rsid w:val="00410C10"/>
    <w:rsid w:val="00410C42"/>
    <w:rsid w:val="00410F29"/>
    <w:rsid w:val="00412412"/>
    <w:rsid w:val="004125FC"/>
    <w:rsid w:val="00412D55"/>
    <w:rsid w:val="00412FC5"/>
    <w:rsid w:val="00413B0B"/>
    <w:rsid w:val="00413F11"/>
    <w:rsid w:val="00415430"/>
    <w:rsid w:val="004172E6"/>
    <w:rsid w:val="004214E3"/>
    <w:rsid w:val="004219C5"/>
    <w:rsid w:val="00422276"/>
    <w:rsid w:val="004223D4"/>
    <w:rsid w:val="00422907"/>
    <w:rsid w:val="00422C5A"/>
    <w:rsid w:val="004238D0"/>
    <w:rsid w:val="00423EA7"/>
    <w:rsid w:val="004242F1"/>
    <w:rsid w:val="00424DE5"/>
    <w:rsid w:val="00427142"/>
    <w:rsid w:val="004306FB"/>
    <w:rsid w:val="00432979"/>
    <w:rsid w:val="004343BF"/>
    <w:rsid w:val="00434AF8"/>
    <w:rsid w:val="004412C0"/>
    <w:rsid w:val="00442407"/>
    <w:rsid w:val="00442B05"/>
    <w:rsid w:val="00445A00"/>
    <w:rsid w:val="0044649B"/>
    <w:rsid w:val="00446BE2"/>
    <w:rsid w:val="0045128E"/>
    <w:rsid w:val="00451B0F"/>
    <w:rsid w:val="00453E7F"/>
    <w:rsid w:val="004540EB"/>
    <w:rsid w:val="004542F9"/>
    <w:rsid w:val="004548E8"/>
    <w:rsid w:val="0045750F"/>
    <w:rsid w:val="004635FD"/>
    <w:rsid w:val="004635FE"/>
    <w:rsid w:val="0046475C"/>
    <w:rsid w:val="0046575B"/>
    <w:rsid w:val="004659EF"/>
    <w:rsid w:val="00466FD4"/>
    <w:rsid w:val="00470D17"/>
    <w:rsid w:val="00471363"/>
    <w:rsid w:val="00471D7B"/>
    <w:rsid w:val="00472506"/>
    <w:rsid w:val="00473C47"/>
    <w:rsid w:val="00474DBE"/>
    <w:rsid w:val="00476367"/>
    <w:rsid w:val="004800B7"/>
    <w:rsid w:val="00480DE9"/>
    <w:rsid w:val="004812BD"/>
    <w:rsid w:val="00482190"/>
    <w:rsid w:val="00483A03"/>
    <w:rsid w:val="0048413C"/>
    <w:rsid w:val="00484F89"/>
    <w:rsid w:val="00485144"/>
    <w:rsid w:val="004856AD"/>
    <w:rsid w:val="00485882"/>
    <w:rsid w:val="00485B36"/>
    <w:rsid w:val="004861DD"/>
    <w:rsid w:val="0048727C"/>
    <w:rsid w:val="004879FB"/>
    <w:rsid w:val="004902C1"/>
    <w:rsid w:val="004903A5"/>
    <w:rsid w:val="00491420"/>
    <w:rsid w:val="004916CB"/>
    <w:rsid w:val="004917F3"/>
    <w:rsid w:val="00492D76"/>
    <w:rsid w:val="0049366A"/>
    <w:rsid w:val="00493A6D"/>
    <w:rsid w:val="004958CA"/>
    <w:rsid w:val="004A4E50"/>
    <w:rsid w:val="004A5DDA"/>
    <w:rsid w:val="004A65CD"/>
    <w:rsid w:val="004B0745"/>
    <w:rsid w:val="004B08A1"/>
    <w:rsid w:val="004B1F9C"/>
    <w:rsid w:val="004B2B0E"/>
    <w:rsid w:val="004B4897"/>
    <w:rsid w:val="004B5956"/>
    <w:rsid w:val="004B6D12"/>
    <w:rsid w:val="004B7982"/>
    <w:rsid w:val="004C1B98"/>
    <w:rsid w:val="004C2EE3"/>
    <w:rsid w:val="004C34BF"/>
    <w:rsid w:val="004C4BFB"/>
    <w:rsid w:val="004C5B7A"/>
    <w:rsid w:val="004C6455"/>
    <w:rsid w:val="004C6916"/>
    <w:rsid w:val="004D0B24"/>
    <w:rsid w:val="004D0EDF"/>
    <w:rsid w:val="004D312C"/>
    <w:rsid w:val="004D32AD"/>
    <w:rsid w:val="004D3492"/>
    <w:rsid w:val="004D48BA"/>
    <w:rsid w:val="004D6DC7"/>
    <w:rsid w:val="004E099B"/>
    <w:rsid w:val="004E209C"/>
    <w:rsid w:val="004E2A5C"/>
    <w:rsid w:val="004E4A22"/>
    <w:rsid w:val="004E4EA8"/>
    <w:rsid w:val="004E690A"/>
    <w:rsid w:val="004E7459"/>
    <w:rsid w:val="004F038A"/>
    <w:rsid w:val="004F093D"/>
    <w:rsid w:val="004F1657"/>
    <w:rsid w:val="004F1AE2"/>
    <w:rsid w:val="004F46FB"/>
    <w:rsid w:val="005017E4"/>
    <w:rsid w:val="0050395D"/>
    <w:rsid w:val="00506E25"/>
    <w:rsid w:val="00511968"/>
    <w:rsid w:val="00511BB4"/>
    <w:rsid w:val="00512D65"/>
    <w:rsid w:val="00513501"/>
    <w:rsid w:val="005143F9"/>
    <w:rsid w:val="00514DC9"/>
    <w:rsid w:val="0051643B"/>
    <w:rsid w:val="00516E81"/>
    <w:rsid w:val="00520A48"/>
    <w:rsid w:val="00521E3A"/>
    <w:rsid w:val="00523360"/>
    <w:rsid w:val="005233C1"/>
    <w:rsid w:val="00523CCB"/>
    <w:rsid w:val="00526080"/>
    <w:rsid w:val="00527197"/>
    <w:rsid w:val="00530436"/>
    <w:rsid w:val="0053047B"/>
    <w:rsid w:val="0053091A"/>
    <w:rsid w:val="0053134D"/>
    <w:rsid w:val="0053201C"/>
    <w:rsid w:val="0053205D"/>
    <w:rsid w:val="0053376A"/>
    <w:rsid w:val="00534500"/>
    <w:rsid w:val="00535209"/>
    <w:rsid w:val="005372A8"/>
    <w:rsid w:val="0053769B"/>
    <w:rsid w:val="00537751"/>
    <w:rsid w:val="0054183C"/>
    <w:rsid w:val="00542510"/>
    <w:rsid w:val="00542822"/>
    <w:rsid w:val="00542E1B"/>
    <w:rsid w:val="005459DC"/>
    <w:rsid w:val="00546BEC"/>
    <w:rsid w:val="00552520"/>
    <w:rsid w:val="00552599"/>
    <w:rsid w:val="00555765"/>
    <w:rsid w:val="00555AB2"/>
    <w:rsid w:val="00555B34"/>
    <w:rsid w:val="00555E82"/>
    <w:rsid w:val="0055614C"/>
    <w:rsid w:val="0055650B"/>
    <w:rsid w:val="005614B8"/>
    <w:rsid w:val="005618EF"/>
    <w:rsid w:val="00562760"/>
    <w:rsid w:val="00562A54"/>
    <w:rsid w:val="00563215"/>
    <w:rsid w:val="005652ED"/>
    <w:rsid w:val="00565DC3"/>
    <w:rsid w:val="0056659B"/>
    <w:rsid w:val="00566D06"/>
    <w:rsid w:val="00567F69"/>
    <w:rsid w:val="00571195"/>
    <w:rsid w:val="00573DC4"/>
    <w:rsid w:val="00574427"/>
    <w:rsid w:val="00575FA8"/>
    <w:rsid w:val="005775E7"/>
    <w:rsid w:val="00577D44"/>
    <w:rsid w:val="00577FA2"/>
    <w:rsid w:val="0058097E"/>
    <w:rsid w:val="005810AF"/>
    <w:rsid w:val="00582E97"/>
    <w:rsid w:val="00583604"/>
    <w:rsid w:val="00585591"/>
    <w:rsid w:val="0058769F"/>
    <w:rsid w:val="00587C7A"/>
    <w:rsid w:val="005911DA"/>
    <w:rsid w:val="00591352"/>
    <w:rsid w:val="00592CE4"/>
    <w:rsid w:val="00594FA5"/>
    <w:rsid w:val="00596543"/>
    <w:rsid w:val="00597C64"/>
    <w:rsid w:val="00597CF5"/>
    <w:rsid w:val="00597EE4"/>
    <w:rsid w:val="005A078A"/>
    <w:rsid w:val="005A0C28"/>
    <w:rsid w:val="005A543F"/>
    <w:rsid w:val="005A6855"/>
    <w:rsid w:val="005A6AED"/>
    <w:rsid w:val="005B2094"/>
    <w:rsid w:val="005B38A5"/>
    <w:rsid w:val="005B4168"/>
    <w:rsid w:val="005B41B2"/>
    <w:rsid w:val="005C0180"/>
    <w:rsid w:val="005C0DEC"/>
    <w:rsid w:val="005C104F"/>
    <w:rsid w:val="005C15C2"/>
    <w:rsid w:val="005C3965"/>
    <w:rsid w:val="005C52BB"/>
    <w:rsid w:val="005C6935"/>
    <w:rsid w:val="005C69F7"/>
    <w:rsid w:val="005D10D2"/>
    <w:rsid w:val="005D30DD"/>
    <w:rsid w:val="005D445A"/>
    <w:rsid w:val="005E0672"/>
    <w:rsid w:val="005E13A6"/>
    <w:rsid w:val="005E14C2"/>
    <w:rsid w:val="005E4E2B"/>
    <w:rsid w:val="005E54A5"/>
    <w:rsid w:val="005E5714"/>
    <w:rsid w:val="005E6EA4"/>
    <w:rsid w:val="005E7C0F"/>
    <w:rsid w:val="005F1AC2"/>
    <w:rsid w:val="005F2671"/>
    <w:rsid w:val="005F361B"/>
    <w:rsid w:val="005F5A85"/>
    <w:rsid w:val="005F6A76"/>
    <w:rsid w:val="005F71C9"/>
    <w:rsid w:val="006035F1"/>
    <w:rsid w:val="00603BEA"/>
    <w:rsid w:val="006053DB"/>
    <w:rsid w:val="00605A9F"/>
    <w:rsid w:val="00607266"/>
    <w:rsid w:val="0060773B"/>
    <w:rsid w:val="00607BA5"/>
    <w:rsid w:val="0061071A"/>
    <w:rsid w:val="0061180A"/>
    <w:rsid w:val="00615246"/>
    <w:rsid w:val="00615E5D"/>
    <w:rsid w:val="00616D3E"/>
    <w:rsid w:val="0062023F"/>
    <w:rsid w:val="006207A1"/>
    <w:rsid w:val="00621EBF"/>
    <w:rsid w:val="00621F7D"/>
    <w:rsid w:val="00622E38"/>
    <w:rsid w:val="00623876"/>
    <w:rsid w:val="00624800"/>
    <w:rsid w:val="006250E7"/>
    <w:rsid w:val="00626EB6"/>
    <w:rsid w:val="0063053F"/>
    <w:rsid w:val="006360D5"/>
    <w:rsid w:val="00636593"/>
    <w:rsid w:val="0063756F"/>
    <w:rsid w:val="00637BA2"/>
    <w:rsid w:val="00640000"/>
    <w:rsid w:val="006405E2"/>
    <w:rsid w:val="00640F6C"/>
    <w:rsid w:val="00643100"/>
    <w:rsid w:val="00646769"/>
    <w:rsid w:val="006474D0"/>
    <w:rsid w:val="00647C33"/>
    <w:rsid w:val="00651207"/>
    <w:rsid w:val="00651290"/>
    <w:rsid w:val="006534B8"/>
    <w:rsid w:val="00655D03"/>
    <w:rsid w:val="00656E75"/>
    <w:rsid w:val="00656F01"/>
    <w:rsid w:val="00657406"/>
    <w:rsid w:val="00660294"/>
    <w:rsid w:val="00662615"/>
    <w:rsid w:val="00662FBE"/>
    <w:rsid w:val="00663358"/>
    <w:rsid w:val="00665AB1"/>
    <w:rsid w:val="0067231A"/>
    <w:rsid w:val="00672F99"/>
    <w:rsid w:val="0067521E"/>
    <w:rsid w:val="006774E0"/>
    <w:rsid w:val="006806BE"/>
    <w:rsid w:val="00681861"/>
    <w:rsid w:val="00682057"/>
    <w:rsid w:val="006822F0"/>
    <w:rsid w:val="00683388"/>
    <w:rsid w:val="006834D1"/>
    <w:rsid w:val="00683F84"/>
    <w:rsid w:val="00684B75"/>
    <w:rsid w:val="00685021"/>
    <w:rsid w:val="00685359"/>
    <w:rsid w:val="00685D3E"/>
    <w:rsid w:val="006937A1"/>
    <w:rsid w:val="00693974"/>
    <w:rsid w:val="00694D6A"/>
    <w:rsid w:val="006959E5"/>
    <w:rsid w:val="006961DC"/>
    <w:rsid w:val="00696C5D"/>
    <w:rsid w:val="00697063"/>
    <w:rsid w:val="006A1C4E"/>
    <w:rsid w:val="006A1F54"/>
    <w:rsid w:val="006A232A"/>
    <w:rsid w:val="006A337D"/>
    <w:rsid w:val="006A4AA6"/>
    <w:rsid w:val="006A4E56"/>
    <w:rsid w:val="006A64BD"/>
    <w:rsid w:val="006A6A81"/>
    <w:rsid w:val="006B0987"/>
    <w:rsid w:val="006B15B5"/>
    <w:rsid w:val="006B2905"/>
    <w:rsid w:val="006B2BBB"/>
    <w:rsid w:val="006B3CF9"/>
    <w:rsid w:val="006B52B5"/>
    <w:rsid w:val="006B68F7"/>
    <w:rsid w:val="006C1903"/>
    <w:rsid w:val="006C32B2"/>
    <w:rsid w:val="006C35CC"/>
    <w:rsid w:val="006C385B"/>
    <w:rsid w:val="006C498C"/>
    <w:rsid w:val="006C70E1"/>
    <w:rsid w:val="006C72F1"/>
    <w:rsid w:val="006C7A56"/>
    <w:rsid w:val="006D06E9"/>
    <w:rsid w:val="006D15AA"/>
    <w:rsid w:val="006D183B"/>
    <w:rsid w:val="006D1FAB"/>
    <w:rsid w:val="006D2806"/>
    <w:rsid w:val="006D2F68"/>
    <w:rsid w:val="006D36DF"/>
    <w:rsid w:val="006D39CB"/>
    <w:rsid w:val="006D5B37"/>
    <w:rsid w:val="006D6FA5"/>
    <w:rsid w:val="006E2353"/>
    <w:rsid w:val="006E2F85"/>
    <w:rsid w:val="006E3D00"/>
    <w:rsid w:val="006F11A5"/>
    <w:rsid w:val="006F27FE"/>
    <w:rsid w:val="006F30F6"/>
    <w:rsid w:val="006F39DC"/>
    <w:rsid w:val="006F4EAF"/>
    <w:rsid w:val="006F6173"/>
    <w:rsid w:val="006F7393"/>
    <w:rsid w:val="0070019E"/>
    <w:rsid w:val="00700800"/>
    <w:rsid w:val="0070224F"/>
    <w:rsid w:val="007036E6"/>
    <w:rsid w:val="007050C0"/>
    <w:rsid w:val="007058A4"/>
    <w:rsid w:val="00707FD0"/>
    <w:rsid w:val="007115F7"/>
    <w:rsid w:val="0071338A"/>
    <w:rsid w:val="00714BFB"/>
    <w:rsid w:val="00715F06"/>
    <w:rsid w:val="007163C9"/>
    <w:rsid w:val="0072004B"/>
    <w:rsid w:val="00720594"/>
    <w:rsid w:val="00721134"/>
    <w:rsid w:val="00722439"/>
    <w:rsid w:val="0072285A"/>
    <w:rsid w:val="00722AED"/>
    <w:rsid w:val="0072315F"/>
    <w:rsid w:val="00725947"/>
    <w:rsid w:val="00731CF1"/>
    <w:rsid w:val="007322F0"/>
    <w:rsid w:val="00734345"/>
    <w:rsid w:val="00736D57"/>
    <w:rsid w:val="0073766C"/>
    <w:rsid w:val="00737AAA"/>
    <w:rsid w:val="00740E86"/>
    <w:rsid w:val="00742EA7"/>
    <w:rsid w:val="007447B5"/>
    <w:rsid w:val="00745CFB"/>
    <w:rsid w:val="00750504"/>
    <w:rsid w:val="00755303"/>
    <w:rsid w:val="007625A2"/>
    <w:rsid w:val="007629F9"/>
    <w:rsid w:val="00762D84"/>
    <w:rsid w:val="00762F01"/>
    <w:rsid w:val="00762F5F"/>
    <w:rsid w:val="00763019"/>
    <w:rsid w:val="007631D2"/>
    <w:rsid w:val="007642B2"/>
    <w:rsid w:val="00764A0E"/>
    <w:rsid w:val="00767A34"/>
    <w:rsid w:val="007714A3"/>
    <w:rsid w:val="00771AE6"/>
    <w:rsid w:val="00773B35"/>
    <w:rsid w:val="00774D51"/>
    <w:rsid w:val="00775165"/>
    <w:rsid w:val="00777BD6"/>
    <w:rsid w:val="0078049C"/>
    <w:rsid w:val="007808EA"/>
    <w:rsid w:val="00785689"/>
    <w:rsid w:val="00786C62"/>
    <w:rsid w:val="00787703"/>
    <w:rsid w:val="00790024"/>
    <w:rsid w:val="0079294B"/>
    <w:rsid w:val="00794B35"/>
    <w:rsid w:val="00795A6D"/>
    <w:rsid w:val="00796399"/>
    <w:rsid w:val="0079754B"/>
    <w:rsid w:val="007A0D11"/>
    <w:rsid w:val="007A1DE3"/>
    <w:rsid w:val="007A1E6D"/>
    <w:rsid w:val="007A30D3"/>
    <w:rsid w:val="007A3169"/>
    <w:rsid w:val="007A39D9"/>
    <w:rsid w:val="007A5A21"/>
    <w:rsid w:val="007B0EB2"/>
    <w:rsid w:val="007B24D2"/>
    <w:rsid w:val="007B2C05"/>
    <w:rsid w:val="007B6A1C"/>
    <w:rsid w:val="007C00F1"/>
    <w:rsid w:val="007C1C1C"/>
    <w:rsid w:val="007C1CF3"/>
    <w:rsid w:val="007C31ED"/>
    <w:rsid w:val="007C4605"/>
    <w:rsid w:val="007C4EB4"/>
    <w:rsid w:val="007C4EC2"/>
    <w:rsid w:val="007C6454"/>
    <w:rsid w:val="007D007E"/>
    <w:rsid w:val="007D1548"/>
    <w:rsid w:val="007D1773"/>
    <w:rsid w:val="007D2EEF"/>
    <w:rsid w:val="007D623E"/>
    <w:rsid w:val="007E0142"/>
    <w:rsid w:val="007E05BA"/>
    <w:rsid w:val="007E1494"/>
    <w:rsid w:val="007E345D"/>
    <w:rsid w:val="007E39CA"/>
    <w:rsid w:val="007E4A2B"/>
    <w:rsid w:val="007E528C"/>
    <w:rsid w:val="007F1BEB"/>
    <w:rsid w:val="007F5775"/>
    <w:rsid w:val="008004E0"/>
    <w:rsid w:val="00800A3D"/>
    <w:rsid w:val="0080199D"/>
    <w:rsid w:val="00803630"/>
    <w:rsid w:val="00803E0D"/>
    <w:rsid w:val="00804046"/>
    <w:rsid w:val="008050DE"/>
    <w:rsid w:val="0080662C"/>
    <w:rsid w:val="008104E2"/>
    <w:rsid w:val="00810B6F"/>
    <w:rsid w:val="00812028"/>
    <w:rsid w:val="0081352F"/>
    <w:rsid w:val="00813EE2"/>
    <w:rsid w:val="008140C5"/>
    <w:rsid w:val="008157A2"/>
    <w:rsid w:val="00816F7E"/>
    <w:rsid w:val="00817C72"/>
    <w:rsid w:val="00820D05"/>
    <w:rsid w:val="00822868"/>
    <w:rsid w:val="00822CE0"/>
    <w:rsid w:val="00823F94"/>
    <w:rsid w:val="0082448E"/>
    <w:rsid w:val="00824657"/>
    <w:rsid w:val="00824890"/>
    <w:rsid w:val="00824C36"/>
    <w:rsid w:val="00825644"/>
    <w:rsid w:val="00825E72"/>
    <w:rsid w:val="00827A94"/>
    <w:rsid w:val="008308B2"/>
    <w:rsid w:val="00830FDD"/>
    <w:rsid w:val="00836903"/>
    <w:rsid w:val="00837793"/>
    <w:rsid w:val="0083787A"/>
    <w:rsid w:val="00837C10"/>
    <w:rsid w:val="00841AB1"/>
    <w:rsid w:val="00842C2C"/>
    <w:rsid w:val="00843E39"/>
    <w:rsid w:val="00843E51"/>
    <w:rsid w:val="00843FDD"/>
    <w:rsid w:val="008444A3"/>
    <w:rsid w:val="008458D5"/>
    <w:rsid w:val="00846BD9"/>
    <w:rsid w:val="00846F21"/>
    <w:rsid w:val="00852934"/>
    <w:rsid w:val="00853AF2"/>
    <w:rsid w:val="0085553A"/>
    <w:rsid w:val="0085668D"/>
    <w:rsid w:val="008613BD"/>
    <w:rsid w:val="008656E6"/>
    <w:rsid w:val="008711FD"/>
    <w:rsid w:val="00872233"/>
    <w:rsid w:val="008723BC"/>
    <w:rsid w:val="00872837"/>
    <w:rsid w:val="0087494A"/>
    <w:rsid w:val="00874BBD"/>
    <w:rsid w:val="00874DFA"/>
    <w:rsid w:val="00877BF4"/>
    <w:rsid w:val="00880F2A"/>
    <w:rsid w:val="00882414"/>
    <w:rsid w:val="00883340"/>
    <w:rsid w:val="008853E4"/>
    <w:rsid w:val="00886106"/>
    <w:rsid w:val="008861FB"/>
    <w:rsid w:val="00886D8F"/>
    <w:rsid w:val="0088720E"/>
    <w:rsid w:val="008901FD"/>
    <w:rsid w:val="0089075B"/>
    <w:rsid w:val="00893B52"/>
    <w:rsid w:val="00895EBA"/>
    <w:rsid w:val="00896548"/>
    <w:rsid w:val="00897F9E"/>
    <w:rsid w:val="008A18F9"/>
    <w:rsid w:val="008A1FD2"/>
    <w:rsid w:val="008A2BEA"/>
    <w:rsid w:val="008A437F"/>
    <w:rsid w:val="008A4B6B"/>
    <w:rsid w:val="008A69D6"/>
    <w:rsid w:val="008A7E28"/>
    <w:rsid w:val="008B30BE"/>
    <w:rsid w:val="008B596F"/>
    <w:rsid w:val="008B645D"/>
    <w:rsid w:val="008B6D1B"/>
    <w:rsid w:val="008C03D9"/>
    <w:rsid w:val="008C4A47"/>
    <w:rsid w:val="008C4BF0"/>
    <w:rsid w:val="008C5301"/>
    <w:rsid w:val="008C5FF6"/>
    <w:rsid w:val="008C68F1"/>
    <w:rsid w:val="008C71D0"/>
    <w:rsid w:val="008C7D1E"/>
    <w:rsid w:val="008C7FB7"/>
    <w:rsid w:val="008D0C0C"/>
    <w:rsid w:val="008D1465"/>
    <w:rsid w:val="008D17D5"/>
    <w:rsid w:val="008D28B8"/>
    <w:rsid w:val="008D6F08"/>
    <w:rsid w:val="008D70E2"/>
    <w:rsid w:val="008E08FB"/>
    <w:rsid w:val="008E64B1"/>
    <w:rsid w:val="008F00FA"/>
    <w:rsid w:val="008F109C"/>
    <w:rsid w:val="008F14F9"/>
    <w:rsid w:val="008F1ED2"/>
    <w:rsid w:val="008F3014"/>
    <w:rsid w:val="008F3F43"/>
    <w:rsid w:val="008F4253"/>
    <w:rsid w:val="008F50F3"/>
    <w:rsid w:val="008F6974"/>
    <w:rsid w:val="00900FC7"/>
    <w:rsid w:val="009013E0"/>
    <w:rsid w:val="00902909"/>
    <w:rsid w:val="009049C4"/>
    <w:rsid w:val="00906E67"/>
    <w:rsid w:val="009070CB"/>
    <w:rsid w:val="00910C79"/>
    <w:rsid w:val="00910F45"/>
    <w:rsid w:val="009133CF"/>
    <w:rsid w:val="00913E62"/>
    <w:rsid w:val="0091546B"/>
    <w:rsid w:val="00917A58"/>
    <w:rsid w:val="009206A9"/>
    <w:rsid w:val="009217BA"/>
    <w:rsid w:val="00921803"/>
    <w:rsid w:val="00921A74"/>
    <w:rsid w:val="00921C67"/>
    <w:rsid w:val="009264E8"/>
    <w:rsid w:val="00926503"/>
    <w:rsid w:val="00930639"/>
    <w:rsid w:val="00932A18"/>
    <w:rsid w:val="00932DB3"/>
    <w:rsid w:val="00937B3A"/>
    <w:rsid w:val="00937C97"/>
    <w:rsid w:val="00940C01"/>
    <w:rsid w:val="0094121C"/>
    <w:rsid w:val="00944182"/>
    <w:rsid w:val="009459F5"/>
    <w:rsid w:val="00946841"/>
    <w:rsid w:val="009541F2"/>
    <w:rsid w:val="00954211"/>
    <w:rsid w:val="00954847"/>
    <w:rsid w:val="00955467"/>
    <w:rsid w:val="00955E8C"/>
    <w:rsid w:val="00956836"/>
    <w:rsid w:val="00957219"/>
    <w:rsid w:val="009601C7"/>
    <w:rsid w:val="00960FE6"/>
    <w:rsid w:val="00962690"/>
    <w:rsid w:val="00962BAD"/>
    <w:rsid w:val="00962DEA"/>
    <w:rsid w:val="00964507"/>
    <w:rsid w:val="0096564D"/>
    <w:rsid w:val="00966AC0"/>
    <w:rsid w:val="009670F1"/>
    <w:rsid w:val="009726D8"/>
    <w:rsid w:val="00972845"/>
    <w:rsid w:val="00972FEF"/>
    <w:rsid w:val="00973716"/>
    <w:rsid w:val="0097463C"/>
    <w:rsid w:val="00975163"/>
    <w:rsid w:val="00975342"/>
    <w:rsid w:val="0097724A"/>
    <w:rsid w:val="00977920"/>
    <w:rsid w:val="00982AD8"/>
    <w:rsid w:val="00982E24"/>
    <w:rsid w:val="009832FB"/>
    <w:rsid w:val="009839B1"/>
    <w:rsid w:val="009847BB"/>
    <w:rsid w:val="00985ACF"/>
    <w:rsid w:val="00985B97"/>
    <w:rsid w:val="00990820"/>
    <w:rsid w:val="009950C1"/>
    <w:rsid w:val="00996F50"/>
    <w:rsid w:val="00997613"/>
    <w:rsid w:val="00997E63"/>
    <w:rsid w:val="009A40E2"/>
    <w:rsid w:val="009A421E"/>
    <w:rsid w:val="009A4A82"/>
    <w:rsid w:val="009A65A9"/>
    <w:rsid w:val="009A76C7"/>
    <w:rsid w:val="009B2C45"/>
    <w:rsid w:val="009B2C5A"/>
    <w:rsid w:val="009B4156"/>
    <w:rsid w:val="009B419D"/>
    <w:rsid w:val="009C1AB9"/>
    <w:rsid w:val="009C226C"/>
    <w:rsid w:val="009C3A7E"/>
    <w:rsid w:val="009C3C82"/>
    <w:rsid w:val="009C633A"/>
    <w:rsid w:val="009C63EA"/>
    <w:rsid w:val="009D081D"/>
    <w:rsid w:val="009D1B82"/>
    <w:rsid w:val="009D1F92"/>
    <w:rsid w:val="009D2C4E"/>
    <w:rsid w:val="009D3FD3"/>
    <w:rsid w:val="009D46C9"/>
    <w:rsid w:val="009D7242"/>
    <w:rsid w:val="009D7308"/>
    <w:rsid w:val="009D7CFA"/>
    <w:rsid w:val="009E222E"/>
    <w:rsid w:val="009E2F66"/>
    <w:rsid w:val="009E3D73"/>
    <w:rsid w:val="009F02B2"/>
    <w:rsid w:val="009F16F7"/>
    <w:rsid w:val="009F1DF8"/>
    <w:rsid w:val="009F3877"/>
    <w:rsid w:val="009F3B48"/>
    <w:rsid w:val="009F66B6"/>
    <w:rsid w:val="009F76DB"/>
    <w:rsid w:val="00A0039E"/>
    <w:rsid w:val="00A01445"/>
    <w:rsid w:val="00A01753"/>
    <w:rsid w:val="00A01943"/>
    <w:rsid w:val="00A027BB"/>
    <w:rsid w:val="00A0315D"/>
    <w:rsid w:val="00A04054"/>
    <w:rsid w:val="00A04369"/>
    <w:rsid w:val="00A100E9"/>
    <w:rsid w:val="00A1080E"/>
    <w:rsid w:val="00A130C4"/>
    <w:rsid w:val="00A13B41"/>
    <w:rsid w:val="00A16A54"/>
    <w:rsid w:val="00A17471"/>
    <w:rsid w:val="00A1786E"/>
    <w:rsid w:val="00A20287"/>
    <w:rsid w:val="00A2045B"/>
    <w:rsid w:val="00A21972"/>
    <w:rsid w:val="00A248EB"/>
    <w:rsid w:val="00A2493F"/>
    <w:rsid w:val="00A25B74"/>
    <w:rsid w:val="00A31760"/>
    <w:rsid w:val="00A31E0F"/>
    <w:rsid w:val="00A32C3B"/>
    <w:rsid w:val="00A32D61"/>
    <w:rsid w:val="00A33ACD"/>
    <w:rsid w:val="00A33EDB"/>
    <w:rsid w:val="00A36A4A"/>
    <w:rsid w:val="00A37728"/>
    <w:rsid w:val="00A3780A"/>
    <w:rsid w:val="00A404F9"/>
    <w:rsid w:val="00A41D30"/>
    <w:rsid w:val="00A45F4F"/>
    <w:rsid w:val="00A5113F"/>
    <w:rsid w:val="00A54A73"/>
    <w:rsid w:val="00A5581A"/>
    <w:rsid w:val="00A600A9"/>
    <w:rsid w:val="00A6017C"/>
    <w:rsid w:val="00A60528"/>
    <w:rsid w:val="00A60FBB"/>
    <w:rsid w:val="00A6190D"/>
    <w:rsid w:val="00A61ACA"/>
    <w:rsid w:val="00A620CB"/>
    <w:rsid w:val="00A62DD9"/>
    <w:rsid w:val="00A65E95"/>
    <w:rsid w:val="00A72C28"/>
    <w:rsid w:val="00A744D5"/>
    <w:rsid w:val="00A75296"/>
    <w:rsid w:val="00A76087"/>
    <w:rsid w:val="00A760FB"/>
    <w:rsid w:val="00A779B6"/>
    <w:rsid w:val="00A80E57"/>
    <w:rsid w:val="00A81464"/>
    <w:rsid w:val="00A81B44"/>
    <w:rsid w:val="00A852A5"/>
    <w:rsid w:val="00A85ABE"/>
    <w:rsid w:val="00A85EFC"/>
    <w:rsid w:val="00A86C90"/>
    <w:rsid w:val="00A878AE"/>
    <w:rsid w:val="00A87908"/>
    <w:rsid w:val="00A91B15"/>
    <w:rsid w:val="00A92970"/>
    <w:rsid w:val="00A95CA1"/>
    <w:rsid w:val="00AA075F"/>
    <w:rsid w:val="00AA0CE0"/>
    <w:rsid w:val="00AA42BD"/>
    <w:rsid w:val="00AA55B7"/>
    <w:rsid w:val="00AA5B9E"/>
    <w:rsid w:val="00AA616B"/>
    <w:rsid w:val="00AA618F"/>
    <w:rsid w:val="00AA63B2"/>
    <w:rsid w:val="00AB2407"/>
    <w:rsid w:val="00AB2826"/>
    <w:rsid w:val="00AB2AC9"/>
    <w:rsid w:val="00AB53DF"/>
    <w:rsid w:val="00AB54C2"/>
    <w:rsid w:val="00AB65B9"/>
    <w:rsid w:val="00AC1A6C"/>
    <w:rsid w:val="00AC3694"/>
    <w:rsid w:val="00AC4447"/>
    <w:rsid w:val="00AC48C2"/>
    <w:rsid w:val="00AC4FB9"/>
    <w:rsid w:val="00AC7D71"/>
    <w:rsid w:val="00AD031D"/>
    <w:rsid w:val="00AD132B"/>
    <w:rsid w:val="00AD3C5B"/>
    <w:rsid w:val="00AD3DE0"/>
    <w:rsid w:val="00AD3EDD"/>
    <w:rsid w:val="00AD40DE"/>
    <w:rsid w:val="00AD4EDF"/>
    <w:rsid w:val="00AD5BE7"/>
    <w:rsid w:val="00AE4180"/>
    <w:rsid w:val="00AE454A"/>
    <w:rsid w:val="00AE5EB1"/>
    <w:rsid w:val="00AE7961"/>
    <w:rsid w:val="00AF5C4A"/>
    <w:rsid w:val="00AF615E"/>
    <w:rsid w:val="00AF7CFD"/>
    <w:rsid w:val="00B074D1"/>
    <w:rsid w:val="00B07E5C"/>
    <w:rsid w:val="00B1175E"/>
    <w:rsid w:val="00B20401"/>
    <w:rsid w:val="00B21D6E"/>
    <w:rsid w:val="00B228EC"/>
    <w:rsid w:val="00B244A6"/>
    <w:rsid w:val="00B253C3"/>
    <w:rsid w:val="00B26223"/>
    <w:rsid w:val="00B32DDB"/>
    <w:rsid w:val="00B333DE"/>
    <w:rsid w:val="00B33433"/>
    <w:rsid w:val="00B34DDB"/>
    <w:rsid w:val="00B370C5"/>
    <w:rsid w:val="00B378C4"/>
    <w:rsid w:val="00B4071D"/>
    <w:rsid w:val="00B41217"/>
    <w:rsid w:val="00B4199F"/>
    <w:rsid w:val="00B4207A"/>
    <w:rsid w:val="00B42E8D"/>
    <w:rsid w:val="00B43DF2"/>
    <w:rsid w:val="00B441BB"/>
    <w:rsid w:val="00B44D04"/>
    <w:rsid w:val="00B44E66"/>
    <w:rsid w:val="00B47CF5"/>
    <w:rsid w:val="00B52104"/>
    <w:rsid w:val="00B55283"/>
    <w:rsid w:val="00B56AE7"/>
    <w:rsid w:val="00B56FE5"/>
    <w:rsid w:val="00B5725C"/>
    <w:rsid w:val="00B62B7C"/>
    <w:rsid w:val="00B64BD9"/>
    <w:rsid w:val="00B66540"/>
    <w:rsid w:val="00B66B09"/>
    <w:rsid w:val="00B6744E"/>
    <w:rsid w:val="00B67DD4"/>
    <w:rsid w:val="00B73724"/>
    <w:rsid w:val="00B73ADA"/>
    <w:rsid w:val="00B75D09"/>
    <w:rsid w:val="00B811F7"/>
    <w:rsid w:val="00B81AE2"/>
    <w:rsid w:val="00B8216A"/>
    <w:rsid w:val="00B844A3"/>
    <w:rsid w:val="00B85C70"/>
    <w:rsid w:val="00B90A4F"/>
    <w:rsid w:val="00B917F3"/>
    <w:rsid w:val="00B9215F"/>
    <w:rsid w:val="00B92318"/>
    <w:rsid w:val="00B92AE6"/>
    <w:rsid w:val="00B92E57"/>
    <w:rsid w:val="00B92F8E"/>
    <w:rsid w:val="00B940CB"/>
    <w:rsid w:val="00B947C9"/>
    <w:rsid w:val="00B94CB9"/>
    <w:rsid w:val="00B9515B"/>
    <w:rsid w:val="00B95421"/>
    <w:rsid w:val="00B9674C"/>
    <w:rsid w:val="00B968A6"/>
    <w:rsid w:val="00B975C2"/>
    <w:rsid w:val="00BA25A5"/>
    <w:rsid w:val="00BA2D9A"/>
    <w:rsid w:val="00BA496E"/>
    <w:rsid w:val="00BA58EC"/>
    <w:rsid w:val="00BA5DC6"/>
    <w:rsid w:val="00BA6196"/>
    <w:rsid w:val="00BA6795"/>
    <w:rsid w:val="00BA6F99"/>
    <w:rsid w:val="00BA7592"/>
    <w:rsid w:val="00BB21A8"/>
    <w:rsid w:val="00BB34AA"/>
    <w:rsid w:val="00BB3B8B"/>
    <w:rsid w:val="00BB41D5"/>
    <w:rsid w:val="00BC05B1"/>
    <w:rsid w:val="00BC0BB2"/>
    <w:rsid w:val="00BC1F08"/>
    <w:rsid w:val="00BC3A61"/>
    <w:rsid w:val="00BC3F6E"/>
    <w:rsid w:val="00BC53EC"/>
    <w:rsid w:val="00BC6D8C"/>
    <w:rsid w:val="00BC6FA0"/>
    <w:rsid w:val="00BC76D6"/>
    <w:rsid w:val="00BD05C4"/>
    <w:rsid w:val="00BD11FF"/>
    <w:rsid w:val="00BD1343"/>
    <w:rsid w:val="00BD1A6E"/>
    <w:rsid w:val="00BD3397"/>
    <w:rsid w:val="00BD3F1C"/>
    <w:rsid w:val="00BD4CE3"/>
    <w:rsid w:val="00BD4E13"/>
    <w:rsid w:val="00BD574C"/>
    <w:rsid w:val="00BD5FDC"/>
    <w:rsid w:val="00BE282E"/>
    <w:rsid w:val="00BE2ED6"/>
    <w:rsid w:val="00BE3165"/>
    <w:rsid w:val="00BE3352"/>
    <w:rsid w:val="00BE44FD"/>
    <w:rsid w:val="00BE483F"/>
    <w:rsid w:val="00BE74D4"/>
    <w:rsid w:val="00BE767C"/>
    <w:rsid w:val="00BE7F26"/>
    <w:rsid w:val="00BF0037"/>
    <w:rsid w:val="00BF2178"/>
    <w:rsid w:val="00BF253F"/>
    <w:rsid w:val="00BF291B"/>
    <w:rsid w:val="00BF41DE"/>
    <w:rsid w:val="00BF4364"/>
    <w:rsid w:val="00BF5AE8"/>
    <w:rsid w:val="00C00888"/>
    <w:rsid w:val="00C01C20"/>
    <w:rsid w:val="00C0290E"/>
    <w:rsid w:val="00C04A39"/>
    <w:rsid w:val="00C06460"/>
    <w:rsid w:val="00C10665"/>
    <w:rsid w:val="00C1122D"/>
    <w:rsid w:val="00C12686"/>
    <w:rsid w:val="00C133D0"/>
    <w:rsid w:val="00C165CB"/>
    <w:rsid w:val="00C16D13"/>
    <w:rsid w:val="00C170BA"/>
    <w:rsid w:val="00C172ED"/>
    <w:rsid w:val="00C229C0"/>
    <w:rsid w:val="00C232BE"/>
    <w:rsid w:val="00C23DA0"/>
    <w:rsid w:val="00C26FD7"/>
    <w:rsid w:val="00C3212F"/>
    <w:rsid w:val="00C32AD5"/>
    <w:rsid w:val="00C32B45"/>
    <w:rsid w:val="00C333ED"/>
    <w:rsid w:val="00C338BA"/>
    <w:rsid w:val="00C34006"/>
    <w:rsid w:val="00C341F6"/>
    <w:rsid w:val="00C34709"/>
    <w:rsid w:val="00C36ACF"/>
    <w:rsid w:val="00C36B4C"/>
    <w:rsid w:val="00C377ED"/>
    <w:rsid w:val="00C40CAF"/>
    <w:rsid w:val="00C426B1"/>
    <w:rsid w:val="00C4386A"/>
    <w:rsid w:val="00C478A9"/>
    <w:rsid w:val="00C47D9E"/>
    <w:rsid w:val="00C51DBB"/>
    <w:rsid w:val="00C53513"/>
    <w:rsid w:val="00C56119"/>
    <w:rsid w:val="00C56A66"/>
    <w:rsid w:val="00C6083D"/>
    <w:rsid w:val="00C614AB"/>
    <w:rsid w:val="00C63676"/>
    <w:rsid w:val="00C63930"/>
    <w:rsid w:val="00C66160"/>
    <w:rsid w:val="00C662D3"/>
    <w:rsid w:val="00C702EB"/>
    <w:rsid w:val="00C7064A"/>
    <w:rsid w:val="00C711C7"/>
    <w:rsid w:val="00C721AC"/>
    <w:rsid w:val="00C744AC"/>
    <w:rsid w:val="00C757E5"/>
    <w:rsid w:val="00C76DB8"/>
    <w:rsid w:val="00C852E1"/>
    <w:rsid w:val="00C853E1"/>
    <w:rsid w:val="00C85891"/>
    <w:rsid w:val="00C902DA"/>
    <w:rsid w:val="00C90D6A"/>
    <w:rsid w:val="00C92D6C"/>
    <w:rsid w:val="00C96364"/>
    <w:rsid w:val="00C96737"/>
    <w:rsid w:val="00C97946"/>
    <w:rsid w:val="00C97B84"/>
    <w:rsid w:val="00CA0D72"/>
    <w:rsid w:val="00CA247E"/>
    <w:rsid w:val="00CA3DD3"/>
    <w:rsid w:val="00CA4361"/>
    <w:rsid w:val="00CA6851"/>
    <w:rsid w:val="00CA6D21"/>
    <w:rsid w:val="00CB0EE7"/>
    <w:rsid w:val="00CB2414"/>
    <w:rsid w:val="00CB3203"/>
    <w:rsid w:val="00CB3FEE"/>
    <w:rsid w:val="00CB5423"/>
    <w:rsid w:val="00CB6760"/>
    <w:rsid w:val="00CC00FF"/>
    <w:rsid w:val="00CC0C38"/>
    <w:rsid w:val="00CC29FB"/>
    <w:rsid w:val="00CC395B"/>
    <w:rsid w:val="00CC562B"/>
    <w:rsid w:val="00CC66D4"/>
    <w:rsid w:val="00CC72B6"/>
    <w:rsid w:val="00CD0426"/>
    <w:rsid w:val="00CD04F2"/>
    <w:rsid w:val="00CD2060"/>
    <w:rsid w:val="00CD3F03"/>
    <w:rsid w:val="00CD7289"/>
    <w:rsid w:val="00CD755D"/>
    <w:rsid w:val="00CE0AB2"/>
    <w:rsid w:val="00CE174E"/>
    <w:rsid w:val="00CE1B64"/>
    <w:rsid w:val="00CE1E06"/>
    <w:rsid w:val="00CE4DB4"/>
    <w:rsid w:val="00CE5764"/>
    <w:rsid w:val="00CE688F"/>
    <w:rsid w:val="00CF1784"/>
    <w:rsid w:val="00CF1BE9"/>
    <w:rsid w:val="00CF1F8D"/>
    <w:rsid w:val="00CF29C6"/>
    <w:rsid w:val="00CF44C9"/>
    <w:rsid w:val="00CF51EE"/>
    <w:rsid w:val="00CF79F0"/>
    <w:rsid w:val="00D0218D"/>
    <w:rsid w:val="00D03D6B"/>
    <w:rsid w:val="00D03ECF"/>
    <w:rsid w:val="00D05354"/>
    <w:rsid w:val="00D057F0"/>
    <w:rsid w:val="00D07669"/>
    <w:rsid w:val="00D10A46"/>
    <w:rsid w:val="00D10F52"/>
    <w:rsid w:val="00D1114A"/>
    <w:rsid w:val="00D11D38"/>
    <w:rsid w:val="00D13BE7"/>
    <w:rsid w:val="00D15060"/>
    <w:rsid w:val="00D15BD0"/>
    <w:rsid w:val="00D16205"/>
    <w:rsid w:val="00D16B60"/>
    <w:rsid w:val="00D16BA0"/>
    <w:rsid w:val="00D16D7D"/>
    <w:rsid w:val="00D17B18"/>
    <w:rsid w:val="00D2152F"/>
    <w:rsid w:val="00D253FD"/>
    <w:rsid w:val="00D25FB5"/>
    <w:rsid w:val="00D3026D"/>
    <w:rsid w:val="00D31A34"/>
    <w:rsid w:val="00D33125"/>
    <w:rsid w:val="00D33DC6"/>
    <w:rsid w:val="00D35064"/>
    <w:rsid w:val="00D35ED1"/>
    <w:rsid w:val="00D36CE0"/>
    <w:rsid w:val="00D37ED3"/>
    <w:rsid w:val="00D40953"/>
    <w:rsid w:val="00D413F3"/>
    <w:rsid w:val="00D41F99"/>
    <w:rsid w:val="00D43264"/>
    <w:rsid w:val="00D43F3B"/>
    <w:rsid w:val="00D44223"/>
    <w:rsid w:val="00D4439F"/>
    <w:rsid w:val="00D45AB4"/>
    <w:rsid w:val="00D505B0"/>
    <w:rsid w:val="00D5174B"/>
    <w:rsid w:val="00D5334E"/>
    <w:rsid w:val="00D5444B"/>
    <w:rsid w:val="00D54487"/>
    <w:rsid w:val="00D554BB"/>
    <w:rsid w:val="00D55796"/>
    <w:rsid w:val="00D562AF"/>
    <w:rsid w:val="00D57501"/>
    <w:rsid w:val="00D5777C"/>
    <w:rsid w:val="00D60422"/>
    <w:rsid w:val="00D6058C"/>
    <w:rsid w:val="00D60E2E"/>
    <w:rsid w:val="00D61262"/>
    <w:rsid w:val="00D645A9"/>
    <w:rsid w:val="00D660EB"/>
    <w:rsid w:val="00D70B4B"/>
    <w:rsid w:val="00D70E83"/>
    <w:rsid w:val="00D73222"/>
    <w:rsid w:val="00D742B4"/>
    <w:rsid w:val="00D76860"/>
    <w:rsid w:val="00D82C2C"/>
    <w:rsid w:val="00D87035"/>
    <w:rsid w:val="00D879F2"/>
    <w:rsid w:val="00D935FD"/>
    <w:rsid w:val="00D95B33"/>
    <w:rsid w:val="00D95DF0"/>
    <w:rsid w:val="00D97158"/>
    <w:rsid w:val="00DA0201"/>
    <w:rsid w:val="00DA08B3"/>
    <w:rsid w:val="00DA0F22"/>
    <w:rsid w:val="00DA12A5"/>
    <w:rsid w:val="00DA2529"/>
    <w:rsid w:val="00DA2B42"/>
    <w:rsid w:val="00DA3F65"/>
    <w:rsid w:val="00DA4025"/>
    <w:rsid w:val="00DA5294"/>
    <w:rsid w:val="00DA738D"/>
    <w:rsid w:val="00DB130A"/>
    <w:rsid w:val="00DB150B"/>
    <w:rsid w:val="00DB19A3"/>
    <w:rsid w:val="00DB298A"/>
    <w:rsid w:val="00DB2A55"/>
    <w:rsid w:val="00DB2EBB"/>
    <w:rsid w:val="00DB2F7C"/>
    <w:rsid w:val="00DB5DD2"/>
    <w:rsid w:val="00DB706A"/>
    <w:rsid w:val="00DC0EAA"/>
    <w:rsid w:val="00DC10A1"/>
    <w:rsid w:val="00DC18B5"/>
    <w:rsid w:val="00DC1FBB"/>
    <w:rsid w:val="00DC2871"/>
    <w:rsid w:val="00DC2ABE"/>
    <w:rsid w:val="00DC2FD5"/>
    <w:rsid w:val="00DC3248"/>
    <w:rsid w:val="00DC3797"/>
    <w:rsid w:val="00DC5507"/>
    <w:rsid w:val="00DC655F"/>
    <w:rsid w:val="00DD0AE1"/>
    <w:rsid w:val="00DD0B59"/>
    <w:rsid w:val="00DD103C"/>
    <w:rsid w:val="00DD4A65"/>
    <w:rsid w:val="00DD5FE2"/>
    <w:rsid w:val="00DD6815"/>
    <w:rsid w:val="00DD6FBB"/>
    <w:rsid w:val="00DD7EBD"/>
    <w:rsid w:val="00DE15D0"/>
    <w:rsid w:val="00DE4381"/>
    <w:rsid w:val="00DE496A"/>
    <w:rsid w:val="00DE55F1"/>
    <w:rsid w:val="00DE5D37"/>
    <w:rsid w:val="00DE6DE9"/>
    <w:rsid w:val="00DE7DE0"/>
    <w:rsid w:val="00DF1E78"/>
    <w:rsid w:val="00DF266B"/>
    <w:rsid w:val="00DF2A14"/>
    <w:rsid w:val="00DF62B6"/>
    <w:rsid w:val="00DF6D07"/>
    <w:rsid w:val="00DF7501"/>
    <w:rsid w:val="00DF779E"/>
    <w:rsid w:val="00E01E83"/>
    <w:rsid w:val="00E03254"/>
    <w:rsid w:val="00E03322"/>
    <w:rsid w:val="00E03B15"/>
    <w:rsid w:val="00E06321"/>
    <w:rsid w:val="00E0717A"/>
    <w:rsid w:val="00E07225"/>
    <w:rsid w:val="00E10B14"/>
    <w:rsid w:val="00E10ECC"/>
    <w:rsid w:val="00E1436D"/>
    <w:rsid w:val="00E15348"/>
    <w:rsid w:val="00E155B5"/>
    <w:rsid w:val="00E1700E"/>
    <w:rsid w:val="00E17614"/>
    <w:rsid w:val="00E20C73"/>
    <w:rsid w:val="00E21D8F"/>
    <w:rsid w:val="00E234EE"/>
    <w:rsid w:val="00E24423"/>
    <w:rsid w:val="00E26017"/>
    <w:rsid w:val="00E26468"/>
    <w:rsid w:val="00E27197"/>
    <w:rsid w:val="00E303D9"/>
    <w:rsid w:val="00E305E7"/>
    <w:rsid w:val="00E31338"/>
    <w:rsid w:val="00E320CE"/>
    <w:rsid w:val="00E33434"/>
    <w:rsid w:val="00E34037"/>
    <w:rsid w:val="00E34E9F"/>
    <w:rsid w:val="00E36790"/>
    <w:rsid w:val="00E369D8"/>
    <w:rsid w:val="00E3742C"/>
    <w:rsid w:val="00E37A56"/>
    <w:rsid w:val="00E402E6"/>
    <w:rsid w:val="00E42525"/>
    <w:rsid w:val="00E427FB"/>
    <w:rsid w:val="00E4515D"/>
    <w:rsid w:val="00E4601D"/>
    <w:rsid w:val="00E47DA7"/>
    <w:rsid w:val="00E502B7"/>
    <w:rsid w:val="00E50B67"/>
    <w:rsid w:val="00E50C79"/>
    <w:rsid w:val="00E510A8"/>
    <w:rsid w:val="00E510F6"/>
    <w:rsid w:val="00E526E2"/>
    <w:rsid w:val="00E53188"/>
    <w:rsid w:val="00E532BF"/>
    <w:rsid w:val="00E53CCE"/>
    <w:rsid w:val="00E5409F"/>
    <w:rsid w:val="00E603A3"/>
    <w:rsid w:val="00E606E4"/>
    <w:rsid w:val="00E611A3"/>
    <w:rsid w:val="00E62E91"/>
    <w:rsid w:val="00E63815"/>
    <w:rsid w:val="00E64169"/>
    <w:rsid w:val="00E6437F"/>
    <w:rsid w:val="00E67811"/>
    <w:rsid w:val="00E67A64"/>
    <w:rsid w:val="00E67DE5"/>
    <w:rsid w:val="00E7022B"/>
    <w:rsid w:val="00E74815"/>
    <w:rsid w:val="00E7708B"/>
    <w:rsid w:val="00E80997"/>
    <w:rsid w:val="00E80CB4"/>
    <w:rsid w:val="00E80F01"/>
    <w:rsid w:val="00E82741"/>
    <w:rsid w:val="00E857B1"/>
    <w:rsid w:val="00E877BA"/>
    <w:rsid w:val="00E92612"/>
    <w:rsid w:val="00E93E4B"/>
    <w:rsid w:val="00E960CB"/>
    <w:rsid w:val="00E96534"/>
    <w:rsid w:val="00EA0523"/>
    <w:rsid w:val="00EA0D30"/>
    <w:rsid w:val="00EA41A7"/>
    <w:rsid w:val="00EA4FBF"/>
    <w:rsid w:val="00EA6A7B"/>
    <w:rsid w:val="00EA6D1A"/>
    <w:rsid w:val="00EA719E"/>
    <w:rsid w:val="00EA7554"/>
    <w:rsid w:val="00EB1029"/>
    <w:rsid w:val="00EB1125"/>
    <w:rsid w:val="00EB1545"/>
    <w:rsid w:val="00EB3A94"/>
    <w:rsid w:val="00EB5544"/>
    <w:rsid w:val="00EB6044"/>
    <w:rsid w:val="00EC114F"/>
    <w:rsid w:val="00EC131D"/>
    <w:rsid w:val="00EC2F3F"/>
    <w:rsid w:val="00EC36F0"/>
    <w:rsid w:val="00EC457B"/>
    <w:rsid w:val="00EC4B8D"/>
    <w:rsid w:val="00EC6530"/>
    <w:rsid w:val="00EC6C34"/>
    <w:rsid w:val="00EC6CC0"/>
    <w:rsid w:val="00EC7989"/>
    <w:rsid w:val="00ED2C95"/>
    <w:rsid w:val="00ED422F"/>
    <w:rsid w:val="00ED4CC8"/>
    <w:rsid w:val="00ED5082"/>
    <w:rsid w:val="00ED6EF1"/>
    <w:rsid w:val="00ED73FF"/>
    <w:rsid w:val="00ED7529"/>
    <w:rsid w:val="00EE11E4"/>
    <w:rsid w:val="00EE40C0"/>
    <w:rsid w:val="00EE43D2"/>
    <w:rsid w:val="00EE4E34"/>
    <w:rsid w:val="00EE6488"/>
    <w:rsid w:val="00EF13D2"/>
    <w:rsid w:val="00EF4082"/>
    <w:rsid w:val="00EF59AF"/>
    <w:rsid w:val="00EF7AC6"/>
    <w:rsid w:val="00F021FA"/>
    <w:rsid w:val="00F02B60"/>
    <w:rsid w:val="00F03F1D"/>
    <w:rsid w:val="00F06916"/>
    <w:rsid w:val="00F06D7B"/>
    <w:rsid w:val="00F07A4D"/>
    <w:rsid w:val="00F07C6A"/>
    <w:rsid w:val="00F115A2"/>
    <w:rsid w:val="00F116A3"/>
    <w:rsid w:val="00F118E3"/>
    <w:rsid w:val="00F135D0"/>
    <w:rsid w:val="00F137A8"/>
    <w:rsid w:val="00F138A9"/>
    <w:rsid w:val="00F141B7"/>
    <w:rsid w:val="00F167BA"/>
    <w:rsid w:val="00F2204D"/>
    <w:rsid w:val="00F24375"/>
    <w:rsid w:val="00F267F2"/>
    <w:rsid w:val="00F27693"/>
    <w:rsid w:val="00F306E7"/>
    <w:rsid w:val="00F309CB"/>
    <w:rsid w:val="00F3187E"/>
    <w:rsid w:val="00F32051"/>
    <w:rsid w:val="00F35FBB"/>
    <w:rsid w:val="00F37A53"/>
    <w:rsid w:val="00F461DF"/>
    <w:rsid w:val="00F47026"/>
    <w:rsid w:val="00F472D8"/>
    <w:rsid w:val="00F4733B"/>
    <w:rsid w:val="00F5002A"/>
    <w:rsid w:val="00F5038A"/>
    <w:rsid w:val="00F529BE"/>
    <w:rsid w:val="00F53E4D"/>
    <w:rsid w:val="00F53FA1"/>
    <w:rsid w:val="00F54196"/>
    <w:rsid w:val="00F55D7B"/>
    <w:rsid w:val="00F618BA"/>
    <w:rsid w:val="00F62E97"/>
    <w:rsid w:val="00F64209"/>
    <w:rsid w:val="00F6521A"/>
    <w:rsid w:val="00F66AE1"/>
    <w:rsid w:val="00F676EA"/>
    <w:rsid w:val="00F70481"/>
    <w:rsid w:val="00F72637"/>
    <w:rsid w:val="00F72D7C"/>
    <w:rsid w:val="00F736A0"/>
    <w:rsid w:val="00F741E1"/>
    <w:rsid w:val="00F75BAE"/>
    <w:rsid w:val="00F76375"/>
    <w:rsid w:val="00F76D1E"/>
    <w:rsid w:val="00F824CD"/>
    <w:rsid w:val="00F82B22"/>
    <w:rsid w:val="00F83605"/>
    <w:rsid w:val="00F848E6"/>
    <w:rsid w:val="00F86334"/>
    <w:rsid w:val="00F906B4"/>
    <w:rsid w:val="00F90E4A"/>
    <w:rsid w:val="00F9276B"/>
    <w:rsid w:val="00F92E44"/>
    <w:rsid w:val="00F93BF5"/>
    <w:rsid w:val="00F94F50"/>
    <w:rsid w:val="00F95DAD"/>
    <w:rsid w:val="00F96CFC"/>
    <w:rsid w:val="00F97498"/>
    <w:rsid w:val="00F97531"/>
    <w:rsid w:val="00FA1CA9"/>
    <w:rsid w:val="00FA3BCF"/>
    <w:rsid w:val="00FA3E45"/>
    <w:rsid w:val="00FA4CED"/>
    <w:rsid w:val="00FA5AC3"/>
    <w:rsid w:val="00FA5FDD"/>
    <w:rsid w:val="00FB2CF6"/>
    <w:rsid w:val="00FB3B92"/>
    <w:rsid w:val="00FB3F77"/>
    <w:rsid w:val="00FB50DF"/>
    <w:rsid w:val="00FB640B"/>
    <w:rsid w:val="00FC04C3"/>
    <w:rsid w:val="00FC1185"/>
    <w:rsid w:val="00FC1214"/>
    <w:rsid w:val="00FC2378"/>
    <w:rsid w:val="00FC4303"/>
    <w:rsid w:val="00FC4507"/>
    <w:rsid w:val="00FC4BDA"/>
    <w:rsid w:val="00FC649B"/>
    <w:rsid w:val="00FC6AA6"/>
    <w:rsid w:val="00FC78E2"/>
    <w:rsid w:val="00FC79EC"/>
    <w:rsid w:val="00FD325B"/>
    <w:rsid w:val="00FD5DB3"/>
    <w:rsid w:val="00FD7023"/>
    <w:rsid w:val="00FD7A62"/>
    <w:rsid w:val="00FE05E2"/>
    <w:rsid w:val="00FE0AAA"/>
    <w:rsid w:val="00FE2BF7"/>
    <w:rsid w:val="00FE3334"/>
    <w:rsid w:val="00FE51BD"/>
    <w:rsid w:val="00FE5341"/>
    <w:rsid w:val="00FE5548"/>
    <w:rsid w:val="00FE64F7"/>
    <w:rsid w:val="00FE7AEA"/>
    <w:rsid w:val="00FF19BF"/>
    <w:rsid w:val="00FF3A26"/>
    <w:rsid w:val="00FF63F0"/>
    <w:rsid w:val="00FF6C09"/>
    <w:rsid w:val="00FF71C0"/>
    <w:rsid w:val="0446470E"/>
    <w:rsid w:val="09540604"/>
    <w:rsid w:val="0A6BD54E"/>
    <w:rsid w:val="0B40C7C6"/>
    <w:rsid w:val="0CE9DAF3"/>
    <w:rsid w:val="0E9F304E"/>
    <w:rsid w:val="1084A2F9"/>
    <w:rsid w:val="11929405"/>
    <w:rsid w:val="134BE718"/>
    <w:rsid w:val="14269713"/>
    <w:rsid w:val="19808279"/>
    <w:rsid w:val="25DE6224"/>
    <w:rsid w:val="2872BC8E"/>
    <w:rsid w:val="28F025E8"/>
    <w:rsid w:val="2946184A"/>
    <w:rsid w:val="2D26AE72"/>
    <w:rsid w:val="2DEB6773"/>
    <w:rsid w:val="2F87CD3F"/>
    <w:rsid w:val="32F601E4"/>
    <w:rsid w:val="343419C9"/>
    <w:rsid w:val="374D4F0E"/>
    <w:rsid w:val="394573C8"/>
    <w:rsid w:val="398395C9"/>
    <w:rsid w:val="39D4E77F"/>
    <w:rsid w:val="3AB3FD7E"/>
    <w:rsid w:val="3F36ED20"/>
    <w:rsid w:val="3F52E93B"/>
    <w:rsid w:val="4018FDD7"/>
    <w:rsid w:val="40DDF53D"/>
    <w:rsid w:val="40FAED4B"/>
    <w:rsid w:val="434C9249"/>
    <w:rsid w:val="4703BA0F"/>
    <w:rsid w:val="535BA531"/>
    <w:rsid w:val="53F911E8"/>
    <w:rsid w:val="56748A55"/>
    <w:rsid w:val="594338F5"/>
    <w:rsid w:val="5A34A7BE"/>
    <w:rsid w:val="5ED42036"/>
    <w:rsid w:val="60FEDEB6"/>
    <w:rsid w:val="6440E232"/>
    <w:rsid w:val="64812758"/>
    <w:rsid w:val="6849FE7F"/>
    <w:rsid w:val="6A048662"/>
    <w:rsid w:val="6E9F004F"/>
    <w:rsid w:val="6FD49C32"/>
    <w:rsid w:val="6FED575F"/>
    <w:rsid w:val="7AE3FD6D"/>
    <w:rsid w:val="7E2051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AB7680"/>
  <w15:chartTrackingRefBased/>
  <w15:docId w15:val="{1A9D492E-A6C4-4D94-9746-75D0808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858F3"/>
    <w:rPr>
      <w:rFonts w:ascii="Segoe UI" w:hAnsi="Segoe UI" w:cs="Segoe UI"/>
      <w:sz w:val="18"/>
      <w:szCs w:val="18"/>
    </w:rPr>
  </w:style>
  <w:style w:type="character" w:customStyle="1" w:styleId="BalloonTextChar">
    <w:name w:val="Balloon Text Char"/>
    <w:basedOn w:val="DefaultParagraphFont"/>
    <w:link w:val="BalloonText"/>
    <w:rsid w:val="001858F3"/>
    <w:rPr>
      <w:rFonts w:ascii="Segoe UI" w:hAnsi="Segoe UI" w:cs="Segoe UI"/>
      <w:snapToGrid w:val="0"/>
      <w:kern w:val="28"/>
      <w:sz w:val="18"/>
      <w:szCs w:val="18"/>
    </w:rPr>
  </w:style>
  <w:style w:type="character" w:styleId="CommentReference">
    <w:name w:val="annotation reference"/>
    <w:basedOn w:val="DefaultParagraphFont"/>
    <w:rsid w:val="004069A3"/>
    <w:rPr>
      <w:sz w:val="16"/>
      <w:szCs w:val="16"/>
    </w:rPr>
  </w:style>
  <w:style w:type="paragraph" w:styleId="CommentText">
    <w:name w:val="annotation text"/>
    <w:basedOn w:val="Normal"/>
    <w:link w:val="CommentTextChar"/>
    <w:rsid w:val="004069A3"/>
    <w:rPr>
      <w:sz w:val="20"/>
    </w:rPr>
  </w:style>
  <w:style w:type="character" w:customStyle="1" w:styleId="CommentTextChar">
    <w:name w:val="Comment Text Char"/>
    <w:basedOn w:val="DefaultParagraphFont"/>
    <w:link w:val="CommentText"/>
    <w:rsid w:val="004069A3"/>
    <w:rPr>
      <w:snapToGrid w:val="0"/>
      <w:kern w:val="28"/>
    </w:rPr>
  </w:style>
  <w:style w:type="paragraph" w:styleId="CommentSubject">
    <w:name w:val="annotation subject"/>
    <w:basedOn w:val="CommentText"/>
    <w:next w:val="CommentText"/>
    <w:link w:val="CommentSubjectChar"/>
    <w:rsid w:val="004069A3"/>
    <w:rPr>
      <w:b/>
      <w:bCs/>
    </w:rPr>
  </w:style>
  <w:style w:type="character" w:customStyle="1" w:styleId="CommentSubjectChar">
    <w:name w:val="Comment Subject Char"/>
    <w:basedOn w:val="CommentTextChar"/>
    <w:link w:val="CommentSubject"/>
    <w:rsid w:val="004069A3"/>
    <w:rPr>
      <w:b/>
      <w:bCs/>
      <w:snapToGrid w:val="0"/>
      <w:kern w:val="28"/>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446BE2"/>
  </w:style>
  <w:style w:type="character" w:customStyle="1" w:styleId="UnresolvedMention1">
    <w:name w:val="Unresolved Mention1"/>
    <w:basedOn w:val="DefaultParagraphFont"/>
    <w:uiPriority w:val="99"/>
    <w:semiHidden/>
    <w:unhideWhenUsed/>
    <w:rsid w:val="00825644"/>
    <w:rPr>
      <w:color w:val="605E5C"/>
      <w:shd w:val="clear" w:color="auto" w:fill="E1DFDD"/>
    </w:rPr>
  </w:style>
  <w:style w:type="table" w:styleId="TableGrid">
    <w:name w:val="Table Grid"/>
    <w:basedOn w:val="TableNormal"/>
    <w:rsid w:val="00A7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F5F"/>
    <w:rPr>
      <w:snapToGrid w:val="0"/>
      <w:kern w:val="28"/>
      <w:sz w:val="22"/>
    </w:rPr>
  </w:style>
  <w:style w:type="character" w:styleId="UnresolvedMention">
    <w:name w:val="Unresolved Mention"/>
    <w:basedOn w:val="DefaultParagraphFont"/>
    <w:rsid w:val="00872233"/>
    <w:rPr>
      <w:color w:val="605E5C"/>
      <w:shd w:val="clear" w:color="auto" w:fill="E1DFDD"/>
    </w:rPr>
  </w:style>
  <w:style w:type="character" w:styleId="FollowedHyperlink">
    <w:name w:val="FollowedHyperlink"/>
    <w:basedOn w:val="DefaultParagraphFont"/>
    <w:rsid w:val="00872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08146788120/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