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61323" w:rsidRPr="000573E7" w:rsidP="00CB5F08" w14:paraId="266933D2" w14:textId="37DA68B1">
      <w:pPr>
        <w:tabs>
          <w:tab w:val="left" w:pos="6480"/>
        </w:tabs>
        <w:ind w:left="5760" w:firstLine="720"/>
        <w:rPr>
          <w:sz w:val="22"/>
          <w:szCs w:val="22"/>
        </w:rPr>
      </w:pPr>
      <w:bookmarkStart w:id="0" w:name="_Hlk125719205"/>
      <w:r>
        <w:rPr>
          <w:sz w:val="22"/>
          <w:szCs w:val="22"/>
        </w:rPr>
        <w:t>DA 23-</w:t>
      </w:r>
      <w:r w:rsidR="00146F49">
        <w:rPr>
          <w:sz w:val="22"/>
          <w:szCs w:val="22"/>
        </w:rPr>
        <w:t>157</w:t>
      </w:r>
    </w:p>
    <w:p w:rsidR="00CB5F08" w:rsidRPr="00C356EC" w:rsidP="00CB5F08" w14:paraId="6AF39997" w14:textId="655C7108">
      <w:pPr>
        <w:tabs>
          <w:tab w:val="left" w:pos="6480"/>
        </w:tabs>
        <w:ind w:left="5760" w:firstLine="720"/>
        <w:rPr>
          <w:sz w:val="22"/>
          <w:szCs w:val="22"/>
        </w:rPr>
      </w:pPr>
      <w:r w:rsidRPr="00C356EC">
        <w:rPr>
          <w:i/>
          <w:iCs/>
          <w:sz w:val="22"/>
          <w:szCs w:val="22"/>
        </w:rPr>
        <w:t xml:space="preserve">In Reply Refer </w:t>
      </w:r>
      <w:r w:rsidR="00C356EC">
        <w:rPr>
          <w:i/>
          <w:iCs/>
          <w:sz w:val="22"/>
          <w:szCs w:val="22"/>
        </w:rPr>
        <w:t>t</w:t>
      </w:r>
      <w:r w:rsidRPr="00C356EC">
        <w:rPr>
          <w:i/>
          <w:iCs/>
          <w:sz w:val="22"/>
          <w:szCs w:val="22"/>
        </w:rPr>
        <w:t>o</w:t>
      </w:r>
      <w:r w:rsidRPr="00C356EC">
        <w:rPr>
          <w:sz w:val="22"/>
          <w:szCs w:val="22"/>
        </w:rPr>
        <w:t>:</w:t>
      </w:r>
    </w:p>
    <w:p w:rsidR="00CB5F08" w:rsidRPr="00C356EC" w:rsidP="00CB5F08" w14:paraId="1E581B50" w14:textId="2CF42A1A">
      <w:pPr>
        <w:tabs>
          <w:tab w:val="left" w:pos="6480"/>
        </w:tabs>
        <w:ind w:firstLine="720"/>
        <w:rPr>
          <w:sz w:val="22"/>
          <w:szCs w:val="22"/>
        </w:rPr>
      </w:pPr>
      <w:r w:rsidRPr="00C356EC">
        <w:rPr>
          <w:sz w:val="22"/>
          <w:szCs w:val="22"/>
        </w:rPr>
        <w:tab/>
        <w:t>1800B3-SDW</w:t>
      </w:r>
    </w:p>
    <w:p w:rsidR="00CB5F08" w:rsidRPr="00C356EC" w:rsidP="00B20DCC" w14:paraId="351C7D71" w14:textId="06AC4A5F">
      <w:pPr>
        <w:tabs>
          <w:tab w:val="left" w:pos="6480"/>
        </w:tabs>
        <w:rPr>
          <w:sz w:val="22"/>
          <w:szCs w:val="22"/>
        </w:rPr>
      </w:pPr>
      <w:r w:rsidRPr="00C356EC">
        <w:rPr>
          <w:sz w:val="22"/>
          <w:szCs w:val="22"/>
        </w:rPr>
        <w:tab/>
        <w:t>Released</w:t>
      </w:r>
      <w:r w:rsidRPr="00C356EC" w:rsidR="004B7148">
        <w:rPr>
          <w:sz w:val="22"/>
          <w:szCs w:val="22"/>
        </w:rPr>
        <w:t xml:space="preserve"> </w:t>
      </w:r>
      <w:r w:rsidR="00190606">
        <w:rPr>
          <w:sz w:val="22"/>
          <w:szCs w:val="22"/>
        </w:rPr>
        <w:t xml:space="preserve">March 1, </w:t>
      </w:r>
      <w:r w:rsidRPr="00C356EC" w:rsidR="004B7148">
        <w:rPr>
          <w:sz w:val="22"/>
          <w:szCs w:val="22"/>
        </w:rPr>
        <w:t>202</w:t>
      </w:r>
      <w:r w:rsidR="00B20DCC">
        <w:rPr>
          <w:sz w:val="22"/>
          <w:szCs w:val="22"/>
        </w:rPr>
        <w:t>3</w:t>
      </w:r>
      <w:bookmarkEnd w:id="0"/>
      <w:r w:rsidRPr="00C356EC">
        <w:rPr>
          <w:sz w:val="22"/>
          <w:szCs w:val="22"/>
        </w:rPr>
        <w:tab/>
      </w:r>
    </w:p>
    <w:p w:rsidR="00CB5F08" w:rsidRPr="00C356EC" w:rsidP="00CB5F08" w14:paraId="2105266E" w14:textId="77777777">
      <w:pPr>
        <w:tabs>
          <w:tab w:val="left" w:pos="6480"/>
        </w:tabs>
        <w:rPr>
          <w:b/>
          <w:sz w:val="22"/>
          <w:szCs w:val="22"/>
          <w:u w:val="single"/>
        </w:rPr>
      </w:pPr>
    </w:p>
    <w:p w:rsidR="004B7148" w:rsidRPr="00C356EC" w:rsidP="00FA617A" w14:paraId="2C090A59" w14:textId="77777777">
      <w:pPr>
        <w:pStyle w:val="paragraph"/>
        <w:spacing w:before="0" w:beforeAutospacing="0" w:after="0" w:afterAutospacing="0"/>
        <w:textAlignment w:val="baseline"/>
        <w:rPr>
          <w:sz w:val="22"/>
          <w:szCs w:val="22"/>
          <w:shd w:val="clear" w:color="auto" w:fill="FFFFFF"/>
        </w:rPr>
      </w:pPr>
      <w:r w:rsidRPr="00C356EC">
        <w:rPr>
          <w:sz w:val="22"/>
          <w:szCs w:val="22"/>
          <w:shd w:val="clear" w:color="auto" w:fill="FFFFFF"/>
        </w:rPr>
        <w:t>Stonewall Alliance of Chico</w:t>
      </w:r>
    </w:p>
    <w:p w:rsidR="00FA617A" w:rsidRPr="00C356EC" w:rsidP="00FA617A" w14:paraId="7A5F69BD" w14:textId="652CC2B3">
      <w:pPr>
        <w:pStyle w:val="paragraph"/>
        <w:spacing w:before="0" w:beforeAutospacing="0" w:after="0" w:afterAutospacing="0"/>
        <w:textAlignment w:val="baseline"/>
        <w:rPr>
          <w:sz w:val="22"/>
          <w:szCs w:val="22"/>
        </w:rPr>
      </w:pPr>
      <w:r w:rsidRPr="00C356EC">
        <w:rPr>
          <w:sz w:val="22"/>
          <w:szCs w:val="22"/>
          <w:shd w:val="clear" w:color="auto" w:fill="FFFFFF"/>
        </w:rPr>
        <w:t>358 East 6th Street</w:t>
      </w:r>
      <w:r w:rsidRPr="00C356EC">
        <w:rPr>
          <w:rStyle w:val="eop"/>
          <w:sz w:val="22"/>
          <w:szCs w:val="22"/>
        </w:rPr>
        <w:t> </w:t>
      </w:r>
    </w:p>
    <w:p w:rsidR="00FA617A" w:rsidRPr="00C356EC" w:rsidP="00FA617A" w14:paraId="39686D86" w14:textId="64889C62">
      <w:pPr>
        <w:pStyle w:val="paragraph"/>
        <w:spacing w:before="0" w:beforeAutospacing="0" w:after="0" w:afterAutospacing="0"/>
        <w:textAlignment w:val="baseline"/>
        <w:rPr>
          <w:sz w:val="22"/>
          <w:szCs w:val="22"/>
        </w:rPr>
      </w:pPr>
      <w:r w:rsidRPr="00C356EC">
        <w:rPr>
          <w:sz w:val="22"/>
          <w:szCs w:val="22"/>
          <w:shd w:val="clear" w:color="auto" w:fill="FFFFFF"/>
        </w:rPr>
        <w:t>Chico, CA 95928</w:t>
      </w:r>
    </w:p>
    <w:p w:rsidR="00CB5F08" w:rsidRPr="00C356EC" w:rsidP="00193E2F" w14:paraId="45040E62" w14:textId="633E211A">
      <w:pPr>
        <w:pStyle w:val="NormalWeb"/>
        <w:shd w:val="clear" w:color="auto" w:fill="FFFFFF"/>
        <w:spacing w:before="0" w:beforeAutospacing="0" w:after="0" w:afterAutospacing="0"/>
        <w:rPr>
          <w:sz w:val="22"/>
          <w:szCs w:val="22"/>
        </w:rPr>
      </w:pPr>
      <w:r w:rsidRPr="00C356EC">
        <w:rPr>
          <w:sz w:val="22"/>
          <w:szCs w:val="22"/>
        </w:rPr>
        <w:t xml:space="preserve">(sent by electronic email to: </w:t>
      </w:r>
      <w:r w:rsidRPr="00C356EC" w:rsidR="004B7148">
        <w:rPr>
          <w:sz w:val="22"/>
          <w:szCs w:val="22"/>
          <w:shd w:val="clear" w:color="auto" w:fill="FFFFFF"/>
        </w:rPr>
        <w:t>andrea@stonewallchico.org</w:t>
      </w:r>
      <w:r w:rsidRPr="00C356EC">
        <w:rPr>
          <w:sz w:val="22"/>
          <w:szCs w:val="22"/>
        </w:rPr>
        <w:t>)</w:t>
      </w:r>
    </w:p>
    <w:p w:rsidR="00CB5F08" w:rsidRPr="00C356EC" w:rsidP="00193E2F" w14:paraId="47A89866" w14:textId="77777777">
      <w:pPr>
        <w:pStyle w:val="Heading2"/>
        <w:rPr>
          <w:rFonts w:ascii="Times New Roman" w:hAnsi="Times New Roman" w:cs="Times New Roman"/>
          <w:color w:val="auto"/>
          <w:sz w:val="22"/>
          <w:szCs w:val="22"/>
        </w:rPr>
      </w:pPr>
    </w:p>
    <w:p w:rsidR="00FB3C65" w:rsidRPr="00392E67" w:rsidP="00CB5F08" w14:paraId="5F1B2220" w14:textId="016D505B">
      <w:pPr>
        <w:rPr>
          <w:sz w:val="22"/>
          <w:szCs w:val="22"/>
          <w:shd w:val="clear" w:color="auto" w:fill="FFFFFF"/>
          <w:lang w:val="es-ES"/>
        </w:rPr>
      </w:pPr>
      <w:r w:rsidRPr="00392E67">
        <w:rPr>
          <w:sz w:val="22"/>
          <w:szCs w:val="22"/>
          <w:shd w:val="clear" w:color="auto" w:fill="FFFFFF"/>
          <w:lang w:val="es-ES"/>
        </w:rPr>
        <w:t>Vida Vale Vivir, Inc.</w:t>
      </w:r>
    </w:p>
    <w:p w:rsidR="00FB3C65" w:rsidRPr="00392E67" w:rsidP="00CB5F08" w14:paraId="603D6117" w14:textId="66FBAE62">
      <w:pPr>
        <w:rPr>
          <w:sz w:val="22"/>
          <w:szCs w:val="22"/>
          <w:shd w:val="clear" w:color="auto" w:fill="FFFFFF"/>
          <w:lang w:val="es-ES"/>
        </w:rPr>
      </w:pPr>
      <w:r w:rsidRPr="00392E67">
        <w:rPr>
          <w:sz w:val="22"/>
          <w:szCs w:val="22"/>
          <w:shd w:val="clear" w:color="auto" w:fill="FFFFFF"/>
          <w:lang w:val="es-ES"/>
        </w:rPr>
        <w:t xml:space="preserve">c/o </w:t>
      </w:r>
      <w:r w:rsidRPr="00392E67" w:rsidR="004B7148">
        <w:rPr>
          <w:sz w:val="22"/>
          <w:szCs w:val="22"/>
          <w:shd w:val="clear" w:color="auto" w:fill="FFFFFF"/>
          <w:lang w:val="es-ES"/>
        </w:rPr>
        <w:t>Keenan P. Adamchak</w:t>
      </w:r>
      <w:r w:rsidR="00231896">
        <w:rPr>
          <w:sz w:val="22"/>
          <w:szCs w:val="22"/>
          <w:shd w:val="clear" w:color="auto" w:fill="FFFFFF"/>
          <w:lang w:val="es-ES"/>
        </w:rPr>
        <w:t>, Esq.</w:t>
      </w:r>
    </w:p>
    <w:p w:rsidR="004B7148" w:rsidRPr="00C356EC" w:rsidP="00CB5F08" w14:paraId="795A4D51" w14:textId="77777777">
      <w:pPr>
        <w:pStyle w:val="NormalWeb"/>
        <w:shd w:val="clear" w:color="auto" w:fill="FFFFFF"/>
        <w:spacing w:before="0" w:beforeAutospacing="0" w:after="0" w:afterAutospacing="0"/>
        <w:rPr>
          <w:sz w:val="22"/>
          <w:szCs w:val="22"/>
          <w:shd w:val="clear" w:color="auto" w:fill="FFFFFF"/>
        </w:rPr>
      </w:pPr>
      <w:r w:rsidRPr="00C356EC">
        <w:rPr>
          <w:sz w:val="22"/>
          <w:szCs w:val="22"/>
          <w:shd w:val="clear" w:color="auto" w:fill="FFFFFF"/>
        </w:rPr>
        <w:t>Baker &amp; Hostetler LLP</w:t>
      </w:r>
    </w:p>
    <w:p w:rsidR="00F41352" w:rsidRPr="00C356EC" w:rsidP="00CB5F08" w14:paraId="0DF3063E" w14:textId="421E5B5A">
      <w:pPr>
        <w:rPr>
          <w:sz w:val="22"/>
          <w:szCs w:val="22"/>
          <w:shd w:val="clear" w:color="auto" w:fill="FFFFFF"/>
        </w:rPr>
      </w:pPr>
      <w:r w:rsidRPr="00C356EC">
        <w:rPr>
          <w:sz w:val="22"/>
          <w:szCs w:val="22"/>
          <w:shd w:val="clear" w:color="auto" w:fill="FFFFFF"/>
        </w:rPr>
        <w:t>1050 Connecticut Avenue, NW Suite 1100</w:t>
      </w:r>
    </w:p>
    <w:p w:rsidR="00F41352" w:rsidRPr="00C356EC" w:rsidP="00CB5F08" w14:paraId="3C2CC216" w14:textId="77777777">
      <w:pPr>
        <w:rPr>
          <w:sz w:val="22"/>
          <w:szCs w:val="22"/>
        </w:rPr>
      </w:pPr>
      <w:r w:rsidRPr="00C356EC">
        <w:rPr>
          <w:sz w:val="22"/>
          <w:szCs w:val="22"/>
          <w:shd w:val="clear" w:color="auto" w:fill="FFFFFF"/>
        </w:rPr>
        <w:t>Washington, DC 20036</w:t>
      </w:r>
      <w:r w:rsidRPr="00C356EC">
        <w:rPr>
          <w:sz w:val="22"/>
          <w:szCs w:val="22"/>
        </w:rPr>
        <w:t xml:space="preserve"> </w:t>
      </w:r>
    </w:p>
    <w:p w:rsidR="00CB5F08" w:rsidRPr="00C356EC" w:rsidP="00CB5F08" w14:paraId="03CFFB7E" w14:textId="48F9AB12">
      <w:pPr>
        <w:rPr>
          <w:sz w:val="22"/>
          <w:szCs w:val="22"/>
        </w:rPr>
      </w:pPr>
      <w:r w:rsidRPr="00C356EC">
        <w:rPr>
          <w:sz w:val="22"/>
          <w:szCs w:val="22"/>
        </w:rPr>
        <w:t xml:space="preserve">(sent by electronic email to: </w:t>
      </w:r>
      <w:r w:rsidRPr="00C356EC" w:rsidR="00F41352">
        <w:rPr>
          <w:sz w:val="22"/>
          <w:szCs w:val="22"/>
          <w:shd w:val="clear" w:color="auto" w:fill="FFFFFF"/>
        </w:rPr>
        <w:t>kadamchak@bakerlaw.com</w:t>
      </w:r>
      <w:r w:rsidRPr="00C356EC">
        <w:rPr>
          <w:sz w:val="22"/>
          <w:szCs w:val="22"/>
          <w:shd w:val="clear" w:color="auto" w:fill="FFFFFF"/>
        </w:rPr>
        <w:t>)</w:t>
      </w:r>
    </w:p>
    <w:p w:rsidR="00CB5F08" w:rsidRPr="00C356EC" w:rsidP="00CB5F08" w14:paraId="5CEFBBA2" w14:textId="77777777">
      <w:pPr>
        <w:pStyle w:val="NormalWeb"/>
        <w:shd w:val="clear" w:color="auto" w:fill="FFFFFF"/>
        <w:spacing w:before="0" w:beforeAutospacing="0" w:after="0" w:afterAutospacing="0"/>
        <w:rPr>
          <w:sz w:val="22"/>
          <w:szCs w:val="22"/>
        </w:rPr>
      </w:pPr>
    </w:p>
    <w:p w:rsidR="005C4C58" w:rsidP="00E64869" w14:paraId="5F2FFBA3" w14:textId="77777777">
      <w:pPr>
        <w:rPr>
          <w:sz w:val="22"/>
          <w:szCs w:val="22"/>
          <w:shd w:val="clear" w:color="auto" w:fill="FFFFFF"/>
        </w:rPr>
      </w:pPr>
      <w:r w:rsidRPr="00E64869">
        <w:rPr>
          <w:sz w:val="22"/>
          <w:szCs w:val="22"/>
          <w:shd w:val="clear" w:color="auto" w:fill="FFFFFF"/>
        </w:rPr>
        <w:t>Adventist Compassion Care, Inc.</w:t>
      </w:r>
    </w:p>
    <w:p w:rsidR="00C64C49" w:rsidRPr="00E64869" w:rsidP="00E64869" w14:paraId="77D25A11" w14:textId="0389F95C">
      <w:pPr>
        <w:rPr>
          <w:sz w:val="22"/>
          <w:szCs w:val="22"/>
          <w:shd w:val="clear" w:color="auto" w:fill="FFFFFF"/>
        </w:rPr>
      </w:pPr>
      <w:r w:rsidRPr="00E64869">
        <w:rPr>
          <w:sz w:val="22"/>
          <w:szCs w:val="22"/>
          <w:shd w:val="clear" w:color="auto" w:fill="FFFFFF"/>
        </w:rPr>
        <w:t>2426 S Main St</w:t>
      </w:r>
    </w:p>
    <w:p w:rsidR="00C64C49" w:rsidRPr="00E64869" w:rsidP="00E64869" w14:paraId="5BD64904" w14:textId="1C49E1D3">
      <w:pPr>
        <w:rPr>
          <w:sz w:val="22"/>
          <w:szCs w:val="22"/>
          <w:shd w:val="clear" w:color="auto" w:fill="FFFFFF"/>
        </w:rPr>
      </w:pPr>
      <w:r w:rsidRPr="00E64869">
        <w:rPr>
          <w:sz w:val="22"/>
          <w:szCs w:val="22"/>
          <w:shd w:val="clear" w:color="auto" w:fill="FFFFFF"/>
        </w:rPr>
        <w:t>Red Bluff, CA 96080</w:t>
      </w:r>
    </w:p>
    <w:p w:rsidR="00C64C49" w:rsidRPr="00E64869" w:rsidP="00C64C49" w14:paraId="2FD4684E" w14:textId="62066CD0">
      <w:pPr>
        <w:rPr>
          <w:sz w:val="22"/>
          <w:szCs w:val="22"/>
          <w:shd w:val="clear" w:color="auto" w:fill="FFFFFF"/>
        </w:rPr>
      </w:pPr>
      <w:r w:rsidRPr="00E64869">
        <w:rPr>
          <w:sz w:val="22"/>
          <w:szCs w:val="22"/>
          <w:shd w:val="clear" w:color="auto" w:fill="FFFFFF"/>
        </w:rPr>
        <w:t>(sent by electronic email to: noraelloway@hotmail.com</w:t>
      </w:r>
      <w:r w:rsidRPr="00C356EC">
        <w:rPr>
          <w:sz w:val="22"/>
          <w:szCs w:val="22"/>
          <w:shd w:val="clear" w:color="auto" w:fill="FFFFFF"/>
        </w:rPr>
        <w:t>)</w:t>
      </w:r>
    </w:p>
    <w:p w:rsidR="00C64C49" w:rsidP="00C64C49" w14:paraId="5969151F" w14:textId="77777777">
      <w:pPr>
        <w:pStyle w:val="NormalWeb"/>
        <w:shd w:val="clear" w:color="auto" w:fill="FFFFFF"/>
        <w:spacing w:before="0" w:beforeAutospacing="0" w:after="0" w:afterAutospacing="0"/>
        <w:rPr>
          <w:rFonts w:ascii="Lato" w:hAnsi="Lato"/>
          <w:color w:val="333333"/>
          <w:sz w:val="20"/>
          <w:szCs w:val="20"/>
        </w:rPr>
      </w:pPr>
    </w:p>
    <w:p w:rsidR="00CB5F08" w:rsidRPr="00C356EC" w:rsidP="00CB5F08" w14:paraId="741751B2" w14:textId="77777777">
      <w:pPr>
        <w:rPr>
          <w:sz w:val="22"/>
          <w:szCs w:val="22"/>
        </w:rPr>
      </w:pPr>
    </w:p>
    <w:p w:rsidR="00CB5F08" w:rsidRPr="00FF2202" w:rsidP="00880B6F" w14:paraId="3DA609AF" w14:textId="55DBEE03">
      <w:pPr>
        <w:tabs>
          <w:tab w:val="left" w:pos="0"/>
        </w:tabs>
        <w:suppressAutoHyphens/>
        <w:ind w:left="5760" w:hanging="5040"/>
        <w:rPr>
          <w:b/>
          <w:sz w:val="22"/>
          <w:szCs w:val="22"/>
        </w:rPr>
      </w:pPr>
      <w:r w:rsidRPr="00FF2202">
        <w:rPr>
          <w:sz w:val="22"/>
          <w:szCs w:val="22"/>
        </w:rPr>
        <w:t xml:space="preserve">                                                                    In re:</w:t>
      </w:r>
      <w:r w:rsidRPr="00FF2202">
        <w:rPr>
          <w:sz w:val="22"/>
          <w:szCs w:val="22"/>
        </w:rPr>
        <w:tab/>
      </w:r>
      <w:r w:rsidRPr="00FF2202">
        <w:rPr>
          <w:b/>
          <w:sz w:val="22"/>
          <w:szCs w:val="22"/>
        </w:rPr>
        <w:t xml:space="preserve">NCE MX Group </w:t>
      </w:r>
      <w:r w:rsidR="00F41352">
        <w:rPr>
          <w:b/>
          <w:sz w:val="22"/>
          <w:szCs w:val="22"/>
        </w:rPr>
        <w:t>33</w:t>
      </w:r>
    </w:p>
    <w:p w:rsidR="00CB5F08" w:rsidRPr="00FF2202" w:rsidP="00880B6F" w14:paraId="25CE4755" w14:textId="77777777">
      <w:pPr>
        <w:tabs>
          <w:tab w:val="left" w:pos="0"/>
        </w:tabs>
        <w:suppressAutoHyphens/>
        <w:ind w:left="5760" w:hanging="5040"/>
        <w:rPr>
          <w:b/>
          <w:sz w:val="22"/>
          <w:szCs w:val="22"/>
        </w:rPr>
      </w:pPr>
      <w:r w:rsidRPr="00FF2202">
        <w:rPr>
          <w:b/>
          <w:sz w:val="22"/>
          <w:szCs w:val="22"/>
        </w:rPr>
        <w:tab/>
      </w:r>
    </w:p>
    <w:p w:rsidR="00AD199E" w:rsidRPr="00E64869" w:rsidP="00880B6F" w14:paraId="1EC23A92" w14:textId="57645128">
      <w:pPr>
        <w:tabs>
          <w:tab w:val="left" w:pos="0"/>
        </w:tabs>
        <w:suppressAutoHyphens/>
        <w:ind w:left="5760" w:hanging="5040"/>
        <w:rPr>
          <w:b/>
          <w:sz w:val="22"/>
          <w:szCs w:val="22"/>
        </w:rPr>
      </w:pPr>
      <w:r w:rsidRPr="00FF2202">
        <w:rPr>
          <w:b/>
          <w:bCs/>
          <w:sz w:val="22"/>
          <w:szCs w:val="22"/>
        </w:rPr>
        <w:tab/>
      </w:r>
      <w:bookmarkStart w:id="1" w:name="_Hlk104458251"/>
      <w:r w:rsidRPr="00E64869" w:rsidR="008E16E7">
        <w:rPr>
          <w:b/>
          <w:sz w:val="22"/>
          <w:szCs w:val="22"/>
        </w:rPr>
        <w:t xml:space="preserve">Vida Vale </w:t>
      </w:r>
      <w:r w:rsidRPr="00E64869" w:rsidR="008E16E7">
        <w:rPr>
          <w:b/>
          <w:sz w:val="22"/>
          <w:szCs w:val="22"/>
        </w:rPr>
        <w:t>Vivir</w:t>
      </w:r>
      <w:r w:rsidRPr="00E64869" w:rsidR="008E16E7">
        <w:rPr>
          <w:b/>
          <w:sz w:val="22"/>
          <w:szCs w:val="22"/>
        </w:rPr>
        <w:t>, Inc.</w:t>
      </w:r>
      <w:bookmarkEnd w:id="1"/>
      <w:r w:rsidRPr="00E64869" w:rsidR="00CB5F08">
        <w:rPr>
          <w:b/>
          <w:sz w:val="22"/>
          <w:szCs w:val="22"/>
        </w:rPr>
        <w:tab/>
      </w:r>
    </w:p>
    <w:p w:rsidR="00CB5F08" w:rsidRPr="00E64869" w:rsidP="00880B6F" w14:paraId="2E7DEB08" w14:textId="49AF2840">
      <w:pPr>
        <w:tabs>
          <w:tab w:val="left" w:pos="0"/>
        </w:tabs>
        <w:suppressAutoHyphens/>
        <w:ind w:left="5760" w:hanging="5040"/>
        <w:rPr>
          <w:sz w:val="22"/>
          <w:szCs w:val="22"/>
        </w:rPr>
      </w:pPr>
      <w:r w:rsidRPr="00E64869">
        <w:rPr>
          <w:bCs/>
          <w:sz w:val="22"/>
          <w:szCs w:val="22"/>
        </w:rPr>
        <w:tab/>
      </w:r>
      <w:r w:rsidRPr="00E64869">
        <w:rPr>
          <w:sz w:val="22"/>
          <w:szCs w:val="22"/>
        </w:rPr>
        <w:t xml:space="preserve">New NCE (FM), </w:t>
      </w:r>
      <w:r w:rsidRPr="00E64869" w:rsidR="008E16E7">
        <w:rPr>
          <w:bCs/>
          <w:sz w:val="22"/>
          <w:szCs w:val="22"/>
        </w:rPr>
        <w:t>Meridian</w:t>
      </w:r>
      <w:r w:rsidRPr="00E64869">
        <w:rPr>
          <w:sz w:val="22"/>
          <w:szCs w:val="22"/>
        </w:rPr>
        <w:t xml:space="preserve">, </w:t>
      </w:r>
      <w:r w:rsidRPr="00E64869" w:rsidR="008E16E7">
        <w:rPr>
          <w:sz w:val="22"/>
          <w:szCs w:val="22"/>
        </w:rPr>
        <w:t>CA</w:t>
      </w:r>
      <w:r w:rsidRPr="00E64869">
        <w:rPr>
          <w:sz w:val="22"/>
          <w:szCs w:val="22"/>
        </w:rPr>
        <w:tab/>
      </w:r>
    </w:p>
    <w:p w:rsidR="00CB5F08" w:rsidRPr="00F549E5" w:rsidP="00AD199E" w14:paraId="2FAE5784" w14:textId="792E96A7">
      <w:pPr>
        <w:tabs>
          <w:tab w:val="left" w:pos="0"/>
        </w:tabs>
        <w:suppressAutoHyphens/>
        <w:ind w:left="5760" w:hanging="5040"/>
        <w:rPr>
          <w:sz w:val="22"/>
          <w:szCs w:val="22"/>
        </w:rPr>
      </w:pPr>
      <w:r w:rsidRPr="00E64869">
        <w:rPr>
          <w:sz w:val="22"/>
          <w:szCs w:val="22"/>
        </w:rPr>
        <w:tab/>
      </w:r>
      <w:r w:rsidRPr="00F549E5">
        <w:rPr>
          <w:sz w:val="22"/>
          <w:szCs w:val="22"/>
        </w:rPr>
        <w:t xml:space="preserve">Facility ID No. </w:t>
      </w:r>
      <w:r w:rsidRPr="00F549E5" w:rsidR="008E16E7">
        <w:rPr>
          <w:sz w:val="22"/>
          <w:szCs w:val="22"/>
        </w:rPr>
        <w:t>765476</w:t>
      </w:r>
    </w:p>
    <w:p w:rsidR="00CB5F08" w:rsidRPr="00F549E5" w:rsidP="00880B6F" w14:paraId="4E6032FA" w14:textId="25E879D1">
      <w:pPr>
        <w:tabs>
          <w:tab w:val="left" w:pos="0"/>
        </w:tabs>
        <w:suppressAutoHyphens/>
        <w:ind w:left="5760" w:hanging="5040"/>
        <w:rPr>
          <w:sz w:val="22"/>
          <w:szCs w:val="22"/>
        </w:rPr>
      </w:pPr>
      <w:r w:rsidRPr="00F549E5">
        <w:rPr>
          <w:sz w:val="22"/>
          <w:szCs w:val="22"/>
        </w:rPr>
        <w:tab/>
      </w:r>
      <w:r w:rsidRPr="00F549E5" w:rsidR="00F549E5">
        <w:rPr>
          <w:sz w:val="22"/>
          <w:szCs w:val="22"/>
        </w:rPr>
        <w:t xml:space="preserve">Application </w:t>
      </w:r>
      <w:r w:rsidRPr="00F549E5">
        <w:rPr>
          <w:sz w:val="22"/>
          <w:szCs w:val="22"/>
        </w:rPr>
        <w:t>File No. 0</w:t>
      </w:r>
      <w:hyperlink r:id="rId5" w:tgtFrame="lm" w:history="1">
        <w:r w:rsidRPr="00F549E5">
          <w:rPr>
            <w:sz w:val="22"/>
            <w:szCs w:val="22"/>
          </w:rPr>
          <w:t>000</w:t>
        </w:r>
        <w:r w:rsidRPr="00F549E5" w:rsidR="008E16E7">
          <w:rPr>
            <w:sz w:val="22"/>
            <w:szCs w:val="22"/>
          </w:rPr>
          <w:t>165591</w:t>
        </w:r>
        <w:r w:rsidRPr="00F549E5" w:rsidR="00AD199E">
          <w:rPr>
            <w:sz w:val="22"/>
            <w:szCs w:val="22"/>
          </w:rPr>
          <w:t xml:space="preserve"> </w:t>
        </w:r>
      </w:hyperlink>
    </w:p>
    <w:p w:rsidR="001A1C4E" w:rsidRPr="00F549E5" w:rsidP="00880B6F" w14:paraId="61910952" w14:textId="0302C29B">
      <w:pPr>
        <w:tabs>
          <w:tab w:val="left" w:pos="0"/>
        </w:tabs>
        <w:suppressAutoHyphens/>
        <w:ind w:left="5760" w:hanging="5040"/>
        <w:rPr>
          <w:sz w:val="22"/>
          <w:szCs w:val="22"/>
        </w:rPr>
      </w:pPr>
    </w:p>
    <w:p w:rsidR="001A1C4E" w:rsidRPr="00F549E5" w:rsidP="00880B6F" w14:paraId="1BF060BE" w14:textId="218038A8">
      <w:pPr>
        <w:tabs>
          <w:tab w:val="left" w:pos="0"/>
        </w:tabs>
        <w:suppressAutoHyphens/>
        <w:ind w:left="5760" w:hanging="5040"/>
        <w:rPr>
          <w:b/>
          <w:sz w:val="22"/>
          <w:szCs w:val="22"/>
        </w:rPr>
      </w:pPr>
      <w:r w:rsidRPr="00F549E5">
        <w:rPr>
          <w:sz w:val="22"/>
          <w:szCs w:val="22"/>
        </w:rPr>
        <w:tab/>
      </w:r>
      <w:r w:rsidRPr="00F549E5" w:rsidR="008E16E7">
        <w:rPr>
          <w:b/>
          <w:sz w:val="22"/>
          <w:szCs w:val="22"/>
        </w:rPr>
        <w:t>Adventist Compassion Care</w:t>
      </w:r>
      <w:r w:rsidR="00AE24DA">
        <w:rPr>
          <w:b/>
          <w:sz w:val="22"/>
          <w:szCs w:val="22"/>
        </w:rPr>
        <w:t>,</w:t>
      </w:r>
      <w:r w:rsidRPr="00F549E5" w:rsidR="008E16E7">
        <w:rPr>
          <w:b/>
          <w:sz w:val="22"/>
          <w:szCs w:val="22"/>
        </w:rPr>
        <w:t xml:space="preserve"> Inc.</w:t>
      </w:r>
    </w:p>
    <w:p w:rsidR="001A1C4E" w:rsidRPr="00F549E5" w:rsidP="00880B6F" w14:paraId="34729B19" w14:textId="6027F2D0">
      <w:pPr>
        <w:tabs>
          <w:tab w:val="left" w:pos="0"/>
        </w:tabs>
        <w:suppressAutoHyphens/>
        <w:ind w:left="5760" w:hanging="5040"/>
        <w:rPr>
          <w:sz w:val="22"/>
          <w:szCs w:val="22"/>
        </w:rPr>
      </w:pPr>
      <w:r w:rsidRPr="00F549E5">
        <w:rPr>
          <w:b/>
          <w:bCs/>
          <w:sz w:val="22"/>
          <w:szCs w:val="22"/>
        </w:rPr>
        <w:tab/>
      </w:r>
      <w:r w:rsidRPr="00F549E5">
        <w:rPr>
          <w:sz w:val="22"/>
          <w:szCs w:val="22"/>
        </w:rPr>
        <w:t xml:space="preserve">New NCE (FM), </w:t>
      </w:r>
      <w:r w:rsidRPr="00F549E5" w:rsidR="008E16E7">
        <w:rPr>
          <w:bCs/>
          <w:sz w:val="22"/>
          <w:szCs w:val="22"/>
        </w:rPr>
        <w:t>Richfield</w:t>
      </w:r>
      <w:r w:rsidRPr="00F549E5" w:rsidR="002018EA">
        <w:rPr>
          <w:sz w:val="22"/>
          <w:szCs w:val="22"/>
        </w:rPr>
        <w:t xml:space="preserve">, </w:t>
      </w:r>
      <w:r w:rsidRPr="00F549E5" w:rsidR="008E16E7">
        <w:rPr>
          <w:sz w:val="22"/>
          <w:szCs w:val="22"/>
        </w:rPr>
        <w:t>CA</w:t>
      </w:r>
    </w:p>
    <w:p w:rsidR="001A1C4E" w:rsidRPr="00F549E5" w:rsidP="002018EA" w14:paraId="2BB4EF31" w14:textId="655DE7EF">
      <w:pPr>
        <w:tabs>
          <w:tab w:val="left" w:pos="0"/>
        </w:tabs>
        <w:suppressAutoHyphens/>
        <w:ind w:left="5760" w:hanging="5040"/>
        <w:rPr>
          <w:sz w:val="22"/>
          <w:szCs w:val="22"/>
        </w:rPr>
      </w:pPr>
      <w:r w:rsidRPr="00F549E5">
        <w:rPr>
          <w:sz w:val="22"/>
          <w:szCs w:val="22"/>
        </w:rPr>
        <w:tab/>
      </w:r>
      <w:r w:rsidRPr="00F549E5">
        <w:rPr>
          <w:sz w:val="22"/>
          <w:szCs w:val="22"/>
        </w:rPr>
        <w:t xml:space="preserve">Facility ID No. </w:t>
      </w:r>
      <w:r w:rsidRPr="00F549E5" w:rsidR="0020745C">
        <w:rPr>
          <w:sz w:val="22"/>
          <w:szCs w:val="22"/>
        </w:rPr>
        <w:t>768529</w:t>
      </w:r>
    </w:p>
    <w:p w:rsidR="001A1C4E" w:rsidRPr="00F549E5" w:rsidP="00880B6F" w14:paraId="5748EDDC" w14:textId="6A33EE83">
      <w:pPr>
        <w:tabs>
          <w:tab w:val="left" w:pos="0"/>
        </w:tabs>
        <w:suppressAutoHyphens/>
        <w:ind w:left="5760" w:hanging="5040"/>
        <w:rPr>
          <w:sz w:val="22"/>
          <w:szCs w:val="22"/>
        </w:rPr>
      </w:pPr>
      <w:r w:rsidRPr="00F549E5">
        <w:rPr>
          <w:sz w:val="22"/>
          <w:szCs w:val="22"/>
        </w:rPr>
        <w:tab/>
      </w:r>
      <w:r w:rsidRPr="00F549E5" w:rsidR="00F549E5">
        <w:rPr>
          <w:sz w:val="22"/>
          <w:szCs w:val="22"/>
        </w:rPr>
        <w:t>Application File No</w:t>
      </w:r>
      <w:r w:rsidRPr="00F549E5">
        <w:rPr>
          <w:sz w:val="22"/>
          <w:szCs w:val="22"/>
        </w:rPr>
        <w:t xml:space="preserve">. </w:t>
      </w:r>
      <w:r w:rsidRPr="00F549E5" w:rsidR="002018EA">
        <w:rPr>
          <w:sz w:val="22"/>
          <w:szCs w:val="22"/>
        </w:rPr>
        <w:t>0000</w:t>
      </w:r>
      <w:r w:rsidRPr="00F549E5" w:rsidR="008E16E7">
        <w:rPr>
          <w:sz w:val="22"/>
          <w:szCs w:val="22"/>
        </w:rPr>
        <w:t>167631</w:t>
      </w:r>
    </w:p>
    <w:p w:rsidR="008E16E7" w:rsidRPr="00F549E5" w:rsidP="008E16E7" w14:paraId="5590BCF5" w14:textId="77777777">
      <w:pPr>
        <w:tabs>
          <w:tab w:val="left" w:pos="0"/>
        </w:tabs>
        <w:suppressAutoHyphens/>
        <w:ind w:left="5760" w:hanging="5040"/>
        <w:rPr>
          <w:sz w:val="22"/>
          <w:szCs w:val="22"/>
        </w:rPr>
      </w:pPr>
      <w:r w:rsidRPr="00F549E5">
        <w:rPr>
          <w:sz w:val="22"/>
          <w:szCs w:val="22"/>
        </w:rPr>
        <w:tab/>
      </w:r>
    </w:p>
    <w:p w:rsidR="008E16E7" w:rsidRPr="00F549E5" w:rsidP="008E16E7" w14:paraId="7BA7676E" w14:textId="538F79AF">
      <w:pPr>
        <w:tabs>
          <w:tab w:val="left" w:pos="0"/>
        </w:tabs>
        <w:suppressAutoHyphens/>
        <w:ind w:left="5760" w:hanging="5040"/>
        <w:rPr>
          <w:b/>
          <w:sz w:val="22"/>
          <w:szCs w:val="22"/>
        </w:rPr>
      </w:pPr>
      <w:r w:rsidRPr="00F549E5">
        <w:rPr>
          <w:sz w:val="22"/>
          <w:szCs w:val="22"/>
        </w:rPr>
        <w:tab/>
      </w:r>
      <w:bookmarkStart w:id="2" w:name="_Hlk104279088"/>
      <w:r w:rsidRPr="00F549E5">
        <w:rPr>
          <w:b/>
          <w:sz w:val="22"/>
          <w:szCs w:val="22"/>
        </w:rPr>
        <w:t>Stonewall Alliance of Chico</w:t>
      </w:r>
      <w:bookmarkEnd w:id="2"/>
    </w:p>
    <w:p w:rsidR="008E16E7" w:rsidRPr="00F549E5" w:rsidP="008E16E7" w14:paraId="6037E0A5" w14:textId="5CE99CDE">
      <w:pPr>
        <w:tabs>
          <w:tab w:val="left" w:pos="0"/>
        </w:tabs>
        <w:suppressAutoHyphens/>
        <w:ind w:left="5760" w:hanging="5040"/>
        <w:rPr>
          <w:sz w:val="22"/>
          <w:szCs w:val="22"/>
        </w:rPr>
      </w:pPr>
      <w:r w:rsidRPr="00F549E5">
        <w:rPr>
          <w:b/>
          <w:bCs/>
          <w:sz w:val="22"/>
          <w:szCs w:val="22"/>
        </w:rPr>
        <w:tab/>
      </w:r>
      <w:r w:rsidRPr="00F549E5">
        <w:rPr>
          <w:sz w:val="22"/>
          <w:szCs w:val="22"/>
        </w:rPr>
        <w:t xml:space="preserve">New NCE (FM), </w:t>
      </w:r>
      <w:r w:rsidRPr="00F549E5">
        <w:rPr>
          <w:bCs/>
          <w:sz w:val="22"/>
          <w:szCs w:val="22"/>
        </w:rPr>
        <w:t>Willows</w:t>
      </w:r>
      <w:r w:rsidRPr="00F549E5">
        <w:rPr>
          <w:sz w:val="22"/>
          <w:szCs w:val="22"/>
        </w:rPr>
        <w:t>, CA</w:t>
      </w:r>
    </w:p>
    <w:p w:rsidR="008E16E7" w:rsidRPr="00F549E5" w:rsidP="008E16E7" w14:paraId="5AB1F32E" w14:textId="0405E303">
      <w:pPr>
        <w:tabs>
          <w:tab w:val="left" w:pos="0"/>
        </w:tabs>
        <w:suppressAutoHyphens/>
        <w:ind w:left="5760" w:hanging="5040"/>
        <w:rPr>
          <w:sz w:val="22"/>
          <w:szCs w:val="22"/>
        </w:rPr>
      </w:pPr>
      <w:r w:rsidRPr="00F549E5">
        <w:rPr>
          <w:sz w:val="22"/>
          <w:szCs w:val="22"/>
        </w:rPr>
        <w:tab/>
        <w:t xml:space="preserve">Facility ID No. </w:t>
      </w:r>
      <w:r w:rsidRPr="00F549E5" w:rsidR="0020745C">
        <w:rPr>
          <w:sz w:val="22"/>
          <w:szCs w:val="22"/>
        </w:rPr>
        <w:t>768720</w:t>
      </w:r>
    </w:p>
    <w:p w:rsidR="008E16E7" w:rsidRPr="00F549E5" w:rsidP="008E16E7" w14:paraId="77CB125C" w14:textId="166AFAD2">
      <w:pPr>
        <w:tabs>
          <w:tab w:val="left" w:pos="0"/>
        </w:tabs>
        <w:suppressAutoHyphens/>
        <w:ind w:left="5760" w:hanging="5040"/>
        <w:rPr>
          <w:sz w:val="22"/>
          <w:szCs w:val="22"/>
        </w:rPr>
      </w:pPr>
      <w:r w:rsidRPr="00F549E5">
        <w:rPr>
          <w:sz w:val="22"/>
          <w:szCs w:val="22"/>
        </w:rPr>
        <w:tab/>
      </w:r>
      <w:r w:rsidRPr="00F549E5" w:rsidR="00F549E5">
        <w:rPr>
          <w:sz w:val="22"/>
          <w:szCs w:val="22"/>
        </w:rPr>
        <w:t>Application File No</w:t>
      </w:r>
      <w:r w:rsidRPr="00F549E5">
        <w:rPr>
          <w:sz w:val="22"/>
          <w:szCs w:val="22"/>
        </w:rPr>
        <w:t>. 0000167629</w:t>
      </w:r>
    </w:p>
    <w:p w:rsidR="008E16E7" w:rsidRPr="0083207D" w:rsidP="00880B6F" w14:paraId="20586F02" w14:textId="77777777">
      <w:pPr>
        <w:tabs>
          <w:tab w:val="left" w:pos="0"/>
        </w:tabs>
        <w:suppressAutoHyphens/>
        <w:ind w:left="5760" w:hanging="5040"/>
        <w:rPr>
          <w:color w:val="FF0000"/>
          <w:sz w:val="22"/>
          <w:szCs w:val="22"/>
        </w:rPr>
      </w:pPr>
    </w:p>
    <w:p w:rsidR="00CB5F08" w:rsidRPr="0083207D" w:rsidP="00880B6F" w14:paraId="50B2F795" w14:textId="35C1498B">
      <w:pPr>
        <w:tabs>
          <w:tab w:val="left" w:pos="0"/>
        </w:tabs>
        <w:suppressAutoHyphens/>
        <w:ind w:left="5760" w:hanging="5040"/>
        <w:rPr>
          <w:b/>
          <w:color w:val="FF0000"/>
          <w:sz w:val="22"/>
          <w:szCs w:val="22"/>
        </w:rPr>
      </w:pPr>
      <w:r w:rsidRPr="0083207D">
        <w:rPr>
          <w:b/>
          <w:bCs/>
          <w:color w:val="FF0000"/>
          <w:sz w:val="22"/>
          <w:szCs w:val="22"/>
        </w:rPr>
        <w:tab/>
      </w:r>
      <w:r w:rsidRPr="0020745C" w:rsidR="00FB3C65">
        <w:rPr>
          <w:b/>
          <w:sz w:val="22"/>
          <w:szCs w:val="22"/>
        </w:rPr>
        <w:t>Petition to Deny</w:t>
      </w:r>
    </w:p>
    <w:p w:rsidR="00CB5F08" w:rsidRPr="00FF2202" w:rsidP="00CB5F08" w14:paraId="7CD0F900" w14:textId="77777777">
      <w:pPr>
        <w:tabs>
          <w:tab w:val="left" w:pos="4680"/>
          <w:tab w:val="left" w:pos="5040"/>
        </w:tabs>
        <w:rPr>
          <w:sz w:val="22"/>
          <w:szCs w:val="22"/>
        </w:rPr>
      </w:pPr>
      <w:r w:rsidRPr="00FF2202">
        <w:rPr>
          <w:sz w:val="22"/>
          <w:szCs w:val="22"/>
        </w:rPr>
        <w:tab/>
      </w:r>
      <w:r w:rsidRPr="00FF2202">
        <w:rPr>
          <w:sz w:val="22"/>
          <w:szCs w:val="22"/>
        </w:rPr>
        <w:tab/>
      </w:r>
    </w:p>
    <w:p w:rsidR="00CB5F08" w:rsidRPr="00F70F22" w:rsidP="00B31FD9" w14:paraId="77ED6816" w14:textId="60BD705C">
      <w:pPr>
        <w:tabs>
          <w:tab w:val="left" w:pos="6840"/>
        </w:tabs>
        <w:spacing w:after="120"/>
        <w:rPr>
          <w:sz w:val="22"/>
          <w:szCs w:val="22"/>
        </w:rPr>
      </w:pPr>
      <w:r w:rsidRPr="00F70F22">
        <w:rPr>
          <w:sz w:val="22"/>
          <w:szCs w:val="22"/>
        </w:rPr>
        <w:t>Dear Applicant</w:t>
      </w:r>
      <w:r w:rsidRPr="00F70F22" w:rsidR="00F549E5">
        <w:rPr>
          <w:sz w:val="22"/>
          <w:szCs w:val="22"/>
        </w:rPr>
        <w:t xml:space="preserve">s </w:t>
      </w:r>
      <w:r w:rsidRPr="00F70F22" w:rsidR="0020745C">
        <w:rPr>
          <w:sz w:val="22"/>
          <w:szCs w:val="22"/>
        </w:rPr>
        <w:t>and Counsel</w:t>
      </w:r>
      <w:r w:rsidRPr="00F70F22">
        <w:rPr>
          <w:sz w:val="22"/>
          <w:szCs w:val="22"/>
        </w:rPr>
        <w:t>:</w:t>
      </w:r>
    </w:p>
    <w:p w:rsidR="00CB5F08" w:rsidRPr="00F70F22" w:rsidP="00B31FD9" w14:paraId="627693E9" w14:textId="5826EE8D">
      <w:pPr>
        <w:pStyle w:val="ParaNum"/>
        <w:widowControl/>
        <w:numPr>
          <w:ilvl w:val="0"/>
          <w:numId w:val="0"/>
        </w:numPr>
        <w:ind w:firstLine="720"/>
        <w:rPr>
          <w:szCs w:val="22"/>
        </w:rPr>
      </w:pPr>
      <w:r w:rsidRPr="00F70F22">
        <w:rPr>
          <w:szCs w:val="22"/>
        </w:rPr>
        <w:t xml:space="preserve">We have before us </w:t>
      </w:r>
      <w:r w:rsidRPr="00F70F22" w:rsidR="00DC73DA">
        <w:rPr>
          <w:szCs w:val="22"/>
        </w:rPr>
        <w:t>three</w:t>
      </w:r>
      <w:r w:rsidRPr="00F70F22">
        <w:rPr>
          <w:szCs w:val="22"/>
        </w:rPr>
        <w:t xml:space="preserve"> mutually exclusive</w:t>
      </w:r>
      <w:r w:rsidRPr="00F70F22" w:rsidR="00FF3D4D">
        <w:rPr>
          <w:szCs w:val="22"/>
        </w:rPr>
        <w:t xml:space="preserve"> (MX)</w:t>
      </w:r>
      <w:r w:rsidRPr="00F70F22">
        <w:rPr>
          <w:szCs w:val="22"/>
        </w:rPr>
        <w:t xml:space="preserve"> applications filed by </w:t>
      </w:r>
      <w:r w:rsidRPr="00F70F22" w:rsidR="00DC73DA">
        <w:rPr>
          <w:bCs/>
          <w:snapToGrid/>
          <w:szCs w:val="22"/>
        </w:rPr>
        <w:t xml:space="preserve">Vida Vale </w:t>
      </w:r>
      <w:r w:rsidRPr="00F70F22" w:rsidR="00DC73DA">
        <w:rPr>
          <w:bCs/>
          <w:snapToGrid/>
          <w:szCs w:val="22"/>
        </w:rPr>
        <w:t>Vivir</w:t>
      </w:r>
      <w:r w:rsidRPr="00F70F22" w:rsidR="00DC73DA">
        <w:rPr>
          <w:bCs/>
          <w:snapToGrid/>
          <w:szCs w:val="22"/>
        </w:rPr>
        <w:t xml:space="preserve">, Inc. (VVVI), </w:t>
      </w:r>
      <w:bookmarkStart w:id="3" w:name="_Hlk114671536"/>
      <w:r w:rsidRPr="00F70F22" w:rsidR="00DC73DA">
        <w:rPr>
          <w:bCs/>
          <w:snapToGrid/>
          <w:szCs w:val="22"/>
        </w:rPr>
        <w:t>Adventist Compassion Care</w:t>
      </w:r>
      <w:r w:rsidRPr="00F70F22" w:rsidR="00AE24DA">
        <w:rPr>
          <w:bCs/>
          <w:snapToGrid/>
          <w:szCs w:val="22"/>
        </w:rPr>
        <w:t>,</w:t>
      </w:r>
      <w:r w:rsidRPr="00F70F22" w:rsidR="00DC73DA">
        <w:rPr>
          <w:bCs/>
          <w:snapToGrid/>
          <w:szCs w:val="22"/>
        </w:rPr>
        <w:t xml:space="preserve"> Inc.</w:t>
      </w:r>
      <w:bookmarkEnd w:id="3"/>
      <w:r w:rsidRPr="00F70F22" w:rsidR="00DC73DA">
        <w:rPr>
          <w:bCs/>
          <w:snapToGrid/>
          <w:szCs w:val="22"/>
        </w:rPr>
        <w:t xml:space="preserve"> (</w:t>
      </w:r>
      <w:bookmarkStart w:id="4" w:name="_Hlk103767009"/>
      <w:r w:rsidRPr="00F70F22" w:rsidR="00DC73DA">
        <w:rPr>
          <w:bCs/>
          <w:snapToGrid/>
          <w:szCs w:val="22"/>
        </w:rPr>
        <w:t>ACCI</w:t>
      </w:r>
      <w:bookmarkEnd w:id="4"/>
      <w:r w:rsidRPr="00F70F22" w:rsidR="00DC73DA">
        <w:rPr>
          <w:bCs/>
          <w:snapToGrid/>
          <w:szCs w:val="22"/>
        </w:rPr>
        <w:t xml:space="preserve">), </w:t>
      </w:r>
      <w:r w:rsidRPr="00F70F22">
        <w:rPr>
          <w:rFonts w:eastAsia="Calibri"/>
          <w:iCs/>
          <w:snapToGrid/>
          <w:szCs w:val="22"/>
        </w:rPr>
        <w:t xml:space="preserve">and </w:t>
      </w:r>
      <w:bookmarkStart w:id="5" w:name="_Hlk114671564"/>
      <w:r w:rsidRPr="00F70F22" w:rsidR="00DC73DA">
        <w:rPr>
          <w:bCs/>
          <w:snapToGrid/>
          <w:szCs w:val="22"/>
        </w:rPr>
        <w:t xml:space="preserve">Stonewall Alliance of Chico </w:t>
      </w:r>
      <w:bookmarkEnd w:id="5"/>
      <w:r w:rsidRPr="00F70F22" w:rsidR="00DC73DA">
        <w:rPr>
          <w:bCs/>
          <w:snapToGrid/>
          <w:szCs w:val="22"/>
        </w:rPr>
        <w:t xml:space="preserve">(SAC) </w:t>
      </w:r>
      <w:r w:rsidRPr="00F70F22">
        <w:rPr>
          <w:szCs w:val="22"/>
        </w:rPr>
        <w:t xml:space="preserve">for construction permits for new noncommercial educational (NCE) FM stations in various communities in </w:t>
      </w:r>
      <w:r w:rsidRPr="00F70F22" w:rsidR="00DC73DA">
        <w:rPr>
          <w:szCs w:val="22"/>
        </w:rPr>
        <w:t>California</w:t>
      </w:r>
      <w:r w:rsidRPr="00F70F22">
        <w:rPr>
          <w:szCs w:val="22"/>
        </w:rPr>
        <w:t xml:space="preserve">, which the Media Bureau (Bureau) designated as NCE MX Group </w:t>
      </w:r>
      <w:r w:rsidRPr="00F70F22" w:rsidR="00DC73DA">
        <w:rPr>
          <w:szCs w:val="22"/>
        </w:rPr>
        <w:t>33</w:t>
      </w:r>
      <w:r w:rsidRPr="00F70F22">
        <w:rPr>
          <w:szCs w:val="22"/>
        </w:rPr>
        <w:t>.</w:t>
      </w:r>
      <w:r>
        <w:rPr>
          <w:rStyle w:val="FootnoteReference"/>
          <w:rFonts w:ascii="Times New Roman" w:hAnsi="Times New Roman"/>
          <w:sz w:val="22"/>
          <w:szCs w:val="22"/>
        </w:rPr>
        <w:footnoteReference w:id="3"/>
      </w:r>
      <w:r w:rsidRPr="00F70F22">
        <w:rPr>
          <w:szCs w:val="22"/>
        </w:rPr>
        <w:t xml:space="preserve">  The </w:t>
      </w:r>
      <w:r w:rsidR="009A48F5">
        <w:rPr>
          <w:szCs w:val="22"/>
        </w:rPr>
        <w:t>Commission</w:t>
      </w:r>
      <w:r w:rsidRPr="00F70F22" w:rsidR="009A48F5">
        <w:rPr>
          <w:szCs w:val="22"/>
        </w:rPr>
        <w:t xml:space="preserve"> </w:t>
      </w:r>
      <w:r w:rsidRPr="00F70F22">
        <w:rPr>
          <w:szCs w:val="22"/>
        </w:rPr>
        <w:t xml:space="preserve">identified the </w:t>
      </w:r>
      <w:r w:rsidRPr="00F70F22" w:rsidR="00557461">
        <w:rPr>
          <w:rFonts w:eastAsia="Calibri"/>
          <w:iCs/>
          <w:snapToGrid/>
          <w:szCs w:val="22"/>
        </w:rPr>
        <w:t>SAC</w:t>
      </w:r>
      <w:r w:rsidRPr="00F70F22">
        <w:rPr>
          <w:szCs w:val="22"/>
        </w:rPr>
        <w:t xml:space="preserve"> </w:t>
      </w:r>
      <w:r w:rsidRPr="00F70F22" w:rsidR="00AB0305">
        <w:rPr>
          <w:szCs w:val="22"/>
        </w:rPr>
        <w:t xml:space="preserve">Application </w:t>
      </w:r>
      <w:r w:rsidRPr="00F70F22">
        <w:rPr>
          <w:szCs w:val="22"/>
        </w:rPr>
        <w:t>as the tentative selectee of the group.</w:t>
      </w:r>
      <w:r>
        <w:rPr>
          <w:rStyle w:val="FootnoteReference"/>
          <w:rFonts w:ascii="Times New Roman" w:hAnsi="Times New Roman"/>
          <w:sz w:val="22"/>
          <w:szCs w:val="22"/>
        </w:rPr>
        <w:footnoteReference w:id="4"/>
      </w:r>
      <w:r w:rsidRPr="00F70F22">
        <w:rPr>
          <w:szCs w:val="22"/>
        </w:rPr>
        <w:t xml:space="preserve">  We also have before us a</w:t>
      </w:r>
      <w:r w:rsidRPr="00F70F22" w:rsidR="002B6E77">
        <w:rPr>
          <w:szCs w:val="22"/>
        </w:rPr>
        <w:t xml:space="preserve"> Petition to Deny </w:t>
      </w:r>
      <w:r w:rsidRPr="00F70F22">
        <w:rPr>
          <w:szCs w:val="22"/>
        </w:rPr>
        <w:t>(</w:t>
      </w:r>
      <w:r w:rsidRPr="00F70F22" w:rsidR="002B6E77">
        <w:rPr>
          <w:szCs w:val="22"/>
        </w:rPr>
        <w:t>Petition</w:t>
      </w:r>
      <w:r w:rsidRPr="00F70F22">
        <w:rPr>
          <w:szCs w:val="22"/>
        </w:rPr>
        <w:t xml:space="preserve">) the </w:t>
      </w:r>
      <w:r w:rsidRPr="00F70F22" w:rsidR="00557461">
        <w:rPr>
          <w:rFonts w:eastAsia="Calibri"/>
          <w:iCs/>
          <w:snapToGrid/>
          <w:szCs w:val="22"/>
        </w:rPr>
        <w:t>SAC</w:t>
      </w:r>
      <w:r w:rsidRPr="00F70F22">
        <w:rPr>
          <w:szCs w:val="22"/>
        </w:rPr>
        <w:t xml:space="preserve"> Application</w:t>
      </w:r>
      <w:r w:rsidR="005C4C58">
        <w:rPr>
          <w:szCs w:val="22"/>
        </w:rPr>
        <w:t>,</w:t>
      </w:r>
      <w:r w:rsidRPr="00F70F22">
        <w:rPr>
          <w:szCs w:val="22"/>
        </w:rPr>
        <w:t xml:space="preserve"> filed on </w:t>
      </w:r>
      <w:r w:rsidRPr="00F70F22" w:rsidR="00557461">
        <w:rPr>
          <w:szCs w:val="22"/>
        </w:rPr>
        <w:t>August</w:t>
      </w:r>
      <w:r w:rsidRPr="00F70F22">
        <w:rPr>
          <w:szCs w:val="22"/>
        </w:rPr>
        <w:t xml:space="preserve"> 2</w:t>
      </w:r>
      <w:r w:rsidRPr="00F70F22" w:rsidR="00557461">
        <w:rPr>
          <w:szCs w:val="22"/>
        </w:rPr>
        <w:t>3</w:t>
      </w:r>
      <w:r w:rsidRPr="00F70F22">
        <w:rPr>
          <w:szCs w:val="22"/>
        </w:rPr>
        <w:t xml:space="preserve">, 2022, by </w:t>
      </w:r>
      <w:r w:rsidRPr="00F70F22" w:rsidR="00557461">
        <w:rPr>
          <w:rFonts w:eastAsia="Calibri"/>
          <w:iCs/>
          <w:snapToGrid/>
          <w:szCs w:val="22"/>
        </w:rPr>
        <w:t>VVVI</w:t>
      </w:r>
      <w:r w:rsidRPr="00F70F22">
        <w:rPr>
          <w:szCs w:val="22"/>
        </w:rPr>
        <w:t>, and related pleadings.</w:t>
      </w:r>
      <w:r>
        <w:rPr>
          <w:rStyle w:val="FootnoteReference"/>
          <w:rFonts w:ascii="Times New Roman" w:hAnsi="Times New Roman"/>
          <w:sz w:val="22"/>
          <w:szCs w:val="22"/>
        </w:rPr>
        <w:footnoteReference w:id="5"/>
      </w:r>
      <w:r w:rsidRPr="00F70F22">
        <w:rPr>
          <w:szCs w:val="22"/>
        </w:rPr>
        <w:t xml:space="preserve">  For the reasons set forth below, we deny the </w:t>
      </w:r>
      <w:r w:rsidRPr="00F70F22" w:rsidR="002B6E77">
        <w:rPr>
          <w:szCs w:val="22"/>
        </w:rPr>
        <w:t>Petition</w:t>
      </w:r>
      <w:r w:rsidRPr="00F70F22" w:rsidR="00DF30EF">
        <w:rPr>
          <w:szCs w:val="22"/>
        </w:rPr>
        <w:t>,</w:t>
      </w:r>
      <w:r w:rsidRPr="00F70F22" w:rsidR="006C46F1">
        <w:rPr>
          <w:szCs w:val="22"/>
        </w:rPr>
        <w:t xml:space="preserve"> dismiss the </w:t>
      </w:r>
      <w:r w:rsidRPr="00F70F22" w:rsidR="00DF30EF">
        <w:rPr>
          <w:szCs w:val="22"/>
        </w:rPr>
        <w:t>VVVI</w:t>
      </w:r>
      <w:r w:rsidRPr="00F70F22" w:rsidR="00D66ED9">
        <w:rPr>
          <w:szCs w:val="22"/>
        </w:rPr>
        <w:t xml:space="preserve"> Application, dismiss the A</w:t>
      </w:r>
      <w:r w:rsidRPr="00F70F22" w:rsidR="00DF30EF">
        <w:rPr>
          <w:szCs w:val="22"/>
        </w:rPr>
        <w:t>CCI Application</w:t>
      </w:r>
      <w:r w:rsidRPr="00F70F22" w:rsidR="00D66ED9">
        <w:rPr>
          <w:szCs w:val="22"/>
        </w:rPr>
        <w:t>, and grant the SAC Application.</w:t>
      </w:r>
    </w:p>
    <w:p w:rsidR="00FF2202" w:rsidRPr="00F70F22" w:rsidP="00B31FD9" w14:paraId="6B4916DC" w14:textId="3CB0B349">
      <w:pPr>
        <w:pStyle w:val="ParaNum"/>
        <w:widowControl/>
        <w:numPr>
          <w:ilvl w:val="0"/>
          <w:numId w:val="0"/>
        </w:numPr>
        <w:ind w:firstLine="720"/>
        <w:rPr>
          <w:snapToGrid/>
          <w:color w:val="FF0000"/>
          <w:szCs w:val="22"/>
        </w:rPr>
      </w:pPr>
      <w:r w:rsidRPr="00F70F22">
        <w:rPr>
          <w:rFonts w:eastAsia="Calibri"/>
          <w:i/>
          <w:szCs w:val="22"/>
        </w:rPr>
        <w:t xml:space="preserve">Background. </w:t>
      </w:r>
      <w:r w:rsidRPr="00F70F22">
        <w:rPr>
          <w:rFonts w:eastAsia="Calibri"/>
          <w:iCs/>
          <w:szCs w:val="22"/>
        </w:rPr>
        <w:t xml:space="preserve"> </w:t>
      </w:r>
      <w:r w:rsidRPr="00F70F22">
        <w:rPr>
          <w:szCs w:val="22"/>
        </w:rPr>
        <w:t xml:space="preserve">The subject applications were filed during the </w:t>
      </w:r>
      <w:r w:rsidR="000652F1">
        <w:rPr>
          <w:szCs w:val="22"/>
        </w:rPr>
        <w:t xml:space="preserve">November </w:t>
      </w:r>
      <w:r w:rsidRPr="00F70F22">
        <w:rPr>
          <w:szCs w:val="22"/>
        </w:rPr>
        <w:t xml:space="preserve">2021 NCE </w:t>
      </w:r>
      <w:r w:rsidR="000652F1">
        <w:rPr>
          <w:szCs w:val="22"/>
        </w:rPr>
        <w:t xml:space="preserve">FM </w:t>
      </w:r>
      <w:r w:rsidRPr="00F70F22">
        <w:rPr>
          <w:szCs w:val="22"/>
        </w:rPr>
        <w:t>filing window.</w:t>
      </w:r>
      <w:r>
        <w:rPr>
          <w:rStyle w:val="FootnoteReference"/>
          <w:rFonts w:ascii="Times New Roman" w:hAnsi="Times New Roman"/>
          <w:sz w:val="22"/>
          <w:szCs w:val="22"/>
        </w:rPr>
        <w:footnoteReference w:id="6"/>
      </w:r>
      <w:r w:rsidRPr="00F70F22">
        <w:rPr>
          <w:szCs w:val="22"/>
        </w:rPr>
        <w:t xml:space="preserve">  </w:t>
      </w:r>
      <w:r w:rsidRPr="00F70F22">
        <w:rPr>
          <w:rFonts w:eastAsia="Calibri"/>
          <w:iCs/>
          <w:szCs w:val="22"/>
        </w:rPr>
        <w:t xml:space="preserve">In the </w:t>
      </w:r>
      <w:r w:rsidRPr="00F70F22" w:rsidR="00F7290A">
        <w:rPr>
          <w:i/>
          <w:iCs/>
          <w:szCs w:val="22"/>
        </w:rPr>
        <w:t>Comparative Consideration</w:t>
      </w:r>
      <w:r w:rsidRPr="00F70F22" w:rsidR="000D7A76">
        <w:rPr>
          <w:i/>
          <w:iCs/>
          <w:szCs w:val="22"/>
        </w:rPr>
        <w:t xml:space="preserve"> MO&amp;O</w:t>
      </w:r>
      <w:r w:rsidRPr="00F70F22" w:rsidR="00EC0657">
        <w:rPr>
          <w:szCs w:val="22"/>
        </w:rPr>
        <w:t>,</w:t>
      </w:r>
      <w:r w:rsidRPr="00F70F22">
        <w:rPr>
          <w:rFonts w:eastAsia="Calibri"/>
          <w:iCs/>
          <w:szCs w:val="22"/>
        </w:rPr>
        <w:t xml:space="preserve"> </w:t>
      </w:r>
      <w:r w:rsidRPr="00F70F22">
        <w:rPr>
          <w:szCs w:val="22"/>
        </w:rPr>
        <w:t xml:space="preserve">the </w:t>
      </w:r>
      <w:r w:rsidR="00E53E77">
        <w:rPr>
          <w:szCs w:val="22"/>
        </w:rPr>
        <w:t>Commission</w:t>
      </w:r>
      <w:r w:rsidRPr="00F70F22" w:rsidR="00E53E77">
        <w:rPr>
          <w:szCs w:val="22"/>
        </w:rPr>
        <w:t xml:space="preserve"> </w:t>
      </w:r>
      <w:r w:rsidRPr="00F70F22">
        <w:rPr>
          <w:szCs w:val="22"/>
        </w:rPr>
        <w:t xml:space="preserve">conducted a fair distribution analysis </w:t>
      </w:r>
      <w:r w:rsidRPr="00F70F22" w:rsidR="0084698F">
        <w:rPr>
          <w:szCs w:val="22"/>
        </w:rPr>
        <w:t xml:space="preserve">pursuant to section 307(b) of the Communications Act of 1934, as amended (Act), </w:t>
      </w:r>
      <w:r w:rsidRPr="00F70F22" w:rsidR="00EE06C1">
        <w:rPr>
          <w:szCs w:val="22"/>
        </w:rPr>
        <w:t xml:space="preserve">in which it eliminated </w:t>
      </w:r>
      <w:r w:rsidRPr="00F70F22" w:rsidR="00BB36E4">
        <w:rPr>
          <w:szCs w:val="22"/>
        </w:rPr>
        <w:t xml:space="preserve">the </w:t>
      </w:r>
      <w:r w:rsidRPr="00F70F22" w:rsidR="00EE06C1">
        <w:rPr>
          <w:szCs w:val="22"/>
        </w:rPr>
        <w:t>ACCI</w:t>
      </w:r>
      <w:r w:rsidRPr="00F70F22" w:rsidR="00BB36E4">
        <w:rPr>
          <w:szCs w:val="22"/>
        </w:rPr>
        <w:t xml:space="preserve"> Application</w:t>
      </w:r>
      <w:r w:rsidRPr="00F70F22" w:rsidR="00EE06C1">
        <w:rPr>
          <w:szCs w:val="22"/>
        </w:rPr>
        <w:t xml:space="preserve"> because it did not claim a fair distribution preference</w:t>
      </w:r>
      <w:r w:rsidRPr="00F70F22" w:rsidR="00955666">
        <w:rPr>
          <w:szCs w:val="22"/>
        </w:rPr>
        <w:t>.</w:t>
      </w:r>
      <w:r>
        <w:rPr>
          <w:rStyle w:val="FootnoteReference"/>
          <w:rFonts w:ascii="Times New Roman" w:hAnsi="Times New Roman"/>
          <w:sz w:val="22"/>
          <w:szCs w:val="22"/>
        </w:rPr>
        <w:footnoteReference w:id="7"/>
      </w:r>
      <w:r w:rsidRPr="00F70F22" w:rsidR="00955666">
        <w:rPr>
          <w:szCs w:val="22"/>
        </w:rPr>
        <w:t xml:space="preserve"> </w:t>
      </w:r>
      <w:r w:rsidR="00C64CF9">
        <w:rPr>
          <w:szCs w:val="22"/>
        </w:rPr>
        <w:t xml:space="preserve"> </w:t>
      </w:r>
      <w:r w:rsidRPr="00F70F22" w:rsidR="00955666">
        <w:rPr>
          <w:szCs w:val="22"/>
        </w:rPr>
        <w:t xml:space="preserve">The </w:t>
      </w:r>
      <w:r w:rsidR="00E53E77">
        <w:rPr>
          <w:szCs w:val="22"/>
        </w:rPr>
        <w:t>Commission</w:t>
      </w:r>
      <w:r w:rsidRPr="00F70F22" w:rsidR="00E53E77">
        <w:rPr>
          <w:szCs w:val="22"/>
        </w:rPr>
        <w:t xml:space="preserve"> </w:t>
      </w:r>
      <w:r w:rsidRPr="00F70F22" w:rsidR="00955666">
        <w:rPr>
          <w:szCs w:val="22"/>
        </w:rPr>
        <w:t>d</w:t>
      </w:r>
      <w:r w:rsidRPr="00F70F22" w:rsidR="00EE06C1">
        <w:rPr>
          <w:szCs w:val="22"/>
        </w:rPr>
        <w:t xml:space="preserve">etermined that the </w:t>
      </w:r>
      <w:r w:rsidRPr="00F70F22" w:rsidR="00EE06C1">
        <w:rPr>
          <w:szCs w:val="22"/>
          <w:shd w:val="clear" w:color="auto" w:fill="FFFFFF"/>
        </w:rPr>
        <w:t>VVVI and SAC</w:t>
      </w:r>
      <w:r w:rsidRPr="00F70F22" w:rsidR="00EE06C1">
        <w:rPr>
          <w:szCs w:val="22"/>
        </w:rPr>
        <w:t xml:space="preserve"> Applications were </w:t>
      </w:r>
      <w:r w:rsidR="00C64CF9">
        <w:rPr>
          <w:szCs w:val="22"/>
        </w:rPr>
        <w:t xml:space="preserve">each </w:t>
      </w:r>
      <w:r w:rsidRPr="00F70F22" w:rsidR="00EE06C1">
        <w:rPr>
          <w:szCs w:val="22"/>
        </w:rPr>
        <w:t xml:space="preserve">eligible for a fair distribution preference based on </w:t>
      </w:r>
      <w:r w:rsidRPr="00F70F22" w:rsidR="00713E12">
        <w:rPr>
          <w:snapToGrid/>
          <w:szCs w:val="22"/>
        </w:rPr>
        <w:t>first and second NCE service population totals</w:t>
      </w:r>
      <w:r w:rsidRPr="00F70F22" w:rsidR="00EE06C1">
        <w:rPr>
          <w:szCs w:val="22"/>
        </w:rPr>
        <w:t xml:space="preserve">, but </w:t>
      </w:r>
      <w:r w:rsidR="00C64CF9">
        <w:rPr>
          <w:szCs w:val="22"/>
        </w:rPr>
        <w:t>because the</w:t>
      </w:r>
      <w:r w:rsidRPr="00F70F22" w:rsidR="00EE06C1">
        <w:rPr>
          <w:szCs w:val="22"/>
        </w:rPr>
        <w:t xml:space="preserve"> applications were comparable</w:t>
      </w:r>
      <w:r w:rsidR="00C64CF9">
        <w:rPr>
          <w:szCs w:val="22"/>
        </w:rPr>
        <w:t>,</w:t>
      </w:r>
      <w:r>
        <w:rPr>
          <w:rStyle w:val="FootnoteReference"/>
          <w:rFonts w:ascii="Times New Roman" w:hAnsi="Times New Roman"/>
          <w:sz w:val="22"/>
          <w:szCs w:val="22"/>
        </w:rPr>
        <w:footnoteReference w:id="8"/>
      </w:r>
      <w:r w:rsidRPr="00F70F22" w:rsidR="00713E12">
        <w:rPr>
          <w:szCs w:val="22"/>
        </w:rPr>
        <w:t xml:space="preserve">  </w:t>
      </w:r>
      <w:r w:rsidR="00CF0BBB">
        <w:rPr>
          <w:szCs w:val="22"/>
        </w:rPr>
        <w:t>t</w:t>
      </w:r>
      <w:r w:rsidRPr="00F70F22" w:rsidR="003D05AF">
        <w:rPr>
          <w:szCs w:val="22"/>
        </w:rPr>
        <w:t xml:space="preserve">he </w:t>
      </w:r>
      <w:r w:rsidRPr="00F70F22" w:rsidR="00156014">
        <w:rPr>
          <w:szCs w:val="22"/>
          <w:shd w:val="clear" w:color="auto" w:fill="FFFFFF"/>
        </w:rPr>
        <w:t xml:space="preserve">VVVI and SAC </w:t>
      </w:r>
      <w:r w:rsidRPr="00F70F22" w:rsidR="003D05AF">
        <w:rPr>
          <w:szCs w:val="22"/>
          <w:shd w:val="clear" w:color="auto" w:fill="FFFFFF"/>
        </w:rPr>
        <w:t xml:space="preserve">Applications </w:t>
      </w:r>
      <w:r w:rsidRPr="00F70F22" w:rsidR="00156014">
        <w:rPr>
          <w:szCs w:val="22"/>
        </w:rPr>
        <w:t>proceeded to a point system analysis</w:t>
      </w:r>
      <w:r w:rsidRPr="00F70F22" w:rsidR="00BB36E4">
        <w:rPr>
          <w:szCs w:val="22"/>
        </w:rPr>
        <w:t>.</w:t>
      </w:r>
      <w:r w:rsidRPr="00F70F22" w:rsidR="00A078F6">
        <w:rPr>
          <w:szCs w:val="22"/>
        </w:rPr>
        <w:t xml:space="preserve">  The </w:t>
      </w:r>
      <w:r w:rsidRPr="00F70F22" w:rsidR="00BB36E4">
        <w:rPr>
          <w:szCs w:val="22"/>
        </w:rPr>
        <w:t>Commission</w:t>
      </w:r>
      <w:r w:rsidRPr="00F70F22" w:rsidR="00A078F6">
        <w:rPr>
          <w:szCs w:val="22"/>
        </w:rPr>
        <w:t xml:space="preserve"> awarded both VVVI and SAC two points for diversity of ownership</w:t>
      </w:r>
      <w:r w:rsidRPr="00F70F22" w:rsidR="005D2B4C">
        <w:rPr>
          <w:szCs w:val="22"/>
        </w:rPr>
        <w:t xml:space="preserve"> and </w:t>
      </w:r>
      <w:r w:rsidRPr="00F70F22" w:rsidR="00EC0657">
        <w:rPr>
          <w:szCs w:val="22"/>
        </w:rPr>
        <w:t xml:space="preserve">awarded </w:t>
      </w:r>
      <w:r w:rsidRPr="00F70F22" w:rsidR="005D2B4C">
        <w:rPr>
          <w:szCs w:val="22"/>
        </w:rPr>
        <w:t xml:space="preserve">SAC </w:t>
      </w:r>
      <w:r w:rsidRPr="00F70F22" w:rsidR="005D2B4C">
        <w:rPr>
          <w:snapToGrid/>
          <w:szCs w:val="22"/>
        </w:rPr>
        <w:t xml:space="preserve">three points </w:t>
      </w:r>
      <w:bookmarkStart w:id="6" w:name="_Hlk114756089"/>
      <w:r w:rsidRPr="00F70F22" w:rsidR="005D2B4C">
        <w:rPr>
          <w:snapToGrid/>
          <w:szCs w:val="22"/>
        </w:rPr>
        <w:t>as an established local applicant</w:t>
      </w:r>
      <w:bookmarkEnd w:id="6"/>
      <w:r w:rsidRPr="00F70F22" w:rsidR="005D2B4C">
        <w:rPr>
          <w:szCs w:val="22"/>
        </w:rPr>
        <w:t>.</w:t>
      </w:r>
      <w:r>
        <w:rPr>
          <w:rStyle w:val="FootnoteReference"/>
          <w:szCs w:val="22"/>
        </w:rPr>
        <w:footnoteReference w:id="9"/>
      </w:r>
      <w:r w:rsidRPr="00F70F22" w:rsidR="005D2B4C">
        <w:rPr>
          <w:szCs w:val="22"/>
        </w:rPr>
        <w:t xml:space="preserve">  </w:t>
      </w:r>
      <w:r w:rsidRPr="00F70F22" w:rsidR="005D2B4C">
        <w:rPr>
          <w:snapToGrid/>
          <w:szCs w:val="22"/>
        </w:rPr>
        <w:t xml:space="preserve">Accordingly, </w:t>
      </w:r>
      <w:bookmarkStart w:id="7" w:name="_Hlk114756006"/>
      <w:r w:rsidRPr="00F70F22" w:rsidR="005D2B4C">
        <w:rPr>
          <w:snapToGrid/>
          <w:szCs w:val="22"/>
        </w:rPr>
        <w:t>VVVI was credited with two points</w:t>
      </w:r>
      <w:bookmarkEnd w:id="7"/>
      <w:r w:rsidRPr="00F70F22" w:rsidR="005D2B4C">
        <w:rPr>
          <w:snapToGrid/>
          <w:szCs w:val="22"/>
        </w:rPr>
        <w:t xml:space="preserve">, and SAC was credited with a total of </w:t>
      </w:r>
      <w:bookmarkStart w:id="8" w:name="_Hlk114756068"/>
      <w:r w:rsidRPr="00F70F22" w:rsidR="005D2B4C">
        <w:rPr>
          <w:snapToGrid/>
          <w:szCs w:val="22"/>
        </w:rPr>
        <w:t>five points</w:t>
      </w:r>
      <w:bookmarkEnd w:id="8"/>
      <w:r w:rsidRPr="00F70F22" w:rsidR="005D2B4C">
        <w:rPr>
          <w:snapToGrid/>
          <w:szCs w:val="22"/>
        </w:rPr>
        <w:t xml:space="preserve">.  The </w:t>
      </w:r>
      <w:r w:rsidRPr="00F70F22" w:rsidR="005D2B4C">
        <w:rPr>
          <w:szCs w:val="22"/>
        </w:rPr>
        <w:t>Commission identified SAC as the tentative selectee</w:t>
      </w:r>
      <w:r w:rsidRPr="00F70F22" w:rsidR="005D2B4C">
        <w:rPr>
          <w:snapToGrid/>
          <w:szCs w:val="22"/>
        </w:rPr>
        <w:t xml:space="preserve"> </w:t>
      </w:r>
      <w:r w:rsidRPr="00F70F22" w:rsidR="00EC0657">
        <w:rPr>
          <w:snapToGrid/>
          <w:szCs w:val="22"/>
        </w:rPr>
        <w:t>of MX</w:t>
      </w:r>
      <w:r w:rsidRPr="00F70F22" w:rsidR="005D2B4C">
        <w:rPr>
          <w:snapToGrid/>
          <w:szCs w:val="22"/>
        </w:rPr>
        <w:t xml:space="preserve"> Group 33</w:t>
      </w:r>
      <w:r w:rsidRPr="00F70F22" w:rsidR="001E7870">
        <w:rPr>
          <w:snapToGrid/>
          <w:szCs w:val="22"/>
        </w:rPr>
        <w:t xml:space="preserve">, and </w:t>
      </w:r>
      <w:r w:rsidRPr="00F70F22">
        <w:rPr>
          <w:rFonts w:eastAsia="Calibri"/>
          <w:iCs/>
          <w:szCs w:val="22"/>
        </w:rPr>
        <w:t>established a 30-day period for filing petitions to deny.</w:t>
      </w:r>
      <w:r>
        <w:rPr>
          <w:rStyle w:val="FootnoteReference"/>
          <w:rFonts w:ascii="Times New Roman" w:eastAsia="Calibri" w:hAnsi="Times New Roman"/>
          <w:iCs/>
          <w:sz w:val="22"/>
          <w:szCs w:val="22"/>
        </w:rPr>
        <w:footnoteReference w:id="10"/>
      </w:r>
      <w:r w:rsidRPr="00F70F22" w:rsidR="00AE19C1">
        <w:rPr>
          <w:rFonts w:eastAsia="Calibri"/>
          <w:iCs/>
          <w:szCs w:val="22"/>
        </w:rPr>
        <w:t xml:space="preserve">  </w:t>
      </w:r>
      <w:r w:rsidRPr="00F70F22" w:rsidR="00713E12">
        <w:rPr>
          <w:rFonts w:eastAsia="Calibri"/>
          <w:iCs/>
          <w:szCs w:val="22"/>
        </w:rPr>
        <w:t>VVVI</w:t>
      </w:r>
      <w:r w:rsidRPr="00F70F22">
        <w:rPr>
          <w:rFonts w:eastAsia="Calibri"/>
          <w:iCs/>
          <w:szCs w:val="22"/>
        </w:rPr>
        <w:t xml:space="preserve"> timely filed </w:t>
      </w:r>
      <w:r w:rsidRPr="00F70F22" w:rsidR="004C049A">
        <w:rPr>
          <w:rFonts w:eastAsia="Calibri"/>
          <w:iCs/>
          <w:szCs w:val="22"/>
        </w:rPr>
        <w:t>its Petition</w:t>
      </w:r>
      <w:r w:rsidRPr="00F70F22" w:rsidR="00AE19C1">
        <w:rPr>
          <w:rFonts w:eastAsia="Calibri"/>
          <w:iCs/>
          <w:szCs w:val="22"/>
        </w:rPr>
        <w:t xml:space="preserve"> on August 23, 2022</w:t>
      </w:r>
      <w:r w:rsidRPr="00F70F22">
        <w:rPr>
          <w:rFonts w:eastAsia="Calibri"/>
          <w:iCs/>
          <w:szCs w:val="22"/>
        </w:rPr>
        <w:t>.</w:t>
      </w:r>
      <w:r w:rsidRPr="00F70F22">
        <w:rPr>
          <w:rFonts w:eastAsia="Calibri"/>
          <w:iCs/>
          <w:szCs w:val="22"/>
        </w:rPr>
        <w:t xml:space="preserve">  </w:t>
      </w:r>
    </w:p>
    <w:p w:rsidR="00710747" w:rsidRPr="00140B38" w:rsidP="00B31FD9" w14:paraId="012CE4A3" w14:textId="30913F65">
      <w:pPr>
        <w:spacing w:after="120"/>
        <w:ind w:firstLine="720"/>
        <w:rPr>
          <w:sz w:val="22"/>
          <w:szCs w:val="22"/>
          <w:shd w:val="clear" w:color="auto" w:fill="FFFFFF"/>
        </w:rPr>
      </w:pPr>
      <w:bookmarkStart w:id="9" w:name="_Hlk107588544"/>
      <w:r w:rsidRPr="00F70F22">
        <w:rPr>
          <w:rFonts w:eastAsia="Calibri"/>
          <w:iCs/>
          <w:sz w:val="22"/>
          <w:szCs w:val="22"/>
        </w:rPr>
        <w:t xml:space="preserve">In the Petition, </w:t>
      </w:r>
      <w:r w:rsidRPr="00F70F22">
        <w:rPr>
          <w:sz w:val="22"/>
          <w:szCs w:val="22"/>
          <w:shd w:val="clear" w:color="auto" w:fill="FFFFFF"/>
        </w:rPr>
        <w:t>VVVI</w:t>
      </w:r>
      <w:r w:rsidRPr="00F70F22">
        <w:rPr>
          <w:rFonts w:eastAsia="Calibri"/>
          <w:iCs/>
          <w:sz w:val="22"/>
          <w:szCs w:val="22"/>
        </w:rPr>
        <w:t xml:space="preserve"> argues that </w:t>
      </w:r>
      <w:r w:rsidRPr="00F70F22">
        <w:rPr>
          <w:sz w:val="22"/>
          <w:szCs w:val="22"/>
          <w:shd w:val="clear" w:color="auto" w:fill="FFFFFF"/>
        </w:rPr>
        <w:t xml:space="preserve">SAC is not entitled to points for </w:t>
      </w:r>
      <w:r w:rsidR="000652F1">
        <w:rPr>
          <w:sz w:val="22"/>
          <w:szCs w:val="22"/>
          <w:shd w:val="clear" w:color="auto" w:fill="FFFFFF"/>
        </w:rPr>
        <w:t>d</w:t>
      </w:r>
      <w:r w:rsidRPr="00F70F22">
        <w:rPr>
          <w:sz w:val="22"/>
          <w:szCs w:val="22"/>
          <w:shd w:val="clear" w:color="auto" w:fill="FFFFFF"/>
        </w:rPr>
        <w:t xml:space="preserve">iversity of </w:t>
      </w:r>
      <w:r w:rsidR="00CA6586">
        <w:rPr>
          <w:sz w:val="22"/>
          <w:szCs w:val="22"/>
          <w:shd w:val="clear" w:color="auto" w:fill="FFFFFF"/>
        </w:rPr>
        <w:t>o</w:t>
      </w:r>
      <w:r w:rsidRPr="00F70F22">
        <w:rPr>
          <w:sz w:val="22"/>
          <w:szCs w:val="22"/>
          <w:shd w:val="clear" w:color="auto" w:fill="FFFFFF"/>
        </w:rPr>
        <w:t>wnership because it failed to attach an exhibit stating that it holds no attributable interests in any nearby radio stations.</w:t>
      </w:r>
      <w:r>
        <w:rPr>
          <w:rStyle w:val="FootnoteReference"/>
          <w:rFonts w:ascii="Times New Roman" w:eastAsia="Calibri" w:hAnsi="Times New Roman"/>
          <w:iCs/>
          <w:sz w:val="22"/>
          <w:szCs w:val="22"/>
        </w:rPr>
        <w:footnoteReference w:id="11"/>
      </w:r>
      <w:r w:rsidRPr="00F70F22">
        <w:rPr>
          <w:rFonts w:eastAsia="Calibri"/>
          <w:iCs/>
          <w:sz w:val="22"/>
          <w:szCs w:val="22"/>
        </w:rPr>
        <w:t xml:space="preserve">  </w:t>
      </w:r>
      <w:r w:rsidRPr="00F70F22">
        <w:rPr>
          <w:sz w:val="22"/>
          <w:szCs w:val="22"/>
          <w:shd w:val="clear" w:color="auto" w:fill="FFFFFF"/>
        </w:rPr>
        <w:t xml:space="preserve">VVVI also argues that SAC does not qualify for points as an </w:t>
      </w:r>
      <w:r w:rsidR="000652F1">
        <w:rPr>
          <w:sz w:val="22"/>
          <w:szCs w:val="22"/>
          <w:shd w:val="clear" w:color="auto" w:fill="FFFFFF"/>
        </w:rPr>
        <w:t>e</w:t>
      </w:r>
      <w:r w:rsidRPr="00F70F22">
        <w:rPr>
          <w:sz w:val="22"/>
          <w:szCs w:val="22"/>
          <w:shd w:val="clear" w:color="auto" w:fill="FFFFFF"/>
        </w:rPr>
        <w:t>stablish</w:t>
      </w:r>
      <w:r w:rsidR="00E53E77">
        <w:rPr>
          <w:sz w:val="22"/>
          <w:szCs w:val="22"/>
          <w:shd w:val="clear" w:color="auto" w:fill="FFFFFF"/>
        </w:rPr>
        <w:t>ed</w:t>
      </w:r>
      <w:r w:rsidRPr="00F70F22">
        <w:rPr>
          <w:sz w:val="22"/>
          <w:szCs w:val="22"/>
          <w:shd w:val="clear" w:color="auto" w:fill="FFFFFF"/>
        </w:rPr>
        <w:t xml:space="preserve"> </w:t>
      </w:r>
      <w:r w:rsidR="000652F1">
        <w:rPr>
          <w:sz w:val="22"/>
          <w:szCs w:val="22"/>
          <w:shd w:val="clear" w:color="auto" w:fill="FFFFFF"/>
        </w:rPr>
        <w:t>l</w:t>
      </w:r>
      <w:r w:rsidRPr="00F70F22">
        <w:rPr>
          <w:sz w:val="22"/>
          <w:szCs w:val="22"/>
          <w:shd w:val="clear" w:color="auto" w:fill="FFFFFF"/>
        </w:rPr>
        <w:t xml:space="preserve">ocal </w:t>
      </w:r>
      <w:r w:rsidR="000652F1">
        <w:rPr>
          <w:sz w:val="22"/>
          <w:szCs w:val="22"/>
          <w:shd w:val="clear" w:color="auto" w:fill="FFFFFF"/>
        </w:rPr>
        <w:t>a</w:t>
      </w:r>
      <w:r w:rsidRPr="00F70F22">
        <w:rPr>
          <w:sz w:val="22"/>
          <w:szCs w:val="22"/>
          <w:shd w:val="clear" w:color="auto" w:fill="FFFFFF"/>
        </w:rPr>
        <w:t xml:space="preserve">pplicant because </w:t>
      </w:r>
      <w:r w:rsidRPr="00F70F22">
        <w:rPr>
          <w:rFonts w:eastAsia="Calibri"/>
          <w:iCs/>
          <w:sz w:val="22"/>
          <w:szCs w:val="22"/>
        </w:rPr>
        <w:t xml:space="preserve">SAC’s </w:t>
      </w:r>
      <w:r w:rsidRPr="00F70F22">
        <w:rPr>
          <w:sz w:val="22"/>
          <w:szCs w:val="22"/>
          <w:shd w:val="clear" w:color="auto" w:fill="FFFFFF"/>
        </w:rPr>
        <w:t xml:space="preserve">headquarters is </w:t>
      </w:r>
      <w:r w:rsidRPr="00F70F22">
        <w:rPr>
          <w:rFonts w:eastAsia="Calibri"/>
          <w:iCs/>
          <w:sz w:val="22"/>
          <w:szCs w:val="22"/>
        </w:rPr>
        <w:t>“a front</w:t>
      </w:r>
      <w:r w:rsidRPr="00F70F22" w:rsidR="004F290B">
        <w:rPr>
          <w:rFonts w:eastAsia="Calibri"/>
          <w:iCs/>
          <w:sz w:val="22"/>
          <w:szCs w:val="22"/>
        </w:rPr>
        <w:t>.</w:t>
      </w:r>
      <w:r w:rsidRPr="00F70F22">
        <w:rPr>
          <w:rFonts w:eastAsia="Calibri"/>
          <w:iCs/>
          <w:sz w:val="22"/>
          <w:szCs w:val="22"/>
        </w:rPr>
        <w:t>”</w:t>
      </w:r>
      <w:r>
        <w:rPr>
          <w:rStyle w:val="FootnoteReference"/>
          <w:rFonts w:ascii="Times New Roman" w:eastAsia="Calibri" w:hAnsi="Times New Roman"/>
          <w:iCs/>
          <w:sz w:val="22"/>
          <w:szCs w:val="22"/>
        </w:rPr>
        <w:footnoteReference w:id="12"/>
      </w:r>
      <w:r w:rsidRPr="00F70F22" w:rsidR="004F290B">
        <w:rPr>
          <w:rFonts w:eastAsia="Calibri"/>
          <w:iCs/>
          <w:sz w:val="22"/>
          <w:szCs w:val="22"/>
        </w:rPr>
        <w:t xml:space="preserve">  </w:t>
      </w:r>
      <w:r w:rsidRPr="00F70F22" w:rsidR="004F290B">
        <w:rPr>
          <w:sz w:val="22"/>
          <w:szCs w:val="22"/>
          <w:shd w:val="clear" w:color="auto" w:fill="FFFFFF"/>
        </w:rPr>
        <w:t>In support of its claim, VVVI states that it “frequently visited” SAC’s headquarters office and “always found an empty office appearing not to have been used for an extended period of time.”</w:t>
      </w:r>
      <w:r>
        <w:rPr>
          <w:rStyle w:val="FootnoteReference"/>
          <w:rFonts w:ascii="Times New Roman" w:hAnsi="Times New Roman"/>
          <w:sz w:val="22"/>
          <w:szCs w:val="22"/>
          <w:shd w:val="clear" w:color="auto" w:fill="FFFFFF"/>
        </w:rPr>
        <w:footnoteReference w:id="13"/>
      </w:r>
      <w:r w:rsidRPr="00F70F22" w:rsidR="004F290B">
        <w:rPr>
          <w:sz w:val="22"/>
          <w:szCs w:val="22"/>
          <w:shd w:val="clear" w:color="auto" w:fill="FFFFFF"/>
        </w:rPr>
        <w:t xml:space="preserve">  VVVI further alleges that SAC is ineligible for </w:t>
      </w:r>
      <w:r w:rsidR="000652F1">
        <w:rPr>
          <w:sz w:val="22"/>
          <w:szCs w:val="22"/>
          <w:shd w:val="clear" w:color="auto" w:fill="FFFFFF"/>
        </w:rPr>
        <w:t xml:space="preserve">localism </w:t>
      </w:r>
      <w:r w:rsidRPr="00F70F22" w:rsidR="004F290B">
        <w:rPr>
          <w:sz w:val="22"/>
          <w:szCs w:val="22"/>
          <w:shd w:val="clear" w:color="auto" w:fill="FFFFFF"/>
        </w:rPr>
        <w:t xml:space="preserve">points because (1) SAC’s headquarters </w:t>
      </w:r>
      <w:r w:rsidRPr="00F70F22">
        <w:rPr>
          <w:sz w:val="22"/>
          <w:szCs w:val="22"/>
          <w:shd w:val="clear" w:color="auto" w:fill="FFFFFF"/>
        </w:rPr>
        <w:t xml:space="preserve">is not within 25 miles of </w:t>
      </w:r>
      <w:r w:rsidR="00E36FC2">
        <w:rPr>
          <w:sz w:val="22"/>
          <w:szCs w:val="22"/>
          <w:shd w:val="clear" w:color="auto" w:fill="FFFFFF"/>
        </w:rPr>
        <w:t xml:space="preserve">the </w:t>
      </w:r>
      <w:r w:rsidRPr="00F70F22" w:rsidR="00E36FC2">
        <w:rPr>
          <w:sz w:val="22"/>
          <w:szCs w:val="22"/>
          <w:shd w:val="clear" w:color="auto" w:fill="FFFFFF"/>
        </w:rPr>
        <w:t xml:space="preserve">reference coordinates of the </w:t>
      </w:r>
      <w:r w:rsidR="002473FC">
        <w:rPr>
          <w:sz w:val="22"/>
          <w:szCs w:val="22"/>
          <w:shd w:val="clear" w:color="auto" w:fill="FFFFFF"/>
        </w:rPr>
        <w:t>proposed</w:t>
      </w:r>
      <w:r w:rsidRPr="00F70F22">
        <w:rPr>
          <w:sz w:val="22"/>
          <w:szCs w:val="22"/>
          <w:shd w:val="clear" w:color="auto" w:fill="FFFFFF"/>
        </w:rPr>
        <w:t xml:space="preserve"> community of license</w:t>
      </w:r>
      <w:r w:rsidRPr="00F70F22" w:rsidR="004F290B">
        <w:rPr>
          <w:rFonts w:eastAsia="Calibri"/>
          <w:iCs/>
          <w:sz w:val="22"/>
          <w:szCs w:val="22"/>
        </w:rPr>
        <w:t>;</w:t>
      </w:r>
      <w:r>
        <w:rPr>
          <w:rStyle w:val="FootnoteReference"/>
          <w:rFonts w:ascii="Times New Roman" w:hAnsi="Times New Roman"/>
          <w:sz w:val="22"/>
          <w:szCs w:val="22"/>
          <w:shd w:val="clear" w:color="auto" w:fill="FFFFFF"/>
        </w:rPr>
        <w:footnoteReference w:id="14"/>
      </w:r>
      <w:r w:rsidRPr="00F70F22">
        <w:rPr>
          <w:sz w:val="22"/>
          <w:szCs w:val="22"/>
          <w:shd w:val="clear" w:color="auto" w:fill="FFFFFF"/>
        </w:rPr>
        <w:t xml:space="preserve"> </w:t>
      </w:r>
      <w:r w:rsidRPr="00F70F22" w:rsidR="004F290B">
        <w:rPr>
          <w:rFonts w:eastAsia="Calibri"/>
          <w:iCs/>
          <w:sz w:val="22"/>
          <w:szCs w:val="22"/>
        </w:rPr>
        <w:t>(2)</w:t>
      </w:r>
      <w:r w:rsidRPr="00F70F22">
        <w:rPr>
          <w:sz w:val="22"/>
          <w:szCs w:val="22"/>
          <w:shd w:val="clear" w:color="auto" w:fill="FFFFFF"/>
        </w:rPr>
        <w:t xml:space="preserve"> SAC failed to provide residential addresses for its officers</w:t>
      </w:r>
      <w:r w:rsidR="000652F1">
        <w:rPr>
          <w:sz w:val="22"/>
          <w:szCs w:val="22"/>
          <w:shd w:val="clear" w:color="auto" w:fill="FFFFFF"/>
        </w:rPr>
        <w:t>;</w:t>
      </w:r>
      <w:r>
        <w:rPr>
          <w:rStyle w:val="FootnoteReference"/>
          <w:rFonts w:ascii="Times New Roman" w:hAnsi="Times New Roman"/>
          <w:sz w:val="22"/>
          <w:szCs w:val="22"/>
          <w:shd w:val="clear" w:color="auto" w:fill="FFFFFF"/>
        </w:rPr>
        <w:footnoteReference w:id="15"/>
      </w:r>
      <w:r w:rsidRPr="00F70F22">
        <w:rPr>
          <w:sz w:val="22"/>
          <w:szCs w:val="22"/>
          <w:shd w:val="clear" w:color="auto" w:fill="FFFFFF"/>
        </w:rPr>
        <w:t xml:space="preserve"> and </w:t>
      </w:r>
      <w:r w:rsidRPr="00F70F22" w:rsidR="004F290B">
        <w:rPr>
          <w:sz w:val="22"/>
          <w:szCs w:val="22"/>
          <w:shd w:val="clear" w:color="auto" w:fill="FFFFFF"/>
        </w:rPr>
        <w:t xml:space="preserve">(3) SAC’s </w:t>
      </w:r>
      <w:r w:rsidRPr="00F70F22">
        <w:rPr>
          <w:sz w:val="22"/>
          <w:szCs w:val="22"/>
          <w:shd w:val="clear" w:color="auto" w:fill="FFFFFF"/>
        </w:rPr>
        <w:t xml:space="preserve">Articles of Incorporation </w:t>
      </w:r>
      <w:r w:rsidRPr="00F70F22" w:rsidR="003F3D93">
        <w:rPr>
          <w:sz w:val="22"/>
          <w:szCs w:val="22"/>
          <w:shd w:val="clear" w:color="auto" w:fill="FFFFFF"/>
        </w:rPr>
        <w:t xml:space="preserve">are inadequate because they only reference SAC’s intention to serve Butte County, California, and not Glenn County, where the proposed community of license is </w:t>
      </w:r>
      <w:r w:rsidRPr="00140B38" w:rsidR="003F3D93">
        <w:rPr>
          <w:sz w:val="22"/>
          <w:szCs w:val="22"/>
          <w:shd w:val="clear" w:color="auto" w:fill="FFFFFF"/>
        </w:rPr>
        <w:t>located.</w:t>
      </w:r>
      <w:r>
        <w:rPr>
          <w:rStyle w:val="FootnoteReference"/>
          <w:rFonts w:ascii="Times New Roman" w:hAnsi="Times New Roman"/>
          <w:sz w:val="22"/>
          <w:szCs w:val="22"/>
          <w:shd w:val="clear" w:color="auto" w:fill="FFFFFF"/>
        </w:rPr>
        <w:footnoteReference w:id="16"/>
      </w:r>
      <w:r w:rsidRPr="00140B38">
        <w:rPr>
          <w:sz w:val="22"/>
          <w:szCs w:val="22"/>
          <w:shd w:val="clear" w:color="auto" w:fill="FFFFFF"/>
        </w:rPr>
        <w:t xml:space="preserve">  </w:t>
      </w:r>
      <w:r w:rsidRPr="00140B38">
        <w:rPr>
          <w:rFonts w:eastAsia="Calibri"/>
          <w:iCs/>
          <w:sz w:val="22"/>
          <w:szCs w:val="22"/>
        </w:rPr>
        <w:t xml:space="preserve">VVVI </w:t>
      </w:r>
      <w:r w:rsidRPr="00140B38" w:rsidR="002A3515">
        <w:rPr>
          <w:rFonts w:eastAsia="Calibri"/>
          <w:iCs/>
          <w:sz w:val="22"/>
          <w:szCs w:val="22"/>
        </w:rPr>
        <w:t xml:space="preserve">also </w:t>
      </w:r>
      <w:r w:rsidRPr="00140B38" w:rsidR="004F290B">
        <w:rPr>
          <w:rFonts w:eastAsia="Calibri"/>
          <w:iCs/>
          <w:sz w:val="22"/>
          <w:szCs w:val="22"/>
        </w:rPr>
        <w:t>contends</w:t>
      </w:r>
      <w:r w:rsidRPr="00140B38">
        <w:rPr>
          <w:rFonts w:eastAsia="Calibri"/>
          <w:iCs/>
          <w:sz w:val="22"/>
          <w:szCs w:val="22"/>
        </w:rPr>
        <w:t xml:space="preserve"> that the SAC Application </w:t>
      </w:r>
      <w:r w:rsidRPr="00140B38">
        <w:rPr>
          <w:sz w:val="22"/>
          <w:szCs w:val="22"/>
          <w:shd w:val="clear" w:color="auto" w:fill="FFFFFF"/>
        </w:rPr>
        <w:t>contains false certifications related to its public inspection file and compliance with local public notice rules</w:t>
      </w:r>
      <w:r w:rsidRPr="00140B38" w:rsidR="002A3515">
        <w:rPr>
          <w:rFonts w:eastAsia="Calibri"/>
          <w:iCs/>
          <w:sz w:val="22"/>
          <w:szCs w:val="22"/>
        </w:rPr>
        <w:t>.</w:t>
      </w:r>
      <w:r>
        <w:rPr>
          <w:rStyle w:val="FootnoteReference"/>
          <w:rFonts w:ascii="Times New Roman" w:eastAsia="Calibri" w:hAnsi="Times New Roman"/>
          <w:iCs/>
          <w:sz w:val="22"/>
          <w:szCs w:val="22"/>
        </w:rPr>
        <w:footnoteReference w:id="17"/>
      </w:r>
      <w:r w:rsidRPr="00140B38">
        <w:rPr>
          <w:rFonts w:eastAsia="Calibri"/>
          <w:iCs/>
          <w:sz w:val="22"/>
          <w:szCs w:val="22"/>
        </w:rPr>
        <w:t xml:space="preserve">  Finally, VVVI argues that </w:t>
      </w:r>
      <w:r w:rsidRPr="00140B38">
        <w:rPr>
          <w:sz w:val="22"/>
          <w:szCs w:val="22"/>
          <w:shd w:val="clear" w:color="auto" w:fill="FFFFFF"/>
        </w:rPr>
        <w:t xml:space="preserve">SAC’s proposed </w:t>
      </w:r>
      <w:r w:rsidR="006C6E04">
        <w:rPr>
          <w:sz w:val="22"/>
          <w:szCs w:val="22"/>
          <w:shd w:val="clear" w:color="auto" w:fill="FFFFFF"/>
        </w:rPr>
        <w:t>effective radiated power (</w:t>
      </w:r>
      <w:r w:rsidRPr="00140B38">
        <w:rPr>
          <w:sz w:val="22"/>
          <w:szCs w:val="22"/>
          <w:shd w:val="clear" w:color="auto" w:fill="FFFFFF"/>
        </w:rPr>
        <w:t>ERP</w:t>
      </w:r>
      <w:r w:rsidR="006C6E04">
        <w:rPr>
          <w:sz w:val="22"/>
          <w:szCs w:val="22"/>
          <w:shd w:val="clear" w:color="auto" w:fill="FFFFFF"/>
        </w:rPr>
        <w:t>)</w:t>
      </w:r>
      <w:r w:rsidRPr="00140B38">
        <w:rPr>
          <w:sz w:val="22"/>
          <w:szCs w:val="22"/>
          <w:shd w:val="clear" w:color="auto" w:fill="FFFFFF"/>
        </w:rPr>
        <w:t xml:space="preserve"> of </w:t>
      </w:r>
      <w:r w:rsidR="006C6E04">
        <w:rPr>
          <w:sz w:val="22"/>
          <w:szCs w:val="22"/>
          <w:shd w:val="clear" w:color="auto" w:fill="FFFFFF"/>
        </w:rPr>
        <w:t>10</w:t>
      </w:r>
      <w:r w:rsidRPr="00140B38">
        <w:rPr>
          <w:sz w:val="22"/>
          <w:szCs w:val="22"/>
          <w:shd w:val="clear" w:color="auto" w:fill="FFFFFF"/>
        </w:rPr>
        <w:t xml:space="preserve">kW and </w:t>
      </w:r>
      <w:r w:rsidR="006C6E04">
        <w:rPr>
          <w:sz w:val="22"/>
          <w:szCs w:val="22"/>
          <w:shd w:val="clear" w:color="auto" w:fill="FFFFFF"/>
        </w:rPr>
        <w:t>antenna height above average terrain (</w:t>
      </w:r>
      <w:r w:rsidRPr="00140B38">
        <w:rPr>
          <w:sz w:val="22"/>
          <w:szCs w:val="22"/>
          <w:shd w:val="clear" w:color="auto" w:fill="FFFFFF"/>
        </w:rPr>
        <w:t>HAAT</w:t>
      </w:r>
      <w:r w:rsidR="006C6E04">
        <w:rPr>
          <w:sz w:val="22"/>
          <w:szCs w:val="22"/>
          <w:shd w:val="clear" w:color="auto" w:fill="FFFFFF"/>
        </w:rPr>
        <w:t>)</w:t>
      </w:r>
      <w:r w:rsidRPr="00140B38">
        <w:rPr>
          <w:sz w:val="22"/>
          <w:szCs w:val="22"/>
          <w:shd w:val="clear" w:color="auto" w:fill="FFFFFF"/>
        </w:rPr>
        <w:t xml:space="preserve"> of 176.6 meters violate the maximum limits for Class B1 FM stations and therefore violate section 73.211(b) of the </w:t>
      </w:r>
      <w:r w:rsidR="00E611B3">
        <w:rPr>
          <w:sz w:val="22"/>
          <w:szCs w:val="22"/>
          <w:shd w:val="clear" w:color="auto" w:fill="FFFFFF"/>
        </w:rPr>
        <w:t>Commission’s r</w:t>
      </w:r>
      <w:r w:rsidRPr="00140B38">
        <w:rPr>
          <w:sz w:val="22"/>
          <w:szCs w:val="22"/>
          <w:shd w:val="clear" w:color="auto" w:fill="FFFFFF"/>
        </w:rPr>
        <w:t>ules</w:t>
      </w:r>
      <w:r w:rsidR="00E611B3">
        <w:rPr>
          <w:sz w:val="22"/>
          <w:szCs w:val="22"/>
          <w:shd w:val="clear" w:color="auto" w:fill="FFFFFF"/>
        </w:rPr>
        <w:t xml:space="preserve"> (Rules)</w:t>
      </w:r>
      <w:r w:rsidRPr="00140B38">
        <w:rPr>
          <w:rFonts w:eastAsia="Calibri"/>
          <w:iCs/>
          <w:sz w:val="22"/>
          <w:szCs w:val="22"/>
        </w:rPr>
        <w:t>.</w:t>
      </w:r>
      <w:r>
        <w:rPr>
          <w:rStyle w:val="FootnoteReference"/>
          <w:rFonts w:ascii="Times New Roman" w:eastAsia="Calibri" w:hAnsi="Times New Roman"/>
          <w:iCs/>
          <w:sz w:val="22"/>
          <w:szCs w:val="22"/>
        </w:rPr>
        <w:footnoteReference w:id="18"/>
      </w:r>
      <w:r w:rsidRPr="00140B38">
        <w:rPr>
          <w:rFonts w:eastAsia="Calibri"/>
          <w:iCs/>
          <w:sz w:val="22"/>
          <w:szCs w:val="22"/>
        </w:rPr>
        <w:t xml:space="preserve">  For these reasons, VVVI urges the Commission to dismiss the SAC Application and grant the VVVI Application. </w:t>
      </w:r>
    </w:p>
    <w:bookmarkEnd w:id="9"/>
    <w:p w:rsidR="00640853" w:rsidRPr="00140B38" w:rsidP="00B31FD9" w14:paraId="15394F43" w14:textId="09FD5BE7">
      <w:pPr>
        <w:spacing w:after="120"/>
        <w:ind w:firstLine="720"/>
        <w:rPr>
          <w:sz w:val="22"/>
          <w:szCs w:val="22"/>
          <w:bdr w:val="none" w:sz="0" w:space="0" w:color="auto" w:frame="1"/>
          <w:shd w:val="clear" w:color="auto" w:fill="FFFFFF"/>
        </w:rPr>
      </w:pPr>
      <w:r w:rsidRPr="00140B38">
        <w:rPr>
          <w:sz w:val="22"/>
          <w:szCs w:val="22"/>
          <w:bdr w:val="none" w:sz="0" w:space="0" w:color="auto" w:frame="1"/>
          <w:shd w:val="clear" w:color="auto" w:fill="FFFFFF"/>
        </w:rPr>
        <w:t xml:space="preserve">In the Opposition, SAC states that it certified in its Application </w:t>
      </w:r>
      <w:r w:rsidRPr="00140B38">
        <w:rPr>
          <w:sz w:val="22"/>
          <w:szCs w:val="22"/>
          <w:shd w:val="clear" w:color="auto" w:fill="FFFFFF"/>
        </w:rPr>
        <w:t>that it holds no attributable interests in any radio stations and</w:t>
      </w:r>
      <w:r w:rsidRPr="00140B38" w:rsidR="00A522B6">
        <w:rPr>
          <w:sz w:val="22"/>
          <w:szCs w:val="22"/>
          <w:shd w:val="clear" w:color="auto" w:fill="FFFFFF"/>
        </w:rPr>
        <w:t xml:space="preserve"> that it</w:t>
      </w:r>
      <w:r w:rsidRPr="00140B38">
        <w:rPr>
          <w:sz w:val="22"/>
          <w:szCs w:val="22"/>
          <w:shd w:val="clear" w:color="auto" w:fill="FFFFFF"/>
        </w:rPr>
        <w:t xml:space="preserve"> was </w:t>
      </w:r>
      <w:r w:rsidRPr="00140B38">
        <w:rPr>
          <w:sz w:val="22"/>
          <w:szCs w:val="22"/>
          <w:bdr w:val="none" w:sz="0" w:space="0" w:color="auto" w:frame="1"/>
          <w:shd w:val="clear" w:color="auto" w:fill="FFFFFF"/>
        </w:rPr>
        <w:t>not required to submit additional exhibit</w:t>
      </w:r>
      <w:r w:rsidRPr="00140B38" w:rsidR="00637FB1">
        <w:rPr>
          <w:sz w:val="22"/>
          <w:szCs w:val="22"/>
          <w:bdr w:val="none" w:sz="0" w:space="0" w:color="auto" w:frame="1"/>
          <w:shd w:val="clear" w:color="auto" w:fill="FFFFFF"/>
        </w:rPr>
        <w:t>s</w:t>
      </w:r>
      <w:r w:rsidRPr="00140B38" w:rsidR="00CF6E0C">
        <w:rPr>
          <w:sz w:val="22"/>
          <w:szCs w:val="22"/>
          <w:bdr w:val="none" w:sz="0" w:space="0" w:color="auto" w:frame="1"/>
          <w:shd w:val="clear" w:color="auto" w:fill="FFFFFF"/>
        </w:rPr>
        <w:t xml:space="preserve"> to support its </w:t>
      </w:r>
      <w:r w:rsidR="000652F1">
        <w:rPr>
          <w:sz w:val="22"/>
          <w:szCs w:val="22"/>
          <w:bdr w:val="none" w:sz="0" w:space="0" w:color="auto" w:frame="1"/>
          <w:shd w:val="clear" w:color="auto" w:fill="FFFFFF"/>
        </w:rPr>
        <w:t>d</w:t>
      </w:r>
      <w:r w:rsidRPr="00140B38" w:rsidR="00A522B6">
        <w:rPr>
          <w:sz w:val="22"/>
          <w:szCs w:val="22"/>
          <w:bdr w:val="none" w:sz="0" w:space="0" w:color="auto" w:frame="1"/>
          <w:shd w:val="clear" w:color="auto" w:fill="FFFFFF"/>
        </w:rPr>
        <w:t xml:space="preserve">iversity of </w:t>
      </w:r>
      <w:r w:rsidR="000652F1">
        <w:rPr>
          <w:sz w:val="22"/>
          <w:szCs w:val="22"/>
          <w:bdr w:val="none" w:sz="0" w:space="0" w:color="auto" w:frame="1"/>
          <w:shd w:val="clear" w:color="auto" w:fill="FFFFFF"/>
        </w:rPr>
        <w:t>o</w:t>
      </w:r>
      <w:r w:rsidRPr="00140B38" w:rsidR="00A522B6">
        <w:rPr>
          <w:sz w:val="22"/>
          <w:szCs w:val="22"/>
          <w:bdr w:val="none" w:sz="0" w:space="0" w:color="auto" w:frame="1"/>
          <w:shd w:val="clear" w:color="auto" w:fill="FFFFFF"/>
        </w:rPr>
        <w:t xml:space="preserve">wnership </w:t>
      </w:r>
      <w:r w:rsidRPr="00140B38" w:rsidR="00CF6E0C">
        <w:rPr>
          <w:sz w:val="22"/>
          <w:szCs w:val="22"/>
          <w:shd w:val="clear" w:color="auto" w:fill="FFFFFF"/>
        </w:rPr>
        <w:t>claim</w:t>
      </w:r>
      <w:r w:rsidRPr="00140B38">
        <w:rPr>
          <w:sz w:val="22"/>
          <w:szCs w:val="22"/>
          <w:bdr w:val="none" w:sz="0" w:space="0" w:color="auto" w:frame="1"/>
          <w:shd w:val="clear" w:color="auto" w:fill="FFFFFF"/>
        </w:rPr>
        <w:t>.</w:t>
      </w:r>
      <w:r>
        <w:rPr>
          <w:rStyle w:val="FootnoteReference"/>
          <w:rFonts w:ascii="Times New Roman" w:hAnsi="Times New Roman"/>
          <w:sz w:val="22"/>
          <w:szCs w:val="22"/>
          <w:bdr w:val="none" w:sz="0" w:space="0" w:color="auto" w:frame="1"/>
          <w:shd w:val="clear" w:color="auto" w:fill="FFFFFF"/>
        </w:rPr>
        <w:footnoteReference w:id="19"/>
      </w:r>
      <w:r w:rsidRPr="00140B38" w:rsidR="00CF6E0C">
        <w:rPr>
          <w:sz w:val="22"/>
          <w:szCs w:val="22"/>
          <w:bdr w:val="none" w:sz="0" w:space="0" w:color="auto" w:frame="1"/>
          <w:shd w:val="clear" w:color="auto" w:fill="FFFFFF"/>
        </w:rPr>
        <w:t xml:space="preserve">  </w:t>
      </w:r>
      <w:r w:rsidRPr="00140B38" w:rsidR="00CF6E0C">
        <w:rPr>
          <w:sz w:val="22"/>
          <w:szCs w:val="22"/>
          <w:shd w:val="clear" w:color="auto" w:fill="FFFFFF"/>
        </w:rPr>
        <w:t xml:space="preserve">SAC states that VVVI’s allegation that its headquarters is a front </w:t>
      </w:r>
      <w:r w:rsidRPr="00140B38" w:rsidR="00E4327D">
        <w:rPr>
          <w:sz w:val="22"/>
          <w:szCs w:val="22"/>
          <w:shd w:val="clear" w:color="auto" w:fill="FFFFFF"/>
        </w:rPr>
        <w:t xml:space="preserve">is </w:t>
      </w:r>
      <w:r w:rsidRPr="00140B38" w:rsidR="00CF6E0C">
        <w:rPr>
          <w:sz w:val="22"/>
          <w:szCs w:val="22"/>
          <w:shd w:val="clear" w:color="auto" w:fill="FFFFFF"/>
        </w:rPr>
        <w:t>unsupported.</w:t>
      </w:r>
      <w:r>
        <w:rPr>
          <w:rStyle w:val="FootnoteReference"/>
          <w:rFonts w:ascii="Times New Roman" w:hAnsi="Times New Roman"/>
          <w:sz w:val="22"/>
          <w:szCs w:val="22"/>
          <w:shd w:val="clear" w:color="auto" w:fill="FFFFFF"/>
        </w:rPr>
        <w:footnoteReference w:id="20"/>
      </w:r>
      <w:r w:rsidRPr="00140B38" w:rsidR="00CF6E0C">
        <w:rPr>
          <w:sz w:val="22"/>
          <w:szCs w:val="22"/>
          <w:shd w:val="clear" w:color="auto" w:fill="FFFFFF"/>
        </w:rPr>
        <w:t xml:space="preserve">  SAC provides a sworn declaration</w:t>
      </w:r>
      <w:r w:rsidRPr="00140B38" w:rsidR="00A522B6">
        <w:rPr>
          <w:sz w:val="22"/>
          <w:szCs w:val="22"/>
          <w:shd w:val="clear" w:color="auto" w:fill="FFFFFF"/>
        </w:rPr>
        <w:t>,</w:t>
      </w:r>
      <w:r w:rsidRPr="00140B38" w:rsidR="00CF6E0C">
        <w:rPr>
          <w:sz w:val="22"/>
          <w:szCs w:val="22"/>
          <w:shd w:val="clear" w:color="auto" w:fill="FFFFFF"/>
        </w:rPr>
        <w:t xml:space="preserve"> under penalty of perjury</w:t>
      </w:r>
      <w:r w:rsidRPr="00140B38" w:rsidR="00A522B6">
        <w:rPr>
          <w:sz w:val="22"/>
          <w:szCs w:val="22"/>
          <w:shd w:val="clear" w:color="auto" w:fill="FFFFFF"/>
        </w:rPr>
        <w:t>,</w:t>
      </w:r>
      <w:r w:rsidRPr="00140B38" w:rsidR="00CF6E0C">
        <w:rPr>
          <w:sz w:val="22"/>
          <w:szCs w:val="22"/>
          <w:shd w:val="clear" w:color="auto" w:fill="FFFFFF"/>
        </w:rPr>
        <w:t xml:space="preserve"> </w:t>
      </w:r>
      <w:r w:rsidR="00961323">
        <w:rPr>
          <w:sz w:val="22"/>
          <w:szCs w:val="22"/>
          <w:shd w:val="clear" w:color="auto" w:fill="FFFFFF"/>
        </w:rPr>
        <w:t xml:space="preserve">made by Andrea </w:t>
      </w:r>
      <w:r w:rsidR="00961323">
        <w:rPr>
          <w:sz w:val="22"/>
          <w:szCs w:val="22"/>
          <w:shd w:val="clear" w:color="auto" w:fill="FFFFFF"/>
        </w:rPr>
        <w:t>Mox</w:t>
      </w:r>
      <w:r w:rsidR="00961323">
        <w:rPr>
          <w:sz w:val="22"/>
          <w:szCs w:val="22"/>
          <w:shd w:val="clear" w:color="auto" w:fill="FFFFFF"/>
        </w:rPr>
        <w:t xml:space="preserve">, its Executive Director, </w:t>
      </w:r>
      <w:r w:rsidRPr="00140B38" w:rsidR="00CF6E0C">
        <w:rPr>
          <w:sz w:val="22"/>
          <w:szCs w:val="22"/>
          <w:shd w:val="clear" w:color="auto" w:fill="FFFFFF"/>
        </w:rPr>
        <w:t xml:space="preserve">that </w:t>
      </w:r>
      <w:r w:rsidR="00961323">
        <w:rPr>
          <w:sz w:val="22"/>
          <w:szCs w:val="22"/>
          <w:shd w:val="clear" w:color="auto" w:fill="FFFFFF"/>
        </w:rPr>
        <w:t>states</w:t>
      </w:r>
      <w:r w:rsidR="005142BA">
        <w:rPr>
          <w:sz w:val="22"/>
          <w:szCs w:val="22"/>
          <w:shd w:val="clear" w:color="auto" w:fill="FFFFFF"/>
        </w:rPr>
        <w:t xml:space="preserve"> </w:t>
      </w:r>
      <w:r w:rsidR="00961323">
        <w:rPr>
          <w:sz w:val="22"/>
          <w:szCs w:val="22"/>
          <w:shd w:val="clear" w:color="auto" w:fill="FFFFFF"/>
        </w:rPr>
        <w:t>SAC</w:t>
      </w:r>
      <w:r w:rsidRPr="00140B38" w:rsidR="00961323">
        <w:rPr>
          <w:sz w:val="22"/>
          <w:szCs w:val="22"/>
          <w:shd w:val="clear" w:color="auto" w:fill="FFFFFF"/>
        </w:rPr>
        <w:t xml:space="preserve"> </w:t>
      </w:r>
      <w:r w:rsidRPr="00140B38" w:rsidR="00CF6E0C">
        <w:rPr>
          <w:sz w:val="22"/>
          <w:szCs w:val="22"/>
          <w:shd w:val="clear" w:color="auto" w:fill="FFFFFF"/>
        </w:rPr>
        <w:t xml:space="preserve">provided services </w:t>
      </w:r>
      <w:r w:rsidRPr="00140B38" w:rsidR="00A522B6">
        <w:rPr>
          <w:sz w:val="22"/>
          <w:szCs w:val="22"/>
          <w:shd w:val="clear" w:color="auto" w:fill="FFFFFF"/>
        </w:rPr>
        <w:t xml:space="preserve">at its headquarters address for </w:t>
      </w:r>
      <w:r w:rsidRPr="00140B38" w:rsidR="00CF6E0C">
        <w:rPr>
          <w:sz w:val="22"/>
          <w:szCs w:val="22"/>
          <w:shd w:val="clear" w:color="auto" w:fill="FFFFFF"/>
        </w:rPr>
        <w:t xml:space="preserve">“at least two years” prior to filing its </w:t>
      </w:r>
      <w:r w:rsidRPr="00140B38" w:rsidR="00E4327D">
        <w:rPr>
          <w:sz w:val="22"/>
          <w:szCs w:val="22"/>
          <w:shd w:val="clear" w:color="auto" w:fill="FFFFFF"/>
        </w:rPr>
        <w:t>A</w:t>
      </w:r>
      <w:r w:rsidRPr="00140B38" w:rsidR="00CF6E0C">
        <w:rPr>
          <w:sz w:val="22"/>
          <w:szCs w:val="22"/>
          <w:shd w:val="clear" w:color="auto" w:fill="FFFFFF"/>
        </w:rPr>
        <w:t>pplication.</w:t>
      </w:r>
      <w:r>
        <w:rPr>
          <w:rStyle w:val="FootnoteReference"/>
          <w:rFonts w:ascii="Times New Roman" w:hAnsi="Times New Roman"/>
          <w:sz w:val="22"/>
          <w:szCs w:val="22"/>
          <w:shd w:val="clear" w:color="auto" w:fill="FFFFFF"/>
        </w:rPr>
        <w:footnoteReference w:id="21"/>
      </w:r>
      <w:r w:rsidRPr="00140B38" w:rsidR="00CF6E0C">
        <w:rPr>
          <w:sz w:val="22"/>
          <w:szCs w:val="22"/>
          <w:shd w:val="clear" w:color="auto" w:fill="FFFFFF"/>
        </w:rPr>
        <w:t xml:space="preserve">  SAC explains that for a period of time, due to the COVID-19 Pandemic, it “closed as a walk-in center” and offered its services “by appointment only.”</w:t>
      </w:r>
      <w:r>
        <w:rPr>
          <w:rStyle w:val="FootnoteReference"/>
          <w:rFonts w:ascii="Times New Roman" w:hAnsi="Times New Roman"/>
          <w:sz w:val="22"/>
          <w:szCs w:val="22"/>
          <w:shd w:val="clear" w:color="auto" w:fill="FFFFFF"/>
        </w:rPr>
        <w:footnoteReference w:id="22"/>
      </w:r>
      <w:r w:rsidRPr="00140B38" w:rsidR="00CF6E0C">
        <w:rPr>
          <w:sz w:val="22"/>
          <w:szCs w:val="22"/>
          <w:shd w:val="clear" w:color="auto" w:fill="FFFFFF"/>
        </w:rPr>
        <w:t xml:space="preserve">  SAC states that it reopened </w:t>
      </w:r>
      <w:r w:rsidRPr="00140B38" w:rsidR="00A522B6">
        <w:rPr>
          <w:sz w:val="22"/>
          <w:szCs w:val="22"/>
          <w:shd w:val="clear" w:color="auto" w:fill="FFFFFF"/>
        </w:rPr>
        <w:t>for walk-in services in June 2022</w:t>
      </w:r>
      <w:r w:rsidRPr="00140B38" w:rsidR="00E50ECF">
        <w:rPr>
          <w:sz w:val="22"/>
          <w:szCs w:val="22"/>
          <w:shd w:val="clear" w:color="auto" w:fill="FFFFFF"/>
        </w:rPr>
        <w:t>.</w:t>
      </w:r>
      <w:r>
        <w:rPr>
          <w:rStyle w:val="FootnoteReference"/>
          <w:rFonts w:ascii="Times New Roman" w:hAnsi="Times New Roman"/>
          <w:sz w:val="22"/>
          <w:szCs w:val="22"/>
          <w:shd w:val="clear" w:color="auto" w:fill="FFFFFF"/>
        </w:rPr>
        <w:footnoteReference w:id="23"/>
      </w:r>
      <w:r w:rsidRPr="00140B38" w:rsidR="00E50ECF">
        <w:rPr>
          <w:sz w:val="22"/>
          <w:szCs w:val="22"/>
          <w:shd w:val="clear" w:color="auto" w:fill="FFFFFF"/>
        </w:rPr>
        <w:t xml:space="preserve">  </w:t>
      </w:r>
      <w:r w:rsidRPr="00140B38">
        <w:rPr>
          <w:sz w:val="22"/>
          <w:szCs w:val="22"/>
          <w:bdr w:val="none" w:sz="0" w:space="0" w:color="auto" w:frame="1"/>
          <w:shd w:val="clear" w:color="auto" w:fill="FFFFFF"/>
        </w:rPr>
        <w:t xml:space="preserve">SAC </w:t>
      </w:r>
      <w:r w:rsidRPr="00140B38" w:rsidR="00A17832">
        <w:rPr>
          <w:sz w:val="22"/>
          <w:szCs w:val="22"/>
          <w:bdr w:val="none" w:sz="0" w:space="0" w:color="auto" w:frame="1"/>
          <w:shd w:val="clear" w:color="auto" w:fill="FFFFFF"/>
        </w:rPr>
        <w:t xml:space="preserve">further </w:t>
      </w:r>
      <w:r w:rsidRPr="00140B38">
        <w:rPr>
          <w:sz w:val="22"/>
          <w:szCs w:val="22"/>
          <w:bdr w:val="none" w:sz="0" w:space="0" w:color="auto" w:frame="1"/>
          <w:shd w:val="clear" w:color="auto" w:fill="FFFFFF"/>
        </w:rPr>
        <w:t xml:space="preserve">admits that its </w:t>
      </w:r>
      <w:r w:rsidR="00901FC7">
        <w:rPr>
          <w:sz w:val="22"/>
          <w:szCs w:val="22"/>
          <w:bdr w:val="none" w:sz="0" w:space="0" w:color="auto" w:frame="1"/>
          <w:shd w:val="clear" w:color="auto" w:fill="FFFFFF"/>
        </w:rPr>
        <w:t xml:space="preserve">local </w:t>
      </w:r>
      <w:r w:rsidRPr="00140B38">
        <w:rPr>
          <w:sz w:val="22"/>
          <w:szCs w:val="22"/>
          <w:bdr w:val="none" w:sz="0" w:space="0" w:color="auto" w:frame="1"/>
          <w:shd w:val="clear" w:color="auto" w:fill="FFFFFF"/>
        </w:rPr>
        <w:t>public notice announcement was untimely</w:t>
      </w:r>
      <w:r w:rsidRPr="00140B38" w:rsidR="00A17832">
        <w:rPr>
          <w:sz w:val="22"/>
          <w:szCs w:val="22"/>
          <w:bdr w:val="none" w:sz="0" w:space="0" w:color="auto" w:frame="1"/>
          <w:shd w:val="clear" w:color="auto" w:fill="FFFFFF"/>
        </w:rPr>
        <w:t>,</w:t>
      </w:r>
      <w:r>
        <w:rPr>
          <w:rStyle w:val="FootnoteReference"/>
          <w:rFonts w:ascii="Times New Roman" w:hAnsi="Times New Roman"/>
          <w:sz w:val="22"/>
          <w:szCs w:val="22"/>
          <w:bdr w:val="none" w:sz="0" w:space="0" w:color="auto" w:frame="1"/>
          <w:shd w:val="clear" w:color="auto" w:fill="FFFFFF"/>
        </w:rPr>
        <w:footnoteReference w:id="24"/>
      </w:r>
      <w:r w:rsidRPr="00140B38" w:rsidR="00A17832">
        <w:rPr>
          <w:sz w:val="22"/>
          <w:szCs w:val="22"/>
          <w:bdr w:val="none" w:sz="0" w:space="0" w:color="auto" w:frame="1"/>
          <w:shd w:val="clear" w:color="auto" w:fill="FFFFFF"/>
        </w:rPr>
        <w:t xml:space="preserve"> and </w:t>
      </w:r>
      <w:r w:rsidR="004F21AD">
        <w:rPr>
          <w:sz w:val="22"/>
          <w:szCs w:val="22"/>
          <w:shd w:val="clear" w:color="auto" w:fill="FFFFFF"/>
        </w:rPr>
        <w:t>argues</w:t>
      </w:r>
      <w:r w:rsidRPr="00140B38" w:rsidR="009A48F5">
        <w:rPr>
          <w:sz w:val="22"/>
          <w:szCs w:val="22"/>
          <w:shd w:val="clear" w:color="auto" w:fill="FFFFFF"/>
        </w:rPr>
        <w:t xml:space="preserve"> </w:t>
      </w:r>
      <w:r w:rsidRPr="00140B38" w:rsidR="00A17832">
        <w:rPr>
          <w:sz w:val="22"/>
          <w:szCs w:val="22"/>
          <w:shd w:val="clear" w:color="auto" w:fill="FFFFFF"/>
        </w:rPr>
        <w:t xml:space="preserve">that it is not required to maintain a physical </w:t>
      </w:r>
      <w:r w:rsidRPr="00140B38" w:rsidR="00A17832">
        <w:rPr>
          <w:sz w:val="22"/>
          <w:szCs w:val="22"/>
          <w:bdr w:val="none" w:sz="0" w:space="0" w:color="auto" w:frame="1"/>
          <w:shd w:val="clear" w:color="auto" w:fill="FFFFFF"/>
        </w:rPr>
        <w:t>public inspection file.</w:t>
      </w:r>
      <w:r>
        <w:rPr>
          <w:rStyle w:val="FootnoteReference"/>
          <w:rFonts w:ascii="Times New Roman" w:hAnsi="Times New Roman"/>
          <w:sz w:val="22"/>
          <w:szCs w:val="22"/>
          <w:bdr w:val="none" w:sz="0" w:space="0" w:color="auto" w:frame="1"/>
          <w:shd w:val="clear" w:color="auto" w:fill="FFFFFF"/>
        </w:rPr>
        <w:footnoteReference w:id="25"/>
      </w:r>
      <w:r w:rsidRPr="00140B38" w:rsidR="00A17832">
        <w:rPr>
          <w:sz w:val="22"/>
          <w:szCs w:val="22"/>
          <w:bdr w:val="none" w:sz="0" w:space="0" w:color="auto" w:frame="1"/>
          <w:shd w:val="clear" w:color="auto" w:fill="FFFFFF"/>
        </w:rPr>
        <w:t> </w:t>
      </w:r>
      <w:r w:rsidRPr="00140B38">
        <w:rPr>
          <w:sz w:val="22"/>
          <w:szCs w:val="22"/>
          <w:bdr w:val="none" w:sz="0" w:space="0" w:color="auto" w:frame="1"/>
          <w:shd w:val="clear" w:color="auto" w:fill="FFFFFF"/>
        </w:rPr>
        <w:t xml:space="preserve">  Finally, SAC </w:t>
      </w:r>
      <w:r w:rsidRPr="00140B38" w:rsidR="00527BDA">
        <w:rPr>
          <w:sz w:val="22"/>
          <w:szCs w:val="22"/>
          <w:bdr w:val="none" w:sz="0" w:space="0" w:color="auto" w:frame="1"/>
          <w:shd w:val="clear" w:color="auto" w:fill="FFFFFF"/>
        </w:rPr>
        <w:t xml:space="preserve">states that the technical defect in its Application—its selection of Class B1 instead of Class B—is inconsequential and that it </w:t>
      </w:r>
      <w:r w:rsidR="006A2463">
        <w:rPr>
          <w:sz w:val="22"/>
          <w:szCs w:val="22"/>
          <w:bdr w:val="none" w:sz="0" w:space="0" w:color="auto" w:frame="1"/>
          <w:shd w:val="clear" w:color="auto" w:fill="FFFFFF"/>
        </w:rPr>
        <w:t>is permitted to</w:t>
      </w:r>
      <w:r w:rsidRPr="00140B38" w:rsidR="00527BDA">
        <w:rPr>
          <w:sz w:val="22"/>
          <w:szCs w:val="22"/>
          <w:bdr w:val="none" w:sz="0" w:space="0" w:color="auto" w:frame="1"/>
          <w:shd w:val="clear" w:color="auto" w:fill="FFFFFF"/>
        </w:rPr>
        <w:t xml:space="preserve"> amend its Application</w:t>
      </w:r>
      <w:r w:rsidRPr="00140B38">
        <w:rPr>
          <w:sz w:val="22"/>
          <w:szCs w:val="22"/>
          <w:bdr w:val="none" w:sz="0" w:space="0" w:color="auto" w:frame="1"/>
          <w:shd w:val="clear" w:color="auto" w:fill="FFFFFF"/>
        </w:rPr>
        <w:t>.</w:t>
      </w:r>
      <w:r>
        <w:rPr>
          <w:rStyle w:val="FootnoteReference"/>
          <w:rFonts w:ascii="Times New Roman" w:hAnsi="Times New Roman"/>
          <w:sz w:val="22"/>
          <w:szCs w:val="22"/>
          <w:bdr w:val="none" w:sz="0" w:space="0" w:color="auto" w:frame="1"/>
          <w:shd w:val="clear" w:color="auto" w:fill="FFFFFF"/>
        </w:rPr>
        <w:footnoteReference w:id="26"/>
      </w:r>
      <w:r w:rsidRPr="00140B38">
        <w:rPr>
          <w:sz w:val="22"/>
          <w:szCs w:val="22"/>
          <w:bdr w:val="none" w:sz="0" w:space="0" w:color="auto" w:frame="1"/>
          <w:shd w:val="clear" w:color="auto" w:fill="FFFFFF"/>
        </w:rPr>
        <w:t xml:space="preserve">  </w:t>
      </w:r>
    </w:p>
    <w:p w:rsidR="0042286A" w:rsidRPr="00F70F22" w:rsidP="00B31FD9" w14:paraId="56D46D79" w14:textId="121A764E">
      <w:pPr>
        <w:spacing w:after="120"/>
        <w:ind w:firstLine="720"/>
        <w:rPr>
          <w:rFonts w:eastAsia="Calibri"/>
          <w:iCs/>
          <w:sz w:val="22"/>
          <w:szCs w:val="22"/>
        </w:rPr>
      </w:pPr>
      <w:r w:rsidRPr="00140B38">
        <w:rPr>
          <w:rFonts w:eastAsia="Calibri"/>
          <w:iCs/>
          <w:sz w:val="22"/>
          <w:szCs w:val="22"/>
        </w:rPr>
        <w:t xml:space="preserve">In the Reply, </w:t>
      </w:r>
      <w:r w:rsidRPr="00140B38" w:rsidR="00D8588C">
        <w:rPr>
          <w:rFonts w:eastAsia="Calibri"/>
          <w:iCs/>
          <w:sz w:val="22"/>
          <w:szCs w:val="22"/>
        </w:rPr>
        <w:t xml:space="preserve">VVVI </w:t>
      </w:r>
      <w:r w:rsidRPr="00140B38" w:rsidR="00E64FD0">
        <w:rPr>
          <w:rFonts w:eastAsia="Calibri"/>
          <w:iCs/>
          <w:sz w:val="22"/>
          <w:szCs w:val="22"/>
        </w:rPr>
        <w:t>reiterates its argument</w:t>
      </w:r>
      <w:r w:rsidRPr="00140B38" w:rsidR="00BA1A50">
        <w:rPr>
          <w:rFonts w:eastAsia="Calibri"/>
          <w:iCs/>
          <w:sz w:val="22"/>
          <w:szCs w:val="22"/>
        </w:rPr>
        <w:t>s</w:t>
      </w:r>
      <w:r w:rsidRPr="00140B38" w:rsidR="00E64FD0">
        <w:rPr>
          <w:rFonts w:eastAsia="Calibri"/>
          <w:iCs/>
          <w:sz w:val="22"/>
          <w:szCs w:val="22"/>
        </w:rPr>
        <w:t xml:space="preserve"> that </w:t>
      </w:r>
      <w:r w:rsidRPr="00140B38" w:rsidR="00E64FD0">
        <w:rPr>
          <w:sz w:val="22"/>
          <w:szCs w:val="22"/>
          <w:shd w:val="clear" w:color="auto" w:fill="FFFFFF"/>
        </w:rPr>
        <w:t xml:space="preserve">SAC failed to provide sufficient evidentiary documentation to </w:t>
      </w:r>
      <w:r w:rsidRPr="00140B38" w:rsidR="00CB033A">
        <w:rPr>
          <w:sz w:val="22"/>
          <w:szCs w:val="22"/>
          <w:shd w:val="clear" w:color="auto" w:fill="FFFFFF"/>
        </w:rPr>
        <w:t xml:space="preserve">support its </w:t>
      </w:r>
      <w:r w:rsidRPr="00140B38" w:rsidR="00E64FD0">
        <w:rPr>
          <w:sz w:val="22"/>
          <w:szCs w:val="22"/>
          <w:shd w:val="clear" w:color="auto" w:fill="FFFFFF"/>
        </w:rPr>
        <w:t>diversity of ownership</w:t>
      </w:r>
      <w:r w:rsidRPr="00140B38" w:rsidR="00BA1A50">
        <w:rPr>
          <w:sz w:val="22"/>
          <w:szCs w:val="22"/>
          <w:shd w:val="clear" w:color="auto" w:fill="FFFFFF"/>
        </w:rPr>
        <w:t xml:space="preserve"> </w:t>
      </w:r>
      <w:r w:rsidRPr="00140B38" w:rsidR="00CB033A">
        <w:rPr>
          <w:sz w:val="22"/>
          <w:szCs w:val="22"/>
          <w:shd w:val="clear" w:color="auto" w:fill="FFFFFF"/>
        </w:rPr>
        <w:t>and</w:t>
      </w:r>
      <w:r w:rsidRPr="00140B38" w:rsidR="00BA1A50">
        <w:rPr>
          <w:sz w:val="22"/>
          <w:szCs w:val="22"/>
          <w:shd w:val="clear" w:color="auto" w:fill="FFFFFF"/>
        </w:rPr>
        <w:t xml:space="preserve"> established local applicant</w:t>
      </w:r>
      <w:r w:rsidRPr="00140B38" w:rsidR="00CB033A">
        <w:rPr>
          <w:sz w:val="22"/>
          <w:szCs w:val="22"/>
          <w:shd w:val="clear" w:color="auto" w:fill="FFFFFF"/>
        </w:rPr>
        <w:t xml:space="preserve"> claims</w:t>
      </w:r>
      <w:r w:rsidRPr="00140B38" w:rsidR="00BA1A50">
        <w:rPr>
          <w:sz w:val="22"/>
          <w:szCs w:val="22"/>
          <w:shd w:val="clear" w:color="auto" w:fill="FFFFFF"/>
        </w:rPr>
        <w:t xml:space="preserve">.  VVVI </w:t>
      </w:r>
      <w:r w:rsidRPr="00140B38" w:rsidR="00CB033A">
        <w:rPr>
          <w:sz w:val="22"/>
          <w:szCs w:val="22"/>
          <w:shd w:val="clear" w:color="auto" w:fill="FFFFFF"/>
        </w:rPr>
        <w:t>contends that</w:t>
      </w:r>
      <w:r w:rsidRPr="00140B38" w:rsidR="00BA1A50">
        <w:rPr>
          <w:sz w:val="22"/>
          <w:szCs w:val="22"/>
          <w:shd w:val="clear" w:color="auto" w:fill="FFFFFF"/>
        </w:rPr>
        <w:t xml:space="preserve"> SAC misrepresented itself in the Opposition, because </w:t>
      </w:r>
      <w:r w:rsidRPr="00140B38" w:rsidR="00CB033A">
        <w:rPr>
          <w:sz w:val="22"/>
          <w:szCs w:val="22"/>
          <w:shd w:val="clear" w:color="auto" w:fill="FFFFFF"/>
        </w:rPr>
        <w:t>as of</w:t>
      </w:r>
      <w:r w:rsidRPr="00140B38" w:rsidR="00BA1A50">
        <w:rPr>
          <w:sz w:val="22"/>
          <w:szCs w:val="22"/>
          <w:shd w:val="clear" w:color="auto" w:fill="FFFFFF"/>
        </w:rPr>
        <w:t xml:space="preserve"> August 2022, “SAC’s</w:t>
      </w:r>
      <w:r w:rsidRPr="00F70F22" w:rsidR="00BA1A50">
        <w:rPr>
          <w:sz w:val="22"/>
          <w:szCs w:val="22"/>
          <w:shd w:val="clear" w:color="auto" w:fill="FFFFFF"/>
        </w:rPr>
        <w:t xml:space="preserve"> office was not regularly open to the public.”</w:t>
      </w:r>
      <w:r>
        <w:rPr>
          <w:rStyle w:val="FootnoteReference"/>
          <w:rFonts w:ascii="Times New Roman" w:hAnsi="Times New Roman"/>
          <w:sz w:val="22"/>
          <w:szCs w:val="22"/>
          <w:shd w:val="clear" w:color="auto" w:fill="FFFFFF"/>
        </w:rPr>
        <w:footnoteReference w:id="27"/>
      </w:r>
      <w:r w:rsidRPr="00F70F22" w:rsidR="00E64FD0">
        <w:rPr>
          <w:rFonts w:eastAsia="Calibri"/>
          <w:iCs/>
          <w:sz w:val="22"/>
          <w:szCs w:val="22"/>
        </w:rPr>
        <w:t xml:space="preserve"> </w:t>
      </w:r>
      <w:r w:rsidRPr="00F70F22" w:rsidR="00BA1A50">
        <w:rPr>
          <w:rFonts w:eastAsia="Calibri"/>
          <w:iCs/>
          <w:sz w:val="22"/>
          <w:szCs w:val="22"/>
        </w:rPr>
        <w:t xml:space="preserve"> </w:t>
      </w:r>
      <w:r w:rsidRPr="00F70F22">
        <w:rPr>
          <w:sz w:val="22"/>
          <w:szCs w:val="22"/>
          <w:bdr w:val="none" w:sz="0" w:space="0" w:color="auto" w:frame="1"/>
          <w:shd w:val="clear" w:color="auto" w:fill="FFFFFF"/>
        </w:rPr>
        <w:t xml:space="preserve">VVVI </w:t>
      </w:r>
      <w:r w:rsidRPr="00F70F22" w:rsidR="00CB033A">
        <w:rPr>
          <w:sz w:val="22"/>
          <w:szCs w:val="22"/>
          <w:bdr w:val="none" w:sz="0" w:space="0" w:color="auto" w:frame="1"/>
          <w:shd w:val="clear" w:color="auto" w:fill="FFFFFF"/>
        </w:rPr>
        <w:t xml:space="preserve">also </w:t>
      </w:r>
      <w:r w:rsidRPr="00F70F22" w:rsidR="00BA1A50">
        <w:rPr>
          <w:sz w:val="22"/>
          <w:szCs w:val="22"/>
          <w:bdr w:val="none" w:sz="0" w:space="0" w:color="auto" w:frame="1"/>
          <w:shd w:val="clear" w:color="auto" w:fill="FFFFFF"/>
        </w:rPr>
        <w:t xml:space="preserve">reiterates its argument that SAC is required to </w:t>
      </w:r>
      <w:r w:rsidRPr="00F70F22">
        <w:rPr>
          <w:sz w:val="22"/>
          <w:szCs w:val="22"/>
          <w:bdr w:val="none" w:sz="0" w:space="0" w:color="auto" w:frame="1"/>
          <w:shd w:val="clear" w:color="auto" w:fill="FFFFFF"/>
        </w:rPr>
        <w:t>maintain a physical public inspection file</w:t>
      </w:r>
      <w:r w:rsidRPr="00F70F22" w:rsidR="00BA1A50">
        <w:rPr>
          <w:sz w:val="22"/>
          <w:szCs w:val="22"/>
          <w:bdr w:val="none" w:sz="0" w:space="0" w:color="auto" w:frame="1"/>
          <w:shd w:val="clear" w:color="auto" w:fill="FFFFFF"/>
        </w:rPr>
        <w:t xml:space="preserve"> and that it failed to do so</w:t>
      </w:r>
      <w:r w:rsidRPr="00F70F22">
        <w:rPr>
          <w:sz w:val="22"/>
          <w:szCs w:val="22"/>
          <w:bdr w:val="none" w:sz="0" w:space="0" w:color="auto" w:frame="1"/>
          <w:shd w:val="clear" w:color="auto" w:fill="FFFFFF"/>
        </w:rPr>
        <w:t>.</w:t>
      </w:r>
      <w:r>
        <w:rPr>
          <w:rStyle w:val="FootnoteReference"/>
          <w:rFonts w:ascii="Times New Roman" w:hAnsi="Times New Roman"/>
          <w:sz w:val="22"/>
          <w:szCs w:val="22"/>
          <w:bdr w:val="none" w:sz="0" w:space="0" w:color="auto" w:frame="1"/>
          <w:shd w:val="clear" w:color="auto" w:fill="FFFFFF"/>
        </w:rPr>
        <w:footnoteReference w:id="28"/>
      </w:r>
      <w:r w:rsidRPr="00F70F22">
        <w:rPr>
          <w:sz w:val="22"/>
          <w:szCs w:val="22"/>
          <w:bdr w:val="none" w:sz="0" w:space="0" w:color="auto" w:frame="1"/>
          <w:shd w:val="clear" w:color="auto" w:fill="FFFFFF"/>
        </w:rPr>
        <w:t xml:space="preserve">  </w:t>
      </w:r>
      <w:r w:rsidRPr="00F70F22" w:rsidR="00FE19EB">
        <w:rPr>
          <w:sz w:val="22"/>
          <w:szCs w:val="22"/>
          <w:bdr w:val="none" w:sz="0" w:space="0" w:color="auto" w:frame="1"/>
          <w:shd w:val="clear" w:color="auto" w:fill="FFFFFF"/>
        </w:rPr>
        <w:t>Finally, VVVI contends that the technical defect</w:t>
      </w:r>
      <w:r w:rsidRPr="00F70F22" w:rsidR="00527BDA">
        <w:rPr>
          <w:sz w:val="22"/>
          <w:szCs w:val="22"/>
          <w:bdr w:val="none" w:sz="0" w:space="0" w:color="auto" w:frame="1"/>
          <w:shd w:val="clear" w:color="auto" w:fill="FFFFFF"/>
        </w:rPr>
        <w:t xml:space="preserve"> contained in </w:t>
      </w:r>
      <w:r w:rsidRPr="00F70F22" w:rsidR="00FE19EB">
        <w:rPr>
          <w:sz w:val="22"/>
          <w:szCs w:val="22"/>
          <w:bdr w:val="none" w:sz="0" w:space="0" w:color="auto" w:frame="1"/>
          <w:shd w:val="clear" w:color="auto" w:fill="FFFFFF"/>
        </w:rPr>
        <w:t xml:space="preserve">the SAC Application </w:t>
      </w:r>
      <w:r w:rsidR="00EC7CD6">
        <w:rPr>
          <w:sz w:val="22"/>
          <w:szCs w:val="22"/>
          <w:bdr w:val="none" w:sz="0" w:space="0" w:color="auto" w:frame="1"/>
          <w:shd w:val="clear" w:color="auto" w:fill="FFFFFF"/>
        </w:rPr>
        <w:t>is</w:t>
      </w:r>
      <w:r w:rsidRPr="00F70F22" w:rsidR="00FE19EB">
        <w:rPr>
          <w:sz w:val="22"/>
          <w:szCs w:val="22"/>
          <w:bdr w:val="none" w:sz="0" w:space="0" w:color="auto" w:frame="1"/>
          <w:shd w:val="clear" w:color="auto" w:fill="FFFFFF"/>
        </w:rPr>
        <w:t xml:space="preserve"> fatal.</w:t>
      </w:r>
      <w:r>
        <w:rPr>
          <w:rStyle w:val="FootnoteReference"/>
          <w:rFonts w:ascii="Times New Roman" w:hAnsi="Times New Roman"/>
          <w:sz w:val="22"/>
          <w:szCs w:val="22"/>
          <w:bdr w:val="none" w:sz="0" w:space="0" w:color="auto" w:frame="1"/>
          <w:shd w:val="clear" w:color="auto" w:fill="FFFFFF"/>
        </w:rPr>
        <w:footnoteReference w:id="29"/>
      </w:r>
      <w:r w:rsidRPr="00F70F22" w:rsidR="00FE19EB">
        <w:rPr>
          <w:sz w:val="22"/>
          <w:szCs w:val="22"/>
          <w:bdr w:val="none" w:sz="0" w:space="0" w:color="auto" w:frame="1"/>
          <w:shd w:val="clear" w:color="auto" w:fill="FFFFFF"/>
        </w:rPr>
        <w:t xml:space="preserve"> </w:t>
      </w:r>
    </w:p>
    <w:p w:rsidR="00CB5F08" w:rsidRPr="00F70F22" w:rsidP="00B31FD9" w14:paraId="6E5C5A81" w14:textId="18B4CDF2">
      <w:pPr>
        <w:spacing w:after="120"/>
        <w:ind w:firstLine="720"/>
        <w:rPr>
          <w:sz w:val="22"/>
          <w:szCs w:val="22"/>
        </w:rPr>
      </w:pPr>
      <w:r w:rsidRPr="00F70F22">
        <w:rPr>
          <w:i/>
          <w:iCs/>
          <w:sz w:val="22"/>
          <w:szCs w:val="22"/>
        </w:rPr>
        <w:t>Discussion</w:t>
      </w:r>
      <w:r w:rsidRPr="00F70F22">
        <w:rPr>
          <w:sz w:val="22"/>
          <w:szCs w:val="22"/>
        </w:rPr>
        <w:t>.  Pursuant to section 309(d) of the Act,</w:t>
      </w:r>
      <w:bookmarkStart w:id="10" w:name="co_fnRef_FN_F5_ID0ETHAC_1"/>
      <w:bookmarkEnd w:id="10"/>
      <w:r>
        <w:rPr>
          <w:rStyle w:val="FootnoteReference"/>
          <w:rFonts w:ascii="Times New Roman" w:hAnsi="Times New Roman"/>
          <w:sz w:val="22"/>
          <w:szCs w:val="22"/>
        </w:rPr>
        <w:footnoteReference w:id="30"/>
      </w:r>
      <w:r w:rsidRPr="00F70F22">
        <w:rPr>
          <w:sz w:val="22"/>
          <w:szCs w:val="22"/>
        </w:rPr>
        <w:t xml:space="preserve"> petitions to deny must provide properly supported allegations of fact that, if true, would establish a substantial and material question of fact that grant of the application would be </w:t>
      </w:r>
      <w:r w:rsidRPr="00F70F22">
        <w:rPr>
          <w:i/>
          <w:iCs/>
          <w:sz w:val="22"/>
          <w:szCs w:val="22"/>
        </w:rPr>
        <w:t>prima facie</w:t>
      </w:r>
      <w:r w:rsidRPr="00F70F22">
        <w:rPr>
          <w:sz w:val="22"/>
          <w:szCs w:val="22"/>
        </w:rPr>
        <w:t xml:space="preserve"> inconsistent with the public interest.</w:t>
      </w:r>
      <w:bookmarkStart w:id="11" w:name="co_fnRef_FN_F6_ID0ERIAC_1"/>
      <w:bookmarkEnd w:id="11"/>
      <w:r>
        <w:rPr>
          <w:rStyle w:val="FootnoteReference"/>
          <w:rFonts w:ascii="Times New Roman" w:hAnsi="Times New Roman"/>
          <w:sz w:val="22"/>
          <w:szCs w:val="22"/>
        </w:rPr>
        <w:footnoteReference w:id="31"/>
      </w:r>
      <w:r w:rsidRPr="00F70F22">
        <w:rPr>
          <w:sz w:val="22"/>
          <w:szCs w:val="22"/>
        </w:rPr>
        <w:t xml:space="preserve"> </w:t>
      </w:r>
    </w:p>
    <w:p w:rsidR="006A10DB" w:rsidRPr="0015055F" w:rsidP="00B31FD9" w14:paraId="2CCA22C8" w14:textId="4BA4B43D">
      <w:pPr>
        <w:spacing w:after="120"/>
        <w:ind w:firstLine="720"/>
        <w:rPr>
          <w:color w:val="000000"/>
          <w:sz w:val="22"/>
          <w:szCs w:val="22"/>
        </w:rPr>
      </w:pPr>
      <w:r w:rsidRPr="00F70F22">
        <w:rPr>
          <w:sz w:val="22"/>
          <w:szCs w:val="22"/>
          <w:u w:val="single"/>
        </w:rPr>
        <w:t>Procedural Matters</w:t>
      </w:r>
      <w:r w:rsidRPr="00F70F22">
        <w:rPr>
          <w:sz w:val="22"/>
          <w:szCs w:val="22"/>
        </w:rPr>
        <w:t>.</w:t>
      </w:r>
      <w:r w:rsidRPr="00F70F22" w:rsidR="00D51D1B">
        <w:rPr>
          <w:sz w:val="22"/>
          <w:szCs w:val="22"/>
        </w:rPr>
        <w:t xml:space="preserve">  </w:t>
      </w:r>
      <w:r w:rsidRPr="00F70F22">
        <w:rPr>
          <w:color w:val="000000"/>
          <w:sz w:val="22"/>
          <w:szCs w:val="22"/>
          <w:shd w:val="clear" w:color="auto" w:fill="FFFFFF"/>
        </w:rPr>
        <w:t xml:space="preserve">At the outset, </w:t>
      </w:r>
      <w:r w:rsidRPr="00F70F22" w:rsidR="00DD1489">
        <w:rPr>
          <w:color w:val="000000"/>
          <w:sz w:val="22"/>
          <w:szCs w:val="22"/>
          <w:shd w:val="clear" w:color="auto" w:fill="FFFFFF"/>
        </w:rPr>
        <w:t xml:space="preserve">we </w:t>
      </w:r>
      <w:r w:rsidR="0036118A">
        <w:rPr>
          <w:color w:val="000000"/>
          <w:sz w:val="22"/>
          <w:szCs w:val="22"/>
          <w:shd w:val="clear" w:color="auto" w:fill="FFFFFF"/>
        </w:rPr>
        <w:t xml:space="preserve">agree with </w:t>
      </w:r>
      <w:r w:rsidR="00D8460B">
        <w:rPr>
          <w:color w:val="000000"/>
          <w:sz w:val="22"/>
          <w:szCs w:val="22"/>
          <w:shd w:val="clear" w:color="auto" w:fill="FFFFFF"/>
        </w:rPr>
        <w:t>VVVI</w:t>
      </w:r>
      <w:r w:rsidRPr="00F70F22" w:rsidR="00D8460B">
        <w:rPr>
          <w:color w:val="000000"/>
          <w:sz w:val="22"/>
          <w:szCs w:val="22"/>
          <w:shd w:val="clear" w:color="auto" w:fill="FFFFFF"/>
        </w:rPr>
        <w:t xml:space="preserve"> </w:t>
      </w:r>
      <w:r w:rsidRPr="00F70F22" w:rsidR="00DD1489">
        <w:rPr>
          <w:color w:val="000000"/>
          <w:sz w:val="22"/>
          <w:szCs w:val="22"/>
          <w:shd w:val="clear" w:color="auto" w:fill="FFFFFF"/>
        </w:rPr>
        <w:t xml:space="preserve">that SAC’s Opposition is </w:t>
      </w:r>
      <w:r w:rsidRPr="00F70F22">
        <w:rPr>
          <w:color w:val="000000"/>
          <w:sz w:val="22"/>
          <w:szCs w:val="22"/>
          <w:shd w:val="clear" w:color="auto" w:fill="FFFFFF"/>
        </w:rPr>
        <w:t xml:space="preserve">late-filed. Pursuant to </w:t>
      </w:r>
      <w:r w:rsidR="009A48F5">
        <w:rPr>
          <w:color w:val="000000"/>
          <w:sz w:val="22"/>
          <w:szCs w:val="22"/>
          <w:shd w:val="clear" w:color="auto" w:fill="FFFFFF"/>
        </w:rPr>
        <w:t xml:space="preserve">section </w:t>
      </w:r>
      <w:r w:rsidRPr="00F70F22">
        <w:rPr>
          <w:color w:val="000000"/>
          <w:sz w:val="22"/>
          <w:szCs w:val="22"/>
        </w:rPr>
        <w:t>73.7004</w:t>
      </w:r>
      <w:r w:rsidRPr="00F70F22" w:rsidR="008E1E15">
        <w:rPr>
          <w:color w:val="000000"/>
          <w:sz w:val="22"/>
          <w:szCs w:val="22"/>
        </w:rPr>
        <w:t>(c)</w:t>
      </w:r>
      <w:r w:rsidRPr="00F70F22">
        <w:rPr>
          <w:color w:val="000000"/>
          <w:sz w:val="22"/>
          <w:szCs w:val="22"/>
        </w:rPr>
        <w:t xml:space="preserve"> of the Rules, SAC’s Opposition was due on </w:t>
      </w:r>
      <w:r w:rsidRPr="00F70F22" w:rsidR="008E1E15">
        <w:rPr>
          <w:color w:val="000000"/>
          <w:sz w:val="22"/>
          <w:szCs w:val="22"/>
        </w:rPr>
        <w:t>September 2, 2022</w:t>
      </w:r>
      <w:r w:rsidRPr="00F70F22">
        <w:rPr>
          <w:color w:val="000000"/>
          <w:sz w:val="22"/>
          <w:szCs w:val="22"/>
        </w:rPr>
        <w:t>,</w:t>
      </w:r>
      <w:r>
        <w:rPr>
          <w:rStyle w:val="FootnoteReference"/>
          <w:rFonts w:ascii="Times New Roman" w:hAnsi="Times New Roman"/>
          <w:color w:val="000000"/>
          <w:sz w:val="22"/>
          <w:szCs w:val="22"/>
        </w:rPr>
        <w:footnoteReference w:id="32"/>
      </w:r>
      <w:r w:rsidRPr="00F70F22">
        <w:rPr>
          <w:color w:val="000000"/>
          <w:sz w:val="22"/>
          <w:szCs w:val="22"/>
        </w:rPr>
        <w:t xml:space="preserve"> but was not </w:t>
      </w:r>
      <w:r w:rsidRPr="00F70F22" w:rsidR="008E1E15">
        <w:rPr>
          <w:color w:val="000000"/>
          <w:sz w:val="22"/>
          <w:szCs w:val="22"/>
        </w:rPr>
        <w:t xml:space="preserve">filed until September 9, </w:t>
      </w:r>
      <w:r w:rsidRPr="0015055F" w:rsidR="008E1E15">
        <w:rPr>
          <w:color w:val="000000"/>
          <w:sz w:val="22"/>
          <w:szCs w:val="22"/>
        </w:rPr>
        <w:t>2022</w:t>
      </w:r>
      <w:r w:rsidRPr="0015055F">
        <w:rPr>
          <w:color w:val="000000"/>
          <w:sz w:val="22"/>
          <w:szCs w:val="22"/>
        </w:rPr>
        <w:t>.</w:t>
      </w:r>
      <w:r>
        <w:rPr>
          <w:rStyle w:val="FootnoteReference"/>
          <w:rFonts w:ascii="Times New Roman" w:hAnsi="Times New Roman"/>
          <w:color w:val="000000"/>
          <w:sz w:val="22"/>
          <w:szCs w:val="22"/>
        </w:rPr>
        <w:footnoteReference w:id="33"/>
      </w:r>
      <w:r w:rsidRPr="0015055F">
        <w:rPr>
          <w:color w:val="000000"/>
          <w:sz w:val="22"/>
          <w:szCs w:val="22"/>
        </w:rPr>
        <w:t xml:space="preserve">  </w:t>
      </w:r>
      <w:r w:rsidRPr="007D5401" w:rsidR="0015055F">
        <w:rPr>
          <w:rStyle w:val="cf01"/>
          <w:rFonts w:ascii="Times New Roman" w:hAnsi="Times New Roman" w:cs="Times New Roman"/>
          <w:sz w:val="22"/>
          <w:szCs w:val="22"/>
        </w:rPr>
        <w:t xml:space="preserve">SAC explains that the Opposition </w:t>
      </w:r>
      <w:r w:rsidR="007559CF">
        <w:rPr>
          <w:rStyle w:val="cf01"/>
          <w:rFonts w:ascii="Times New Roman" w:hAnsi="Times New Roman" w:cs="Times New Roman"/>
          <w:sz w:val="22"/>
          <w:szCs w:val="22"/>
        </w:rPr>
        <w:t>was not timely filed</w:t>
      </w:r>
      <w:r w:rsidRPr="007D5401" w:rsidR="0015055F">
        <w:rPr>
          <w:rStyle w:val="cf01"/>
          <w:rFonts w:ascii="Times New Roman" w:hAnsi="Times New Roman" w:cs="Times New Roman"/>
          <w:sz w:val="22"/>
          <w:szCs w:val="22"/>
        </w:rPr>
        <w:t xml:space="preserve"> because i</w:t>
      </w:r>
      <w:r w:rsidRPr="007D5401" w:rsidR="0015055F">
        <w:rPr>
          <w:rStyle w:val="cf11"/>
          <w:rFonts w:ascii="Times New Roman" w:hAnsi="Times New Roman" w:cs="Times New Roman"/>
          <w:sz w:val="22"/>
          <w:szCs w:val="22"/>
        </w:rPr>
        <w:t xml:space="preserve">ts broadcasting </w:t>
      </w:r>
      <w:r w:rsidRPr="007D5401" w:rsidR="009A48F5">
        <w:rPr>
          <w:rStyle w:val="cf11"/>
          <w:rFonts w:ascii="Times New Roman" w:hAnsi="Times New Roman" w:cs="Times New Roman"/>
          <w:sz w:val="22"/>
          <w:szCs w:val="22"/>
        </w:rPr>
        <w:t>consult</w:t>
      </w:r>
      <w:r w:rsidR="009A48F5">
        <w:rPr>
          <w:rStyle w:val="cf11"/>
          <w:rFonts w:ascii="Times New Roman" w:hAnsi="Times New Roman" w:cs="Times New Roman"/>
          <w:sz w:val="22"/>
          <w:szCs w:val="22"/>
        </w:rPr>
        <w:t xml:space="preserve">ant </w:t>
      </w:r>
      <w:r w:rsidR="007559CF">
        <w:rPr>
          <w:rStyle w:val="cf11"/>
          <w:rFonts w:ascii="Times New Roman" w:hAnsi="Times New Roman" w:cs="Times New Roman"/>
          <w:sz w:val="22"/>
          <w:szCs w:val="22"/>
        </w:rPr>
        <w:t>was unable to assist SAC with its filing due to a wildfire near his residence.</w:t>
      </w:r>
      <w:r>
        <w:rPr>
          <w:rStyle w:val="FootnoteReference"/>
          <w:szCs w:val="22"/>
        </w:rPr>
        <w:footnoteReference w:id="34"/>
      </w:r>
      <w:r w:rsidR="007D5401">
        <w:rPr>
          <w:rStyle w:val="cf11"/>
          <w:rFonts w:ascii="Times New Roman" w:hAnsi="Times New Roman" w:cs="Times New Roman"/>
          <w:sz w:val="22"/>
          <w:szCs w:val="22"/>
        </w:rPr>
        <w:t xml:space="preserve"> </w:t>
      </w:r>
      <w:r w:rsidRPr="007D5401" w:rsidR="0015055F">
        <w:rPr>
          <w:rStyle w:val="cf11"/>
          <w:rFonts w:ascii="Times New Roman" w:hAnsi="Times New Roman" w:cs="Times New Roman"/>
          <w:sz w:val="22"/>
          <w:szCs w:val="22"/>
        </w:rPr>
        <w:t xml:space="preserve"> VVVI objected to SAC’s Motion for Leave</w:t>
      </w:r>
      <w:r w:rsidR="007D5401">
        <w:rPr>
          <w:rStyle w:val="cf11"/>
          <w:rFonts w:ascii="Times New Roman" w:hAnsi="Times New Roman" w:cs="Times New Roman"/>
          <w:sz w:val="22"/>
          <w:szCs w:val="22"/>
        </w:rPr>
        <w:t xml:space="preserve">, arguing that </w:t>
      </w:r>
      <w:r w:rsidRPr="007D5401" w:rsidR="0015055F">
        <w:rPr>
          <w:rStyle w:val="cf11"/>
          <w:rFonts w:ascii="Times New Roman" w:hAnsi="Times New Roman" w:cs="Times New Roman"/>
          <w:sz w:val="22"/>
          <w:szCs w:val="22"/>
        </w:rPr>
        <w:t>requests for extension of time are not routinely granted.</w:t>
      </w:r>
      <w:r>
        <w:rPr>
          <w:rStyle w:val="FootnoteReference"/>
          <w:szCs w:val="22"/>
        </w:rPr>
        <w:footnoteReference w:id="35"/>
      </w:r>
      <w:r w:rsidRPr="007D5401" w:rsidR="0015055F">
        <w:rPr>
          <w:rStyle w:val="cf11"/>
          <w:rFonts w:ascii="Times New Roman" w:hAnsi="Times New Roman" w:cs="Times New Roman"/>
          <w:sz w:val="22"/>
          <w:szCs w:val="22"/>
        </w:rPr>
        <w:t xml:space="preserve"> </w:t>
      </w:r>
      <w:r w:rsidR="007D5401">
        <w:rPr>
          <w:rStyle w:val="cf11"/>
          <w:rFonts w:ascii="Times New Roman" w:hAnsi="Times New Roman" w:cs="Times New Roman"/>
          <w:sz w:val="22"/>
          <w:szCs w:val="22"/>
        </w:rPr>
        <w:t xml:space="preserve"> </w:t>
      </w:r>
      <w:r w:rsidRPr="0015055F">
        <w:rPr>
          <w:color w:val="000000"/>
          <w:sz w:val="22"/>
          <w:szCs w:val="22"/>
        </w:rPr>
        <w:t xml:space="preserve">However, we will </w:t>
      </w:r>
      <w:r w:rsidR="0015055F">
        <w:rPr>
          <w:color w:val="000000"/>
          <w:sz w:val="22"/>
          <w:szCs w:val="22"/>
        </w:rPr>
        <w:t xml:space="preserve">grant SAC’s Motion for Leave and </w:t>
      </w:r>
      <w:r w:rsidRPr="0015055F">
        <w:rPr>
          <w:color w:val="000000"/>
          <w:sz w:val="22"/>
          <w:szCs w:val="22"/>
        </w:rPr>
        <w:t>consider the </w:t>
      </w:r>
      <w:r w:rsidRPr="0015055F">
        <w:rPr>
          <w:color w:val="000000"/>
          <w:sz w:val="22"/>
          <w:szCs w:val="22"/>
          <w:bdr w:val="none" w:sz="0" w:space="0" w:color="auto" w:frame="1"/>
          <w:shd w:val="clear" w:color="auto" w:fill="FFFFFF"/>
        </w:rPr>
        <w:t>Opposition</w:t>
      </w:r>
      <w:r w:rsidR="0015055F">
        <w:rPr>
          <w:color w:val="000000"/>
          <w:sz w:val="22"/>
          <w:szCs w:val="22"/>
          <w:bdr w:val="none" w:sz="0" w:space="0" w:color="auto" w:frame="1"/>
          <w:shd w:val="clear" w:color="auto" w:fill="FFFFFF"/>
        </w:rPr>
        <w:t xml:space="preserve"> based on SAC’s explanation and</w:t>
      </w:r>
      <w:r w:rsidRPr="0015055F">
        <w:rPr>
          <w:color w:val="000000"/>
          <w:sz w:val="22"/>
          <w:szCs w:val="22"/>
        </w:rPr>
        <w:t> in the interest of having a complete record.</w:t>
      </w:r>
      <w:r>
        <w:rPr>
          <w:rStyle w:val="FootnoteReference"/>
          <w:rFonts w:ascii="Times New Roman" w:hAnsi="Times New Roman"/>
          <w:color w:val="000000"/>
          <w:sz w:val="22"/>
          <w:szCs w:val="22"/>
        </w:rPr>
        <w:footnoteReference w:id="36"/>
      </w:r>
    </w:p>
    <w:p w:rsidR="008F2D0A" w:rsidRPr="00F70F22" w:rsidP="00B31FD9" w14:paraId="68F24A7E" w14:textId="5232B415">
      <w:pPr>
        <w:spacing w:after="120"/>
        <w:ind w:firstLine="720"/>
        <w:rPr>
          <w:sz w:val="22"/>
          <w:szCs w:val="22"/>
          <w:shd w:val="clear" w:color="auto" w:fill="FFFFFF"/>
        </w:rPr>
      </w:pPr>
      <w:r w:rsidRPr="00F70F22">
        <w:rPr>
          <w:sz w:val="22"/>
          <w:szCs w:val="22"/>
          <w:u w:val="single"/>
        </w:rPr>
        <w:t>Diversity of Ownership</w:t>
      </w:r>
      <w:r w:rsidR="00764364">
        <w:rPr>
          <w:sz w:val="22"/>
          <w:szCs w:val="22"/>
        </w:rPr>
        <w:t>.</w:t>
      </w:r>
      <w:r w:rsidRPr="00F70F22" w:rsidR="00A803E1">
        <w:rPr>
          <w:sz w:val="22"/>
          <w:szCs w:val="22"/>
        </w:rPr>
        <w:t xml:space="preserve"> </w:t>
      </w:r>
      <w:r w:rsidRPr="00F70F22" w:rsidR="00475140">
        <w:rPr>
          <w:sz w:val="22"/>
          <w:szCs w:val="22"/>
        </w:rPr>
        <w:t xml:space="preserve"> </w:t>
      </w:r>
      <w:r w:rsidRPr="00F70F22" w:rsidR="002865D3">
        <w:rPr>
          <w:sz w:val="22"/>
          <w:szCs w:val="22"/>
          <w:shd w:val="clear" w:color="auto" w:fill="FFFFFF"/>
        </w:rPr>
        <w:t xml:space="preserve">We </w:t>
      </w:r>
      <w:r w:rsidR="00B607D1">
        <w:rPr>
          <w:sz w:val="22"/>
          <w:szCs w:val="22"/>
          <w:shd w:val="clear" w:color="auto" w:fill="FFFFFF"/>
        </w:rPr>
        <w:t xml:space="preserve">reject VVVI’s argument that SAC does not qualify for </w:t>
      </w:r>
      <w:r w:rsidRPr="00F70F22" w:rsidR="002865D3">
        <w:rPr>
          <w:sz w:val="22"/>
          <w:szCs w:val="22"/>
          <w:shd w:val="clear" w:color="auto" w:fill="FFFFFF"/>
        </w:rPr>
        <w:t>diversity of ownershi</w:t>
      </w:r>
      <w:r w:rsidRPr="00F70F22" w:rsidR="0015111D">
        <w:rPr>
          <w:sz w:val="22"/>
          <w:szCs w:val="22"/>
          <w:shd w:val="clear" w:color="auto" w:fill="FFFFFF"/>
        </w:rPr>
        <w:t>p</w:t>
      </w:r>
      <w:r w:rsidR="00B607D1">
        <w:rPr>
          <w:sz w:val="22"/>
          <w:szCs w:val="22"/>
          <w:shd w:val="clear" w:color="auto" w:fill="FFFFFF"/>
        </w:rPr>
        <w:t xml:space="preserve"> points</w:t>
      </w:r>
      <w:r w:rsidRPr="00F70F22" w:rsidR="002865D3">
        <w:rPr>
          <w:sz w:val="22"/>
          <w:szCs w:val="22"/>
          <w:shd w:val="clear" w:color="auto" w:fill="FFFFFF"/>
        </w:rPr>
        <w:t>.</w:t>
      </w:r>
      <w:r w:rsidRPr="00F70F22" w:rsidR="006C6A7C">
        <w:rPr>
          <w:sz w:val="22"/>
          <w:szCs w:val="22"/>
          <w:shd w:val="clear" w:color="auto" w:fill="FFFFFF"/>
        </w:rPr>
        <w:t xml:space="preserve">  </w:t>
      </w:r>
      <w:r w:rsidRPr="00F70F22" w:rsidR="00AE5489">
        <w:rPr>
          <w:sz w:val="22"/>
          <w:szCs w:val="22"/>
          <w:shd w:val="clear" w:color="auto" w:fill="FFFFFF"/>
        </w:rPr>
        <w:t xml:space="preserve">The </w:t>
      </w:r>
      <w:r w:rsidRPr="00F70F22" w:rsidR="00F7541B">
        <w:rPr>
          <w:i/>
          <w:iCs/>
          <w:sz w:val="22"/>
          <w:szCs w:val="22"/>
          <w:shd w:val="clear" w:color="auto" w:fill="FFFFFF"/>
        </w:rPr>
        <w:t xml:space="preserve">Procedures </w:t>
      </w:r>
      <w:r w:rsidRPr="00F70F22" w:rsidR="00AE5489">
        <w:rPr>
          <w:i/>
          <w:iCs/>
          <w:sz w:val="22"/>
          <w:szCs w:val="22"/>
          <w:shd w:val="clear" w:color="auto" w:fill="FFFFFF"/>
        </w:rPr>
        <w:t>Public Notice</w:t>
      </w:r>
      <w:r w:rsidRPr="00F70F22" w:rsidR="00F7541B">
        <w:rPr>
          <w:i/>
          <w:iCs/>
          <w:sz w:val="22"/>
          <w:szCs w:val="22"/>
          <w:shd w:val="clear" w:color="auto" w:fill="FFFFFF"/>
        </w:rPr>
        <w:t xml:space="preserve"> </w:t>
      </w:r>
      <w:r w:rsidRPr="00F70F22" w:rsidR="00AE5489">
        <w:rPr>
          <w:sz w:val="22"/>
          <w:szCs w:val="22"/>
          <w:shd w:val="clear" w:color="auto" w:fill="FFFFFF"/>
        </w:rPr>
        <w:t>state</w:t>
      </w:r>
      <w:r w:rsidRPr="00F70F22" w:rsidR="00F7541B">
        <w:rPr>
          <w:sz w:val="22"/>
          <w:szCs w:val="22"/>
          <w:shd w:val="clear" w:color="auto" w:fill="FFFFFF"/>
        </w:rPr>
        <w:t>s</w:t>
      </w:r>
      <w:r w:rsidRPr="00F70F22" w:rsidR="00AE5489">
        <w:rPr>
          <w:sz w:val="22"/>
          <w:szCs w:val="22"/>
          <w:shd w:val="clear" w:color="auto" w:fill="FFFFFF"/>
        </w:rPr>
        <w:t xml:space="preserve"> that</w:t>
      </w:r>
      <w:r w:rsidRPr="00F70F22" w:rsidR="000A1CAB">
        <w:rPr>
          <w:sz w:val="22"/>
          <w:szCs w:val="22"/>
          <w:shd w:val="clear" w:color="auto" w:fill="FFFFFF"/>
        </w:rPr>
        <w:t xml:space="preserve"> in order to qualify for the diversity of ownership points, “an applicant must submit either a contour map showing no overlap with the proposed NCE FM station, or a statement that the applicant holds no attributable interests in any nearby radio stations.”</w:t>
      </w:r>
      <w:r>
        <w:rPr>
          <w:rStyle w:val="FootnoteReference"/>
          <w:rFonts w:ascii="Times New Roman" w:hAnsi="Times New Roman"/>
          <w:sz w:val="22"/>
          <w:szCs w:val="22"/>
          <w:shd w:val="clear" w:color="auto" w:fill="FFFFFF"/>
        </w:rPr>
        <w:footnoteReference w:id="37"/>
      </w:r>
      <w:r w:rsidRPr="00F70F22" w:rsidR="007B219E">
        <w:rPr>
          <w:sz w:val="22"/>
          <w:szCs w:val="22"/>
          <w:shd w:val="clear" w:color="auto" w:fill="FFFFFF"/>
        </w:rPr>
        <w:t xml:space="preserve">  </w:t>
      </w:r>
      <w:r w:rsidRPr="00F70F22" w:rsidR="00936A16">
        <w:rPr>
          <w:sz w:val="22"/>
          <w:szCs w:val="22"/>
          <w:shd w:val="clear" w:color="auto" w:fill="FFFFFF"/>
        </w:rPr>
        <w:t xml:space="preserve">The </w:t>
      </w:r>
      <w:r w:rsidRPr="00F70F22" w:rsidR="00936A16">
        <w:rPr>
          <w:i/>
          <w:iCs/>
          <w:sz w:val="22"/>
          <w:szCs w:val="22"/>
        </w:rPr>
        <w:t xml:space="preserve">Schedule 340 Instructions </w:t>
      </w:r>
      <w:r w:rsidRPr="00F70F22" w:rsidR="00936A16">
        <w:rPr>
          <w:sz w:val="22"/>
          <w:szCs w:val="22"/>
        </w:rPr>
        <w:t xml:space="preserve">indicate that </w:t>
      </w:r>
      <w:r w:rsidRPr="00F70F22" w:rsidR="001C38EE">
        <w:rPr>
          <w:sz w:val="22"/>
          <w:szCs w:val="22"/>
        </w:rPr>
        <w:t xml:space="preserve">applicants that have no other attributable stations </w:t>
      </w:r>
      <w:r w:rsidRPr="00F70F22" w:rsidR="009F7716">
        <w:rPr>
          <w:sz w:val="22"/>
          <w:szCs w:val="22"/>
        </w:rPr>
        <w:t>or h</w:t>
      </w:r>
      <w:r w:rsidRPr="00F70F22" w:rsidR="00C630DA">
        <w:rPr>
          <w:sz w:val="22"/>
          <w:szCs w:val="22"/>
        </w:rPr>
        <w:t>ave</w:t>
      </w:r>
      <w:r w:rsidRPr="00F70F22" w:rsidR="009F7716">
        <w:rPr>
          <w:sz w:val="22"/>
          <w:szCs w:val="22"/>
        </w:rPr>
        <w:t xml:space="preserve"> only more distant attributable stations</w:t>
      </w:r>
      <w:r w:rsidRPr="00F70F22" w:rsidR="009F7716">
        <w:rPr>
          <w:b/>
          <w:bCs/>
          <w:sz w:val="22"/>
          <w:szCs w:val="22"/>
        </w:rPr>
        <w:t xml:space="preserve"> </w:t>
      </w:r>
      <w:r w:rsidRPr="00F70F22" w:rsidR="00936A16">
        <w:rPr>
          <w:sz w:val="22"/>
          <w:szCs w:val="22"/>
        </w:rPr>
        <w:t>must</w:t>
      </w:r>
      <w:r w:rsidRPr="00F70F22" w:rsidR="001C38EE">
        <w:rPr>
          <w:sz w:val="22"/>
          <w:szCs w:val="22"/>
        </w:rPr>
        <w:t xml:space="preserve"> upload a statement to that effect</w:t>
      </w:r>
      <w:r w:rsidRPr="00F70F22" w:rsidR="006C6A7C">
        <w:rPr>
          <w:sz w:val="22"/>
          <w:szCs w:val="22"/>
        </w:rPr>
        <w:t>.</w:t>
      </w:r>
      <w:r>
        <w:rPr>
          <w:rStyle w:val="FootnoteReference"/>
          <w:rFonts w:ascii="Times New Roman" w:hAnsi="Times New Roman"/>
          <w:sz w:val="22"/>
          <w:szCs w:val="22"/>
        </w:rPr>
        <w:footnoteReference w:id="38"/>
      </w:r>
      <w:r w:rsidRPr="00F70F22" w:rsidR="00FA393E">
        <w:rPr>
          <w:sz w:val="22"/>
          <w:szCs w:val="22"/>
        </w:rPr>
        <w:t xml:space="preserve"> </w:t>
      </w:r>
      <w:r w:rsidRPr="00F70F22" w:rsidR="00C630DA">
        <w:rPr>
          <w:sz w:val="22"/>
          <w:szCs w:val="22"/>
        </w:rPr>
        <w:t xml:space="preserve"> </w:t>
      </w:r>
      <w:r w:rsidRPr="00F70F22" w:rsidR="006D7B3F">
        <w:rPr>
          <w:sz w:val="22"/>
          <w:szCs w:val="22"/>
        </w:rPr>
        <w:t xml:space="preserve">VVVI argues that SAC was required to upload a separate exhibit even though it certified in its </w:t>
      </w:r>
      <w:r w:rsidRPr="00F70F22" w:rsidR="003F142D">
        <w:rPr>
          <w:sz w:val="22"/>
          <w:szCs w:val="22"/>
        </w:rPr>
        <w:t>A</w:t>
      </w:r>
      <w:r w:rsidRPr="00F70F22" w:rsidR="006D7B3F">
        <w:rPr>
          <w:sz w:val="22"/>
          <w:szCs w:val="22"/>
        </w:rPr>
        <w:t xml:space="preserve">pplication that it has no </w:t>
      </w:r>
      <w:r w:rsidRPr="00F70F22" w:rsidR="006D7B3F">
        <w:rPr>
          <w:sz w:val="22"/>
          <w:szCs w:val="22"/>
        </w:rPr>
        <w:t xml:space="preserve">attributable interests in any other station.  We disagree.  </w:t>
      </w:r>
      <w:r w:rsidRPr="00F70F22" w:rsidR="006C6A7C">
        <w:rPr>
          <w:sz w:val="22"/>
          <w:szCs w:val="22"/>
        </w:rPr>
        <w:t>W</w:t>
      </w:r>
      <w:r w:rsidRPr="00F70F22" w:rsidR="001128AB">
        <w:rPr>
          <w:sz w:val="22"/>
          <w:szCs w:val="22"/>
        </w:rPr>
        <w:t>e have</w:t>
      </w:r>
      <w:r w:rsidRPr="00F70F22" w:rsidR="006C6A7C">
        <w:rPr>
          <w:sz w:val="22"/>
          <w:szCs w:val="22"/>
        </w:rPr>
        <w:t xml:space="preserve"> </w:t>
      </w:r>
      <w:r w:rsidRPr="00F70F22" w:rsidR="001128AB">
        <w:rPr>
          <w:sz w:val="22"/>
          <w:szCs w:val="22"/>
        </w:rPr>
        <w:t xml:space="preserve">made clear that we will exercise </w:t>
      </w:r>
      <w:r w:rsidRPr="00F70F22" w:rsidR="009F7716">
        <w:rPr>
          <w:sz w:val="22"/>
          <w:szCs w:val="22"/>
        </w:rPr>
        <w:t>“</w:t>
      </w:r>
      <w:r w:rsidRPr="00F70F22" w:rsidR="001128AB">
        <w:rPr>
          <w:sz w:val="22"/>
          <w:szCs w:val="22"/>
        </w:rPr>
        <w:t>some flexibility</w:t>
      </w:r>
      <w:r w:rsidRPr="00F70F22" w:rsidR="009F7716">
        <w:rPr>
          <w:sz w:val="22"/>
          <w:szCs w:val="22"/>
        </w:rPr>
        <w:t>”</w:t>
      </w:r>
      <w:r w:rsidRPr="00F70F22" w:rsidR="001128AB">
        <w:rPr>
          <w:sz w:val="22"/>
          <w:szCs w:val="22"/>
        </w:rPr>
        <w:t xml:space="preserve"> in our assessment of the type of acceptable documentation needed to support a diversity</w:t>
      </w:r>
      <w:r w:rsidRPr="00F70F22" w:rsidR="005028B8">
        <w:rPr>
          <w:sz w:val="22"/>
          <w:szCs w:val="22"/>
        </w:rPr>
        <w:t xml:space="preserve"> of ownership </w:t>
      </w:r>
      <w:r w:rsidRPr="00F70F22" w:rsidR="001128AB">
        <w:rPr>
          <w:sz w:val="22"/>
          <w:szCs w:val="22"/>
        </w:rPr>
        <w:t>claim.</w:t>
      </w:r>
      <w:r>
        <w:rPr>
          <w:rStyle w:val="FootnoteReference"/>
          <w:rFonts w:ascii="Times New Roman" w:hAnsi="Times New Roman"/>
          <w:sz w:val="22"/>
          <w:szCs w:val="22"/>
        </w:rPr>
        <w:footnoteReference w:id="39"/>
      </w:r>
      <w:r w:rsidRPr="00F70F22" w:rsidR="007C0DC3">
        <w:rPr>
          <w:sz w:val="22"/>
          <w:szCs w:val="22"/>
        </w:rPr>
        <w:t xml:space="preserve">  </w:t>
      </w:r>
      <w:r w:rsidRPr="00F70F22">
        <w:rPr>
          <w:sz w:val="22"/>
          <w:szCs w:val="22"/>
        </w:rPr>
        <w:t xml:space="preserve">In this regard, we </w:t>
      </w:r>
      <w:r w:rsidRPr="00F70F22" w:rsidR="006D7B3F">
        <w:rPr>
          <w:sz w:val="22"/>
          <w:szCs w:val="22"/>
        </w:rPr>
        <w:t>have granted d</w:t>
      </w:r>
      <w:r w:rsidRPr="00F70F22">
        <w:rPr>
          <w:sz w:val="22"/>
          <w:szCs w:val="22"/>
        </w:rPr>
        <w:t xml:space="preserve">iversity points in circumstances where the applicant </w:t>
      </w:r>
      <w:r w:rsidRPr="00F70F22">
        <w:rPr>
          <w:sz w:val="22"/>
          <w:szCs w:val="22"/>
          <w:shd w:val="clear" w:color="auto" w:fill="FFFFFF"/>
        </w:rPr>
        <w:t xml:space="preserve">certifies, under penalty of perjury, that it holds no attributable interests in </w:t>
      </w:r>
      <w:r w:rsidRPr="00F70F22">
        <w:rPr>
          <w:i/>
          <w:iCs/>
          <w:sz w:val="22"/>
          <w:szCs w:val="22"/>
          <w:shd w:val="clear" w:color="auto" w:fill="FFFFFF"/>
        </w:rPr>
        <w:t>any</w:t>
      </w:r>
      <w:r w:rsidRPr="00F70F22">
        <w:rPr>
          <w:sz w:val="22"/>
          <w:szCs w:val="22"/>
          <w:shd w:val="clear" w:color="auto" w:fill="FFFFFF"/>
        </w:rPr>
        <w:t xml:space="preserve"> broadcast stations.</w:t>
      </w:r>
      <w:r>
        <w:rPr>
          <w:rStyle w:val="FootnoteReference"/>
          <w:rFonts w:ascii="Times New Roman" w:hAnsi="Times New Roman"/>
          <w:sz w:val="22"/>
          <w:szCs w:val="22"/>
          <w:shd w:val="clear" w:color="auto" w:fill="FFFFFF"/>
        </w:rPr>
        <w:footnoteReference w:id="40"/>
      </w:r>
      <w:r w:rsidRPr="00F70F22">
        <w:rPr>
          <w:sz w:val="22"/>
          <w:szCs w:val="22"/>
          <w:shd w:val="clear" w:color="auto" w:fill="FFFFFF"/>
        </w:rPr>
        <w:t xml:space="preserve">  </w:t>
      </w:r>
      <w:r w:rsidRPr="00F70F22" w:rsidR="00936CCD">
        <w:rPr>
          <w:sz w:val="22"/>
          <w:szCs w:val="22"/>
          <w:shd w:val="clear" w:color="auto" w:fill="FFFFFF"/>
        </w:rPr>
        <w:t xml:space="preserve">We </w:t>
      </w:r>
      <w:r w:rsidRPr="00F70F22">
        <w:rPr>
          <w:sz w:val="22"/>
          <w:szCs w:val="22"/>
          <w:shd w:val="clear" w:color="auto" w:fill="FFFFFF"/>
        </w:rPr>
        <w:t xml:space="preserve">find that SAC’s </w:t>
      </w:r>
      <w:r w:rsidRPr="00F70F22" w:rsidR="00936CCD">
        <w:rPr>
          <w:sz w:val="22"/>
          <w:szCs w:val="22"/>
          <w:shd w:val="clear" w:color="auto" w:fill="FFFFFF"/>
        </w:rPr>
        <w:t>certification in its Application is sufficient documentation</w:t>
      </w:r>
      <w:r w:rsidRPr="00F70F22">
        <w:rPr>
          <w:sz w:val="22"/>
          <w:szCs w:val="22"/>
          <w:shd w:val="clear" w:color="auto" w:fill="FFFFFF"/>
        </w:rPr>
        <w:t xml:space="preserve"> and</w:t>
      </w:r>
      <w:r w:rsidRPr="00F70F22" w:rsidR="003F142D">
        <w:rPr>
          <w:sz w:val="22"/>
          <w:szCs w:val="22"/>
          <w:shd w:val="clear" w:color="auto" w:fill="FFFFFF"/>
        </w:rPr>
        <w:t>, therefore,</w:t>
      </w:r>
      <w:r w:rsidRPr="00F70F22">
        <w:rPr>
          <w:sz w:val="22"/>
          <w:szCs w:val="22"/>
          <w:shd w:val="clear" w:color="auto" w:fill="FFFFFF"/>
        </w:rPr>
        <w:t xml:space="preserve"> SAC is entitled to two points for diversity of ownership.   </w:t>
      </w:r>
    </w:p>
    <w:p w:rsidR="00217FF3" w:rsidRPr="00F70F22" w:rsidP="00B31FD9" w14:paraId="6EAD2981" w14:textId="04CB9F72">
      <w:pPr>
        <w:spacing w:after="120"/>
        <w:ind w:firstLine="720"/>
        <w:rPr>
          <w:sz w:val="22"/>
          <w:szCs w:val="22"/>
        </w:rPr>
      </w:pPr>
      <w:bookmarkStart w:id="12" w:name="_Hlk117611567"/>
      <w:r w:rsidRPr="00F70F22">
        <w:rPr>
          <w:sz w:val="22"/>
          <w:szCs w:val="22"/>
          <w:u w:val="single"/>
        </w:rPr>
        <w:t>Established Local Applicant Points</w:t>
      </w:r>
      <w:r w:rsidRPr="003A18FE">
        <w:rPr>
          <w:sz w:val="22"/>
          <w:szCs w:val="22"/>
        </w:rPr>
        <w:t>.</w:t>
      </w:r>
      <w:r w:rsidRPr="00F70F22" w:rsidR="00295802">
        <w:rPr>
          <w:sz w:val="22"/>
          <w:szCs w:val="22"/>
        </w:rPr>
        <w:t xml:space="preserve"> </w:t>
      </w:r>
      <w:r w:rsidRPr="00F70F22" w:rsidR="00C2793D">
        <w:rPr>
          <w:sz w:val="22"/>
          <w:szCs w:val="22"/>
        </w:rPr>
        <w:t xml:space="preserve"> </w:t>
      </w:r>
      <w:r w:rsidRPr="00F70F22" w:rsidR="000A75C5">
        <w:rPr>
          <w:sz w:val="22"/>
          <w:szCs w:val="22"/>
          <w:shd w:val="clear" w:color="auto" w:fill="FFFFFF"/>
        </w:rPr>
        <w:t>To qualify for the three points as an “established local applicant”</w:t>
      </w:r>
      <w:r>
        <w:rPr>
          <w:rStyle w:val="FootnoteReference"/>
          <w:rFonts w:ascii="Times New Roman" w:hAnsi="Times New Roman"/>
          <w:sz w:val="22"/>
          <w:szCs w:val="22"/>
          <w:shd w:val="clear" w:color="auto" w:fill="FFFFFF"/>
        </w:rPr>
        <w:footnoteReference w:id="41"/>
      </w:r>
      <w:r w:rsidRPr="00F70F22" w:rsidR="000A75C5">
        <w:rPr>
          <w:sz w:val="22"/>
          <w:szCs w:val="22"/>
          <w:shd w:val="clear" w:color="auto" w:fill="FFFFFF"/>
        </w:rPr>
        <w:t xml:space="preserve"> an applicant must certify that it has been local and established in the community to be served continuously for at least two years immediately prior to the application filing.</w:t>
      </w:r>
      <w:r>
        <w:rPr>
          <w:rStyle w:val="FootnoteReference"/>
          <w:rFonts w:ascii="Times New Roman" w:hAnsi="Times New Roman"/>
          <w:sz w:val="22"/>
          <w:szCs w:val="22"/>
          <w:shd w:val="clear" w:color="auto" w:fill="FFFFFF"/>
        </w:rPr>
        <w:footnoteReference w:id="42"/>
      </w:r>
      <w:r w:rsidRPr="00F70F22" w:rsidR="000A75C5">
        <w:rPr>
          <w:sz w:val="22"/>
          <w:szCs w:val="22"/>
          <w:shd w:val="clear" w:color="auto" w:fill="FFFFFF"/>
        </w:rPr>
        <w:t xml:space="preserve">  To be considered local, a non-governmental applicant must have a physical headquarters, campus, or 75% of its governing board members residing within 25 miles of the reference coordinates of the proposed community of license.</w:t>
      </w:r>
      <w:r>
        <w:rPr>
          <w:rStyle w:val="FootnoteReference"/>
          <w:rFonts w:ascii="Times New Roman" w:hAnsi="Times New Roman"/>
          <w:sz w:val="22"/>
          <w:szCs w:val="22"/>
          <w:shd w:val="clear" w:color="auto" w:fill="FFFFFF"/>
        </w:rPr>
        <w:footnoteReference w:id="43"/>
      </w:r>
      <w:r w:rsidRPr="00F70F22" w:rsidR="000A75C5">
        <w:rPr>
          <w:sz w:val="22"/>
          <w:szCs w:val="22"/>
          <w:shd w:val="clear" w:color="auto" w:fill="FFFFFF"/>
        </w:rPr>
        <w:t xml:space="preserve">  An applicant claiming points as an “established local applicant” must submit substantiating documentation with its application to illustrate how it qualifies as local and established.</w:t>
      </w:r>
      <w:r>
        <w:rPr>
          <w:rStyle w:val="FootnoteReference"/>
          <w:rFonts w:ascii="Times New Roman" w:hAnsi="Times New Roman"/>
          <w:sz w:val="22"/>
          <w:szCs w:val="22"/>
          <w:shd w:val="clear" w:color="auto" w:fill="FFFFFF"/>
        </w:rPr>
        <w:footnoteReference w:id="44"/>
      </w:r>
      <w:r w:rsidRPr="00F70F22" w:rsidR="000A75C5">
        <w:rPr>
          <w:sz w:val="22"/>
          <w:szCs w:val="22"/>
          <w:shd w:val="clear" w:color="auto" w:fill="FFFFFF"/>
        </w:rPr>
        <w:t xml:space="preserve">  </w:t>
      </w:r>
    </w:p>
    <w:p w:rsidR="00CE4060" w:rsidRPr="00F70F22" w:rsidP="00B31FD9" w14:paraId="3716DF6B" w14:textId="3485C6F0">
      <w:pPr>
        <w:spacing w:after="120"/>
        <w:ind w:firstLine="720"/>
        <w:rPr>
          <w:sz w:val="22"/>
          <w:szCs w:val="22"/>
          <w:shd w:val="clear" w:color="auto" w:fill="FFFFFF"/>
        </w:rPr>
      </w:pPr>
      <w:r w:rsidRPr="00F70F22">
        <w:rPr>
          <w:sz w:val="22"/>
          <w:szCs w:val="22"/>
          <w:shd w:val="clear" w:color="auto" w:fill="FFFFFF"/>
        </w:rPr>
        <w:t>At the outset, w</w:t>
      </w:r>
      <w:r w:rsidRPr="00F70F22">
        <w:rPr>
          <w:sz w:val="22"/>
          <w:szCs w:val="22"/>
          <w:shd w:val="clear" w:color="auto" w:fill="FFFFFF"/>
        </w:rPr>
        <w:t xml:space="preserve">e reject VVVI’s allegation that </w:t>
      </w:r>
      <w:r w:rsidRPr="00F70F22">
        <w:rPr>
          <w:sz w:val="22"/>
          <w:szCs w:val="22"/>
        </w:rPr>
        <w:t xml:space="preserve">SAC’s headquarters </w:t>
      </w:r>
      <w:r w:rsidRPr="00F70F22">
        <w:rPr>
          <w:sz w:val="22"/>
          <w:szCs w:val="22"/>
          <w:shd w:val="clear" w:color="auto" w:fill="FFFFFF"/>
        </w:rPr>
        <w:t>is “a front</w:t>
      </w:r>
      <w:r w:rsidRPr="00F70F22">
        <w:rPr>
          <w:sz w:val="22"/>
          <w:szCs w:val="22"/>
          <w:shd w:val="clear" w:color="auto" w:fill="FFFFFF"/>
        </w:rPr>
        <w:t>.</w:t>
      </w:r>
      <w:r w:rsidRPr="00F70F22">
        <w:rPr>
          <w:sz w:val="22"/>
          <w:szCs w:val="22"/>
          <w:shd w:val="clear" w:color="auto" w:fill="FFFFFF"/>
        </w:rPr>
        <w:t>”</w:t>
      </w:r>
      <w:r>
        <w:rPr>
          <w:rStyle w:val="FootnoteReference"/>
          <w:rFonts w:ascii="Times New Roman" w:hAnsi="Times New Roman"/>
          <w:sz w:val="22"/>
          <w:szCs w:val="22"/>
          <w:shd w:val="clear" w:color="auto" w:fill="FFFFFF"/>
        </w:rPr>
        <w:footnoteReference w:id="45"/>
      </w:r>
      <w:r w:rsidRPr="00F70F22">
        <w:rPr>
          <w:sz w:val="22"/>
          <w:szCs w:val="22"/>
          <w:shd w:val="clear" w:color="auto" w:fill="FFFFFF"/>
        </w:rPr>
        <w:t xml:space="preserve">  VVVI’s allegation is based entirely on visits to SAC’s headquarters during periods of time in which SAC explains that it offered services online and by appointment-only due to the COVID-19 </w:t>
      </w:r>
      <w:r w:rsidR="006247AD">
        <w:rPr>
          <w:sz w:val="22"/>
          <w:szCs w:val="22"/>
          <w:shd w:val="clear" w:color="auto" w:fill="FFFFFF"/>
        </w:rPr>
        <w:t>P</w:t>
      </w:r>
      <w:r w:rsidRPr="00F70F22">
        <w:rPr>
          <w:sz w:val="22"/>
          <w:szCs w:val="22"/>
          <w:shd w:val="clear" w:color="auto" w:fill="FFFFFF"/>
        </w:rPr>
        <w:t>andemic.  According to SAC, its headquarters office has since fully reopened.</w:t>
      </w:r>
      <w:r>
        <w:rPr>
          <w:rStyle w:val="FootnoteReference"/>
          <w:rFonts w:ascii="Times New Roman" w:hAnsi="Times New Roman"/>
          <w:sz w:val="22"/>
          <w:szCs w:val="22"/>
          <w:shd w:val="clear" w:color="auto" w:fill="FFFFFF"/>
        </w:rPr>
        <w:footnoteReference w:id="46"/>
      </w:r>
      <w:r w:rsidRPr="00F70F22">
        <w:rPr>
          <w:sz w:val="22"/>
          <w:szCs w:val="22"/>
          <w:shd w:val="clear" w:color="auto" w:fill="FFFFFF"/>
        </w:rPr>
        <w:t xml:space="preserve">  SAC certified in its Application, and in its sworn declaration, that it has maintained its headquarters for at least two years prior to the filing of its Application</w:t>
      </w:r>
      <w:r w:rsidRPr="00F70F22">
        <w:rPr>
          <w:sz w:val="22"/>
          <w:szCs w:val="22"/>
          <w:shd w:val="clear" w:color="auto" w:fill="FFFFFF"/>
        </w:rPr>
        <w:t>.</w:t>
      </w:r>
      <w:r>
        <w:rPr>
          <w:rStyle w:val="FootnoteReference"/>
          <w:rFonts w:ascii="Times New Roman" w:hAnsi="Times New Roman"/>
          <w:sz w:val="22"/>
          <w:szCs w:val="22"/>
          <w:shd w:val="clear" w:color="auto" w:fill="FFFFFF"/>
        </w:rPr>
        <w:footnoteReference w:id="47"/>
      </w:r>
      <w:r w:rsidRPr="00F70F22">
        <w:rPr>
          <w:sz w:val="22"/>
          <w:szCs w:val="22"/>
          <w:shd w:val="clear" w:color="auto" w:fill="FFFFFF"/>
        </w:rPr>
        <w:t xml:space="preserve">  Moreover, </w:t>
      </w:r>
      <w:r w:rsidRPr="00F70F22">
        <w:rPr>
          <w:sz w:val="22"/>
          <w:szCs w:val="22"/>
          <w:shd w:val="clear" w:color="auto" w:fill="FFFFFF"/>
        </w:rPr>
        <w:t>SAC’s website lists the plethora of services that SAC has provided at that location.</w:t>
      </w:r>
      <w:r>
        <w:rPr>
          <w:rStyle w:val="FootnoteReference"/>
          <w:rFonts w:ascii="Times New Roman" w:hAnsi="Times New Roman"/>
          <w:sz w:val="22"/>
          <w:szCs w:val="22"/>
          <w:shd w:val="clear" w:color="auto" w:fill="FFFFFF"/>
        </w:rPr>
        <w:footnoteReference w:id="48"/>
      </w:r>
      <w:r w:rsidRPr="00F70F22">
        <w:rPr>
          <w:sz w:val="22"/>
          <w:szCs w:val="22"/>
          <w:shd w:val="clear" w:color="auto" w:fill="FFFFFF"/>
        </w:rPr>
        <w:t xml:space="preserve">  </w:t>
      </w:r>
      <w:r w:rsidRPr="00F70F22">
        <w:rPr>
          <w:sz w:val="22"/>
          <w:szCs w:val="22"/>
          <w:shd w:val="clear" w:color="auto" w:fill="FFFFFF"/>
        </w:rPr>
        <w:t xml:space="preserve">We also reject VVVI’s contention that SAC’s headquarters is not within 25 miles of the </w:t>
      </w:r>
      <w:r w:rsidRPr="00F70F22" w:rsidR="00901FC7">
        <w:rPr>
          <w:sz w:val="22"/>
          <w:szCs w:val="22"/>
          <w:shd w:val="clear" w:color="auto" w:fill="FFFFFF"/>
        </w:rPr>
        <w:t xml:space="preserve"> reference coordinates of the </w:t>
      </w:r>
      <w:r w:rsidRPr="00F70F22">
        <w:rPr>
          <w:sz w:val="22"/>
          <w:szCs w:val="22"/>
          <w:shd w:val="clear" w:color="auto" w:fill="FFFFFF"/>
        </w:rPr>
        <w:t xml:space="preserve">proposed community of license. </w:t>
      </w:r>
      <w:r w:rsidRPr="00F70F22" w:rsidR="00AB4832">
        <w:rPr>
          <w:sz w:val="22"/>
          <w:szCs w:val="22"/>
          <w:shd w:val="clear" w:color="auto" w:fill="FFFFFF"/>
        </w:rPr>
        <w:t xml:space="preserve"> </w:t>
      </w:r>
      <w:r w:rsidRPr="00F70F22">
        <w:rPr>
          <w:sz w:val="22"/>
          <w:szCs w:val="22"/>
          <w:shd w:val="clear" w:color="auto" w:fill="FFFFFF"/>
        </w:rPr>
        <w:t xml:space="preserve">SAC provided a topographic map evidencing that its headquarters is </w:t>
      </w:r>
      <w:r w:rsidR="004F21AD">
        <w:rPr>
          <w:sz w:val="22"/>
          <w:szCs w:val="22"/>
          <w:shd w:val="clear" w:color="auto" w:fill="FFFFFF"/>
        </w:rPr>
        <w:t xml:space="preserve">located </w:t>
      </w:r>
      <w:r w:rsidRPr="00F70F22">
        <w:rPr>
          <w:sz w:val="22"/>
          <w:szCs w:val="22"/>
          <w:shd w:val="clear" w:color="auto" w:fill="FFFFFF"/>
        </w:rPr>
        <w:t xml:space="preserve">23.71 miles </w:t>
      </w:r>
      <w:r w:rsidR="004F21AD">
        <w:rPr>
          <w:sz w:val="22"/>
          <w:szCs w:val="22"/>
          <w:shd w:val="clear" w:color="auto" w:fill="FFFFFF"/>
        </w:rPr>
        <w:t>from</w:t>
      </w:r>
      <w:r w:rsidRPr="00F70F22">
        <w:rPr>
          <w:sz w:val="22"/>
          <w:szCs w:val="22"/>
          <w:shd w:val="clear" w:color="auto" w:fill="FFFFFF"/>
        </w:rPr>
        <w:t xml:space="preserve"> Willow</w:t>
      </w:r>
      <w:r w:rsidRPr="00F70F22" w:rsidR="00D470D4">
        <w:rPr>
          <w:sz w:val="22"/>
          <w:szCs w:val="22"/>
          <w:shd w:val="clear" w:color="auto" w:fill="FFFFFF"/>
        </w:rPr>
        <w:t>s</w:t>
      </w:r>
      <w:r w:rsidRPr="00F70F22">
        <w:rPr>
          <w:sz w:val="22"/>
          <w:szCs w:val="22"/>
          <w:shd w:val="clear" w:color="auto" w:fill="FFFFFF"/>
        </w:rPr>
        <w:t>, California.</w:t>
      </w:r>
      <w:r>
        <w:rPr>
          <w:rStyle w:val="FootnoteReference"/>
          <w:rFonts w:ascii="Times New Roman" w:hAnsi="Times New Roman"/>
          <w:sz w:val="22"/>
          <w:szCs w:val="22"/>
          <w:shd w:val="clear" w:color="auto" w:fill="FFFFFF"/>
        </w:rPr>
        <w:footnoteReference w:id="49"/>
      </w:r>
      <w:r w:rsidRPr="00F70F22">
        <w:rPr>
          <w:sz w:val="22"/>
          <w:szCs w:val="22"/>
          <w:shd w:val="clear" w:color="auto" w:fill="FFFFFF"/>
        </w:rPr>
        <w:t xml:space="preserve">  </w:t>
      </w:r>
    </w:p>
    <w:p w:rsidR="00795649" w:rsidP="00EE319E" w14:paraId="19F794D1" w14:textId="77777777">
      <w:pPr>
        <w:spacing w:after="120"/>
        <w:ind w:firstLine="720"/>
        <w:rPr>
          <w:sz w:val="22"/>
          <w:szCs w:val="22"/>
          <w:shd w:val="clear" w:color="auto" w:fill="FFFFFF"/>
        </w:rPr>
      </w:pPr>
      <w:r w:rsidRPr="00F70F22">
        <w:rPr>
          <w:sz w:val="22"/>
          <w:szCs w:val="22"/>
          <w:shd w:val="clear" w:color="auto" w:fill="FFFFFF"/>
        </w:rPr>
        <w:t xml:space="preserve">We </w:t>
      </w:r>
      <w:r w:rsidR="0004412C">
        <w:rPr>
          <w:sz w:val="22"/>
          <w:szCs w:val="22"/>
          <w:shd w:val="clear" w:color="auto" w:fill="FFFFFF"/>
        </w:rPr>
        <w:t>similarly</w:t>
      </w:r>
      <w:r w:rsidRPr="00F70F22">
        <w:rPr>
          <w:sz w:val="22"/>
          <w:szCs w:val="22"/>
          <w:shd w:val="clear" w:color="auto" w:fill="FFFFFF"/>
        </w:rPr>
        <w:t xml:space="preserve"> reject VVVI</w:t>
      </w:r>
      <w:r w:rsidRPr="00F70F22" w:rsidR="00FF1941">
        <w:rPr>
          <w:sz w:val="22"/>
          <w:szCs w:val="22"/>
          <w:shd w:val="clear" w:color="auto" w:fill="FFFFFF"/>
        </w:rPr>
        <w:t>’s</w:t>
      </w:r>
      <w:r w:rsidRPr="00F70F22">
        <w:rPr>
          <w:sz w:val="22"/>
          <w:szCs w:val="22"/>
          <w:shd w:val="clear" w:color="auto" w:fill="FFFFFF"/>
        </w:rPr>
        <w:t xml:space="preserve"> contention that SAC’s Articles of Incorporation and Educational Purpose exhibits are insufficient to establish SAC’s eligibility for points as an established local applicant.  </w:t>
      </w:r>
      <w:r w:rsidRPr="00F70F22">
        <w:rPr>
          <w:sz w:val="22"/>
          <w:szCs w:val="22"/>
          <w:shd w:val="clear" w:color="auto" w:fill="FFFFFF"/>
        </w:rPr>
        <w:t xml:space="preserve">VVVI believes these documents </w:t>
      </w:r>
      <w:r w:rsidRPr="00F70F22" w:rsidR="00FF1941">
        <w:rPr>
          <w:sz w:val="22"/>
          <w:szCs w:val="22"/>
          <w:shd w:val="clear" w:color="auto" w:fill="FFFFFF"/>
        </w:rPr>
        <w:t xml:space="preserve">must specifically </w:t>
      </w:r>
      <w:r w:rsidRPr="00F70F22" w:rsidR="00336BDB">
        <w:rPr>
          <w:sz w:val="22"/>
          <w:szCs w:val="22"/>
          <w:shd w:val="clear" w:color="auto" w:fill="FFFFFF"/>
        </w:rPr>
        <w:t>mention</w:t>
      </w:r>
      <w:r w:rsidRPr="00F70F22" w:rsidR="00FF1941">
        <w:rPr>
          <w:sz w:val="22"/>
          <w:szCs w:val="22"/>
          <w:shd w:val="clear" w:color="auto" w:fill="FFFFFF"/>
        </w:rPr>
        <w:t xml:space="preserve"> Willows,</w:t>
      </w:r>
      <w:r w:rsidRPr="00F70F22" w:rsidR="00336BDB">
        <w:rPr>
          <w:sz w:val="22"/>
          <w:szCs w:val="22"/>
          <w:shd w:val="clear" w:color="auto" w:fill="FFFFFF"/>
        </w:rPr>
        <w:t xml:space="preserve"> California, </w:t>
      </w:r>
      <w:r w:rsidRPr="00F70F22" w:rsidR="00FF1941">
        <w:rPr>
          <w:sz w:val="22"/>
          <w:szCs w:val="22"/>
          <w:shd w:val="clear" w:color="auto" w:fill="FFFFFF"/>
        </w:rPr>
        <w:t>in order to be sufficient.</w:t>
      </w:r>
      <w:r>
        <w:rPr>
          <w:rStyle w:val="FootnoteReference"/>
          <w:rFonts w:ascii="Times New Roman" w:hAnsi="Times New Roman"/>
          <w:sz w:val="22"/>
          <w:szCs w:val="22"/>
          <w:shd w:val="clear" w:color="auto" w:fill="FFFFFF"/>
        </w:rPr>
        <w:footnoteReference w:id="50"/>
      </w:r>
      <w:r w:rsidRPr="00F70F22" w:rsidR="003961D1">
        <w:rPr>
          <w:sz w:val="22"/>
          <w:szCs w:val="22"/>
          <w:shd w:val="clear" w:color="auto" w:fill="FFFFFF"/>
        </w:rPr>
        <w:t xml:space="preserve"> </w:t>
      </w:r>
      <w:r w:rsidRPr="00F70F22" w:rsidR="00FF1941">
        <w:rPr>
          <w:sz w:val="22"/>
          <w:szCs w:val="22"/>
          <w:shd w:val="clear" w:color="auto" w:fill="FFFFFF"/>
        </w:rPr>
        <w:t xml:space="preserve"> We disagree. </w:t>
      </w:r>
      <w:r w:rsidR="00BC1550">
        <w:rPr>
          <w:sz w:val="22"/>
          <w:szCs w:val="22"/>
          <w:shd w:val="clear" w:color="auto" w:fill="FFFFFF"/>
        </w:rPr>
        <w:t xml:space="preserve"> </w:t>
      </w:r>
      <w:r w:rsidRPr="00F70F22" w:rsidR="002A0DBB">
        <w:rPr>
          <w:sz w:val="22"/>
          <w:szCs w:val="22"/>
          <w:shd w:val="clear" w:color="auto" w:fill="FFFFFF"/>
        </w:rPr>
        <w:t xml:space="preserve">SAC’s Articles of Incorporation </w:t>
      </w:r>
      <w:r w:rsidR="00BC4322">
        <w:rPr>
          <w:sz w:val="22"/>
          <w:szCs w:val="22"/>
          <w:shd w:val="clear" w:color="auto" w:fill="FFFFFF"/>
        </w:rPr>
        <w:t xml:space="preserve">sufficiently </w:t>
      </w:r>
      <w:r w:rsidRPr="00F70F22" w:rsidR="002A0DBB">
        <w:rPr>
          <w:sz w:val="22"/>
          <w:szCs w:val="22"/>
          <w:shd w:val="clear" w:color="auto" w:fill="FFFFFF"/>
        </w:rPr>
        <w:t xml:space="preserve">reflect that it has provided services in </w:t>
      </w:r>
      <w:r w:rsidR="002A0DBB">
        <w:rPr>
          <w:sz w:val="22"/>
          <w:szCs w:val="22"/>
          <w:shd w:val="clear" w:color="auto" w:fill="FFFFFF"/>
        </w:rPr>
        <w:t>Chico, California—</w:t>
      </w:r>
      <w:r w:rsidRPr="00F70F22" w:rsidR="002A0DBB">
        <w:rPr>
          <w:sz w:val="22"/>
          <w:szCs w:val="22"/>
          <w:shd w:val="clear" w:color="auto" w:fill="FFFFFF"/>
        </w:rPr>
        <w:t>which is within 25 miles of Willows, California</w:t>
      </w:r>
      <w:r w:rsidR="002A0DBB">
        <w:rPr>
          <w:sz w:val="22"/>
          <w:szCs w:val="22"/>
          <w:shd w:val="clear" w:color="auto" w:fill="FFFFFF"/>
        </w:rPr>
        <w:t xml:space="preserve">—since </w:t>
      </w:r>
      <w:r w:rsidRPr="00F70F22" w:rsidR="002A0DBB">
        <w:rPr>
          <w:sz w:val="22"/>
          <w:szCs w:val="22"/>
          <w:shd w:val="clear" w:color="auto" w:fill="FFFFFF"/>
        </w:rPr>
        <w:t>August 27, 1990.</w:t>
      </w:r>
      <w:r w:rsidRPr="00F70F22" w:rsidR="002A0DBB">
        <w:rPr>
          <w:rStyle w:val="FootnoteReference"/>
          <w:rFonts w:ascii="Times New Roman" w:hAnsi="Times New Roman"/>
          <w:sz w:val="22"/>
          <w:szCs w:val="22"/>
          <w:shd w:val="clear" w:color="auto" w:fill="FFFFFF"/>
        </w:rPr>
        <w:t xml:space="preserve"> </w:t>
      </w:r>
      <w:r>
        <w:rPr>
          <w:rStyle w:val="FootnoteReference"/>
          <w:rFonts w:ascii="Times New Roman" w:hAnsi="Times New Roman"/>
          <w:sz w:val="22"/>
          <w:szCs w:val="22"/>
          <w:shd w:val="clear" w:color="auto" w:fill="FFFFFF"/>
        </w:rPr>
        <w:footnoteReference w:id="51"/>
      </w:r>
      <w:r w:rsidR="00BC1550">
        <w:rPr>
          <w:sz w:val="22"/>
          <w:szCs w:val="22"/>
          <w:shd w:val="clear" w:color="auto" w:fill="FFFFFF"/>
        </w:rPr>
        <w:t xml:space="preserve">  </w:t>
      </w:r>
      <w:r w:rsidRPr="00F70F22">
        <w:rPr>
          <w:sz w:val="22"/>
          <w:szCs w:val="22"/>
          <w:shd w:val="clear" w:color="auto" w:fill="FFFFFF"/>
        </w:rPr>
        <w:t xml:space="preserve">Accordingly, </w:t>
      </w:r>
      <w:r w:rsidR="004F21AD">
        <w:rPr>
          <w:sz w:val="22"/>
          <w:szCs w:val="22"/>
          <w:shd w:val="clear" w:color="auto" w:fill="FFFFFF"/>
        </w:rPr>
        <w:t xml:space="preserve"> </w:t>
      </w:r>
      <w:r w:rsidRPr="00F70F22">
        <w:rPr>
          <w:sz w:val="22"/>
          <w:szCs w:val="22"/>
          <w:shd w:val="clear" w:color="auto" w:fill="FFFFFF"/>
        </w:rPr>
        <w:t>SAC has provided sufficient documentation to qualify as an established local applicant based on its headquarters in Chico, California</w:t>
      </w:r>
      <w:r w:rsidR="004F21AD">
        <w:rPr>
          <w:sz w:val="22"/>
          <w:szCs w:val="22"/>
          <w:shd w:val="clear" w:color="auto" w:fill="FFFFFF"/>
        </w:rPr>
        <w:t>.</w:t>
      </w:r>
      <w:r>
        <w:rPr>
          <w:rStyle w:val="FootnoteReference"/>
          <w:rFonts w:ascii="Times New Roman" w:hAnsi="Times New Roman"/>
          <w:sz w:val="22"/>
          <w:szCs w:val="22"/>
          <w:shd w:val="clear" w:color="auto" w:fill="FFFFFF"/>
        </w:rPr>
        <w:footnoteReference w:id="52"/>
      </w:r>
      <w:r w:rsidRPr="00F70F22">
        <w:rPr>
          <w:sz w:val="22"/>
          <w:szCs w:val="22"/>
          <w:shd w:val="clear" w:color="auto" w:fill="FFFFFF"/>
        </w:rPr>
        <w:t xml:space="preserve"> </w:t>
      </w:r>
      <w:r w:rsidR="004F21AD">
        <w:rPr>
          <w:sz w:val="22"/>
          <w:szCs w:val="22"/>
          <w:shd w:val="clear" w:color="auto" w:fill="FFFFFF"/>
        </w:rPr>
        <w:t xml:space="preserve"> Because</w:t>
      </w:r>
      <w:r w:rsidRPr="00F70F22" w:rsidR="004F21AD">
        <w:rPr>
          <w:sz w:val="22"/>
          <w:szCs w:val="22"/>
          <w:shd w:val="clear" w:color="auto" w:fill="FFFFFF"/>
        </w:rPr>
        <w:t xml:space="preserve"> </w:t>
      </w:r>
      <w:r w:rsidRPr="00F70F22">
        <w:rPr>
          <w:sz w:val="22"/>
          <w:szCs w:val="22"/>
          <w:shd w:val="clear" w:color="auto" w:fill="FFFFFF"/>
        </w:rPr>
        <w:t xml:space="preserve">VVVI has failed to raise a substantial and material question of fact concerning whether SAC’s headquarters is feigned, we find that SAC is entitled to three points as an established local applicant. </w:t>
      </w:r>
      <w:bookmarkEnd w:id="12"/>
    </w:p>
    <w:p w:rsidR="008A3FEA" w:rsidRPr="00C011CE" w:rsidP="00EE319E" w14:paraId="6444F554" w14:textId="33D30C8B">
      <w:pPr>
        <w:spacing w:after="120"/>
        <w:ind w:firstLine="720"/>
        <w:rPr>
          <w:color w:val="000000"/>
          <w:sz w:val="22"/>
          <w:szCs w:val="22"/>
          <w:shd w:val="clear" w:color="auto" w:fill="FFFFFF"/>
        </w:rPr>
      </w:pPr>
      <w:r>
        <w:rPr>
          <w:sz w:val="22"/>
          <w:szCs w:val="22"/>
          <w:u w:val="single"/>
        </w:rPr>
        <w:t xml:space="preserve">Public Inspection File and </w:t>
      </w:r>
      <w:r w:rsidR="008227DE">
        <w:rPr>
          <w:sz w:val="22"/>
          <w:szCs w:val="22"/>
          <w:u w:val="single"/>
        </w:rPr>
        <w:t xml:space="preserve">Local </w:t>
      </w:r>
      <w:r>
        <w:rPr>
          <w:sz w:val="22"/>
          <w:szCs w:val="22"/>
          <w:u w:val="single"/>
        </w:rPr>
        <w:t>Public Notice Requirements</w:t>
      </w:r>
      <w:r w:rsidRPr="003A18FE" w:rsidR="007376C5">
        <w:rPr>
          <w:sz w:val="22"/>
          <w:szCs w:val="22"/>
        </w:rPr>
        <w:t>.</w:t>
      </w:r>
      <w:r w:rsidRPr="00F70F22" w:rsidR="00E36711">
        <w:rPr>
          <w:sz w:val="22"/>
          <w:szCs w:val="22"/>
        </w:rPr>
        <w:t xml:space="preserve">  </w:t>
      </w:r>
      <w:r w:rsidR="002C3ACF">
        <w:rPr>
          <w:sz w:val="22"/>
          <w:szCs w:val="22"/>
        </w:rPr>
        <w:t xml:space="preserve">Although we find that SAC </w:t>
      </w:r>
      <w:r w:rsidR="00CF1DDF">
        <w:rPr>
          <w:sz w:val="22"/>
          <w:szCs w:val="22"/>
        </w:rPr>
        <w:t xml:space="preserve">misunderstood the public inspection file requirements and </w:t>
      </w:r>
      <w:r w:rsidR="009A4D7A">
        <w:rPr>
          <w:sz w:val="22"/>
          <w:szCs w:val="22"/>
        </w:rPr>
        <w:t>did not timely complete its local public notice obligations,</w:t>
      </w:r>
      <w:r w:rsidRPr="00F70F22">
        <w:rPr>
          <w:sz w:val="22"/>
          <w:szCs w:val="22"/>
        </w:rPr>
        <w:t xml:space="preserve"> </w:t>
      </w:r>
      <w:r w:rsidR="002C3ACF">
        <w:rPr>
          <w:sz w:val="22"/>
          <w:szCs w:val="22"/>
        </w:rPr>
        <w:t>we reject VVVI’s contention that th</w:t>
      </w:r>
      <w:r w:rsidR="009A4D7A">
        <w:rPr>
          <w:sz w:val="22"/>
          <w:szCs w:val="22"/>
        </w:rPr>
        <w:t>ese errors</w:t>
      </w:r>
      <w:r w:rsidR="002C3ACF">
        <w:rPr>
          <w:sz w:val="22"/>
          <w:szCs w:val="22"/>
        </w:rPr>
        <w:t xml:space="preserve"> </w:t>
      </w:r>
      <w:r w:rsidRPr="00F70F22">
        <w:rPr>
          <w:sz w:val="22"/>
          <w:szCs w:val="22"/>
        </w:rPr>
        <w:t xml:space="preserve">merit dismissal of </w:t>
      </w:r>
      <w:r w:rsidRPr="00F70F22" w:rsidR="004575B4">
        <w:rPr>
          <w:sz w:val="22"/>
          <w:szCs w:val="22"/>
        </w:rPr>
        <w:t>the</w:t>
      </w:r>
      <w:r w:rsidRPr="00F70F22">
        <w:rPr>
          <w:sz w:val="22"/>
          <w:szCs w:val="22"/>
        </w:rPr>
        <w:t xml:space="preserve"> Application.  </w:t>
      </w:r>
      <w:r w:rsidRPr="00F70F22">
        <w:rPr>
          <w:kern w:val="28"/>
          <w:sz w:val="22"/>
          <w:szCs w:val="22"/>
        </w:rPr>
        <w:t xml:space="preserve"> </w:t>
      </w:r>
      <w:r w:rsidRPr="00F70F22">
        <w:rPr>
          <w:sz w:val="22"/>
          <w:szCs w:val="22"/>
          <w:shd w:val="clear" w:color="auto" w:fill="FFFFFF"/>
        </w:rPr>
        <w:t>Section 73.3527 o</w:t>
      </w:r>
      <w:r w:rsidRPr="00F70F22">
        <w:rPr>
          <w:sz w:val="22"/>
          <w:szCs w:val="22"/>
        </w:rPr>
        <w:t>f the Rules</w:t>
      </w:r>
      <w:r w:rsidRPr="00F70F22">
        <w:rPr>
          <w:sz w:val="22"/>
          <w:szCs w:val="22"/>
          <w:shd w:val="clear" w:color="auto" w:fill="FFFFFF"/>
        </w:rPr>
        <w:t xml:space="preserve"> requires an applicant for a construction permit for a new NCE FM station to maintain a public inspection file, containing certain documents required by that </w:t>
      </w:r>
      <w:r w:rsidR="00E611B3">
        <w:rPr>
          <w:sz w:val="22"/>
          <w:szCs w:val="22"/>
          <w:shd w:val="clear" w:color="auto" w:fill="FFFFFF"/>
        </w:rPr>
        <w:t>R</w:t>
      </w:r>
      <w:r w:rsidRPr="00F70F22">
        <w:rPr>
          <w:sz w:val="22"/>
          <w:szCs w:val="22"/>
          <w:shd w:val="clear" w:color="auto" w:fill="FFFFFF"/>
        </w:rPr>
        <w:t xml:space="preserve">ule, </w:t>
      </w:r>
      <w:r w:rsidRPr="00F70F22">
        <w:rPr>
          <w:sz w:val="22"/>
          <w:szCs w:val="22"/>
        </w:rPr>
        <w:t>at an accessible place in the proposed community of license</w:t>
      </w:r>
      <w:r w:rsidRPr="00F70F22">
        <w:rPr>
          <w:sz w:val="22"/>
          <w:szCs w:val="22"/>
          <w:shd w:val="clear" w:color="auto" w:fill="FFFFFF"/>
        </w:rPr>
        <w:t>.</w:t>
      </w:r>
      <w:r>
        <w:rPr>
          <w:rStyle w:val="FootnoteReference"/>
          <w:rFonts w:ascii="Times New Roman" w:hAnsi="Times New Roman"/>
          <w:sz w:val="22"/>
          <w:szCs w:val="22"/>
          <w:shd w:val="clear" w:color="auto" w:fill="FFFFFF"/>
        </w:rPr>
        <w:footnoteReference w:id="53"/>
      </w:r>
      <w:r w:rsidRPr="00F70F22">
        <w:rPr>
          <w:sz w:val="22"/>
          <w:szCs w:val="22"/>
          <w:shd w:val="clear" w:color="auto" w:fill="FFFFFF"/>
        </w:rPr>
        <w:t xml:space="preserve">  </w:t>
      </w:r>
      <w:r w:rsidR="00A86020">
        <w:rPr>
          <w:sz w:val="22"/>
          <w:szCs w:val="22"/>
          <w:shd w:val="clear" w:color="auto" w:fill="FFFFFF"/>
        </w:rPr>
        <w:t xml:space="preserve">We thus reject SAC’s argument that applicants for a </w:t>
      </w:r>
      <w:r w:rsidR="005F7FC3">
        <w:rPr>
          <w:sz w:val="22"/>
          <w:szCs w:val="22"/>
          <w:shd w:val="clear" w:color="auto" w:fill="FFFFFF"/>
        </w:rPr>
        <w:t xml:space="preserve">new </w:t>
      </w:r>
      <w:r w:rsidR="00746142">
        <w:rPr>
          <w:sz w:val="22"/>
          <w:szCs w:val="22"/>
          <w:shd w:val="clear" w:color="auto" w:fill="FFFFFF"/>
        </w:rPr>
        <w:t xml:space="preserve">broadcast </w:t>
      </w:r>
      <w:r w:rsidR="005F7FC3">
        <w:rPr>
          <w:sz w:val="22"/>
          <w:szCs w:val="22"/>
          <w:shd w:val="clear" w:color="auto" w:fill="FFFFFF"/>
        </w:rPr>
        <w:t xml:space="preserve">station </w:t>
      </w:r>
      <w:r w:rsidR="00A86020">
        <w:rPr>
          <w:sz w:val="22"/>
          <w:szCs w:val="22"/>
          <w:shd w:val="clear" w:color="auto" w:fill="FFFFFF"/>
        </w:rPr>
        <w:t>construction permit are no longer required to maintain a physical file, and</w:t>
      </w:r>
      <w:r w:rsidRPr="00F70F22">
        <w:rPr>
          <w:sz w:val="22"/>
          <w:szCs w:val="22"/>
          <w:shd w:val="clear" w:color="auto" w:fill="FFFFFF"/>
        </w:rPr>
        <w:t xml:space="preserve"> agree with VVVI that SAC was required to place the Application and </w:t>
      </w:r>
      <w:r w:rsidRPr="00F70F22">
        <w:rPr>
          <w:sz w:val="22"/>
          <w:szCs w:val="22"/>
        </w:rPr>
        <w:t>all related documents</w:t>
      </w:r>
      <w:r w:rsidRPr="00F70F22" w:rsidR="004575B4">
        <w:rPr>
          <w:sz w:val="22"/>
          <w:szCs w:val="22"/>
        </w:rPr>
        <w:t xml:space="preserve"> </w:t>
      </w:r>
      <w:r w:rsidRPr="00F70F22">
        <w:rPr>
          <w:sz w:val="22"/>
          <w:szCs w:val="22"/>
          <w:shd w:val="clear" w:color="auto" w:fill="FFFFFF"/>
        </w:rPr>
        <w:t xml:space="preserve">in a public inspection file in </w:t>
      </w:r>
      <w:r w:rsidRPr="00F70F22">
        <w:rPr>
          <w:sz w:val="22"/>
          <w:szCs w:val="22"/>
        </w:rPr>
        <w:t xml:space="preserve">the proposed community of license and that it failed to do so.  VVVI, however, presents no evidence, and the record does not reflect, that SAC intended to </w:t>
      </w:r>
      <w:r w:rsidRPr="00C011CE">
        <w:rPr>
          <w:sz w:val="22"/>
          <w:szCs w:val="22"/>
        </w:rPr>
        <w:t xml:space="preserve">deceive the Commission by its </w:t>
      </w:r>
      <w:r w:rsidRPr="00C011CE" w:rsidR="00CF1DDF">
        <w:rPr>
          <w:sz w:val="22"/>
          <w:szCs w:val="22"/>
        </w:rPr>
        <w:t>mis</w:t>
      </w:r>
      <w:r w:rsidRPr="00C011CE" w:rsidR="00D61A7E">
        <w:rPr>
          <w:sz w:val="22"/>
          <w:szCs w:val="22"/>
        </w:rPr>
        <w:t>understanding</w:t>
      </w:r>
      <w:r w:rsidRPr="00C011CE">
        <w:rPr>
          <w:sz w:val="22"/>
          <w:szCs w:val="22"/>
        </w:rPr>
        <w:t>,</w:t>
      </w:r>
      <w:r>
        <w:rPr>
          <w:rStyle w:val="FootnoteReference"/>
          <w:rFonts w:ascii="Times New Roman" w:hAnsi="Times New Roman"/>
          <w:sz w:val="22"/>
          <w:szCs w:val="22"/>
        </w:rPr>
        <w:footnoteReference w:id="54"/>
      </w:r>
      <w:r w:rsidRPr="00C011CE">
        <w:rPr>
          <w:sz w:val="22"/>
          <w:szCs w:val="22"/>
        </w:rPr>
        <w:t xml:space="preserve"> and we find that it is </w:t>
      </w:r>
      <w:r w:rsidRPr="00C011CE">
        <w:rPr>
          <w:sz w:val="22"/>
          <w:szCs w:val="22"/>
          <w:shd w:val="clear" w:color="auto" w:fill="FFFFFF"/>
        </w:rPr>
        <w:t>of</w:t>
      </w:r>
      <w:r w:rsidRPr="00C011CE">
        <w:rPr>
          <w:sz w:val="22"/>
          <w:szCs w:val="22"/>
        </w:rPr>
        <w:t xml:space="preserve"> </w:t>
      </w:r>
      <w:r w:rsidRPr="00C011CE">
        <w:rPr>
          <w:sz w:val="22"/>
          <w:szCs w:val="22"/>
          <w:shd w:val="clear" w:color="auto" w:fill="FFFFFF"/>
        </w:rPr>
        <w:t>no decisional significance in our comparative analysis.</w:t>
      </w:r>
      <w:r w:rsidRPr="00C011CE" w:rsidR="00C011CE">
        <w:rPr>
          <w:sz w:val="22"/>
          <w:szCs w:val="22"/>
          <w:shd w:val="clear" w:color="auto" w:fill="FFFFFF"/>
        </w:rPr>
        <w:t xml:space="preserve">  </w:t>
      </w:r>
      <w:r w:rsidRPr="00C011CE" w:rsidR="00C011CE">
        <w:rPr>
          <w:sz w:val="22"/>
          <w:szCs w:val="22"/>
        </w:rPr>
        <w:t>We direct SAC, however, to promptly familiarize itself with the Commission’s public inspection file requirements and comply with these obligations.</w:t>
      </w:r>
      <w:r w:rsidRPr="00C011CE" w:rsidR="00C011CE">
        <w:rPr>
          <w:rStyle w:val="FootnoteReference"/>
          <w:rFonts w:ascii="Times New Roman" w:hAnsi="Times New Roman"/>
          <w:sz w:val="22"/>
          <w:szCs w:val="22"/>
          <w:shd w:val="clear" w:color="auto" w:fill="FFFFFF"/>
        </w:rPr>
        <w:t xml:space="preserve"> </w:t>
      </w:r>
      <w:r>
        <w:rPr>
          <w:rStyle w:val="FootnoteReference"/>
          <w:rFonts w:ascii="Times New Roman" w:hAnsi="Times New Roman"/>
          <w:sz w:val="22"/>
          <w:szCs w:val="22"/>
          <w:shd w:val="clear" w:color="auto" w:fill="FFFFFF"/>
        </w:rPr>
        <w:footnoteReference w:id="55"/>
      </w:r>
      <w:r w:rsidRPr="00C011CE" w:rsidR="00C011CE">
        <w:rPr>
          <w:sz w:val="22"/>
          <w:szCs w:val="22"/>
        </w:rPr>
        <w:t xml:space="preserve">  Failure to comply with the public inspection file rule may result in future forfeitures.  </w:t>
      </w:r>
    </w:p>
    <w:p w:rsidR="00C011CE" w:rsidRPr="00C011CE" w:rsidP="00C011CE" w14:paraId="3C6E720D" w14:textId="2DE25A51">
      <w:pPr>
        <w:spacing w:after="120"/>
        <w:ind w:firstLine="720"/>
        <w:rPr>
          <w:color w:val="000000"/>
          <w:sz w:val="22"/>
          <w:szCs w:val="22"/>
          <w:shd w:val="clear" w:color="auto" w:fill="FFFFFF"/>
        </w:rPr>
      </w:pPr>
      <w:r w:rsidRPr="00C011CE">
        <w:rPr>
          <w:sz w:val="22"/>
          <w:szCs w:val="22"/>
        </w:rPr>
        <w:t xml:space="preserve">In the </w:t>
      </w:r>
      <w:r w:rsidRPr="00C011CE" w:rsidR="007A36BA">
        <w:rPr>
          <w:sz w:val="22"/>
          <w:szCs w:val="22"/>
        </w:rPr>
        <w:t>SAC</w:t>
      </w:r>
      <w:r w:rsidRPr="00C011CE">
        <w:rPr>
          <w:sz w:val="22"/>
          <w:szCs w:val="22"/>
        </w:rPr>
        <w:t xml:space="preserve"> Application, SAC </w:t>
      </w:r>
      <w:r w:rsidRPr="00C011CE" w:rsidR="007A36BA">
        <w:rPr>
          <w:sz w:val="22"/>
          <w:szCs w:val="22"/>
        </w:rPr>
        <w:t>certifi</w:t>
      </w:r>
      <w:r w:rsidRPr="00C011CE" w:rsidR="009D013B">
        <w:rPr>
          <w:sz w:val="22"/>
          <w:szCs w:val="22"/>
        </w:rPr>
        <w:t>ed</w:t>
      </w:r>
      <w:r w:rsidRPr="00C011CE">
        <w:rPr>
          <w:sz w:val="22"/>
          <w:szCs w:val="22"/>
        </w:rPr>
        <w:t xml:space="preserve"> that it would comply</w:t>
      </w:r>
      <w:r w:rsidRPr="00C011CE" w:rsidR="007A36BA">
        <w:rPr>
          <w:sz w:val="22"/>
          <w:szCs w:val="22"/>
        </w:rPr>
        <w:t xml:space="preserve"> with </w:t>
      </w:r>
      <w:r w:rsidRPr="00C011CE" w:rsidR="009D013B">
        <w:rPr>
          <w:sz w:val="22"/>
          <w:szCs w:val="22"/>
        </w:rPr>
        <w:t>the</w:t>
      </w:r>
      <w:r w:rsidRPr="00C011CE" w:rsidR="007A36BA">
        <w:rPr>
          <w:sz w:val="22"/>
          <w:szCs w:val="22"/>
        </w:rPr>
        <w:t xml:space="preserve"> </w:t>
      </w:r>
      <w:r w:rsidRPr="00C011CE">
        <w:rPr>
          <w:sz w:val="22"/>
          <w:szCs w:val="22"/>
        </w:rPr>
        <w:t xml:space="preserve">local </w:t>
      </w:r>
      <w:r w:rsidRPr="00C011CE" w:rsidR="007A36BA">
        <w:rPr>
          <w:sz w:val="22"/>
          <w:szCs w:val="22"/>
        </w:rPr>
        <w:t>public notice</w:t>
      </w:r>
      <w:r w:rsidRPr="00F70F22" w:rsidR="007A36BA">
        <w:rPr>
          <w:sz w:val="22"/>
          <w:szCs w:val="22"/>
        </w:rPr>
        <w:t xml:space="preserve"> </w:t>
      </w:r>
      <w:r w:rsidR="009D013B">
        <w:rPr>
          <w:sz w:val="22"/>
          <w:szCs w:val="22"/>
        </w:rPr>
        <w:t>requirements</w:t>
      </w:r>
      <w:r w:rsidRPr="00F70F22" w:rsidR="007A36BA">
        <w:rPr>
          <w:sz w:val="22"/>
          <w:szCs w:val="22"/>
        </w:rPr>
        <w:t>.  Section 73.3580 of the Rules requires applicants for construction permits for new broadcast stations to post</w:t>
      </w:r>
      <w:r w:rsidRPr="00F70F22" w:rsidR="004575B4">
        <w:rPr>
          <w:sz w:val="22"/>
          <w:szCs w:val="22"/>
        </w:rPr>
        <w:t xml:space="preserve"> </w:t>
      </w:r>
      <w:r w:rsidRPr="00F70F22" w:rsidR="007A36BA">
        <w:rPr>
          <w:sz w:val="22"/>
          <w:szCs w:val="22"/>
        </w:rPr>
        <w:t>online local public notice</w:t>
      </w:r>
      <w:r w:rsidRPr="00F70F22" w:rsidR="004575B4">
        <w:rPr>
          <w:sz w:val="22"/>
          <w:szCs w:val="22"/>
        </w:rPr>
        <w:t xml:space="preserve"> of </w:t>
      </w:r>
      <w:r w:rsidR="00D61A7E">
        <w:rPr>
          <w:sz w:val="22"/>
          <w:szCs w:val="22"/>
        </w:rPr>
        <w:t>the</w:t>
      </w:r>
      <w:r w:rsidRPr="00F70F22" w:rsidR="004575B4">
        <w:rPr>
          <w:sz w:val="22"/>
          <w:szCs w:val="22"/>
        </w:rPr>
        <w:t xml:space="preserve"> Application</w:t>
      </w:r>
      <w:r w:rsidRPr="00F70F22" w:rsidR="007A36BA">
        <w:rPr>
          <w:sz w:val="22"/>
          <w:szCs w:val="22"/>
        </w:rPr>
        <w:t>, commencing no</w:t>
      </w:r>
      <w:r w:rsidRPr="0076051A" w:rsidR="007A36BA">
        <w:rPr>
          <w:color w:val="000000"/>
          <w:sz w:val="22"/>
          <w:szCs w:val="22"/>
          <w:shd w:val="clear" w:color="auto" w:fill="FFFFFF"/>
        </w:rPr>
        <w:t xml:space="preserve"> later than five business days following </w:t>
      </w:r>
      <w:r w:rsidRPr="00F70F22" w:rsidR="007A36BA">
        <w:rPr>
          <w:sz w:val="22"/>
          <w:szCs w:val="22"/>
        </w:rPr>
        <w:t>acceptance of the application for filing</w:t>
      </w:r>
      <w:r w:rsidRPr="00F70F22" w:rsidR="007A36BA">
        <w:rPr>
          <w:color w:val="000000"/>
          <w:sz w:val="22"/>
          <w:szCs w:val="22"/>
          <w:shd w:val="clear" w:color="auto" w:fill="FFFFFF"/>
        </w:rPr>
        <w:t>, and continuing</w:t>
      </w:r>
      <w:r w:rsidRPr="00F70F22" w:rsidR="007A36BA">
        <w:rPr>
          <w:sz w:val="22"/>
          <w:szCs w:val="22"/>
        </w:rPr>
        <w:t xml:space="preserve"> for a minimum of 30 consecutive days.</w:t>
      </w:r>
      <w:r>
        <w:rPr>
          <w:rStyle w:val="FootnoteReference"/>
          <w:rFonts w:ascii="Times New Roman" w:hAnsi="Times New Roman"/>
          <w:sz w:val="22"/>
          <w:szCs w:val="22"/>
        </w:rPr>
        <w:footnoteReference w:id="56"/>
      </w:r>
      <w:r w:rsidRPr="00F70F22" w:rsidR="007A36BA">
        <w:rPr>
          <w:sz w:val="22"/>
          <w:szCs w:val="22"/>
        </w:rPr>
        <w:t xml:space="preserve">  SAC’s Application was accepted for filing on August 2, 2022,</w:t>
      </w:r>
      <w:r>
        <w:rPr>
          <w:rStyle w:val="FootnoteReference"/>
          <w:rFonts w:ascii="Times New Roman" w:hAnsi="Times New Roman"/>
          <w:sz w:val="22"/>
          <w:szCs w:val="22"/>
        </w:rPr>
        <w:footnoteReference w:id="57"/>
      </w:r>
      <w:r w:rsidRPr="00F70F22" w:rsidR="007A36BA">
        <w:rPr>
          <w:sz w:val="22"/>
          <w:szCs w:val="22"/>
        </w:rPr>
        <w:t xml:space="preserve"> and SAC admits that its notice was not posted on its website until </w:t>
      </w:r>
      <w:r w:rsidR="00C913B2">
        <w:rPr>
          <w:sz w:val="22"/>
          <w:szCs w:val="22"/>
        </w:rPr>
        <w:t>October 4</w:t>
      </w:r>
      <w:r w:rsidRPr="00F70F22" w:rsidR="007A36BA">
        <w:rPr>
          <w:sz w:val="22"/>
          <w:szCs w:val="22"/>
        </w:rPr>
        <w:t>, 2022.</w:t>
      </w:r>
      <w:r>
        <w:rPr>
          <w:rStyle w:val="FootnoteReference"/>
          <w:rFonts w:ascii="Times New Roman" w:hAnsi="Times New Roman"/>
          <w:sz w:val="22"/>
          <w:szCs w:val="22"/>
        </w:rPr>
        <w:footnoteReference w:id="58"/>
      </w:r>
      <w:r w:rsidRPr="00F70F22" w:rsidR="007A36BA">
        <w:rPr>
          <w:sz w:val="22"/>
          <w:szCs w:val="22"/>
        </w:rPr>
        <w:t xml:space="preserve">  We, however, find that SAC’s late </w:t>
      </w:r>
      <w:r w:rsidR="00A70DF8">
        <w:rPr>
          <w:sz w:val="22"/>
          <w:szCs w:val="22"/>
        </w:rPr>
        <w:t xml:space="preserve">online </w:t>
      </w:r>
      <w:r w:rsidRPr="00F70F22" w:rsidR="007A36BA">
        <w:rPr>
          <w:sz w:val="22"/>
          <w:szCs w:val="22"/>
        </w:rPr>
        <w:t>local notice is not a</w:t>
      </w:r>
      <w:r w:rsidRPr="00F70F22" w:rsidR="00E36711">
        <w:rPr>
          <w:sz w:val="22"/>
          <w:szCs w:val="22"/>
        </w:rPr>
        <w:t xml:space="preserve"> defect that the Commission considers to be disqualifying</w:t>
      </w:r>
      <w:r w:rsidRPr="00F70F22" w:rsidR="007A36BA">
        <w:rPr>
          <w:sz w:val="22"/>
          <w:szCs w:val="22"/>
        </w:rPr>
        <w:t>.</w:t>
      </w:r>
      <w:r>
        <w:rPr>
          <w:rStyle w:val="FootnoteReference"/>
          <w:rFonts w:ascii="Times New Roman" w:hAnsi="Times New Roman"/>
          <w:sz w:val="22"/>
          <w:szCs w:val="22"/>
        </w:rPr>
        <w:footnoteReference w:id="59"/>
      </w:r>
      <w:r w:rsidRPr="00F70F22" w:rsidR="007A36BA">
        <w:rPr>
          <w:sz w:val="22"/>
          <w:szCs w:val="22"/>
        </w:rPr>
        <w:t xml:space="preserve">  We also find that VVVI </w:t>
      </w:r>
      <w:r w:rsidRPr="00C011CE" w:rsidR="007A36BA">
        <w:rPr>
          <w:sz w:val="22"/>
          <w:szCs w:val="22"/>
        </w:rPr>
        <w:t>has not shown, and we do not perceive, any intention to deceive the Commission</w:t>
      </w:r>
      <w:r w:rsidRPr="00C011CE" w:rsidR="00A62C17">
        <w:rPr>
          <w:sz w:val="22"/>
          <w:szCs w:val="22"/>
        </w:rPr>
        <w:t xml:space="preserve"> </w:t>
      </w:r>
      <w:r w:rsidRPr="00C011CE" w:rsidR="007A36BA">
        <w:rPr>
          <w:sz w:val="22"/>
          <w:szCs w:val="22"/>
        </w:rPr>
        <w:t xml:space="preserve">when </w:t>
      </w:r>
      <w:r w:rsidRPr="00C011CE" w:rsidR="00D61A7E">
        <w:rPr>
          <w:sz w:val="22"/>
          <w:szCs w:val="22"/>
        </w:rPr>
        <w:t>SAC</w:t>
      </w:r>
      <w:r w:rsidRPr="00C011CE" w:rsidR="007A36BA">
        <w:rPr>
          <w:sz w:val="22"/>
          <w:szCs w:val="22"/>
        </w:rPr>
        <w:t xml:space="preserve"> certified in its Application that it </w:t>
      </w:r>
      <w:r w:rsidRPr="00C011CE" w:rsidR="00AC274B">
        <w:rPr>
          <w:sz w:val="22"/>
          <w:szCs w:val="22"/>
        </w:rPr>
        <w:t>would comply</w:t>
      </w:r>
      <w:r w:rsidRPr="00C011CE" w:rsidR="007A36BA">
        <w:rPr>
          <w:sz w:val="22"/>
          <w:szCs w:val="22"/>
        </w:rPr>
        <w:t xml:space="preserve"> with the public notice requirements of Section 73.3580 of the Rules.</w:t>
      </w:r>
      <w:r w:rsidRPr="00C011CE">
        <w:rPr>
          <w:sz w:val="22"/>
          <w:szCs w:val="22"/>
        </w:rPr>
        <w:t xml:space="preserve">  We direct SAC, however, to promptly familiarize itself with the Commission’s local public notice requirements.</w:t>
      </w:r>
      <w:r w:rsidRPr="00C011CE">
        <w:rPr>
          <w:rStyle w:val="FootnoteReference"/>
          <w:rFonts w:ascii="Times New Roman" w:hAnsi="Times New Roman"/>
          <w:sz w:val="22"/>
          <w:szCs w:val="22"/>
          <w:shd w:val="clear" w:color="auto" w:fill="FFFFFF"/>
        </w:rPr>
        <w:t xml:space="preserve"> </w:t>
      </w:r>
      <w:r>
        <w:rPr>
          <w:rStyle w:val="FootnoteReference"/>
          <w:rFonts w:ascii="Times New Roman" w:hAnsi="Times New Roman"/>
          <w:sz w:val="22"/>
          <w:szCs w:val="22"/>
          <w:shd w:val="clear" w:color="auto" w:fill="FFFFFF"/>
        </w:rPr>
        <w:footnoteReference w:id="60"/>
      </w:r>
      <w:r w:rsidRPr="00C011CE">
        <w:rPr>
          <w:sz w:val="22"/>
          <w:szCs w:val="22"/>
        </w:rPr>
        <w:t xml:space="preserve">  Failure to comply with the local public notice requirements may result in future forfeitures.  </w:t>
      </w:r>
    </w:p>
    <w:p w:rsidR="008E6F7C" w:rsidRPr="00F70F22" w:rsidP="00190606" w14:paraId="4C427A91" w14:textId="5245FA67">
      <w:pPr>
        <w:spacing w:after="120"/>
        <w:ind w:firstLine="720"/>
        <w:rPr>
          <w:sz w:val="22"/>
          <w:szCs w:val="22"/>
        </w:rPr>
      </w:pPr>
      <w:r w:rsidRPr="00F70F22">
        <w:rPr>
          <w:sz w:val="22"/>
          <w:szCs w:val="22"/>
        </w:rPr>
        <w:t xml:space="preserve"> </w:t>
      </w:r>
      <w:r w:rsidRPr="00F70F22" w:rsidR="006455E9">
        <w:rPr>
          <w:sz w:val="22"/>
          <w:szCs w:val="22"/>
          <w:u w:val="single"/>
        </w:rPr>
        <w:t>Technical Defect</w:t>
      </w:r>
      <w:r w:rsidRPr="00F70F22" w:rsidR="006455E9">
        <w:rPr>
          <w:sz w:val="22"/>
          <w:szCs w:val="22"/>
        </w:rPr>
        <w:t>.</w:t>
      </w:r>
      <w:r w:rsidRPr="00F70F22" w:rsidR="000E6DB5">
        <w:rPr>
          <w:sz w:val="22"/>
          <w:szCs w:val="22"/>
        </w:rPr>
        <w:t xml:space="preserve">  We reject VVVI’s contention that the SAC Application should be dismissed because </w:t>
      </w:r>
      <w:r w:rsidR="006D2DF3">
        <w:rPr>
          <w:sz w:val="22"/>
          <w:szCs w:val="22"/>
        </w:rPr>
        <w:t>its proposed technical parameters violate section 73.211(b) of the Rules</w:t>
      </w:r>
      <w:r w:rsidRPr="00F70F22" w:rsidR="000E6DB5">
        <w:rPr>
          <w:sz w:val="22"/>
          <w:szCs w:val="22"/>
          <w:shd w:val="clear" w:color="auto" w:fill="FFFFFF"/>
        </w:rPr>
        <w:t xml:space="preserve">.  </w:t>
      </w:r>
      <w:r w:rsidRPr="00F70F22">
        <w:rPr>
          <w:sz w:val="22"/>
          <w:szCs w:val="22"/>
        </w:rPr>
        <w:t xml:space="preserve">While </w:t>
      </w:r>
      <w:r w:rsidRPr="00F70F22" w:rsidR="005D0ECD">
        <w:rPr>
          <w:sz w:val="22"/>
          <w:szCs w:val="22"/>
        </w:rPr>
        <w:t xml:space="preserve">SAC </w:t>
      </w:r>
      <w:r w:rsidRPr="00F70F22">
        <w:rPr>
          <w:sz w:val="22"/>
          <w:szCs w:val="22"/>
        </w:rPr>
        <w:t xml:space="preserve">admits </w:t>
      </w:r>
      <w:r w:rsidRPr="00F70F22" w:rsidR="00E36ACB">
        <w:rPr>
          <w:sz w:val="22"/>
          <w:szCs w:val="22"/>
        </w:rPr>
        <w:t xml:space="preserve">the </w:t>
      </w:r>
      <w:r w:rsidRPr="00F70F22" w:rsidR="009350C0">
        <w:rPr>
          <w:sz w:val="22"/>
          <w:szCs w:val="22"/>
        </w:rPr>
        <w:t>Application</w:t>
      </w:r>
      <w:r w:rsidRPr="00F70F22">
        <w:rPr>
          <w:sz w:val="22"/>
          <w:szCs w:val="22"/>
        </w:rPr>
        <w:t xml:space="preserve"> </w:t>
      </w:r>
      <w:r w:rsidRPr="00F70F22" w:rsidR="00A35EE4">
        <w:rPr>
          <w:sz w:val="22"/>
          <w:szCs w:val="22"/>
        </w:rPr>
        <w:t xml:space="preserve">contained an error in which </w:t>
      </w:r>
      <w:r w:rsidR="00E611B3">
        <w:rPr>
          <w:sz w:val="22"/>
          <w:szCs w:val="22"/>
        </w:rPr>
        <w:t>SAC</w:t>
      </w:r>
      <w:r w:rsidRPr="00F70F22" w:rsidR="00A35EE4">
        <w:rPr>
          <w:sz w:val="22"/>
          <w:szCs w:val="22"/>
        </w:rPr>
        <w:t xml:space="preserve"> listed </w:t>
      </w:r>
      <w:r w:rsidR="006D2DF3">
        <w:rPr>
          <w:sz w:val="22"/>
          <w:szCs w:val="22"/>
        </w:rPr>
        <w:t xml:space="preserve">the proposed station class as </w:t>
      </w:r>
      <w:r w:rsidRPr="00F70F22" w:rsidR="00A35EE4">
        <w:rPr>
          <w:sz w:val="22"/>
          <w:szCs w:val="22"/>
        </w:rPr>
        <w:t>Class B1 instead of Class B</w:t>
      </w:r>
      <w:r w:rsidRPr="00F70F22">
        <w:rPr>
          <w:sz w:val="22"/>
          <w:szCs w:val="22"/>
        </w:rPr>
        <w:t xml:space="preserve">, </w:t>
      </w:r>
      <w:r w:rsidRPr="00F70F22" w:rsidR="00A35EE4">
        <w:rPr>
          <w:sz w:val="22"/>
          <w:szCs w:val="22"/>
        </w:rPr>
        <w:t>the Application</w:t>
      </w:r>
      <w:r w:rsidR="006D2DF3">
        <w:rPr>
          <w:sz w:val="22"/>
          <w:szCs w:val="22"/>
        </w:rPr>
        <w:t>’s</w:t>
      </w:r>
      <w:r w:rsidRPr="00F70F22" w:rsidR="00A35EE4">
        <w:rPr>
          <w:sz w:val="22"/>
          <w:szCs w:val="22"/>
        </w:rPr>
        <w:t xml:space="preserve"> proposed </w:t>
      </w:r>
      <w:r w:rsidRPr="00F70F22" w:rsidR="00A35EE4">
        <w:rPr>
          <w:sz w:val="22"/>
          <w:szCs w:val="22"/>
          <w:shd w:val="clear" w:color="auto" w:fill="FFFFFF"/>
        </w:rPr>
        <w:t>power and height levels are consistent with a Class B station</w:t>
      </w:r>
      <w:r w:rsidRPr="00F70F22" w:rsidR="00A35EE4">
        <w:rPr>
          <w:sz w:val="22"/>
          <w:szCs w:val="22"/>
        </w:rPr>
        <w:t xml:space="preserve">, and </w:t>
      </w:r>
      <w:r w:rsidRPr="00F70F22" w:rsidR="00A35EE4">
        <w:rPr>
          <w:sz w:val="22"/>
          <w:szCs w:val="22"/>
          <w:bdr w:val="none" w:sz="0" w:space="0" w:color="auto" w:frame="1"/>
        </w:rPr>
        <w:t xml:space="preserve">the Bureau accepted the </w:t>
      </w:r>
      <w:r w:rsidRPr="00F70F22" w:rsidR="009350C0">
        <w:rPr>
          <w:sz w:val="22"/>
          <w:szCs w:val="22"/>
          <w:bdr w:val="none" w:sz="0" w:space="0" w:color="auto" w:frame="1"/>
        </w:rPr>
        <w:t>SAC A</w:t>
      </w:r>
      <w:r w:rsidRPr="00F70F22" w:rsidR="00A35EE4">
        <w:rPr>
          <w:sz w:val="22"/>
          <w:szCs w:val="22"/>
          <w:bdr w:val="none" w:sz="0" w:space="0" w:color="auto" w:frame="1"/>
        </w:rPr>
        <w:t>pplication for filing as a Class B station.</w:t>
      </w:r>
      <w:r>
        <w:rPr>
          <w:rStyle w:val="FootnoteReference"/>
          <w:rFonts w:ascii="Times New Roman" w:hAnsi="Times New Roman"/>
          <w:sz w:val="22"/>
          <w:szCs w:val="22"/>
        </w:rPr>
        <w:footnoteReference w:id="61"/>
      </w:r>
      <w:r w:rsidRPr="00F70F22">
        <w:rPr>
          <w:sz w:val="22"/>
          <w:szCs w:val="22"/>
        </w:rPr>
        <w:t xml:space="preserve">  </w:t>
      </w:r>
      <w:r w:rsidRPr="00F70F22" w:rsidR="000E6DB5">
        <w:rPr>
          <w:sz w:val="22"/>
          <w:szCs w:val="22"/>
        </w:rPr>
        <w:t>VVVI</w:t>
      </w:r>
      <w:r w:rsidRPr="00F70F22">
        <w:rPr>
          <w:sz w:val="22"/>
          <w:szCs w:val="22"/>
        </w:rPr>
        <w:t xml:space="preserve"> </w:t>
      </w:r>
      <w:r w:rsidR="00491958">
        <w:rPr>
          <w:sz w:val="22"/>
          <w:szCs w:val="22"/>
        </w:rPr>
        <w:t xml:space="preserve">fails to establish </w:t>
      </w:r>
      <w:r w:rsidRPr="00F70F22">
        <w:rPr>
          <w:sz w:val="22"/>
          <w:szCs w:val="22"/>
        </w:rPr>
        <w:t xml:space="preserve">that </w:t>
      </w:r>
      <w:r w:rsidR="00552A87">
        <w:rPr>
          <w:sz w:val="22"/>
          <w:szCs w:val="22"/>
        </w:rPr>
        <w:t>SAC’s error</w:t>
      </w:r>
      <w:r w:rsidRPr="00F70F22">
        <w:rPr>
          <w:sz w:val="22"/>
          <w:szCs w:val="22"/>
        </w:rPr>
        <w:t xml:space="preserve"> is</w:t>
      </w:r>
      <w:r w:rsidR="00552A87">
        <w:rPr>
          <w:sz w:val="22"/>
          <w:szCs w:val="22"/>
        </w:rPr>
        <w:t xml:space="preserve"> </w:t>
      </w:r>
      <w:r w:rsidRPr="00F70F22">
        <w:rPr>
          <w:sz w:val="22"/>
          <w:szCs w:val="22"/>
        </w:rPr>
        <w:t>non-curable.</w:t>
      </w:r>
      <w:r>
        <w:rPr>
          <w:rStyle w:val="FootnoteReference"/>
          <w:rFonts w:ascii="Times New Roman" w:hAnsi="Times New Roman"/>
          <w:sz w:val="22"/>
          <w:szCs w:val="22"/>
        </w:rPr>
        <w:footnoteReference w:id="62"/>
      </w:r>
      <w:r w:rsidRPr="00F70F22">
        <w:rPr>
          <w:sz w:val="22"/>
          <w:szCs w:val="22"/>
        </w:rPr>
        <w:t xml:space="preserve">  Accordingly, we find that dismissal of the </w:t>
      </w:r>
      <w:r w:rsidRPr="00F70F22" w:rsidR="000E6DB5">
        <w:rPr>
          <w:sz w:val="22"/>
          <w:szCs w:val="22"/>
        </w:rPr>
        <w:t>SAC</w:t>
      </w:r>
      <w:r w:rsidRPr="00F70F22">
        <w:rPr>
          <w:sz w:val="22"/>
          <w:szCs w:val="22"/>
        </w:rPr>
        <w:t xml:space="preserve"> Application is not warranted</w:t>
      </w:r>
      <w:r w:rsidRPr="00F70F22" w:rsidR="000E6DB5">
        <w:rPr>
          <w:sz w:val="22"/>
          <w:szCs w:val="22"/>
        </w:rPr>
        <w:t xml:space="preserve">.  </w:t>
      </w:r>
      <w:r w:rsidRPr="00F70F22">
        <w:rPr>
          <w:sz w:val="22"/>
          <w:szCs w:val="22"/>
        </w:rPr>
        <w:t xml:space="preserve">Moreover, the staff has independently reviewed the </w:t>
      </w:r>
      <w:r w:rsidRPr="00F70F22" w:rsidR="000E6DB5">
        <w:rPr>
          <w:sz w:val="22"/>
          <w:szCs w:val="22"/>
        </w:rPr>
        <w:t>SAC</w:t>
      </w:r>
      <w:r w:rsidRPr="00F70F22">
        <w:rPr>
          <w:sz w:val="22"/>
          <w:szCs w:val="22"/>
        </w:rPr>
        <w:t xml:space="preserve"> Application, determined that the proposed </w:t>
      </w:r>
      <w:r w:rsidRPr="00F70F22" w:rsidR="000E6DB5">
        <w:rPr>
          <w:sz w:val="22"/>
          <w:szCs w:val="22"/>
          <w:shd w:val="clear" w:color="auto" w:fill="FFFFFF"/>
        </w:rPr>
        <w:t>power and height levels</w:t>
      </w:r>
      <w:r w:rsidRPr="00F70F22">
        <w:rPr>
          <w:sz w:val="22"/>
          <w:szCs w:val="22"/>
        </w:rPr>
        <w:t xml:space="preserve"> </w:t>
      </w:r>
      <w:r w:rsidRPr="00F70F22" w:rsidR="000E6DB5">
        <w:rPr>
          <w:sz w:val="22"/>
          <w:szCs w:val="22"/>
        </w:rPr>
        <w:t xml:space="preserve">contained in the Application </w:t>
      </w:r>
      <w:r w:rsidRPr="00F70F22">
        <w:rPr>
          <w:sz w:val="22"/>
          <w:szCs w:val="22"/>
        </w:rPr>
        <w:t>compl</w:t>
      </w:r>
      <w:r w:rsidRPr="00F70F22" w:rsidR="000E6DB5">
        <w:rPr>
          <w:sz w:val="22"/>
          <w:szCs w:val="22"/>
        </w:rPr>
        <w:t>y</w:t>
      </w:r>
      <w:r w:rsidRPr="00F70F22">
        <w:rPr>
          <w:sz w:val="22"/>
          <w:szCs w:val="22"/>
        </w:rPr>
        <w:t xml:space="preserve"> with section </w:t>
      </w:r>
      <w:r w:rsidRPr="00F70F22" w:rsidR="000E6DB5">
        <w:rPr>
          <w:sz w:val="22"/>
          <w:szCs w:val="22"/>
          <w:shd w:val="clear" w:color="auto" w:fill="FFFFFF"/>
        </w:rPr>
        <w:t>73.211(b)</w:t>
      </w:r>
      <w:r w:rsidR="006428C2">
        <w:rPr>
          <w:sz w:val="22"/>
          <w:szCs w:val="22"/>
          <w:shd w:val="clear" w:color="auto" w:fill="FFFFFF"/>
        </w:rPr>
        <w:t xml:space="preserve"> as a Class B station</w:t>
      </w:r>
      <w:r w:rsidRPr="00F70F22">
        <w:rPr>
          <w:sz w:val="22"/>
          <w:szCs w:val="22"/>
        </w:rPr>
        <w:t xml:space="preserve">, and confirmed that </w:t>
      </w:r>
      <w:r w:rsidRPr="00F70F22" w:rsidR="000E6DB5">
        <w:rPr>
          <w:sz w:val="22"/>
          <w:szCs w:val="22"/>
        </w:rPr>
        <w:t>SAC</w:t>
      </w:r>
      <w:r w:rsidRPr="00F70F22">
        <w:rPr>
          <w:sz w:val="22"/>
          <w:szCs w:val="22"/>
        </w:rPr>
        <w:t xml:space="preserve">’s fair distribution population and service area data are not affected by </w:t>
      </w:r>
      <w:r w:rsidR="00463EB0">
        <w:rPr>
          <w:sz w:val="22"/>
          <w:szCs w:val="22"/>
        </w:rPr>
        <w:t xml:space="preserve">the </w:t>
      </w:r>
      <w:r w:rsidRPr="00F70F22" w:rsidR="000E6DB5">
        <w:rPr>
          <w:sz w:val="22"/>
          <w:szCs w:val="22"/>
        </w:rPr>
        <w:t>change from Class B1 to Class B</w:t>
      </w:r>
      <w:r w:rsidRPr="00F70F22">
        <w:rPr>
          <w:sz w:val="22"/>
          <w:szCs w:val="22"/>
        </w:rPr>
        <w:t xml:space="preserve">.  Therefore, we reject </w:t>
      </w:r>
      <w:r w:rsidRPr="00F70F22" w:rsidR="000E6DB5">
        <w:rPr>
          <w:sz w:val="22"/>
          <w:szCs w:val="22"/>
        </w:rPr>
        <w:t>VVVI</w:t>
      </w:r>
      <w:r w:rsidRPr="00F70F22">
        <w:rPr>
          <w:sz w:val="22"/>
          <w:szCs w:val="22"/>
        </w:rPr>
        <w:t xml:space="preserve">’s argument that we should rescind the Commission’s tentative selection of the </w:t>
      </w:r>
      <w:r w:rsidRPr="00F70F22" w:rsidR="000E6DB5">
        <w:rPr>
          <w:sz w:val="22"/>
          <w:szCs w:val="22"/>
        </w:rPr>
        <w:t>SAC</w:t>
      </w:r>
      <w:r w:rsidRPr="00F70F22">
        <w:rPr>
          <w:sz w:val="22"/>
          <w:szCs w:val="22"/>
        </w:rPr>
        <w:t xml:space="preserve"> Application</w:t>
      </w:r>
      <w:r w:rsidRPr="00F70F22" w:rsidR="000E6DB5">
        <w:rPr>
          <w:sz w:val="22"/>
          <w:szCs w:val="22"/>
        </w:rPr>
        <w:t xml:space="preserve"> </w:t>
      </w:r>
      <w:r w:rsidRPr="00F70F22" w:rsidR="00A24A7A">
        <w:rPr>
          <w:sz w:val="22"/>
          <w:szCs w:val="22"/>
        </w:rPr>
        <w:t xml:space="preserve">on this basis. </w:t>
      </w:r>
      <w:r w:rsidRPr="00F70F22" w:rsidR="000E6DB5">
        <w:rPr>
          <w:sz w:val="22"/>
          <w:szCs w:val="22"/>
        </w:rPr>
        <w:t xml:space="preserve"> </w:t>
      </w:r>
    </w:p>
    <w:p w:rsidR="00CB5F08" w:rsidRPr="00F70F22" w:rsidP="00190606" w14:paraId="07987C57" w14:textId="47925C77">
      <w:pPr>
        <w:spacing w:after="120"/>
        <w:rPr>
          <w:sz w:val="22"/>
          <w:szCs w:val="22"/>
        </w:rPr>
      </w:pPr>
      <w:r w:rsidRPr="00F70F22">
        <w:rPr>
          <w:rFonts w:eastAsia="Calibri"/>
          <w:sz w:val="22"/>
          <w:szCs w:val="22"/>
        </w:rPr>
        <w:tab/>
      </w:r>
      <w:r w:rsidRPr="00F70F22">
        <w:rPr>
          <w:rFonts w:eastAsia="Calibri"/>
          <w:i/>
          <w:sz w:val="22"/>
          <w:szCs w:val="22"/>
        </w:rPr>
        <w:t>Conclusion/Actions.</w:t>
      </w:r>
      <w:r w:rsidRPr="00F70F22">
        <w:rPr>
          <w:rFonts w:eastAsia="Calibri"/>
          <w:b/>
          <w:sz w:val="22"/>
          <w:szCs w:val="22"/>
        </w:rPr>
        <w:t xml:space="preserve">  </w:t>
      </w:r>
      <w:r w:rsidRPr="00F70F22">
        <w:rPr>
          <w:rFonts w:eastAsia="Calibri"/>
          <w:bCs/>
          <w:sz w:val="22"/>
          <w:szCs w:val="22"/>
        </w:rPr>
        <w:t>For the reasons set forth above</w:t>
      </w:r>
      <w:r w:rsidRPr="00F70F22">
        <w:rPr>
          <w:rFonts w:eastAsia="Calibri"/>
          <w:sz w:val="22"/>
          <w:szCs w:val="22"/>
        </w:rPr>
        <w:t xml:space="preserve">, IT IS ORDERED that the </w:t>
      </w:r>
      <w:r w:rsidRPr="00F70F22" w:rsidR="00997707">
        <w:rPr>
          <w:rFonts w:eastAsia="Calibri"/>
          <w:sz w:val="22"/>
          <w:szCs w:val="22"/>
        </w:rPr>
        <w:t>Petition</w:t>
      </w:r>
      <w:r w:rsidR="00F22DF3">
        <w:rPr>
          <w:rFonts w:eastAsia="Calibri"/>
          <w:sz w:val="22"/>
          <w:szCs w:val="22"/>
        </w:rPr>
        <w:t xml:space="preserve"> to Deny</w:t>
      </w:r>
      <w:r w:rsidRPr="00F70F22">
        <w:rPr>
          <w:rFonts w:eastAsia="Calibri"/>
          <w:sz w:val="22"/>
          <w:szCs w:val="22"/>
        </w:rPr>
        <w:t xml:space="preserve"> filed by </w:t>
      </w:r>
      <w:r w:rsidRPr="00F70F22" w:rsidR="00BA2584">
        <w:rPr>
          <w:bCs/>
          <w:sz w:val="22"/>
          <w:szCs w:val="22"/>
        </w:rPr>
        <w:t xml:space="preserve">Vida Vale </w:t>
      </w:r>
      <w:r w:rsidRPr="00F70F22" w:rsidR="00BA2584">
        <w:rPr>
          <w:bCs/>
          <w:sz w:val="22"/>
          <w:szCs w:val="22"/>
        </w:rPr>
        <w:t>Vivir</w:t>
      </w:r>
      <w:r w:rsidRPr="00F70F22" w:rsidR="00BA2584">
        <w:rPr>
          <w:bCs/>
          <w:sz w:val="22"/>
          <w:szCs w:val="22"/>
        </w:rPr>
        <w:t>, Inc.</w:t>
      </w:r>
      <w:r w:rsidRPr="00F70F22">
        <w:rPr>
          <w:rFonts w:eastAsia="Calibri"/>
          <w:sz w:val="22"/>
          <w:szCs w:val="22"/>
        </w:rPr>
        <w:t xml:space="preserve"> on </w:t>
      </w:r>
      <w:r w:rsidRPr="00F70F22" w:rsidR="00BA2584">
        <w:rPr>
          <w:sz w:val="22"/>
          <w:szCs w:val="22"/>
        </w:rPr>
        <w:t>August 23, 2022</w:t>
      </w:r>
      <w:r w:rsidR="00F22DF3">
        <w:rPr>
          <w:sz w:val="22"/>
          <w:szCs w:val="22"/>
        </w:rPr>
        <w:t xml:space="preserve"> (Pleading File No. 0000198175)</w:t>
      </w:r>
      <w:r w:rsidRPr="00F70F22">
        <w:rPr>
          <w:rFonts w:eastAsia="Calibri"/>
          <w:sz w:val="22"/>
          <w:szCs w:val="22"/>
        </w:rPr>
        <w:t xml:space="preserve">, IS DENIED. </w:t>
      </w:r>
    </w:p>
    <w:p w:rsidR="00B31FD9" w:rsidP="00190606" w14:paraId="66174293" w14:textId="3FB476D3">
      <w:pPr>
        <w:widowControl w:val="0"/>
        <w:autoSpaceDE w:val="0"/>
        <w:autoSpaceDN w:val="0"/>
        <w:adjustRightInd w:val="0"/>
        <w:spacing w:after="120"/>
        <w:ind w:firstLine="720"/>
        <w:rPr>
          <w:sz w:val="22"/>
          <w:szCs w:val="22"/>
        </w:rPr>
      </w:pPr>
      <w:r w:rsidRPr="00F70F22">
        <w:rPr>
          <w:sz w:val="22"/>
          <w:szCs w:val="22"/>
        </w:rPr>
        <w:t>IT IS FURTHER ORDERED that the Application filed by Stonewall Alliance of Chico (</w:t>
      </w:r>
      <w:r>
        <w:rPr>
          <w:sz w:val="22"/>
          <w:szCs w:val="22"/>
        </w:rPr>
        <w:t xml:space="preserve">Application </w:t>
      </w:r>
      <w:r w:rsidRPr="00F70F22">
        <w:rPr>
          <w:sz w:val="22"/>
          <w:szCs w:val="22"/>
        </w:rPr>
        <w:t>File No. 0000167629) for a construction permit for a new NCE FM station in Willows, California, IS GRANTED CONDITIONED UPON that selectee’s compliance with</w:t>
      </w:r>
      <w:r w:rsidR="00463EB0">
        <w:t xml:space="preserve"> </w:t>
      </w:r>
      <w:r w:rsidRPr="00B9787B" w:rsidR="00463EB0">
        <w:rPr>
          <w:sz w:val="22"/>
          <w:szCs w:val="22"/>
        </w:rPr>
        <w:t xml:space="preserve">section 73.7005 of the Commission’s rules, 47 CFR § 73.7005, which sets forth a four-year period in which an applicant, that is awarded a permit by use of the point system, must maintain the comparative qualifications for which it received points, must comply with the restrictions on station modifications and acquisitions, and also </w:t>
      </w:r>
      <w:r w:rsidRPr="00B9787B" w:rsidR="00463EB0">
        <w:rPr>
          <w:sz w:val="22"/>
          <w:szCs w:val="22"/>
        </w:rPr>
        <w:t>provides that an applicant receiving a Section 307(b) preference that is decisive over another applicant must operate technical facilities substantially as proposed for a period of four years of on-air operations.</w:t>
      </w:r>
    </w:p>
    <w:p w:rsidR="00F70F22" w:rsidRPr="00F70F22" w:rsidP="00190606" w14:paraId="2867D1B1" w14:textId="29037E68">
      <w:pPr>
        <w:widowControl w:val="0"/>
        <w:autoSpaceDE w:val="0"/>
        <w:autoSpaceDN w:val="0"/>
        <w:adjustRightInd w:val="0"/>
        <w:spacing w:after="120"/>
        <w:ind w:firstLine="720"/>
        <w:rPr>
          <w:sz w:val="22"/>
          <w:szCs w:val="22"/>
        </w:rPr>
      </w:pPr>
      <w:r w:rsidRPr="00F70F22">
        <w:rPr>
          <w:sz w:val="22"/>
          <w:szCs w:val="22"/>
        </w:rPr>
        <w:t>IT IS FURTHER ORDERED that the mutually exclusive applications of Vida</w:t>
      </w:r>
      <w:r w:rsidR="00405997">
        <w:rPr>
          <w:sz w:val="22"/>
          <w:szCs w:val="22"/>
        </w:rPr>
        <w:t xml:space="preserve"> </w:t>
      </w:r>
      <w:r w:rsidRPr="00F70F22">
        <w:rPr>
          <w:sz w:val="22"/>
          <w:szCs w:val="22"/>
        </w:rPr>
        <w:t xml:space="preserve">Vale </w:t>
      </w:r>
      <w:r w:rsidRPr="00F70F22">
        <w:rPr>
          <w:sz w:val="22"/>
          <w:szCs w:val="22"/>
        </w:rPr>
        <w:t>Vivir</w:t>
      </w:r>
      <w:r w:rsidRPr="00F70F22">
        <w:rPr>
          <w:sz w:val="22"/>
          <w:szCs w:val="22"/>
        </w:rPr>
        <w:t>, Inc. (</w:t>
      </w:r>
      <w:r w:rsidR="00B31FD9">
        <w:rPr>
          <w:sz w:val="22"/>
          <w:szCs w:val="22"/>
        </w:rPr>
        <w:t xml:space="preserve">Application </w:t>
      </w:r>
      <w:r w:rsidRPr="00F70F22">
        <w:rPr>
          <w:sz w:val="22"/>
          <w:szCs w:val="22"/>
        </w:rPr>
        <w:t>File No. 0000165591) and Adventist Compassion Care, Inc. (</w:t>
      </w:r>
      <w:r w:rsidR="00B31FD9">
        <w:rPr>
          <w:sz w:val="22"/>
          <w:szCs w:val="22"/>
        </w:rPr>
        <w:t xml:space="preserve">Application </w:t>
      </w:r>
      <w:r w:rsidRPr="00F70F22">
        <w:rPr>
          <w:sz w:val="22"/>
          <w:szCs w:val="22"/>
        </w:rPr>
        <w:t>File No. 0000167631) ARE DISMISSED.</w:t>
      </w:r>
      <w:r w:rsidRPr="00F70F22">
        <w:rPr>
          <w:sz w:val="22"/>
          <w:szCs w:val="22"/>
        </w:rPr>
        <w:t xml:space="preserve"> </w:t>
      </w:r>
    </w:p>
    <w:p w:rsidR="00997707" w:rsidRPr="00F70F22" w:rsidP="00CB5F08" w14:paraId="2E9F6548" w14:textId="77777777">
      <w:pPr>
        <w:widowControl w:val="0"/>
        <w:autoSpaceDE w:val="0"/>
        <w:autoSpaceDN w:val="0"/>
        <w:adjustRightInd w:val="0"/>
        <w:jc w:val="both"/>
        <w:rPr>
          <w:rFonts w:eastAsia="Calibri"/>
          <w:bCs/>
          <w:snapToGrid w:val="0"/>
          <w:sz w:val="22"/>
          <w:szCs w:val="22"/>
        </w:rPr>
      </w:pPr>
    </w:p>
    <w:p w:rsidR="00CB5F08" w:rsidRPr="00F70F22" w:rsidP="00CB5F08" w14:paraId="1C2C5C26" w14:textId="77777777">
      <w:pPr>
        <w:pStyle w:val="BodyText"/>
        <w:ind w:left="5040"/>
        <w:rPr>
          <w:sz w:val="22"/>
          <w:szCs w:val="22"/>
        </w:rPr>
      </w:pPr>
      <w:r w:rsidRPr="00F70F22">
        <w:rPr>
          <w:sz w:val="22"/>
          <w:szCs w:val="22"/>
        </w:rPr>
        <w:t>Sincerely,</w:t>
      </w:r>
    </w:p>
    <w:p w:rsidR="00CB5F08" w:rsidRPr="00F70F22" w:rsidP="00CB5F08" w14:paraId="6CD7EAC1" w14:textId="77777777">
      <w:pPr>
        <w:pStyle w:val="BodyText"/>
        <w:rPr>
          <w:sz w:val="22"/>
          <w:szCs w:val="22"/>
        </w:rPr>
      </w:pPr>
    </w:p>
    <w:p w:rsidR="00CB5F08" w:rsidRPr="00F70F22" w:rsidP="00CB5F08" w14:paraId="3255DCDC" w14:textId="77777777">
      <w:pPr>
        <w:pStyle w:val="BodyText"/>
        <w:rPr>
          <w:sz w:val="22"/>
          <w:szCs w:val="22"/>
        </w:rPr>
      </w:pPr>
    </w:p>
    <w:p w:rsidR="00CB5F08" w:rsidRPr="00F70F22" w:rsidP="00CB5F08" w14:paraId="2306A962" w14:textId="77777777">
      <w:pPr>
        <w:pStyle w:val="BodyText"/>
        <w:rPr>
          <w:sz w:val="22"/>
          <w:szCs w:val="22"/>
        </w:rPr>
      </w:pPr>
    </w:p>
    <w:p w:rsidR="00CB5F08" w:rsidRPr="00F70F22" w:rsidP="00CB5F08" w14:paraId="519CD6B0" w14:textId="77777777">
      <w:pPr>
        <w:pStyle w:val="BodyText"/>
        <w:rPr>
          <w:sz w:val="22"/>
          <w:szCs w:val="22"/>
        </w:rPr>
      </w:pPr>
      <w:r w:rsidRPr="00F70F22">
        <w:rPr>
          <w:sz w:val="22"/>
          <w:szCs w:val="22"/>
        </w:rPr>
        <w:tab/>
      </w:r>
      <w:r w:rsidRPr="00F70F22">
        <w:rPr>
          <w:sz w:val="22"/>
          <w:szCs w:val="22"/>
        </w:rPr>
        <w:tab/>
      </w:r>
      <w:r w:rsidRPr="00F70F22">
        <w:rPr>
          <w:sz w:val="22"/>
          <w:szCs w:val="22"/>
        </w:rPr>
        <w:tab/>
      </w:r>
      <w:r w:rsidRPr="00F70F22">
        <w:rPr>
          <w:sz w:val="22"/>
          <w:szCs w:val="22"/>
        </w:rPr>
        <w:tab/>
      </w:r>
      <w:r w:rsidRPr="00F70F22">
        <w:rPr>
          <w:sz w:val="22"/>
          <w:szCs w:val="22"/>
        </w:rPr>
        <w:tab/>
      </w:r>
      <w:r w:rsidRPr="00F70F22">
        <w:rPr>
          <w:sz w:val="22"/>
          <w:szCs w:val="22"/>
        </w:rPr>
        <w:tab/>
      </w:r>
      <w:r w:rsidRPr="00F70F22">
        <w:rPr>
          <w:sz w:val="22"/>
          <w:szCs w:val="22"/>
        </w:rPr>
        <w:tab/>
        <w:t>Albert Shuldiner</w:t>
      </w:r>
    </w:p>
    <w:p w:rsidR="00CB5F08" w:rsidRPr="00F70F22" w:rsidP="00CB5F08" w14:paraId="08E4FFB9" w14:textId="77777777">
      <w:pPr>
        <w:pStyle w:val="BodyText"/>
        <w:rPr>
          <w:sz w:val="22"/>
          <w:szCs w:val="22"/>
        </w:rPr>
      </w:pPr>
      <w:r w:rsidRPr="00F70F22">
        <w:rPr>
          <w:sz w:val="22"/>
          <w:szCs w:val="22"/>
        </w:rPr>
        <w:tab/>
      </w:r>
      <w:r w:rsidRPr="00F70F22">
        <w:rPr>
          <w:sz w:val="22"/>
          <w:szCs w:val="22"/>
        </w:rPr>
        <w:tab/>
      </w:r>
      <w:r w:rsidRPr="00F70F22">
        <w:rPr>
          <w:sz w:val="22"/>
          <w:szCs w:val="22"/>
        </w:rPr>
        <w:tab/>
      </w:r>
      <w:r w:rsidRPr="00F70F22">
        <w:rPr>
          <w:sz w:val="22"/>
          <w:szCs w:val="22"/>
        </w:rPr>
        <w:tab/>
      </w:r>
      <w:r w:rsidRPr="00F70F22">
        <w:rPr>
          <w:sz w:val="22"/>
          <w:szCs w:val="22"/>
        </w:rPr>
        <w:tab/>
      </w:r>
      <w:r w:rsidRPr="00F70F22">
        <w:rPr>
          <w:sz w:val="22"/>
          <w:szCs w:val="22"/>
        </w:rPr>
        <w:tab/>
      </w:r>
      <w:r w:rsidRPr="00F70F22">
        <w:rPr>
          <w:sz w:val="22"/>
          <w:szCs w:val="22"/>
        </w:rPr>
        <w:tab/>
        <w:t>Chief, Audio Division</w:t>
      </w:r>
    </w:p>
    <w:p w:rsidR="00875B41" w:rsidRPr="00FF2202" w:rsidP="00CB5F08" w14:paraId="1427536B" w14:textId="5325C811">
      <w:pPr>
        <w:ind w:left="2160" w:firstLine="720"/>
        <w:rPr>
          <w:sz w:val="22"/>
          <w:szCs w:val="22"/>
        </w:rPr>
      </w:pPr>
      <w:r w:rsidRPr="00F70F22">
        <w:rPr>
          <w:sz w:val="22"/>
          <w:szCs w:val="22"/>
        </w:rPr>
        <w:tab/>
      </w:r>
      <w:r w:rsidRPr="00F70F22">
        <w:rPr>
          <w:sz w:val="22"/>
          <w:szCs w:val="22"/>
        </w:rPr>
        <w:tab/>
      </w:r>
      <w:r w:rsidRPr="00F70F22">
        <w:rPr>
          <w:sz w:val="22"/>
          <w:szCs w:val="22"/>
        </w:rPr>
        <w:tab/>
        <w:t>Media Bureau</w:t>
      </w:r>
    </w:p>
    <w:sectPr>
      <w:headerReference w:type="first" r:id="rId6"/>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579F2" w14:paraId="000209E1" w14:textId="77777777">
      <w:r>
        <w:separator/>
      </w:r>
    </w:p>
  </w:footnote>
  <w:footnote w:type="continuationSeparator" w:id="1">
    <w:p w:rsidR="006579F2" w14:paraId="187F3ABE" w14:textId="77777777">
      <w:r>
        <w:continuationSeparator/>
      </w:r>
    </w:p>
  </w:footnote>
  <w:footnote w:type="continuationNotice" w:id="2">
    <w:p w:rsidR="006579F2" w14:paraId="06DD5475" w14:textId="77777777"/>
  </w:footnote>
  <w:footnote w:id="3">
    <w:p w:rsidR="00CB5F08" w:rsidRPr="00BC4322" w:rsidP="00CB5F08" w14:paraId="45ECD647" w14:textId="3DA3CF70">
      <w:pPr>
        <w:pStyle w:val="FootnoteText"/>
      </w:pPr>
      <w:r w:rsidRPr="00BC4322">
        <w:rPr>
          <w:rStyle w:val="FootnoteReference"/>
          <w:rFonts w:ascii="Times New Roman" w:hAnsi="Times New Roman"/>
        </w:rPr>
        <w:footnoteRef/>
      </w:r>
      <w:r w:rsidRPr="00BC4322">
        <w:t xml:space="preserve"> </w:t>
      </w:r>
      <w:r w:rsidRPr="00BC4322" w:rsidR="00624C5C">
        <w:rPr>
          <w:i/>
          <w:iCs/>
        </w:rPr>
        <w:t>Comparative Consideration</w:t>
      </w:r>
      <w:r w:rsidRPr="00BC4322">
        <w:rPr>
          <w:i/>
          <w:iCs/>
        </w:rPr>
        <w:t xml:space="preserve"> of </w:t>
      </w:r>
      <w:r w:rsidRPr="00BC4322" w:rsidR="00624C5C">
        <w:rPr>
          <w:i/>
          <w:iCs/>
        </w:rPr>
        <w:t>27</w:t>
      </w:r>
      <w:r w:rsidRPr="00BC4322">
        <w:rPr>
          <w:i/>
          <w:iCs/>
        </w:rPr>
        <w:t xml:space="preserve"> Groups of Mutually Exclusive Applications for Permits to Construct New Noncommercial Educational FM Stations</w:t>
      </w:r>
      <w:r w:rsidRPr="00BC4322">
        <w:t xml:space="preserve">, Memorandum Opinion and Order, </w:t>
      </w:r>
      <w:r w:rsidR="00392E67">
        <w:rPr>
          <w:shd w:val="clear" w:color="auto" w:fill="FFFFFF"/>
        </w:rPr>
        <w:t>FCC</w:t>
      </w:r>
      <w:r w:rsidRPr="00BC4322" w:rsidR="00392E67">
        <w:rPr>
          <w:shd w:val="clear" w:color="auto" w:fill="FFFFFF"/>
        </w:rPr>
        <w:t xml:space="preserve"> </w:t>
      </w:r>
      <w:r w:rsidRPr="00BC4322">
        <w:rPr>
          <w:shd w:val="clear" w:color="auto" w:fill="FFFFFF"/>
        </w:rPr>
        <w:t>22-</w:t>
      </w:r>
      <w:r w:rsidRPr="00BC4322" w:rsidR="00624C5C">
        <w:rPr>
          <w:shd w:val="clear" w:color="auto" w:fill="FFFFFF"/>
        </w:rPr>
        <w:t>61</w:t>
      </w:r>
      <w:r w:rsidRPr="00BC4322">
        <w:rPr>
          <w:shd w:val="clear" w:color="auto" w:fill="FFFFFF"/>
        </w:rPr>
        <w:t xml:space="preserve">, </w:t>
      </w:r>
      <w:r w:rsidRPr="00BC4322">
        <w:t xml:space="preserve">2022 WL </w:t>
      </w:r>
      <w:r w:rsidRPr="00BC4322" w:rsidR="00624C5C">
        <w:t>3098826</w:t>
      </w:r>
      <w:r w:rsidRPr="00BC4322">
        <w:t xml:space="preserve"> (MB </w:t>
      </w:r>
      <w:r w:rsidRPr="00BC4322" w:rsidR="004C049A">
        <w:t>A</w:t>
      </w:r>
      <w:r w:rsidRPr="00BC4322" w:rsidR="00624C5C">
        <w:t>ug</w:t>
      </w:r>
      <w:r w:rsidRPr="00BC4322">
        <w:t xml:space="preserve">. </w:t>
      </w:r>
      <w:r w:rsidRPr="00BC4322" w:rsidR="00624C5C">
        <w:t>2</w:t>
      </w:r>
      <w:r w:rsidRPr="00BC4322">
        <w:t>, 2022) (</w:t>
      </w:r>
      <w:r w:rsidRPr="00BC4322" w:rsidR="00624C5C">
        <w:rPr>
          <w:i/>
          <w:iCs/>
        </w:rPr>
        <w:t>Comparative Consideration</w:t>
      </w:r>
      <w:r w:rsidRPr="00BC4322" w:rsidR="00B475D5">
        <w:rPr>
          <w:i/>
          <w:iCs/>
        </w:rPr>
        <w:t xml:space="preserve"> MO&amp;O</w:t>
      </w:r>
      <w:r w:rsidRPr="00BC4322">
        <w:t xml:space="preserve">). </w:t>
      </w:r>
      <w:r w:rsidR="005C4C58">
        <w:t xml:space="preserve"> </w:t>
      </w:r>
      <w:r w:rsidRPr="00BC4322">
        <w:rPr>
          <w:i/>
          <w:iCs/>
        </w:rPr>
        <w:t>See also</w:t>
      </w:r>
      <w:r w:rsidRPr="00BC4322">
        <w:t xml:space="preserve"> </w:t>
      </w:r>
      <w:r w:rsidRPr="00BC4322" w:rsidR="002D3ED0">
        <w:t xml:space="preserve">Application </w:t>
      </w:r>
      <w:r w:rsidRPr="00BC4322">
        <w:t xml:space="preserve">File Nos. </w:t>
      </w:r>
      <w:r w:rsidRPr="00BC4322" w:rsidR="00624C5C">
        <w:t>0</w:t>
      </w:r>
      <w:hyperlink r:id="rId1" w:tgtFrame="lm" w:history="1">
        <w:r w:rsidRPr="00BC4322" w:rsidR="00624C5C">
          <w:t xml:space="preserve">000165591 </w:t>
        </w:r>
      </w:hyperlink>
      <w:r w:rsidRPr="00BC4322">
        <w:t>(</w:t>
      </w:r>
      <w:r w:rsidRPr="00BC4322" w:rsidR="00624C5C">
        <w:t xml:space="preserve">VVVI </w:t>
      </w:r>
      <w:r w:rsidRPr="00BC4322">
        <w:t>Application)</w:t>
      </w:r>
      <w:r w:rsidRPr="00BC4322" w:rsidR="00624C5C">
        <w:t>, 0000167631 (ACCI Application),</w:t>
      </w:r>
      <w:r w:rsidRPr="00BC4322" w:rsidR="004C049A">
        <w:t xml:space="preserve"> and</w:t>
      </w:r>
      <w:r w:rsidRPr="00BC4322">
        <w:t xml:space="preserve"> </w:t>
      </w:r>
      <w:r w:rsidRPr="00BC4322" w:rsidR="00557461">
        <w:t>0000167629</w:t>
      </w:r>
      <w:r w:rsidRPr="00BC4322">
        <w:t xml:space="preserve"> (</w:t>
      </w:r>
      <w:r w:rsidRPr="00BC4322" w:rsidR="00557461">
        <w:t>SAC</w:t>
      </w:r>
      <w:r w:rsidRPr="00BC4322" w:rsidR="004C049A">
        <w:t xml:space="preserve"> </w:t>
      </w:r>
      <w:r w:rsidRPr="00BC4322">
        <w:t>Application)</w:t>
      </w:r>
      <w:r w:rsidRPr="00BC4322" w:rsidR="004C049A">
        <w:t>.</w:t>
      </w:r>
    </w:p>
  </w:footnote>
  <w:footnote w:id="4">
    <w:p w:rsidR="00CB5F08" w:rsidRPr="00BC4322" w:rsidP="00CB5F08" w14:paraId="29E53052" w14:textId="0AADCC31">
      <w:pPr>
        <w:pStyle w:val="FootnoteText"/>
      </w:pPr>
      <w:r w:rsidRPr="00BC4322">
        <w:rPr>
          <w:rStyle w:val="FootnoteReference"/>
          <w:rFonts w:ascii="Times New Roman" w:hAnsi="Times New Roman"/>
        </w:rPr>
        <w:footnoteRef/>
      </w:r>
      <w:r w:rsidRPr="00BC4322">
        <w:t xml:space="preserve"> </w:t>
      </w:r>
      <w:r w:rsidRPr="00BC4322" w:rsidR="00557461">
        <w:rPr>
          <w:i/>
          <w:iCs/>
        </w:rPr>
        <w:t>Comparative Consideration MO&amp;O</w:t>
      </w:r>
      <w:r w:rsidRPr="00BC4322">
        <w:rPr>
          <w:i/>
          <w:iCs/>
        </w:rPr>
        <w:t xml:space="preserve"> </w:t>
      </w:r>
      <w:r w:rsidRPr="00BC4322">
        <w:t>at *</w:t>
      </w:r>
      <w:r w:rsidRPr="00BC4322" w:rsidR="00557461">
        <w:t>7</w:t>
      </w:r>
      <w:r w:rsidRPr="00BC4322">
        <w:t xml:space="preserve">, para. </w:t>
      </w:r>
      <w:r w:rsidRPr="00BC4322" w:rsidR="00557461">
        <w:t>25</w:t>
      </w:r>
      <w:r w:rsidRPr="00BC4322" w:rsidR="00680D34">
        <w:t>-26</w:t>
      </w:r>
      <w:r w:rsidRPr="00BC4322">
        <w:t>.</w:t>
      </w:r>
      <w:r w:rsidRPr="00BC4322">
        <w:rPr>
          <w:i/>
          <w:iCs/>
        </w:rPr>
        <w:t xml:space="preserve"> </w:t>
      </w:r>
    </w:p>
  </w:footnote>
  <w:footnote w:id="5">
    <w:p w:rsidR="00E20DB4" w:rsidRPr="00BC4322" w:rsidP="00CB5F08" w14:paraId="6409E0DE" w14:textId="410C74D8">
      <w:pPr>
        <w:pStyle w:val="FootnoteText"/>
      </w:pPr>
      <w:r w:rsidRPr="00BC4322">
        <w:rPr>
          <w:rStyle w:val="FootnoteReference"/>
          <w:rFonts w:ascii="Times New Roman" w:hAnsi="Times New Roman"/>
        </w:rPr>
        <w:footnoteRef/>
      </w:r>
      <w:r w:rsidRPr="00BC4322">
        <w:t xml:space="preserve"> Pleading File No. </w:t>
      </w:r>
      <w:hyperlink r:id="rId2" w:history="1">
        <w:r w:rsidRPr="00BC4322" w:rsidR="00557461">
          <w:t>0000198175</w:t>
        </w:r>
      </w:hyperlink>
      <w:r w:rsidRPr="00BC4322">
        <w:t xml:space="preserve">.  </w:t>
      </w:r>
      <w:r w:rsidRPr="00BC4322" w:rsidR="00557461">
        <w:t>O</w:t>
      </w:r>
      <w:r w:rsidRPr="00BC4322">
        <w:t xml:space="preserve">n </w:t>
      </w:r>
      <w:r w:rsidRPr="00BC4322" w:rsidR="00557461">
        <w:t>September 9</w:t>
      </w:r>
      <w:r w:rsidRPr="00BC4322">
        <w:t>, 2022</w:t>
      </w:r>
      <w:r w:rsidRPr="00BC4322" w:rsidR="00557461">
        <w:t xml:space="preserve">, </w:t>
      </w:r>
      <w:r w:rsidRPr="00BC4322" w:rsidR="00E046D2">
        <w:t xml:space="preserve">SAC filed an Opposition </w:t>
      </w:r>
      <w:r w:rsidR="005C4C58">
        <w:t xml:space="preserve">to </w:t>
      </w:r>
      <w:r w:rsidRPr="00BC4322" w:rsidR="00E046D2">
        <w:t>the Petition (Opposition</w:t>
      </w:r>
      <w:r w:rsidRPr="00BC4322" w:rsidR="00D3437C">
        <w:t xml:space="preserve">). </w:t>
      </w:r>
      <w:r w:rsidR="005C4C58">
        <w:t xml:space="preserve"> </w:t>
      </w:r>
      <w:r w:rsidRPr="00BC4322">
        <w:t xml:space="preserve">Pleading File No. </w:t>
      </w:r>
      <w:hyperlink r:id="rId3" w:history="1">
        <w:r w:rsidRPr="00BC4322" w:rsidR="00557461">
          <w:t>0000199629</w:t>
        </w:r>
      </w:hyperlink>
      <w:r w:rsidRPr="00BC4322" w:rsidR="00D3437C">
        <w:t>.  On the same date, SAC filed a consolidated supplement containing a Motion for Leave</w:t>
      </w:r>
      <w:r w:rsidR="00BE17B3">
        <w:t>, which sought leave to file the Opposition after the filing deadline,</w:t>
      </w:r>
      <w:r w:rsidRPr="00BC4322" w:rsidR="002770EB">
        <w:t xml:space="preserve"> </w:t>
      </w:r>
      <w:r w:rsidRPr="00BC4322" w:rsidR="00D3437C">
        <w:t>and a Motion to Strike</w:t>
      </w:r>
      <w:r w:rsidR="00BE17B3">
        <w:t>, which addresses arguments raised in the Petition</w:t>
      </w:r>
      <w:r w:rsidRPr="00BC4322" w:rsidR="002770EB">
        <w:t xml:space="preserve"> </w:t>
      </w:r>
      <w:r w:rsidRPr="00BC4322" w:rsidR="00D3437C">
        <w:t xml:space="preserve">(First Supplement). </w:t>
      </w:r>
      <w:r w:rsidR="005C4C58">
        <w:t xml:space="preserve"> </w:t>
      </w:r>
      <w:r w:rsidRPr="00BC4322" w:rsidR="00D3437C">
        <w:t xml:space="preserve">Pleading File No. </w:t>
      </w:r>
      <w:hyperlink r:id="rId4" w:history="1">
        <w:r w:rsidRPr="00BC4322" w:rsidR="00D3437C">
          <w:t>0000199633</w:t>
        </w:r>
      </w:hyperlink>
      <w:r w:rsidRPr="00BC4322" w:rsidR="00D3437C">
        <w:t xml:space="preserve">.  </w:t>
      </w:r>
      <w:r w:rsidRPr="00BC4322" w:rsidR="00E046D2">
        <w:t>VVVI</w:t>
      </w:r>
      <w:r w:rsidRPr="00BC4322">
        <w:t xml:space="preserve"> filed a Reply to </w:t>
      </w:r>
      <w:r w:rsidRPr="00BC4322" w:rsidR="00E046D2">
        <w:t xml:space="preserve">the </w:t>
      </w:r>
      <w:r w:rsidRPr="00BC4322">
        <w:t xml:space="preserve">Opposition on </w:t>
      </w:r>
      <w:r w:rsidRPr="00BC4322" w:rsidR="00E046D2">
        <w:t>September 16</w:t>
      </w:r>
      <w:r w:rsidRPr="00BC4322">
        <w:t xml:space="preserve">, 2022 (Reply).  Pleading File No. </w:t>
      </w:r>
      <w:hyperlink r:id="rId5" w:history="1">
        <w:r w:rsidRPr="00BC4322" w:rsidR="00E046D2">
          <w:t>0000199969</w:t>
        </w:r>
      </w:hyperlink>
      <w:r w:rsidRPr="00BC4322">
        <w:t xml:space="preserve">.  </w:t>
      </w:r>
      <w:r w:rsidR="005C4C58">
        <w:t>Finally, o</w:t>
      </w:r>
      <w:r w:rsidRPr="00BC4322" w:rsidR="00E046D2">
        <w:t xml:space="preserve">n September 20, 2022, SAC filed an additional supplement (Second Supplement). </w:t>
      </w:r>
      <w:r w:rsidR="005C4C58">
        <w:t xml:space="preserve"> </w:t>
      </w:r>
      <w:r w:rsidRPr="00BC4322" w:rsidR="00E046D2">
        <w:t xml:space="preserve">Pleading File No. </w:t>
      </w:r>
      <w:hyperlink r:id="rId6" w:history="1">
        <w:r w:rsidRPr="00BC4322" w:rsidR="00E046D2">
          <w:t>0000200319</w:t>
        </w:r>
      </w:hyperlink>
      <w:r w:rsidRPr="00BC4322" w:rsidR="00E046D2">
        <w:t>.</w:t>
      </w:r>
      <w:r w:rsidRPr="00BC4322" w:rsidR="00D3437C">
        <w:t xml:space="preserve"> </w:t>
      </w:r>
      <w:r w:rsidR="00BE17B3">
        <w:t xml:space="preserve">As discussed below, we will grant SAC’s </w:t>
      </w:r>
      <w:r w:rsidRPr="00BC4322" w:rsidR="00D3437C">
        <w:t>First Supplement</w:t>
      </w:r>
      <w:r w:rsidR="00BE17B3">
        <w:t xml:space="preserve"> to the extent it seeks leave to file the Opposition.  However, the Motion to Strike </w:t>
      </w:r>
      <w:r w:rsidRPr="00BC4322" w:rsidR="00D3437C">
        <w:t xml:space="preserve">and </w:t>
      </w:r>
      <w:r w:rsidR="00BE17B3">
        <w:t xml:space="preserve">the </w:t>
      </w:r>
      <w:r w:rsidRPr="00BC4322" w:rsidR="00D3437C">
        <w:t xml:space="preserve">Second Supplement are </w:t>
      </w:r>
      <w:r w:rsidRPr="001D550B" w:rsidR="00D3437C">
        <w:rPr>
          <w:bdr w:val="none" w:sz="0" w:space="0" w:color="auto" w:frame="1"/>
          <w:shd w:val="clear" w:color="auto" w:fill="FFFFFF"/>
        </w:rPr>
        <w:t>unauthorized</w:t>
      </w:r>
      <w:r w:rsidRPr="001D550B" w:rsidR="00D3437C">
        <w:rPr>
          <w:shd w:val="clear" w:color="auto" w:fill="FFFFFF"/>
        </w:rPr>
        <w:t> </w:t>
      </w:r>
      <w:r w:rsidRPr="001D550B" w:rsidR="00D3437C">
        <w:rPr>
          <w:bdr w:val="none" w:sz="0" w:space="0" w:color="auto" w:frame="1"/>
          <w:shd w:val="clear" w:color="auto" w:fill="FFFFFF"/>
        </w:rPr>
        <w:t>pleadings</w:t>
      </w:r>
      <w:r w:rsidRPr="001D550B" w:rsidR="00D3437C">
        <w:rPr>
          <w:shd w:val="clear" w:color="auto" w:fill="FFFFFF"/>
        </w:rPr>
        <w:t> and</w:t>
      </w:r>
      <w:r w:rsidR="005C4C58">
        <w:rPr>
          <w:shd w:val="clear" w:color="auto" w:fill="FFFFFF"/>
        </w:rPr>
        <w:t>, therefore,</w:t>
      </w:r>
      <w:r w:rsidRPr="001D550B" w:rsidR="00D3437C">
        <w:rPr>
          <w:shd w:val="clear" w:color="auto" w:fill="FFFFFF"/>
        </w:rPr>
        <w:t xml:space="preserve"> will not be considered here. </w:t>
      </w:r>
      <w:r w:rsidR="005C4C58">
        <w:rPr>
          <w:shd w:val="clear" w:color="auto" w:fill="FFFFFF"/>
        </w:rPr>
        <w:t xml:space="preserve"> </w:t>
      </w:r>
      <w:r w:rsidRPr="001D550B" w:rsidR="00D3437C">
        <w:rPr>
          <w:i/>
          <w:iCs/>
          <w:bdr w:val="none" w:sz="0" w:space="0" w:color="auto" w:frame="1"/>
        </w:rPr>
        <w:t>See</w:t>
      </w:r>
      <w:r w:rsidRPr="001D550B" w:rsidR="00D3437C">
        <w:rPr>
          <w:shd w:val="clear" w:color="auto" w:fill="FFFFFF"/>
        </w:rPr>
        <w:t> 47 CFR § </w:t>
      </w:r>
      <w:r w:rsidRPr="001D550B" w:rsidR="00D3437C">
        <w:rPr>
          <w:bdr w:val="none" w:sz="0" w:space="0" w:color="auto" w:frame="1"/>
          <w:shd w:val="clear" w:color="auto" w:fill="FFFFFF"/>
        </w:rPr>
        <w:t>1</w:t>
      </w:r>
      <w:r w:rsidRPr="001D550B" w:rsidR="00D3437C">
        <w:rPr>
          <w:shd w:val="clear" w:color="auto" w:fill="FFFFFF"/>
        </w:rPr>
        <w:t>.</w:t>
      </w:r>
      <w:r w:rsidRPr="001D550B" w:rsidR="00D3437C">
        <w:rPr>
          <w:bdr w:val="none" w:sz="0" w:space="0" w:color="auto" w:frame="1"/>
          <w:shd w:val="clear" w:color="auto" w:fill="FFFFFF"/>
        </w:rPr>
        <w:t>45</w:t>
      </w:r>
      <w:r w:rsidRPr="00BC4322" w:rsidR="00D3437C">
        <w:rPr>
          <w:bdr w:val="none" w:sz="0" w:space="0" w:color="auto" w:frame="1"/>
          <w:shd w:val="clear" w:color="auto" w:fill="FFFFFF"/>
        </w:rPr>
        <w:t xml:space="preserve">; </w:t>
      </w:r>
      <w:r w:rsidRPr="00E20DB4">
        <w:rPr>
          <w:i/>
          <w:iCs/>
          <w:bdr w:val="none" w:sz="0" w:space="0" w:color="auto" w:frame="1"/>
        </w:rPr>
        <w:t>Reier</w:t>
      </w:r>
      <w:r w:rsidRPr="00E20DB4">
        <w:rPr>
          <w:i/>
          <w:iCs/>
          <w:bdr w:val="none" w:sz="0" w:space="0" w:color="auto" w:frame="1"/>
        </w:rPr>
        <w:t xml:space="preserve"> Broad. Co., Inc.</w:t>
      </w:r>
      <w:r w:rsidRPr="00E20DB4">
        <w:t xml:space="preserve">, </w:t>
      </w:r>
      <w:r w:rsidRPr="00BC4322">
        <w:rPr>
          <w:shd w:val="clear" w:color="auto" w:fill="FFFFFF"/>
        </w:rPr>
        <w:t xml:space="preserve">Memorandum Opinion and Order and Notice of Apparent Liability for Forfeiture, </w:t>
      </w:r>
      <w:r w:rsidRPr="00E20DB4">
        <w:t xml:space="preserve">26 FCC </w:t>
      </w:r>
      <w:r w:rsidRPr="00E20DB4">
        <w:t>Rcd</w:t>
      </w:r>
      <w:r w:rsidRPr="00E20DB4">
        <w:t xml:space="preserve"> 14270, 14270</w:t>
      </w:r>
      <w:r w:rsidRPr="00BC4322">
        <w:t>, para. 1, n</w:t>
      </w:r>
      <w:r w:rsidRPr="00BC4322" w:rsidR="006F64C6">
        <w:t>.</w:t>
      </w:r>
      <w:r w:rsidRPr="00BC4322">
        <w:t xml:space="preserve"> 4</w:t>
      </w:r>
      <w:r w:rsidRPr="00E20DB4">
        <w:t xml:space="preserve"> (</w:t>
      </w:r>
      <w:r w:rsidRPr="00BC4322" w:rsidR="006F64C6">
        <w:t xml:space="preserve">MB </w:t>
      </w:r>
      <w:r w:rsidRPr="00E20DB4">
        <w:t>2011)</w:t>
      </w:r>
      <w:r w:rsidRPr="00BC4322">
        <w:t xml:space="preserve"> (</w:t>
      </w:r>
      <w:r w:rsidRPr="00BC4322" w:rsidR="00680D34">
        <w:t>dismissing</w:t>
      </w:r>
      <w:r w:rsidRPr="00BC4322">
        <w:t xml:space="preserve"> petitioner’s Motion to Dismiss as an unauthorized pleading). </w:t>
      </w:r>
    </w:p>
  </w:footnote>
  <w:footnote w:id="6">
    <w:p w:rsidR="00CB5F08" w:rsidRPr="00BC4322" w:rsidP="00CB5F08" w14:paraId="142C8395" w14:textId="6A3D23D1">
      <w:pPr>
        <w:pStyle w:val="FootnoteText"/>
      </w:pPr>
      <w:r w:rsidRPr="00BC4322">
        <w:rPr>
          <w:rStyle w:val="FootnoteReference"/>
          <w:rFonts w:ascii="Times New Roman" w:hAnsi="Times New Roman"/>
        </w:rPr>
        <w:footnoteRef/>
      </w:r>
      <w:r w:rsidRPr="00BC4322">
        <w:t xml:space="preserve"> </w:t>
      </w:r>
      <w:r w:rsidRPr="00BC4322">
        <w:rPr>
          <w:i/>
          <w:iCs/>
        </w:rPr>
        <w:t>Media Bureau Announces NCE FM New Station Application Filing Window; Window Open from November 2, 2021, to November 9, 2021</w:t>
      </w:r>
      <w:r w:rsidRPr="00BC4322">
        <w:t xml:space="preserve">, MB Docket No. 20-343, Public Notice, </w:t>
      </w:r>
      <w:r w:rsidR="009A48F5">
        <w:rPr>
          <w:shd w:val="clear" w:color="auto" w:fill="FFFFFF"/>
        </w:rPr>
        <w:t>36</w:t>
      </w:r>
      <w:r w:rsidRPr="00BC4322">
        <w:rPr>
          <w:shd w:val="clear" w:color="auto" w:fill="FFFFFF"/>
        </w:rPr>
        <w:t xml:space="preserve"> </w:t>
      </w:r>
      <w:r w:rsidR="00F9187B">
        <w:rPr>
          <w:shd w:val="clear" w:color="auto" w:fill="FFFFFF"/>
        </w:rPr>
        <w:t xml:space="preserve">FCC </w:t>
      </w:r>
      <w:r w:rsidR="00F9187B">
        <w:rPr>
          <w:shd w:val="clear" w:color="auto" w:fill="FFFFFF"/>
        </w:rPr>
        <w:t>Rcd</w:t>
      </w:r>
      <w:r w:rsidR="00F9187B">
        <w:rPr>
          <w:shd w:val="clear" w:color="auto" w:fill="FFFFFF"/>
        </w:rPr>
        <w:t xml:space="preserve"> 11458</w:t>
      </w:r>
      <w:r w:rsidRPr="00BC4322" w:rsidR="00E56A91">
        <w:rPr>
          <w:shd w:val="clear" w:color="auto" w:fill="FFFFFF"/>
        </w:rPr>
        <w:t xml:space="preserve"> </w:t>
      </w:r>
      <w:r w:rsidRPr="00BC4322">
        <w:rPr>
          <w:shd w:val="clear" w:color="auto" w:fill="FFFFFF"/>
        </w:rPr>
        <w:t>(</w:t>
      </w:r>
      <w:r w:rsidRPr="00BC4322" w:rsidR="00B5705F">
        <w:rPr>
          <w:snapToGrid/>
        </w:rPr>
        <w:t>MB 2021</w:t>
      </w:r>
      <w:r w:rsidRPr="00BC4322">
        <w:t>)</w:t>
      </w:r>
      <w:r w:rsidRPr="00BC4322" w:rsidR="00B5705F">
        <w:t xml:space="preserve"> (</w:t>
      </w:r>
      <w:r w:rsidRPr="00BC4322" w:rsidR="00B5705F">
        <w:rPr>
          <w:i/>
          <w:iCs/>
        </w:rPr>
        <w:t>Procedures Public Notice</w:t>
      </w:r>
      <w:r w:rsidRPr="00BC4322" w:rsidR="00B5705F">
        <w:t>)</w:t>
      </w:r>
      <w:r w:rsidRPr="00BC4322">
        <w:t>.</w:t>
      </w:r>
    </w:p>
  </w:footnote>
  <w:footnote w:id="7">
    <w:p w:rsidR="001647E0" w:rsidRPr="00BC4322" w:rsidP="001647E0" w14:paraId="5E73DA41" w14:textId="3842F9CB">
      <w:pPr>
        <w:pStyle w:val="FootnoteText"/>
      </w:pPr>
      <w:r w:rsidRPr="00BC4322">
        <w:rPr>
          <w:rStyle w:val="FootnoteReference"/>
          <w:rFonts w:ascii="Times New Roman" w:hAnsi="Times New Roman"/>
        </w:rPr>
        <w:footnoteRef/>
      </w:r>
      <w:r w:rsidRPr="00BC4322">
        <w:t xml:space="preserve"> </w:t>
      </w:r>
      <w:r w:rsidRPr="00BC4322">
        <w:rPr>
          <w:i/>
          <w:iCs/>
        </w:rPr>
        <w:t>See Comparative Consideration MO&amp;O</w:t>
      </w:r>
      <w:r w:rsidRPr="00BC4322">
        <w:t xml:space="preserve"> at *7, paras. 25-26. </w:t>
      </w:r>
    </w:p>
  </w:footnote>
  <w:footnote w:id="8">
    <w:p w:rsidR="00EE06C1" w:rsidRPr="00BC4322" w:rsidP="00EE06C1" w14:paraId="1125717B" w14:textId="39A8EA47">
      <w:pPr>
        <w:pStyle w:val="FootnoteText"/>
      </w:pPr>
      <w:r w:rsidRPr="00BC4322">
        <w:rPr>
          <w:rStyle w:val="FootnoteReference"/>
          <w:rFonts w:ascii="Times New Roman" w:hAnsi="Times New Roman"/>
        </w:rPr>
        <w:footnoteRef/>
      </w:r>
      <w:r w:rsidRPr="00BC4322">
        <w:t xml:space="preserve"> </w:t>
      </w:r>
      <w:r w:rsidRPr="00BC4322">
        <w:rPr>
          <w:i/>
          <w:iCs/>
        </w:rPr>
        <w:t>Id</w:t>
      </w:r>
      <w:r w:rsidRPr="00BC4322">
        <w:t>.</w:t>
      </w:r>
      <w:r w:rsidR="00C64CF9">
        <w:t xml:space="preserve">  Proposals are considered comparable if neither exceeds the other by at least 5,000 people.</w:t>
      </w:r>
      <w:r w:rsidRPr="00BC4322">
        <w:t xml:space="preserve"> </w:t>
      </w:r>
    </w:p>
  </w:footnote>
  <w:footnote w:id="9">
    <w:p w:rsidR="00986A7F" w:rsidRPr="00BC4322" w14:paraId="7ED76B18" w14:textId="1BBD15B0">
      <w:pPr>
        <w:pStyle w:val="FootnoteText"/>
      </w:pPr>
      <w:r w:rsidRPr="00BC4322">
        <w:rPr>
          <w:rStyle w:val="FootnoteReference"/>
          <w:rFonts w:ascii="Times New Roman" w:hAnsi="Times New Roman"/>
        </w:rPr>
        <w:footnoteRef/>
      </w:r>
      <w:r w:rsidRPr="00BC4322">
        <w:t xml:space="preserve"> </w:t>
      </w:r>
      <w:r w:rsidRPr="00BC4322">
        <w:rPr>
          <w:i/>
          <w:iCs/>
        </w:rPr>
        <w:t>Id</w:t>
      </w:r>
      <w:r w:rsidRPr="00BC4322">
        <w:t>.</w:t>
      </w:r>
    </w:p>
  </w:footnote>
  <w:footnote w:id="10">
    <w:p w:rsidR="00CB5F08" w:rsidRPr="00BC4322" w:rsidP="00CB5F08" w14:paraId="7429AB1B" w14:textId="4CE84E21">
      <w:pPr>
        <w:pStyle w:val="FootnoteText"/>
      </w:pPr>
      <w:r w:rsidRPr="00BC4322">
        <w:rPr>
          <w:rStyle w:val="FootnoteReference"/>
          <w:rFonts w:ascii="Times New Roman" w:hAnsi="Times New Roman"/>
        </w:rPr>
        <w:footnoteRef/>
      </w:r>
      <w:r w:rsidRPr="00BC4322">
        <w:t xml:space="preserve"> </w:t>
      </w:r>
      <w:r w:rsidRPr="00BC4322">
        <w:rPr>
          <w:i/>
          <w:iCs/>
        </w:rPr>
        <w:t>Id</w:t>
      </w:r>
      <w:r w:rsidRPr="00BC4322">
        <w:t xml:space="preserve">. </w:t>
      </w:r>
    </w:p>
  </w:footnote>
  <w:footnote w:id="11">
    <w:p w:rsidR="00710747" w:rsidRPr="00BC4322" w:rsidP="00710747" w14:paraId="7E9C5ACF" w14:textId="77777777">
      <w:pPr>
        <w:pStyle w:val="FootnoteText"/>
      </w:pPr>
      <w:r w:rsidRPr="00BC4322">
        <w:rPr>
          <w:rStyle w:val="FootnoteReference"/>
          <w:rFonts w:ascii="Times New Roman" w:hAnsi="Times New Roman"/>
        </w:rPr>
        <w:footnoteRef/>
      </w:r>
      <w:r w:rsidRPr="00BC4322">
        <w:t xml:space="preserve"> Petition at 4-5.</w:t>
      </w:r>
      <w:r w:rsidRPr="00BC4322">
        <w:rPr>
          <w:i/>
          <w:iCs/>
        </w:rPr>
        <w:t xml:space="preserve"> </w:t>
      </w:r>
      <w:r w:rsidRPr="00BC4322">
        <w:t xml:space="preserve"> </w:t>
      </w:r>
    </w:p>
  </w:footnote>
  <w:footnote w:id="12">
    <w:p w:rsidR="00640853" w:rsidRPr="00BC4322" w14:paraId="57E9DEBD" w14:textId="27094CA7">
      <w:pPr>
        <w:pStyle w:val="FootnoteText"/>
      </w:pPr>
      <w:r w:rsidRPr="00BC4322">
        <w:rPr>
          <w:rStyle w:val="FootnoteReference"/>
          <w:rFonts w:ascii="Times New Roman" w:hAnsi="Times New Roman"/>
        </w:rPr>
        <w:footnoteRef/>
      </w:r>
      <w:r w:rsidRPr="00BC4322">
        <w:t xml:space="preserve"> </w:t>
      </w:r>
      <w:r w:rsidRPr="00AE4B89">
        <w:rPr>
          <w:i/>
          <w:iCs/>
        </w:rPr>
        <w:t>Id.</w:t>
      </w:r>
      <w:r w:rsidRPr="00BC4322">
        <w:t xml:space="preserve"> at 5. </w:t>
      </w:r>
    </w:p>
  </w:footnote>
  <w:footnote w:id="13">
    <w:p w:rsidR="004F290B" w:rsidRPr="00BC4322" w:rsidP="004F290B" w14:paraId="07836566" w14:textId="77777777">
      <w:pPr>
        <w:pStyle w:val="FootnoteText"/>
      </w:pPr>
      <w:r w:rsidRPr="00BC4322">
        <w:rPr>
          <w:rStyle w:val="FootnoteReference"/>
          <w:rFonts w:ascii="Times New Roman" w:hAnsi="Times New Roman"/>
        </w:rPr>
        <w:footnoteRef/>
      </w:r>
      <w:r w:rsidRPr="00BC4322">
        <w:t xml:space="preserve"> </w:t>
      </w:r>
      <w:r w:rsidRPr="00BC4322">
        <w:rPr>
          <w:i/>
          <w:iCs/>
        </w:rPr>
        <w:t>Id.</w:t>
      </w:r>
      <w:r w:rsidRPr="00BC4322">
        <w:t xml:space="preserve">  </w:t>
      </w:r>
    </w:p>
  </w:footnote>
  <w:footnote w:id="14">
    <w:p w:rsidR="00710747" w:rsidRPr="00BC4322" w:rsidP="00710747" w14:paraId="324C033A" w14:textId="58B62A67">
      <w:pPr>
        <w:pStyle w:val="FootnoteText"/>
      </w:pPr>
      <w:r w:rsidRPr="00BC4322">
        <w:rPr>
          <w:rStyle w:val="FootnoteReference"/>
          <w:rFonts w:ascii="Times New Roman" w:hAnsi="Times New Roman"/>
        </w:rPr>
        <w:footnoteRef/>
      </w:r>
      <w:r w:rsidRPr="00BC4322">
        <w:t xml:space="preserve"> </w:t>
      </w:r>
      <w:r w:rsidRPr="00BC4322">
        <w:rPr>
          <w:i/>
          <w:iCs/>
        </w:rPr>
        <w:t>Id</w:t>
      </w:r>
      <w:r w:rsidRPr="00BC4322">
        <w:t xml:space="preserve">. at 5. </w:t>
      </w:r>
    </w:p>
  </w:footnote>
  <w:footnote w:id="15">
    <w:p w:rsidR="00640853" w:rsidRPr="00BC4322" w14:paraId="2C125EDE" w14:textId="4E17FD28">
      <w:pPr>
        <w:pStyle w:val="FootnoteText"/>
      </w:pPr>
      <w:r w:rsidRPr="00BC4322">
        <w:rPr>
          <w:rStyle w:val="FootnoteReference"/>
          <w:rFonts w:ascii="Times New Roman" w:hAnsi="Times New Roman"/>
        </w:rPr>
        <w:footnoteRef/>
      </w:r>
      <w:r w:rsidRPr="00BC4322">
        <w:t xml:space="preserve"> Id. at 5-6.</w:t>
      </w:r>
    </w:p>
  </w:footnote>
  <w:footnote w:id="16">
    <w:p w:rsidR="00710747" w:rsidRPr="00BC4322" w:rsidP="00710747" w14:paraId="2924A2E3" w14:textId="04F2FE96">
      <w:pPr>
        <w:pStyle w:val="FootnoteText"/>
      </w:pPr>
      <w:r w:rsidRPr="00BC4322">
        <w:rPr>
          <w:rStyle w:val="FootnoteReference"/>
          <w:rFonts w:ascii="Times New Roman" w:hAnsi="Times New Roman"/>
        </w:rPr>
        <w:footnoteRef/>
      </w:r>
      <w:r w:rsidRPr="00BC4322">
        <w:t xml:space="preserve"> </w:t>
      </w:r>
      <w:r w:rsidRPr="00BC4322">
        <w:rPr>
          <w:i/>
          <w:iCs/>
        </w:rPr>
        <w:t>Id</w:t>
      </w:r>
      <w:r w:rsidRPr="00BC4322">
        <w:t>.</w:t>
      </w:r>
      <w:r w:rsidRPr="00BC4322" w:rsidR="00640853">
        <w:t xml:space="preserve"> at 6.</w:t>
      </w:r>
    </w:p>
  </w:footnote>
  <w:footnote w:id="17">
    <w:p w:rsidR="00710747" w:rsidRPr="00BC4322" w:rsidP="00710747" w14:paraId="7D89A322" w14:textId="7A8C3C0A">
      <w:pPr>
        <w:pStyle w:val="FootnoteText"/>
      </w:pPr>
      <w:r w:rsidRPr="00BC4322">
        <w:rPr>
          <w:rStyle w:val="FootnoteReference"/>
          <w:rFonts w:ascii="Times New Roman" w:hAnsi="Times New Roman"/>
        </w:rPr>
        <w:footnoteRef/>
      </w:r>
      <w:r w:rsidRPr="00BC4322">
        <w:t xml:space="preserve"> </w:t>
      </w:r>
      <w:r w:rsidRPr="00BC4322">
        <w:rPr>
          <w:i/>
          <w:iCs/>
        </w:rPr>
        <w:t>Id</w:t>
      </w:r>
      <w:r w:rsidRPr="00BC4322">
        <w:t xml:space="preserve">. at </w:t>
      </w:r>
      <w:r w:rsidRPr="00BC4322" w:rsidR="00640853">
        <w:t>6</w:t>
      </w:r>
      <w:r w:rsidRPr="00BC4322">
        <w:t xml:space="preserve">-8. </w:t>
      </w:r>
    </w:p>
  </w:footnote>
  <w:footnote w:id="18">
    <w:p w:rsidR="00710747" w:rsidRPr="00BC4322" w:rsidP="00710747" w14:paraId="24444E8B" w14:textId="174849CF">
      <w:pPr>
        <w:pStyle w:val="FootnoteText"/>
      </w:pPr>
      <w:r w:rsidRPr="00BC4322">
        <w:rPr>
          <w:rStyle w:val="FootnoteReference"/>
          <w:rFonts w:ascii="Times New Roman" w:hAnsi="Times New Roman"/>
        </w:rPr>
        <w:footnoteRef/>
      </w:r>
      <w:r w:rsidRPr="00BC4322">
        <w:t xml:space="preserve"> </w:t>
      </w:r>
      <w:r w:rsidRPr="00BC4322">
        <w:rPr>
          <w:i/>
          <w:iCs/>
        </w:rPr>
        <w:t>Id</w:t>
      </w:r>
      <w:r w:rsidRPr="00BC4322">
        <w:t>. at 8</w:t>
      </w:r>
      <w:r w:rsidRPr="00BC4322" w:rsidR="00640853">
        <w:t>-9</w:t>
      </w:r>
      <w:r w:rsidRPr="00BC4322">
        <w:t xml:space="preserve">. </w:t>
      </w:r>
    </w:p>
  </w:footnote>
  <w:footnote w:id="19">
    <w:p w:rsidR="00CF6E0C" w:rsidRPr="00BC4322" w14:paraId="1E431A7A" w14:textId="57334473">
      <w:pPr>
        <w:pStyle w:val="FootnoteText"/>
      </w:pPr>
      <w:r w:rsidRPr="00BC4322">
        <w:rPr>
          <w:rStyle w:val="FootnoteReference"/>
          <w:rFonts w:ascii="Times New Roman" w:hAnsi="Times New Roman"/>
        </w:rPr>
        <w:footnoteRef/>
      </w:r>
      <w:r w:rsidRPr="00BC4322">
        <w:t xml:space="preserve"> Opposition at 2-5. </w:t>
      </w:r>
      <w:r w:rsidR="000652F1">
        <w:t xml:space="preserve"> </w:t>
      </w:r>
      <w:r w:rsidRPr="00BC4322" w:rsidR="00A2376A">
        <w:t>SAC also notes that the SAC Application listed “0” as SAC’s number of existing authorizations.</w:t>
      </w:r>
    </w:p>
  </w:footnote>
  <w:footnote w:id="20">
    <w:p w:rsidR="00CF6E0C" w:rsidRPr="00BC4322" w:rsidP="00CF6E0C" w14:paraId="4DDABCB4" w14:textId="314E457A">
      <w:pPr>
        <w:pStyle w:val="FootnoteText"/>
      </w:pPr>
      <w:r w:rsidRPr="00BC4322">
        <w:rPr>
          <w:rStyle w:val="FootnoteReference"/>
          <w:rFonts w:ascii="Times New Roman" w:hAnsi="Times New Roman"/>
        </w:rPr>
        <w:footnoteRef/>
      </w:r>
      <w:r w:rsidRPr="00BC4322">
        <w:t xml:space="preserve"> Opposition at 5-6.</w:t>
      </w:r>
      <w:r w:rsidRPr="00BC4322" w:rsidR="00CF7A44">
        <w:t xml:space="preserve">  </w:t>
      </w:r>
    </w:p>
  </w:footnote>
  <w:footnote w:id="21">
    <w:p w:rsidR="00CF6E0C" w:rsidRPr="00BC4322" w:rsidP="00CF6E0C" w14:paraId="1ECF697F" w14:textId="77777777">
      <w:pPr>
        <w:pStyle w:val="FootnoteText"/>
      </w:pPr>
      <w:r w:rsidRPr="00BC4322">
        <w:rPr>
          <w:rStyle w:val="FootnoteReference"/>
          <w:rFonts w:ascii="Times New Roman" w:hAnsi="Times New Roman"/>
        </w:rPr>
        <w:footnoteRef/>
      </w:r>
      <w:r w:rsidRPr="00BC4322">
        <w:t xml:space="preserve"> </w:t>
      </w:r>
      <w:r w:rsidRPr="00BC4322">
        <w:rPr>
          <w:i/>
          <w:iCs/>
        </w:rPr>
        <w:t>Id</w:t>
      </w:r>
      <w:r w:rsidRPr="00BC4322">
        <w:t xml:space="preserve">. at 16. </w:t>
      </w:r>
    </w:p>
  </w:footnote>
  <w:footnote w:id="22">
    <w:p w:rsidR="00CF6E0C" w:rsidRPr="00BC4322" w:rsidP="00CF6E0C" w14:paraId="160EF119" w14:textId="77777777">
      <w:pPr>
        <w:pStyle w:val="FootnoteText"/>
      </w:pPr>
      <w:r w:rsidRPr="00BC4322">
        <w:rPr>
          <w:rStyle w:val="FootnoteReference"/>
          <w:rFonts w:ascii="Times New Roman" w:hAnsi="Times New Roman"/>
        </w:rPr>
        <w:footnoteRef/>
      </w:r>
      <w:r w:rsidRPr="00BC4322">
        <w:t xml:space="preserve"> </w:t>
      </w:r>
      <w:r w:rsidRPr="00BC4322">
        <w:rPr>
          <w:i/>
          <w:iCs/>
        </w:rPr>
        <w:t>Id</w:t>
      </w:r>
      <w:r w:rsidRPr="00BC4322">
        <w:t xml:space="preserve">. at 7. </w:t>
      </w:r>
    </w:p>
  </w:footnote>
  <w:footnote w:id="23">
    <w:p w:rsidR="00A522B6" w:rsidRPr="00BC4322" w14:paraId="3C6B465B" w14:textId="6725C772">
      <w:pPr>
        <w:pStyle w:val="FootnoteText"/>
      </w:pPr>
      <w:r w:rsidRPr="00BC4322">
        <w:rPr>
          <w:rStyle w:val="FootnoteReference"/>
          <w:rFonts w:ascii="Times New Roman" w:hAnsi="Times New Roman"/>
        </w:rPr>
        <w:footnoteRef/>
      </w:r>
      <w:r w:rsidRPr="00BC4322">
        <w:t xml:space="preserve"> </w:t>
      </w:r>
      <w:r w:rsidRPr="00BC4322" w:rsidR="00321127">
        <w:rPr>
          <w:i/>
          <w:iCs/>
        </w:rPr>
        <w:t>Id</w:t>
      </w:r>
      <w:r w:rsidRPr="00BC4322" w:rsidR="00321127">
        <w:t>. at 16.</w:t>
      </w:r>
    </w:p>
  </w:footnote>
  <w:footnote w:id="24">
    <w:p w:rsidR="00640853" w:rsidRPr="001F59B6" w:rsidP="00640853" w14:paraId="51EC1A85" w14:textId="3D692CC4">
      <w:pPr>
        <w:pStyle w:val="FootnoteText"/>
      </w:pPr>
      <w:r w:rsidRPr="00BC4322">
        <w:rPr>
          <w:rStyle w:val="FootnoteReference"/>
          <w:rFonts w:ascii="Times New Roman" w:hAnsi="Times New Roman"/>
        </w:rPr>
        <w:footnoteRef/>
      </w:r>
      <w:r w:rsidRPr="00BC4322">
        <w:t xml:space="preserve"> </w:t>
      </w:r>
      <w:r w:rsidRPr="00D8460B">
        <w:rPr>
          <w:i/>
          <w:iCs/>
        </w:rPr>
        <w:t>Id</w:t>
      </w:r>
      <w:r w:rsidRPr="00BC4322">
        <w:t>. at 10.</w:t>
      </w:r>
      <w:r w:rsidR="001F59B6">
        <w:t xml:space="preserve">  Subsequently, o</w:t>
      </w:r>
      <w:r w:rsidRPr="00D8460B" w:rsidR="001F59B6">
        <w:t xml:space="preserve">n November 7, 2022, SAC notified the Commission that </w:t>
      </w:r>
      <w:r w:rsidR="001F59B6">
        <w:t>its</w:t>
      </w:r>
      <w:r w:rsidRPr="00D8460B" w:rsidR="001F59B6">
        <w:t xml:space="preserve"> public notice ran continuously from October 4, 2022</w:t>
      </w:r>
      <w:r w:rsidR="00D8460B">
        <w:t>,</w:t>
      </w:r>
      <w:r w:rsidRPr="00D8460B" w:rsidR="001F59B6">
        <w:t xml:space="preserve"> to November 7, 2022</w:t>
      </w:r>
      <w:r w:rsidR="001F59B6">
        <w:t xml:space="preserve">.  </w:t>
      </w:r>
      <w:r w:rsidRPr="00BC4322" w:rsidR="001F59B6">
        <w:rPr>
          <w:i/>
          <w:iCs/>
        </w:rPr>
        <w:t>See</w:t>
      </w:r>
      <w:r w:rsidRPr="00BC4322" w:rsidR="001F59B6">
        <w:t xml:space="preserve"> Pleading File No. </w:t>
      </w:r>
      <w:r w:rsidRPr="00BC4322" w:rsidR="001F59B6">
        <w:rPr>
          <w:shd w:val="clear" w:color="auto" w:fill="FFFFFF"/>
        </w:rPr>
        <w:t>0000203323 (filed Nov. 7, 2022)</w:t>
      </w:r>
      <w:r w:rsidR="001F59B6">
        <w:rPr>
          <w:shd w:val="clear" w:color="auto" w:fill="FFFFFF"/>
        </w:rPr>
        <w:t xml:space="preserve"> (</w:t>
      </w:r>
      <w:r w:rsidR="001F59B6">
        <w:rPr>
          <w:i/>
          <w:iCs/>
          <w:shd w:val="clear" w:color="auto" w:fill="FFFFFF"/>
        </w:rPr>
        <w:t>November Public Notice Letter</w:t>
      </w:r>
      <w:r w:rsidR="001F59B6">
        <w:rPr>
          <w:shd w:val="clear" w:color="auto" w:fill="FFFFFF"/>
        </w:rPr>
        <w:t>)</w:t>
      </w:r>
      <w:r w:rsidRPr="00BC4322" w:rsidR="001F59B6">
        <w:rPr>
          <w:shd w:val="clear" w:color="auto" w:fill="FFFFFF"/>
        </w:rPr>
        <w:t>.</w:t>
      </w:r>
      <w:r w:rsidRPr="001F59B6">
        <w:t xml:space="preserve"> </w:t>
      </w:r>
    </w:p>
  </w:footnote>
  <w:footnote w:id="25">
    <w:p w:rsidR="00A17832" w:rsidRPr="00BC4322" w:rsidP="00A17832" w14:paraId="1E1E9524" w14:textId="77777777">
      <w:pPr>
        <w:pStyle w:val="FootnoteText"/>
      </w:pPr>
      <w:r w:rsidRPr="00BC4322">
        <w:rPr>
          <w:rStyle w:val="FootnoteReference"/>
          <w:rFonts w:ascii="Times New Roman" w:hAnsi="Times New Roman"/>
        </w:rPr>
        <w:footnoteRef/>
      </w:r>
      <w:r w:rsidRPr="00BC4322">
        <w:t xml:space="preserve"> </w:t>
      </w:r>
      <w:r w:rsidRPr="00D8460B">
        <w:rPr>
          <w:i/>
          <w:iCs/>
        </w:rPr>
        <w:t>Id.</w:t>
      </w:r>
      <w:r w:rsidRPr="00BC4322">
        <w:t xml:space="preserve"> at 9. </w:t>
      </w:r>
    </w:p>
  </w:footnote>
  <w:footnote w:id="26">
    <w:p w:rsidR="00640853" w:rsidRPr="00BC4322" w:rsidP="00640853" w14:paraId="69C247A4" w14:textId="77777777">
      <w:pPr>
        <w:pStyle w:val="FootnoteText"/>
      </w:pPr>
      <w:r w:rsidRPr="00BC4322">
        <w:rPr>
          <w:rStyle w:val="FootnoteReference"/>
          <w:rFonts w:ascii="Times New Roman" w:hAnsi="Times New Roman"/>
        </w:rPr>
        <w:footnoteRef/>
      </w:r>
      <w:r w:rsidRPr="00BC4322">
        <w:t xml:space="preserve"> </w:t>
      </w:r>
      <w:r w:rsidRPr="00D8460B">
        <w:rPr>
          <w:i/>
          <w:iCs/>
        </w:rPr>
        <w:t>Id</w:t>
      </w:r>
      <w:r w:rsidRPr="00BC4322">
        <w:t xml:space="preserve">. at 11. </w:t>
      </w:r>
    </w:p>
  </w:footnote>
  <w:footnote w:id="27">
    <w:p w:rsidR="00BA1A50" w:rsidRPr="00BC4322" w14:paraId="15AFDC95" w14:textId="2A14D944">
      <w:pPr>
        <w:pStyle w:val="FootnoteText"/>
      </w:pPr>
      <w:r w:rsidRPr="00BC4322">
        <w:rPr>
          <w:rStyle w:val="FootnoteReference"/>
          <w:rFonts w:ascii="Times New Roman" w:hAnsi="Times New Roman"/>
        </w:rPr>
        <w:footnoteRef/>
      </w:r>
      <w:r w:rsidRPr="00BC4322">
        <w:t xml:space="preserve"> Reply at 5. </w:t>
      </w:r>
    </w:p>
  </w:footnote>
  <w:footnote w:id="28">
    <w:p w:rsidR="00CB033A" w:rsidRPr="00BC4322" w14:paraId="0AD3FAB8" w14:textId="08B2154A">
      <w:pPr>
        <w:pStyle w:val="FootnoteText"/>
      </w:pPr>
      <w:r w:rsidRPr="00BC4322">
        <w:rPr>
          <w:rStyle w:val="FootnoteReference"/>
          <w:rFonts w:ascii="Times New Roman" w:hAnsi="Times New Roman"/>
        </w:rPr>
        <w:footnoteRef/>
      </w:r>
      <w:r w:rsidRPr="00BC4322">
        <w:t xml:space="preserve"> </w:t>
      </w:r>
      <w:r w:rsidRPr="00BC4322">
        <w:rPr>
          <w:i/>
          <w:iCs/>
        </w:rPr>
        <w:t>Id</w:t>
      </w:r>
      <w:r w:rsidRPr="00BC4322">
        <w:t>. at 7.</w:t>
      </w:r>
    </w:p>
  </w:footnote>
  <w:footnote w:id="29">
    <w:p w:rsidR="00CB033A" w:rsidRPr="00BC4322" w14:paraId="524955AE" w14:textId="3E55E744">
      <w:pPr>
        <w:pStyle w:val="FootnoteText"/>
      </w:pPr>
      <w:r w:rsidRPr="00BC4322">
        <w:rPr>
          <w:rStyle w:val="FootnoteReference"/>
          <w:rFonts w:ascii="Times New Roman" w:hAnsi="Times New Roman"/>
        </w:rPr>
        <w:footnoteRef/>
      </w:r>
      <w:r w:rsidRPr="00BC4322">
        <w:t xml:space="preserve"> </w:t>
      </w:r>
      <w:r w:rsidRPr="00BC4322">
        <w:rPr>
          <w:i/>
          <w:iCs/>
        </w:rPr>
        <w:t>Id</w:t>
      </w:r>
      <w:r w:rsidRPr="00BC4322">
        <w:t xml:space="preserve">. at 6. </w:t>
      </w:r>
      <w:r w:rsidR="001F59B6">
        <w:t xml:space="preserve"> </w:t>
      </w:r>
      <w:r w:rsidRPr="00BC4322">
        <w:t xml:space="preserve">VVVI also refutes several arguments contained in </w:t>
      </w:r>
      <w:r w:rsidR="004E6814">
        <w:t xml:space="preserve">the Motion to Strike that is included in </w:t>
      </w:r>
      <w:r w:rsidRPr="00BC4322">
        <w:t xml:space="preserve">SAC’s First Supplement. </w:t>
      </w:r>
      <w:r w:rsidR="001F59B6">
        <w:t xml:space="preserve"> </w:t>
      </w:r>
      <w:r w:rsidRPr="00BC4322">
        <w:t>However, because we have determined that the</w:t>
      </w:r>
      <w:r w:rsidR="004E6814">
        <w:t xml:space="preserve"> Motion to Strike in the</w:t>
      </w:r>
      <w:r w:rsidRPr="00BC4322">
        <w:t xml:space="preserve"> First Supplement is an unauthorized pleading, we do not address these arguments herein.</w:t>
      </w:r>
    </w:p>
  </w:footnote>
  <w:footnote w:id="30">
    <w:p w:rsidR="00CB5F08" w:rsidRPr="00BC4322" w:rsidP="00AB0305" w14:paraId="117D4945" w14:textId="77777777">
      <w:pPr>
        <w:pStyle w:val="FootnoteText"/>
      </w:pPr>
      <w:r w:rsidRPr="00BC4322">
        <w:rPr>
          <w:rStyle w:val="FootnoteReference"/>
          <w:rFonts w:ascii="Times New Roman" w:hAnsi="Times New Roman"/>
        </w:rPr>
        <w:footnoteRef/>
      </w:r>
      <w:r w:rsidRPr="00BC4322">
        <w:t xml:space="preserve"> 47 U.S.C. § 309(d).  </w:t>
      </w:r>
    </w:p>
  </w:footnote>
  <w:footnote w:id="31">
    <w:p w:rsidR="00CB5F08" w:rsidRPr="00BC4322" w:rsidP="00AB0305" w14:paraId="0E709624" w14:textId="77777777">
      <w:pPr>
        <w:autoSpaceDE w:val="0"/>
        <w:autoSpaceDN w:val="0"/>
        <w:adjustRightInd w:val="0"/>
        <w:spacing w:after="120"/>
      </w:pPr>
      <w:r w:rsidRPr="00BC4322">
        <w:rPr>
          <w:rStyle w:val="FootnoteReference"/>
          <w:rFonts w:ascii="Times New Roman" w:hAnsi="Times New Roman"/>
        </w:rPr>
        <w:footnoteRef/>
      </w:r>
      <w:r w:rsidRPr="00BC4322">
        <w:t xml:space="preserve"> </w:t>
      </w:r>
      <w:r w:rsidRPr="00BC4322">
        <w:rPr>
          <w:i/>
          <w:iCs/>
        </w:rPr>
        <w:t xml:space="preserve">See, e.g., </w:t>
      </w:r>
      <w:hyperlink r:id="rId1" w:anchor="co_pp_sp_4493_197" w:history="1">
        <w:r w:rsidRPr="00BC4322">
          <w:rPr>
            <w:i/>
            <w:iCs/>
          </w:rPr>
          <w:t>WWOR-TV, Inc.</w:t>
        </w:r>
        <w:r w:rsidRPr="00BC4322">
          <w:t xml:space="preserve">, Memorandum Opinion and Order, 6 FCC </w:t>
        </w:r>
        <w:r w:rsidRPr="00BC4322">
          <w:t>Rcd</w:t>
        </w:r>
        <w:r w:rsidRPr="00BC4322">
          <w:t xml:space="preserve"> 193, 197 n.10 (1990)</w:t>
        </w:r>
      </w:hyperlink>
      <w:r w:rsidRPr="00BC4322">
        <w:t xml:space="preserve">, </w:t>
      </w:r>
      <w:r w:rsidRPr="00BC4322">
        <w:rPr>
          <w:i/>
          <w:iCs/>
        </w:rPr>
        <w:t xml:space="preserve">aff’d sub nom. </w:t>
      </w:r>
      <w:hyperlink r:id="rId1" w:history="1">
        <w:r w:rsidRPr="00BC4322">
          <w:rPr>
            <w:i/>
            <w:iCs/>
          </w:rPr>
          <w:t>Garden State Broad. L.P. v. FCC</w:t>
        </w:r>
        <w:r w:rsidRPr="00BC4322">
          <w:t>, 996 F. 2d 386 (D.C. Cir. 1993)</w:t>
        </w:r>
      </w:hyperlink>
      <w:r w:rsidRPr="00BC4322">
        <w:t xml:space="preserve">, </w:t>
      </w:r>
      <w:r w:rsidRPr="00BC4322">
        <w:rPr>
          <w:i/>
          <w:iCs/>
        </w:rPr>
        <w:t>rehearing denied</w:t>
      </w:r>
      <w:r w:rsidRPr="00BC4322">
        <w:t xml:space="preserve"> (Sep. 10, 1993); </w:t>
      </w:r>
      <w:hyperlink r:id="rId1" w:anchor="co_pp_sp_350_181" w:history="1">
        <w:r w:rsidRPr="00BC4322">
          <w:rPr>
            <w:i/>
            <w:iCs/>
          </w:rPr>
          <w:t>Gencom</w:t>
        </w:r>
        <w:r w:rsidRPr="00BC4322">
          <w:rPr>
            <w:i/>
            <w:iCs/>
          </w:rPr>
          <w:t>, Inc. v. FCC</w:t>
        </w:r>
        <w:r w:rsidRPr="00BC4322">
          <w:t>, 832 F.2d 171, 181 (D.C. Cir. 1987)</w:t>
        </w:r>
      </w:hyperlink>
      <w:r w:rsidRPr="00BC4322">
        <w:t xml:space="preserve">; </w:t>
      </w:r>
      <w:hyperlink r:id="rId1" w:anchor="co_pp_sp_265_864" w:history="1">
        <w:r w:rsidRPr="00BC4322">
          <w:rPr>
            <w:i/>
            <w:iCs/>
          </w:rPr>
          <w:t>Area Christian Television, Inc.</w:t>
        </w:r>
        <w:r w:rsidRPr="00BC4322">
          <w:t>, Memorandum Opinion and Order, 60 RR 2d 862, 864, para. 6 (1986)</w:t>
        </w:r>
      </w:hyperlink>
      <w:r w:rsidRPr="00BC4322">
        <w:t xml:space="preserve"> (petitions to deny and informal objections must contain adequate and specific factual allegations sufficient to warrant the relief requested).</w:t>
      </w:r>
    </w:p>
  </w:footnote>
  <w:footnote w:id="32">
    <w:p w:rsidR="00B80B74" w:rsidRPr="00BC4322" w14:paraId="21910DFE" w14:textId="203DD290">
      <w:pPr>
        <w:pStyle w:val="FootnoteText"/>
      </w:pPr>
      <w:r w:rsidRPr="00BC4322">
        <w:rPr>
          <w:rStyle w:val="FootnoteReference"/>
          <w:rFonts w:ascii="Times New Roman" w:hAnsi="Times New Roman"/>
        </w:rPr>
        <w:footnoteRef/>
      </w:r>
      <w:r w:rsidRPr="00BC4322">
        <w:t xml:space="preserve"> </w:t>
      </w:r>
      <w:r w:rsidRPr="00BC4322">
        <w:rPr>
          <w:i/>
          <w:iCs/>
        </w:rPr>
        <w:t>See</w:t>
      </w:r>
      <w:r w:rsidRPr="00BC4322">
        <w:t xml:space="preserve"> 47 CFR § 73.7004 (“</w:t>
      </w:r>
      <w:r w:rsidRPr="00BC4322">
        <w:rPr>
          <w:shd w:val="clear" w:color="auto" w:fill="FFFFFF"/>
        </w:rPr>
        <w:t xml:space="preserve">The time for filing such oppositions shall be 10 days from the filing date for petitions to deny”); </w:t>
      </w:r>
      <w:r w:rsidRPr="00BC4322">
        <w:rPr>
          <w:bdr w:val="none" w:sz="0" w:space="0" w:color="auto" w:frame="1"/>
          <w:shd w:val="clear" w:color="auto" w:fill="FFFFFF"/>
        </w:rPr>
        <w:t xml:space="preserve">47 CFR § 1.45(b) </w:t>
      </w:r>
      <w:r w:rsidRPr="00BC4322">
        <w:rPr>
          <w:shd w:val="clear" w:color="auto" w:fill="FFFFFF"/>
        </w:rPr>
        <w:t>(oppositions must be filed with 10 days of a petition to deny).</w:t>
      </w:r>
    </w:p>
  </w:footnote>
  <w:footnote w:id="33">
    <w:p w:rsidR="001D368E" w:rsidRPr="00BC4322" w:rsidP="00392CD5" w14:paraId="422592CC" w14:textId="62C78A39">
      <w:pPr>
        <w:shd w:val="clear" w:color="auto" w:fill="FFFFFF"/>
        <w:spacing w:after="120"/>
        <w:textAlignment w:val="baseline"/>
      </w:pPr>
      <w:r w:rsidRPr="00BC4322">
        <w:rPr>
          <w:rStyle w:val="FootnoteReference"/>
          <w:rFonts w:ascii="Times New Roman" w:hAnsi="Times New Roman"/>
        </w:rPr>
        <w:footnoteRef/>
      </w:r>
      <w:r w:rsidRPr="00BC4322">
        <w:t xml:space="preserve"> </w:t>
      </w:r>
      <w:r w:rsidRPr="00BC4322">
        <w:t xml:space="preserve">Pleading File No. </w:t>
      </w:r>
      <w:hyperlink r:id="rId3" w:history="1">
        <w:r w:rsidRPr="00BC4322">
          <w:t>0000199629</w:t>
        </w:r>
      </w:hyperlink>
      <w:r w:rsidRPr="00BC4322">
        <w:t xml:space="preserve"> </w:t>
      </w:r>
      <w:r w:rsidRPr="00BC4322" w:rsidR="00FC6F0F">
        <w:t>(f</w:t>
      </w:r>
      <w:r w:rsidRPr="00BC4322">
        <w:t xml:space="preserve">iled Sep. 9, 2022). </w:t>
      </w:r>
    </w:p>
  </w:footnote>
  <w:footnote w:id="34">
    <w:p w:rsidR="007D5401" w14:paraId="7E448FE9" w14:textId="11B2381F">
      <w:pPr>
        <w:pStyle w:val="FootnoteText"/>
      </w:pPr>
      <w:r>
        <w:rPr>
          <w:rStyle w:val="FootnoteReference"/>
        </w:rPr>
        <w:footnoteRef/>
      </w:r>
      <w:r>
        <w:t xml:space="preserve"> </w:t>
      </w:r>
      <w:r w:rsidR="007559CF">
        <w:t>First Supplement at 3-4.</w:t>
      </w:r>
    </w:p>
  </w:footnote>
  <w:footnote w:id="35">
    <w:p w:rsidR="007D5401" w14:paraId="4412F46F" w14:textId="573B12B4">
      <w:pPr>
        <w:pStyle w:val="FootnoteText"/>
      </w:pPr>
      <w:r>
        <w:rPr>
          <w:rStyle w:val="FootnoteReference"/>
        </w:rPr>
        <w:footnoteRef/>
      </w:r>
      <w:r>
        <w:t xml:space="preserve"> </w:t>
      </w:r>
      <w:r w:rsidR="00F9187B">
        <w:t xml:space="preserve">Reply at 9-10. </w:t>
      </w:r>
    </w:p>
  </w:footnote>
  <w:footnote w:id="36">
    <w:p w:rsidR="00475140" w:rsidRPr="00BC4322" w:rsidP="00392CD5" w14:paraId="70C69590" w14:textId="063F7108">
      <w:pPr>
        <w:pStyle w:val="FootnoteText"/>
      </w:pPr>
      <w:r w:rsidRPr="00BC4322">
        <w:rPr>
          <w:rStyle w:val="FootnoteReference"/>
          <w:rFonts w:ascii="Times New Roman" w:hAnsi="Times New Roman"/>
        </w:rPr>
        <w:footnoteRef/>
      </w:r>
      <w:r w:rsidRPr="00BC4322">
        <w:t xml:space="preserve"> </w:t>
      </w:r>
      <w:r w:rsidR="006C241F">
        <w:rPr>
          <w:i/>
          <w:iCs/>
        </w:rPr>
        <w:t xml:space="preserve">See, e.g., </w:t>
      </w:r>
      <w:r w:rsidR="0015055F">
        <w:rPr>
          <w:i/>
          <w:iCs/>
          <w:bdr w:val="none" w:sz="0" w:space="0" w:color="auto" w:frame="1"/>
        </w:rPr>
        <w:t>NCE MX Group 52</w:t>
      </w:r>
      <w:r w:rsidRPr="006153F2" w:rsidR="006153F2">
        <w:t xml:space="preserve">, </w:t>
      </w:r>
      <w:r w:rsidRPr="00BC4322" w:rsidR="006153F2">
        <w:t xml:space="preserve">Letter Order, </w:t>
      </w:r>
      <w:r w:rsidRPr="00BC4322">
        <w:t xml:space="preserve">DA </w:t>
      </w:r>
      <w:r w:rsidRPr="00BC4322">
        <w:rPr>
          <w:shd w:val="clear" w:color="auto" w:fill="FFFFFF"/>
        </w:rPr>
        <w:t xml:space="preserve">22-1055, </w:t>
      </w:r>
      <w:r w:rsidRPr="006153F2" w:rsidR="006153F2">
        <w:t>2022 WL 5241760, at *1</w:t>
      </w:r>
      <w:r w:rsidRPr="00BC4322" w:rsidR="006153F2">
        <w:t>, note 4</w:t>
      </w:r>
      <w:r w:rsidRPr="006153F2" w:rsidR="006153F2">
        <w:t xml:space="preserve"> (</w:t>
      </w:r>
      <w:r w:rsidRPr="00BC4322" w:rsidR="006153F2">
        <w:t>MB</w:t>
      </w:r>
      <w:r w:rsidRPr="006153F2" w:rsidR="006153F2">
        <w:t xml:space="preserve"> Oct. 5, 2022)</w:t>
      </w:r>
      <w:r w:rsidRPr="00BC4322" w:rsidR="006153F2">
        <w:t xml:space="preserve">. </w:t>
      </w:r>
    </w:p>
  </w:footnote>
  <w:footnote w:id="37">
    <w:p w:rsidR="00195452" w:rsidRPr="00BC4322" w:rsidP="00392CD5" w14:paraId="3CB566AA" w14:textId="2C4E97B0">
      <w:pPr>
        <w:pStyle w:val="FootnoteText"/>
        <w:rPr>
          <w:shd w:val="clear" w:color="auto" w:fill="FFFFFF"/>
        </w:rPr>
      </w:pPr>
      <w:r w:rsidRPr="00BC4322">
        <w:rPr>
          <w:rStyle w:val="FootnoteReference"/>
          <w:rFonts w:ascii="Times New Roman" w:hAnsi="Times New Roman"/>
        </w:rPr>
        <w:footnoteRef/>
      </w:r>
      <w:r w:rsidRPr="00BC4322">
        <w:t xml:space="preserve"> </w:t>
      </w:r>
      <w:r w:rsidRPr="00BC4322" w:rsidR="00B5705F">
        <w:rPr>
          <w:i/>
          <w:iCs/>
          <w:snapToGrid/>
        </w:rPr>
        <w:t>Procedures Public Notice</w:t>
      </w:r>
      <w:r w:rsidRPr="00BC4322">
        <w:rPr>
          <w:snapToGrid/>
        </w:rPr>
        <w:t xml:space="preserve"> at *6</w:t>
      </w:r>
      <w:r w:rsidRPr="00BC4322" w:rsidR="00E03F67">
        <w:rPr>
          <w:snapToGrid/>
        </w:rPr>
        <w:t>.</w:t>
      </w:r>
    </w:p>
  </w:footnote>
  <w:footnote w:id="38">
    <w:p w:rsidR="001128AB" w:rsidRPr="00BC4322" w14:paraId="40C8804F" w14:textId="4ED22950">
      <w:pPr>
        <w:pStyle w:val="FootnoteText"/>
      </w:pPr>
      <w:r w:rsidRPr="00BC4322">
        <w:rPr>
          <w:rStyle w:val="FootnoteReference"/>
          <w:rFonts w:ascii="Times New Roman" w:hAnsi="Times New Roman"/>
        </w:rPr>
        <w:footnoteRef/>
      </w:r>
      <w:r w:rsidRPr="00BC4322">
        <w:t xml:space="preserve"> </w:t>
      </w:r>
      <w:r w:rsidRPr="00BC4322" w:rsidR="003C3F32">
        <w:rPr>
          <w:i/>
          <w:iCs/>
        </w:rPr>
        <w:t>Schedule 340 Instructions</w:t>
      </w:r>
      <w:r w:rsidRPr="00BC4322" w:rsidR="003F1F47">
        <w:t xml:space="preserve"> at 15. </w:t>
      </w:r>
      <w:r w:rsidRPr="00BC4322" w:rsidR="003C3F32">
        <w:t xml:space="preserve"> </w:t>
      </w:r>
    </w:p>
  </w:footnote>
  <w:footnote w:id="39">
    <w:p w:rsidR="001128AB" w:rsidRPr="00BC4322" w14:paraId="545C899E" w14:textId="00374A28">
      <w:pPr>
        <w:pStyle w:val="FootnoteText"/>
      </w:pPr>
      <w:r w:rsidRPr="00BC4322">
        <w:rPr>
          <w:rStyle w:val="FootnoteReference"/>
          <w:rFonts w:ascii="Times New Roman" w:hAnsi="Times New Roman"/>
        </w:rPr>
        <w:footnoteRef/>
      </w:r>
      <w:r w:rsidRPr="00BC4322">
        <w:t xml:space="preserve"> </w:t>
      </w:r>
      <w:r w:rsidRPr="00BC4322" w:rsidR="00C630DA">
        <w:rPr>
          <w:i/>
          <w:iCs/>
          <w:snapToGrid/>
        </w:rPr>
        <w:t xml:space="preserve">Procedures Public Notice </w:t>
      </w:r>
      <w:r w:rsidRPr="00BC4322" w:rsidR="00C630DA">
        <w:rPr>
          <w:snapToGrid/>
        </w:rPr>
        <w:t xml:space="preserve">at </w:t>
      </w:r>
      <w:r w:rsidRPr="00BC4322" w:rsidR="00070C67">
        <w:rPr>
          <w:snapToGrid/>
        </w:rPr>
        <w:t>*8.</w:t>
      </w:r>
      <w:r w:rsidRPr="00BC4322" w:rsidR="00070C67">
        <w:rPr>
          <w:i/>
          <w:iCs/>
          <w:snapToGrid/>
        </w:rPr>
        <w:t xml:space="preserve"> </w:t>
      </w:r>
    </w:p>
  </w:footnote>
  <w:footnote w:id="40">
    <w:p w:rsidR="008F2D0A" w:rsidRPr="00BC4322" w:rsidP="008F2D0A" w14:paraId="3DA07B84" w14:textId="52417481">
      <w:pPr>
        <w:pStyle w:val="FootnoteText"/>
      </w:pPr>
      <w:r w:rsidRPr="00BC4322">
        <w:rPr>
          <w:rStyle w:val="FootnoteReference"/>
          <w:rFonts w:ascii="Times New Roman" w:hAnsi="Times New Roman"/>
        </w:rPr>
        <w:footnoteRef/>
      </w:r>
      <w:r w:rsidRPr="00BC4322">
        <w:t xml:space="preserve"> </w:t>
      </w:r>
      <w:r w:rsidRPr="00BC4322">
        <w:rPr>
          <w:i/>
          <w:iCs/>
        </w:rPr>
        <w:t>See</w:t>
      </w:r>
      <w:r w:rsidRPr="00BC4322">
        <w:t xml:space="preserve"> </w:t>
      </w:r>
      <w:r w:rsidRPr="00E64869" w:rsidR="006E0CD0">
        <w:rPr>
          <w:i/>
          <w:iCs/>
        </w:rPr>
        <w:t>NCE MX Group 60</w:t>
      </w:r>
      <w:r w:rsidR="006E0CD0">
        <w:t>, Letter Order, DA 22-1109 (MB Oct. 20, 2022)</w:t>
      </w:r>
      <w:r w:rsidR="005142BA">
        <w:t xml:space="preserve"> </w:t>
      </w:r>
      <w:r w:rsidRPr="00BC4322">
        <w:t>(</w:t>
      </w:r>
      <w:r w:rsidR="006E0CD0">
        <w:t xml:space="preserve">affirming </w:t>
      </w:r>
      <w:r w:rsidRPr="00BC4322">
        <w:t>awarding diversity points based on applicant’s certification that it has no attributable interests in any other station</w:t>
      </w:r>
      <w:r w:rsidR="006E0CD0">
        <w:t xml:space="preserve"> even though it did not attach a separate exhibit</w:t>
      </w:r>
      <w:r w:rsidRPr="00BC4322">
        <w:rPr>
          <w:i/>
          <w:iCs/>
        </w:rPr>
        <w:t>); Comparative Consideration MO&amp;O</w:t>
      </w:r>
      <w:r w:rsidRPr="00BC4322">
        <w:t>, at 5-6, para. 11 (“</w:t>
      </w:r>
      <w:r w:rsidRPr="00BC4322">
        <w:rPr>
          <w:snapToGrid/>
          <w:shd w:val="clear" w:color="auto" w:fill="FFFFFF"/>
        </w:rPr>
        <w:t xml:space="preserve">To qualify for the diversity of ownership points, an applicant must submit either a contour map showing no overlap with the proposed NCE FM station, a statement that the applicant holds no attributable interests in any nearby radio stations, or a certification that it holds no attributable interests in any broadcast stations.”). </w:t>
      </w:r>
      <w:r w:rsidR="00DA78D5">
        <w:rPr>
          <w:snapToGrid/>
          <w:shd w:val="clear" w:color="auto" w:fill="FFFFFF"/>
        </w:rPr>
        <w:t xml:space="preserve"> </w:t>
      </w:r>
      <w:r w:rsidRPr="00BC4322" w:rsidR="00936CCD">
        <w:rPr>
          <w:snapToGrid/>
          <w:shd w:val="clear" w:color="auto" w:fill="FFFFFF"/>
        </w:rPr>
        <w:t xml:space="preserve">In its Application, </w:t>
      </w:r>
      <w:r w:rsidRPr="00BC4322" w:rsidR="00936CCD">
        <w:rPr>
          <w:shd w:val="clear" w:color="auto" w:fill="FFFFFF"/>
        </w:rPr>
        <w:t xml:space="preserve">SAC also listed “zero” as its number of existing authorizations.  </w:t>
      </w:r>
    </w:p>
  </w:footnote>
  <w:footnote w:id="41">
    <w:p w:rsidR="000A75C5" w:rsidRPr="00BC4322" w:rsidP="000A75C5" w14:paraId="4B999284" w14:textId="325951E2">
      <w:pPr>
        <w:pStyle w:val="FootnoteText"/>
      </w:pPr>
      <w:r w:rsidRPr="00901FC7">
        <w:rPr>
          <w:rStyle w:val="FootnoteReference"/>
          <w:rFonts w:ascii="Times New Roman" w:hAnsi="Times New Roman"/>
        </w:rPr>
        <w:footnoteRef/>
      </w:r>
      <w:r w:rsidRPr="00901FC7">
        <w:t xml:space="preserve"> </w:t>
      </w:r>
      <w:bookmarkStart w:id="13" w:name="_Hlk75773346"/>
      <w:r w:rsidRPr="00BC4322" w:rsidR="00CC2AA7">
        <w:rPr>
          <w:i/>
          <w:iCs/>
        </w:rPr>
        <w:t xml:space="preserve">See </w:t>
      </w:r>
      <w:r w:rsidRPr="00BC4322" w:rsidR="00CC2AA7">
        <w:t xml:space="preserve">47 CFR § </w:t>
      </w:r>
      <w:r w:rsidRPr="00BC4322">
        <w:t>73.7000</w:t>
      </w:r>
      <w:bookmarkEnd w:id="13"/>
      <w:r w:rsidRPr="00BC4322">
        <w:t xml:space="preserve">.  </w:t>
      </w:r>
    </w:p>
  </w:footnote>
  <w:footnote w:id="42">
    <w:p w:rsidR="000A75C5" w:rsidRPr="00BC4322" w:rsidP="000A75C5" w14:paraId="5D96BC6D" w14:textId="77777777">
      <w:pPr>
        <w:pStyle w:val="FootnoteText"/>
      </w:pPr>
      <w:r w:rsidRPr="00BC4322">
        <w:rPr>
          <w:rStyle w:val="FootnoteReference"/>
          <w:rFonts w:ascii="Times New Roman" w:hAnsi="Times New Roman"/>
        </w:rPr>
        <w:footnoteRef/>
      </w:r>
      <w:r w:rsidRPr="00BC4322">
        <w:t xml:space="preserve"> </w:t>
      </w:r>
      <w:r w:rsidRPr="00BC4322">
        <w:rPr>
          <w:i/>
          <w:iCs/>
        </w:rPr>
        <w:t>See id.</w:t>
      </w:r>
      <w:r w:rsidRPr="00BC4322">
        <w:t xml:space="preserve"> § 73.7003(b)(1).</w:t>
      </w:r>
    </w:p>
  </w:footnote>
  <w:footnote w:id="43">
    <w:p w:rsidR="000A75C5" w:rsidRPr="00BC4322" w:rsidP="000A75C5" w14:paraId="7AC77FB4" w14:textId="49E106F1">
      <w:pPr>
        <w:spacing w:after="120"/>
        <w:outlineLvl w:val="0"/>
        <w:rPr>
          <w:shd w:val="clear" w:color="auto" w:fill="FFFFFF"/>
        </w:rPr>
      </w:pPr>
      <w:r w:rsidRPr="00BC4322">
        <w:rPr>
          <w:rStyle w:val="FootnoteReference"/>
          <w:rFonts w:ascii="Times New Roman" w:hAnsi="Times New Roman"/>
        </w:rPr>
        <w:footnoteRef/>
      </w:r>
      <w:r w:rsidRPr="00BC4322">
        <w:t xml:space="preserve"> </w:t>
      </w:r>
      <w:r w:rsidRPr="00BC4322" w:rsidR="00CC2AA7">
        <w:rPr>
          <w:i/>
          <w:iCs/>
        </w:rPr>
        <w:t xml:space="preserve">See id. </w:t>
      </w:r>
      <w:r w:rsidRPr="00BC4322" w:rsidR="00CC2AA7">
        <w:t xml:space="preserve">§ 73.7000; </w:t>
      </w:r>
      <w:r w:rsidRPr="00BC4322" w:rsidR="00CC2AA7">
        <w:rPr>
          <w:i/>
          <w:iCs/>
        </w:rPr>
        <w:t>Procedures Public Notice</w:t>
      </w:r>
      <w:r w:rsidRPr="00BC4322" w:rsidR="00CC2AA7">
        <w:t xml:space="preserve"> at *5. </w:t>
      </w:r>
    </w:p>
  </w:footnote>
  <w:footnote w:id="44">
    <w:p w:rsidR="000A75C5" w:rsidRPr="00BC4322" w:rsidP="00876A9A" w14:paraId="19E29FEC" w14:textId="5C94B2D8">
      <w:pPr>
        <w:spacing w:after="120"/>
        <w:outlineLvl w:val="0"/>
        <w:rPr>
          <w:shd w:val="clear" w:color="auto" w:fill="FFFFFF"/>
        </w:rPr>
      </w:pPr>
      <w:r w:rsidRPr="00BC4322">
        <w:rPr>
          <w:rStyle w:val="FootnoteReference"/>
          <w:rFonts w:ascii="Times New Roman" w:hAnsi="Times New Roman"/>
        </w:rPr>
        <w:footnoteRef/>
      </w:r>
      <w:r w:rsidRPr="00BC4322">
        <w:t xml:space="preserve"> </w:t>
      </w:r>
      <w:r w:rsidRPr="00BC4322" w:rsidR="00876A9A">
        <w:rPr>
          <w:i/>
          <w:iCs/>
        </w:rPr>
        <w:t>Id.</w:t>
      </w:r>
      <w:r w:rsidRPr="00BC4322" w:rsidR="00876A9A">
        <w:t xml:space="preserve"> at *6. </w:t>
      </w:r>
    </w:p>
  </w:footnote>
  <w:footnote w:id="45">
    <w:p w:rsidR="00CE4060" w:rsidRPr="00BC4322" w:rsidP="00CE4060" w14:paraId="408E5987" w14:textId="77777777">
      <w:pPr>
        <w:pStyle w:val="FootnoteText"/>
      </w:pPr>
      <w:r w:rsidRPr="00BC4322">
        <w:rPr>
          <w:rStyle w:val="FootnoteReference"/>
          <w:rFonts w:ascii="Times New Roman" w:hAnsi="Times New Roman"/>
        </w:rPr>
        <w:footnoteRef/>
      </w:r>
      <w:r w:rsidRPr="00BC4322">
        <w:t xml:space="preserve"> Petition at 5. </w:t>
      </w:r>
    </w:p>
  </w:footnote>
  <w:footnote w:id="46">
    <w:p w:rsidR="00CE4060" w:rsidRPr="00BC4322" w:rsidP="00CE4060" w14:paraId="4F4DD61A" w14:textId="2F442F5B">
      <w:pPr>
        <w:pStyle w:val="FootnoteText"/>
      </w:pPr>
      <w:r w:rsidRPr="00BC4322">
        <w:rPr>
          <w:rStyle w:val="FootnoteReference"/>
          <w:rFonts w:ascii="Times New Roman" w:hAnsi="Times New Roman"/>
        </w:rPr>
        <w:footnoteRef/>
      </w:r>
      <w:r w:rsidRPr="00BC4322">
        <w:t xml:space="preserve"> </w:t>
      </w:r>
      <w:r w:rsidRPr="00BC4322" w:rsidR="00813557">
        <w:rPr>
          <w:i/>
          <w:iCs/>
        </w:rPr>
        <w:t xml:space="preserve">See </w:t>
      </w:r>
      <w:r w:rsidRPr="00BC4322">
        <w:t>Opposition at 16</w:t>
      </w:r>
      <w:r w:rsidRPr="00BC4322" w:rsidR="00813557">
        <w:t xml:space="preserve">, Declaration of Andrea </w:t>
      </w:r>
      <w:r w:rsidRPr="00BC4322" w:rsidR="00813557">
        <w:t>Mox</w:t>
      </w:r>
      <w:r w:rsidRPr="00BC4322" w:rsidR="006247AD">
        <w:t>, Attach. B</w:t>
      </w:r>
      <w:r w:rsidRPr="00BC4322" w:rsidR="00813557">
        <w:t xml:space="preserve">. </w:t>
      </w:r>
    </w:p>
  </w:footnote>
  <w:footnote w:id="47">
    <w:p w:rsidR="00813557" w:rsidRPr="00BC4322" w14:paraId="73B3AF82" w14:textId="67E35D21">
      <w:pPr>
        <w:pStyle w:val="FootnoteText"/>
      </w:pPr>
      <w:r w:rsidRPr="00BC4322">
        <w:rPr>
          <w:rStyle w:val="FootnoteReference"/>
          <w:rFonts w:ascii="Times New Roman" w:hAnsi="Times New Roman"/>
        </w:rPr>
        <w:footnoteRef/>
      </w:r>
      <w:r w:rsidRPr="00BC4322">
        <w:t xml:space="preserve"> </w:t>
      </w:r>
      <w:r w:rsidRPr="00BC4322">
        <w:rPr>
          <w:i/>
          <w:iCs/>
        </w:rPr>
        <w:t>See id</w:t>
      </w:r>
      <w:r w:rsidRPr="00BC4322">
        <w:t xml:space="preserve">. </w:t>
      </w:r>
    </w:p>
  </w:footnote>
  <w:footnote w:id="48">
    <w:p w:rsidR="00CE4060" w:rsidRPr="00BC4322" w:rsidP="00CE4060" w14:paraId="781B8A65" w14:textId="77777777">
      <w:pPr>
        <w:pStyle w:val="FootnoteText"/>
      </w:pPr>
      <w:r w:rsidRPr="00BC4322">
        <w:rPr>
          <w:rStyle w:val="FootnoteReference"/>
          <w:rFonts w:ascii="Times New Roman" w:hAnsi="Times New Roman"/>
        </w:rPr>
        <w:footnoteRef/>
      </w:r>
      <w:r w:rsidRPr="00BC4322">
        <w:t xml:space="preserve"> </w:t>
      </w:r>
      <w:r w:rsidRPr="00BC4322">
        <w:rPr>
          <w:i/>
          <w:iCs/>
        </w:rPr>
        <w:t>See id</w:t>
      </w:r>
      <w:r w:rsidRPr="00BC4322">
        <w:t xml:space="preserve">. at 8. </w:t>
      </w:r>
    </w:p>
  </w:footnote>
  <w:footnote w:id="49">
    <w:p w:rsidR="00CE4060" w:rsidRPr="00BC4322" w:rsidP="00CE4060" w14:paraId="5399348F" w14:textId="4F3E1238">
      <w:pPr>
        <w:pStyle w:val="FootnoteText"/>
      </w:pPr>
      <w:r w:rsidRPr="00BC4322">
        <w:rPr>
          <w:rStyle w:val="FootnoteReference"/>
          <w:rFonts w:ascii="Times New Roman" w:hAnsi="Times New Roman"/>
        </w:rPr>
        <w:footnoteRef/>
      </w:r>
      <w:r w:rsidRPr="00BC4322">
        <w:t xml:space="preserve"> </w:t>
      </w:r>
      <w:r w:rsidRPr="00BC4322">
        <w:rPr>
          <w:i/>
          <w:iCs/>
        </w:rPr>
        <w:t xml:space="preserve">See </w:t>
      </w:r>
      <w:r w:rsidRPr="00BC4322">
        <w:t>Application, Attac</w:t>
      </w:r>
      <w:r w:rsidRPr="00BC4322" w:rsidR="0005159E">
        <w:t>h.</w:t>
      </w:r>
      <w:r w:rsidRPr="00BC4322">
        <w:t>, Distance from Nonprofit Headquarters to Willows, CA.</w:t>
      </w:r>
    </w:p>
  </w:footnote>
  <w:footnote w:id="50">
    <w:p w:rsidR="003961D1" w:rsidRPr="00BC4322" w:rsidP="003961D1" w14:paraId="279031E4" w14:textId="77777777">
      <w:pPr>
        <w:pStyle w:val="FootnoteText"/>
      </w:pPr>
      <w:r w:rsidRPr="00BC4322">
        <w:rPr>
          <w:rStyle w:val="FootnoteReference"/>
          <w:rFonts w:ascii="Times New Roman" w:hAnsi="Times New Roman"/>
        </w:rPr>
        <w:footnoteRef/>
      </w:r>
      <w:r w:rsidRPr="00BC4322">
        <w:t xml:space="preserve"> </w:t>
      </w:r>
      <w:r w:rsidRPr="00BC4322">
        <w:rPr>
          <w:i/>
          <w:iCs/>
        </w:rPr>
        <w:t>Id.</w:t>
      </w:r>
      <w:r w:rsidRPr="00BC4322">
        <w:t xml:space="preserve"> at 6; Reply at 2. </w:t>
      </w:r>
    </w:p>
  </w:footnote>
  <w:footnote w:id="51">
    <w:p w:rsidR="002A0DBB" w:rsidRPr="00BC4322" w:rsidP="002A0DBB" w14:paraId="674900FD" w14:textId="77777777">
      <w:pPr>
        <w:pStyle w:val="FootnoteText"/>
      </w:pPr>
      <w:r w:rsidRPr="00BC4322">
        <w:rPr>
          <w:rStyle w:val="FootnoteReference"/>
          <w:rFonts w:ascii="Times New Roman" w:hAnsi="Times New Roman"/>
        </w:rPr>
        <w:footnoteRef/>
      </w:r>
      <w:r w:rsidRPr="00BC4322">
        <w:t xml:space="preserve"> </w:t>
      </w:r>
      <w:r w:rsidRPr="00BC4322">
        <w:rPr>
          <w:i/>
          <w:iCs/>
        </w:rPr>
        <w:t xml:space="preserve">See </w:t>
      </w:r>
      <w:r w:rsidRPr="00BC4322">
        <w:t xml:space="preserve">Application, Attach., Stonewall Chico Articles Incorporation Original. </w:t>
      </w:r>
    </w:p>
  </w:footnote>
  <w:footnote w:id="52">
    <w:p w:rsidR="007376C5" w:rsidRPr="00BC4322" w:rsidP="007376C5" w14:paraId="77EDF133" w14:textId="2A2BEAD2">
      <w:pPr>
        <w:pStyle w:val="FootnoteText"/>
      </w:pPr>
      <w:r w:rsidRPr="00BC4322">
        <w:rPr>
          <w:rStyle w:val="FootnoteReference"/>
          <w:rFonts w:ascii="Times New Roman" w:hAnsi="Times New Roman"/>
        </w:rPr>
        <w:footnoteRef/>
      </w:r>
      <w:r w:rsidRPr="00BC4322">
        <w:t xml:space="preserve"> </w:t>
      </w:r>
      <w:r w:rsidRPr="00BC4322">
        <w:rPr>
          <w:shd w:val="clear" w:color="auto" w:fill="FFFFFF"/>
        </w:rPr>
        <w:t xml:space="preserve">SAC did not claim to qualify for points by virtue of its local governing board, and therefore was not required to submit residential addresses for the members of its governing board. </w:t>
      </w:r>
    </w:p>
  </w:footnote>
  <w:footnote w:id="53">
    <w:p w:rsidR="008A3FEA" w:rsidRPr="00BC4322" w:rsidP="008A3FEA" w14:paraId="448472C7" w14:textId="77777777">
      <w:pPr>
        <w:pStyle w:val="FootnoteText"/>
      </w:pPr>
      <w:r w:rsidRPr="00BC4322">
        <w:rPr>
          <w:rStyle w:val="FootnoteReference"/>
          <w:rFonts w:ascii="Times New Roman" w:hAnsi="Times New Roman"/>
        </w:rPr>
        <w:footnoteRef/>
      </w:r>
      <w:r w:rsidRPr="00BC4322">
        <w:t xml:space="preserve"> </w:t>
      </w:r>
      <w:r w:rsidRPr="00BC4322">
        <w:rPr>
          <w:i/>
          <w:iCs/>
        </w:rPr>
        <w:t>See</w:t>
      </w:r>
      <w:r w:rsidRPr="00BC4322">
        <w:t xml:space="preserve"> 47 CFR § 73.3527(a)(1), (b)(1); </w:t>
      </w:r>
      <w:r w:rsidRPr="00BC4322">
        <w:rPr>
          <w:i/>
          <w:iCs/>
        </w:rPr>
        <w:t xml:space="preserve">Schedule 340 Instructions </w:t>
      </w:r>
      <w:r w:rsidRPr="00BC4322">
        <w:t>at 3</w:t>
      </w:r>
      <w:r w:rsidRPr="00BC4322">
        <w:rPr>
          <w:i/>
          <w:iCs/>
        </w:rPr>
        <w:t xml:space="preserve"> (“</w:t>
      </w:r>
      <w:r w:rsidRPr="00BC4322">
        <w:t xml:space="preserve">A copy of the completed application and all related documents shall be made available for inspection by the public in the applicant’s public inspection file, pursuant to the requirements of 47 CFR § 73.3527(b)(1). An applicant for a new station or change of community shall maintain its file at an accessible place in the proposed community of license.”). </w:t>
      </w:r>
    </w:p>
  </w:footnote>
  <w:footnote w:id="54">
    <w:p w:rsidR="008A3FEA" w:rsidRPr="00BC4322" w:rsidP="009C0FFA" w14:paraId="15FD7E3C" w14:textId="78A79BD6">
      <w:pPr>
        <w:pStyle w:val="Heading3"/>
        <w:shd w:val="clear" w:color="auto" w:fill="FFFFFF"/>
        <w:spacing w:before="0" w:beforeAutospacing="0" w:after="120" w:afterAutospacing="0"/>
        <w:textAlignment w:val="baseline"/>
        <w:rPr>
          <w:b w:val="0"/>
          <w:bCs w:val="0"/>
          <w:snapToGrid w:val="0"/>
          <w:sz w:val="20"/>
          <w:szCs w:val="20"/>
        </w:rPr>
      </w:pPr>
      <w:r w:rsidRPr="00BC4322">
        <w:rPr>
          <w:rStyle w:val="FootnoteReference"/>
          <w:rFonts w:ascii="Times New Roman" w:hAnsi="Times New Roman"/>
          <w:b w:val="0"/>
          <w:bCs w:val="0"/>
          <w:szCs w:val="20"/>
        </w:rPr>
        <w:footnoteRef/>
      </w:r>
      <w:r w:rsidRPr="00BC4322">
        <w:rPr>
          <w:b w:val="0"/>
          <w:bCs w:val="0"/>
          <w:sz w:val="20"/>
          <w:szCs w:val="20"/>
        </w:rPr>
        <w:t xml:space="preserve"> </w:t>
      </w:r>
      <w:r w:rsidRPr="00BC4322">
        <w:rPr>
          <w:b w:val="0"/>
          <w:bCs w:val="0"/>
          <w:i/>
          <w:iCs/>
          <w:snapToGrid w:val="0"/>
          <w:sz w:val="20"/>
          <w:szCs w:val="20"/>
        </w:rPr>
        <w:t>See</w:t>
      </w:r>
      <w:r w:rsidR="009D013B">
        <w:rPr>
          <w:b w:val="0"/>
          <w:bCs w:val="0"/>
          <w:i/>
          <w:iCs/>
          <w:snapToGrid w:val="0"/>
          <w:sz w:val="20"/>
          <w:szCs w:val="20"/>
        </w:rPr>
        <w:t>, e.g.,</w:t>
      </w:r>
      <w:r w:rsidRPr="00BC4322">
        <w:rPr>
          <w:b w:val="0"/>
          <w:bCs w:val="0"/>
          <w:snapToGrid w:val="0"/>
          <w:sz w:val="20"/>
          <w:szCs w:val="20"/>
        </w:rPr>
        <w:t xml:space="preserve"> </w:t>
      </w:r>
      <w:r w:rsidRPr="00BC4322">
        <w:rPr>
          <w:b w:val="0"/>
          <w:bCs w:val="0"/>
          <w:i/>
          <w:iCs/>
          <w:snapToGrid w:val="0"/>
          <w:sz w:val="20"/>
          <w:szCs w:val="20"/>
        </w:rPr>
        <w:t>Liberty Productions, A Limited Partnership</w:t>
      </w:r>
      <w:r w:rsidRPr="00BC4322">
        <w:rPr>
          <w:b w:val="0"/>
          <w:bCs w:val="0"/>
          <w:snapToGrid w:val="0"/>
          <w:sz w:val="20"/>
          <w:szCs w:val="20"/>
        </w:rPr>
        <w:t xml:space="preserve">, Memorandum Opinion and Order, 16 FCC </w:t>
      </w:r>
      <w:r w:rsidRPr="00BC4322">
        <w:rPr>
          <w:b w:val="0"/>
          <w:bCs w:val="0"/>
          <w:snapToGrid w:val="0"/>
          <w:sz w:val="20"/>
          <w:szCs w:val="20"/>
        </w:rPr>
        <w:t>Rcd</w:t>
      </w:r>
      <w:r w:rsidRPr="00BC4322">
        <w:rPr>
          <w:b w:val="0"/>
          <w:bCs w:val="0"/>
          <w:snapToGrid w:val="0"/>
          <w:sz w:val="20"/>
          <w:szCs w:val="20"/>
        </w:rPr>
        <w:t xml:space="preserve"> 12061, 12079-80 (2001) (“To raise a substantial and material question of deceit, it is necessary to show that the statement was inaccurate or materially incomplete and that there was an intent to deceive.”).</w:t>
      </w:r>
    </w:p>
  </w:footnote>
  <w:footnote w:id="55">
    <w:p w:rsidR="00C011CE" w:rsidP="00C011CE" w14:paraId="41FAA7A1" w14:textId="0771AFD0">
      <w:pPr>
        <w:pStyle w:val="FootnoteText"/>
      </w:pPr>
      <w:r>
        <w:rPr>
          <w:rStyle w:val="FootnoteReference"/>
        </w:rPr>
        <w:footnoteRef/>
      </w:r>
      <w:r>
        <w:t xml:space="preserve"> </w:t>
      </w:r>
      <w:r>
        <w:rPr>
          <w:i/>
          <w:iCs/>
        </w:rPr>
        <w:t xml:space="preserve">See </w:t>
      </w:r>
      <w:r>
        <w:t xml:space="preserve">47 CFR § 73.3527. </w:t>
      </w:r>
    </w:p>
  </w:footnote>
  <w:footnote w:id="56">
    <w:p w:rsidR="007A36BA" w:rsidRPr="00BC4322" w:rsidP="009C0FFA" w14:paraId="48347F23" w14:textId="56A85F19">
      <w:pPr>
        <w:pStyle w:val="FootnoteText"/>
      </w:pPr>
      <w:r w:rsidRPr="00BC4322">
        <w:rPr>
          <w:rStyle w:val="FootnoteReference"/>
          <w:rFonts w:ascii="Times New Roman" w:hAnsi="Times New Roman"/>
        </w:rPr>
        <w:footnoteRef/>
      </w:r>
      <w:r w:rsidRPr="00BC4322">
        <w:t xml:space="preserve"> 47 CFR § 73.3580(c)(1), (b)(2) (iii), (iv). </w:t>
      </w:r>
    </w:p>
  </w:footnote>
  <w:footnote w:id="57">
    <w:p w:rsidR="007A36BA" w:rsidRPr="00BC4322" w:rsidP="00C913B2" w14:paraId="20FE4D8A" w14:textId="2003550D">
      <w:pPr>
        <w:pStyle w:val="FootnoteText"/>
      </w:pPr>
      <w:r w:rsidRPr="00BC4322">
        <w:rPr>
          <w:rStyle w:val="FootnoteReference"/>
          <w:rFonts w:ascii="Times New Roman" w:hAnsi="Times New Roman"/>
        </w:rPr>
        <w:footnoteRef/>
      </w:r>
      <w:r w:rsidRPr="00BC4322">
        <w:t xml:space="preserve"> </w:t>
      </w:r>
      <w:r w:rsidRPr="00BC4322" w:rsidR="004575B4">
        <w:rPr>
          <w:i/>
          <w:iCs/>
        </w:rPr>
        <w:t>Comparative Consideration MO&amp;O</w:t>
      </w:r>
      <w:r w:rsidRPr="00BC4322" w:rsidR="004575B4">
        <w:t xml:space="preserve"> at </w:t>
      </w:r>
      <w:r w:rsidRPr="00BC4322" w:rsidR="005C33FE">
        <w:t xml:space="preserve">*23. </w:t>
      </w:r>
    </w:p>
  </w:footnote>
  <w:footnote w:id="58">
    <w:p w:rsidR="00C913B2" w:rsidRPr="00BC4322" w:rsidP="00C913B2" w14:paraId="59B07C0B" w14:textId="0BA4CDCD">
      <w:pPr>
        <w:autoSpaceDE w:val="0"/>
        <w:autoSpaceDN w:val="0"/>
        <w:adjustRightInd w:val="0"/>
        <w:spacing w:after="120"/>
        <w:rPr>
          <w:shd w:val="clear" w:color="auto" w:fill="FFFFFF"/>
        </w:rPr>
      </w:pPr>
      <w:r w:rsidRPr="00BC4322">
        <w:rPr>
          <w:rStyle w:val="FootnoteReference"/>
          <w:rFonts w:ascii="Times New Roman" w:hAnsi="Times New Roman"/>
        </w:rPr>
        <w:footnoteRef/>
      </w:r>
      <w:r w:rsidRPr="00BC4322">
        <w:t xml:space="preserve"> </w:t>
      </w:r>
      <w:r w:rsidR="00345D26">
        <w:t xml:space="preserve">In the Opposition, SAC states that </w:t>
      </w:r>
      <w:r w:rsidR="003B6899">
        <w:t xml:space="preserve">it “posted a public notice link on the front page of its website as of September 8, 2022.”  </w:t>
      </w:r>
      <w:r w:rsidRPr="00BC4322">
        <w:rPr>
          <w:i/>
          <w:iCs/>
        </w:rPr>
        <w:t xml:space="preserve">See </w:t>
      </w:r>
      <w:r w:rsidRPr="00BC4322" w:rsidR="005C33FE">
        <w:t>Opposition at 10</w:t>
      </w:r>
      <w:r w:rsidR="003B6899">
        <w:t xml:space="preserve">. </w:t>
      </w:r>
      <w:r w:rsidR="00345D26">
        <w:t xml:space="preserve"> </w:t>
      </w:r>
      <w:r w:rsidR="003B6899">
        <w:t xml:space="preserve">SAC </w:t>
      </w:r>
      <w:r w:rsidR="00345D26">
        <w:t xml:space="preserve">later </w:t>
      </w:r>
      <w:r w:rsidR="003B6899">
        <w:t>clarified that</w:t>
      </w:r>
      <w:r w:rsidR="00345D26">
        <w:t xml:space="preserve">, while its initial notice was posted on September 8, 2022, due to a technical error, its notice ran continuously from </w:t>
      </w:r>
      <w:r w:rsidR="003B6899">
        <w:t>October 4, 2022, to November 7, 2022.</w:t>
      </w:r>
      <w:r w:rsidR="00A86020">
        <w:t xml:space="preserve"> </w:t>
      </w:r>
      <w:r w:rsidR="003B6899">
        <w:rPr>
          <w:i/>
          <w:iCs/>
        </w:rPr>
        <w:t>S</w:t>
      </w:r>
      <w:r w:rsidR="00A86020">
        <w:rPr>
          <w:i/>
          <w:iCs/>
        </w:rPr>
        <w:t>ee November Public Notice Letter</w:t>
      </w:r>
      <w:r w:rsidR="00AA0B47">
        <w:rPr>
          <w:i/>
          <w:iCs/>
        </w:rPr>
        <w:t>.</w:t>
      </w:r>
    </w:p>
  </w:footnote>
  <w:footnote w:id="59">
    <w:p w:rsidR="007A36BA" w:rsidRPr="00BC4322" w:rsidP="00B31FD9" w14:paraId="065E6B21" w14:textId="7E337898">
      <w:pPr>
        <w:shd w:val="clear" w:color="auto" w:fill="FFFFFF"/>
        <w:spacing w:after="120"/>
        <w:textAlignment w:val="baseline"/>
      </w:pPr>
      <w:r w:rsidRPr="00BC4322">
        <w:rPr>
          <w:rStyle w:val="FootnoteReference"/>
          <w:rFonts w:ascii="Times New Roman" w:hAnsi="Times New Roman"/>
        </w:rPr>
        <w:footnoteRef/>
      </w:r>
      <w:r w:rsidRPr="00BC4322">
        <w:t xml:space="preserve"> </w:t>
      </w:r>
      <w:r w:rsidRPr="00383BF4" w:rsidR="006455E9">
        <w:rPr>
          <w:i/>
          <w:iCs/>
          <w:bdr w:val="none" w:sz="0" w:space="0" w:color="auto" w:frame="1"/>
        </w:rPr>
        <w:t xml:space="preserve">See </w:t>
      </w:r>
      <w:r w:rsidR="00B31FD9">
        <w:rPr>
          <w:i/>
          <w:iCs/>
          <w:bdr w:val="none" w:sz="0" w:space="0" w:color="auto" w:frame="1"/>
        </w:rPr>
        <w:t>Trinity International Foundation, Inc</w:t>
      </w:r>
      <w:r w:rsidRPr="002734FA" w:rsidR="00B31FD9">
        <w:rPr>
          <w:i/>
          <w:iCs/>
          <w:bdr w:val="none" w:sz="0" w:space="0" w:color="auto" w:frame="1"/>
        </w:rPr>
        <w:t>.</w:t>
      </w:r>
      <w:r w:rsidRPr="002734FA" w:rsidR="005C33FE">
        <w:t>, Letter</w:t>
      </w:r>
      <w:r w:rsidRPr="00BC4322" w:rsidR="005C33FE">
        <w:t xml:space="preserve"> Order, </w:t>
      </w:r>
      <w:r w:rsidRPr="00383BF4" w:rsidR="005C33FE">
        <w:t xml:space="preserve">23 </w:t>
      </w:r>
      <w:r w:rsidRPr="00BC4322" w:rsidR="005C33FE">
        <w:t>FCC</w:t>
      </w:r>
      <w:r w:rsidRPr="00383BF4" w:rsidR="005C33FE">
        <w:t xml:space="preserve"> </w:t>
      </w:r>
      <w:r w:rsidRPr="00383BF4" w:rsidR="005C33FE">
        <w:t>Rcd</w:t>
      </w:r>
      <w:r w:rsidRPr="00383BF4" w:rsidR="005C33FE">
        <w:t xml:space="preserve"> 4000, 400</w:t>
      </w:r>
      <w:r w:rsidRPr="00BC4322" w:rsidR="005C33FE">
        <w:t xml:space="preserve">3, n. 28 </w:t>
      </w:r>
      <w:r w:rsidRPr="00383BF4" w:rsidR="005C33FE">
        <w:t>(</w:t>
      </w:r>
      <w:r w:rsidRPr="00BC4322" w:rsidR="005C33FE">
        <w:t xml:space="preserve">MB </w:t>
      </w:r>
      <w:r w:rsidRPr="00383BF4" w:rsidR="005C33FE">
        <w:t>2008)</w:t>
      </w:r>
      <w:r w:rsidRPr="00BC4322" w:rsidR="005C33FE">
        <w:t xml:space="preserve"> (citing </w:t>
      </w:r>
      <w:r w:rsidRPr="00BC4322" w:rsidR="005C33FE">
        <w:rPr>
          <w:i/>
          <w:iCs/>
          <w:bdr w:val="none" w:sz="0" w:space="0" w:color="auto" w:frame="1"/>
        </w:rPr>
        <w:t>M</w:t>
      </w:r>
      <w:r w:rsidRPr="00383BF4" w:rsidR="006455E9">
        <w:rPr>
          <w:i/>
          <w:iCs/>
          <w:bdr w:val="none" w:sz="0" w:space="0" w:color="auto" w:frame="1"/>
        </w:rPr>
        <w:t>arri Broadcasting, L.P.</w:t>
      </w:r>
      <w:r w:rsidRPr="00383BF4" w:rsidR="006455E9">
        <w:rPr>
          <w:shd w:val="clear" w:color="auto" w:fill="FFFFFF"/>
        </w:rPr>
        <w:t xml:space="preserve">, Memorandum Opinion and Order, 16 FCC </w:t>
      </w:r>
      <w:r w:rsidRPr="00383BF4" w:rsidR="006455E9">
        <w:rPr>
          <w:shd w:val="clear" w:color="auto" w:fill="FFFFFF"/>
        </w:rPr>
        <w:t>Rcd</w:t>
      </w:r>
      <w:r w:rsidRPr="00383BF4" w:rsidR="006455E9">
        <w:rPr>
          <w:shd w:val="clear" w:color="auto" w:fill="FFFFFF"/>
        </w:rPr>
        <w:t xml:space="preserve"> 10,772, 10,775 (MB 2001) (holding that in cases “where an applicant has failed to publish or improperly published the required local notice, the Commission generally requires the applicant to correctly republish the local </w:t>
      </w:r>
      <w:r w:rsidRPr="00383BF4" w:rsidR="006455E9">
        <w:rPr>
          <w:bdr w:val="none" w:sz="0" w:space="0" w:color="auto" w:frame="1"/>
          <w:shd w:val="clear" w:color="auto" w:fill="FFFFFF"/>
        </w:rPr>
        <w:t>notice</w:t>
      </w:r>
      <w:r w:rsidRPr="00383BF4" w:rsidR="006455E9">
        <w:rPr>
          <w:shd w:val="clear" w:color="auto" w:fill="FFFFFF"/>
        </w:rPr>
        <w:t> </w:t>
      </w:r>
      <w:r w:rsidRPr="00383BF4" w:rsidR="006455E9">
        <w:rPr>
          <w:bdr w:val="none" w:sz="0" w:space="0" w:color="auto" w:frame="1"/>
          <w:shd w:val="clear" w:color="auto" w:fill="FFFFFF"/>
        </w:rPr>
        <w:t>and</w:t>
      </w:r>
      <w:r w:rsidRPr="00383BF4" w:rsidR="006455E9">
        <w:rPr>
          <w:shd w:val="clear" w:color="auto" w:fill="FFFFFF"/>
        </w:rPr>
        <w:t> advise the Commission it has done so.”)</w:t>
      </w:r>
      <w:r w:rsidR="002734FA">
        <w:rPr>
          <w:shd w:val="clear" w:color="auto" w:fill="FFFFFF"/>
        </w:rPr>
        <w:t>)</w:t>
      </w:r>
      <w:r w:rsidRPr="00BC4322" w:rsidR="006455E9">
        <w:rPr>
          <w:shd w:val="clear" w:color="auto" w:fill="FFFFFF"/>
        </w:rPr>
        <w:t xml:space="preserve">; </w:t>
      </w:r>
      <w:r w:rsidR="00B31FD9">
        <w:rPr>
          <w:i/>
          <w:iCs/>
          <w:bdr w:val="none" w:sz="0" w:space="0" w:color="auto" w:frame="1"/>
        </w:rPr>
        <w:t>Iglesia</w:t>
      </w:r>
      <w:r w:rsidR="00B31FD9">
        <w:rPr>
          <w:i/>
          <w:iCs/>
          <w:bdr w:val="none" w:sz="0" w:space="0" w:color="auto" w:frame="1"/>
        </w:rPr>
        <w:t xml:space="preserve"> </w:t>
      </w:r>
      <w:r w:rsidR="00B31FD9">
        <w:rPr>
          <w:i/>
          <w:iCs/>
          <w:bdr w:val="none" w:sz="0" w:space="0" w:color="auto" w:frame="1"/>
        </w:rPr>
        <w:t>Shekira</w:t>
      </w:r>
      <w:r w:rsidRPr="00C96C22" w:rsidR="006455E9">
        <w:t xml:space="preserve">, </w:t>
      </w:r>
      <w:r w:rsidRPr="00BC4322" w:rsidR="000404FC">
        <w:t xml:space="preserve">Letter Order, </w:t>
      </w:r>
      <w:r w:rsidRPr="00C96C22" w:rsidR="006455E9">
        <w:t>24 F</w:t>
      </w:r>
      <w:r w:rsidRPr="00BC4322" w:rsidR="006455E9">
        <w:t>CC</w:t>
      </w:r>
      <w:r w:rsidRPr="00C96C22" w:rsidR="006455E9">
        <w:t xml:space="preserve"> </w:t>
      </w:r>
      <w:r w:rsidRPr="00C96C22" w:rsidR="006455E9">
        <w:t>Rcd</w:t>
      </w:r>
      <w:r w:rsidRPr="00C96C22" w:rsidR="006455E9">
        <w:t xml:space="preserve"> 5306, 5308 (</w:t>
      </w:r>
      <w:r w:rsidRPr="00BC4322" w:rsidR="000404FC">
        <w:t xml:space="preserve">MB </w:t>
      </w:r>
      <w:r w:rsidRPr="00C96C22" w:rsidR="006455E9">
        <w:t>2009)</w:t>
      </w:r>
      <w:r w:rsidRPr="00BC4322" w:rsidR="000404FC">
        <w:t>.</w:t>
      </w:r>
    </w:p>
  </w:footnote>
  <w:footnote w:id="60">
    <w:p w:rsidR="00C011CE" w:rsidRPr="00C011CE" w:rsidP="00C011CE" w14:paraId="2C55C7DE" w14:textId="0D4722F6">
      <w:pPr>
        <w:pStyle w:val="FootnoteText"/>
      </w:pPr>
      <w:r>
        <w:rPr>
          <w:rStyle w:val="FootnoteReference"/>
        </w:rPr>
        <w:footnoteRef/>
      </w:r>
      <w:r>
        <w:t xml:space="preserve"> </w:t>
      </w:r>
      <w:r w:rsidRPr="00C011CE">
        <w:rPr>
          <w:i/>
          <w:iCs/>
        </w:rPr>
        <w:t xml:space="preserve">See </w:t>
      </w:r>
      <w:r w:rsidRPr="00C011CE">
        <w:t xml:space="preserve">47 CFR § 73.3580. </w:t>
      </w:r>
    </w:p>
  </w:footnote>
  <w:footnote w:id="61">
    <w:p w:rsidR="009348D2" w:rsidRPr="00BC4322" w:rsidP="008E6F7C" w14:paraId="5966DBF4" w14:textId="383904B1">
      <w:pPr>
        <w:pStyle w:val="FootnoteText"/>
      </w:pPr>
      <w:r w:rsidRPr="00BC4322">
        <w:rPr>
          <w:rStyle w:val="FootnoteReference"/>
          <w:rFonts w:ascii="Times New Roman" w:hAnsi="Times New Roman"/>
        </w:rPr>
        <w:footnoteRef/>
      </w:r>
      <w:r w:rsidRPr="00BC4322">
        <w:t xml:space="preserve"> </w:t>
      </w:r>
      <w:r w:rsidRPr="00BC4322">
        <w:rPr>
          <w:i/>
          <w:iCs/>
        </w:rPr>
        <w:t xml:space="preserve">See </w:t>
      </w:r>
      <w:r w:rsidRPr="00BC4322" w:rsidR="00A24A7A">
        <w:rPr>
          <w:i/>
          <w:iCs/>
        </w:rPr>
        <w:t xml:space="preserve">Roman Catholic Diocese of Portland, Maine, </w:t>
      </w:r>
      <w:r w:rsidRPr="00B9787B" w:rsidR="00A24A7A">
        <w:t>Memorandum Opinion and Order</w:t>
      </w:r>
      <w:r w:rsidRPr="00BC4322" w:rsidR="00A24A7A">
        <w:t xml:space="preserve">, 29 FCC </w:t>
      </w:r>
      <w:r w:rsidRPr="00BC4322" w:rsidR="00A24A7A">
        <w:t>Rcd</w:t>
      </w:r>
      <w:r w:rsidRPr="00BC4322" w:rsidR="00A24A7A">
        <w:t xml:space="preserve"> 15068, 15071, paras. 5-8</w:t>
      </w:r>
      <w:r w:rsidRPr="00BC4322" w:rsidR="000E6DB5">
        <w:t xml:space="preserve"> </w:t>
      </w:r>
      <w:r w:rsidRPr="00BC4322" w:rsidR="00A24A7A">
        <w:t xml:space="preserve">(2014) </w:t>
      </w:r>
      <w:r w:rsidRPr="00BC4322">
        <w:t>(</w:t>
      </w:r>
      <w:r w:rsidRPr="00BC4322" w:rsidR="00E36ACB">
        <w:t>recognizing the Bureau’s authority to resolve discrepancies in applications where staff can “confidently and reliably resolve[] inconsistent data”</w:t>
      </w:r>
      <w:r w:rsidRPr="00BC4322" w:rsidR="0066420A">
        <w:t xml:space="preserve"> contained within the application’s Tech Box,</w:t>
      </w:r>
      <w:r w:rsidRPr="00BC4322" w:rsidR="00E36ACB">
        <w:t xml:space="preserve"> and clarifying the Commission’s standard for addressing discrepancies associated with antenna location coordinates</w:t>
      </w:r>
      <w:r w:rsidRPr="00BC4322" w:rsidR="007103BD">
        <w:t xml:space="preserve"> </w:t>
      </w:r>
      <w:r w:rsidRPr="00BC4322" w:rsidR="0066420A">
        <w:t xml:space="preserve">contained within the application’s Tech Box </w:t>
      </w:r>
      <w:r w:rsidRPr="00BC4322" w:rsidR="007103BD">
        <w:t>in future applications)</w:t>
      </w:r>
      <w:r w:rsidRPr="00BC4322" w:rsidR="00E36ACB">
        <w:t xml:space="preserve">. </w:t>
      </w:r>
    </w:p>
  </w:footnote>
  <w:footnote w:id="62">
    <w:p w:rsidR="008E6F7C" w:rsidP="008E6F7C" w14:paraId="3EC6CE0F" w14:textId="4D149A2C">
      <w:pPr>
        <w:pStyle w:val="FootnoteText"/>
      </w:pPr>
      <w:r w:rsidRPr="00BC4322">
        <w:rPr>
          <w:rStyle w:val="FootnoteReference"/>
          <w:rFonts w:ascii="Times New Roman" w:hAnsi="Times New Roman"/>
        </w:rPr>
        <w:footnoteRef/>
      </w:r>
      <w:r w:rsidRPr="00BC4322">
        <w:t xml:space="preserve"> </w:t>
      </w:r>
      <w:r w:rsidRPr="00BC4322">
        <w:rPr>
          <w:i/>
          <w:iCs/>
        </w:rPr>
        <w:t>Compare Christian Charities Deliverance Church et. al</w:t>
      </w:r>
      <w:r w:rsidRPr="00BC4322">
        <w:t xml:space="preserve">., Memorandum Opinion and Order, 30 FCC </w:t>
      </w:r>
      <w:r w:rsidRPr="00BC4322">
        <w:t>Rcd</w:t>
      </w:r>
      <w:r w:rsidRPr="00BC4322">
        <w:t xml:space="preserve"> 10548 (2015) (affirming dismissal of LPFM applications that violated section 73.807 of the rules (minimum distance separations) without opportunity to cure, because section 73.870(c) of the rules explicitly provided that no curative amendments would be permitted for such violations).  </w:t>
      </w:r>
      <w:r w:rsidRPr="00BC4322" w:rsidR="00AE7C61">
        <w:t xml:space="preserve">Thus, had the Bureau dismissed the SAC Application for failing to designate the correct station class, SAC would have been entitled to file a curative amendment correcting that deficiency.  Dismissed applicants are permitted to submit one minor modification amendment to cure certain application deficiencies.  </w:t>
      </w:r>
      <w:r w:rsidRPr="00BC4322" w:rsidR="00AE7C61">
        <w:rPr>
          <w:i/>
          <w:iCs/>
        </w:rPr>
        <w:t>See</w:t>
      </w:r>
      <w:r w:rsidRPr="00BC4322" w:rsidR="00AE7C61">
        <w:t xml:space="preserve"> 47 CFR § 73.3522(a)(2); </w:t>
      </w:r>
      <w:r w:rsidRPr="00BC4322" w:rsidR="00AE7C61">
        <w:rPr>
          <w:i/>
          <w:iCs/>
        </w:rPr>
        <w:t>Commission States Future Policy on Incomplete and Patently Defective AM and FM Construction Permit Applications</w:t>
      </w:r>
      <w:r w:rsidRPr="00BC4322" w:rsidR="00AE7C61">
        <w:t xml:space="preserve">, Public Notice, 56 RR 2d 776 (1984).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37CA06AB" w14:textId="308C0208">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1333F1" w14:paraId="5C6E91EE"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18E14010" w14:textId="77777777">
    <w:pPr>
      <w:pStyle w:val="Header"/>
      <w:tabs>
        <w:tab w:val="clear" w:pos="4320"/>
      </w:tabs>
      <w:jc w:val="center"/>
      <w:rPr>
        <w:sz w:val="22"/>
      </w:rPr>
    </w:pPr>
  </w:p>
  <w:p w:rsidR="002B54DB" w14:paraId="14636F2C" w14:textId="77777777">
    <w:pPr>
      <w:pStyle w:val="Header"/>
      <w:tabs>
        <w:tab w:val="clear" w:pos="4320"/>
      </w:tabs>
      <w:jc w:val="center"/>
      <w:rPr>
        <w:sz w:val="22"/>
      </w:rPr>
    </w:pPr>
  </w:p>
  <w:p w:rsidR="002B54DB" w14:paraId="45AC97CB" w14:textId="5197BE14">
    <w:pPr>
      <w:pStyle w:val="Header"/>
      <w:tabs>
        <w:tab w:val="clear" w:pos="4320"/>
      </w:tabs>
      <w:jc w:val="center"/>
      <w:rPr>
        <w:sz w:val="24"/>
      </w:rPr>
    </w:pPr>
    <w:r>
      <w:rPr>
        <w:noProof/>
        <w:sz w:val="24"/>
      </w:rPr>
      <w:t>March 1</w:t>
    </w:r>
    <w:r w:rsidR="00342351">
      <w:rPr>
        <w:noProof/>
        <w:sz w:val="24"/>
      </w:rPr>
      <w:t>, 202</w:t>
    </w:r>
    <w:r w:rsidR="00B20DCC">
      <w:rPr>
        <w:noProof/>
        <w:sz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2B77025"/>
    <w:multiLevelType w:val="hybridMultilevel"/>
    <w:tmpl w:val="0352CE4A"/>
    <w:lvl w:ilvl="0">
      <w:start w:val="1"/>
      <w:numFmt w:val="bullet"/>
      <w:lvlText w:val=""/>
      <w:lvlJc w:val="left"/>
      <w:pPr>
        <w:ind w:left="3600" w:hanging="360"/>
      </w:pPr>
      <w:rPr>
        <w:rFonts w:ascii="Symbol" w:hAnsi="Symbol" w:hint="default"/>
      </w:rPr>
    </w:lvl>
    <w:lvl w:ilvl="1">
      <w:start w:val="1"/>
      <w:numFmt w:val="bullet"/>
      <w:lvlText w:val="o"/>
      <w:lvlJc w:val="left"/>
      <w:pPr>
        <w:ind w:left="4320" w:hanging="360"/>
      </w:pPr>
      <w:rPr>
        <w:rFonts w:ascii="Courier New" w:hAnsi="Courier New" w:hint="default"/>
      </w:rPr>
    </w:lvl>
    <w:lvl w:ilvl="2">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hint="default"/>
      </w:rPr>
    </w:lvl>
    <w:lvl w:ilvl="8" w:tentative="1">
      <w:start w:val="1"/>
      <w:numFmt w:val="bullet"/>
      <w:lvlText w:val=""/>
      <w:lvlJc w:val="left"/>
      <w:pPr>
        <w:ind w:left="9360" w:hanging="360"/>
      </w:pPr>
      <w:rPr>
        <w:rFonts w:ascii="Wingdings" w:hAnsi="Wingdings" w:hint="default"/>
      </w:rPr>
    </w:lvl>
  </w:abstractNum>
  <w:abstractNum w:abstractNumId="1">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413B40AD"/>
    <w:multiLevelType w:val="hybridMultilevel"/>
    <w:tmpl w:val="E53A638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41D12319"/>
    <w:multiLevelType w:val="hybridMultilevel"/>
    <w:tmpl w:val="4D341AC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6A53BEC"/>
    <w:multiLevelType w:val="hybridMultilevel"/>
    <w:tmpl w:val="2B6C1CB4"/>
    <w:lvl w:ilvl="0">
      <w:start w:val="1"/>
      <w:numFmt w:val="bullet"/>
      <w:lvlText w:val=""/>
      <w:lvlJc w:val="left"/>
      <w:pPr>
        <w:ind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hint="default"/>
      </w:rPr>
    </w:lvl>
    <w:lvl w:ilvl="8" w:tentative="1">
      <w:start w:val="1"/>
      <w:numFmt w:val="bullet"/>
      <w:lvlText w:val=""/>
      <w:lvlJc w:val="left"/>
      <w:pPr>
        <w:ind w:left="5760" w:hanging="360"/>
      </w:pPr>
      <w:rPr>
        <w:rFonts w:ascii="Wingdings" w:hAnsi="Wingdings" w:hint="default"/>
      </w:rPr>
    </w:lvl>
  </w:abstractNum>
  <w:abstractNum w:abstractNumId="5">
    <w:nsid w:val="61182925"/>
    <w:multiLevelType w:val="singleLevel"/>
    <w:tmpl w:val="2A347362"/>
    <w:lvl w:ilvl="0">
      <w:start w:val="1"/>
      <w:numFmt w:val="decimal"/>
      <w:pStyle w:val="ParaNum"/>
      <w:lvlText w:val="%1."/>
      <w:lvlJc w:val="left"/>
      <w:pPr>
        <w:tabs>
          <w:tab w:val="num" w:pos="1080"/>
        </w:tabs>
        <w:ind w:left="0" w:firstLine="720"/>
      </w:pPr>
      <w:rPr>
        <w:b w:val="0"/>
      </w:rPr>
    </w:lvl>
  </w:abstractNum>
  <w:abstractNum w:abstractNumId="6">
    <w:nsid w:val="6A686BBF"/>
    <w:multiLevelType w:val="hybridMultilevel"/>
    <w:tmpl w:val="A30EC66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74180912"/>
    <w:multiLevelType w:val="hybridMultilevel"/>
    <w:tmpl w:val="51E66CC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755763C9"/>
    <w:multiLevelType w:val="hybridMultilevel"/>
    <w:tmpl w:val="28C2257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9A2184B"/>
    <w:multiLevelType w:val="hybridMultilevel"/>
    <w:tmpl w:val="F2E49A8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7DE74999"/>
    <w:multiLevelType w:val="hybridMultilevel"/>
    <w:tmpl w:val="7D7CA1F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5"/>
  </w:num>
  <w:num w:numId="4">
    <w:abstractNumId w:val="2"/>
  </w:num>
  <w:num w:numId="5">
    <w:abstractNumId w:val="7"/>
  </w:num>
  <w:num w:numId="6">
    <w:abstractNumId w:val="0"/>
  </w:num>
  <w:num w:numId="7">
    <w:abstractNumId w:val="4"/>
  </w:num>
  <w:num w:numId="8">
    <w:abstractNumId w:val="1"/>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E3"/>
    <w:rsid w:val="0000017C"/>
    <w:rsid w:val="00000C3A"/>
    <w:rsid w:val="000035E5"/>
    <w:rsid w:val="0000607F"/>
    <w:rsid w:val="00006B52"/>
    <w:rsid w:val="00007422"/>
    <w:rsid w:val="00007426"/>
    <w:rsid w:val="00011CB2"/>
    <w:rsid w:val="000122F2"/>
    <w:rsid w:val="000124FD"/>
    <w:rsid w:val="00014088"/>
    <w:rsid w:val="00015D0A"/>
    <w:rsid w:val="000222E6"/>
    <w:rsid w:val="000223F1"/>
    <w:rsid w:val="0002648B"/>
    <w:rsid w:val="00026C5B"/>
    <w:rsid w:val="0002777D"/>
    <w:rsid w:val="000325C9"/>
    <w:rsid w:val="00035EA3"/>
    <w:rsid w:val="000404FC"/>
    <w:rsid w:val="000433EE"/>
    <w:rsid w:val="0004412C"/>
    <w:rsid w:val="00046A7C"/>
    <w:rsid w:val="000503CA"/>
    <w:rsid w:val="0005159E"/>
    <w:rsid w:val="00051CC4"/>
    <w:rsid w:val="000525B5"/>
    <w:rsid w:val="00052F2F"/>
    <w:rsid w:val="00054194"/>
    <w:rsid w:val="000545CD"/>
    <w:rsid w:val="000573E7"/>
    <w:rsid w:val="0006177C"/>
    <w:rsid w:val="000650DF"/>
    <w:rsid w:val="000652F1"/>
    <w:rsid w:val="00070C67"/>
    <w:rsid w:val="00072C59"/>
    <w:rsid w:val="00080023"/>
    <w:rsid w:val="00080283"/>
    <w:rsid w:val="00084460"/>
    <w:rsid w:val="00086C81"/>
    <w:rsid w:val="00087FAF"/>
    <w:rsid w:val="00094DAA"/>
    <w:rsid w:val="00095B80"/>
    <w:rsid w:val="000A09D3"/>
    <w:rsid w:val="000A0CF5"/>
    <w:rsid w:val="000A1CAB"/>
    <w:rsid w:val="000A3714"/>
    <w:rsid w:val="000A48EC"/>
    <w:rsid w:val="000A6F42"/>
    <w:rsid w:val="000A75C5"/>
    <w:rsid w:val="000A76B8"/>
    <w:rsid w:val="000B0550"/>
    <w:rsid w:val="000B34A6"/>
    <w:rsid w:val="000C3DB0"/>
    <w:rsid w:val="000C4A66"/>
    <w:rsid w:val="000D5438"/>
    <w:rsid w:val="000D670C"/>
    <w:rsid w:val="000D6DC0"/>
    <w:rsid w:val="000D7A76"/>
    <w:rsid w:val="000E6DB5"/>
    <w:rsid w:val="000E7181"/>
    <w:rsid w:val="000F2329"/>
    <w:rsid w:val="000F55FE"/>
    <w:rsid w:val="000F70BB"/>
    <w:rsid w:val="000F7F2F"/>
    <w:rsid w:val="001014EA"/>
    <w:rsid w:val="001043C2"/>
    <w:rsid w:val="001051FF"/>
    <w:rsid w:val="0010554B"/>
    <w:rsid w:val="00110917"/>
    <w:rsid w:val="001128AB"/>
    <w:rsid w:val="00114003"/>
    <w:rsid w:val="00114009"/>
    <w:rsid w:val="001162F7"/>
    <w:rsid w:val="00116B2B"/>
    <w:rsid w:val="00116B99"/>
    <w:rsid w:val="001172AD"/>
    <w:rsid w:val="00117682"/>
    <w:rsid w:val="0012329C"/>
    <w:rsid w:val="00123B2B"/>
    <w:rsid w:val="001247BF"/>
    <w:rsid w:val="00124E8A"/>
    <w:rsid w:val="001333F1"/>
    <w:rsid w:val="00134362"/>
    <w:rsid w:val="00134383"/>
    <w:rsid w:val="0013468E"/>
    <w:rsid w:val="00136588"/>
    <w:rsid w:val="00137513"/>
    <w:rsid w:val="00140B38"/>
    <w:rsid w:val="00144D97"/>
    <w:rsid w:val="00146F49"/>
    <w:rsid w:val="0015055F"/>
    <w:rsid w:val="0015111D"/>
    <w:rsid w:val="0015264B"/>
    <w:rsid w:val="001536A4"/>
    <w:rsid w:val="00155DC5"/>
    <w:rsid w:val="00156014"/>
    <w:rsid w:val="0016442B"/>
    <w:rsid w:val="001647E0"/>
    <w:rsid w:val="00164B31"/>
    <w:rsid w:val="00170FB8"/>
    <w:rsid w:val="00174494"/>
    <w:rsid w:val="00176688"/>
    <w:rsid w:val="00177F09"/>
    <w:rsid w:val="001817BB"/>
    <w:rsid w:val="0018238C"/>
    <w:rsid w:val="00184B6A"/>
    <w:rsid w:val="001858EE"/>
    <w:rsid w:val="0018710F"/>
    <w:rsid w:val="00190606"/>
    <w:rsid w:val="00193E2F"/>
    <w:rsid w:val="00195452"/>
    <w:rsid w:val="001A1C4E"/>
    <w:rsid w:val="001A2AA5"/>
    <w:rsid w:val="001A3051"/>
    <w:rsid w:val="001A47FB"/>
    <w:rsid w:val="001A4923"/>
    <w:rsid w:val="001A4B52"/>
    <w:rsid w:val="001A51FD"/>
    <w:rsid w:val="001A5CBA"/>
    <w:rsid w:val="001A7545"/>
    <w:rsid w:val="001B1EB5"/>
    <w:rsid w:val="001B2B9D"/>
    <w:rsid w:val="001B2C29"/>
    <w:rsid w:val="001B4FC9"/>
    <w:rsid w:val="001B7A56"/>
    <w:rsid w:val="001C1176"/>
    <w:rsid w:val="001C3126"/>
    <w:rsid w:val="001C38EE"/>
    <w:rsid w:val="001C4745"/>
    <w:rsid w:val="001C5F81"/>
    <w:rsid w:val="001C6CFB"/>
    <w:rsid w:val="001C75A0"/>
    <w:rsid w:val="001D14EC"/>
    <w:rsid w:val="001D1D2F"/>
    <w:rsid w:val="001D368E"/>
    <w:rsid w:val="001D43CC"/>
    <w:rsid w:val="001D550B"/>
    <w:rsid w:val="001D7359"/>
    <w:rsid w:val="001E09CC"/>
    <w:rsid w:val="001E1459"/>
    <w:rsid w:val="001E2E92"/>
    <w:rsid w:val="001E387A"/>
    <w:rsid w:val="001E7870"/>
    <w:rsid w:val="001F033D"/>
    <w:rsid w:val="001F32B7"/>
    <w:rsid w:val="001F59B6"/>
    <w:rsid w:val="001F5E24"/>
    <w:rsid w:val="001F6CFC"/>
    <w:rsid w:val="002018EA"/>
    <w:rsid w:val="002020D6"/>
    <w:rsid w:val="0020380C"/>
    <w:rsid w:val="00204CE3"/>
    <w:rsid w:val="00205180"/>
    <w:rsid w:val="0020702D"/>
    <w:rsid w:val="0020745C"/>
    <w:rsid w:val="002105C2"/>
    <w:rsid w:val="00216DCD"/>
    <w:rsid w:val="00217FF3"/>
    <w:rsid w:val="00221E58"/>
    <w:rsid w:val="0022426D"/>
    <w:rsid w:val="0022463D"/>
    <w:rsid w:val="002269C3"/>
    <w:rsid w:val="0023129F"/>
    <w:rsid w:val="00231896"/>
    <w:rsid w:val="00232984"/>
    <w:rsid w:val="00232AC3"/>
    <w:rsid w:val="002338FC"/>
    <w:rsid w:val="0024071E"/>
    <w:rsid w:val="0024210A"/>
    <w:rsid w:val="0024251E"/>
    <w:rsid w:val="002430E6"/>
    <w:rsid w:val="002435DB"/>
    <w:rsid w:val="00244129"/>
    <w:rsid w:val="0024512E"/>
    <w:rsid w:val="002458DE"/>
    <w:rsid w:val="002473FC"/>
    <w:rsid w:val="002474C3"/>
    <w:rsid w:val="002474C8"/>
    <w:rsid w:val="00247B78"/>
    <w:rsid w:val="00251A8B"/>
    <w:rsid w:val="0025332A"/>
    <w:rsid w:val="00254B52"/>
    <w:rsid w:val="0025615F"/>
    <w:rsid w:val="00260931"/>
    <w:rsid w:val="00262435"/>
    <w:rsid w:val="002641A6"/>
    <w:rsid w:val="002657C4"/>
    <w:rsid w:val="00266D21"/>
    <w:rsid w:val="00270593"/>
    <w:rsid w:val="00270862"/>
    <w:rsid w:val="00270ABF"/>
    <w:rsid w:val="00271084"/>
    <w:rsid w:val="002734FA"/>
    <w:rsid w:val="002767A8"/>
    <w:rsid w:val="00276C2E"/>
    <w:rsid w:val="002770EB"/>
    <w:rsid w:val="00277A00"/>
    <w:rsid w:val="00281A3C"/>
    <w:rsid w:val="00282D94"/>
    <w:rsid w:val="00282F24"/>
    <w:rsid w:val="00284530"/>
    <w:rsid w:val="002846F7"/>
    <w:rsid w:val="002865D3"/>
    <w:rsid w:val="00293950"/>
    <w:rsid w:val="00293A0B"/>
    <w:rsid w:val="00294A7E"/>
    <w:rsid w:val="00295802"/>
    <w:rsid w:val="002A0DBB"/>
    <w:rsid w:val="002A0F30"/>
    <w:rsid w:val="002A3515"/>
    <w:rsid w:val="002A3CC4"/>
    <w:rsid w:val="002A5B2A"/>
    <w:rsid w:val="002A6AF2"/>
    <w:rsid w:val="002A6DA0"/>
    <w:rsid w:val="002B146F"/>
    <w:rsid w:val="002B4097"/>
    <w:rsid w:val="002B411B"/>
    <w:rsid w:val="002B41DB"/>
    <w:rsid w:val="002B47AA"/>
    <w:rsid w:val="002B54DB"/>
    <w:rsid w:val="002B6D62"/>
    <w:rsid w:val="002B6E77"/>
    <w:rsid w:val="002B7826"/>
    <w:rsid w:val="002C1E32"/>
    <w:rsid w:val="002C30E0"/>
    <w:rsid w:val="002C3ACF"/>
    <w:rsid w:val="002C5235"/>
    <w:rsid w:val="002C55A7"/>
    <w:rsid w:val="002C7741"/>
    <w:rsid w:val="002D04B6"/>
    <w:rsid w:val="002D11B8"/>
    <w:rsid w:val="002D3ED0"/>
    <w:rsid w:val="002E0DF4"/>
    <w:rsid w:val="002E1D90"/>
    <w:rsid w:val="002E2FCF"/>
    <w:rsid w:val="002E3A3F"/>
    <w:rsid w:val="002F2CFC"/>
    <w:rsid w:val="002F3091"/>
    <w:rsid w:val="002F4253"/>
    <w:rsid w:val="002F5CD5"/>
    <w:rsid w:val="002F5EBF"/>
    <w:rsid w:val="002F79AC"/>
    <w:rsid w:val="00301069"/>
    <w:rsid w:val="00302145"/>
    <w:rsid w:val="003038ED"/>
    <w:rsid w:val="00303C8A"/>
    <w:rsid w:val="00304389"/>
    <w:rsid w:val="0030440A"/>
    <w:rsid w:val="003072C4"/>
    <w:rsid w:val="00307427"/>
    <w:rsid w:val="003075CE"/>
    <w:rsid w:val="003077D4"/>
    <w:rsid w:val="00311EE6"/>
    <w:rsid w:val="00311F76"/>
    <w:rsid w:val="003157C1"/>
    <w:rsid w:val="00316952"/>
    <w:rsid w:val="0031726C"/>
    <w:rsid w:val="003175C6"/>
    <w:rsid w:val="00317F9F"/>
    <w:rsid w:val="003206C9"/>
    <w:rsid w:val="00321127"/>
    <w:rsid w:val="0032162D"/>
    <w:rsid w:val="00324456"/>
    <w:rsid w:val="00326E77"/>
    <w:rsid w:val="00331196"/>
    <w:rsid w:val="00332004"/>
    <w:rsid w:val="00332064"/>
    <w:rsid w:val="003351FB"/>
    <w:rsid w:val="00336BDB"/>
    <w:rsid w:val="003407F7"/>
    <w:rsid w:val="00340BDC"/>
    <w:rsid w:val="00342351"/>
    <w:rsid w:val="00342727"/>
    <w:rsid w:val="003438AD"/>
    <w:rsid w:val="0034583B"/>
    <w:rsid w:val="00345D26"/>
    <w:rsid w:val="00356BAD"/>
    <w:rsid w:val="00357B44"/>
    <w:rsid w:val="003603BB"/>
    <w:rsid w:val="0036118A"/>
    <w:rsid w:val="00362FA8"/>
    <w:rsid w:val="00363F6B"/>
    <w:rsid w:val="0036707C"/>
    <w:rsid w:val="00367562"/>
    <w:rsid w:val="00371C6E"/>
    <w:rsid w:val="003736C6"/>
    <w:rsid w:val="00376456"/>
    <w:rsid w:val="0037671E"/>
    <w:rsid w:val="00382774"/>
    <w:rsid w:val="00382F32"/>
    <w:rsid w:val="00383BF4"/>
    <w:rsid w:val="00383D79"/>
    <w:rsid w:val="00385357"/>
    <w:rsid w:val="00392CD5"/>
    <w:rsid w:val="00392E67"/>
    <w:rsid w:val="00394082"/>
    <w:rsid w:val="003961D1"/>
    <w:rsid w:val="00396BD4"/>
    <w:rsid w:val="003A18FE"/>
    <w:rsid w:val="003A34E8"/>
    <w:rsid w:val="003A4374"/>
    <w:rsid w:val="003A4AC3"/>
    <w:rsid w:val="003A5658"/>
    <w:rsid w:val="003A6C6C"/>
    <w:rsid w:val="003A768F"/>
    <w:rsid w:val="003A7B29"/>
    <w:rsid w:val="003B0171"/>
    <w:rsid w:val="003B0713"/>
    <w:rsid w:val="003B375D"/>
    <w:rsid w:val="003B42DA"/>
    <w:rsid w:val="003B6899"/>
    <w:rsid w:val="003C083E"/>
    <w:rsid w:val="003C14A8"/>
    <w:rsid w:val="003C2A81"/>
    <w:rsid w:val="003C3F32"/>
    <w:rsid w:val="003C550B"/>
    <w:rsid w:val="003C69FB"/>
    <w:rsid w:val="003D048A"/>
    <w:rsid w:val="003D05AF"/>
    <w:rsid w:val="003D5D73"/>
    <w:rsid w:val="003D6DA8"/>
    <w:rsid w:val="003E1E94"/>
    <w:rsid w:val="003E2594"/>
    <w:rsid w:val="003E2ADC"/>
    <w:rsid w:val="003E3EC4"/>
    <w:rsid w:val="003E5067"/>
    <w:rsid w:val="003E7C58"/>
    <w:rsid w:val="003F0B66"/>
    <w:rsid w:val="003F142D"/>
    <w:rsid w:val="003F1F47"/>
    <w:rsid w:val="003F237D"/>
    <w:rsid w:val="003F3D93"/>
    <w:rsid w:val="003F3DEA"/>
    <w:rsid w:val="003F7DCE"/>
    <w:rsid w:val="0040127D"/>
    <w:rsid w:val="004020B9"/>
    <w:rsid w:val="004045D6"/>
    <w:rsid w:val="00405997"/>
    <w:rsid w:val="004105E8"/>
    <w:rsid w:val="004118B2"/>
    <w:rsid w:val="004118E5"/>
    <w:rsid w:val="004121F0"/>
    <w:rsid w:val="00415777"/>
    <w:rsid w:val="00416319"/>
    <w:rsid w:val="00416610"/>
    <w:rsid w:val="004178AB"/>
    <w:rsid w:val="0042286A"/>
    <w:rsid w:val="00426062"/>
    <w:rsid w:val="00430AAE"/>
    <w:rsid w:val="004311C8"/>
    <w:rsid w:val="00434C42"/>
    <w:rsid w:val="004372DC"/>
    <w:rsid w:val="00441145"/>
    <w:rsid w:val="00442613"/>
    <w:rsid w:val="00447C3D"/>
    <w:rsid w:val="00451422"/>
    <w:rsid w:val="00452895"/>
    <w:rsid w:val="004575B4"/>
    <w:rsid w:val="00463EB0"/>
    <w:rsid w:val="00467F23"/>
    <w:rsid w:val="00470280"/>
    <w:rsid w:val="00470A83"/>
    <w:rsid w:val="00470E9D"/>
    <w:rsid w:val="00471135"/>
    <w:rsid w:val="00471BAB"/>
    <w:rsid w:val="00472D1B"/>
    <w:rsid w:val="00474E7A"/>
    <w:rsid w:val="00475140"/>
    <w:rsid w:val="004812AE"/>
    <w:rsid w:val="00485F25"/>
    <w:rsid w:val="004862DD"/>
    <w:rsid w:val="00486DBF"/>
    <w:rsid w:val="00487322"/>
    <w:rsid w:val="00491958"/>
    <w:rsid w:val="00491D3E"/>
    <w:rsid w:val="00495E32"/>
    <w:rsid w:val="00496746"/>
    <w:rsid w:val="00497E5F"/>
    <w:rsid w:val="004A16CD"/>
    <w:rsid w:val="004A520E"/>
    <w:rsid w:val="004B14EC"/>
    <w:rsid w:val="004B5038"/>
    <w:rsid w:val="004B5944"/>
    <w:rsid w:val="004B7148"/>
    <w:rsid w:val="004C049A"/>
    <w:rsid w:val="004C04A5"/>
    <w:rsid w:val="004C287E"/>
    <w:rsid w:val="004C56F4"/>
    <w:rsid w:val="004C5EDB"/>
    <w:rsid w:val="004C5FE6"/>
    <w:rsid w:val="004D3B53"/>
    <w:rsid w:val="004D70B4"/>
    <w:rsid w:val="004D7C35"/>
    <w:rsid w:val="004E2961"/>
    <w:rsid w:val="004E59DF"/>
    <w:rsid w:val="004E5C70"/>
    <w:rsid w:val="004E6644"/>
    <w:rsid w:val="004E6814"/>
    <w:rsid w:val="004E6999"/>
    <w:rsid w:val="004E7806"/>
    <w:rsid w:val="004F0291"/>
    <w:rsid w:val="004F09D7"/>
    <w:rsid w:val="004F0D52"/>
    <w:rsid w:val="004F147C"/>
    <w:rsid w:val="004F21AD"/>
    <w:rsid w:val="004F290B"/>
    <w:rsid w:val="00500AB3"/>
    <w:rsid w:val="005028B8"/>
    <w:rsid w:val="00503B8E"/>
    <w:rsid w:val="005048EF"/>
    <w:rsid w:val="00505232"/>
    <w:rsid w:val="005118AD"/>
    <w:rsid w:val="00513B44"/>
    <w:rsid w:val="005142BA"/>
    <w:rsid w:val="00514631"/>
    <w:rsid w:val="00515731"/>
    <w:rsid w:val="00517678"/>
    <w:rsid w:val="00517EDA"/>
    <w:rsid w:val="005250A4"/>
    <w:rsid w:val="00525C89"/>
    <w:rsid w:val="00525F0A"/>
    <w:rsid w:val="00527BDA"/>
    <w:rsid w:val="005311F5"/>
    <w:rsid w:val="005359C3"/>
    <w:rsid w:val="00537A48"/>
    <w:rsid w:val="0054278B"/>
    <w:rsid w:val="00542895"/>
    <w:rsid w:val="00543E5E"/>
    <w:rsid w:val="00544A88"/>
    <w:rsid w:val="00545FE6"/>
    <w:rsid w:val="00552A87"/>
    <w:rsid w:val="00553656"/>
    <w:rsid w:val="0055388C"/>
    <w:rsid w:val="00554E8D"/>
    <w:rsid w:val="005552BC"/>
    <w:rsid w:val="00555CBD"/>
    <w:rsid w:val="00556A10"/>
    <w:rsid w:val="00557135"/>
    <w:rsid w:val="00557461"/>
    <w:rsid w:val="005609EF"/>
    <w:rsid w:val="005732F9"/>
    <w:rsid w:val="005736F3"/>
    <w:rsid w:val="0057475C"/>
    <w:rsid w:val="00575313"/>
    <w:rsid w:val="00577647"/>
    <w:rsid w:val="00582899"/>
    <w:rsid w:val="00583ABB"/>
    <w:rsid w:val="00584C34"/>
    <w:rsid w:val="005A22BB"/>
    <w:rsid w:val="005A5FDB"/>
    <w:rsid w:val="005A7C51"/>
    <w:rsid w:val="005B0B93"/>
    <w:rsid w:val="005B1616"/>
    <w:rsid w:val="005B46CD"/>
    <w:rsid w:val="005B56B9"/>
    <w:rsid w:val="005B5712"/>
    <w:rsid w:val="005B5C99"/>
    <w:rsid w:val="005B7D98"/>
    <w:rsid w:val="005C261E"/>
    <w:rsid w:val="005C3150"/>
    <w:rsid w:val="005C33FE"/>
    <w:rsid w:val="005C3669"/>
    <w:rsid w:val="005C4C58"/>
    <w:rsid w:val="005C6DFF"/>
    <w:rsid w:val="005D0839"/>
    <w:rsid w:val="005D0ECD"/>
    <w:rsid w:val="005D2B4C"/>
    <w:rsid w:val="005D7378"/>
    <w:rsid w:val="005E01A3"/>
    <w:rsid w:val="005E60EE"/>
    <w:rsid w:val="005E658D"/>
    <w:rsid w:val="005E6939"/>
    <w:rsid w:val="005F0E79"/>
    <w:rsid w:val="005F235B"/>
    <w:rsid w:val="005F2EA8"/>
    <w:rsid w:val="005F35A5"/>
    <w:rsid w:val="005F3D63"/>
    <w:rsid w:val="005F7FC3"/>
    <w:rsid w:val="0060309C"/>
    <w:rsid w:val="00606D96"/>
    <w:rsid w:val="00607F54"/>
    <w:rsid w:val="00610B98"/>
    <w:rsid w:val="00612497"/>
    <w:rsid w:val="006153F2"/>
    <w:rsid w:val="00615D86"/>
    <w:rsid w:val="00616C9B"/>
    <w:rsid w:val="00617176"/>
    <w:rsid w:val="00617AB0"/>
    <w:rsid w:val="00621F98"/>
    <w:rsid w:val="00624170"/>
    <w:rsid w:val="006242A9"/>
    <w:rsid w:val="00624784"/>
    <w:rsid w:val="006247AD"/>
    <w:rsid w:val="00624C5C"/>
    <w:rsid w:val="00625C05"/>
    <w:rsid w:val="00626650"/>
    <w:rsid w:val="006278B1"/>
    <w:rsid w:val="00627E56"/>
    <w:rsid w:val="00630FE1"/>
    <w:rsid w:val="00631233"/>
    <w:rsid w:val="00633774"/>
    <w:rsid w:val="006355B4"/>
    <w:rsid w:val="00637FB1"/>
    <w:rsid w:val="00640853"/>
    <w:rsid w:val="00641B25"/>
    <w:rsid w:val="006428C2"/>
    <w:rsid w:val="0064343F"/>
    <w:rsid w:val="00645353"/>
    <w:rsid w:val="006455E9"/>
    <w:rsid w:val="00645DB3"/>
    <w:rsid w:val="006530BD"/>
    <w:rsid w:val="00653C5D"/>
    <w:rsid w:val="00657331"/>
    <w:rsid w:val="006579F2"/>
    <w:rsid w:val="00660174"/>
    <w:rsid w:val="006608F9"/>
    <w:rsid w:val="00660DB1"/>
    <w:rsid w:val="0066420A"/>
    <w:rsid w:val="006732DF"/>
    <w:rsid w:val="00675AED"/>
    <w:rsid w:val="0067664A"/>
    <w:rsid w:val="00680663"/>
    <w:rsid w:val="00680D34"/>
    <w:rsid w:val="0068384A"/>
    <w:rsid w:val="00685044"/>
    <w:rsid w:val="00685544"/>
    <w:rsid w:val="00696D2F"/>
    <w:rsid w:val="006A10DB"/>
    <w:rsid w:val="006A2463"/>
    <w:rsid w:val="006A5983"/>
    <w:rsid w:val="006A5A06"/>
    <w:rsid w:val="006A68FF"/>
    <w:rsid w:val="006A6940"/>
    <w:rsid w:val="006A7350"/>
    <w:rsid w:val="006B13BA"/>
    <w:rsid w:val="006B3CB0"/>
    <w:rsid w:val="006B3D56"/>
    <w:rsid w:val="006B6293"/>
    <w:rsid w:val="006B7091"/>
    <w:rsid w:val="006C000B"/>
    <w:rsid w:val="006C0023"/>
    <w:rsid w:val="006C241F"/>
    <w:rsid w:val="006C4635"/>
    <w:rsid w:val="006C46F1"/>
    <w:rsid w:val="006C6A7C"/>
    <w:rsid w:val="006C6E04"/>
    <w:rsid w:val="006D2DF3"/>
    <w:rsid w:val="006D49F6"/>
    <w:rsid w:val="006D7B3F"/>
    <w:rsid w:val="006E0CD0"/>
    <w:rsid w:val="006E10AE"/>
    <w:rsid w:val="006E200D"/>
    <w:rsid w:val="006E26B7"/>
    <w:rsid w:val="006E509A"/>
    <w:rsid w:val="006E58DB"/>
    <w:rsid w:val="006F0196"/>
    <w:rsid w:val="006F2BE4"/>
    <w:rsid w:val="006F34FD"/>
    <w:rsid w:val="006F5199"/>
    <w:rsid w:val="006F60DB"/>
    <w:rsid w:val="006F64C6"/>
    <w:rsid w:val="006F70BE"/>
    <w:rsid w:val="00700831"/>
    <w:rsid w:val="00700E52"/>
    <w:rsid w:val="00702649"/>
    <w:rsid w:val="00703359"/>
    <w:rsid w:val="00706967"/>
    <w:rsid w:val="00707F52"/>
    <w:rsid w:val="007103BD"/>
    <w:rsid w:val="00710710"/>
    <w:rsid w:val="00710747"/>
    <w:rsid w:val="00713DF3"/>
    <w:rsid w:val="00713E12"/>
    <w:rsid w:val="00716E3F"/>
    <w:rsid w:val="00717E2F"/>
    <w:rsid w:val="00720394"/>
    <w:rsid w:val="00721A40"/>
    <w:rsid w:val="007223E4"/>
    <w:rsid w:val="00723100"/>
    <w:rsid w:val="0072406A"/>
    <w:rsid w:val="007256CF"/>
    <w:rsid w:val="0072782D"/>
    <w:rsid w:val="00730784"/>
    <w:rsid w:val="007307EB"/>
    <w:rsid w:val="00731E89"/>
    <w:rsid w:val="00732EF5"/>
    <w:rsid w:val="00733F0B"/>
    <w:rsid w:val="00735490"/>
    <w:rsid w:val="0073652B"/>
    <w:rsid w:val="00736769"/>
    <w:rsid w:val="0073753D"/>
    <w:rsid w:val="007376C5"/>
    <w:rsid w:val="00740E33"/>
    <w:rsid w:val="0074112C"/>
    <w:rsid w:val="00744A18"/>
    <w:rsid w:val="00745310"/>
    <w:rsid w:val="00745E16"/>
    <w:rsid w:val="00746142"/>
    <w:rsid w:val="00752118"/>
    <w:rsid w:val="00755845"/>
    <w:rsid w:val="007559CF"/>
    <w:rsid w:val="00756DAC"/>
    <w:rsid w:val="0076051A"/>
    <w:rsid w:val="00761FFA"/>
    <w:rsid w:val="00764364"/>
    <w:rsid w:val="00764F0F"/>
    <w:rsid w:val="007675E5"/>
    <w:rsid w:val="00767AAA"/>
    <w:rsid w:val="00771968"/>
    <w:rsid w:val="00772FBF"/>
    <w:rsid w:val="007737BE"/>
    <w:rsid w:val="00781353"/>
    <w:rsid w:val="007825D9"/>
    <w:rsid w:val="00785B81"/>
    <w:rsid w:val="00790A7E"/>
    <w:rsid w:val="00791FED"/>
    <w:rsid w:val="00792B8D"/>
    <w:rsid w:val="00793752"/>
    <w:rsid w:val="00793E99"/>
    <w:rsid w:val="00793EE2"/>
    <w:rsid w:val="00795649"/>
    <w:rsid w:val="00795CE0"/>
    <w:rsid w:val="007971FE"/>
    <w:rsid w:val="007A36BA"/>
    <w:rsid w:val="007A65C2"/>
    <w:rsid w:val="007A6FD7"/>
    <w:rsid w:val="007B1A7C"/>
    <w:rsid w:val="007B219E"/>
    <w:rsid w:val="007B21F5"/>
    <w:rsid w:val="007B226B"/>
    <w:rsid w:val="007B59A7"/>
    <w:rsid w:val="007B5E67"/>
    <w:rsid w:val="007C02DA"/>
    <w:rsid w:val="007C0DC3"/>
    <w:rsid w:val="007C1A39"/>
    <w:rsid w:val="007C35DE"/>
    <w:rsid w:val="007C545C"/>
    <w:rsid w:val="007C7F8E"/>
    <w:rsid w:val="007C7FBE"/>
    <w:rsid w:val="007D0032"/>
    <w:rsid w:val="007D39A9"/>
    <w:rsid w:val="007D467B"/>
    <w:rsid w:val="007D5232"/>
    <w:rsid w:val="007D5401"/>
    <w:rsid w:val="007D563E"/>
    <w:rsid w:val="007D5C9F"/>
    <w:rsid w:val="007D5D43"/>
    <w:rsid w:val="007D6AF2"/>
    <w:rsid w:val="007D749D"/>
    <w:rsid w:val="007E2562"/>
    <w:rsid w:val="007E6515"/>
    <w:rsid w:val="007E69DA"/>
    <w:rsid w:val="007E75A6"/>
    <w:rsid w:val="007F25DE"/>
    <w:rsid w:val="007F43C1"/>
    <w:rsid w:val="00800EC5"/>
    <w:rsid w:val="00804186"/>
    <w:rsid w:val="00804870"/>
    <w:rsid w:val="0080652B"/>
    <w:rsid w:val="00810659"/>
    <w:rsid w:val="0081069C"/>
    <w:rsid w:val="00811F82"/>
    <w:rsid w:val="00813557"/>
    <w:rsid w:val="008139D4"/>
    <w:rsid w:val="008139DB"/>
    <w:rsid w:val="00813AFE"/>
    <w:rsid w:val="0081453A"/>
    <w:rsid w:val="008147E5"/>
    <w:rsid w:val="008155BB"/>
    <w:rsid w:val="00815B58"/>
    <w:rsid w:val="0081630F"/>
    <w:rsid w:val="00816A06"/>
    <w:rsid w:val="00817614"/>
    <w:rsid w:val="008179AB"/>
    <w:rsid w:val="008204A9"/>
    <w:rsid w:val="008206CA"/>
    <w:rsid w:val="00821919"/>
    <w:rsid w:val="008220EE"/>
    <w:rsid w:val="008227DE"/>
    <w:rsid w:val="00822872"/>
    <w:rsid w:val="00822888"/>
    <w:rsid w:val="00823CE7"/>
    <w:rsid w:val="0082453D"/>
    <w:rsid w:val="00825A70"/>
    <w:rsid w:val="00830E46"/>
    <w:rsid w:val="008312A3"/>
    <w:rsid w:val="008316AD"/>
    <w:rsid w:val="0083207D"/>
    <w:rsid w:val="008321F1"/>
    <w:rsid w:val="008326C3"/>
    <w:rsid w:val="00832B7C"/>
    <w:rsid w:val="008335E4"/>
    <w:rsid w:val="008340C4"/>
    <w:rsid w:val="00834155"/>
    <w:rsid w:val="00834E4D"/>
    <w:rsid w:val="008351C6"/>
    <w:rsid w:val="00836C64"/>
    <w:rsid w:val="00837421"/>
    <w:rsid w:val="00840E5A"/>
    <w:rsid w:val="0084216E"/>
    <w:rsid w:val="008430C5"/>
    <w:rsid w:val="0084365C"/>
    <w:rsid w:val="0084560A"/>
    <w:rsid w:val="0084698F"/>
    <w:rsid w:val="00846994"/>
    <w:rsid w:val="008469E8"/>
    <w:rsid w:val="00847D1F"/>
    <w:rsid w:val="00850B1E"/>
    <w:rsid w:val="00850D93"/>
    <w:rsid w:val="00850E4D"/>
    <w:rsid w:val="00851276"/>
    <w:rsid w:val="0085189B"/>
    <w:rsid w:val="00851B5E"/>
    <w:rsid w:val="00852BD2"/>
    <w:rsid w:val="00854590"/>
    <w:rsid w:val="008552CC"/>
    <w:rsid w:val="008563DF"/>
    <w:rsid w:val="00863E40"/>
    <w:rsid w:val="00863EFE"/>
    <w:rsid w:val="008661FA"/>
    <w:rsid w:val="0087275E"/>
    <w:rsid w:val="00873AA8"/>
    <w:rsid w:val="0087431B"/>
    <w:rsid w:val="0087445E"/>
    <w:rsid w:val="00875B41"/>
    <w:rsid w:val="00876A9A"/>
    <w:rsid w:val="008779A2"/>
    <w:rsid w:val="00880B6F"/>
    <w:rsid w:val="00882404"/>
    <w:rsid w:val="008855B2"/>
    <w:rsid w:val="00886CE1"/>
    <w:rsid w:val="008872CC"/>
    <w:rsid w:val="008874F8"/>
    <w:rsid w:val="008926C9"/>
    <w:rsid w:val="00893018"/>
    <w:rsid w:val="00893184"/>
    <w:rsid w:val="008A0A45"/>
    <w:rsid w:val="008A0B17"/>
    <w:rsid w:val="008A0C57"/>
    <w:rsid w:val="008A10C6"/>
    <w:rsid w:val="008A2E0B"/>
    <w:rsid w:val="008A3FEA"/>
    <w:rsid w:val="008A58C5"/>
    <w:rsid w:val="008B06B7"/>
    <w:rsid w:val="008B1B2F"/>
    <w:rsid w:val="008B3194"/>
    <w:rsid w:val="008B3DE3"/>
    <w:rsid w:val="008B4587"/>
    <w:rsid w:val="008B515D"/>
    <w:rsid w:val="008C28DA"/>
    <w:rsid w:val="008C5CC7"/>
    <w:rsid w:val="008C62A7"/>
    <w:rsid w:val="008C71EE"/>
    <w:rsid w:val="008C734C"/>
    <w:rsid w:val="008D0685"/>
    <w:rsid w:val="008D1502"/>
    <w:rsid w:val="008D49A1"/>
    <w:rsid w:val="008D64BC"/>
    <w:rsid w:val="008E13EE"/>
    <w:rsid w:val="008E16E7"/>
    <w:rsid w:val="008E1E15"/>
    <w:rsid w:val="008E31EC"/>
    <w:rsid w:val="008E3406"/>
    <w:rsid w:val="008E366D"/>
    <w:rsid w:val="008E42AD"/>
    <w:rsid w:val="008E4347"/>
    <w:rsid w:val="008E66B4"/>
    <w:rsid w:val="008E6F7C"/>
    <w:rsid w:val="008F1BB0"/>
    <w:rsid w:val="008F2CE2"/>
    <w:rsid w:val="008F2D0A"/>
    <w:rsid w:val="008F2F77"/>
    <w:rsid w:val="00901FC7"/>
    <w:rsid w:val="0090206B"/>
    <w:rsid w:val="00904F6F"/>
    <w:rsid w:val="00906ED2"/>
    <w:rsid w:val="00907BE7"/>
    <w:rsid w:val="00910E1E"/>
    <w:rsid w:val="0091111B"/>
    <w:rsid w:val="00913DAD"/>
    <w:rsid w:val="00913F29"/>
    <w:rsid w:val="00914513"/>
    <w:rsid w:val="009167BD"/>
    <w:rsid w:val="0091734F"/>
    <w:rsid w:val="0092014B"/>
    <w:rsid w:val="00920373"/>
    <w:rsid w:val="009213C9"/>
    <w:rsid w:val="00921A05"/>
    <w:rsid w:val="00922833"/>
    <w:rsid w:val="00924B95"/>
    <w:rsid w:val="0092731C"/>
    <w:rsid w:val="00927651"/>
    <w:rsid w:val="00930872"/>
    <w:rsid w:val="00933352"/>
    <w:rsid w:val="009348D2"/>
    <w:rsid w:val="009350C0"/>
    <w:rsid w:val="009354D0"/>
    <w:rsid w:val="00936A16"/>
    <w:rsid w:val="00936CCD"/>
    <w:rsid w:val="00941A18"/>
    <w:rsid w:val="00941DA6"/>
    <w:rsid w:val="0094450B"/>
    <w:rsid w:val="00945FDA"/>
    <w:rsid w:val="00946F0C"/>
    <w:rsid w:val="00947ACB"/>
    <w:rsid w:val="00950731"/>
    <w:rsid w:val="00952E97"/>
    <w:rsid w:val="00953ABB"/>
    <w:rsid w:val="0095428A"/>
    <w:rsid w:val="00954624"/>
    <w:rsid w:val="00955666"/>
    <w:rsid w:val="00956EA8"/>
    <w:rsid w:val="00957B95"/>
    <w:rsid w:val="00960147"/>
    <w:rsid w:val="00960F18"/>
    <w:rsid w:val="00961323"/>
    <w:rsid w:val="00961D26"/>
    <w:rsid w:val="00962716"/>
    <w:rsid w:val="009663F0"/>
    <w:rsid w:val="0096680A"/>
    <w:rsid w:val="009676E5"/>
    <w:rsid w:val="00972033"/>
    <w:rsid w:val="0097212E"/>
    <w:rsid w:val="0097335B"/>
    <w:rsid w:val="00973830"/>
    <w:rsid w:val="009743DC"/>
    <w:rsid w:val="00976222"/>
    <w:rsid w:val="009808D7"/>
    <w:rsid w:val="00982751"/>
    <w:rsid w:val="00982B7D"/>
    <w:rsid w:val="009842FC"/>
    <w:rsid w:val="00986A7F"/>
    <w:rsid w:val="00987C6E"/>
    <w:rsid w:val="009902CE"/>
    <w:rsid w:val="009918FF"/>
    <w:rsid w:val="00991A8A"/>
    <w:rsid w:val="009947E2"/>
    <w:rsid w:val="00997707"/>
    <w:rsid w:val="009A0940"/>
    <w:rsid w:val="009A0DFB"/>
    <w:rsid w:val="009A1654"/>
    <w:rsid w:val="009A3E38"/>
    <w:rsid w:val="009A48F5"/>
    <w:rsid w:val="009A4D7A"/>
    <w:rsid w:val="009A56BE"/>
    <w:rsid w:val="009A76F9"/>
    <w:rsid w:val="009B2F7C"/>
    <w:rsid w:val="009B5450"/>
    <w:rsid w:val="009B6ED9"/>
    <w:rsid w:val="009B6EE2"/>
    <w:rsid w:val="009C0FFA"/>
    <w:rsid w:val="009C38BF"/>
    <w:rsid w:val="009C4524"/>
    <w:rsid w:val="009C71F2"/>
    <w:rsid w:val="009D013B"/>
    <w:rsid w:val="009D02C8"/>
    <w:rsid w:val="009D1419"/>
    <w:rsid w:val="009D73B8"/>
    <w:rsid w:val="009D780D"/>
    <w:rsid w:val="009E432F"/>
    <w:rsid w:val="009E6865"/>
    <w:rsid w:val="009F3985"/>
    <w:rsid w:val="009F599B"/>
    <w:rsid w:val="009F5C71"/>
    <w:rsid w:val="009F7716"/>
    <w:rsid w:val="00A001C6"/>
    <w:rsid w:val="00A04769"/>
    <w:rsid w:val="00A07037"/>
    <w:rsid w:val="00A078F6"/>
    <w:rsid w:val="00A109F9"/>
    <w:rsid w:val="00A13855"/>
    <w:rsid w:val="00A13CF7"/>
    <w:rsid w:val="00A147A1"/>
    <w:rsid w:val="00A155D1"/>
    <w:rsid w:val="00A15FD8"/>
    <w:rsid w:val="00A17832"/>
    <w:rsid w:val="00A2376A"/>
    <w:rsid w:val="00A24A7A"/>
    <w:rsid w:val="00A24E1B"/>
    <w:rsid w:val="00A302A2"/>
    <w:rsid w:val="00A30B3E"/>
    <w:rsid w:val="00A3221E"/>
    <w:rsid w:val="00A32AAF"/>
    <w:rsid w:val="00A32B5C"/>
    <w:rsid w:val="00A33804"/>
    <w:rsid w:val="00A33E2B"/>
    <w:rsid w:val="00A35EE4"/>
    <w:rsid w:val="00A400E6"/>
    <w:rsid w:val="00A402CE"/>
    <w:rsid w:val="00A40D54"/>
    <w:rsid w:val="00A40E37"/>
    <w:rsid w:val="00A433A0"/>
    <w:rsid w:val="00A43B84"/>
    <w:rsid w:val="00A440D8"/>
    <w:rsid w:val="00A44BBD"/>
    <w:rsid w:val="00A4507F"/>
    <w:rsid w:val="00A46AB2"/>
    <w:rsid w:val="00A50251"/>
    <w:rsid w:val="00A50267"/>
    <w:rsid w:val="00A522B6"/>
    <w:rsid w:val="00A53863"/>
    <w:rsid w:val="00A539DE"/>
    <w:rsid w:val="00A53DD6"/>
    <w:rsid w:val="00A54CFF"/>
    <w:rsid w:val="00A54D9F"/>
    <w:rsid w:val="00A567D2"/>
    <w:rsid w:val="00A62132"/>
    <w:rsid w:val="00A62C17"/>
    <w:rsid w:val="00A66669"/>
    <w:rsid w:val="00A66EEF"/>
    <w:rsid w:val="00A6740E"/>
    <w:rsid w:val="00A70DF8"/>
    <w:rsid w:val="00A72419"/>
    <w:rsid w:val="00A7532E"/>
    <w:rsid w:val="00A76A64"/>
    <w:rsid w:val="00A772D0"/>
    <w:rsid w:val="00A803E1"/>
    <w:rsid w:val="00A80467"/>
    <w:rsid w:val="00A8094B"/>
    <w:rsid w:val="00A81880"/>
    <w:rsid w:val="00A84109"/>
    <w:rsid w:val="00A86020"/>
    <w:rsid w:val="00A916D8"/>
    <w:rsid w:val="00A924F4"/>
    <w:rsid w:val="00A9251A"/>
    <w:rsid w:val="00A936DF"/>
    <w:rsid w:val="00A958CC"/>
    <w:rsid w:val="00A96DC2"/>
    <w:rsid w:val="00AA0B47"/>
    <w:rsid w:val="00AA1C46"/>
    <w:rsid w:val="00AA22CC"/>
    <w:rsid w:val="00AA3739"/>
    <w:rsid w:val="00AA58A9"/>
    <w:rsid w:val="00AA6A8F"/>
    <w:rsid w:val="00AB0305"/>
    <w:rsid w:val="00AB4832"/>
    <w:rsid w:val="00AC1B16"/>
    <w:rsid w:val="00AC274B"/>
    <w:rsid w:val="00AC53BF"/>
    <w:rsid w:val="00AD199E"/>
    <w:rsid w:val="00AD35B3"/>
    <w:rsid w:val="00AD438E"/>
    <w:rsid w:val="00AD443E"/>
    <w:rsid w:val="00AD46A6"/>
    <w:rsid w:val="00AD5190"/>
    <w:rsid w:val="00AD5DAF"/>
    <w:rsid w:val="00AD635B"/>
    <w:rsid w:val="00AD6B3C"/>
    <w:rsid w:val="00AD6F20"/>
    <w:rsid w:val="00AD7434"/>
    <w:rsid w:val="00AE19C1"/>
    <w:rsid w:val="00AE1E57"/>
    <w:rsid w:val="00AE24DA"/>
    <w:rsid w:val="00AE2881"/>
    <w:rsid w:val="00AE4B89"/>
    <w:rsid w:val="00AE5207"/>
    <w:rsid w:val="00AE5489"/>
    <w:rsid w:val="00AE717F"/>
    <w:rsid w:val="00AE7A46"/>
    <w:rsid w:val="00AE7C61"/>
    <w:rsid w:val="00AF06F5"/>
    <w:rsid w:val="00AF2E45"/>
    <w:rsid w:val="00AF3CAC"/>
    <w:rsid w:val="00AF67A9"/>
    <w:rsid w:val="00AF74C2"/>
    <w:rsid w:val="00B015C5"/>
    <w:rsid w:val="00B02870"/>
    <w:rsid w:val="00B031A1"/>
    <w:rsid w:val="00B04621"/>
    <w:rsid w:val="00B05EB2"/>
    <w:rsid w:val="00B10021"/>
    <w:rsid w:val="00B11EE7"/>
    <w:rsid w:val="00B12765"/>
    <w:rsid w:val="00B139C9"/>
    <w:rsid w:val="00B156EF"/>
    <w:rsid w:val="00B167AF"/>
    <w:rsid w:val="00B16A25"/>
    <w:rsid w:val="00B177D4"/>
    <w:rsid w:val="00B20DCC"/>
    <w:rsid w:val="00B21582"/>
    <w:rsid w:val="00B21AA6"/>
    <w:rsid w:val="00B21DB0"/>
    <w:rsid w:val="00B21FD2"/>
    <w:rsid w:val="00B229C6"/>
    <w:rsid w:val="00B237AB"/>
    <w:rsid w:val="00B239DB"/>
    <w:rsid w:val="00B24295"/>
    <w:rsid w:val="00B268D7"/>
    <w:rsid w:val="00B3022D"/>
    <w:rsid w:val="00B31FD9"/>
    <w:rsid w:val="00B32E27"/>
    <w:rsid w:val="00B32EE7"/>
    <w:rsid w:val="00B40F9A"/>
    <w:rsid w:val="00B46323"/>
    <w:rsid w:val="00B475D5"/>
    <w:rsid w:val="00B5215C"/>
    <w:rsid w:val="00B521D3"/>
    <w:rsid w:val="00B52DC5"/>
    <w:rsid w:val="00B53CD3"/>
    <w:rsid w:val="00B5705F"/>
    <w:rsid w:val="00B57A2E"/>
    <w:rsid w:val="00B605D4"/>
    <w:rsid w:val="00B607D1"/>
    <w:rsid w:val="00B61A98"/>
    <w:rsid w:val="00B64489"/>
    <w:rsid w:val="00B66F16"/>
    <w:rsid w:val="00B6787C"/>
    <w:rsid w:val="00B70E1B"/>
    <w:rsid w:val="00B73094"/>
    <w:rsid w:val="00B73B5A"/>
    <w:rsid w:val="00B7427C"/>
    <w:rsid w:val="00B74509"/>
    <w:rsid w:val="00B775ED"/>
    <w:rsid w:val="00B80B74"/>
    <w:rsid w:val="00B80D49"/>
    <w:rsid w:val="00B80F0B"/>
    <w:rsid w:val="00B82270"/>
    <w:rsid w:val="00B8238B"/>
    <w:rsid w:val="00B82ABD"/>
    <w:rsid w:val="00B83E8B"/>
    <w:rsid w:val="00B849D9"/>
    <w:rsid w:val="00B84D78"/>
    <w:rsid w:val="00B85404"/>
    <w:rsid w:val="00B90AD0"/>
    <w:rsid w:val="00B92471"/>
    <w:rsid w:val="00B92865"/>
    <w:rsid w:val="00B928EE"/>
    <w:rsid w:val="00B945F9"/>
    <w:rsid w:val="00B972EE"/>
    <w:rsid w:val="00B97440"/>
    <w:rsid w:val="00B9787B"/>
    <w:rsid w:val="00BA0161"/>
    <w:rsid w:val="00BA1A50"/>
    <w:rsid w:val="00BA1D8C"/>
    <w:rsid w:val="00BA2584"/>
    <w:rsid w:val="00BA399F"/>
    <w:rsid w:val="00BA4920"/>
    <w:rsid w:val="00BA69E3"/>
    <w:rsid w:val="00BA78EA"/>
    <w:rsid w:val="00BB21C2"/>
    <w:rsid w:val="00BB254B"/>
    <w:rsid w:val="00BB36E4"/>
    <w:rsid w:val="00BB47B5"/>
    <w:rsid w:val="00BB4F61"/>
    <w:rsid w:val="00BB69BC"/>
    <w:rsid w:val="00BC1550"/>
    <w:rsid w:val="00BC1E92"/>
    <w:rsid w:val="00BC348B"/>
    <w:rsid w:val="00BC370F"/>
    <w:rsid w:val="00BC4235"/>
    <w:rsid w:val="00BC4322"/>
    <w:rsid w:val="00BC4BB6"/>
    <w:rsid w:val="00BC6683"/>
    <w:rsid w:val="00BC6D36"/>
    <w:rsid w:val="00BD566E"/>
    <w:rsid w:val="00BE0BB0"/>
    <w:rsid w:val="00BE1530"/>
    <w:rsid w:val="00BE17B3"/>
    <w:rsid w:val="00BE1FE7"/>
    <w:rsid w:val="00BE2A4C"/>
    <w:rsid w:val="00BE2CC5"/>
    <w:rsid w:val="00BE453E"/>
    <w:rsid w:val="00BE4BD9"/>
    <w:rsid w:val="00BE5D2B"/>
    <w:rsid w:val="00BE73E7"/>
    <w:rsid w:val="00BF0370"/>
    <w:rsid w:val="00BF1F19"/>
    <w:rsid w:val="00BF3F5F"/>
    <w:rsid w:val="00BF4416"/>
    <w:rsid w:val="00BF453C"/>
    <w:rsid w:val="00BF4D37"/>
    <w:rsid w:val="00BF586B"/>
    <w:rsid w:val="00BF64DD"/>
    <w:rsid w:val="00C011CE"/>
    <w:rsid w:val="00C01385"/>
    <w:rsid w:val="00C0201E"/>
    <w:rsid w:val="00C02DA9"/>
    <w:rsid w:val="00C043F9"/>
    <w:rsid w:val="00C048BC"/>
    <w:rsid w:val="00C04A55"/>
    <w:rsid w:val="00C06AF4"/>
    <w:rsid w:val="00C06C9F"/>
    <w:rsid w:val="00C1037E"/>
    <w:rsid w:val="00C13029"/>
    <w:rsid w:val="00C14C54"/>
    <w:rsid w:val="00C16462"/>
    <w:rsid w:val="00C16A02"/>
    <w:rsid w:val="00C20DFB"/>
    <w:rsid w:val="00C21DDA"/>
    <w:rsid w:val="00C227DC"/>
    <w:rsid w:val="00C26824"/>
    <w:rsid w:val="00C26941"/>
    <w:rsid w:val="00C27197"/>
    <w:rsid w:val="00C2793D"/>
    <w:rsid w:val="00C33440"/>
    <w:rsid w:val="00C33E50"/>
    <w:rsid w:val="00C3539D"/>
    <w:rsid w:val="00C356EC"/>
    <w:rsid w:val="00C35B3D"/>
    <w:rsid w:val="00C376BB"/>
    <w:rsid w:val="00C37E1E"/>
    <w:rsid w:val="00C4017D"/>
    <w:rsid w:val="00C40870"/>
    <w:rsid w:val="00C41C92"/>
    <w:rsid w:val="00C500B0"/>
    <w:rsid w:val="00C502C3"/>
    <w:rsid w:val="00C50ACC"/>
    <w:rsid w:val="00C52C11"/>
    <w:rsid w:val="00C52C54"/>
    <w:rsid w:val="00C53CEC"/>
    <w:rsid w:val="00C56562"/>
    <w:rsid w:val="00C57932"/>
    <w:rsid w:val="00C603EB"/>
    <w:rsid w:val="00C624D2"/>
    <w:rsid w:val="00C62B39"/>
    <w:rsid w:val="00C630DA"/>
    <w:rsid w:val="00C64C49"/>
    <w:rsid w:val="00C64CF9"/>
    <w:rsid w:val="00C710CD"/>
    <w:rsid w:val="00C7365A"/>
    <w:rsid w:val="00C73BBF"/>
    <w:rsid w:val="00C73C39"/>
    <w:rsid w:val="00C7504D"/>
    <w:rsid w:val="00C820B2"/>
    <w:rsid w:val="00C82475"/>
    <w:rsid w:val="00C824F6"/>
    <w:rsid w:val="00C8532F"/>
    <w:rsid w:val="00C904CF"/>
    <w:rsid w:val="00C913B2"/>
    <w:rsid w:val="00C927E9"/>
    <w:rsid w:val="00C92B8B"/>
    <w:rsid w:val="00C9347D"/>
    <w:rsid w:val="00C94B06"/>
    <w:rsid w:val="00C955FF"/>
    <w:rsid w:val="00C96003"/>
    <w:rsid w:val="00C96C22"/>
    <w:rsid w:val="00CA0298"/>
    <w:rsid w:val="00CA543B"/>
    <w:rsid w:val="00CA626C"/>
    <w:rsid w:val="00CA6586"/>
    <w:rsid w:val="00CA7B57"/>
    <w:rsid w:val="00CB033A"/>
    <w:rsid w:val="00CB2637"/>
    <w:rsid w:val="00CB3299"/>
    <w:rsid w:val="00CB530B"/>
    <w:rsid w:val="00CB5F08"/>
    <w:rsid w:val="00CB7B5F"/>
    <w:rsid w:val="00CC0CDD"/>
    <w:rsid w:val="00CC1976"/>
    <w:rsid w:val="00CC1E02"/>
    <w:rsid w:val="00CC2AA7"/>
    <w:rsid w:val="00CC6E93"/>
    <w:rsid w:val="00CD137F"/>
    <w:rsid w:val="00CD3D68"/>
    <w:rsid w:val="00CD7D1B"/>
    <w:rsid w:val="00CE1C71"/>
    <w:rsid w:val="00CE1E0A"/>
    <w:rsid w:val="00CE3BAC"/>
    <w:rsid w:val="00CE4060"/>
    <w:rsid w:val="00CE61F6"/>
    <w:rsid w:val="00CE76A3"/>
    <w:rsid w:val="00CF04C4"/>
    <w:rsid w:val="00CF0BBB"/>
    <w:rsid w:val="00CF10C4"/>
    <w:rsid w:val="00CF1DDF"/>
    <w:rsid w:val="00CF250F"/>
    <w:rsid w:val="00CF2584"/>
    <w:rsid w:val="00CF3472"/>
    <w:rsid w:val="00CF6E0C"/>
    <w:rsid w:val="00CF7A44"/>
    <w:rsid w:val="00D0175B"/>
    <w:rsid w:val="00D02025"/>
    <w:rsid w:val="00D047AE"/>
    <w:rsid w:val="00D06994"/>
    <w:rsid w:val="00D07CAA"/>
    <w:rsid w:val="00D10C34"/>
    <w:rsid w:val="00D10FA9"/>
    <w:rsid w:val="00D10FEB"/>
    <w:rsid w:val="00D12DFB"/>
    <w:rsid w:val="00D1472D"/>
    <w:rsid w:val="00D160AD"/>
    <w:rsid w:val="00D16F19"/>
    <w:rsid w:val="00D21910"/>
    <w:rsid w:val="00D223AD"/>
    <w:rsid w:val="00D24721"/>
    <w:rsid w:val="00D25CF4"/>
    <w:rsid w:val="00D2751E"/>
    <w:rsid w:val="00D27997"/>
    <w:rsid w:val="00D3016E"/>
    <w:rsid w:val="00D31083"/>
    <w:rsid w:val="00D31534"/>
    <w:rsid w:val="00D31FF1"/>
    <w:rsid w:val="00D325B8"/>
    <w:rsid w:val="00D332DC"/>
    <w:rsid w:val="00D334E9"/>
    <w:rsid w:val="00D33C07"/>
    <w:rsid w:val="00D3437C"/>
    <w:rsid w:val="00D34C74"/>
    <w:rsid w:val="00D355E8"/>
    <w:rsid w:val="00D374C5"/>
    <w:rsid w:val="00D41040"/>
    <w:rsid w:val="00D41BB8"/>
    <w:rsid w:val="00D43A5B"/>
    <w:rsid w:val="00D45491"/>
    <w:rsid w:val="00D470D4"/>
    <w:rsid w:val="00D47DDA"/>
    <w:rsid w:val="00D51381"/>
    <w:rsid w:val="00D51D1B"/>
    <w:rsid w:val="00D531D9"/>
    <w:rsid w:val="00D539F5"/>
    <w:rsid w:val="00D56290"/>
    <w:rsid w:val="00D61A7E"/>
    <w:rsid w:val="00D64DC3"/>
    <w:rsid w:val="00D669B8"/>
    <w:rsid w:val="00D66AB3"/>
    <w:rsid w:val="00D66ED9"/>
    <w:rsid w:val="00D702DE"/>
    <w:rsid w:val="00D71AC5"/>
    <w:rsid w:val="00D71F29"/>
    <w:rsid w:val="00D74A12"/>
    <w:rsid w:val="00D7545D"/>
    <w:rsid w:val="00D76D33"/>
    <w:rsid w:val="00D7730B"/>
    <w:rsid w:val="00D77CF6"/>
    <w:rsid w:val="00D809CC"/>
    <w:rsid w:val="00D8460B"/>
    <w:rsid w:val="00D8540F"/>
    <w:rsid w:val="00D8588C"/>
    <w:rsid w:val="00D85A24"/>
    <w:rsid w:val="00D87D6C"/>
    <w:rsid w:val="00D87D7B"/>
    <w:rsid w:val="00D90F8B"/>
    <w:rsid w:val="00D955A6"/>
    <w:rsid w:val="00D95984"/>
    <w:rsid w:val="00DA00F9"/>
    <w:rsid w:val="00DA16DA"/>
    <w:rsid w:val="00DA4BFB"/>
    <w:rsid w:val="00DA6312"/>
    <w:rsid w:val="00DA7658"/>
    <w:rsid w:val="00DA78D5"/>
    <w:rsid w:val="00DB001F"/>
    <w:rsid w:val="00DB0533"/>
    <w:rsid w:val="00DB3347"/>
    <w:rsid w:val="00DB5714"/>
    <w:rsid w:val="00DB58CD"/>
    <w:rsid w:val="00DB58ED"/>
    <w:rsid w:val="00DB69AE"/>
    <w:rsid w:val="00DB69FB"/>
    <w:rsid w:val="00DB6B69"/>
    <w:rsid w:val="00DC0AF7"/>
    <w:rsid w:val="00DC0F41"/>
    <w:rsid w:val="00DC347A"/>
    <w:rsid w:val="00DC3DD5"/>
    <w:rsid w:val="00DC43C1"/>
    <w:rsid w:val="00DC562B"/>
    <w:rsid w:val="00DC73DA"/>
    <w:rsid w:val="00DD1489"/>
    <w:rsid w:val="00DD1594"/>
    <w:rsid w:val="00DD3343"/>
    <w:rsid w:val="00DD4B39"/>
    <w:rsid w:val="00DD5585"/>
    <w:rsid w:val="00DE0C38"/>
    <w:rsid w:val="00DE35E6"/>
    <w:rsid w:val="00DE37CD"/>
    <w:rsid w:val="00DE482E"/>
    <w:rsid w:val="00DF0B85"/>
    <w:rsid w:val="00DF1A25"/>
    <w:rsid w:val="00DF1BAF"/>
    <w:rsid w:val="00DF2885"/>
    <w:rsid w:val="00DF30EF"/>
    <w:rsid w:val="00DF3C27"/>
    <w:rsid w:val="00DF6F6C"/>
    <w:rsid w:val="00E00076"/>
    <w:rsid w:val="00E00C0A"/>
    <w:rsid w:val="00E03443"/>
    <w:rsid w:val="00E03F67"/>
    <w:rsid w:val="00E046D2"/>
    <w:rsid w:val="00E10959"/>
    <w:rsid w:val="00E1104A"/>
    <w:rsid w:val="00E122C0"/>
    <w:rsid w:val="00E132AC"/>
    <w:rsid w:val="00E14866"/>
    <w:rsid w:val="00E151FC"/>
    <w:rsid w:val="00E17C86"/>
    <w:rsid w:val="00E20DB4"/>
    <w:rsid w:val="00E24287"/>
    <w:rsid w:val="00E25034"/>
    <w:rsid w:val="00E25CC3"/>
    <w:rsid w:val="00E26971"/>
    <w:rsid w:val="00E2776F"/>
    <w:rsid w:val="00E32E2B"/>
    <w:rsid w:val="00E340A3"/>
    <w:rsid w:val="00E34237"/>
    <w:rsid w:val="00E35879"/>
    <w:rsid w:val="00E36711"/>
    <w:rsid w:val="00E36ACB"/>
    <w:rsid w:val="00E36CEA"/>
    <w:rsid w:val="00E36FC2"/>
    <w:rsid w:val="00E40B59"/>
    <w:rsid w:val="00E4327D"/>
    <w:rsid w:val="00E437E4"/>
    <w:rsid w:val="00E50ECF"/>
    <w:rsid w:val="00E53E77"/>
    <w:rsid w:val="00E54FB1"/>
    <w:rsid w:val="00E56A91"/>
    <w:rsid w:val="00E57C5A"/>
    <w:rsid w:val="00E611B3"/>
    <w:rsid w:val="00E61F19"/>
    <w:rsid w:val="00E626AB"/>
    <w:rsid w:val="00E62871"/>
    <w:rsid w:val="00E6408F"/>
    <w:rsid w:val="00E64869"/>
    <w:rsid w:val="00E64C69"/>
    <w:rsid w:val="00E64FD0"/>
    <w:rsid w:val="00E65C66"/>
    <w:rsid w:val="00E67239"/>
    <w:rsid w:val="00E708FA"/>
    <w:rsid w:val="00E7165B"/>
    <w:rsid w:val="00E72B21"/>
    <w:rsid w:val="00E73389"/>
    <w:rsid w:val="00E738DE"/>
    <w:rsid w:val="00E759EE"/>
    <w:rsid w:val="00E80871"/>
    <w:rsid w:val="00E81567"/>
    <w:rsid w:val="00E87E6D"/>
    <w:rsid w:val="00E90848"/>
    <w:rsid w:val="00E914B4"/>
    <w:rsid w:val="00E940E4"/>
    <w:rsid w:val="00E95FCE"/>
    <w:rsid w:val="00E96820"/>
    <w:rsid w:val="00E97629"/>
    <w:rsid w:val="00EA1D20"/>
    <w:rsid w:val="00EA3F19"/>
    <w:rsid w:val="00EA6C23"/>
    <w:rsid w:val="00EA7421"/>
    <w:rsid w:val="00EB054E"/>
    <w:rsid w:val="00EB38C3"/>
    <w:rsid w:val="00EB424F"/>
    <w:rsid w:val="00EB65B6"/>
    <w:rsid w:val="00EC0193"/>
    <w:rsid w:val="00EC0657"/>
    <w:rsid w:val="00EC0AEB"/>
    <w:rsid w:val="00EC268E"/>
    <w:rsid w:val="00EC5F30"/>
    <w:rsid w:val="00EC68F7"/>
    <w:rsid w:val="00EC70A7"/>
    <w:rsid w:val="00EC7CD6"/>
    <w:rsid w:val="00ED076C"/>
    <w:rsid w:val="00ED2C2D"/>
    <w:rsid w:val="00ED3620"/>
    <w:rsid w:val="00ED52E1"/>
    <w:rsid w:val="00ED5862"/>
    <w:rsid w:val="00ED5899"/>
    <w:rsid w:val="00EE043E"/>
    <w:rsid w:val="00EE06C1"/>
    <w:rsid w:val="00EE12F9"/>
    <w:rsid w:val="00EE1B83"/>
    <w:rsid w:val="00EE2603"/>
    <w:rsid w:val="00EE2CCC"/>
    <w:rsid w:val="00EE319E"/>
    <w:rsid w:val="00EE4919"/>
    <w:rsid w:val="00EE5178"/>
    <w:rsid w:val="00EE6FAA"/>
    <w:rsid w:val="00EE70EF"/>
    <w:rsid w:val="00EE735E"/>
    <w:rsid w:val="00EF0209"/>
    <w:rsid w:val="00EF1505"/>
    <w:rsid w:val="00EF2212"/>
    <w:rsid w:val="00EF3590"/>
    <w:rsid w:val="00EF426B"/>
    <w:rsid w:val="00EF5D40"/>
    <w:rsid w:val="00EF7B67"/>
    <w:rsid w:val="00F00577"/>
    <w:rsid w:val="00F03F8A"/>
    <w:rsid w:val="00F04D15"/>
    <w:rsid w:val="00F06540"/>
    <w:rsid w:val="00F0795B"/>
    <w:rsid w:val="00F10DFA"/>
    <w:rsid w:val="00F11BE1"/>
    <w:rsid w:val="00F145C0"/>
    <w:rsid w:val="00F16656"/>
    <w:rsid w:val="00F173EA"/>
    <w:rsid w:val="00F216AC"/>
    <w:rsid w:val="00F21C58"/>
    <w:rsid w:val="00F22DF3"/>
    <w:rsid w:val="00F22ECC"/>
    <w:rsid w:val="00F33484"/>
    <w:rsid w:val="00F362FB"/>
    <w:rsid w:val="00F375D5"/>
    <w:rsid w:val="00F378B5"/>
    <w:rsid w:val="00F41352"/>
    <w:rsid w:val="00F414CE"/>
    <w:rsid w:val="00F414E6"/>
    <w:rsid w:val="00F455AF"/>
    <w:rsid w:val="00F45B03"/>
    <w:rsid w:val="00F46F25"/>
    <w:rsid w:val="00F521A2"/>
    <w:rsid w:val="00F545E0"/>
    <w:rsid w:val="00F549E5"/>
    <w:rsid w:val="00F54BDB"/>
    <w:rsid w:val="00F55935"/>
    <w:rsid w:val="00F5672C"/>
    <w:rsid w:val="00F5763D"/>
    <w:rsid w:val="00F6136C"/>
    <w:rsid w:val="00F61737"/>
    <w:rsid w:val="00F61C6C"/>
    <w:rsid w:val="00F62DA4"/>
    <w:rsid w:val="00F64B9B"/>
    <w:rsid w:val="00F66927"/>
    <w:rsid w:val="00F70DFA"/>
    <w:rsid w:val="00F70F22"/>
    <w:rsid w:val="00F715E2"/>
    <w:rsid w:val="00F72179"/>
    <w:rsid w:val="00F7290A"/>
    <w:rsid w:val="00F7297C"/>
    <w:rsid w:val="00F74F88"/>
    <w:rsid w:val="00F7541B"/>
    <w:rsid w:val="00F75A7D"/>
    <w:rsid w:val="00F7645F"/>
    <w:rsid w:val="00F80821"/>
    <w:rsid w:val="00F81203"/>
    <w:rsid w:val="00F820F2"/>
    <w:rsid w:val="00F84EDB"/>
    <w:rsid w:val="00F91167"/>
    <w:rsid w:val="00F9187B"/>
    <w:rsid w:val="00F9194B"/>
    <w:rsid w:val="00F93CB2"/>
    <w:rsid w:val="00F957A1"/>
    <w:rsid w:val="00F962E5"/>
    <w:rsid w:val="00F96AE4"/>
    <w:rsid w:val="00FA1B54"/>
    <w:rsid w:val="00FA280B"/>
    <w:rsid w:val="00FA322F"/>
    <w:rsid w:val="00FA3796"/>
    <w:rsid w:val="00FA393E"/>
    <w:rsid w:val="00FA3DCD"/>
    <w:rsid w:val="00FA3FA2"/>
    <w:rsid w:val="00FA617A"/>
    <w:rsid w:val="00FA6920"/>
    <w:rsid w:val="00FA7607"/>
    <w:rsid w:val="00FB055A"/>
    <w:rsid w:val="00FB1E3F"/>
    <w:rsid w:val="00FB26BA"/>
    <w:rsid w:val="00FB3C65"/>
    <w:rsid w:val="00FB4942"/>
    <w:rsid w:val="00FB56CF"/>
    <w:rsid w:val="00FB5772"/>
    <w:rsid w:val="00FC0C25"/>
    <w:rsid w:val="00FC1CA6"/>
    <w:rsid w:val="00FC2ECE"/>
    <w:rsid w:val="00FC53F9"/>
    <w:rsid w:val="00FC56FA"/>
    <w:rsid w:val="00FC6F0F"/>
    <w:rsid w:val="00FC712D"/>
    <w:rsid w:val="00FD05FC"/>
    <w:rsid w:val="00FD1DB6"/>
    <w:rsid w:val="00FD4840"/>
    <w:rsid w:val="00FD6145"/>
    <w:rsid w:val="00FD7120"/>
    <w:rsid w:val="00FE19EB"/>
    <w:rsid w:val="00FE33E2"/>
    <w:rsid w:val="00FE5FE9"/>
    <w:rsid w:val="00FE67F9"/>
    <w:rsid w:val="00FE7BC3"/>
    <w:rsid w:val="00FE7C2C"/>
    <w:rsid w:val="00FE7E55"/>
    <w:rsid w:val="00FF1941"/>
    <w:rsid w:val="00FF2202"/>
    <w:rsid w:val="00FF23EB"/>
    <w:rsid w:val="00FF2815"/>
    <w:rsid w:val="00FF2C05"/>
    <w:rsid w:val="00FF3D4D"/>
    <w:rsid w:val="00FF51E7"/>
    <w:rsid w:val="00FF5B0F"/>
    <w:rsid w:val="00FF6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8C78EE"/>
  <w15:chartTrackingRefBased/>
  <w15:docId w15:val="{D70E3CDA-F816-46BA-8F2C-CD10B667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F5C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862D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B046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621"/>
    <w:rPr>
      <w:rFonts w:ascii="Segoe UI" w:hAnsi="Segoe UI" w:cs="Segoe UI"/>
      <w:sz w:val="18"/>
      <w:szCs w:val="18"/>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fn Char Char,ft,rrfootnote"/>
    <w:basedOn w:val="Normal"/>
    <w:link w:val="FootnoteTextChar"/>
    <w:uiPriority w:val="99"/>
    <w:qFormat/>
    <w:rsid w:val="00B04621"/>
    <w:pPr>
      <w:spacing w:after="120"/>
    </w:pPr>
    <w:rPr>
      <w:snapToGrid w:val="0"/>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basedOn w:val="DefaultParagraphFont"/>
    <w:link w:val="FootnoteText"/>
    <w:uiPriority w:val="99"/>
    <w:rsid w:val="00B04621"/>
    <w:rPr>
      <w:snapToGrid w:val="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sid w:val="00B04621"/>
    <w:rPr>
      <w:rFonts w:ascii="CG Times" w:hAnsi="CG Times"/>
      <w:sz w:val="20"/>
      <w:vertAlign w:val="superscript"/>
    </w:rPr>
  </w:style>
  <w:style w:type="paragraph" w:styleId="BodyText">
    <w:name w:val="Body Text"/>
    <w:basedOn w:val="Normal"/>
    <w:link w:val="BodyTextChar"/>
    <w:rsid w:val="00B04621"/>
    <w:pPr>
      <w:jc w:val="both"/>
    </w:pPr>
    <w:rPr>
      <w:sz w:val="24"/>
    </w:rPr>
  </w:style>
  <w:style w:type="character" w:customStyle="1" w:styleId="BodyTextChar">
    <w:name w:val="Body Text Char"/>
    <w:basedOn w:val="DefaultParagraphFont"/>
    <w:link w:val="BodyText"/>
    <w:rsid w:val="00B04621"/>
    <w:rPr>
      <w:sz w:val="24"/>
    </w:rPr>
  </w:style>
  <w:style w:type="character" w:customStyle="1" w:styleId="cosearchterm">
    <w:name w:val="co_searchterm"/>
    <w:rsid w:val="00B04621"/>
  </w:style>
  <w:style w:type="paragraph" w:styleId="EndnoteText">
    <w:name w:val="endnote text"/>
    <w:basedOn w:val="Normal"/>
    <w:link w:val="EndnoteTextChar"/>
    <w:rsid w:val="00B04621"/>
    <w:pPr>
      <w:widowControl w:val="0"/>
    </w:pPr>
    <w:rPr>
      <w:snapToGrid w:val="0"/>
      <w:sz w:val="24"/>
    </w:rPr>
  </w:style>
  <w:style w:type="character" w:customStyle="1" w:styleId="EndnoteTextChar">
    <w:name w:val="Endnote Text Char"/>
    <w:basedOn w:val="DefaultParagraphFont"/>
    <w:link w:val="EndnoteText"/>
    <w:rsid w:val="00B04621"/>
    <w:rPr>
      <w:snapToGrid w:val="0"/>
      <w:sz w:val="24"/>
    </w:rPr>
  </w:style>
  <w:style w:type="character" w:styleId="CommentReference">
    <w:name w:val="annotation reference"/>
    <w:basedOn w:val="DefaultParagraphFont"/>
    <w:uiPriority w:val="99"/>
    <w:semiHidden/>
    <w:unhideWhenUsed/>
    <w:rsid w:val="00B04621"/>
    <w:rPr>
      <w:sz w:val="16"/>
      <w:szCs w:val="16"/>
    </w:rPr>
  </w:style>
  <w:style w:type="paragraph" w:styleId="CommentText">
    <w:name w:val="annotation text"/>
    <w:basedOn w:val="Normal"/>
    <w:link w:val="CommentTextChar"/>
    <w:uiPriority w:val="99"/>
    <w:unhideWhenUsed/>
    <w:rsid w:val="00B04621"/>
  </w:style>
  <w:style w:type="character" w:customStyle="1" w:styleId="CommentTextChar">
    <w:name w:val="Comment Text Char"/>
    <w:basedOn w:val="DefaultParagraphFont"/>
    <w:link w:val="CommentText"/>
    <w:uiPriority w:val="99"/>
    <w:rsid w:val="00B04621"/>
  </w:style>
  <w:style w:type="paragraph" w:styleId="CommentSubject">
    <w:name w:val="annotation subject"/>
    <w:basedOn w:val="CommentText"/>
    <w:next w:val="CommentText"/>
    <w:link w:val="CommentSubjectChar"/>
    <w:uiPriority w:val="99"/>
    <w:semiHidden/>
    <w:unhideWhenUsed/>
    <w:rsid w:val="00B04621"/>
    <w:rPr>
      <w:b/>
      <w:bCs/>
    </w:rPr>
  </w:style>
  <w:style w:type="character" w:customStyle="1" w:styleId="CommentSubjectChar">
    <w:name w:val="Comment Subject Char"/>
    <w:basedOn w:val="CommentTextChar"/>
    <w:link w:val="CommentSubject"/>
    <w:uiPriority w:val="99"/>
    <w:semiHidden/>
    <w:rsid w:val="00B04621"/>
    <w:rPr>
      <w:b/>
      <w:bCs/>
    </w:rPr>
  </w:style>
  <w:style w:type="character" w:customStyle="1" w:styleId="FooterChar">
    <w:name w:val="Footer Char"/>
    <w:basedOn w:val="DefaultParagraphFont"/>
    <w:link w:val="Footer"/>
    <w:uiPriority w:val="99"/>
    <w:rsid w:val="00006B52"/>
  </w:style>
  <w:style w:type="character" w:customStyle="1" w:styleId="normaltextrun">
    <w:name w:val="normaltextrun"/>
    <w:basedOn w:val="DefaultParagraphFont"/>
    <w:rsid w:val="00607F54"/>
  </w:style>
  <w:style w:type="character" w:customStyle="1" w:styleId="spellingerror">
    <w:name w:val="spellingerror"/>
    <w:basedOn w:val="DefaultParagraphFont"/>
    <w:rsid w:val="00607F54"/>
  </w:style>
  <w:style w:type="character" w:customStyle="1" w:styleId="eop">
    <w:name w:val="eop"/>
    <w:basedOn w:val="DefaultParagraphFont"/>
    <w:rsid w:val="00607F54"/>
  </w:style>
  <w:style w:type="paragraph" w:styleId="ListParagraph">
    <w:name w:val="List Paragraph"/>
    <w:basedOn w:val="Normal"/>
    <w:uiPriority w:val="34"/>
    <w:qFormat/>
    <w:rsid w:val="00C603EB"/>
    <w:pPr>
      <w:ind w:left="720"/>
      <w:contextualSpacing/>
    </w:pPr>
  </w:style>
  <w:style w:type="character" w:styleId="Hyperlink">
    <w:name w:val="Hyperlink"/>
    <w:basedOn w:val="DefaultParagraphFont"/>
    <w:uiPriority w:val="99"/>
    <w:unhideWhenUsed/>
    <w:rsid w:val="00114009"/>
    <w:rPr>
      <w:color w:val="0563C1" w:themeColor="hyperlink"/>
      <w:u w:val="single"/>
    </w:rPr>
  </w:style>
  <w:style w:type="character" w:styleId="UnresolvedMention">
    <w:name w:val="Unresolved Mention"/>
    <w:basedOn w:val="DefaultParagraphFont"/>
    <w:uiPriority w:val="99"/>
    <w:semiHidden/>
    <w:unhideWhenUsed/>
    <w:rsid w:val="00114009"/>
    <w:rPr>
      <w:color w:val="605E5C"/>
      <w:shd w:val="clear" w:color="auto" w:fill="E1DFDD"/>
    </w:rPr>
  </w:style>
  <w:style w:type="paragraph" w:customStyle="1" w:styleId="ParaNum">
    <w:name w:val="ParaNum"/>
    <w:basedOn w:val="Normal"/>
    <w:link w:val="ParaNumChar"/>
    <w:rsid w:val="00837421"/>
    <w:pPr>
      <w:widowControl w:val="0"/>
      <w:numPr>
        <w:numId w:val="3"/>
      </w:numPr>
      <w:spacing w:after="120"/>
    </w:pPr>
    <w:rPr>
      <w:snapToGrid w:val="0"/>
      <w:kern w:val="28"/>
      <w:sz w:val="22"/>
    </w:rPr>
  </w:style>
  <w:style w:type="character" w:customStyle="1" w:styleId="ParaNumChar">
    <w:name w:val="ParaNum Char"/>
    <w:link w:val="ParaNum"/>
    <w:locked/>
    <w:rsid w:val="00837421"/>
    <w:rPr>
      <w:snapToGrid w:val="0"/>
      <w:kern w:val="28"/>
      <w:sz w:val="22"/>
    </w:rPr>
  </w:style>
  <w:style w:type="character" w:styleId="Emphasis">
    <w:name w:val="Emphasis"/>
    <w:basedOn w:val="DefaultParagraphFont"/>
    <w:uiPriority w:val="20"/>
    <w:qFormat/>
    <w:rsid w:val="00837421"/>
    <w:rPr>
      <w:i/>
      <w:iCs/>
    </w:rPr>
  </w:style>
  <w:style w:type="character" w:styleId="Strong">
    <w:name w:val="Strong"/>
    <w:basedOn w:val="DefaultParagraphFont"/>
    <w:uiPriority w:val="22"/>
    <w:qFormat/>
    <w:rsid w:val="004862DD"/>
    <w:rPr>
      <w:b/>
      <w:bCs/>
    </w:rPr>
  </w:style>
  <w:style w:type="character" w:customStyle="1" w:styleId="Heading3Char">
    <w:name w:val="Heading 3 Char"/>
    <w:basedOn w:val="DefaultParagraphFont"/>
    <w:link w:val="Heading3"/>
    <w:uiPriority w:val="9"/>
    <w:rsid w:val="004862DD"/>
    <w:rPr>
      <w:b/>
      <w:bCs/>
      <w:sz w:val="27"/>
      <w:szCs w:val="27"/>
    </w:rPr>
  </w:style>
  <w:style w:type="character" w:customStyle="1" w:styleId="costarpage">
    <w:name w:val="co_starpage"/>
    <w:basedOn w:val="DefaultParagraphFont"/>
    <w:rsid w:val="00176688"/>
  </w:style>
  <w:style w:type="character" w:customStyle="1" w:styleId="superscript">
    <w:name w:val="superscript"/>
    <w:basedOn w:val="DefaultParagraphFont"/>
    <w:rsid w:val="001247BF"/>
  </w:style>
  <w:style w:type="character" w:customStyle="1" w:styleId="cohovertext">
    <w:name w:val="co_hovertext"/>
    <w:basedOn w:val="DefaultParagraphFont"/>
    <w:rsid w:val="006C000B"/>
  </w:style>
  <w:style w:type="character" w:customStyle="1" w:styleId="coconcept120126">
    <w:name w:val="co_concept_120_126"/>
    <w:basedOn w:val="DefaultParagraphFont"/>
    <w:rsid w:val="0064343F"/>
  </w:style>
  <w:style w:type="character" w:customStyle="1" w:styleId="coconcept47">
    <w:name w:val="co_concept_4_7"/>
    <w:basedOn w:val="DefaultParagraphFont"/>
    <w:rsid w:val="0064343F"/>
  </w:style>
  <w:style w:type="character" w:customStyle="1" w:styleId="coconcept110118">
    <w:name w:val="co_concept_110_118"/>
    <w:basedOn w:val="DefaultParagraphFont"/>
    <w:rsid w:val="0064343F"/>
  </w:style>
  <w:style w:type="paragraph" w:customStyle="1" w:styleId="paragraph">
    <w:name w:val="paragraph"/>
    <w:basedOn w:val="Normal"/>
    <w:rsid w:val="00E65C66"/>
    <w:pPr>
      <w:spacing w:before="100" w:beforeAutospacing="1" w:after="100" w:afterAutospacing="1"/>
    </w:pPr>
    <w:rPr>
      <w:sz w:val="24"/>
      <w:szCs w:val="24"/>
    </w:rPr>
  </w:style>
  <w:style w:type="character" w:customStyle="1" w:styleId="counderline">
    <w:name w:val="co_underline"/>
    <w:basedOn w:val="DefaultParagraphFont"/>
    <w:rsid w:val="00543E5E"/>
  </w:style>
  <w:style w:type="character" w:customStyle="1" w:styleId="coconcept5664">
    <w:name w:val="co_concept_56_64"/>
    <w:basedOn w:val="DefaultParagraphFont"/>
    <w:rsid w:val="00543E5E"/>
  </w:style>
  <w:style w:type="character" w:customStyle="1" w:styleId="coconcept4150">
    <w:name w:val="co_concept_41_50"/>
    <w:basedOn w:val="DefaultParagraphFont"/>
    <w:rsid w:val="00543E5E"/>
  </w:style>
  <w:style w:type="character" w:styleId="FollowedHyperlink">
    <w:name w:val="FollowedHyperlink"/>
    <w:basedOn w:val="DefaultParagraphFont"/>
    <w:uiPriority w:val="99"/>
    <w:semiHidden/>
    <w:unhideWhenUsed/>
    <w:rsid w:val="00FE7C2C"/>
    <w:rPr>
      <w:color w:val="954F72" w:themeColor="followedHyperlink"/>
      <w:u w:val="single"/>
    </w:rPr>
  </w:style>
  <w:style w:type="character" w:customStyle="1" w:styleId="coconcept6268">
    <w:name w:val="co_concept_62_68"/>
    <w:basedOn w:val="DefaultParagraphFont"/>
    <w:rsid w:val="00CC6E93"/>
  </w:style>
  <w:style w:type="character" w:customStyle="1" w:styleId="coconcept7581">
    <w:name w:val="co_concept_75_81"/>
    <w:basedOn w:val="DefaultParagraphFont"/>
    <w:rsid w:val="00CC6E93"/>
  </w:style>
  <w:style w:type="character" w:customStyle="1" w:styleId="coconcept3744">
    <w:name w:val="co_concept_37_44"/>
    <w:basedOn w:val="DefaultParagraphFont"/>
    <w:rsid w:val="00CC6E93"/>
  </w:style>
  <w:style w:type="character" w:customStyle="1" w:styleId="FootnoteTextChar1CharChar">
    <w:name w:val="Footnote Text Char1 Char Char"/>
    <w:aliases w:val="Footnote Text Char Char Char Char,Footnote Text Char Char Char Char Char Char,Footnote Text Char1 Char Char Char Char,Footnote Text Char3 Char Char,Style 5 Char Char Char,Style Char,rrfootnote Char Char Char"/>
    <w:rsid w:val="008A10C6"/>
  </w:style>
  <w:style w:type="character" w:customStyle="1" w:styleId="findhit">
    <w:name w:val="findhit"/>
    <w:basedOn w:val="DefaultParagraphFont"/>
    <w:rsid w:val="00F84EDB"/>
  </w:style>
  <w:style w:type="character" w:customStyle="1" w:styleId="coconcept4855">
    <w:name w:val="co_concept_48_55"/>
    <w:basedOn w:val="DefaultParagraphFont"/>
    <w:rsid w:val="00A772D0"/>
  </w:style>
  <w:style w:type="character" w:customStyle="1" w:styleId="coconcept6066">
    <w:name w:val="co_concept_60_66"/>
    <w:basedOn w:val="DefaultParagraphFont"/>
    <w:rsid w:val="00A772D0"/>
  </w:style>
  <w:style w:type="paragraph" w:styleId="NormalWeb">
    <w:name w:val="Normal (Web)"/>
    <w:basedOn w:val="Normal"/>
    <w:uiPriority w:val="99"/>
    <w:unhideWhenUsed/>
    <w:rsid w:val="00270ABF"/>
    <w:pPr>
      <w:spacing w:before="100" w:beforeAutospacing="1" w:after="100" w:afterAutospacing="1"/>
    </w:pPr>
    <w:rPr>
      <w:sz w:val="24"/>
      <w:szCs w:val="24"/>
    </w:rPr>
  </w:style>
  <w:style w:type="paragraph" w:styleId="Revision">
    <w:name w:val="Revision"/>
    <w:hidden/>
    <w:uiPriority w:val="99"/>
    <w:semiHidden/>
    <w:rsid w:val="00087FAF"/>
  </w:style>
  <w:style w:type="character" w:customStyle="1" w:styleId="coconcept6477">
    <w:name w:val="co_concept_64_77"/>
    <w:basedOn w:val="DefaultParagraphFont"/>
    <w:rsid w:val="00C820B2"/>
  </w:style>
  <w:style w:type="character" w:customStyle="1" w:styleId="coconcept7983">
    <w:name w:val="co_concept_79_83"/>
    <w:basedOn w:val="DefaultParagraphFont"/>
    <w:rsid w:val="00C820B2"/>
  </w:style>
  <w:style w:type="character" w:customStyle="1" w:styleId="coconcept8794">
    <w:name w:val="co_concept_87_94"/>
    <w:basedOn w:val="DefaultParagraphFont"/>
    <w:rsid w:val="00C820B2"/>
  </w:style>
  <w:style w:type="character" w:customStyle="1" w:styleId="cosmallcaps">
    <w:name w:val="co_smallcaps"/>
    <w:basedOn w:val="DefaultParagraphFont"/>
    <w:rsid w:val="008220EE"/>
  </w:style>
  <w:style w:type="character" w:customStyle="1" w:styleId="cosearchwithinterm">
    <w:name w:val="co_searchwithinterm"/>
    <w:basedOn w:val="DefaultParagraphFont"/>
    <w:rsid w:val="008204A9"/>
  </w:style>
  <w:style w:type="character" w:customStyle="1" w:styleId="Heading2Char">
    <w:name w:val="Heading 2 Char"/>
    <w:basedOn w:val="DefaultParagraphFont"/>
    <w:link w:val="Heading2"/>
    <w:uiPriority w:val="9"/>
    <w:rsid w:val="009F5C71"/>
    <w:rPr>
      <w:rFonts w:asciiTheme="majorHAnsi" w:eastAsiaTheme="majorEastAsia" w:hAnsiTheme="majorHAnsi" w:cstheme="majorBidi"/>
      <w:color w:val="2F5496" w:themeColor="accent1" w:themeShade="BF"/>
      <w:sz w:val="26"/>
      <w:szCs w:val="26"/>
    </w:rPr>
  </w:style>
  <w:style w:type="character" w:customStyle="1" w:styleId="coconcept3335">
    <w:name w:val="co_concept_33_35"/>
    <w:basedOn w:val="DefaultParagraphFont"/>
    <w:rsid w:val="00BF1F19"/>
  </w:style>
  <w:style w:type="character" w:customStyle="1" w:styleId="coconcept4151">
    <w:name w:val="co_concept_41_51"/>
    <w:basedOn w:val="DefaultParagraphFont"/>
    <w:rsid w:val="00BF1F19"/>
  </w:style>
  <w:style w:type="paragraph" w:customStyle="1" w:styleId="Default">
    <w:name w:val="Default"/>
    <w:rsid w:val="008C71EE"/>
    <w:pPr>
      <w:autoSpaceDE w:val="0"/>
      <w:autoSpaceDN w:val="0"/>
      <w:adjustRightInd w:val="0"/>
    </w:pPr>
    <w:rPr>
      <w:color w:val="000000"/>
      <w:sz w:val="24"/>
      <w:szCs w:val="24"/>
    </w:rPr>
  </w:style>
  <w:style w:type="paragraph" w:customStyle="1" w:styleId="xmsonormal">
    <w:name w:val="x_msonormal"/>
    <w:basedOn w:val="Normal"/>
    <w:rsid w:val="00170FB8"/>
    <w:pPr>
      <w:spacing w:before="100" w:beforeAutospacing="1" w:after="100" w:afterAutospacing="1"/>
    </w:pPr>
    <w:rPr>
      <w:sz w:val="24"/>
      <w:szCs w:val="24"/>
    </w:rPr>
  </w:style>
  <w:style w:type="character" w:customStyle="1" w:styleId="coconcept6065">
    <w:name w:val="co_concept_60_65"/>
    <w:basedOn w:val="DefaultParagraphFont"/>
    <w:rsid w:val="00F04D15"/>
  </w:style>
  <w:style w:type="character" w:customStyle="1" w:styleId="coconcept2636">
    <w:name w:val="co_concept_26_36"/>
    <w:basedOn w:val="DefaultParagraphFont"/>
    <w:rsid w:val="00F04D15"/>
  </w:style>
  <w:style w:type="character" w:customStyle="1" w:styleId="coconcept3842">
    <w:name w:val="co_concept_38_42"/>
    <w:basedOn w:val="DefaultParagraphFont"/>
    <w:rsid w:val="00F04D15"/>
  </w:style>
  <w:style w:type="character" w:customStyle="1" w:styleId="coconcept4452">
    <w:name w:val="co_concept_44_52"/>
    <w:basedOn w:val="DefaultParagraphFont"/>
    <w:rsid w:val="00F04D15"/>
  </w:style>
  <w:style w:type="character" w:customStyle="1" w:styleId="coconcept147156">
    <w:name w:val="co_concept_147_156"/>
    <w:basedOn w:val="DefaultParagraphFont"/>
    <w:rsid w:val="0034583B"/>
  </w:style>
  <w:style w:type="character" w:customStyle="1" w:styleId="coconcept125130">
    <w:name w:val="co_concept_125_130"/>
    <w:basedOn w:val="DefaultParagraphFont"/>
    <w:rsid w:val="0034583B"/>
  </w:style>
  <w:style w:type="character" w:customStyle="1" w:styleId="coconcept132139">
    <w:name w:val="co_concept_132_139"/>
    <w:basedOn w:val="DefaultParagraphFont"/>
    <w:rsid w:val="0034583B"/>
  </w:style>
  <w:style w:type="character" w:customStyle="1" w:styleId="coconcept4554">
    <w:name w:val="co_concept_45_54"/>
    <w:basedOn w:val="DefaultParagraphFont"/>
    <w:rsid w:val="0016442B"/>
  </w:style>
  <w:style w:type="character" w:customStyle="1" w:styleId="coconcept130138">
    <w:name w:val="co_concept_130_138"/>
    <w:basedOn w:val="DefaultParagraphFont"/>
    <w:rsid w:val="005B5C99"/>
  </w:style>
  <w:style w:type="character" w:customStyle="1" w:styleId="coconcept103112">
    <w:name w:val="co_concept_103_112"/>
    <w:basedOn w:val="DefaultParagraphFont"/>
    <w:rsid w:val="005B5C99"/>
  </w:style>
  <w:style w:type="character" w:customStyle="1" w:styleId="coconcept8087">
    <w:name w:val="co_concept_80_87"/>
    <w:basedOn w:val="DefaultParagraphFont"/>
    <w:rsid w:val="001D1D2F"/>
  </w:style>
  <w:style w:type="character" w:customStyle="1" w:styleId="coconcept9295">
    <w:name w:val="co_concept_92_95"/>
    <w:basedOn w:val="DefaultParagraphFont"/>
    <w:rsid w:val="001D1D2F"/>
  </w:style>
  <w:style w:type="character" w:customStyle="1" w:styleId="coconcept120123">
    <w:name w:val="co_concept_120_123"/>
    <w:basedOn w:val="DefaultParagraphFont"/>
    <w:rsid w:val="001D1D2F"/>
  </w:style>
  <w:style w:type="character" w:customStyle="1" w:styleId="lst-item">
    <w:name w:val="lst-item"/>
    <w:basedOn w:val="DefaultParagraphFont"/>
    <w:rsid w:val="00D10FEB"/>
  </w:style>
  <w:style w:type="character" w:customStyle="1" w:styleId="lst-level">
    <w:name w:val="lst-level"/>
    <w:basedOn w:val="DefaultParagraphFont"/>
    <w:rsid w:val="00D10FEB"/>
  </w:style>
  <w:style w:type="paragraph" w:customStyle="1" w:styleId="xxmsonormal">
    <w:name w:val="x_xmsonormal"/>
    <w:basedOn w:val="Normal"/>
    <w:rsid w:val="00720394"/>
    <w:pPr>
      <w:spacing w:before="100" w:beforeAutospacing="1" w:after="100" w:afterAutospacing="1"/>
    </w:pPr>
    <w:rPr>
      <w:sz w:val="24"/>
      <w:szCs w:val="24"/>
    </w:rPr>
  </w:style>
  <w:style w:type="paragraph" w:customStyle="1" w:styleId="pf0">
    <w:name w:val="pf0"/>
    <w:basedOn w:val="Normal"/>
    <w:rsid w:val="0015055F"/>
    <w:pPr>
      <w:spacing w:before="100" w:beforeAutospacing="1" w:after="100" w:afterAutospacing="1"/>
    </w:pPr>
    <w:rPr>
      <w:sz w:val="24"/>
      <w:szCs w:val="24"/>
    </w:rPr>
  </w:style>
  <w:style w:type="character" w:customStyle="1" w:styleId="cf01">
    <w:name w:val="cf01"/>
    <w:basedOn w:val="DefaultParagraphFont"/>
    <w:rsid w:val="0015055F"/>
    <w:rPr>
      <w:rFonts w:ascii="Segoe UI" w:hAnsi="Segoe UI" w:cs="Segoe UI" w:hint="default"/>
      <w:sz w:val="18"/>
      <w:szCs w:val="18"/>
    </w:rPr>
  </w:style>
  <w:style w:type="character" w:customStyle="1" w:styleId="cf11">
    <w:name w:val="cf11"/>
    <w:basedOn w:val="DefaultParagraphFont"/>
    <w:rsid w:val="0015055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about:blank" TargetMode="External" /><Relationship Id="rId2" Type="http://schemas.openxmlformats.org/officeDocument/2006/relationships/hyperlink" Target="https://enterpriseefiling.fcc.gov/dataentry/public/tv/pleadingDetails.html?pleadingFileNumber=0000198175" TargetMode="External" /><Relationship Id="rId3" Type="http://schemas.openxmlformats.org/officeDocument/2006/relationships/hyperlink" Target="https://enterpriseefiling.fcc.gov/dataentry/public/tv/pleadingDetails.html?pleadingFileNumber=0000199629" TargetMode="External" /><Relationship Id="rId4" Type="http://schemas.openxmlformats.org/officeDocument/2006/relationships/hyperlink" Target="https://enterpriseefiling.fcc.gov/dataentry/public/tv/pleadingDetails.html?pleadingFileNumber=0000199633" TargetMode="External" /><Relationship Id="rId5" Type="http://schemas.openxmlformats.org/officeDocument/2006/relationships/hyperlink" Target="https://enterpriseefiling.fcc.gov/dataentry/public/tv/pleadingDetails.html?pleadingFileNumber=0000199969" TargetMode="External" /><Relationship Id="rId6" Type="http://schemas.openxmlformats.org/officeDocument/2006/relationships/hyperlink" Target="https://enterpriseefiling.fcc.gov/dataentry/public/tv/pleadingDetails.html?pleadingFileNumber=0000200319"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