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B4019" w14:paraId="1A6336D9" w14:textId="77777777">
      <w:pPr>
        <w:jc w:val="right"/>
        <w:rPr>
          <w:sz w:val="24"/>
        </w:rPr>
      </w:pPr>
    </w:p>
    <w:p w:rsidR="00681DED" w:rsidRPr="00A87AD7" w:rsidP="00681DED" w14:paraId="09E26F07" w14:textId="052C280F">
      <w:pPr>
        <w:spacing w:before="120"/>
        <w:jc w:val="right"/>
        <w:rPr>
          <w:b/>
          <w:bCs/>
        </w:rPr>
      </w:pPr>
      <w:r w:rsidRPr="24570633">
        <w:rPr>
          <w:b/>
          <w:bCs/>
        </w:rPr>
        <w:t xml:space="preserve">DA </w:t>
      </w:r>
      <w:r w:rsidR="008E51F4">
        <w:rPr>
          <w:b/>
          <w:bCs/>
        </w:rPr>
        <w:t>23</w:t>
      </w:r>
      <w:r w:rsidRPr="24570633">
        <w:rPr>
          <w:b/>
          <w:bCs/>
        </w:rPr>
        <w:t>-</w:t>
      </w:r>
      <w:r w:rsidR="00066048">
        <w:rPr>
          <w:b/>
          <w:bCs/>
        </w:rPr>
        <w:t>168</w:t>
      </w:r>
    </w:p>
    <w:p w:rsidR="00681DED" w:rsidP="00681DED" w14:paraId="4ECA13C4" w14:textId="04D3CA11">
      <w:pPr>
        <w:spacing w:before="60"/>
        <w:jc w:val="right"/>
        <w:rPr>
          <w:b/>
          <w:bCs/>
        </w:rPr>
      </w:pPr>
      <w:r w:rsidRPr="352BA122">
        <w:rPr>
          <w:b/>
          <w:bCs/>
        </w:rPr>
        <w:t xml:space="preserve">Released: </w:t>
      </w:r>
      <w:r w:rsidR="00B64FE1">
        <w:rPr>
          <w:b/>
          <w:bCs/>
        </w:rPr>
        <w:t>March</w:t>
      </w:r>
      <w:r w:rsidRPr="352BA122">
        <w:rPr>
          <w:b/>
          <w:bCs/>
        </w:rPr>
        <w:t xml:space="preserve"> </w:t>
      </w:r>
      <w:r w:rsidR="00B64FE1">
        <w:rPr>
          <w:b/>
          <w:bCs/>
        </w:rPr>
        <w:t>1</w:t>
      </w:r>
      <w:r w:rsidRPr="352BA122">
        <w:rPr>
          <w:b/>
          <w:bCs/>
        </w:rPr>
        <w:t>, 2023</w:t>
      </w:r>
    </w:p>
    <w:p w:rsidR="00681DED" w:rsidRPr="00A87AD7" w:rsidP="00681DED" w14:paraId="39653732" w14:textId="77777777">
      <w:pPr>
        <w:spacing w:before="60"/>
        <w:jc w:val="right"/>
        <w:rPr>
          <w:b/>
          <w:szCs w:val="22"/>
        </w:rPr>
      </w:pPr>
    </w:p>
    <w:p w:rsidR="00681DED" w:rsidP="00681DED" w14:paraId="7B034FB4" w14:textId="77777777">
      <w:pPr>
        <w:jc w:val="center"/>
        <w:rPr>
          <w:b/>
          <w:bCs/>
        </w:rPr>
      </w:pPr>
      <w:r>
        <w:rPr>
          <w:b/>
          <w:bCs/>
        </w:rPr>
        <w:t xml:space="preserve">SUPPLY CHAIN ANNUAL REPORTS AS OF DECEMBER 31, 2022 ARE DUE </w:t>
      </w:r>
    </w:p>
    <w:p w:rsidR="00681DED" w:rsidP="00681DED" w14:paraId="4915A4BA" w14:textId="77777777">
      <w:pPr>
        <w:jc w:val="center"/>
        <w:rPr>
          <w:b/>
          <w:bCs/>
        </w:rPr>
      </w:pPr>
      <w:r>
        <w:rPr>
          <w:b/>
          <w:bCs/>
        </w:rPr>
        <w:t>NO LATER THAN MARCH 31, 2023</w:t>
      </w:r>
    </w:p>
    <w:p w:rsidR="00681DED" w:rsidRPr="00A87AD7" w:rsidP="00681DED" w14:paraId="5E5D429E" w14:textId="77777777">
      <w:pPr>
        <w:rPr>
          <w:b/>
          <w:szCs w:val="22"/>
        </w:rPr>
      </w:pPr>
    </w:p>
    <w:p w:rsidR="00681DED" w:rsidRPr="00A87AD7" w:rsidP="00681DED" w14:paraId="3AD19971" w14:textId="77777777">
      <w:pPr>
        <w:jc w:val="center"/>
        <w:rPr>
          <w:b/>
          <w:bCs/>
        </w:rPr>
      </w:pPr>
      <w:r w:rsidRPr="24570633">
        <w:rPr>
          <w:b/>
          <w:bCs/>
        </w:rPr>
        <w:t>WC Docket No. 18-89</w:t>
      </w:r>
    </w:p>
    <w:p w:rsidR="00681DED" w:rsidRPr="00A87AD7" w:rsidP="00681DED" w14:paraId="15F84910" w14:textId="77777777">
      <w:pPr>
        <w:jc w:val="center"/>
        <w:rPr>
          <w:b/>
          <w:szCs w:val="22"/>
        </w:rPr>
      </w:pPr>
    </w:p>
    <w:p w:rsidR="00681DED" w:rsidP="00681DED" w14:paraId="7117A973" w14:textId="77777777">
      <w:pPr>
        <w:keepNext/>
        <w:ind w:firstLine="720"/>
      </w:pPr>
      <w:r w:rsidRPr="5952A262">
        <w:rPr>
          <w:rStyle w:val="normaltextrun"/>
          <w:color w:val="000000"/>
          <w:shd w:val="clear" w:color="auto" w:fill="FFFFFF"/>
        </w:rPr>
        <w:t xml:space="preserve">The Office of Economics and Analytics reminds providers of advanced communications services that the filing deadline for the Supply Chain Annual Reporting requirement is </w:t>
      </w:r>
      <w:r w:rsidRPr="00606C6A">
        <w:rPr>
          <w:rStyle w:val="normaltextrun"/>
          <w:b/>
          <w:bCs/>
          <w:color w:val="000000"/>
          <w:shd w:val="clear" w:color="auto" w:fill="FFFFFF"/>
        </w:rPr>
        <w:t>March 31, 2023</w:t>
      </w:r>
      <w:r w:rsidRPr="5952A262">
        <w:rPr>
          <w:rStyle w:val="normaltextrun"/>
          <w:color w:val="000000"/>
          <w:shd w:val="clear" w:color="auto" w:fill="FFFFFF"/>
        </w:rPr>
        <w:t>.</w:t>
      </w:r>
    </w:p>
    <w:p w:rsidR="00681DED" w:rsidP="00681DED" w14:paraId="33CC9B49" w14:textId="77777777">
      <w:pPr>
        <w:keepNext/>
        <w:ind w:firstLine="720"/>
      </w:pPr>
    </w:p>
    <w:p w:rsidR="00681DED" w:rsidP="00681DED" w14:paraId="4B6E18C2" w14:textId="794007B0">
      <w:pPr>
        <w:ind w:firstLine="720"/>
      </w:pPr>
      <w:r w:rsidRPr="62D9AB39">
        <w:t xml:space="preserve">Section 5 of the Secure and Trusted Communications Networks Act of </w:t>
      </w:r>
      <w:r>
        <w:t xml:space="preserve">2019 </w:t>
      </w:r>
      <w:r w:rsidRPr="62D9AB39">
        <w:t xml:space="preserve">directed the Commission to require </w:t>
      </w:r>
      <w:r>
        <w:t xml:space="preserve">providers of </w:t>
      </w:r>
      <w:r w:rsidRPr="62D9AB39">
        <w:t>advanced communications service</w:t>
      </w:r>
      <w:r>
        <w:rPr>
          <w:rStyle w:val="FootnoteReference"/>
        </w:rPr>
        <w:footnoteReference w:id="3"/>
      </w:r>
      <w:r w:rsidRPr="62D9AB39">
        <w:t xml:space="preserve"> to </w:t>
      </w:r>
      <w:r>
        <w:t xml:space="preserve">report and </w:t>
      </w:r>
      <w:r w:rsidRPr="62D9AB39">
        <w:t xml:space="preserve">certify </w:t>
      </w:r>
      <w:r>
        <w:t xml:space="preserve">annually </w:t>
      </w:r>
      <w:r w:rsidRPr="62D9AB39">
        <w:t xml:space="preserve">whether </w:t>
      </w:r>
      <w:r>
        <w:t>the provider has</w:t>
      </w:r>
      <w:r w:rsidRPr="62D9AB39">
        <w:t xml:space="preserve"> </w:t>
      </w:r>
      <w:r>
        <w:t>purchased, rented, leased, or otherwise obtained any covered communications equipment or service on</w:t>
      </w:r>
      <w:r w:rsidRPr="62D9AB39">
        <w:t xml:space="preserve"> the </w:t>
      </w:r>
      <w:r>
        <w:t>list of covered communications equipment and services (</w:t>
      </w:r>
      <w:r w:rsidRPr="62D9AB39">
        <w:t>Covered List</w:t>
      </w:r>
      <w:r>
        <w:t>).</w:t>
      </w:r>
      <w:r>
        <w:rPr>
          <w:rStyle w:val="FootnoteReference"/>
        </w:rPr>
        <w:footnoteReference w:id="4"/>
      </w:r>
      <w:r>
        <w:t xml:space="preserve">  Specifically, for equipment or services placed on the initial Covered List, providers must report covered equipment or services obtained on or after August 14, 2018.  If the Commission subsequently adds equipment or services to the Covered List, filers must report any equipment or services obtained 60 days or more after the date they are added to the list.  If a provider cannot certify that it has no covered communications equipment or services, it must provide in</w:t>
      </w:r>
      <w:r w:rsidRPr="62D9AB39">
        <w:t>formation regarding the location</w:t>
      </w:r>
      <w:r>
        <w:t>s</w:t>
      </w:r>
      <w:r w:rsidRPr="62D9AB39">
        <w:t>, type</w:t>
      </w:r>
      <w:r>
        <w:t>s</w:t>
      </w:r>
      <w:r w:rsidRPr="62D9AB39">
        <w:t>, supplier</w:t>
      </w:r>
      <w:r>
        <w:t>s</w:t>
      </w:r>
      <w:r w:rsidRPr="62D9AB39">
        <w:t>, historic and replacement cost,</w:t>
      </w:r>
      <w:r w:rsidRPr="62D9AB39">
        <w:t xml:space="preserve"> </w:t>
      </w:r>
      <w:r w:rsidRPr="62D9AB39">
        <w:t>functionality,</w:t>
      </w:r>
      <w:r w:rsidRPr="62D9AB39">
        <w:t xml:space="preserve"> </w:t>
      </w:r>
      <w:r w:rsidRPr="62D9AB39">
        <w:t>replac</w:t>
      </w:r>
      <w:r>
        <w:t xml:space="preserve">ement </w:t>
      </w:r>
      <w:r w:rsidRPr="62D9AB39">
        <w:t>plans</w:t>
      </w:r>
      <w:r w:rsidRPr="62D9AB39">
        <w:t>, and a detailed justification of why such equipment was obtained.</w:t>
      </w:r>
      <w:r>
        <w:rPr>
          <w:rStyle w:val="FootnoteReference"/>
        </w:rPr>
        <w:footnoteReference w:id="5"/>
      </w:r>
    </w:p>
    <w:p w:rsidR="00681DED" w:rsidP="00681DED" w14:paraId="59B8B121" w14:textId="77777777">
      <w:pPr>
        <w:ind w:firstLine="720"/>
      </w:pPr>
    </w:p>
    <w:p w:rsidR="00681DED" w:rsidP="00681DED" w14:paraId="1D7012FC" w14:textId="0178B3F1">
      <w:pPr>
        <w:ind w:firstLine="720"/>
        <w:rPr>
          <w:rStyle w:val="normaltextrun"/>
        </w:rPr>
      </w:pPr>
      <w:r w:rsidRPr="002958BD">
        <w:t xml:space="preserve">On March 12, 2021, the </w:t>
      </w:r>
      <w:r w:rsidR="00006252">
        <w:t xml:space="preserve">Public Safety and Homeland Security Bureau (PSHSB) </w:t>
      </w:r>
      <w:r w:rsidRPr="002958BD">
        <w:t xml:space="preserve">published the initial Covered List, which included </w:t>
      </w:r>
      <w:r w:rsidR="00506161">
        <w:t xml:space="preserve">telecommunications </w:t>
      </w:r>
      <w:r w:rsidRPr="002958BD">
        <w:t>equipment produced by Huawei Technologies Company</w:t>
      </w:r>
      <w:r>
        <w:t xml:space="preserve"> and</w:t>
      </w:r>
      <w:r w:rsidRPr="002958BD">
        <w:t xml:space="preserve"> ZTE Corporation </w:t>
      </w:r>
      <w:r>
        <w:t xml:space="preserve">and certain </w:t>
      </w:r>
      <w:r w:rsidR="00506161">
        <w:t>v</w:t>
      </w:r>
      <w:r w:rsidRPr="00506161" w:rsidR="00506161">
        <w:t>ideo surveillance and telecommunications</w:t>
      </w:r>
      <w:r w:rsidR="00506161">
        <w:t xml:space="preserve"> </w:t>
      </w:r>
      <w:r>
        <w:t xml:space="preserve">equipment produced by </w:t>
      </w:r>
      <w:r w:rsidRPr="002958BD">
        <w:t>Hytera Communications Corporation, Hangzhou Hikvision Digital Technology Company, and Dahua Technology Company.</w:t>
      </w:r>
      <w:r>
        <w:rPr>
          <w:rStyle w:val="FootnoteReference"/>
        </w:rPr>
        <w:footnoteReference w:id="6"/>
      </w:r>
      <w:r>
        <w:t xml:space="preserve">  On March 25, 2022, </w:t>
      </w:r>
      <w:r w:rsidR="00006252">
        <w:t xml:space="preserve">PSHSB </w:t>
      </w:r>
      <w:r>
        <w:t xml:space="preserve">added certain </w:t>
      </w:r>
      <w:r w:rsidR="00506161">
        <w:t>products</w:t>
      </w:r>
      <w:r>
        <w:t xml:space="preserve"> and services produced by AO Kaspersky Lab, China Mobile International USA Inc., and China Telecom (Americas) </w:t>
      </w:r>
      <w:r>
        <w:t>Corp</w:t>
      </w:r>
      <w:r w:rsidR="00D21AB9">
        <w:t xml:space="preserve">. </w:t>
      </w:r>
      <w:r>
        <w:t>to the Covered List.</w:t>
      </w:r>
      <w:r>
        <w:rPr>
          <w:rStyle w:val="FootnoteReference"/>
        </w:rPr>
        <w:footnoteReference w:id="7"/>
      </w:r>
      <w:r>
        <w:t xml:space="preserve">  On September 20, 2022, </w:t>
      </w:r>
      <w:r w:rsidR="00506161">
        <w:t>i</w:t>
      </w:r>
      <w:r w:rsidRPr="00506161" w:rsidR="00506161">
        <w:t>nternational telecommunications</w:t>
      </w:r>
      <w:r>
        <w:t xml:space="preserve"> services from Pacific Network Corp, its wholly-owned subsidiary </w:t>
      </w:r>
      <w:r>
        <w:t>ComNet</w:t>
      </w:r>
      <w:r>
        <w:t xml:space="preserve"> (USA) LLC, and China Unicom (Americas) Operations Limited </w:t>
      </w:r>
      <w:r w:rsidR="00EC414E">
        <w:t xml:space="preserve">were added </w:t>
      </w:r>
      <w:r>
        <w:t>to the Covered List.</w:t>
      </w:r>
      <w:r>
        <w:rPr>
          <w:rStyle w:val="FootnoteReference"/>
        </w:rPr>
        <w:footnoteReference w:id="8"/>
      </w:r>
      <w:r>
        <w:t xml:space="preserve">  The current version of the Covered List is available at </w:t>
      </w:r>
      <w:hyperlink r:id="rId5">
        <w:r w:rsidRPr="3CC3ED1F">
          <w:rPr>
            <w:rStyle w:val="Hyperlink"/>
          </w:rPr>
          <w:t>https://www.fcc.gov/supplychain/coveredlist</w:t>
        </w:r>
      </w:hyperlink>
      <w:r w:rsidRPr="3CC3ED1F">
        <w:rPr>
          <w:rStyle w:val="normaltextrun"/>
        </w:rPr>
        <w:t>.</w:t>
      </w:r>
      <w:r w:rsidRPr="002958BD">
        <w:t xml:space="preserve">  </w:t>
      </w:r>
    </w:p>
    <w:p w:rsidR="00681DED" w:rsidRPr="009D3A71" w:rsidP="00681DED" w14:paraId="6F9518C6" w14:textId="77777777">
      <w:pPr>
        <w:ind w:firstLine="720"/>
        <w:rPr>
          <w:rStyle w:val="normaltextrun"/>
        </w:rPr>
      </w:pPr>
    </w:p>
    <w:p w:rsidR="00681DED" w:rsidP="00681DED" w14:paraId="45E44BDB" w14:textId="6D18526F">
      <w:pPr>
        <w:keepNext/>
        <w:ind w:firstLine="720"/>
      </w:pPr>
      <w:r w:rsidRPr="3CC3ED1F">
        <w:rPr>
          <w:rStyle w:val="normaltextrun"/>
          <w:color w:val="000000"/>
          <w:shd w:val="clear" w:color="auto" w:fill="FFFFFF"/>
        </w:rPr>
        <w:t xml:space="preserve">Any provider that </w:t>
      </w:r>
      <w:r w:rsidRPr="00681DED">
        <w:rPr>
          <w:rStyle w:val="normaltextrun"/>
          <w:color w:val="000000"/>
        </w:rPr>
        <w:t xml:space="preserve">reported and </w:t>
      </w:r>
      <w:r w:rsidRPr="3CC3ED1F">
        <w:rPr>
          <w:rStyle w:val="normaltextrun"/>
          <w:color w:val="000000"/>
          <w:shd w:val="clear" w:color="auto" w:fill="FFFFFF"/>
        </w:rPr>
        <w:t xml:space="preserve">certified in 2022 that it had purchased, rented, leased, or otherwise obtained covered communications equipment and services on the Covered List, as well as those providers </w:t>
      </w:r>
      <w:r w:rsidR="00AE48B3">
        <w:rPr>
          <w:rStyle w:val="normaltextrun"/>
          <w:color w:val="000000"/>
          <w:shd w:val="clear" w:color="auto" w:fill="FFFFFF"/>
        </w:rPr>
        <w:t>that a</w:t>
      </w:r>
      <w:r w:rsidRPr="3CC3ED1F">
        <w:rPr>
          <w:rStyle w:val="normaltextrun"/>
          <w:color w:val="000000"/>
          <w:shd w:val="clear" w:color="auto" w:fill="FFFFFF"/>
        </w:rPr>
        <w:t>re reporting the presence of new</w:t>
      </w:r>
      <w:r w:rsidRPr="00681DED">
        <w:rPr>
          <w:rStyle w:val="normaltextrun"/>
          <w:color w:val="000000"/>
        </w:rPr>
        <w:t>ly obtained</w:t>
      </w:r>
      <w:r w:rsidRPr="3CC3ED1F">
        <w:rPr>
          <w:rStyle w:val="normaltextrun"/>
          <w:color w:val="000000"/>
          <w:shd w:val="clear" w:color="auto" w:fill="FFFFFF"/>
        </w:rPr>
        <w:t xml:space="preserve"> covered equipment or services, must submit an </w:t>
      </w:r>
      <w:r w:rsidRPr="00681DED">
        <w:rPr>
          <w:rStyle w:val="normaltextrun"/>
          <w:color w:val="000000"/>
        </w:rPr>
        <w:t xml:space="preserve">annual </w:t>
      </w:r>
      <w:r w:rsidRPr="3CC3ED1F">
        <w:rPr>
          <w:rStyle w:val="normaltextrun"/>
          <w:color w:val="000000"/>
          <w:shd w:val="clear" w:color="auto" w:fill="FFFFFF"/>
        </w:rPr>
        <w:t xml:space="preserve">report on or before March 31, </w:t>
      </w:r>
      <w:r w:rsidRPr="3CC3ED1F">
        <w:rPr>
          <w:rStyle w:val="contextualspellingandgrammarerror"/>
          <w:color w:val="000000"/>
          <w:shd w:val="clear" w:color="auto" w:fill="FFFFFF"/>
        </w:rPr>
        <w:t>2023</w:t>
      </w:r>
      <w:r w:rsidRPr="3CC3ED1F">
        <w:rPr>
          <w:rStyle w:val="normaltextrun"/>
          <w:color w:val="000000"/>
          <w:shd w:val="clear" w:color="auto" w:fill="FFFFFF"/>
        </w:rPr>
        <w:t xml:space="preserve"> </w:t>
      </w:r>
      <w:r w:rsidRPr="00681DED">
        <w:rPr>
          <w:rStyle w:val="normaltextrun"/>
          <w:color w:val="000000"/>
        </w:rPr>
        <w:t xml:space="preserve">covering </w:t>
      </w:r>
      <w:r w:rsidRPr="3CC3ED1F">
        <w:rPr>
          <w:rStyle w:val="normaltextrun"/>
          <w:color w:val="000000"/>
          <w:shd w:val="clear" w:color="auto" w:fill="FFFFFF"/>
        </w:rPr>
        <w:t>information as of December 31, 2022.</w:t>
      </w:r>
      <w:r>
        <w:rPr>
          <w:rStyle w:val="FootnoteReference"/>
          <w:shd w:val="clear" w:color="auto" w:fill="FFFFFF"/>
        </w:rPr>
        <w:footnoteReference w:id="9"/>
      </w:r>
    </w:p>
    <w:p w:rsidR="00681DED" w:rsidP="00681DED" w14:paraId="623EE800" w14:textId="77777777">
      <w:pPr>
        <w:keepNext/>
        <w:ind w:firstLine="720"/>
      </w:pPr>
    </w:p>
    <w:p w:rsidR="00681DED" w:rsidP="00681DED" w14:paraId="225720DE" w14:textId="77777777">
      <w:pPr>
        <w:pStyle w:val="paragraph"/>
        <w:spacing w:before="0" w:beforeAutospacing="0" w:after="0" w:afterAutospacing="0"/>
        <w:ind w:firstLine="720"/>
        <w:textAlignment w:val="baseline"/>
        <w:rPr>
          <w:rStyle w:val="eop"/>
          <w:sz w:val="22"/>
          <w:szCs w:val="22"/>
        </w:rPr>
      </w:pPr>
      <w:r>
        <w:rPr>
          <w:rStyle w:val="normaltextrun"/>
          <w:sz w:val="22"/>
          <w:szCs w:val="22"/>
        </w:rPr>
        <w:t xml:space="preserve">A provider that </w:t>
      </w:r>
      <w:r w:rsidRPr="00606C6A">
        <w:rPr>
          <w:rStyle w:val="normaltextrun"/>
          <w:sz w:val="22"/>
          <w:szCs w:val="22"/>
        </w:rPr>
        <w:t xml:space="preserve">does not have any </w:t>
      </w:r>
      <w:r>
        <w:rPr>
          <w:rStyle w:val="normaltextrun"/>
          <w:sz w:val="22"/>
          <w:szCs w:val="22"/>
        </w:rPr>
        <w:t>covered communications equipment or services must file an initial report and certify as such through the online reporting portal.</w:t>
      </w:r>
      <w:r>
        <w:rPr>
          <w:rStyle w:val="FootnoteReference"/>
        </w:rPr>
        <w:footnoteReference w:id="10"/>
      </w:r>
      <w:r>
        <w:rPr>
          <w:rStyle w:val="normaltextrun"/>
          <w:sz w:val="22"/>
          <w:szCs w:val="22"/>
        </w:rPr>
        <w:t xml:space="preserve">  A provider that certified this in 2022 does not need to file an annual report in 2023 unless the provider has purchased, rented, leased, or otherwise obtained communications equipment or services that appears on the current Covered List.  In that case, the provider must report information on such equipment when it is obtained and then annually as described in the preceding paragraphs.</w:t>
      </w:r>
      <w:r>
        <w:rPr>
          <w:rStyle w:val="FootnoteReference"/>
        </w:rPr>
        <w:footnoteReference w:id="11"/>
      </w:r>
      <w:r>
        <w:rPr>
          <w:rStyle w:val="eop"/>
          <w:sz w:val="22"/>
          <w:szCs w:val="22"/>
        </w:rPr>
        <w:t> </w:t>
      </w:r>
    </w:p>
    <w:p w:rsidR="00681DED" w:rsidP="00681DED" w14:paraId="0394A876" w14:textId="77777777">
      <w:pPr>
        <w:pStyle w:val="paragraph"/>
        <w:spacing w:before="0" w:beforeAutospacing="0" w:after="0" w:afterAutospacing="0"/>
        <w:ind w:firstLine="720"/>
        <w:textAlignment w:val="baseline"/>
        <w:rPr>
          <w:rFonts w:ascii="Segoe UI" w:hAnsi="Segoe UI" w:cs="Segoe UI"/>
          <w:sz w:val="18"/>
          <w:szCs w:val="18"/>
        </w:rPr>
      </w:pPr>
    </w:p>
    <w:p w:rsidR="00681DED" w:rsidP="00681DED" w14:paraId="790F791A" w14:textId="6F72196D">
      <w:pPr>
        <w:pStyle w:val="paragraph"/>
        <w:spacing w:before="0" w:beforeAutospacing="0" w:after="0" w:afterAutospacing="0"/>
        <w:ind w:firstLine="720"/>
        <w:textAlignment w:val="baseline"/>
        <w:rPr>
          <w:rStyle w:val="eop"/>
          <w:sz w:val="22"/>
          <w:szCs w:val="22"/>
        </w:rPr>
      </w:pPr>
      <w:r>
        <w:rPr>
          <w:rStyle w:val="normaltextrun"/>
          <w:sz w:val="22"/>
          <w:szCs w:val="22"/>
        </w:rPr>
        <w:t xml:space="preserve">As a reminder, the Covered List </w:t>
      </w:r>
      <w:r w:rsidRPr="37EFA001">
        <w:rPr>
          <w:rStyle w:val="normaltextrun"/>
          <w:sz w:val="22"/>
          <w:szCs w:val="22"/>
        </w:rPr>
        <w:t xml:space="preserve">is subject to </w:t>
      </w:r>
      <w:r>
        <w:rPr>
          <w:rStyle w:val="contextualspellingandgrammarerror"/>
          <w:sz w:val="22"/>
          <w:szCs w:val="22"/>
        </w:rPr>
        <w:t>change</w:t>
      </w:r>
      <w:r w:rsidR="009228F1">
        <w:rPr>
          <w:rStyle w:val="contextualspellingandgrammarerror"/>
          <w:sz w:val="22"/>
          <w:szCs w:val="22"/>
        </w:rPr>
        <w:t>,</w:t>
      </w:r>
      <w:r>
        <w:rPr>
          <w:rStyle w:val="normaltextrun"/>
          <w:sz w:val="22"/>
          <w:szCs w:val="22"/>
        </w:rPr>
        <w:t xml:space="preserve"> and it is incumbent upon providers to remain alert to further notices announcing changes to the list.  </w:t>
      </w:r>
    </w:p>
    <w:p w:rsidR="00681DED" w:rsidP="00681DED" w14:paraId="61A5CA29" w14:textId="77777777">
      <w:pPr>
        <w:pStyle w:val="paragraph"/>
        <w:spacing w:before="0" w:beforeAutospacing="0" w:after="0" w:afterAutospacing="0"/>
        <w:textAlignment w:val="baseline"/>
        <w:rPr>
          <w:rFonts w:ascii="Segoe UI" w:hAnsi="Segoe UI" w:cs="Segoe UI"/>
          <w:sz w:val="18"/>
          <w:szCs w:val="18"/>
        </w:rPr>
      </w:pPr>
    </w:p>
    <w:p w:rsidR="00681DED" w:rsidP="00681DED" w14:paraId="30498081" w14:textId="0CF5A9BD">
      <w:pPr>
        <w:pStyle w:val="paragraph"/>
        <w:spacing w:before="0" w:beforeAutospacing="0" w:after="0" w:afterAutospacing="0"/>
        <w:ind w:firstLine="720"/>
        <w:textAlignment w:val="baseline"/>
        <w:rPr>
          <w:rStyle w:val="eop"/>
          <w:sz w:val="22"/>
          <w:szCs w:val="22"/>
        </w:rPr>
      </w:pPr>
      <w:r>
        <w:rPr>
          <w:rStyle w:val="normaltextrun"/>
          <w:sz w:val="22"/>
          <w:szCs w:val="22"/>
        </w:rPr>
        <w:t xml:space="preserve">The reporting portal, instructions, and other information regarding the Annual Reporting requirement are available at </w:t>
      </w:r>
      <w:hyperlink r:id="rId6" w:history="1">
        <w:r w:rsidRPr="009713B7" w:rsidR="003466F3">
          <w:rPr>
            <w:rStyle w:val="Hyperlink"/>
            <w:sz w:val="22"/>
            <w:szCs w:val="22"/>
          </w:rPr>
          <w:t>https://www.fcc.gov/supplychain</w:t>
        </w:r>
      </w:hyperlink>
      <w:r w:rsidR="003466F3">
        <w:rPr>
          <w:rStyle w:val="normaltextrun"/>
          <w:sz w:val="22"/>
          <w:szCs w:val="22"/>
        </w:rPr>
        <w:t xml:space="preserve">. </w:t>
      </w:r>
      <w:r>
        <w:rPr>
          <w:rStyle w:val="normaltextrun"/>
          <w:sz w:val="22"/>
          <w:szCs w:val="22"/>
        </w:rPr>
        <w:t xml:space="preserve"> </w:t>
      </w:r>
      <w:r>
        <w:rPr>
          <w:rStyle w:val="eop"/>
          <w:sz w:val="22"/>
          <w:szCs w:val="22"/>
        </w:rPr>
        <w:t> </w:t>
      </w:r>
    </w:p>
    <w:p w:rsidR="00681DED" w:rsidP="00681DED" w14:paraId="0ED3A723" w14:textId="77777777">
      <w:pPr>
        <w:pStyle w:val="paragraph"/>
        <w:spacing w:before="0" w:beforeAutospacing="0" w:after="0" w:afterAutospacing="0"/>
        <w:ind w:firstLine="720"/>
        <w:textAlignment w:val="baseline"/>
        <w:rPr>
          <w:rFonts w:ascii="Segoe UI" w:hAnsi="Segoe UI" w:cs="Segoe UI"/>
          <w:sz w:val="18"/>
          <w:szCs w:val="18"/>
        </w:rPr>
      </w:pPr>
    </w:p>
    <w:p w:rsidR="00681DED" w:rsidP="00681DED" w14:paraId="68BFAE1F" w14:textId="5E68C479">
      <w:pPr>
        <w:pStyle w:val="paragraph"/>
        <w:spacing w:before="0" w:beforeAutospacing="0" w:after="0" w:afterAutospacing="0"/>
        <w:ind w:firstLine="720"/>
        <w:textAlignment w:val="baseline"/>
        <w:rPr>
          <w:rFonts w:ascii="Segoe UI" w:hAnsi="Segoe UI" w:cs="Segoe UI"/>
          <w:sz w:val="18"/>
          <w:szCs w:val="18"/>
        </w:rPr>
      </w:pPr>
      <w:r>
        <w:rPr>
          <w:rStyle w:val="normaltextrun"/>
          <w:sz w:val="22"/>
          <w:szCs w:val="22"/>
        </w:rPr>
        <w:t xml:space="preserve">For additional information and questions regarding the FCC’s Supply Chain Data Collection Annual Reporting requirement, send an email to </w:t>
      </w:r>
      <w:hyperlink r:id="rId7" w:history="1">
        <w:r w:rsidRPr="009713B7" w:rsidR="003466F3">
          <w:rPr>
            <w:rStyle w:val="Hyperlink"/>
            <w:sz w:val="22"/>
            <w:szCs w:val="22"/>
          </w:rPr>
          <w:t>SupplyChainData@fcc.gov</w:t>
        </w:r>
      </w:hyperlink>
      <w:r w:rsidR="003466F3">
        <w:rPr>
          <w:rStyle w:val="normaltextrun"/>
          <w:sz w:val="22"/>
          <w:szCs w:val="22"/>
        </w:rPr>
        <w:t>.</w:t>
      </w:r>
      <w:r>
        <w:rPr>
          <w:rStyle w:val="eop"/>
          <w:sz w:val="22"/>
          <w:szCs w:val="22"/>
        </w:rPr>
        <w:t> </w:t>
      </w:r>
    </w:p>
    <w:p w:rsidR="00681DED" w:rsidP="00681DED" w14:paraId="1C87D53F" w14:textId="77777777">
      <w:pPr>
        <w:ind w:firstLine="720"/>
      </w:pPr>
    </w:p>
    <w:p w:rsidR="00681DED" w:rsidP="00681DED" w14:paraId="220CA0A3" w14:textId="77777777">
      <w:pPr>
        <w:pStyle w:val="HTMLPreformatted"/>
        <w:rPr>
          <w:color w:val="000000"/>
        </w:rPr>
      </w:pPr>
    </w:p>
    <w:p w:rsidR="00681DED" w:rsidP="00681DED" w14:paraId="597B6362" w14:textId="0620939C">
      <w:pPr>
        <w:jc w:val="center"/>
      </w:pPr>
      <w:bookmarkStart w:id="0" w:name="_Hlk128380189"/>
      <w:r>
        <w:rPr>
          <w:b/>
          <w:szCs w:val="22"/>
        </w:rPr>
        <w:t>‒</w:t>
      </w:r>
      <w:r w:rsidR="00660A0A">
        <w:rPr>
          <w:b/>
          <w:szCs w:val="22"/>
        </w:rPr>
        <w:t>F</w:t>
      </w:r>
      <w:r>
        <w:rPr>
          <w:b/>
          <w:szCs w:val="22"/>
        </w:rPr>
        <w:t>CC‒</w:t>
      </w:r>
      <w:bookmarkEnd w:id="0"/>
    </w:p>
    <w:p w:rsidR="00681DED" w:rsidP="00681DED" w14:paraId="6DA07C18" w14:textId="77777777">
      <w:pPr>
        <w:spacing w:before="120" w:after="240"/>
        <w:rPr>
          <w:sz w:val="24"/>
        </w:rPr>
      </w:pPr>
    </w:p>
    <w:p w:rsidR="00681DED" w:rsidP="00681DED" w14:paraId="19F1FA78" w14:textId="77777777">
      <w:pPr>
        <w:spacing w:before="120" w:after="240"/>
      </w:pP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019" w14:paraId="031BAEAC" w14:textId="77777777">
    <w:pPr>
      <w:pStyle w:val="Footer"/>
      <w:framePr w:wrap="around" w:vAnchor="text" w:hAnchor="margin" w:xAlign="center" w:y="1"/>
    </w:pPr>
    <w:r>
      <w:fldChar w:fldCharType="begin"/>
    </w:r>
    <w:r>
      <w:instrText xml:space="preserve">PAGE  </w:instrText>
    </w:r>
    <w:r>
      <w:fldChar w:fldCharType="separate"/>
    </w:r>
    <w:r>
      <w:fldChar w:fldCharType="end"/>
    </w:r>
  </w:p>
  <w:p w:rsidR="008B4019" w14:paraId="5808A4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019" w14:paraId="4230E31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019" w14:paraId="38AF457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70B5C" w14:paraId="73A4DB3A" w14:textId="77777777">
      <w:r>
        <w:separator/>
      </w:r>
    </w:p>
  </w:footnote>
  <w:footnote w:type="continuationSeparator" w:id="1">
    <w:p w:rsidR="00A70B5C" w14:paraId="10F3340A" w14:textId="77777777">
      <w:pPr>
        <w:rPr>
          <w:sz w:val="20"/>
        </w:rPr>
      </w:pPr>
      <w:r>
        <w:rPr>
          <w:sz w:val="20"/>
        </w:rPr>
        <w:t xml:space="preserve">(Continued from previous page)  </w:t>
      </w:r>
      <w:r>
        <w:rPr>
          <w:sz w:val="20"/>
        </w:rPr>
        <w:separator/>
      </w:r>
    </w:p>
  </w:footnote>
  <w:footnote w:type="continuationNotice" w:id="2">
    <w:p w:rsidR="00A70B5C" w14:paraId="3503693F" w14:textId="77777777">
      <w:pPr>
        <w:jc w:val="right"/>
        <w:rPr>
          <w:sz w:val="20"/>
        </w:rPr>
      </w:pPr>
      <w:r>
        <w:rPr>
          <w:sz w:val="20"/>
        </w:rPr>
        <w:t>(continued….)</w:t>
      </w:r>
    </w:p>
  </w:footnote>
  <w:footnote w:id="3">
    <w:p w:rsidR="00681DED" w:rsidRPr="00606C6A" w:rsidP="00681DED" w14:paraId="4FEE70C9" w14:textId="035B43E4">
      <w:pPr>
        <w:pStyle w:val="FootnoteText"/>
      </w:pPr>
      <w:r w:rsidRPr="007A0628">
        <w:rPr>
          <w:rStyle w:val="FootnoteReference"/>
          <w:sz w:val="20"/>
        </w:rPr>
        <w:footnoteRef/>
      </w:r>
      <w:r w:rsidRPr="007A0628">
        <w:t xml:space="preserve"> T</w:t>
      </w:r>
      <w:r w:rsidRPr="00606C6A">
        <w:t xml:space="preserve">he Commission has defined “advanced communication service” </w:t>
      </w:r>
      <w:r w:rsidR="00BF6252">
        <w:t>as</w:t>
      </w:r>
      <w:r w:rsidRPr="00606C6A">
        <w:t xml:space="preserve"> high-speed, switched, broadband telecommunications capability that enables users to originate and receive high-quality voice, data, graphics, and video telecommunications using any technology with connection speeds of at least 200 kbps in either direction. </w:t>
      </w:r>
      <w:r w:rsidR="009334A6">
        <w:t xml:space="preserve"> </w:t>
      </w:r>
      <w:r w:rsidRPr="00606C6A">
        <w:t xml:space="preserve">47 CFR § 1.50001(a). </w:t>
      </w:r>
    </w:p>
  </w:footnote>
  <w:footnote w:id="4">
    <w:p w:rsidR="00681DED" w:rsidRPr="007A0628" w:rsidP="00681DED" w14:paraId="0969AE1B" w14:textId="77777777">
      <w:pPr>
        <w:pStyle w:val="FootnoteText"/>
      </w:pPr>
      <w:r w:rsidRPr="007A0628">
        <w:rPr>
          <w:rStyle w:val="FootnoteReference"/>
          <w:sz w:val="20"/>
        </w:rPr>
        <w:footnoteRef/>
      </w:r>
      <w:r w:rsidRPr="007A0628">
        <w:t xml:space="preserve"> </w:t>
      </w:r>
      <w:r w:rsidRPr="00606C6A">
        <w:t>Secure and Trusted Communications Networks Act of 2019, Pub. L. No. 116-124, 133 Stat. 158 (2020) (codified as amended at 47 U.S.C. §§ 1601–1609) (</w:t>
      </w:r>
      <w:r w:rsidRPr="00C749C3">
        <w:rPr>
          <w:i/>
          <w:iCs/>
        </w:rPr>
        <w:t>Secure Networks Act</w:t>
      </w:r>
      <w:r w:rsidRPr="00606C6A">
        <w:t xml:space="preserve">).  </w:t>
      </w:r>
    </w:p>
  </w:footnote>
  <w:footnote w:id="5">
    <w:p w:rsidR="00681DED" w:rsidRPr="007A0628" w:rsidP="00681DED" w14:paraId="3649088B" w14:textId="515A8D02">
      <w:pPr>
        <w:pStyle w:val="FootnoteText"/>
      </w:pPr>
      <w:r w:rsidRPr="00606C6A">
        <w:rPr>
          <w:rStyle w:val="FootnoteReference"/>
          <w:sz w:val="20"/>
        </w:rPr>
        <w:footnoteRef/>
      </w:r>
      <w:r w:rsidRPr="00606C6A">
        <w:t xml:space="preserve"> The Commission </w:t>
      </w:r>
      <w:r>
        <w:t xml:space="preserve">subsequently </w:t>
      </w:r>
      <w:r w:rsidRPr="00606C6A">
        <w:t xml:space="preserve">codified this </w:t>
      </w:r>
      <w:r>
        <w:t xml:space="preserve">reporting </w:t>
      </w:r>
      <w:r w:rsidRPr="00606C6A">
        <w:t xml:space="preserve">requirement.  </w:t>
      </w:r>
      <w:r w:rsidRPr="00606C6A">
        <w:rPr>
          <w:i/>
          <w:iCs/>
        </w:rPr>
        <w:t>See Protecting Against National Security Threats to the Communications Supply Chain Through FCC Programs</w:t>
      </w:r>
      <w:r w:rsidRPr="00606C6A">
        <w:t xml:space="preserve">, WC Docket No. 18-89, Second Report and Order, 35 FCC </w:t>
      </w:r>
      <w:r w:rsidRPr="00606C6A">
        <w:t>Rcd</w:t>
      </w:r>
      <w:r w:rsidRPr="00606C6A">
        <w:t xml:space="preserve"> 14284, 14369, para. 212 (2020) (</w:t>
      </w:r>
      <w:r w:rsidRPr="00606C6A">
        <w:rPr>
          <w:i/>
          <w:iCs/>
        </w:rPr>
        <w:t>2020 Supply Chain Order</w:t>
      </w:r>
      <w:r w:rsidRPr="00606C6A">
        <w:t>); 47 CFR § 1.50007.</w:t>
      </w:r>
    </w:p>
  </w:footnote>
  <w:footnote w:id="6">
    <w:p w:rsidR="001C7978" w:rsidP="00681DED" w14:paraId="79E8B923" w14:textId="77777777">
      <w:pPr>
        <w:pStyle w:val="FootnoteText"/>
      </w:pPr>
      <w:r w:rsidRPr="00606C6A">
        <w:rPr>
          <w:rStyle w:val="FootnoteReference"/>
          <w:sz w:val="20"/>
        </w:rPr>
        <w:footnoteRef/>
      </w:r>
      <w:r w:rsidRPr="00606C6A">
        <w:t xml:space="preserve"> </w:t>
      </w:r>
      <w:r w:rsidRPr="00606C6A">
        <w:rPr>
          <w:i/>
          <w:iCs/>
        </w:rPr>
        <w:t>See</w:t>
      </w:r>
      <w:r w:rsidRPr="00606C6A">
        <w:t xml:space="preserve"> </w:t>
      </w:r>
      <w:r w:rsidRPr="00606C6A">
        <w:rPr>
          <w:i/>
          <w:iCs/>
        </w:rPr>
        <w:t>Public Safety and Homeland Security Bureau Announces Publication of the List of Equipment Covered by Section 2 of the Secure Networks Act</w:t>
      </w:r>
      <w:r w:rsidRPr="00606C6A">
        <w:t>,</w:t>
      </w:r>
      <w:r w:rsidRPr="00606C6A">
        <w:rPr>
          <w:i/>
          <w:iCs/>
        </w:rPr>
        <w:t xml:space="preserve"> </w:t>
      </w:r>
      <w:r w:rsidRPr="00606C6A">
        <w:t>WC Docket 18-89, Public Notice, DA 21-309 (PSHSB Mar. 12, 2021).</w:t>
      </w:r>
    </w:p>
    <w:p w:rsidR="00681DED" w:rsidRPr="00606C6A" w:rsidP="00681DED" w14:paraId="2AD981F5" w14:textId="3F6DFF52">
      <w:pPr>
        <w:pStyle w:val="FootnoteText"/>
      </w:pPr>
      <w:r w:rsidRPr="00606C6A">
        <w:t xml:space="preserve">  </w:t>
      </w:r>
    </w:p>
  </w:footnote>
  <w:footnote w:id="7">
    <w:p w:rsidR="00681DED" w:rsidP="00681DED" w14:paraId="755B5616" w14:textId="12A3051A">
      <w:pPr>
        <w:pStyle w:val="FootnoteText"/>
      </w:pPr>
      <w:r>
        <w:rPr>
          <w:rStyle w:val="FootnoteReference"/>
        </w:rPr>
        <w:footnoteRef/>
      </w:r>
      <w:r>
        <w:t xml:space="preserve"> </w:t>
      </w:r>
      <w:r w:rsidR="00C95147">
        <w:rPr>
          <w:i/>
          <w:iCs/>
        </w:rPr>
        <w:t xml:space="preserve">See </w:t>
      </w:r>
      <w:r w:rsidRPr="008E51F4" w:rsidR="00C95147">
        <w:rPr>
          <w:i/>
          <w:iCs/>
        </w:rPr>
        <w:t>Public Safety and Homeland Security Bureau Announces Additions to the List of Equipment and Services Covered by Section 2 of the Secure Networks Act</w:t>
      </w:r>
      <w:r w:rsidRPr="00C95147" w:rsidR="00C95147">
        <w:t xml:space="preserve">, WC </w:t>
      </w:r>
      <w:r w:rsidRPr="00606C6A" w:rsidR="00F741B5">
        <w:t xml:space="preserve">Docket No. </w:t>
      </w:r>
      <w:r w:rsidRPr="00C95147" w:rsidR="00C95147">
        <w:t>18-89, Public Notice, DA 22-320 (PSHSB Mar. 25, 2022).</w:t>
      </w:r>
    </w:p>
  </w:footnote>
  <w:footnote w:id="8">
    <w:p w:rsidR="00A56C0A" w14:paraId="0B762CD1" w14:textId="3A16ABB8">
      <w:pPr>
        <w:pStyle w:val="FootnoteText"/>
      </w:pPr>
      <w:r>
        <w:rPr>
          <w:rStyle w:val="FootnoteReference"/>
        </w:rPr>
        <w:footnoteRef/>
      </w:r>
      <w:r>
        <w:t xml:space="preserve"> </w:t>
      </w:r>
      <w:r w:rsidRPr="007C6FDA" w:rsidR="007C6FDA">
        <w:rPr>
          <w:i/>
          <w:iCs/>
        </w:rPr>
        <w:t>Public Safety and Homeland Security Bureau Announces Additions to the List of Equipment and Services Covered by Section 2 of the Secure Networks Act</w:t>
      </w:r>
      <w:r w:rsidRPr="007C6FDA" w:rsidR="007C6FDA">
        <w:t xml:space="preserve">, WC </w:t>
      </w:r>
      <w:r w:rsidRPr="00606C6A" w:rsidR="00F741B5">
        <w:t xml:space="preserve">Docket No. </w:t>
      </w:r>
      <w:r w:rsidRPr="007C6FDA" w:rsidR="007C6FDA">
        <w:t>18-89, Public Notice</w:t>
      </w:r>
      <w:r w:rsidR="00F06858">
        <w:t>,</w:t>
      </w:r>
      <w:r w:rsidRPr="007C6FDA" w:rsidR="007C6FDA">
        <w:t xml:space="preserve"> DA 22-979 (PSHSB Sept. 20, 2022).</w:t>
      </w:r>
    </w:p>
  </w:footnote>
  <w:footnote w:id="9">
    <w:p w:rsidR="00681DED" w:rsidRPr="00606C6A" w:rsidP="00681DED" w14:paraId="19AD2434" w14:textId="77777777">
      <w:pPr>
        <w:pStyle w:val="FootnoteText"/>
      </w:pPr>
      <w:r w:rsidRPr="00606C6A">
        <w:rPr>
          <w:rStyle w:val="FootnoteReference"/>
          <w:sz w:val="20"/>
        </w:rPr>
        <w:footnoteRef/>
      </w:r>
      <w:r w:rsidRPr="00606C6A">
        <w:t xml:space="preserve"> </w:t>
      </w:r>
      <w:r w:rsidRPr="00606C6A">
        <w:rPr>
          <w:color w:val="000000"/>
        </w:rPr>
        <w:t>47 CFR § 1.50007(b).</w:t>
      </w:r>
    </w:p>
  </w:footnote>
  <w:footnote w:id="10">
    <w:p w:rsidR="00681DED" w:rsidRPr="00606C6A" w:rsidP="00681DED" w14:paraId="2252B06A" w14:textId="48915374">
      <w:pPr>
        <w:pStyle w:val="FootnoteText"/>
      </w:pPr>
      <w:r w:rsidRPr="00606C6A">
        <w:rPr>
          <w:rStyle w:val="FootnoteReference"/>
          <w:sz w:val="20"/>
        </w:rPr>
        <w:footnoteRef/>
      </w:r>
      <w:r w:rsidRPr="00606C6A">
        <w:t xml:space="preserve"> </w:t>
      </w:r>
      <w:r w:rsidRPr="00606C6A">
        <w:rPr>
          <w:i/>
          <w:iCs/>
          <w:color w:val="000000"/>
        </w:rPr>
        <w:t>Id</w:t>
      </w:r>
      <w:r w:rsidR="00CC7B88">
        <w:rPr>
          <w:i/>
          <w:iCs/>
          <w:color w:val="000000"/>
        </w:rPr>
        <w:t>.</w:t>
      </w:r>
      <w:r w:rsidRPr="00606C6A">
        <w:rPr>
          <w:color w:val="000000"/>
        </w:rPr>
        <w:t xml:space="preserve"> § 1.50007(c).</w:t>
      </w:r>
    </w:p>
  </w:footnote>
  <w:footnote w:id="11">
    <w:p w:rsidR="00681DED" w:rsidRPr="007A0628" w:rsidP="00681DED" w14:paraId="59469DF6" w14:textId="77777777">
      <w:pPr>
        <w:pStyle w:val="FootnoteText"/>
        <w:rPr>
          <w:i/>
          <w:iCs/>
        </w:rPr>
      </w:pPr>
      <w:r w:rsidRPr="00606C6A">
        <w:rPr>
          <w:rStyle w:val="FootnoteReference"/>
          <w:sz w:val="20"/>
        </w:rPr>
        <w:footnoteRef/>
      </w:r>
      <w:r w:rsidRPr="00606C6A">
        <w:t xml:space="preserve"> </w:t>
      </w:r>
      <w:r w:rsidRPr="00606C6A">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019" w14:paraId="4799F91B" w14:textId="6E0B5F9E">
    <w:pPr>
      <w:tabs>
        <w:tab w:val="center" w:pos="4680"/>
        <w:tab w:val="right" w:pos="9360"/>
      </w:tabs>
    </w:pPr>
    <w:r>
      <w:rPr>
        <w:b/>
      </w:rPr>
      <w:tab/>
    </w:r>
    <w:r>
      <w:rPr>
        <w:b/>
      </w:rPr>
      <w:t>Federal Communications Commission</w:t>
    </w:r>
    <w:r>
      <w:rPr>
        <w:b/>
      </w:rPr>
      <w:tab/>
    </w:r>
    <w:r w:rsidR="003466F3">
      <w:rPr>
        <w:b/>
      </w:rPr>
      <w:t>DA 23-</w:t>
    </w:r>
    <w:r w:rsidR="00066048">
      <w:rPr>
        <w:b/>
      </w:rPr>
      <w:t>168</w:t>
    </w:r>
  </w:p>
  <w:p w:rsidR="008B4019" w14:paraId="78F653FA" w14:textId="10A620ED">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B4019" w14:paraId="1D008F7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019" w14:paraId="3C65AF68" w14:textId="64156FCE">
    <w:pPr>
      <w:pStyle w:val="Header"/>
    </w:pPr>
    <w:r>
      <w:rPr>
        <w:noProof/>
        <w:snapToGrid/>
      </w:rPr>
      <w:drawing>
        <wp:inline distT="0" distB="0" distL="0" distR="0">
          <wp:extent cx="5953125"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3125"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DED"/>
    <w:rsid w:val="00006252"/>
    <w:rsid w:val="00066048"/>
    <w:rsid w:val="000B678D"/>
    <w:rsid w:val="001C465A"/>
    <w:rsid w:val="001C7978"/>
    <w:rsid w:val="002958BD"/>
    <w:rsid w:val="003466F3"/>
    <w:rsid w:val="003B3C63"/>
    <w:rsid w:val="00461F9A"/>
    <w:rsid w:val="004F386D"/>
    <w:rsid w:val="00506161"/>
    <w:rsid w:val="005704C9"/>
    <w:rsid w:val="005A0202"/>
    <w:rsid w:val="00606C6A"/>
    <w:rsid w:val="00660A0A"/>
    <w:rsid w:val="00681DED"/>
    <w:rsid w:val="00731797"/>
    <w:rsid w:val="0077603F"/>
    <w:rsid w:val="007A0628"/>
    <w:rsid w:val="007C6FDA"/>
    <w:rsid w:val="007D41EE"/>
    <w:rsid w:val="00800483"/>
    <w:rsid w:val="008B4019"/>
    <w:rsid w:val="008E51F4"/>
    <w:rsid w:val="00901F68"/>
    <w:rsid w:val="009228F1"/>
    <w:rsid w:val="009334A6"/>
    <w:rsid w:val="009713B7"/>
    <w:rsid w:val="009C526A"/>
    <w:rsid w:val="009D3A71"/>
    <w:rsid w:val="00A56C0A"/>
    <w:rsid w:val="00A70B5C"/>
    <w:rsid w:val="00A87AD7"/>
    <w:rsid w:val="00AE48B3"/>
    <w:rsid w:val="00B57907"/>
    <w:rsid w:val="00B64FE1"/>
    <w:rsid w:val="00BB7904"/>
    <w:rsid w:val="00BF1088"/>
    <w:rsid w:val="00BF6252"/>
    <w:rsid w:val="00C749C3"/>
    <w:rsid w:val="00C95147"/>
    <w:rsid w:val="00CC7B88"/>
    <w:rsid w:val="00D21AB9"/>
    <w:rsid w:val="00DB0B2B"/>
    <w:rsid w:val="00E4267B"/>
    <w:rsid w:val="00EC414E"/>
    <w:rsid w:val="00F06858"/>
    <w:rsid w:val="00F31E19"/>
    <w:rsid w:val="00F741B5"/>
    <w:rsid w:val="00FA6F10"/>
    <w:rsid w:val="24570633"/>
    <w:rsid w:val="352BA122"/>
    <w:rsid w:val="37EFA001"/>
    <w:rsid w:val="3CC3ED1F"/>
    <w:rsid w:val="5952A262"/>
    <w:rsid w:val="62D9AB3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AD1DE0F"/>
  <w15:chartTrackingRefBased/>
  <w15:docId w15:val="{DA4E18DF-C1B2-49CF-A02C-2A67FF27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DED"/>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Footnote Text Char Char Char Char,Footnote Text Char1,Footnote Text Char2 Char Char2 Char2 Char Char,Footnote Text Char4 Char Char1 Char Char,Footnote Text Char5 Char Char,fn,fn Char"/>
    <w:link w:val="FootnoteTextChar2"/>
    <w:uiPriority w:val="99"/>
    <w:pPr>
      <w:spacing w:after="120"/>
    </w:pPr>
  </w:style>
  <w:style w:type="character" w:styleId="FootnoteReference">
    <w:name w:val="footnote reference"/>
    <w:aliases w:val="(NECG) Footnote Reference,Appel note de bas de p,FR,Footnote Reference/,Style 12,Style 124,Style 13,Style 17,Style 3,Style 34,Style 4,Style 6,Style 7,Style 9,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2">
    <w:name w:val="Footnote Text Char2"/>
    <w:aliases w:val="ALTS FOOTNOTE Char,Footnote Text Char Char Char,Footnote Text Char Char Char Char Char,Footnote Text Char Char1,Footnote Text Char1 Char,Footnote Text Char4 Char Char1 Char Char Char,Footnote Text Char5 Char Char Char,fn Char Char"/>
    <w:link w:val="FootnoteText"/>
    <w:uiPriority w:val="99"/>
    <w:locked/>
    <w:rsid w:val="00681DED"/>
  </w:style>
  <w:style w:type="paragraph" w:styleId="HTMLPreformatted">
    <w:name w:val="HTML Preformatted"/>
    <w:basedOn w:val="Normal"/>
    <w:link w:val="HTMLPreformattedChar"/>
    <w:uiPriority w:val="99"/>
    <w:unhideWhenUsed/>
    <w:rsid w:val="00681D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HTMLPreformattedChar">
    <w:name w:val="HTML Preformatted Char"/>
    <w:link w:val="HTMLPreformatted"/>
    <w:uiPriority w:val="99"/>
    <w:rsid w:val="00681DED"/>
    <w:rPr>
      <w:rFonts w:ascii="Courier New" w:hAnsi="Courier New" w:cs="Courier New"/>
    </w:rPr>
  </w:style>
  <w:style w:type="character" w:styleId="CommentReference">
    <w:name w:val="annotation reference"/>
    <w:uiPriority w:val="99"/>
    <w:semiHidden/>
    <w:unhideWhenUsed/>
    <w:rsid w:val="00681DED"/>
    <w:rPr>
      <w:sz w:val="16"/>
      <w:szCs w:val="16"/>
    </w:rPr>
  </w:style>
  <w:style w:type="paragraph" w:styleId="CommentText">
    <w:name w:val="annotation text"/>
    <w:basedOn w:val="Normal"/>
    <w:link w:val="CommentTextChar"/>
    <w:unhideWhenUsed/>
    <w:rsid w:val="00681DED"/>
    <w:rPr>
      <w:sz w:val="20"/>
    </w:rPr>
  </w:style>
  <w:style w:type="character" w:customStyle="1" w:styleId="CommentTextChar">
    <w:name w:val="Comment Text Char"/>
    <w:link w:val="CommentText"/>
    <w:rsid w:val="00681DED"/>
    <w:rPr>
      <w:snapToGrid w:val="0"/>
      <w:kern w:val="28"/>
    </w:rPr>
  </w:style>
  <w:style w:type="character" w:styleId="Mention">
    <w:name w:val="Mention"/>
    <w:uiPriority w:val="99"/>
    <w:unhideWhenUsed/>
    <w:rsid w:val="00681DED"/>
    <w:rPr>
      <w:color w:val="2B579A"/>
      <w:shd w:val="clear" w:color="auto" w:fill="E1DFDD"/>
    </w:rPr>
  </w:style>
  <w:style w:type="character" w:customStyle="1" w:styleId="normaltextrun">
    <w:name w:val="normaltextrun"/>
    <w:basedOn w:val="DefaultParagraphFont"/>
    <w:rsid w:val="00681DED"/>
  </w:style>
  <w:style w:type="character" w:customStyle="1" w:styleId="contextualspellingandgrammarerror">
    <w:name w:val="contextualspellingandgrammarerror"/>
    <w:basedOn w:val="DefaultParagraphFont"/>
    <w:rsid w:val="00681DED"/>
  </w:style>
  <w:style w:type="paragraph" w:customStyle="1" w:styleId="paragraph">
    <w:name w:val="paragraph"/>
    <w:basedOn w:val="Normal"/>
    <w:rsid w:val="00681DED"/>
    <w:pPr>
      <w:widowControl/>
      <w:spacing w:before="100" w:beforeAutospacing="1" w:after="100" w:afterAutospacing="1"/>
    </w:pPr>
    <w:rPr>
      <w:snapToGrid/>
      <w:kern w:val="0"/>
      <w:sz w:val="24"/>
      <w:szCs w:val="24"/>
    </w:rPr>
  </w:style>
  <w:style w:type="character" w:customStyle="1" w:styleId="eop">
    <w:name w:val="eop"/>
    <w:basedOn w:val="DefaultParagraphFont"/>
    <w:rsid w:val="00681DED"/>
  </w:style>
  <w:style w:type="character" w:customStyle="1" w:styleId="spellingerror">
    <w:name w:val="spellingerror"/>
    <w:basedOn w:val="DefaultParagraphFont"/>
    <w:rsid w:val="00681DED"/>
  </w:style>
  <w:style w:type="paragraph" w:styleId="Revision">
    <w:name w:val="Revision"/>
    <w:hidden/>
    <w:uiPriority w:val="99"/>
    <w:semiHidden/>
    <w:rsid w:val="00681DE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supplychain/coveredlist" TargetMode="External" /><Relationship Id="rId6" Type="http://schemas.openxmlformats.org/officeDocument/2006/relationships/hyperlink" Target="https://www.fcc.gov/supplychain" TargetMode="External" /><Relationship Id="rId7" Type="http://schemas.openxmlformats.org/officeDocument/2006/relationships/hyperlink" Target="mailto:SupplyChainData@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