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F33AA" w14:paraId="04EB4979" w14:textId="77777777">
      <w:pPr>
        <w:jc w:val="right"/>
        <w:rPr>
          <w:sz w:val="24"/>
        </w:rPr>
      </w:pPr>
    </w:p>
    <w:p w:rsidR="004F33AA" w:rsidRPr="004E716D" w14:paraId="516E4993" w14:textId="7E695835">
      <w:pPr>
        <w:jc w:val="right"/>
        <w:rPr>
          <w:b/>
          <w:szCs w:val="22"/>
        </w:rPr>
      </w:pPr>
      <w:r w:rsidRPr="00911CAA">
        <w:rPr>
          <w:b/>
          <w:szCs w:val="22"/>
        </w:rPr>
        <w:t xml:space="preserve">DA </w:t>
      </w:r>
      <w:r w:rsidRPr="00911CAA" w:rsidR="00191F81">
        <w:rPr>
          <w:b/>
          <w:szCs w:val="22"/>
        </w:rPr>
        <w:t>23-</w:t>
      </w:r>
      <w:r w:rsidRPr="00911CAA" w:rsidR="00911CAA">
        <w:rPr>
          <w:b/>
          <w:szCs w:val="22"/>
        </w:rPr>
        <w:t>172</w:t>
      </w:r>
    </w:p>
    <w:p w:rsidR="004F33AA" w:rsidRPr="004E716D" w14:paraId="0F096319" w14:textId="3473C419">
      <w:pPr>
        <w:spacing w:before="60"/>
        <w:jc w:val="right"/>
        <w:rPr>
          <w:b/>
          <w:szCs w:val="22"/>
        </w:rPr>
      </w:pPr>
      <w:r w:rsidRPr="004E716D">
        <w:rPr>
          <w:b/>
          <w:szCs w:val="22"/>
        </w:rPr>
        <w:t xml:space="preserve">Released:  </w:t>
      </w:r>
      <w:r w:rsidR="00BD1C7F">
        <w:rPr>
          <w:b/>
          <w:szCs w:val="22"/>
        </w:rPr>
        <w:t xml:space="preserve">March </w:t>
      </w:r>
      <w:r w:rsidR="002E495B">
        <w:rPr>
          <w:b/>
          <w:szCs w:val="22"/>
        </w:rPr>
        <w:t>2</w:t>
      </w:r>
      <w:r w:rsidRPr="004E716D" w:rsidR="00191F81">
        <w:rPr>
          <w:b/>
          <w:szCs w:val="22"/>
        </w:rPr>
        <w:t>, 2023</w:t>
      </w:r>
    </w:p>
    <w:p w:rsidR="004F33AA" w:rsidRPr="004E716D" w14:paraId="762B6FA0" w14:textId="77777777">
      <w:pPr>
        <w:jc w:val="right"/>
        <w:rPr>
          <w:szCs w:val="22"/>
        </w:rPr>
      </w:pPr>
    </w:p>
    <w:p w:rsidR="004F33AA" w:rsidRPr="004E716D" w:rsidP="004E716D" w14:paraId="7B663A24" w14:textId="084DBF4F">
      <w:pPr>
        <w:spacing w:after="120"/>
        <w:jc w:val="center"/>
        <w:rPr>
          <w:rFonts w:ascii="Times New Roman Bold" w:hAnsi="Times New Roman Bold"/>
          <w:b/>
          <w:caps/>
          <w:szCs w:val="22"/>
        </w:rPr>
      </w:pPr>
      <w:r>
        <w:rPr>
          <w:rFonts w:ascii="Times New Roman Bold" w:hAnsi="Times New Roman Bold"/>
          <w:b/>
          <w:caps/>
          <w:szCs w:val="22"/>
        </w:rPr>
        <w:t xml:space="preserve">wireline competition bureau reminds carriers </w:t>
      </w:r>
      <w:r w:rsidR="00DA230B">
        <w:rPr>
          <w:rFonts w:ascii="Times New Roman Bold" w:hAnsi="Times New Roman Bold"/>
          <w:b/>
          <w:caps/>
          <w:szCs w:val="22"/>
        </w:rPr>
        <w:t xml:space="preserve">OF </w:t>
      </w:r>
      <w:r w:rsidR="00C0173B">
        <w:rPr>
          <w:rFonts w:ascii="Times New Roman Bold" w:hAnsi="Times New Roman Bold"/>
          <w:b/>
          <w:caps/>
          <w:szCs w:val="22"/>
        </w:rPr>
        <w:t xml:space="preserve">New </w:t>
      </w:r>
      <w:r w:rsidRPr="004E716D" w:rsidR="00960261">
        <w:rPr>
          <w:rFonts w:ascii="Times New Roman Bold" w:hAnsi="Times New Roman Bold"/>
          <w:b/>
          <w:caps/>
          <w:szCs w:val="22"/>
        </w:rPr>
        <w:t xml:space="preserve">tariff filing fees </w:t>
      </w:r>
      <w:r w:rsidR="00601164">
        <w:rPr>
          <w:rFonts w:ascii="Times New Roman Bold" w:hAnsi="Times New Roman Bold"/>
          <w:b/>
          <w:caps/>
          <w:szCs w:val="22"/>
        </w:rPr>
        <w:t>Effect</w:t>
      </w:r>
      <w:r w:rsidR="00DA230B">
        <w:rPr>
          <w:rFonts w:ascii="Times New Roman Bold" w:hAnsi="Times New Roman Bold"/>
          <w:b/>
          <w:caps/>
          <w:szCs w:val="22"/>
        </w:rPr>
        <w:t>IVE</w:t>
      </w:r>
      <w:r w:rsidR="00601164">
        <w:rPr>
          <w:rFonts w:ascii="Times New Roman Bold" w:hAnsi="Times New Roman Bold"/>
          <w:b/>
          <w:caps/>
          <w:szCs w:val="22"/>
        </w:rPr>
        <w:t xml:space="preserve"> </w:t>
      </w:r>
      <w:r>
        <w:rPr>
          <w:rFonts w:ascii="Times New Roman Bold" w:hAnsi="Times New Roman Bold"/>
          <w:b/>
          <w:caps/>
          <w:szCs w:val="22"/>
        </w:rPr>
        <w:t>March 2, 202</w:t>
      </w:r>
      <w:r w:rsidR="004829EB">
        <w:rPr>
          <w:rFonts w:ascii="Times New Roman Bold" w:hAnsi="Times New Roman Bold"/>
          <w:b/>
          <w:caps/>
          <w:szCs w:val="22"/>
        </w:rPr>
        <w:t>3</w:t>
      </w:r>
    </w:p>
    <w:p w:rsidR="004F33AA" w:rsidRPr="004E716D" w:rsidP="004E716D" w14:paraId="4F8343C3" w14:textId="6D9E52D8">
      <w:pPr>
        <w:spacing w:after="120"/>
        <w:jc w:val="center"/>
        <w:rPr>
          <w:b/>
          <w:szCs w:val="22"/>
        </w:rPr>
      </w:pPr>
      <w:r w:rsidRPr="004E716D">
        <w:rPr>
          <w:b/>
          <w:szCs w:val="22"/>
        </w:rPr>
        <w:t xml:space="preserve">WC Docket No. </w:t>
      </w:r>
      <w:r w:rsidRPr="004E716D" w:rsidR="00191F81">
        <w:rPr>
          <w:b/>
          <w:szCs w:val="22"/>
        </w:rPr>
        <w:t>23-</w:t>
      </w:r>
      <w:bookmarkStart w:id="0" w:name="TOChere"/>
      <w:r w:rsidRPr="004E716D" w:rsidR="004E716D">
        <w:rPr>
          <w:b/>
          <w:szCs w:val="22"/>
        </w:rPr>
        <w:t>9</w:t>
      </w:r>
    </w:p>
    <w:p w:rsidR="008F063B" w:rsidP="008F063B" w14:paraId="2927DF31" w14:textId="4E69A57B">
      <w:pPr>
        <w:spacing w:after="120"/>
        <w:rPr>
          <w:szCs w:val="22"/>
        </w:rPr>
      </w:pPr>
      <w:r w:rsidRPr="004E716D">
        <w:rPr>
          <w:szCs w:val="22"/>
        </w:rPr>
        <w:tab/>
        <w:t>By this Public Notice, the Wireline Competition Bureau (Bureau) reminds carriers</w:t>
      </w:r>
      <w:r w:rsidRPr="004E716D" w:rsidR="002628D3">
        <w:rPr>
          <w:szCs w:val="22"/>
        </w:rPr>
        <w:t xml:space="preserve"> </w:t>
      </w:r>
      <w:r w:rsidR="00AA3E57">
        <w:rPr>
          <w:szCs w:val="22"/>
        </w:rPr>
        <w:t xml:space="preserve">that </w:t>
      </w:r>
      <w:r w:rsidR="001F767E">
        <w:rPr>
          <w:szCs w:val="22"/>
        </w:rPr>
        <w:t xml:space="preserve">the </w:t>
      </w:r>
      <w:r w:rsidR="00C035FB">
        <w:rPr>
          <w:szCs w:val="22"/>
        </w:rPr>
        <w:t>Commission</w:t>
      </w:r>
      <w:r w:rsidR="00AA3E57">
        <w:rPr>
          <w:szCs w:val="22"/>
        </w:rPr>
        <w:t>’s</w:t>
      </w:r>
      <w:r w:rsidR="00C035FB">
        <w:rPr>
          <w:szCs w:val="22"/>
        </w:rPr>
        <w:t xml:space="preserve"> </w:t>
      </w:r>
      <w:r w:rsidR="00601164">
        <w:rPr>
          <w:szCs w:val="22"/>
        </w:rPr>
        <w:t xml:space="preserve">revisions to </w:t>
      </w:r>
      <w:r w:rsidR="00CC5ABD">
        <w:rPr>
          <w:szCs w:val="22"/>
        </w:rPr>
        <w:t>tariff</w:t>
      </w:r>
      <w:r w:rsidR="00AC04C6">
        <w:rPr>
          <w:szCs w:val="22"/>
        </w:rPr>
        <w:t>-related</w:t>
      </w:r>
      <w:r w:rsidR="001F767E">
        <w:rPr>
          <w:szCs w:val="22"/>
        </w:rPr>
        <w:t xml:space="preserve"> filing</w:t>
      </w:r>
      <w:r w:rsidRPr="004E716D">
        <w:rPr>
          <w:szCs w:val="22"/>
        </w:rPr>
        <w:t xml:space="preserve"> fees </w:t>
      </w:r>
      <w:r w:rsidR="001F767E">
        <w:rPr>
          <w:szCs w:val="22"/>
        </w:rPr>
        <w:t>in section 1.1105 of the Commission’s rules</w:t>
      </w:r>
      <w:r w:rsidR="008E590A">
        <w:rPr>
          <w:szCs w:val="22"/>
        </w:rPr>
        <w:t xml:space="preserve"> </w:t>
      </w:r>
      <w:r w:rsidR="00AA3E57">
        <w:rPr>
          <w:szCs w:val="22"/>
        </w:rPr>
        <w:t xml:space="preserve">take effect </w:t>
      </w:r>
      <w:r w:rsidR="00DA230B">
        <w:rPr>
          <w:szCs w:val="22"/>
        </w:rPr>
        <w:t xml:space="preserve">on </w:t>
      </w:r>
      <w:r w:rsidR="00AA3E57">
        <w:rPr>
          <w:szCs w:val="22"/>
        </w:rPr>
        <w:t>March 2, 2023</w:t>
      </w:r>
      <w:r w:rsidR="000D61FF">
        <w:rPr>
          <w:szCs w:val="22"/>
        </w:rPr>
        <w:t>.  We also take this opportunity to</w:t>
      </w:r>
      <w:r w:rsidR="00AA3E57">
        <w:rPr>
          <w:szCs w:val="22"/>
        </w:rPr>
        <w:t xml:space="preserve"> </w:t>
      </w:r>
      <w:r w:rsidR="00CC5ABD">
        <w:rPr>
          <w:szCs w:val="22"/>
        </w:rPr>
        <w:t>remind carriers about tariff filing fee procedure</w:t>
      </w:r>
      <w:r w:rsidR="00AC04C6">
        <w:rPr>
          <w:szCs w:val="22"/>
        </w:rPr>
        <w:t>s</w:t>
      </w:r>
      <w:r w:rsidR="00CC5ABD">
        <w:rPr>
          <w:szCs w:val="22"/>
        </w:rPr>
        <w:t xml:space="preserve">. </w:t>
      </w:r>
    </w:p>
    <w:p w:rsidR="00191F81" w:rsidRPr="001F767E" w:rsidP="001F767E" w14:paraId="1F9F3883" w14:textId="43D452C6">
      <w:pPr>
        <w:spacing w:after="120"/>
        <w:ind w:firstLine="720"/>
      </w:pPr>
      <w:r w:rsidRPr="006A712F">
        <w:t xml:space="preserve">When carriers submit </w:t>
      </w:r>
      <w:r w:rsidR="00C525D0">
        <w:t>tariff filings to the Commission</w:t>
      </w:r>
      <w:r w:rsidRPr="006A712F">
        <w:t>,</w:t>
      </w:r>
      <w:r>
        <w:t xml:space="preserve"> they </w:t>
      </w:r>
      <w:r w:rsidR="00185309">
        <w:t>are required to</w:t>
      </w:r>
      <w:r>
        <w:t xml:space="preserve"> pay the associated filing fee pursuant to section 1.1105 of the Commission’s rules.</w:t>
      </w:r>
      <w:r>
        <w:rPr>
          <w:rStyle w:val="FootnoteReference"/>
        </w:rPr>
        <w:footnoteReference w:id="3"/>
      </w:r>
      <w:r>
        <w:t xml:space="preserve">  </w:t>
      </w:r>
      <w:r w:rsidR="004C1666">
        <w:t>We remind carriers that</w:t>
      </w:r>
      <w:r w:rsidR="007D2058">
        <w:t xml:space="preserve"> </w:t>
      </w:r>
      <w:r w:rsidR="00AD38A8">
        <w:t xml:space="preserve">the Commission </w:t>
      </w:r>
      <w:r w:rsidR="004C1666">
        <w:t xml:space="preserve">recently </w:t>
      </w:r>
      <w:r w:rsidR="004C15EB">
        <w:t xml:space="preserve">revised </w:t>
      </w:r>
      <w:r w:rsidR="00AD38A8">
        <w:t>its</w:t>
      </w:r>
      <w:r w:rsidR="0002332A">
        <w:t xml:space="preserve"> </w:t>
      </w:r>
      <w:r w:rsidR="00037681">
        <w:t>p</w:t>
      </w:r>
      <w:r w:rsidR="0002332A">
        <w:t>art 1</w:t>
      </w:r>
      <w:r w:rsidR="00AD38A8">
        <w:t xml:space="preserve"> application fees</w:t>
      </w:r>
      <w:r w:rsidR="0002332A">
        <w:t xml:space="preserve"> schedule</w:t>
      </w:r>
      <w:r w:rsidR="00AA14FE">
        <w:t xml:space="preserve"> </w:t>
      </w:r>
      <w:r w:rsidR="008F063B">
        <w:t>to r</w:t>
      </w:r>
      <w:r w:rsidRPr="008F063B" w:rsidR="008F063B">
        <w:rPr>
          <w:szCs w:val="22"/>
        </w:rPr>
        <w:t xml:space="preserve">eflect </w:t>
      </w:r>
      <w:r w:rsidR="00281B64">
        <w:rPr>
          <w:szCs w:val="22"/>
        </w:rPr>
        <w:t xml:space="preserve">a net </w:t>
      </w:r>
      <w:r w:rsidRPr="008F063B" w:rsidR="008F063B">
        <w:rPr>
          <w:szCs w:val="22"/>
        </w:rPr>
        <w:t xml:space="preserve">increase in the </w:t>
      </w:r>
      <w:r w:rsidR="004C1666">
        <w:rPr>
          <w:szCs w:val="22"/>
        </w:rPr>
        <w:t>c</w:t>
      </w:r>
      <w:r w:rsidRPr="008F063B" w:rsidR="008F063B">
        <w:rPr>
          <w:szCs w:val="22"/>
        </w:rPr>
        <w:t xml:space="preserve">onsumer </w:t>
      </w:r>
      <w:r w:rsidR="004C1666">
        <w:rPr>
          <w:szCs w:val="22"/>
        </w:rPr>
        <w:t>p</w:t>
      </w:r>
      <w:r w:rsidRPr="008F063B" w:rsidR="008F063B">
        <w:rPr>
          <w:szCs w:val="22"/>
        </w:rPr>
        <w:t xml:space="preserve">rice </w:t>
      </w:r>
      <w:r w:rsidR="004C1666">
        <w:rPr>
          <w:szCs w:val="22"/>
        </w:rPr>
        <w:t>i</w:t>
      </w:r>
      <w:r w:rsidRPr="008F063B" w:rsidR="008F063B">
        <w:rPr>
          <w:szCs w:val="22"/>
        </w:rPr>
        <w:t>ndex</w:t>
      </w:r>
      <w:r w:rsidR="0002332A">
        <w:rPr>
          <w:szCs w:val="22"/>
        </w:rPr>
        <w:t xml:space="preserve">, as required by </w:t>
      </w:r>
      <w:r w:rsidR="00DA230B">
        <w:rPr>
          <w:szCs w:val="22"/>
        </w:rPr>
        <w:t>s</w:t>
      </w:r>
      <w:r w:rsidRPr="004C1666" w:rsidR="0002332A">
        <w:rPr>
          <w:szCs w:val="22"/>
        </w:rPr>
        <w:t>ection 8(b) of the Communications Act of</w:t>
      </w:r>
      <w:r w:rsidR="0002332A">
        <w:rPr>
          <w:szCs w:val="22"/>
        </w:rPr>
        <w:t xml:space="preserve"> </w:t>
      </w:r>
      <w:r w:rsidRPr="004C1666" w:rsidR="0002332A">
        <w:rPr>
          <w:szCs w:val="22"/>
        </w:rPr>
        <w:t>1934, as amended</w:t>
      </w:r>
      <w:r w:rsidR="008F063B">
        <w:rPr>
          <w:szCs w:val="22"/>
        </w:rPr>
        <w:t>.</w:t>
      </w:r>
      <w:r>
        <w:rPr>
          <w:rStyle w:val="FootnoteReference"/>
          <w:szCs w:val="22"/>
        </w:rPr>
        <w:footnoteReference w:id="4"/>
      </w:r>
      <w:r w:rsidR="008F063B">
        <w:rPr>
          <w:szCs w:val="22"/>
        </w:rPr>
        <w:t xml:space="preserve">  </w:t>
      </w:r>
      <w:r w:rsidR="004C1666">
        <w:rPr>
          <w:szCs w:val="22"/>
        </w:rPr>
        <w:t>T</w:t>
      </w:r>
      <w:r w:rsidRPr="00281B64" w:rsidR="004C1666">
        <w:rPr>
          <w:szCs w:val="22"/>
        </w:rPr>
        <w:t>he</w:t>
      </w:r>
      <w:r w:rsidR="004C1666">
        <w:rPr>
          <w:szCs w:val="22"/>
        </w:rPr>
        <w:t xml:space="preserve"> new application fees</w:t>
      </w:r>
      <w:r w:rsidR="0002332A">
        <w:rPr>
          <w:szCs w:val="22"/>
        </w:rPr>
        <w:t xml:space="preserve"> </w:t>
      </w:r>
      <w:r w:rsidR="00233493">
        <w:rPr>
          <w:szCs w:val="22"/>
        </w:rPr>
        <w:t xml:space="preserve">go </w:t>
      </w:r>
      <w:r w:rsidR="004C1666">
        <w:rPr>
          <w:szCs w:val="22"/>
        </w:rPr>
        <w:t>into effect</w:t>
      </w:r>
      <w:r w:rsidRPr="00281B64" w:rsidR="004C1666">
        <w:rPr>
          <w:szCs w:val="22"/>
        </w:rPr>
        <w:t xml:space="preserve"> </w:t>
      </w:r>
      <w:r w:rsidR="004C1666">
        <w:rPr>
          <w:szCs w:val="22"/>
        </w:rPr>
        <w:t>on</w:t>
      </w:r>
      <w:r w:rsidRPr="008F063B" w:rsidR="004C1666">
        <w:rPr>
          <w:szCs w:val="22"/>
        </w:rPr>
        <w:t xml:space="preserve"> </w:t>
      </w:r>
      <w:r w:rsidR="004C1666">
        <w:rPr>
          <w:szCs w:val="22"/>
        </w:rPr>
        <w:t>March 2, 2023</w:t>
      </w:r>
      <w:r w:rsidR="00DA230B">
        <w:rPr>
          <w:szCs w:val="22"/>
        </w:rPr>
        <w:t>,</w:t>
      </w:r>
      <w:r w:rsidR="00DB71AB">
        <w:rPr>
          <w:szCs w:val="22"/>
        </w:rPr>
        <w:t xml:space="preserve"> and </w:t>
      </w:r>
      <w:r w:rsidR="00682072">
        <w:rPr>
          <w:szCs w:val="22"/>
        </w:rPr>
        <w:t xml:space="preserve">the fees related to tariff filings </w:t>
      </w:r>
      <w:r w:rsidR="00DB71AB">
        <w:rPr>
          <w:szCs w:val="22"/>
        </w:rPr>
        <w:t>are reflected in the table below</w:t>
      </w:r>
      <w:r w:rsidRPr="008F063B" w:rsidR="004C1666">
        <w:rPr>
          <w:szCs w:val="22"/>
        </w:rPr>
        <w:t>.</w:t>
      </w:r>
      <w:r>
        <w:rPr>
          <w:rStyle w:val="FootnoteReference"/>
          <w:szCs w:val="22"/>
        </w:rPr>
        <w:footnoteReference w:id="5"/>
      </w:r>
      <w:r w:rsidRPr="008F063B" w:rsidR="004C1666">
        <w:rPr>
          <w:szCs w:val="22"/>
        </w:rPr>
        <w:t xml:space="preserve"> </w:t>
      </w:r>
      <w:r w:rsidR="0002332A">
        <w:rPr>
          <w:szCs w:val="22"/>
        </w:rPr>
        <w:t xml:space="preserve"> </w:t>
      </w:r>
      <w:r w:rsidRPr="008F063B" w:rsidR="00960261">
        <w:rPr>
          <w:szCs w:val="22"/>
        </w:rPr>
        <w:t xml:space="preserve"> </w:t>
      </w:r>
    </w:p>
    <w:tbl>
      <w:tblPr>
        <w:tblStyle w:val="TableGrid"/>
        <w:tblW w:w="0" w:type="auto"/>
        <w:tblLook w:val="04A0"/>
      </w:tblPr>
      <w:tblGrid>
        <w:gridCol w:w="5935"/>
        <w:gridCol w:w="1170"/>
        <w:gridCol w:w="1080"/>
        <w:gridCol w:w="1165"/>
      </w:tblGrid>
      <w:tr w14:paraId="40D8E714" w14:textId="77777777" w:rsidTr="008F063B">
        <w:tblPrEx>
          <w:tblW w:w="0" w:type="auto"/>
          <w:tblLook w:val="04A0"/>
        </w:tblPrEx>
        <w:tc>
          <w:tcPr>
            <w:tcW w:w="5935" w:type="dxa"/>
            <w:shd w:val="clear" w:color="auto" w:fill="D9D9D9" w:themeFill="background1" w:themeFillShade="D9"/>
          </w:tcPr>
          <w:p w:rsidR="00D41E84" w:rsidRPr="004E716D" w:rsidP="00963FA5" w14:paraId="429D7B5E" w14:textId="6100AB96">
            <w:pPr>
              <w:pStyle w:val="ParaNum"/>
              <w:numPr>
                <w:ilvl w:val="0"/>
                <w:numId w:val="0"/>
              </w:numPr>
              <w:rPr>
                <w:b/>
                <w:bCs/>
                <w:szCs w:val="22"/>
              </w:rPr>
            </w:pPr>
            <w:r>
              <w:rPr>
                <w:b/>
                <w:bCs/>
                <w:szCs w:val="22"/>
              </w:rPr>
              <w:t>Tariffing-</w:t>
            </w:r>
            <w:r w:rsidR="00C40BB7">
              <w:rPr>
                <w:b/>
                <w:bCs/>
                <w:szCs w:val="22"/>
              </w:rPr>
              <w:t>R</w:t>
            </w:r>
            <w:r>
              <w:rPr>
                <w:b/>
                <w:bCs/>
                <w:szCs w:val="22"/>
              </w:rPr>
              <w:t xml:space="preserve">elated </w:t>
            </w:r>
            <w:r w:rsidRPr="004E716D" w:rsidR="00960261">
              <w:rPr>
                <w:b/>
                <w:bCs/>
                <w:szCs w:val="22"/>
              </w:rPr>
              <w:t>Filing</w:t>
            </w:r>
            <w:r w:rsidRPr="004E716D" w:rsidR="00133A3D">
              <w:rPr>
                <w:b/>
                <w:bCs/>
                <w:szCs w:val="22"/>
              </w:rPr>
              <w:t xml:space="preserve"> Fee</w:t>
            </w:r>
            <w:r>
              <w:rPr>
                <w:rStyle w:val="FootnoteReference"/>
              </w:rPr>
              <w:footnoteReference w:id="6"/>
            </w:r>
            <w:r w:rsidR="00F64DB9">
              <w:t xml:space="preserve">  </w:t>
            </w:r>
            <w:r w:rsidRPr="008F063B" w:rsidR="00F64DB9">
              <w:rPr>
                <w:szCs w:val="22"/>
              </w:rPr>
              <w:t xml:space="preserve">    </w:t>
            </w:r>
          </w:p>
        </w:tc>
        <w:tc>
          <w:tcPr>
            <w:tcW w:w="1170" w:type="dxa"/>
            <w:shd w:val="clear" w:color="auto" w:fill="D9D9D9" w:themeFill="background1" w:themeFillShade="D9"/>
          </w:tcPr>
          <w:p w:rsidR="00D41E84" w:rsidRPr="004E716D" w:rsidP="00963FA5" w14:paraId="2E92A80E" w14:textId="51B00437">
            <w:pPr>
              <w:pStyle w:val="ParaNum"/>
              <w:numPr>
                <w:ilvl w:val="0"/>
                <w:numId w:val="0"/>
              </w:numPr>
              <w:rPr>
                <w:b/>
                <w:bCs/>
                <w:szCs w:val="22"/>
              </w:rPr>
            </w:pPr>
            <w:r w:rsidRPr="004E716D">
              <w:rPr>
                <w:b/>
                <w:bCs/>
                <w:szCs w:val="22"/>
              </w:rPr>
              <w:t xml:space="preserve">Old Fee Amount </w:t>
            </w:r>
          </w:p>
        </w:tc>
        <w:tc>
          <w:tcPr>
            <w:tcW w:w="1080" w:type="dxa"/>
            <w:shd w:val="clear" w:color="auto" w:fill="D9D9D9" w:themeFill="background1" w:themeFillShade="D9"/>
          </w:tcPr>
          <w:p w:rsidR="00D41E84" w:rsidRPr="004E716D" w:rsidP="00963FA5" w14:paraId="4B45F1EF" w14:textId="25A0334B">
            <w:pPr>
              <w:pStyle w:val="ParaNum"/>
              <w:numPr>
                <w:ilvl w:val="0"/>
                <w:numId w:val="0"/>
              </w:numPr>
              <w:rPr>
                <w:b/>
                <w:bCs/>
                <w:szCs w:val="22"/>
              </w:rPr>
            </w:pPr>
            <w:r w:rsidRPr="004E716D">
              <w:rPr>
                <w:b/>
                <w:bCs/>
                <w:szCs w:val="22"/>
              </w:rPr>
              <w:t xml:space="preserve">New </w:t>
            </w:r>
            <w:r w:rsidRPr="004E716D" w:rsidR="00960261">
              <w:rPr>
                <w:b/>
                <w:bCs/>
                <w:szCs w:val="22"/>
              </w:rPr>
              <w:t>Fee Amount</w:t>
            </w:r>
          </w:p>
        </w:tc>
        <w:tc>
          <w:tcPr>
            <w:tcW w:w="1165" w:type="dxa"/>
            <w:shd w:val="clear" w:color="auto" w:fill="D9D9D9" w:themeFill="background1" w:themeFillShade="D9"/>
          </w:tcPr>
          <w:p w:rsidR="00D41E84" w:rsidRPr="004E716D" w:rsidP="00963FA5" w14:paraId="555F374A" w14:textId="77777777">
            <w:pPr>
              <w:pStyle w:val="ParaNum"/>
              <w:numPr>
                <w:ilvl w:val="0"/>
                <w:numId w:val="0"/>
              </w:numPr>
              <w:rPr>
                <w:b/>
                <w:bCs/>
                <w:szCs w:val="22"/>
              </w:rPr>
            </w:pPr>
            <w:r w:rsidRPr="004E716D">
              <w:rPr>
                <w:b/>
                <w:bCs/>
                <w:szCs w:val="22"/>
              </w:rPr>
              <w:t>Payment Code</w:t>
            </w:r>
          </w:p>
        </w:tc>
      </w:tr>
      <w:tr w14:paraId="5B43D713" w14:textId="77777777" w:rsidTr="008F063B">
        <w:tblPrEx>
          <w:tblW w:w="0" w:type="auto"/>
          <w:tblLook w:val="04A0"/>
        </w:tblPrEx>
        <w:tc>
          <w:tcPr>
            <w:tcW w:w="5935" w:type="dxa"/>
          </w:tcPr>
          <w:p w:rsidR="00D41E84" w:rsidRPr="004E716D" w:rsidP="00963FA5" w14:paraId="5C25B1E5" w14:textId="4038F7E6">
            <w:pPr>
              <w:pStyle w:val="ParaNum"/>
              <w:numPr>
                <w:ilvl w:val="0"/>
                <w:numId w:val="0"/>
              </w:numPr>
              <w:rPr>
                <w:szCs w:val="22"/>
              </w:rPr>
            </w:pPr>
            <w:r w:rsidRPr="004E716D">
              <w:rPr>
                <w:szCs w:val="22"/>
              </w:rPr>
              <w:t>Standard Tariff Filing</w:t>
            </w:r>
            <w:r w:rsidR="00F12BC5">
              <w:rPr>
                <w:szCs w:val="22"/>
              </w:rPr>
              <w:t xml:space="preserve"> </w:t>
            </w:r>
          </w:p>
        </w:tc>
        <w:tc>
          <w:tcPr>
            <w:tcW w:w="1170" w:type="dxa"/>
          </w:tcPr>
          <w:p w:rsidR="00D41E84" w:rsidRPr="004E716D" w:rsidP="00963FA5" w14:paraId="2D2690E8" w14:textId="5C3EEB44">
            <w:pPr>
              <w:pStyle w:val="ParaNum"/>
              <w:numPr>
                <w:ilvl w:val="0"/>
                <w:numId w:val="0"/>
              </w:numPr>
              <w:rPr>
                <w:szCs w:val="22"/>
              </w:rPr>
            </w:pPr>
            <w:r w:rsidRPr="004E716D">
              <w:rPr>
                <w:szCs w:val="22"/>
              </w:rPr>
              <w:t>$930</w:t>
            </w:r>
          </w:p>
        </w:tc>
        <w:tc>
          <w:tcPr>
            <w:tcW w:w="1080" w:type="dxa"/>
          </w:tcPr>
          <w:p w:rsidR="00D41E84" w:rsidRPr="004E716D" w:rsidP="00963FA5" w14:paraId="3B91F1A4" w14:textId="5A92722B">
            <w:pPr>
              <w:pStyle w:val="ParaNum"/>
              <w:numPr>
                <w:ilvl w:val="0"/>
                <w:numId w:val="0"/>
              </w:numPr>
              <w:rPr>
                <w:szCs w:val="22"/>
              </w:rPr>
            </w:pPr>
            <w:r w:rsidRPr="004E716D">
              <w:rPr>
                <w:szCs w:val="22"/>
              </w:rPr>
              <w:t>$1,040</w:t>
            </w:r>
          </w:p>
        </w:tc>
        <w:tc>
          <w:tcPr>
            <w:tcW w:w="1165" w:type="dxa"/>
          </w:tcPr>
          <w:p w:rsidR="00D41E84" w:rsidRPr="004E716D" w:rsidP="00963FA5" w14:paraId="68F006DA" w14:textId="664E2B7E">
            <w:pPr>
              <w:pStyle w:val="ParaNum"/>
              <w:numPr>
                <w:ilvl w:val="0"/>
                <w:numId w:val="0"/>
              </w:numPr>
              <w:rPr>
                <w:szCs w:val="22"/>
              </w:rPr>
            </w:pPr>
            <w:r w:rsidRPr="004E716D">
              <w:rPr>
                <w:szCs w:val="22"/>
              </w:rPr>
              <w:t>CQK</w:t>
            </w:r>
          </w:p>
        </w:tc>
      </w:tr>
      <w:tr w14:paraId="0600D708" w14:textId="77777777" w:rsidTr="008F063B">
        <w:tblPrEx>
          <w:tblW w:w="0" w:type="auto"/>
          <w:tblLook w:val="04A0"/>
        </w:tblPrEx>
        <w:tc>
          <w:tcPr>
            <w:tcW w:w="5935" w:type="dxa"/>
          </w:tcPr>
          <w:p w:rsidR="009E7FE2" w:rsidRPr="004E716D" w:rsidP="009E7FE2" w14:paraId="5ED37DF1" w14:textId="30F89BEB">
            <w:pPr>
              <w:pStyle w:val="ParaNum"/>
              <w:numPr>
                <w:ilvl w:val="0"/>
                <w:numId w:val="0"/>
              </w:numPr>
              <w:rPr>
                <w:szCs w:val="22"/>
              </w:rPr>
            </w:pPr>
            <w:r w:rsidRPr="004E716D">
              <w:rPr>
                <w:szCs w:val="22"/>
              </w:rPr>
              <w:t xml:space="preserve">Complex Tariff Filing </w:t>
            </w:r>
            <w:r w:rsidRPr="0021635A" w:rsidR="0021635A">
              <w:rPr>
                <w:szCs w:val="22"/>
              </w:rPr>
              <w:t xml:space="preserve">(annual access charge tariffs, new or restructured rate plans) </w:t>
            </w:r>
            <w:r w:rsidRPr="004E716D">
              <w:rPr>
                <w:szCs w:val="22"/>
              </w:rPr>
              <w:t xml:space="preserve">(Large – all price cap </w:t>
            </w:r>
            <w:r w:rsidRPr="004E716D" w:rsidR="001F48DC">
              <w:rPr>
                <w:szCs w:val="22"/>
              </w:rPr>
              <w:t xml:space="preserve">incumbent </w:t>
            </w:r>
            <w:r w:rsidRPr="004E716D">
              <w:rPr>
                <w:szCs w:val="22"/>
              </w:rPr>
              <w:t>LECs and entities involving more than 100 LECs)</w:t>
            </w:r>
          </w:p>
        </w:tc>
        <w:tc>
          <w:tcPr>
            <w:tcW w:w="1170" w:type="dxa"/>
          </w:tcPr>
          <w:p w:rsidR="009E7FE2" w:rsidRPr="004E716D" w:rsidP="009E7FE2" w14:paraId="72937B96" w14:textId="58EBDDB9">
            <w:pPr>
              <w:pStyle w:val="ParaNum"/>
              <w:numPr>
                <w:ilvl w:val="0"/>
                <w:numId w:val="0"/>
              </w:numPr>
              <w:rPr>
                <w:szCs w:val="22"/>
              </w:rPr>
            </w:pPr>
            <w:r w:rsidRPr="004E716D">
              <w:rPr>
                <w:szCs w:val="22"/>
              </w:rPr>
              <w:t>$6,540</w:t>
            </w:r>
          </w:p>
        </w:tc>
        <w:tc>
          <w:tcPr>
            <w:tcW w:w="1080" w:type="dxa"/>
          </w:tcPr>
          <w:p w:rsidR="009E7FE2" w:rsidRPr="004E716D" w:rsidP="009E7FE2" w14:paraId="1EF91F0F" w14:textId="2AF5DF6A">
            <w:pPr>
              <w:pStyle w:val="ParaNum"/>
              <w:numPr>
                <w:ilvl w:val="0"/>
                <w:numId w:val="0"/>
              </w:numPr>
              <w:rPr>
                <w:szCs w:val="22"/>
              </w:rPr>
            </w:pPr>
            <w:r w:rsidRPr="004E716D">
              <w:rPr>
                <w:szCs w:val="22"/>
              </w:rPr>
              <w:t>$7,300</w:t>
            </w:r>
          </w:p>
        </w:tc>
        <w:tc>
          <w:tcPr>
            <w:tcW w:w="1165" w:type="dxa"/>
          </w:tcPr>
          <w:p w:rsidR="009E7FE2" w:rsidRPr="004E716D" w:rsidP="009E7FE2" w14:paraId="562935C6" w14:textId="751CA02C">
            <w:pPr>
              <w:pStyle w:val="ParaNum"/>
              <w:numPr>
                <w:ilvl w:val="0"/>
                <w:numId w:val="0"/>
              </w:numPr>
              <w:rPr>
                <w:szCs w:val="22"/>
              </w:rPr>
            </w:pPr>
            <w:r w:rsidRPr="004E716D">
              <w:rPr>
                <w:szCs w:val="22"/>
              </w:rPr>
              <w:t>CQL</w:t>
            </w:r>
          </w:p>
        </w:tc>
      </w:tr>
      <w:tr w14:paraId="63889812" w14:textId="77777777" w:rsidTr="008F063B">
        <w:tblPrEx>
          <w:tblW w:w="0" w:type="auto"/>
          <w:tblLook w:val="04A0"/>
        </w:tblPrEx>
        <w:tc>
          <w:tcPr>
            <w:tcW w:w="5935" w:type="dxa"/>
          </w:tcPr>
          <w:p w:rsidR="009E7FE2" w:rsidRPr="004E716D" w:rsidP="009E7FE2" w14:paraId="380C6F45" w14:textId="69EEB476">
            <w:pPr>
              <w:pStyle w:val="ParaNum"/>
              <w:numPr>
                <w:ilvl w:val="0"/>
                <w:numId w:val="0"/>
              </w:numPr>
              <w:rPr>
                <w:szCs w:val="22"/>
              </w:rPr>
            </w:pPr>
            <w:r w:rsidRPr="004E716D">
              <w:rPr>
                <w:szCs w:val="22"/>
              </w:rPr>
              <w:t xml:space="preserve">Complex Tariff Filing </w:t>
            </w:r>
            <w:r w:rsidRPr="0021635A" w:rsidR="0021635A">
              <w:rPr>
                <w:szCs w:val="22"/>
              </w:rPr>
              <w:t xml:space="preserve">(annual access charge tariffs, new or restructured rate plans) </w:t>
            </w:r>
            <w:r w:rsidRPr="004E716D">
              <w:rPr>
                <w:szCs w:val="22"/>
              </w:rPr>
              <w:t>(Small –</w:t>
            </w:r>
            <w:r w:rsidR="009F15AC">
              <w:rPr>
                <w:szCs w:val="22"/>
              </w:rPr>
              <w:t xml:space="preserve"> </w:t>
            </w:r>
            <w:r w:rsidRPr="004E716D">
              <w:rPr>
                <w:szCs w:val="22"/>
              </w:rPr>
              <w:t>other entities)</w:t>
            </w:r>
          </w:p>
        </w:tc>
        <w:tc>
          <w:tcPr>
            <w:tcW w:w="1170" w:type="dxa"/>
          </w:tcPr>
          <w:p w:rsidR="009E7FE2" w:rsidRPr="004E716D" w:rsidP="009E7FE2" w14:paraId="50158D1F" w14:textId="4902C694">
            <w:pPr>
              <w:pStyle w:val="ParaNum"/>
              <w:numPr>
                <w:ilvl w:val="0"/>
                <w:numId w:val="0"/>
              </w:numPr>
              <w:rPr>
                <w:szCs w:val="22"/>
              </w:rPr>
            </w:pPr>
            <w:r w:rsidRPr="004E716D">
              <w:rPr>
                <w:szCs w:val="22"/>
              </w:rPr>
              <w:t>$3,270</w:t>
            </w:r>
          </w:p>
        </w:tc>
        <w:tc>
          <w:tcPr>
            <w:tcW w:w="1080" w:type="dxa"/>
          </w:tcPr>
          <w:p w:rsidR="009E7FE2" w:rsidRPr="004E716D" w:rsidP="009E7FE2" w14:paraId="65D3BD0B" w14:textId="415C344B">
            <w:pPr>
              <w:pStyle w:val="ParaNum"/>
              <w:numPr>
                <w:ilvl w:val="0"/>
                <w:numId w:val="0"/>
              </w:numPr>
              <w:rPr>
                <w:szCs w:val="22"/>
              </w:rPr>
            </w:pPr>
            <w:r w:rsidRPr="004E716D">
              <w:rPr>
                <w:szCs w:val="22"/>
              </w:rPr>
              <w:t>$3,650</w:t>
            </w:r>
          </w:p>
        </w:tc>
        <w:tc>
          <w:tcPr>
            <w:tcW w:w="1165" w:type="dxa"/>
          </w:tcPr>
          <w:p w:rsidR="009E7FE2" w:rsidRPr="004E716D" w:rsidP="009E7FE2" w14:paraId="07084696" w14:textId="4DF976E2">
            <w:pPr>
              <w:pStyle w:val="ParaNum"/>
              <w:numPr>
                <w:ilvl w:val="0"/>
                <w:numId w:val="0"/>
              </w:numPr>
              <w:rPr>
                <w:szCs w:val="22"/>
              </w:rPr>
            </w:pPr>
            <w:r w:rsidRPr="004E716D">
              <w:rPr>
                <w:szCs w:val="22"/>
              </w:rPr>
              <w:t>CQM</w:t>
            </w:r>
          </w:p>
        </w:tc>
      </w:tr>
      <w:tr w14:paraId="50182F61" w14:textId="77777777" w:rsidTr="008F063B">
        <w:tblPrEx>
          <w:tblW w:w="0" w:type="auto"/>
          <w:tblLook w:val="04A0"/>
        </w:tblPrEx>
        <w:tc>
          <w:tcPr>
            <w:tcW w:w="5935" w:type="dxa"/>
          </w:tcPr>
          <w:p w:rsidR="009E7FE2" w:rsidRPr="004E716D" w:rsidP="00E5044C" w14:paraId="493DF47A" w14:textId="13D20468">
            <w:pPr>
              <w:pStyle w:val="ParaNum"/>
              <w:numPr>
                <w:ilvl w:val="0"/>
                <w:numId w:val="0"/>
              </w:numPr>
              <w:rPr>
                <w:szCs w:val="22"/>
              </w:rPr>
            </w:pPr>
            <w:r w:rsidRPr="004E716D">
              <w:rPr>
                <w:szCs w:val="22"/>
              </w:rPr>
              <w:t>Application for Special Permission for Waiver of Tariff Rules</w:t>
            </w:r>
          </w:p>
        </w:tc>
        <w:tc>
          <w:tcPr>
            <w:tcW w:w="1170" w:type="dxa"/>
          </w:tcPr>
          <w:p w:rsidR="009E7FE2" w:rsidRPr="004E716D" w:rsidP="00963FA5" w14:paraId="68D8CAF4" w14:textId="21E1C68A">
            <w:pPr>
              <w:pStyle w:val="ParaNum"/>
              <w:numPr>
                <w:ilvl w:val="0"/>
                <w:numId w:val="0"/>
              </w:numPr>
              <w:rPr>
                <w:szCs w:val="22"/>
              </w:rPr>
            </w:pPr>
            <w:r w:rsidRPr="004E716D">
              <w:rPr>
                <w:szCs w:val="22"/>
              </w:rPr>
              <w:t>$375</w:t>
            </w:r>
          </w:p>
        </w:tc>
        <w:tc>
          <w:tcPr>
            <w:tcW w:w="1080" w:type="dxa"/>
          </w:tcPr>
          <w:p w:rsidR="009E7FE2" w:rsidRPr="004E716D" w:rsidP="00963FA5" w14:paraId="5FEEDC4A" w14:textId="001CB5EB">
            <w:pPr>
              <w:pStyle w:val="ParaNum"/>
              <w:numPr>
                <w:ilvl w:val="0"/>
                <w:numId w:val="0"/>
              </w:numPr>
              <w:rPr>
                <w:szCs w:val="22"/>
              </w:rPr>
            </w:pPr>
            <w:r w:rsidRPr="004E716D">
              <w:rPr>
                <w:szCs w:val="22"/>
              </w:rPr>
              <w:t>$420</w:t>
            </w:r>
          </w:p>
        </w:tc>
        <w:tc>
          <w:tcPr>
            <w:tcW w:w="1165" w:type="dxa"/>
          </w:tcPr>
          <w:p w:rsidR="009E7FE2" w:rsidRPr="004E716D" w:rsidP="00963FA5" w14:paraId="6985E111" w14:textId="603DC008">
            <w:pPr>
              <w:pStyle w:val="ParaNum"/>
              <w:numPr>
                <w:ilvl w:val="0"/>
                <w:numId w:val="0"/>
              </w:numPr>
              <w:rPr>
                <w:szCs w:val="22"/>
              </w:rPr>
            </w:pPr>
            <w:r w:rsidRPr="004E716D">
              <w:rPr>
                <w:szCs w:val="22"/>
              </w:rPr>
              <w:t>CQN</w:t>
            </w:r>
          </w:p>
        </w:tc>
      </w:tr>
    </w:tbl>
    <w:p w:rsidR="00B568F0" w14:paraId="1DF681DB" w14:textId="43784940">
      <w:pPr>
        <w:pStyle w:val="ParaNum"/>
        <w:widowControl/>
        <w:numPr>
          <w:ilvl w:val="0"/>
          <w:numId w:val="0"/>
        </w:numPr>
        <w:spacing w:before="120"/>
      </w:pPr>
      <w:r>
        <w:t xml:space="preserve">In addition, </w:t>
      </w:r>
      <w:r w:rsidR="00553695">
        <w:t>the</w:t>
      </w:r>
      <w:r w:rsidR="009D1031">
        <w:t xml:space="preserve"> filing fee associated with </w:t>
      </w:r>
      <w:r w:rsidR="00553695">
        <w:t>waiver</w:t>
      </w:r>
      <w:r w:rsidR="009D1031">
        <w:t>s</w:t>
      </w:r>
      <w:r w:rsidR="00553695">
        <w:t xml:space="preserve"> of the Commission’s</w:t>
      </w:r>
      <w:r w:rsidR="00FF7878">
        <w:t xml:space="preserve"> accounting</w:t>
      </w:r>
      <w:r w:rsidR="00553695">
        <w:t xml:space="preserve"> rules </w:t>
      </w:r>
      <w:r w:rsidR="009D1031">
        <w:t xml:space="preserve">is now </w:t>
      </w:r>
      <w:r w:rsidRPr="001B671E" w:rsidR="006948F4">
        <w:rPr>
          <w:szCs w:val="22"/>
        </w:rPr>
        <w:t>$4,925</w:t>
      </w:r>
      <w:r w:rsidR="009D1031">
        <w:t>, instead of $4,415, and the payment code for such filings is “CQP.”</w:t>
      </w:r>
      <w:r>
        <w:rPr>
          <w:rStyle w:val="FootnoteReference"/>
        </w:rPr>
        <w:footnoteReference w:id="7"/>
      </w:r>
      <w:r w:rsidR="00093E77">
        <w:t xml:space="preserve">  </w:t>
      </w:r>
    </w:p>
    <w:p w:rsidR="00A970E9" w:rsidP="003723D7" w14:paraId="6B204B24" w14:textId="789EF57D">
      <w:pPr>
        <w:pStyle w:val="ParaNum"/>
        <w:widowControl/>
        <w:numPr>
          <w:ilvl w:val="0"/>
          <w:numId w:val="0"/>
        </w:numPr>
        <w:spacing w:before="120"/>
        <w:ind w:firstLine="720"/>
        <w:rPr>
          <w:szCs w:val="22"/>
        </w:rPr>
      </w:pPr>
      <w:r w:rsidRPr="00A970E9">
        <w:t xml:space="preserve">Carriers </w:t>
      </w:r>
      <w:r w:rsidR="009B3350">
        <w:t xml:space="preserve">must continue to </w:t>
      </w:r>
      <w:r w:rsidR="000A044E">
        <w:t>submit all tariff filings</w:t>
      </w:r>
      <w:r w:rsidRPr="00A970E9">
        <w:t xml:space="preserve"> electronically through </w:t>
      </w:r>
      <w:r>
        <w:t xml:space="preserve">the Commission’s Electronic </w:t>
      </w:r>
      <w:r w:rsidR="00A863DC">
        <w:t xml:space="preserve">Tariff </w:t>
      </w:r>
      <w:r>
        <w:t>Filing System (ETFS).</w:t>
      </w:r>
      <w:r>
        <w:rPr>
          <w:rStyle w:val="FootnoteReference"/>
        </w:rPr>
        <w:footnoteReference w:id="8"/>
      </w:r>
      <w:r>
        <w:t xml:space="preserve">  </w:t>
      </w:r>
      <w:r w:rsidR="00975921">
        <w:rPr>
          <w:szCs w:val="22"/>
        </w:rPr>
        <w:t>A</w:t>
      </w:r>
      <w:r w:rsidRPr="00E7574F" w:rsidR="00E7574F">
        <w:rPr>
          <w:szCs w:val="22"/>
        </w:rPr>
        <w:t xml:space="preserve">pplicants </w:t>
      </w:r>
      <w:r w:rsidR="00975921">
        <w:rPr>
          <w:szCs w:val="22"/>
        </w:rPr>
        <w:t>seeking a waiver of the Commission’s accounting rules</w:t>
      </w:r>
      <w:r w:rsidR="00AA00B2">
        <w:rPr>
          <w:szCs w:val="22"/>
        </w:rPr>
        <w:t xml:space="preserve"> must file their applications for waiver through </w:t>
      </w:r>
      <w:r w:rsidRPr="00E7574F" w:rsidR="001A53DB">
        <w:rPr>
          <w:szCs w:val="22"/>
        </w:rPr>
        <w:t>the Commission’s Electronic Comment Filing System (ECFS)</w:t>
      </w:r>
      <w:r w:rsidR="001A53DB">
        <w:rPr>
          <w:szCs w:val="22"/>
        </w:rPr>
        <w:t xml:space="preserve"> </w:t>
      </w:r>
      <w:r w:rsidRPr="00E7574F" w:rsidR="00E7574F">
        <w:rPr>
          <w:szCs w:val="22"/>
        </w:rPr>
        <w:t xml:space="preserve">by accessing the appropriate “Inbox” in the “Submit a Non-Docketed Filing” module (INBOX-1.1105).  </w:t>
      </w:r>
      <w:r w:rsidR="005D4378">
        <w:t>C</w:t>
      </w:r>
      <w:r w:rsidR="0046344F">
        <w:t xml:space="preserve">arriers </w:t>
      </w:r>
      <w:r w:rsidR="0046344F">
        <w:rPr>
          <w:szCs w:val="22"/>
        </w:rPr>
        <w:t>must</w:t>
      </w:r>
      <w:r w:rsidRPr="004E716D" w:rsidR="0046344F">
        <w:rPr>
          <w:szCs w:val="22"/>
        </w:rPr>
        <w:t xml:space="preserve"> </w:t>
      </w:r>
      <w:r w:rsidR="0046344F">
        <w:rPr>
          <w:szCs w:val="22"/>
        </w:rPr>
        <w:t xml:space="preserve">pay the associated </w:t>
      </w:r>
      <w:r w:rsidR="00F91F2F">
        <w:rPr>
          <w:szCs w:val="22"/>
        </w:rPr>
        <w:t xml:space="preserve">filing </w:t>
      </w:r>
      <w:r w:rsidR="0046344F">
        <w:rPr>
          <w:szCs w:val="22"/>
        </w:rPr>
        <w:t xml:space="preserve">fee </w:t>
      </w:r>
      <w:r>
        <w:rPr>
          <w:szCs w:val="22"/>
        </w:rPr>
        <w:t>in the</w:t>
      </w:r>
      <w:r w:rsidR="0046344F">
        <w:rPr>
          <w:szCs w:val="22"/>
        </w:rPr>
        <w:t xml:space="preserve"> Commission’s Registration System (</w:t>
      </w:r>
      <w:r w:rsidRPr="004E716D" w:rsidR="0046344F">
        <w:rPr>
          <w:szCs w:val="22"/>
        </w:rPr>
        <w:t>CORES</w:t>
      </w:r>
      <w:r w:rsidR="0046344F">
        <w:rPr>
          <w:szCs w:val="22"/>
        </w:rPr>
        <w:t>) payment system</w:t>
      </w:r>
      <w:r w:rsidR="00E44B1B">
        <w:rPr>
          <w:szCs w:val="22"/>
        </w:rPr>
        <w:t xml:space="preserve"> at the same time</w:t>
      </w:r>
      <w:r w:rsidR="00E7574F">
        <w:rPr>
          <w:szCs w:val="22"/>
        </w:rPr>
        <w:t xml:space="preserve"> </w:t>
      </w:r>
      <w:r w:rsidR="00E44B1B">
        <w:rPr>
          <w:szCs w:val="22"/>
        </w:rPr>
        <w:t xml:space="preserve">they </w:t>
      </w:r>
      <w:r w:rsidR="00162BBC">
        <w:rPr>
          <w:szCs w:val="22"/>
        </w:rPr>
        <w:t xml:space="preserve">file the tariff </w:t>
      </w:r>
      <w:r w:rsidR="00DA356F">
        <w:rPr>
          <w:szCs w:val="22"/>
        </w:rPr>
        <w:t xml:space="preserve">filing </w:t>
      </w:r>
      <w:r w:rsidR="00B205FC">
        <w:rPr>
          <w:szCs w:val="22"/>
        </w:rPr>
        <w:t>through ETFS</w:t>
      </w:r>
      <w:r w:rsidR="00730898">
        <w:rPr>
          <w:szCs w:val="22"/>
        </w:rPr>
        <w:t xml:space="preserve"> or </w:t>
      </w:r>
      <w:r w:rsidR="00B40047">
        <w:rPr>
          <w:szCs w:val="22"/>
        </w:rPr>
        <w:t xml:space="preserve">the </w:t>
      </w:r>
      <w:r w:rsidR="00730898">
        <w:rPr>
          <w:szCs w:val="22"/>
        </w:rPr>
        <w:t xml:space="preserve">waiver of accounting rules </w:t>
      </w:r>
      <w:r w:rsidR="00DA356F">
        <w:rPr>
          <w:szCs w:val="22"/>
        </w:rPr>
        <w:t>through</w:t>
      </w:r>
      <w:r w:rsidR="00730898">
        <w:rPr>
          <w:szCs w:val="22"/>
        </w:rPr>
        <w:t xml:space="preserve"> ECFS</w:t>
      </w:r>
      <w:r w:rsidRPr="004E716D" w:rsidR="0046344F">
        <w:rPr>
          <w:szCs w:val="22"/>
        </w:rPr>
        <w:t>.</w:t>
      </w:r>
      <w:r>
        <w:rPr>
          <w:rStyle w:val="FootnoteReference"/>
          <w:szCs w:val="22"/>
        </w:rPr>
        <w:footnoteReference w:id="9"/>
      </w:r>
      <w:r w:rsidRPr="004E716D" w:rsidR="0046344F">
        <w:rPr>
          <w:szCs w:val="22"/>
        </w:rPr>
        <w:t xml:space="preserve">  </w:t>
      </w:r>
      <w:r w:rsidRPr="00521CF6" w:rsidR="00521CF6">
        <w:rPr>
          <w:szCs w:val="22"/>
        </w:rPr>
        <w:t xml:space="preserve">For more information about </w:t>
      </w:r>
      <w:r w:rsidR="009B30DD">
        <w:rPr>
          <w:szCs w:val="22"/>
        </w:rPr>
        <w:t>submitting filing fees through the</w:t>
      </w:r>
      <w:r w:rsidRPr="00521CF6" w:rsidR="00521CF6">
        <w:rPr>
          <w:szCs w:val="22"/>
        </w:rPr>
        <w:t xml:space="preserve"> CORES </w:t>
      </w:r>
      <w:r w:rsidR="004453B5">
        <w:rPr>
          <w:szCs w:val="22"/>
        </w:rPr>
        <w:t>p</w:t>
      </w:r>
      <w:r w:rsidRPr="00521CF6" w:rsidR="00521CF6">
        <w:rPr>
          <w:szCs w:val="22"/>
        </w:rPr>
        <w:t xml:space="preserve">ayment </w:t>
      </w:r>
      <w:r w:rsidR="004453B5">
        <w:rPr>
          <w:szCs w:val="22"/>
        </w:rPr>
        <w:t>s</w:t>
      </w:r>
      <w:r w:rsidRPr="00521CF6" w:rsidR="00521CF6">
        <w:rPr>
          <w:szCs w:val="22"/>
        </w:rPr>
        <w:t xml:space="preserve">ystem, please visit: </w:t>
      </w:r>
      <w:hyperlink r:id="rId5" w:history="1">
        <w:r w:rsidRPr="0059246F" w:rsidR="00521CF6">
          <w:rPr>
            <w:rStyle w:val="Hyperlink"/>
            <w:szCs w:val="22"/>
          </w:rPr>
          <w:t>https://www.fcc.gov/licensing-databases/fees/cores-payment-system</w:t>
        </w:r>
      </w:hyperlink>
      <w:r w:rsidRPr="00521CF6" w:rsidR="00521CF6">
        <w:rPr>
          <w:szCs w:val="22"/>
        </w:rPr>
        <w:t>.</w:t>
      </w:r>
      <w:r w:rsidR="00521CF6">
        <w:rPr>
          <w:szCs w:val="22"/>
        </w:rPr>
        <w:t xml:space="preserve">  P</w:t>
      </w:r>
      <w:r w:rsidRPr="00092A51" w:rsidR="003723D7">
        <w:rPr>
          <w:szCs w:val="22"/>
        </w:rPr>
        <w:t xml:space="preserve">lease </w:t>
      </w:r>
      <w:r w:rsidR="00521CF6">
        <w:rPr>
          <w:szCs w:val="22"/>
        </w:rPr>
        <w:t xml:space="preserve">also </w:t>
      </w:r>
      <w:r w:rsidRPr="00092A51" w:rsidR="003723D7">
        <w:rPr>
          <w:szCs w:val="22"/>
        </w:rPr>
        <w:t xml:space="preserve">consult the Bureau’s </w:t>
      </w:r>
      <w:r w:rsidR="00FF7878">
        <w:rPr>
          <w:szCs w:val="22"/>
        </w:rPr>
        <w:t xml:space="preserve">Application </w:t>
      </w:r>
      <w:r w:rsidRPr="00092A51" w:rsidR="003723D7">
        <w:rPr>
          <w:szCs w:val="22"/>
        </w:rPr>
        <w:t>Fee Filing Guide.</w:t>
      </w:r>
      <w:r>
        <w:rPr>
          <w:rStyle w:val="FootnoteReference"/>
          <w:szCs w:val="22"/>
        </w:rPr>
        <w:footnoteReference w:id="10"/>
      </w:r>
      <w:r w:rsidR="003723D7">
        <w:rPr>
          <w:szCs w:val="22"/>
        </w:rPr>
        <w:t xml:space="preserve">  </w:t>
      </w:r>
    </w:p>
    <w:p w:rsidR="00C7568E" w:rsidP="00967F02" w14:paraId="643AE1F0" w14:textId="2E6871E3">
      <w:pPr>
        <w:pStyle w:val="ParaNum"/>
        <w:widowControl/>
        <w:numPr>
          <w:ilvl w:val="0"/>
          <w:numId w:val="0"/>
        </w:numPr>
        <w:spacing w:before="120"/>
        <w:ind w:firstLine="720"/>
        <w:rPr>
          <w:szCs w:val="22"/>
        </w:rPr>
      </w:pPr>
      <w:r w:rsidRPr="00066398">
        <w:rPr>
          <w:i/>
          <w:iCs/>
          <w:szCs w:val="22"/>
        </w:rPr>
        <w:t xml:space="preserve">Complex </w:t>
      </w:r>
      <w:r w:rsidR="0058508C">
        <w:rPr>
          <w:i/>
          <w:iCs/>
          <w:szCs w:val="22"/>
        </w:rPr>
        <w:t xml:space="preserve">Tariff </w:t>
      </w:r>
      <w:r w:rsidRPr="00066398">
        <w:rPr>
          <w:i/>
          <w:iCs/>
          <w:szCs w:val="22"/>
        </w:rPr>
        <w:t>Filing</w:t>
      </w:r>
      <w:r w:rsidR="00F4638B">
        <w:rPr>
          <w:i/>
          <w:iCs/>
          <w:szCs w:val="22"/>
        </w:rPr>
        <w:t xml:space="preserve"> (Large and Small)</w:t>
      </w:r>
      <w:r>
        <w:rPr>
          <w:szCs w:val="22"/>
        </w:rPr>
        <w:t xml:space="preserve">.  </w:t>
      </w:r>
      <w:r w:rsidR="00002C2C">
        <w:rPr>
          <w:szCs w:val="22"/>
        </w:rPr>
        <w:t xml:space="preserve">Carriers submitting annual access charge tariffs that become effective July 1 each year </w:t>
      </w:r>
      <w:r w:rsidR="002848F8">
        <w:rPr>
          <w:szCs w:val="22"/>
        </w:rPr>
        <w:t>are required to</w:t>
      </w:r>
      <w:r w:rsidR="00002C2C">
        <w:rPr>
          <w:szCs w:val="22"/>
        </w:rPr>
        <w:t xml:space="preserve"> </w:t>
      </w:r>
      <w:r w:rsidR="00D5585C">
        <w:rPr>
          <w:szCs w:val="22"/>
        </w:rPr>
        <w:t>pay</w:t>
      </w:r>
      <w:r w:rsidR="00002C2C">
        <w:rPr>
          <w:szCs w:val="22"/>
        </w:rPr>
        <w:t xml:space="preserve"> </w:t>
      </w:r>
      <w:r w:rsidR="009543AF">
        <w:rPr>
          <w:szCs w:val="22"/>
        </w:rPr>
        <w:t>the associated</w:t>
      </w:r>
      <w:r w:rsidR="00F4638B">
        <w:rPr>
          <w:szCs w:val="22"/>
        </w:rPr>
        <w:t xml:space="preserve"> </w:t>
      </w:r>
      <w:r w:rsidR="003B06C5">
        <w:rPr>
          <w:szCs w:val="22"/>
        </w:rPr>
        <w:t>complex tariff filing fee</w:t>
      </w:r>
      <w:r w:rsidR="00F4638B">
        <w:rPr>
          <w:szCs w:val="22"/>
        </w:rPr>
        <w:t>.</w:t>
      </w:r>
      <w:r>
        <w:rPr>
          <w:rStyle w:val="FootnoteReference"/>
          <w:szCs w:val="22"/>
        </w:rPr>
        <w:footnoteReference w:id="11"/>
      </w:r>
      <w:r w:rsidR="008B733C">
        <w:rPr>
          <w:szCs w:val="22"/>
        </w:rPr>
        <w:t xml:space="preserve"> </w:t>
      </w:r>
      <w:r w:rsidR="00F4638B">
        <w:rPr>
          <w:szCs w:val="22"/>
        </w:rPr>
        <w:t xml:space="preserve"> </w:t>
      </w:r>
      <w:r w:rsidR="00FE3582">
        <w:rPr>
          <w:szCs w:val="22"/>
        </w:rPr>
        <w:t xml:space="preserve">Additionally, </w:t>
      </w:r>
      <w:r w:rsidR="00FE3582">
        <w:t>c</w:t>
      </w:r>
      <w:r w:rsidR="009543AF">
        <w:t>arriers submit</w:t>
      </w:r>
      <w:r w:rsidR="00D5585C">
        <w:t>ting</w:t>
      </w:r>
      <w:r w:rsidR="009543AF">
        <w:t xml:space="preserve"> a</w:t>
      </w:r>
      <w:r w:rsidRPr="00F4638B" w:rsidR="009543AF">
        <w:t xml:space="preserve"> new or restructured rate plan under section 61.3(mm) of the Commission’s rules</w:t>
      </w:r>
      <w:r w:rsidRPr="00D5585C" w:rsidR="00D5585C">
        <w:t xml:space="preserve"> </w:t>
      </w:r>
      <w:r w:rsidR="001B5CC3">
        <w:t>are required to</w:t>
      </w:r>
      <w:r w:rsidR="00D5585C">
        <w:t xml:space="preserve"> pay the complex filing fee</w:t>
      </w:r>
      <w:r w:rsidR="009543AF">
        <w:t>.</w:t>
      </w:r>
      <w:r>
        <w:rPr>
          <w:rStyle w:val="FootnoteReference"/>
        </w:rPr>
        <w:footnoteReference w:id="12"/>
      </w:r>
      <w:r w:rsidR="009543AF">
        <w:t xml:space="preserve"> </w:t>
      </w:r>
      <w:r w:rsidR="00D5585C">
        <w:t xml:space="preserve"> </w:t>
      </w:r>
      <w:r w:rsidR="008A6988">
        <w:t xml:space="preserve">There are separate complex filing fees for large and small entities.  </w:t>
      </w:r>
      <w:r w:rsidR="00B1796B">
        <w:rPr>
          <w:szCs w:val="22"/>
        </w:rPr>
        <w:t>P</w:t>
      </w:r>
      <w:r w:rsidRPr="00660CE6" w:rsidR="00B1796B">
        <w:rPr>
          <w:szCs w:val="22"/>
        </w:rPr>
        <w:t xml:space="preserve">rice cap </w:t>
      </w:r>
      <w:r w:rsidR="009543AF">
        <w:rPr>
          <w:szCs w:val="22"/>
        </w:rPr>
        <w:t xml:space="preserve">incumbent local exchange </w:t>
      </w:r>
      <w:r w:rsidR="00B5786F">
        <w:rPr>
          <w:szCs w:val="22"/>
        </w:rPr>
        <w:t>carriers</w:t>
      </w:r>
      <w:r w:rsidR="009543AF">
        <w:rPr>
          <w:szCs w:val="22"/>
        </w:rPr>
        <w:t xml:space="preserve"> (LECs)</w:t>
      </w:r>
      <w:r w:rsidRPr="00660CE6" w:rsidR="00B1796B">
        <w:rPr>
          <w:szCs w:val="22"/>
        </w:rPr>
        <w:t xml:space="preserve"> and entities</w:t>
      </w:r>
      <w:r w:rsidR="00CB102E">
        <w:rPr>
          <w:szCs w:val="22"/>
        </w:rPr>
        <w:t xml:space="preserve">, such as the </w:t>
      </w:r>
      <w:r w:rsidRPr="00660CE6" w:rsidR="00B1796B">
        <w:rPr>
          <w:szCs w:val="22"/>
        </w:rPr>
        <w:t xml:space="preserve"> </w:t>
      </w:r>
      <w:r w:rsidRPr="00660CE6" w:rsidR="00085CA7">
        <w:rPr>
          <w:szCs w:val="22"/>
        </w:rPr>
        <w:t>National Exchange Carrier Association, Inc</w:t>
      </w:r>
      <w:r w:rsidR="00085CA7">
        <w:rPr>
          <w:szCs w:val="22"/>
        </w:rPr>
        <w:t xml:space="preserve">., or </w:t>
      </w:r>
      <w:r w:rsidRPr="00660CE6" w:rsidR="00085CA7">
        <w:rPr>
          <w:szCs w:val="22"/>
        </w:rPr>
        <w:t>consultants</w:t>
      </w:r>
      <w:r w:rsidR="00085CA7">
        <w:rPr>
          <w:szCs w:val="22"/>
        </w:rPr>
        <w:t>,</w:t>
      </w:r>
      <w:r w:rsidRPr="00660CE6" w:rsidR="00085CA7">
        <w:rPr>
          <w:szCs w:val="22"/>
        </w:rPr>
        <w:t xml:space="preserve"> </w:t>
      </w:r>
      <w:r w:rsidRPr="00660CE6" w:rsidR="00B1796B">
        <w:rPr>
          <w:szCs w:val="22"/>
        </w:rPr>
        <w:t xml:space="preserve">filing </w:t>
      </w:r>
      <w:r w:rsidR="00B1796B">
        <w:rPr>
          <w:szCs w:val="22"/>
        </w:rPr>
        <w:t xml:space="preserve">annual access charge </w:t>
      </w:r>
      <w:r w:rsidRPr="00660CE6" w:rsidR="00B1796B">
        <w:rPr>
          <w:szCs w:val="22"/>
        </w:rPr>
        <w:t>tariffs</w:t>
      </w:r>
      <w:r w:rsidR="00D5585C">
        <w:rPr>
          <w:szCs w:val="22"/>
        </w:rPr>
        <w:t xml:space="preserve"> or new or restructured rate plans</w:t>
      </w:r>
      <w:r w:rsidRPr="00660CE6" w:rsidR="00B1796B">
        <w:rPr>
          <w:szCs w:val="22"/>
        </w:rPr>
        <w:t xml:space="preserve"> on behalf of more than 100 </w:t>
      </w:r>
      <w:r w:rsidR="009543AF">
        <w:rPr>
          <w:szCs w:val="22"/>
        </w:rPr>
        <w:t>LECs</w:t>
      </w:r>
      <w:r w:rsidRPr="00660CE6" w:rsidR="00B1796B">
        <w:rPr>
          <w:szCs w:val="22"/>
        </w:rPr>
        <w:t xml:space="preserve"> </w:t>
      </w:r>
      <w:r w:rsidR="003A35A5">
        <w:rPr>
          <w:szCs w:val="22"/>
        </w:rPr>
        <w:t>are required to</w:t>
      </w:r>
      <w:r w:rsidR="00B1796B">
        <w:rPr>
          <w:szCs w:val="22"/>
        </w:rPr>
        <w:t xml:space="preserve"> </w:t>
      </w:r>
      <w:r w:rsidR="001B5CC3">
        <w:rPr>
          <w:szCs w:val="22"/>
        </w:rPr>
        <w:t>submit</w:t>
      </w:r>
      <w:r w:rsidR="00B1796B">
        <w:rPr>
          <w:szCs w:val="22"/>
        </w:rPr>
        <w:t xml:space="preserve"> the </w:t>
      </w:r>
      <w:bookmarkStart w:id="2" w:name="_Hlk127364096"/>
      <w:r w:rsidRPr="00C828E9" w:rsidR="00B1796B">
        <w:rPr>
          <w:szCs w:val="22"/>
        </w:rPr>
        <w:t>$7,300</w:t>
      </w:r>
      <w:r w:rsidR="00B1796B">
        <w:rPr>
          <w:szCs w:val="22"/>
        </w:rPr>
        <w:t xml:space="preserve"> </w:t>
      </w:r>
      <w:bookmarkEnd w:id="2"/>
      <w:r w:rsidRPr="00660CE6" w:rsidR="009F4C98">
        <w:rPr>
          <w:szCs w:val="22"/>
        </w:rPr>
        <w:t>complex tariff filing (large) fe</w:t>
      </w:r>
      <w:r w:rsidR="00B1796B">
        <w:rPr>
          <w:szCs w:val="22"/>
        </w:rPr>
        <w:t xml:space="preserve">e.  </w:t>
      </w:r>
      <w:r w:rsidR="00992946">
        <w:rPr>
          <w:szCs w:val="22"/>
        </w:rPr>
        <w:t>The complex tariff filing (small – other entities) fee applies to all other non-price cap incumbent LECs</w:t>
      </w:r>
      <w:r w:rsidR="001B2758">
        <w:rPr>
          <w:szCs w:val="22"/>
        </w:rPr>
        <w:t xml:space="preserve"> that a</w:t>
      </w:r>
      <w:r w:rsidR="00E31B0F">
        <w:rPr>
          <w:szCs w:val="22"/>
        </w:rPr>
        <w:t>re</w:t>
      </w:r>
      <w:r w:rsidR="001B2758">
        <w:rPr>
          <w:szCs w:val="22"/>
        </w:rPr>
        <w:t xml:space="preserve"> not subject to the complex tariff filing (large) fee</w:t>
      </w:r>
      <w:r w:rsidR="00992946">
        <w:rPr>
          <w:szCs w:val="22"/>
        </w:rPr>
        <w:t xml:space="preserve">.  </w:t>
      </w:r>
      <w:r w:rsidR="00054CC4">
        <w:rPr>
          <w:szCs w:val="22"/>
        </w:rPr>
        <w:t>R</w:t>
      </w:r>
      <w:r w:rsidRPr="00660CE6" w:rsidR="00B5786F">
        <w:rPr>
          <w:szCs w:val="22"/>
        </w:rPr>
        <w:t xml:space="preserve">ate-of-return </w:t>
      </w:r>
      <w:r w:rsidR="00D5585C">
        <w:rPr>
          <w:szCs w:val="22"/>
        </w:rPr>
        <w:t>incumbent LECs</w:t>
      </w:r>
      <w:r w:rsidRPr="00660CE6" w:rsidR="00B5786F">
        <w:rPr>
          <w:szCs w:val="22"/>
        </w:rPr>
        <w:t xml:space="preserve"> and entities</w:t>
      </w:r>
      <w:r w:rsidR="00992946">
        <w:rPr>
          <w:szCs w:val="22"/>
        </w:rPr>
        <w:t>, such as consultants,</w:t>
      </w:r>
      <w:r w:rsidRPr="00660CE6" w:rsidR="00B5786F">
        <w:rPr>
          <w:szCs w:val="22"/>
        </w:rPr>
        <w:t xml:space="preserve"> that file </w:t>
      </w:r>
      <w:r w:rsidR="00FE3582">
        <w:rPr>
          <w:szCs w:val="22"/>
        </w:rPr>
        <w:t xml:space="preserve">annual access charge </w:t>
      </w:r>
      <w:r w:rsidRPr="00660CE6" w:rsidR="00B5786F">
        <w:rPr>
          <w:szCs w:val="22"/>
        </w:rPr>
        <w:t xml:space="preserve">tariffs </w:t>
      </w:r>
      <w:r w:rsidR="00FE3582">
        <w:rPr>
          <w:szCs w:val="22"/>
        </w:rPr>
        <w:t xml:space="preserve">or new or restructured rate plans </w:t>
      </w:r>
      <w:r w:rsidRPr="00660CE6" w:rsidR="00B5786F">
        <w:rPr>
          <w:szCs w:val="22"/>
        </w:rPr>
        <w:t xml:space="preserve">on behalf of 100 </w:t>
      </w:r>
      <w:r w:rsidR="00F01E88">
        <w:rPr>
          <w:szCs w:val="22"/>
        </w:rPr>
        <w:t xml:space="preserve">or fewer </w:t>
      </w:r>
      <w:r w:rsidR="00D5585C">
        <w:rPr>
          <w:szCs w:val="22"/>
        </w:rPr>
        <w:t>LECs</w:t>
      </w:r>
      <w:r w:rsidRPr="00660CE6" w:rsidR="00B5786F">
        <w:rPr>
          <w:szCs w:val="22"/>
        </w:rPr>
        <w:t xml:space="preserve"> </w:t>
      </w:r>
      <w:r w:rsidR="00FE3582">
        <w:rPr>
          <w:szCs w:val="22"/>
        </w:rPr>
        <w:t>are required to</w:t>
      </w:r>
      <w:r w:rsidR="00B5786F">
        <w:rPr>
          <w:szCs w:val="22"/>
        </w:rPr>
        <w:t xml:space="preserve"> </w:t>
      </w:r>
      <w:r w:rsidR="005D1A2E">
        <w:rPr>
          <w:szCs w:val="22"/>
        </w:rPr>
        <w:t xml:space="preserve">submit </w:t>
      </w:r>
      <w:r w:rsidR="00B5786F">
        <w:rPr>
          <w:szCs w:val="22"/>
        </w:rPr>
        <w:t xml:space="preserve">the </w:t>
      </w:r>
      <w:r w:rsidRPr="00C828E9" w:rsidR="00B5786F">
        <w:rPr>
          <w:szCs w:val="22"/>
        </w:rPr>
        <w:t>$3,650</w:t>
      </w:r>
      <w:r w:rsidR="00B5786F">
        <w:rPr>
          <w:szCs w:val="22"/>
        </w:rPr>
        <w:t xml:space="preserve"> </w:t>
      </w:r>
      <w:r w:rsidRPr="00660CE6" w:rsidR="009F4C98">
        <w:rPr>
          <w:szCs w:val="22"/>
        </w:rPr>
        <w:t>complex tariff filing (small) fee</w:t>
      </w:r>
      <w:r w:rsidR="00B5786F">
        <w:rPr>
          <w:szCs w:val="22"/>
        </w:rPr>
        <w:t>.</w:t>
      </w:r>
      <w:r>
        <w:rPr>
          <w:rStyle w:val="FootnoteReference"/>
          <w:szCs w:val="22"/>
        </w:rPr>
        <w:footnoteReference w:id="13"/>
      </w:r>
      <w:r w:rsidRPr="00660CE6" w:rsidR="009F4C98">
        <w:rPr>
          <w:szCs w:val="22"/>
        </w:rPr>
        <w:t xml:space="preserve">  </w:t>
      </w:r>
    </w:p>
    <w:p w:rsidR="00C7568E" w:rsidRPr="00690EEA" w:rsidP="00690EEA" w14:paraId="071E03C4" w14:textId="3E874CF5">
      <w:pPr>
        <w:pStyle w:val="ParaNum"/>
        <w:widowControl/>
        <w:numPr>
          <w:ilvl w:val="0"/>
          <w:numId w:val="0"/>
        </w:numPr>
        <w:spacing w:before="120"/>
        <w:ind w:firstLine="720"/>
      </w:pPr>
      <w:r w:rsidRPr="00C7568E">
        <w:rPr>
          <w:i/>
          <w:iCs/>
          <w:szCs w:val="22"/>
        </w:rPr>
        <w:t>Standard Tariff Filing</w:t>
      </w:r>
      <w:r>
        <w:rPr>
          <w:szCs w:val="22"/>
        </w:rPr>
        <w:t xml:space="preserve">. </w:t>
      </w:r>
      <w:r w:rsidR="00C525D0">
        <w:rPr>
          <w:szCs w:val="22"/>
        </w:rPr>
        <w:t xml:space="preserve"> Carriers submit</w:t>
      </w:r>
      <w:r w:rsidR="00B1796B">
        <w:rPr>
          <w:szCs w:val="22"/>
        </w:rPr>
        <w:t>ting</w:t>
      </w:r>
      <w:r w:rsidR="00C525D0">
        <w:rPr>
          <w:szCs w:val="22"/>
        </w:rPr>
        <w:t xml:space="preserve"> </w:t>
      </w:r>
      <w:r w:rsidR="00C525D0">
        <w:t>t</w:t>
      </w:r>
      <w:r w:rsidR="006A7134">
        <w:t xml:space="preserve">ariff </w:t>
      </w:r>
      <w:r w:rsidR="00BA41CC">
        <w:t xml:space="preserve">filings </w:t>
      </w:r>
      <w:r w:rsidR="006A7134">
        <w:t>propos</w:t>
      </w:r>
      <w:r w:rsidR="00C525D0">
        <w:t>ing</w:t>
      </w:r>
      <w:r w:rsidRPr="0058217F" w:rsidR="006A7134">
        <w:t xml:space="preserve"> new tariffs or revisions to an existing tariff</w:t>
      </w:r>
      <w:r w:rsidR="00C525D0">
        <w:t xml:space="preserve">, </w:t>
      </w:r>
      <w:r w:rsidR="00690EEA">
        <w:t xml:space="preserve">that are not </w:t>
      </w:r>
      <w:r w:rsidR="007E6D8D">
        <w:t xml:space="preserve">subject to the </w:t>
      </w:r>
      <w:r w:rsidR="00690EEA">
        <w:t>complex tariff filing</w:t>
      </w:r>
      <w:r w:rsidR="007E6D8D">
        <w:t xml:space="preserve"> fees</w:t>
      </w:r>
      <w:r w:rsidR="00690EEA">
        <w:t xml:space="preserve">, </w:t>
      </w:r>
      <w:r w:rsidR="000370CC">
        <w:t>are required to submit</w:t>
      </w:r>
      <w:r w:rsidR="00C525D0">
        <w:t xml:space="preserve"> the </w:t>
      </w:r>
      <w:r w:rsidR="00C525D0">
        <w:rPr>
          <w:szCs w:val="22"/>
        </w:rPr>
        <w:t>$1,040</w:t>
      </w:r>
      <w:r w:rsidR="006A7134">
        <w:t xml:space="preserve"> </w:t>
      </w:r>
      <w:r w:rsidR="00C525D0">
        <w:t xml:space="preserve">standard </w:t>
      </w:r>
      <w:r w:rsidR="006A7134">
        <w:t>tariff filing fee.</w:t>
      </w:r>
      <w:r>
        <w:rPr>
          <w:rStyle w:val="FootnoteReference"/>
        </w:rPr>
        <w:footnoteReference w:id="14"/>
      </w:r>
      <w:r w:rsidR="00C525D0">
        <w:t xml:space="preserve">  </w:t>
      </w:r>
      <w:r w:rsidR="00532BF8">
        <w:t>Incumbent LECs</w:t>
      </w:r>
      <w:r w:rsidRPr="00532BF8" w:rsidR="00532BF8">
        <w:t xml:space="preserve"> </w:t>
      </w:r>
      <w:r w:rsidR="00532BF8">
        <w:t>filing</w:t>
      </w:r>
      <w:r w:rsidRPr="00532BF8" w:rsidR="00532BF8">
        <w:t xml:space="preserve"> tariff publications </w:t>
      </w:r>
      <w:r w:rsidR="00214F2A">
        <w:t>on 3-days’ notice</w:t>
      </w:r>
      <w:r w:rsidR="004C30BE">
        <w:t>, pursuant to</w:t>
      </w:r>
      <w:r w:rsidR="00214F2A">
        <w:t xml:space="preserve"> </w:t>
      </w:r>
      <w:r w:rsidR="00730B81">
        <w:t>section 61.58(a)(3)</w:t>
      </w:r>
      <w:r w:rsidR="004C30BE">
        <w:t>,</w:t>
      </w:r>
      <w:r w:rsidR="00730B81">
        <w:t xml:space="preserve"> </w:t>
      </w:r>
      <w:r w:rsidRPr="00532BF8" w:rsidR="00532BF8">
        <w:t xml:space="preserve">proposing corrections or voluntarily deferring the effective date of a pending tariff revision </w:t>
      </w:r>
      <w:r w:rsidR="007E6D8D">
        <w:t xml:space="preserve">are </w:t>
      </w:r>
      <w:r w:rsidR="00695DFB">
        <w:t xml:space="preserve">required to submit the </w:t>
      </w:r>
      <w:r w:rsidR="00532BF8">
        <w:t>standard tariff filing fee.</w:t>
      </w:r>
      <w:r>
        <w:rPr>
          <w:rStyle w:val="FootnoteReference"/>
        </w:rPr>
        <w:footnoteReference w:id="15"/>
      </w:r>
      <w:r w:rsidR="00532BF8">
        <w:t xml:space="preserve">  </w:t>
      </w:r>
      <w:r w:rsidR="00F5355B">
        <w:t xml:space="preserve">Competitive LECs filing tariff publications </w:t>
      </w:r>
      <w:r w:rsidR="00F5355B">
        <w:t>proposing revisions to existing tariffs</w:t>
      </w:r>
      <w:r w:rsidR="00002C2C">
        <w:t xml:space="preserve"> </w:t>
      </w:r>
      <w:r w:rsidR="009A162B">
        <w:t xml:space="preserve">or pending tariff revisions </w:t>
      </w:r>
      <w:r w:rsidR="00002C2C">
        <w:t>are required to submit the standard tariff filing fee.</w:t>
      </w:r>
      <w:r>
        <w:rPr>
          <w:rStyle w:val="FootnoteReference"/>
        </w:rPr>
        <w:footnoteReference w:id="16"/>
      </w:r>
      <w:r w:rsidR="00EB2902">
        <w:t xml:space="preserve"> </w:t>
      </w:r>
      <w:r w:rsidR="005F33E0">
        <w:t xml:space="preserve"> C</w:t>
      </w:r>
      <w:r w:rsidR="00690EEA">
        <w:t xml:space="preserve">arriers </w:t>
      </w:r>
      <w:r w:rsidR="007E6D8D">
        <w:t xml:space="preserve">filing </w:t>
      </w:r>
      <w:r w:rsidR="00690EEA">
        <w:t xml:space="preserve">an amended transmittal </w:t>
      </w:r>
      <w:r w:rsidR="00D14CD9">
        <w:t xml:space="preserve">revising </w:t>
      </w:r>
      <w:r w:rsidR="005F3640">
        <w:t>supporting documentation</w:t>
      </w:r>
      <w:r w:rsidR="00002C2C">
        <w:t xml:space="preserve"> filed with a tariff</w:t>
      </w:r>
      <w:r w:rsidR="00185309">
        <w:t>,</w:t>
      </w:r>
      <w:r w:rsidR="009A162B">
        <w:t xml:space="preserve"> </w:t>
      </w:r>
      <w:r w:rsidR="005F33E0">
        <w:t xml:space="preserve">such as tariff review plans, </w:t>
      </w:r>
      <w:r w:rsidR="009A162B">
        <w:t xml:space="preserve">but not </w:t>
      </w:r>
      <w:r w:rsidR="00185309">
        <w:t xml:space="preserve">proposing revisions to </w:t>
      </w:r>
      <w:r w:rsidR="009A162B">
        <w:t>the tariff itself</w:t>
      </w:r>
      <w:r w:rsidR="005F3640">
        <w:t xml:space="preserve">, </w:t>
      </w:r>
      <w:r w:rsidR="00690EEA">
        <w:t>are not required to submit a tariff filing fee</w:t>
      </w:r>
      <w:r w:rsidR="005F3640">
        <w:t>.</w:t>
      </w:r>
      <w:r>
        <w:rPr>
          <w:rStyle w:val="FootnoteReference"/>
        </w:rPr>
        <w:footnoteReference w:id="17"/>
      </w:r>
      <w:r w:rsidR="00D14CD9">
        <w:t xml:space="preserve">  </w:t>
      </w:r>
      <w:r w:rsidR="005F33E0">
        <w:t>C</w:t>
      </w:r>
      <w:r w:rsidR="00B1796B">
        <w:t xml:space="preserve">arriers </w:t>
      </w:r>
      <w:r w:rsidR="009A162B">
        <w:t xml:space="preserve">submitting a base document, which </w:t>
      </w:r>
      <w:r w:rsidR="00B1796B">
        <w:t>incorporat</w:t>
      </w:r>
      <w:r w:rsidR="009A162B">
        <w:t>es</w:t>
      </w:r>
      <w:r w:rsidRPr="00983017" w:rsidR="00B1796B">
        <w:t xml:space="preserve"> </w:t>
      </w:r>
      <w:r w:rsidR="00B1796B">
        <w:t xml:space="preserve">the previous month’s </w:t>
      </w:r>
      <w:r w:rsidRPr="00983017" w:rsidR="00B1796B">
        <w:t xml:space="preserve">effective </w:t>
      </w:r>
      <w:r w:rsidR="00D572EA">
        <w:t xml:space="preserve">tariff </w:t>
      </w:r>
      <w:r w:rsidRPr="00983017" w:rsidR="00B1796B">
        <w:t>revisions</w:t>
      </w:r>
      <w:r w:rsidR="005F33E0">
        <w:t>,</w:t>
      </w:r>
      <w:r w:rsidR="009A162B">
        <w:t xml:space="preserve"> </w:t>
      </w:r>
      <w:r w:rsidR="005F33E0">
        <w:t xml:space="preserve">which </w:t>
      </w:r>
      <w:r w:rsidR="009A162B">
        <w:t>does not itself propose revisions to an existing tariff</w:t>
      </w:r>
      <w:r w:rsidR="00B1796B">
        <w:t xml:space="preserve">, </w:t>
      </w:r>
      <w:r w:rsidR="009A162B">
        <w:t>also are not require</w:t>
      </w:r>
      <w:r w:rsidR="00D572EA">
        <w:t>d</w:t>
      </w:r>
      <w:r w:rsidR="009A162B">
        <w:t xml:space="preserve"> to submit a tariff filing fee</w:t>
      </w:r>
      <w:r w:rsidR="00B1796B">
        <w:t>.</w:t>
      </w:r>
      <w:r>
        <w:rPr>
          <w:rStyle w:val="FootnoteReference"/>
        </w:rPr>
        <w:footnoteReference w:id="18"/>
      </w:r>
      <w:r w:rsidR="00B1796B">
        <w:t xml:space="preserve">  </w:t>
      </w:r>
    </w:p>
    <w:p w:rsidR="00C7568E" w:rsidP="00967F02" w14:paraId="34362622" w14:textId="28711E33">
      <w:pPr>
        <w:pStyle w:val="ParaNum"/>
        <w:widowControl/>
        <w:numPr>
          <w:ilvl w:val="0"/>
          <w:numId w:val="0"/>
        </w:numPr>
        <w:spacing w:before="120"/>
        <w:ind w:firstLine="720"/>
        <w:rPr>
          <w:szCs w:val="22"/>
        </w:rPr>
      </w:pPr>
      <w:r>
        <w:rPr>
          <w:i/>
          <w:iCs/>
          <w:szCs w:val="22"/>
        </w:rPr>
        <w:t xml:space="preserve">Application for </w:t>
      </w:r>
      <w:r w:rsidRPr="00C7568E">
        <w:rPr>
          <w:i/>
          <w:iCs/>
          <w:szCs w:val="22"/>
        </w:rPr>
        <w:t>Special Permission</w:t>
      </w:r>
      <w:r>
        <w:rPr>
          <w:i/>
          <w:iCs/>
          <w:szCs w:val="22"/>
        </w:rPr>
        <w:t xml:space="preserve"> for Waiver of Tariff Rules</w:t>
      </w:r>
      <w:r>
        <w:rPr>
          <w:szCs w:val="22"/>
        </w:rPr>
        <w:t xml:space="preserve">.  </w:t>
      </w:r>
      <w:r w:rsidR="00D14CD9">
        <w:rPr>
          <w:szCs w:val="22"/>
        </w:rPr>
        <w:t>Carriers filing a</w:t>
      </w:r>
      <w:r w:rsidRPr="002C0916" w:rsidR="0038505E">
        <w:rPr>
          <w:szCs w:val="22"/>
        </w:rPr>
        <w:t>pplication</w:t>
      </w:r>
      <w:r w:rsidR="00037681">
        <w:rPr>
          <w:szCs w:val="22"/>
        </w:rPr>
        <w:t>s</w:t>
      </w:r>
      <w:r w:rsidRPr="002C0916" w:rsidR="0038505E">
        <w:rPr>
          <w:szCs w:val="22"/>
        </w:rPr>
        <w:t xml:space="preserve"> for special permission </w:t>
      </w:r>
      <w:r>
        <w:rPr>
          <w:szCs w:val="22"/>
        </w:rPr>
        <w:t xml:space="preserve">for waiver of tariff rules </w:t>
      </w:r>
      <w:r w:rsidRPr="002C0916" w:rsidR="0038505E">
        <w:rPr>
          <w:szCs w:val="22"/>
        </w:rPr>
        <w:t xml:space="preserve">pursuant to section 61.17 of the Commission’s rules </w:t>
      </w:r>
      <w:r w:rsidR="00D14CD9">
        <w:rPr>
          <w:szCs w:val="22"/>
        </w:rPr>
        <w:t xml:space="preserve">are required to pay the </w:t>
      </w:r>
      <w:r w:rsidRPr="002C0916" w:rsidR="0038505E">
        <w:rPr>
          <w:szCs w:val="22"/>
        </w:rPr>
        <w:t>$420</w:t>
      </w:r>
      <w:r w:rsidR="00D14CD9">
        <w:rPr>
          <w:szCs w:val="22"/>
        </w:rPr>
        <w:t xml:space="preserve"> special permission fee</w:t>
      </w:r>
      <w:r w:rsidRPr="002C0916" w:rsidR="004C3D3A">
        <w:rPr>
          <w:szCs w:val="22"/>
        </w:rPr>
        <w:t>.</w:t>
      </w:r>
      <w:r>
        <w:rPr>
          <w:rStyle w:val="FootnoteReference"/>
          <w:szCs w:val="22"/>
        </w:rPr>
        <w:footnoteReference w:id="19"/>
      </w:r>
      <w:r w:rsidRPr="002C0916" w:rsidR="004C3D3A">
        <w:rPr>
          <w:szCs w:val="22"/>
        </w:rPr>
        <w:t xml:space="preserve">  </w:t>
      </w:r>
    </w:p>
    <w:p w:rsidR="005E557C" w:rsidRPr="000051A0" w:rsidP="007B20C0" w14:paraId="539BBA35" w14:textId="0A9D3F0C">
      <w:pPr>
        <w:pStyle w:val="ParaNum"/>
        <w:widowControl/>
        <w:numPr>
          <w:ilvl w:val="0"/>
          <w:numId w:val="0"/>
        </w:numPr>
        <w:spacing w:before="120"/>
        <w:ind w:firstLine="720"/>
        <w:rPr>
          <w:szCs w:val="22"/>
        </w:rPr>
      </w:pPr>
      <w:r w:rsidRPr="00C7568E">
        <w:rPr>
          <w:i/>
          <w:iCs/>
          <w:szCs w:val="22"/>
        </w:rPr>
        <w:t>Waiver of Accounting Rules</w:t>
      </w:r>
      <w:r>
        <w:rPr>
          <w:szCs w:val="22"/>
        </w:rPr>
        <w:t xml:space="preserve">.  </w:t>
      </w:r>
      <w:r w:rsidR="00875DBF">
        <w:rPr>
          <w:szCs w:val="22"/>
        </w:rPr>
        <w:t xml:space="preserve">Parties may </w:t>
      </w:r>
      <w:r w:rsidRPr="001B671E" w:rsidR="000051A0">
        <w:rPr>
          <w:szCs w:val="22"/>
        </w:rPr>
        <w:t>petition</w:t>
      </w:r>
      <w:r w:rsidR="00875DBF">
        <w:rPr>
          <w:szCs w:val="22"/>
        </w:rPr>
        <w:t xml:space="preserve"> the Commission</w:t>
      </w:r>
      <w:r w:rsidRPr="001B671E" w:rsidR="000051A0">
        <w:rPr>
          <w:szCs w:val="22"/>
        </w:rPr>
        <w:t xml:space="preserve"> for a waiver of </w:t>
      </w:r>
      <w:r w:rsidR="00875DBF">
        <w:rPr>
          <w:szCs w:val="22"/>
        </w:rPr>
        <w:t xml:space="preserve">the </w:t>
      </w:r>
      <w:r w:rsidRPr="001B671E" w:rsidR="000051A0">
        <w:rPr>
          <w:szCs w:val="22"/>
        </w:rPr>
        <w:t xml:space="preserve">part 69 accounting rules, part 32 accounting rules, part 43 reporting requirements, part 64 </w:t>
      </w:r>
      <w:r w:rsidRPr="001B671E" w:rsidR="00014543">
        <w:rPr>
          <w:szCs w:val="22"/>
        </w:rPr>
        <w:t xml:space="preserve">cost </w:t>
      </w:r>
      <w:r w:rsidRPr="001B671E" w:rsidR="000051A0">
        <w:rPr>
          <w:szCs w:val="22"/>
        </w:rPr>
        <w:t>allocation rules, part 65 rate of return rules, or part 36 separation</w:t>
      </w:r>
      <w:r w:rsidRPr="001B671E" w:rsidR="00014543">
        <w:rPr>
          <w:szCs w:val="22"/>
        </w:rPr>
        <w:t>s</w:t>
      </w:r>
      <w:r w:rsidRPr="001B671E" w:rsidR="000051A0">
        <w:rPr>
          <w:szCs w:val="22"/>
        </w:rPr>
        <w:t xml:space="preserve"> rules</w:t>
      </w:r>
      <w:r w:rsidRPr="001B671E" w:rsidR="004C3D3A">
        <w:rPr>
          <w:szCs w:val="22"/>
        </w:rPr>
        <w:t>.</w:t>
      </w:r>
      <w:r>
        <w:rPr>
          <w:rStyle w:val="FootnoteReference"/>
          <w:szCs w:val="22"/>
        </w:rPr>
        <w:footnoteReference w:id="20"/>
      </w:r>
      <w:r w:rsidRPr="000051A0" w:rsidR="004C3D3A">
        <w:rPr>
          <w:szCs w:val="22"/>
        </w:rPr>
        <w:t xml:space="preserve">  </w:t>
      </w:r>
      <w:r w:rsidR="00875DBF">
        <w:rPr>
          <w:szCs w:val="22"/>
        </w:rPr>
        <w:t>Parties</w:t>
      </w:r>
      <w:r w:rsidRPr="001B671E" w:rsidR="00875DBF">
        <w:rPr>
          <w:szCs w:val="22"/>
        </w:rPr>
        <w:t xml:space="preserve"> </w:t>
      </w:r>
      <w:r w:rsidR="00875DBF">
        <w:rPr>
          <w:szCs w:val="22"/>
        </w:rPr>
        <w:t xml:space="preserve">submitting a waiver of these accounting rules </w:t>
      </w:r>
      <w:r w:rsidR="00A47ABF">
        <w:rPr>
          <w:szCs w:val="22"/>
        </w:rPr>
        <w:t xml:space="preserve">in ECFS </w:t>
      </w:r>
      <w:r w:rsidR="00875DBF">
        <w:rPr>
          <w:szCs w:val="22"/>
        </w:rPr>
        <w:t>are required to pay</w:t>
      </w:r>
      <w:r w:rsidRPr="001B671E" w:rsidR="00875DBF">
        <w:rPr>
          <w:szCs w:val="22"/>
        </w:rPr>
        <w:t xml:space="preserve"> </w:t>
      </w:r>
      <w:r w:rsidR="00875DBF">
        <w:rPr>
          <w:szCs w:val="22"/>
        </w:rPr>
        <w:t>the</w:t>
      </w:r>
      <w:r w:rsidRPr="001B671E" w:rsidR="00875DBF">
        <w:rPr>
          <w:szCs w:val="22"/>
        </w:rPr>
        <w:t xml:space="preserve"> </w:t>
      </w:r>
      <w:r w:rsidRPr="001B671E" w:rsidR="00FE3582">
        <w:rPr>
          <w:szCs w:val="22"/>
        </w:rPr>
        <w:t>$4,925</w:t>
      </w:r>
      <w:r w:rsidR="00FE3582">
        <w:rPr>
          <w:szCs w:val="22"/>
        </w:rPr>
        <w:t xml:space="preserve"> </w:t>
      </w:r>
      <w:r w:rsidR="00875DBF">
        <w:rPr>
          <w:szCs w:val="22"/>
        </w:rPr>
        <w:t>waiver of accounting rules fe</w:t>
      </w:r>
      <w:r w:rsidR="00FE3582">
        <w:rPr>
          <w:szCs w:val="22"/>
        </w:rPr>
        <w:t>e</w:t>
      </w:r>
      <w:r w:rsidR="001A53DB">
        <w:rPr>
          <w:szCs w:val="22"/>
        </w:rPr>
        <w:t xml:space="preserve"> in CORES</w:t>
      </w:r>
      <w:r w:rsidR="00875DBF">
        <w:rPr>
          <w:szCs w:val="22"/>
        </w:rPr>
        <w:t>.</w:t>
      </w:r>
      <w:r>
        <w:rPr>
          <w:rStyle w:val="FootnoteReference"/>
          <w:szCs w:val="22"/>
        </w:rPr>
        <w:footnoteReference w:id="21"/>
      </w:r>
      <w:r w:rsidR="00875DBF">
        <w:rPr>
          <w:szCs w:val="22"/>
        </w:rPr>
        <w:t xml:space="preserve">  </w:t>
      </w:r>
    </w:p>
    <w:p w:rsidR="00B60807" w:rsidRPr="004E716D" w:rsidP="008E590A" w14:paraId="5B952596" w14:textId="77777777">
      <w:pPr>
        <w:widowControl/>
        <w:rPr>
          <w:szCs w:val="22"/>
        </w:rPr>
      </w:pPr>
      <w:r w:rsidRPr="004E716D">
        <w:rPr>
          <w:szCs w:val="22"/>
        </w:rPr>
        <w:tab/>
        <w:t xml:space="preserve">For more information about this Public Notice, please contact Christopher S. Koves, Pricing Policy Division, Wireline Competition Bureau, </w:t>
      </w:r>
      <w:hyperlink r:id="rId6" w:history="1">
        <w:r w:rsidRPr="004E716D">
          <w:rPr>
            <w:rStyle w:val="Hyperlink"/>
            <w:szCs w:val="22"/>
          </w:rPr>
          <w:t>Christopher.Koves@fcc.gov</w:t>
        </w:r>
      </w:hyperlink>
      <w:r w:rsidRPr="004E716D">
        <w:rPr>
          <w:szCs w:val="22"/>
        </w:rPr>
        <w:t xml:space="preserve">. </w:t>
      </w:r>
    </w:p>
    <w:p w:rsidR="00B60807" w:rsidRPr="004E716D" w14:paraId="03CFC7BC" w14:textId="77777777">
      <w:pPr>
        <w:rPr>
          <w:szCs w:val="22"/>
        </w:rPr>
      </w:pPr>
    </w:p>
    <w:p w:rsidR="00F30DAF" w:rsidRPr="004E716D" w:rsidP="0013270C" w14:paraId="45FF84C0" w14:textId="17E4ACF2">
      <w:pPr>
        <w:tabs>
          <w:tab w:val="center" w:pos="4680"/>
          <w:tab w:val="left" w:pos="5685"/>
        </w:tabs>
        <w:jc w:val="center"/>
        <w:rPr>
          <w:szCs w:val="22"/>
        </w:rPr>
      </w:pPr>
      <w:r w:rsidRPr="004E716D">
        <w:rPr>
          <w:b/>
          <w:szCs w:val="22"/>
        </w:rPr>
        <w:t>- FCC -</w:t>
      </w:r>
      <w:bookmarkEnd w:id="0"/>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AA" w14:paraId="51C402E8" w14:textId="77777777">
    <w:pPr>
      <w:pStyle w:val="Footer"/>
      <w:framePr w:wrap="around" w:vAnchor="text" w:hAnchor="margin" w:xAlign="center" w:y="1"/>
    </w:pPr>
    <w:r>
      <w:fldChar w:fldCharType="begin"/>
    </w:r>
    <w:r>
      <w:instrText xml:space="preserve">PAGE  </w:instrText>
    </w:r>
    <w:r w:rsidR="00912373">
      <w:fldChar w:fldCharType="separate"/>
    </w:r>
    <w:r>
      <w:fldChar w:fldCharType="end"/>
    </w:r>
  </w:p>
  <w:p w:rsidR="004F33AA" w14:paraId="67B06D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AA" w14:paraId="59B0C0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AA" w14:paraId="0A644F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6CB5" w14:paraId="29DD7096" w14:textId="77777777">
      <w:r>
        <w:separator/>
      </w:r>
    </w:p>
  </w:footnote>
  <w:footnote w:type="continuationSeparator" w:id="1">
    <w:p w:rsidR="008C6CB5" w14:paraId="1F198C62" w14:textId="77777777">
      <w:pPr>
        <w:rPr>
          <w:sz w:val="20"/>
        </w:rPr>
      </w:pPr>
      <w:r>
        <w:rPr>
          <w:sz w:val="20"/>
        </w:rPr>
        <w:t xml:space="preserve">(Continued from previous page)  </w:t>
      </w:r>
      <w:r>
        <w:rPr>
          <w:sz w:val="20"/>
        </w:rPr>
        <w:separator/>
      </w:r>
    </w:p>
  </w:footnote>
  <w:footnote w:type="continuationNotice" w:id="2">
    <w:p w:rsidR="008C6CB5" w14:paraId="40FFE9DA" w14:textId="77777777">
      <w:pPr>
        <w:jc w:val="right"/>
        <w:rPr>
          <w:sz w:val="20"/>
        </w:rPr>
      </w:pPr>
      <w:r>
        <w:rPr>
          <w:sz w:val="20"/>
        </w:rPr>
        <w:t>(continued….)</w:t>
      </w:r>
    </w:p>
  </w:footnote>
  <w:footnote w:id="3">
    <w:p w:rsidR="00C16322" w:rsidRPr="00A53833" w14:paraId="70513879" w14:textId="21CBFAC3">
      <w:pPr>
        <w:pStyle w:val="FootnoteText"/>
      </w:pPr>
      <w:r w:rsidRPr="00A53833">
        <w:rPr>
          <w:rStyle w:val="FootnoteReference"/>
          <w:sz w:val="20"/>
        </w:rPr>
        <w:footnoteRef/>
      </w:r>
      <w:r w:rsidRPr="00A53833">
        <w:t xml:space="preserve"> 47 CFR § 1.1105.</w:t>
      </w:r>
    </w:p>
  </w:footnote>
  <w:footnote w:id="4">
    <w:p w:rsidR="008F063B" w:rsidRPr="00A53833" w14:paraId="2D3B3416" w14:textId="69A0EDF1">
      <w:pPr>
        <w:pStyle w:val="FootnoteText"/>
      </w:pPr>
      <w:r w:rsidRPr="00A53833">
        <w:rPr>
          <w:rStyle w:val="FootnoteReference"/>
          <w:sz w:val="20"/>
        </w:rPr>
        <w:footnoteRef/>
      </w:r>
      <w:r w:rsidRPr="00A53833">
        <w:t xml:space="preserve"> </w:t>
      </w:r>
      <w:r w:rsidRPr="00A53833">
        <w:rPr>
          <w:i/>
          <w:iCs/>
        </w:rPr>
        <w:t>Amendment of the Schedule of Application Fees Set Forth in Sections 1.1102 through 1.1109 of the Commission’s Rules</w:t>
      </w:r>
      <w:r w:rsidRPr="00A53833">
        <w:t xml:space="preserve">, MD Docket No, 20-270, Report and Order, </w:t>
      </w:r>
      <w:r w:rsidRPr="00A53833" w:rsidR="00271E0A">
        <w:t xml:space="preserve">2022 WL 17886514, </w:t>
      </w:r>
      <w:r w:rsidRPr="00A53833">
        <w:t>FCC 22-94</w:t>
      </w:r>
      <w:r w:rsidRPr="00A53833" w:rsidR="000A5B62">
        <w:t xml:space="preserve"> at </w:t>
      </w:r>
      <w:r w:rsidRPr="00A53833" w:rsidR="00A351C8">
        <w:t>*</w:t>
      </w:r>
      <w:r w:rsidRPr="00A53833" w:rsidR="000A5B62">
        <w:t>1, para. 1</w:t>
      </w:r>
      <w:r w:rsidRPr="00A53833">
        <w:t xml:space="preserve"> (</w:t>
      </w:r>
      <w:r w:rsidRPr="00A53833" w:rsidR="00C75AF9">
        <w:t xml:space="preserve">Dec. 16, </w:t>
      </w:r>
      <w:r w:rsidRPr="00A53833">
        <w:t>2022)</w:t>
      </w:r>
      <w:r w:rsidRPr="00A53833" w:rsidR="00281B64">
        <w:t xml:space="preserve"> (</w:t>
      </w:r>
      <w:r w:rsidRPr="00A53833" w:rsidR="000F77A7">
        <w:rPr>
          <w:i/>
          <w:iCs/>
        </w:rPr>
        <w:t xml:space="preserve">2022 </w:t>
      </w:r>
      <w:r w:rsidRPr="00A53833" w:rsidR="00281B64">
        <w:rPr>
          <w:i/>
          <w:iCs/>
        </w:rPr>
        <w:t>Application Fees Order</w:t>
      </w:r>
      <w:r w:rsidRPr="00A53833" w:rsidR="00281B64">
        <w:t>)</w:t>
      </w:r>
      <w:r w:rsidRPr="00A53833" w:rsidR="00AA14FE">
        <w:t xml:space="preserve">; </w:t>
      </w:r>
      <w:r w:rsidRPr="00A53833" w:rsidR="00AA14FE">
        <w:rPr>
          <w:i/>
          <w:iCs/>
        </w:rPr>
        <w:t>see</w:t>
      </w:r>
      <w:r w:rsidRPr="00A53833" w:rsidR="00AA14FE">
        <w:t xml:space="preserve"> 47 CFR § 1.1102 </w:t>
      </w:r>
      <w:r w:rsidRPr="00A53833" w:rsidR="00AA14FE">
        <w:rPr>
          <w:i/>
          <w:iCs/>
        </w:rPr>
        <w:t>et seq</w:t>
      </w:r>
      <w:r w:rsidRPr="00A53833" w:rsidR="00AA14FE">
        <w:t>.</w:t>
      </w:r>
    </w:p>
  </w:footnote>
  <w:footnote w:id="5">
    <w:p w:rsidR="004C1666" w:rsidRPr="00A53833" w:rsidP="004C1666" w14:paraId="66BBE832" w14:textId="643FBD5F">
      <w:pPr>
        <w:pStyle w:val="FootnoteText"/>
      </w:pPr>
      <w:r w:rsidRPr="00A53833">
        <w:rPr>
          <w:rStyle w:val="FootnoteReference"/>
          <w:sz w:val="20"/>
        </w:rPr>
        <w:footnoteRef/>
      </w:r>
      <w:r w:rsidRPr="00A53833">
        <w:t xml:space="preserve"> FCC, Schedule of Application Fees, 88 Fed. Reg. 6169 (Jan. 31, 2023); </w:t>
      </w:r>
      <w:r w:rsidRPr="00A53833">
        <w:rPr>
          <w:i/>
          <w:iCs/>
        </w:rPr>
        <w:t xml:space="preserve">see </w:t>
      </w:r>
      <w:r w:rsidRPr="00A53833" w:rsidR="000F77A7">
        <w:rPr>
          <w:i/>
          <w:iCs/>
        </w:rPr>
        <w:t xml:space="preserve">2022 </w:t>
      </w:r>
      <w:r w:rsidRPr="00A53833">
        <w:rPr>
          <w:i/>
          <w:iCs/>
        </w:rPr>
        <w:t>Application Fees Order</w:t>
      </w:r>
      <w:r w:rsidRPr="00A53833">
        <w:t xml:space="preserve"> at *3, para. 7; </w:t>
      </w:r>
      <w:r w:rsidRPr="00A53833">
        <w:rPr>
          <w:i/>
          <w:iCs/>
        </w:rPr>
        <w:t>id</w:t>
      </w:r>
      <w:r w:rsidRPr="00A53833">
        <w:t>., Appx. at *10-11</w:t>
      </w:r>
      <w:r w:rsidR="00580FC5">
        <w:t xml:space="preserve">; </w:t>
      </w:r>
      <w:r w:rsidRPr="00580FC5" w:rsidR="00580FC5">
        <w:rPr>
          <w:i/>
          <w:iCs/>
        </w:rPr>
        <w:t>Effective Data of Fiscal Year 2023 Application Fees</w:t>
      </w:r>
      <w:r w:rsidR="00580FC5">
        <w:t xml:space="preserve">, Public Notice, DA 23-153 (OMD Feb. 28, 2023). </w:t>
      </w:r>
    </w:p>
  </w:footnote>
  <w:footnote w:id="6">
    <w:p w:rsidR="00F64DB9" w:rsidRPr="00A53833" w:rsidP="00F64DB9" w14:paraId="1F8376A1" w14:textId="77777777">
      <w:pPr>
        <w:pStyle w:val="FootnoteText"/>
      </w:pPr>
      <w:r w:rsidRPr="00A53833">
        <w:rPr>
          <w:rStyle w:val="FootnoteReference"/>
          <w:sz w:val="20"/>
        </w:rPr>
        <w:footnoteRef/>
      </w:r>
      <w:r w:rsidRPr="00A53833">
        <w:t xml:space="preserve"> </w:t>
      </w:r>
      <w:bookmarkStart w:id="1" w:name="_Hlk127893152"/>
      <w:r w:rsidRPr="00A53833">
        <w:rPr>
          <w:i/>
          <w:iCs/>
        </w:rPr>
        <w:t xml:space="preserve">2022 Application Fees Order </w:t>
      </w:r>
      <w:r w:rsidRPr="00A53833">
        <w:t xml:space="preserve">at *11; Schedule of Application Fees, 88 Fed. Reg. at 6174, </w:t>
      </w:r>
      <w:r w:rsidRPr="00A53833">
        <w:t>Tbl</w:t>
      </w:r>
      <w:r w:rsidRPr="00A53833">
        <w:t xml:space="preserve">. 1 to § 1.1105. </w:t>
      </w:r>
      <w:bookmarkEnd w:id="1"/>
    </w:p>
  </w:footnote>
  <w:footnote w:id="7">
    <w:p w:rsidR="00DA08FF" w:rsidRPr="00093E77" w14:paraId="62DE72CB" w14:textId="10268E1E">
      <w:pPr>
        <w:pStyle w:val="FootnoteText"/>
        <w:rPr>
          <w:b/>
          <w:bCs/>
        </w:rPr>
      </w:pPr>
      <w:r>
        <w:rPr>
          <w:rStyle w:val="FootnoteReference"/>
        </w:rPr>
        <w:footnoteRef/>
      </w:r>
      <w:r>
        <w:t xml:space="preserve"> </w:t>
      </w:r>
      <w:r w:rsidRPr="00A53833" w:rsidR="00093E77">
        <w:rPr>
          <w:i/>
          <w:iCs/>
        </w:rPr>
        <w:t xml:space="preserve">2022 Application Fees Order </w:t>
      </w:r>
      <w:r w:rsidRPr="00A53833" w:rsidR="00093E77">
        <w:t xml:space="preserve">at *11; Schedule of Application Fees, 88 Fed. Reg. at 6174, </w:t>
      </w:r>
      <w:r w:rsidRPr="00A53833" w:rsidR="00093E77">
        <w:t>Tbl</w:t>
      </w:r>
      <w:r w:rsidRPr="00A53833" w:rsidR="00093E77">
        <w:t>. 1 to § 1.1105.</w:t>
      </w:r>
    </w:p>
  </w:footnote>
  <w:footnote w:id="8">
    <w:p w:rsidR="00A970E9" w:rsidRPr="00A53833" w14:paraId="0257CF3E" w14:textId="57E59B2D">
      <w:pPr>
        <w:pStyle w:val="FootnoteText"/>
      </w:pPr>
      <w:r w:rsidRPr="00A53833">
        <w:rPr>
          <w:rStyle w:val="FootnoteReference"/>
          <w:sz w:val="20"/>
        </w:rPr>
        <w:footnoteRef/>
      </w:r>
      <w:r w:rsidRPr="00A53833">
        <w:t xml:space="preserve"> 47 CFR </w:t>
      </w:r>
      <w:r w:rsidR="00DA230B">
        <w:t xml:space="preserve">§ </w:t>
      </w:r>
      <w:r w:rsidRPr="00A53833">
        <w:t xml:space="preserve">61.20(a). </w:t>
      </w:r>
    </w:p>
  </w:footnote>
  <w:footnote w:id="9">
    <w:p w:rsidR="0046344F" w:rsidRPr="00A53833" w:rsidP="0046344F" w14:paraId="53B1C653" w14:textId="024870F6">
      <w:pPr>
        <w:pStyle w:val="FootnoteText"/>
      </w:pPr>
      <w:r w:rsidRPr="00A53833">
        <w:rPr>
          <w:rStyle w:val="FootnoteReference"/>
          <w:sz w:val="20"/>
        </w:rPr>
        <w:footnoteRef/>
      </w:r>
      <w:r w:rsidRPr="00A53833">
        <w:t xml:space="preserve"> </w:t>
      </w:r>
      <w:r w:rsidRPr="00A53833">
        <w:rPr>
          <w:i/>
          <w:iCs/>
        </w:rPr>
        <w:t xml:space="preserve">See </w:t>
      </w:r>
      <w:r w:rsidRPr="00B5786F" w:rsidR="00F234D9">
        <w:rPr>
          <w:i/>
          <w:iCs/>
        </w:rPr>
        <w:t>Wireline Competition Bureau Reminds Incumbent Local Exchange Carriers of New Tariff Filing Fees and New Payment System for July 1, 2022 Annual Access Charge Tariff Filings</w:t>
      </w:r>
      <w:r w:rsidR="00F234D9">
        <w:t>, WC Docket No. 22-108, Public Notice, DA 22-493 (WCB May 9, 2022)</w:t>
      </w:r>
      <w:r w:rsidR="00E31B0F">
        <w:t xml:space="preserve"> (</w:t>
      </w:r>
      <w:r w:rsidRPr="00E31B0F" w:rsidR="00E31B0F">
        <w:rPr>
          <w:i/>
          <w:iCs/>
        </w:rPr>
        <w:t>Tariff Filing Fees Public Notice</w:t>
      </w:r>
      <w:r w:rsidR="00E31B0F">
        <w:t>)</w:t>
      </w:r>
      <w:r w:rsidR="00F234D9">
        <w:t>;</w:t>
      </w:r>
      <w:r w:rsidRPr="00A53833">
        <w:rPr>
          <w:i/>
          <w:iCs/>
        </w:rPr>
        <w:t xml:space="preserve"> Announces Decommissioning of Fee Filer as Method of Payment and Replacement with New Payment Module Within CORES et al.</w:t>
      </w:r>
      <w:r w:rsidRPr="00A53833">
        <w:t>, Public Notice (</w:t>
      </w:r>
      <w:r w:rsidR="00DA230B">
        <w:t xml:space="preserve">WCB </w:t>
      </w:r>
      <w:r w:rsidRPr="00A53833">
        <w:t xml:space="preserve">Dec. 1, 2021), </w:t>
      </w:r>
      <w:hyperlink r:id="rId1" w:history="1">
        <w:r w:rsidRPr="00CE2E86" w:rsidR="0061496D">
          <w:rPr>
            <w:rStyle w:val="Hyperlink"/>
          </w:rPr>
          <w:t>https://www.fcc.gov/document/replacement-fee-filer-new-commission-payment-module</w:t>
        </w:r>
      </w:hyperlink>
      <w:r w:rsidRPr="00A53833">
        <w:t xml:space="preserve">. </w:t>
      </w:r>
      <w:r w:rsidR="00521CF6">
        <w:t xml:space="preserve"> </w:t>
      </w:r>
    </w:p>
  </w:footnote>
  <w:footnote w:id="10">
    <w:p w:rsidR="003723D7" w:rsidRPr="00A53833" w:rsidP="003723D7" w14:paraId="69906BDB" w14:textId="139D487F">
      <w:pPr>
        <w:pStyle w:val="FootnoteText"/>
      </w:pPr>
      <w:r w:rsidRPr="00B20EEC">
        <w:rPr>
          <w:rStyle w:val="FootnoteReference"/>
          <w:sz w:val="20"/>
        </w:rPr>
        <w:footnoteRef/>
      </w:r>
      <w:r w:rsidRPr="00B20EEC">
        <w:t xml:space="preserve"> </w:t>
      </w:r>
      <w:r w:rsidRPr="00F61C8A" w:rsidR="00F61C8A">
        <w:rPr>
          <w:i/>
          <w:iCs/>
        </w:rPr>
        <w:t>See</w:t>
      </w:r>
      <w:r w:rsidR="00F61C8A">
        <w:t xml:space="preserve"> </w:t>
      </w:r>
      <w:r w:rsidRPr="00B20EEC">
        <w:t xml:space="preserve">FCC, </w:t>
      </w:r>
      <w:r w:rsidRPr="00CF0CE8" w:rsidR="002C23DA">
        <w:rPr>
          <w:i/>
          <w:iCs/>
        </w:rPr>
        <w:t>Application Processing Fees</w:t>
      </w:r>
      <w:r w:rsidR="002C23DA">
        <w:t xml:space="preserve"> (</w:t>
      </w:r>
      <w:r w:rsidR="00CF0CE8">
        <w:t xml:space="preserve">last visited </w:t>
      </w:r>
      <w:r w:rsidR="002C23DA">
        <w:t>Mar. 2, 2023)</w:t>
      </w:r>
      <w:r w:rsidR="00EF51CA">
        <w:t xml:space="preserve">, </w:t>
      </w:r>
      <w:hyperlink r:id="rId2" w:history="1">
        <w:r w:rsidRPr="00046381" w:rsidR="006B3263">
          <w:rPr>
            <w:rStyle w:val="Hyperlink"/>
          </w:rPr>
          <w:t>https://www.fcc.gov/licensing-databases/fees/application-processing-fees</w:t>
        </w:r>
      </w:hyperlink>
      <w:r w:rsidR="006B3263">
        <w:t>.</w:t>
      </w:r>
    </w:p>
  </w:footnote>
  <w:footnote w:id="11">
    <w:p w:rsidR="00A53833" w:rsidRPr="00A53833" w14:paraId="1CF97EE8" w14:textId="2D04914F">
      <w:pPr>
        <w:pStyle w:val="FootnoteText"/>
      </w:pPr>
      <w:r w:rsidRPr="00A53833">
        <w:rPr>
          <w:rStyle w:val="FootnoteReference"/>
          <w:sz w:val="20"/>
        </w:rPr>
        <w:footnoteRef/>
      </w:r>
      <w:r w:rsidRPr="00A53833">
        <w:t xml:space="preserve"> </w:t>
      </w:r>
      <w:r w:rsidRPr="00A53833" w:rsidR="00B1395B">
        <w:rPr>
          <w:i/>
          <w:iCs/>
        </w:rPr>
        <w:t>Amendment of the Schedule of Application Fees Set Forth in Sections 1.1102 through 1.1109 of the Commission’s Rules</w:t>
      </w:r>
      <w:r w:rsidRPr="00A53833" w:rsidR="00B1395B">
        <w:t>, MD Docket No, 20-270, Report and Order, 35 FCC Rcd 15089, 15128-29, 15131-32, paras. 123-24</w:t>
      </w:r>
      <w:r w:rsidR="00B1395B">
        <w:t xml:space="preserve"> </w:t>
      </w:r>
      <w:r w:rsidRPr="00A53833" w:rsidR="00B1395B">
        <w:t>(2020) (</w:t>
      </w:r>
      <w:r w:rsidRPr="00A53833" w:rsidR="00B1395B">
        <w:rPr>
          <w:i/>
          <w:iCs/>
        </w:rPr>
        <w:t>2020 Applications Fees Order</w:t>
      </w:r>
      <w:r w:rsidRPr="00A53833" w:rsidR="00B1395B">
        <w:t>)</w:t>
      </w:r>
      <w:r w:rsidR="00B1395B">
        <w:t>;</w:t>
      </w:r>
      <w:r w:rsidR="000C521B">
        <w:t xml:space="preserve"> </w:t>
      </w:r>
      <w:r w:rsidR="000C521B">
        <w:rPr>
          <w:i/>
          <w:iCs/>
        </w:rPr>
        <w:t>s</w:t>
      </w:r>
      <w:r w:rsidRPr="002E6C47" w:rsidR="002E6C47">
        <w:rPr>
          <w:i/>
          <w:iCs/>
        </w:rPr>
        <w:t>ee July 1, 2022 Annual Access Charge Tariff Filings</w:t>
      </w:r>
      <w:r w:rsidR="002E6C47">
        <w:t xml:space="preserve">, </w:t>
      </w:r>
      <w:r w:rsidR="004A1391">
        <w:t xml:space="preserve">WC Docket No. </w:t>
      </w:r>
      <w:r w:rsidRPr="004A1391" w:rsidR="004A1391">
        <w:t>22-108</w:t>
      </w:r>
      <w:r w:rsidR="004A1391">
        <w:t xml:space="preserve">, </w:t>
      </w:r>
      <w:r w:rsidR="002E6C47">
        <w:t>Order, FCC 22-494 (</w:t>
      </w:r>
      <w:r w:rsidR="008834D1">
        <w:t>WCB</w:t>
      </w:r>
      <w:r w:rsidR="002E6C47">
        <w:t xml:space="preserve"> May 9, 2022).</w:t>
      </w:r>
      <w:r w:rsidRPr="00F4638B" w:rsidR="00F4638B">
        <w:t xml:space="preserve"> </w:t>
      </w:r>
    </w:p>
  </w:footnote>
  <w:footnote w:id="12">
    <w:p w:rsidR="009543AF" w14:paraId="68CB8F4F" w14:textId="7050C130">
      <w:pPr>
        <w:pStyle w:val="FootnoteText"/>
      </w:pPr>
      <w:r>
        <w:rPr>
          <w:rStyle w:val="FootnoteReference"/>
        </w:rPr>
        <w:footnoteRef/>
      </w:r>
      <w:r>
        <w:t xml:space="preserve"> </w:t>
      </w:r>
      <w:r w:rsidRPr="00A53833">
        <w:t>47 CFR § 61.3(mm)</w:t>
      </w:r>
      <w:r w:rsidR="00D5585C">
        <w:t xml:space="preserve"> (“Restructured Service.  An offering which represents the modification of a method of charging or provisioning a service; or the introduction of a new method of charging or provisioning that does not result in a net increase in options available to customers.”)</w:t>
      </w:r>
      <w:r>
        <w:t>;</w:t>
      </w:r>
      <w:r w:rsidRPr="00A53833">
        <w:t xml:space="preserve"> </w:t>
      </w:r>
      <w:r w:rsidRPr="00F4638B">
        <w:rPr>
          <w:i/>
          <w:iCs/>
        </w:rPr>
        <w:t>2020 Application Fees Order</w:t>
      </w:r>
      <w:r w:rsidRPr="00F4638B">
        <w:t>, 35 FCC Rcd at 15129-30, para. 124</w:t>
      </w:r>
      <w:r>
        <w:t>.</w:t>
      </w:r>
    </w:p>
  </w:footnote>
  <w:footnote w:id="13">
    <w:p w:rsidR="00B5786F" w14:paraId="27A6E8F2" w14:textId="3CFA031C">
      <w:pPr>
        <w:pStyle w:val="FootnoteText"/>
      </w:pPr>
      <w:r>
        <w:rPr>
          <w:rStyle w:val="FootnoteReference"/>
        </w:rPr>
        <w:footnoteRef/>
      </w:r>
      <w:r>
        <w:t xml:space="preserve"> </w:t>
      </w:r>
      <w:r w:rsidRPr="00E31B0F" w:rsidR="00E31B0F">
        <w:rPr>
          <w:i/>
          <w:iCs/>
        </w:rPr>
        <w:t>See generally Tariff Filing Fees Public Notice</w:t>
      </w:r>
      <w:r w:rsidR="00E31B0F">
        <w:t xml:space="preserve">. </w:t>
      </w:r>
    </w:p>
  </w:footnote>
  <w:footnote w:id="14">
    <w:p w:rsidR="006A7134" w:rsidRPr="00A53833" w:rsidP="006A7134" w14:paraId="1F59702E" w14:textId="77777777">
      <w:pPr>
        <w:pStyle w:val="FootnoteText"/>
      </w:pPr>
      <w:r w:rsidRPr="00A53833">
        <w:rPr>
          <w:rStyle w:val="FootnoteReference"/>
          <w:sz w:val="20"/>
        </w:rPr>
        <w:footnoteRef/>
      </w:r>
      <w:r w:rsidRPr="00A53833">
        <w:t xml:space="preserve"> </w:t>
      </w:r>
      <w:r w:rsidRPr="00A53833">
        <w:rPr>
          <w:i/>
          <w:iCs/>
        </w:rPr>
        <w:t xml:space="preserve">See </w:t>
      </w:r>
      <w:r w:rsidRPr="00A53833">
        <w:t>47 CFR § 61.15(i).</w:t>
      </w:r>
    </w:p>
  </w:footnote>
  <w:footnote w:id="15">
    <w:p w:rsidR="00532BF8" w:rsidRPr="00A53833" w:rsidP="00532BF8" w14:paraId="5AFC8B35" w14:textId="191F5E01">
      <w:pPr>
        <w:pStyle w:val="FootnoteText"/>
      </w:pPr>
      <w:r w:rsidRPr="00A53833">
        <w:rPr>
          <w:rStyle w:val="FootnoteReference"/>
          <w:sz w:val="20"/>
        </w:rPr>
        <w:footnoteRef/>
      </w:r>
      <w:r w:rsidRPr="00A53833">
        <w:t xml:space="preserve"> </w:t>
      </w:r>
      <w:r w:rsidRPr="00A53833">
        <w:rPr>
          <w:i/>
          <w:iCs/>
        </w:rPr>
        <w:t>See</w:t>
      </w:r>
      <w:r w:rsidRPr="00A53833">
        <w:t xml:space="preserve"> 47 CFR </w:t>
      </w:r>
      <w:r>
        <w:t xml:space="preserve">§ </w:t>
      </w:r>
      <w:r w:rsidRPr="00A53833">
        <w:t>61.58(a)(3) (“Tariff filings proposing corrections or voluntarily deferring the effective date of a pending tariff revision must be made on at least 3 days’ notice, and may be filed notwithstanding the provisions of § 61.59. Corrections to tariff materials not yet effective cannot take effect before the effective date of the original material. Deferrals must take effect on or before the current effective date of the pending tariff revisions being deferred.”)</w:t>
      </w:r>
      <w:r w:rsidR="00CF0A03">
        <w:t>; § 61.59(a) (“</w:t>
      </w:r>
      <w:r w:rsidRPr="00CF0A03" w:rsidR="00CF0A03">
        <w:t>Except as provided in § 61.58(a)(3) or except as otherwise authorized by the Commission, new rates or regulations must be effective for at least 30 days before a dominant carrier will be permitted to make any change.</w:t>
      </w:r>
      <w:r w:rsidR="00CF0A03">
        <w:t>”).</w:t>
      </w:r>
    </w:p>
  </w:footnote>
  <w:footnote w:id="16">
    <w:p w:rsidR="00002C2C" w14:paraId="3AC917C7" w14:textId="47B8A76C">
      <w:pPr>
        <w:pStyle w:val="FootnoteText"/>
      </w:pPr>
      <w:r>
        <w:rPr>
          <w:rStyle w:val="FootnoteReference"/>
        </w:rPr>
        <w:footnoteRef/>
      </w:r>
      <w:r>
        <w:t xml:space="preserve"> </w:t>
      </w:r>
      <w:r w:rsidRPr="00002C2C">
        <w:rPr>
          <w:i/>
          <w:iCs/>
        </w:rPr>
        <w:t>See</w:t>
      </w:r>
      <w:r>
        <w:t xml:space="preserve"> 47 CFR § 61.58(f).</w:t>
      </w:r>
    </w:p>
  </w:footnote>
  <w:footnote w:id="17">
    <w:p w:rsidR="00D14CD9" w:rsidP="00D14CD9" w14:paraId="0A511F93" w14:textId="23474C75">
      <w:pPr>
        <w:pStyle w:val="FootnoteText"/>
      </w:pPr>
      <w:r>
        <w:rPr>
          <w:rStyle w:val="FootnoteReference"/>
        </w:rPr>
        <w:footnoteRef/>
      </w:r>
      <w:r>
        <w:t xml:space="preserve"> </w:t>
      </w:r>
      <w:r w:rsidRPr="00864F35">
        <w:rPr>
          <w:i/>
          <w:iCs/>
        </w:rPr>
        <w:t>See</w:t>
      </w:r>
      <w:r w:rsidR="004E1543">
        <w:rPr>
          <w:i/>
          <w:iCs/>
        </w:rPr>
        <w:t xml:space="preserve"> </w:t>
      </w:r>
      <w:r w:rsidRPr="004279BC" w:rsidR="004E1543">
        <w:t xml:space="preserve">47 CFR </w:t>
      </w:r>
      <w:r w:rsidR="004E1543">
        <w:t>§ 61.15(i).</w:t>
      </w:r>
    </w:p>
  </w:footnote>
  <w:footnote w:id="18">
    <w:p w:rsidR="00B1796B" w:rsidRPr="00A53833" w:rsidP="00B1796B" w14:paraId="10795FDD" w14:textId="05B1E3FC">
      <w:pPr>
        <w:pStyle w:val="FootnoteText"/>
      </w:pPr>
      <w:r w:rsidRPr="00A53833">
        <w:rPr>
          <w:rStyle w:val="FootnoteReference"/>
          <w:sz w:val="20"/>
        </w:rPr>
        <w:footnoteRef/>
      </w:r>
      <w:r w:rsidRPr="00A53833">
        <w:t xml:space="preserve"> </w:t>
      </w:r>
      <w:r w:rsidRPr="004279BC" w:rsidR="004279BC">
        <w:t xml:space="preserve">47 CFR </w:t>
      </w:r>
      <w:r w:rsidR="004279BC">
        <w:t>§</w:t>
      </w:r>
      <w:r w:rsidR="002E64C0">
        <w:t>§</w:t>
      </w:r>
      <w:r w:rsidR="004279BC">
        <w:t xml:space="preserve"> </w:t>
      </w:r>
      <w:r w:rsidR="002E64C0">
        <w:t xml:space="preserve">61.15(i), </w:t>
      </w:r>
      <w:r w:rsidRPr="004279BC" w:rsidR="004279BC">
        <w:t>61.16.</w:t>
      </w:r>
    </w:p>
  </w:footnote>
  <w:footnote w:id="19">
    <w:p w:rsidR="0038505E" w:rsidRPr="00A53833" w14:paraId="75185000" w14:textId="09ACBA29">
      <w:pPr>
        <w:pStyle w:val="FootnoteText"/>
      </w:pPr>
      <w:r w:rsidRPr="00A53833">
        <w:rPr>
          <w:rStyle w:val="FootnoteReference"/>
          <w:sz w:val="20"/>
        </w:rPr>
        <w:footnoteRef/>
      </w:r>
      <w:r w:rsidRPr="00A53833">
        <w:t xml:space="preserve"> 47 CFR §</w:t>
      </w:r>
      <w:r w:rsidRPr="00A53833" w:rsidR="00424F4A">
        <w:t>§</w:t>
      </w:r>
      <w:r w:rsidRPr="00A53833">
        <w:t xml:space="preserve"> 61.17(d)</w:t>
      </w:r>
      <w:r w:rsidR="00424F4A">
        <w:t>, 61.68.</w:t>
      </w:r>
    </w:p>
  </w:footnote>
  <w:footnote w:id="20">
    <w:p w:rsidR="000051A0" w:rsidRPr="00A53833" w:rsidP="00FD5F19" w14:paraId="50FA0346" w14:textId="5378A49A">
      <w:pPr>
        <w:pStyle w:val="FootnoteText"/>
      </w:pPr>
      <w:r w:rsidRPr="00A53833">
        <w:rPr>
          <w:rStyle w:val="FootnoteReference"/>
          <w:sz w:val="20"/>
        </w:rPr>
        <w:footnoteRef/>
      </w:r>
      <w:r w:rsidRPr="00A53833">
        <w:t xml:space="preserve"> </w:t>
      </w:r>
      <w:r w:rsidRPr="00A53833" w:rsidR="00014543">
        <w:rPr>
          <w:i/>
          <w:iCs/>
        </w:rPr>
        <w:t xml:space="preserve">See </w:t>
      </w:r>
      <w:r w:rsidRPr="00A53833" w:rsidR="00AE08E0">
        <w:rPr>
          <w:i/>
          <w:iCs/>
        </w:rPr>
        <w:t>2020 Application Fees Order</w:t>
      </w:r>
      <w:r w:rsidRPr="00A53833" w:rsidR="00014543">
        <w:t xml:space="preserve">, </w:t>
      </w:r>
      <w:r w:rsidRPr="00A53833" w:rsidR="00AE08E0">
        <w:t>35 FCC Rcd at 15129-30</w:t>
      </w:r>
      <w:r w:rsidRPr="00A53833" w:rsidR="00014543">
        <w:t>, para. 128</w:t>
      </w:r>
      <w:r w:rsidR="00FD5F19">
        <w:t>.</w:t>
      </w:r>
    </w:p>
  </w:footnote>
  <w:footnote w:id="21">
    <w:p w:rsidR="00B01D6D" w14:paraId="4D8870B2" w14:textId="19217FF4">
      <w:pPr>
        <w:pStyle w:val="FootnoteText"/>
      </w:pPr>
      <w:r>
        <w:rPr>
          <w:rStyle w:val="FootnoteReference"/>
        </w:rPr>
        <w:footnoteRef/>
      </w:r>
      <w:r>
        <w:t xml:space="preserve"> 47 CFR § 1.1105; </w:t>
      </w:r>
      <w:r w:rsidRPr="00093E77">
        <w:rPr>
          <w:i/>
          <w:iCs/>
        </w:rPr>
        <w:t>2022 Application Fees Order</w:t>
      </w:r>
      <w:r w:rsidRPr="00B01D6D">
        <w:t xml:space="preserve"> at *11; Schedule of Application Fees, 88 Fed. Reg. at 6174, </w:t>
      </w:r>
      <w:r w:rsidRPr="00B01D6D">
        <w:t>Tbl</w:t>
      </w:r>
      <w:r w:rsidRPr="00B01D6D">
        <w:t>. 1 to § 1.1105.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AA" w14:paraId="2CF451FE" w14:textId="46022461">
    <w:pPr>
      <w:tabs>
        <w:tab w:val="center" w:pos="4680"/>
        <w:tab w:val="right" w:pos="9360"/>
      </w:tabs>
    </w:pPr>
    <w:r>
      <w:rPr>
        <w:b/>
      </w:rPr>
      <w:tab/>
      <w:t>Federal Communications Commission</w:t>
    </w:r>
    <w:r>
      <w:rPr>
        <w:b/>
      </w:rPr>
      <w:tab/>
    </w:r>
    <w:r w:rsidRPr="00911CAA" w:rsidR="00106CDA">
      <w:rPr>
        <w:b/>
      </w:rPr>
      <w:t xml:space="preserve">DA </w:t>
    </w:r>
    <w:r w:rsidRPr="00911CAA" w:rsidR="003928F0">
      <w:rPr>
        <w:b/>
      </w:rPr>
      <w:t>23-</w:t>
    </w:r>
    <w:r w:rsidRPr="00911CAA" w:rsidR="00911CAA">
      <w:rPr>
        <w:b/>
      </w:rPr>
      <w:t>172</w:t>
    </w:r>
  </w:p>
  <w:p w:rsidR="004F33AA" w14:paraId="33FA558A" w14:textId="61BD3D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4F33AA" w14:paraId="25B067E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AA" w14:paraId="2B15E326"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AF"/>
    <w:rsid w:val="00002C2C"/>
    <w:rsid w:val="000051A0"/>
    <w:rsid w:val="00014543"/>
    <w:rsid w:val="000210DB"/>
    <w:rsid w:val="000226C1"/>
    <w:rsid w:val="0002332A"/>
    <w:rsid w:val="00036CA9"/>
    <w:rsid w:val="000370CC"/>
    <w:rsid w:val="00037681"/>
    <w:rsid w:val="00046381"/>
    <w:rsid w:val="00047483"/>
    <w:rsid w:val="00054CC4"/>
    <w:rsid w:val="0005532E"/>
    <w:rsid w:val="0006192F"/>
    <w:rsid w:val="00061CAE"/>
    <w:rsid w:val="00066398"/>
    <w:rsid w:val="0006684E"/>
    <w:rsid w:val="00081914"/>
    <w:rsid w:val="00085CA7"/>
    <w:rsid w:val="00092A51"/>
    <w:rsid w:val="00093E77"/>
    <w:rsid w:val="000A044E"/>
    <w:rsid w:val="000A5B62"/>
    <w:rsid w:val="000B05D4"/>
    <w:rsid w:val="000B5912"/>
    <w:rsid w:val="000B7D9C"/>
    <w:rsid w:val="000C0F21"/>
    <w:rsid w:val="000C521B"/>
    <w:rsid w:val="000D0E91"/>
    <w:rsid w:val="000D1A0F"/>
    <w:rsid w:val="000D3334"/>
    <w:rsid w:val="000D5A71"/>
    <w:rsid w:val="000D61FF"/>
    <w:rsid w:val="000E2700"/>
    <w:rsid w:val="000F0B14"/>
    <w:rsid w:val="000F489C"/>
    <w:rsid w:val="000F77A7"/>
    <w:rsid w:val="00106CDA"/>
    <w:rsid w:val="00113390"/>
    <w:rsid w:val="001235D5"/>
    <w:rsid w:val="00125908"/>
    <w:rsid w:val="0013270C"/>
    <w:rsid w:val="00133A3D"/>
    <w:rsid w:val="00133B4C"/>
    <w:rsid w:val="00135727"/>
    <w:rsid w:val="00145EBA"/>
    <w:rsid w:val="00147B54"/>
    <w:rsid w:val="00156AA4"/>
    <w:rsid w:val="00162293"/>
    <w:rsid w:val="00162BBC"/>
    <w:rsid w:val="001631FB"/>
    <w:rsid w:val="00184417"/>
    <w:rsid w:val="00185309"/>
    <w:rsid w:val="00191F81"/>
    <w:rsid w:val="001A0661"/>
    <w:rsid w:val="001A1B67"/>
    <w:rsid w:val="001A53DB"/>
    <w:rsid w:val="001A5AB5"/>
    <w:rsid w:val="001B2758"/>
    <w:rsid w:val="001B5CC3"/>
    <w:rsid w:val="001B671E"/>
    <w:rsid w:val="001D66A1"/>
    <w:rsid w:val="001E6331"/>
    <w:rsid w:val="001F373C"/>
    <w:rsid w:val="001F48DC"/>
    <w:rsid w:val="001F767E"/>
    <w:rsid w:val="0020600A"/>
    <w:rsid w:val="00207F55"/>
    <w:rsid w:val="00211215"/>
    <w:rsid w:val="00214F2A"/>
    <w:rsid w:val="0021635A"/>
    <w:rsid w:val="00223C4E"/>
    <w:rsid w:val="00233493"/>
    <w:rsid w:val="0023613B"/>
    <w:rsid w:val="00246689"/>
    <w:rsid w:val="00255E45"/>
    <w:rsid w:val="002628D3"/>
    <w:rsid w:val="00264D76"/>
    <w:rsid w:val="00271E0A"/>
    <w:rsid w:val="00281B64"/>
    <w:rsid w:val="002848F8"/>
    <w:rsid w:val="00285526"/>
    <w:rsid w:val="00287FB3"/>
    <w:rsid w:val="002A76D6"/>
    <w:rsid w:val="002B27D5"/>
    <w:rsid w:val="002B3416"/>
    <w:rsid w:val="002B773B"/>
    <w:rsid w:val="002C0916"/>
    <w:rsid w:val="002C1425"/>
    <w:rsid w:val="002C23DA"/>
    <w:rsid w:val="002C47E7"/>
    <w:rsid w:val="002C78A9"/>
    <w:rsid w:val="002D7599"/>
    <w:rsid w:val="002E495B"/>
    <w:rsid w:val="002E64C0"/>
    <w:rsid w:val="002E6C47"/>
    <w:rsid w:val="002E7960"/>
    <w:rsid w:val="0030025B"/>
    <w:rsid w:val="0030173E"/>
    <w:rsid w:val="0031616B"/>
    <w:rsid w:val="003278AB"/>
    <w:rsid w:val="00330227"/>
    <w:rsid w:val="0033535F"/>
    <w:rsid w:val="00340959"/>
    <w:rsid w:val="00343A95"/>
    <w:rsid w:val="00351505"/>
    <w:rsid w:val="00357C40"/>
    <w:rsid w:val="00371B6A"/>
    <w:rsid w:val="003723D7"/>
    <w:rsid w:val="00384A60"/>
    <w:rsid w:val="0038505E"/>
    <w:rsid w:val="003909D6"/>
    <w:rsid w:val="003927D7"/>
    <w:rsid w:val="003928F0"/>
    <w:rsid w:val="00392C51"/>
    <w:rsid w:val="00395B94"/>
    <w:rsid w:val="00396F01"/>
    <w:rsid w:val="003A1EDA"/>
    <w:rsid w:val="003A35A5"/>
    <w:rsid w:val="003A7A32"/>
    <w:rsid w:val="003B06C5"/>
    <w:rsid w:val="003C58A0"/>
    <w:rsid w:val="003E6331"/>
    <w:rsid w:val="004068CC"/>
    <w:rsid w:val="004120DD"/>
    <w:rsid w:val="00413189"/>
    <w:rsid w:val="00424F4A"/>
    <w:rsid w:val="004277F1"/>
    <w:rsid w:val="004279BC"/>
    <w:rsid w:val="004279DA"/>
    <w:rsid w:val="00434F95"/>
    <w:rsid w:val="0044193B"/>
    <w:rsid w:val="004453B5"/>
    <w:rsid w:val="004463B4"/>
    <w:rsid w:val="00450E10"/>
    <w:rsid w:val="0046344F"/>
    <w:rsid w:val="00463916"/>
    <w:rsid w:val="00465EF4"/>
    <w:rsid w:val="00466AAD"/>
    <w:rsid w:val="004702BE"/>
    <w:rsid w:val="00472E84"/>
    <w:rsid w:val="00480405"/>
    <w:rsid w:val="0048255A"/>
    <w:rsid w:val="004829EB"/>
    <w:rsid w:val="00483530"/>
    <w:rsid w:val="00486025"/>
    <w:rsid w:val="00487762"/>
    <w:rsid w:val="00494C1C"/>
    <w:rsid w:val="004955FA"/>
    <w:rsid w:val="004A1391"/>
    <w:rsid w:val="004B0CE9"/>
    <w:rsid w:val="004B5FDF"/>
    <w:rsid w:val="004C15EB"/>
    <w:rsid w:val="004C1666"/>
    <w:rsid w:val="004C30BE"/>
    <w:rsid w:val="004C3D3A"/>
    <w:rsid w:val="004C7E2A"/>
    <w:rsid w:val="004E1543"/>
    <w:rsid w:val="004E716D"/>
    <w:rsid w:val="004E7F05"/>
    <w:rsid w:val="004F0434"/>
    <w:rsid w:val="004F33AA"/>
    <w:rsid w:val="005214B3"/>
    <w:rsid w:val="00521CF6"/>
    <w:rsid w:val="005319C5"/>
    <w:rsid w:val="00532623"/>
    <w:rsid w:val="00532BF8"/>
    <w:rsid w:val="005401FB"/>
    <w:rsid w:val="00543044"/>
    <w:rsid w:val="00543A17"/>
    <w:rsid w:val="00547A57"/>
    <w:rsid w:val="00552E76"/>
    <w:rsid w:val="00553695"/>
    <w:rsid w:val="00574AC8"/>
    <w:rsid w:val="00580FC5"/>
    <w:rsid w:val="0058217F"/>
    <w:rsid w:val="0058508C"/>
    <w:rsid w:val="0059246F"/>
    <w:rsid w:val="0059725B"/>
    <w:rsid w:val="005A39F5"/>
    <w:rsid w:val="005A4FF6"/>
    <w:rsid w:val="005A6760"/>
    <w:rsid w:val="005B6F0F"/>
    <w:rsid w:val="005C0529"/>
    <w:rsid w:val="005C4A13"/>
    <w:rsid w:val="005D1A2E"/>
    <w:rsid w:val="005D2A6D"/>
    <w:rsid w:val="005D4378"/>
    <w:rsid w:val="005E5001"/>
    <w:rsid w:val="005E557C"/>
    <w:rsid w:val="005E5A07"/>
    <w:rsid w:val="005E7064"/>
    <w:rsid w:val="005E78A1"/>
    <w:rsid w:val="005F33E0"/>
    <w:rsid w:val="005F3640"/>
    <w:rsid w:val="005F6ACE"/>
    <w:rsid w:val="00601164"/>
    <w:rsid w:val="00602E1D"/>
    <w:rsid w:val="0061384F"/>
    <w:rsid w:val="0061496D"/>
    <w:rsid w:val="00624765"/>
    <w:rsid w:val="00627DD8"/>
    <w:rsid w:val="00630055"/>
    <w:rsid w:val="006339BD"/>
    <w:rsid w:val="00644A6F"/>
    <w:rsid w:val="006538CC"/>
    <w:rsid w:val="00660CE6"/>
    <w:rsid w:val="006744F3"/>
    <w:rsid w:val="006812A6"/>
    <w:rsid w:val="00682072"/>
    <w:rsid w:val="006852ED"/>
    <w:rsid w:val="00690EEA"/>
    <w:rsid w:val="006948F4"/>
    <w:rsid w:val="00695DFB"/>
    <w:rsid w:val="00697220"/>
    <w:rsid w:val="006A5AE4"/>
    <w:rsid w:val="006A712F"/>
    <w:rsid w:val="006A7134"/>
    <w:rsid w:val="006B3263"/>
    <w:rsid w:val="006C3510"/>
    <w:rsid w:val="006C5CAD"/>
    <w:rsid w:val="006C7A5C"/>
    <w:rsid w:val="006D4397"/>
    <w:rsid w:val="006E3BCD"/>
    <w:rsid w:val="006E706E"/>
    <w:rsid w:val="006F3540"/>
    <w:rsid w:val="00705FA7"/>
    <w:rsid w:val="00711095"/>
    <w:rsid w:val="0072163F"/>
    <w:rsid w:val="007229BA"/>
    <w:rsid w:val="00730898"/>
    <w:rsid w:val="00730B81"/>
    <w:rsid w:val="00741691"/>
    <w:rsid w:val="007512C6"/>
    <w:rsid w:val="007519B3"/>
    <w:rsid w:val="007609A2"/>
    <w:rsid w:val="00761F67"/>
    <w:rsid w:val="0077100F"/>
    <w:rsid w:val="007765D0"/>
    <w:rsid w:val="00786EBF"/>
    <w:rsid w:val="00791F1D"/>
    <w:rsid w:val="007969EA"/>
    <w:rsid w:val="007A7C06"/>
    <w:rsid w:val="007B079E"/>
    <w:rsid w:val="007B20C0"/>
    <w:rsid w:val="007B4497"/>
    <w:rsid w:val="007C34CF"/>
    <w:rsid w:val="007C55E2"/>
    <w:rsid w:val="007D2058"/>
    <w:rsid w:val="007D2DC8"/>
    <w:rsid w:val="007E19CC"/>
    <w:rsid w:val="007E6B09"/>
    <w:rsid w:val="007E6D8D"/>
    <w:rsid w:val="007F79D2"/>
    <w:rsid w:val="00801FE6"/>
    <w:rsid w:val="00805016"/>
    <w:rsid w:val="00821CBF"/>
    <w:rsid w:val="0082619B"/>
    <w:rsid w:val="0083653E"/>
    <w:rsid w:val="00837375"/>
    <w:rsid w:val="008411A3"/>
    <w:rsid w:val="00845184"/>
    <w:rsid w:val="00864E5A"/>
    <w:rsid w:val="00864F35"/>
    <w:rsid w:val="00865CDA"/>
    <w:rsid w:val="008662BB"/>
    <w:rsid w:val="00867D80"/>
    <w:rsid w:val="00875DBF"/>
    <w:rsid w:val="008760FD"/>
    <w:rsid w:val="008834D1"/>
    <w:rsid w:val="008A26A4"/>
    <w:rsid w:val="008A6988"/>
    <w:rsid w:val="008B733C"/>
    <w:rsid w:val="008C6CB5"/>
    <w:rsid w:val="008D16CC"/>
    <w:rsid w:val="008E494F"/>
    <w:rsid w:val="008E590A"/>
    <w:rsid w:val="008F063B"/>
    <w:rsid w:val="00906D9D"/>
    <w:rsid w:val="00911CAA"/>
    <w:rsid w:val="00912373"/>
    <w:rsid w:val="00942387"/>
    <w:rsid w:val="00947FD4"/>
    <w:rsid w:val="00950C73"/>
    <w:rsid w:val="009543AF"/>
    <w:rsid w:val="009556B4"/>
    <w:rsid w:val="00960261"/>
    <w:rsid w:val="00963FA5"/>
    <w:rsid w:val="009642AD"/>
    <w:rsid w:val="00967F02"/>
    <w:rsid w:val="00975921"/>
    <w:rsid w:val="00982233"/>
    <w:rsid w:val="00983017"/>
    <w:rsid w:val="009851C0"/>
    <w:rsid w:val="00985DE4"/>
    <w:rsid w:val="0098760A"/>
    <w:rsid w:val="00992946"/>
    <w:rsid w:val="009A162B"/>
    <w:rsid w:val="009A16CF"/>
    <w:rsid w:val="009A6D54"/>
    <w:rsid w:val="009B30DD"/>
    <w:rsid w:val="009B3350"/>
    <w:rsid w:val="009B6F73"/>
    <w:rsid w:val="009C5AB0"/>
    <w:rsid w:val="009D1031"/>
    <w:rsid w:val="009D13BC"/>
    <w:rsid w:val="009D2164"/>
    <w:rsid w:val="009D5B03"/>
    <w:rsid w:val="009E7FE2"/>
    <w:rsid w:val="009F15AC"/>
    <w:rsid w:val="009F4C98"/>
    <w:rsid w:val="00A00761"/>
    <w:rsid w:val="00A037DC"/>
    <w:rsid w:val="00A146E5"/>
    <w:rsid w:val="00A15471"/>
    <w:rsid w:val="00A15733"/>
    <w:rsid w:val="00A159A0"/>
    <w:rsid w:val="00A228EC"/>
    <w:rsid w:val="00A25043"/>
    <w:rsid w:val="00A3320C"/>
    <w:rsid w:val="00A351C8"/>
    <w:rsid w:val="00A473DE"/>
    <w:rsid w:val="00A476E1"/>
    <w:rsid w:val="00A47ABF"/>
    <w:rsid w:val="00A53833"/>
    <w:rsid w:val="00A5684E"/>
    <w:rsid w:val="00A62FCE"/>
    <w:rsid w:val="00A714A2"/>
    <w:rsid w:val="00A7246C"/>
    <w:rsid w:val="00A73170"/>
    <w:rsid w:val="00A731B2"/>
    <w:rsid w:val="00A75ED9"/>
    <w:rsid w:val="00A863DC"/>
    <w:rsid w:val="00A87089"/>
    <w:rsid w:val="00A950C8"/>
    <w:rsid w:val="00A970E9"/>
    <w:rsid w:val="00AA00B2"/>
    <w:rsid w:val="00AA14FE"/>
    <w:rsid w:val="00AA3E57"/>
    <w:rsid w:val="00AA5D3B"/>
    <w:rsid w:val="00AA625D"/>
    <w:rsid w:val="00AB2F9F"/>
    <w:rsid w:val="00AC04C6"/>
    <w:rsid w:val="00AC1949"/>
    <w:rsid w:val="00AC472E"/>
    <w:rsid w:val="00AC4A52"/>
    <w:rsid w:val="00AD38A8"/>
    <w:rsid w:val="00AD4518"/>
    <w:rsid w:val="00AD7FD7"/>
    <w:rsid w:val="00AE08E0"/>
    <w:rsid w:val="00AF25AB"/>
    <w:rsid w:val="00B01D6D"/>
    <w:rsid w:val="00B02085"/>
    <w:rsid w:val="00B065DF"/>
    <w:rsid w:val="00B1395B"/>
    <w:rsid w:val="00B1796B"/>
    <w:rsid w:val="00B205FC"/>
    <w:rsid w:val="00B20D6A"/>
    <w:rsid w:val="00B20EEC"/>
    <w:rsid w:val="00B227F5"/>
    <w:rsid w:val="00B24BBD"/>
    <w:rsid w:val="00B34E1B"/>
    <w:rsid w:val="00B37DB8"/>
    <w:rsid w:val="00B40047"/>
    <w:rsid w:val="00B42938"/>
    <w:rsid w:val="00B557A4"/>
    <w:rsid w:val="00B568F0"/>
    <w:rsid w:val="00B5786F"/>
    <w:rsid w:val="00B600E2"/>
    <w:rsid w:val="00B60807"/>
    <w:rsid w:val="00B65EFB"/>
    <w:rsid w:val="00B71FDC"/>
    <w:rsid w:val="00B76AA4"/>
    <w:rsid w:val="00B9525A"/>
    <w:rsid w:val="00BA00E7"/>
    <w:rsid w:val="00BA0D4C"/>
    <w:rsid w:val="00BA41CC"/>
    <w:rsid w:val="00BB5556"/>
    <w:rsid w:val="00BB622E"/>
    <w:rsid w:val="00BD1C7F"/>
    <w:rsid w:val="00BD5EED"/>
    <w:rsid w:val="00BE48C2"/>
    <w:rsid w:val="00BE5E36"/>
    <w:rsid w:val="00BE78AA"/>
    <w:rsid w:val="00BF026A"/>
    <w:rsid w:val="00BF17D2"/>
    <w:rsid w:val="00C0173B"/>
    <w:rsid w:val="00C035FB"/>
    <w:rsid w:val="00C16322"/>
    <w:rsid w:val="00C33050"/>
    <w:rsid w:val="00C40479"/>
    <w:rsid w:val="00C40A59"/>
    <w:rsid w:val="00C40BB7"/>
    <w:rsid w:val="00C5240D"/>
    <w:rsid w:val="00C525D0"/>
    <w:rsid w:val="00C56650"/>
    <w:rsid w:val="00C7188F"/>
    <w:rsid w:val="00C7568E"/>
    <w:rsid w:val="00C75AF9"/>
    <w:rsid w:val="00C828E9"/>
    <w:rsid w:val="00C936F4"/>
    <w:rsid w:val="00C93EBD"/>
    <w:rsid w:val="00C95AE8"/>
    <w:rsid w:val="00C9737D"/>
    <w:rsid w:val="00CB102E"/>
    <w:rsid w:val="00CB34C5"/>
    <w:rsid w:val="00CB4DF1"/>
    <w:rsid w:val="00CC0C55"/>
    <w:rsid w:val="00CC1BF9"/>
    <w:rsid w:val="00CC5ABD"/>
    <w:rsid w:val="00CD486B"/>
    <w:rsid w:val="00CE1B3B"/>
    <w:rsid w:val="00CE2E86"/>
    <w:rsid w:val="00CE3328"/>
    <w:rsid w:val="00CE42F2"/>
    <w:rsid w:val="00CF0A03"/>
    <w:rsid w:val="00CF0CE8"/>
    <w:rsid w:val="00D04D42"/>
    <w:rsid w:val="00D138BE"/>
    <w:rsid w:val="00D14CD9"/>
    <w:rsid w:val="00D36DA2"/>
    <w:rsid w:val="00D41E84"/>
    <w:rsid w:val="00D5585C"/>
    <w:rsid w:val="00D572EA"/>
    <w:rsid w:val="00D719DC"/>
    <w:rsid w:val="00D726E5"/>
    <w:rsid w:val="00D9099B"/>
    <w:rsid w:val="00D91686"/>
    <w:rsid w:val="00D92297"/>
    <w:rsid w:val="00D92EC3"/>
    <w:rsid w:val="00D92F07"/>
    <w:rsid w:val="00D9377F"/>
    <w:rsid w:val="00DA08FF"/>
    <w:rsid w:val="00DA230B"/>
    <w:rsid w:val="00DA356F"/>
    <w:rsid w:val="00DA446A"/>
    <w:rsid w:val="00DA7545"/>
    <w:rsid w:val="00DB4112"/>
    <w:rsid w:val="00DB71AB"/>
    <w:rsid w:val="00DB7A5F"/>
    <w:rsid w:val="00DC68BC"/>
    <w:rsid w:val="00DD3276"/>
    <w:rsid w:val="00DD4774"/>
    <w:rsid w:val="00DD52AD"/>
    <w:rsid w:val="00DE0EEF"/>
    <w:rsid w:val="00DF19C2"/>
    <w:rsid w:val="00DF62BC"/>
    <w:rsid w:val="00DF79DD"/>
    <w:rsid w:val="00E16689"/>
    <w:rsid w:val="00E24E8F"/>
    <w:rsid w:val="00E31B0F"/>
    <w:rsid w:val="00E333F2"/>
    <w:rsid w:val="00E37F8B"/>
    <w:rsid w:val="00E44B1B"/>
    <w:rsid w:val="00E5044C"/>
    <w:rsid w:val="00E60549"/>
    <w:rsid w:val="00E71964"/>
    <w:rsid w:val="00E7574F"/>
    <w:rsid w:val="00E77A22"/>
    <w:rsid w:val="00E80CF9"/>
    <w:rsid w:val="00E920E4"/>
    <w:rsid w:val="00EA5897"/>
    <w:rsid w:val="00EB2902"/>
    <w:rsid w:val="00EB3394"/>
    <w:rsid w:val="00EB55C0"/>
    <w:rsid w:val="00EF3C48"/>
    <w:rsid w:val="00EF51CA"/>
    <w:rsid w:val="00F01E88"/>
    <w:rsid w:val="00F1115F"/>
    <w:rsid w:val="00F12BC5"/>
    <w:rsid w:val="00F21B8C"/>
    <w:rsid w:val="00F234D9"/>
    <w:rsid w:val="00F25244"/>
    <w:rsid w:val="00F30DAF"/>
    <w:rsid w:val="00F44EA5"/>
    <w:rsid w:val="00F4638B"/>
    <w:rsid w:val="00F5355B"/>
    <w:rsid w:val="00F61A79"/>
    <w:rsid w:val="00F61C8A"/>
    <w:rsid w:val="00F64DB9"/>
    <w:rsid w:val="00F71458"/>
    <w:rsid w:val="00F91F2F"/>
    <w:rsid w:val="00F922FE"/>
    <w:rsid w:val="00F94CA7"/>
    <w:rsid w:val="00F951D2"/>
    <w:rsid w:val="00FA5AB0"/>
    <w:rsid w:val="00FB588D"/>
    <w:rsid w:val="00FD3208"/>
    <w:rsid w:val="00FD5F19"/>
    <w:rsid w:val="00FE1F06"/>
    <w:rsid w:val="00FE3582"/>
    <w:rsid w:val="00FF78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DA713D"/>
  <w15:docId w15:val="{CC5D41C2-7825-49BF-B720-A84AD3F5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D41E84"/>
  </w:style>
  <w:style w:type="character" w:customStyle="1" w:styleId="ParaNumCharChar">
    <w:name w:val="ParaNum Char Char"/>
    <w:link w:val="ParaNum"/>
    <w:locked/>
    <w:rsid w:val="00D41E84"/>
    <w:rPr>
      <w:snapToGrid w:val="0"/>
      <w:kern w:val="28"/>
      <w:sz w:val="22"/>
    </w:rPr>
  </w:style>
  <w:style w:type="table" w:styleId="TableGrid">
    <w:name w:val="Table Grid"/>
    <w:basedOn w:val="TableNormal"/>
    <w:rsid w:val="00D4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3170"/>
    <w:rPr>
      <w:color w:val="954F72" w:themeColor="followedHyperlink"/>
      <w:u w:val="single"/>
    </w:rPr>
  </w:style>
  <w:style w:type="character" w:styleId="UnresolvedMention">
    <w:name w:val="Unresolved Mention"/>
    <w:basedOn w:val="DefaultParagraphFont"/>
    <w:uiPriority w:val="99"/>
    <w:rsid w:val="00BF026A"/>
    <w:rPr>
      <w:color w:val="605E5C"/>
      <w:shd w:val="clear" w:color="auto" w:fill="E1DFDD"/>
    </w:rPr>
  </w:style>
  <w:style w:type="character" w:styleId="CommentReference">
    <w:name w:val="annotation reference"/>
    <w:basedOn w:val="DefaultParagraphFont"/>
    <w:uiPriority w:val="99"/>
    <w:semiHidden/>
    <w:unhideWhenUsed/>
    <w:rsid w:val="009A16CF"/>
    <w:rPr>
      <w:sz w:val="16"/>
      <w:szCs w:val="16"/>
    </w:rPr>
  </w:style>
  <w:style w:type="paragraph" w:styleId="CommentText">
    <w:name w:val="annotation text"/>
    <w:basedOn w:val="Normal"/>
    <w:link w:val="CommentTextChar"/>
    <w:uiPriority w:val="99"/>
    <w:unhideWhenUsed/>
    <w:rsid w:val="009A16CF"/>
    <w:rPr>
      <w:sz w:val="20"/>
    </w:rPr>
  </w:style>
  <w:style w:type="character" w:customStyle="1" w:styleId="CommentTextChar">
    <w:name w:val="Comment Text Char"/>
    <w:basedOn w:val="DefaultParagraphFont"/>
    <w:link w:val="CommentText"/>
    <w:uiPriority w:val="99"/>
    <w:rsid w:val="009A16CF"/>
    <w:rPr>
      <w:snapToGrid w:val="0"/>
      <w:kern w:val="28"/>
    </w:rPr>
  </w:style>
  <w:style w:type="paragraph" w:styleId="CommentSubject">
    <w:name w:val="annotation subject"/>
    <w:basedOn w:val="CommentText"/>
    <w:next w:val="CommentText"/>
    <w:link w:val="CommentSubjectChar"/>
    <w:uiPriority w:val="99"/>
    <w:semiHidden/>
    <w:unhideWhenUsed/>
    <w:rsid w:val="009A16CF"/>
    <w:rPr>
      <w:b/>
      <w:bCs/>
    </w:rPr>
  </w:style>
  <w:style w:type="character" w:customStyle="1" w:styleId="CommentSubjectChar">
    <w:name w:val="Comment Subject Char"/>
    <w:basedOn w:val="CommentTextChar"/>
    <w:link w:val="CommentSubject"/>
    <w:uiPriority w:val="99"/>
    <w:semiHidden/>
    <w:rsid w:val="009A16CF"/>
    <w:rPr>
      <w:b/>
      <w:bCs/>
      <w:snapToGrid w:val="0"/>
      <w:kern w:val="28"/>
    </w:rPr>
  </w:style>
  <w:style w:type="paragraph" w:styleId="Revision">
    <w:name w:val="Revision"/>
    <w:hidden/>
    <w:uiPriority w:val="99"/>
    <w:semiHidden/>
    <w:rsid w:val="00B065D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cores-payment-system" TargetMode="External" /><Relationship Id="rId6" Type="http://schemas.openxmlformats.org/officeDocument/2006/relationships/hyperlink" Target="mailto:Christopher.Kove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replacement-fee-filer-new-commission-payment-module" TargetMode="External" /><Relationship Id="rId2" Type="http://schemas.openxmlformats.org/officeDocument/2006/relationships/hyperlink" Target="https://www.fcc.gov/licensing-databases/fees/application-processing-fe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