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4125F9" w14:paraId="62F4282E" w14:textId="77777777">
      <w:pPr>
        <w:jc w:val="center"/>
        <w:rPr>
          <w:b/>
        </w:rPr>
      </w:pPr>
      <w:r w:rsidRPr="0070224F">
        <w:rPr>
          <w:rFonts w:ascii="Times New Roman Bold" w:hAnsi="Times New Roman Bold"/>
          <w:b/>
          <w:kern w:val="0"/>
          <w:szCs w:val="22"/>
        </w:rPr>
        <w:t>Before</w:t>
      </w:r>
      <w:r>
        <w:rPr>
          <w:b/>
        </w:rPr>
        <w:t xml:space="preserve"> the</w:t>
      </w:r>
    </w:p>
    <w:p w:rsidR="00921803" w:rsidP="004125F9" w14:paraId="4BB65203" w14:textId="77777777">
      <w:pPr>
        <w:pStyle w:val="StyleBoldCentered"/>
      </w:pPr>
      <w:r>
        <w:t>F</w:t>
      </w:r>
      <w:r>
        <w:rPr>
          <w:caps w:val="0"/>
        </w:rPr>
        <w:t>ederal Communications Commission</w:t>
      </w:r>
    </w:p>
    <w:p w:rsidR="004C2EE3" w:rsidP="004125F9" w14:paraId="2C752D1C" w14:textId="77777777">
      <w:pPr>
        <w:pStyle w:val="StyleBoldCentered"/>
      </w:pPr>
      <w:r>
        <w:rPr>
          <w:caps w:val="0"/>
        </w:rPr>
        <w:t>Washington, D.C. 20554</w:t>
      </w:r>
    </w:p>
    <w:p w:rsidR="004C2EE3" w:rsidP="004125F9" w14:paraId="265053DB" w14:textId="77777777"/>
    <w:p w:rsidR="004C2EE3" w:rsidP="004125F9" w14:paraId="72ADB360" w14:textId="77777777"/>
    <w:tbl>
      <w:tblPr>
        <w:tblW w:w="0" w:type="auto"/>
        <w:tblLayout w:type="fixed"/>
        <w:tblLook w:val="0000"/>
      </w:tblPr>
      <w:tblGrid>
        <w:gridCol w:w="4698"/>
        <w:gridCol w:w="630"/>
        <w:gridCol w:w="4248"/>
      </w:tblGrid>
      <w:tr w14:paraId="7CAF6B64" w14:textId="77777777">
        <w:tblPrEx>
          <w:tblW w:w="0" w:type="auto"/>
          <w:tblLayout w:type="fixed"/>
          <w:tblLook w:val="0000"/>
        </w:tblPrEx>
        <w:tc>
          <w:tcPr>
            <w:tcW w:w="4698" w:type="dxa"/>
          </w:tcPr>
          <w:p w:rsidR="004C2EE3" w:rsidP="004125F9" w14:paraId="0CC75A45" w14:textId="77777777">
            <w:pPr>
              <w:tabs>
                <w:tab w:val="center" w:pos="4680"/>
              </w:tabs>
              <w:rPr>
                <w:spacing w:val="-2"/>
              </w:rPr>
            </w:pPr>
            <w:r>
              <w:rPr>
                <w:spacing w:val="-2"/>
              </w:rPr>
              <w:t>In the Matter of</w:t>
            </w:r>
          </w:p>
          <w:p w:rsidR="004C2EE3" w:rsidP="004125F9" w14:paraId="56DECE39" w14:textId="77777777">
            <w:pPr>
              <w:tabs>
                <w:tab w:val="center" w:pos="4680"/>
              </w:tabs>
              <w:rPr>
                <w:spacing w:val="-2"/>
              </w:rPr>
            </w:pPr>
          </w:p>
          <w:p w:rsidR="004125F9" w:rsidRPr="004125F9" w:rsidP="004125F9" w14:paraId="2CD2D4ED" w14:textId="77777777">
            <w:pPr>
              <w:tabs>
                <w:tab w:val="center" w:pos="4680"/>
              </w:tabs>
              <w:rPr>
                <w:spacing w:val="-2"/>
              </w:rPr>
            </w:pPr>
            <w:r w:rsidRPr="004125F9">
              <w:rPr>
                <w:spacing w:val="-2"/>
              </w:rPr>
              <w:t>ESTRELLA TELEVISION LICENSE, LLC</w:t>
            </w:r>
          </w:p>
          <w:p w:rsidR="004125F9" w:rsidRPr="004125F9" w:rsidP="004125F9" w14:paraId="2F3F5713" w14:textId="77777777">
            <w:pPr>
              <w:tabs>
                <w:tab w:val="center" w:pos="4680"/>
              </w:tabs>
              <w:rPr>
                <w:spacing w:val="-2"/>
              </w:rPr>
            </w:pPr>
          </w:p>
          <w:p w:rsidR="004125F9" w:rsidRPr="004125F9" w:rsidP="004125F9" w14:paraId="2BFC389D" w14:textId="77777777">
            <w:pPr>
              <w:tabs>
                <w:tab w:val="center" w:pos="4680"/>
              </w:tabs>
              <w:rPr>
                <w:spacing w:val="-2"/>
              </w:rPr>
            </w:pPr>
            <w:r w:rsidRPr="004125F9">
              <w:rPr>
                <w:spacing w:val="-2"/>
              </w:rPr>
              <w:t>For License to Cover</w:t>
            </w:r>
          </w:p>
          <w:p w:rsidR="004125F9" w:rsidRPr="004125F9" w:rsidP="004125F9" w14:paraId="0614A82B" w14:textId="77777777">
            <w:pPr>
              <w:tabs>
                <w:tab w:val="center" w:pos="4680"/>
              </w:tabs>
              <w:rPr>
                <w:spacing w:val="-2"/>
              </w:rPr>
            </w:pPr>
            <w:r w:rsidRPr="004125F9">
              <w:rPr>
                <w:spacing w:val="-2"/>
              </w:rPr>
              <w:t>Low Power Television Station</w:t>
            </w:r>
          </w:p>
          <w:p w:rsidR="004C2EE3" w:rsidRPr="007115F7" w:rsidP="004125F9" w14:paraId="3C9A53A6" w14:textId="618437E3">
            <w:pPr>
              <w:tabs>
                <w:tab w:val="center" w:pos="4680"/>
              </w:tabs>
              <w:rPr>
                <w:spacing w:val="-2"/>
              </w:rPr>
            </w:pPr>
            <w:r w:rsidRPr="004125F9">
              <w:rPr>
                <w:spacing w:val="-2"/>
              </w:rPr>
              <w:t>WGEN-LD, Miami, Florida</w:t>
            </w:r>
          </w:p>
        </w:tc>
        <w:tc>
          <w:tcPr>
            <w:tcW w:w="630" w:type="dxa"/>
          </w:tcPr>
          <w:p w:rsidR="004C2EE3" w:rsidP="004125F9" w14:paraId="0787D336" w14:textId="77777777">
            <w:pPr>
              <w:tabs>
                <w:tab w:val="center" w:pos="4680"/>
              </w:tabs>
              <w:rPr>
                <w:b/>
                <w:spacing w:val="-2"/>
              </w:rPr>
            </w:pPr>
            <w:r>
              <w:rPr>
                <w:b/>
                <w:spacing w:val="-2"/>
              </w:rPr>
              <w:t>)</w:t>
            </w:r>
          </w:p>
          <w:p w:rsidR="004C2EE3" w:rsidP="004125F9" w14:paraId="00BE722C" w14:textId="77777777">
            <w:pPr>
              <w:tabs>
                <w:tab w:val="center" w:pos="4680"/>
              </w:tabs>
              <w:rPr>
                <w:b/>
                <w:spacing w:val="-2"/>
              </w:rPr>
            </w:pPr>
            <w:r>
              <w:rPr>
                <w:b/>
                <w:spacing w:val="-2"/>
              </w:rPr>
              <w:t>)</w:t>
            </w:r>
          </w:p>
          <w:p w:rsidR="004C2EE3" w:rsidP="004125F9" w14:paraId="252EB443" w14:textId="77777777">
            <w:pPr>
              <w:tabs>
                <w:tab w:val="center" w:pos="4680"/>
              </w:tabs>
              <w:rPr>
                <w:b/>
                <w:spacing w:val="-2"/>
              </w:rPr>
            </w:pPr>
            <w:r>
              <w:rPr>
                <w:b/>
                <w:spacing w:val="-2"/>
              </w:rPr>
              <w:t>)</w:t>
            </w:r>
          </w:p>
          <w:p w:rsidR="004C2EE3" w:rsidP="004125F9" w14:paraId="0BC6439D" w14:textId="77777777">
            <w:pPr>
              <w:tabs>
                <w:tab w:val="center" w:pos="4680"/>
              </w:tabs>
              <w:rPr>
                <w:b/>
                <w:spacing w:val="-2"/>
              </w:rPr>
            </w:pPr>
            <w:r>
              <w:rPr>
                <w:b/>
                <w:spacing w:val="-2"/>
              </w:rPr>
              <w:t>)</w:t>
            </w:r>
          </w:p>
          <w:p w:rsidR="004C2EE3" w:rsidP="004125F9" w14:paraId="501C91C6" w14:textId="77777777">
            <w:pPr>
              <w:tabs>
                <w:tab w:val="center" w:pos="4680"/>
              </w:tabs>
              <w:rPr>
                <w:b/>
                <w:spacing w:val="-2"/>
              </w:rPr>
            </w:pPr>
            <w:r>
              <w:rPr>
                <w:b/>
                <w:spacing w:val="-2"/>
              </w:rPr>
              <w:t>)</w:t>
            </w:r>
          </w:p>
          <w:p w:rsidR="004C2EE3" w:rsidP="004125F9" w14:paraId="73112FCE" w14:textId="77777777">
            <w:pPr>
              <w:tabs>
                <w:tab w:val="center" w:pos="4680"/>
              </w:tabs>
              <w:rPr>
                <w:b/>
                <w:spacing w:val="-2"/>
              </w:rPr>
            </w:pPr>
            <w:r>
              <w:rPr>
                <w:b/>
                <w:spacing w:val="-2"/>
              </w:rPr>
              <w:t>)</w:t>
            </w:r>
          </w:p>
          <w:p w:rsidR="004C2EE3" w:rsidP="004125F9" w14:paraId="7563F64E" w14:textId="77777777">
            <w:pPr>
              <w:tabs>
                <w:tab w:val="center" w:pos="4680"/>
              </w:tabs>
              <w:rPr>
                <w:b/>
                <w:spacing w:val="-2"/>
              </w:rPr>
            </w:pPr>
            <w:r>
              <w:rPr>
                <w:b/>
                <w:spacing w:val="-2"/>
              </w:rPr>
              <w:t>)</w:t>
            </w:r>
          </w:p>
          <w:p w:rsidR="004C2EE3" w:rsidRPr="004125F9" w:rsidP="004125F9" w14:paraId="20228C92" w14:textId="2629FAC3">
            <w:pPr>
              <w:tabs>
                <w:tab w:val="center" w:pos="4680"/>
              </w:tabs>
              <w:rPr>
                <w:b/>
                <w:spacing w:val="-2"/>
              </w:rPr>
            </w:pPr>
            <w:r>
              <w:rPr>
                <w:b/>
                <w:spacing w:val="-2"/>
              </w:rPr>
              <w:t>)</w:t>
            </w:r>
          </w:p>
        </w:tc>
        <w:tc>
          <w:tcPr>
            <w:tcW w:w="4248" w:type="dxa"/>
          </w:tcPr>
          <w:p w:rsidR="004C2EE3" w:rsidP="004125F9" w14:paraId="68778139" w14:textId="77777777">
            <w:pPr>
              <w:tabs>
                <w:tab w:val="center" w:pos="4680"/>
              </w:tabs>
              <w:rPr>
                <w:spacing w:val="-2"/>
              </w:rPr>
            </w:pPr>
          </w:p>
          <w:p w:rsidR="004C2EE3" w:rsidP="004125F9" w14:paraId="4BA54CC9" w14:textId="77777777">
            <w:pPr>
              <w:pStyle w:val="TOAHeading"/>
              <w:tabs>
                <w:tab w:val="center" w:pos="4680"/>
                <w:tab w:val="clear" w:pos="9360"/>
              </w:tabs>
              <w:suppressAutoHyphens w:val="0"/>
              <w:rPr>
                <w:spacing w:val="-2"/>
              </w:rPr>
            </w:pPr>
          </w:p>
          <w:p w:rsidR="004125F9" w:rsidRPr="004125F9" w:rsidP="004125F9" w14:paraId="724F1912" w14:textId="12529936">
            <w:pPr>
              <w:pStyle w:val="TOAHeading"/>
              <w:tabs>
                <w:tab w:val="center" w:pos="4680"/>
              </w:tabs>
              <w:rPr>
                <w:spacing w:val="-2"/>
              </w:rPr>
            </w:pPr>
            <w:r w:rsidRPr="004125F9">
              <w:rPr>
                <w:spacing w:val="-2"/>
              </w:rPr>
              <w:t>Facility ID No. 168060</w:t>
            </w:r>
          </w:p>
          <w:p w:rsidR="004125F9" w:rsidRPr="004125F9" w:rsidP="004125F9" w14:paraId="5F81C44B" w14:textId="77777777">
            <w:pPr>
              <w:pStyle w:val="TOAHeading"/>
              <w:tabs>
                <w:tab w:val="center" w:pos="4680"/>
              </w:tabs>
              <w:rPr>
                <w:spacing w:val="-2"/>
              </w:rPr>
            </w:pPr>
            <w:r w:rsidRPr="004125F9">
              <w:rPr>
                <w:spacing w:val="-2"/>
              </w:rPr>
              <w:t>NAL/Acct. No. 202341420001</w:t>
            </w:r>
          </w:p>
          <w:p w:rsidR="004125F9" w:rsidRPr="004125F9" w:rsidP="004125F9" w14:paraId="10545BB9" w14:textId="77777777">
            <w:pPr>
              <w:pStyle w:val="TOAHeading"/>
              <w:tabs>
                <w:tab w:val="center" w:pos="4680"/>
              </w:tabs>
              <w:rPr>
                <w:spacing w:val="-2"/>
              </w:rPr>
            </w:pPr>
            <w:r w:rsidRPr="004125F9">
              <w:rPr>
                <w:spacing w:val="-2"/>
              </w:rPr>
              <w:t>FRN: 0001529247</w:t>
            </w:r>
          </w:p>
          <w:p w:rsidR="004C2EE3" w:rsidP="004125F9" w14:paraId="1F7F9622" w14:textId="0F4F7FF5">
            <w:pPr>
              <w:tabs>
                <w:tab w:val="center" w:pos="4680"/>
              </w:tabs>
              <w:rPr>
                <w:spacing w:val="-2"/>
              </w:rPr>
            </w:pPr>
            <w:r w:rsidRPr="004125F9">
              <w:rPr>
                <w:spacing w:val="-2"/>
              </w:rPr>
              <w:t>File No. 0000203815</w:t>
            </w:r>
          </w:p>
        </w:tc>
      </w:tr>
    </w:tbl>
    <w:p w:rsidR="004C2EE3" w:rsidP="004125F9" w14:paraId="70B7E1BF" w14:textId="77777777"/>
    <w:p w:rsidR="00841AB1" w:rsidP="004125F9" w14:paraId="595C577E" w14:textId="3D31D04B">
      <w:pPr>
        <w:pStyle w:val="StyleBoldCentered"/>
      </w:pPr>
      <w:r w:rsidRPr="004125F9">
        <w:t>NOTICE OF APPARENT LIABILITY FOR FORFEITURE</w:t>
      </w:r>
    </w:p>
    <w:p w:rsidR="004C2EE3" w:rsidP="004125F9" w14:paraId="46956765" w14:textId="77777777">
      <w:pPr>
        <w:tabs>
          <w:tab w:val="left" w:pos="-720"/>
        </w:tabs>
        <w:spacing w:line="227" w:lineRule="auto"/>
        <w:rPr>
          <w:spacing w:val="-2"/>
        </w:rPr>
      </w:pPr>
    </w:p>
    <w:p w:rsidR="004C2EE3" w:rsidP="004125F9" w14:paraId="6CAC79BC" w14:textId="1E45229F">
      <w:pPr>
        <w:tabs>
          <w:tab w:val="left" w:pos="720"/>
          <w:tab w:val="right" w:pos="9360"/>
        </w:tabs>
        <w:spacing w:line="227" w:lineRule="auto"/>
        <w:rPr>
          <w:spacing w:val="-2"/>
        </w:rPr>
      </w:pPr>
      <w:r>
        <w:rPr>
          <w:b/>
          <w:spacing w:val="-2"/>
        </w:rPr>
        <w:t xml:space="preserve">Adopted:  </w:t>
      </w:r>
      <w:r w:rsidR="007903C5">
        <w:rPr>
          <w:b/>
          <w:spacing w:val="-2"/>
        </w:rPr>
        <w:t>March 3,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903C5">
        <w:rPr>
          <w:b/>
          <w:spacing w:val="-2"/>
        </w:rPr>
        <w:t>March 3, 2023</w:t>
      </w:r>
    </w:p>
    <w:p w:rsidR="00822CE0" w:rsidP="004125F9" w14:paraId="2FC71EA7" w14:textId="77777777"/>
    <w:p w:rsidR="004C2EE3" w:rsidP="004125F9" w14:paraId="04EFC22A" w14:textId="181FA211">
      <w:pPr>
        <w:rPr>
          <w:spacing w:val="-2"/>
        </w:rPr>
      </w:pPr>
      <w:r>
        <w:t xml:space="preserve">By </w:t>
      </w:r>
      <w:r w:rsidR="004E4A22">
        <w:t>the</w:t>
      </w:r>
      <w:r w:rsidR="002A2D2E">
        <w:t xml:space="preserve"> </w:t>
      </w:r>
      <w:r w:rsidR="004125F9">
        <w:rPr>
          <w:spacing w:val="-2"/>
        </w:rPr>
        <w:t>Chief, Video Division, Media Bureau</w:t>
      </w:r>
      <w:r>
        <w:rPr>
          <w:spacing w:val="-2"/>
        </w:rPr>
        <w:t>:</w:t>
      </w:r>
    </w:p>
    <w:p w:rsidR="00822CE0" w:rsidP="004125F9" w14:paraId="7CF88265" w14:textId="77777777">
      <w:pPr>
        <w:rPr>
          <w:spacing w:val="-2"/>
        </w:rPr>
      </w:pPr>
    </w:p>
    <w:p w:rsidR="004125F9" w:rsidRPr="00146D8A" w:rsidP="004125F9" w14:paraId="64AF6549" w14:textId="77777777">
      <w:pPr>
        <w:pStyle w:val="Heading1"/>
        <w:keepNext w:val="0"/>
        <w:suppressAutoHyphens w:val="0"/>
      </w:pPr>
      <w:r w:rsidRPr="00146D8A">
        <w:t>INTRODUCTION</w:t>
      </w:r>
    </w:p>
    <w:p w:rsidR="004125F9" w:rsidRPr="009377D8" w:rsidP="004125F9" w14:paraId="37CD8074" w14:textId="439986C9">
      <w:pPr>
        <w:pStyle w:val="ParaNum"/>
        <w:rPr>
          <w:szCs w:val="22"/>
        </w:rPr>
      </w:pPr>
      <w:r>
        <w:t xml:space="preserve">The Media Bureau (Bureau) has before it the above-captioned application (Application) of </w:t>
      </w:r>
      <w:bookmarkStart w:id="0" w:name="_Hlk94684400"/>
      <w:bookmarkStart w:id="1" w:name="_Hlk89869077"/>
      <w:r>
        <w:t xml:space="preserve">Estrella Television License, LLC </w:t>
      </w:r>
      <w:bookmarkEnd w:id="0"/>
      <w:r>
        <w:t>(</w:t>
      </w:r>
      <w:bookmarkEnd w:id="1"/>
      <w:r>
        <w:t>Estrella</w:t>
      </w:r>
      <w:r w:rsidRPr="00DB10EE">
        <w:t>)</w:t>
      </w:r>
      <w:r>
        <w:t>,</w:t>
      </w:r>
      <w:r w:rsidRPr="00DB10EE">
        <w:t xml:space="preserve"> for </w:t>
      </w:r>
      <w:r>
        <w:t>a license to cover</w:t>
      </w:r>
      <w:r w:rsidRPr="00DB10EE">
        <w:t xml:space="preserve"> </w:t>
      </w:r>
      <w:r>
        <w:t xml:space="preserve">low power television (LPTV) </w:t>
      </w:r>
      <w:r w:rsidRPr="00DB10EE">
        <w:t>station</w:t>
      </w:r>
      <w:r>
        <w:t xml:space="preserve"> WGEN-LD, Miami, Florida (WGEN or Station</w:t>
      </w:r>
      <w:r w:rsidRPr="00DB10EE">
        <w:t>)</w:t>
      </w:r>
      <w:r w:rsidR="00B218C9">
        <w:t>, as amended</w:t>
      </w:r>
      <w:r w:rsidRPr="00DB10EE">
        <w:t xml:space="preserve">.  </w:t>
      </w:r>
      <w:r w:rsidRPr="00947B4D">
        <w:t xml:space="preserve">In this </w:t>
      </w:r>
      <w:r w:rsidRPr="00434675">
        <w:rPr>
          <w:i/>
          <w:iCs/>
          <w:szCs w:val="22"/>
        </w:rPr>
        <w:t>Memorandum Opinion and Order and Notice of Apparent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3"/>
      </w:r>
      <w:r w:rsidRPr="00947B4D">
        <w:rPr>
          <w:i/>
        </w:rPr>
        <w:t xml:space="preserve"> </w:t>
      </w:r>
      <w:r>
        <w:t>we find that Estrella apparently willfully violated section 74.788</w:t>
      </w:r>
      <w:r>
        <w:rPr>
          <w:rStyle w:val="FootnoteReference"/>
          <w:color w:val="000000"/>
        </w:rPr>
        <w:footnoteReference w:id="4"/>
      </w:r>
      <w:r>
        <w:t xml:space="preserve"> of the Rules by failing to timely file a license to cover application, and willfully and repeatedly violated section 73.1745 of the Rules and section 301 of the Act,</w:t>
      </w:r>
      <w:r>
        <w:rPr>
          <w:rStyle w:val="FootnoteReference"/>
          <w:color w:val="000000"/>
        </w:rPr>
        <w:footnoteReference w:id="5"/>
      </w:r>
      <w:r>
        <w:t xml:space="preserve"> by engaging in unauthorized operation of the Station after its construction permit had expired.  Based upon our review of the facts and circumstances before us, we conclude that Estrella is apparently liable for a monetary forfeiture in the amount of three thousand, five hundred dollars ($3,500)</w:t>
      </w:r>
      <w:r>
        <w:rPr>
          <w:szCs w:val="22"/>
        </w:rPr>
        <w:t>.</w:t>
      </w:r>
    </w:p>
    <w:p w:rsidR="004125F9" w:rsidRPr="00146D8A" w:rsidP="004125F9" w14:paraId="61C5C14C" w14:textId="77777777">
      <w:pPr>
        <w:pStyle w:val="Heading1"/>
        <w:keepNext w:val="0"/>
        <w:suppressAutoHyphens w:val="0"/>
      </w:pPr>
      <w:r w:rsidRPr="00947B4D">
        <w:t>BACKGROUN</w:t>
      </w:r>
      <w:r>
        <w:t>D</w:t>
      </w:r>
    </w:p>
    <w:p w:rsidR="003028CD" w:rsidP="004125F9" w14:paraId="1096A3AC" w14:textId="77777777">
      <w:pPr>
        <w:pStyle w:val="ParaNum"/>
      </w:pPr>
      <w:r>
        <w:t xml:space="preserve">WGEN is an LPTV station whose channel 45 facilities </w:t>
      </w:r>
      <w:r w:rsidRPr="00457E76">
        <w:t xml:space="preserve">were displaced by the Incentive Auction and repacking process </w:t>
      </w:r>
      <w:r>
        <w:t xml:space="preserve">when the station’s channel </w:t>
      </w:r>
      <w:r w:rsidRPr="00457E76">
        <w:t>was designated as</w:t>
      </w:r>
      <w:r>
        <w:t xml:space="preserve"> a</w:t>
      </w:r>
      <w:r w:rsidRPr="00457E76">
        <w:t xml:space="preserve"> portion of the new wireless “duplex gap.”  As a result, </w:t>
      </w:r>
      <w:r>
        <w:t>WGEN-LD</w:t>
      </w:r>
      <w:r w:rsidRPr="00457E76">
        <w:t xml:space="preserve"> was required to discontinue operations on channel 45 no later than </w:t>
      </w:r>
    </w:p>
    <w:p w:rsidR="003028CD" w14:paraId="080F1B6C" w14:textId="77777777">
      <w:pPr>
        <w:widowControl/>
      </w:pPr>
      <w:r>
        <w:br w:type="page"/>
      </w:r>
    </w:p>
    <w:p w:rsidR="004125F9" w:rsidP="003028CD" w14:paraId="57F13DE6" w14:textId="7E11B30E">
      <w:pPr>
        <w:pStyle w:val="ParaNum"/>
        <w:numPr>
          <w:ilvl w:val="0"/>
          <w:numId w:val="0"/>
        </w:numPr>
      </w:pPr>
      <w:r w:rsidRPr="00457E76">
        <w:t>July 13, 2020.</w:t>
      </w:r>
      <w:r>
        <w:rPr>
          <w:vertAlign w:val="superscript"/>
        </w:rPr>
        <w:footnoteReference w:id="6"/>
      </w:r>
      <w:r>
        <w:t xml:space="preserve">  On October 3, 2018, a displacement application was granted for the Station permitting it to construct new facilities on</w:t>
      </w:r>
      <w:r w:rsidRPr="00113ED2">
        <w:t xml:space="preserve"> channel </w:t>
      </w:r>
      <w:r>
        <w:t>8.  It was assigned an expiration date of October 3, 2021 (Displacement CP)</w:t>
      </w:r>
      <w:r w:rsidRPr="00113ED2">
        <w:t>.</w:t>
      </w:r>
      <w:r>
        <w:rPr>
          <w:vertAlign w:val="superscript"/>
        </w:rPr>
        <w:footnoteReference w:id="7"/>
      </w:r>
    </w:p>
    <w:p w:rsidR="004125F9" w:rsidP="004125F9" w14:paraId="5CE07ED0" w14:textId="180EAA96">
      <w:pPr>
        <w:pStyle w:val="ParaNum"/>
      </w:pPr>
      <w:r>
        <w:t>On November 4, 2022, counsel for Estrella contacted Video Division (Division) staff and reported that, while Estrella completed construction of WTEN, it had failed to do so prior to expiration of its license under section 312(g) and expiration of its construction permit.  On November 10, 2022, Estrella filed a request to reinstate the Station’s license and Displacement CP, and permission to file an application for license to cover (Reinstatement Requests).</w:t>
      </w:r>
      <w:r>
        <w:rPr>
          <w:rStyle w:val="FootnoteReference"/>
        </w:rPr>
        <w:footnoteReference w:id="8"/>
      </w:r>
      <w:r>
        <w:t xml:space="preserve">  In its Reinstatement Requests Estrella explained that, following grant of its Displacement CP, it diligently sought construction of the Station’s displacement facilities, however due to circumstances beyond its control it was unable to complete construction prior to expiration of the Station’s license and construction permit.  Notably, Estrella highlights numerous delays encountered during the installation of its antenna and equipment issues after commencing program tests.  </w:t>
      </w:r>
      <w:r w:rsidR="006F3DC1">
        <w:t xml:space="preserve">Specifically, in order to operate on its new displacement channel </w:t>
      </w:r>
      <w:r w:rsidRPr="006F3DC1" w:rsidR="006F3DC1">
        <w:t xml:space="preserve">Estrella </w:t>
      </w:r>
      <w:r w:rsidR="006F3DC1">
        <w:t xml:space="preserve">needed to </w:t>
      </w:r>
      <w:r w:rsidRPr="006F3DC1" w:rsidR="006F3DC1">
        <w:t>synchronize the Station’s signal with that of commonly-owned station WVFW‐LD, which is also an LPTV station on channel 8 licensed to Miami, Florida.</w:t>
      </w:r>
      <w:r>
        <w:rPr>
          <w:rStyle w:val="FootnoteReference"/>
        </w:rPr>
        <w:footnoteReference w:id="9"/>
      </w:r>
      <w:r w:rsidRPr="006F3DC1" w:rsidR="006F3DC1">
        <w:t xml:space="preserve">  When the Station began program tests on channel 8 in July 2021, Estrella discovered that there was an issue with the synchronization between the Station and WVFW‐LD.</w:t>
      </w:r>
      <w:r>
        <w:rPr>
          <w:rStyle w:val="FootnoteReference"/>
        </w:rPr>
        <w:footnoteReference w:id="10"/>
      </w:r>
      <w:r w:rsidR="006F3DC1">
        <w:t xml:space="preserve">  </w:t>
      </w:r>
      <w:r w:rsidRPr="006F3DC1" w:rsidR="006F3DC1">
        <w:t>As a result, the Station ceased operation and remained silent until February 23, 2022, when the synchronization issues were finally resolved, and the Station was able to resume full power operations.</w:t>
      </w:r>
      <w:r>
        <w:rPr>
          <w:rStyle w:val="FootnoteReference"/>
        </w:rPr>
        <w:footnoteReference w:id="11"/>
      </w:r>
      <w:r w:rsidRPr="006F3DC1" w:rsidR="006F3DC1">
        <w:t xml:space="preserve"> </w:t>
      </w:r>
      <w:r>
        <w:t xml:space="preserve">These delays resulted in </w:t>
      </w:r>
      <w:r w:rsidR="00ED6B86">
        <w:t xml:space="preserve">construction of the </w:t>
      </w:r>
      <w:r>
        <w:t>Station not being completed until nearly four months after its construction permit expired and over 17 months after the Station’s license expired pursuant to section 312(g).  Estrella argued that, d</w:t>
      </w:r>
      <w:r w:rsidRPr="00D35523">
        <w:t>ue to an administrative oversight</w:t>
      </w:r>
      <w:r>
        <w:t xml:space="preserve"> it</w:t>
      </w:r>
      <w:r w:rsidRPr="00D35523">
        <w:t xml:space="preserve"> did not file</w:t>
      </w:r>
      <w:r>
        <w:t xml:space="preserve"> </w:t>
      </w:r>
      <w:r w:rsidRPr="00D35523">
        <w:t>a</w:t>
      </w:r>
      <w:r>
        <w:t xml:space="preserve">n application to toll the Station’s construction permit beyond the October 3, 2021 expiration date, or </w:t>
      </w:r>
      <w:r w:rsidRPr="00D35523">
        <w:t xml:space="preserve">a request for </w:t>
      </w:r>
      <w:r>
        <w:t>relief under s</w:t>
      </w:r>
      <w:r w:rsidRPr="00D35523">
        <w:t>ection</w:t>
      </w:r>
      <w:r>
        <w:t xml:space="preserve"> </w:t>
      </w:r>
      <w:r w:rsidRPr="00D35523">
        <w:t>312(g)</w:t>
      </w:r>
      <w:r>
        <w:t xml:space="preserve"> when the Station was silent for more than one year, as </w:t>
      </w:r>
      <w:r w:rsidRPr="00802FEA">
        <w:t xml:space="preserve">of July 13, 2021.  </w:t>
      </w:r>
    </w:p>
    <w:p w:rsidR="004125F9" w:rsidP="004125F9" w14:paraId="2B6DDEBC" w14:textId="527BD630">
      <w:pPr>
        <w:pStyle w:val="ParaNum"/>
      </w:pPr>
      <w:r>
        <w:t>On November 18, 2022, the Division granted Estrella’s Reinstatement Requests.</w:t>
      </w:r>
      <w:r>
        <w:rPr>
          <w:rStyle w:val="FootnoteReference"/>
        </w:rPr>
        <w:footnoteReference w:id="12"/>
      </w:r>
      <w:r w:rsidRPr="00421B29">
        <w:t xml:space="preserve"> </w:t>
      </w:r>
      <w:r w:rsidR="00A31B7A">
        <w:t xml:space="preserve">The Division found that the Station had been displaced by the Incentive Auction and repacking process and had </w:t>
      </w:r>
      <w:r w:rsidRPr="00A31B7A" w:rsidR="00A31B7A">
        <w:t xml:space="preserve">documented that its efforts to resume operation and complete construction were prevented due to </w:t>
      </w:r>
      <w:r w:rsidR="00A31B7A">
        <w:t xml:space="preserve">compelling circumstances </w:t>
      </w:r>
      <w:r w:rsidRPr="00A31B7A" w:rsidR="00A31B7A">
        <w:t>that prevented the Station from operating without causing impermissible interference to another station.</w:t>
      </w:r>
      <w:r>
        <w:rPr>
          <w:rStyle w:val="FootnoteReference"/>
        </w:rPr>
        <w:footnoteReference w:id="13"/>
      </w:r>
      <w:r w:rsidR="00A31B7A">
        <w:t xml:space="preserve">  Based on these facts, the Division concluded that </w:t>
      </w:r>
      <w:r w:rsidRPr="00A31B7A" w:rsidR="00A31B7A">
        <w:t>Estrella’s request for reinstatement of license pursuant to section 312(g) satisfie</w:t>
      </w:r>
      <w:r w:rsidR="00A31B7A">
        <w:t>d</w:t>
      </w:r>
      <w:r w:rsidRPr="00A31B7A" w:rsidR="00A31B7A">
        <w:t xml:space="preserve"> the requirements of section 312(g) </w:t>
      </w:r>
      <w:r w:rsidR="00A31B7A">
        <w:t xml:space="preserve">of the </w:t>
      </w:r>
      <w:r w:rsidR="00A31B7A">
        <w:t xml:space="preserve">Communications Act </w:t>
      </w:r>
      <w:r w:rsidRPr="00A31B7A" w:rsidR="00A31B7A">
        <w:t xml:space="preserve">and </w:t>
      </w:r>
      <w:r w:rsidR="00A31B7A">
        <w:t>wa</w:t>
      </w:r>
      <w:r w:rsidRPr="00A31B7A" w:rsidR="00A31B7A">
        <w:t>s in the public interest.</w:t>
      </w:r>
      <w:r>
        <w:rPr>
          <w:rStyle w:val="FootnoteReference"/>
        </w:rPr>
        <w:footnoteReference w:id="14"/>
      </w:r>
      <w:r w:rsidR="00A31B7A">
        <w:t xml:space="preserve"> </w:t>
      </w:r>
      <w:r>
        <w:t xml:space="preserve"> </w:t>
      </w:r>
      <w:r w:rsidRPr="00A31B7A" w:rsidR="00A31B7A">
        <w:t xml:space="preserve">For similar reasons, </w:t>
      </w:r>
      <w:r w:rsidR="00A31B7A">
        <w:t>the Division also found</w:t>
      </w:r>
      <w:r w:rsidRPr="00A31B7A" w:rsidR="00A31B7A">
        <w:t xml:space="preserve"> that Estella ha</w:t>
      </w:r>
      <w:r w:rsidR="00A31B7A">
        <w:t>d</w:t>
      </w:r>
      <w:r w:rsidRPr="00A31B7A" w:rsidR="00A31B7A">
        <w:t xml:space="preserve"> met the standard for reinstatement and tolling of the Station’s Displacement CP.</w:t>
      </w:r>
      <w:r>
        <w:rPr>
          <w:rStyle w:val="FootnoteReference"/>
        </w:rPr>
        <w:footnoteReference w:id="15"/>
      </w:r>
      <w:r w:rsidR="00A31B7A">
        <w:t xml:space="preserve">  Finally, t</w:t>
      </w:r>
      <w:r>
        <w:t>he Division, on its</w:t>
      </w:r>
      <w:r w:rsidRPr="00421B29">
        <w:t xml:space="preserve"> motion, </w:t>
      </w:r>
      <w:r>
        <w:t>also waived the applicable</w:t>
      </w:r>
      <w:r w:rsidRPr="00421B29">
        <w:t xml:space="preserve"> Commission’s rules </w:t>
      </w:r>
      <w:r>
        <w:t xml:space="preserve">and instructed </w:t>
      </w:r>
      <w:r w:rsidRPr="00421B29">
        <w:t>the Station to file an application for license to cover</w:t>
      </w:r>
      <w:r>
        <w:t xml:space="preserve"> within ten days</w:t>
      </w:r>
      <w:r w:rsidRPr="00421B29">
        <w:t>.</w:t>
      </w:r>
      <w:r>
        <w:rPr>
          <w:rStyle w:val="FootnoteReference"/>
        </w:rPr>
        <w:footnoteReference w:id="16"/>
      </w:r>
      <w:r w:rsidRPr="00421B29">
        <w:t xml:space="preserve">  </w:t>
      </w:r>
      <w:r>
        <w:t>Estrella submitted the above-captioned license to cover on November 18, 2022.</w:t>
      </w:r>
    </w:p>
    <w:p w:rsidR="004125F9" w:rsidRPr="00EF6A4B" w:rsidP="00934BAA" w14:paraId="31069EBA" w14:textId="32D2FB60">
      <w:pPr>
        <w:pStyle w:val="ParaNum"/>
        <w:widowControl/>
      </w:pPr>
      <w:r>
        <w:t xml:space="preserve">In its late-filed </w:t>
      </w:r>
      <w:bookmarkStart w:id="2" w:name="_Hlk80302111"/>
      <w:r>
        <w:t>Application, Estrella once again represents that it completed construction of the facilities set forth in the Displacement CP and resumed operations on February 23, 2022.</w:t>
      </w:r>
      <w:r>
        <w:rPr>
          <w:rStyle w:val="FootnoteReference"/>
        </w:rPr>
        <w:footnoteReference w:id="17"/>
      </w:r>
      <w:r>
        <w:t xml:space="preserve">  Estrella recounts the facts previously recognized by the Division in its letter granting reinstatement of the Station’s license and construction permit, and waiving the Commission’s rules related to the timely filing of a license to cover.</w:t>
      </w:r>
      <w:bookmarkEnd w:id="2"/>
      <w:r>
        <w:rPr>
          <w:rStyle w:val="FootnoteReference"/>
        </w:rPr>
        <w:footnoteReference w:id="18"/>
      </w:r>
      <w:r>
        <w:t xml:space="preserve">  Estrella also reiterates its argument that its failures to make appropriate filings and requests were a result of “administrative oversight.”</w:t>
      </w:r>
      <w:r>
        <w:rPr>
          <w:rStyle w:val="FootnoteReference"/>
        </w:rPr>
        <w:footnoteReference w:id="19"/>
      </w:r>
      <w:r>
        <w:t xml:space="preserve">  In its filings Estrella also admits that it engaged in unauthorized operation on two occasions, first for a period of approximately five months on channel 45 from July 14, 2020 through December 20, 2020 and second, on channel 8 for a period of approximately nine months, starting February 23 through November 18, 2022.</w:t>
      </w:r>
      <w:r>
        <w:rPr>
          <w:rStyle w:val="FootnoteReference"/>
        </w:rPr>
        <w:footnoteReference w:id="20"/>
      </w:r>
      <w:r>
        <w:t xml:space="preserve"> </w:t>
      </w:r>
    </w:p>
    <w:p w:rsidR="004125F9" w:rsidRPr="00FA2A81" w:rsidP="004125F9" w14:paraId="66040389" w14:textId="77777777">
      <w:pPr>
        <w:pStyle w:val="Heading1"/>
        <w:keepNext w:val="0"/>
        <w:suppressAutoHyphens w:val="0"/>
        <w:rPr>
          <w:szCs w:val="22"/>
        </w:rPr>
      </w:pPr>
      <w:r w:rsidRPr="00753410">
        <w:t>DISCUSSION</w:t>
      </w:r>
    </w:p>
    <w:p w:rsidR="004125F9" w:rsidRPr="003E362D" w:rsidP="004125F9" w14:paraId="430880ED" w14:textId="77777777">
      <w:pPr>
        <w:pStyle w:val="ParaNum"/>
        <w:rPr>
          <w:rFonts w:eastAsia="SimSun"/>
        </w:rPr>
      </w:pPr>
      <w:r w:rsidRPr="003E362D">
        <w:rPr>
          <w:rFonts w:eastAsia="SimSun"/>
        </w:rPr>
        <w:t>Pursuant to section 503(b)(1)(B) of the Act,</w:t>
      </w:r>
      <w:r>
        <w:rPr>
          <w:rStyle w:val="FootnoteReference"/>
          <w:rFonts w:eastAsia="SimSun"/>
        </w:rPr>
        <w:footnoteReference w:id="21"/>
      </w:r>
      <w:r w:rsidRPr="003E362D">
        <w:rPr>
          <w:rFonts w:eastAsia="SimSun"/>
        </w:rPr>
        <w:t xml:space="preserve">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22"/>
      </w:r>
      <w:r w:rsidRPr="003E362D">
        <w:rPr>
          <w:rFonts w:eastAsia="SimSun"/>
        </w:rPr>
        <w:t xml:space="preserve">  Section 312(f)(1) of the Act defines willful as “the conscious and deliberate commission or omission of [any] act, irrespective of any intent to violate” the law.</w:t>
      </w:r>
      <w:r>
        <w:rPr>
          <w:rFonts w:eastAsia="SimSun"/>
          <w:vertAlign w:val="superscript"/>
        </w:rPr>
        <w:footnoteReference w:id="23"/>
      </w:r>
      <w:r w:rsidRPr="003E362D">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24"/>
      </w:r>
      <w:r w:rsidRPr="003E362D">
        <w:rPr>
          <w:rFonts w:eastAsia="SimSun"/>
        </w:rPr>
        <w:t xml:space="preserve"> and the Commission has so interpreted the term in the section 503(b) context.</w:t>
      </w:r>
      <w:r>
        <w:rPr>
          <w:rFonts w:eastAsia="SimSun"/>
          <w:vertAlign w:val="superscript"/>
        </w:rPr>
        <w:footnoteReference w:id="25"/>
      </w:r>
      <w:r w:rsidRPr="003E362D">
        <w:rPr>
          <w:rFonts w:eastAsia="SimSun"/>
        </w:rPr>
        <w:t xml:space="preserve">  </w:t>
      </w:r>
      <w:r w:rsidRPr="008D30C5">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26"/>
      </w:r>
      <w:r w:rsidRPr="008D30C5">
        <w:t xml:space="preserve">  </w:t>
      </w:r>
    </w:p>
    <w:p w:rsidR="004125F9" w:rsidP="004125F9" w14:paraId="3846DBFD" w14:textId="298BFE14">
      <w:pPr>
        <w:pStyle w:val="ParaNum"/>
      </w:pPr>
      <w:r>
        <w:rPr>
          <w:i/>
          <w:color w:val="000000"/>
        </w:rPr>
        <w:t>Apparent Violation</w:t>
      </w:r>
      <w:r w:rsidRPr="006143B1">
        <w:rPr>
          <w:color w:val="000000"/>
        </w:rPr>
        <w:t xml:space="preserve">. </w:t>
      </w:r>
      <w:r w:rsidRPr="006143B1">
        <w:rPr>
          <w:i/>
          <w:iCs/>
          <w:spacing w:val="-3"/>
        </w:rPr>
        <w:t xml:space="preserve"> </w:t>
      </w:r>
      <w:r>
        <w:rPr>
          <w:spacing w:val="-3"/>
        </w:rPr>
        <w:t xml:space="preserve">The facts recited above appear to demonstrate that </w:t>
      </w:r>
      <w:r>
        <w:t xml:space="preserve">Estrella willfully </w:t>
      </w:r>
      <w:r>
        <w:t xml:space="preserve">violated section 74.788 of the Rules </w:t>
      </w:r>
      <w:r w:rsidRPr="008A73D4">
        <w:t>by failing to timely file a license to cover application</w:t>
      </w:r>
      <w:r>
        <w:t>.</w:t>
      </w:r>
      <w:r>
        <w:rPr>
          <w:rStyle w:val="FootnoteReference"/>
        </w:rPr>
        <w:footnoteReference w:id="27"/>
      </w:r>
      <w:r>
        <w:t xml:space="preserve">  In addition, by operating the Station without a valid authorization from July 14, 2021 through December 2021, and February 23, 2022 through November 18, 2022, it appears Estrella willfully and repeatedly violated section 73.1745 of the Rules</w:t>
      </w:r>
      <w:r>
        <w:rPr>
          <w:rStyle w:val="FootnoteReference"/>
        </w:rPr>
        <w:footnoteReference w:id="28"/>
      </w:r>
      <w:r>
        <w:t xml:space="preserve"> and section 301 of the Act.</w:t>
      </w:r>
      <w:r>
        <w:rPr>
          <w:rStyle w:val="FootnoteReference"/>
        </w:rPr>
        <w:footnoteReference w:id="29"/>
      </w:r>
      <w:r>
        <w:t xml:space="preserve">  Estrella claims its apparent violations were the result of  “administrative oversight.”  I</w:t>
      </w:r>
      <w:r w:rsidRPr="001D7A5D">
        <w:t xml:space="preserve">t is well settled that </w:t>
      </w:r>
      <w:r>
        <w:t>administrative oversight is not an excuse for failure to comply with the Commission’s rules.</w:t>
      </w:r>
      <w:r>
        <w:rPr>
          <w:rStyle w:val="FootnoteReference"/>
        </w:rPr>
        <w:footnoteReference w:id="30"/>
      </w:r>
      <w:r>
        <w:t xml:space="preserve">  We therefore find that Estrella has apparently violated the </w:t>
      </w:r>
      <w:r w:rsidR="00934BAA">
        <w:t>R</w:t>
      </w:r>
      <w:r>
        <w:t xml:space="preserve">ules and </w:t>
      </w:r>
      <w:r w:rsidR="00934BAA">
        <w:t>A</w:t>
      </w:r>
      <w:r>
        <w:t>ct</w:t>
      </w:r>
      <w:r w:rsidR="00934BAA">
        <w:t>,</w:t>
      </w:r>
      <w:r>
        <w:t xml:space="preserve"> and is apparently liable for forfeiture.</w:t>
      </w:r>
    </w:p>
    <w:p w:rsidR="004125F9" w:rsidRPr="00E956A1" w:rsidP="004125F9" w14:paraId="1172553A" w14:textId="77777777">
      <w:pPr>
        <w:pStyle w:val="ParaNum"/>
      </w:pPr>
      <w:r w:rsidRPr="00E956A1">
        <w:rPr>
          <w:i/>
          <w:color w:val="000000"/>
        </w:rPr>
        <w:t xml:space="preserve">Proposed Forfeiture Amount:  </w:t>
      </w:r>
      <w:r>
        <w:t xml:space="preserve">The Commission's </w:t>
      </w:r>
      <w:r w:rsidRPr="00E956A1">
        <w:rPr>
          <w:i/>
        </w:rPr>
        <w:t>Forfeiture Policy Statement</w:t>
      </w:r>
      <w:r>
        <w:t xml:space="preserve"> and section 1.80(b)(10) of the Rules establish a base forfeiture amount of $3,000 for the failure to file a required form.</w:t>
      </w:r>
      <w:r>
        <w:rPr>
          <w:rStyle w:val="FootnoteReference"/>
          <w:szCs w:val="22"/>
        </w:rPr>
        <w:footnoteReference w:id="31"/>
      </w:r>
      <w:r>
        <w:t xml:space="preserve">  The guidelines also specify a base forfeiture amount of $10,000 for construction and operation without an instrument of authorization for the service.</w:t>
      </w:r>
      <w:r>
        <w:rPr>
          <w:rStyle w:val="FootnoteReference"/>
        </w:rPr>
        <w:footnoteReference w:id="32"/>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33"/>
      </w:r>
      <w:r>
        <w:t xml:space="preserve">  </w:t>
      </w:r>
    </w:p>
    <w:p w:rsidR="004125F9" w:rsidRPr="00535D96" w:rsidP="004125F9" w14:paraId="6A3C3D27" w14:textId="77777777">
      <w:pPr>
        <w:pStyle w:val="ParaNum"/>
        <w:rPr>
          <w:color w:val="000000"/>
        </w:rPr>
      </w:pPr>
      <w:r>
        <w:t xml:space="preserve">In this case the Estrella failed to file a timely license to cover for the Station when it completed construction of its Displacement CP facilities in February 2022, and not only filed its Application over a year after the Displacement CP had expired and almost nine months after commencing operations, but engaged in unauthorized operation of the Station on two separate occasions for a cumulative period of  approximately 14 months.  </w:t>
      </w:r>
      <w:r>
        <w:rPr>
          <w:szCs w:val="22"/>
        </w:rPr>
        <w:t xml:space="preserve">Taking into consideration all of the factors required by section 503(b)(2)(E) of the Act and the </w:t>
      </w:r>
      <w:r>
        <w:rPr>
          <w:i/>
          <w:szCs w:val="22"/>
        </w:rPr>
        <w:t>Forfeiture Policy Statement</w:t>
      </w:r>
      <w:r>
        <w:rPr>
          <w:szCs w:val="22"/>
        </w:rPr>
        <w:t xml:space="preserve">, we reduce the proposed forfeiture from the base </w:t>
      </w:r>
      <w:r w:rsidRPr="00535D96">
        <w:rPr>
          <w:szCs w:val="22"/>
        </w:rPr>
        <w:t>amount to $</w:t>
      </w:r>
      <w:r>
        <w:rPr>
          <w:szCs w:val="22"/>
        </w:rPr>
        <w:t>3,500</w:t>
      </w:r>
      <w:r w:rsidRPr="00535D96">
        <w:rPr>
          <w:szCs w:val="22"/>
        </w:rPr>
        <w:t xml:space="preserve"> because, as a</w:t>
      </w:r>
      <w:r>
        <w:rPr>
          <w:szCs w:val="22"/>
        </w:rPr>
        <w:t>n LPTV</w:t>
      </w:r>
      <w:r w:rsidRPr="00535D96">
        <w:rPr>
          <w:szCs w:val="22"/>
        </w:rPr>
        <w:t xml:space="preserve"> station, the Station is providing a secondary service.</w:t>
      </w:r>
      <w:r>
        <w:rPr>
          <w:rStyle w:val="FootnoteReference"/>
          <w:szCs w:val="22"/>
        </w:rPr>
        <w:footnoteReference w:id="34"/>
      </w:r>
      <w:r>
        <w:t xml:space="preserve">  We have fined other stations similar amounts for similar violations.</w:t>
      </w:r>
      <w:r>
        <w:rPr>
          <w:rStyle w:val="FootnoteReference"/>
        </w:rPr>
        <w:footnoteReference w:id="35"/>
      </w:r>
      <w:r>
        <w:t xml:space="preserve">  We will grant the Application by separate action upon the conclusion of this forfeiture proceeding if the Application is otherwise grantable.</w:t>
      </w:r>
    </w:p>
    <w:p w:rsidR="004125F9" w:rsidRPr="00146D8A" w:rsidP="003028CD" w14:paraId="2402EC05" w14:textId="77777777">
      <w:pPr>
        <w:pStyle w:val="Heading1"/>
        <w:keepLines/>
        <w:suppressAutoHyphens w:val="0"/>
      </w:pPr>
      <w:r w:rsidRPr="00947B4D">
        <w:t>ORDERING CLAUSES</w:t>
      </w:r>
    </w:p>
    <w:p w:rsidR="004125F9" w:rsidRPr="00146D8A" w:rsidP="003028CD" w14:paraId="1F25300B" w14:textId="77777777">
      <w:pPr>
        <w:pStyle w:val="ParaNum"/>
        <w:keepNext/>
        <w:keepLines/>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36"/>
      </w:r>
      <w:r w:rsidRPr="00947B4D">
        <w:t xml:space="preserve"> </w:t>
      </w:r>
      <w:r>
        <w:t>Estrella Television License, LLC</w:t>
      </w:r>
      <w:r w:rsidRPr="00335DF3">
        <w:t xml:space="preserve"> </w:t>
      </w:r>
      <w:r w:rsidRPr="00DB10EE">
        <w:t xml:space="preserve">is hereby </w:t>
      </w:r>
      <w:r w:rsidRPr="00DB10EE">
        <w:rPr>
          <w:b/>
        </w:rPr>
        <w:t>NOTIFIED</w:t>
      </w:r>
      <w:r w:rsidRPr="00DB10EE">
        <w:t xml:space="preserve"> of</w:t>
      </w:r>
      <w:r>
        <w:t xml:space="preserve"> its</w:t>
      </w:r>
      <w:r w:rsidRPr="00DB10EE">
        <w:t xml:space="preserve"> </w:t>
      </w:r>
      <w:r w:rsidRPr="00DB10EE">
        <w:rPr>
          <w:b/>
        </w:rPr>
        <w:t>APPARENT LIABILITY FOR FORFEITURE</w:t>
      </w:r>
      <w:r w:rsidRPr="00947B4D">
        <w:t xml:space="preserve"> in the amount of </w:t>
      </w:r>
      <w:r>
        <w:t>three thousand five hundred dollars (</w:t>
      </w:r>
      <w:r w:rsidRPr="00947B4D">
        <w:t>$</w:t>
      </w:r>
      <w:r>
        <w:t>3,500)</w:t>
      </w:r>
      <w:r w:rsidRPr="00947B4D">
        <w:t xml:space="preserve"> for </w:t>
      </w:r>
      <w:r>
        <w:t>its apparent willful violation of section 74.788</w:t>
      </w:r>
      <w:r w:rsidRPr="00947B4D">
        <w:t xml:space="preserve"> of the</w:t>
      </w:r>
      <w:r>
        <w:t xml:space="preserve"> </w:t>
      </w:r>
      <w:r w:rsidRPr="00947B4D">
        <w:t xml:space="preserve">Commission’s </w:t>
      </w:r>
      <w:r>
        <w:t>r</w:t>
      </w:r>
      <w:r w:rsidRPr="00947B4D">
        <w:t>ules</w:t>
      </w:r>
      <w:r>
        <w:t xml:space="preserve"> and apparent willful and repeated violations of section 73.1745 of the Commission’s rules and section 301 of the Communications Act of 1934, as amended</w:t>
      </w:r>
      <w:r w:rsidRPr="00947B4D">
        <w:t>.</w:t>
      </w:r>
      <w:r>
        <w:rPr>
          <w:rStyle w:val="FootnoteReference"/>
        </w:rPr>
        <w:footnoteReference w:id="37"/>
      </w:r>
    </w:p>
    <w:p w:rsidR="004125F9" w:rsidRPr="00146D8A" w:rsidP="004125F9" w14:paraId="70B0E09F" w14:textId="77777777">
      <w:pPr>
        <w:pStyle w:val="ParaNum"/>
      </w:pPr>
      <w:r w:rsidRPr="003F17E2">
        <w:rPr>
          <w:b/>
        </w:rPr>
        <w:t>IT IS FURTHER ORDERED</w:t>
      </w:r>
      <w:r w:rsidRPr="00947B4D">
        <w:t xml:space="preserve">, pursuant to </w:t>
      </w:r>
      <w:r>
        <w:t>s</w:t>
      </w:r>
      <w:r w:rsidRPr="00947B4D">
        <w:t xml:space="preserve">ection 1.80 of the Commission’s </w:t>
      </w:r>
      <w:r>
        <w:t>r</w:t>
      </w:r>
      <w:r w:rsidRPr="00947B4D">
        <w:t>ules,</w:t>
      </w:r>
      <w:r>
        <w:rPr>
          <w:rStyle w:val="FootnoteReference"/>
        </w:rPr>
        <w:footnoteReference w:id="38"/>
      </w:r>
      <w:r w:rsidRPr="00947B4D">
        <w:t xml:space="preserve"> that, within thirty (30) days of the release date of this </w:t>
      </w:r>
      <w:r w:rsidRPr="00947B4D">
        <w:rPr>
          <w:i/>
        </w:rPr>
        <w:t>NAL</w:t>
      </w:r>
      <w:r>
        <w:rPr>
          <w:i/>
        </w:rPr>
        <w:t xml:space="preserve">, </w:t>
      </w:r>
      <w:r>
        <w:rPr>
          <w:iCs/>
        </w:rPr>
        <w:t>Estrella Television License, LLC</w:t>
      </w:r>
      <w:r w:rsidRPr="007255EB">
        <w:rPr>
          <w:iCs/>
        </w:rPr>
        <w:t xml:space="preserve">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4125F9" w:rsidRPr="00BE3744" w:rsidP="004125F9" w14:paraId="4CA630AB" w14:textId="77777777">
      <w:pPr>
        <w:pStyle w:val="ParaNum"/>
        <w:widowControl/>
      </w:pPr>
      <w:r w:rsidRPr="00514C8E">
        <w:t xml:space="preserve">Payment of the </w:t>
      </w:r>
      <w:r>
        <w:t>forfeiture</w:t>
      </w:r>
      <w:r w:rsidRPr="00514C8E">
        <w:t xml:space="preserve"> must be made by credit card, ACH (Automated Clearing House) debit from a bank account using </w:t>
      </w:r>
      <w:r>
        <w:t>CORES</w:t>
      </w:r>
      <w:r w:rsidRPr="00514C8E">
        <w:t xml:space="preserve"> (the Commission’s online payment system),</w:t>
      </w:r>
      <w:r>
        <w:rPr>
          <w:rStyle w:val="FootnoteReference"/>
          <w:szCs w:val="22"/>
        </w:rPr>
        <w:footnoteReference w:id="39"/>
      </w:r>
      <w:r w:rsidRPr="00514C8E">
        <w:t xml:space="preserve"> or by wire transfer.  </w:t>
      </w:r>
      <w:r>
        <w:t>P</w:t>
      </w:r>
      <w:r w:rsidRPr="00514C8E">
        <w:t>ayments by check or money order</w:t>
      </w:r>
      <w:r>
        <w:t xml:space="preserve"> to pay a forfeiture are no longer accepted</w:t>
      </w:r>
      <w:r w:rsidRPr="00514C8E">
        <w:t xml:space="preserve">.  </w:t>
      </w:r>
      <w:r w:rsidRPr="00E67748">
        <w:t xml:space="preserve">Notification that payment has been made must be sent on the day of payment to </w:t>
      </w:r>
      <w:hyperlink r:id="rId5" w:history="1">
        <w:r w:rsidRPr="00667F1B">
          <w:rPr>
            <w:rStyle w:val="Hyperlink"/>
          </w:rPr>
          <w:t>Shaun.Maher@fcc.gov</w:t>
        </w:r>
      </w:hyperlink>
      <w:r w:rsidRPr="00E67748">
        <w:t xml:space="preserve">.  </w:t>
      </w:r>
      <w:r w:rsidRPr="00514C8E">
        <w:t>Below are instructions that payors should follow based on the form of payment selected:</w:t>
      </w:r>
      <w:r>
        <w:rPr>
          <w:rStyle w:val="FootnoteReference"/>
          <w:szCs w:val="22"/>
        </w:rPr>
        <w:footnoteReference w:id="40"/>
      </w:r>
      <w:r w:rsidRPr="00514C8E">
        <w:t xml:space="preserve"> </w:t>
      </w:r>
    </w:p>
    <w:p w:rsidR="004125F9" w:rsidRPr="00514C8E" w:rsidP="004125F9" w14:paraId="1EA5E22C" w14:textId="77777777">
      <w:pPr>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41"/>
      </w:r>
      <w:r w:rsidRPr="00514C8E">
        <w:rPr>
          <w:szCs w:val="22"/>
        </w:rPr>
        <w:t xml:space="preserve">  For additional detail and wire transfer instructions, go to </w:t>
      </w:r>
      <w:hyperlink r:id="rId7" w:history="1">
        <w:r w:rsidRPr="00514C8E">
          <w:rPr>
            <w:rStyle w:val="Hyperlink"/>
            <w:szCs w:val="22"/>
          </w:rPr>
          <w:t>https://www.fcc.gov/licensing-databases/fees/wire-transfer</w:t>
        </w:r>
      </w:hyperlink>
      <w:r w:rsidRPr="00514C8E">
        <w:rPr>
          <w:szCs w:val="22"/>
        </w:rPr>
        <w:t>.</w:t>
      </w:r>
    </w:p>
    <w:p w:rsidR="004125F9" w:rsidRPr="00D9623F" w:rsidP="004125F9" w14:paraId="5CE2617D" w14:textId="77777777">
      <w:pPr>
        <w:pStyle w:val="ParaNum"/>
        <w:numPr>
          <w:ilvl w:val="0"/>
          <w:numId w:val="7"/>
        </w:numPr>
      </w:pPr>
      <w:r w:rsidRPr="00591AAC">
        <w:rPr>
          <w:szCs w:val="22"/>
        </w:rPr>
        <w:t xml:space="preserve">Payment by credit card must be made by using the Commission’s Registration System (CORES) at </w:t>
      </w:r>
      <w:hyperlink r:id="rId8"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4125F9" w:rsidRPr="00D9623F" w:rsidP="004125F9" w14:paraId="73C2D864" w14:textId="77777777">
      <w:pPr>
        <w:pStyle w:val="ParaNum"/>
        <w:numPr>
          <w:ilvl w:val="0"/>
          <w:numId w:val="9"/>
        </w:numPr>
        <w:ind w:left="1080"/>
      </w:pPr>
      <w:r w:rsidRPr="00021174">
        <w:rPr>
          <w:szCs w:val="22"/>
        </w:rPr>
        <w:t xml:space="preserve">Payment by ACH must be made by using the Commission’s Registration System (CORES) at </w:t>
      </w:r>
      <w:hyperlink r:id="rId9"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4125F9" w:rsidRPr="00146D8A" w:rsidP="004125F9" w14:paraId="7F52CC28" w14:textId="79C207C8">
      <w:pPr>
        <w:pStyle w:val="ParaNum"/>
      </w:pPr>
      <w:r w:rsidRPr="00264220">
        <w:t xml:space="preserve">Any request for making full payment over time under an installment plan should be sent to:  </w:t>
      </w:r>
      <w:r>
        <w:t>Associate Managing Director</w:t>
      </w:r>
      <w:r w:rsidRPr="00264220">
        <w:t xml:space="preserve">—Financial Operations, Federal Communications Commission, </w:t>
      </w:r>
      <w:r>
        <w:t>45</w:t>
      </w:r>
      <w:r w:rsidRPr="00264220">
        <w:t xml:space="preserve"> </w:t>
      </w:r>
      <w:r>
        <w:t>L</w:t>
      </w:r>
      <w:r w:rsidRPr="00264220">
        <w:t xml:space="preserve"> Street, </w:t>
      </w:r>
      <w:r>
        <w:t>N.E.</w:t>
      </w:r>
      <w:r w:rsidRPr="00264220">
        <w:t>, Washington, DC 20554.</w:t>
      </w:r>
      <w:r>
        <w:rPr>
          <w:vertAlign w:val="superscript"/>
        </w:rPr>
        <w:footnoteReference w:id="42"/>
      </w:r>
      <w:r w:rsidRPr="00264220">
        <w:t xml:space="preserve">  Questions regarding payment procedures should be directed to the Financial Operations Group Help Desk by phone, 1-877-480-3201</w:t>
      </w:r>
      <w:r>
        <w:t xml:space="preserve"> (option #6)</w:t>
      </w:r>
      <w:r w:rsidRPr="00264220">
        <w:t>, or by e-mail</w:t>
      </w:r>
      <w:r>
        <w:t xml:space="preserve"> at</w:t>
      </w:r>
      <w:r w:rsidRPr="00264220">
        <w:t xml:space="preserve"> </w:t>
      </w:r>
      <w:hyperlink r:id="rId10" w:history="1">
        <w:r w:rsidRPr="00264220">
          <w:rPr>
            <w:rStyle w:val="Hyperlink"/>
          </w:rPr>
          <w:t>ARINQUIRIES@fcc.gov</w:t>
        </w:r>
      </w:hyperlink>
      <w:r w:rsidRPr="00264220">
        <w:t>.</w:t>
      </w:r>
    </w:p>
    <w:p w:rsidR="004125F9" w:rsidP="004125F9" w14:paraId="266F077B" w14:textId="77777777">
      <w:pPr>
        <w:pStyle w:val="ParaNum"/>
      </w:pPr>
      <w:r w:rsidRPr="00EF5DBB">
        <w:t>Any written response seeking reduction or cancellation of the proposed forfeiture must include a detailed factual statement supported by appropriate documentation and affidavits pursuant to sections 1.16 and 1.80(g)(3) of the Commission’s rules.</w:t>
      </w:r>
      <w:r>
        <w:rPr>
          <w:rStyle w:val="FootnoteReference"/>
          <w:szCs w:val="22"/>
        </w:rPr>
        <w:footnoteReference w:id="43"/>
      </w:r>
      <w:r w:rsidRPr="00EF5DBB">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Shaun Maher, Attorney</w:t>
      </w:r>
      <w:r w:rsidRPr="00947B4D">
        <w:t xml:space="preserve">, </w:t>
      </w:r>
      <w:r>
        <w:t>Video</w:t>
      </w:r>
      <w:r w:rsidRPr="00947B4D">
        <w:t xml:space="preserve"> Division, Media Bureau, and </w:t>
      </w:r>
      <w:r w:rsidRPr="00EF5DBB">
        <w:rPr>
          <w:b/>
        </w:rPr>
        <w:t>MUST INCLUDE</w:t>
      </w:r>
      <w:r w:rsidRPr="00947B4D">
        <w:t xml:space="preserve"> the NAL/Acct. No. referenced above.</w:t>
      </w:r>
      <w:r>
        <w:t xml:space="preserve">  </w:t>
      </w:r>
      <w:r w:rsidRPr="00EF5DBB">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44"/>
      </w:r>
      <w:r>
        <w:t xml:space="preserve"> </w:t>
      </w:r>
      <w:r w:rsidRPr="00514C8E">
        <w:t xml:space="preserve">A courtesy copy </w:t>
      </w:r>
      <w:r>
        <w:t xml:space="preserve">should also be </w:t>
      </w:r>
      <w:r w:rsidRPr="00514C8E">
        <w:t xml:space="preserve">emailed to </w:t>
      </w:r>
      <w:hyperlink r:id="rId5" w:history="1">
        <w:r w:rsidRPr="007E5877">
          <w:rPr>
            <w:rStyle w:val="Hyperlink"/>
            <w:szCs w:val="22"/>
          </w:rPr>
          <w:t>Shaun.Maher@fcc.gov</w:t>
        </w:r>
      </w:hyperlink>
      <w:r w:rsidRPr="00514C8E">
        <w:t xml:space="preserve"> </w:t>
      </w:r>
      <w:r>
        <w:t>to</w:t>
      </w:r>
      <w:r w:rsidRPr="00514C8E">
        <w:t xml:space="preserve"> assist in processing the response.</w:t>
      </w:r>
    </w:p>
    <w:p w:rsidR="004125F9" w:rsidRPr="00C6145C" w:rsidP="004125F9" w14:paraId="0C7EB15C" w14:textId="77777777">
      <w:pPr>
        <w:pStyle w:val="ParaNum"/>
        <w:numPr>
          <w:ilvl w:val="0"/>
          <w:numId w:val="8"/>
        </w:numPr>
      </w:pPr>
      <w:r w:rsidRPr="00C6145C">
        <w:t xml:space="preserve">Commercial overnight mail (other than U.S. Postal Service Express Mail and Priority Mail) must be sent to 9050 Junction Drive, Annapolis Junction, MD 20701. </w:t>
      </w:r>
    </w:p>
    <w:p w:rsidR="004125F9" w:rsidP="004125F9" w14:paraId="7366C852" w14:textId="6D7DBBE7">
      <w:pPr>
        <w:pStyle w:val="ParaNum"/>
        <w:numPr>
          <w:ilvl w:val="0"/>
          <w:numId w:val="8"/>
        </w:numPr>
      </w:pPr>
      <w:r w:rsidRPr="00C6145C">
        <w:t>Postal Service first-class, Express, and Priority mail must be addressed to 45 L Street, NE, Washington, DC 20554.</w:t>
      </w:r>
    </w:p>
    <w:p w:rsidR="00E41AF8" w:rsidP="003028CD" w14:paraId="0B9E7958" w14:textId="2433FBAF">
      <w:pPr>
        <w:pStyle w:val="ListParagraph"/>
        <w:numPr>
          <w:ilvl w:val="0"/>
          <w:numId w:val="8"/>
        </w:numPr>
        <w:spacing w:after="120"/>
      </w:pPr>
      <w:r w:rsidRPr="00E41AF8">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p>
    <w:p w:rsidR="004125F9" w:rsidP="004125F9" w14:paraId="491FF0F1" w14:textId="77777777">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t xml:space="preserve"> </w:t>
      </w:r>
      <w:r w:rsidRPr="00947B4D">
        <w:t xml:space="preserve"> </w:t>
      </w:r>
      <w:r w:rsidRPr="005F7F74">
        <w:t xml:space="preserve">Inability to pay, however, is only one of several factors that the Commission will consider in determining the appropriate forfeiture, and we have discretion to not reduce or cancel the forfeiture if other prongs of </w:t>
      </w:r>
      <w:r w:rsidRPr="00C6145C">
        <w:t xml:space="preserve">section § 503(b)(2)(E) of the Communications Act of 1934, as amended, </w:t>
      </w:r>
      <w:r w:rsidRPr="005F7F74">
        <w:t>support that result.</w:t>
      </w:r>
      <w:r>
        <w:rPr>
          <w:vertAlign w:val="superscript"/>
        </w:rPr>
        <w:footnoteReference w:id="45"/>
      </w:r>
    </w:p>
    <w:p w:rsidR="004125F9" w:rsidRPr="008D4F70" w:rsidP="003028CD" w14:paraId="696B30D4" w14:textId="77777777">
      <w:pPr>
        <w:pStyle w:val="ParaNum"/>
        <w:widowControl/>
      </w:pPr>
      <w:r w:rsidRPr="00451E6D">
        <w:rPr>
          <w:b/>
        </w:rPr>
        <w:t>IT IS FURTHER ORDERED</w:t>
      </w:r>
      <w:r w:rsidRPr="00947B4D">
        <w:t xml:space="preserve"> that </w:t>
      </w:r>
      <w:r>
        <w:t>copies</w:t>
      </w:r>
      <w:r w:rsidRPr="00947B4D">
        <w:t xml:space="preserve"> of this </w:t>
      </w:r>
      <w:r w:rsidRPr="00451E6D">
        <w:rPr>
          <w:i/>
        </w:rPr>
        <w:t>NAL</w:t>
      </w:r>
      <w:r>
        <w:t xml:space="preserve"> shall be sent</w:t>
      </w:r>
      <w:r w:rsidRPr="00947B4D">
        <w:t xml:space="preserve"> by First Class and Certified Mail, Return Receipt Requested, </w:t>
      </w:r>
      <w:r>
        <w:t xml:space="preserve">to Estrella Television License LLC, 1845 Empire Avenue, Burbank, California 91504 and to their counsel: Ari Meltzer, Esq., Wiley Rein LLP, 2050 M Street NW, Washington, DC 20036.  A courtesy copy will also be sent via electronic mail to </w:t>
      </w:r>
      <w:hyperlink r:id="rId11" w:history="1">
        <w:r w:rsidRPr="006A2B58">
          <w:rPr>
            <w:rStyle w:val="Hyperlink"/>
          </w:rPr>
          <w:t>bkei@EstrellaMedia.com</w:t>
        </w:r>
      </w:hyperlink>
      <w:r>
        <w:t xml:space="preserve"> and </w:t>
      </w:r>
      <w:hyperlink r:id="rId12" w:history="1">
        <w:r w:rsidRPr="001E6540">
          <w:rPr>
            <w:rStyle w:val="Hyperlink"/>
          </w:rPr>
          <w:t>ameltzer@wiley.law</w:t>
        </w:r>
      </w:hyperlink>
      <w:r>
        <w:t>.</w:t>
      </w:r>
    </w:p>
    <w:p w:rsidR="004125F9" w:rsidP="004125F9" w14:paraId="503D28B4" w14:textId="77777777">
      <w:r>
        <w:tab/>
      </w:r>
      <w:r>
        <w:tab/>
      </w:r>
      <w:r>
        <w:tab/>
      </w:r>
      <w:r>
        <w:tab/>
      </w:r>
      <w:r>
        <w:tab/>
      </w:r>
      <w:r>
        <w:tab/>
        <w:t>FEDERAL COMMUNICATIONS COMMISSION</w:t>
      </w:r>
    </w:p>
    <w:p w:rsidR="004125F9" w:rsidP="004125F9" w14:paraId="554F6C9D" w14:textId="77777777"/>
    <w:p w:rsidR="004125F9" w:rsidP="004125F9" w14:paraId="63069A1A" w14:textId="77777777">
      <w:r>
        <w:tab/>
      </w:r>
      <w:r>
        <w:tab/>
      </w:r>
      <w:r>
        <w:tab/>
      </w:r>
      <w:r>
        <w:tab/>
      </w:r>
      <w:r>
        <w:tab/>
      </w:r>
      <w:r>
        <w:tab/>
      </w:r>
    </w:p>
    <w:p w:rsidR="004125F9" w:rsidP="004125F9" w14:paraId="0F52B3D6" w14:textId="77777777"/>
    <w:p w:rsidR="004125F9" w:rsidP="004125F9" w14:paraId="72C9CACB" w14:textId="77777777">
      <w:r>
        <w:tab/>
      </w:r>
      <w:r>
        <w:tab/>
      </w:r>
      <w:r>
        <w:tab/>
      </w:r>
      <w:r>
        <w:tab/>
      </w:r>
      <w:r>
        <w:tab/>
      </w:r>
      <w:r>
        <w:tab/>
        <w:t>Barbara A. Kreisman</w:t>
      </w:r>
    </w:p>
    <w:p w:rsidR="004125F9" w:rsidP="004125F9" w14:paraId="4275B479" w14:textId="77777777">
      <w:r>
        <w:tab/>
      </w:r>
      <w:r>
        <w:tab/>
      </w:r>
      <w:r>
        <w:tab/>
      </w:r>
      <w:r>
        <w:tab/>
      </w:r>
      <w:r>
        <w:tab/>
      </w:r>
      <w:r>
        <w:tab/>
        <w:t>Chief, Video Division</w:t>
      </w:r>
    </w:p>
    <w:p w:rsidR="00412FC5" w:rsidP="004125F9" w14:paraId="6F2AE4B6" w14:textId="23B17480">
      <w:r>
        <w:tab/>
      </w:r>
      <w:r>
        <w:tab/>
      </w:r>
      <w:r>
        <w:tab/>
      </w:r>
      <w:r>
        <w:tab/>
      </w:r>
      <w:r>
        <w:tab/>
      </w:r>
      <w:r>
        <w:tab/>
        <w:t xml:space="preserve">Media Bureau </w:t>
      </w:r>
    </w:p>
    <w:sectPr w:rsidSect="0055614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FB235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B8680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125F9" w14:paraId="4667149D" w14:textId="777BCB3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D4443F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25F9" w14:paraId="3D721153" w14:textId="77777777">
      <w:r>
        <w:separator/>
      </w:r>
    </w:p>
  </w:footnote>
  <w:footnote w:type="continuationSeparator" w:id="1">
    <w:p w:rsidR="004125F9" w:rsidP="00C721AC" w14:paraId="5563A1D4" w14:textId="77777777">
      <w:pPr>
        <w:spacing w:before="120"/>
        <w:rPr>
          <w:sz w:val="20"/>
        </w:rPr>
      </w:pPr>
      <w:r>
        <w:rPr>
          <w:sz w:val="20"/>
        </w:rPr>
        <w:t xml:space="preserve">(Continued from previous page)  </w:t>
      </w:r>
      <w:r>
        <w:rPr>
          <w:sz w:val="20"/>
        </w:rPr>
        <w:separator/>
      </w:r>
    </w:p>
  </w:footnote>
  <w:footnote w:type="continuationNotice" w:id="2">
    <w:p w:rsidR="004125F9" w:rsidP="00C721AC" w14:paraId="52B0E96F" w14:textId="77777777">
      <w:pPr>
        <w:jc w:val="right"/>
        <w:rPr>
          <w:sz w:val="20"/>
        </w:rPr>
      </w:pPr>
      <w:r>
        <w:rPr>
          <w:sz w:val="20"/>
        </w:rPr>
        <w:t>(continued….)</w:t>
      </w:r>
    </w:p>
  </w:footnote>
  <w:footnote w:id="3">
    <w:p w:rsidR="004125F9" w:rsidRPr="000A4DEF" w:rsidP="004125F9" w14:paraId="7772F3AE" w14:textId="77777777">
      <w:pPr>
        <w:pStyle w:val="FootnoteText"/>
        <w:widowControl w:val="0"/>
      </w:pPr>
      <w:r w:rsidRPr="000A4DEF">
        <w:rPr>
          <w:rStyle w:val="FootnoteReference"/>
        </w:rPr>
        <w:footnoteRef/>
      </w:r>
      <w:r w:rsidRPr="000A4DEF">
        <w:t xml:space="preserve"> This </w:t>
      </w:r>
      <w:r w:rsidRPr="000A4DEF">
        <w:rPr>
          <w:i/>
        </w:rPr>
        <w:t xml:space="preserve">NAL </w:t>
      </w:r>
      <w:r w:rsidRPr="000A4DEF">
        <w:t xml:space="preserve">is issued pursuant to sections 309(k) and 503(b) of the Communications Act of 1934, as amended (Act), and section 1.80 of the Commission’s rules (Rules).  </w:t>
      </w:r>
      <w:r w:rsidRPr="000A4DEF">
        <w:rPr>
          <w:i/>
        </w:rPr>
        <w:t>See</w:t>
      </w:r>
      <w:r w:rsidRPr="000A4DEF">
        <w:t xml:space="preserve"> 47 U.S.C. §§ 309(k), 503(b); 47 CFR § 1.80.  The Bureau has delegated authority to issue the </w:t>
      </w:r>
      <w:r w:rsidRPr="000A4DEF">
        <w:rPr>
          <w:i/>
          <w:iCs/>
        </w:rPr>
        <w:t>NAL</w:t>
      </w:r>
      <w:r w:rsidRPr="000A4DEF">
        <w:t xml:space="preserve"> under section 0.283 of the Rules.  </w:t>
      </w:r>
      <w:r w:rsidRPr="000A4DEF">
        <w:rPr>
          <w:i/>
        </w:rPr>
        <w:t>See</w:t>
      </w:r>
      <w:r w:rsidRPr="000A4DEF">
        <w:t xml:space="preserve"> 47 CFR § 0.283.</w:t>
      </w:r>
    </w:p>
  </w:footnote>
  <w:footnote w:id="4">
    <w:p w:rsidR="004125F9" w:rsidRPr="000A4DEF" w:rsidP="004125F9" w14:paraId="0FFB5C37" w14:textId="77777777">
      <w:pPr>
        <w:shd w:val="clear" w:color="auto" w:fill="FFFFFF"/>
        <w:tabs>
          <w:tab w:val="left" w:pos="125"/>
        </w:tabs>
        <w:spacing w:after="120"/>
        <w:ind w:left="14"/>
        <w:rPr>
          <w:sz w:val="20"/>
        </w:rPr>
      </w:pPr>
      <w:r w:rsidRPr="000A4DEF">
        <w:rPr>
          <w:rStyle w:val="FootnoteReference"/>
        </w:rPr>
        <w:footnoteRef/>
      </w:r>
      <w:r w:rsidRPr="000A4DEF">
        <w:rPr>
          <w:sz w:val="20"/>
        </w:rPr>
        <w:t xml:space="preserve"> </w:t>
      </w:r>
      <w:r w:rsidRPr="000A4DEF">
        <w:rPr>
          <w:i/>
          <w:iCs/>
          <w:sz w:val="20"/>
        </w:rPr>
        <w:t xml:space="preserve">See </w:t>
      </w:r>
      <w:r w:rsidRPr="000A4DEF">
        <w:rPr>
          <w:sz w:val="20"/>
        </w:rPr>
        <w:t>47 CFR § 74.788</w:t>
      </w:r>
      <w:r>
        <w:rPr>
          <w:sz w:val="20"/>
        </w:rPr>
        <w:t xml:space="preserve"> (2022)</w:t>
      </w:r>
      <w:r w:rsidRPr="000A4DEF">
        <w:rPr>
          <w:sz w:val="20"/>
        </w:rPr>
        <w:t>.</w:t>
      </w:r>
      <w:r>
        <w:rPr>
          <w:sz w:val="20"/>
        </w:rPr>
        <w:t xml:space="preserve">  Effective October 24, 2022, 47 CFR § 74.788 of the Commission’s rules was eliminated and found by the commission to be duplicative with 47 CFR § 73.3598 of the Rules</w:t>
      </w:r>
      <w:r w:rsidRPr="00796EDF">
        <w:rPr>
          <w:sz w:val="20"/>
        </w:rPr>
        <w:t xml:space="preserve">. </w:t>
      </w:r>
      <w:r>
        <w:rPr>
          <w:sz w:val="20"/>
        </w:rPr>
        <w:t xml:space="preserve"> </w:t>
      </w:r>
      <w:r w:rsidRPr="00796EDF">
        <w:rPr>
          <w:i/>
          <w:iCs/>
          <w:sz w:val="20"/>
        </w:rPr>
        <w:t>See</w:t>
      </w:r>
      <w:r w:rsidRPr="00796EDF">
        <w:rPr>
          <w:sz w:val="20"/>
        </w:rPr>
        <w:t xml:space="preserve"> </w:t>
      </w:r>
      <w:r w:rsidRPr="00865B9B">
        <w:rPr>
          <w:sz w:val="20"/>
        </w:rPr>
        <w:t>87 FR 58200, Oct. 24, 2022</w:t>
      </w:r>
      <w:r>
        <w:t xml:space="preserve">; </w:t>
      </w:r>
      <w:r w:rsidRPr="00796EDF">
        <w:rPr>
          <w:i/>
          <w:iCs/>
          <w:color w:val="000000"/>
          <w:sz w:val="20"/>
          <w:bdr w:val="none" w:sz="0" w:space="0" w:color="auto" w:frame="1"/>
        </w:rPr>
        <w:t>In the Matter of Amend. Of Parts 73 and 74 of the Commission</w:t>
      </w:r>
      <w:r>
        <w:rPr>
          <w:i/>
          <w:iCs/>
          <w:color w:val="000000"/>
          <w:sz w:val="20"/>
          <w:bdr w:val="none" w:sz="0" w:space="0" w:color="auto" w:frame="1"/>
        </w:rPr>
        <w:t>’</w:t>
      </w:r>
      <w:r w:rsidRPr="00796EDF">
        <w:rPr>
          <w:i/>
          <w:iCs/>
          <w:color w:val="000000"/>
          <w:sz w:val="20"/>
          <w:bdr w:val="none" w:sz="0" w:space="0" w:color="auto" w:frame="1"/>
        </w:rPr>
        <w:t xml:space="preserve">s Rules to Establish Rules for Digital Low Power Television and Television Translator Stations, Update of Parts 74 </w:t>
      </w:r>
      <w:r w:rsidRPr="00796EDF">
        <w:rPr>
          <w:i/>
          <w:iCs/>
          <w:sz w:val="20"/>
        </w:rPr>
        <w:t>of the Commission’s Rules Related to Low Power Television and Television Translator Stations</w:t>
      </w:r>
      <w:r w:rsidRPr="00796EDF">
        <w:rPr>
          <w:color w:val="000000"/>
          <w:sz w:val="20"/>
          <w:bdr w:val="none" w:sz="0" w:space="0" w:color="auto" w:frame="1"/>
        </w:rPr>
        <w:t>, FCC 22-58 (July 13, 2022)</w:t>
      </w:r>
      <w:r>
        <w:rPr>
          <w:sz w:val="20"/>
        </w:rPr>
        <w:t>; 47 CFR § 74.780 (</w:t>
      </w:r>
      <w:r>
        <w:rPr>
          <w:sz w:val="20"/>
        </w:rPr>
        <w:t>bbb</w:t>
      </w:r>
      <w:r>
        <w:rPr>
          <w:sz w:val="20"/>
        </w:rPr>
        <w:t>) (making 47 CFR § 73.3598 applicable to all TV translator and LPTV stations).  At the time the violation at issue occurred, 47 CFR § 74.788 was in effect, however, to the extent necessary we also find that the Licensee violated 47 CFR § 73.3598.</w:t>
      </w:r>
    </w:p>
  </w:footnote>
  <w:footnote w:id="5">
    <w:p w:rsidR="004125F9" w:rsidRPr="000A4DEF" w:rsidP="004125F9" w14:paraId="390D6327" w14:textId="77777777">
      <w:pPr>
        <w:shd w:val="clear" w:color="auto" w:fill="FFFFFF"/>
        <w:tabs>
          <w:tab w:val="left" w:pos="125"/>
        </w:tabs>
        <w:spacing w:after="120"/>
        <w:ind w:left="14"/>
        <w:rPr>
          <w:sz w:val="20"/>
        </w:rPr>
      </w:pPr>
      <w:r w:rsidRPr="000A4DEF">
        <w:rPr>
          <w:rStyle w:val="FootnoteReference"/>
        </w:rPr>
        <w:footnoteRef/>
      </w:r>
      <w:r w:rsidRPr="000A4DEF">
        <w:rPr>
          <w:sz w:val="20"/>
        </w:rPr>
        <w:t xml:space="preserve"> </w:t>
      </w:r>
      <w:r w:rsidRPr="000A4DEF">
        <w:rPr>
          <w:i/>
          <w:sz w:val="20"/>
        </w:rPr>
        <w:t>See</w:t>
      </w:r>
      <w:r w:rsidRPr="000A4DEF">
        <w:rPr>
          <w:sz w:val="20"/>
        </w:rPr>
        <w:t xml:space="preserve"> 47 </w:t>
      </w:r>
      <w:r>
        <w:rPr>
          <w:sz w:val="20"/>
        </w:rPr>
        <w:t xml:space="preserve">CFR § 73.1745 and </w:t>
      </w:r>
      <w:r w:rsidRPr="000A4DEF">
        <w:rPr>
          <w:sz w:val="20"/>
        </w:rPr>
        <w:t>47 U.S.C. § 301.</w:t>
      </w:r>
    </w:p>
  </w:footnote>
  <w:footnote w:id="6">
    <w:p w:rsidR="004125F9" w:rsidP="004125F9" w14:paraId="51A19959" w14:textId="77777777">
      <w:pPr>
        <w:pStyle w:val="FootnoteText"/>
        <w:widowControl w:val="0"/>
      </w:pPr>
      <w:r>
        <w:rPr>
          <w:rStyle w:val="FootnoteReference"/>
        </w:rPr>
        <w:footnoteRef/>
      </w:r>
      <w:r>
        <w:t xml:space="preserve"> </w:t>
      </w:r>
      <w:r w:rsidRPr="0014171C">
        <w:rPr>
          <w:i/>
          <w:iCs/>
        </w:rPr>
        <w:t>See Expanding the Economic and Innovation Opportunities of Spectrum Through Incentive Auctions, Report and Order</w:t>
      </w:r>
      <w:r w:rsidRPr="0014171C">
        <w:t xml:space="preserve">, GN Docket No. 12-268 et al., 29 FCC </w:t>
      </w:r>
      <w:r w:rsidRPr="0014171C">
        <w:t>Rcd</w:t>
      </w:r>
      <w:r w:rsidRPr="0014171C">
        <w:t xml:space="preserve"> 6567, 68</w:t>
      </w:r>
      <w:r>
        <w:t>41</w:t>
      </w:r>
      <w:r w:rsidRPr="0014171C">
        <w:t xml:space="preserve">, para. </w:t>
      </w:r>
      <w:r>
        <w:t>672</w:t>
      </w:r>
      <w:r w:rsidRPr="0014171C">
        <w:t xml:space="preserve"> (2014)</w:t>
      </w:r>
      <w:r>
        <w:t xml:space="preserve">.  Although Estrella states that the Station continued operating on channel 45 until December 17, 2020, </w:t>
      </w:r>
      <w:r w:rsidRPr="007D05C6">
        <w:t xml:space="preserve">unauthorized operation of a station does not prevent the automatic cancellation of a license under section 312(g). </w:t>
      </w:r>
      <w:r>
        <w:t xml:space="preserve"> </w:t>
      </w:r>
      <w:r w:rsidRPr="007D05C6">
        <w:rPr>
          <w:i/>
          <w:iCs/>
        </w:rPr>
        <w:t>See, e.g. Kingdom of God, Inc</w:t>
      </w:r>
      <w:r w:rsidRPr="007D05C6">
        <w:t xml:space="preserve">., Memorandum Opinion and Order, 32 FCC </w:t>
      </w:r>
      <w:r w:rsidRPr="007D05C6">
        <w:t>Rcd</w:t>
      </w:r>
      <w:r w:rsidRPr="007D05C6">
        <w:t xml:space="preserve"> 3654 (2017); </w:t>
      </w:r>
      <w:r w:rsidRPr="007D05C6">
        <w:rPr>
          <w:i/>
          <w:iCs/>
        </w:rPr>
        <w:t>Eagle Broad. Group, Ltd</w:t>
      </w:r>
      <w:r w:rsidRPr="007D05C6">
        <w:t xml:space="preserve">., Memorandum Opinion and Order, 23 FCC </w:t>
      </w:r>
      <w:r w:rsidRPr="007D05C6">
        <w:t>Rcd</w:t>
      </w:r>
      <w:r w:rsidRPr="007D05C6">
        <w:t xml:space="preserve"> 588, 592, para. 9 (2008), </w:t>
      </w:r>
      <w:r w:rsidRPr="007D05C6">
        <w:rPr>
          <w:i/>
          <w:iCs/>
        </w:rPr>
        <w:t>aff’d sub nom. Eagle Broad. Group, Ltd. v. FCC</w:t>
      </w:r>
      <w:r w:rsidRPr="007D05C6">
        <w:t>, 563 F.3d 543, 553 (D.C. Cir. 2009) (unauthorized, unlicensed broadcasts cannot constitute transmission of broadcast signals to avoid termination under Section 312(g)).</w:t>
      </w:r>
    </w:p>
  </w:footnote>
  <w:footnote w:id="7">
    <w:p w:rsidR="004125F9" w:rsidP="004125F9" w14:paraId="3F84BE6E" w14:textId="77777777">
      <w:pPr>
        <w:autoSpaceDE w:val="0"/>
        <w:autoSpaceDN w:val="0"/>
        <w:adjustRightInd w:val="0"/>
        <w:spacing w:after="120"/>
        <w:rPr>
          <w:rFonts w:ascii="TimesNewRomanPSMT" w:hAnsi="TimesNewRomanPSMT" w:cs="TimesNewRomanPSMT"/>
        </w:rPr>
      </w:pPr>
      <w:r>
        <w:rPr>
          <w:rStyle w:val="FootnoteReference"/>
        </w:rPr>
        <w:footnoteRef/>
      </w:r>
      <w:r>
        <w:t xml:space="preserve"> </w:t>
      </w:r>
      <w:r w:rsidRPr="001C43CC">
        <w:rPr>
          <w:i/>
          <w:sz w:val="20"/>
        </w:rPr>
        <w:t>See</w:t>
      </w:r>
      <w:r w:rsidRPr="001C43CC">
        <w:rPr>
          <w:sz w:val="20"/>
        </w:rPr>
        <w:t xml:space="preserve"> LMS File No. 000053957.</w:t>
      </w:r>
    </w:p>
  </w:footnote>
  <w:footnote w:id="8">
    <w:p w:rsidR="004125F9" w:rsidP="004125F9" w14:paraId="6DB79E42" w14:textId="109927D1">
      <w:pPr>
        <w:pStyle w:val="FootnoteText"/>
        <w:widowControl w:val="0"/>
      </w:pPr>
      <w:r>
        <w:rPr>
          <w:rStyle w:val="FootnoteReference"/>
        </w:rPr>
        <w:footnoteRef/>
      </w:r>
      <w:r>
        <w:t xml:space="preserve"> </w:t>
      </w:r>
      <w:r w:rsidRPr="001C43CC">
        <w:rPr>
          <w:i/>
          <w:iCs/>
        </w:rPr>
        <w:t>See</w:t>
      </w:r>
      <w:r>
        <w:t xml:space="preserve"> Estrella’s Request for Silent STA Nunc Pro </w:t>
      </w:r>
      <w:r>
        <w:t>Tunc</w:t>
      </w:r>
      <w:r>
        <w:t xml:space="preserve">, Waiver of Section 312(g) and Reinstatement of Displacement CP (Request) a copy of which is available at LMS File No. </w:t>
      </w:r>
      <w:r w:rsidRPr="001C43CC">
        <w:t>0000203454</w:t>
      </w:r>
      <w:r>
        <w:t>.</w:t>
      </w:r>
    </w:p>
  </w:footnote>
  <w:footnote w:id="9">
    <w:p w:rsidR="00ED6B86" w14:paraId="5A495745" w14:textId="2CA5A0B1">
      <w:pPr>
        <w:pStyle w:val="FootnoteText"/>
      </w:pPr>
      <w:r>
        <w:rPr>
          <w:rStyle w:val="FootnoteReference"/>
        </w:rPr>
        <w:footnoteRef/>
      </w:r>
      <w:r>
        <w:t xml:space="preserve"> Request at 1.</w:t>
      </w:r>
    </w:p>
  </w:footnote>
  <w:footnote w:id="10">
    <w:p w:rsidR="00ED6B86" w14:paraId="74C71B91" w14:textId="65B24CE9">
      <w:pPr>
        <w:pStyle w:val="FootnoteText"/>
      </w:pPr>
      <w:r>
        <w:rPr>
          <w:rStyle w:val="FootnoteReference"/>
        </w:rPr>
        <w:footnoteRef/>
      </w:r>
      <w:r>
        <w:t xml:space="preserve"> </w:t>
      </w:r>
      <w:r w:rsidRPr="003028CD">
        <w:rPr>
          <w:i/>
          <w:iCs/>
        </w:rPr>
        <w:t>Id.</w:t>
      </w:r>
      <w:r>
        <w:t xml:space="preserve">  </w:t>
      </w:r>
    </w:p>
  </w:footnote>
  <w:footnote w:id="11">
    <w:p w:rsidR="00ED6B86" w14:paraId="4D5B65FD" w14:textId="3D1A2DFB">
      <w:pPr>
        <w:pStyle w:val="FootnoteText"/>
      </w:pPr>
      <w:r>
        <w:rPr>
          <w:rStyle w:val="FootnoteReference"/>
        </w:rPr>
        <w:footnoteRef/>
      </w:r>
      <w:r>
        <w:t xml:space="preserve"> </w:t>
      </w:r>
      <w:r w:rsidRPr="003028CD">
        <w:rPr>
          <w:i/>
          <w:iCs/>
        </w:rPr>
        <w:t>Id.</w:t>
      </w:r>
    </w:p>
  </w:footnote>
  <w:footnote w:id="12">
    <w:p w:rsidR="004125F9" w:rsidRPr="00421B29" w:rsidP="004125F9" w14:paraId="383F4336" w14:textId="75C9493F">
      <w:pPr>
        <w:pStyle w:val="FootnoteText"/>
        <w:widowControl w:val="0"/>
      </w:pPr>
      <w:r>
        <w:rPr>
          <w:rStyle w:val="FootnoteReference"/>
        </w:rPr>
        <w:footnoteRef/>
      </w:r>
      <w:r>
        <w:t xml:space="preserve"> </w:t>
      </w:r>
      <w:r>
        <w:rPr>
          <w:i/>
          <w:iCs/>
        </w:rPr>
        <w:t>See</w:t>
      </w:r>
      <w:r>
        <w:t xml:space="preserve"> Letter to Estrella Television License, LLC from Barbara A. Kreisman, Chief, Video Division (Nov. 18, 2022)(Division Letter) a copy of which is available at LMS File No. 0000203454</w:t>
      </w:r>
      <w:r w:rsidR="00E41AF8">
        <w:t xml:space="preserve"> (Reinstatement Letter)</w:t>
      </w:r>
      <w:r>
        <w:t>.</w:t>
      </w:r>
    </w:p>
  </w:footnote>
  <w:footnote w:id="13">
    <w:p w:rsidR="00A31B7A" w:rsidRPr="003028CD" w:rsidP="006F3DC1" w14:paraId="0084C1B9" w14:textId="3C76B6B4">
      <w:pPr>
        <w:pStyle w:val="FootnoteText"/>
      </w:pPr>
      <w:r>
        <w:rPr>
          <w:rStyle w:val="FootnoteReference"/>
        </w:rPr>
        <w:footnoteRef/>
      </w:r>
      <w:r>
        <w:t xml:space="preserve"> </w:t>
      </w:r>
      <w:r>
        <w:rPr>
          <w:i/>
          <w:iCs/>
        </w:rPr>
        <w:t>Id</w:t>
      </w:r>
      <w:r w:rsidRPr="006F3DC1">
        <w:t>. at 4.</w:t>
      </w:r>
      <w:r w:rsidR="006F3DC1">
        <w:t xml:space="preserve">  </w:t>
      </w:r>
    </w:p>
  </w:footnote>
  <w:footnote w:id="14">
    <w:p w:rsidR="00A31B7A" w:rsidRPr="00A31B7A" w14:paraId="426419B9" w14:textId="6B13A57A">
      <w:pPr>
        <w:pStyle w:val="FootnoteText"/>
      </w:pPr>
      <w:r>
        <w:rPr>
          <w:rStyle w:val="FootnoteReference"/>
        </w:rPr>
        <w:footnoteRef/>
      </w:r>
      <w:r>
        <w:t xml:space="preserve"> </w:t>
      </w:r>
      <w:r>
        <w:rPr>
          <w:i/>
          <w:iCs/>
        </w:rPr>
        <w:t>Id.</w:t>
      </w:r>
      <w:r>
        <w:t xml:space="preserve"> </w:t>
      </w:r>
      <w:r>
        <w:rPr>
          <w:i/>
          <w:iCs/>
        </w:rPr>
        <w:t xml:space="preserve">citing </w:t>
      </w:r>
      <w:r>
        <w:t xml:space="preserve"> 47 U.S.C. § 312(g).</w:t>
      </w:r>
    </w:p>
  </w:footnote>
  <w:footnote w:id="15">
    <w:p w:rsidR="00A31B7A" w:rsidRPr="00A31B7A" w14:paraId="00AEE627" w14:textId="65780699">
      <w:pPr>
        <w:pStyle w:val="FootnoteText"/>
      </w:pPr>
      <w:r>
        <w:rPr>
          <w:rStyle w:val="FootnoteReference"/>
        </w:rPr>
        <w:footnoteRef/>
      </w:r>
      <w:r>
        <w:t xml:space="preserve"> </w:t>
      </w:r>
      <w:r>
        <w:rPr>
          <w:i/>
          <w:iCs/>
        </w:rPr>
        <w:t>Id.</w:t>
      </w:r>
      <w:r>
        <w:t xml:space="preserve"> at 4.</w:t>
      </w:r>
    </w:p>
  </w:footnote>
  <w:footnote w:id="16">
    <w:p w:rsidR="004125F9" w:rsidRPr="00982B96" w:rsidP="004125F9" w14:paraId="6E02448F" w14:textId="77777777">
      <w:pPr>
        <w:pStyle w:val="FootnoteText"/>
        <w:widowControl w:val="0"/>
      </w:pPr>
      <w:r>
        <w:rPr>
          <w:rStyle w:val="FootnoteReference"/>
        </w:rPr>
        <w:footnoteRef/>
      </w:r>
      <w:r>
        <w:t xml:space="preserve"> </w:t>
      </w:r>
      <w:r>
        <w:rPr>
          <w:i/>
          <w:iCs/>
        </w:rPr>
        <w:t>Id.</w:t>
      </w:r>
      <w:r>
        <w:t xml:space="preserve">  </w:t>
      </w:r>
    </w:p>
  </w:footnote>
  <w:footnote w:id="17">
    <w:p w:rsidR="004125F9" w:rsidP="004125F9" w14:paraId="680D08E6" w14:textId="25FD8A11">
      <w:pPr>
        <w:pStyle w:val="FootnoteText"/>
        <w:widowControl w:val="0"/>
      </w:pPr>
      <w:r>
        <w:rPr>
          <w:rStyle w:val="FootnoteReference"/>
        </w:rPr>
        <w:footnoteRef/>
      </w:r>
      <w:r>
        <w:t xml:space="preserve"> </w:t>
      </w:r>
      <w:r w:rsidRPr="003028CD" w:rsidR="00ED6B86">
        <w:rPr>
          <w:i/>
          <w:iCs/>
        </w:rPr>
        <w:t>See</w:t>
      </w:r>
      <w:r w:rsidR="00ED6B86">
        <w:t xml:space="preserve"> </w:t>
      </w:r>
      <w:r>
        <w:t>Application</w:t>
      </w:r>
      <w:r w:rsidR="00ED6B86">
        <w:t>, Request for Waiver</w:t>
      </w:r>
      <w:r>
        <w:t xml:space="preserve"> at 1.</w:t>
      </w:r>
    </w:p>
  </w:footnote>
  <w:footnote w:id="18">
    <w:p w:rsidR="004125F9" w:rsidRPr="00982B96" w:rsidP="004125F9" w14:paraId="571B4F92" w14:textId="192175BB">
      <w:pPr>
        <w:pStyle w:val="FootnoteText"/>
        <w:widowControl w:val="0"/>
      </w:pPr>
      <w:r>
        <w:rPr>
          <w:rStyle w:val="FootnoteReference"/>
        </w:rPr>
        <w:footnoteRef/>
      </w:r>
      <w:r>
        <w:t xml:space="preserve"> </w:t>
      </w:r>
      <w:r>
        <w:rPr>
          <w:i/>
          <w:iCs/>
        </w:rPr>
        <w:t>Id.</w:t>
      </w:r>
      <w:r w:rsidR="00860220">
        <w:t xml:space="preserve"> at 1-2 and </w:t>
      </w:r>
      <w:r w:rsidRPr="00ED6B86" w:rsidR="00ED6B86">
        <w:t xml:space="preserve">Statement from </w:t>
      </w:r>
      <w:r w:rsidRPr="00ED6B86" w:rsidR="00ED6B86">
        <w:t>GatesAir</w:t>
      </w:r>
      <w:r w:rsidRPr="00ED6B86" w:rsidR="00ED6B86">
        <w:t xml:space="preserve"> (discussing issues related to its transmitter that prevented it from completing construction in July 2021).</w:t>
      </w:r>
      <w:r w:rsidR="00860220">
        <w:t xml:space="preserve">  </w:t>
      </w:r>
      <w:r w:rsidRPr="003028CD" w:rsidR="00860220">
        <w:rPr>
          <w:i/>
          <w:iCs/>
        </w:rPr>
        <w:t>See supra</w:t>
      </w:r>
      <w:r w:rsidR="00860220">
        <w:t xml:space="preserve"> para. 3 and note 10.</w:t>
      </w:r>
    </w:p>
  </w:footnote>
  <w:footnote w:id="19">
    <w:p w:rsidR="004125F9" w:rsidRPr="00982B96" w:rsidP="004125F9" w14:paraId="4DC88315" w14:textId="768E955D">
      <w:pPr>
        <w:pStyle w:val="FootnoteText"/>
        <w:widowControl w:val="0"/>
      </w:pPr>
      <w:r>
        <w:rPr>
          <w:rStyle w:val="FootnoteReference"/>
        </w:rPr>
        <w:footnoteRef/>
      </w:r>
      <w:r>
        <w:t xml:space="preserve"> </w:t>
      </w:r>
      <w:r w:rsidR="00860220">
        <w:t>Application, Request for Waiver at 1.</w:t>
      </w:r>
    </w:p>
  </w:footnote>
  <w:footnote w:id="20">
    <w:p w:rsidR="004125F9" w:rsidRPr="003028CD" w:rsidP="004125F9" w14:paraId="20599DD0" w14:textId="0438B801">
      <w:pPr>
        <w:pStyle w:val="FootnoteText"/>
        <w:widowControl w:val="0"/>
      </w:pPr>
      <w:r>
        <w:rPr>
          <w:rStyle w:val="FootnoteReference"/>
        </w:rPr>
        <w:footnoteRef/>
      </w:r>
      <w:r>
        <w:t xml:space="preserve"> </w:t>
      </w:r>
      <w:r>
        <w:rPr>
          <w:i/>
          <w:iCs/>
        </w:rPr>
        <w:t>Id.</w:t>
      </w:r>
      <w:r w:rsidR="00860220">
        <w:t xml:space="preserve">  On November 18, 2022, Estrella filed the instant application for license to cover, as instructed by the Division.</w:t>
      </w:r>
      <w:r w:rsidR="00E41AF8">
        <w:t xml:space="preserve">  Reinstatement Letter at 4.  </w:t>
      </w:r>
      <w:r w:rsidR="00860220">
        <w:t xml:space="preserve">As such we will consider all operations occurring after that date to have been conducted </w:t>
      </w:r>
      <w:r w:rsidR="00A46875">
        <w:t xml:space="preserve">following the filing of the license to cover to have been done </w:t>
      </w:r>
      <w:r w:rsidR="00860220">
        <w:t>pursuant to program test authority and therefore valid operations</w:t>
      </w:r>
      <w:r w:rsidR="00E41AF8">
        <w:t>,</w:t>
      </w:r>
      <w:r w:rsidR="00860220">
        <w:t xml:space="preserve"> subject to the outcome of the current proceeding.  </w:t>
      </w:r>
      <w:r w:rsidRPr="000E3DAA" w:rsidR="00A46875">
        <w:rPr>
          <w:i/>
          <w:iCs/>
        </w:rPr>
        <w:t>See</w:t>
      </w:r>
      <w:r w:rsidR="00A46875">
        <w:t xml:space="preserve"> 47 CFR</w:t>
      </w:r>
      <w:r w:rsidR="000E3DAA">
        <w:t xml:space="preserve"> §</w:t>
      </w:r>
      <w:r w:rsidR="00A46875">
        <w:t xml:space="preserve"> 74.</w:t>
      </w:r>
      <w:r w:rsidR="000E3DAA">
        <w:t>14.</w:t>
      </w:r>
    </w:p>
  </w:footnote>
  <w:footnote w:id="21">
    <w:p w:rsidR="004125F9" w:rsidP="004125F9" w14:paraId="2907FE98" w14:textId="77777777">
      <w:pPr>
        <w:pStyle w:val="FootnoteText"/>
        <w:widowControl w:val="0"/>
      </w:pPr>
      <w:r>
        <w:rPr>
          <w:rStyle w:val="FootnoteReference"/>
        </w:rPr>
        <w:footnoteRef/>
      </w:r>
      <w:r>
        <w:t xml:space="preserve"> </w:t>
      </w:r>
      <w:r w:rsidRPr="000A4DEF">
        <w:t>47 U.S.C. § 503(b)(</w:t>
      </w:r>
      <w:r>
        <w:t>1</w:t>
      </w:r>
      <w:r w:rsidRPr="000A4DEF">
        <w:t>)(</w:t>
      </w:r>
      <w:r>
        <w:t>B</w:t>
      </w:r>
      <w:r w:rsidRPr="000A4DEF">
        <w:t>)</w:t>
      </w:r>
      <w:r>
        <w:t>.</w:t>
      </w:r>
    </w:p>
  </w:footnote>
  <w:footnote w:id="22">
    <w:p w:rsidR="004125F9" w:rsidRPr="000A4DEF" w:rsidP="004125F9" w14:paraId="32BED261" w14:textId="77777777">
      <w:pPr>
        <w:pStyle w:val="FootnoteText"/>
        <w:widowControl w:val="0"/>
      </w:pPr>
      <w:r w:rsidRPr="000A4DEF">
        <w:rPr>
          <w:rStyle w:val="FootnoteReference"/>
        </w:rPr>
        <w:footnoteRef/>
      </w:r>
      <w:r w:rsidRPr="000A4DEF">
        <w:t xml:space="preserve"> </w:t>
      </w:r>
      <w:r w:rsidRPr="00CC3D76">
        <w:rPr>
          <w:i/>
          <w:iCs/>
        </w:rPr>
        <w:t>Id.</w:t>
      </w:r>
      <w:r w:rsidRPr="000A4DEF">
        <w:t xml:space="preserve">  </w:t>
      </w:r>
      <w:r w:rsidRPr="000A4DEF">
        <w:rPr>
          <w:i/>
        </w:rPr>
        <w:t>S</w:t>
      </w:r>
      <w:r w:rsidRPr="000A4DEF">
        <w:rPr>
          <w:i/>
          <w:iCs/>
        </w:rPr>
        <w:t>ee also</w:t>
      </w:r>
      <w:r w:rsidRPr="000A4DEF">
        <w:t xml:space="preserve"> 47 CFR § 1.80(a)(1).</w:t>
      </w:r>
    </w:p>
  </w:footnote>
  <w:footnote w:id="23">
    <w:p w:rsidR="004125F9" w:rsidRPr="000A4DEF" w:rsidP="004125F9" w14:paraId="5D999FD0" w14:textId="77777777">
      <w:pPr>
        <w:pStyle w:val="FootnoteText"/>
        <w:widowControl w:val="0"/>
      </w:pPr>
      <w:r w:rsidRPr="000A4DEF">
        <w:rPr>
          <w:rStyle w:val="FootnoteReference"/>
        </w:rPr>
        <w:footnoteRef/>
      </w:r>
      <w:r w:rsidRPr="000A4DEF">
        <w:t xml:space="preserve"> 47 U.S.C. § 312(f)(1).</w:t>
      </w:r>
    </w:p>
  </w:footnote>
  <w:footnote w:id="24">
    <w:p w:rsidR="004125F9" w:rsidRPr="000A4DEF" w:rsidP="004125F9" w14:paraId="6994E0D3" w14:textId="77777777">
      <w:pPr>
        <w:pStyle w:val="FootnoteText"/>
        <w:widowControl w:val="0"/>
      </w:pPr>
      <w:r w:rsidRPr="000A4DEF">
        <w:rPr>
          <w:rStyle w:val="FootnoteReference"/>
        </w:rPr>
        <w:footnoteRef/>
      </w:r>
      <w:r w:rsidRPr="000A4DEF">
        <w:rPr>
          <w:i/>
        </w:rPr>
        <w:t xml:space="preserve"> See</w:t>
      </w:r>
      <w:r w:rsidRPr="000A4DEF">
        <w:t xml:space="preserve"> H.R. Rep. No. 97-765, 97</w:t>
      </w:r>
      <w:r w:rsidRPr="000A4DEF">
        <w:rPr>
          <w:vertAlign w:val="superscript"/>
        </w:rPr>
        <w:t>th</w:t>
      </w:r>
      <w:r w:rsidRPr="000A4DEF">
        <w:t xml:space="preserve"> Cong. 2d Sess. 51 (1982).</w:t>
      </w:r>
    </w:p>
  </w:footnote>
  <w:footnote w:id="25">
    <w:p w:rsidR="004125F9" w:rsidRPr="000A4DEF" w:rsidP="004125F9" w14:paraId="0F81FEEF" w14:textId="77777777">
      <w:pPr>
        <w:pStyle w:val="FootnoteText"/>
        <w:widowControl w:val="0"/>
      </w:pPr>
      <w:r w:rsidRPr="000A4DEF">
        <w:rPr>
          <w:rStyle w:val="FootnoteReference"/>
        </w:rPr>
        <w:footnoteRef/>
      </w:r>
      <w:r w:rsidRPr="000A4DEF">
        <w:rPr>
          <w:i/>
          <w:iCs/>
        </w:rPr>
        <w:t xml:space="preserve"> See Southern California Broad. Co.</w:t>
      </w:r>
      <w:r w:rsidRPr="000A4DEF">
        <w:t xml:space="preserve">, Memorandum Opinion and Order, 6 FCC </w:t>
      </w:r>
      <w:r w:rsidRPr="000A4DEF">
        <w:t>Rcd</w:t>
      </w:r>
      <w:r w:rsidRPr="000A4DEF">
        <w:t xml:space="preserve"> 4387, 4388, para. 5 (1991), </w:t>
      </w:r>
      <w:r w:rsidRPr="000A4DEF">
        <w:rPr>
          <w:i/>
        </w:rPr>
        <w:t>recon. denied</w:t>
      </w:r>
      <w:r w:rsidRPr="000A4DEF">
        <w:t xml:space="preserve">, Memorandum Opinion and Order, 7 FCC </w:t>
      </w:r>
      <w:r w:rsidRPr="000A4DEF">
        <w:t>Rcd</w:t>
      </w:r>
      <w:r w:rsidRPr="000A4DEF">
        <w:t xml:space="preserve"> 3454 (1992).</w:t>
      </w:r>
    </w:p>
  </w:footnote>
  <w:footnote w:id="26">
    <w:p w:rsidR="004125F9" w:rsidRPr="000A4DEF" w:rsidP="004125F9" w14:paraId="091DC91B" w14:textId="77777777">
      <w:pPr>
        <w:pStyle w:val="Footer"/>
        <w:spacing w:after="120"/>
        <w:rPr>
          <w:sz w:val="20"/>
        </w:rPr>
      </w:pPr>
      <w:r w:rsidRPr="000A4DEF">
        <w:rPr>
          <w:rStyle w:val="FootnoteReference"/>
        </w:rPr>
        <w:footnoteRef/>
      </w:r>
      <w:r w:rsidRPr="000A4DEF">
        <w:rPr>
          <w:sz w:val="20"/>
        </w:rPr>
        <w:t xml:space="preserve"> 47 U.S.C. § 312(f)(2). </w:t>
      </w:r>
    </w:p>
  </w:footnote>
  <w:footnote w:id="27">
    <w:p w:rsidR="004125F9" w:rsidRPr="000A4DEF" w:rsidP="004125F9" w14:paraId="56B8BFB6" w14:textId="77777777">
      <w:pPr>
        <w:pStyle w:val="FootnoteText"/>
        <w:widowControl w:val="0"/>
      </w:pPr>
      <w:r w:rsidRPr="000A4DEF">
        <w:rPr>
          <w:rStyle w:val="FootnoteReference"/>
        </w:rPr>
        <w:footnoteRef/>
      </w:r>
      <w:r w:rsidRPr="000A4DEF">
        <w:t xml:space="preserve"> </w:t>
      </w:r>
      <w:r w:rsidRPr="000A4DEF">
        <w:rPr>
          <w:i/>
          <w:iCs/>
        </w:rPr>
        <w:t>See</w:t>
      </w:r>
      <w:r w:rsidRPr="000A4DEF">
        <w:t xml:space="preserve"> 47 CFR § 74.788</w:t>
      </w:r>
      <w:r>
        <w:t xml:space="preserve"> (2022)</w:t>
      </w:r>
      <w:r w:rsidRPr="000A4DEF">
        <w:t>.</w:t>
      </w:r>
      <w:r>
        <w:t xml:space="preserve">  </w:t>
      </w:r>
      <w:r w:rsidRPr="00982B96">
        <w:rPr>
          <w:i/>
          <w:iCs/>
        </w:rPr>
        <w:t>See supra</w:t>
      </w:r>
      <w:r>
        <w:t xml:space="preserve"> note 2.</w:t>
      </w:r>
    </w:p>
  </w:footnote>
  <w:footnote w:id="28">
    <w:p w:rsidR="004125F9" w:rsidP="004125F9" w14:paraId="089F9E15" w14:textId="529CDFD2">
      <w:pPr>
        <w:pStyle w:val="FootnoteText"/>
      </w:pPr>
      <w:r>
        <w:rPr>
          <w:rStyle w:val="FootnoteReference"/>
        </w:rPr>
        <w:footnoteRef/>
      </w:r>
      <w:r>
        <w:t xml:space="preserve"> 47 CFR § 73.1745 </w:t>
      </w:r>
      <w:bookmarkStart w:id="3" w:name="_Hlk124868605"/>
      <w:r>
        <w:t>(prohibiting unauthorized operation)</w:t>
      </w:r>
      <w:bookmarkEnd w:id="3"/>
      <w:r w:rsidR="00E02EE4">
        <w:t>.</w:t>
      </w:r>
    </w:p>
  </w:footnote>
  <w:footnote w:id="29">
    <w:p w:rsidR="004125F9" w:rsidP="004125F9" w14:paraId="6E8053DB" w14:textId="7EAF920E">
      <w:pPr>
        <w:pStyle w:val="FootnoteText"/>
        <w:widowControl w:val="0"/>
      </w:pPr>
      <w:r>
        <w:rPr>
          <w:rStyle w:val="FootnoteReference"/>
        </w:rPr>
        <w:footnoteRef/>
      </w:r>
      <w:r>
        <w:t xml:space="preserve"> </w:t>
      </w:r>
      <w:r w:rsidRPr="000A4DEF">
        <w:rPr>
          <w:i/>
        </w:rPr>
        <w:t>See</w:t>
      </w:r>
      <w:r w:rsidRPr="000A4DEF">
        <w:t xml:space="preserve"> 47 U.S.C. § 301</w:t>
      </w:r>
      <w:r>
        <w:t xml:space="preserve"> </w:t>
      </w:r>
      <w:bookmarkStart w:id="4" w:name="_Hlk124868596"/>
      <w:r>
        <w:t>(</w:t>
      </w:r>
      <w:r w:rsidR="00934BAA">
        <w:t xml:space="preserve">requiring </w:t>
      </w:r>
      <w:r>
        <w:t>a</w:t>
      </w:r>
      <w:r w:rsidR="00934BAA">
        <w:t>n authorization t</w:t>
      </w:r>
      <w:r>
        <w:t>o transmit a broadcast signal).</w:t>
      </w:r>
      <w:bookmarkEnd w:id="4"/>
    </w:p>
  </w:footnote>
  <w:footnote w:id="30">
    <w:p w:rsidR="004125F9" w:rsidRPr="000A4DEF" w:rsidP="004125F9" w14:paraId="4C1DFCA8" w14:textId="77777777">
      <w:pPr>
        <w:pStyle w:val="FootnoteText"/>
        <w:widowControl w:val="0"/>
      </w:pPr>
      <w:r w:rsidRPr="000A4DEF">
        <w:rPr>
          <w:rStyle w:val="FootnoteReference"/>
        </w:rPr>
        <w:footnoteRef/>
      </w:r>
      <w:r w:rsidRPr="000A4DEF">
        <w:t xml:space="preserve"> </w:t>
      </w:r>
      <w:r w:rsidRPr="000A4DEF">
        <w:rPr>
          <w:i/>
          <w:iCs/>
        </w:rPr>
        <w:t>Townsquare Media of El Paso, Inc., Notice of Apparent Liability for Forfeiture</w:t>
      </w:r>
      <w:r w:rsidRPr="000A4DEF">
        <w:t xml:space="preserve">, 35 FCC </w:t>
      </w:r>
      <w:r w:rsidRPr="000A4DEF">
        <w:t>Rcd</w:t>
      </w:r>
      <w:r w:rsidRPr="000A4DEF">
        <w:t xml:space="preserve"> 6661, 6665, para. 5 and n. 37 (EB 2020) (“It is immaterial whether . . . violations were inadvertent, the result of ignorance of the law, or the product of administrative oversight”).</w:t>
      </w:r>
    </w:p>
  </w:footnote>
  <w:footnote w:id="31">
    <w:p w:rsidR="004125F9" w:rsidRPr="00E63AD5" w:rsidP="004125F9" w14:paraId="35729BDD" w14:textId="77777777">
      <w:pPr>
        <w:pStyle w:val="FootnoteText"/>
        <w:widowControl w:val="0"/>
      </w:pPr>
      <w:r w:rsidRPr="000A4DEF">
        <w:rPr>
          <w:rStyle w:val="FootnoteReference"/>
        </w:rPr>
        <w:footnoteRef/>
      </w:r>
      <w:r w:rsidRPr="00E63AD5">
        <w:t xml:space="preserve"> </w:t>
      </w:r>
      <w:r w:rsidRPr="00E63AD5">
        <w:rPr>
          <w:i/>
        </w:rPr>
        <w:t>See Forfeiture Policy Statement and Amendment of Section 1.80(b) of the Rules to Incorporate the Forfeiture Guidelines</w:t>
      </w:r>
      <w:r w:rsidRPr="00E63AD5">
        <w:t>,</w:t>
      </w:r>
      <w:r w:rsidRPr="00E63AD5">
        <w:rPr>
          <w:i/>
        </w:rPr>
        <w:t xml:space="preserve"> </w:t>
      </w:r>
      <w:r w:rsidRPr="00E63AD5">
        <w:t xml:space="preserve">Report and Order, 12 FCC </w:t>
      </w:r>
      <w:r w:rsidRPr="00E63AD5">
        <w:t>Rcd</w:t>
      </w:r>
      <w:r w:rsidRPr="00E63AD5">
        <w:t xml:space="preserve"> 17087, 17113-15 (1997) (</w:t>
      </w:r>
      <w:r w:rsidRPr="00E63AD5">
        <w:rPr>
          <w:i/>
        </w:rPr>
        <w:t>Forfeiture Policy Statement</w:t>
      </w:r>
      <w:r w:rsidRPr="00E63AD5">
        <w:t xml:space="preserve">), </w:t>
      </w:r>
      <w:r w:rsidRPr="00E63AD5">
        <w:rPr>
          <w:i/>
        </w:rPr>
        <w:t>recon. denied</w:t>
      </w:r>
      <w:r w:rsidRPr="00E63AD5">
        <w:t xml:space="preserve">, Memorandum Opinion and Order, 15 FCC </w:t>
      </w:r>
      <w:r w:rsidRPr="00E63AD5">
        <w:t>Rcd</w:t>
      </w:r>
      <w:r w:rsidRPr="00E63AD5">
        <w:t xml:space="preserve"> 303 (1999); 47 CFR § 1.80(b)(10), note to paragraph (b)(10), Section I.</w:t>
      </w:r>
      <w:r>
        <w:t xml:space="preserve">  </w:t>
      </w:r>
      <w:r w:rsidRPr="000A4DEF">
        <w:rPr>
          <w:i/>
          <w:iCs/>
        </w:rPr>
        <w:t>See also Clear Channel</w:t>
      </w:r>
      <w:r w:rsidRPr="000A4DEF">
        <w:t xml:space="preserve">, 26 FCC </w:t>
      </w:r>
      <w:r w:rsidRPr="000A4DEF">
        <w:t>Rcd</w:t>
      </w:r>
      <w:r w:rsidRPr="000A4DEF">
        <w:t xml:space="preserve"> at 7157 (“</w:t>
      </w:r>
      <w:r w:rsidRPr="000A4DEF">
        <w:rPr>
          <w:shd w:val="clear" w:color="auto" w:fill="FFFFFF"/>
        </w:rPr>
        <w:t>We note that the staff may also issue Notices of Apparent Liability for ‘failure to file a required form’ as authorized by Section 503(b)(1)(B) of the Communications Act of 1934, as amended (the ‘Act’) and Section 1.80 of the Rules, for such violations of covering license application filing deadlines or take other enforcement action.”).</w:t>
      </w:r>
    </w:p>
  </w:footnote>
  <w:footnote w:id="32">
    <w:p w:rsidR="004125F9" w:rsidRPr="000A4DEF" w:rsidP="004125F9" w14:paraId="08D2372B" w14:textId="77777777">
      <w:pPr>
        <w:shd w:val="clear" w:color="auto" w:fill="FFFFFF"/>
        <w:spacing w:after="120"/>
        <w:rPr>
          <w:sz w:val="20"/>
        </w:rPr>
      </w:pPr>
      <w:r w:rsidRPr="000A4DEF">
        <w:rPr>
          <w:rStyle w:val="FootnoteReference"/>
        </w:rPr>
        <w:footnoteRef/>
      </w:r>
      <w:r w:rsidRPr="000A4DEF">
        <w:rPr>
          <w:sz w:val="20"/>
        </w:rPr>
        <w:t xml:space="preserve"> A broadcast station requires an authorization from the Commission to operate.  </w:t>
      </w:r>
      <w:r w:rsidRPr="000A4DEF">
        <w:rPr>
          <w:i/>
          <w:iCs/>
          <w:sz w:val="20"/>
        </w:rPr>
        <w:t>See</w:t>
      </w:r>
      <w:r w:rsidRPr="000A4DEF">
        <w:rPr>
          <w:sz w:val="20"/>
        </w:rPr>
        <w:t xml:space="preserve"> 47 U.S.C. § 301.</w:t>
      </w:r>
    </w:p>
  </w:footnote>
  <w:footnote w:id="33">
    <w:p w:rsidR="004125F9" w:rsidRPr="000A4DEF" w:rsidP="004125F9" w14:paraId="039B23D9" w14:textId="77777777">
      <w:pPr>
        <w:pStyle w:val="FootnoteText"/>
        <w:widowControl w:val="0"/>
      </w:pPr>
      <w:r w:rsidRPr="000A4DEF">
        <w:rPr>
          <w:rStyle w:val="FootnoteReference"/>
        </w:rPr>
        <w:footnoteRef/>
      </w:r>
      <w:r w:rsidRPr="000A4DEF">
        <w:t xml:space="preserve"> 47 U.S.C. § 503(b)(2)(E); </w:t>
      </w:r>
      <w:r w:rsidRPr="000A4DEF">
        <w:rPr>
          <w:i/>
        </w:rPr>
        <w:t>see also Forfeiture Policy Statement</w:t>
      </w:r>
      <w:r w:rsidRPr="000A4DEF">
        <w:t>,</w:t>
      </w:r>
      <w:r w:rsidRPr="000A4DEF">
        <w:rPr>
          <w:i/>
        </w:rPr>
        <w:t xml:space="preserve"> </w:t>
      </w:r>
      <w:r w:rsidRPr="000A4DEF">
        <w:t xml:space="preserve">12 FCC </w:t>
      </w:r>
      <w:r w:rsidRPr="000A4DEF">
        <w:t>Rcd</w:t>
      </w:r>
      <w:r w:rsidRPr="000A4DEF">
        <w:t xml:space="preserve"> at 17100; 47 CFR § 1.80(b)(</w:t>
      </w:r>
      <w:r>
        <w:t>10</w:t>
      </w:r>
      <w:r w:rsidRPr="000A4DEF">
        <w:t xml:space="preserve">). </w:t>
      </w:r>
    </w:p>
  </w:footnote>
  <w:footnote w:id="34">
    <w:p w:rsidR="004125F9" w:rsidRPr="000A4DEF" w:rsidP="004125F9" w14:paraId="71BAEA49" w14:textId="77777777">
      <w:pPr>
        <w:pStyle w:val="FootnoteText"/>
        <w:widowControl w:val="0"/>
      </w:pPr>
      <w:r w:rsidRPr="000A4DEF">
        <w:rPr>
          <w:rStyle w:val="FootnoteReference"/>
        </w:rPr>
        <w:footnoteRef/>
      </w:r>
      <w:r w:rsidRPr="000A4DEF">
        <w:t xml:space="preserve"> </w:t>
      </w:r>
      <w:r>
        <w:rPr>
          <w:i/>
          <w:iCs/>
        </w:rPr>
        <w:t>See</w:t>
      </w:r>
      <w:r>
        <w:t xml:space="preserve"> e.g., </w:t>
      </w:r>
      <w:r w:rsidRPr="004174DB">
        <w:rPr>
          <w:i/>
          <w:iCs/>
        </w:rPr>
        <w:t>Southwest Colorado TV Translator Association</w:t>
      </w:r>
      <w:r>
        <w:t xml:space="preserve">, Memorandum Opinion and Order and Notice of Apparent Liability for Forfeiture, DA 21-1616 (rel. Dec. 21, 2021) (proposing $3,500 forfeiture for late filed application for license to cover and four months unauthorized operations) (paid Jan. 20, 2022); </w:t>
      </w:r>
      <w:r w:rsidRPr="004174DB">
        <w:rPr>
          <w:i/>
          <w:iCs/>
        </w:rPr>
        <w:t>KAZT, LLC</w:t>
      </w:r>
      <w:r>
        <w:t>, Memorandum Opinion and Order and Notice of Apparent Liability, DA 21-1386 (rel. Nov. 5, 2021) (</w:t>
      </w:r>
      <w:r w:rsidRPr="00687489">
        <w:t xml:space="preserve">proposing $3,500 forfeiture for </w:t>
      </w:r>
      <w:r>
        <w:t>late filed application for license to cover and six months unauthorized operations) (paid Nov. 30, 2021).</w:t>
      </w:r>
    </w:p>
  </w:footnote>
  <w:footnote w:id="35">
    <w:p w:rsidR="004125F9" w:rsidRPr="004174DB" w:rsidP="004125F9" w14:paraId="2ABAE40A" w14:textId="77777777">
      <w:pPr>
        <w:pStyle w:val="FootnoteText"/>
        <w:widowControl w:val="0"/>
      </w:pPr>
      <w:r>
        <w:rPr>
          <w:rStyle w:val="FootnoteReference"/>
        </w:rPr>
        <w:footnoteRef/>
      </w:r>
      <w:r>
        <w:t xml:space="preserve"> </w:t>
      </w:r>
      <w:bookmarkStart w:id="5" w:name="_Hlk105592816"/>
      <w:r>
        <w:rPr>
          <w:i/>
          <w:iCs/>
        </w:rPr>
        <w:t>See</w:t>
      </w:r>
      <w:r>
        <w:t xml:space="preserve"> </w:t>
      </w:r>
      <w:r>
        <w:rPr>
          <w:i/>
          <w:iCs/>
        </w:rPr>
        <w:t>id</w:t>
      </w:r>
      <w:r>
        <w:t xml:space="preserve">. </w:t>
      </w:r>
    </w:p>
    <w:bookmarkEnd w:id="5"/>
  </w:footnote>
  <w:footnote w:id="36">
    <w:p w:rsidR="004125F9" w:rsidRPr="000A4DEF" w:rsidP="004125F9" w14:paraId="5ECB0E4D" w14:textId="77777777">
      <w:pPr>
        <w:pStyle w:val="FootnoteText"/>
        <w:widowControl w:val="0"/>
      </w:pPr>
      <w:r w:rsidRPr="000A4DEF">
        <w:rPr>
          <w:rStyle w:val="FootnoteReference"/>
        </w:rPr>
        <w:footnoteRef/>
      </w:r>
      <w:r w:rsidRPr="000A4DEF">
        <w:t xml:space="preserve"> </w:t>
      </w:r>
      <w:bookmarkStart w:id="6" w:name="_Hlk63415835"/>
      <w:r w:rsidRPr="000A4DEF">
        <w:t>47 U.S.C. § 503(b); 47 CFR § 1.80.</w:t>
      </w:r>
      <w:bookmarkEnd w:id="6"/>
    </w:p>
  </w:footnote>
  <w:footnote w:id="37">
    <w:p w:rsidR="004125F9" w:rsidRPr="000A4DEF" w:rsidP="004125F9" w14:paraId="2EF0826E" w14:textId="51EB4E78">
      <w:pPr>
        <w:pStyle w:val="FootnoteText"/>
        <w:widowControl w:val="0"/>
      </w:pPr>
      <w:r w:rsidRPr="000A4DEF">
        <w:rPr>
          <w:rStyle w:val="FootnoteReference"/>
        </w:rPr>
        <w:footnoteRef/>
      </w:r>
      <w:r w:rsidRPr="000A4DEF">
        <w:t xml:space="preserve"> 47 CFR § 74.788</w:t>
      </w:r>
      <w:r>
        <w:t xml:space="preserve"> (2022)</w:t>
      </w:r>
      <w:r w:rsidRPr="000A4DEF">
        <w:t xml:space="preserve">; 47 </w:t>
      </w:r>
      <w:r w:rsidRPr="00FA11EA">
        <w:t>CFR § 73.1745</w:t>
      </w:r>
      <w:r>
        <w:t xml:space="preserve">; </w:t>
      </w:r>
      <w:r w:rsidRPr="000A4DEF">
        <w:t>47 U.S.C. § 301.</w:t>
      </w:r>
      <w:r>
        <w:t xml:space="preserve">  </w:t>
      </w:r>
      <w:bookmarkStart w:id="7" w:name="_Hlk124868576"/>
      <w:r w:rsidRPr="00982B96">
        <w:rPr>
          <w:i/>
          <w:iCs/>
        </w:rPr>
        <w:t>See supra</w:t>
      </w:r>
      <w:r>
        <w:t xml:space="preserve"> note 2.</w:t>
      </w:r>
      <w:bookmarkEnd w:id="7"/>
    </w:p>
  </w:footnote>
  <w:footnote w:id="38">
    <w:p w:rsidR="004125F9" w:rsidRPr="000A4DEF" w:rsidP="004125F9" w14:paraId="5BC8835C" w14:textId="77777777">
      <w:pPr>
        <w:pStyle w:val="FootnoteText"/>
        <w:widowControl w:val="0"/>
      </w:pPr>
      <w:r w:rsidRPr="000A4DEF">
        <w:rPr>
          <w:rStyle w:val="FootnoteReference"/>
        </w:rPr>
        <w:footnoteRef/>
      </w:r>
      <w:r w:rsidRPr="000A4DEF">
        <w:t xml:space="preserve"> 47 CFR § 1.80.</w:t>
      </w:r>
    </w:p>
  </w:footnote>
  <w:footnote w:id="39">
    <w:p w:rsidR="004125F9" w:rsidRPr="000A4DEF" w:rsidP="004125F9" w14:paraId="3664529D" w14:textId="77777777">
      <w:pPr>
        <w:pStyle w:val="FootnoteText"/>
        <w:widowControl w:val="0"/>
      </w:pPr>
      <w:r w:rsidRPr="000A4DEF">
        <w:rPr>
          <w:rStyle w:val="FootnoteReference"/>
        </w:rPr>
        <w:footnoteRef/>
      </w:r>
      <w:r w:rsidRPr="000A4DEF">
        <w:t xml:space="preserve"> Payments made using CORES do not require the submission of an FCC Form 159.</w:t>
      </w:r>
    </w:p>
  </w:footnote>
  <w:footnote w:id="40">
    <w:p w:rsidR="004125F9" w:rsidRPr="000A4DEF" w:rsidP="00934BAA" w14:paraId="41C223FB" w14:textId="77777777">
      <w:pPr>
        <w:pStyle w:val="FootnoteText"/>
      </w:pPr>
      <w:r w:rsidRPr="000A4DEF">
        <w:rPr>
          <w:rStyle w:val="FootnoteReference"/>
        </w:rPr>
        <w:footnoteRef/>
      </w:r>
      <w:r w:rsidRPr="000A4DEF">
        <w:t xml:space="preserve"> For questions regarding payment procedures, please contact the Financial Operations Group Help Desk by phone at 1-877-480-3201 (option #6), or by e-mail at </w:t>
      </w:r>
      <w:hyperlink r:id="rId1" w:history="1">
        <w:r w:rsidRPr="000A4DEF">
          <w:rPr>
            <w:rStyle w:val="Hyperlink"/>
            <w:color w:val="auto"/>
          </w:rPr>
          <w:t>ARINQUIRIES@fcc.gov</w:t>
        </w:r>
      </w:hyperlink>
      <w:r w:rsidRPr="000A4DEF">
        <w:t xml:space="preserve">.  </w:t>
      </w:r>
    </w:p>
  </w:footnote>
  <w:footnote w:id="41">
    <w:p w:rsidR="004125F9" w:rsidRPr="000A4DEF" w:rsidP="004125F9" w14:paraId="4FEB30F2" w14:textId="77777777">
      <w:pPr>
        <w:pStyle w:val="FootnoteText"/>
        <w:widowControl w:val="0"/>
      </w:pPr>
      <w:r w:rsidRPr="000A4DEF">
        <w:rPr>
          <w:rStyle w:val="FootnoteReference"/>
        </w:rPr>
        <w:footnoteRef/>
      </w:r>
      <w:r w:rsidRPr="000A4DEF">
        <w:t xml:space="preserve"> Instructions for completing the form may be obtained at </w:t>
      </w:r>
      <w:hyperlink r:id="rId2" w:history="1">
        <w:r w:rsidRPr="000A4DEF">
          <w:rPr>
            <w:rStyle w:val="Hyperlink"/>
            <w:color w:val="auto"/>
          </w:rPr>
          <w:t>https://www.fcc.gov/Forms/Form159/159.pdf</w:t>
        </w:r>
      </w:hyperlink>
      <w:r w:rsidRPr="000A4DEF">
        <w:t xml:space="preserve">. </w:t>
      </w:r>
    </w:p>
  </w:footnote>
  <w:footnote w:id="42">
    <w:p w:rsidR="004125F9" w:rsidRPr="000A4DEF" w:rsidP="004125F9" w14:paraId="0CC188D0" w14:textId="77777777">
      <w:pPr>
        <w:pStyle w:val="FootnoteText"/>
        <w:widowControl w:val="0"/>
      </w:pPr>
      <w:r w:rsidRPr="000A4DEF">
        <w:rPr>
          <w:rStyle w:val="FootnoteReference"/>
        </w:rPr>
        <w:footnoteRef/>
      </w:r>
      <w:r w:rsidRPr="000A4DEF">
        <w:t xml:space="preserve"> </w:t>
      </w:r>
      <w:r w:rsidRPr="000A4DEF">
        <w:rPr>
          <w:i/>
        </w:rPr>
        <w:t>See</w:t>
      </w:r>
      <w:r w:rsidRPr="000A4DEF">
        <w:t xml:space="preserve"> 47 CFR § 1.1914.</w:t>
      </w:r>
    </w:p>
  </w:footnote>
  <w:footnote w:id="43">
    <w:p w:rsidR="004125F9" w:rsidRPr="000A4DEF" w:rsidP="004125F9" w14:paraId="77AA3F51" w14:textId="77777777">
      <w:pPr>
        <w:pStyle w:val="FootnoteText"/>
        <w:widowControl w:val="0"/>
      </w:pPr>
      <w:r w:rsidRPr="000A4DEF">
        <w:rPr>
          <w:rStyle w:val="FootnoteReference"/>
        </w:rPr>
        <w:footnoteRef/>
      </w:r>
      <w:r w:rsidRPr="000A4DEF">
        <w:t xml:space="preserve"> 47 CFR §§ 1.16 and 1.80(g)(3).</w:t>
      </w:r>
    </w:p>
  </w:footnote>
  <w:footnote w:id="44">
    <w:p w:rsidR="004125F9" w:rsidRPr="000A4DEF" w:rsidP="004125F9" w14:paraId="594C09A0" w14:textId="77777777">
      <w:pPr>
        <w:pStyle w:val="FootnoteText"/>
        <w:widowControl w:val="0"/>
      </w:pPr>
      <w:r w:rsidRPr="000A4DEF">
        <w:rPr>
          <w:rStyle w:val="FootnoteReference"/>
        </w:rPr>
        <w:footnoteRef/>
      </w:r>
      <w:r w:rsidRPr="000A4DEF">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0A4DEF">
        <w:rPr>
          <w:i/>
          <w:iCs/>
        </w:rPr>
        <w:t>See</w:t>
      </w:r>
      <w:r w:rsidRPr="000A4DEF">
        <w:t xml:space="preserve"> </w:t>
      </w:r>
      <w:r w:rsidRPr="000A4DEF">
        <w:rPr>
          <w:i/>
          <w:iCs/>
        </w:rPr>
        <w:t>FCC Announces Closure of FCC Headquarters Open Window and Change in Hand-Delivery Filing</w:t>
      </w:r>
      <w:r w:rsidRPr="000A4DEF">
        <w:t xml:space="preserve">, Public Notice, 35 FCC </w:t>
      </w:r>
      <w:r w:rsidRPr="000A4DEF">
        <w:t>Rcd</w:t>
      </w:r>
      <w:r w:rsidRPr="000A4DEF">
        <w:t xml:space="preserve"> 2788 (2020).</w:t>
      </w:r>
    </w:p>
  </w:footnote>
  <w:footnote w:id="45">
    <w:p w:rsidR="004125F9" w:rsidRPr="000A4DEF" w:rsidP="004125F9" w14:paraId="551A1B10" w14:textId="77777777">
      <w:pPr>
        <w:pStyle w:val="FootnoteText"/>
        <w:widowControl w:val="0"/>
      </w:pPr>
      <w:r w:rsidRPr="000A4DEF">
        <w:rPr>
          <w:rStyle w:val="FootnoteReference"/>
        </w:rPr>
        <w:footnoteRef/>
      </w:r>
      <w:r w:rsidRPr="000A4DEF">
        <w:t xml:space="preserve"> </w:t>
      </w:r>
      <w:r w:rsidRPr="000A4DEF">
        <w:rPr>
          <w:i/>
          <w:iCs/>
        </w:rPr>
        <w:t xml:space="preserve">See </w:t>
      </w:r>
      <w:r w:rsidRPr="000A4DEF">
        <w:t xml:space="preserve">47 U.S.C. 503(b)(2)(E); </w:t>
      </w:r>
      <w:r w:rsidRPr="000A4DEF">
        <w:rPr>
          <w:i/>
          <w:iCs/>
        </w:rPr>
        <w:t>Adrian Abramovich</w:t>
      </w:r>
      <w:r w:rsidRPr="000A4DEF">
        <w:t xml:space="preserve">, Forfeiture Order, 33 FCC </w:t>
      </w:r>
      <w:r w:rsidRPr="000A4DEF">
        <w:t>Rcd</w:t>
      </w:r>
      <w:r w:rsidRPr="000A4DEF">
        <w:t xml:space="preserve">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03C5" w14:paraId="0F8775A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8DE757" w14:textId="744DFCDE">
    <w:pPr>
      <w:pStyle w:val="Header"/>
      <w:rPr>
        <w:b w:val="0"/>
      </w:rPr>
    </w:pPr>
    <w:r>
      <w:tab/>
      <w:t>Federal Communications Commission</w:t>
    </w:r>
    <w:r>
      <w:tab/>
    </w:r>
    <w:r w:rsidR="003028CD">
      <w:t xml:space="preserve">DA </w:t>
    </w:r>
    <w:r w:rsidR="007903C5">
      <w:t>23</w:t>
    </w:r>
    <w:r w:rsidR="003028CD">
      <w:t>-</w:t>
    </w:r>
    <w:r w:rsidR="007903C5">
      <w:t>174</w:t>
    </w:r>
  </w:p>
  <w:p w:rsidR="00D25FB5" w14:paraId="26F0EBD1" w14:textId="6383A47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3938A65"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3DECB4" w14:textId="4308E4F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028CD">
      <w:rPr>
        <w:spacing w:val="-2"/>
      </w:rPr>
      <w:t xml:space="preserve">DA </w:t>
    </w:r>
    <w:r w:rsidR="007903C5">
      <w:rPr>
        <w:spacing w:val="-2"/>
      </w:rPr>
      <w:t>23</w:t>
    </w:r>
    <w:r w:rsidR="003028CD">
      <w:rPr>
        <w:spacing w:val="-2"/>
      </w:rPr>
      <w:t>-</w:t>
    </w:r>
    <w:r w:rsidR="007903C5">
      <w:rPr>
        <w:spacing w:val="-2"/>
      </w:rPr>
      <w:t>174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9B50972"/>
    <w:multiLevelType w:val="hybridMultilevel"/>
    <w:tmpl w:val="2728749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F9"/>
    <w:rsid w:val="00021174"/>
    <w:rsid w:val="00036039"/>
    <w:rsid w:val="00037F90"/>
    <w:rsid w:val="000875BF"/>
    <w:rsid w:val="00096D8C"/>
    <w:rsid w:val="000A4DEF"/>
    <w:rsid w:val="000C0B65"/>
    <w:rsid w:val="000C4D69"/>
    <w:rsid w:val="000E05FE"/>
    <w:rsid w:val="000E3D42"/>
    <w:rsid w:val="000E3DAA"/>
    <w:rsid w:val="00113ED2"/>
    <w:rsid w:val="00122BD5"/>
    <w:rsid w:val="00133F79"/>
    <w:rsid w:val="0014171C"/>
    <w:rsid w:val="00146D8A"/>
    <w:rsid w:val="00187464"/>
    <w:rsid w:val="00194A66"/>
    <w:rsid w:val="001C43CC"/>
    <w:rsid w:val="001D6BCF"/>
    <w:rsid w:val="001D7A5D"/>
    <w:rsid w:val="001E01CA"/>
    <w:rsid w:val="001E6540"/>
    <w:rsid w:val="00264220"/>
    <w:rsid w:val="00275CF5"/>
    <w:rsid w:val="0028301F"/>
    <w:rsid w:val="00285017"/>
    <w:rsid w:val="002A2D2E"/>
    <w:rsid w:val="002C00E8"/>
    <w:rsid w:val="003028CD"/>
    <w:rsid w:val="00335DF3"/>
    <w:rsid w:val="00343749"/>
    <w:rsid w:val="003660ED"/>
    <w:rsid w:val="003B0550"/>
    <w:rsid w:val="003B694F"/>
    <w:rsid w:val="003E362D"/>
    <w:rsid w:val="003F171C"/>
    <w:rsid w:val="003F17E2"/>
    <w:rsid w:val="004125F9"/>
    <w:rsid w:val="00412FC5"/>
    <w:rsid w:val="004174DB"/>
    <w:rsid w:val="00421B29"/>
    <w:rsid w:val="00422276"/>
    <w:rsid w:val="004242F1"/>
    <w:rsid w:val="00434675"/>
    <w:rsid w:val="00445A00"/>
    <w:rsid w:val="00451B0F"/>
    <w:rsid w:val="00451E6D"/>
    <w:rsid w:val="00457E76"/>
    <w:rsid w:val="004C2EE3"/>
    <w:rsid w:val="004E4A22"/>
    <w:rsid w:val="00511968"/>
    <w:rsid w:val="00514C8E"/>
    <w:rsid w:val="00535D96"/>
    <w:rsid w:val="00546822"/>
    <w:rsid w:val="0055614C"/>
    <w:rsid w:val="00566D06"/>
    <w:rsid w:val="00591AAC"/>
    <w:rsid w:val="005E14C2"/>
    <w:rsid w:val="005F7F74"/>
    <w:rsid w:val="00607BA5"/>
    <w:rsid w:val="0061180A"/>
    <w:rsid w:val="006143B1"/>
    <w:rsid w:val="00626EB6"/>
    <w:rsid w:val="00655D03"/>
    <w:rsid w:val="00667F1B"/>
    <w:rsid w:val="00683388"/>
    <w:rsid w:val="00683F84"/>
    <w:rsid w:val="00687489"/>
    <w:rsid w:val="006A2B58"/>
    <w:rsid w:val="006A6A81"/>
    <w:rsid w:val="006F3DC1"/>
    <w:rsid w:val="006F7393"/>
    <w:rsid w:val="0070224F"/>
    <w:rsid w:val="007115F7"/>
    <w:rsid w:val="007255EB"/>
    <w:rsid w:val="00753410"/>
    <w:rsid w:val="00785689"/>
    <w:rsid w:val="007903C5"/>
    <w:rsid w:val="00796EDF"/>
    <w:rsid w:val="0079754B"/>
    <w:rsid w:val="007A1E6D"/>
    <w:rsid w:val="007A2495"/>
    <w:rsid w:val="007B0EB2"/>
    <w:rsid w:val="007D05C6"/>
    <w:rsid w:val="007E5877"/>
    <w:rsid w:val="00802FEA"/>
    <w:rsid w:val="00810B6F"/>
    <w:rsid w:val="00822CE0"/>
    <w:rsid w:val="00841AB1"/>
    <w:rsid w:val="00860220"/>
    <w:rsid w:val="00865B9B"/>
    <w:rsid w:val="008A73D4"/>
    <w:rsid w:val="008C68F1"/>
    <w:rsid w:val="008D30C5"/>
    <w:rsid w:val="008D4F70"/>
    <w:rsid w:val="00921803"/>
    <w:rsid w:val="00926503"/>
    <w:rsid w:val="00934BAA"/>
    <w:rsid w:val="009377D8"/>
    <w:rsid w:val="00947B4D"/>
    <w:rsid w:val="009726D8"/>
    <w:rsid w:val="00982B96"/>
    <w:rsid w:val="009D7308"/>
    <w:rsid w:val="009F76DB"/>
    <w:rsid w:val="00A31B7A"/>
    <w:rsid w:val="00A32C3B"/>
    <w:rsid w:val="00A45F4F"/>
    <w:rsid w:val="00A46875"/>
    <w:rsid w:val="00A600A9"/>
    <w:rsid w:val="00AA55B7"/>
    <w:rsid w:val="00AA5B9E"/>
    <w:rsid w:val="00AB2407"/>
    <w:rsid w:val="00AB53DF"/>
    <w:rsid w:val="00B07E5C"/>
    <w:rsid w:val="00B218C9"/>
    <w:rsid w:val="00B811F7"/>
    <w:rsid w:val="00BA5DC6"/>
    <w:rsid w:val="00BA6196"/>
    <w:rsid w:val="00BC6D8C"/>
    <w:rsid w:val="00BE3744"/>
    <w:rsid w:val="00C34006"/>
    <w:rsid w:val="00C36B4C"/>
    <w:rsid w:val="00C426B1"/>
    <w:rsid w:val="00C6145C"/>
    <w:rsid w:val="00C66160"/>
    <w:rsid w:val="00C721AC"/>
    <w:rsid w:val="00C90D6A"/>
    <w:rsid w:val="00CA247E"/>
    <w:rsid w:val="00CA6D21"/>
    <w:rsid w:val="00CC3D76"/>
    <w:rsid w:val="00CC72B6"/>
    <w:rsid w:val="00D0218D"/>
    <w:rsid w:val="00D25FB5"/>
    <w:rsid w:val="00D35523"/>
    <w:rsid w:val="00D44223"/>
    <w:rsid w:val="00D9623F"/>
    <w:rsid w:val="00DA2529"/>
    <w:rsid w:val="00DB10EE"/>
    <w:rsid w:val="00DB130A"/>
    <w:rsid w:val="00DB2EBB"/>
    <w:rsid w:val="00DC10A1"/>
    <w:rsid w:val="00DC655F"/>
    <w:rsid w:val="00DD0B59"/>
    <w:rsid w:val="00DD7EBD"/>
    <w:rsid w:val="00DF62B6"/>
    <w:rsid w:val="00E02EE4"/>
    <w:rsid w:val="00E07225"/>
    <w:rsid w:val="00E41AF8"/>
    <w:rsid w:val="00E5409F"/>
    <w:rsid w:val="00E63AD5"/>
    <w:rsid w:val="00E67748"/>
    <w:rsid w:val="00E956A1"/>
    <w:rsid w:val="00ED6B86"/>
    <w:rsid w:val="00EE6488"/>
    <w:rsid w:val="00EF5DBB"/>
    <w:rsid w:val="00EF6A4B"/>
    <w:rsid w:val="00F021FA"/>
    <w:rsid w:val="00F62E97"/>
    <w:rsid w:val="00F64209"/>
    <w:rsid w:val="00F93BF5"/>
    <w:rsid w:val="00FA11EA"/>
    <w:rsid w:val="00FA2A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9FE78F"/>
  <w15:chartTrackingRefBased/>
  <w15:docId w15:val="{7D2A09EC-F320-4D8A-91B4-F72B397F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03C5"/>
    <w:pPr>
      <w:widowControl w:val="0"/>
    </w:pPr>
    <w:rPr>
      <w:snapToGrid w:val="0"/>
      <w:kern w:val="28"/>
      <w:sz w:val="22"/>
    </w:rPr>
  </w:style>
  <w:style w:type="paragraph" w:styleId="Heading1">
    <w:name w:val="heading 1"/>
    <w:basedOn w:val="Normal"/>
    <w:next w:val="ParaNum"/>
    <w:link w:val="Heading1Char"/>
    <w:qFormat/>
    <w:rsid w:val="007903C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903C5"/>
    <w:pPr>
      <w:keepNext/>
      <w:numPr>
        <w:ilvl w:val="1"/>
        <w:numId w:val="3"/>
      </w:numPr>
      <w:spacing w:after="120"/>
      <w:outlineLvl w:val="1"/>
    </w:pPr>
    <w:rPr>
      <w:b/>
    </w:rPr>
  </w:style>
  <w:style w:type="paragraph" w:styleId="Heading3">
    <w:name w:val="heading 3"/>
    <w:basedOn w:val="Normal"/>
    <w:next w:val="ParaNum"/>
    <w:qFormat/>
    <w:rsid w:val="007903C5"/>
    <w:pPr>
      <w:keepNext/>
      <w:numPr>
        <w:ilvl w:val="2"/>
        <w:numId w:val="3"/>
      </w:numPr>
      <w:tabs>
        <w:tab w:val="left" w:pos="2160"/>
      </w:tabs>
      <w:spacing w:after="120"/>
      <w:outlineLvl w:val="2"/>
    </w:pPr>
    <w:rPr>
      <w:b/>
    </w:rPr>
  </w:style>
  <w:style w:type="paragraph" w:styleId="Heading4">
    <w:name w:val="heading 4"/>
    <w:basedOn w:val="Normal"/>
    <w:next w:val="ParaNum"/>
    <w:qFormat/>
    <w:rsid w:val="007903C5"/>
    <w:pPr>
      <w:keepNext/>
      <w:numPr>
        <w:ilvl w:val="3"/>
        <w:numId w:val="3"/>
      </w:numPr>
      <w:tabs>
        <w:tab w:val="left" w:pos="2880"/>
      </w:tabs>
      <w:spacing w:after="120"/>
      <w:outlineLvl w:val="3"/>
    </w:pPr>
    <w:rPr>
      <w:b/>
    </w:rPr>
  </w:style>
  <w:style w:type="paragraph" w:styleId="Heading5">
    <w:name w:val="heading 5"/>
    <w:basedOn w:val="Normal"/>
    <w:next w:val="ParaNum"/>
    <w:qFormat/>
    <w:rsid w:val="007903C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903C5"/>
    <w:pPr>
      <w:numPr>
        <w:ilvl w:val="5"/>
        <w:numId w:val="3"/>
      </w:numPr>
      <w:tabs>
        <w:tab w:val="left" w:pos="4320"/>
      </w:tabs>
      <w:spacing w:after="120"/>
      <w:outlineLvl w:val="5"/>
    </w:pPr>
    <w:rPr>
      <w:b/>
    </w:rPr>
  </w:style>
  <w:style w:type="paragraph" w:styleId="Heading7">
    <w:name w:val="heading 7"/>
    <w:basedOn w:val="Normal"/>
    <w:next w:val="ParaNum"/>
    <w:qFormat/>
    <w:rsid w:val="007903C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903C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903C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903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03C5"/>
  </w:style>
  <w:style w:type="paragraph" w:customStyle="1" w:styleId="ParaNum">
    <w:name w:val="ParaNum"/>
    <w:basedOn w:val="Normal"/>
    <w:link w:val="ParaNumChar"/>
    <w:rsid w:val="007903C5"/>
    <w:pPr>
      <w:numPr>
        <w:numId w:val="2"/>
      </w:numPr>
      <w:tabs>
        <w:tab w:val="clear" w:pos="1080"/>
        <w:tab w:val="num" w:pos="1440"/>
      </w:tabs>
      <w:spacing w:after="120"/>
    </w:pPr>
  </w:style>
  <w:style w:type="paragraph" w:styleId="EndnoteText">
    <w:name w:val="endnote text"/>
    <w:basedOn w:val="Normal"/>
    <w:semiHidden/>
    <w:rsid w:val="007903C5"/>
    <w:rPr>
      <w:sz w:val="20"/>
    </w:rPr>
  </w:style>
  <w:style w:type="character" w:styleId="EndnoteReference">
    <w:name w:val="endnote reference"/>
    <w:semiHidden/>
    <w:rsid w:val="007903C5"/>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7903C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903C5"/>
    <w:rPr>
      <w:rFonts w:ascii="Times New Roman" w:hAnsi="Times New Roman"/>
      <w:dstrike w:val="0"/>
      <w:color w:val="auto"/>
      <w:sz w:val="20"/>
      <w:vertAlign w:val="superscript"/>
    </w:rPr>
  </w:style>
  <w:style w:type="paragraph" w:styleId="TOC1">
    <w:name w:val="toc 1"/>
    <w:basedOn w:val="Normal"/>
    <w:next w:val="Normal"/>
    <w:semiHidden/>
    <w:rsid w:val="007903C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903C5"/>
    <w:pPr>
      <w:tabs>
        <w:tab w:val="left" w:pos="720"/>
        <w:tab w:val="right" w:leader="dot" w:pos="9360"/>
      </w:tabs>
      <w:suppressAutoHyphens/>
      <w:ind w:left="720" w:right="720" w:hanging="360"/>
    </w:pPr>
    <w:rPr>
      <w:noProof/>
    </w:rPr>
  </w:style>
  <w:style w:type="paragraph" w:styleId="TOC3">
    <w:name w:val="toc 3"/>
    <w:basedOn w:val="Normal"/>
    <w:next w:val="Normal"/>
    <w:semiHidden/>
    <w:rsid w:val="007903C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903C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903C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903C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903C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903C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903C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903C5"/>
    <w:pPr>
      <w:tabs>
        <w:tab w:val="right" w:pos="9360"/>
      </w:tabs>
      <w:suppressAutoHyphens/>
    </w:pPr>
  </w:style>
  <w:style w:type="character" w:customStyle="1" w:styleId="EquationCaption">
    <w:name w:val="_Equation Caption"/>
    <w:rsid w:val="007903C5"/>
  </w:style>
  <w:style w:type="paragraph" w:styleId="Header">
    <w:name w:val="header"/>
    <w:basedOn w:val="Normal"/>
    <w:autoRedefine/>
    <w:rsid w:val="007903C5"/>
    <w:pPr>
      <w:tabs>
        <w:tab w:val="center" w:pos="4680"/>
        <w:tab w:val="right" w:pos="9360"/>
      </w:tabs>
    </w:pPr>
    <w:rPr>
      <w:b/>
    </w:rPr>
  </w:style>
  <w:style w:type="paragraph" w:styleId="Footer">
    <w:name w:val="footer"/>
    <w:basedOn w:val="Normal"/>
    <w:link w:val="FooterChar"/>
    <w:uiPriority w:val="99"/>
    <w:rsid w:val="007903C5"/>
    <w:pPr>
      <w:tabs>
        <w:tab w:val="center" w:pos="4320"/>
        <w:tab w:val="right" w:pos="8640"/>
      </w:tabs>
    </w:pPr>
  </w:style>
  <w:style w:type="character" w:styleId="PageNumber">
    <w:name w:val="page number"/>
    <w:basedOn w:val="DefaultParagraphFont"/>
    <w:rsid w:val="007903C5"/>
  </w:style>
  <w:style w:type="paragraph" w:styleId="BlockText">
    <w:name w:val="Block Text"/>
    <w:basedOn w:val="Normal"/>
    <w:rsid w:val="007903C5"/>
    <w:pPr>
      <w:spacing w:after="240"/>
      <w:ind w:left="1440" w:right="1440"/>
    </w:pPr>
  </w:style>
  <w:style w:type="paragraph" w:customStyle="1" w:styleId="Paratitle">
    <w:name w:val="Para title"/>
    <w:basedOn w:val="Normal"/>
    <w:rsid w:val="007903C5"/>
    <w:pPr>
      <w:tabs>
        <w:tab w:val="center" w:pos="9270"/>
      </w:tabs>
      <w:spacing w:after="240"/>
    </w:pPr>
    <w:rPr>
      <w:spacing w:val="-2"/>
    </w:rPr>
  </w:style>
  <w:style w:type="paragraph" w:customStyle="1" w:styleId="Bullet">
    <w:name w:val="Bullet"/>
    <w:basedOn w:val="Normal"/>
    <w:rsid w:val="007903C5"/>
    <w:pPr>
      <w:tabs>
        <w:tab w:val="left" w:pos="2160"/>
      </w:tabs>
      <w:spacing w:after="220"/>
      <w:ind w:left="2160" w:hanging="720"/>
    </w:pPr>
  </w:style>
  <w:style w:type="paragraph" w:customStyle="1" w:styleId="TableFormat">
    <w:name w:val="TableFormat"/>
    <w:basedOn w:val="Bullet"/>
    <w:rsid w:val="007903C5"/>
    <w:pPr>
      <w:tabs>
        <w:tab w:val="clear" w:pos="2160"/>
        <w:tab w:val="left" w:pos="5040"/>
      </w:tabs>
      <w:ind w:left="5040" w:hanging="3600"/>
    </w:pPr>
  </w:style>
  <w:style w:type="paragraph" w:customStyle="1" w:styleId="TOCTitle">
    <w:name w:val="TOC Title"/>
    <w:basedOn w:val="Normal"/>
    <w:rsid w:val="007903C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903C5"/>
    <w:pPr>
      <w:jc w:val="center"/>
    </w:pPr>
    <w:rPr>
      <w:rFonts w:ascii="Times New Roman Bold" w:hAnsi="Times New Roman Bold"/>
      <w:b/>
      <w:bCs/>
      <w:caps/>
      <w:szCs w:val="22"/>
    </w:rPr>
  </w:style>
  <w:style w:type="character" w:styleId="Hyperlink">
    <w:name w:val="Hyperlink"/>
    <w:rsid w:val="007903C5"/>
    <w:rPr>
      <w:color w:val="0000FF"/>
      <w:u w:val="single"/>
    </w:rPr>
  </w:style>
  <w:style w:type="character" w:customStyle="1" w:styleId="FooterChar">
    <w:name w:val="Footer Char"/>
    <w:link w:val="Footer"/>
    <w:uiPriority w:val="99"/>
    <w:rsid w:val="007903C5"/>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4125F9"/>
  </w:style>
  <w:style w:type="character" w:customStyle="1" w:styleId="ParaNumChar">
    <w:name w:val="ParaNum Char"/>
    <w:link w:val="ParaNum"/>
    <w:rsid w:val="004125F9"/>
    <w:rPr>
      <w:snapToGrid w:val="0"/>
      <w:kern w:val="28"/>
      <w:sz w:val="22"/>
    </w:rPr>
  </w:style>
  <w:style w:type="character" w:customStyle="1" w:styleId="Heading1Char">
    <w:name w:val="Heading 1 Char"/>
    <w:link w:val="Heading1"/>
    <w:rsid w:val="004125F9"/>
    <w:rPr>
      <w:rFonts w:ascii="Times New Roman Bold" w:hAnsi="Times New Roman Bold"/>
      <w:b/>
      <w:caps/>
      <w:snapToGrid w:val="0"/>
      <w:kern w:val="28"/>
      <w:sz w:val="22"/>
    </w:rPr>
  </w:style>
  <w:style w:type="character" w:styleId="CommentReference">
    <w:name w:val="annotation reference"/>
    <w:rsid w:val="004125F9"/>
    <w:rPr>
      <w:sz w:val="16"/>
      <w:szCs w:val="16"/>
    </w:rPr>
  </w:style>
  <w:style w:type="paragraph" w:styleId="CommentText">
    <w:name w:val="annotation text"/>
    <w:basedOn w:val="Normal"/>
    <w:link w:val="CommentTextChar"/>
    <w:rsid w:val="004125F9"/>
    <w:rPr>
      <w:sz w:val="20"/>
    </w:rPr>
  </w:style>
  <w:style w:type="character" w:customStyle="1" w:styleId="CommentTextChar">
    <w:name w:val="Comment Text Char"/>
    <w:basedOn w:val="DefaultParagraphFont"/>
    <w:link w:val="CommentText"/>
    <w:rsid w:val="004125F9"/>
    <w:rPr>
      <w:snapToGrid w:val="0"/>
      <w:kern w:val="28"/>
    </w:rPr>
  </w:style>
  <w:style w:type="paragraph" w:styleId="Revision">
    <w:name w:val="Revision"/>
    <w:hidden/>
    <w:uiPriority w:val="99"/>
    <w:semiHidden/>
    <w:rsid w:val="00A31B7A"/>
    <w:rPr>
      <w:snapToGrid w:val="0"/>
      <w:kern w:val="28"/>
      <w:sz w:val="22"/>
    </w:rPr>
  </w:style>
  <w:style w:type="paragraph" w:styleId="CommentSubject">
    <w:name w:val="annotation subject"/>
    <w:basedOn w:val="CommentText"/>
    <w:next w:val="CommentText"/>
    <w:link w:val="CommentSubjectChar"/>
    <w:rsid w:val="00860220"/>
    <w:rPr>
      <w:b/>
      <w:bCs/>
    </w:rPr>
  </w:style>
  <w:style w:type="character" w:customStyle="1" w:styleId="CommentSubjectChar">
    <w:name w:val="Comment Subject Char"/>
    <w:basedOn w:val="CommentTextChar"/>
    <w:link w:val="CommentSubject"/>
    <w:rsid w:val="00860220"/>
    <w:rPr>
      <w:b/>
      <w:bCs/>
      <w:snapToGrid w:val="0"/>
      <w:kern w:val="28"/>
    </w:rPr>
  </w:style>
  <w:style w:type="paragraph" w:styleId="ListParagraph">
    <w:name w:val="List Paragraph"/>
    <w:basedOn w:val="Normal"/>
    <w:uiPriority w:val="34"/>
    <w:qFormat/>
    <w:rsid w:val="00E41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bkei@EstrellaMedia.com" TargetMode="External" /><Relationship Id="rId12" Type="http://schemas.openxmlformats.org/officeDocument/2006/relationships/hyperlink" Target="mailto:ameltzer@wiley.law"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haun.Maher@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