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B19B4" w:rsidP="00BA341D" w14:paraId="32717D0A" w14:textId="2A7564F0">
      <w:pPr>
        <w:jc w:val="right"/>
        <w:rPr>
          <w:b/>
          <w:sz w:val="24"/>
        </w:rPr>
      </w:pPr>
      <w:r>
        <w:rPr>
          <w:b/>
          <w:sz w:val="24"/>
        </w:rPr>
        <w:t>DA 23-</w:t>
      </w:r>
      <w:r w:rsidR="000C3ED3">
        <w:rPr>
          <w:b/>
          <w:sz w:val="24"/>
        </w:rPr>
        <w:t>191</w:t>
      </w:r>
    </w:p>
    <w:p w:rsidR="008B19B4" w14:paraId="46D6A433" w14:textId="7849F165">
      <w:pPr>
        <w:spacing w:before="60"/>
        <w:jc w:val="right"/>
        <w:rPr>
          <w:b/>
          <w:sz w:val="24"/>
        </w:rPr>
      </w:pPr>
      <w:r>
        <w:rPr>
          <w:b/>
          <w:sz w:val="24"/>
        </w:rPr>
        <w:t xml:space="preserve">Released:  </w:t>
      </w:r>
      <w:r w:rsidR="00500310">
        <w:rPr>
          <w:b/>
          <w:sz w:val="24"/>
        </w:rPr>
        <w:t xml:space="preserve">March </w:t>
      </w:r>
      <w:r w:rsidR="0060645B">
        <w:rPr>
          <w:b/>
          <w:sz w:val="24"/>
        </w:rPr>
        <w:t>9</w:t>
      </w:r>
      <w:r w:rsidR="00500310">
        <w:rPr>
          <w:b/>
          <w:sz w:val="24"/>
        </w:rPr>
        <w:t>, 2023</w:t>
      </w:r>
    </w:p>
    <w:p w:rsidR="008B19B4" w14:paraId="336621E1" w14:textId="77777777">
      <w:pPr>
        <w:jc w:val="right"/>
        <w:rPr>
          <w:sz w:val="24"/>
        </w:rPr>
      </w:pPr>
    </w:p>
    <w:p w:rsidR="008B19B4" w:rsidRPr="00A456A6" w:rsidP="00A456A6" w14:paraId="4199FE0C" w14:textId="174273BA">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Announces relocation Payment ClearingHouse request for Proposal, Selection Criteria, and Application Deadlines In </w:t>
      </w:r>
      <w:r w:rsidR="00C56AE5">
        <w:rPr>
          <w:rFonts w:ascii="Times New Roman Bold" w:hAnsi="Times New Roman Bold"/>
          <w:b/>
          <w:caps/>
          <w:sz w:val="24"/>
        </w:rPr>
        <w:t>3.45-3.</w:t>
      </w:r>
      <w:r w:rsidR="00721D38">
        <w:rPr>
          <w:rFonts w:ascii="Times New Roman Bold" w:hAnsi="Times New Roman Bold"/>
          <w:b/>
          <w:caps/>
          <w:sz w:val="24"/>
        </w:rPr>
        <w:t>55</w:t>
      </w:r>
      <w:r w:rsidR="00C56AE5">
        <w:rPr>
          <w:rFonts w:ascii="Times New Roman Bold" w:hAnsi="Times New Roman Bold"/>
          <w:b/>
          <w:caps/>
          <w:sz w:val="24"/>
        </w:rPr>
        <w:t xml:space="preserve"> </w:t>
      </w:r>
      <w:r>
        <w:rPr>
          <w:rFonts w:ascii="Times New Roman Bold" w:hAnsi="Times New Roman Bold"/>
          <w:b/>
          <w:caps/>
          <w:sz w:val="24"/>
        </w:rPr>
        <w:t xml:space="preserve">GHz Band Transition </w:t>
      </w:r>
    </w:p>
    <w:p w:rsidR="008B19B4" w14:paraId="4BB3E169" w14:textId="64014364">
      <w:pPr>
        <w:jc w:val="center"/>
        <w:rPr>
          <w:b/>
          <w:sz w:val="24"/>
        </w:rPr>
      </w:pPr>
      <w:r>
        <w:rPr>
          <w:b/>
          <w:sz w:val="24"/>
        </w:rPr>
        <w:t>WT Docket No. 19-348</w:t>
      </w:r>
    </w:p>
    <w:p w:rsidR="008B19B4" w14:paraId="4EDB44D2" w14:textId="77777777">
      <w:bookmarkStart w:id="0" w:name="TOChere"/>
    </w:p>
    <w:p w:rsidR="008B19B4" w:rsidP="0043582B" w14:paraId="4CEC17A9" w14:textId="669A1E7E">
      <w:pPr>
        <w:ind w:firstLine="720"/>
        <w:rPr>
          <w:sz w:val="24"/>
        </w:rPr>
      </w:pPr>
      <w:r>
        <w:t>By this Public Notice</w:t>
      </w:r>
      <w:r w:rsidR="007A30A0">
        <w:t xml:space="preserve">, </w:t>
      </w:r>
      <w:r w:rsidRPr="00F9700F" w:rsidR="007A30A0">
        <w:rPr>
          <w:sz w:val="24"/>
        </w:rPr>
        <w:t>the Wireless Telecommunications Bureau (Bureau)</w:t>
      </w:r>
      <w:r w:rsidR="007A30A0">
        <w:rPr>
          <w:sz w:val="24"/>
        </w:rPr>
        <w:t xml:space="preserve"> announces that it has received the attached Request for Proposal, which contains the selection criteria and filing instructions for proposals for the position of</w:t>
      </w:r>
      <w:r w:rsidR="00C56AE5">
        <w:rPr>
          <w:sz w:val="24"/>
        </w:rPr>
        <w:t xml:space="preserve"> Reimbursement </w:t>
      </w:r>
      <w:r w:rsidR="007A30A0">
        <w:rPr>
          <w:sz w:val="24"/>
        </w:rPr>
        <w:t>Clearinghouse (Clearinghouse) in the 3.</w:t>
      </w:r>
      <w:r w:rsidR="00C56AE5">
        <w:rPr>
          <w:sz w:val="24"/>
        </w:rPr>
        <w:t>45</w:t>
      </w:r>
      <w:r w:rsidR="007A30A0">
        <w:rPr>
          <w:sz w:val="24"/>
        </w:rPr>
        <w:t>-</w:t>
      </w:r>
      <w:r w:rsidR="00C56AE5">
        <w:rPr>
          <w:sz w:val="24"/>
        </w:rPr>
        <w:t>3.55</w:t>
      </w:r>
      <w:r w:rsidR="007A30A0">
        <w:rPr>
          <w:sz w:val="24"/>
        </w:rPr>
        <w:t xml:space="preserve"> GHz band (3.45 GHz Band) transition.</w:t>
      </w:r>
    </w:p>
    <w:p w:rsidR="00EC42A7" w:rsidP="0043582B" w14:paraId="02D4FA0B" w14:textId="3048182E">
      <w:pPr>
        <w:rPr>
          <w:sz w:val="24"/>
        </w:rPr>
      </w:pPr>
    </w:p>
    <w:p w:rsidR="0071401C" w:rsidRPr="009433F3" w:rsidP="009433F3" w14:paraId="58D46384" w14:textId="33B57C5A">
      <w:pPr>
        <w:pStyle w:val="ParaNum"/>
        <w:numPr>
          <w:ilvl w:val="0"/>
          <w:numId w:val="0"/>
        </w:numPr>
        <w:tabs>
          <w:tab w:val="num" w:pos="1440"/>
        </w:tabs>
        <w:ind w:firstLine="720"/>
        <w:rPr>
          <w:sz w:val="24"/>
          <w:szCs w:val="24"/>
        </w:rPr>
      </w:pPr>
      <w:r w:rsidRPr="0071401C">
        <w:rPr>
          <w:sz w:val="24"/>
          <w:szCs w:val="24"/>
        </w:rPr>
        <w:t xml:space="preserve">In the </w:t>
      </w:r>
      <w:r w:rsidRPr="0071401C">
        <w:rPr>
          <w:i/>
          <w:iCs/>
          <w:sz w:val="24"/>
          <w:szCs w:val="24"/>
        </w:rPr>
        <w:t>3.45 GHz Band Second R&amp;O</w:t>
      </w:r>
      <w:r w:rsidRPr="0071401C">
        <w:rPr>
          <w:sz w:val="24"/>
          <w:szCs w:val="24"/>
        </w:rPr>
        <w:t>, the Commission adopted rules to make 100 megahertz of mid-band spectrum available for flexible use throughout the contiguous United States.</w:t>
      </w:r>
      <w:r>
        <w:rPr>
          <w:sz w:val="24"/>
          <w:szCs w:val="24"/>
          <w:vertAlign w:val="superscript"/>
        </w:rPr>
        <w:footnoteReference w:id="3"/>
      </w:r>
      <w:r w:rsidRPr="0071401C">
        <w:rPr>
          <w:sz w:val="24"/>
          <w:szCs w:val="24"/>
        </w:rPr>
        <w:t xml:space="preserve">  To facilitate this goal, the Commission previously had determined that secondary, non-federal radiolocation licensees in the band would be relocated to the 2.9-3.0 GHz band.</w:t>
      </w:r>
      <w:r>
        <w:rPr>
          <w:rStyle w:val="FootnoteReference"/>
          <w:sz w:val="24"/>
          <w:szCs w:val="24"/>
        </w:rPr>
        <w:footnoteReference w:id="4"/>
      </w:r>
      <w:r w:rsidRPr="0071401C">
        <w:rPr>
          <w:sz w:val="24"/>
          <w:szCs w:val="24"/>
        </w:rPr>
        <w:t xml:space="preserve">  In the </w:t>
      </w:r>
      <w:r w:rsidRPr="0071401C">
        <w:rPr>
          <w:i/>
          <w:iCs/>
          <w:sz w:val="24"/>
          <w:szCs w:val="24"/>
        </w:rPr>
        <w:t>3.45 GHz Band Second R&amp;O</w:t>
      </w:r>
      <w:r w:rsidRPr="0071401C">
        <w:rPr>
          <w:sz w:val="24"/>
          <w:szCs w:val="24"/>
        </w:rPr>
        <w:t>, the Commission further determined that secondary, non-federal radiolocation authorizations would sunset 180 days after new 3.45 GHz Service licenses are granted in the band.</w:t>
      </w:r>
      <w:r>
        <w:rPr>
          <w:rStyle w:val="FootnoteReference"/>
          <w:sz w:val="24"/>
          <w:szCs w:val="24"/>
        </w:rPr>
        <w:footnoteReference w:id="5"/>
      </w:r>
      <w:r w:rsidRPr="0071401C">
        <w:rPr>
          <w:sz w:val="24"/>
          <w:szCs w:val="24"/>
        </w:rPr>
        <w:t xml:space="preserve">  Because these licenses were granted on May 4, 2022,</w:t>
      </w:r>
      <w:r>
        <w:rPr>
          <w:rStyle w:val="FootnoteReference"/>
          <w:sz w:val="24"/>
          <w:szCs w:val="24"/>
        </w:rPr>
        <w:footnoteReference w:id="6"/>
      </w:r>
      <w:r w:rsidRPr="0071401C">
        <w:rPr>
          <w:sz w:val="24"/>
          <w:szCs w:val="24"/>
        </w:rPr>
        <w:t xml:space="preserve"> the non-federal radiolocation authorizations sunset on October 31, 2022.</w:t>
      </w:r>
      <w:r>
        <w:rPr>
          <w:rStyle w:val="FootnoteReference"/>
          <w:sz w:val="24"/>
          <w:szCs w:val="24"/>
        </w:rPr>
        <w:footnoteReference w:id="7"/>
      </w:r>
      <w:r w:rsidRPr="0071401C">
        <w:rPr>
          <w:sz w:val="24"/>
          <w:szCs w:val="24"/>
        </w:rPr>
        <w:t xml:space="preserve">  In addition, the Commission in the </w:t>
      </w:r>
      <w:r w:rsidRPr="0071401C">
        <w:rPr>
          <w:i/>
          <w:iCs/>
          <w:sz w:val="24"/>
          <w:szCs w:val="24"/>
        </w:rPr>
        <w:t>3.45 GHz Band Second R&amp;O</w:t>
      </w:r>
      <w:r w:rsidRPr="0071401C">
        <w:rPr>
          <w:sz w:val="24"/>
          <w:szCs w:val="24"/>
        </w:rPr>
        <w:t xml:space="preserve"> required “new flexible-use licensees in the 3.45 GHz Service to reimburse secondary, non-federal radiolocation licensees for reasonable costs related to the relocation of those operations to the 2.9-3.0 GHz band, including the costs of a relocation clearinghouse’s administration of the reimbursement.”</w:t>
      </w:r>
      <w:r>
        <w:rPr>
          <w:rStyle w:val="FootnoteReference"/>
          <w:sz w:val="24"/>
          <w:szCs w:val="24"/>
        </w:rPr>
        <w:footnoteReference w:id="8"/>
      </w:r>
      <w:r w:rsidRPr="0071401C">
        <w:rPr>
          <w:sz w:val="24"/>
          <w:szCs w:val="24"/>
        </w:rPr>
        <w:t xml:space="preserve">  Specifically, each new 3.45 GHz </w:t>
      </w:r>
      <w:r w:rsidRPr="0071401C">
        <w:rPr>
          <w:sz w:val="24"/>
          <w:szCs w:val="24"/>
        </w:rPr>
        <w:t xml:space="preserve">Service licensee “will be responsible for reimbursement of a </w:t>
      </w:r>
      <w:r w:rsidRPr="0071401C">
        <w:rPr>
          <w:i/>
          <w:sz w:val="24"/>
          <w:szCs w:val="24"/>
        </w:rPr>
        <w:t>pro rata</w:t>
      </w:r>
      <w:r w:rsidRPr="0071401C">
        <w:rPr>
          <w:sz w:val="24"/>
          <w:szCs w:val="24"/>
        </w:rPr>
        <w:t xml:space="preserve"> share of reasonable relocation costs of non-federal radiolocation operations.”</w:t>
      </w:r>
      <w:r>
        <w:rPr>
          <w:rStyle w:val="FootnoteReference"/>
          <w:sz w:val="24"/>
          <w:szCs w:val="24"/>
        </w:rPr>
        <w:footnoteReference w:id="9"/>
      </w:r>
      <w:r w:rsidR="00934D54">
        <w:rPr>
          <w:sz w:val="24"/>
          <w:szCs w:val="24"/>
        </w:rPr>
        <w:t xml:space="preserve"> </w:t>
      </w:r>
      <w:r w:rsidR="00E814F0">
        <w:rPr>
          <w:sz w:val="24"/>
          <w:szCs w:val="24"/>
        </w:rPr>
        <w:t xml:space="preserve"> The </w:t>
      </w:r>
      <w:r w:rsidRPr="00750A76" w:rsidR="00750A76">
        <w:rPr>
          <w:i/>
          <w:iCs/>
          <w:sz w:val="24"/>
          <w:szCs w:val="24"/>
        </w:rPr>
        <w:t xml:space="preserve">3.45 GHz Clearinghouse Order </w:t>
      </w:r>
      <w:r w:rsidR="00EA13DA">
        <w:rPr>
          <w:sz w:val="24"/>
          <w:szCs w:val="24"/>
        </w:rPr>
        <w:t xml:space="preserve">directed the Bureau to </w:t>
      </w:r>
      <w:r w:rsidR="002E78F6">
        <w:rPr>
          <w:sz w:val="24"/>
          <w:szCs w:val="24"/>
        </w:rPr>
        <w:t xml:space="preserve">notify the public that </w:t>
      </w:r>
      <w:r w:rsidRPr="0043582B" w:rsidR="0043582B">
        <w:rPr>
          <w:sz w:val="24"/>
          <w:szCs w:val="24"/>
        </w:rPr>
        <w:t xml:space="preserve">the search committee has published </w:t>
      </w:r>
      <w:r w:rsidR="00D03A35">
        <w:rPr>
          <w:sz w:val="24"/>
          <w:szCs w:val="24"/>
        </w:rPr>
        <w:t xml:space="preserve">the </w:t>
      </w:r>
      <w:r w:rsidRPr="0043582B" w:rsidR="0043582B">
        <w:rPr>
          <w:sz w:val="24"/>
          <w:szCs w:val="24"/>
        </w:rPr>
        <w:t>criteria for the selection of the Clearinghous</w:t>
      </w:r>
      <w:r w:rsidR="00A251C7">
        <w:rPr>
          <w:sz w:val="24"/>
          <w:szCs w:val="24"/>
        </w:rPr>
        <w:t>e and announce a</w:t>
      </w:r>
      <w:r w:rsidRPr="0043582B" w:rsidR="0043582B">
        <w:rPr>
          <w:sz w:val="24"/>
          <w:szCs w:val="24"/>
        </w:rPr>
        <w:t xml:space="preserve"> closing date of April </w:t>
      </w:r>
      <w:r w:rsidR="00A251C7">
        <w:rPr>
          <w:sz w:val="24"/>
          <w:szCs w:val="24"/>
        </w:rPr>
        <w:t>3</w:t>
      </w:r>
      <w:r w:rsidRPr="0043582B" w:rsidR="0043582B">
        <w:rPr>
          <w:sz w:val="24"/>
          <w:szCs w:val="24"/>
        </w:rPr>
        <w:t>, 2023 for submission of responses to the R</w:t>
      </w:r>
      <w:r w:rsidR="006F33AD">
        <w:rPr>
          <w:sz w:val="24"/>
          <w:szCs w:val="24"/>
        </w:rPr>
        <w:t xml:space="preserve">equest </w:t>
      </w:r>
      <w:r w:rsidRPr="0043582B" w:rsidR="0043582B">
        <w:rPr>
          <w:sz w:val="24"/>
          <w:szCs w:val="24"/>
        </w:rPr>
        <w:t>F</w:t>
      </w:r>
      <w:r w:rsidR="006F33AD">
        <w:rPr>
          <w:sz w:val="24"/>
          <w:szCs w:val="24"/>
        </w:rPr>
        <w:t xml:space="preserve">or </w:t>
      </w:r>
      <w:r w:rsidRPr="0043582B" w:rsidR="0043582B">
        <w:rPr>
          <w:sz w:val="24"/>
          <w:szCs w:val="24"/>
        </w:rPr>
        <w:t>P</w:t>
      </w:r>
      <w:r w:rsidR="006F33AD">
        <w:rPr>
          <w:sz w:val="24"/>
          <w:szCs w:val="24"/>
        </w:rPr>
        <w:t>roposal</w:t>
      </w:r>
      <w:r w:rsidR="00A251C7">
        <w:rPr>
          <w:sz w:val="24"/>
          <w:szCs w:val="24"/>
        </w:rPr>
        <w:t>.</w:t>
      </w:r>
      <w:r>
        <w:rPr>
          <w:rStyle w:val="FootnoteReference"/>
          <w:szCs w:val="24"/>
        </w:rPr>
        <w:footnoteReference w:id="10"/>
      </w:r>
      <w:r w:rsidR="00F465DC">
        <w:rPr>
          <w:sz w:val="24"/>
          <w:szCs w:val="24"/>
        </w:rPr>
        <w:t xml:space="preserve">  The search committee submitted the Request for Proposal</w:t>
      </w:r>
      <w:r w:rsidR="005A32F2">
        <w:rPr>
          <w:sz w:val="24"/>
          <w:szCs w:val="24"/>
        </w:rPr>
        <w:t xml:space="preserve"> </w:t>
      </w:r>
      <w:r w:rsidR="00F465DC">
        <w:rPr>
          <w:sz w:val="24"/>
          <w:szCs w:val="24"/>
        </w:rPr>
        <w:t>in the appropriate docket</w:t>
      </w:r>
      <w:r w:rsidR="002C3805">
        <w:rPr>
          <w:sz w:val="24"/>
          <w:szCs w:val="24"/>
        </w:rPr>
        <w:t>, WT Docket No. 19-348,</w:t>
      </w:r>
      <w:r w:rsidR="00F465DC">
        <w:rPr>
          <w:sz w:val="24"/>
          <w:szCs w:val="24"/>
        </w:rPr>
        <w:t xml:space="preserve"> </w:t>
      </w:r>
      <w:r w:rsidR="002F07FC">
        <w:rPr>
          <w:sz w:val="24"/>
          <w:szCs w:val="24"/>
        </w:rPr>
        <w:t>on March 6, 2023.</w:t>
      </w:r>
      <w:r>
        <w:rPr>
          <w:rStyle w:val="FootnoteReference"/>
          <w:szCs w:val="24"/>
        </w:rPr>
        <w:footnoteReference w:id="11"/>
      </w:r>
    </w:p>
    <w:p w:rsidR="00EC42A7" w14:paraId="0BC8B8F9" w14:textId="2E6CD63D">
      <w:pPr>
        <w:rPr>
          <w:sz w:val="24"/>
        </w:rPr>
      </w:pPr>
    </w:p>
    <w:p w:rsidR="00EC42A7" w:rsidP="00EC42A7" w14:paraId="2063BB54" w14:textId="0101756D">
      <w:pPr>
        <w:ind w:firstLine="720"/>
      </w:pPr>
      <w:r>
        <w:rPr>
          <w:sz w:val="24"/>
        </w:rPr>
        <w:t>The search committee’s Request for Proposal, attached to this Public Notice, details the selection criteria and instructions for filing proposals for the Clearinghouse position.  Entities must file proposals electronically with the search committee, according to the filing instructions contained in the Request for Proposal, by April 3, 2023.</w:t>
      </w:r>
      <w:r>
        <w:rPr>
          <w:rStyle w:val="FootnoteReference"/>
        </w:rPr>
        <w:footnoteReference w:id="12"/>
      </w:r>
    </w:p>
    <w:p w:rsidR="0002115E" w:rsidP="0002115E" w14:paraId="65BC8365" w14:textId="77777777">
      <w:pPr>
        <w:ind w:firstLine="720"/>
        <w:rPr>
          <w:sz w:val="24"/>
        </w:rPr>
      </w:pPr>
    </w:p>
    <w:p w:rsidR="0002115E" w:rsidRPr="00E0468A" w:rsidP="0002115E" w14:paraId="0C09A837" w14:textId="77777777">
      <w:pPr>
        <w:jc w:val="center"/>
        <w:rPr>
          <w:sz w:val="24"/>
        </w:rPr>
      </w:pPr>
      <w:r w:rsidRPr="00E0468A">
        <w:rPr>
          <w:sz w:val="24"/>
        </w:rPr>
        <w:t>***</w:t>
      </w:r>
    </w:p>
    <w:p w:rsidR="0002115E" w:rsidP="0002115E" w14:paraId="6986F662" w14:textId="77777777">
      <w:pPr>
        <w:ind w:firstLine="720"/>
        <w:rPr>
          <w:sz w:val="24"/>
        </w:rPr>
      </w:pPr>
    </w:p>
    <w:p w:rsidR="0002115E" w:rsidP="0002115E" w14:paraId="79A6F47A" w14:textId="77777777">
      <w:pPr>
        <w:ind w:firstLine="720"/>
        <w:rPr>
          <w:sz w:val="24"/>
        </w:rPr>
      </w:pPr>
      <w:r w:rsidRPr="00E0468A">
        <w:rPr>
          <w:i/>
          <w:iCs/>
          <w:sz w:val="24"/>
        </w:rPr>
        <w:t>People with Disabilities</w:t>
      </w:r>
      <w:r w:rsidRPr="00E0468A">
        <w:rPr>
          <w:sz w:val="24"/>
        </w:rPr>
        <w:t xml:space="preserve">:  To request materials in accessible formats for people with disabilities (braille, large print, electronic files, audio format), send an e-mail to </w:t>
      </w:r>
      <w:hyperlink r:id="rId5" w:history="1">
        <w:r w:rsidRPr="00E0468A">
          <w:rPr>
            <w:rStyle w:val="Hyperlink"/>
            <w:sz w:val="24"/>
          </w:rPr>
          <w:t>fcc504@fcc.gov</w:t>
        </w:r>
      </w:hyperlink>
      <w:r w:rsidRPr="00E0468A">
        <w:rPr>
          <w:sz w:val="24"/>
        </w:rPr>
        <w:t xml:space="preserve"> or call the Consumer &amp; Government Affairs Bureau at 202-418-0530 (voice, 202-418-0432 (tty).</w:t>
      </w:r>
    </w:p>
    <w:p w:rsidR="008B19B4" w14:paraId="18549367" w14:textId="77777777"/>
    <w:bookmarkEnd w:id="0"/>
    <w:p w:rsidR="00B203CA" w14:paraId="7FA78432"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19B4" w14:paraId="2D5547BB" w14:textId="77777777">
    <w:pPr>
      <w:pStyle w:val="Footer"/>
      <w:framePr w:wrap="around" w:vAnchor="text" w:hAnchor="margin" w:xAlign="center" w:y="1"/>
    </w:pPr>
    <w:r>
      <w:fldChar w:fldCharType="begin"/>
    </w:r>
    <w:r>
      <w:instrText xml:space="preserve">PAGE  </w:instrText>
    </w:r>
    <w:r>
      <w:fldChar w:fldCharType="separate"/>
    </w:r>
    <w:r>
      <w:fldChar w:fldCharType="end"/>
    </w:r>
  </w:p>
  <w:p w:rsidR="008B19B4" w14:paraId="3BAD8E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19B4" w14:paraId="0365871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19B4" w14:paraId="462B9BF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2836" w14:paraId="55CA5814" w14:textId="77777777">
      <w:r>
        <w:separator/>
      </w:r>
    </w:p>
  </w:footnote>
  <w:footnote w:type="continuationSeparator" w:id="1">
    <w:p w:rsidR="00E02836" w14:paraId="308F4E1A" w14:textId="77777777">
      <w:pPr>
        <w:rPr>
          <w:sz w:val="20"/>
        </w:rPr>
      </w:pPr>
      <w:r>
        <w:rPr>
          <w:sz w:val="20"/>
        </w:rPr>
        <w:t xml:space="preserve">(Continued from previous page)  </w:t>
      </w:r>
      <w:r>
        <w:rPr>
          <w:sz w:val="20"/>
        </w:rPr>
        <w:separator/>
      </w:r>
    </w:p>
  </w:footnote>
  <w:footnote w:type="continuationNotice" w:id="2">
    <w:p w:rsidR="00E02836" w14:paraId="0B9BA374" w14:textId="77777777">
      <w:pPr>
        <w:jc w:val="right"/>
        <w:rPr>
          <w:sz w:val="20"/>
        </w:rPr>
      </w:pPr>
      <w:r>
        <w:rPr>
          <w:sz w:val="20"/>
        </w:rPr>
        <w:t>(continued….)</w:t>
      </w:r>
    </w:p>
  </w:footnote>
  <w:footnote w:id="3">
    <w:p w:rsidR="0071401C" w:rsidRPr="00B95F55" w:rsidP="0071401C" w14:paraId="5E062316" w14:textId="77777777">
      <w:pPr>
        <w:pStyle w:val="FootnoteText"/>
      </w:pPr>
      <w:r>
        <w:rPr>
          <w:rStyle w:val="FootnoteReference"/>
        </w:rPr>
        <w:footnoteRef/>
      </w:r>
      <w:r>
        <w:t xml:space="preserve"> </w:t>
      </w:r>
      <w:r w:rsidRPr="008D688B">
        <w:rPr>
          <w:i/>
          <w:iCs/>
        </w:rPr>
        <w:t xml:space="preserve">Facilitating Shared Use in the 3100-3550 MHz Band, </w:t>
      </w:r>
      <w:r w:rsidRPr="008D688B">
        <w:t xml:space="preserve">WT Docket No. 19-348, Second Report and Order, Order on Reconsideration, and Order of Proposed Modification, </w:t>
      </w:r>
      <w:r>
        <w:t>36 FCC Rcd 5987</w:t>
      </w:r>
      <w:r w:rsidRPr="008D688B">
        <w:t xml:space="preserve"> (2021) (</w:t>
      </w:r>
      <w:r w:rsidRPr="008D688B">
        <w:rPr>
          <w:i/>
          <w:iCs/>
        </w:rPr>
        <w:t xml:space="preserve">3.45 GHz Band </w:t>
      </w:r>
      <w:r>
        <w:rPr>
          <w:i/>
          <w:iCs/>
        </w:rPr>
        <w:t>Second R&amp;O</w:t>
      </w:r>
      <w:r>
        <w:t>).</w:t>
      </w:r>
    </w:p>
  </w:footnote>
  <w:footnote w:id="4">
    <w:p w:rsidR="0071401C" w:rsidP="0071401C" w14:paraId="2C7CDF4E" w14:textId="77777777">
      <w:pPr>
        <w:pStyle w:val="FootnoteText"/>
      </w:pPr>
      <w:r>
        <w:rPr>
          <w:rStyle w:val="FootnoteReference"/>
        </w:rPr>
        <w:footnoteRef/>
      </w:r>
      <w:r>
        <w:t xml:space="preserve"> </w:t>
      </w:r>
      <w:r w:rsidRPr="008D688B">
        <w:rPr>
          <w:i/>
          <w:iCs/>
        </w:rPr>
        <w:t xml:space="preserve">Facilitating Shared Use in the 3100-3550 MHz Band, </w:t>
      </w:r>
      <w:r w:rsidRPr="008D688B">
        <w:t>WT Docket No. 19-348, Report and Order</w:t>
      </w:r>
      <w:r>
        <w:t xml:space="preserve"> and Further Notice of Proposed Rulemaking</w:t>
      </w:r>
      <w:r w:rsidRPr="008D688B">
        <w:t xml:space="preserve">, </w:t>
      </w:r>
      <w:r w:rsidRPr="00FD6A4A">
        <w:t xml:space="preserve">35 FCC Rcd </w:t>
      </w:r>
      <w:r>
        <w:t>11078,</w:t>
      </w:r>
      <w:r w:rsidRPr="00FD6A4A">
        <w:t xml:space="preserve"> 110</w:t>
      </w:r>
      <w:r>
        <w:t>86</w:t>
      </w:r>
      <w:r w:rsidRPr="00FD6A4A">
        <w:t xml:space="preserve">, para. </w:t>
      </w:r>
      <w:r>
        <w:t>20</w:t>
      </w:r>
      <w:r w:rsidRPr="00FD6A4A">
        <w:t xml:space="preserve"> </w:t>
      </w:r>
      <w:r w:rsidRPr="008D688B">
        <w:t>(202</w:t>
      </w:r>
      <w:r>
        <w:t>0</w:t>
      </w:r>
      <w:r w:rsidRPr="008D688B">
        <w:t>) (</w:t>
      </w:r>
      <w:r w:rsidRPr="008D688B">
        <w:rPr>
          <w:i/>
          <w:iCs/>
        </w:rPr>
        <w:t xml:space="preserve">3.45 GHz Band </w:t>
      </w:r>
      <w:r>
        <w:rPr>
          <w:i/>
          <w:iCs/>
        </w:rPr>
        <w:t>R&amp;O and FNPRM</w:t>
      </w:r>
      <w:r>
        <w:t xml:space="preserve">). </w:t>
      </w:r>
    </w:p>
  </w:footnote>
  <w:footnote w:id="5">
    <w:p w:rsidR="0071401C" w:rsidRPr="009E4271" w:rsidP="0071401C" w14:paraId="4D8F84C8" w14:textId="77777777">
      <w:pPr>
        <w:pStyle w:val="FootnoteText"/>
      </w:pPr>
      <w:r>
        <w:rPr>
          <w:rStyle w:val="FootnoteReference"/>
        </w:rPr>
        <w:footnoteRef/>
      </w:r>
      <w:r>
        <w:t xml:space="preserve"> </w:t>
      </w:r>
      <w:r w:rsidRPr="008D688B">
        <w:rPr>
          <w:i/>
          <w:iCs/>
        </w:rPr>
        <w:t xml:space="preserve">3.45 GHz Band </w:t>
      </w:r>
      <w:r>
        <w:rPr>
          <w:i/>
          <w:iCs/>
        </w:rPr>
        <w:t>Second R&amp;O</w:t>
      </w:r>
      <w:r>
        <w:t xml:space="preserve">, </w:t>
      </w:r>
      <w:r w:rsidRPr="00FD6A4A">
        <w:t>3</w:t>
      </w:r>
      <w:r>
        <w:t>6</w:t>
      </w:r>
      <w:r w:rsidRPr="00FD6A4A">
        <w:t xml:space="preserve"> FCC Rcd </w:t>
      </w:r>
      <w:r>
        <w:t xml:space="preserve">at 6041, para. 152; </w:t>
      </w:r>
      <w:r>
        <w:rPr>
          <w:i/>
          <w:iCs/>
        </w:rPr>
        <w:t xml:space="preserve">see also </w:t>
      </w:r>
      <w:r>
        <w:t>47 CFR § 2.106 n.US103.</w:t>
      </w:r>
    </w:p>
  </w:footnote>
  <w:footnote w:id="6">
    <w:p w:rsidR="0071401C" w:rsidP="0071401C" w14:paraId="15E5D782" w14:textId="77777777">
      <w:pPr>
        <w:pStyle w:val="FootnoteText"/>
      </w:pPr>
      <w:r>
        <w:rPr>
          <w:rStyle w:val="FootnoteReference"/>
        </w:rPr>
        <w:footnoteRef/>
      </w:r>
      <w:r>
        <w:t xml:space="preserve"> </w:t>
      </w:r>
      <w:r w:rsidRPr="007A764B">
        <w:rPr>
          <w:i/>
          <w:iCs/>
        </w:rPr>
        <w:t xml:space="preserve">Wireless </w:t>
      </w:r>
      <w:r>
        <w:rPr>
          <w:i/>
          <w:iCs/>
        </w:rPr>
        <w:t>Telec</w:t>
      </w:r>
      <w:r w:rsidRPr="007A764B">
        <w:rPr>
          <w:i/>
          <w:iCs/>
        </w:rPr>
        <w:t>ommunications Bureau Grants Auction 110 Licenses</w:t>
      </w:r>
      <w:r>
        <w:t>, Public Notice, DA 22-462 (WTB May 4, 2022) (</w:t>
      </w:r>
      <w:r w:rsidRPr="007A764B">
        <w:rPr>
          <w:i/>
          <w:iCs/>
        </w:rPr>
        <w:t>3.45 GHz Band Grant PN</w:t>
      </w:r>
      <w:r>
        <w:t>).</w:t>
      </w:r>
    </w:p>
  </w:footnote>
  <w:footnote w:id="7">
    <w:p w:rsidR="0071401C" w:rsidRPr="009E6752" w:rsidP="0071401C" w14:paraId="2D894A74" w14:textId="7A7CC06E">
      <w:pPr>
        <w:pStyle w:val="FootnoteText"/>
      </w:pPr>
      <w:r>
        <w:rPr>
          <w:rStyle w:val="FootnoteReference"/>
        </w:rPr>
        <w:footnoteRef/>
      </w:r>
      <w:r>
        <w:t xml:space="preserve"> </w:t>
      </w:r>
      <w:r w:rsidRPr="00C2145B">
        <w:t>T</w:t>
      </w:r>
      <w:r w:rsidRPr="00FD1F65">
        <w:t xml:space="preserve">he Bureau granted conditional STAs to Nexstar and NBCUniversal to </w:t>
      </w:r>
      <w:r>
        <w:t xml:space="preserve">conduct reduced operations on a non-interference basis for a limited period of time beyond October 31, 2022.  </w:t>
      </w:r>
      <w:r w:rsidRPr="00AA6B52">
        <w:rPr>
          <w:i/>
          <w:iCs/>
        </w:rPr>
        <w:t xml:space="preserve">See </w:t>
      </w:r>
      <w:r w:rsidRPr="00AA6B52">
        <w:t xml:space="preserve">ULS File Nos. </w:t>
      </w:r>
      <w:r w:rsidRPr="00AA6B52" w:rsidR="00E43546">
        <w:t>0010423178</w:t>
      </w:r>
      <w:r w:rsidRPr="00AA6B52" w:rsidR="001A034F">
        <w:t xml:space="preserve">, </w:t>
      </w:r>
      <w:r w:rsidRPr="00C61DBB" w:rsidR="00C61DBB">
        <w:t>0010340943</w:t>
      </w:r>
      <w:r w:rsidR="00C61DBB">
        <w:t xml:space="preserve">, </w:t>
      </w:r>
      <w:r w:rsidRPr="00AA6B52" w:rsidR="00AA6B52">
        <w:t>0010340871</w:t>
      </w:r>
      <w:r w:rsidR="00AA6B52">
        <w:t xml:space="preserve">, and </w:t>
      </w:r>
      <w:r w:rsidRPr="00AA6B52" w:rsidR="00AA6B52">
        <w:t>0010341173</w:t>
      </w:r>
      <w:r w:rsidR="00AA6B52">
        <w:t>.</w:t>
      </w:r>
    </w:p>
  </w:footnote>
  <w:footnote w:id="8">
    <w:p w:rsidR="0071401C" w:rsidP="0071401C" w14:paraId="06FA0EC6" w14:textId="77777777">
      <w:pPr>
        <w:pStyle w:val="FootnoteText"/>
      </w:pPr>
      <w:r>
        <w:rPr>
          <w:rStyle w:val="FootnoteReference"/>
        </w:rPr>
        <w:footnoteRef/>
      </w:r>
      <w:r>
        <w:t xml:space="preserve"> </w:t>
      </w:r>
      <w:r w:rsidRPr="008D688B">
        <w:rPr>
          <w:i/>
          <w:iCs/>
        </w:rPr>
        <w:t xml:space="preserve">3.45 GHz Band </w:t>
      </w:r>
      <w:r>
        <w:rPr>
          <w:i/>
          <w:iCs/>
        </w:rPr>
        <w:t>Second R&amp;O</w:t>
      </w:r>
      <w:r>
        <w:t xml:space="preserve">, </w:t>
      </w:r>
      <w:r w:rsidRPr="00FD6A4A">
        <w:t>3</w:t>
      </w:r>
      <w:r>
        <w:t>6</w:t>
      </w:r>
      <w:r w:rsidRPr="00FD6A4A">
        <w:t xml:space="preserve"> FCC Rcd </w:t>
      </w:r>
      <w:r>
        <w:t xml:space="preserve">at 6042, para. 155.  The Commission “anticipate[d] clearinghouse costs to be </w:t>
      </w:r>
      <w:r w:rsidRPr="003A7CC6">
        <w:t>minimal, given the limited number of licensees being relocated and relatively small estimated cost of their transition.  The radiolocation service incumbents will initially fund the clearinghouse and can request reimbursement from new</w:t>
      </w:r>
      <w:r>
        <w:t xml:space="preserve"> </w:t>
      </w:r>
      <w:r w:rsidRPr="003A7CC6">
        <w:t>flexible</w:t>
      </w:r>
      <w:r>
        <w:t>-</w:t>
      </w:r>
      <w:r w:rsidRPr="003A7CC6">
        <w:t>use licensees for the clearinghouse costs.</w:t>
      </w:r>
      <w:r>
        <w:t xml:space="preserve">”  </w:t>
      </w:r>
      <w:r w:rsidRPr="009F0B84">
        <w:rPr>
          <w:i/>
          <w:iCs/>
        </w:rPr>
        <w:t>Id.</w:t>
      </w:r>
      <w:r>
        <w:t xml:space="preserve"> at 6042, para. 155, n.386.</w:t>
      </w:r>
    </w:p>
  </w:footnote>
  <w:footnote w:id="9">
    <w:p w:rsidR="0071401C" w:rsidRPr="002A6322" w:rsidP="0071401C" w14:paraId="4215721C" w14:textId="77777777">
      <w:pPr>
        <w:pStyle w:val="FootnoteText"/>
      </w:pPr>
      <w:r>
        <w:rPr>
          <w:rStyle w:val="FootnoteReference"/>
        </w:rPr>
        <w:footnoteRef/>
      </w:r>
      <w:r>
        <w:t xml:space="preserve"> </w:t>
      </w:r>
      <w:r w:rsidRPr="00DB6F99">
        <w:rPr>
          <w:i/>
          <w:iCs/>
        </w:rPr>
        <w:t>Id.</w:t>
      </w:r>
      <w:r>
        <w:t xml:space="preserve">, </w:t>
      </w:r>
      <w:r w:rsidRPr="00FD6A4A">
        <w:t>3</w:t>
      </w:r>
      <w:r>
        <w:t>6</w:t>
      </w:r>
      <w:r w:rsidRPr="00FD6A4A">
        <w:t xml:space="preserve"> FCC Rcd </w:t>
      </w:r>
      <w:r>
        <w:t>at 6044, para. 161.  As the Commission explained, “</w:t>
      </w:r>
      <w:r w:rsidRPr="00CF2CA9">
        <w:t>the total relocation costs will be divided by the number of 3.45 GHz Service licenses and each licensee will be required to pay their share based on the number of licenses they hold</w:t>
      </w:r>
      <w:r>
        <w:t xml:space="preserve">.”  </w:t>
      </w:r>
      <w:r>
        <w:rPr>
          <w:i/>
          <w:iCs/>
        </w:rPr>
        <w:t>Id.</w:t>
      </w:r>
      <w:r>
        <w:t xml:space="preserve">; </w:t>
      </w:r>
      <w:r>
        <w:rPr>
          <w:i/>
          <w:iCs/>
        </w:rPr>
        <w:t xml:space="preserve">see also </w:t>
      </w:r>
      <w:r>
        <w:t>47 CFR § 27.1604.</w:t>
      </w:r>
    </w:p>
  </w:footnote>
  <w:footnote w:id="10">
    <w:p w:rsidR="00A251C7" w14:paraId="26820A97" w14:textId="3651AE47">
      <w:pPr>
        <w:pStyle w:val="FootnoteText"/>
      </w:pPr>
      <w:r>
        <w:rPr>
          <w:rStyle w:val="FootnoteReference"/>
        </w:rPr>
        <w:footnoteRef/>
      </w:r>
      <w:r>
        <w:t xml:space="preserve"> </w:t>
      </w:r>
      <w:r w:rsidR="006F33AD">
        <w:rPr>
          <w:i/>
          <w:iCs/>
        </w:rPr>
        <w:t>Facilitating Shared Use in the 3100-3500 MHz Band</w:t>
      </w:r>
      <w:r w:rsidR="00C721FC">
        <w:t>, WT Docket No. 19-348</w:t>
      </w:r>
      <w:r w:rsidR="009C538D">
        <w:t>, Order, DA 22-1188, para. 24</w:t>
      </w:r>
      <w:r w:rsidR="00B441EA">
        <w:t xml:space="preserve"> (</w:t>
      </w:r>
      <w:r w:rsidR="006F33AD">
        <w:t xml:space="preserve">WTB </w:t>
      </w:r>
      <w:r w:rsidR="00B441EA">
        <w:t>2022) (</w:t>
      </w:r>
      <w:r w:rsidRPr="00A93C73" w:rsidR="00B441EA">
        <w:rPr>
          <w:i/>
          <w:iCs/>
        </w:rPr>
        <w:t xml:space="preserve">3.45 GHz </w:t>
      </w:r>
      <w:r w:rsidRPr="00A93C73" w:rsidR="00A93C73">
        <w:rPr>
          <w:i/>
          <w:iCs/>
        </w:rPr>
        <w:t>Clearinghouse Order</w:t>
      </w:r>
      <w:r w:rsidR="00A93C73">
        <w:t xml:space="preserve">).  </w:t>
      </w:r>
      <w:r w:rsidR="00C721FC">
        <w:t xml:space="preserve"> </w:t>
      </w:r>
    </w:p>
  </w:footnote>
  <w:footnote w:id="11">
    <w:p w:rsidR="002F07FC" w14:paraId="296BF89C" w14:textId="5CD5EAD5">
      <w:pPr>
        <w:pStyle w:val="FootnoteText"/>
      </w:pPr>
      <w:r>
        <w:rPr>
          <w:rStyle w:val="FootnoteReference"/>
        </w:rPr>
        <w:footnoteRef/>
      </w:r>
      <w:r>
        <w:t xml:space="preserve"> </w:t>
      </w:r>
      <w:r w:rsidRPr="000A3618" w:rsidR="00DB76AA">
        <w:rPr>
          <w:i/>
          <w:iCs/>
        </w:rPr>
        <w:t>See</w:t>
      </w:r>
      <w:r w:rsidR="00DB76AA">
        <w:t xml:space="preserve"> </w:t>
      </w:r>
      <w:r w:rsidR="003C1026">
        <w:t xml:space="preserve">CCA, </w:t>
      </w:r>
      <w:r w:rsidR="001D6594">
        <w:t>et al.</w:t>
      </w:r>
      <w:r w:rsidR="002F3E45">
        <w:t xml:space="preserve">, </w:t>
      </w:r>
      <w:r w:rsidR="00E20AB5">
        <w:t>WT Docket No. 19-348</w:t>
      </w:r>
      <w:r w:rsidR="005D28BB">
        <w:t>, Attach., Request for Proposal</w:t>
      </w:r>
      <w:r w:rsidR="00164765">
        <w:t>: Reimbursement Clearinghouse (filed Mar. 6</w:t>
      </w:r>
      <w:r w:rsidR="00972649">
        <w:t xml:space="preserve">, 2023. </w:t>
      </w:r>
      <w:r w:rsidR="001D6594">
        <w:t xml:space="preserve"> </w:t>
      </w:r>
      <w:r w:rsidR="006D3A76">
        <w:t xml:space="preserve"> </w:t>
      </w:r>
      <w:r w:rsidR="003C1026">
        <w:t xml:space="preserve"> </w:t>
      </w:r>
      <w:r w:rsidR="00C721FC">
        <w:t xml:space="preserve"> </w:t>
      </w:r>
    </w:p>
  </w:footnote>
  <w:footnote w:id="12">
    <w:p w:rsidR="00EC42A7" w:rsidRPr="004C37A4" w:rsidP="00EC42A7" w14:paraId="395115C7" w14:textId="146844C8">
      <w:pPr>
        <w:pStyle w:val="FootnoteText"/>
      </w:pPr>
      <w:r>
        <w:rPr>
          <w:rStyle w:val="FootnoteReference"/>
        </w:rPr>
        <w:footnoteRef/>
      </w:r>
      <w:r>
        <w:t xml:space="preserve"> </w:t>
      </w:r>
      <w:r w:rsidRPr="00784FBF" w:rsidR="001B7C06">
        <w:rPr>
          <w:i/>
          <w:iCs/>
        </w:rPr>
        <w:t>Id</w:t>
      </w:r>
      <w:r w:rsidRPr="00784FBF" w:rsidR="001B7C06">
        <w:t>.</w:t>
      </w:r>
      <w:r w:rsidRPr="00784FBF">
        <w:t>, Attach.</w:t>
      </w:r>
      <w:r w:rsidRPr="00784FBF">
        <w:rPr>
          <w:i/>
          <w:iCs/>
        </w:rPr>
        <w:t xml:space="preserve"> </w:t>
      </w:r>
      <w:r w:rsidRPr="00784FBF">
        <w:t xml:space="preserve">at </w:t>
      </w:r>
      <w:r w:rsidRPr="00784FBF" w:rsidR="00784FBF">
        <w:t>6</w:t>
      </w:r>
      <w:r w:rsidRPr="00784F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19B4" w14:paraId="10B3FAB9" w14:textId="308A4847">
    <w:pPr>
      <w:tabs>
        <w:tab w:val="center" w:pos="4680"/>
        <w:tab w:val="right" w:pos="9360"/>
      </w:tabs>
    </w:pPr>
    <w:r>
      <w:rPr>
        <w:b/>
      </w:rPr>
      <w:tab/>
      <w:t>Federal Communications Commission</w:t>
    </w:r>
    <w:r>
      <w:rPr>
        <w:b/>
      </w:rPr>
      <w:tab/>
    </w:r>
    <w:r w:rsidR="000C3ED3">
      <w:rPr>
        <w:b/>
      </w:rPr>
      <w:t>DA</w:t>
    </w:r>
    <w:r w:rsidR="00DE300D">
      <w:rPr>
        <w:b/>
      </w:rPr>
      <w:t xml:space="preserve"> 23</w:t>
    </w:r>
    <w:r w:rsidR="00CA1B65">
      <w:rPr>
        <w:b/>
      </w:rPr>
      <w:t>-191</w:t>
    </w:r>
  </w:p>
  <w:p w:rsidR="008B19B4" w14:paraId="63A636D0" w14:textId="63FA725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B19B4" w14:paraId="7A91BED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19B4" w14:paraId="5C3897B6" w14:textId="0F02C6CC">
    <w:pPr>
      <w:pStyle w:val="Header"/>
    </w:pPr>
    <w:r>
      <w:rPr>
        <w:noProof/>
        <w:snapToGrid/>
      </w:rPr>
      <w:drawing>
        <wp:inline distT="0" distB="0" distL="0" distR="0">
          <wp:extent cx="5943600"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19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EBB7253"/>
    <w:multiLevelType w:val="hybridMultilevel"/>
    <w:tmpl w:val="4D761C1C"/>
    <w:lvl w:ilvl="0">
      <w:start w:val="1"/>
      <w:numFmt w:val="decimal"/>
      <w:lvlText w:val="%1."/>
      <w:lvlJc w:val="left"/>
      <w:pPr>
        <w:tabs>
          <w:tab w:val="num" w:pos="1080"/>
        </w:tabs>
        <w:ind w:left="0" w:firstLine="720"/>
      </w:pPr>
      <w:rPr>
        <w:rFonts w:hint="default"/>
        <w:b w:val="0"/>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CA"/>
    <w:rsid w:val="000125D0"/>
    <w:rsid w:val="0002115E"/>
    <w:rsid w:val="000A3618"/>
    <w:rsid w:val="000C3ED3"/>
    <w:rsid w:val="00142EDC"/>
    <w:rsid w:val="00164765"/>
    <w:rsid w:val="001A034F"/>
    <w:rsid w:val="001B7C06"/>
    <w:rsid w:val="001D6594"/>
    <w:rsid w:val="00245FEA"/>
    <w:rsid w:val="002A6322"/>
    <w:rsid w:val="002C3805"/>
    <w:rsid w:val="002E78F6"/>
    <w:rsid w:val="002F07FC"/>
    <w:rsid w:val="002F3E45"/>
    <w:rsid w:val="003448EB"/>
    <w:rsid w:val="00367285"/>
    <w:rsid w:val="003930E5"/>
    <w:rsid w:val="003A7CC6"/>
    <w:rsid w:val="003C1026"/>
    <w:rsid w:val="0043582B"/>
    <w:rsid w:val="004535AB"/>
    <w:rsid w:val="00453674"/>
    <w:rsid w:val="00454173"/>
    <w:rsid w:val="004A3592"/>
    <w:rsid w:val="004C37A4"/>
    <w:rsid w:val="004E2D57"/>
    <w:rsid w:val="00500310"/>
    <w:rsid w:val="00596C0B"/>
    <w:rsid w:val="005A32F2"/>
    <w:rsid w:val="005D28BB"/>
    <w:rsid w:val="0060645B"/>
    <w:rsid w:val="0063228E"/>
    <w:rsid w:val="006B39F2"/>
    <w:rsid w:val="006D3A76"/>
    <w:rsid w:val="006F33AD"/>
    <w:rsid w:val="0071401C"/>
    <w:rsid w:val="00721D38"/>
    <w:rsid w:val="007270F0"/>
    <w:rsid w:val="00750A76"/>
    <w:rsid w:val="007632F6"/>
    <w:rsid w:val="00773775"/>
    <w:rsid w:val="00777B94"/>
    <w:rsid w:val="00784FBF"/>
    <w:rsid w:val="007A30A0"/>
    <w:rsid w:val="007A764B"/>
    <w:rsid w:val="00821C69"/>
    <w:rsid w:val="00872E80"/>
    <w:rsid w:val="008B19B4"/>
    <w:rsid w:val="008D688B"/>
    <w:rsid w:val="008F7317"/>
    <w:rsid w:val="009319B7"/>
    <w:rsid w:val="00934D54"/>
    <w:rsid w:val="00942610"/>
    <w:rsid w:val="009433F3"/>
    <w:rsid w:val="00967CD4"/>
    <w:rsid w:val="00972649"/>
    <w:rsid w:val="009B6925"/>
    <w:rsid w:val="009C538D"/>
    <w:rsid w:val="009E4271"/>
    <w:rsid w:val="009E6752"/>
    <w:rsid w:val="009F0B84"/>
    <w:rsid w:val="00A251C7"/>
    <w:rsid w:val="00A456A6"/>
    <w:rsid w:val="00A6741B"/>
    <w:rsid w:val="00A93C73"/>
    <w:rsid w:val="00AA6B52"/>
    <w:rsid w:val="00B06F5B"/>
    <w:rsid w:val="00B113FE"/>
    <w:rsid w:val="00B203CA"/>
    <w:rsid w:val="00B441EA"/>
    <w:rsid w:val="00B95F55"/>
    <w:rsid w:val="00BA341D"/>
    <w:rsid w:val="00BF3986"/>
    <w:rsid w:val="00C2145B"/>
    <w:rsid w:val="00C56AE5"/>
    <w:rsid w:val="00C61DBB"/>
    <w:rsid w:val="00C721FC"/>
    <w:rsid w:val="00CA1B65"/>
    <w:rsid w:val="00CF2CA9"/>
    <w:rsid w:val="00D03A35"/>
    <w:rsid w:val="00D665EA"/>
    <w:rsid w:val="00DA6CE8"/>
    <w:rsid w:val="00DB6F99"/>
    <w:rsid w:val="00DB76AA"/>
    <w:rsid w:val="00DE300D"/>
    <w:rsid w:val="00DF02D6"/>
    <w:rsid w:val="00E02836"/>
    <w:rsid w:val="00E0468A"/>
    <w:rsid w:val="00E20AB5"/>
    <w:rsid w:val="00E43546"/>
    <w:rsid w:val="00E814F0"/>
    <w:rsid w:val="00E9624F"/>
    <w:rsid w:val="00EA13DA"/>
    <w:rsid w:val="00EC42A7"/>
    <w:rsid w:val="00EC55DB"/>
    <w:rsid w:val="00F465DC"/>
    <w:rsid w:val="00F71F7A"/>
    <w:rsid w:val="00F7781D"/>
    <w:rsid w:val="00F9700F"/>
    <w:rsid w:val="00FD1F65"/>
    <w:rsid w:val="00FD6A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DBE38D"/>
  <w15:chartTrackingRefBased/>
  <w15:docId w15:val="{AD00AD01-9D61-4A71-8F45-026E5001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 Char,Footnote Text Char Char Char Char1 Char Char,Footnote Text Char1 Char Char,Footnote Text Char1 Char Char Char Char,Footnote Text Char1 Char2 Char,Footnote Text Char2 Char"/>
    <w:link w:val="FootnoteText"/>
    <w:uiPriority w:val="99"/>
    <w:locked/>
    <w:rsid w:val="00EC42A7"/>
  </w:style>
  <w:style w:type="character" w:customStyle="1" w:styleId="ParaNumChar1">
    <w:name w:val="ParaNum Char1"/>
    <w:link w:val="ParaNum"/>
    <w:rsid w:val="0071401C"/>
    <w:rPr>
      <w:snapToGrid w:val="0"/>
      <w:kern w:val="28"/>
      <w:sz w:val="22"/>
    </w:rPr>
  </w:style>
  <w:style w:type="character" w:styleId="CommentReference">
    <w:name w:val="annotation reference"/>
    <w:uiPriority w:val="99"/>
    <w:semiHidden/>
    <w:unhideWhenUsed/>
    <w:rsid w:val="005A32F2"/>
    <w:rPr>
      <w:sz w:val="16"/>
      <w:szCs w:val="16"/>
    </w:rPr>
  </w:style>
  <w:style w:type="paragraph" w:styleId="CommentText">
    <w:name w:val="annotation text"/>
    <w:basedOn w:val="Normal"/>
    <w:link w:val="CommentTextChar"/>
    <w:uiPriority w:val="99"/>
    <w:unhideWhenUsed/>
    <w:rsid w:val="005A32F2"/>
    <w:rPr>
      <w:sz w:val="20"/>
    </w:rPr>
  </w:style>
  <w:style w:type="character" w:customStyle="1" w:styleId="CommentTextChar">
    <w:name w:val="Comment Text Char"/>
    <w:link w:val="CommentText"/>
    <w:uiPriority w:val="99"/>
    <w:rsid w:val="005A32F2"/>
    <w:rPr>
      <w:snapToGrid w:val="0"/>
      <w:kern w:val="28"/>
    </w:rPr>
  </w:style>
  <w:style w:type="paragraph" w:styleId="CommentSubject">
    <w:name w:val="annotation subject"/>
    <w:basedOn w:val="CommentText"/>
    <w:next w:val="CommentText"/>
    <w:link w:val="CommentSubjectChar"/>
    <w:uiPriority w:val="99"/>
    <w:semiHidden/>
    <w:unhideWhenUsed/>
    <w:rsid w:val="005A32F2"/>
    <w:rPr>
      <w:b/>
      <w:bCs/>
    </w:rPr>
  </w:style>
  <w:style w:type="character" w:customStyle="1" w:styleId="CommentSubjectChar">
    <w:name w:val="Comment Subject Char"/>
    <w:link w:val="CommentSubject"/>
    <w:uiPriority w:val="99"/>
    <w:semiHidden/>
    <w:rsid w:val="005A32F2"/>
    <w:rPr>
      <w:b/>
      <w:bCs/>
      <w:snapToGrid w:val="0"/>
      <w:kern w:val="28"/>
    </w:rPr>
  </w:style>
  <w:style w:type="paragraph" w:styleId="Revision">
    <w:name w:val="Revision"/>
    <w:hidden/>
    <w:uiPriority w:val="99"/>
    <w:semiHidden/>
    <w:rsid w:val="00B113F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