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20A77F46">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904AAD7" w14:textId="2E39C3D6">
      <w:pPr>
        <w:widowControl w:val="0"/>
        <w:jc w:val="right"/>
        <w:rPr>
          <w:b/>
          <w:snapToGrid w:val="0"/>
          <w:kern w:val="28"/>
          <w:szCs w:val="22"/>
        </w:rPr>
      </w:pPr>
      <w:bookmarkStart w:id="1" w:name="_Hlk26280526"/>
      <w:bookmarkStart w:id="2" w:name="_Hlk64383480"/>
      <w:r w:rsidRPr="00CB6B4E">
        <w:rPr>
          <w:b/>
          <w:snapToGrid w:val="0"/>
          <w:kern w:val="28"/>
          <w:szCs w:val="22"/>
        </w:rPr>
        <w:t>DA 2</w:t>
      </w:r>
      <w:r w:rsidR="0075392E">
        <w:rPr>
          <w:b/>
          <w:snapToGrid w:val="0"/>
          <w:kern w:val="28"/>
          <w:szCs w:val="22"/>
        </w:rPr>
        <w:t>3</w:t>
      </w:r>
      <w:r w:rsidRPr="00CB6B4E">
        <w:rPr>
          <w:b/>
          <w:snapToGrid w:val="0"/>
          <w:kern w:val="28"/>
          <w:szCs w:val="22"/>
        </w:rPr>
        <w:t>-</w:t>
      </w:r>
      <w:r w:rsidR="00BA573C">
        <w:rPr>
          <w:b/>
          <w:snapToGrid w:val="0"/>
          <w:kern w:val="28"/>
          <w:szCs w:val="22"/>
        </w:rPr>
        <w:t>198</w:t>
      </w:r>
    </w:p>
    <w:p w:rsidR="00AD440B" w:rsidRPr="00CB6B4E" w:rsidP="00ED51D0" w14:paraId="231AEE06" w14:textId="589E87C4">
      <w:pPr>
        <w:widowControl w:val="0"/>
        <w:jc w:val="right"/>
        <w:rPr>
          <w:b/>
          <w:snapToGrid w:val="0"/>
          <w:kern w:val="28"/>
          <w:szCs w:val="22"/>
        </w:rPr>
      </w:pPr>
      <w:r w:rsidRPr="00CB6B4E">
        <w:rPr>
          <w:b/>
          <w:snapToGrid w:val="0"/>
          <w:kern w:val="28"/>
          <w:szCs w:val="22"/>
        </w:rPr>
        <w:t xml:space="preserve">Released:  </w:t>
      </w:r>
      <w:r w:rsidR="000C1273">
        <w:rPr>
          <w:b/>
          <w:snapToGrid w:val="0"/>
          <w:kern w:val="28"/>
          <w:szCs w:val="22"/>
        </w:rPr>
        <w:t>March</w:t>
      </w:r>
      <w:r w:rsidR="00FA453A">
        <w:rPr>
          <w:b/>
          <w:snapToGrid w:val="0"/>
          <w:kern w:val="28"/>
          <w:szCs w:val="22"/>
        </w:rPr>
        <w:t xml:space="preserve"> </w:t>
      </w:r>
      <w:r w:rsidR="00077C7A">
        <w:rPr>
          <w:b/>
          <w:snapToGrid w:val="0"/>
          <w:kern w:val="28"/>
          <w:szCs w:val="22"/>
        </w:rPr>
        <w:t>10</w:t>
      </w:r>
      <w:r w:rsidR="00441048">
        <w:rPr>
          <w:b/>
          <w:snapToGrid w:val="0"/>
          <w:kern w:val="28"/>
          <w:szCs w:val="22"/>
        </w:rPr>
        <w:t>,</w:t>
      </w:r>
      <w:r w:rsidRPr="00CB6B4E">
        <w:rPr>
          <w:b/>
          <w:snapToGrid w:val="0"/>
          <w:kern w:val="28"/>
          <w:szCs w:val="22"/>
        </w:rPr>
        <w:t xml:space="preserve"> 202</w:t>
      </w:r>
      <w:r w:rsidR="0075392E">
        <w:rPr>
          <w:b/>
          <w:snapToGrid w:val="0"/>
          <w:kern w:val="28"/>
          <w:szCs w:val="22"/>
        </w:rPr>
        <w:t>3</w:t>
      </w:r>
    </w:p>
    <w:p w:rsidR="00AD440B" w:rsidRPr="00CB6B4E" w:rsidP="00AD440B" w14:paraId="5B2A0F94" w14:textId="77777777">
      <w:pPr>
        <w:widowControl w:val="0"/>
        <w:spacing w:before="60"/>
        <w:jc w:val="center"/>
        <w:rPr>
          <w:b/>
          <w:snapToGrid w:val="0"/>
          <w:kern w:val="28"/>
          <w:szCs w:val="22"/>
        </w:rPr>
      </w:pPr>
    </w:p>
    <w:p w:rsidR="0060110D" w:rsidP="001F33B5" w14:paraId="13725750"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CD323B" w:rsidRPr="00CD323B" w:rsidP="00CD323B" w14:paraId="5A6E5EA6" w14:textId="51977147">
      <w:pPr>
        <w:jc w:val="center"/>
        <w:rPr>
          <w:b/>
          <w:bCs/>
          <w:szCs w:val="22"/>
        </w:rPr>
      </w:pPr>
      <w:r>
        <w:rPr>
          <w:b/>
          <w:bCs/>
          <w:szCs w:val="22"/>
        </w:rPr>
        <w:t>FOR THE TRANSFER OF CONTROL OF</w:t>
      </w:r>
    </w:p>
    <w:p w:rsidR="00171B51" w:rsidP="00CD323B" w14:paraId="75478E58" w14:textId="77777777">
      <w:pPr>
        <w:jc w:val="center"/>
        <w:rPr>
          <w:b/>
          <w:bCs/>
          <w:szCs w:val="22"/>
        </w:rPr>
      </w:pPr>
      <w:r w:rsidRPr="00CD323B">
        <w:rPr>
          <w:b/>
          <w:bCs/>
          <w:szCs w:val="22"/>
        </w:rPr>
        <w:t>POINT BROADBAND HOLDINGS, LLC</w:t>
      </w:r>
      <w:r>
        <w:rPr>
          <w:b/>
          <w:bCs/>
          <w:szCs w:val="22"/>
        </w:rPr>
        <w:t xml:space="preserve"> </w:t>
      </w:r>
      <w:r>
        <w:rPr>
          <w:b/>
          <w:bCs/>
          <w:szCs w:val="22"/>
        </w:rPr>
        <w:t xml:space="preserve">AND ITS SUBSIDIARIES </w:t>
      </w:r>
    </w:p>
    <w:p w:rsidR="001736D0" w:rsidRPr="00FA453A" w:rsidP="00CD323B" w14:paraId="3E6679AE" w14:textId="7FD6FA26">
      <w:pPr>
        <w:jc w:val="center"/>
        <w:rPr>
          <w:b/>
          <w:bCs/>
          <w:szCs w:val="22"/>
        </w:rPr>
      </w:pPr>
      <w:r>
        <w:rPr>
          <w:b/>
          <w:bCs/>
          <w:szCs w:val="22"/>
        </w:rPr>
        <w:t>TO</w:t>
      </w:r>
      <w:r w:rsidRPr="00CD323B">
        <w:rPr>
          <w:b/>
          <w:bCs/>
          <w:szCs w:val="22"/>
        </w:rPr>
        <w:t xml:space="preserve"> BP BROADBAND AGGREGATOR, L.P</w:t>
      </w:r>
      <w:r>
        <w:rPr>
          <w:b/>
          <w:bCs/>
          <w:szCs w:val="22"/>
        </w:rPr>
        <w:t>.</w:t>
      </w:r>
      <w:r w:rsidRPr="00CD323B">
        <w:rPr>
          <w:b/>
          <w:bCs/>
          <w:szCs w:val="22"/>
        </w:rPr>
        <w:t xml:space="preserve"> </w:t>
      </w:r>
    </w:p>
    <w:p w:rsidR="00AD440B" w:rsidRPr="00AD440B" w:rsidP="00AD440B" w14:paraId="7C56D78F" w14:textId="77777777">
      <w:pPr>
        <w:jc w:val="center"/>
        <w:rPr>
          <w:b/>
          <w:bCs/>
          <w:szCs w:val="22"/>
        </w:rPr>
      </w:pPr>
      <w:r w:rsidRPr="00AD440B">
        <w:rPr>
          <w:b/>
          <w:bCs/>
          <w:caps/>
          <w:szCs w:val="22"/>
        </w:rPr>
        <w:t xml:space="preserve"> </w:t>
      </w:r>
    </w:p>
    <w:p w:rsidR="00AD440B" w:rsidP="0055505D" w14:paraId="2A987080" w14:textId="58E92FFC">
      <w:pPr>
        <w:jc w:val="center"/>
        <w:rPr>
          <w:b/>
          <w:szCs w:val="22"/>
        </w:rPr>
      </w:pPr>
      <w:r>
        <w:rPr>
          <w:b/>
          <w:szCs w:val="22"/>
        </w:rPr>
        <w:t>NON-</w:t>
      </w:r>
      <w:r w:rsidRPr="00AD440B" w:rsidR="007F3103">
        <w:rPr>
          <w:b/>
          <w:szCs w:val="22"/>
        </w:rPr>
        <w:t>STREAMLINED PLEADING CYCLE ESTABLISHED</w:t>
      </w:r>
    </w:p>
    <w:p w:rsidR="00031C8B" w:rsidRPr="0055505D" w:rsidP="0055505D" w14:paraId="3520B98A" w14:textId="77777777">
      <w:pPr>
        <w:jc w:val="center"/>
        <w:rPr>
          <w:b/>
          <w:szCs w:val="22"/>
        </w:rPr>
      </w:pPr>
    </w:p>
    <w:p w:rsidR="00AD440B" w:rsidRPr="00AD440B" w:rsidP="00AD440B" w14:paraId="437AB135" w14:textId="6439C57C">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Pr="000746B6" w:rsidR="0075392E">
        <w:rPr>
          <w:b/>
          <w:snapToGrid w:val="0"/>
          <w:kern w:val="28"/>
          <w:szCs w:val="22"/>
        </w:rPr>
        <w:t>3</w:t>
      </w:r>
      <w:r w:rsidRPr="000746B6">
        <w:rPr>
          <w:b/>
          <w:snapToGrid w:val="0"/>
          <w:kern w:val="28"/>
          <w:szCs w:val="22"/>
        </w:rPr>
        <w:t>-</w:t>
      </w:r>
      <w:r w:rsidRPr="000746B6" w:rsidR="000746B6">
        <w:rPr>
          <w:b/>
          <w:snapToGrid w:val="0"/>
          <w:kern w:val="28"/>
          <w:szCs w:val="22"/>
        </w:rPr>
        <w:t>52</w:t>
      </w:r>
    </w:p>
    <w:p w:rsidR="00E94F15" w:rsidP="00AD440B" w14:paraId="54ED226F" w14:textId="77777777">
      <w:pPr>
        <w:rPr>
          <w:b/>
          <w:szCs w:val="22"/>
        </w:rPr>
      </w:pPr>
    </w:p>
    <w:p w:rsidR="00AD440B" w:rsidRPr="00077C7A" w:rsidP="00AD440B" w14:paraId="284ED08C" w14:textId="3B75A331">
      <w:pPr>
        <w:rPr>
          <w:b/>
          <w:szCs w:val="22"/>
        </w:rPr>
      </w:pPr>
      <w:r w:rsidRPr="00AD440B">
        <w:rPr>
          <w:b/>
          <w:szCs w:val="22"/>
        </w:rPr>
        <w:t xml:space="preserve">Comments Due:  </w:t>
      </w:r>
      <w:r w:rsidR="006F1F25">
        <w:rPr>
          <w:b/>
          <w:szCs w:val="22"/>
        </w:rPr>
        <w:t>March</w:t>
      </w:r>
      <w:r w:rsidR="00BF0215">
        <w:rPr>
          <w:b/>
          <w:szCs w:val="22"/>
        </w:rPr>
        <w:t xml:space="preserve"> </w:t>
      </w:r>
      <w:r w:rsidRPr="00077C7A" w:rsidR="00EE6C21">
        <w:rPr>
          <w:b/>
          <w:szCs w:val="22"/>
        </w:rPr>
        <w:t>2</w:t>
      </w:r>
      <w:r w:rsidRPr="00077C7A" w:rsidR="00077C7A">
        <w:rPr>
          <w:b/>
          <w:szCs w:val="22"/>
        </w:rPr>
        <w:t>4</w:t>
      </w:r>
      <w:r w:rsidRPr="00077C7A">
        <w:rPr>
          <w:b/>
          <w:szCs w:val="22"/>
        </w:rPr>
        <w:t>, 202</w:t>
      </w:r>
      <w:r w:rsidRPr="00077C7A" w:rsidR="0075392E">
        <w:rPr>
          <w:b/>
          <w:szCs w:val="22"/>
        </w:rPr>
        <w:t>3</w:t>
      </w:r>
      <w:r w:rsidRPr="00077C7A">
        <w:rPr>
          <w:b/>
          <w:szCs w:val="22"/>
        </w:rPr>
        <w:t xml:space="preserve"> </w:t>
      </w:r>
    </w:p>
    <w:p w:rsidR="00AD440B" w:rsidRPr="00AD440B" w:rsidP="00AD440B" w14:paraId="72A344A0" w14:textId="16C2C9C3">
      <w:pPr>
        <w:rPr>
          <w:b/>
          <w:szCs w:val="22"/>
        </w:rPr>
      </w:pPr>
      <w:r w:rsidRPr="00077C7A">
        <w:rPr>
          <w:b/>
          <w:szCs w:val="22"/>
        </w:rPr>
        <w:t xml:space="preserve">Reply Comment Due:  </w:t>
      </w:r>
      <w:r w:rsidRPr="00077C7A" w:rsidR="006F1F25">
        <w:rPr>
          <w:b/>
          <w:szCs w:val="22"/>
        </w:rPr>
        <w:t>March</w:t>
      </w:r>
      <w:r w:rsidRPr="00077C7A" w:rsidR="00FA453A">
        <w:rPr>
          <w:b/>
          <w:szCs w:val="22"/>
        </w:rPr>
        <w:t xml:space="preserve"> </w:t>
      </w:r>
      <w:r w:rsidRPr="00077C7A" w:rsidR="00EE6C21">
        <w:rPr>
          <w:b/>
          <w:szCs w:val="22"/>
        </w:rPr>
        <w:t>3</w:t>
      </w:r>
      <w:r w:rsidRPr="00077C7A" w:rsidR="00077C7A">
        <w:rPr>
          <w:b/>
          <w:szCs w:val="22"/>
        </w:rPr>
        <w:t>1</w:t>
      </w:r>
      <w:r w:rsidRPr="00077C7A">
        <w:rPr>
          <w:b/>
          <w:szCs w:val="22"/>
        </w:rPr>
        <w:t>,</w:t>
      </w:r>
      <w:r w:rsidRPr="00AD440B">
        <w:rPr>
          <w:b/>
          <w:szCs w:val="22"/>
        </w:rPr>
        <w:t xml:space="preserve"> 202</w:t>
      </w:r>
      <w:r w:rsidR="0075392E">
        <w:rPr>
          <w:b/>
          <w:szCs w:val="22"/>
        </w:rPr>
        <w:t>3</w:t>
      </w:r>
      <w:r w:rsidRPr="00AD440B">
        <w:rPr>
          <w:b/>
          <w:szCs w:val="22"/>
        </w:rPr>
        <w:t xml:space="preserve"> </w:t>
      </w:r>
    </w:p>
    <w:p w:rsidR="00AD440B" w:rsidRPr="00AD440B" w:rsidP="00AD440B" w14:paraId="7C8CB00C" w14:textId="77777777">
      <w:pPr>
        <w:rPr>
          <w:b/>
          <w:szCs w:val="22"/>
        </w:rPr>
      </w:pPr>
    </w:p>
    <w:p w:rsidR="003570A6" w:rsidP="00707411" w14:paraId="0E687417" w14:textId="322D6C13">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73713070"/>
      <w:bookmarkStart w:id="4" w:name="_Hlk67917977"/>
      <w:r w:rsidRPr="00707411" w:rsidR="00707411">
        <w:rPr>
          <w:szCs w:val="22"/>
        </w:rPr>
        <w:t>BP Broadband Aggregator, L.P. (BP Broadband); Point Broadband</w:t>
      </w:r>
      <w:r w:rsidR="00707411">
        <w:rPr>
          <w:szCs w:val="22"/>
        </w:rPr>
        <w:t xml:space="preserve"> </w:t>
      </w:r>
      <w:r w:rsidRPr="00707411" w:rsidR="00707411">
        <w:rPr>
          <w:szCs w:val="22"/>
        </w:rPr>
        <w:t>Holdings, LLC (Point Broadband); Sunset Fiber, LLC (Sunset Fiber); Sunset</w:t>
      </w:r>
      <w:r w:rsidR="00707411">
        <w:rPr>
          <w:szCs w:val="22"/>
        </w:rPr>
        <w:t xml:space="preserve"> </w:t>
      </w:r>
      <w:r w:rsidRPr="00707411" w:rsidR="00707411">
        <w:rPr>
          <w:szCs w:val="22"/>
        </w:rPr>
        <w:t>Digital Communications, LLC (Sunset Digital); Point Broadband of Alabama, LLC (Point</w:t>
      </w:r>
      <w:r w:rsidR="00707411">
        <w:rPr>
          <w:szCs w:val="22"/>
        </w:rPr>
        <w:t xml:space="preserve"> </w:t>
      </w:r>
      <w:r w:rsidRPr="00707411" w:rsidR="00707411">
        <w:rPr>
          <w:szCs w:val="22"/>
        </w:rPr>
        <w:t>Broadband-AL</w:t>
      </w:r>
      <w:r w:rsidR="0083207D">
        <w:rPr>
          <w:szCs w:val="22"/>
        </w:rPr>
        <w:t>)</w:t>
      </w:r>
      <w:r w:rsidRPr="00707411" w:rsidR="00707411">
        <w:rPr>
          <w:szCs w:val="22"/>
        </w:rPr>
        <w:t>; Point Broadband Fiber Holding, LLC (Point Broadband Fiber) and Point</w:t>
      </w:r>
      <w:r w:rsidR="00707411">
        <w:rPr>
          <w:szCs w:val="22"/>
        </w:rPr>
        <w:t xml:space="preserve"> </w:t>
      </w:r>
      <w:r w:rsidRPr="00707411" w:rsidR="00707411">
        <w:rPr>
          <w:szCs w:val="22"/>
        </w:rPr>
        <w:t>Broadband Acquisition, LLC (Point Broadband Acquisition)</w:t>
      </w:r>
      <w:r w:rsidR="00707411">
        <w:rPr>
          <w:szCs w:val="22"/>
        </w:rPr>
        <w:t xml:space="preserve"> (</w:t>
      </w:r>
      <w:r w:rsidRPr="00707411" w:rsidR="00707411">
        <w:rPr>
          <w:szCs w:val="22"/>
        </w:rPr>
        <w:t>Sunset Digital, Sunset Fiber, Point</w:t>
      </w:r>
      <w:r w:rsidR="00707411">
        <w:rPr>
          <w:szCs w:val="22"/>
        </w:rPr>
        <w:t xml:space="preserve"> </w:t>
      </w:r>
      <w:r w:rsidRPr="00707411" w:rsidR="00707411">
        <w:rPr>
          <w:szCs w:val="22"/>
        </w:rPr>
        <w:t>Broadband-AL, Point</w:t>
      </w:r>
      <w:r w:rsidR="00707411">
        <w:rPr>
          <w:szCs w:val="22"/>
        </w:rPr>
        <w:t xml:space="preserve"> </w:t>
      </w:r>
      <w:r w:rsidRPr="00707411" w:rsidR="00707411">
        <w:rPr>
          <w:szCs w:val="22"/>
        </w:rPr>
        <w:t>Broadband Fiber and Point Broadband Acquisition</w:t>
      </w:r>
      <w:r w:rsidR="00707411">
        <w:rPr>
          <w:szCs w:val="22"/>
        </w:rPr>
        <w:t>)</w:t>
      </w:r>
      <w:r w:rsidRPr="00707411" w:rsidR="00707411">
        <w:rPr>
          <w:szCs w:val="22"/>
        </w:rPr>
        <w:t xml:space="preserve"> </w:t>
      </w:r>
      <w:r w:rsidR="00707411">
        <w:rPr>
          <w:szCs w:val="22"/>
        </w:rPr>
        <w:t>(</w:t>
      </w:r>
      <w:r w:rsidRPr="00707411" w:rsidR="00707411">
        <w:rPr>
          <w:szCs w:val="22"/>
        </w:rPr>
        <w:t>Licensees</w:t>
      </w:r>
      <w:r w:rsidR="00707411">
        <w:rPr>
          <w:szCs w:val="22"/>
        </w:rPr>
        <w:t>)</w:t>
      </w:r>
      <w:r w:rsidRPr="00707411" w:rsidR="00707411">
        <w:rPr>
          <w:szCs w:val="22"/>
        </w:rPr>
        <w:t xml:space="preserve"> </w:t>
      </w:r>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rStyle w:val="FootnoteReference"/>
          <w:szCs w:val="22"/>
        </w:rPr>
        <w:footnoteReference w:id="3"/>
      </w:r>
      <w:r>
        <w:rPr>
          <w:szCs w:val="22"/>
        </w:rPr>
        <w:t xml:space="preserve"> requesting consent to transfer </w:t>
      </w:r>
      <w:r w:rsidR="00570DA8">
        <w:rPr>
          <w:szCs w:val="22"/>
        </w:rPr>
        <w:t xml:space="preserve">control of </w:t>
      </w:r>
      <w:r w:rsidRPr="00707411" w:rsidR="00707411">
        <w:rPr>
          <w:szCs w:val="22"/>
        </w:rPr>
        <w:t xml:space="preserve">Point Broadband and </w:t>
      </w:r>
      <w:bookmarkStart w:id="5" w:name="_Hlk127194347"/>
      <w:r w:rsidRPr="00707411" w:rsidR="00707411">
        <w:rPr>
          <w:szCs w:val="22"/>
        </w:rPr>
        <w:t>Licensees</w:t>
      </w:r>
      <w:bookmarkEnd w:id="5"/>
      <w:r w:rsidRPr="00707411" w:rsidR="00707411">
        <w:rPr>
          <w:szCs w:val="22"/>
        </w:rPr>
        <w:t xml:space="preserve"> </w:t>
      </w:r>
      <w:r w:rsidR="00707411">
        <w:rPr>
          <w:szCs w:val="22"/>
        </w:rPr>
        <w:t>to</w:t>
      </w:r>
      <w:r w:rsidRPr="00707411" w:rsidR="00707411">
        <w:rPr>
          <w:szCs w:val="22"/>
        </w:rPr>
        <w:t xml:space="preserve"> BP Broadband</w:t>
      </w:r>
      <w:r w:rsidR="0055505D">
        <w:rPr>
          <w:szCs w:val="22"/>
        </w:rPr>
        <w:t>.</w:t>
      </w:r>
      <w:bookmarkEnd w:id="3"/>
      <w:bookmarkEnd w:id="4"/>
      <w:r>
        <w:rPr>
          <w:szCs w:val="22"/>
          <w:vertAlign w:val="superscript"/>
        </w:rPr>
        <w:footnoteReference w:id="4"/>
      </w:r>
      <w:r w:rsidR="0055505D">
        <w:rPr>
          <w:szCs w:val="22"/>
        </w:rPr>
        <w:t xml:space="preserve"> </w:t>
      </w:r>
      <w:r w:rsidRPr="00AD440B" w:rsidR="0029098D">
        <w:rPr>
          <w:szCs w:val="22"/>
        </w:rPr>
        <w:t xml:space="preserve"> </w:t>
      </w:r>
    </w:p>
    <w:p w:rsidR="004E0469" w:rsidP="001B294D" w14:paraId="40AE0E82" w14:textId="534DBD81">
      <w:pPr>
        <w:autoSpaceDE w:val="0"/>
        <w:autoSpaceDN w:val="0"/>
        <w:adjustRightInd w:val="0"/>
        <w:spacing w:after="120"/>
        <w:ind w:firstLine="720"/>
        <w:rPr>
          <w:szCs w:val="22"/>
        </w:rPr>
      </w:pPr>
      <w:r w:rsidRPr="0005331E">
        <w:rPr>
          <w:szCs w:val="22"/>
        </w:rPr>
        <w:t>Point Broadband</w:t>
      </w:r>
      <w:r w:rsidR="00803143">
        <w:rPr>
          <w:szCs w:val="22"/>
        </w:rPr>
        <w:t>,</w:t>
      </w:r>
      <w:r w:rsidRPr="0005331E">
        <w:rPr>
          <w:szCs w:val="22"/>
        </w:rPr>
        <w:t xml:space="preserve"> a Delaware limited liability company,</w:t>
      </w:r>
      <w:r w:rsidRPr="0005331E" w:rsidR="00A32E7A">
        <w:rPr>
          <w:szCs w:val="22"/>
        </w:rPr>
        <w:t xml:space="preserve"> serves as the parent company of Point Broadband Fiber, a</w:t>
      </w:r>
      <w:r w:rsidR="005630DC">
        <w:rPr>
          <w:szCs w:val="22"/>
        </w:rPr>
        <w:t xml:space="preserve">n </w:t>
      </w:r>
      <w:r w:rsidR="00803143">
        <w:rPr>
          <w:szCs w:val="22"/>
        </w:rPr>
        <w:t>eligible telecommunications carrier</w:t>
      </w:r>
      <w:r w:rsidR="005630DC">
        <w:rPr>
          <w:szCs w:val="22"/>
        </w:rPr>
        <w:t xml:space="preserve"> that provides</w:t>
      </w:r>
      <w:r w:rsidRPr="0005331E" w:rsidR="00A32E7A">
        <w:rPr>
          <w:szCs w:val="22"/>
        </w:rPr>
        <w:t xml:space="preserve"> </w:t>
      </w:r>
      <w:r w:rsidRPr="0005331E" w:rsidR="00B91F8A">
        <w:rPr>
          <w:szCs w:val="22"/>
        </w:rPr>
        <w:t>telecommunications</w:t>
      </w:r>
      <w:r w:rsidR="005630DC">
        <w:rPr>
          <w:szCs w:val="22"/>
        </w:rPr>
        <w:t xml:space="preserve"> </w:t>
      </w:r>
      <w:r w:rsidRPr="0005331E" w:rsidR="00A32E7A">
        <w:rPr>
          <w:szCs w:val="22"/>
        </w:rPr>
        <w:t>serv</w:t>
      </w:r>
      <w:r w:rsidR="005630DC">
        <w:rPr>
          <w:szCs w:val="22"/>
        </w:rPr>
        <w:t>ices in</w:t>
      </w:r>
      <w:r w:rsidRPr="0005331E" w:rsidR="00A32E7A">
        <w:rPr>
          <w:szCs w:val="22"/>
        </w:rPr>
        <w:t xml:space="preserve"> </w:t>
      </w:r>
      <w:r w:rsidR="00CE15C0">
        <w:rPr>
          <w:szCs w:val="22"/>
        </w:rPr>
        <w:t>parts of Tennessee.</w:t>
      </w:r>
      <w:r>
        <w:rPr>
          <w:rStyle w:val="FootnoteReference"/>
          <w:szCs w:val="22"/>
        </w:rPr>
        <w:footnoteReference w:id="5"/>
      </w:r>
      <w:r w:rsidR="00CE15C0">
        <w:rPr>
          <w:szCs w:val="22"/>
        </w:rPr>
        <w:t xml:space="preserve">  </w:t>
      </w:r>
      <w:r w:rsidR="00D75021">
        <w:rPr>
          <w:szCs w:val="22"/>
        </w:rPr>
        <w:t>Point Broa</w:t>
      </w:r>
      <w:r w:rsidR="00803143">
        <w:rPr>
          <w:szCs w:val="22"/>
        </w:rPr>
        <w:t>d</w:t>
      </w:r>
      <w:r w:rsidR="00D75021">
        <w:rPr>
          <w:szCs w:val="22"/>
        </w:rPr>
        <w:t>band Fiber wholly</w:t>
      </w:r>
      <w:r w:rsidR="004343F3">
        <w:rPr>
          <w:szCs w:val="22"/>
        </w:rPr>
        <w:t xml:space="preserve"> </w:t>
      </w:r>
      <w:r w:rsidR="00D75021">
        <w:rPr>
          <w:szCs w:val="22"/>
        </w:rPr>
        <w:t xml:space="preserve">owns Sunset Digital, Sunset Fiber </w:t>
      </w:r>
      <w:r w:rsidR="00D75021">
        <w:rPr>
          <w:szCs w:val="22"/>
        </w:rPr>
        <w:t>and Point Broadband-AL.</w:t>
      </w:r>
      <w:r>
        <w:rPr>
          <w:rStyle w:val="FootnoteReference"/>
          <w:szCs w:val="22"/>
        </w:rPr>
        <w:footnoteReference w:id="6"/>
      </w:r>
      <w:r w:rsidR="00D75021">
        <w:rPr>
          <w:szCs w:val="22"/>
        </w:rPr>
        <w:t xml:space="preserve">  </w:t>
      </w:r>
      <w:r w:rsidR="00CE15C0">
        <w:rPr>
          <w:szCs w:val="22"/>
        </w:rPr>
        <w:t>Sunset Digital and Sunset Fiber, LLC provide telecommunications services in parts of Virginia.</w:t>
      </w:r>
      <w:r>
        <w:rPr>
          <w:rStyle w:val="FootnoteReference"/>
          <w:szCs w:val="22"/>
        </w:rPr>
        <w:footnoteReference w:id="7"/>
      </w:r>
      <w:r w:rsidRPr="0005331E">
        <w:rPr>
          <w:szCs w:val="22"/>
        </w:rPr>
        <w:t xml:space="preserve"> </w:t>
      </w:r>
      <w:r w:rsidR="00603418">
        <w:rPr>
          <w:szCs w:val="22"/>
        </w:rPr>
        <w:t xml:space="preserve"> </w:t>
      </w:r>
      <w:r w:rsidRPr="007F1171" w:rsidR="008F5100">
        <w:rPr>
          <w:szCs w:val="22"/>
        </w:rPr>
        <w:t xml:space="preserve">Sunset Digital is a recipient of Connect America Fund (CAF) Phase II Auction </w:t>
      </w:r>
      <w:r w:rsidR="00BC62BB">
        <w:rPr>
          <w:szCs w:val="22"/>
        </w:rPr>
        <w:t xml:space="preserve">903 </w:t>
      </w:r>
      <w:r w:rsidRPr="007F1171" w:rsidR="008F5100">
        <w:rPr>
          <w:szCs w:val="22"/>
        </w:rPr>
        <w:t>support in</w:t>
      </w:r>
      <w:r w:rsidR="00DD082A">
        <w:rPr>
          <w:szCs w:val="22"/>
        </w:rPr>
        <w:t xml:space="preserve"> </w:t>
      </w:r>
      <w:r w:rsidRPr="007F1171" w:rsidR="008F5100">
        <w:rPr>
          <w:szCs w:val="22"/>
        </w:rPr>
        <w:t>Tennessee and Virginia</w:t>
      </w:r>
      <w:r w:rsidRPr="007F1171" w:rsidR="007F1171">
        <w:rPr>
          <w:szCs w:val="22"/>
        </w:rPr>
        <w:t>.</w:t>
      </w:r>
      <w:r>
        <w:rPr>
          <w:rStyle w:val="FootnoteReference"/>
          <w:szCs w:val="22"/>
        </w:rPr>
        <w:footnoteReference w:id="8"/>
      </w:r>
      <w:r w:rsidRPr="007F1171" w:rsidR="007F1171">
        <w:rPr>
          <w:szCs w:val="22"/>
        </w:rPr>
        <w:t xml:space="preserve"> </w:t>
      </w:r>
      <w:r w:rsidRPr="007F1171" w:rsidR="008F5100">
        <w:rPr>
          <w:szCs w:val="22"/>
        </w:rPr>
        <w:t xml:space="preserve"> Point Broadband Fiber is an auction winner for Rural Digital Opportunity Fund (RDOF) Phase I support in Alabama, </w:t>
      </w:r>
      <w:r w:rsidRPr="007F1171" w:rsidR="007F1171">
        <w:rPr>
          <w:szCs w:val="22"/>
        </w:rPr>
        <w:t xml:space="preserve">Georgia, </w:t>
      </w:r>
      <w:r w:rsidRPr="007F1171" w:rsidR="008F5100">
        <w:rPr>
          <w:szCs w:val="22"/>
        </w:rPr>
        <w:t>New York, Michigan, and Virginia</w:t>
      </w:r>
      <w:r>
        <w:rPr>
          <w:rStyle w:val="FootnoteReference"/>
          <w:szCs w:val="22"/>
        </w:rPr>
        <w:footnoteReference w:id="9"/>
      </w:r>
      <w:r w:rsidRPr="007F1171" w:rsidR="007F1171">
        <w:rPr>
          <w:szCs w:val="22"/>
        </w:rPr>
        <w:t xml:space="preserve"> and CAF-II Phase II Auction support in Michigan</w:t>
      </w:r>
      <w:r w:rsidRPr="007F1171" w:rsidR="008F5100">
        <w:rPr>
          <w:szCs w:val="22"/>
        </w:rPr>
        <w:t>.</w:t>
      </w:r>
      <w:r>
        <w:rPr>
          <w:rStyle w:val="FootnoteReference"/>
          <w:szCs w:val="22"/>
        </w:rPr>
        <w:footnoteReference w:id="10"/>
      </w:r>
      <w:r w:rsidR="008F5100">
        <w:rPr>
          <w:szCs w:val="22"/>
        </w:rPr>
        <w:t xml:space="preserve">  </w:t>
      </w:r>
      <w:r w:rsidRPr="0005331E" w:rsidR="00B813FA">
        <w:rPr>
          <w:szCs w:val="22"/>
        </w:rPr>
        <w:t>GTCR Investment XIII LLC (GTCR), a Delaware corporation, currently holds approximately 61.2% of the fully-diluted equity interests of Point Broadband through various investment funds, with Point Broadband’s remaining equity being held by management and outside investors.</w:t>
      </w:r>
      <w:r>
        <w:rPr>
          <w:rStyle w:val="FootnoteReference"/>
          <w:szCs w:val="22"/>
        </w:rPr>
        <w:footnoteReference w:id="11"/>
      </w:r>
      <w:r w:rsidRPr="0005331E" w:rsidR="0005331E">
        <w:rPr>
          <w:szCs w:val="22"/>
        </w:rPr>
        <w:t xml:space="preserve">  </w:t>
      </w:r>
    </w:p>
    <w:p w:rsidR="00F25E0D" w:rsidRPr="00734ACF" w:rsidP="001B294D" w14:paraId="76AECF2F" w14:textId="686BDDC5">
      <w:pPr>
        <w:autoSpaceDE w:val="0"/>
        <w:autoSpaceDN w:val="0"/>
        <w:adjustRightInd w:val="0"/>
        <w:spacing w:after="120"/>
        <w:ind w:firstLine="720"/>
        <w:rPr>
          <w:szCs w:val="22"/>
        </w:rPr>
      </w:pPr>
      <w:r>
        <w:rPr>
          <w:szCs w:val="22"/>
        </w:rPr>
        <w:t xml:space="preserve">Applicants state that </w:t>
      </w:r>
      <w:r w:rsidRPr="00734ACF" w:rsidR="00FE25CE">
        <w:rPr>
          <w:szCs w:val="22"/>
        </w:rPr>
        <w:t>BP Broadband</w:t>
      </w:r>
      <w:r w:rsidRPr="00734ACF" w:rsidR="00B91F8A">
        <w:rPr>
          <w:szCs w:val="22"/>
        </w:rPr>
        <w:t>,</w:t>
      </w:r>
      <w:r w:rsidRPr="00734ACF" w:rsidR="00FE25CE">
        <w:rPr>
          <w:szCs w:val="22"/>
        </w:rPr>
        <w:t xml:space="preserve"> a Delaware limited partnership,</w:t>
      </w:r>
      <w:r w:rsidRPr="00734ACF" w:rsidR="004E0469">
        <w:rPr>
          <w:szCs w:val="22"/>
        </w:rPr>
        <w:t xml:space="preserve"> </w:t>
      </w:r>
      <w:r w:rsidRPr="00734ACF" w:rsidR="00E13B95">
        <w:rPr>
          <w:szCs w:val="22"/>
        </w:rPr>
        <w:t xml:space="preserve">serves </w:t>
      </w:r>
      <w:r w:rsidR="0035442F">
        <w:rPr>
          <w:szCs w:val="22"/>
        </w:rPr>
        <w:t xml:space="preserve">as </w:t>
      </w:r>
      <w:r w:rsidRPr="00734ACF" w:rsidR="00E13B95">
        <w:rPr>
          <w:szCs w:val="22"/>
        </w:rPr>
        <w:t>an investment vehicle that was created for the purposes of the proposed transaction and aggregates the investment of private equity and infrastructure funds managed by Berkshire Partners LLC (Berkshire Partners).</w:t>
      </w:r>
      <w:r>
        <w:rPr>
          <w:rStyle w:val="FootnoteReference"/>
          <w:szCs w:val="22"/>
        </w:rPr>
        <w:footnoteReference w:id="12"/>
      </w:r>
      <w:r w:rsidRPr="00734ACF" w:rsidR="00E13B95">
        <w:rPr>
          <w:szCs w:val="22"/>
        </w:rPr>
        <w:t xml:space="preserve"> </w:t>
      </w:r>
      <w:r w:rsidR="00CF571E">
        <w:rPr>
          <w:szCs w:val="22"/>
        </w:rPr>
        <w:t xml:space="preserve"> </w:t>
      </w:r>
      <w:r w:rsidRPr="00734ACF" w:rsidR="00E13B95">
        <w:rPr>
          <w:szCs w:val="22"/>
        </w:rPr>
        <w:t xml:space="preserve">BP Broadband </w:t>
      </w:r>
      <w:r w:rsidRPr="00734ACF" w:rsidR="004E0469">
        <w:rPr>
          <w:szCs w:val="22"/>
        </w:rPr>
        <w:t xml:space="preserve">does not </w:t>
      </w:r>
      <w:r w:rsidRPr="00734ACF" w:rsidR="00E13B95">
        <w:rPr>
          <w:szCs w:val="22"/>
        </w:rPr>
        <w:t xml:space="preserve">provide </w:t>
      </w:r>
      <w:r w:rsidRPr="00734ACF" w:rsidR="004E0469">
        <w:rPr>
          <w:szCs w:val="22"/>
        </w:rPr>
        <w:t>telecommunications services and does not hold any authorizations.</w:t>
      </w:r>
      <w:r>
        <w:rPr>
          <w:rStyle w:val="FootnoteReference"/>
          <w:szCs w:val="22"/>
        </w:rPr>
        <w:footnoteReference w:id="13"/>
      </w:r>
      <w:r w:rsidRPr="00734ACF" w:rsidR="00FE25CE">
        <w:rPr>
          <w:szCs w:val="22"/>
        </w:rPr>
        <w:t xml:space="preserve">  </w:t>
      </w:r>
      <w:r w:rsidR="00EE6C21">
        <w:rPr>
          <w:szCs w:val="22"/>
        </w:rPr>
        <w:t>Applicants state that n</w:t>
      </w:r>
      <w:r w:rsidRPr="00734ACF" w:rsidR="004E0469">
        <w:rPr>
          <w:szCs w:val="22"/>
        </w:rPr>
        <w:t xml:space="preserve">o person or entity that directly or indirectly owns or controls </w:t>
      </w:r>
      <w:r w:rsidRPr="00734ACF" w:rsidR="004E0469">
        <w:rPr>
          <w:szCs w:val="22"/>
        </w:rPr>
        <w:t>10% or more of BP Broadband also directly or indirectly owns or controls 10% or more of another telecommunications provider in the United States.</w:t>
      </w:r>
      <w:r>
        <w:rPr>
          <w:rStyle w:val="FootnoteReference"/>
          <w:szCs w:val="22"/>
        </w:rPr>
        <w:footnoteReference w:id="14"/>
      </w:r>
      <w:r w:rsidRPr="00734ACF" w:rsidR="004E0469">
        <w:rPr>
          <w:szCs w:val="22"/>
        </w:rPr>
        <w:t xml:space="preserve"> </w:t>
      </w:r>
      <w:r w:rsidR="00734ACF">
        <w:rPr>
          <w:szCs w:val="22"/>
        </w:rPr>
        <w:t xml:space="preserve"> </w:t>
      </w:r>
    </w:p>
    <w:p w:rsidR="00FF23CF" w:rsidP="00E5147B" w14:paraId="7654871C" w14:textId="37CDE374">
      <w:pPr>
        <w:autoSpaceDE w:val="0"/>
        <w:autoSpaceDN w:val="0"/>
        <w:adjustRightInd w:val="0"/>
        <w:spacing w:after="120"/>
        <w:ind w:firstLine="720"/>
        <w:rPr>
          <w:szCs w:val="22"/>
        </w:rPr>
      </w:pPr>
      <w:r>
        <w:rPr>
          <w:szCs w:val="22"/>
        </w:rPr>
        <w:t>Pursuant to the Unit Purchase Agreement, Point Broadband will issue and sell to BP Broadband new securities constituting 31.8% of the full-diluted equity interests of Point Broadband.</w:t>
      </w:r>
      <w:r>
        <w:rPr>
          <w:rStyle w:val="FootnoteReference"/>
          <w:szCs w:val="22"/>
        </w:rPr>
        <w:footnoteReference w:id="15"/>
      </w:r>
      <w:r>
        <w:rPr>
          <w:szCs w:val="22"/>
        </w:rPr>
        <w:t xml:space="preserve">  Thus, f</w:t>
      </w:r>
      <w:r w:rsidRPr="00E5147B" w:rsidR="00E5147B">
        <w:rPr>
          <w:szCs w:val="22"/>
        </w:rPr>
        <w:t>ollowing BP Broadband’s full investment and the</w:t>
      </w:r>
      <w:r w:rsidR="00E5147B">
        <w:rPr>
          <w:szCs w:val="22"/>
        </w:rPr>
        <w:t xml:space="preserve"> </w:t>
      </w:r>
      <w:r w:rsidRPr="00E5147B" w:rsidR="00E5147B">
        <w:rPr>
          <w:szCs w:val="22"/>
        </w:rPr>
        <w:t>consummation of the Transaction, BP Broadband will hold approximately 31.8% of the fully</w:t>
      </w:r>
      <w:r w:rsidR="00E5147B">
        <w:rPr>
          <w:szCs w:val="22"/>
        </w:rPr>
        <w:t>-</w:t>
      </w:r>
      <w:r w:rsidRPr="00E5147B" w:rsidR="00E5147B">
        <w:rPr>
          <w:szCs w:val="22"/>
        </w:rPr>
        <w:t>diluted</w:t>
      </w:r>
      <w:r w:rsidR="00E5147B">
        <w:rPr>
          <w:szCs w:val="22"/>
        </w:rPr>
        <w:t xml:space="preserve"> </w:t>
      </w:r>
      <w:r w:rsidRPr="00E5147B" w:rsidR="00E5147B">
        <w:rPr>
          <w:szCs w:val="22"/>
        </w:rPr>
        <w:t>equity interests of Point Broadband and GTCR will hold approximately 40.0% of the fully</w:t>
      </w:r>
      <w:r w:rsidR="00E5147B">
        <w:rPr>
          <w:szCs w:val="22"/>
        </w:rPr>
        <w:t>-</w:t>
      </w:r>
      <w:r w:rsidRPr="00E5147B" w:rsidR="00E5147B">
        <w:rPr>
          <w:szCs w:val="22"/>
        </w:rPr>
        <w:t>diluted</w:t>
      </w:r>
      <w:r w:rsidR="00E5147B">
        <w:rPr>
          <w:szCs w:val="22"/>
        </w:rPr>
        <w:t xml:space="preserve"> </w:t>
      </w:r>
      <w:r w:rsidRPr="00E5147B" w:rsidR="00E5147B">
        <w:rPr>
          <w:szCs w:val="22"/>
        </w:rPr>
        <w:t>equity interests of Point Broadband</w:t>
      </w:r>
      <w:r w:rsidR="00E5147B">
        <w:rPr>
          <w:szCs w:val="22"/>
        </w:rPr>
        <w:t>.</w:t>
      </w:r>
      <w:r>
        <w:rPr>
          <w:rStyle w:val="FootnoteReference"/>
          <w:szCs w:val="22"/>
        </w:rPr>
        <w:footnoteReference w:id="16"/>
      </w:r>
      <w:r>
        <w:rPr>
          <w:szCs w:val="22"/>
        </w:rPr>
        <w:t xml:space="preserve">  </w:t>
      </w:r>
      <w:r w:rsidR="001166BB">
        <w:rPr>
          <w:szCs w:val="22"/>
        </w:rPr>
        <w:t>Applicants state that “GTCR currently controls a majority of the Board and as a result of the Transaction, GTCR’s control of Point Broadband will be diluted and post-closing control will be exercised jointly by GTCR and BP Broadband through their minority equity investments, joint control of the Board, and the exercise of their mutual consent rights.”</w:t>
      </w:r>
      <w:r>
        <w:rPr>
          <w:rStyle w:val="FootnoteReference"/>
          <w:szCs w:val="22"/>
        </w:rPr>
        <w:footnoteReference w:id="17"/>
      </w:r>
    </w:p>
    <w:p w:rsidR="00BE624E" w:rsidP="00BE624E" w14:paraId="1D6A8854" w14:textId="5C3F44CF">
      <w:pPr>
        <w:autoSpaceDE w:val="0"/>
        <w:autoSpaceDN w:val="0"/>
        <w:adjustRightInd w:val="0"/>
        <w:spacing w:after="120"/>
        <w:ind w:firstLine="720"/>
        <w:rPr>
          <w:bCs/>
        </w:rPr>
      </w:pPr>
      <w:r w:rsidRPr="001410ED">
        <w:rPr>
          <w:bCs/>
          <w:szCs w:val="22"/>
        </w:rPr>
        <w:t xml:space="preserve">Applicants assert that a grant of the </w:t>
      </w:r>
      <w:r>
        <w:rPr>
          <w:bCs/>
          <w:szCs w:val="22"/>
        </w:rPr>
        <w:t>A</w:t>
      </w:r>
      <w:r w:rsidRPr="001410ED">
        <w:rPr>
          <w:bCs/>
          <w:szCs w:val="22"/>
        </w:rPr>
        <w:t>pplication would serve the public interest, convenience, and necessity</w:t>
      </w:r>
      <w:r>
        <w:rPr>
          <w:bCs/>
          <w:szCs w:val="22"/>
        </w:rPr>
        <w:t xml:space="preserve">, and that BP Broadband’s capital investment will enhance </w:t>
      </w:r>
      <w:r w:rsidR="000A526C">
        <w:rPr>
          <w:bCs/>
          <w:szCs w:val="22"/>
        </w:rPr>
        <w:t>the Licensees’</w:t>
      </w:r>
      <w:r>
        <w:rPr>
          <w:bCs/>
          <w:szCs w:val="22"/>
        </w:rPr>
        <w:t xml:space="preserve"> ability to meet </w:t>
      </w:r>
      <w:r w:rsidR="000A526C">
        <w:rPr>
          <w:bCs/>
          <w:szCs w:val="22"/>
        </w:rPr>
        <w:t>their</w:t>
      </w:r>
      <w:r>
        <w:rPr>
          <w:bCs/>
          <w:szCs w:val="22"/>
        </w:rPr>
        <w:t xml:space="preserve"> service obligations for </w:t>
      </w:r>
      <w:r w:rsidR="000A526C">
        <w:rPr>
          <w:bCs/>
          <w:szCs w:val="22"/>
        </w:rPr>
        <w:t>their</w:t>
      </w:r>
      <w:r>
        <w:rPr>
          <w:bCs/>
          <w:szCs w:val="22"/>
        </w:rPr>
        <w:t xml:space="preserve"> CAF and RDOF locations under the company’s existing management.</w:t>
      </w:r>
      <w:r>
        <w:rPr>
          <w:rStyle w:val="FootnoteReference"/>
          <w:bCs/>
          <w:szCs w:val="22"/>
        </w:rPr>
        <w:footnoteReference w:id="18"/>
      </w:r>
      <w:r w:rsidR="00BF34FA">
        <w:rPr>
          <w:bCs/>
          <w:szCs w:val="22"/>
        </w:rPr>
        <w:t xml:space="preserve">  </w:t>
      </w:r>
      <w:r w:rsidRPr="00BB385F">
        <w:rPr>
          <w:snapToGrid w:val="0"/>
          <w:color w:val="000000"/>
          <w:kern w:val="28"/>
          <w:szCs w:val="22"/>
        </w:rPr>
        <w:t>Because the proposed transaction would involve the exchange and assumption of Universal Service Fund high-cost mechanism obligations, we accept the Application for non-streamlined processing</w:t>
      </w:r>
      <w:r w:rsidR="00EB5280">
        <w:rPr>
          <w:snapToGrid w:val="0"/>
          <w:color w:val="000000"/>
          <w:kern w:val="28"/>
          <w:szCs w:val="22"/>
        </w:rPr>
        <w:t xml:space="preserve"> </w:t>
      </w:r>
      <w:r w:rsidRPr="00BB385F" w:rsidR="00EB5280">
        <w:rPr>
          <w:snapToGrid w:val="0"/>
          <w:color w:val="000000"/>
          <w:kern w:val="28"/>
          <w:szCs w:val="22"/>
        </w:rPr>
        <w:t>in order to sufficiently analyze whether the proposed transaction would serve the public interest</w:t>
      </w:r>
      <w:r w:rsidRPr="00BB385F">
        <w:rPr>
          <w:bCs/>
          <w:snapToGrid w:val="0"/>
          <w:kern w:val="28"/>
          <w:szCs w:val="22"/>
        </w:rPr>
        <w:t>.</w:t>
      </w:r>
      <w:r>
        <w:rPr>
          <w:bCs/>
          <w:snapToGrid w:val="0"/>
          <w:kern w:val="28"/>
          <w:szCs w:val="22"/>
          <w:vertAlign w:val="superscript"/>
        </w:rPr>
        <w:footnoteReference w:id="19"/>
      </w:r>
      <w:r>
        <w:rPr>
          <w:bCs/>
          <w:snapToGrid w:val="0"/>
          <w:kern w:val="28"/>
          <w:szCs w:val="22"/>
        </w:rPr>
        <w:t xml:space="preserve">  </w:t>
      </w:r>
      <w:r>
        <w:rPr>
          <w:bCs/>
        </w:rPr>
        <w:t xml:space="preserve">  </w:t>
      </w:r>
    </w:p>
    <w:p w:rsidR="0022673B" w:rsidP="008A103A" w14:paraId="39CAE03C" w14:textId="77777777">
      <w:pPr>
        <w:ind w:left="720"/>
        <w:rPr>
          <w:szCs w:val="22"/>
        </w:rPr>
      </w:pPr>
      <w:r w:rsidRPr="00AD440B">
        <w:rPr>
          <w:szCs w:val="22"/>
        </w:rPr>
        <w:t xml:space="preserve">Domestic Section 214 Application Filed for the </w:t>
      </w:r>
      <w:r w:rsidR="009E32B3">
        <w:rPr>
          <w:szCs w:val="22"/>
        </w:rPr>
        <w:t xml:space="preserve">Transfer of Control of </w:t>
      </w:r>
    </w:p>
    <w:p w:rsidR="00B63B58" w:rsidP="008A103A" w14:paraId="7425374F" w14:textId="780F2868">
      <w:pPr>
        <w:ind w:left="720"/>
        <w:rPr>
          <w:szCs w:val="22"/>
        </w:rPr>
      </w:pPr>
      <w:r w:rsidRPr="00E5147B">
        <w:rPr>
          <w:szCs w:val="22"/>
        </w:rPr>
        <w:t>Point Broadband Holdings, L</w:t>
      </w:r>
      <w:r>
        <w:rPr>
          <w:szCs w:val="22"/>
        </w:rPr>
        <w:t>LC</w:t>
      </w:r>
      <w:r w:rsidRPr="00E5147B">
        <w:rPr>
          <w:szCs w:val="22"/>
        </w:rPr>
        <w:t xml:space="preserve">, </w:t>
      </w:r>
      <w:r>
        <w:rPr>
          <w:szCs w:val="22"/>
        </w:rPr>
        <w:t>t</w:t>
      </w:r>
      <w:r w:rsidRPr="00E5147B">
        <w:rPr>
          <w:szCs w:val="22"/>
        </w:rPr>
        <w:t>o B</w:t>
      </w:r>
      <w:r>
        <w:rPr>
          <w:szCs w:val="22"/>
        </w:rPr>
        <w:t>P</w:t>
      </w:r>
      <w:r w:rsidRPr="00E5147B">
        <w:rPr>
          <w:szCs w:val="22"/>
        </w:rPr>
        <w:t xml:space="preserve"> Broadband Aggregator, L.P</w:t>
      </w:r>
      <w:r w:rsidR="002C1AA9">
        <w:rPr>
          <w:szCs w:val="22"/>
        </w:rPr>
        <w:t>.</w:t>
      </w:r>
      <w:r w:rsidR="00E94F15">
        <w:rPr>
          <w:szCs w:val="22"/>
        </w:rPr>
        <w:t>,</w:t>
      </w:r>
      <w:r w:rsidR="00366BC6">
        <w:rPr>
          <w:szCs w:val="22"/>
        </w:rPr>
        <w:t xml:space="preserve"> </w:t>
      </w:r>
    </w:p>
    <w:p w:rsidR="00AD440B" w:rsidRPr="00AD440B" w:rsidP="008A103A" w14:paraId="4B25CF0E" w14:textId="5427851D">
      <w:pPr>
        <w:ind w:left="720"/>
        <w:rPr>
          <w:szCs w:val="22"/>
        </w:rPr>
      </w:pPr>
      <w:r w:rsidRPr="0011590C">
        <w:rPr>
          <w:szCs w:val="22"/>
        </w:rPr>
        <w:t>WC Docket No. 2</w:t>
      </w:r>
      <w:r w:rsidR="0022673B">
        <w:rPr>
          <w:szCs w:val="22"/>
        </w:rPr>
        <w:t>3</w:t>
      </w:r>
      <w:r w:rsidRPr="0011590C">
        <w:rPr>
          <w:szCs w:val="22"/>
        </w:rPr>
        <w:t>-</w:t>
      </w:r>
      <w:r w:rsidR="00E5147B">
        <w:rPr>
          <w:szCs w:val="22"/>
        </w:rPr>
        <w:t>52</w:t>
      </w:r>
      <w:r w:rsidRPr="0011590C">
        <w:rPr>
          <w:szCs w:val="22"/>
        </w:rPr>
        <w:t xml:space="preserve"> (filed </w:t>
      </w:r>
      <w:r w:rsidR="00E5147B">
        <w:rPr>
          <w:szCs w:val="22"/>
        </w:rPr>
        <w:t>Feb</w:t>
      </w:r>
      <w:r w:rsidR="00617093">
        <w:rPr>
          <w:szCs w:val="22"/>
        </w:rPr>
        <w:t>.</w:t>
      </w:r>
      <w:r w:rsidRPr="0011590C">
        <w:rPr>
          <w:szCs w:val="22"/>
        </w:rPr>
        <w:t xml:space="preserve"> </w:t>
      </w:r>
      <w:r w:rsidR="00E5147B">
        <w:rPr>
          <w:szCs w:val="22"/>
        </w:rPr>
        <w:t>10</w:t>
      </w:r>
      <w:r w:rsidRPr="0011590C">
        <w:rPr>
          <w:szCs w:val="22"/>
        </w:rPr>
        <w:t>, 202</w:t>
      </w:r>
      <w:r w:rsidR="0022673B">
        <w:rPr>
          <w:szCs w:val="22"/>
        </w:rPr>
        <w:t>3</w:t>
      </w:r>
      <w:r w:rsidRPr="0011590C">
        <w:rPr>
          <w:szCs w:val="22"/>
        </w:rPr>
        <w:t>).</w:t>
      </w:r>
    </w:p>
    <w:p w:rsidR="00AD440B" w:rsidRPr="00AD440B" w:rsidP="00AD440B" w14:paraId="04851CA3" w14:textId="77777777">
      <w:pPr>
        <w:widowControl w:val="0"/>
        <w:rPr>
          <w:snapToGrid w:val="0"/>
          <w:kern w:val="28"/>
          <w:szCs w:val="22"/>
        </w:rPr>
      </w:pPr>
    </w:p>
    <w:p w:rsidR="00E6385B" w:rsidRPr="00AD440B" w:rsidP="00E6385B" w14:paraId="51A937FC" w14:textId="77777777">
      <w:pPr>
        <w:autoSpaceDE w:val="0"/>
        <w:autoSpaceDN w:val="0"/>
        <w:adjustRightInd w:val="0"/>
        <w:rPr>
          <w:szCs w:val="22"/>
        </w:rPr>
      </w:pPr>
      <w:r w:rsidRPr="00AD440B">
        <w:rPr>
          <w:b/>
          <w:szCs w:val="22"/>
          <w:u w:val="single"/>
        </w:rPr>
        <w:t>GENERAL INFORMATION</w:t>
      </w:r>
    </w:p>
    <w:p w:rsidR="00E6385B" w:rsidRPr="00AD440B" w:rsidP="00E6385B" w14:paraId="63D5A9EB" w14:textId="77777777">
      <w:pPr>
        <w:autoSpaceDE w:val="0"/>
        <w:autoSpaceDN w:val="0"/>
        <w:adjustRightInd w:val="0"/>
        <w:rPr>
          <w:szCs w:val="22"/>
        </w:rPr>
      </w:pPr>
    </w:p>
    <w:p w:rsidR="00E6385B" w:rsidRPr="00A67395" w:rsidP="00E6385B" w14:paraId="16E48161" w14:textId="77777777">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E6385B" w:rsidRPr="00A67395" w:rsidP="00E6385B" w14:paraId="57441405" w14:textId="1FCD64A7">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sidRPr="00077C7A" w:rsidR="000C1273">
        <w:rPr>
          <w:b/>
          <w:szCs w:val="22"/>
        </w:rPr>
        <w:t>March</w:t>
      </w:r>
      <w:r w:rsidRPr="00077C7A">
        <w:rPr>
          <w:b/>
          <w:szCs w:val="22"/>
        </w:rPr>
        <w:t xml:space="preserve"> </w:t>
      </w:r>
      <w:r w:rsidRPr="00077C7A" w:rsidR="00EE6C21">
        <w:rPr>
          <w:b/>
          <w:szCs w:val="22"/>
        </w:rPr>
        <w:t>2</w:t>
      </w:r>
      <w:r w:rsidRPr="00077C7A" w:rsidR="00077C7A">
        <w:rPr>
          <w:b/>
          <w:szCs w:val="22"/>
        </w:rPr>
        <w:t>4</w:t>
      </w:r>
      <w:r w:rsidRPr="00077C7A">
        <w:rPr>
          <w:b/>
          <w:szCs w:val="22"/>
        </w:rPr>
        <w:t>, 202</w:t>
      </w:r>
      <w:r w:rsidR="00BA573C">
        <w:rPr>
          <w:b/>
          <w:szCs w:val="22"/>
        </w:rPr>
        <w:t>3</w:t>
      </w:r>
      <w:r w:rsidRPr="00077C7A">
        <w:rPr>
          <w:szCs w:val="22"/>
        </w:rPr>
        <w:t xml:space="preserve">, and reply comments </w:t>
      </w:r>
      <w:r w:rsidRPr="00077C7A">
        <w:rPr>
          <w:b/>
          <w:szCs w:val="22"/>
        </w:rPr>
        <w:t xml:space="preserve">on or before </w:t>
      </w:r>
      <w:r w:rsidRPr="00077C7A" w:rsidR="000C1273">
        <w:rPr>
          <w:b/>
          <w:szCs w:val="22"/>
        </w:rPr>
        <w:t>March</w:t>
      </w:r>
      <w:r w:rsidRPr="00077C7A">
        <w:rPr>
          <w:b/>
          <w:szCs w:val="22"/>
        </w:rPr>
        <w:t xml:space="preserve"> </w:t>
      </w:r>
      <w:r w:rsidRPr="00077C7A" w:rsidR="00EE6C21">
        <w:rPr>
          <w:b/>
          <w:szCs w:val="22"/>
        </w:rPr>
        <w:t>3</w:t>
      </w:r>
      <w:r w:rsidRPr="00077C7A" w:rsidR="00077C7A">
        <w:rPr>
          <w:b/>
          <w:szCs w:val="22"/>
        </w:rPr>
        <w:t>1</w:t>
      </w:r>
      <w:r w:rsidRPr="00A67395">
        <w:rPr>
          <w:b/>
          <w:szCs w:val="22"/>
        </w:rPr>
        <w:t>, 202</w:t>
      </w:r>
      <w:r w:rsidR="00BA573C">
        <w:rPr>
          <w:b/>
          <w:szCs w:val="22"/>
        </w:rPr>
        <w:t>3</w:t>
      </w:r>
      <w:r w:rsidRPr="00A67395">
        <w:rPr>
          <w:szCs w:val="22"/>
        </w:rPr>
        <w:t>.  Comments may be filed using the Commission’s Electronic Comment Filing System (ECFS) or by paper.  </w:t>
      </w:r>
    </w:p>
    <w:p w:rsidR="00E6385B" w:rsidRPr="00A67395" w:rsidP="00E6385B" w14:paraId="69C0DCFB" w14:textId="77777777">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8" w:history="1">
        <w:r w:rsidRPr="00A67395">
          <w:rPr>
            <w:color w:val="0000FF"/>
            <w:szCs w:val="22"/>
            <w:u w:val="single"/>
          </w:rPr>
          <w:t>http://apps.fcc.gov/ecfs/</w:t>
        </w:r>
      </w:hyperlink>
      <w:r w:rsidRPr="00A67395">
        <w:rPr>
          <w:szCs w:val="22"/>
          <w:u w:val="single"/>
        </w:rPr>
        <w:t xml:space="preserve"> </w:t>
      </w:r>
      <w:r w:rsidRPr="00A67395">
        <w:rPr>
          <w:szCs w:val="22"/>
        </w:rPr>
        <w:t>.</w:t>
      </w:r>
    </w:p>
    <w:p w:rsidR="00E6385B" w:rsidRPr="00A67395" w:rsidP="00E6385B" w14:paraId="26EA68DE" w14:textId="77777777">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xml:space="preserve">: Parties who choose to file by paper must file an original and one copy of each filing.  If more than one docket or rulemaking number appears in the caption of this proceeding, filers must submit two additional copies for each additional docket or </w:t>
      </w:r>
      <w:r w:rsidRPr="00A67395">
        <w:rPr>
          <w:szCs w:val="22"/>
        </w:rPr>
        <w:t>rulemaking number.</w:t>
      </w:r>
    </w:p>
    <w:p w:rsidR="00E6385B" w:rsidRPr="00A67395" w:rsidP="00E6385B" w14:paraId="09C5E4C5"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20"/>
      </w:r>
      <w:r w:rsidRPr="00A67395">
        <w:rPr>
          <w:szCs w:val="22"/>
        </w:rPr>
        <w:t xml:space="preserve">  All filings must be addressed to the Commission’s Secretary, Office of the Secretary, Federal Communications Commission.</w:t>
      </w:r>
    </w:p>
    <w:p w:rsidR="00E6385B" w:rsidRPr="00A67395" w:rsidP="00E6385B" w14:paraId="07E5FE0F"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6385B" w:rsidP="00E6385B" w14:paraId="1D504A89" w14:textId="77777777">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E6385B" w:rsidRPr="00AD440B" w:rsidP="00E6385B" w14:paraId="2C482F61"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0C1273" w:rsidP="00E6385B" w14:paraId="61255C36" w14:textId="4CF79B33">
      <w:pPr>
        <w:widowControl w:val="0"/>
        <w:numPr>
          <w:ilvl w:val="0"/>
          <w:numId w:val="18"/>
        </w:numPr>
        <w:autoSpaceDE w:val="0"/>
        <w:autoSpaceDN w:val="0"/>
        <w:adjustRightInd w:val="0"/>
        <w:spacing w:after="120"/>
        <w:rPr>
          <w:szCs w:val="22"/>
        </w:rPr>
      </w:pPr>
      <w:r>
        <w:rPr>
          <w:szCs w:val="22"/>
        </w:rPr>
        <w:t>Dennis Johnson</w:t>
      </w:r>
      <w:r w:rsidRPr="00AD440B">
        <w:rPr>
          <w:szCs w:val="22"/>
        </w:rPr>
        <w:t xml:space="preserve">, Competition Policy Division, Wireline Competition Bureau, </w:t>
      </w:r>
      <w:hyperlink r:id="rId10" w:history="1">
        <w:r w:rsidRPr="00124D9C">
          <w:rPr>
            <w:rStyle w:val="Hyperlink"/>
          </w:rPr>
          <w:t>dennis.johnson@fcc.gov</w:t>
        </w:r>
      </w:hyperlink>
      <w:r w:rsidRPr="00AD440B">
        <w:rPr>
          <w:szCs w:val="22"/>
        </w:rPr>
        <w:t xml:space="preserve">; </w:t>
      </w:r>
    </w:p>
    <w:p w:rsidR="000C1273" w:rsidRPr="000C1273" w:rsidP="000C1273" w14:paraId="5209C22A" w14:textId="57F72E6D">
      <w:pPr>
        <w:widowControl w:val="0"/>
        <w:numPr>
          <w:ilvl w:val="0"/>
          <w:numId w:val="18"/>
        </w:numPr>
        <w:autoSpaceDE w:val="0"/>
        <w:autoSpaceDN w:val="0"/>
        <w:adjustRightInd w:val="0"/>
        <w:spacing w:after="120"/>
        <w:rPr>
          <w:szCs w:val="22"/>
        </w:rPr>
      </w:pPr>
      <w:r w:rsidRPr="000C1273">
        <w:rPr>
          <w:szCs w:val="22"/>
        </w:rPr>
        <w:t xml:space="preserve">Tracey Wilson, Competition Policy Division, Wireline Competition Bureau, </w:t>
      </w:r>
      <w:hyperlink r:id="rId11" w:history="1">
        <w:r w:rsidRPr="000C1273">
          <w:rPr>
            <w:rStyle w:val="Hyperlink"/>
            <w:szCs w:val="22"/>
          </w:rPr>
          <w:t>tracey.wilson@fcc.gov</w:t>
        </w:r>
      </w:hyperlink>
      <w:r w:rsidRPr="000C1273">
        <w:rPr>
          <w:szCs w:val="22"/>
        </w:rPr>
        <w:t>;</w:t>
      </w:r>
    </w:p>
    <w:p w:rsidR="00E6385B" w:rsidRPr="000C1273" w:rsidP="000C1273" w14:paraId="684E6C42" w14:textId="0A18EDBE">
      <w:pPr>
        <w:widowControl w:val="0"/>
        <w:numPr>
          <w:ilvl w:val="0"/>
          <w:numId w:val="18"/>
        </w:numPr>
        <w:autoSpaceDE w:val="0"/>
        <w:autoSpaceDN w:val="0"/>
        <w:adjustRightInd w:val="0"/>
        <w:spacing w:after="120"/>
        <w:rPr>
          <w:szCs w:val="22"/>
        </w:rPr>
      </w:pPr>
      <w:r w:rsidRPr="000C1273">
        <w:rPr>
          <w:szCs w:val="22"/>
        </w:rPr>
        <w:t xml:space="preserve">David Krech, International Bureau, </w:t>
      </w:r>
      <w:hyperlink r:id="rId12" w:history="1">
        <w:r w:rsidRPr="000C1273">
          <w:rPr>
            <w:rStyle w:val="Hyperlink"/>
            <w:szCs w:val="22"/>
          </w:rPr>
          <w:t>david.krech@fcc.gov</w:t>
        </w:r>
      </w:hyperlink>
      <w:r w:rsidRPr="000C1273">
        <w:rPr>
          <w:szCs w:val="22"/>
        </w:rPr>
        <w:t>; and</w:t>
      </w:r>
    </w:p>
    <w:p w:rsidR="00E6385B" w:rsidRPr="00FE122A" w:rsidP="00E6385B" w14:paraId="239C1FE2"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3" w:history="1">
        <w:r w:rsidRPr="00FE122A">
          <w:rPr>
            <w:color w:val="0000FF"/>
            <w:szCs w:val="22"/>
            <w:u w:val="single"/>
          </w:rPr>
          <w:t>jim.bird@fcc.gov</w:t>
        </w:r>
      </w:hyperlink>
      <w:r w:rsidRPr="00FE122A">
        <w:rPr>
          <w:szCs w:val="22"/>
        </w:rPr>
        <w:t>.</w:t>
      </w:r>
    </w:p>
    <w:p w:rsidR="00E6385B" w:rsidRPr="00AD440B" w:rsidP="00E6385B" w14:paraId="377FD6E7"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9" w:tgtFrame="_blank" w:history="1">
        <w:r w:rsidRPr="00AD440B">
          <w:rPr>
            <w:color w:val="0000FF"/>
            <w:szCs w:val="22"/>
            <w:u w:val="single"/>
          </w:rPr>
          <w:t>fcc504@fcc.gov</w:t>
        </w:r>
      </w:hyperlink>
      <w:r w:rsidRPr="00AD440B">
        <w:rPr>
          <w:szCs w:val="22"/>
        </w:rPr>
        <w:t> or call the Consumer and Governmental Affairs Bureau at (202) 418-0530.</w:t>
      </w:r>
    </w:p>
    <w:p w:rsidR="00E6385B" w:rsidRPr="00AD440B" w:rsidP="00E6385B" w14:paraId="3E641F6E"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E6385B" w:rsidRPr="00730FAC" w:rsidP="00EE6C21" w14:paraId="55F9B8C7" w14:textId="55E38610">
      <w:pPr>
        <w:autoSpaceDE w:val="0"/>
        <w:autoSpaceDN w:val="0"/>
        <w:adjustRightInd w:val="0"/>
        <w:spacing w:after="120"/>
        <w:ind w:firstLine="720"/>
        <w:rPr>
          <w:szCs w:val="22"/>
        </w:rPr>
      </w:pPr>
      <w:r w:rsidRPr="00AD440B">
        <w:rPr>
          <w:szCs w:val="22"/>
        </w:rPr>
        <w:t xml:space="preserve">To allow the Commission to consider fully all substantive issues regarding the application in as timely and efficient a manner as possible, petitioners and commenters should raise all issues in </w:t>
      </w:r>
      <w:r w:rsidRPr="00AD440B">
        <w:rPr>
          <w:szCs w:val="22"/>
        </w:rPr>
        <w:t>their initial filings.  New issues may not be raised in responses or replies.</w:t>
      </w:r>
      <w:r>
        <w:rPr>
          <w:szCs w:val="22"/>
          <w:vertAlign w:val="superscript"/>
        </w:rPr>
        <w:footnoteReference w:id="21"/>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EE6C21">
        <w:rPr>
          <w:szCs w:val="22"/>
        </w:rPr>
        <w:t xml:space="preserve">  </w:t>
      </w:r>
      <w:r w:rsidRPr="00730FAC">
        <w:rPr>
          <w:szCs w:val="22"/>
        </w:rPr>
        <w:t xml:space="preserve">For further information, please contact </w:t>
      </w:r>
      <w:r>
        <w:rPr>
          <w:szCs w:val="22"/>
        </w:rPr>
        <w:t>Dennis Johnson</w:t>
      </w:r>
      <w:r w:rsidRPr="00730FAC">
        <w:rPr>
          <w:szCs w:val="22"/>
        </w:rPr>
        <w:t>, Wireline Competition Bureau, (202) 418-</w:t>
      </w:r>
      <w:r>
        <w:rPr>
          <w:szCs w:val="22"/>
        </w:rPr>
        <w:t>0809</w:t>
      </w:r>
      <w:r w:rsidRPr="00730FAC">
        <w:rPr>
          <w:szCs w:val="22"/>
        </w:rPr>
        <w:t>.</w:t>
      </w:r>
    </w:p>
    <w:p w:rsidR="00E6385B" w:rsidRPr="00AD440B" w:rsidP="00E6385B" w14:paraId="68327BF6" w14:textId="77777777">
      <w:pPr>
        <w:autoSpaceDE w:val="0"/>
        <w:autoSpaceDN w:val="0"/>
        <w:adjustRightInd w:val="0"/>
        <w:rPr>
          <w:szCs w:val="22"/>
        </w:rPr>
      </w:pPr>
    </w:p>
    <w:p w:rsidR="00524D79" w:rsidP="006D3591" w14:paraId="76F365BB" w14:textId="17BCC1C8">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r w:rsidR="00171B51">
        <w:rPr>
          <w:b/>
          <w:szCs w:val="22"/>
        </w:rPr>
        <w:t xml:space="preserve"> </w:t>
      </w: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9FA8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18E7" w14:paraId="14438A37" w14:textId="77777777">
      <w:r>
        <w:separator/>
      </w:r>
    </w:p>
  </w:footnote>
  <w:footnote w:type="continuationSeparator" w:id="1">
    <w:p w:rsidR="002018E7" w14:paraId="48EDA6BD" w14:textId="77777777">
      <w:r>
        <w:continuationSeparator/>
      </w:r>
    </w:p>
  </w:footnote>
  <w:footnote w:type="continuationNotice" w:id="2">
    <w:p w:rsidR="002018E7" w14:paraId="23836C0A" w14:textId="77777777"/>
  </w:footnote>
  <w:footnote w:id="3">
    <w:p w:rsidR="00EE3D1E" w:rsidRPr="00DB343B" w14:paraId="3F359D9B" w14:textId="31C5D3AC">
      <w:pPr>
        <w:pStyle w:val="FootnoteText"/>
        <w:rPr>
          <w:sz w:val="20"/>
        </w:rPr>
      </w:pPr>
      <w:r w:rsidRPr="00DB343B">
        <w:rPr>
          <w:rStyle w:val="FootnoteReference"/>
          <w:sz w:val="20"/>
        </w:rPr>
        <w:footnoteRef/>
      </w:r>
      <w:r w:rsidRPr="00DB343B">
        <w:rPr>
          <w:sz w:val="20"/>
        </w:rPr>
        <w:t xml:space="preserve"> </w:t>
      </w:r>
      <w:r w:rsidRPr="00DB343B">
        <w:rPr>
          <w:i/>
          <w:sz w:val="20"/>
        </w:rPr>
        <w:t>See</w:t>
      </w:r>
      <w:r w:rsidRPr="00DB343B">
        <w:rPr>
          <w:sz w:val="20"/>
        </w:rPr>
        <w:t xml:space="preserve"> 47 U.S.C. § 214; 47 CFR §§ 63.03-04.  </w:t>
      </w:r>
    </w:p>
  </w:footnote>
  <w:footnote w:id="4">
    <w:p w:rsidR="005E21F5" w:rsidRPr="00DB343B" w:rsidP="005431A6" w14:paraId="44C411FC" w14:textId="04CDF0B4">
      <w:pPr>
        <w:spacing w:after="120"/>
        <w:rPr>
          <w:sz w:val="20"/>
        </w:rPr>
      </w:pPr>
      <w:r w:rsidRPr="00DB343B">
        <w:rPr>
          <w:rStyle w:val="FootnoteReference"/>
          <w:sz w:val="20"/>
        </w:rPr>
        <w:footnoteRef/>
      </w:r>
      <w:r w:rsidRPr="00DB343B">
        <w:rPr>
          <w:sz w:val="20"/>
        </w:rPr>
        <w:t xml:space="preserve"> </w:t>
      </w:r>
      <w:r w:rsidRPr="00DB343B" w:rsidR="00EE3D1E">
        <w:rPr>
          <w:sz w:val="20"/>
        </w:rPr>
        <w:t xml:space="preserve">Joint Application of BP Broadband Aggregator, L.P., Point Broadband Holdings, LLC, </w:t>
      </w:r>
      <w:r w:rsidRPr="00DB343B" w:rsidR="00F42927">
        <w:rPr>
          <w:sz w:val="20"/>
        </w:rPr>
        <w:t>Sunset Fiber, LLC, et al</w:t>
      </w:r>
      <w:r w:rsidRPr="00DB343B" w:rsidR="00174A85">
        <w:rPr>
          <w:sz w:val="20"/>
        </w:rPr>
        <w:t xml:space="preserve">. for Grant of Authority to Transfer Control, WC Docket No. 23-52 (filed </w:t>
      </w:r>
      <w:r w:rsidRPr="00DB343B" w:rsidR="00F42927">
        <w:rPr>
          <w:sz w:val="20"/>
        </w:rPr>
        <w:t xml:space="preserve"> </w:t>
      </w:r>
      <w:r w:rsidRPr="00DB343B" w:rsidR="00174A85">
        <w:rPr>
          <w:sz w:val="20"/>
        </w:rPr>
        <w:t>Feb. 10, 2023)</w:t>
      </w:r>
      <w:r w:rsidRPr="00DB343B" w:rsidR="00C65BF0">
        <w:rPr>
          <w:sz w:val="20"/>
        </w:rPr>
        <w:t xml:space="preserve"> (Application).  </w:t>
      </w:r>
      <w:r w:rsidRPr="00DB343B" w:rsidR="00455655">
        <w:rPr>
          <w:sz w:val="20"/>
        </w:rPr>
        <w:t xml:space="preserve">Applicants filed a supplement to their Application on March 6, 2023.  Letter from Andrew D. Lipman, et al., Counsel for BP Broadband Aggregator, L.P. and Matthew S. DelNero, </w:t>
      </w:r>
      <w:r w:rsidRPr="00DB343B" w:rsidR="00607A40">
        <w:rPr>
          <w:sz w:val="20"/>
        </w:rPr>
        <w:t xml:space="preserve">et al., </w:t>
      </w:r>
      <w:r w:rsidRPr="00DB343B" w:rsidR="00455655">
        <w:rPr>
          <w:sz w:val="20"/>
        </w:rPr>
        <w:t>Counsel for Point Broadband Holdings, LLC to Marlene H. Dortch, Secretary, FCC, WC Docket No. 23-52 (filed Mar. 6, 2023)</w:t>
      </w:r>
      <w:r w:rsidRPr="00DB343B" w:rsidR="007F1171">
        <w:rPr>
          <w:sz w:val="20"/>
        </w:rPr>
        <w:t xml:space="preserve"> (Supplement)</w:t>
      </w:r>
      <w:r w:rsidRPr="00DB343B" w:rsidR="00455655">
        <w:rPr>
          <w:sz w:val="20"/>
        </w:rPr>
        <w:t xml:space="preserve">.  </w:t>
      </w:r>
      <w:r w:rsidRPr="00DB343B" w:rsidR="001551A7">
        <w:rPr>
          <w:sz w:val="20"/>
        </w:rPr>
        <w:t>Applicants also filed applications for the transfer of authorizations associated with international services</w:t>
      </w:r>
      <w:r w:rsidRPr="00DB343B" w:rsidR="00607A40">
        <w:rPr>
          <w:sz w:val="20"/>
        </w:rPr>
        <w:t xml:space="preserve"> and wireless services</w:t>
      </w:r>
      <w:r w:rsidRPr="00DB343B" w:rsidR="001551A7">
        <w:rPr>
          <w:sz w:val="20"/>
        </w:rPr>
        <w:t>.  Any action on this domestic section 214 application is without prejudice to Commission action on other related, pending applications</w:t>
      </w:r>
      <w:r w:rsidRPr="00DB343B" w:rsidR="000A5FD3">
        <w:rPr>
          <w:sz w:val="20"/>
        </w:rPr>
        <w:t>.</w:t>
      </w:r>
      <w:r w:rsidRPr="00DB343B">
        <w:rPr>
          <w:sz w:val="20"/>
        </w:rPr>
        <w:t xml:space="preserve"> </w:t>
      </w:r>
    </w:p>
  </w:footnote>
  <w:footnote w:id="5">
    <w:p w:rsidR="00CE15C0" w:rsidRPr="00DB343B" w14:paraId="04C4B8B4" w14:textId="27B8D1FD">
      <w:pPr>
        <w:pStyle w:val="FootnoteText"/>
        <w:rPr>
          <w:sz w:val="20"/>
        </w:rPr>
      </w:pPr>
      <w:r w:rsidRPr="00DB343B">
        <w:rPr>
          <w:rStyle w:val="FootnoteReference"/>
          <w:sz w:val="20"/>
        </w:rPr>
        <w:footnoteRef/>
      </w:r>
      <w:r w:rsidRPr="00DB343B">
        <w:rPr>
          <w:sz w:val="20"/>
        </w:rPr>
        <w:t xml:space="preserve"> Supplement at 1</w:t>
      </w:r>
      <w:r w:rsidRPr="00DB343B" w:rsidR="005630DC">
        <w:rPr>
          <w:sz w:val="20"/>
        </w:rPr>
        <w:t xml:space="preserve">; Application at </w:t>
      </w:r>
      <w:r w:rsidR="00171B51">
        <w:rPr>
          <w:sz w:val="20"/>
        </w:rPr>
        <w:t xml:space="preserve">4, </w:t>
      </w:r>
      <w:r w:rsidRPr="00DB343B" w:rsidR="005630DC">
        <w:rPr>
          <w:sz w:val="20"/>
        </w:rPr>
        <w:t>15</w:t>
      </w:r>
      <w:r w:rsidRPr="00DB343B">
        <w:rPr>
          <w:sz w:val="20"/>
        </w:rPr>
        <w:t>.</w:t>
      </w:r>
      <w:r w:rsidRPr="00DB343B" w:rsidR="00603418">
        <w:rPr>
          <w:sz w:val="20"/>
        </w:rPr>
        <w:t xml:space="preserve">  Point Broadband Fiber also provides broadband and interconnected </w:t>
      </w:r>
      <w:r w:rsidR="00803143">
        <w:rPr>
          <w:sz w:val="20"/>
        </w:rPr>
        <w:t>voice-over-Internet Protocol (</w:t>
      </w:r>
      <w:r w:rsidRPr="00DB343B" w:rsidR="00603418">
        <w:rPr>
          <w:sz w:val="20"/>
        </w:rPr>
        <w:t>VoIP</w:t>
      </w:r>
      <w:r w:rsidR="00803143">
        <w:rPr>
          <w:sz w:val="20"/>
        </w:rPr>
        <w:t>)</w:t>
      </w:r>
      <w:r w:rsidRPr="00DB343B" w:rsidR="00603418">
        <w:rPr>
          <w:sz w:val="20"/>
        </w:rPr>
        <w:t xml:space="preserve"> services in Alabama, Georgia, Michigan, New York, Ohio, Maryland, and Virginia.</w:t>
      </w:r>
      <w:r w:rsidRPr="00DB343B" w:rsidR="005630DC">
        <w:rPr>
          <w:sz w:val="20"/>
        </w:rPr>
        <w:t xml:space="preserve">  Supplement at 1.</w:t>
      </w:r>
      <w:r w:rsidR="00077C7A">
        <w:rPr>
          <w:sz w:val="20"/>
        </w:rPr>
        <w:t xml:space="preserve">  Point Fiber Broadband participates in the Affordable Connectivity Program.  Application at 16.</w:t>
      </w:r>
    </w:p>
  </w:footnote>
  <w:footnote w:id="6">
    <w:p w:rsidR="00D75021" w:rsidRPr="00D75021" w14:paraId="4949ABEE" w14:textId="62F9DA7A">
      <w:pPr>
        <w:pStyle w:val="FootnoteText"/>
        <w:rPr>
          <w:sz w:val="20"/>
        </w:rPr>
      </w:pPr>
      <w:r>
        <w:rPr>
          <w:rStyle w:val="FootnoteReference"/>
        </w:rPr>
        <w:footnoteRef/>
      </w:r>
      <w:r>
        <w:t xml:space="preserve"> </w:t>
      </w:r>
      <w:r w:rsidRPr="00D75021">
        <w:rPr>
          <w:sz w:val="20"/>
        </w:rPr>
        <w:t>Application at</w:t>
      </w:r>
      <w:r>
        <w:t xml:space="preserve"> </w:t>
      </w:r>
      <w:r w:rsidRPr="00D75021">
        <w:rPr>
          <w:sz w:val="20"/>
        </w:rPr>
        <w:t>Exh.</w:t>
      </w:r>
      <w:r>
        <w:rPr>
          <w:sz w:val="20"/>
        </w:rPr>
        <w:t xml:space="preserve"> </w:t>
      </w:r>
      <w:r w:rsidRPr="00D75021">
        <w:rPr>
          <w:sz w:val="20"/>
        </w:rPr>
        <w:t xml:space="preserve">A, Chart 2 </w:t>
      </w:r>
      <w:r>
        <w:rPr>
          <w:sz w:val="20"/>
        </w:rPr>
        <w:t>(Pre-Close Ownership of Licensees).</w:t>
      </w:r>
    </w:p>
  </w:footnote>
  <w:footnote w:id="7">
    <w:p w:rsidR="00CE15C0" w:rsidRPr="00077C7A" w14:paraId="2BA2E24B" w14:textId="3BCDCD32">
      <w:pPr>
        <w:pStyle w:val="FootnoteText"/>
        <w:rPr>
          <w:sz w:val="20"/>
        </w:rPr>
      </w:pPr>
      <w:r w:rsidRPr="00DB343B">
        <w:rPr>
          <w:rStyle w:val="FootnoteReference"/>
          <w:sz w:val="20"/>
        </w:rPr>
        <w:footnoteRef/>
      </w:r>
      <w:r w:rsidRPr="00DB343B">
        <w:rPr>
          <w:sz w:val="20"/>
        </w:rPr>
        <w:t xml:space="preserve"> </w:t>
      </w:r>
      <w:r w:rsidRPr="00DB343B" w:rsidR="009F475E">
        <w:rPr>
          <w:sz w:val="20"/>
        </w:rPr>
        <w:t>Supplement at 1.</w:t>
      </w:r>
      <w:r w:rsidRPr="00DB343B" w:rsidR="009F475E">
        <w:rPr>
          <w:i/>
          <w:iCs/>
          <w:sz w:val="20"/>
        </w:rPr>
        <w:t xml:space="preserve"> </w:t>
      </w:r>
      <w:r w:rsidR="00077C7A">
        <w:rPr>
          <w:sz w:val="20"/>
        </w:rPr>
        <w:t xml:space="preserve"> Sunset Fiber participates in the E-Rate and Rural Health Care programs.  Application at 16. </w:t>
      </w:r>
    </w:p>
  </w:footnote>
  <w:footnote w:id="8">
    <w:p w:rsidR="007F1171" w:rsidRPr="00DB343B" w14:paraId="0AD2DC79" w14:textId="700251E3">
      <w:pPr>
        <w:pStyle w:val="FootnoteText"/>
        <w:rPr>
          <w:sz w:val="20"/>
        </w:rPr>
      </w:pPr>
      <w:r w:rsidRPr="00DB343B">
        <w:rPr>
          <w:rStyle w:val="FootnoteReference"/>
          <w:sz w:val="20"/>
        </w:rPr>
        <w:footnoteRef/>
      </w:r>
      <w:r w:rsidRPr="00DB343B">
        <w:rPr>
          <w:sz w:val="20"/>
        </w:rPr>
        <w:t xml:space="preserve"> </w:t>
      </w:r>
      <w:r w:rsidRPr="00DB343B" w:rsidR="00E72ACD">
        <w:rPr>
          <w:i/>
          <w:iCs/>
          <w:sz w:val="20"/>
        </w:rPr>
        <w:t>Id.</w:t>
      </w:r>
      <w:r w:rsidRPr="00DB343B" w:rsidR="00E72ACD">
        <w:rPr>
          <w:sz w:val="20"/>
        </w:rPr>
        <w:t xml:space="preserve"> at 1, 3 </w:t>
      </w:r>
      <w:bookmarkStart w:id="6" w:name="_Hlk129269123"/>
      <w:r w:rsidRPr="00DB343B" w:rsidR="00E72ACD">
        <w:rPr>
          <w:sz w:val="20"/>
        </w:rPr>
        <w:t>(Supplemental Exhibit C)</w:t>
      </w:r>
      <w:bookmarkEnd w:id="6"/>
      <w:r w:rsidR="00E72ACD">
        <w:rPr>
          <w:sz w:val="20"/>
        </w:rPr>
        <w:t xml:space="preserve">; </w:t>
      </w:r>
      <w:r w:rsidRPr="00BC62BB" w:rsidR="00BC62BB">
        <w:rPr>
          <w:i/>
          <w:iCs/>
          <w:sz w:val="20"/>
        </w:rPr>
        <w:t>Connect America Fund Phase II Auction Support Authorized for 387 Winning Bids</w:t>
      </w:r>
      <w:r w:rsidR="00BC62BB">
        <w:rPr>
          <w:sz w:val="20"/>
        </w:rPr>
        <w:t xml:space="preserve">, </w:t>
      </w:r>
      <w:r w:rsidR="00803143">
        <w:rPr>
          <w:sz w:val="20"/>
        </w:rPr>
        <w:t xml:space="preserve">AU Docket No. 17-182, WC Docket No. 10-90, </w:t>
      </w:r>
      <w:r w:rsidR="00BC62BB">
        <w:rPr>
          <w:sz w:val="20"/>
        </w:rPr>
        <w:t>Public Notice, 34 FCC Rcd 9406</w:t>
      </w:r>
      <w:r w:rsidR="000E0A37">
        <w:rPr>
          <w:sz w:val="20"/>
        </w:rPr>
        <w:t xml:space="preserve">, </w:t>
      </w:r>
      <w:r w:rsidRPr="00BE23E3" w:rsidR="000E0A37">
        <w:rPr>
          <w:rStyle w:val="xxcontentpasted0"/>
          <w:sz w:val="20"/>
        </w:rPr>
        <w:t>Attach A (Authorized Recipients Summary)</w:t>
      </w:r>
      <w:r w:rsidR="00BC62BB">
        <w:rPr>
          <w:sz w:val="20"/>
        </w:rPr>
        <w:t xml:space="preserve"> (WCB</w:t>
      </w:r>
      <w:r w:rsidR="00DD082A">
        <w:rPr>
          <w:sz w:val="20"/>
        </w:rPr>
        <w:t>/</w:t>
      </w:r>
      <w:r w:rsidR="00BC62BB">
        <w:rPr>
          <w:sz w:val="20"/>
        </w:rPr>
        <w:t>OEA 2019)</w:t>
      </w:r>
      <w:r w:rsidRPr="00DB343B">
        <w:rPr>
          <w:sz w:val="20"/>
        </w:rPr>
        <w:t>.</w:t>
      </w:r>
    </w:p>
  </w:footnote>
  <w:footnote w:id="9">
    <w:p w:rsidR="00E72ACD" w:rsidRPr="00DB343B" w:rsidP="00E72ACD" w14:paraId="5AA80C84" w14:textId="2460F4D2">
      <w:pPr>
        <w:pStyle w:val="FootnoteText"/>
        <w:rPr>
          <w:sz w:val="20"/>
        </w:rPr>
      </w:pPr>
      <w:r w:rsidRPr="00DB343B">
        <w:rPr>
          <w:rStyle w:val="FootnoteReference"/>
          <w:sz w:val="20"/>
        </w:rPr>
        <w:footnoteRef/>
      </w:r>
      <w:r w:rsidRPr="00DB343B">
        <w:rPr>
          <w:sz w:val="20"/>
        </w:rPr>
        <w:t xml:space="preserve"> </w:t>
      </w:r>
      <w:bookmarkStart w:id="7" w:name="_Hlk129269195"/>
      <w:r w:rsidRPr="00AB4BB8" w:rsidR="00AB4BB8">
        <w:rPr>
          <w:sz w:val="20"/>
        </w:rPr>
        <w:t>Supplement at 1,</w:t>
      </w:r>
      <w:r w:rsidR="00AB4BB8">
        <w:rPr>
          <w:sz w:val="20"/>
        </w:rPr>
        <w:t xml:space="preserve"> </w:t>
      </w:r>
      <w:r w:rsidRPr="00AB4BB8" w:rsidR="00AB4BB8">
        <w:rPr>
          <w:sz w:val="20"/>
        </w:rPr>
        <w:t>3</w:t>
      </w:r>
      <w:r w:rsidR="00AB4BB8">
        <w:rPr>
          <w:i/>
          <w:iCs/>
          <w:sz w:val="20"/>
        </w:rPr>
        <w:t xml:space="preserve"> </w:t>
      </w:r>
      <w:r w:rsidRPr="00DB343B" w:rsidR="00AB4BB8">
        <w:rPr>
          <w:sz w:val="20"/>
        </w:rPr>
        <w:t>(Supplemental Exhibit C)</w:t>
      </w:r>
      <w:bookmarkEnd w:id="7"/>
      <w:r w:rsidR="00AB4BB8">
        <w:rPr>
          <w:sz w:val="20"/>
        </w:rPr>
        <w:t>;</w:t>
      </w:r>
      <w:r>
        <w:rPr>
          <w:sz w:val="20"/>
        </w:rPr>
        <w:t xml:space="preserve"> </w:t>
      </w:r>
      <w:r w:rsidRPr="00E72ACD">
        <w:rPr>
          <w:i/>
          <w:iCs/>
          <w:sz w:val="20"/>
        </w:rPr>
        <w:t>RDOF Support Authorized for 466 Winning Bids</w:t>
      </w:r>
      <w:r>
        <w:rPr>
          <w:sz w:val="20"/>
        </w:rPr>
        <w:t xml:space="preserve">, AU Docket No. 20-34, WC Docket No. 19-126, WC Docket No. 10-90, Public Notice, </w:t>
      </w:r>
      <w:r w:rsidR="00B14F38">
        <w:rPr>
          <w:sz w:val="20"/>
        </w:rPr>
        <w:t>36</w:t>
      </w:r>
      <w:r w:rsidR="00E51225">
        <w:rPr>
          <w:sz w:val="20"/>
        </w:rPr>
        <w:t xml:space="preserve"> FCC Rcd </w:t>
      </w:r>
      <w:r w:rsidR="00B14F38">
        <w:rPr>
          <w:sz w:val="20"/>
        </w:rPr>
        <w:t>13574</w:t>
      </w:r>
      <w:r w:rsidR="00E51225">
        <w:rPr>
          <w:sz w:val="20"/>
        </w:rPr>
        <w:t xml:space="preserve">, </w:t>
      </w:r>
      <w:r>
        <w:rPr>
          <w:sz w:val="20"/>
        </w:rPr>
        <w:t>Attach. A (Authorized Recipients Summary) (WCB/OEA 2021)</w:t>
      </w:r>
      <w:r w:rsidR="0080677F">
        <w:rPr>
          <w:sz w:val="20"/>
        </w:rPr>
        <w:t>.</w:t>
      </w:r>
    </w:p>
  </w:footnote>
  <w:footnote w:id="10">
    <w:p w:rsidR="0080677F" w14:paraId="195A35DA" w14:textId="07B0EDBB">
      <w:pPr>
        <w:pStyle w:val="FootnoteText"/>
      </w:pPr>
      <w:r>
        <w:rPr>
          <w:rStyle w:val="FootnoteReference"/>
        </w:rPr>
        <w:footnoteRef/>
      </w:r>
      <w:r>
        <w:t xml:space="preserve"> </w:t>
      </w:r>
      <w:r w:rsidRPr="00AB4BB8" w:rsidR="00AB4BB8">
        <w:rPr>
          <w:sz w:val="20"/>
        </w:rPr>
        <w:t>Supplement at 1,</w:t>
      </w:r>
      <w:r w:rsidR="00AB4BB8">
        <w:rPr>
          <w:sz w:val="20"/>
        </w:rPr>
        <w:t xml:space="preserve"> </w:t>
      </w:r>
      <w:r w:rsidRPr="00AB4BB8" w:rsidR="00AB4BB8">
        <w:rPr>
          <w:sz w:val="20"/>
        </w:rPr>
        <w:t>3</w:t>
      </w:r>
      <w:r w:rsidR="00AB4BB8">
        <w:rPr>
          <w:i/>
          <w:iCs/>
          <w:sz w:val="20"/>
        </w:rPr>
        <w:t xml:space="preserve"> </w:t>
      </w:r>
      <w:r w:rsidRPr="00DB343B" w:rsidR="00AB4BB8">
        <w:rPr>
          <w:sz w:val="20"/>
        </w:rPr>
        <w:t>(Supplemental Exhibit C)</w:t>
      </w:r>
      <w:r w:rsidR="00AB4BB8">
        <w:rPr>
          <w:sz w:val="20"/>
        </w:rPr>
        <w:t>;</w:t>
      </w:r>
      <w:r w:rsidRPr="0080677F">
        <w:rPr>
          <w:sz w:val="20"/>
        </w:rPr>
        <w:t xml:space="preserve"> </w:t>
      </w:r>
      <w:r w:rsidRPr="0080677F">
        <w:rPr>
          <w:i/>
          <w:iCs/>
          <w:sz w:val="20"/>
        </w:rPr>
        <w:t>Connect America Fund Phase II Auction Support Authorized for 2,413 Winning Bids</w:t>
      </w:r>
      <w:r w:rsidRPr="0080677F">
        <w:rPr>
          <w:sz w:val="20"/>
        </w:rPr>
        <w:t xml:space="preserve">, </w:t>
      </w:r>
      <w:r w:rsidR="00AF52A1">
        <w:rPr>
          <w:sz w:val="20"/>
        </w:rPr>
        <w:t xml:space="preserve">AU Docket No. 17-182, WC Docket No. 10-90, </w:t>
      </w:r>
      <w:r w:rsidRPr="0080677F">
        <w:rPr>
          <w:sz w:val="20"/>
        </w:rPr>
        <w:t>Public Notice, 34 FCC Rcd 5966 (WCB 2019) (authorizing Crystal Automation Systems’ to provide service to 17,610 locations in Michigan)</w:t>
      </w:r>
      <w:r w:rsidR="009B367A">
        <w:rPr>
          <w:sz w:val="20"/>
        </w:rPr>
        <w:t>;</w:t>
      </w:r>
      <w:r w:rsidRPr="0080677F">
        <w:rPr>
          <w:sz w:val="20"/>
        </w:rPr>
        <w:t xml:space="preserve"> </w:t>
      </w:r>
      <w:r w:rsidR="009B367A">
        <w:rPr>
          <w:i/>
          <w:iCs/>
          <w:sz w:val="20"/>
        </w:rPr>
        <w:t>s</w:t>
      </w:r>
      <w:r w:rsidRPr="0080677F">
        <w:rPr>
          <w:i/>
          <w:iCs/>
          <w:sz w:val="20"/>
        </w:rPr>
        <w:t>ee also Notice of Domestic Section 214 Authorization Granted</w:t>
      </w:r>
      <w:r w:rsidRPr="0080677F">
        <w:rPr>
          <w:sz w:val="20"/>
        </w:rPr>
        <w:t>,</w:t>
      </w:r>
      <w:r w:rsidR="001D2284">
        <w:rPr>
          <w:sz w:val="20"/>
        </w:rPr>
        <w:t xml:space="preserve"> WC Docket No. 20-261, Public Notice,</w:t>
      </w:r>
      <w:r w:rsidRPr="0080677F">
        <w:rPr>
          <w:i/>
          <w:iCs/>
          <w:sz w:val="20"/>
        </w:rPr>
        <w:t xml:space="preserve"> </w:t>
      </w:r>
      <w:r w:rsidRPr="0080677F">
        <w:rPr>
          <w:sz w:val="20"/>
        </w:rPr>
        <w:t xml:space="preserve">35 FCC Rcd 10494 (WCB 2020) (authorizing Point Broadband Fiber’s acquisition of the CAF II obligations and support of Crystal Automation Systems, Inc.).  </w:t>
      </w:r>
    </w:p>
  </w:footnote>
  <w:footnote w:id="11">
    <w:p w:rsidR="00E05D4D" w:rsidRPr="00DB343B" w14:paraId="434F3233" w14:textId="3156C27E">
      <w:pPr>
        <w:pStyle w:val="FootnoteText"/>
        <w:rPr>
          <w:sz w:val="20"/>
        </w:rPr>
      </w:pPr>
      <w:r w:rsidRPr="00DB343B">
        <w:rPr>
          <w:rStyle w:val="FootnoteReference"/>
          <w:sz w:val="20"/>
        </w:rPr>
        <w:footnoteRef/>
      </w:r>
      <w:r w:rsidRPr="00DB343B">
        <w:rPr>
          <w:sz w:val="20"/>
        </w:rPr>
        <w:t xml:space="preserve"> </w:t>
      </w:r>
      <w:r w:rsidRPr="00DB343B" w:rsidR="007F1171">
        <w:rPr>
          <w:sz w:val="20"/>
        </w:rPr>
        <w:t>Application</w:t>
      </w:r>
      <w:r w:rsidRPr="00DB343B">
        <w:rPr>
          <w:sz w:val="20"/>
        </w:rPr>
        <w:t xml:space="preserve"> at 6</w:t>
      </w:r>
      <w:r w:rsidRPr="00DB343B" w:rsidR="00E62F7B">
        <w:rPr>
          <w:sz w:val="20"/>
        </w:rPr>
        <w:t>, Exhibit A</w:t>
      </w:r>
      <w:r w:rsidR="004F2D91">
        <w:rPr>
          <w:sz w:val="20"/>
        </w:rPr>
        <w:t xml:space="preserve"> </w:t>
      </w:r>
      <w:r w:rsidRPr="00DB343B" w:rsidR="004F2D91">
        <w:rPr>
          <w:sz w:val="20"/>
        </w:rPr>
        <w:t>Chart 1: Pre-Close Ownership of Point Broadband Acquisition</w:t>
      </w:r>
      <w:r w:rsidRPr="00DB343B">
        <w:rPr>
          <w:sz w:val="20"/>
        </w:rPr>
        <w:t>.</w:t>
      </w:r>
      <w:r w:rsidRPr="00DB343B" w:rsidR="0005331E">
        <w:rPr>
          <w:sz w:val="20"/>
        </w:rPr>
        <w:t xml:space="preserve">  </w:t>
      </w:r>
      <w:r w:rsidRPr="00DB343B" w:rsidR="00316F74">
        <w:rPr>
          <w:sz w:val="20"/>
        </w:rPr>
        <w:t xml:space="preserve">Applicants state that control of GTCR is held by the Managing Directors of GTCR, all U.S. citizens.  </w:t>
      </w:r>
      <w:r w:rsidRPr="00DB343B" w:rsidR="00316F74">
        <w:rPr>
          <w:i/>
          <w:iCs/>
          <w:sz w:val="20"/>
        </w:rPr>
        <w:t>Id.</w:t>
      </w:r>
      <w:r w:rsidRPr="00DB343B" w:rsidR="00316F74">
        <w:rPr>
          <w:sz w:val="20"/>
        </w:rPr>
        <w:t xml:space="preserve">  </w:t>
      </w:r>
      <w:r w:rsidRPr="00DB343B" w:rsidR="0005331E">
        <w:rPr>
          <w:sz w:val="20"/>
        </w:rPr>
        <w:t>Certain entities affiliated or under common management with GTCR also hold a 10% or greater direct or indirect equity interest in the following telecommunications-related entities:  Consumer Cellular, Inc., which provides resold CMRS service, including between the U.S. and points abroad pursuant to an international section 214 authorization; Mega Broadband Investments Holdings, LLC, which, through its subsidiaries, provides video, broadband Internet access, and interconnected VoIP services in 16 states; Gogo, Inc., which provides broadband and other connectivity solutions to the business aviation market; and Clearwave Fiber LLC, which, with its subsidiaries, provides telecommunications services and other services in 5 states</w:t>
      </w:r>
      <w:r w:rsidRPr="00DB343B" w:rsidR="009F475E">
        <w:rPr>
          <w:sz w:val="20"/>
        </w:rPr>
        <w:t>.</w:t>
      </w:r>
      <w:r w:rsidRPr="00DB343B" w:rsidR="0005331E">
        <w:rPr>
          <w:sz w:val="20"/>
        </w:rPr>
        <w:t xml:space="preserve">  </w:t>
      </w:r>
      <w:r w:rsidRPr="00DB343B" w:rsidR="0005331E">
        <w:rPr>
          <w:i/>
          <w:iCs/>
          <w:sz w:val="20"/>
        </w:rPr>
        <w:t>Id</w:t>
      </w:r>
      <w:r w:rsidRPr="00DB343B" w:rsidR="0005331E">
        <w:rPr>
          <w:sz w:val="20"/>
        </w:rPr>
        <w:t>. at 13.</w:t>
      </w:r>
    </w:p>
  </w:footnote>
  <w:footnote w:id="12">
    <w:p w:rsidR="001341AD" w:rsidRPr="00DB343B" w14:paraId="7E2B9B0B" w14:textId="4B5D18B5">
      <w:pPr>
        <w:pStyle w:val="FootnoteText"/>
        <w:rPr>
          <w:sz w:val="20"/>
        </w:rPr>
      </w:pPr>
      <w:r w:rsidRPr="00DB343B">
        <w:rPr>
          <w:rStyle w:val="FootnoteReference"/>
          <w:sz w:val="20"/>
        </w:rPr>
        <w:footnoteRef/>
      </w:r>
      <w:r w:rsidRPr="00DB343B">
        <w:rPr>
          <w:sz w:val="20"/>
        </w:rPr>
        <w:t xml:space="preserve"> </w:t>
      </w:r>
      <w:r w:rsidRPr="00DB343B">
        <w:rPr>
          <w:i/>
          <w:iCs/>
          <w:sz w:val="20"/>
        </w:rPr>
        <w:t>Id.</w:t>
      </w:r>
      <w:r w:rsidRPr="00DB343B">
        <w:rPr>
          <w:sz w:val="20"/>
        </w:rPr>
        <w:t xml:space="preserve"> at 3.</w:t>
      </w:r>
      <w:r w:rsidRPr="00DB343B" w:rsidR="009F475E">
        <w:rPr>
          <w:sz w:val="20"/>
        </w:rPr>
        <w:t xml:space="preserve">  Applicants state that Berkshire Fund X, the primary Berkshire investment fund investing in Point Broadband</w:t>
      </w:r>
      <w:r w:rsidRPr="00DB343B" w:rsidR="00265F40">
        <w:rPr>
          <w:sz w:val="20"/>
        </w:rPr>
        <w:t>, is held by the 32 Managing Members of Berkshire Partners</w:t>
      </w:r>
      <w:r w:rsidRPr="00DB343B" w:rsidR="009F475E">
        <w:rPr>
          <w:sz w:val="20"/>
        </w:rPr>
        <w:t>,</w:t>
      </w:r>
      <w:r w:rsidRPr="00DB343B" w:rsidR="00265F40">
        <w:rPr>
          <w:sz w:val="20"/>
        </w:rPr>
        <w:t xml:space="preserve"> all </w:t>
      </w:r>
      <w:r w:rsidR="003D7C78">
        <w:rPr>
          <w:sz w:val="20"/>
        </w:rPr>
        <w:t xml:space="preserve">of whom are </w:t>
      </w:r>
      <w:r w:rsidRPr="00DB343B" w:rsidR="00265F40">
        <w:rPr>
          <w:sz w:val="20"/>
        </w:rPr>
        <w:t xml:space="preserve">U.S. citizens. </w:t>
      </w:r>
      <w:r w:rsidRPr="00DB343B" w:rsidR="009F475E">
        <w:rPr>
          <w:sz w:val="20"/>
        </w:rPr>
        <w:t xml:space="preserve"> </w:t>
      </w:r>
      <w:r w:rsidRPr="00DB343B" w:rsidR="009F475E">
        <w:rPr>
          <w:i/>
          <w:iCs/>
          <w:sz w:val="20"/>
        </w:rPr>
        <w:t>Id.</w:t>
      </w:r>
      <w:r w:rsidRPr="00DB343B" w:rsidR="009F475E">
        <w:rPr>
          <w:sz w:val="20"/>
        </w:rPr>
        <w:t xml:space="preserve"> </w:t>
      </w:r>
      <w:r w:rsidRPr="00DB343B" w:rsidR="003D7C78">
        <w:rPr>
          <w:sz w:val="20"/>
        </w:rPr>
        <w:t>A</w:t>
      </w:r>
      <w:r w:rsidRPr="00DB343B" w:rsidR="009F475E">
        <w:rPr>
          <w:sz w:val="20"/>
        </w:rPr>
        <w:t>t 3, Exh. A, Chart 3: Post-Close Ownership of Point Broadband Acquisition</w:t>
      </w:r>
      <w:r w:rsidR="003D7C78">
        <w:rPr>
          <w:sz w:val="20"/>
        </w:rPr>
        <w:t>.</w:t>
      </w:r>
    </w:p>
  </w:footnote>
  <w:footnote w:id="13">
    <w:p w:rsidR="001341AD" w:rsidRPr="00DB343B" w14:paraId="084225C8" w14:textId="4936A7D6">
      <w:pPr>
        <w:pStyle w:val="FootnoteText"/>
        <w:rPr>
          <w:sz w:val="20"/>
        </w:rPr>
      </w:pPr>
      <w:r w:rsidRPr="00DB343B">
        <w:rPr>
          <w:rStyle w:val="FootnoteReference"/>
          <w:sz w:val="20"/>
        </w:rPr>
        <w:footnoteRef/>
      </w:r>
      <w:r w:rsidRPr="00DB343B">
        <w:rPr>
          <w:sz w:val="20"/>
        </w:rPr>
        <w:t xml:space="preserve"> </w:t>
      </w:r>
      <w:r w:rsidRPr="00DB343B" w:rsidR="00B813FA">
        <w:rPr>
          <w:i/>
          <w:iCs/>
          <w:sz w:val="20"/>
        </w:rPr>
        <w:t>Id</w:t>
      </w:r>
      <w:r w:rsidRPr="00DB343B" w:rsidR="00B813FA">
        <w:rPr>
          <w:sz w:val="20"/>
        </w:rPr>
        <w:t>. at 8.</w:t>
      </w:r>
    </w:p>
  </w:footnote>
  <w:footnote w:id="14">
    <w:p w:rsidR="00B813FA" w:rsidRPr="00DB343B" w14:paraId="7207E960" w14:textId="28CE134F">
      <w:pPr>
        <w:pStyle w:val="FootnoteText"/>
        <w:rPr>
          <w:sz w:val="20"/>
        </w:rPr>
      </w:pPr>
      <w:r w:rsidRPr="00DB343B">
        <w:rPr>
          <w:rStyle w:val="FootnoteReference"/>
          <w:sz w:val="20"/>
        </w:rPr>
        <w:footnoteRef/>
      </w:r>
      <w:r w:rsidRPr="00DB343B">
        <w:rPr>
          <w:sz w:val="20"/>
        </w:rPr>
        <w:t xml:space="preserve"> </w:t>
      </w:r>
      <w:r w:rsidRPr="00DB343B">
        <w:rPr>
          <w:i/>
          <w:iCs/>
          <w:sz w:val="20"/>
        </w:rPr>
        <w:t>Id.</w:t>
      </w:r>
      <w:r w:rsidRPr="00DB343B">
        <w:rPr>
          <w:sz w:val="20"/>
        </w:rPr>
        <w:t xml:space="preserve"> at 13.</w:t>
      </w:r>
    </w:p>
  </w:footnote>
  <w:footnote w:id="15">
    <w:p w:rsidR="00BF34FA" w:rsidRPr="00DB343B" w14:paraId="68199346" w14:textId="52CB0CCD">
      <w:pPr>
        <w:pStyle w:val="FootnoteText"/>
        <w:rPr>
          <w:sz w:val="20"/>
        </w:rPr>
      </w:pPr>
      <w:r w:rsidRPr="00DB343B">
        <w:rPr>
          <w:rStyle w:val="FootnoteReference"/>
          <w:sz w:val="20"/>
        </w:rPr>
        <w:footnoteRef/>
      </w:r>
      <w:r w:rsidRPr="00DB343B">
        <w:rPr>
          <w:sz w:val="20"/>
        </w:rPr>
        <w:t xml:space="preserve"> </w:t>
      </w:r>
      <w:r w:rsidRPr="00DB343B">
        <w:rPr>
          <w:i/>
          <w:iCs/>
          <w:sz w:val="20"/>
        </w:rPr>
        <w:t>Id</w:t>
      </w:r>
      <w:r w:rsidRPr="00DB343B">
        <w:rPr>
          <w:sz w:val="20"/>
        </w:rPr>
        <w:t>. at 5.</w:t>
      </w:r>
    </w:p>
  </w:footnote>
  <w:footnote w:id="16">
    <w:p w:rsidR="0005331E" w:rsidRPr="00DB343B" w14:paraId="5B3479A8" w14:textId="714A7FD2">
      <w:pPr>
        <w:pStyle w:val="FootnoteText"/>
        <w:rPr>
          <w:sz w:val="20"/>
        </w:rPr>
      </w:pPr>
      <w:r w:rsidRPr="00DB343B">
        <w:rPr>
          <w:rStyle w:val="FootnoteReference"/>
          <w:sz w:val="20"/>
        </w:rPr>
        <w:footnoteRef/>
      </w:r>
      <w:r w:rsidRPr="00DB343B">
        <w:rPr>
          <w:sz w:val="20"/>
        </w:rPr>
        <w:t xml:space="preserve"> </w:t>
      </w:r>
      <w:r w:rsidRPr="00DB343B">
        <w:rPr>
          <w:i/>
          <w:iCs/>
          <w:sz w:val="20"/>
        </w:rPr>
        <w:t>Id</w:t>
      </w:r>
      <w:r w:rsidRPr="00DB343B">
        <w:rPr>
          <w:sz w:val="20"/>
        </w:rPr>
        <w:t>. at 6.</w:t>
      </w:r>
    </w:p>
  </w:footnote>
  <w:footnote w:id="17">
    <w:p w:rsidR="001166BB" w:rsidRPr="00DB343B" w14:paraId="5B37CBF9" w14:textId="13B0D1A3">
      <w:pPr>
        <w:pStyle w:val="FootnoteText"/>
        <w:rPr>
          <w:sz w:val="20"/>
        </w:rPr>
      </w:pPr>
      <w:r w:rsidRPr="00DB343B">
        <w:rPr>
          <w:rStyle w:val="FootnoteReference"/>
          <w:sz w:val="20"/>
        </w:rPr>
        <w:footnoteRef/>
      </w:r>
      <w:r w:rsidRPr="00DB343B">
        <w:rPr>
          <w:sz w:val="20"/>
        </w:rPr>
        <w:t xml:space="preserve"> </w:t>
      </w:r>
      <w:r w:rsidRPr="00DB343B">
        <w:rPr>
          <w:i/>
          <w:iCs/>
          <w:sz w:val="20"/>
        </w:rPr>
        <w:t>Id</w:t>
      </w:r>
      <w:r w:rsidRPr="00DB343B">
        <w:rPr>
          <w:sz w:val="20"/>
        </w:rPr>
        <w:t>.</w:t>
      </w:r>
      <w:r w:rsidRPr="00DB343B" w:rsidR="0012244E">
        <w:rPr>
          <w:sz w:val="20"/>
        </w:rPr>
        <w:t xml:space="preserve">  </w:t>
      </w:r>
    </w:p>
  </w:footnote>
  <w:footnote w:id="18">
    <w:p w:rsidR="00885DCA" w:rsidRPr="00DB343B" w:rsidP="00885DCA" w14:paraId="12435A32" w14:textId="4148DEB8">
      <w:pPr>
        <w:pStyle w:val="FootnoteText"/>
        <w:rPr>
          <w:sz w:val="20"/>
        </w:rPr>
      </w:pPr>
      <w:r w:rsidRPr="00DB343B">
        <w:rPr>
          <w:rStyle w:val="FootnoteReference"/>
          <w:sz w:val="20"/>
        </w:rPr>
        <w:footnoteRef/>
      </w:r>
      <w:r w:rsidRPr="00DB343B">
        <w:rPr>
          <w:sz w:val="20"/>
        </w:rPr>
        <w:t xml:space="preserve"> </w:t>
      </w:r>
      <w:r w:rsidRPr="00DB343B">
        <w:rPr>
          <w:i/>
          <w:iCs/>
          <w:sz w:val="20"/>
        </w:rPr>
        <w:t>Id</w:t>
      </w:r>
      <w:r w:rsidRPr="00DB343B">
        <w:rPr>
          <w:sz w:val="20"/>
        </w:rPr>
        <w:t>. at 7-</w:t>
      </w:r>
      <w:r w:rsidRPr="00DB343B" w:rsidR="00E6385B">
        <w:rPr>
          <w:sz w:val="20"/>
        </w:rPr>
        <w:t>8</w:t>
      </w:r>
      <w:r w:rsidRPr="00DB343B">
        <w:rPr>
          <w:sz w:val="20"/>
        </w:rPr>
        <w:t>.</w:t>
      </w:r>
    </w:p>
  </w:footnote>
  <w:footnote w:id="19">
    <w:p w:rsidR="00885DCA" w:rsidRPr="00DB343B" w:rsidP="00885DCA" w14:paraId="12169C00" w14:textId="0BD4B313">
      <w:pPr>
        <w:pStyle w:val="FootnoteText"/>
        <w:rPr>
          <w:sz w:val="20"/>
        </w:rPr>
      </w:pPr>
      <w:r w:rsidRPr="00DB343B">
        <w:rPr>
          <w:rStyle w:val="FootnoteReference"/>
          <w:sz w:val="20"/>
        </w:rPr>
        <w:footnoteRef/>
      </w:r>
      <w:r w:rsidRPr="00DB343B">
        <w:rPr>
          <w:sz w:val="20"/>
        </w:rPr>
        <w:t xml:space="preserve"> </w:t>
      </w:r>
      <w:r w:rsidRPr="00DB343B">
        <w:rPr>
          <w:i/>
          <w:iCs/>
          <w:sz w:val="20"/>
        </w:rPr>
        <w:t xml:space="preserve">See </w:t>
      </w:r>
      <w:r w:rsidRPr="00DB343B">
        <w:rPr>
          <w:sz w:val="20"/>
        </w:rPr>
        <w:t xml:space="preserve">47 CFR § 63.03(c)(1)(v). </w:t>
      </w:r>
    </w:p>
  </w:footnote>
  <w:footnote w:id="20">
    <w:p w:rsidR="00E6385B" w:rsidRPr="00DB343B" w:rsidP="00E6385B" w14:paraId="3C6E4F7D" w14:textId="77777777">
      <w:pPr>
        <w:pStyle w:val="FootnoteText"/>
        <w:spacing w:after="120"/>
        <w:rPr>
          <w:sz w:val="20"/>
          <w:u w:val="single"/>
        </w:rPr>
      </w:pPr>
      <w:r w:rsidRPr="00DB343B">
        <w:rPr>
          <w:rStyle w:val="FootnoteReference"/>
          <w:sz w:val="20"/>
        </w:rPr>
        <w:footnoteRef/>
      </w:r>
      <w:r w:rsidRPr="00DB343B">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DB343B">
        <w:rPr>
          <w:rFonts w:eastAsia="Calibri"/>
          <w:i/>
          <w:iCs/>
          <w:sz w:val="20"/>
        </w:rPr>
        <w:t>See FCC Announces Closure of FCC Headquarters Open Window and Change in Hand-Delivery Policy</w:t>
      </w:r>
      <w:r w:rsidRPr="00DB343B">
        <w:rPr>
          <w:rFonts w:eastAsia="Calibri"/>
          <w:sz w:val="20"/>
        </w:rPr>
        <w:t>, Public Notice, 35 FCC Rcd 2788 (OS 2020).</w:t>
      </w:r>
    </w:p>
  </w:footnote>
  <w:footnote w:id="21">
    <w:p w:rsidR="00E6385B" w:rsidRPr="00DB343B" w:rsidP="00E6385B" w14:paraId="6EEC3A29" w14:textId="77777777">
      <w:pPr>
        <w:pStyle w:val="FootnoteText"/>
        <w:tabs>
          <w:tab w:val="clear" w:pos="720"/>
        </w:tabs>
        <w:spacing w:after="120"/>
        <w:rPr>
          <w:sz w:val="20"/>
        </w:rPr>
      </w:pPr>
      <w:r w:rsidRPr="00DB343B">
        <w:rPr>
          <w:rStyle w:val="FootnoteReference"/>
          <w:sz w:val="20"/>
        </w:rPr>
        <w:footnoteRef/>
      </w:r>
      <w:r w:rsidRPr="00DB343B">
        <w:rPr>
          <w:sz w:val="20"/>
        </w:rPr>
        <w:t xml:space="preserve"> </w:t>
      </w:r>
      <w:r w:rsidRPr="00DB343B">
        <w:rPr>
          <w:i/>
          <w:sz w:val="20"/>
        </w:rPr>
        <w:t>See</w:t>
      </w:r>
      <w:r w:rsidRPr="00DB343B">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5FE4B0B4">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721B78E3" w14:textId="77777777">
                <w:pPr>
                  <w:jc w:val="right"/>
                  <w:rPr>
                    <w:rFonts w:ascii="Arial" w:hAnsi="Arial"/>
                    <w:b/>
                    <w:sz w:val="16"/>
                  </w:rPr>
                </w:pP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27525"/>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31E"/>
    <w:rsid w:val="000534AC"/>
    <w:rsid w:val="000575E7"/>
    <w:rsid w:val="00057881"/>
    <w:rsid w:val="00057E12"/>
    <w:rsid w:val="00060124"/>
    <w:rsid w:val="0006186A"/>
    <w:rsid w:val="000629CF"/>
    <w:rsid w:val="000639C7"/>
    <w:rsid w:val="00063CA5"/>
    <w:rsid w:val="00064092"/>
    <w:rsid w:val="00064C7D"/>
    <w:rsid w:val="000656F9"/>
    <w:rsid w:val="0006624C"/>
    <w:rsid w:val="00066250"/>
    <w:rsid w:val="00066D12"/>
    <w:rsid w:val="000677D9"/>
    <w:rsid w:val="000721D3"/>
    <w:rsid w:val="00073173"/>
    <w:rsid w:val="000735C8"/>
    <w:rsid w:val="000746B6"/>
    <w:rsid w:val="00075703"/>
    <w:rsid w:val="00075D57"/>
    <w:rsid w:val="00077C7A"/>
    <w:rsid w:val="00077E64"/>
    <w:rsid w:val="00080F60"/>
    <w:rsid w:val="0008381D"/>
    <w:rsid w:val="00086D16"/>
    <w:rsid w:val="00087205"/>
    <w:rsid w:val="00092A4E"/>
    <w:rsid w:val="000946FB"/>
    <w:rsid w:val="0009534A"/>
    <w:rsid w:val="00097AB0"/>
    <w:rsid w:val="000A24AA"/>
    <w:rsid w:val="000A2EEF"/>
    <w:rsid w:val="000A3019"/>
    <w:rsid w:val="000A526C"/>
    <w:rsid w:val="000A5FD3"/>
    <w:rsid w:val="000A65C4"/>
    <w:rsid w:val="000A671D"/>
    <w:rsid w:val="000B0795"/>
    <w:rsid w:val="000B1C31"/>
    <w:rsid w:val="000B2362"/>
    <w:rsid w:val="000B3146"/>
    <w:rsid w:val="000B390D"/>
    <w:rsid w:val="000B48A6"/>
    <w:rsid w:val="000B4EDD"/>
    <w:rsid w:val="000B5635"/>
    <w:rsid w:val="000B6839"/>
    <w:rsid w:val="000C004F"/>
    <w:rsid w:val="000C1273"/>
    <w:rsid w:val="000C1460"/>
    <w:rsid w:val="000C7CA4"/>
    <w:rsid w:val="000D2383"/>
    <w:rsid w:val="000D3A8B"/>
    <w:rsid w:val="000D7E4D"/>
    <w:rsid w:val="000E0A37"/>
    <w:rsid w:val="000E14B7"/>
    <w:rsid w:val="000E1546"/>
    <w:rsid w:val="000E35A7"/>
    <w:rsid w:val="000E4938"/>
    <w:rsid w:val="000E4A69"/>
    <w:rsid w:val="000E538C"/>
    <w:rsid w:val="000E5955"/>
    <w:rsid w:val="000F02F7"/>
    <w:rsid w:val="000F233E"/>
    <w:rsid w:val="000F467E"/>
    <w:rsid w:val="000F5E94"/>
    <w:rsid w:val="00100ED3"/>
    <w:rsid w:val="001019E2"/>
    <w:rsid w:val="00101D0B"/>
    <w:rsid w:val="00106F5A"/>
    <w:rsid w:val="00113712"/>
    <w:rsid w:val="001150BA"/>
    <w:rsid w:val="0011590C"/>
    <w:rsid w:val="0011599F"/>
    <w:rsid w:val="00116026"/>
    <w:rsid w:val="001166BB"/>
    <w:rsid w:val="00117529"/>
    <w:rsid w:val="00117D06"/>
    <w:rsid w:val="0012244E"/>
    <w:rsid w:val="001226CB"/>
    <w:rsid w:val="0012329A"/>
    <w:rsid w:val="0012437D"/>
    <w:rsid w:val="00124D9C"/>
    <w:rsid w:val="00126DDB"/>
    <w:rsid w:val="00131952"/>
    <w:rsid w:val="00132529"/>
    <w:rsid w:val="00133383"/>
    <w:rsid w:val="00133E41"/>
    <w:rsid w:val="0013405D"/>
    <w:rsid w:val="001341AD"/>
    <w:rsid w:val="00134FFC"/>
    <w:rsid w:val="001356E5"/>
    <w:rsid w:val="00135941"/>
    <w:rsid w:val="0014084C"/>
    <w:rsid w:val="001410ED"/>
    <w:rsid w:val="00141388"/>
    <w:rsid w:val="00142ED5"/>
    <w:rsid w:val="001449F9"/>
    <w:rsid w:val="00144E61"/>
    <w:rsid w:val="001470F0"/>
    <w:rsid w:val="001474FD"/>
    <w:rsid w:val="001513B4"/>
    <w:rsid w:val="0015217F"/>
    <w:rsid w:val="00152CF6"/>
    <w:rsid w:val="001538C4"/>
    <w:rsid w:val="001551A7"/>
    <w:rsid w:val="00155CC3"/>
    <w:rsid w:val="00156EA3"/>
    <w:rsid w:val="00161A99"/>
    <w:rsid w:val="00165FDC"/>
    <w:rsid w:val="00171181"/>
    <w:rsid w:val="00171B51"/>
    <w:rsid w:val="001736D0"/>
    <w:rsid w:val="00174A85"/>
    <w:rsid w:val="00176BD0"/>
    <w:rsid w:val="00183360"/>
    <w:rsid w:val="0018581D"/>
    <w:rsid w:val="00187617"/>
    <w:rsid w:val="00190745"/>
    <w:rsid w:val="001916C0"/>
    <w:rsid w:val="00193234"/>
    <w:rsid w:val="001947E9"/>
    <w:rsid w:val="00194E1E"/>
    <w:rsid w:val="001A00A7"/>
    <w:rsid w:val="001A2DFA"/>
    <w:rsid w:val="001A3813"/>
    <w:rsid w:val="001A3E67"/>
    <w:rsid w:val="001A47EC"/>
    <w:rsid w:val="001A5568"/>
    <w:rsid w:val="001B1B08"/>
    <w:rsid w:val="001B1E25"/>
    <w:rsid w:val="001B294D"/>
    <w:rsid w:val="001B2C26"/>
    <w:rsid w:val="001B2FBB"/>
    <w:rsid w:val="001B4C2F"/>
    <w:rsid w:val="001B57A4"/>
    <w:rsid w:val="001B69F9"/>
    <w:rsid w:val="001B6EFA"/>
    <w:rsid w:val="001C2314"/>
    <w:rsid w:val="001C3C98"/>
    <w:rsid w:val="001C5D07"/>
    <w:rsid w:val="001C78FB"/>
    <w:rsid w:val="001C7CD1"/>
    <w:rsid w:val="001D10A0"/>
    <w:rsid w:val="001D2284"/>
    <w:rsid w:val="001D3F27"/>
    <w:rsid w:val="001E1210"/>
    <w:rsid w:val="001E16CA"/>
    <w:rsid w:val="001E2274"/>
    <w:rsid w:val="001E382D"/>
    <w:rsid w:val="001E659B"/>
    <w:rsid w:val="001E7604"/>
    <w:rsid w:val="001E7C16"/>
    <w:rsid w:val="001F024C"/>
    <w:rsid w:val="001F1508"/>
    <w:rsid w:val="001F33B5"/>
    <w:rsid w:val="001F6762"/>
    <w:rsid w:val="002018E7"/>
    <w:rsid w:val="0020342F"/>
    <w:rsid w:val="002057AC"/>
    <w:rsid w:val="002073D2"/>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44E7"/>
    <w:rsid w:val="00234F46"/>
    <w:rsid w:val="00240B49"/>
    <w:rsid w:val="00241CB2"/>
    <w:rsid w:val="0024326F"/>
    <w:rsid w:val="002519DF"/>
    <w:rsid w:val="0025247F"/>
    <w:rsid w:val="00253247"/>
    <w:rsid w:val="00253AB2"/>
    <w:rsid w:val="00255351"/>
    <w:rsid w:val="00257DD2"/>
    <w:rsid w:val="002606A8"/>
    <w:rsid w:val="0026090D"/>
    <w:rsid w:val="00262C25"/>
    <w:rsid w:val="00262E65"/>
    <w:rsid w:val="00263433"/>
    <w:rsid w:val="0026356E"/>
    <w:rsid w:val="00265F40"/>
    <w:rsid w:val="00266135"/>
    <w:rsid w:val="002666BC"/>
    <w:rsid w:val="00266D63"/>
    <w:rsid w:val="00267BF2"/>
    <w:rsid w:val="00272142"/>
    <w:rsid w:val="00280873"/>
    <w:rsid w:val="0028149F"/>
    <w:rsid w:val="0028397D"/>
    <w:rsid w:val="0028555C"/>
    <w:rsid w:val="00286187"/>
    <w:rsid w:val="00287432"/>
    <w:rsid w:val="00287FB9"/>
    <w:rsid w:val="0029098D"/>
    <w:rsid w:val="002923BD"/>
    <w:rsid w:val="00297F1D"/>
    <w:rsid w:val="002A1D13"/>
    <w:rsid w:val="002A30D9"/>
    <w:rsid w:val="002A7BD3"/>
    <w:rsid w:val="002B16FA"/>
    <w:rsid w:val="002B1948"/>
    <w:rsid w:val="002B1EF7"/>
    <w:rsid w:val="002B26A1"/>
    <w:rsid w:val="002B34DB"/>
    <w:rsid w:val="002B430C"/>
    <w:rsid w:val="002B58DE"/>
    <w:rsid w:val="002B5D0C"/>
    <w:rsid w:val="002B6B43"/>
    <w:rsid w:val="002B705C"/>
    <w:rsid w:val="002B7287"/>
    <w:rsid w:val="002C0122"/>
    <w:rsid w:val="002C1AA9"/>
    <w:rsid w:val="002C203E"/>
    <w:rsid w:val="002C22F3"/>
    <w:rsid w:val="002C27F4"/>
    <w:rsid w:val="002C3F26"/>
    <w:rsid w:val="002D09E2"/>
    <w:rsid w:val="002D11BE"/>
    <w:rsid w:val="002D16A6"/>
    <w:rsid w:val="002D4A00"/>
    <w:rsid w:val="002D4CB4"/>
    <w:rsid w:val="002D65CC"/>
    <w:rsid w:val="002D6F61"/>
    <w:rsid w:val="002E036D"/>
    <w:rsid w:val="002E0BAF"/>
    <w:rsid w:val="002E2A6F"/>
    <w:rsid w:val="002E363F"/>
    <w:rsid w:val="002E4894"/>
    <w:rsid w:val="002F2901"/>
    <w:rsid w:val="002F4E17"/>
    <w:rsid w:val="002F5F38"/>
    <w:rsid w:val="0030523C"/>
    <w:rsid w:val="00305D86"/>
    <w:rsid w:val="00306AAD"/>
    <w:rsid w:val="0031156F"/>
    <w:rsid w:val="00312CE1"/>
    <w:rsid w:val="00313546"/>
    <w:rsid w:val="00315BA9"/>
    <w:rsid w:val="00315D50"/>
    <w:rsid w:val="00315FCD"/>
    <w:rsid w:val="0031636F"/>
    <w:rsid w:val="00316F74"/>
    <w:rsid w:val="00321F97"/>
    <w:rsid w:val="00325988"/>
    <w:rsid w:val="00325E35"/>
    <w:rsid w:val="0032625B"/>
    <w:rsid w:val="00334E5E"/>
    <w:rsid w:val="00334E6C"/>
    <w:rsid w:val="003357F4"/>
    <w:rsid w:val="0033631D"/>
    <w:rsid w:val="00340881"/>
    <w:rsid w:val="003416E5"/>
    <w:rsid w:val="00345CA2"/>
    <w:rsid w:val="0034655A"/>
    <w:rsid w:val="003471AE"/>
    <w:rsid w:val="003479C9"/>
    <w:rsid w:val="00351689"/>
    <w:rsid w:val="00351D1D"/>
    <w:rsid w:val="00353CB5"/>
    <w:rsid w:val="0035442F"/>
    <w:rsid w:val="0035663A"/>
    <w:rsid w:val="003570A6"/>
    <w:rsid w:val="00360A78"/>
    <w:rsid w:val="003632CF"/>
    <w:rsid w:val="00364590"/>
    <w:rsid w:val="00364DFB"/>
    <w:rsid w:val="00365194"/>
    <w:rsid w:val="00366BC6"/>
    <w:rsid w:val="00367E50"/>
    <w:rsid w:val="00370A7F"/>
    <w:rsid w:val="00371142"/>
    <w:rsid w:val="00371701"/>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27B"/>
    <w:rsid w:val="003A580D"/>
    <w:rsid w:val="003A7B39"/>
    <w:rsid w:val="003B01B9"/>
    <w:rsid w:val="003B08F2"/>
    <w:rsid w:val="003B26B4"/>
    <w:rsid w:val="003B3E60"/>
    <w:rsid w:val="003B43C3"/>
    <w:rsid w:val="003B5CEE"/>
    <w:rsid w:val="003C18DA"/>
    <w:rsid w:val="003C2000"/>
    <w:rsid w:val="003C23FE"/>
    <w:rsid w:val="003C4A02"/>
    <w:rsid w:val="003C7229"/>
    <w:rsid w:val="003D08F3"/>
    <w:rsid w:val="003D0E6A"/>
    <w:rsid w:val="003D0F71"/>
    <w:rsid w:val="003D0F8F"/>
    <w:rsid w:val="003D4F94"/>
    <w:rsid w:val="003D4FC7"/>
    <w:rsid w:val="003D7C78"/>
    <w:rsid w:val="003E14F3"/>
    <w:rsid w:val="003E1784"/>
    <w:rsid w:val="003E187A"/>
    <w:rsid w:val="003E2442"/>
    <w:rsid w:val="003E3AD7"/>
    <w:rsid w:val="003E5630"/>
    <w:rsid w:val="003E58EC"/>
    <w:rsid w:val="003E6571"/>
    <w:rsid w:val="003F0ECD"/>
    <w:rsid w:val="003F16BE"/>
    <w:rsid w:val="003F1D04"/>
    <w:rsid w:val="003F2CD4"/>
    <w:rsid w:val="003F398A"/>
    <w:rsid w:val="003F58EA"/>
    <w:rsid w:val="00401B7B"/>
    <w:rsid w:val="0040580F"/>
    <w:rsid w:val="004076BA"/>
    <w:rsid w:val="004077D0"/>
    <w:rsid w:val="00412C94"/>
    <w:rsid w:val="00417052"/>
    <w:rsid w:val="00420995"/>
    <w:rsid w:val="00422B16"/>
    <w:rsid w:val="0042593D"/>
    <w:rsid w:val="00425FAF"/>
    <w:rsid w:val="00425FF2"/>
    <w:rsid w:val="0042603C"/>
    <w:rsid w:val="00426139"/>
    <w:rsid w:val="0042656C"/>
    <w:rsid w:val="004272E4"/>
    <w:rsid w:val="00430AC0"/>
    <w:rsid w:val="00430E1C"/>
    <w:rsid w:val="00431E30"/>
    <w:rsid w:val="004331D7"/>
    <w:rsid w:val="00433D8C"/>
    <w:rsid w:val="004343F3"/>
    <w:rsid w:val="00434899"/>
    <w:rsid w:val="00434C96"/>
    <w:rsid w:val="004354F6"/>
    <w:rsid w:val="0043596D"/>
    <w:rsid w:val="00436B4A"/>
    <w:rsid w:val="0044009A"/>
    <w:rsid w:val="00440989"/>
    <w:rsid w:val="00441048"/>
    <w:rsid w:val="004435EE"/>
    <w:rsid w:val="00444548"/>
    <w:rsid w:val="00446342"/>
    <w:rsid w:val="004503EA"/>
    <w:rsid w:val="00452843"/>
    <w:rsid w:val="00453514"/>
    <w:rsid w:val="00455655"/>
    <w:rsid w:val="0045717F"/>
    <w:rsid w:val="00457574"/>
    <w:rsid w:val="00460914"/>
    <w:rsid w:val="004609A4"/>
    <w:rsid w:val="00462D8F"/>
    <w:rsid w:val="00464B40"/>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3A3C"/>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0469"/>
    <w:rsid w:val="004E2081"/>
    <w:rsid w:val="004E5AE8"/>
    <w:rsid w:val="004E6AC6"/>
    <w:rsid w:val="004E718B"/>
    <w:rsid w:val="004E74EE"/>
    <w:rsid w:val="004F1C11"/>
    <w:rsid w:val="004F2447"/>
    <w:rsid w:val="004F2D91"/>
    <w:rsid w:val="004F3603"/>
    <w:rsid w:val="004F3CEC"/>
    <w:rsid w:val="004F515D"/>
    <w:rsid w:val="004F686B"/>
    <w:rsid w:val="004F6F64"/>
    <w:rsid w:val="00500BD0"/>
    <w:rsid w:val="00501D17"/>
    <w:rsid w:val="00501F06"/>
    <w:rsid w:val="00504505"/>
    <w:rsid w:val="00504BF5"/>
    <w:rsid w:val="00505DA1"/>
    <w:rsid w:val="0050614C"/>
    <w:rsid w:val="005107DF"/>
    <w:rsid w:val="0051681C"/>
    <w:rsid w:val="00521FBD"/>
    <w:rsid w:val="005226C6"/>
    <w:rsid w:val="00522D66"/>
    <w:rsid w:val="00524D79"/>
    <w:rsid w:val="00526561"/>
    <w:rsid w:val="005273AB"/>
    <w:rsid w:val="005320B5"/>
    <w:rsid w:val="005336D7"/>
    <w:rsid w:val="00533917"/>
    <w:rsid w:val="00535877"/>
    <w:rsid w:val="00536ED2"/>
    <w:rsid w:val="0053732F"/>
    <w:rsid w:val="00540E25"/>
    <w:rsid w:val="00541D22"/>
    <w:rsid w:val="00541D28"/>
    <w:rsid w:val="005424F4"/>
    <w:rsid w:val="005431A6"/>
    <w:rsid w:val="0054677E"/>
    <w:rsid w:val="005473A6"/>
    <w:rsid w:val="005505CE"/>
    <w:rsid w:val="00551202"/>
    <w:rsid w:val="00551ADB"/>
    <w:rsid w:val="005524B6"/>
    <w:rsid w:val="00554D90"/>
    <w:rsid w:val="00554E17"/>
    <w:rsid w:val="0055505D"/>
    <w:rsid w:val="0055684E"/>
    <w:rsid w:val="0056058F"/>
    <w:rsid w:val="005630DC"/>
    <w:rsid w:val="0056467B"/>
    <w:rsid w:val="00565354"/>
    <w:rsid w:val="00567286"/>
    <w:rsid w:val="00570DA8"/>
    <w:rsid w:val="005710C8"/>
    <w:rsid w:val="00573CA8"/>
    <w:rsid w:val="00576EDE"/>
    <w:rsid w:val="00580DBD"/>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9EF"/>
    <w:rsid w:val="005C3E2F"/>
    <w:rsid w:val="005C403A"/>
    <w:rsid w:val="005C44C6"/>
    <w:rsid w:val="005C5C55"/>
    <w:rsid w:val="005C740F"/>
    <w:rsid w:val="005C7DC4"/>
    <w:rsid w:val="005D1C91"/>
    <w:rsid w:val="005D4020"/>
    <w:rsid w:val="005D55CB"/>
    <w:rsid w:val="005D5B08"/>
    <w:rsid w:val="005D64C0"/>
    <w:rsid w:val="005D6BD0"/>
    <w:rsid w:val="005D709C"/>
    <w:rsid w:val="005D7F49"/>
    <w:rsid w:val="005E1BF3"/>
    <w:rsid w:val="005E2064"/>
    <w:rsid w:val="005E21F5"/>
    <w:rsid w:val="005E40DD"/>
    <w:rsid w:val="005E4129"/>
    <w:rsid w:val="005E6383"/>
    <w:rsid w:val="005E65C4"/>
    <w:rsid w:val="005E7A72"/>
    <w:rsid w:val="005E7C21"/>
    <w:rsid w:val="005F0281"/>
    <w:rsid w:val="005F06C4"/>
    <w:rsid w:val="005F090A"/>
    <w:rsid w:val="005F189F"/>
    <w:rsid w:val="005F2812"/>
    <w:rsid w:val="005F73CF"/>
    <w:rsid w:val="00600B5F"/>
    <w:rsid w:val="0060105E"/>
    <w:rsid w:val="0060106A"/>
    <w:rsid w:val="0060110D"/>
    <w:rsid w:val="00601476"/>
    <w:rsid w:val="00601534"/>
    <w:rsid w:val="00603418"/>
    <w:rsid w:val="006034FD"/>
    <w:rsid w:val="00603880"/>
    <w:rsid w:val="00603E1E"/>
    <w:rsid w:val="00604A3C"/>
    <w:rsid w:val="00604CFF"/>
    <w:rsid w:val="00607A40"/>
    <w:rsid w:val="0061117C"/>
    <w:rsid w:val="0061137C"/>
    <w:rsid w:val="00611B99"/>
    <w:rsid w:val="00611CD9"/>
    <w:rsid w:val="00611E7B"/>
    <w:rsid w:val="00615BB7"/>
    <w:rsid w:val="00616221"/>
    <w:rsid w:val="00616757"/>
    <w:rsid w:val="00617093"/>
    <w:rsid w:val="00617F31"/>
    <w:rsid w:val="00620956"/>
    <w:rsid w:val="00622967"/>
    <w:rsid w:val="00626D16"/>
    <w:rsid w:val="006311C4"/>
    <w:rsid w:val="00633290"/>
    <w:rsid w:val="00635062"/>
    <w:rsid w:val="0063611E"/>
    <w:rsid w:val="00636679"/>
    <w:rsid w:val="00637ECE"/>
    <w:rsid w:val="00641F60"/>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65C2A"/>
    <w:rsid w:val="00667736"/>
    <w:rsid w:val="006703D5"/>
    <w:rsid w:val="0067115F"/>
    <w:rsid w:val="006768CC"/>
    <w:rsid w:val="00677DF3"/>
    <w:rsid w:val="0068067C"/>
    <w:rsid w:val="00680868"/>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37CD"/>
    <w:rsid w:val="006B5C06"/>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E099D"/>
    <w:rsid w:val="006E37FC"/>
    <w:rsid w:val="006E3B3B"/>
    <w:rsid w:val="006E3C11"/>
    <w:rsid w:val="006E3E11"/>
    <w:rsid w:val="006E4EF0"/>
    <w:rsid w:val="006E61ED"/>
    <w:rsid w:val="006E643F"/>
    <w:rsid w:val="006E67A0"/>
    <w:rsid w:val="006E7452"/>
    <w:rsid w:val="006E77B7"/>
    <w:rsid w:val="006F1EDD"/>
    <w:rsid w:val="006F1F25"/>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411"/>
    <w:rsid w:val="0070755C"/>
    <w:rsid w:val="0071041E"/>
    <w:rsid w:val="00710722"/>
    <w:rsid w:val="00710BAB"/>
    <w:rsid w:val="00710E57"/>
    <w:rsid w:val="0071176B"/>
    <w:rsid w:val="007124C8"/>
    <w:rsid w:val="00712BB0"/>
    <w:rsid w:val="00714887"/>
    <w:rsid w:val="00721062"/>
    <w:rsid w:val="00721165"/>
    <w:rsid w:val="00724722"/>
    <w:rsid w:val="0072750E"/>
    <w:rsid w:val="00730FAC"/>
    <w:rsid w:val="00733B9B"/>
    <w:rsid w:val="007349C4"/>
    <w:rsid w:val="00734ACF"/>
    <w:rsid w:val="007413DA"/>
    <w:rsid w:val="00741682"/>
    <w:rsid w:val="007419C0"/>
    <w:rsid w:val="0074294F"/>
    <w:rsid w:val="00744022"/>
    <w:rsid w:val="00744E0C"/>
    <w:rsid w:val="00745559"/>
    <w:rsid w:val="00746FDA"/>
    <w:rsid w:val="00753889"/>
    <w:rsid w:val="0075392E"/>
    <w:rsid w:val="00756775"/>
    <w:rsid w:val="007569C5"/>
    <w:rsid w:val="00760269"/>
    <w:rsid w:val="00760571"/>
    <w:rsid w:val="007631B9"/>
    <w:rsid w:val="0076331F"/>
    <w:rsid w:val="0076359A"/>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28DC"/>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2657"/>
    <w:rsid w:val="007D27E1"/>
    <w:rsid w:val="007D2E71"/>
    <w:rsid w:val="007D31F7"/>
    <w:rsid w:val="007D3B6A"/>
    <w:rsid w:val="007D3B8F"/>
    <w:rsid w:val="007E0464"/>
    <w:rsid w:val="007E051A"/>
    <w:rsid w:val="007E44C2"/>
    <w:rsid w:val="007E47B5"/>
    <w:rsid w:val="007E64BB"/>
    <w:rsid w:val="007E6693"/>
    <w:rsid w:val="007E6950"/>
    <w:rsid w:val="007E6CDA"/>
    <w:rsid w:val="007F1171"/>
    <w:rsid w:val="007F1CE8"/>
    <w:rsid w:val="007F23AB"/>
    <w:rsid w:val="007F3103"/>
    <w:rsid w:val="007F6E7B"/>
    <w:rsid w:val="007F7E7B"/>
    <w:rsid w:val="0080023C"/>
    <w:rsid w:val="0080055D"/>
    <w:rsid w:val="00803143"/>
    <w:rsid w:val="00803625"/>
    <w:rsid w:val="00804B53"/>
    <w:rsid w:val="008052CD"/>
    <w:rsid w:val="00805DF1"/>
    <w:rsid w:val="0080677F"/>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07D"/>
    <w:rsid w:val="0083237E"/>
    <w:rsid w:val="0083618B"/>
    <w:rsid w:val="00837B07"/>
    <w:rsid w:val="00840199"/>
    <w:rsid w:val="0084125A"/>
    <w:rsid w:val="00842316"/>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50A3"/>
    <w:rsid w:val="00885BBC"/>
    <w:rsid w:val="00885DCA"/>
    <w:rsid w:val="00890CFD"/>
    <w:rsid w:val="00893308"/>
    <w:rsid w:val="00894B20"/>
    <w:rsid w:val="008950DE"/>
    <w:rsid w:val="008954D0"/>
    <w:rsid w:val="00895561"/>
    <w:rsid w:val="00895EC3"/>
    <w:rsid w:val="0089666B"/>
    <w:rsid w:val="008A103A"/>
    <w:rsid w:val="008A16BE"/>
    <w:rsid w:val="008A21EE"/>
    <w:rsid w:val="008A2C82"/>
    <w:rsid w:val="008A3AA2"/>
    <w:rsid w:val="008A5AB2"/>
    <w:rsid w:val="008A5E93"/>
    <w:rsid w:val="008A65A6"/>
    <w:rsid w:val="008A6CDA"/>
    <w:rsid w:val="008B3835"/>
    <w:rsid w:val="008C0750"/>
    <w:rsid w:val="008C1C7C"/>
    <w:rsid w:val="008C294A"/>
    <w:rsid w:val="008C297A"/>
    <w:rsid w:val="008C2DCD"/>
    <w:rsid w:val="008C3B0F"/>
    <w:rsid w:val="008C58D7"/>
    <w:rsid w:val="008C5968"/>
    <w:rsid w:val="008C6453"/>
    <w:rsid w:val="008C679F"/>
    <w:rsid w:val="008C7CA7"/>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1B26"/>
    <w:rsid w:val="008F1B9F"/>
    <w:rsid w:val="008F438E"/>
    <w:rsid w:val="008F4B15"/>
    <w:rsid w:val="008F4D2D"/>
    <w:rsid w:val="008F5100"/>
    <w:rsid w:val="008F67DB"/>
    <w:rsid w:val="008F6981"/>
    <w:rsid w:val="009004A5"/>
    <w:rsid w:val="0090059F"/>
    <w:rsid w:val="00903154"/>
    <w:rsid w:val="00903330"/>
    <w:rsid w:val="00903DE0"/>
    <w:rsid w:val="009075DA"/>
    <w:rsid w:val="00907AE5"/>
    <w:rsid w:val="009101A4"/>
    <w:rsid w:val="00912D13"/>
    <w:rsid w:val="00913852"/>
    <w:rsid w:val="009161AD"/>
    <w:rsid w:val="009211C4"/>
    <w:rsid w:val="009236BF"/>
    <w:rsid w:val="0093491F"/>
    <w:rsid w:val="009357D1"/>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B5C"/>
    <w:rsid w:val="0098015F"/>
    <w:rsid w:val="00980592"/>
    <w:rsid w:val="00980EF3"/>
    <w:rsid w:val="0098437F"/>
    <w:rsid w:val="00990455"/>
    <w:rsid w:val="00991FA7"/>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367A"/>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3"/>
    <w:rsid w:val="009E32BA"/>
    <w:rsid w:val="009E40EA"/>
    <w:rsid w:val="009E4467"/>
    <w:rsid w:val="009F4216"/>
    <w:rsid w:val="009F4470"/>
    <w:rsid w:val="009F475E"/>
    <w:rsid w:val="009F52E2"/>
    <w:rsid w:val="00A00CAA"/>
    <w:rsid w:val="00A02787"/>
    <w:rsid w:val="00A07DE6"/>
    <w:rsid w:val="00A11865"/>
    <w:rsid w:val="00A132F3"/>
    <w:rsid w:val="00A14824"/>
    <w:rsid w:val="00A14FAC"/>
    <w:rsid w:val="00A15248"/>
    <w:rsid w:val="00A21A77"/>
    <w:rsid w:val="00A229F0"/>
    <w:rsid w:val="00A25AB6"/>
    <w:rsid w:val="00A25C41"/>
    <w:rsid w:val="00A26754"/>
    <w:rsid w:val="00A268CF"/>
    <w:rsid w:val="00A30C04"/>
    <w:rsid w:val="00A326BD"/>
    <w:rsid w:val="00A32E7A"/>
    <w:rsid w:val="00A3545A"/>
    <w:rsid w:val="00A36DEA"/>
    <w:rsid w:val="00A37CD0"/>
    <w:rsid w:val="00A4540E"/>
    <w:rsid w:val="00A47815"/>
    <w:rsid w:val="00A47EA1"/>
    <w:rsid w:val="00A55996"/>
    <w:rsid w:val="00A55BA1"/>
    <w:rsid w:val="00A55F2F"/>
    <w:rsid w:val="00A569E4"/>
    <w:rsid w:val="00A64935"/>
    <w:rsid w:val="00A67395"/>
    <w:rsid w:val="00A8041F"/>
    <w:rsid w:val="00A824AF"/>
    <w:rsid w:val="00A826F0"/>
    <w:rsid w:val="00A845DF"/>
    <w:rsid w:val="00A85921"/>
    <w:rsid w:val="00A91559"/>
    <w:rsid w:val="00A92C9E"/>
    <w:rsid w:val="00A930EF"/>
    <w:rsid w:val="00A93D6C"/>
    <w:rsid w:val="00A94D7F"/>
    <w:rsid w:val="00A95B96"/>
    <w:rsid w:val="00A964BE"/>
    <w:rsid w:val="00A9705F"/>
    <w:rsid w:val="00AA04BA"/>
    <w:rsid w:val="00AA1CE3"/>
    <w:rsid w:val="00AA2F73"/>
    <w:rsid w:val="00AA461C"/>
    <w:rsid w:val="00AA50FB"/>
    <w:rsid w:val="00AA662F"/>
    <w:rsid w:val="00AA79C4"/>
    <w:rsid w:val="00AB2A9E"/>
    <w:rsid w:val="00AB4BB8"/>
    <w:rsid w:val="00AB582C"/>
    <w:rsid w:val="00AB583F"/>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52A1"/>
    <w:rsid w:val="00AF6905"/>
    <w:rsid w:val="00B001EF"/>
    <w:rsid w:val="00B00CBF"/>
    <w:rsid w:val="00B00F51"/>
    <w:rsid w:val="00B01C67"/>
    <w:rsid w:val="00B02029"/>
    <w:rsid w:val="00B02CE4"/>
    <w:rsid w:val="00B04549"/>
    <w:rsid w:val="00B04DDD"/>
    <w:rsid w:val="00B07676"/>
    <w:rsid w:val="00B07DCE"/>
    <w:rsid w:val="00B11E8B"/>
    <w:rsid w:val="00B13AC2"/>
    <w:rsid w:val="00B14F38"/>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76C"/>
    <w:rsid w:val="00B55A93"/>
    <w:rsid w:val="00B565D8"/>
    <w:rsid w:val="00B56E1B"/>
    <w:rsid w:val="00B57D2A"/>
    <w:rsid w:val="00B621AB"/>
    <w:rsid w:val="00B63B58"/>
    <w:rsid w:val="00B64D59"/>
    <w:rsid w:val="00B6681C"/>
    <w:rsid w:val="00B66A71"/>
    <w:rsid w:val="00B7010C"/>
    <w:rsid w:val="00B71C43"/>
    <w:rsid w:val="00B72F45"/>
    <w:rsid w:val="00B73211"/>
    <w:rsid w:val="00B73AED"/>
    <w:rsid w:val="00B73E3F"/>
    <w:rsid w:val="00B813FA"/>
    <w:rsid w:val="00B82819"/>
    <w:rsid w:val="00B830F5"/>
    <w:rsid w:val="00B83A8F"/>
    <w:rsid w:val="00B84642"/>
    <w:rsid w:val="00B856DD"/>
    <w:rsid w:val="00B908C9"/>
    <w:rsid w:val="00B91444"/>
    <w:rsid w:val="00B91F8A"/>
    <w:rsid w:val="00B934A6"/>
    <w:rsid w:val="00B9373D"/>
    <w:rsid w:val="00B93BD0"/>
    <w:rsid w:val="00B951D6"/>
    <w:rsid w:val="00B958E7"/>
    <w:rsid w:val="00B97629"/>
    <w:rsid w:val="00BA0D9C"/>
    <w:rsid w:val="00BA42C4"/>
    <w:rsid w:val="00BA45FE"/>
    <w:rsid w:val="00BA47A9"/>
    <w:rsid w:val="00BA496C"/>
    <w:rsid w:val="00BA513A"/>
    <w:rsid w:val="00BA573C"/>
    <w:rsid w:val="00BA5CCA"/>
    <w:rsid w:val="00BA6803"/>
    <w:rsid w:val="00BB0D72"/>
    <w:rsid w:val="00BB1216"/>
    <w:rsid w:val="00BB16F2"/>
    <w:rsid w:val="00BB24EB"/>
    <w:rsid w:val="00BB385F"/>
    <w:rsid w:val="00BB4D8E"/>
    <w:rsid w:val="00BB7CEB"/>
    <w:rsid w:val="00BC0F23"/>
    <w:rsid w:val="00BC136F"/>
    <w:rsid w:val="00BC1394"/>
    <w:rsid w:val="00BC62BB"/>
    <w:rsid w:val="00BC7555"/>
    <w:rsid w:val="00BD2520"/>
    <w:rsid w:val="00BD3278"/>
    <w:rsid w:val="00BD5AFA"/>
    <w:rsid w:val="00BD5F83"/>
    <w:rsid w:val="00BD6631"/>
    <w:rsid w:val="00BE0364"/>
    <w:rsid w:val="00BE063A"/>
    <w:rsid w:val="00BE09A9"/>
    <w:rsid w:val="00BE1FC9"/>
    <w:rsid w:val="00BE22A0"/>
    <w:rsid w:val="00BE23E3"/>
    <w:rsid w:val="00BE4C7C"/>
    <w:rsid w:val="00BE624E"/>
    <w:rsid w:val="00BF0215"/>
    <w:rsid w:val="00BF0B00"/>
    <w:rsid w:val="00BF34FA"/>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4620F"/>
    <w:rsid w:val="00C500B8"/>
    <w:rsid w:val="00C53E5E"/>
    <w:rsid w:val="00C60F32"/>
    <w:rsid w:val="00C612FD"/>
    <w:rsid w:val="00C64831"/>
    <w:rsid w:val="00C64B14"/>
    <w:rsid w:val="00C64C79"/>
    <w:rsid w:val="00C64DFC"/>
    <w:rsid w:val="00C64F55"/>
    <w:rsid w:val="00C65747"/>
    <w:rsid w:val="00C65BF0"/>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C3327"/>
    <w:rsid w:val="00CC3DC6"/>
    <w:rsid w:val="00CC45A6"/>
    <w:rsid w:val="00CC70CB"/>
    <w:rsid w:val="00CC7E97"/>
    <w:rsid w:val="00CD20C1"/>
    <w:rsid w:val="00CD323B"/>
    <w:rsid w:val="00CD3CBE"/>
    <w:rsid w:val="00CD5614"/>
    <w:rsid w:val="00CD6760"/>
    <w:rsid w:val="00CD711A"/>
    <w:rsid w:val="00CE03DE"/>
    <w:rsid w:val="00CE15C0"/>
    <w:rsid w:val="00CE2115"/>
    <w:rsid w:val="00CE3D85"/>
    <w:rsid w:val="00CE49B4"/>
    <w:rsid w:val="00CF1452"/>
    <w:rsid w:val="00CF2BC7"/>
    <w:rsid w:val="00CF569B"/>
    <w:rsid w:val="00CF571E"/>
    <w:rsid w:val="00CF6822"/>
    <w:rsid w:val="00CF6960"/>
    <w:rsid w:val="00D00C86"/>
    <w:rsid w:val="00D01A62"/>
    <w:rsid w:val="00D02269"/>
    <w:rsid w:val="00D04963"/>
    <w:rsid w:val="00D04DB0"/>
    <w:rsid w:val="00D05223"/>
    <w:rsid w:val="00D05475"/>
    <w:rsid w:val="00D111DF"/>
    <w:rsid w:val="00D130E3"/>
    <w:rsid w:val="00D13A95"/>
    <w:rsid w:val="00D1542F"/>
    <w:rsid w:val="00D16AD2"/>
    <w:rsid w:val="00D209FB"/>
    <w:rsid w:val="00D20D70"/>
    <w:rsid w:val="00D218FF"/>
    <w:rsid w:val="00D22738"/>
    <w:rsid w:val="00D23CB9"/>
    <w:rsid w:val="00D252B2"/>
    <w:rsid w:val="00D25A5D"/>
    <w:rsid w:val="00D261C4"/>
    <w:rsid w:val="00D303A7"/>
    <w:rsid w:val="00D30DAA"/>
    <w:rsid w:val="00D313A3"/>
    <w:rsid w:val="00D33FC7"/>
    <w:rsid w:val="00D343D8"/>
    <w:rsid w:val="00D347E0"/>
    <w:rsid w:val="00D34AD8"/>
    <w:rsid w:val="00D359B7"/>
    <w:rsid w:val="00D42D5A"/>
    <w:rsid w:val="00D4304C"/>
    <w:rsid w:val="00D43850"/>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021"/>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343B"/>
    <w:rsid w:val="00DB59FD"/>
    <w:rsid w:val="00DB6614"/>
    <w:rsid w:val="00DC0024"/>
    <w:rsid w:val="00DC063D"/>
    <w:rsid w:val="00DC097A"/>
    <w:rsid w:val="00DC24AD"/>
    <w:rsid w:val="00DC3A1A"/>
    <w:rsid w:val="00DC441A"/>
    <w:rsid w:val="00DC5921"/>
    <w:rsid w:val="00DC5BDD"/>
    <w:rsid w:val="00DC6D92"/>
    <w:rsid w:val="00DD0493"/>
    <w:rsid w:val="00DD082A"/>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5722"/>
    <w:rsid w:val="00DF635A"/>
    <w:rsid w:val="00DF6BB3"/>
    <w:rsid w:val="00E00DB4"/>
    <w:rsid w:val="00E015C4"/>
    <w:rsid w:val="00E02237"/>
    <w:rsid w:val="00E042F4"/>
    <w:rsid w:val="00E04732"/>
    <w:rsid w:val="00E05096"/>
    <w:rsid w:val="00E05D4D"/>
    <w:rsid w:val="00E07B1B"/>
    <w:rsid w:val="00E100F3"/>
    <w:rsid w:val="00E10C0C"/>
    <w:rsid w:val="00E11A1D"/>
    <w:rsid w:val="00E12C12"/>
    <w:rsid w:val="00E1390B"/>
    <w:rsid w:val="00E13B95"/>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225"/>
    <w:rsid w:val="00E5147B"/>
    <w:rsid w:val="00E51A47"/>
    <w:rsid w:val="00E54085"/>
    <w:rsid w:val="00E54722"/>
    <w:rsid w:val="00E547F0"/>
    <w:rsid w:val="00E55A96"/>
    <w:rsid w:val="00E577F2"/>
    <w:rsid w:val="00E62F7B"/>
    <w:rsid w:val="00E6385B"/>
    <w:rsid w:val="00E63C52"/>
    <w:rsid w:val="00E64254"/>
    <w:rsid w:val="00E6637B"/>
    <w:rsid w:val="00E67D1E"/>
    <w:rsid w:val="00E7033D"/>
    <w:rsid w:val="00E7095F"/>
    <w:rsid w:val="00E70C10"/>
    <w:rsid w:val="00E72ACD"/>
    <w:rsid w:val="00E74981"/>
    <w:rsid w:val="00E76148"/>
    <w:rsid w:val="00E77553"/>
    <w:rsid w:val="00E77C88"/>
    <w:rsid w:val="00E825DA"/>
    <w:rsid w:val="00E8472C"/>
    <w:rsid w:val="00E84DF2"/>
    <w:rsid w:val="00E84F99"/>
    <w:rsid w:val="00E85A65"/>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5280"/>
    <w:rsid w:val="00EB7973"/>
    <w:rsid w:val="00EC0FDA"/>
    <w:rsid w:val="00EC3BF9"/>
    <w:rsid w:val="00EC3CCE"/>
    <w:rsid w:val="00EC4B1A"/>
    <w:rsid w:val="00EC4D3D"/>
    <w:rsid w:val="00EC5A1B"/>
    <w:rsid w:val="00EC7ADB"/>
    <w:rsid w:val="00EC7DF9"/>
    <w:rsid w:val="00ED2A13"/>
    <w:rsid w:val="00ED40B2"/>
    <w:rsid w:val="00ED4E9F"/>
    <w:rsid w:val="00ED51D0"/>
    <w:rsid w:val="00ED6A08"/>
    <w:rsid w:val="00ED6E8F"/>
    <w:rsid w:val="00ED7DFD"/>
    <w:rsid w:val="00EE0450"/>
    <w:rsid w:val="00EE37C8"/>
    <w:rsid w:val="00EE3D1E"/>
    <w:rsid w:val="00EE59BC"/>
    <w:rsid w:val="00EE6C21"/>
    <w:rsid w:val="00EE7A85"/>
    <w:rsid w:val="00EF03E8"/>
    <w:rsid w:val="00EF45D4"/>
    <w:rsid w:val="00EF59CB"/>
    <w:rsid w:val="00F0047B"/>
    <w:rsid w:val="00F005CF"/>
    <w:rsid w:val="00F016FA"/>
    <w:rsid w:val="00F02029"/>
    <w:rsid w:val="00F02173"/>
    <w:rsid w:val="00F02FD1"/>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488E"/>
    <w:rsid w:val="00F35D70"/>
    <w:rsid w:val="00F36FF9"/>
    <w:rsid w:val="00F3762F"/>
    <w:rsid w:val="00F41DFE"/>
    <w:rsid w:val="00F42927"/>
    <w:rsid w:val="00F438B0"/>
    <w:rsid w:val="00F43CCF"/>
    <w:rsid w:val="00F4490B"/>
    <w:rsid w:val="00F451CB"/>
    <w:rsid w:val="00F45254"/>
    <w:rsid w:val="00F51F08"/>
    <w:rsid w:val="00F52571"/>
    <w:rsid w:val="00F54AF5"/>
    <w:rsid w:val="00F57A04"/>
    <w:rsid w:val="00F639B0"/>
    <w:rsid w:val="00F644CD"/>
    <w:rsid w:val="00F64FBB"/>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E122A"/>
    <w:rsid w:val="00FE2544"/>
    <w:rsid w:val="00FE25CE"/>
    <w:rsid w:val="00FE41D5"/>
    <w:rsid w:val="00FE43B3"/>
    <w:rsid w:val="00FE48E3"/>
    <w:rsid w:val="00FE6F2D"/>
    <w:rsid w:val="00FF0927"/>
    <w:rsid w:val="00FF1466"/>
    <w:rsid w:val="00FF23CF"/>
    <w:rsid w:val="00FF29DC"/>
    <w:rsid w:val="00FF30FF"/>
    <w:rsid w:val="00FF411B"/>
    <w:rsid w:val="00FF437B"/>
    <w:rsid w:val="00FF44B1"/>
    <w:rsid w:val="00FF4D79"/>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7E6693"/>
    <w:rPr>
      <w:color w:val="605E5C"/>
      <w:shd w:val="clear" w:color="auto" w:fill="E1DFDD"/>
    </w:rPr>
  </w:style>
  <w:style w:type="character" w:customStyle="1" w:styleId="xcontentpasted0">
    <w:name w:val="x_contentpasted0"/>
    <w:basedOn w:val="DefaultParagraphFont"/>
    <w:rsid w:val="009004A5"/>
  </w:style>
  <w:style w:type="character" w:customStyle="1" w:styleId="xxcontentpasted0">
    <w:name w:val="x_xcontentpasted0"/>
    <w:basedOn w:val="DefaultParagraphFont"/>
    <w:rsid w:val="000E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tracey.wilson@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