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85D16" w14:paraId="2D7BBE06" w14:textId="23A8BE8C">
      <w:pPr>
        <w:jc w:val="right"/>
        <w:rPr>
          <w:sz w:val="24"/>
        </w:rPr>
      </w:pPr>
    </w:p>
    <w:p w:rsidR="00085D16" w14:paraId="4D61FAD5" w14:textId="06C68140">
      <w:pPr>
        <w:jc w:val="right"/>
        <w:rPr>
          <w:b/>
          <w:sz w:val="24"/>
        </w:rPr>
      </w:pPr>
      <w:r>
        <w:rPr>
          <w:b/>
          <w:sz w:val="24"/>
        </w:rPr>
        <w:t>DA 23-</w:t>
      </w:r>
      <w:r w:rsidR="005D614A">
        <w:rPr>
          <w:b/>
          <w:sz w:val="24"/>
        </w:rPr>
        <w:t>204</w:t>
      </w:r>
    </w:p>
    <w:p w:rsidR="00085D16" w14:paraId="42E09C03" w14:textId="2CBDA218">
      <w:pPr>
        <w:spacing w:before="60"/>
        <w:jc w:val="right"/>
        <w:rPr>
          <w:b/>
          <w:sz w:val="24"/>
        </w:rPr>
      </w:pPr>
      <w:r>
        <w:rPr>
          <w:b/>
          <w:sz w:val="24"/>
        </w:rPr>
        <w:t xml:space="preserve">Released:  </w:t>
      </w:r>
      <w:r w:rsidR="00982144">
        <w:rPr>
          <w:b/>
          <w:sz w:val="24"/>
        </w:rPr>
        <w:t>March 13, 2023</w:t>
      </w:r>
    </w:p>
    <w:p w:rsidR="00085D16" w14:paraId="3DCE08BD" w14:textId="77777777">
      <w:pPr>
        <w:jc w:val="right"/>
        <w:rPr>
          <w:sz w:val="24"/>
        </w:rPr>
      </w:pPr>
    </w:p>
    <w:p w:rsidR="00085D16" w:rsidRPr="00CE3341" w:rsidP="00CE3341" w14:paraId="30EFFCAC" w14:textId="741540EE">
      <w:pPr>
        <w:spacing w:after="240"/>
        <w:jc w:val="center"/>
        <w:rPr>
          <w:rFonts w:ascii="Times New Roman Bold" w:hAnsi="Times New Roman Bold"/>
          <w:b/>
          <w:caps/>
          <w:sz w:val="24"/>
        </w:rPr>
      </w:pPr>
      <w:r w:rsidRPr="00953E17">
        <w:rPr>
          <w:rFonts w:ascii="Times New Roman Bold" w:hAnsi="Times New Roman Bold"/>
          <w:b/>
          <w:caps/>
          <w:sz w:val="24"/>
        </w:rPr>
        <w:t xml:space="preserve">wIRELESS TELECOMMUNICATIONS BUREAU SEEKS COMMENT ON </w:t>
      </w:r>
      <w:r w:rsidRPr="00953E17" w:rsidR="00953E17">
        <w:rPr>
          <w:rFonts w:ascii="Times New Roman Bold" w:hAnsi="Times New Roman Bold"/>
          <w:b/>
          <w:bCs/>
          <w:caps/>
          <w:sz w:val="24"/>
          <w:szCs w:val="24"/>
        </w:rPr>
        <w:t>c-band PHASE Ii certification of accelerated relocation</w:t>
      </w:r>
      <w:r w:rsidRPr="00953E17" w:rsidR="00953E17">
        <w:rPr>
          <w:rFonts w:ascii="Times New Roman Bold" w:hAnsi="Times New Roman Bold"/>
          <w:b/>
          <w:caps/>
          <w:sz w:val="24"/>
        </w:rPr>
        <w:t xml:space="preserve"> </w:t>
      </w:r>
      <w:r w:rsidR="00CF5E08">
        <w:rPr>
          <w:rFonts w:ascii="Times New Roman Bold" w:hAnsi="Times New Roman Bold"/>
          <w:b/>
          <w:caps/>
          <w:sz w:val="24"/>
        </w:rPr>
        <w:t>PROC</w:t>
      </w:r>
      <w:r w:rsidR="000578ED">
        <w:rPr>
          <w:rFonts w:ascii="Times New Roman Bold" w:hAnsi="Times New Roman Bold"/>
          <w:b/>
          <w:caps/>
          <w:sz w:val="24"/>
        </w:rPr>
        <w:t>edures</w:t>
      </w:r>
      <w:r w:rsidR="00CF5E08">
        <w:rPr>
          <w:rFonts w:ascii="Times New Roman Bold" w:hAnsi="Times New Roman Bold"/>
          <w:b/>
          <w:caps/>
          <w:sz w:val="24"/>
        </w:rPr>
        <w:t xml:space="preserve"> </w:t>
      </w:r>
      <w:r w:rsidRPr="00953E17" w:rsidR="00953E17">
        <w:rPr>
          <w:rFonts w:ascii="Times New Roman Bold" w:hAnsi="Times New Roman Bold"/>
          <w:b/>
          <w:caps/>
          <w:sz w:val="24"/>
        </w:rPr>
        <w:t xml:space="preserve">and </w:t>
      </w:r>
      <w:r w:rsidRPr="00953E17">
        <w:rPr>
          <w:rFonts w:ascii="Times New Roman Bold" w:hAnsi="Times New Roman Bold"/>
          <w:b/>
          <w:caps/>
          <w:sz w:val="24"/>
        </w:rPr>
        <w:t>IMPLEMENTATION OF THE COM</w:t>
      </w:r>
      <w:r w:rsidR="0020036C">
        <w:rPr>
          <w:rFonts w:ascii="Times New Roman Bold" w:hAnsi="Times New Roman Bold"/>
          <w:b/>
          <w:caps/>
          <w:sz w:val="24"/>
        </w:rPr>
        <w:t>M</w:t>
      </w:r>
      <w:r w:rsidRPr="00953E17">
        <w:rPr>
          <w:rFonts w:ascii="Times New Roman Bold" w:hAnsi="Times New Roman Bold"/>
          <w:b/>
          <w:caps/>
          <w:sz w:val="24"/>
        </w:rPr>
        <w:t>ISSION’S INCREMENTAL REDUCTION PLAN FOR PHASE II ACCELERATED RELOCATION PAYMENTS</w:t>
      </w:r>
    </w:p>
    <w:p w:rsidR="00085D16" w14:paraId="01BD2309" w14:textId="31EC30CB">
      <w:pPr>
        <w:jc w:val="center"/>
        <w:rPr>
          <w:b/>
          <w:sz w:val="24"/>
        </w:rPr>
      </w:pPr>
      <w:r>
        <w:rPr>
          <w:b/>
          <w:sz w:val="24"/>
        </w:rPr>
        <w:t>GN Docket No. 18-122; GN Docket No. 2</w:t>
      </w:r>
      <w:r w:rsidR="00342151">
        <w:rPr>
          <w:b/>
          <w:sz w:val="24"/>
        </w:rPr>
        <w:t>3</w:t>
      </w:r>
      <w:r>
        <w:rPr>
          <w:b/>
          <w:sz w:val="24"/>
        </w:rPr>
        <w:t>-</w:t>
      </w:r>
      <w:r w:rsidR="00B72541">
        <w:rPr>
          <w:b/>
          <w:sz w:val="24"/>
        </w:rPr>
        <w:t>97</w:t>
      </w:r>
    </w:p>
    <w:p w:rsidR="00CE3341" w:rsidP="00CE3341" w14:paraId="1473E7CD" w14:textId="3F51166E">
      <w:pPr>
        <w:rPr>
          <w:b/>
          <w:sz w:val="24"/>
        </w:rPr>
      </w:pPr>
    </w:p>
    <w:p w:rsidR="00CE3341" w:rsidP="00CE3341" w14:paraId="24D65AD8" w14:textId="646C71EB">
      <w:pPr>
        <w:rPr>
          <w:b/>
          <w:sz w:val="24"/>
        </w:rPr>
      </w:pPr>
      <w:r>
        <w:rPr>
          <w:b/>
          <w:sz w:val="24"/>
        </w:rPr>
        <w:t>Comments Due:  [</w:t>
      </w:r>
      <w:r w:rsidRPr="00982144" w:rsidR="00922888">
        <w:rPr>
          <w:b/>
          <w:sz w:val="24"/>
        </w:rPr>
        <w:t>30</w:t>
      </w:r>
      <w:r w:rsidRPr="00982144">
        <w:rPr>
          <w:b/>
          <w:sz w:val="24"/>
        </w:rPr>
        <w:t xml:space="preserve"> days after publication in the Federal Register</w:t>
      </w:r>
      <w:r>
        <w:rPr>
          <w:b/>
          <w:sz w:val="24"/>
        </w:rPr>
        <w:t>]</w:t>
      </w:r>
    </w:p>
    <w:p w:rsidR="00CE3341" w:rsidP="00CE3341" w14:paraId="1D7F4473" w14:textId="3671C1F9">
      <w:pPr>
        <w:rPr>
          <w:b/>
          <w:sz w:val="24"/>
        </w:rPr>
      </w:pPr>
    </w:p>
    <w:p w:rsidR="009B434F" w:rsidP="004B464E" w14:paraId="047F858D" w14:textId="39D8EDCC">
      <w:pPr>
        <w:spacing w:after="120"/>
        <w:ind w:firstLine="720"/>
      </w:pPr>
      <w:r w:rsidRPr="00DB259A">
        <w:t xml:space="preserve">With this Public Notice, the Wireless Telecommunications Bureau (WTB or Bureau) seeks comment on </w:t>
      </w:r>
      <w:r w:rsidRPr="00DB259A" w:rsidR="00DB259A">
        <w:t xml:space="preserve">proposed procedures related to </w:t>
      </w:r>
      <w:r w:rsidR="00F02349">
        <w:t>the</w:t>
      </w:r>
      <w:r w:rsidR="002A39C9">
        <w:t xml:space="preserve"> filing of</w:t>
      </w:r>
      <w:r w:rsidR="00F02349">
        <w:t xml:space="preserve"> </w:t>
      </w:r>
      <w:r w:rsidRPr="00DB259A" w:rsidR="00DB259A">
        <w:t xml:space="preserve">Phase II </w:t>
      </w:r>
      <w:r w:rsidR="00F02349">
        <w:t>Certification</w:t>
      </w:r>
      <w:r w:rsidR="00207EAA">
        <w:t>s</w:t>
      </w:r>
      <w:r w:rsidR="00F02349">
        <w:t xml:space="preserve"> of </w:t>
      </w:r>
      <w:r w:rsidRPr="00DB259A" w:rsidR="00DB259A">
        <w:t xml:space="preserve">Accelerated Relocation </w:t>
      </w:r>
      <w:r w:rsidR="00E41163">
        <w:t>(Certifications)</w:t>
      </w:r>
      <w:r w:rsidR="00207EAA">
        <w:t xml:space="preserve"> </w:t>
      </w:r>
      <w:r w:rsidR="005A4D3E">
        <w:t xml:space="preserve">and </w:t>
      </w:r>
      <w:r w:rsidR="002470F2">
        <w:t xml:space="preserve">on </w:t>
      </w:r>
      <w:r w:rsidR="005A4D3E">
        <w:t xml:space="preserve">implementation of the Commission’s </w:t>
      </w:r>
      <w:r w:rsidR="007D29CA">
        <w:t xml:space="preserve">incremental reduction plan for Phase II </w:t>
      </w:r>
      <w:r w:rsidR="00804B75">
        <w:t xml:space="preserve">Accelerated Relocation Payments (ARPs) </w:t>
      </w:r>
      <w:r w:rsidR="002A39C9">
        <w:t xml:space="preserve">as part of </w:t>
      </w:r>
      <w:r w:rsidR="00030C0B">
        <w:t>the ongoing transition of the 3.7 GHz band</w:t>
      </w:r>
      <w:r w:rsidRPr="00DB259A" w:rsidR="00DB259A">
        <w:t>.</w:t>
      </w:r>
      <w:r>
        <w:rPr>
          <w:rStyle w:val="FootnoteReference"/>
        </w:rPr>
        <w:footnoteReference w:id="3"/>
      </w:r>
      <w:r w:rsidRPr="00DB259A" w:rsidR="00DB259A">
        <w:t xml:space="preserve">  </w:t>
      </w:r>
      <w:r w:rsidR="00547DC8">
        <w:t>W</w:t>
      </w:r>
      <w:r w:rsidRPr="00DB259A" w:rsidR="00DB259A">
        <w:t xml:space="preserve">e </w:t>
      </w:r>
      <w:r w:rsidR="0086502D">
        <w:t>propose</w:t>
      </w:r>
      <w:r w:rsidRPr="00DB259A" w:rsidR="00DB259A">
        <w:t xml:space="preserve"> </w:t>
      </w:r>
      <w:r w:rsidR="00911D1F">
        <w:t>adopting</w:t>
      </w:r>
      <w:r w:rsidR="00EC6934">
        <w:t xml:space="preserve"> </w:t>
      </w:r>
      <w:r w:rsidRPr="00DB259A" w:rsidR="00DB259A">
        <w:t xml:space="preserve">filing procedures </w:t>
      </w:r>
      <w:r w:rsidR="00911D1F">
        <w:t>modeled after those previously adopted for Phase I to allow</w:t>
      </w:r>
      <w:r w:rsidR="008027EA">
        <w:t xml:space="preserve"> </w:t>
      </w:r>
      <w:r w:rsidRPr="00DB259A" w:rsidR="00DB259A">
        <w:t>eligible space station operators to submit Certifications</w:t>
      </w:r>
      <w:r w:rsidR="008027EA">
        <w:t>,</w:t>
      </w:r>
      <w:r w:rsidRPr="00DB259A" w:rsidR="00DB259A">
        <w:t xml:space="preserve"> and stakeholders </w:t>
      </w:r>
      <w:r w:rsidR="00AC45FF">
        <w:t>to</w:t>
      </w:r>
      <w:r w:rsidR="00C30833">
        <w:t xml:space="preserve"> file</w:t>
      </w:r>
      <w:r w:rsidRPr="00DB259A" w:rsidR="00DB259A">
        <w:t xml:space="preserve"> related challenges</w:t>
      </w:r>
      <w:r w:rsidR="00C30833">
        <w:t>,</w:t>
      </w:r>
      <w:r w:rsidRPr="00DB259A" w:rsidR="00DB259A">
        <w:t xml:space="preserve"> </w:t>
      </w:r>
      <w:r w:rsidR="00BA2580">
        <w:t>with respect to</w:t>
      </w:r>
      <w:r w:rsidRPr="00DB259A" w:rsidR="00DB259A">
        <w:t xml:space="preserve"> the Phase </w:t>
      </w:r>
      <w:r w:rsidR="00C25B74">
        <w:t>I</w:t>
      </w:r>
      <w:r w:rsidRPr="00DB259A" w:rsidR="00DB259A">
        <w:t>I migration of incumbent services in this band.</w:t>
      </w:r>
      <w:r>
        <w:rPr>
          <w:rStyle w:val="FootnoteReference"/>
        </w:rPr>
        <w:footnoteReference w:id="4"/>
      </w:r>
      <w:r w:rsidR="00DB259A">
        <w:t xml:space="preserve">  </w:t>
      </w:r>
      <w:r w:rsidR="00AC45FF">
        <w:t>W</w:t>
      </w:r>
      <w:r w:rsidR="000525E8">
        <w:t>e</w:t>
      </w:r>
      <w:r w:rsidR="00FB65F6">
        <w:t xml:space="preserve"> </w:t>
      </w:r>
      <w:r w:rsidR="00A6352F">
        <w:t xml:space="preserve">seek comment on </w:t>
      </w:r>
      <w:r w:rsidR="00B5257C">
        <w:t>potential adjustments</w:t>
      </w:r>
      <w:r w:rsidR="00C30833">
        <w:t xml:space="preserve"> </w:t>
      </w:r>
      <w:r w:rsidR="00AC45FF">
        <w:t xml:space="preserve">to the Phase I procedures </w:t>
      </w:r>
      <w:r w:rsidR="00FB65F6">
        <w:t xml:space="preserve">that we believe will create more transparency and efficiency in the Phase II </w:t>
      </w:r>
      <w:r w:rsidR="00B425CA">
        <w:t xml:space="preserve">Certification </w:t>
      </w:r>
      <w:r w:rsidR="00FB65F6">
        <w:t xml:space="preserve">review process.  </w:t>
      </w:r>
      <w:r w:rsidR="0040670C">
        <w:t>We also</w:t>
      </w:r>
      <w:r w:rsidR="0086502D">
        <w:t xml:space="preserve"> </w:t>
      </w:r>
      <w:r>
        <w:t>propose</w:t>
      </w:r>
      <w:r w:rsidR="0086502D">
        <w:t xml:space="preserve"> adopting an</w:t>
      </w:r>
      <w:r>
        <w:t xml:space="preserve"> approach </w:t>
      </w:r>
      <w:r w:rsidR="002E3323">
        <w:t xml:space="preserve">that parallels the Phase I process </w:t>
      </w:r>
      <w:r>
        <w:t xml:space="preserve">for calculating </w:t>
      </w:r>
      <w:r w:rsidR="00B55589">
        <w:t>the</w:t>
      </w:r>
      <w:r>
        <w:t xml:space="preserve"> incremental reduction </w:t>
      </w:r>
      <w:r w:rsidR="003B7187">
        <w:t>of</w:t>
      </w:r>
      <w:r>
        <w:t xml:space="preserve"> an eligible space station operator’s ARP </w:t>
      </w:r>
      <w:r w:rsidR="002E464A">
        <w:t xml:space="preserve">should it fail </w:t>
      </w:r>
      <w:r>
        <w:t>to meet the Phase I</w:t>
      </w:r>
      <w:r w:rsidR="002551BD">
        <w:t>I</w:t>
      </w:r>
      <w:r>
        <w:t xml:space="preserve"> Accelerated Relocation Deadline.</w:t>
      </w:r>
      <w:r>
        <w:rPr>
          <w:rStyle w:val="FootnoteReference"/>
        </w:rPr>
        <w:footnoteReference w:id="5"/>
      </w:r>
      <w:r>
        <w:t xml:space="preserve">  </w:t>
      </w:r>
      <w:r w:rsidR="0093771D">
        <w:t xml:space="preserve">We </w:t>
      </w:r>
      <w:r w:rsidR="003B257B">
        <w:t xml:space="preserve">seek comment on these proposals below.  </w:t>
      </w:r>
      <w:r>
        <w:t xml:space="preserve">Filers responding to this Public Notice should submit comments in </w:t>
      </w:r>
      <w:r w:rsidR="004752CC">
        <w:t xml:space="preserve">the new docket the Bureau opens here, </w:t>
      </w:r>
      <w:r>
        <w:t xml:space="preserve">GN Docket </w:t>
      </w:r>
      <w:r w:rsidRPr="002373A6">
        <w:t>No. 2</w:t>
      </w:r>
      <w:r w:rsidR="00342151">
        <w:t>3</w:t>
      </w:r>
      <w:r w:rsidRPr="002373A6">
        <w:t>-</w:t>
      </w:r>
      <w:r w:rsidR="00B72541">
        <w:t>97</w:t>
      </w:r>
      <w:r>
        <w:t>.</w:t>
      </w:r>
      <w:r>
        <w:rPr>
          <w:rStyle w:val="FootnoteReference"/>
        </w:rPr>
        <w:footnoteReference w:id="6"/>
      </w:r>
    </w:p>
    <w:p w:rsidR="001C4DAE" w:rsidP="00625173" w14:paraId="0EB9A59B" w14:textId="77777777">
      <w:pPr>
        <w:tabs>
          <w:tab w:val="left" w:pos="5490"/>
        </w:tabs>
        <w:spacing w:after="120"/>
        <w:ind w:firstLine="720"/>
      </w:pPr>
      <w:bookmarkStart w:id="0" w:name="_Hlk78364498"/>
      <w:r w:rsidRPr="00603172">
        <w:rPr>
          <w:i/>
          <w:iCs/>
        </w:rPr>
        <w:t>Background</w:t>
      </w:r>
      <w:r>
        <w:t xml:space="preserve">.  </w:t>
      </w:r>
      <w:r w:rsidRPr="00216DB1" w:rsidR="009B434F">
        <w:t xml:space="preserve">In the </w:t>
      </w:r>
      <w:r w:rsidRPr="00216DB1" w:rsidR="009B434F">
        <w:rPr>
          <w:i/>
          <w:iCs/>
        </w:rPr>
        <w:t>3.7 GHz Report and Order</w:t>
      </w:r>
      <w:r w:rsidRPr="00216DB1" w:rsidR="009B434F">
        <w:t xml:space="preserve">, the Commission adopted rules to make 280 megahertz of mid-band spectrum available for flexible use (plus a 20 megahertz guard band) throughout the contiguous United States by transitioning existing services out of the lower portion of the band and </w:t>
      </w:r>
      <w:r w:rsidRPr="00216DB1" w:rsidR="009B434F">
        <w:t>into the upper 200 megahertz of the C-band</w:t>
      </w:r>
      <w:r w:rsidR="009B434F">
        <w:t xml:space="preserve"> (</w:t>
      </w:r>
      <w:r w:rsidR="009B434F">
        <w:rPr>
          <w:i/>
          <w:iCs/>
        </w:rPr>
        <w:t>i.e</w:t>
      </w:r>
      <w:r w:rsidR="009B434F">
        <w:t>., 4.0-4.2 GHz)</w:t>
      </w:r>
      <w:r w:rsidRPr="00216DB1" w:rsidR="009B434F">
        <w:t>.</w:t>
      </w:r>
      <w:r>
        <w:rPr>
          <w:szCs w:val="22"/>
          <w:vertAlign w:val="superscript"/>
        </w:rPr>
        <w:footnoteReference w:id="7"/>
      </w:r>
      <w:r w:rsidRPr="0037784F" w:rsidR="009B434F">
        <w:rPr>
          <w:sz w:val="20"/>
          <w:szCs w:val="18"/>
        </w:rPr>
        <w:t xml:space="preserve"> </w:t>
      </w:r>
      <w:r w:rsidRPr="00216DB1" w:rsidR="009B434F">
        <w:t xml:space="preserve"> </w:t>
      </w:r>
      <w:r w:rsidRPr="4141EAA9" w:rsidR="009B434F">
        <w:t xml:space="preserve">The </w:t>
      </w:r>
      <w:r w:rsidRPr="4141EAA9" w:rsidR="009B434F">
        <w:rPr>
          <w:i/>
        </w:rPr>
        <w:t>3.7 GHz Report and Order</w:t>
      </w:r>
      <w:r w:rsidRPr="4141EAA9" w:rsidR="009B434F">
        <w:t xml:space="preserve"> established a deadline of December 5, 2025, by which</w:t>
      </w:r>
      <w:r w:rsidRPr="002E1558" w:rsidR="009B434F">
        <w:rPr>
          <w:szCs w:val="22"/>
        </w:rPr>
        <w:t xml:space="preserve"> </w:t>
      </w:r>
      <w:r w:rsidRPr="4141EAA9" w:rsidR="009B434F">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rStyle w:val="FootnoteReference"/>
        </w:rPr>
        <w:footnoteReference w:id="8"/>
      </w:r>
      <w:r w:rsidRPr="002E1558" w:rsidR="009B434F">
        <w:rPr>
          <w:szCs w:val="22"/>
        </w:rPr>
        <w:t xml:space="preserve"> </w:t>
      </w:r>
      <w:r w:rsidRPr="4141EAA9" w:rsidR="009B434F">
        <w:t xml:space="preserve"> </w:t>
      </w:r>
    </w:p>
    <w:p w:rsidR="009B434F" w:rsidRPr="00625173" w:rsidP="00625173" w14:paraId="645114AA" w14:textId="498E77F0">
      <w:pPr>
        <w:tabs>
          <w:tab w:val="left" w:pos="5490"/>
        </w:tabs>
        <w:spacing w:after="120"/>
        <w:ind w:firstLine="720"/>
      </w:pPr>
      <w:r w:rsidRPr="4141EAA9">
        <w:t>All five eligible space station operators elected accelerated relocation</w:t>
      </w:r>
      <w:r>
        <w:rPr>
          <w:rStyle w:val="FootnoteReference"/>
        </w:rPr>
        <w:footnoteReference w:id="9"/>
      </w:r>
      <w:r w:rsidRPr="4141EAA9">
        <w:t xml:space="preserve"> </w:t>
      </w:r>
      <w:r w:rsidR="003116E2">
        <w:t xml:space="preserve">which means, </w:t>
      </w:r>
      <w:r w:rsidRPr="4141EAA9">
        <w:t>among other things,</w:t>
      </w:r>
      <w:r w:rsidRPr="002E1558">
        <w:rPr>
          <w:szCs w:val="22"/>
        </w:rPr>
        <w:t xml:space="preserve"> </w:t>
      </w:r>
      <w:r w:rsidR="003116E2">
        <w:rPr>
          <w:szCs w:val="22"/>
        </w:rPr>
        <w:t xml:space="preserve">that they </w:t>
      </w:r>
      <w:r w:rsidRPr="4141EAA9">
        <w:t xml:space="preserve">voluntarily committed to perform all </w:t>
      </w:r>
      <w:r w:rsidRPr="4141EAA9" w:rsidR="006A4F31">
        <w:t xml:space="preserve">necessary </w:t>
      </w:r>
      <w:r w:rsidRPr="4141EAA9">
        <w:t xml:space="preserve">tasks to enable any incumbent earth station that receives or sends </w:t>
      </w:r>
      <w:r>
        <w:t xml:space="preserve">C-band </w:t>
      </w:r>
      <w:r w:rsidRPr="4141EAA9">
        <w:t>signals to a space station owned by that operator to maintain that functionality</w:t>
      </w:r>
      <w:r>
        <w:t xml:space="preserve"> in the upper 200 megahertz of the band</w:t>
      </w:r>
      <w:r w:rsidRPr="4141EAA9">
        <w:t>.</w:t>
      </w:r>
      <w:r>
        <w:rPr>
          <w:rStyle w:val="FootnoteReference"/>
        </w:rPr>
        <w:footnoteReference w:id="10"/>
      </w:r>
      <w:r>
        <w:rPr>
          <w:szCs w:val="22"/>
        </w:rPr>
        <w:t xml:space="preserve"> </w:t>
      </w:r>
      <w:r w:rsidRPr="4141EAA9">
        <w:t xml:space="preserve"> The </w:t>
      </w:r>
      <w:r w:rsidRPr="4141EAA9">
        <w:rPr>
          <w:i/>
        </w:rPr>
        <w:t xml:space="preserve">3.7 GHz Report and Order </w:t>
      </w:r>
      <w:r w:rsidR="00281C8D">
        <w:t>provided</w:t>
      </w:r>
      <w:r w:rsidRPr="4141EAA9" w:rsidR="00281C8D">
        <w:t xml:space="preserve"> </w:t>
      </w:r>
      <w:r w:rsidRPr="4141EAA9">
        <w:t>that “[t]o the extent eligible space station operators can meet the Phase I and Phase II Accelerated Relocation Deadlines, they will be eligible to receive the accelerated relocation payments associated with those deadlines.</w:t>
      </w:r>
      <w:r w:rsidR="003116E2">
        <w:t>”</w:t>
      </w:r>
      <w:r>
        <w:rPr>
          <w:rStyle w:val="FootnoteReference"/>
        </w:rPr>
        <w:footnoteReference w:id="11"/>
      </w:r>
      <w:r w:rsidRPr="1F14123A">
        <w:rPr>
          <w:sz w:val="20"/>
        </w:rPr>
        <w:t xml:space="preserve"> </w:t>
      </w:r>
      <w:r>
        <w:rPr>
          <w:sz w:val="20"/>
        </w:rPr>
        <w:t xml:space="preserve"> </w:t>
      </w:r>
      <w:r w:rsidR="002946FF">
        <w:t>T</w:t>
      </w:r>
      <w:r>
        <w:t xml:space="preserve">he ARPs </w:t>
      </w:r>
      <w:r w:rsidR="00D369FD">
        <w:t xml:space="preserve">are to </w:t>
      </w:r>
      <w:r>
        <w:t>be disbursed by the Relocation Payment Clearinghouse (Clearinghouse).</w:t>
      </w:r>
      <w:r>
        <w:rPr>
          <w:rStyle w:val="FootnoteReference"/>
        </w:rPr>
        <w:footnoteReference w:id="12"/>
      </w:r>
    </w:p>
    <w:p w:rsidR="009B434F" w:rsidP="00640191" w14:paraId="348C51B8" w14:textId="16D59786">
      <w:pPr>
        <w:tabs>
          <w:tab w:val="left" w:pos="5490"/>
        </w:tabs>
        <w:spacing w:after="120"/>
        <w:ind w:firstLine="720"/>
      </w:pPr>
      <w:r w:rsidRPr="00216DB1">
        <w:t xml:space="preserve">The </w:t>
      </w:r>
      <w:r w:rsidRPr="0001019D">
        <w:rPr>
          <w:i/>
          <w:iCs/>
        </w:rPr>
        <w:t>3.7 GHz Report and Order</w:t>
      </w:r>
      <w:r w:rsidRPr="00216DB1">
        <w:t xml:space="preserve"> </w:t>
      </w:r>
      <w:r>
        <w:t>specified</w:t>
      </w:r>
      <w:r w:rsidRPr="00216DB1">
        <w:t xml:space="preserve">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t xml:space="preserve"> and directed WTB to prescribe the form of such Certifications.</w:t>
      </w:r>
      <w:r>
        <w:rPr>
          <w:vertAlign w:val="superscript"/>
        </w:rPr>
        <w:footnoteReference w:id="13"/>
      </w:r>
      <w:r w:rsidRPr="00505B36">
        <w:t xml:space="preserve">  </w:t>
      </w:r>
      <w:r w:rsidRPr="00FD6BA8">
        <w:t>Further</w:t>
      </w:r>
      <w:r>
        <w:t>, “the Bureau, Clearinghouse, and relevant stakeholders will have the opportunity to review the Certification of Accelerated Relocation and identify potential deficiencies.”</w:t>
      </w:r>
      <w:r>
        <w:rPr>
          <w:vertAlign w:val="superscript"/>
        </w:rPr>
        <w:footnoteReference w:id="14"/>
      </w:r>
      <w:r w:rsidRPr="00640191">
        <w:rPr>
          <w:vertAlign w:val="superscript"/>
        </w:rPr>
        <w:t xml:space="preserve"> </w:t>
      </w:r>
      <w:r>
        <w:t xml:space="preserve"> </w:t>
      </w:r>
    </w:p>
    <w:p w:rsidR="009B434F" w:rsidP="00640191" w14:paraId="414166F9" w14:textId="21409FA8">
      <w:pPr>
        <w:tabs>
          <w:tab w:val="left" w:pos="5490"/>
        </w:tabs>
        <w:spacing w:after="120"/>
        <w:ind w:firstLine="720"/>
      </w:pPr>
      <w:r>
        <w:t>I</w:t>
      </w:r>
      <w:r>
        <w:t>f “credible challenges as to the space station operator’s satisfaction of the relevant deadline are made, the Bureau will issue a public notice identifying such challenges and will render a final decision as to the validity of the certification no later than 60 days from its filing.”</w:t>
      </w:r>
      <w:r>
        <w:rPr>
          <w:vertAlign w:val="superscript"/>
        </w:rPr>
        <w:footnoteReference w:id="15"/>
      </w:r>
      <w:r w:rsidRPr="00505B36">
        <w:t xml:space="preserve">  </w:t>
      </w:r>
      <w:r w:rsidRPr="00216DB1">
        <w:t xml:space="preserve">Absent notice from WTB of deficiencies in </w:t>
      </w:r>
      <w:r w:rsidR="00B37A54">
        <w:t>a</w:t>
      </w:r>
      <w:r w:rsidRPr="00216DB1" w:rsidR="00B37A54">
        <w:t xml:space="preserve"> </w:t>
      </w:r>
      <w:r w:rsidRPr="00216DB1">
        <w:t>Certification within 30 days of its filing, the Certification will be deemed validated.</w:t>
      </w:r>
      <w:r>
        <w:rPr>
          <w:vertAlign w:val="superscript"/>
        </w:rPr>
        <w:footnoteReference w:id="16"/>
      </w:r>
      <w:r w:rsidRPr="00505B36">
        <w:t xml:space="preserve"> </w:t>
      </w:r>
      <w:r w:rsidRPr="00B323B1">
        <w:t xml:space="preserve"> </w:t>
      </w:r>
      <w:r w:rsidRPr="00216DB1">
        <w:t>Following validation, the Clearinghouse shall promptly notify overlay licensees, who must pay the ARP to the Clearinghouse within 60 days of the notice.</w:t>
      </w:r>
      <w:r>
        <w:rPr>
          <w:vertAlign w:val="superscript"/>
        </w:rPr>
        <w:footnoteReference w:id="17"/>
      </w:r>
      <w:r w:rsidRPr="00505B36">
        <w:t xml:space="preserve"> </w:t>
      </w:r>
      <w:r w:rsidRPr="00216DB1">
        <w:t xml:space="preserve"> The Clearinghouse must disburse the ARP to the </w:t>
      </w:r>
      <w:r w:rsidRPr="00216DB1">
        <w:t>eligible space station operator within seven (7) days of receipt.</w:t>
      </w:r>
      <w:r>
        <w:rPr>
          <w:vertAlign w:val="superscript"/>
        </w:rPr>
        <w:footnoteReference w:id="18"/>
      </w:r>
      <w:r w:rsidRPr="00216DB1">
        <w:t xml:space="preserve">  </w:t>
      </w:r>
      <w:r>
        <w:t xml:space="preserve">Should an eligible space station operator miss </w:t>
      </w:r>
      <w:r w:rsidR="00F55C5E">
        <w:t xml:space="preserve">either </w:t>
      </w:r>
      <w:r w:rsidRPr="00216DB1" w:rsidR="00F55C5E">
        <w:t>Accelerated Relocation Deadline</w:t>
      </w:r>
      <w:r>
        <w:t xml:space="preserve">, it may still receive a reduced, but non-zero, ARP </w:t>
      </w:r>
      <w:r w:rsidRPr="009A278C">
        <w:t xml:space="preserve">if it otherwise meets the Certification requirements within six months after </w:t>
      </w:r>
      <w:r>
        <w:t>the relevant Accelerated Relocation Deadline.</w:t>
      </w:r>
      <w:r>
        <w:rPr>
          <w:vertAlign w:val="superscript"/>
        </w:rPr>
        <w:footnoteReference w:id="19"/>
      </w:r>
      <w:r w:rsidRPr="00A964AB">
        <w:rPr>
          <w:vertAlign w:val="superscript"/>
        </w:rPr>
        <w:t xml:space="preserve"> </w:t>
      </w:r>
      <w:r>
        <w:t xml:space="preserve"> </w:t>
      </w:r>
      <w:r w:rsidRPr="00216DB1">
        <w:t xml:space="preserve"> </w:t>
      </w:r>
      <w:bookmarkEnd w:id="0"/>
    </w:p>
    <w:p w:rsidR="00942DCB" w:rsidP="00640191" w14:paraId="00FDDB80" w14:textId="326736EB">
      <w:pPr>
        <w:tabs>
          <w:tab w:val="left" w:pos="5490"/>
        </w:tabs>
        <w:spacing w:after="120"/>
        <w:ind w:firstLine="720"/>
      </w:pPr>
      <w:r w:rsidRPr="00216DB1">
        <w:t xml:space="preserve">The </w:t>
      </w:r>
      <w:r w:rsidRPr="0001019D">
        <w:rPr>
          <w:i/>
          <w:iCs/>
        </w:rPr>
        <w:t>3.7 GHz Report and Order</w:t>
      </w:r>
      <w:r w:rsidRPr="00216DB1">
        <w:t xml:space="preserve"> directed WTB to: (1) “prescribe the form” of Certifications and any challenges by relevant stakeholders, and (2) establish the process for how such challenges will impact incremental decreases in the ARP.</w:t>
      </w:r>
      <w:r>
        <w:rPr>
          <w:vertAlign w:val="superscript"/>
        </w:rPr>
        <w:footnoteReference w:id="20"/>
      </w:r>
      <w:r w:rsidRPr="00505B36">
        <w:t xml:space="preserve"> </w:t>
      </w:r>
      <w:r w:rsidRPr="00216DB1">
        <w:t xml:space="preserve"> </w:t>
      </w:r>
      <w:r w:rsidR="002E1453">
        <w:t>On August 4, 2021, WTB issued a Public Notice implementing filing procedures for Phase I Certifications and related challenges</w:t>
      </w:r>
      <w:r w:rsidR="00E635BD">
        <w:t>,</w:t>
      </w:r>
      <w:r>
        <w:rPr>
          <w:rStyle w:val="FootnoteReference"/>
        </w:rPr>
        <w:footnoteReference w:id="21"/>
      </w:r>
      <w:r w:rsidR="002E1453">
        <w:rPr>
          <w:i/>
          <w:iCs/>
        </w:rPr>
        <w:t xml:space="preserve"> </w:t>
      </w:r>
      <w:r w:rsidR="004A3175">
        <w:t xml:space="preserve">and </w:t>
      </w:r>
      <w:r w:rsidR="002E1453">
        <w:t>adopted the incremental reduction plan for Phase I ARPs</w:t>
      </w:r>
      <w:r w:rsidR="00903CD7">
        <w:t xml:space="preserve"> on September 29, 2021</w:t>
      </w:r>
      <w:r w:rsidR="002E1453">
        <w:t>.</w:t>
      </w:r>
      <w:r>
        <w:rPr>
          <w:rStyle w:val="FootnoteReference"/>
        </w:rPr>
        <w:footnoteReference w:id="22"/>
      </w:r>
      <w:r w:rsidR="002E1453">
        <w:t xml:space="preserve"> </w:t>
      </w:r>
      <w:r w:rsidR="002E1453">
        <w:rPr>
          <w:i/>
          <w:iCs/>
        </w:rPr>
        <w:t xml:space="preserve"> </w:t>
      </w:r>
      <w:r w:rsidR="0052121E">
        <w:t>Each</w:t>
      </w:r>
      <w:r w:rsidR="000B3E17">
        <w:t xml:space="preserve"> eligible space station operator </w:t>
      </w:r>
      <w:r w:rsidR="004A3175">
        <w:t xml:space="preserve">subsequently </w:t>
      </w:r>
      <w:r w:rsidR="009639FB">
        <w:t xml:space="preserve">filed </w:t>
      </w:r>
      <w:r w:rsidR="00A50BF1">
        <w:t>its</w:t>
      </w:r>
      <w:r w:rsidR="009639FB">
        <w:t xml:space="preserve"> Phase I Certification,</w:t>
      </w:r>
      <w:r w:rsidR="008B498A">
        <w:t xml:space="preserve"> which were </w:t>
      </w:r>
      <w:r w:rsidR="00BB229A">
        <w:t xml:space="preserve">all </w:t>
      </w:r>
      <w:r w:rsidR="0052121E">
        <w:t xml:space="preserve">in turn </w:t>
      </w:r>
      <w:r w:rsidR="00911381">
        <w:t xml:space="preserve">validated by the Bureau </w:t>
      </w:r>
      <w:r w:rsidR="00F62EB1">
        <w:t>without any</w:t>
      </w:r>
      <w:r w:rsidR="00911381">
        <w:t xml:space="preserve"> challenges or </w:t>
      </w:r>
      <w:r w:rsidR="00DC1402">
        <w:t>triggering of the incremental reduction plan.</w:t>
      </w:r>
      <w:r>
        <w:rPr>
          <w:rStyle w:val="FootnoteReference"/>
        </w:rPr>
        <w:footnoteReference w:id="23"/>
      </w:r>
      <w:r w:rsidR="00911381">
        <w:t xml:space="preserve"> </w:t>
      </w:r>
      <w:r w:rsidR="009639FB">
        <w:t xml:space="preserve"> </w:t>
      </w:r>
      <w:r w:rsidR="004027AB">
        <w:t xml:space="preserve">Based upon </w:t>
      </w:r>
      <w:r w:rsidR="001D79F2">
        <w:t xml:space="preserve">this </w:t>
      </w:r>
      <w:r w:rsidR="004027AB">
        <w:t>experience with the Phase I process</w:t>
      </w:r>
      <w:r w:rsidR="00D55966">
        <w:t>, the Bureau</w:t>
      </w:r>
      <w:r w:rsidR="004027AB">
        <w:t xml:space="preserve"> here</w:t>
      </w:r>
      <w:r w:rsidR="00D55966">
        <w:t xml:space="preserve"> seeks comment on the </w:t>
      </w:r>
      <w:r w:rsidR="00A84C8E">
        <w:t xml:space="preserve">applicable </w:t>
      </w:r>
      <w:r w:rsidR="000009A3">
        <w:t>C</w:t>
      </w:r>
      <w:r w:rsidR="00602A7C">
        <w:t xml:space="preserve">ertification </w:t>
      </w:r>
      <w:r w:rsidR="00D55966">
        <w:t xml:space="preserve">procedures </w:t>
      </w:r>
      <w:r w:rsidR="001D79F2">
        <w:t xml:space="preserve">and incremental reduction plan </w:t>
      </w:r>
      <w:r w:rsidR="00602A7C">
        <w:t xml:space="preserve">for </w:t>
      </w:r>
      <w:r w:rsidR="001D79F2">
        <w:t xml:space="preserve">the upcoming </w:t>
      </w:r>
      <w:r w:rsidR="00D55966">
        <w:t>Phase II</w:t>
      </w:r>
      <w:r w:rsidR="00C83E12">
        <w:t xml:space="preserve"> </w:t>
      </w:r>
      <w:r w:rsidRPr="4141EAA9" w:rsidR="001D79F2">
        <w:t>Accelerated Relocation Deadline</w:t>
      </w:r>
      <w:r w:rsidR="00D55966">
        <w:t>.</w:t>
      </w:r>
      <w:r w:rsidR="00AF2AD6">
        <w:t xml:space="preserve"> </w:t>
      </w:r>
    </w:p>
    <w:p w:rsidR="00942DCB" w:rsidP="004B4B32" w14:paraId="4DE2C119" w14:textId="7C3D25D9">
      <w:pPr>
        <w:tabs>
          <w:tab w:val="left" w:pos="5490"/>
        </w:tabs>
        <w:spacing w:after="120"/>
        <w:ind w:firstLine="720"/>
      </w:pPr>
      <w:r w:rsidRPr="00640191">
        <w:rPr>
          <w:i/>
          <w:iCs/>
        </w:rPr>
        <w:t>Phase II Certification Process</w:t>
      </w:r>
      <w:r w:rsidRPr="00640191">
        <w:t xml:space="preserve">.  </w:t>
      </w:r>
      <w:r w:rsidR="0089308F">
        <w:t xml:space="preserve">In order to </w:t>
      </w:r>
      <w:r w:rsidR="00753718">
        <w:t>qualify</w:t>
      </w:r>
      <w:r w:rsidR="006D6DE1">
        <w:t xml:space="preserve"> for its</w:t>
      </w:r>
      <w:r w:rsidR="0089308F">
        <w:t xml:space="preserve"> ARP, a</w:t>
      </w:r>
      <w:r w:rsidR="00E36418">
        <w:t xml:space="preserve">n eligible space station operator is required to complete its </w:t>
      </w:r>
      <w:r w:rsidR="005427AA">
        <w:t xml:space="preserve">transition </w:t>
      </w:r>
      <w:r w:rsidR="00E36418">
        <w:t xml:space="preserve">obligations and </w:t>
      </w:r>
      <w:r w:rsidR="00400E7D">
        <w:t xml:space="preserve">timely </w:t>
      </w:r>
      <w:r w:rsidR="00E36418">
        <w:t xml:space="preserve">file a Certification </w:t>
      </w:r>
      <w:r w:rsidR="00BC2ECC">
        <w:t xml:space="preserve">no later than </w:t>
      </w:r>
      <w:r w:rsidR="00E36418">
        <w:t>the applicable Accelerated Relocation Deadline, which for Phase II is December 5, 2023</w:t>
      </w:r>
      <w:r w:rsidR="0001019D">
        <w:t>.</w:t>
      </w:r>
      <w:r>
        <w:rPr>
          <w:vertAlign w:val="superscript"/>
        </w:rPr>
        <w:footnoteReference w:id="24"/>
      </w:r>
      <w:r w:rsidR="00E36418">
        <w:t xml:space="preserve"> </w:t>
      </w:r>
      <w:r w:rsidR="00E36418">
        <w:t xml:space="preserve"> For the Phase II </w:t>
      </w:r>
      <w:r w:rsidR="004702EC">
        <w:t>C</w:t>
      </w:r>
      <w:r w:rsidR="00E36418">
        <w:t>ertification process, w</w:t>
      </w:r>
      <w:r w:rsidR="00BD173B">
        <w:t xml:space="preserve">e propose </w:t>
      </w:r>
      <w:r w:rsidR="009418ED">
        <w:t xml:space="preserve">to </w:t>
      </w:r>
      <w:r w:rsidR="00BD173B">
        <w:t xml:space="preserve">implement </w:t>
      </w:r>
      <w:r w:rsidR="00E36418">
        <w:t xml:space="preserve">filing procedures </w:t>
      </w:r>
      <w:r w:rsidR="002F5EC3">
        <w:t xml:space="preserve">for Certifications </w:t>
      </w:r>
      <w:r w:rsidR="00E36418">
        <w:t xml:space="preserve">and related challenges </w:t>
      </w:r>
      <w:r w:rsidR="00585DA3">
        <w:t xml:space="preserve">largely </w:t>
      </w:r>
      <w:r w:rsidR="00B22E50">
        <w:t xml:space="preserve">along the lines </w:t>
      </w:r>
      <w:r w:rsidR="00E36418">
        <w:t xml:space="preserve">prescribed in the </w:t>
      </w:r>
      <w:r w:rsidRPr="00A964AB" w:rsidR="00E36418">
        <w:rPr>
          <w:i/>
          <w:iCs/>
        </w:rPr>
        <w:t>Phase I ARP Certification Procedures PN</w:t>
      </w:r>
      <w:r w:rsidR="00B22E50">
        <w:t xml:space="preserve">, subject to </w:t>
      </w:r>
      <w:r w:rsidR="00E461F4">
        <w:t xml:space="preserve">potential modifications </w:t>
      </w:r>
      <w:r w:rsidR="006C5BCA">
        <w:t>as set forth below</w:t>
      </w:r>
      <w:r w:rsidR="00BD173B">
        <w:t>.</w:t>
      </w:r>
      <w:r>
        <w:rPr>
          <w:vertAlign w:val="superscript"/>
        </w:rPr>
        <w:footnoteReference w:id="25"/>
      </w:r>
      <w:r w:rsidR="00BD173B">
        <w:t xml:space="preserve">  Specifically, we seek comment on how well the </w:t>
      </w:r>
      <w:r w:rsidR="00585DA3">
        <w:t xml:space="preserve">Phase I </w:t>
      </w:r>
      <w:r w:rsidR="00BD173B">
        <w:t xml:space="preserve">procedures worked </w:t>
      </w:r>
      <w:r w:rsidR="00DA0A80">
        <w:t xml:space="preserve">and whether any modifications would allow for a smoother </w:t>
      </w:r>
      <w:r w:rsidR="00A420FE">
        <w:t xml:space="preserve">Certification </w:t>
      </w:r>
      <w:r w:rsidR="00DA0A80">
        <w:t>process in Phase II</w:t>
      </w:r>
      <w:r w:rsidR="00BD173B">
        <w:t xml:space="preserve">.  </w:t>
      </w:r>
      <w:r w:rsidR="00F8018B">
        <w:t>S</w:t>
      </w:r>
      <w:r w:rsidR="00BD173B">
        <w:t>hould we alter the process established for challenging Certifications</w:t>
      </w:r>
      <w:r w:rsidR="00F8018B">
        <w:t xml:space="preserve">, or the </w:t>
      </w:r>
      <w:r w:rsidR="00707498">
        <w:t>means by which</w:t>
      </w:r>
      <w:r w:rsidRPr="00A550F4" w:rsidR="00707498">
        <w:rPr>
          <w:szCs w:val="22"/>
        </w:rPr>
        <w:t xml:space="preserve"> the Bureau </w:t>
      </w:r>
      <w:r w:rsidR="000356D5">
        <w:rPr>
          <w:szCs w:val="22"/>
        </w:rPr>
        <w:t>provides</w:t>
      </w:r>
      <w:r w:rsidRPr="00A550F4" w:rsidR="00707498">
        <w:rPr>
          <w:szCs w:val="22"/>
        </w:rPr>
        <w:t xml:space="preserve"> public notice </w:t>
      </w:r>
      <w:r w:rsidR="000356D5">
        <w:rPr>
          <w:szCs w:val="22"/>
        </w:rPr>
        <w:t>of</w:t>
      </w:r>
      <w:r w:rsidR="00A550F4">
        <w:rPr>
          <w:szCs w:val="22"/>
        </w:rPr>
        <w:t xml:space="preserve"> </w:t>
      </w:r>
      <w:r w:rsidRPr="00C70568" w:rsidR="00707498">
        <w:rPr>
          <w:szCs w:val="22"/>
        </w:rPr>
        <w:t>such challenges</w:t>
      </w:r>
      <w:r w:rsidR="000356D5">
        <w:rPr>
          <w:szCs w:val="22"/>
        </w:rPr>
        <w:t xml:space="preserve"> or any deficiencies </w:t>
      </w:r>
      <w:r w:rsidR="007F5F86">
        <w:rPr>
          <w:szCs w:val="22"/>
        </w:rPr>
        <w:t>otherwise found in the Certifications</w:t>
      </w:r>
      <w:r w:rsidR="00BD173B">
        <w:t>?</w:t>
      </w:r>
      <w:r>
        <w:rPr>
          <w:vertAlign w:val="superscript"/>
        </w:rPr>
        <w:footnoteReference w:id="26"/>
      </w:r>
      <w:r w:rsidRPr="001473C1" w:rsidR="004B4B32">
        <w:t xml:space="preserve">  </w:t>
      </w:r>
      <w:r w:rsidR="004E5D4F">
        <w:t xml:space="preserve">We also seek comment on any </w:t>
      </w:r>
      <w:r w:rsidR="00A026AE">
        <w:t xml:space="preserve">new or different </w:t>
      </w:r>
      <w:r w:rsidR="00F7119D">
        <w:t>procedures</w:t>
      </w:r>
      <w:r w:rsidR="004E5D4F">
        <w:t xml:space="preserve"> </w:t>
      </w:r>
      <w:r w:rsidR="00A026AE">
        <w:t>that may facilitate the Phase II Certification process.</w:t>
      </w:r>
    </w:p>
    <w:p w:rsidR="00260C91" w:rsidP="00976AD0" w14:paraId="462E8956" w14:textId="3886E1C7">
      <w:pPr>
        <w:widowControl/>
        <w:tabs>
          <w:tab w:val="left" w:pos="5490"/>
        </w:tabs>
        <w:spacing w:after="120"/>
        <w:ind w:firstLine="720"/>
      </w:pPr>
      <w:r w:rsidRPr="0001019D">
        <w:rPr>
          <w:i/>
          <w:iCs/>
        </w:rPr>
        <w:t xml:space="preserve">Standardized </w:t>
      </w:r>
      <w:r w:rsidR="00144923">
        <w:rPr>
          <w:i/>
          <w:iCs/>
        </w:rPr>
        <w:t xml:space="preserve">Format, </w:t>
      </w:r>
      <w:r w:rsidRPr="0001019D">
        <w:rPr>
          <w:i/>
          <w:iCs/>
        </w:rPr>
        <w:t>Terminology</w:t>
      </w:r>
      <w:r w:rsidR="00144923">
        <w:rPr>
          <w:i/>
          <w:iCs/>
        </w:rPr>
        <w:t xml:space="preserve">, and </w:t>
      </w:r>
      <w:r w:rsidRPr="0001019D">
        <w:rPr>
          <w:i/>
          <w:iCs/>
        </w:rPr>
        <w:t>Descriptions</w:t>
      </w:r>
      <w:r w:rsidRPr="00640191">
        <w:t xml:space="preserve">.  </w:t>
      </w:r>
      <w:r w:rsidR="00CA74DA">
        <w:t>E</w:t>
      </w:r>
      <w:r w:rsidR="000A0999">
        <w:t xml:space="preserve">ach eligible space station operator </w:t>
      </w:r>
      <w:r w:rsidR="00C539D5">
        <w:t xml:space="preserve">provided </w:t>
      </w:r>
      <w:r w:rsidR="000A0999">
        <w:t xml:space="preserve">different </w:t>
      </w:r>
      <w:r w:rsidR="00C539D5">
        <w:t xml:space="preserve">levels of detail </w:t>
      </w:r>
      <w:r w:rsidR="005575FE">
        <w:t xml:space="preserve">and used unique </w:t>
      </w:r>
      <w:r w:rsidR="000A0999">
        <w:t>terminology</w:t>
      </w:r>
      <w:r w:rsidR="00171B3D">
        <w:t xml:space="preserve"> in its Phase I Certification</w:t>
      </w:r>
      <w:r w:rsidR="005618CA">
        <w:t>, particularly</w:t>
      </w:r>
      <w:r w:rsidR="00B01FB0">
        <w:t xml:space="preserve"> in </w:t>
      </w:r>
      <w:r w:rsidR="003D56AB">
        <w:t xml:space="preserve">reporting </w:t>
      </w:r>
      <w:r w:rsidR="00B01FB0">
        <w:t xml:space="preserve">its </w:t>
      </w:r>
      <w:r w:rsidR="00426DCD">
        <w:t xml:space="preserve">incumbent </w:t>
      </w:r>
      <w:r w:rsidRPr="00E9117C" w:rsidR="00660607">
        <w:t>earth station claims</w:t>
      </w:r>
      <w:r w:rsidR="00426DCD">
        <w:t>, assignments,</w:t>
      </w:r>
      <w:r w:rsidRPr="00E9117C" w:rsidR="00660607">
        <w:t xml:space="preserve"> and change logs</w:t>
      </w:r>
      <w:r w:rsidR="00E9117C">
        <w:t>.</w:t>
      </w:r>
      <w:r>
        <w:rPr>
          <w:rStyle w:val="FootnoteReference"/>
        </w:rPr>
        <w:footnoteReference w:id="27"/>
      </w:r>
      <w:r w:rsidR="00E9117C">
        <w:t xml:space="preserve">  </w:t>
      </w:r>
      <w:r w:rsidR="00155D9E">
        <w:t xml:space="preserve">As the number of incumbent earth stations involved in </w:t>
      </w:r>
      <w:r w:rsidR="009A0E60">
        <w:t xml:space="preserve">the </w:t>
      </w:r>
      <w:r w:rsidR="00155D9E">
        <w:t xml:space="preserve">Phase II </w:t>
      </w:r>
      <w:r w:rsidR="009A0E60">
        <w:t xml:space="preserve">transition </w:t>
      </w:r>
      <w:r w:rsidR="00155D9E">
        <w:t xml:space="preserve">is approximately double that of Phase I, </w:t>
      </w:r>
      <w:r w:rsidR="00D10072">
        <w:t xml:space="preserve">having similar variances </w:t>
      </w:r>
      <w:r w:rsidR="00C70BA5">
        <w:t>across</w:t>
      </w:r>
      <w:r w:rsidR="00D10072">
        <w:t xml:space="preserve"> the </w:t>
      </w:r>
      <w:r w:rsidR="009B12ED">
        <w:t xml:space="preserve">Phase II </w:t>
      </w:r>
      <w:r w:rsidR="00D10072">
        <w:t xml:space="preserve">Certifications </w:t>
      </w:r>
      <w:r w:rsidR="001543C7">
        <w:t xml:space="preserve">would </w:t>
      </w:r>
      <w:r w:rsidR="00D10072">
        <w:t xml:space="preserve">make the review and validation process more </w:t>
      </w:r>
      <w:r w:rsidR="009B12ED">
        <w:t xml:space="preserve">challenging.  </w:t>
      </w:r>
      <w:r w:rsidR="003432E8">
        <w:t xml:space="preserve">With this in mind, </w:t>
      </w:r>
      <w:r w:rsidR="00DB28BC">
        <w:t>we</w:t>
      </w:r>
      <w:r w:rsidRPr="00796569" w:rsidR="00796569">
        <w:t xml:space="preserve"> </w:t>
      </w:r>
      <w:r w:rsidR="009E1020">
        <w:t xml:space="preserve">propose to </w:t>
      </w:r>
      <w:r w:rsidR="00796569">
        <w:t>require each eligible space station operator to include a specific level of detail in its Certification</w:t>
      </w:r>
      <w:r w:rsidR="00346EC0">
        <w:t xml:space="preserve">, particularly with regard to </w:t>
      </w:r>
      <w:r w:rsidR="009E1020">
        <w:t xml:space="preserve">the transition of </w:t>
      </w:r>
      <w:r w:rsidR="00346EC0">
        <w:t>incumbent earth station</w:t>
      </w:r>
      <w:r w:rsidR="009E1020">
        <w:t xml:space="preserve">s.  </w:t>
      </w:r>
      <w:r w:rsidR="005503B2">
        <w:t>We seek comment on whether we should require that</w:t>
      </w:r>
      <w:r w:rsidR="00DE0662">
        <w:t xml:space="preserve"> information</w:t>
      </w:r>
      <w:r w:rsidR="00796569">
        <w:t xml:space="preserve"> </w:t>
      </w:r>
      <w:r w:rsidR="009E1020">
        <w:t xml:space="preserve">be provided </w:t>
      </w:r>
      <w:r w:rsidR="00796569">
        <w:t>in a standardized format</w:t>
      </w:r>
      <w:r w:rsidR="00144923">
        <w:t xml:space="preserve">, </w:t>
      </w:r>
      <w:r w:rsidR="00DE0662">
        <w:t>such as</w:t>
      </w:r>
      <w:r w:rsidR="00144923">
        <w:t xml:space="preserve"> </w:t>
      </w:r>
      <w:r w:rsidR="00B20DC6">
        <w:t xml:space="preserve">having the </w:t>
      </w:r>
      <w:r w:rsidR="00144923">
        <w:t xml:space="preserve">incumbent earth station antenna claims, assignments, and change logs provided </w:t>
      </w:r>
      <w:r w:rsidR="00E75166">
        <w:t>at</w:t>
      </w:r>
      <w:r w:rsidR="00DB28BC">
        <w:t xml:space="preserve"> a feed level </w:t>
      </w:r>
      <w:r w:rsidR="00144923">
        <w:t xml:space="preserve">in </w:t>
      </w:r>
      <w:r w:rsidR="001543C7">
        <w:t>Excel or some other</w:t>
      </w:r>
      <w:r w:rsidR="00144923">
        <w:t xml:space="preserve"> machine-readable format</w:t>
      </w:r>
      <w:r w:rsidR="009E1020">
        <w:t>.</w:t>
      </w:r>
      <w:r>
        <w:rPr>
          <w:vertAlign w:val="superscript"/>
        </w:rPr>
        <w:footnoteReference w:id="28"/>
      </w:r>
      <w:r w:rsidRPr="00505B36" w:rsidR="00144923">
        <w:t xml:space="preserve"> </w:t>
      </w:r>
      <w:r w:rsidRPr="002D65F0" w:rsidR="00144923">
        <w:t xml:space="preserve"> </w:t>
      </w:r>
      <w:r w:rsidR="0073139E">
        <w:t xml:space="preserve">We </w:t>
      </w:r>
      <w:r w:rsidR="0073556B">
        <w:t xml:space="preserve">likewise </w:t>
      </w:r>
      <w:r w:rsidR="0073139E">
        <w:t xml:space="preserve">seek comment on whether </w:t>
      </w:r>
      <w:r w:rsidR="00AE66C7">
        <w:t>establishing</w:t>
      </w:r>
      <w:r w:rsidR="00487BE7">
        <w:t xml:space="preserve"> a standard set of terms and descriptions</w:t>
      </w:r>
      <w:r w:rsidR="00AE66C7">
        <w:t xml:space="preserve"> </w:t>
      </w:r>
      <w:r w:rsidR="00AE71B5">
        <w:t xml:space="preserve">for </w:t>
      </w:r>
      <w:r w:rsidR="009A69DB">
        <w:t>incumbent earth station antenna claims, assignments, and change logs</w:t>
      </w:r>
      <w:r w:rsidR="005503B2">
        <w:t xml:space="preserve"> would</w:t>
      </w:r>
      <w:r w:rsidR="00487BE7">
        <w:t xml:space="preserve"> </w:t>
      </w:r>
      <w:r w:rsidR="00D80323">
        <w:t xml:space="preserve">promote </w:t>
      </w:r>
      <w:r w:rsidR="00FE4D1F">
        <w:t xml:space="preserve">transparency and </w:t>
      </w:r>
      <w:r w:rsidR="00496971">
        <w:t xml:space="preserve">administrative efficiency </w:t>
      </w:r>
      <w:r w:rsidR="00D80323">
        <w:t xml:space="preserve">by </w:t>
      </w:r>
      <w:r w:rsidR="00C64C1C">
        <w:t>facilitat</w:t>
      </w:r>
      <w:r w:rsidR="00D80323">
        <w:t>ing</w:t>
      </w:r>
      <w:r w:rsidR="00C64C1C">
        <w:t xml:space="preserve"> and expedit</w:t>
      </w:r>
      <w:r w:rsidR="00D80323">
        <w:t>ing</w:t>
      </w:r>
      <w:r w:rsidR="00C64C1C">
        <w:t xml:space="preserve"> </w:t>
      </w:r>
      <w:r w:rsidR="00D80323">
        <w:t xml:space="preserve">Certification </w:t>
      </w:r>
      <w:r w:rsidR="00C64C1C">
        <w:t>review and identification of</w:t>
      </w:r>
      <w:r w:rsidR="00652DDF">
        <w:t xml:space="preserve"> potential deficiencies</w:t>
      </w:r>
      <w:r w:rsidR="00561BA8">
        <w:t>.</w:t>
      </w:r>
      <w:r w:rsidR="00487BE7">
        <w:t xml:space="preserve"> </w:t>
      </w:r>
      <w:r w:rsidR="00561BA8">
        <w:t xml:space="preserve"> </w:t>
      </w:r>
      <w:r w:rsidR="000308D4">
        <w:t xml:space="preserve">To the extent we adopt </w:t>
      </w:r>
      <w:r w:rsidR="009261CC">
        <w:t>such a requirement, w</w:t>
      </w:r>
      <w:r w:rsidR="00C35692">
        <w:t xml:space="preserve">hich </w:t>
      </w:r>
      <w:r w:rsidR="0025110A">
        <w:t xml:space="preserve">format, </w:t>
      </w:r>
      <w:r w:rsidR="00C35692">
        <w:t>terms</w:t>
      </w:r>
      <w:r w:rsidR="004D08AD">
        <w:t>,</w:t>
      </w:r>
      <w:r w:rsidR="00C35692">
        <w:t xml:space="preserve"> and </w:t>
      </w:r>
      <w:r w:rsidR="006557D2">
        <w:t>descriptions</w:t>
      </w:r>
      <w:r w:rsidR="00C35692">
        <w:t xml:space="preserve"> would be most beneficial</w:t>
      </w:r>
      <w:r w:rsidR="005A7239">
        <w:t>?</w:t>
      </w:r>
      <w:r w:rsidR="00C15D66">
        <w:t xml:space="preserve"> </w:t>
      </w:r>
      <w:r w:rsidR="005A7239">
        <w:t xml:space="preserve"> </w:t>
      </w:r>
      <w:r w:rsidR="00A95CBD">
        <w:t>Would t</w:t>
      </w:r>
      <w:r w:rsidR="00186F21">
        <w:t xml:space="preserve">he </w:t>
      </w:r>
      <w:r w:rsidR="00272EB3">
        <w:t>Relocation Coordinator’s</w:t>
      </w:r>
      <w:r w:rsidR="00C15D66">
        <w:t xml:space="preserve"> </w:t>
      </w:r>
      <w:r w:rsidR="00096F1E">
        <w:t xml:space="preserve">anticipated </w:t>
      </w:r>
      <w:r w:rsidR="00272EB3">
        <w:t>earth station claims and assignment list</w:t>
      </w:r>
      <w:r w:rsidR="004B64FA">
        <w:t>,</w:t>
      </w:r>
      <w:r w:rsidR="009F5CDD">
        <w:t xml:space="preserve"> which</w:t>
      </w:r>
      <w:r w:rsidR="004F1CCF">
        <w:t xml:space="preserve"> </w:t>
      </w:r>
      <w:r w:rsidR="00346EC0">
        <w:t>includes all the details contained in the Commission’s Incumbent Earth Station List</w:t>
      </w:r>
      <w:r w:rsidR="0032612E">
        <w:t xml:space="preserve"> (IES List)</w:t>
      </w:r>
      <w:r w:rsidR="00346EC0">
        <w:t xml:space="preserve">, </w:t>
      </w:r>
      <w:r w:rsidR="00FE4D1F">
        <w:t>as well as</w:t>
      </w:r>
      <w:r w:rsidR="004F1CCF">
        <w:t xml:space="preserve"> </w:t>
      </w:r>
      <w:r w:rsidR="006C5D0D">
        <w:t>unique identifiers (</w:t>
      </w:r>
      <w:r w:rsidR="004F1CCF">
        <w:t>ESIDs</w:t>
      </w:r>
      <w:r w:rsidR="006C5D0D">
        <w:t>)</w:t>
      </w:r>
      <w:r w:rsidR="004F1CCF">
        <w:t xml:space="preserve"> </w:t>
      </w:r>
      <w:r w:rsidR="00346EC0">
        <w:t xml:space="preserve">jointly used by all the space station operators, </w:t>
      </w:r>
      <w:r w:rsidR="004F1CCF">
        <w:t xml:space="preserve">and </w:t>
      </w:r>
      <w:r w:rsidR="006C5D0D">
        <w:t xml:space="preserve">detail </w:t>
      </w:r>
      <w:r w:rsidR="00B95D71">
        <w:t>at</w:t>
      </w:r>
      <w:r w:rsidR="006C5D0D">
        <w:t xml:space="preserve"> an antenna feed level</w:t>
      </w:r>
      <w:r w:rsidR="00A95CBD">
        <w:t>, provide a useful model</w:t>
      </w:r>
      <w:r w:rsidR="009E6E74">
        <w:t>?</w:t>
      </w:r>
      <w:r w:rsidR="00C35692">
        <w:t xml:space="preserve">  </w:t>
      </w:r>
      <w:r w:rsidR="00B730B4">
        <w:t>We seek comment on any other</w:t>
      </w:r>
      <w:r w:rsidR="00F55B08">
        <w:t xml:space="preserve"> formatting</w:t>
      </w:r>
      <w:r w:rsidR="00F82CFA">
        <w:t>,</w:t>
      </w:r>
      <w:r w:rsidR="00F55B08">
        <w:t xml:space="preserve"> </w:t>
      </w:r>
      <w:r w:rsidR="006E6D8D">
        <w:t>terminology</w:t>
      </w:r>
      <w:r w:rsidR="00F82CFA">
        <w:t>,</w:t>
      </w:r>
      <w:r w:rsidR="006E6D8D">
        <w:t xml:space="preserve"> </w:t>
      </w:r>
      <w:r w:rsidR="00F55B08">
        <w:t>or</w:t>
      </w:r>
      <w:r w:rsidR="00B730B4">
        <w:t xml:space="preserve"> standar</w:t>
      </w:r>
      <w:r w:rsidR="00DF74CE">
        <w:t xml:space="preserve">dization </w:t>
      </w:r>
      <w:r w:rsidR="00F55B08">
        <w:t xml:space="preserve">requirements that </w:t>
      </w:r>
      <w:r w:rsidR="00B95D71">
        <w:t xml:space="preserve">may </w:t>
      </w:r>
      <w:r w:rsidR="00690DA3">
        <w:t xml:space="preserve">promote efficiency in the </w:t>
      </w:r>
      <w:r w:rsidR="005A4C5A">
        <w:t xml:space="preserve">Phase II </w:t>
      </w:r>
      <w:r w:rsidR="00690DA3">
        <w:t xml:space="preserve">Certification process </w:t>
      </w:r>
      <w:r w:rsidR="00EA51B6">
        <w:t>and ensure that all required transition work has been completed</w:t>
      </w:r>
      <w:r w:rsidR="0085529D">
        <w:t xml:space="preserve">, as well as </w:t>
      </w:r>
      <w:r w:rsidR="006F2566">
        <w:t xml:space="preserve">on </w:t>
      </w:r>
      <w:r w:rsidR="0085529D">
        <w:t xml:space="preserve">any </w:t>
      </w:r>
      <w:r w:rsidR="007B60C6">
        <w:t xml:space="preserve">corresponding </w:t>
      </w:r>
      <w:r w:rsidR="00E74674">
        <w:t xml:space="preserve">burdens that may </w:t>
      </w:r>
      <w:r w:rsidR="00425DA2">
        <w:t>result</w:t>
      </w:r>
      <w:r w:rsidR="00E74674">
        <w:t xml:space="preserve"> for </w:t>
      </w:r>
      <w:r w:rsidR="00D94B16">
        <w:t>the eligible space station operators.</w:t>
      </w:r>
    </w:p>
    <w:p w:rsidR="0075582B" w:rsidP="00640191" w14:paraId="4A8D9A72" w14:textId="50E7C0E6">
      <w:pPr>
        <w:tabs>
          <w:tab w:val="left" w:pos="5490"/>
        </w:tabs>
        <w:spacing w:after="120"/>
        <w:ind w:firstLine="720"/>
      </w:pPr>
      <w:r>
        <w:rPr>
          <w:i/>
          <w:iCs/>
        </w:rPr>
        <w:t>Variances from Transition Plans</w:t>
      </w:r>
      <w:r w:rsidRPr="00640191" w:rsidR="00030388">
        <w:t xml:space="preserve">.  </w:t>
      </w:r>
      <w:r w:rsidR="0001019D">
        <w:t xml:space="preserve">In the </w:t>
      </w:r>
      <w:r w:rsidRPr="001B6804" w:rsidR="0001019D">
        <w:rPr>
          <w:i/>
          <w:iCs/>
        </w:rPr>
        <w:t>Phase I ARP Certification Procedures PN</w:t>
      </w:r>
      <w:r w:rsidR="0001019D">
        <w:t>,</w:t>
      </w:r>
      <w:r w:rsidRPr="00723F28" w:rsidR="0001019D">
        <w:t xml:space="preserve"> </w:t>
      </w:r>
      <w:r w:rsidR="0001019D">
        <w:t>t</w:t>
      </w:r>
      <w:r w:rsidR="00F63ACA">
        <w:t xml:space="preserve">he Bureau required </w:t>
      </w:r>
      <w:r w:rsidR="00C52F34">
        <w:t>each</w:t>
      </w:r>
      <w:r w:rsidR="00F63ACA">
        <w:t xml:space="preserve"> </w:t>
      </w:r>
      <w:r w:rsidR="00C52F34">
        <w:t xml:space="preserve">eligible </w:t>
      </w:r>
      <w:r w:rsidR="00F63ACA">
        <w:t xml:space="preserve">space station operator to </w:t>
      </w:r>
      <w:r w:rsidR="00511B4D">
        <w:t xml:space="preserve">explain any variances from </w:t>
      </w:r>
      <w:r w:rsidR="006C1898">
        <w:t>its</w:t>
      </w:r>
      <w:r w:rsidR="00511B4D">
        <w:t xml:space="preserve"> Transition Plan</w:t>
      </w:r>
      <w:r w:rsidR="006C1898">
        <w:t>,</w:t>
      </w:r>
      <w:r>
        <w:rPr>
          <w:rStyle w:val="FootnoteReference"/>
        </w:rPr>
        <w:footnoteReference w:id="29"/>
      </w:r>
      <w:r w:rsidR="006C1898">
        <w:t xml:space="preserve"> including situations</w:t>
      </w:r>
      <w:r w:rsidR="00511B4D">
        <w:t xml:space="preserve"> </w:t>
      </w:r>
      <w:r w:rsidR="006C1898">
        <w:t>involving</w:t>
      </w:r>
      <w:r w:rsidR="00EA50E3">
        <w:t xml:space="preserve"> </w:t>
      </w:r>
      <w:r w:rsidR="00F63ACA">
        <w:t xml:space="preserve">transition agreements between itself and </w:t>
      </w:r>
      <w:r w:rsidR="00EA50E3">
        <w:t xml:space="preserve">incumbent </w:t>
      </w:r>
      <w:r w:rsidR="00F63ACA">
        <w:t>earth station operators</w:t>
      </w:r>
      <w:r w:rsidR="003C6FC2">
        <w:t xml:space="preserve"> allowing for self-installations</w:t>
      </w:r>
      <w:r w:rsidR="00091479">
        <w:t xml:space="preserve"> by the </w:t>
      </w:r>
      <w:r w:rsidR="004F5789">
        <w:t xml:space="preserve">incumbent </w:t>
      </w:r>
      <w:r w:rsidR="00091479">
        <w:t>e</w:t>
      </w:r>
      <w:r w:rsidR="004F5789">
        <w:t>arth station operators</w:t>
      </w:r>
      <w:r w:rsidR="00F63ACA">
        <w:t>.</w:t>
      </w:r>
      <w:r>
        <w:rPr>
          <w:vertAlign w:val="superscript"/>
        </w:rPr>
        <w:footnoteReference w:id="30"/>
      </w:r>
      <w:r w:rsidR="00AB4481">
        <w:t xml:space="preserve">  </w:t>
      </w:r>
      <w:r w:rsidR="00A95CBD">
        <w:t>In addition to adopting this requirement for Phase II, w</w:t>
      </w:r>
      <w:r w:rsidR="007F7B65">
        <w:t>e</w:t>
      </w:r>
      <w:r w:rsidR="00260C91">
        <w:t xml:space="preserve"> seek comment on whether we should</w:t>
      </w:r>
      <w:r w:rsidR="00A95CBD">
        <w:t xml:space="preserve"> also</w:t>
      </w:r>
      <w:r w:rsidR="00260C91">
        <w:t xml:space="preserve"> require </w:t>
      </w:r>
      <w:r w:rsidR="00DE09E1">
        <w:t xml:space="preserve">the submission of </w:t>
      </w:r>
      <w:r w:rsidR="004F5789">
        <w:t xml:space="preserve">specific </w:t>
      </w:r>
      <w:r w:rsidR="00DE09E1">
        <w:t>information</w:t>
      </w:r>
      <w:r w:rsidR="00260C91">
        <w:t xml:space="preserve"> regarding any </w:t>
      </w:r>
      <w:r w:rsidR="00C31F8A">
        <w:t>such agreements including</w:t>
      </w:r>
      <w:r w:rsidR="0001019D">
        <w:t>, for example,</w:t>
      </w:r>
      <w:r w:rsidR="007F7B65">
        <w:t xml:space="preserve"> </w:t>
      </w:r>
      <w:r w:rsidR="001B6804">
        <w:t xml:space="preserve">the parties to the agreement, </w:t>
      </w:r>
      <w:r w:rsidR="00FA1110">
        <w:t xml:space="preserve">the impacted </w:t>
      </w:r>
      <w:r w:rsidR="006908DD">
        <w:t>incumbent earth station antennas and feeds</w:t>
      </w:r>
      <w:r w:rsidR="001B6804">
        <w:t xml:space="preserve">, </w:t>
      </w:r>
      <w:r w:rsidR="00773413">
        <w:t xml:space="preserve">the allocation of transition responsibilities, </w:t>
      </w:r>
      <w:r w:rsidR="001B6804">
        <w:t xml:space="preserve">and </w:t>
      </w:r>
      <w:r w:rsidR="007F7B65">
        <w:t xml:space="preserve">confirmed completion dates.  </w:t>
      </w:r>
    </w:p>
    <w:p w:rsidR="003F48FF" w:rsidP="00640191" w14:paraId="3EA64F0D" w14:textId="0543C2F6">
      <w:pPr>
        <w:tabs>
          <w:tab w:val="left" w:pos="5490"/>
        </w:tabs>
        <w:spacing w:after="120"/>
        <w:ind w:firstLine="720"/>
      </w:pPr>
      <w:r>
        <w:t>W</w:t>
      </w:r>
      <w:r w:rsidRPr="00FF3CBD" w:rsidR="0075582B">
        <w:t xml:space="preserve">e </w:t>
      </w:r>
      <w:r>
        <w:t xml:space="preserve">also </w:t>
      </w:r>
      <w:r w:rsidRPr="00FF3CBD" w:rsidR="0075582B">
        <w:t xml:space="preserve">seek comment on </w:t>
      </w:r>
      <w:r w:rsidR="00381210">
        <w:t xml:space="preserve">how to approach </w:t>
      </w:r>
      <w:r>
        <w:t xml:space="preserve">other variances from </w:t>
      </w:r>
      <w:r w:rsidR="00381210">
        <w:t xml:space="preserve">an eligible space station operator’s Transition Plan, including situations where </w:t>
      </w:r>
      <w:r w:rsidRPr="00FF3CBD" w:rsidR="0075582B">
        <w:t xml:space="preserve">an </w:t>
      </w:r>
      <w:r w:rsidR="00381210">
        <w:t xml:space="preserve">incumbent </w:t>
      </w:r>
      <w:r w:rsidRPr="00FF3CBD" w:rsidR="0075582B">
        <w:t xml:space="preserve">earth station </w:t>
      </w:r>
      <w:r w:rsidR="00381210">
        <w:t xml:space="preserve">antenna </w:t>
      </w:r>
      <w:r w:rsidRPr="00FF3CBD" w:rsidR="0075582B">
        <w:t xml:space="preserve">is pending removal from the </w:t>
      </w:r>
      <w:r w:rsidR="003533C9">
        <w:t>IES List</w:t>
      </w:r>
      <w:r w:rsidRPr="00FF3CBD" w:rsidR="0075582B">
        <w:t>.</w:t>
      </w:r>
      <w:r>
        <w:rPr>
          <w:vertAlign w:val="superscript"/>
        </w:rPr>
        <w:footnoteReference w:id="31"/>
      </w:r>
      <w:r w:rsidRPr="00505B36" w:rsidR="0075582B">
        <w:t xml:space="preserve"> </w:t>
      </w:r>
      <w:r w:rsidRPr="004B2763" w:rsidR="0075582B">
        <w:t xml:space="preserve"> </w:t>
      </w:r>
      <w:r w:rsidR="00113994">
        <w:t>For example</w:t>
      </w:r>
      <w:r w:rsidRPr="00FF3CBD" w:rsidR="0075582B">
        <w:t xml:space="preserve">, </w:t>
      </w:r>
      <w:r w:rsidR="00602195">
        <w:t xml:space="preserve">we seek comment on whether we </w:t>
      </w:r>
      <w:r w:rsidRPr="00FF3CBD" w:rsidR="0075582B">
        <w:t>should require a</w:t>
      </w:r>
      <w:r w:rsidR="009A6565">
        <w:t xml:space="preserve"> specific</w:t>
      </w:r>
      <w:r w:rsidRPr="00FF3CBD" w:rsidR="0075582B">
        <w:t xml:space="preserve"> “justification for change” similar to that provided by Intelsat in its </w:t>
      </w:r>
      <w:r w:rsidR="00EC6351">
        <w:t>Phase I Certification</w:t>
      </w:r>
      <w:r w:rsidR="009A6565">
        <w:t xml:space="preserve"> change log</w:t>
      </w:r>
      <w:r w:rsidR="00EC6351">
        <w:t xml:space="preserve">, or </w:t>
      </w:r>
      <w:r w:rsidR="00D852EB">
        <w:t xml:space="preserve">a </w:t>
      </w:r>
      <w:r w:rsidR="00D852EB">
        <w:t xml:space="preserve">separate list of provisional claims </w:t>
      </w:r>
      <w:r w:rsidR="00260A26">
        <w:t xml:space="preserve">pending removal from the </w:t>
      </w:r>
      <w:r w:rsidR="003533C9">
        <w:t xml:space="preserve">IES </w:t>
      </w:r>
      <w:r w:rsidR="006621AA">
        <w:t>List</w:t>
      </w:r>
      <w:r w:rsidR="00D81116">
        <w:t>.</w:t>
      </w:r>
      <w:r>
        <w:rPr>
          <w:vertAlign w:val="superscript"/>
        </w:rPr>
        <w:footnoteReference w:id="32"/>
      </w:r>
      <w:r w:rsidRPr="00FF3CBD" w:rsidR="0075582B">
        <w:t xml:space="preserve">  </w:t>
      </w:r>
      <w:r w:rsidR="0049003C">
        <w:t xml:space="preserve">To the extent that </w:t>
      </w:r>
      <w:r w:rsidR="00462979">
        <w:t>an incumbent earth station antenna is ultimately not removed from the IES List,</w:t>
      </w:r>
      <w:r w:rsidR="00A16F11">
        <w:t xml:space="preserve"> </w:t>
      </w:r>
      <w:r w:rsidR="009B71A6">
        <w:t>how can we ensure that all necessary Phase II transition work is promptly completed and accounted for by the responsible space station operator</w:t>
      </w:r>
      <w:r w:rsidR="00CF2D36">
        <w:t>?</w:t>
      </w:r>
    </w:p>
    <w:p w:rsidR="001E031E" w:rsidP="00640191" w14:paraId="25DD2FBD" w14:textId="21349C5D">
      <w:pPr>
        <w:tabs>
          <w:tab w:val="left" w:pos="5490"/>
        </w:tabs>
        <w:spacing w:after="120"/>
        <w:ind w:firstLine="720"/>
      </w:pPr>
      <w:r>
        <w:t>Finally, we note that i</w:t>
      </w:r>
      <w:r w:rsidR="00B6177D">
        <w:t xml:space="preserve">n the </w:t>
      </w:r>
      <w:r w:rsidRPr="001B6804" w:rsidR="00B6177D">
        <w:rPr>
          <w:i/>
          <w:iCs/>
        </w:rPr>
        <w:t>Phase I ARP Certification Procedures PN</w:t>
      </w:r>
      <w:r w:rsidR="00B6177D">
        <w:t xml:space="preserve">, </w:t>
      </w:r>
      <w:r>
        <w:t>eligible</w:t>
      </w:r>
      <w:r w:rsidR="00B6177D">
        <w:t xml:space="preserve"> space station operators </w:t>
      </w:r>
      <w:r>
        <w:t xml:space="preserve">were required to </w:t>
      </w:r>
      <w:r w:rsidR="00B6177D">
        <w:t xml:space="preserve">include details </w:t>
      </w:r>
      <w:r w:rsidRPr="00B95C34" w:rsidR="00B6177D">
        <w:t xml:space="preserve">relating to </w:t>
      </w:r>
      <w:r w:rsidRPr="006C6BEC" w:rsidR="00B6177D">
        <w:t xml:space="preserve">circumstances beyond the control of the </w:t>
      </w:r>
      <w:r w:rsidR="00B6177D">
        <w:t xml:space="preserve">eligible </w:t>
      </w:r>
      <w:r w:rsidRPr="006C6BEC" w:rsidR="00B6177D">
        <w:t xml:space="preserve">space station operator </w:t>
      </w:r>
      <w:r w:rsidR="00652036">
        <w:t xml:space="preserve">that </w:t>
      </w:r>
      <w:r w:rsidR="004F7EB9">
        <w:t xml:space="preserve">prevented </w:t>
      </w:r>
      <w:r w:rsidR="00F44FD5">
        <w:t xml:space="preserve">incumbent earth station </w:t>
      </w:r>
      <w:r w:rsidR="004F7EB9">
        <w:t xml:space="preserve">transition work from being completed </w:t>
      </w:r>
      <w:r w:rsidRPr="006C6BEC" w:rsidR="00B6177D">
        <w:t xml:space="preserve">and </w:t>
      </w:r>
      <w:r w:rsidR="00B352A4">
        <w:t>were</w:t>
      </w:r>
      <w:r w:rsidR="00E6658A">
        <w:t xml:space="preserve"> thus</w:t>
      </w:r>
      <w:r w:rsidR="00B352A4">
        <w:t xml:space="preserve"> </w:t>
      </w:r>
      <w:r w:rsidRPr="00B95C34" w:rsidR="00B6177D">
        <w:t>subject to a transition delay notice</w:t>
      </w:r>
      <w:r w:rsidR="00B6177D">
        <w:t>.</w:t>
      </w:r>
      <w:r>
        <w:rPr>
          <w:vertAlign w:val="superscript"/>
        </w:rPr>
        <w:footnoteReference w:id="33"/>
      </w:r>
      <w:r w:rsidR="00B6177D">
        <w:t xml:space="preserve"> </w:t>
      </w:r>
      <w:r w:rsidR="00040D93">
        <w:t xml:space="preserve"> </w:t>
      </w:r>
      <w:r w:rsidR="00B6177D">
        <w:t xml:space="preserve">Per the </w:t>
      </w:r>
      <w:r w:rsidRPr="00534C01" w:rsidR="00B6177D">
        <w:rPr>
          <w:i/>
          <w:iCs/>
        </w:rPr>
        <w:t>3.7 GHz Report and Order</w:t>
      </w:r>
      <w:r w:rsidR="00B6177D">
        <w:t xml:space="preserve">, </w:t>
      </w:r>
      <w:r w:rsidRPr="00B6177D" w:rsidR="00B6177D">
        <w:t>eligible</w:t>
      </w:r>
      <w:r w:rsidR="00B6177D">
        <w:t xml:space="preserve"> space station operator</w:t>
      </w:r>
      <w:r w:rsidR="00E5730B">
        <w:t>s</w:t>
      </w:r>
      <w:r w:rsidR="00B6177D">
        <w:t xml:space="preserve"> that wish to partake in this exception must submit a notice of any incumbent earth station transition delays to WTB within seven </w:t>
      </w:r>
      <w:r w:rsidR="00EF1D2E">
        <w:t xml:space="preserve">(7) </w:t>
      </w:r>
      <w:r w:rsidR="00B6177D">
        <w:t>days of discovering an inability to accomplish the assigned earth station transition task.</w:t>
      </w:r>
      <w:r>
        <w:rPr>
          <w:vertAlign w:val="superscript"/>
        </w:rPr>
        <w:footnoteReference w:id="34"/>
      </w:r>
      <w:r w:rsidR="00EF477C">
        <w:t xml:space="preserve">  </w:t>
      </w:r>
      <w:r w:rsidR="00390BDD">
        <w:t>W</w:t>
      </w:r>
      <w:r w:rsidR="005D3DD9">
        <w:t xml:space="preserve">e </w:t>
      </w:r>
      <w:r w:rsidR="00FF3B44">
        <w:t>anticipate</w:t>
      </w:r>
      <w:r w:rsidR="00EF477C">
        <w:t xml:space="preserve"> strictly enforc</w:t>
      </w:r>
      <w:r w:rsidR="005D3DD9">
        <w:t>ing</w:t>
      </w:r>
      <w:r w:rsidR="00EF477C">
        <w:t xml:space="preserve"> </w:t>
      </w:r>
      <w:r w:rsidR="00556F68">
        <w:t>this</w:t>
      </w:r>
      <w:r w:rsidR="00EF477C">
        <w:t xml:space="preserve"> notice requirement </w:t>
      </w:r>
      <w:r w:rsidR="00FF3B44">
        <w:t>as part of the Phase II Certification process,</w:t>
      </w:r>
      <w:r w:rsidR="00EF477C">
        <w:t xml:space="preserve"> and </w:t>
      </w:r>
      <w:r w:rsidR="00714F4E">
        <w:t xml:space="preserve">propose that </w:t>
      </w:r>
      <w:r w:rsidR="00F816CF">
        <w:t xml:space="preserve">such notice must be </w:t>
      </w:r>
      <w:r w:rsidR="00556F68">
        <w:t xml:space="preserve">timely </w:t>
      </w:r>
      <w:r w:rsidR="001F0938">
        <w:t>submitted</w:t>
      </w:r>
      <w:r w:rsidR="00714F4E">
        <w:t xml:space="preserve"> </w:t>
      </w:r>
      <w:r w:rsidR="00EF477C">
        <w:t xml:space="preserve">before </w:t>
      </w:r>
      <w:r w:rsidR="00A40B8A">
        <w:t xml:space="preserve">any eligible </w:t>
      </w:r>
      <w:r w:rsidR="00EF477C">
        <w:t xml:space="preserve">space station operator </w:t>
      </w:r>
      <w:r w:rsidR="00A40B8A">
        <w:t xml:space="preserve">invoking this exception </w:t>
      </w:r>
      <w:r w:rsidR="00EF477C">
        <w:t xml:space="preserve">can file its Phase II Certification.  </w:t>
      </w:r>
      <w:r w:rsidR="00D14139">
        <w:t>We seek comment on this Certification-related requirement.</w:t>
      </w:r>
    </w:p>
    <w:p w:rsidR="00CE4B8C" w:rsidP="00976AD0" w14:paraId="39C6E8A9" w14:textId="1A999D88">
      <w:pPr>
        <w:widowControl/>
        <w:tabs>
          <w:tab w:val="left" w:pos="5490"/>
        </w:tabs>
        <w:spacing w:after="120"/>
        <w:ind w:firstLine="720"/>
      </w:pPr>
      <w:r>
        <w:rPr>
          <w:i/>
          <w:iCs/>
        </w:rPr>
        <w:t xml:space="preserve">Threshold Trigger.  </w:t>
      </w:r>
      <w:r w:rsidRPr="00A65188" w:rsidR="00A65188">
        <w:t xml:space="preserve">The </w:t>
      </w:r>
      <w:r w:rsidRPr="00534C01" w:rsidR="005C458C">
        <w:rPr>
          <w:i/>
          <w:iCs/>
        </w:rPr>
        <w:t>3.7 GHz Report and Order</w:t>
      </w:r>
      <w:r w:rsidRPr="00A65188" w:rsidR="005C458C">
        <w:t xml:space="preserve"> </w:t>
      </w:r>
      <w:r w:rsidRPr="00A65188" w:rsidR="00A65188">
        <w:t xml:space="preserve">directs each </w:t>
      </w:r>
      <w:r w:rsidR="00F76082">
        <w:t xml:space="preserve">eligible space station </w:t>
      </w:r>
      <w:r w:rsidRPr="00A65188" w:rsidR="00A65188">
        <w:t xml:space="preserve">operator to submit a Certification </w:t>
      </w:r>
      <w:r w:rsidR="00F76082">
        <w:t xml:space="preserve">of its completion of the necessary clearing actions </w:t>
      </w:r>
      <w:r w:rsidR="00F5715D">
        <w:t xml:space="preserve">by the </w:t>
      </w:r>
      <w:r w:rsidR="00781924">
        <w:t>a</w:t>
      </w:r>
      <w:r w:rsidR="00F5715D">
        <w:t xml:space="preserve">pplicable </w:t>
      </w:r>
      <w:r w:rsidR="00781924">
        <w:t>Accelerated R</w:t>
      </w:r>
      <w:r w:rsidR="00F5715D">
        <w:t xml:space="preserve">elocation </w:t>
      </w:r>
      <w:r w:rsidR="00781924">
        <w:t>D</w:t>
      </w:r>
      <w:r w:rsidR="00F5715D">
        <w:t>eadline.</w:t>
      </w:r>
      <w:r>
        <w:rPr>
          <w:rStyle w:val="FootnoteReference"/>
        </w:rPr>
        <w:footnoteReference w:id="35"/>
      </w:r>
      <w:r w:rsidRPr="005C458C" w:rsidR="00A65188">
        <w:t xml:space="preserve">  </w:t>
      </w:r>
      <w:r>
        <w:t xml:space="preserve">To the extent that Phase II Certification procedures are issued before all five eligible space station operators complete their transition work, we seek comment on a potential threshold trigger before Phase II Certifications may be submitted for validation.  </w:t>
      </w:r>
      <w:r w:rsidR="00DE7F49">
        <w:t>Adopting a trigger</w:t>
      </w:r>
      <w:r>
        <w:t xml:space="preserve"> mechanism could potentially allow the Bureau, Clearinghouse, and relevant stakeholders to contemporaneously review the filings and more easily identify deficiencies and concerns.  We seek comment on whether to adopt such a threshold and, if so, what the appropriate trigger should be.  For example, one potential trigger could be submission of a final Phase II claims and assignment list by the Relocation Coordinator, showing the claims and assignments of all incumbent earth station antennas down to the feed level.</w:t>
      </w:r>
      <w:r>
        <w:rPr>
          <w:rStyle w:val="FootnoteReference"/>
        </w:rPr>
        <w:footnoteReference w:id="36"/>
      </w:r>
      <w:r>
        <w:t xml:space="preserve"> </w:t>
      </w:r>
      <w:r w:rsidR="00481877">
        <w:t xml:space="preserve"> </w:t>
      </w:r>
      <w:r>
        <w:t xml:space="preserve">Alternatively, the trigger could be the completion of a set percentage of incumbent earth station field visits, as reported by either the eligible space station operators or the Relocation Coordinator.  We seek comment on the benefits and tradeoffs </w:t>
      </w:r>
      <w:r w:rsidR="00DB6CC2">
        <w:t xml:space="preserve">associated </w:t>
      </w:r>
      <w:r>
        <w:t xml:space="preserve">with use of a threshold, as well as other potential triggers we might consider.  To the extent we do not adopt any threshold trigger, what impact would that have on the ability of the Bureau, Clearinghouse, and stakeholders to evaluate the completeness of the Phase II Certifications?  </w:t>
      </w:r>
      <w:r w:rsidR="00C213A1">
        <w:t xml:space="preserve">  </w:t>
      </w:r>
    </w:p>
    <w:p w:rsidR="009B434F" w:rsidP="00640191" w14:paraId="27C4FFCC" w14:textId="681DE8C4">
      <w:pPr>
        <w:spacing w:after="240"/>
        <w:ind w:firstLine="720"/>
      </w:pPr>
      <w:r w:rsidRPr="0001019D">
        <w:rPr>
          <w:i/>
          <w:iCs/>
        </w:rPr>
        <w:t>Remedial Condition</w:t>
      </w:r>
      <w:r w:rsidRPr="00640191">
        <w:t xml:space="preserve">.  </w:t>
      </w:r>
      <w:r w:rsidR="00C013C4">
        <w:t xml:space="preserve">In the </w:t>
      </w:r>
      <w:r w:rsidRPr="00A964AB" w:rsidR="00C013C4">
        <w:rPr>
          <w:i/>
          <w:iCs/>
        </w:rPr>
        <w:t>Phase I ARP Certification Procedures PN</w:t>
      </w:r>
      <w:r w:rsidR="00C013C4">
        <w:t xml:space="preserve">, the Bureau stated that “[i]f, </w:t>
      </w:r>
      <w:r w:rsidRPr="007B619B" w:rsidR="00C013C4">
        <w:t>after the resolution of any credible challenges and the disbursement of the ARP</w:t>
      </w:r>
      <w:r w:rsidR="00C013C4">
        <w:t>,</w:t>
      </w:r>
      <w:r w:rsidRPr="007B619B" w:rsidR="00C013C4">
        <w:t xml:space="preserve"> </w:t>
      </w:r>
      <w:r w:rsidR="00C013C4">
        <w:t xml:space="preserve">it is subsequently found, by the Relocation Coordinator, Clearinghouse, or WTB, </w:t>
      </w:r>
      <w:r w:rsidRPr="00071847" w:rsidR="00C013C4">
        <w:t xml:space="preserve">that the eligible </w:t>
      </w:r>
      <w:r w:rsidR="00C013C4">
        <w:t xml:space="preserve">space station operator </w:t>
      </w:r>
      <w:r w:rsidRPr="00071847" w:rsidR="00C013C4">
        <w:t xml:space="preserve">should have transitioned additional earth stations, antennas, or feeds that it did not account for in its </w:t>
      </w:r>
      <w:r w:rsidRPr="00071847" w:rsidR="00C013C4">
        <w:t>Transition Plan and Certification</w:t>
      </w:r>
      <w:r w:rsidR="00C013C4">
        <w:t>(s)</w:t>
      </w:r>
      <w:r w:rsidRPr="00071847" w:rsidR="00C013C4">
        <w:t xml:space="preserve">, the eligible </w:t>
      </w:r>
      <w:r w:rsidR="00C013C4">
        <w:t xml:space="preserve">space station operator will be required to </w:t>
      </w:r>
      <w:r w:rsidRPr="00071847" w:rsidR="00C013C4">
        <w:t>remediate such earth stations, antennas</w:t>
      </w:r>
      <w:r w:rsidR="00C013C4">
        <w:t>,</w:t>
      </w:r>
      <w:r w:rsidRPr="00071847" w:rsidR="00C013C4">
        <w:t xml:space="preserve"> or feeds</w:t>
      </w:r>
      <w:r w:rsidR="00C013C4">
        <w:t xml:space="preserve"> in a prompt and effective manner.</w:t>
      </w:r>
      <w:r w:rsidR="00800852">
        <w:t>”</w:t>
      </w:r>
      <w:r>
        <w:rPr>
          <w:vertAlign w:val="superscript"/>
        </w:rPr>
        <w:footnoteReference w:id="37"/>
      </w:r>
      <w:r w:rsidR="00C013C4">
        <w:t xml:space="preserve">  </w:t>
      </w:r>
      <w:r w:rsidR="00D569AB">
        <w:t>To this end, each of the Phase I Certification validation orders imposed a</w:t>
      </w:r>
      <w:r w:rsidR="00EB5DBF">
        <w:t>n</w:t>
      </w:r>
      <w:r w:rsidR="00D569AB">
        <w:t xml:space="preserve"> </w:t>
      </w:r>
      <w:r w:rsidR="00EB5DBF">
        <w:t>ongoing</w:t>
      </w:r>
      <w:r w:rsidR="00D569AB">
        <w:t xml:space="preserve"> condition to remediate</w:t>
      </w:r>
      <w:r w:rsidR="005466A4">
        <w:t>,</w:t>
      </w:r>
      <w:r>
        <w:rPr>
          <w:rStyle w:val="FootnoteReference"/>
        </w:rPr>
        <w:footnoteReference w:id="38"/>
      </w:r>
      <w:r w:rsidR="005466A4">
        <w:t xml:space="preserve"> </w:t>
      </w:r>
      <w:r w:rsidR="00DD4A67">
        <w:t xml:space="preserve">a requirement </w:t>
      </w:r>
      <w:r w:rsidR="005466A4">
        <w:t xml:space="preserve">which we likewise anticipate will </w:t>
      </w:r>
      <w:r w:rsidR="00DD4A67">
        <w:t xml:space="preserve">be </w:t>
      </w:r>
      <w:r w:rsidR="00355D77">
        <w:t xml:space="preserve">imposed </w:t>
      </w:r>
      <w:r w:rsidR="00C013C4">
        <w:t>in any Phase II Certification validation orders</w:t>
      </w:r>
      <w:r w:rsidR="00355D77">
        <w:t xml:space="preserve"> the Bureau may issue</w:t>
      </w:r>
      <w:r w:rsidR="00C013C4">
        <w:t xml:space="preserve">.  </w:t>
      </w:r>
      <w:r w:rsidR="00866477">
        <w:t xml:space="preserve">In recognition that the Phase II </w:t>
      </w:r>
      <w:r w:rsidR="00400BFB">
        <w:t>Accelerated Relocation Deadline</w:t>
      </w:r>
      <w:r w:rsidR="00400BFB">
        <w:t xml:space="preserve"> </w:t>
      </w:r>
      <w:r w:rsidR="00400BFB">
        <w:t xml:space="preserve">marks the end of the C-band transition process, </w:t>
      </w:r>
      <w:r w:rsidR="00E05195">
        <w:t>w</w:t>
      </w:r>
      <w:r w:rsidR="00C013C4">
        <w:t xml:space="preserve">e </w:t>
      </w:r>
      <w:r w:rsidR="00866477">
        <w:t xml:space="preserve">seek comment on whether to </w:t>
      </w:r>
      <w:r w:rsidR="00C013C4">
        <w:t xml:space="preserve">impose </w:t>
      </w:r>
      <w:r w:rsidR="004A08E5">
        <w:t xml:space="preserve">related </w:t>
      </w:r>
      <w:r w:rsidR="00780B43">
        <w:t xml:space="preserve">timing or </w:t>
      </w:r>
      <w:r w:rsidR="00FB6A8A">
        <w:t>documentation</w:t>
      </w:r>
      <w:r w:rsidR="00780B43">
        <w:t xml:space="preserve"> requirements to ensure</w:t>
      </w:r>
      <w:r w:rsidR="00FB6A8A">
        <w:t xml:space="preserve"> </w:t>
      </w:r>
      <w:r w:rsidR="00086CF5">
        <w:t xml:space="preserve">any </w:t>
      </w:r>
      <w:r w:rsidR="00780B43">
        <w:t xml:space="preserve">such </w:t>
      </w:r>
      <w:r w:rsidR="00086CF5">
        <w:t xml:space="preserve">remedial </w:t>
      </w:r>
      <w:r w:rsidR="00C013C4">
        <w:t>work is</w:t>
      </w:r>
      <w:r w:rsidR="00780B43">
        <w:t xml:space="preserve"> promptly</w:t>
      </w:r>
      <w:r w:rsidR="00C013C4">
        <w:t xml:space="preserve"> complete</w:t>
      </w:r>
      <w:r w:rsidR="004A08E5">
        <w:t>d</w:t>
      </w:r>
      <w:r w:rsidR="00D70E56">
        <w:t xml:space="preserve"> and accounted for by the responsible </w:t>
      </w:r>
      <w:r w:rsidR="003F1563">
        <w:t xml:space="preserve">eligible </w:t>
      </w:r>
      <w:r w:rsidR="00D70E56">
        <w:t>space station operator</w:t>
      </w:r>
      <w:r w:rsidR="003F1563">
        <w:t>.</w:t>
      </w:r>
    </w:p>
    <w:p w:rsidR="007159CA" w:rsidP="007159CA" w14:paraId="33B544A1" w14:textId="77777777">
      <w:pPr>
        <w:ind w:firstLine="720"/>
      </w:pPr>
      <w:r w:rsidRPr="00640191">
        <w:rPr>
          <w:i/>
          <w:iCs/>
        </w:rPr>
        <w:t>Phase II Incremental Reduction Plan</w:t>
      </w:r>
      <w:r w:rsidRPr="00640191">
        <w:t xml:space="preserve">.  </w:t>
      </w:r>
      <w:r>
        <w:t xml:space="preserve">The </w:t>
      </w:r>
      <w:r w:rsidRPr="0001019D">
        <w:rPr>
          <w:i/>
          <w:iCs/>
        </w:rPr>
        <w:t>3.7 GHz Report and Order</w:t>
      </w:r>
      <w:r>
        <w:t xml:space="preserve"> also directed that if “credible challenges as to the space station operator’s satisfaction of the relevant deadline are made, the Bureau will issue a public notice identifying such challenges and will render a final decision as to the validity of the certification no later than 60 days from its filing.”</w:t>
      </w:r>
      <w:r>
        <w:rPr>
          <w:vertAlign w:val="superscript"/>
        </w:rPr>
        <w:footnoteReference w:id="39"/>
      </w:r>
      <w:r w:rsidRPr="00505B36">
        <w:t xml:space="preserve"> </w:t>
      </w:r>
      <w:r w:rsidRPr="00BF3F07">
        <w:t xml:space="preserve"> </w:t>
      </w:r>
      <w:r>
        <w:t xml:space="preserve">In its </w:t>
      </w:r>
      <w:r w:rsidRPr="00A964AB">
        <w:rPr>
          <w:i/>
          <w:iCs/>
        </w:rPr>
        <w:t>Phase I Incremental Reduction Plan PN</w:t>
      </w:r>
      <w:r>
        <w:t>, the Bureau adopted its approach for calculating an incremental reduction for an eligible space station operator’s ARP due to its failure to meet the Phase I Accelerated Relocation Deadline.</w:t>
      </w:r>
      <w:r>
        <w:rPr>
          <w:vertAlign w:val="superscript"/>
        </w:rPr>
        <w:footnoteReference w:id="40"/>
      </w:r>
      <w:r w:rsidRPr="001473C1">
        <w:t xml:space="preserve"> </w:t>
      </w:r>
      <w:r w:rsidRPr="00976B92">
        <w:t xml:space="preserve"> </w:t>
      </w:r>
      <w:r>
        <w:t>For Phase II</w:t>
      </w:r>
      <w:r w:rsidRPr="00216DB1">
        <w:t xml:space="preserve">, </w:t>
      </w:r>
      <w:r>
        <w:t>we propose adopting the same approach for failure to meet the Phase II Accelerated Relocation Deadline</w:t>
      </w:r>
      <w:r w:rsidR="0061730F">
        <w:t xml:space="preserve"> and</w:t>
      </w:r>
      <w:r>
        <w:t xml:space="preserve"> seek comment on this proposal. </w:t>
      </w:r>
    </w:p>
    <w:p w:rsidR="007159CA" w:rsidP="007159CA" w14:paraId="4C16B0CD" w14:textId="77777777">
      <w:pPr>
        <w:ind w:firstLine="720"/>
        <w:jc w:val="center"/>
      </w:pPr>
    </w:p>
    <w:p w:rsidR="007159CA" w:rsidP="005B407F" w14:paraId="1D8979EC" w14:textId="69566E7E">
      <w:pPr>
        <w:jc w:val="center"/>
      </w:pPr>
      <w:r>
        <w:t>***</w:t>
      </w:r>
    </w:p>
    <w:p w:rsidR="005E3EC9" w:rsidP="007159CA" w14:paraId="33D9B416" w14:textId="77777777">
      <w:pPr>
        <w:ind w:firstLine="720"/>
        <w:jc w:val="center"/>
      </w:pPr>
    </w:p>
    <w:p w:rsidR="00DF10E2" w:rsidRPr="00474CB1" w:rsidP="007159CA" w14:paraId="6C94FEA5" w14:textId="3E171738">
      <w:pPr>
        <w:tabs>
          <w:tab w:val="left" w:pos="5490"/>
        </w:tabs>
        <w:spacing w:after="120"/>
        <w:ind w:firstLine="720"/>
        <w:rPr>
          <w:color w:val="000000"/>
        </w:rPr>
      </w:pPr>
      <w:r w:rsidRPr="00474CB1">
        <w:rPr>
          <w:i/>
          <w:iCs/>
          <w:color w:val="000000"/>
        </w:rPr>
        <w:t xml:space="preserve">Paperwork Reduction Act.  </w:t>
      </w:r>
      <w:r w:rsidRPr="00474CB1">
        <w:rPr>
          <w:color w:val="000000"/>
        </w:rPr>
        <w:t xml:space="preserve">This </w:t>
      </w:r>
      <w:r>
        <w:rPr>
          <w:i/>
          <w:iCs/>
          <w:color w:val="000000"/>
        </w:rPr>
        <w:t>Public Notice</w:t>
      </w:r>
      <w:r w:rsidRPr="00474CB1">
        <w:rPr>
          <w:color w:val="000000"/>
        </w:rPr>
        <w:t xml:space="preserve"> does not adopt or propose new or substantively modified information collection(s) subject to the Paperwork Reduction Act of 1995 (PRA), Public Law 104-13. </w:t>
      </w:r>
      <w:r>
        <w:rPr>
          <w:color w:val="000000"/>
        </w:rPr>
        <w:t xml:space="preserve"> </w:t>
      </w:r>
      <w:r w:rsidRPr="00474CB1">
        <w:rPr>
          <w:color w:val="000000"/>
        </w:rPr>
        <w:t>In addition, therefore, it does not contain any new or modified information collection burden for small business concerns with fewer than 25 employees, pursuant to the Small Business Paperwork Relief Act of 2002, Public Law 107-198, </w:t>
      </w:r>
      <w:r w:rsidRPr="00474CB1">
        <w:rPr>
          <w:i/>
          <w:iCs/>
          <w:color w:val="000000"/>
        </w:rPr>
        <w:t>see</w:t>
      </w:r>
      <w:r w:rsidRPr="00474CB1">
        <w:rPr>
          <w:color w:val="000000"/>
        </w:rPr>
        <w:t xml:space="preserve"> 44 U.S.C. </w:t>
      </w:r>
      <w:r>
        <w:rPr>
          <w:color w:val="000000"/>
        </w:rPr>
        <w:t xml:space="preserve">§ </w:t>
      </w:r>
      <w:r w:rsidRPr="00474CB1">
        <w:rPr>
          <w:color w:val="000000"/>
        </w:rPr>
        <w:t>3506(c)(4).  The non-substantive information collection changes for voluntary CEFS filing have been approved.  The Commission will seek approval for mandatory filing of SSI plans or any other alternative requiring a non-substantive information collection change, if adopted.</w:t>
      </w:r>
    </w:p>
    <w:p w:rsidR="003228D5" w:rsidP="003228D5" w14:paraId="20928BC6" w14:textId="77777777">
      <w:pPr>
        <w:tabs>
          <w:tab w:val="left" w:pos="5490"/>
        </w:tabs>
        <w:spacing w:after="120"/>
        <w:ind w:firstLine="720"/>
      </w:pPr>
      <w:r w:rsidRPr="00474CB1">
        <w:rPr>
          <w:i/>
          <w:iCs/>
          <w:color w:val="000000"/>
          <w:szCs w:val="22"/>
        </w:rPr>
        <w:t>Regulatory Flexibility Act</w:t>
      </w:r>
      <w:r w:rsidRPr="00474CB1">
        <w:rPr>
          <w:color w:val="000000"/>
          <w:szCs w:val="22"/>
        </w:rPr>
        <w:t>.  The Regulatory Flexibility Act of 1980, as amended (RFA),</w:t>
      </w:r>
      <w:r>
        <w:rPr>
          <w:color w:val="000000"/>
          <w:szCs w:val="22"/>
          <w:vertAlign w:val="superscript"/>
        </w:rPr>
        <w:footnoteReference w:id="41"/>
      </w:r>
      <w:r w:rsidRPr="00474CB1">
        <w:rPr>
          <w:color w:val="000000"/>
          <w:szCs w:val="22"/>
        </w:rPr>
        <w:t xml:space="preserve"> requires that </w:t>
      </w:r>
      <w:bookmarkStart w:id="4" w:name="_Hlk60672820"/>
      <w:r w:rsidRPr="00474CB1">
        <w:rPr>
          <w:color w:val="000000"/>
          <w:szCs w:val="22"/>
        </w:rPr>
        <w:t xml:space="preserve">an agency prepare a </w:t>
      </w:r>
      <w:bookmarkEnd w:id="4"/>
      <w:r w:rsidRPr="00474CB1">
        <w:rPr>
          <w:color w:val="000000"/>
          <w:szCs w:val="22"/>
        </w:rPr>
        <w:t xml:space="preserve">regulatory flexibility analysis for notice and comment rulemakings, unless the agency certifies that </w:t>
      </w:r>
      <w:r w:rsidR="00F97AD4">
        <w:rPr>
          <w:color w:val="000000"/>
          <w:szCs w:val="22"/>
        </w:rPr>
        <w:t xml:space="preserve">the rule </w:t>
      </w:r>
      <w:r w:rsidRPr="00474CB1">
        <w:rPr>
          <w:color w:val="000000"/>
          <w:szCs w:val="22"/>
        </w:rPr>
        <w:t>will not, if promulgated, have a significant economic impact on a substantial number of small entities.”</w:t>
      </w:r>
      <w:r>
        <w:rPr>
          <w:color w:val="000000"/>
          <w:szCs w:val="22"/>
          <w:vertAlign w:val="superscript"/>
        </w:rPr>
        <w:footnoteReference w:id="42"/>
      </w:r>
      <w:r w:rsidRPr="00474CB1">
        <w:rPr>
          <w:color w:val="000000"/>
          <w:szCs w:val="22"/>
        </w:rPr>
        <w:t xml:space="preserve">  If an agency files a certification with a rulemaking, </w:t>
      </w:r>
      <w:r w:rsidRPr="00840FDC">
        <w:rPr>
          <w:szCs w:val="22"/>
        </w:rPr>
        <w:t xml:space="preserve">the certification must </w:t>
      </w:r>
      <w:r w:rsidRPr="00840FDC">
        <w:rPr>
          <w:szCs w:val="22"/>
        </w:rPr>
        <w:t>contain a statement that provides a factual basis for its conclusion that there will not be significant economic impact on a substantial number of small entities.</w:t>
      </w:r>
      <w:r>
        <w:rPr>
          <w:szCs w:val="22"/>
          <w:vertAlign w:val="superscript"/>
        </w:rPr>
        <w:footnoteReference w:id="43"/>
      </w:r>
      <w:r w:rsidRPr="00840FDC">
        <w:rPr>
          <w:szCs w:val="22"/>
        </w:rPr>
        <w:t xml:space="preserve">  Accordingly, the Commission has prepared an Initial Regulatory Flexibility Certification (IRFC) </w:t>
      </w:r>
      <w:r w:rsidR="00F97AD4">
        <w:t xml:space="preserve">certifying that </w:t>
      </w:r>
      <w:r w:rsidR="00413C79">
        <w:t>any rules subject to the Regulatory Flexibility Act that may be</w:t>
      </w:r>
      <w:r w:rsidRPr="00C32695" w:rsidR="00413C79">
        <w:t xml:space="preserve"> </w:t>
      </w:r>
      <w:r w:rsidRPr="00C32695" w:rsidR="00F97AD4">
        <w:t>contained in</w:t>
      </w:r>
      <w:r w:rsidRPr="00840FDC">
        <w:rPr>
          <w:szCs w:val="22"/>
        </w:rPr>
        <w:t xml:space="preserve"> this </w:t>
      </w:r>
      <w:r w:rsidRPr="00840FDC">
        <w:rPr>
          <w:i/>
          <w:iCs/>
          <w:szCs w:val="22"/>
        </w:rPr>
        <w:t>Public Notice</w:t>
      </w:r>
      <w:r w:rsidRPr="00F97AD4" w:rsidR="00F97AD4">
        <w:rPr>
          <w:szCs w:val="22"/>
        </w:rPr>
        <w:t xml:space="preserve"> </w:t>
      </w:r>
      <w:r w:rsidRPr="00590A71" w:rsidR="00F97AD4">
        <w:rPr>
          <w:szCs w:val="22"/>
        </w:rPr>
        <w:t xml:space="preserve">will not </w:t>
      </w:r>
      <w:r w:rsidR="00F97AD4">
        <w:rPr>
          <w:szCs w:val="22"/>
        </w:rPr>
        <w:t xml:space="preserve">have a </w:t>
      </w:r>
      <w:r w:rsidRPr="00590A71" w:rsidR="00F97AD4">
        <w:rPr>
          <w:szCs w:val="22"/>
        </w:rPr>
        <w:t xml:space="preserve">significant economic impact on a substantial number of </w:t>
      </w:r>
      <w:r w:rsidR="00F97AD4">
        <w:t>small entities</w:t>
      </w:r>
      <w:r w:rsidRPr="00840FDC">
        <w:rPr>
          <w:i/>
          <w:iCs/>
          <w:szCs w:val="22"/>
        </w:rPr>
        <w:t>.</w:t>
      </w:r>
      <w:r w:rsidRPr="00840FDC">
        <w:rPr>
          <w:szCs w:val="22"/>
        </w:rPr>
        <w:t xml:space="preserve"> </w:t>
      </w:r>
      <w:r w:rsidR="00E51594">
        <w:rPr>
          <w:szCs w:val="22"/>
        </w:rPr>
        <w:t xml:space="preserve"> </w:t>
      </w:r>
      <w:r>
        <w:rPr>
          <w:szCs w:val="22"/>
        </w:rPr>
        <w:t xml:space="preserve">The IRFC is </w:t>
      </w:r>
      <w:r w:rsidR="00F97AD4">
        <w:rPr>
          <w:szCs w:val="22"/>
        </w:rPr>
        <w:t>set forth</w:t>
      </w:r>
      <w:r w:rsidR="00E51594">
        <w:rPr>
          <w:szCs w:val="22"/>
        </w:rPr>
        <w:t xml:space="preserve"> </w:t>
      </w:r>
      <w:r>
        <w:rPr>
          <w:szCs w:val="22"/>
        </w:rPr>
        <w:t>in Appendix A.</w:t>
      </w:r>
    </w:p>
    <w:p w:rsidR="009B434F" w:rsidRPr="00270255" w:rsidP="003228D5" w14:paraId="0DCC10FF" w14:textId="69DB63DA">
      <w:pPr>
        <w:tabs>
          <w:tab w:val="left" w:pos="5490"/>
        </w:tabs>
        <w:spacing w:after="120"/>
        <w:ind w:firstLine="720"/>
      </w:pPr>
      <w:r w:rsidRPr="1F14123A">
        <w:rPr>
          <w:i/>
        </w:rPr>
        <w:t>Filing Requirements</w:t>
      </w:r>
      <w:r>
        <w:t>.</w:t>
      </w:r>
      <w:r w:rsidRPr="1F14123A">
        <w:rPr>
          <w:i/>
        </w:rPr>
        <w:t xml:space="preserve"> </w:t>
      </w:r>
      <w:r w:rsidR="005D0FC5">
        <w:rPr>
          <w:i/>
        </w:rPr>
        <w:t xml:space="preserve"> </w:t>
      </w:r>
      <w:r>
        <w:t xml:space="preserve">All comments must reference </w:t>
      </w:r>
      <w:r w:rsidRPr="002373A6">
        <w:t>GN Docket No. 2</w:t>
      </w:r>
      <w:r w:rsidR="00A16970">
        <w:t>3</w:t>
      </w:r>
      <w:r w:rsidRPr="002373A6">
        <w:t>-</w:t>
      </w:r>
      <w:r w:rsidR="00B72541">
        <w:t>97</w:t>
      </w:r>
      <w:r>
        <w:t xml:space="preserve">.  Submissions may be filed using the Commission’s Electronic Comment Filing System (ECFS). </w:t>
      </w:r>
    </w:p>
    <w:p w:rsidR="009B434F" w:rsidRPr="001226C1" w:rsidP="009B434F" w14:paraId="68B4BE9B" w14:textId="77777777">
      <w:pPr>
        <w:numPr>
          <w:ilvl w:val="0"/>
          <w:numId w:val="7"/>
        </w:numPr>
        <w:spacing w:after="120"/>
        <w:ind w:left="720"/>
        <w:rPr>
          <w:szCs w:val="22"/>
        </w:rPr>
      </w:pPr>
      <w:r w:rsidRPr="001226C1">
        <w:rPr>
          <w:szCs w:val="22"/>
        </w:rPr>
        <w:t xml:space="preserve">Electronic Filers:  Comments may be filed electronically using the internet by accessing the ECFS: </w:t>
      </w:r>
      <w:hyperlink r:id="rId5" w:history="1">
        <w:r w:rsidRPr="001226C1">
          <w:rPr>
            <w:color w:val="0000FF"/>
            <w:szCs w:val="22"/>
            <w:u w:val="single"/>
          </w:rPr>
          <w:t>https://www.fcc.gov/ecfs/</w:t>
        </w:r>
      </w:hyperlink>
      <w:r w:rsidRPr="001226C1">
        <w:rPr>
          <w:szCs w:val="22"/>
        </w:rPr>
        <w:t xml:space="preserve">. </w:t>
      </w:r>
    </w:p>
    <w:p w:rsidR="009B434F" w:rsidRPr="001226C1" w:rsidP="009B434F" w14:paraId="79013472" w14:textId="77777777">
      <w:pPr>
        <w:numPr>
          <w:ilvl w:val="0"/>
          <w:numId w:val="7"/>
        </w:numPr>
        <w:spacing w:after="120"/>
        <w:ind w:left="720"/>
        <w:rPr>
          <w:szCs w:val="22"/>
        </w:rPr>
      </w:pPr>
      <w:r w:rsidRPr="001226C1">
        <w:rPr>
          <w:szCs w:val="22"/>
        </w:rPr>
        <w:t xml:space="preserve">Paper Filers:  Parties who choose to file by paper must file an original and one copy of each filing.  </w:t>
      </w:r>
    </w:p>
    <w:p w:rsidR="009B434F" w:rsidRPr="001226C1" w:rsidP="009B434F" w14:paraId="3E45E815" w14:textId="77777777">
      <w:pPr>
        <w:spacing w:after="120"/>
        <w:ind w:left="720"/>
        <w:rPr>
          <w:szCs w:val="22"/>
        </w:rPr>
      </w:pPr>
      <w:r w:rsidRPr="001226C1">
        <w:rPr>
          <w:szCs w:val="22"/>
        </w:rPr>
        <w:t>Filings can be sent by commercial courier or by the U.S. Postal Service.  All filings must be addressed to the Commission’s Secretary, Office of the Secretary, Federal Communications Commission.</w:t>
      </w:r>
    </w:p>
    <w:p w:rsidR="009B434F" w:rsidRPr="001226C1" w:rsidP="009B434F" w14:paraId="1AE55269" w14:textId="77777777">
      <w:pPr>
        <w:numPr>
          <w:ilvl w:val="0"/>
          <w:numId w:val="7"/>
        </w:numPr>
        <w:spacing w:after="120"/>
        <w:rPr>
          <w:szCs w:val="22"/>
        </w:rPr>
      </w:pPr>
      <w:r w:rsidRPr="001226C1">
        <w:rPr>
          <w:szCs w:val="22"/>
        </w:rPr>
        <w:t xml:space="preserve">Commercial deliveries (other than U.S. Postal Service Express Mail and Priority Mail) must be sent to 9050 Junction Drive, Annapolis Junction, MD 20701. </w:t>
      </w:r>
    </w:p>
    <w:p w:rsidR="009B434F" w:rsidRPr="001226C1" w:rsidP="009B434F" w14:paraId="6A974562" w14:textId="77777777">
      <w:pPr>
        <w:numPr>
          <w:ilvl w:val="0"/>
          <w:numId w:val="7"/>
        </w:numPr>
        <w:spacing w:after="120"/>
        <w:rPr>
          <w:szCs w:val="22"/>
        </w:rPr>
      </w:pPr>
      <w:r w:rsidRPr="001226C1">
        <w:rPr>
          <w:szCs w:val="22"/>
        </w:rPr>
        <w:t>U.S. Postal Service First-Class, Express, and Priority mail must be addressed to 445 12</w:t>
      </w:r>
      <w:r w:rsidRPr="001226C1">
        <w:rPr>
          <w:szCs w:val="22"/>
          <w:vertAlign w:val="superscript"/>
        </w:rPr>
        <w:t>th</w:t>
      </w:r>
      <w:r w:rsidRPr="001226C1">
        <w:rPr>
          <w:szCs w:val="22"/>
        </w:rPr>
        <w:t xml:space="preserve"> Street, SW, Washington, DC 20554. </w:t>
      </w:r>
    </w:p>
    <w:p w:rsidR="009B434F" w:rsidP="009B434F" w14:paraId="484DA621" w14:textId="77777777">
      <w:pPr>
        <w:widowControl/>
        <w:numPr>
          <w:ilvl w:val="0"/>
          <w:numId w:val="7"/>
        </w:numPr>
        <w:spacing w:after="160" w:line="259" w:lineRule="auto"/>
        <w:rPr>
          <w:rFonts w:eastAsia="Calibri"/>
          <w:snapToGrid/>
          <w:kern w:val="0"/>
          <w:szCs w:val="22"/>
          <w:u w:val="single"/>
        </w:rPr>
      </w:pPr>
      <w:r w:rsidRPr="001226C1">
        <w:rPr>
          <w:rFonts w:eastAsia="Calibri"/>
          <w:b/>
          <w:bCs/>
          <w:snapToGrid/>
          <w:kern w:val="0"/>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1226C1">
        <w:rPr>
          <w:rFonts w:eastAsia="Calibri"/>
          <w:b/>
          <w:bCs/>
          <w:i/>
          <w:iCs/>
          <w:snapToGrid/>
          <w:kern w:val="0"/>
          <w:szCs w:val="22"/>
        </w:rPr>
        <w:t>FCC Announces Closure of FCC Headquarters Open Window and Change in Hand-Delivery Policy</w:t>
      </w:r>
      <w:r w:rsidRPr="001226C1">
        <w:rPr>
          <w:rFonts w:eastAsia="Calibri"/>
          <w:b/>
          <w:bCs/>
          <w:snapToGrid/>
          <w:kern w:val="0"/>
          <w:szCs w:val="22"/>
        </w:rPr>
        <w:t xml:space="preserve">, Public Notice, DA 20-304 (March 19, 2020).  </w:t>
      </w:r>
      <w:hyperlink r:id="rId6" w:history="1">
        <w:r w:rsidRPr="001226C1">
          <w:rPr>
            <w:rFonts w:eastAsia="Calibri"/>
            <w:b/>
            <w:bCs/>
            <w:snapToGrid/>
            <w:color w:val="0000FF"/>
            <w:kern w:val="0"/>
            <w:szCs w:val="22"/>
            <w:u w:val="single"/>
          </w:rPr>
          <w:t>https://www.fcc.gov/document/fcc-closes-headquarters-open-window-and-changes-hand-delivery-policy</w:t>
        </w:r>
      </w:hyperlink>
    </w:p>
    <w:p w:rsidR="009B434F" w:rsidRPr="001226C1" w:rsidP="009B434F" w14:paraId="65EB1E8C" w14:textId="77777777">
      <w:pPr>
        <w:widowControl/>
        <w:numPr>
          <w:ilvl w:val="0"/>
          <w:numId w:val="7"/>
        </w:numPr>
        <w:spacing w:after="160" w:line="259" w:lineRule="auto"/>
        <w:contextualSpacing/>
        <w:rPr>
          <w:rFonts w:eastAsia="Calibri"/>
          <w:snapToGrid/>
          <w:kern w:val="0"/>
          <w:szCs w:val="22"/>
          <w:u w:val="single"/>
        </w:rPr>
      </w:pPr>
      <w:r w:rsidRPr="001226C1">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B434F" w:rsidRPr="001226C1" w:rsidP="009B434F" w14:paraId="07FFC38B" w14:textId="77777777">
      <w:pPr>
        <w:ind w:firstLine="720"/>
      </w:pPr>
    </w:p>
    <w:p w:rsidR="009B434F" w:rsidRPr="001226C1" w:rsidP="009B434F" w14:paraId="79FD676F" w14:textId="77777777">
      <w:pPr>
        <w:ind w:firstLine="720"/>
      </w:pPr>
      <w:r w:rsidRPr="001226C1">
        <w:rPr>
          <w:i/>
          <w:iCs/>
        </w:rPr>
        <w:t>People with Disabilities</w:t>
      </w:r>
      <w:r w:rsidRPr="001226C1">
        <w:t>: To request materials in accessible formats for people with disabilities</w:t>
      </w:r>
    </w:p>
    <w:p w:rsidR="009B434F" w:rsidRPr="001226C1" w:rsidP="009B434F" w14:paraId="09761985" w14:textId="77777777">
      <w:r w:rsidRPr="001226C1">
        <w:t xml:space="preserve">(braille, large print, electronic files, audio format), send an e-mail to </w:t>
      </w:r>
      <w:hyperlink r:id="rId7" w:history="1">
        <w:r w:rsidRPr="001226C1">
          <w:rPr>
            <w:color w:val="0000FF"/>
            <w:u w:val="single"/>
          </w:rPr>
          <w:t>fcc504@fcc.gov</w:t>
        </w:r>
      </w:hyperlink>
      <w:r w:rsidRPr="001226C1">
        <w:t xml:space="preserve"> or call the Consumer &amp; Government Affairs Bureau at 202-418-0530 (voice, 202-418-0432 (</w:t>
      </w:r>
      <w:r w:rsidRPr="001226C1">
        <w:t>tty</w:t>
      </w:r>
      <w:r w:rsidRPr="001226C1">
        <w:t>).</w:t>
      </w:r>
    </w:p>
    <w:p w:rsidR="009B434F" w:rsidRPr="001226C1" w:rsidP="009B434F" w14:paraId="12BDB11A" w14:textId="77777777"/>
    <w:p w:rsidR="00B92C55" w:rsidP="00B92C55" w14:paraId="55BE0EED" w14:textId="77777777">
      <w:pPr>
        <w:spacing w:after="120"/>
        <w:ind w:firstLine="720"/>
        <w:rPr>
          <w:szCs w:val="22"/>
        </w:rPr>
      </w:pPr>
      <w:r w:rsidRPr="4141EAA9">
        <w:rPr>
          <w:i/>
        </w:rPr>
        <w:t xml:space="preserve">Ex </w:t>
      </w:r>
      <w:r w:rsidRPr="4141EAA9">
        <w:rPr>
          <w:i/>
        </w:rPr>
        <w:t>Parte</w:t>
      </w:r>
      <w:r w:rsidRPr="4141EAA9">
        <w:rPr>
          <w:i/>
        </w:rPr>
        <w:t xml:space="preserve"> Rules</w:t>
      </w:r>
      <w:r w:rsidRPr="4141EAA9">
        <w:t xml:space="preserve">.  This proceeding shall be treated as a “permit-but-disclose” proceeding in accordance with the Commission’s </w:t>
      </w:r>
      <w:r w:rsidRPr="4141EAA9">
        <w:rPr>
          <w:i/>
        </w:rPr>
        <w:t xml:space="preserve">ex </w:t>
      </w:r>
      <w:r w:rsidRPr="4141EAA9">
        <w:rPr>
          <w:i/>
        </w:rPr>
        <w:t>parte</w:t>
      </w:r>
      <w:r w:rsidRPr="4141EAA9">
        <w:t xml:space="preserve"> rules.</w:t>
      </w:r>
      <w:r>
        <w:rPr>
          <w:vertAlign w:val="superscript"/>
        </w:rPr>
        <w:footnoteReference w:id="44"/>
      </w:r>
      <w:r w:rsidRPr="4141EAA9">
        <w:t xml:space="preserve">  Persons making </w:t>
      </w:r>
      <w:r w:rsidRPr="4141EAA9">
        <w:rPr>
          <w:i/>
        </w:rPr>
        <w:t xml:space="preserve">ex </w:t>
      </w:r>
      <w:r w:rsidRPr="4141EAA9">
        <w:rPr>
          <w:i/>
        </w:rPr>
        <w:t>parte</w:t>
      </w:r>
      <w:r w:rsidRPr="4141EAA9">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141EAA9">
        <w:rPr>
          <w:i/>
        </w:rPr>
        <w:t xml:space="preserve">ex </w:t>
      </w:r>
      <w:r w:rsidRPr="4141EAA9">
        <w:rPr>
          <w:i/>
        </w:rPr>
        <w:t>parte</w:t>
      </w:r>
      <w:r w:rsidRPr="4141EAA9">
        <w:t xml:space="preserve"> presentations are reminded that memoranda summarizing the presentation must: (1) list all persons attending or otherwise participating in the meeting at which the </w:t>
      </w:r>
      <w:r w:rsidRPr="4141EAA9">
        <w:rPr>
          <w:i/>
        </w:rPr>
        <w:t xml:space="preserve">ex </w:t>
      </w:r>
      <w:r w:rsidRPr="4141EAA9">
        <w:rPr>
          <w:i/>
        </w:rPr>
        <w:t>parte</w:t>
      </w:r>
      <w:r w:rsidRPr="4141EAA9">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4141EAA9">
        <w:t xml:space="preserve">other filings (specifying the relevant page and/or paragraph numbers where such data or arguments can be found) in lieu of summarizing them in the memorandum.  Documents shown or given to Commission staff during </w:t>
      </w:r>
      <w:r w:rsidRPr="4141EAA9">
        <w:rPr>
          <w:i/>
        </w:rPr>
        <w:t xml:space="preserve">ex </w:t>
      </w:r>
      <w:r w:rsidRPr="4141EAA9">
        <w:rPr>
          <w:i/>
        </w:rPr>
        <w:t>parte</w:t>
      </w:r>
      <w:r w:rsidRPr="4141EAA9">
        <w:t xml:space="preserve"> meetings are deemed to be written </w:t>
      </w:r>
      <w:r w:rsidRPr="4141EAA9">
        <w:rPr>
          <w:i/>
        </w:rPr>
        <w:t xml:space="preserve">ex </w:t>
      </w:r>
      <w:r w:rsidRPr="4141EAA9">
        <w:rPr>
          <w:i/>
        </w:rPr>
        <w:t>parte</w:t>
      </w:r>
      <w:r w:rsidRPr="4141EAA9">
        <w:t xml:space="preserve"> presentations and must be filed consistent with section 1.1206(b) of the Commission’s rules.  In proceedings governed by section 1.49(f) of the rules or for which the Commission has made available a method of electronic filing, written </w:t>
      </w:r>
      <w:r w:rsidRPr="4141EAA9">
        <w:rPr>
          <w:i/>
        </w:rPr>
        <w:t xml:space="preserve">ex </w:t>
      </w:r>
      <w:r w:rsidRPr="4141EAA9">
        <w:rPr>
          <w:i/>
        </w:rPr>
        <w:t>parte</w:t>
      </w:r>
      <w:r w:rsidRPr="4141EAA9">
        <w:t xml:space="preserve"> presentations and memoranda summarizing oral </w:t>
      </w:r>
      <w:r w:rsidRPr="4141EAA9">
        <w:rPr>
          <w:i/>
        </w:rPr>
        <w:t xml:space="preserve">ex </w:t>
      </w:r>
      <w:r w:rsidRPr="4141EAA9">
        <w:rPr>
          <w:i/>
        </w:rPr>
        <w:t>parte</w:t>
      </w:r>
      <w:r w:rsidRPr="4141EAA9">
        <w:rPr>
          <w:i/>
        </w:rPr>
        <w:t xml:space="preserve"> </w:t>
      </w:r>
      <w:r w:rsidRPr="4141EAA9">
        <w:t>presentations, and all attachments thereto, must be filed through the electronic comment filing system available for that proceeding, and must be filed in their native format (</w:t>
      </w:r>
      <w:r w:rsidRPr="4141EAA9">
        <w:rPr>
          <w:i/>
        </w:rPr>
        <w:t>e.g.</w:t>
      </w:r>
      <w:r w:rsidRPr="4141EAA9">
        <w:t>, .doc, .xml., .ppt, searchable .pdf).</w:t>
      </w:r>
      <w:r>
        <w:rPr>
          <w:vertAlign w:val="superscript"/>
        </w:rPr>
        <w:footnoteReference w:id="45"/>
      </w:r>
      <w:r w:rsidRPr="4141EAA9">
        <w:t xml:space="preserve">  Participants in this proceeding should familiarize themselves with the Commission’s </w:t>
      </w:r>
      <w:r w:rsidRPr="4141EAA9">
        <w:rPr>
          <w:i/>
        </w:rPr>
        <w:t xml:space="preserve">ex </w:t>
      </w:r>
      <w:r w:rsidRPr="4141EAA9">
        <w:rPr>
          <w:i/>
        </w:rPr>
        <w:t>parte</w:t>
      </w:r>
      <w:r w:rsidRPr="4141EAA9">
        <w:t xml:space="preserve"> rules.</w:t>
      </w:r>
    </w:p>
    <w:p w:rsidR="009B434F" w:rsidRPr="00B92C55" w:rsidP="00B92C55" w14:paraId="1D599628" w14:textId="204D6F93">
      <w:pPr>
        <w:spacing w:after="120"/>
        <w:ind w:firstLine="720"/>
        <w:rPr>
          <w:szCs w:val="22"/>
        </w:rPr>
      </w:pPr>
      <w:r w:rsidRPr="001226C1">
        <w:rPr>
          <w:i/>
          <w:iCs/>
        </w:rPr>
        <w:t>Additional Information</w:t>
      </w:r>
      <w:r w:rsidRPr="001226C1">
        <w:t>.</w:t>
      </w:r>
      <w:r w:rsidRPr="001226C1">
        <w:rPr>
          <w:i/>
          <w:iCs/>
        </w:rPr>
        <w:t xml:space="preserve"> </w:t>
      </w:r>
      <w:r w:rsidRPr="001226C1">
        <w:t xml:space="preserve">For further information concerning this Public Notice, please contact Susan Mort, Wireless Telecommunications Bureau, (202) 418-2429, </w:t>
      </w:r>
      <w:hyperlink r:id="rId8" w:history="1">
        <w:r w:rsidRPr="001226C1">
          <w:rPr>
            <w:color w:val="0000FF"/>
            <w:u w:val="single"/>
          </w:rPr>
          <w:t>Susan.Mort@fcc.gov</w:t>
        </w:r>
      </w:hyperlink>
      <w:r w:rsidRPr="001226C1">
        <w:t>.</w:t>
      </w:r>
    </w:p>
    <w:p w:rsidR="009B434F" w:rsidRPr="001226C1" w:rsidP="009B434F" w14:paraId="53D9660C" w14:textId="77777777">
      <w:pPr>
        <w:ind w:firstLine="720"/>
      </w:pPr>
    </w:p>
    <w:p w:rsidR="00DF10E2" w:rsidP="00640191" w14:paraId="72050A00" w14:textId="0A29C698">
      <w:pPr>
        <w:jc w:val="center"/>
        <w:rPr>
          <w:b/>
          <w:bCs/>
        </w:rPr>
      </w:pPr>
      <w:r w:rsidRPr="001226C1">
        <w:rPr>
          <w:b/>
          <w:bCs/>
        </w:rPr>
        <w:t>-FCC-</w:t>
      </w:r>
    </w:p>
    <w:p w:rsidR="00755E00" w14:paraId="75CE404A" w14:textId="77777777">
      <w:pPr>
        <w:widowControl/>
        <w:rPr>
          <w:b/>
          <w:bCs/>
        </w:rPr>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pPr>
      <w:r>
        <w:rPr>
          <w:b/>
          <w:bCs/>
        </w:rPr>
        <w:br w:type="page"/>
      </w:r>
    </w:p>
    <w:p w:rsidR="00DF10E2" w:rsidRPr="0022310A" w:rsidP="00DF10E2" w14:paraId="350AD309" w14:textId="77777777">
      <w:pPr>
        <w:pStyle w:val="paragraph"/>
        <w:jc w:val="center"/>
        <w:textAlignment w:val="baseline"/>
        <w:rPr>
          <w:sz w:val="22"/>
          <w:szCs w:val="22"/>
        </w:rPr>
      </w:pPr>
      <w:r w:rsidRPr="0022310A">
        <w:rPr>
          <w:rStyle w:val="normaltextrun"/>
          <w:b/>
          <w:bCs/>
          <w:sz w:val="22"/>
          <w:szCs w:val="22"/>
        </w:rPr>
        <w:t>APPENDIX A</w:t>
      </w:r>
    </w:p>
    <w:p w:rsidR="00DF10E2" w:rsidRPr="00474CB1" w:rsidP="00DF10E2" w14:paraId="7B4ED66F" w14:textId="77777777">
      <w:pPr>
        <w:widowControl/>
        <w:spacing w:after="160" w:line="259" w:lineRule="auto"/>
        <w:jc w:val="center"/>
        <w:rPr>
          <w:rFonts w:eastAsia="Calibri"/>
          <w:b/>
          <w:bCs/>
          <w:snapToGrid/>
          <w:kern w:val="0"/>
          <w:szCs w:val="22"/>
        </w:rPr>
      </w:pPr>
      <w:r w:rsidRPr="00474CB1">
        <w:rPr>
          <w:rFonts w:eastAsia="Calibri"/>
          <w:b/>
          <w:bCs/>
          <w:snapToGrid/>
          <w:kern w:val="0"/>
          <w:szCs w:val="22"/>
        </w:rPr>
        <w:t>Initial Regulatory Flexibility Certification</w:t>
      </w:r>
    </w:p>
    <w:p w:rsidR="009D3DA5" w:rsidRPr="00030245" w:rsidP="00BC60CB" w14:paraId="759C1796" w14:textId="77777777">
      <w:pPr>
        <w:widowControl/>
        <w:numPr>
          <w:ilvl w:val="0"/>
          <w:numId w:val="9"/>
        </w:numPr>
        <w:tabs>
          <w:tab w:val="clear" w:pos="1080"/>
          <w:tab w:val="num" w:pos="1440"/>
        </w:tabs>
        <w:spacing w:after="120"/>
        <w:rPr>
          <w:szCs w:val="22"/>
        </w:rPr>
      </w:pPr>
      <w:r w:rsidRPr="00030245">
        <w:rPr>
          <w:szCs w:val="22"/>
        </w:rPr>
        <w:t>The Regulatory Flexibility Act of 1980, as amended (RFA),</w:t>
      </w:r>
      <w:r>
        <w:rPr>
          <w:szCs w:val="22"/>
          <w:vertAlign w:val="superscript"/>
        </w:rPr>
        <w:footnoteReference w:id="46"/>
      </w:r>
      <w:r w:rsidRPr="00030245">
        <w:rPr>
          <w:szCs w:val="22"/>
        </w:rP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zCs w:val="22"/>
          <w:vertAlign w:val="superscript"/>
        </w:rPr>
        <w:footnoteReference w:id="47"/>
      </w:r>
      <w:r w:rsidRPr="00030245">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8"/>
      </w:r>
      <w:r w:rsidRPr="00030245">
        <w:rPr>
          <w:szCs w:val="22"/>
        </w:rPr>
        <w:t xml:space="preserve">  In addition, the term “small business” has the same meaning as the term “small business concerns” under the Small Business Act.</w:t>
      </w:r>
      <w:r>
        <w:rPr>
          <w:szCs w:val="22"/>
          <w:vertAlign w:val="superscript"/>
        </w:rPr>
        <w:footnoteReference w:id="49"/>
      </w:r>
      <w:r w:rsidRPr="00030245">
        <w:rPr>
          <w:szCs w:val="22"/>
        </w:rP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50"/>
      </w:r>
      <w:r w:rsidRPr="00030245">
        <w:rPr>
          <w:szCs w:val="22"/>
        </w:rPr>
        <w:t xml:space="preserve">  </w:t>
      </w:r>
    </w:p>
    <w:p w:rsidR="00E96737" w:rsidRPr="00030245" w:rsidP="00BC60CB" w14:paraId="126416B6" w14:textId="397482B9">
      <w:pPr>
        <w:widowControl/>
        <w:numPr>
          <w:ilvl w:val="0"/>
          <w:numId w:val="9"/>
        </w:numPr>
        <w:tabs>
          <w:tab w:val="clear" w:pos="1080"/>
          <w:tab w:val="num" w:pos="1440"/>
        </w:tabs>
        <w:spacing w:after="120"/>
        <w:rPr>
          <w:szCs w:val="22"/>
        </w:rPr>
      </w:pPr>
      <w:r w:rsidRPr="00030245">
        <w:rPr>
          <w:szCs w:val="22"/>
        </w:rPr>
        <w:t xml:space="preserve">The two </w:t>
      </w:r>
      <w:r w:rsidRPr="00030245">
        <w:rPr>
          <w:snapToGrid/>
          <w:szCs w:val="22"/>
        </w:rPr>
        <w:t xml:space="preserve">statutorily-mandated criteria to be applied in determining the need for </w:t>
      </w:r>
      <w:r w:rsidR="00062AC1">
        <w:rPr>
          <w:snapToGrid/>
          <w:szCs w:val="22"/>
        </w:rPr>
        <w:t xml:space="preserve">an </w:t>
      </w:r>
      <w:r w:rsidRPr="00030245">
        <w:rPr>
          <w:snapToGrid/>
          <w:szCs w:val="22"/>
        </w:rPr>
        <w:t xml:space="preserve">RFA analysis are (1) whether the proposed rules, if adopted, would have a </w:t>
      </w:r>
      <w:r w:rsidRPr="00030245">
        <w:rPr>
          <w:i/>
          <w:snapToGrid/>
          <w:szCs w:val="22"/>
        </w:rPr>
        <w:t>significant economic effect</w:t>
      </w:r>
      <w:r w:rsidRPr="00030245">
        <w:rPr>
          <w:snapToGrid/>
          <w:szCs w:val="22"/>
        </w:rPr>
        <w:t xml:space="preserve">, and (2) if so, whether the economic effect would </w:t>
      </w:r>
      <w:r w:rsidRPr="00030245">
        <w:rPr>
          <w:iCs/>
          <w:snapToGrid/>
          <w:szCs w:val="22"/>
        </w:rPr>
        <w:t>directly affect</w:t>
      </w:r>
      <w:r w:rsidRPr="00030245">
        <w:rPr>
          <w:i/>
          <w:snapToGrid/>
          <w:szCs w:val="22"/>
        </w:rPr>
        <w:t xml:space="preserve"> a substantial number of small entities</w:t>
      </w:r>
      <w:r w:rsidRPr="00030245">
        <w:rPr>
          <w:snapToGrid/>
          <w:szCs w:val="22"/>
        </w:rPr>
        <w:t>.</w:t>
      </w:r>
      <w:r>
        <w:rPr>
          <w:snapToGrid/>
          <w:szCs w:val="22"/>
          <w:vertAlign w:val="superscript"/>
        </w:rPr>
        <w:footnoteReference w:id="51"/>
      </w:r>
      <w:r w:rsidRPr="00030245">
        <w:rPr>
          <w:snapToGrid/>
          <w:szCs w:val="22"/>
        </w:rPr>
        <w:t xml:space="preserve">   </w:t>
      </w:r>
      <w:r w:rsidRPr="00BC60CB">
        <w:rPr>
          <w:snapToGrid/>
          <w:szCs w:val="22"/>
        </w:rPr>
        <w:t xml:space="preserve">For the reasons discussed below, </w:t>
      </w:r>
      <w:r w:rsidRPr="00BC60CB" w:rsidR="00030245">
        <w:rPr>
          <w:snapToGrid/>
          <w:szCs w:val="22"/>
        </w:rPr>
        <w:t xml:space="preserve">we </w:t>
      </w:r>
      <w:r w:rsidRPr="00BC60CB">
        <w:rPr>
          <w:snapToGrid/>
          <w:szCs w:val="22"/>
        </w:rPr>
        <w:t>ha</w:t>
      </w:r>
      <w:r w:rsidRPr="00BC60CB" w:rsidR="00030245">
        <w:rPr>
          <w:snapToGrid/>
          <w:szCs w:val="22"/>
        </w:rPr>
        <w:t>ve</w:t>
      </w:r>
      <w:r w:rsidRPr="00BC60CB">
        <w:rPr>
          <w:snapToGrid/>
          <w:szCs w:val="22"/>
        </w:rPr>
        <w:t xml:space="preserve"> determined that </w:t>
      </w:r>
      <w:r w:rsidR="00EA5E6C">
        <w:t>any rules subject to the Regulatory Flexibility Act that may be</w:t>
      </w:r>
      <w:r w:rsidRPr="00C32695" w:rsidR="00EA5E6C">
        <w:t xml:space="preserve"> contained in</w:t>
      </w:r>
      <w:r w:rsidRPr="00840FDC" w:rsidR="00EA5E6C">
        <w:rPr>
          <w:szCs w:val="22"/>
        </w:rPr>
        <w:t xml:space="preserve"> this </w:t>
      </w:r>
      <w:r w:rsidRPr="00BC60CB" w:rsidR="00EB0DE9">
        <w:rPr>
          <w:i/>
          <w:iCs/>
          <w:snapToGrid/>
          <w:szCs w:val="22"/>
        </w:rPr>
        <w:t xml:space="preserve">C-Band Phase II Certification of Accelerated Relocation Procedures and Implementation of the Commission’s Incremental Reduction Plan for Phase II Accelerated Relocation </w:t>
      </w:r>
      <w:r w:rsidRPr="00BC60CB" w:rsidR="00202F51">
        <w:rPr>
          <w:i/>
          <w:iCs/>
          <w:snapToGrid/>
          <w:szCs w:val="22"/>
        </w:rPr>
        <w:t xml:space="preserve">Public Notice </w:t>
      </w:r>
      <w:r w:rsidRPr="00BC60CB" w:rsidR="00F84C4C">
        <w:rPr>
          <w:i/>
          <w:iCs/>
          <w:snapToGrid/>
          <w:szCs w:val="22"/>
        </w:rPr>
        <w:t xml:space="preserve">(Phase II ARP Certification and </w:t>
      </w:r>
      <w:r w:rsidRPr="00062AC1" w:rsidR="00F84C4C">
        <w:rPr>
          <w:i/>
          <w:iCs/>
          <w:szCs w:val="22"/>
        </w:rPr>
        <w:t xml:space="preserve">Incremental Reduction Plan </w:t>
      </w:r>
      <w:r w:rsidRPr="00BC60CB" w:rsidR="00202F51">
        <w:rPr>
          <w:i/>
          <w:iCs/>
          <w:snapToGrid/>
          <w:szCs w:val="22"/>
        </w:rPr>
        <w:t xml:space="preserve">Public Notice) </w:t>
      </w:r>
      <w:r w:rsidRPr="00BC60CB">
        <w:rPr>
          <w:snapToGrid/>
          <w:szCs w:val="22"/>
        </w:rPr>
        <w:t>will not have a significant economic impact on a substantial number of small entities</w:t>
      </w:r>
      <w:r w:rsidRPr="00062AC1">
        <w:rPr>
          <w:snapToGrid/>
          <w:szCs w:val="22"/>
        </w:rPr>
        <w:t>.</w:t>
      </w:r>
      <w:r w:rsidRPr="00030245">
        <w:rPr>
          <w:snapToGrid/>
          <w:szCs w:val="22"/>
        </w:rPr>
        <w:t xml:space="preserve">  </w:t>
      </w:r>
      <w:r w:rsidRPr="00030245" w:rsidR="00DF10E2">
        <w:rPr>
          <w:szCs w:val="22"/>
        </w:rPr>
        <w:t>Accordingly, the Wireless Telecommunications Bureau (Bureau) has prepared this Initial Regulatory Flexibility Certification (IRFC).</w:t>
      </w:r>
    </w:p>
    <w:p w:rsidR="00DF10E2" w:rsidRPr="00030245" w:rsidP="00BC60CB" w14:paraId="092E344B" w14:textId="77777777">
      <w:pPr>
        <w:widowControl/>
        <w:numPr>
          <w:ilvl w:val="0"/>
          <w:numId w:val="9"/>
        </w:numPr>
        <w:tabs>
          <w:tab w:val="clear" w:pos="1080"/>
          <w:tab w:val="num" w:pos="1440"/>
        </w:tabs>
        <w:spacing w:after="120"/>
        <w:rPr>
          <w:szCs w:val="22"/>
        </w:rPr>
      </w:pPr>
      <w:r w:rsidRPr="00030245">
        <w:rPr>
          <w:szCs w:val="22"/>
        </w:rPr>
        <w:t>In 2020,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 (</w:t>
      </w:r>
      <w:r w:rsidRPr="00030245">
        <w:rPr>
          <w:i/>
          <w:iCs/>
          <w:szCs w:val="22"/>
        </w:rPr>
        <w:t>i.e</w:t>
      </w:r>
      <w:r w:rsidRPr="00030245">
        <w:rPr>
          <w:szCs w:val="22"/>
        </w:rPr>
        <w:t>., 4.0-4.2 GHz).  Incumbent space station operators were provided an opportunity for accelerated clearing of the band by allowing eligible space station operators to voluntarily commit to relocate on a two-phased accelerated schedule, as described in 47 CFR § 27.1412.  Incumbent space station operators were required to file a Transition Plan, as described in 47 CFR § 27.1412(d) and a Certification of accelerated relocation for each phase, as described in 47 CFR § 27.1412(g).  The Bureau was to prescribe the form of such Certifications and any challenges by relevant stakeholders and establish a process for how such challenges will impact incremental decreases in the accelerated relocation payment.</w:t>
      </w:r>
      <w:r>
        <w:rPr>
          <w:rStyle w:val="FootnoteReference"/>
          <w:szCs w:val="22"/>
        </w:rPr>
        <w:footnoteReference w:id="52"/>
      </w:r>
      <w:r w:rsidRPr="00030245">
        <w:rPr>
          <w:szCs w:val="22"/>
        </w:rPr>
        <w:t xml:space="preserve">  On August 4, 2021, WTB issued a Public Notice implementing filing procedures for Phase I </w:t>
      </w:r>
      <w:r w:rsidRPr="00030245">
        <w:rPr>
          <w:szCs w:val="22"/>
        </w:rPr>
        <w:t>Certifications and related challenges,</w:t>
      </w:r>
      <w:r>
        <w:rPr>
          <w:rStyle w:val="FootnoteReference"/>
          <w:szCs w:val="22"/>
        </w:rPr>
        <w:footnoteReference w:id="53"/>
      </w:r>
      <w:r w:rsidRPr="00030245">
        <w:rPr>
          <w:i/>
          <w:iCs/>
          <w:szCs w:val="22"/>
        </w:rPr>
        <w:t xml:space="preserve"> </w:t>
      </w:r>
      <w:r w:rsidRPr="00030245">
        <w:rPr>
          <w:szCs w:val="22"/>
        </w:rPr>
        <w:t>and adopted the incremental reduction plan for Phase I ARPs on September 29, 2021.</w:t>
      </w:r>
      <w:r>
        <w:rPr>
          <w:rStyle w:val="FootnoteReference"/>
          <w:szCs w:val="22"/>
        </w:rPr>
        <w:footnoteReference w:id="54"/>
      </w:r>
      <w:r w:rsidRPr="00030245">
        <w:rPr>
          <w:szCs w:val="22"/>
        </w:rPr>
        <w:t xml:space="preserve"> </w:t>
      </w:r>
      <w:r w:rsidRPr="00030245">
        <w:rPr>
          <w:i/>
          <w:iCs/>
          <w:szCs w:val="22"/>
        </w:rPr>
        <w:t xml:space="preserve"> </w:t>
      </w:r>
      <w:r w:rsidRPr="00030245">
        <w:rPr>
          <w:szCs w:val="22"/>
        </w:rPr>
        <w:t>This information collection has been approved by the Office of Management and Budget, control number 3060-0678.</w:t>
      </w:r>
      <w:r>
        <w:rPr>
          <w:rStyle w:val="FootnoteReference"/>
          <w:szCs w:val="22"/>
        </w:rPr>
        <w:footnoteReference w:id="55"/>
      </w:r>
    </w:p>
    <w:p w:rsidR="00DF10E2" w:rsidRPr="00030245" w:rsidP="00BC60CB" w14:paraId="4C98E415" w14:textId="42D64F24">
      <w:pPr>
        <w:widowControl/>
        <w:numPr>
          <w:ilvl w:val="0"/>
          <w:numId w:val="9"/>
        </w:numPr>
        <w:tabs>
          <w:tab w:val="clear" w:pos="1080"/>
          <w:tab w:val="num" w:pos="1440"/>
        </w:tabs>
        <w:spacing w:after="120"/>
        <w:rPr>
          <w:szCs w:val="22"/>
        </w:rPr>
      </w:pPr>
      <w:r w:rsidRPr="00D54423">
        <w:rPr>
          <w:szCs w:val="22"/>
        </w:rPr>
        <w:t>In th</w:t>
      </w:r>
      <w:r w:rsidRPr="00D54423" w:rsidR="00202F51">
        <w:rPr>
          <w:szCs w:val="22"/>
        </w:rPr>
        <w:t xml:space="preserve">e </w:t>
      </w:r>
      <w:r w:rsidRPr="00BC60CB" w:rsidR="00202F51">
        <w:rPr>
          <w:i/>
          <w:iCs/>
          <w:snapToGrid/>
          <w:szCs w:val="22"/>
        </w:rPr>
        <w:t xml:space="preserve">Phase II </w:t>
      </w:r>
      <w:r w:rsidRPr="00BC60CB" w:rsidR="006E0648">
        <w:rPr>
          <w:i/>
          <w:iCs/>
          <w:snapToGrid/>
          <w:szCs w:val="22"/>
        </w:rPr>
        <w:t xml:space="preserve">ARP </w:t>
      </w:r>
      <w:r w:rsidRPr="00BC60CB" w:rsidR="00F84C4C">
        <w:rPr>
          <w:i/>
          <w:iCs/>
          <w:snapToGrid/>
          <w:szCs w:val="22"/>
        </w:rPr>
        <w:t xml:space="preserve">Certification and </w:t>
      </w:r>
      <w:r w:rsidRPr="00BC60CB" w:rsidR="00F84C4C">
        <w:rPr>
          <w:i/>
          <w:iCs/>
          <w:szCs w:val="22"/>
        </w:rPr>
        <w:t>Incremental Reduction Plan</w:t>
      </w:r>
      <w:r w:rsidRPr="00D54423" w:rsidR="00F84C4C">
        <w:rPr>
          <w:i/>
          <w:iCs/>
          <w:szCs w:val="22"/>
        </w:rPr>
        <w:t xml:space="preserve"> </w:t>
      </w:r>
      <w:r w:rsidRPr="00030245">
        <w:rPr>
          <w:i/>
          <w:iCs/>
          <w:szCs w:val="22"/>
        </w:rPr>
        <w:t>Public Notice</w:t>
      </w:r>
      <w:r w:rsidRPr="00030245">
        <w:rPr>
          <w:szCs w:val="22"/>
        </w:rPr>
        <w:t xml:space="preserve">, we propose adopting filing procedures modeled after those previously adopted for Phase I to allow eligible space station operators to submit Certifications, and stakeholders to file related challenges, with respect to the Phase II migration of incumbent services in this band.  We propose to modify those procedures by </w:t>
      </w:r>
      <w:r w:rsidRPr="00030245">
        <w:rPr>
          <w:bCs/>
          <w:szCs w:val="22"/>
        </w:rPr>
        <w:t xml:space="preserve">requiring information be provided in a standardized format, and seek comment on how eligible space station operators should describe variances from their transition plans.  In addition, we propose a potential threshold trigger before Phase II Certifications may be submitted for validation. </w:t>
      </w:r>
      <w:r w:rsidRPr="00030245">
        <w:rPr>
          <w:szCs w:val="22"/>
        </w:rPr>
        <w:t xml:space="preserve"> The Bureau believes that these proposals will create more transparency and efficiency in the Phase II Certification review process.  We also propose adopting an approach that parallels the Phase I process for calculating the incremental reduction of an eligible space station operator’s ARP should it fail to meet the Phase II Accelerated Relocation Deadline.  We believe these proposals will provide eligible space station operators certainty and streamline the process for filing Certifications.</w:t>
      </w:r>
      <w:r w:rsidRPr="00030245" w:rsidR="00A540B4">
        <w:rPr>
          <w:szCs w:val="22"/>
        </w:rPr>
        <w:t xml:space="preserve">  </w:t>
      </w:r>
      <w:r w:rsidRPr="00030245" w:rsidR="00DA439F">
        <w:rPr>
          <w:szCs w:val="22"/>
        </w:rPr>
        <w:t>Currently, t</w:t>
      </w:r>
      <w:r w:rsidRPr="00030245" w:rsidR="00A540B4">
        <w:rPr>
          <w:szCs w:val="22"/>
        </w:rPr>
        <w:t>he</w:t>
      </w:r>
      <w:r w:rsidRPr="00030245" w:rsidR="00DA439F">
        <w:rPr>
          <w:szCs w:val="22"/>
        </w:rPr>
        <w:t xml:space="preserve"> </w:t>
      </w:r>
      <w:r w:rsidRPr="00030245" w:rsidR="00A540B4">
        <w:rPr>
          <w:szCs w:val="22"/>
        </w:rPr>
        <w:t>five eligible space station operators that have filed Phase I Certifications which have been validated by the Bureau</w:t>
      </w:r>
      <w:r w:rsidRPr="00030245" w:rsidR="00DA439F">
        <w:rPr>
          <w:szCs w:val="22"/>
        </w:rPr>
        <w:t xml:space="preserve"> are not small entities</w:t>
      </w:r>
      <w:r w:rsidRPr="00030245" w:rsidR="00FC0C6E">
        <w:rPr>
          <w:szCs w:val="22"/>
        </w:rPr>
        <w:t>.</w:t>
      </w:r>
      <w:r>
        <w:rPr>
          <w:rStyle w:val="FootnoteReference"/>
          <w:szCs w:val="22"/>
        </w:rPr>
        <w:footnoteReference w:id="56"/>
      </w:r>
      <w:r w:rsidRPr="00030245" w:rsidR="00FC0C6E">
        <w:rPr>
          <w:szCs w:val="22"/>
        </w:rPr>
        <w:t xml:space="preserve"> </w:t>
      </w:r>
    </w:p>
    <w:p w:rsidR="00DF10E2" w:rsidRPr="00030245" w:rsidP="00BC60CB" w14:paraId="2072D45F" w14:textId="16CDCBB7">
      <w:pPr>
        <w:widowControl/>
        <w:numPr>
          <w:ilvl w:val="0"/>
          <w:numId w:val="9"/>
        </w:numPr>
        <w:tabs>
          <w:tab w:val="clear" w:pos="1080"/>
          <w:tab w:val="num" w:pos="1440"/>
        </w:tabs>
        <w:spacing w:after="120"/>
        <w:rPr>
          <w:szCs w:val="22"/>
        </w:rPr>
      </w:pPr>
      <w:r w:rsidRPr="00030245">
        <w:rPr>
          <w:szCs w:val="22"/>
        </w:rPr>
        <w:t xml:space="preserve">The entities subject to the proposals are wireless telecommunications carriers and satellite telecommunications service providers that must provide Certifications through the process we propose in the </w:t>
      </w:r>
      <w:r w:rsidRPr="00BC60CB" w:rsidR="006E0648">
        <w:rPr>
          <w:i/>
          <w:iCs/>
          <w:snapToGrid/>
          <w:szCs w:val="22"/>
        </w:rPr>
        <w:t xml:space="preserve">Phase II ARP </w:t>
      </w:r>
      <w:r w:rsidRPr="00BC60CB" w:rsidR="00F84C4C">
        <w:rPr>
          <w:i/>
          <w:iCs/>
          <w:snapToGrid/>
          <w:szCs w:val="22"/>
        </w:rPr>
        <w:t xml:space="preserve">Certification and </w:t>
      </w:r>
      <w:r w:rsidRPr="00BC60CB" w:rsidR="00F84C4C">
        <w:rPr>
          <w:i/>
          <w:iCs/>
          <w:szCs w:val="22"/>
        </w:rPr>
        <w:t>Incremental Reduction Plan</w:t>
      </w:r>
      <w:r w:rsidRPr="00D54423" w:rsidR="00F84C4C">
        <w:rPr>
          <w:i/>
          <w:iCs/>
          <w:szCs w:val="22"/>
        </w:rPr>
        <w:t xml:space="preserve"> </w:t>
      </w:r>
      <w:r w:rsidRPr="00D54423">
        <w:rPr>
          <w:i/>
          <w:iCs/>
          <w:szCs w:val="22"/>
        </w:rPr>
        <w:t>Publ</w:t>
      </w:r>
      <w:r w:rsidRPr="00030245">
        <w:rPr>
          <w:i/>
          <w:iCs/>
          <w:szCs w:val="22"/>
        </w:rPr>
        <w:t>ic Notice</w:t>
      </w:r>
      <w:r w:rsidRPr="00030245">
        <w:rPr>
          <w:szCs w:val="22"/>
        </w:rPr>
        <w:t xml:space="preserve"> and are specific to those entities and their transition obligations.  </w:t>
      </w:r>
      <w:r w:rsidRPr="00030245" w:rsidR="00CA4236">
        <w:rPr>
          <w:szCs w:val="22"/>
        </w:rPr>
        <w:t>T</w:t>
      </w:r>
      <w:r w:rsidRPr="00030245">
        <w:rPr>
          <w:szCs w:val="22"/>
        </w:rPr>
        <w:t xml:space="preserve">he proposed processes does not impose increased reporting burdens on telecommunications carriers or satellite telecommunications service providers, nor do we expect the proposed processes to result in increased costs for such businesses.  </w:t>
      </w:r>
      <w:r w:rsidRPr="00030245" w:rsidR="00CA4236">
        <w:rPr>
          <w:szCs w:val="22"/>
        </w:rPr>
        <w:t>Moreover, t</w:t>
      </w:r>
      <w:r w:rsidRPr="00030245">
        <w:rPr>
          <w:szCs w:val="22"/>
        </w:rPr>
        <w:t xml:space="preserve">he proposals largely parallel the processes that the eligible space station operators complied with in Phase I and do not create any new burdens on the entities. </w:t>
      </w:r>
    </w:p>
    <w:p w:rsidR="0029107E" w:rsidRPr="00030245" w:rsidP="00C35043" w14:paraId="556D875E" w14:textId="681A6DD4">
      <w:pPr>
        <w:widowControl/>
        <w:numPr>
          <w:ilvl w:val="0"/>
          <w:numId w:val="9"/>
        </w:numPr>
        <w:tabs>
          <w:tab w:val="clear" w:pos="1080"/>
          <w:tab w:val="num" w:pos="1440"/>
        </w:tabs>
        <w:spacing w:after="120"/>
        <w:rPr>
          <w:szCs w:val="22"/>
        </w:rPr>
      </w:pPr>
      <w:r w:rsidRPr="00030245">
        <w:rPr>
          <w:szCs w:val="22"/>
        </w:rPr>
        <w:t>Accordingly, based on our application of the two statutorily-mandated criteria, we conclude</w:t>
      </w:r>
      <w:r w:rsidR="00D54423">
        <w:rPr>
          <w:szCs w:val="22"/>
        </w:rPr>
        <w:t>d</w:t>
      </w:r>
      <w:r w:rsidRPr="00030245">
        <w:rPr>
          <w:szCs w:val="22"/>
        </w:rPr>
        <w:t xml:space="preserve"> that </w:t>
      </w:r>
      <w:r w:rsidR="007D74B0">
        <w:rPr>
          <w:szCs w:val="22"/>
        </w:rPr>
        <w:t>any rules subject to the Regulatory Flexibility Act that may be contained</w:t>
      </w:r>
      <w:r w:rsidRPr="00030245">
        <w:rPr>
          <w:szCs w:val="22"/>
        </w:rPr>
        <w:t xml:space="preserve"> </w:t>
      </w:r>
      <w:r w:rsidR="00D54423">
        <w:rPr>
          <w:szCs w:val="22"/>
        </w:rPr>
        <w:t xml:space="preserve">in </w:t>
      </w:r>
      <w:r w:rsidRPr="00030245">
        <w:rPr>
          <w:szCs w:val="22"/>
        </w:rPr>
        <w:t xml:space="preserve">the </w:t>
      </w:r>
      <w:r w:rsidRPr="00BC60CB">
        <w:rPr>
          <w:i/>
          <w:iCs/>
          <w:szCs w:val="22"/>
        </w:rPr>
        <w:t>Phase II ARP Certification and Incremental Reduction Plan Public Notice</w:t>
      </w:r>
      <w:r w:rsidRPr="00030245">
        <w:rPr>
          <w:szCs w:val="22"/>
        </w:rPr>
        <w:t xml:space="preserve"> will not have a significant economic impact on a substantial number of small entities. </w:t>
      </w:r>
      <w:r w:rsidRPr="00030245">
        <w:rPr>
          <w:szCs w:val="22"/>
        </w:rPr>
        <w:t xml:space="preserve"> </w:t>
      </w:r>
      <w:r w:rsidRPr="00030245">
        <w:rPr>
          <w:szCs w:val="22"/>
        </w:rPr>
        <w:t>W</w:t>
      </w:r>
      <w:r w:rsidRPr="00030245" w:rsidR="00DF10E2">
        <w:rPr>
          <w:szCs w:val="22"/>
        </w:rPr>
        <w:t xml:space="preserve">e </w:t>
      </w:r>
      <w:r w:rsidRPr="00030245">
        <w:rPr>
          <w:szCs w:val="22"/>
        </w:rPr>
        <w:t xml:space="preserve">therefore </w:t>
      </w:r>
      <w:r w:rsidRPr="00030245" w:rsidR="00DF10E2">
        <w:rPr>
          <w:szCs w:val="22"/>
        </w:rPr>
        <w:t xml:space="preserve">certify that the </w:t>
      </w:r>
      <w:r w:rsidRPr="00BC60CB" w:rsidR="00F84C4C">
        <w:rPr>
          <w:i/>
          <w:iCs/>
          <w:snapToGrid/>
          <w:szCs w:val="22"/>
        </w:rPr>
        <w:t xml:space="preserve">Phase II ARP Certification </w:t>
      </w:r>
      <w:r w:rsidRPr="00BC60CB" w:rsidR="00F84C4C">
        <w:rPr>
          <w:i/>
          <w:iCs/>
          <w:snapToGrid/>
          <w:szCs w:val="22"/>
        </w:rPr>
        <w:t xml:space="preserve">and </w:t>
      </w:r>
      <w:r w:rsidRPr="00BC60CB" w:rsidR="00F84C4C">
        <w:rPr>
          <w:i/>
          <w:iCs/>
          <w:szCs w:val="22"/>
        </w:rPr>
        <w:t>Incremental Reduction Plan</w:t>
      </w:r>
      <w:r w:rsidRPr="00030245" w:rsidR="00F84C4C">
        <w:rPr>
          <w:i/>
          <w:iCs/>
          <w:szCs w:val="22"/>
        </w:rPr>
        <w:t xml:space="preserve"> </w:t>
      </w:r>
      <w:r w:rsidRPr="00030245" w:rsidR="00DF10E2">
        <w:rPr>
          <w:i/>
          <w:iCs/>
          <w:szCs w:val="22"/>
        </w:rPr>
        <w:t xml:space="preserve">Public Notice </w:t>
      </w:r>
      <w:r w:rsidRPr="00030245" w:rsidR="00DF10E2">
        <w:rPr>
          <w:szCs w:val="22"/>
        </w:rPr>
        <w:t xml:space="preserve">will not have a significant economic impact on a substantial number of small entities.  </w:t>
      </w:r>
    </w:p>
    <w:p w:rsidR="00DF10E2" w:rsidRPr="00D54423" w:rsidP="00BC60CB" w14:paraId="7049F2B6" w14:textId="0513C7F0">
      <w:pPr>
        <w:widowControl/>
        <w:numPr>
          <w:ilvl w:val="0"/>
          <w:numId w:val="9"/>
        </w:numPr>
        <w:tabs>
          <w:tab w:val="clear" w:pos="1080"/>
          <w:tab w:val="num" w:pos="1440"/>
        </w:tabs>
        <w:spacing w:after="120" w:line="259" w:lineRule="auto"/>
        <w:rPr>
          <w:szCs w:val="22"/>
        </w:rPr>
      </w:pPr>
      <w:r w:rsidRPr="00030245">
        <w:rPr>
          <w:szCs w:val="22"/>
        </w:rPr>
        <w:t>The</w:t>
      </w:r>
      <w:r w:rsidRPr="00D54423">
        <w:rPr>
          <w:szCs w:val="22"/>
        </w:rPr>
        <w:t xml:space="preserve"> </w:t>
      </w:r>
      <w:r w:rsidRPr="00C846B6" w:rsidR="00D63965">
        <w:rPr>
          <w:i/>
          <w:iCs/>
          <w:szCs w:val="22"/>
        </w:rPr>
        <w:t xml:space="preserve">Phase II ARP Certification and Incremental Reduction Plan </w:t>
      </w:r>
      <w:r w:rsidRPr="00D54423">
        <w:rPr>
          <w:i/>
          <w:iCs/>
          <w:szCs w:val="22"/>
        </w:rPr>
        <w:t>Public Notice</w:t>
      </w:r>
      <w:r w:rsidRPr="00D54423">
        <w:rPr>
          <w:szCs w:val="22"/>
        </w:rPr>
        <w:t xml:space="preserve"> and this </w:t>
      </w:r>
      <w:r w:rsidR="00D63965">
        <w:rPr>
          <w:szCs w:val="22"/>
        </w:rPr>
        <w:t>I</w:t>
      </w:r>
      <w:r w:rsidRPr="00D54423">
        <w:rPr>
          <w:szCs w:val="22"/>
        </w:rPr>
        <w:t>nitial</w:t>
      </w:r>
      <w:r w:rsidR="00D63965">
        <w:rPr>
          <w:szCs w:val="22"/>
        </w:rPr>
        <w:t xml:space="preserve"> Regulatory Flexibility</w:t>
      </w:r>
      <w:r w:rsidRPr="00D54423">
        <w:rPr>
          <w:szCs w:val="22"/>
        </w:rPr>
        <w:t xml:space="preserve"> </w:t>
      </w:r>
      <w:r w:rsidR="00D63965">
        <w:rPr>
          <w:szCs w:val="22"/>
        </w:rPr>
        <w:t>C</w:t>
      </w:r>
      <w:r w:rsidRPr="00D54423">
        <w:rPr>
          <w:szCs w:val="22"/>
        </w:rPr>
        <w:t>ertification</w:t>
      </w:r>
      <w:r w:rsidRPr="00D54423">
        <w:rPr>
          <w:i/>
          <w:iCs/>
          <w:szCs w:val="22"/>
        </w:rPr>
        <w:t xml:space="preserve"> </w:t>
      </w:r>
      <w:r w:rsidRPr="00D54423">
        <w:rPr>
          <w:szCs w:val="22"/>
        </w:rPr>
        <w:t>will be sent to the Chief Counsel for Advocacy of the SBA and will be published in the Federal Register.</w:t>
      </w:r>
      <w:r>
        <w:rPr>
          <w:szCs w:val="22"/>
          <w:vertAlign w:val="superscript"/>
        </w:rPr>
        <w:footnoteReference w:id="57"/>
      </w:r>
    </w:p>
    <w:p w:rsidR="00046D26" w:rsidP="00640191" w14:paraId="0D081567" w14:textId="77777777">
      <w:pPr>
        <w:jc w:val="center"/>
      </w:pPr>
    </w:p>
    <w:sectPr w:rsidSect="00BC60CB">
      <w:headerReference w:type="first" r:id="rId14"/>
      <w:footnotePr>
        <w:numRestart w:val="eachSect"/>
      </w:footnotePr>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D16" w14:paraId="43FC24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5D16" w14:paraId="3B22A2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D16" w14:paraId="59BCB1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D16" w14:paraId="5C411D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05E9" w14:paraId="5DF09947" w14:textId="77777777">
      <w:r>
        <w:separator/>
      </w:r>
    </w:p>
  </w:footnote>
  <w:footnote w:type="continuationSeparator" w:id="1">
    <w:p w:rsidR="009705E9" w14:paraId="7988BD7A" w14:textId="77777777">
      <w:pPr>
        <w:rPr>
          <w:sz w:val="20"/>
        </w:rPr>
      </w:pPr>
      <w:r>
        <w:rPr>
          <w:sz w:val="20"/>
        </w:rPr>
        <w:t xml:space="preserve">(Continued from previous page)  </w:t>
      </w:r>
      <w:r>
        <w:rPr>
          <w:sz w:val="20"/>
        </w:rPr>
        <w:separator/>
      </w:r>
    </w:p>
  </w:footnote>
  <w:footnote w:type="continuationNotice" w:id="2">
    <w:p w:rsidR="009705E9" w14:paraId="7BEE409D" w14:textId="77777777">
      <w:pPr>
        <w:jc w:val="right"/>
        <w:rPr>
          <w:sz w:val="20"/>
        </w:rPr>
      </w:pPr>
      <w:r>
        <w:rPr>
          <w:sz w:val="20"/>
        </w:rPr>
        <w:t>(continued….)</w:t>
      </w:r>
    </w:p>
  </w:footnote>
  <w:footnote w:id="3">
    <w:p w:rsidR="00030C0B" w14:paraId="31672ED6" w14:textId="5508655F">
      <w:pPr>
        <w:pStyle w:val="FootnoteText"/>
      </w:pPr>
      <w:r>
        <w:rPr>
          <w:rStyle w:val="FootnoteReference"/>
        </w:rPr>
        <w:footnoteRef/>
      </w:r>
      <w:r>
        <w:t xml:space="preserve"> </w:t>
      </w:r>
      <w:r w:rsidRPr="00211C8E">
        <w:rPr>
          <w:i/>
          <w:iCs/>
        </w:rPr>
        <w:t>Expanding Flexible Use of the 3.7 to 4.2 GHz Band, Report and Order and Proposed Modification</w:t>
      </w:r>
      <w:r>
        <w:t xml:space="preserve">, 35 FCC </w:t>
      </w:r>
      <w:r>
        <w:t>Rcd</w:t>
      </w:r>
      <w:r>
        <w:t xml:space="preserve"> 2343, 2456-57, at paras. 297-300 (2020) (</w:t>
      </w:r>
      <w:r w:rsidRPr="00211C8E">
        <w:rPr>
          <w:i/>
          <w:iCs/>
        </w:rPr>
        <w:t>3.7 GHz Report and Order</w:t>
      </w:r>
      <w:r>
        <w:t>).</w:t>
      </w:r>
    </w:p>
  </w:footnote>
  <w:footnote w:id="4">
    <w:p w:rsidR="00DB259A" w:rsidP="00DB259A" w14:paraId="241A97B0" w14:textId="1C8BBE3C">
      <w:pPr>
        <w:pStyle w:val="FootnoteText"/>
      </w:pPr>
      <w:r>
        <w:rPr>
          <w:rStyle w:val="FootnoteReference"/>
        </w:rPr>
        <w:footnoteRef/>
      </w:r>
      <w:r w:rsidR="00FE1337">
        <w:rPr>
          <w:i/>
          <w:iCs/>
        </w:rPr>
        <w:t xml:space="preserve"> </w:t>
      </w:r>
      <w:r w:rsidR="00822D0F">
        <w:rPr>
          <w:i/>
          <w:iCs/>
        </w:rPr>
        <w:t>3.7 GHz Report and Order</w:t>
      </w:r>
      <w:r w:rsidR="00822D0F">
        <w:t xml:space="preserve">, 35 FCC </w:t>
      </w:r>
      <w:r w:rsidR="00822D0F">
        <w:t>Rcd</w:t>
      </w:r>
      <w:r w:rsidR="00822D0F">
        <w:t xml:space="preserve"> at</w:t>
      </w:r>
      <w:r w:rsidR="00822D0F">
        <w:rPr>
          <w:i/>
          <w:iCs/>
        </w:rPr>
        <w:t xml:space="preserve"> </w:t>
      </w:r>
      <w:r w:rsidRPr="00470963" w:rsidR="00822D0F">
        <w:t>245</w:t>
      </w:r>
      <w:r w:rsidR="003357BC">
        <w:t>7</w:t>
      </w:r>
      <w:r w:rsidR="000A6C01">
        <w:t>,</w:t>
      </w:r>
      <w:r w:rsidR="00012A3A">
        <w:t xml:space="preserve"> </w:t>
      </w:r>
      <w:r w:rsidR="00085F16">
        <w:t>para. 298</w:t>
      </w:r>
      <w:r>
        <w:t xml:space="preserve">; </w:t>
      </w:r>
      <w:r w:rsidRPr="000E74EB">
        <w:t>47 CFR § 27.1412(g);</w:t>
      </w:r>
      <w:r>
        <w:t xml:space="preserve"> </w:t>
      </w:r>
      <w:r w:rsidRPr="00A068BA" w:rsidR="0086502D">
        <w:rPr>
          <w:i/>
          <w:iCs/>
        </w:rPr>
        <w:t>The Wireless Telecommunication</w:t>
      </w:r>
      <w:r w:rsidR="00CE636A">
        <w:rPr>
          <w:i/>
          <w:iCs/>
        </w:rPr>
        <w:t>s</w:t>
      </w:r>
      <w:r w:rsidRPr="00A068BA" w:rsidR="0086502D">
        <w:rPr>
          <w:i/>
          <w:iCs/>
        </w:rPr>
        <w:t xml:space="preserve"> Bureau </w:t>
      </w:r>
      <w:r w:rsidRPr="00A068BA">
        <w:rPr>
          <w:i/>
          <w:iCs/>
        </w:rPr>
        <w:t xml:space="preserve">Opens a New Docket and Establishes the Process for C-band Space Station Operator </w:t>
      </w:r>
      <w:r>
        <w:rPr>
          <w:i/>
          <w:iCs/>
        </w:rPr>
        <w:t xml:space="preserve">Phase I </w:t>
      </w:r>
      <w:r w:rsidRPr="00A068BA">
        <w:rPr>
          <w:i/>
          <w:iCs/>
        </w:rPr>
        <w:t>Certification of Accelerated Relocation</w:t>
      </w:r>
      <w:r w:rsidRPr="00A068BA">
        <w:t xml:space="preserve">, GN Docket Nos. 18-122 and </w:t>
      </w:r>
      <w:r w:rsidRPr="002373A6">
        <w:t>21-</w:t>
      </w:r>
      <w:r>
        <w:t>320</w:t>
      </w:r>
      <w:r w:rsidRPr="00A068BA">
        <w:t xml:space="preserve">, Public Notice, </w:t>
      </w:r>
      <w:r w:rsidR="00882B83">
        <w:t xml:space="preserve">36 FCC </w:t>
      </w:r>
      <w:r w:rsidR="00F441BB">
        <w:t>12359</w:t>
      </w:r>
      <w:r w:rsidR="00F25008">
        <w:t xml:space="preserve"> </w:t>
      </w:r>
      <w:r w:rsidRPr="00A068BA">
        <w:t>(WTB 2021) (</w:t>
      </w:r>
      <w:r w:rsidRPr="006457E2">
        <w:rPr>
          <w:i/>
          <w:iCs/>
        </w:rPr>
        <w:t>Phase I</w:t>
      </w:r>
      <w:r>
        <w:t xml:space="preserve"> </w:t>
      </w:r>
      <w:r w:rsidRPr="00A068BA">
        <w:rPr>
          <w:i/>
          <w:iCs/>
        </w:rPr>
        <w:t>ARP Certification Procedures PN</w:t>
      </w:r>
      <w:r w:rsidRPr="00A068BA">
        <w:t>).</w:t>
      </w:r>
    </w:p>
  </w:footnote>
  <w:footnote w:id="5">
    <w:p w:rsidR="009B434F" w:rsidRPr="0086502D" w:rsidP="009B434F" w14:paraId="58BEBCFF" w14:textId="4A5216BF">
      <w:pPr>
        <w:pStyle w:val="FootnoteText"/>
      </w:pPr>
      <w:r>
        <w:rPr>
          <w:rStyle w:val="FootnoteReference"/>
        </w:rPr>
        <w:footnoteRef/>
      </w:r>
      <w:r>
        <w:t xml:space="preserve"> </w:t>
      </w:r>
      <w:r>
        <w:rPr>
          <w:i/>
          <w:iCs/>
        </w:rPr>
        <w:t>3.7 GHz Report and Order</w:t>
      </w:r>
      <w:r>
        <w:t xml:space="preserve">, 35 FCC </w:t>
      </w:r>
      <w:r>
        <w:t>Rcd</w:t>
      </w:r>
      <w:r>
        <w:t xml:space="preserve"> at</w:t>
      </w:r>
      <w:r>
        <w:rPr>
          <w:i/>
          <w:iCs/>
        </w:rPr>
        <w:t xml:space="preserve"> </w:t>
      </w:r>
      <w:r w:rsidRPr="00470963">
        <w:t>2456, para</w:t>
      </w:r>
      <w:r w:rsidRPr="000E74EB">
        <w:t>. 297; 47 CFR § 27.1422(d)</w:t>
      </w:r>
      <w:r w:rsidRPr="000E74EB" w:rsidR="0086502D">
        <w:t>;</w:t>
      </w:r>
      <w:r w:rsidR="0086502D">
        <w:t xml:space="preserve"> </w:t>
      </w:r>
      <w:r w:rsidRPr="00A068BA" w:rsidR="0086502D">
        <w:rPr>
          <w:i/>
          <w:iCs/>
        </w:rPr>
        <w:t>Wireless Telecommunication</w:t>
      </w:r>
      <w:r w:rsidR="00CE636A">
        <w:rPr>
          <w:i/>
          <w:iCs/>
        </w:rPr>
        <w:t>s</w:t>
      </w:r>
      <w:r w:rsidRPr="00A068BA" w:rsidR="0086502D">
        <w:rPr>
          <w:i/>
          <w:iCs/>
        </w:rPr>
        <w:t xml:space="preserve"> Bureau</w:t>
      </w:r>
      <w:r w:rsidR="0086502D">
        <w:rPr>
          <w:i/>
          <w:iCs/>
        </w:rPr>
        <w:t xml:space="preserve"> Announces Implementation of the Commission’s Incremental Reduction Plan for Phase I Accelerated Relocation Payments</w:t>
      </w:r>
      <w:r w:rsidR="0086502D">
        <w:t xml:space="preserve">, </w:t>
      </w:r>
      <w:r w:rsidRPr="00A068BA" w:rsidR="0086502D">
        <w:t xml:space="preserve">GN Docket Nos. 18-122 and </w:t>
      </w:r>
      <w:r w:rsidRPr="002373A6" w:rsidR="0086502D">
        <w:t>21-</w:t>
      </w:r>
      <w:r w:rsidR="0086502D">
        <w:t>320</w:t>
      </w:r>
      <w:r w:rsidRPr="00A068BA" w:rsidR="0086502D">
        <w:t xml:space="preserve">, Public Notice, </w:t>
      </w:r>
      <w:r w:rsidR="00882B83">
        <w:t xml:space="preserve">36 FCC </w:t>
      </w:r>
      <w:r w:rsidR="00882B83">
        <w:t>Rcd</w:t>
      </w:r>
      <w:r w:rsidR="00882B83">
        <w:t xml:space="preserve"> 14012</w:t>
      </w:r>
      <w:r w:rsidR="0086502D">
        <w:t xml:space="preserve"> </w:t>
      </w:r>
      <w:r w:rsidRPr="00A068BA" w:rsidR="0086502D">
        <w:t>(WTB 2021) (</w:t>
      </w:r>
      <w:r w:rsidRPr="006457E2" w:rsidR="0086502D">
        <w:rPr>
          <w:i/>
          <w:iCs/>
        </w:rPr>
        <w:t>Phase I</w:t>
      </w:r>
      <w:r w:rsidR="0086502D">
        <w:t xml:space="preserve"> </w:t>
      </w:r>
      <w:r w:rsidR="0086502D">
        <w:rPr>
          <w:i/>
          <w:iCs/>
        </w:rPr>
        <w:t>Incremental Reduction Plan</w:t>
      </w:r>
      <w:r w:rsidRPr="00A068BA" w:rsidR="0086502D">
        <w:rPr>
          <w:i/>
          <w:iCs/>
        </w:rPr>
        <w:t xml:space="preserve"> PN</w:t>
      </w:r>
      <w:r w:rsidRPr="00A068BA" w:rsidR="0086502D">
        <w:t>).</w:t>
      </w:r>
    </w:p>
  </w:footnote>
  <w:footnote w:id="6">
    <w:p w:rsidR="009B434F" w:rsidP="009B434F" w14:paraId="286576B4" w14:textId="0B0FF068">
      <w:pPr>
        <w:pStyle w:val="FootnoteText"/>
      </w:pPr>
      <w:r>
        <w:rPr>
          <w:rStyle w:val="FootnoteReference"/>
        </w:rPr>
        <w:footnoteRef/>
      </w:r>
      <w:r>
        <w:t xml:space="preserve"> Responsive filings and any subsequent </w:t>
      </w:r>
      <w:r w:rsidRPr="00B35B6B">
        <w:rPr>
          <w:i/>
          <w:iCs/>
        </w:rPr>
        <w:t xml:space="preserve">ex </w:t>
      </w:r>
      <w:r w:rsidRPr="00B35B6B">
        <w:rPr>
          <w:i/>
          <w:iCs/>
        </w:rPr>
        <w:t>parte</w:t>
      </w:r>
      <w:r>
        <w:t xml:space="preserve"> filings on this topic should be filed in </w:t>
      </w:r>
      <w:r w:rsidRPr="002373A6">
        <w:t>GN Docket No. 2</w:t>
      </w:r>
      <w:r w:rsidR="00342151">
        <w:t>3</w:t>
      </w:r>
      <w:r w:rsidRPr="002373A6">
        <w:t>-</w:t>
      </w:r>
      <w:r w:rsidR="00B72541">
        <w:t>97</w:t>
      </w:r>
      <w:r>
        <w:t xml:space="preserve"> and do not also need to be filed in GN Docket No. 18-122.</w:t>
      </w:r>
    </w:p>
  </w:footnote>
  <w:footnote w:id="7">
    <w:p w:rsidR="009B434F" w:rsidRPr="007B2775" w:rsidP="009B434F" w14:paraId="578798BA" w14:textId="4C1F61CA">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r w:rsidR="00625173">
        <w:t xml:space="preserve">  </w:t>
      </w:r>
      <w:r w:rsidRPr="00216DB1" w:rsidR="00625173">
        <w:t xml:space="preserve">The </w:t>
      </w:r>
      <w:r w:rsidRPr="00216DB1" w:rsidR="00625173">
        <w:rPr>
          <w:i/>
          <w:iCs/>
        </w:rPr>
        <w:t xml:space="preserve">3.7 GHz Report and Order </w:t>
      </w:r>
      <w:r w:rsidRPr="00216DB1" w:rsidR="00625173">
        <w:t>established that new 3.7 GHz Service licensees would reimburse the reasonable</w:t>
      </w:r>
      <w:r w:rsidR="00625173">
        <w:t>, actual</w:t>
      </w:r>
      <w:r w:rsidRPr="00216DB1" w:rsidR="00625173">
        <w:t xml:space="preserve"> relocation costs of eligible FSS space station operators, incumbent FSS earth station operators, and incumbent Fixed Service licensees (collectively, incumbents) to transition out of the band</w:t>
      </w:r>
      <w:r w:rsidR="00625173">
        <w:t>.</w:t>
      </w:r>
      <w:r w:rsidR="00BF27F6">
        <w:t xml:space="preserve"> </w:t>
      </w:r>
      <w:r w:rsidR="00625173">
        <w:t xml:space="preserve"> </w:t>
      </w:r>
      <w:r w:rsidRPr="005F56AB" w:rsidR="00625173">
        <w:rPr>
          <w:i/>
          <w:iCs/>
        </w:rPr>
        <w:t xml:space="preserve">Id. </w:t>
      </w:r>
      <w:r w:rsidRPr="005F56AB" w:rsidR="00625173">
        <w:t xml:space="preserve">at 2391, 2465-66, paras. 111, 326; 47 CFR § 27.4.  The </w:t>
      </w:r>
      <w:r w:rsidRPr="005F56AB" w:rsidR="00625173">
        <w:rPr>
          <w:i/>
          <w:iCs/>
        </w:rPr>
        <w:t xml:space="preserve">3.7 GHz Band Report and Order </w:t>
      </w:r>
      <w:r w:rsidRPr="005F56AB" w:rsidR="00625173">
        <w:t xml:space="preserve">defined the incumbents that will be eligible to be reimbursed for their reasonable relocation costs.  </w:t>
      </w:r>
      <w:r w:rsidRPr="005F56AB" w:rsidR="00625173">
        <w:rPr>
          <w:i/>
          <w:iCs/>
        </w:rPr>
        <w:t xml:space="preserve">See </w:t>
      </w:r>
      <w:r w:rsidR="0003275F">
        <w:rPr>
          <w:i/>
          <w:iCs/>
        </w:rPr>
        <w:t>3.7 GHz Report and Order</w:t>
      </w:r>
      <w:r w:rsidR="0003275F">
        <w:t xml:space="preserve">, 35 </w:t>
      </w:r>
      <w:r w:rsidRPr="00C8010D" w:rsidR="0003275F">
        <w:t xml:space="preserve">FCC </w:t>
      </w:r>
      <w:r w:rsidRPr="00C8010D" w:rsidR="0003275F">
        <w:t>Rcd</w:t>
      </w:r>
      <w:r w:rsidRPr="00C8010D" w:rsidR="0003275F">
        <w:t xml:space="preserve"> </w:t>
      </w:r>
      <w:r w:rsidRPr="005F56AB" w:rsidR="00625173">
        <w:t xml:space="preserve">at 2426, para. 200; 47 CFR § 27.1411(b)(1)-(2) (defining an eligible </w:t>
      </w:r>
      <w:r w:rsidR="00E81B7E">
        <w:t>space</w:t>
      </w:r>
      <w:r w:rsidRPr="005F56AB" w:rsidR="00625173">
        <w:t xml:space="preserve"> station operator); </w:t>
      </w:r>
      <w:r w:rsidRPr="005F56AB" w:rsidR="00625173">
        <w:rPr>
          <w:i/>
          <w:iCs/>
        </w:rPr>
        <w:t>3.7 GHz Report and Order</w:t>
      </w:r>
      <w:r w:rsidRPr="005F56AB" w:rsidR="00625173">
        <w:t xml:space="preserve">, 35 FCC </w:t>
      </w:r>
      <w:r w:rsidRPr="005F56AB" w:rsidR="00625173">
        <w:t>Rcd</w:t>
      </w:r>
      <w:r w:rsidRPr="005F56AB" w:rsidR="00625173">
        <w:rPr>
          <w:i/>
          <w:iCs/>
        </w:rPr>
        <w:t xml:space="preserve"> </w:t>
      </w:r>
      <w:r w:rsidRPr="005F56AB" w:rsidR="00625173">
        <w:t>at 2392, para. 116; 47 CFR §§ 25.138(c), 27.1411(b)(3) (defining incumbent earth statio</w:t>
      </w:r>
      <w:r w:rsidR="00E81B7E">
        <w:t>ns</w:t>
      </w:r>
      <w:r w:rsidRPr="005F56AB" w:rsidR="00625173">
        <w:t xml:space="preserve">).  </w:t>
      </w:r>
    </w:p>
  </w:footnote>
  <w:footnote w:id="8">
    <w:p w:rsidR="009B434F" w:rsidRPr="002E1558" w:rsidP="009B434F" w14:paraId="434B00F4"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 2408, para. 155; 47 CFR § 27.1412(b)(1)-(2). </w:t>
      </w:r>
    </w:p>
  </w:footnote>
  <w:footnote w:id="9">
    <w:p w:rsidR="009B434F" w:rsidRPr="000F6539" w:rsidP="009B434F" w14:paraId="2F705773"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10">
    <w:p w:rsidR="009B434F" w:rsidRPr="00E4548C" w:rsidP="009B434F" w14:paraId="03D7A335"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11">
    <w:p w:rsidR="009B434F" w:rsidRPr="00FD6BA8" w:rsidP="009B434F" w14:paraId="029CE639" w14:textId="7B3E305E">
      <w:pPr>
        <w:pStyle w:val="FootnoteText"/>
      </w:pPr>
      <w:r>
        <w:rPr>
          <w:rStyle w:val="FootnoteReference"/>
        </w:rPr>
        <w:footnoteRef/>
      </w:r>
      <w:r>
        <w:t xml:space="preserve"> </w:t>
      </w:r>
      <w:r w:rsidR="00AD0111">
        <w:rPr>
          <w:i/>
          <w:iCs/>
        </w:rPr>
        <w:t>Id.</w:t>
      </w:r>
      <w:r w:rsidRPr="002E1558" w:rsidR="00E12208">
        <w:t xml:space="preserve"> </w:t>
      </w:r>
      <w:r>
        <w:t>at 2456, para. 297; 47 CFR § 27.1412(b).</w:t>
      </w:r>
    </w:p>
  </w:footnote>
  <w:footnote w:id="12">
    <w:p w:rsidR="009B434F" w:rsidRPr="00FD6BA8" w:rsidP="009B434F" w14:paraId="5838D480" w14:textId="77777777">
      <w:pPr>
        <w:pStyle w:val="FootnoteText"/>
      </w:pPr>
      <w:r>
        <w:rPr>
          <w:rStyle w:val="FootnoteReference"/>
        </w:rPr>
        <w:footnoteRef/>
      </w:r>
      <w:r>
        <w:t xml:space="preserve"> </w:t>
      </w:r>
      <w:r>
        <w:rPr>
          <w:i/>
          <w:iCs/>
        </w:rPr>
        <w:t>3.7 GHz Report and Order</w:t>
      </w:r>
      <w:r>
        <w:t xml:space="preserve">, 35 FCC </w:t>
      </w:r>
      <w:r>
        <w:t>Rcd</w:t>
      </w:r>
      <w:r>
        <w:t xml:space="preserve"> at 2457, para. 300. </w:t>
      </w:r>
    </w:p>
  </w:footnote>
  <w:footnote w:id="13">
    <w:p w:rsidR="009B434F" w:rsidRPr="000E7AD6" w:rsidP="009B434F" w14:paraId="173D0A65" w14:textId="5EF8231A">
      <w:pPr>
        <w:pStyle w:val="FootnoteText"/>
      </w:pPr>
      <w:r>
        <w:rPr>
          <w:rStyle w:val="FootnoteReference"/>
        </w:rPr>
        <w:footnoteRef/>
      </w:r>
      <w:r>
        <w:t xml:space="preserve"> </w:t>
      </w:r>
      <w:r w:rsidR="00535E1B">
        <w:rPr>
          <w:i/>
          <w:iCs/>
        </w:rPr>
        <w:t>Id.</w:t>
      </w:r>
      <w:r w:rsidRPr="002E1558" w:rsidR="0058311C">
        <w:t xml:space="preserve"> </w:t>
      </w:r>
      <w:r>
        <w:t xml:space="preserve">at 2457, para. 298; 47 CFR § 27.1412(g). </w:t>
      </w:r>
    </w:p>
  </w:footnote>
  <w:footnote w:id="14">
    <w:p w:rsidR="009B434F" w:rsidRPr="00E002FE" w:rsidP="009B434F" w14:paraId="1BC491A5" w14:textId="77777777">
      <w:pPr>
        <w:pStyle w:val="FootnoteText"/>
      </w:pPr>
      <w:r>
        <w:rPr>
          <w:rStyle w:val="FootnoteReference"/>
        </w:rPr>
        <w:footnoteRef/>
      </w:r>
      <w:r>
        <w:t xml:space="preserve"> </w:t>
      </w:r>
      <w:bookmarkStart w:id="1" w:name="_Hlk77148554"/>
      <w:r>
        <w:rPr>
          <w:i/>
          <w:iCs/>
        </w:rPr>
        <w:t>3.7 GHz Report and Order</w:t>
      </w:r>
      <w:r>
        <w:t>,</w:t>
      </w:r>
      <w:r>
        <w:rPr>
          <w:i/>
          <w:iCs/>
        </w:rPr>
        <w:t xml:space="preserve"> </w:t>
      </w:r>
      <w:r w:rsidRPr="0054338D">
        <w:t xml:space="preserve">35 FCC </w:t>
      </w:r>
      <w:r w:rsidRPr="0054338D">
        <w:t>Rcd</w:t>
      </w:r>
      <w:r w:rsidRPr="0054338D">
        <w:t xml:space="preserve"> at 2457</w:t>
      </w:r>
      <w:r>
        <w:t xml:space="preserve"> para. 299; 47 CFR § 27.1412(g)(1).</w:t>
      </w:r>
      <w:bookmarkEnd w:id="1"/>
    </w:p>
  </w:footnote>
  <w:footnote w:id="15">
    <w:p w:rsidR="009B434F" w:rsidRPr="00734803" w:rsidP="009B434F" w14:paraId="5F142F52" w14:textId="77777777">
      <w:pPr>
        <w:pStyle w:val="FootnoteText"/>
      </w:pPr>
      <w:r>
        <w:rPr>
          <w:rStyle w:val="FootnoteReference"/>
        </w:rPr>
        <w:footnoteRef/>
      </w:r>
      <w:bookmarkStart w:id="2" w:name="_Hlk77148586"/>
      <w:r>
        <w:rPr>
          <w:i/>
          <w:iCs/>
        </w:rPr>
        <w:t xml:space="preserve"> 3.7 GHz Report and </w:t>
      </w:r>
      <w:r w:rsidRPr="00472103">
        <w:rPr>
          <w:i/>
          <w:iCs/>
        </w:rPr>
        <w:t>Order</w:t>
      </w:r>
      <w:r>
        <w:rPr>
          <w:i/>
          <w:iCs/>
        </w:rPr>
        <w:t xml:space="preserve">, </w:t>
      </w:r>
      <w:r>
        <w:t xml:space="preserve">35 FCC </w:t>
      </w:r>
      <w:r>
        <w:t>Rcd</w:t>
      </w:r>
      <w:r>
        <w:t xml:space="preserve"> at 2457, para. 299; 47 CFR § 27.1412(g)(2). </w:t>
      </w:r>
      <w:bookmarkEnd w:id="2"/>
    </w:p>
  </w:footnote>
  <w:footnote w:id="16">
    <w:p w:rsidR="009B434F" w:rsidRPr="008958D9" w:rsidP="009B434F" w14:paraId="24684877" w14:textId="4AF173AF">
      <w:pPr>
        <w:pStyle w:val="FootnoteText"/>
      </w:pPr>
      <w:r>
        <w:rPr>
          <w:rStyle w:val="FootnoteReference"/>
        </w:rPr>
        <w:footnoteRef/>
      </w:r>
      <w:r>
        <w:t xml:space="preserve"> </w:t>
      </w:r>
      <w:r w:rsidR="00DB01C2">
        <w:t>47 CFR § 27.1412(g)(2).</w:t>
      </w:r>
    </w:p>
  </w:footnote>
  <w:footnote w:id="17">
    <w:p w:rsidR="009B434F" w:rsidRPr="00811399" w:rsidP="009B434F" w14:paraId="4FB0B161" w14:textId="77777777">
      <w:pPr>
        <w:pStyle w:val="FootnoteText"/>
      </w:pPr>
      <w:r>
        <w:rPr>
          <w:rStyle w:val="FootnoteReference"/>
        </w:rPr>
        <w:footnoteRef/>
      </w:r>
      <w:r>
        <w:t xml:space="preserve"> </w:t>
      </w:r>
      <w:r>
        <w:rPr>
          <w:i/>
          <w:iCs/>
        </w:rPr>
        <w:t>3.7 GHz Report and Order</w:t>
      </w:r>
      <w:r>
        <w:t>,</w:t>
      </w:r>
      <w:r>
        <w:rPr>
          <w:i/>
          <w:iCs/>
        </w:rPr>
        <w:t xml:space="preserve"> </w:t>
      </w:r>
      <w:r w:rsidRPr="00472103">
        <w:t xml:space="preserve">35 FCC </w:t>
      </w:r>
      <w:r w:rsidRPr="00472103">
        <w:t>Rcd</w:t>
      </w:r>
      <w:r w:rsidRPr="00472103">
        <w:t xml:space="preserve"> at 2457</w:t>
      </w:r>
      <w:r>
        <w:t>, para. 300; 47 CFR § 27.1422(c).</w:t>
      </w:r>
    </w:p>
  </w:footnote>
  <w:footnote w:id="18">
    <w:p w:rsidR="009B434F" w:rsidRPr="0092405A" w:rsidP="009B434F" w14:paraId="4891C043" w14:textId="29FE51B9">
      <w:pPr>
        <w:pStyle w:val="FootnoteText"/>
      </w:pPr>
      <w:r>
        <w:rPr>
          <w:rStyle w:val="FootnoteReference"/>
        </w:rPr>
        <w:footnoteRef/>
      </w:r>
      <w:r>
        <w:t xml:space="preserve"> </w:t>
      </w:r>
      <w:r w:rsidR="0037784F">
        <w:t>47 CFR § 27.1422(c).</w:t>
      </w:r>
    </w:p>
  </w:footnote>
  <w:footnote w:id="19">
    <w:p w:rsidR="009B434F" w:rsidRPr="009D0E17" w:rsidP="009B434F" w14:paraId="1A89A501" w14:textId="77777777">
      <w:pPr>
        <w:pStyle w:val="FootnoteText"/>
      </w:pPr>
      <w:r>
        <w:rPr>
          <w:rStyle w:val="FootnoteReference"/>
        </w:rPr>
        <w:footnoteRef/>
      </w:r>
      <w:r>
        <w:t xml:space="preserve"> </w:t>
      </w:r>
      <w:bookmarkStart w:id="3" w:name="_Hlk77148713"/>
      <w:r>
        <w:rPr>
          <w:i/>
          <w:iCs/>
        </w:rPr>
        <w:t>3.7 GHz Report and Order</w:t>
      </w:r>
      <w:r>
        <w:t>, 35 FCC</w:t>
      </w:r>
      <w:r>
        <w:rPr>
          <w:i/>
          <w:iCs/>
        </w:rPr>
        <w:t xml:space="preserve"> </w:t>
      </w:r>
      <w:r>
        <w:t>Rcd</w:t>
      </w:r>
      <w:r>
        <w:t xml:space="preserve"> at 2456, para. 297; </w:t>
      </w:r>
      <w:r w:rsidRPr="0054338D">
        <w:t>47 CFR § 27.1422(</w:t>
      </w:r>
      <w:r>
        <w:t>d</w:t>
      </w:r>
      <w:r w:rsidRPr="0054338D">
        <w:t>).</w:t>
      </w:r>
      <w:r>
        <w:t xml:space="preserve"> </w:t>
      </w:r>
      <w:bookmarkEnd w:id="3"/>
    </w:p>
  </w:footnote>
  <w:footnote w:id="20">
    <w:p w:rsidR="009B434F" w:rsidRPr="004F177B" w:rsidP="009B434F" w14:paraId="2D8BE8F6" w14:textId="77777777">
      <w:pPr>
        <w:pStyle w:val="FootnoteText"/>
      </w:pPr>
      <w:r>
        <w:rPr>
          <w:rStyle w:val="FootnoteReference"/>
        </w:rPr>
        <w:footnoteRef/>
      </w:r>
      <w:r>
        <w:t xml:space="preserve"> </w:t>
      </w:r>
      <w:r>
        <w:rPr>
          <w:i/>
          <w:iCs/>
        </w:rPr>
        <w:t>3.7 GHz Report and Order</w:t>
      </w:r>
      <w:r>
        <w:t xml:space="preserve">, 35 FCC </w:t>
      </w:r>
      <w:r>
        <w:t>Rcd</w:t>
      </w:r>
      <w:r>
        <w:t xml:space="preserve"> at 2457, paras. 298-99.</w:t>
      </w:r>
    </w:p>
  </w:footnote>
  <w:footnote w:id="21">
    <w:p w:rsidR="002E1453" w14:paraId="2D70BBE3" w14:textId="1C6D8A38">
      <w:pPr>
        <w:pStyle w:val="FootnoteText"/>
      </w:pPr>
      <w:r>
        <w:rPr>
          <w:rStyle w:val="FootnoteReference"/>
        </w:rPr>
        <w:footnoteRef/>
      </w:r>
      <w:r>
        <w:t xml:space="preserve"> </w:t>
      </w:r>
      <w:r w:rsidRPr="00A068BA">
        <w:rPr>
          <w:i/>
          <w:iCs/>
        </w:rPr>
        <w:t>See</w:t>
      </w:r>
      <w:r w:rsidRPr="0083503F">
        <w:t xml:space="preserve"> </w:t>
      </w:r>
      <w:r w:rsidRPr="004B48C7">
        <w:rPr>
          <w:i/>
          <w:iCs/>
        </w:rPr>
        <w:t>Phase I</w:t>
      </w:r>
      <w:r>
        <w:t xml:space="preserve"> </w:t>
      </w:r>
      <w:r w:rsidRPr="00A068BA">
        <w:rPr>
          <w:i/>
          <w:iCs/>
        </w:rPr>
        <w:t>ARP Certification Procedures PN</w:t>
      </w:r>
      <w:r w:rsidRPr="0083503F">
        <w:rPr>
          <w:i/>
          <w:iCs/>
        </w:rPr>
        <w:t>.</w:t>
      </w:r>
      <w:r>
        <w:rPr>
          <w:i/>
          <w:iCs/>
        </w:rPr>
        <w:t xml:space="preserve">  </w:t>
      </w:r>
    </w:p>
  </w:footnote>
  <w:footnote w:id="22">
    <w:p w:rsidR="002E1453" w:rsidRPr="002E1453" w14:paraId="64B0D238" w14:textId="24321FAC">
      <w:pPr>
        <w:pStyle w:val="FootnoteText"/>
      </w:pPr>
      <w:r>
        <w:rPr>
          <w:rStyle w:val="FootnoteReference"/>
        </w:rPr>
        <w:footnoteRef/>
      </w:r>
      <w:r>
        <w:t xml:space="preserve"> </w:t>
      </w:r>
      <w:r>
        <w:rPr>
          <w:i/>
          <w:iCs/>
        </w:rPr>
        <w:t xml:space="preserve">See </w:t>
      </w:r>
      <w:r w:rsidRPr="006457E2">
        <w:rPr>
          <w:i/>
          <w:iCs/>
        </w:rPr>
        <w:t>Phase I</w:t>
      </w:r>
      <w:r>
        <w:t xml:space="preserve"> </w:t>
      </w:r>
      <w:r>
        <w:rPr>
          <w:i/>
          <w:iCs/>
        </w:rPr>
        <w:t>Incremental Reduction Plan</w:t>
      </w:r>
      <w:r w:rsidRPr="00A068BA">
        <w:rPr>
          <w:i/>
          <w:iCs/>
        </w:rPr>
        <w:t xml:space="preserve"> PN</w:t>
      </w:r>
      <w:r>
        <w:t xml:space="preserve">; </w:t>
      </w:r>
      <w:r>
        <w:rPr>
          <w:i/>
          <w:iCs/>
        </w:rPr>
        <w:t>3.7 GHz Report and Order</w:t>
      </w:r>
      <w:r>
        <w:t>, 35 FCC</w:t>
      </w:r>
      <w:r>
        <w:rPr>
          <w:i/>
          <w:iCs/>
        </w:rPr>
        <w:t xml:space="preserve"> </w:t>
      </w:r>
      <w:r>
        <w:t>Rcd</w:t>
      </w:r>
      <w:r>
        <w:t xml:space="preserve"> at 2456, para. 297; </w:t>
      </w:r>
      <w:r w:rsidRPr="0054338D">
        <w:t>47 CFR § 27.1422(</w:t>
      </w:r>
      <w:r>
        <w:t>d</w:t>
      </w:r>
      <w:r w:rsidRPr="0054338D">
        <w:t>).</w:t>
      </w:r>
    </w:p>
  </w:footnote>
  <w:footnote w:id="23">
    <w:p w:rsidR="00FE3A0D" w:rsidRPr="00FE3A0D" w14:paraId="641C0E67" w14:textId="73E1E6A5">
      <w:pPr>
        <w:pStyle w:val="FootnoteText"/>
        <w:rPr>
          <w:i/>
          <w:iCs/>
        </w:rPr>
      </w:pPr>
      <w:r>
        <w:rPr>
          <w:rStyle w:val="FootnoteReference"/>
        </w:rPr>
        <w:footnoteRef/>
      </w:r>
      <w:r>
        <w:t xml:space="preserve"> </w:t>
      </w:r>
      <w:r w:rsidR="0085002F">
        <w:rPr>
          <w:i/>
          <w:iCs/>
        </w:rPr>
        <w:t>Expanding Flexible Use of the 3.7 to 4.2 GHz Band</w:t>
      </w:r>
      <w:r w:rsidR="00EA49E8">
        <w:rPr>
          <w:i/>
          <w:iCs/>
        </w:rPr>
        <w:t>,</w:t>
      </w:r>
      <w:r w:rsidR="0085002F">
        <w:rPr>
          <w:i/>
          <w:iCs/>
        </w:rPr>
        <w:t xml:space="preserve"> Phase I Certification of Accelerated Relocation</w:t>
      </w:r>
      <w:r w:rsidR="007E5DB4">
        <w:rPr>
          <w:i/>
          <w:iCs/>
        </w:rPr>
        <w:t xml:space="preserve"> </w:t>
      </w:r>
      <w:r w:rsidRPr="004A2E8F" w:rsidR="004A2E8F">
        <w:rPr>
          <w:i/>
          <w:iCs/>
        </w:rPr>
        <w:t>Satélites</w:t>
      </w:r>
      <w:r w:rsidR="004D58FC">
        <w:rPr>
          <w:i/>
          <w:iCs/>
        </w:rPr>
        <w:t xml:space="preserve"> </w:t>
      </w:r>
      <w:r w:rsidR="00FB5F9C">
        <w:rPr>
          <w:i/>
          <w:iCs/>
        </w:rPr>
        <w:t>Mexicanos</w:t>
      </w:r>
      <w:r w:rsidR="00FB5F9C">
        <w:rPr>
          <w:i/>
          <w:iCs/>
        </w:rPr>
        <w:t xml:space="preserve"> S.A. de C.V. </w:t>
      </w:r>
      <w:r w:rsidR="00870538">
        <w:rPr>
          <w:i/>
          <w:iCs/>
        </w:rPr>
        <w:t>d/b/a Eutelsat Americas</w:t>
      </w:r>
      <w:r w:rsidRPr="00FE3A0D" w:rsidR="00870538">
        <w:t xml:space="preserve">, GN Docket Nos. 18-122 </w:t>
      </w:r>
      <w:r w:rsidRPr="00FE3A0D" w:rsidR="007E6ADF">
        <w:t xml:space="preserve">and </w:t>
      </w:r>
      <w:r w:rsidRPr="00FE3A0D" w:rsidR="00CB1F81">
        <w:t>21-320</w:t>
      </w:r>
      <w:r w:rsidRPr="00FE3A0D">
        <w:t xml:space="preserve">, Order, </w:t>
      </w:r>
      <w:r w:rsidR="00B029F9">
        <w:t xml:space="preserve">36 FCC </w:t>
      </w:r>
      <w:r w:rsidR="00B029F9">
        <w:t>Rcd</w:t>
      </w:r>
      <w:r w:rsidR="00B029F9">
        <w:t xml:space="preserve"> </w:t>
      </w:r>
      <w:r w:rsidR="00A87B53">
        <w:t xml:space="preserve">15297 </w:t>
      </w:r>
      <w:r w:rsidRPr="00FE3A0D">
        <w:t>(WTB 2021)</w:t>
      </w:r>
      <w:r w:rsidR="009A2BF5">
        <w:t xml:space="preserve"> (</w:t>
      </w:r>
      <w:r w:rsidR="000D4D8A">
        <w:rPr>
          <w:i/>
          <w:iCs/>
        </w:rPr>
        <w:t xml:space="preserve">Eutelsat </w:t>
      </w:r>
      <w:r w:rsidR="0026628E">
        <w:rPr>
          <w:i/>
          <w:iCs/>
        </w:rPr>
        <w:t xml:space="preserve">Phase I </w:t>
      </w:r>
      <w:r w:rsidR="00A12725">
        <w:rPr>
          <w:i/>
          <w:iCs/>
        </w:rPr>
        <w:t>Certification Order</w:t>
      </w:r>
      <w:r w:rsidR="00A12725">
        <w:t>)</w:t>
      </w:r>
      <w:r w:rsidRPr="00FE3A0D">
        <w:t xml:space="preserve">; </w:t>
      </w:r>
      <w:r w:rsidR="00381ECB">
        <w:rPr>
          <w:i/>
          <w:iCs/>
        </w:rPr>
        <w:t>Expanding Flexible Use of the 3.7 to 4.2 GHz Band</w:t>
      </w:r>
      <w:r w:rsidR="00EA49E8">
        <w:rPr>
          <w:i/>
          <w:iCs/>
        </w:rPr>
        <w:t>,</w:t>
      </w:r>
      <w:r w:rsidR="00381ECB">
        <w:rPr>
          <w:i/>
          <w:iCs/>
        </w:rPr>
        <w:t xml:space="preserve"> Phase I Certification of Accelerated Relocation </w:t>
      </w:r>
      <w:r w:rsidR="005A3FE7">
        <w:rPr>
          <w:i/>
          <w:iCs/>
        </w:rPr>
        <w:t xml:space="preserve">of </w:t>
      </w:r>
      <w:r w:rsidR="00875CDF">
        <w:rPr>
          <w:i/>
          <w:iCs/>
        </w:rPr>
        <w:t xml:space="preserve">Embratel TVSAT </w:t>
      </w:r>
      <w:r w:rsidR="00875CDF">
        <w:rPr>
          <w:i/>
          <w:iCs/>
        </w:rPr>
        <w:t>Telcomun</w:t>
      </w:r>
      <w:r w:rsidR="003529CF">
        <w:rPr>
          <w:i/>
          <w:iCs/>
        </w:rPr>
        <w:t>ca</w:t>
      </w:r>
      <w:r w:rsidRPr="00401C75" w:rsidR="00401C75">
        <w:rPr>
          <w:i/>
          <w:iCs/>
        </w:rPr>
        <w:t>çõe</w:t>
      </w:r>
      <w:r w:rsidR="003529CF">
        <w:rPr>
          <w:i/>
          <w:iCs/>
        </w:rPr>
        <w:t>s</w:t>
      </w:r>
      <w:r w:rsidR="003529CF">
        <w:rPr>
          <w:i/>
          <w:iCs/>
        </w:rPr>
        <w:t xml:space="preserve"> S.A.</w:t>
      </w:r>
      <w:r w:rsidRPr="00FE3A0D" w:rsidR="00381ECB">
        <w:t xml:space="preserve">, GN Docket Nos. 18-122 and 21-320, Order, </w:t>
      </w:r>
      <w:r w:rsidR="00381ECB">
        <w:t xml:space="preserve">36 FCC </w:t>
      </w:r>
      <w:r w:rsidR="00381ECB">
        <w:t>Rcd</w:t>
      </w:r>
      <w:r w:rsidR="00381ECB">
        <w:t xml:space="preserve"> </w:t>
      </w:r>
      <w:r w:rsidR="003529CF">
        <w:t>15835</w:t>
      </w:r>
      <w:r w:rsidR="00381ECB">
        <w:t xml:space="preserve"> </w:t>
      </w:r>
      <w:r w:rsidRPr="00FE3A0D" w:rsidR="00381ECB">
        <w:t>(WTB 2021)</w:t>
      </w:r>
      <w:r w:rsidR="00A12725">
        <w:t xml:space="preserve"> (</w:t>
      </w:r>
      <w:r w:rsidRPr="00135288" w:rsidR="00135288">
        <w:rPr>
          <w:i/>
          <w:iCs/>
        </w:rPr>
        <w:t xml:space="preserve">Embratel </w:t>
      </w:r>
      <w:r w:rsidR="0026628E">
        <w:rPr>
          <w:i/>
          <w:iCs/>
        </w:rPr>
        <w:t xml:space="preserve">Phase I </w:t>
      </w:r>
      <w:r w:rsidRPr="00135288" w:rsidR="00135288">
        <w:rPr>
          <w:i/>
          <w:iCs/>
        </w:rPr>
        <w:t>Certification Order</w:t>
      </w:r>
      <w:r w:rsidR="00135288">
        <w:t>)</w:t>
      </w:r>
      <w:r w:rsidRPr="00FE3A0D" w:rsidR="00381ECB">
        <w:t>;</w:t>
      </w:r>
      <w:r w:rsidR="00FB72A8">
        <w:t xml:space="preserve"> </w:t>
      </w:r>
      <w:r w:rsidR="00FB72A8">
        <w:rPr>
          <w:i/>
          <w:iCs/>
        </w:rPr>
        <w:t>Expanding Flexible Use of the 3.7 to 4.2 GHz Band</w:t>
      </w:r>
      <w:r w:rsidR="00EA49E8">
        <w:rPr>
          <w:i/>
          <w:iCs/>
        </w:rPr>
        <w:t>,</w:t>
      </w:r>
      <w:r w:rsidR="00FB72A8">
        <w:rPr>
          <w:i/>
          <w:iCs/>
        </w:rPr>
        <w:t xml:space="preserve"> Phase I Certification of Accelerated </w:t>
      </w:r>
      <w:r w:rsidRPr="00857898" w:rsidR="00857898">
        <w:rPr>
          <w:i/>
          <w:iCs/>
        </w:rPr>
        <w:t>Relocation of Intelsat License LLC, debtor in possession, as amended</w:t>
      </w:r>
      <w:r w:rsidRPr="00FE3A0D" w:rsidR="00FB72A8">
        <w:t xml:space="preserve">, GN Docket Nos. 18-122 and 21-320, Order, </w:t>
      </w:r>
      <w:r w:rsidR="00FB72A8">
        <w:t xml:space="preserve">36 FCC </w:t>
      </w:r>
      <w:r w:rsidR="00FB72A8">
        <w:t>Rcd</w:t>
      </w:r>
      <w:r w:rsidR="00FB72A8">
        <w:t xml:space="preserve"> </w:t>
      </w:r>
      <w:r w:rsidR="00A841B0">
        <w:t>15844</w:t>
      </w:r>
      <w:r w:rsidR="00FB72A8">
        <w:t xml:space="preserve"> </w:t>
      </w:r>
      <w:r w:rsidRPr="00FE3A0D" w:rsidR="00FB72A8">
        <w:t>(WTB 2021)</w:t>
      </w:r>
      <w:r w:rsidR="00135288">
        <w:t xml:space="preserve"> (</w:t>
      </w:r>
      <w:r w:rsidRPr="000715EC" w:rsidR="000715EC">
        <w:rPr>
          <w:i/>
          <w:iCs/>
        </w:rPr>
        <w:t xml:space="preserve">Intelsat </w:t>
      </w:r>
      <w:r w:rsidR="0026628E">
        <w:rPr>
          <w:i/>
          <w:iCs/>
        </w:rPr>
        <w:t xml:space="preserve">Phase I </w:t>
      </w:r>
      <w:r w:rsidRPr="000715EC" w:rsidR="000715EC">
        <w:rPr>
          <w:i/>
          <w:iCs/>
        </w:rPr>
        <w:t>Certification</w:t>
      </w:r>
      <w:r w:rsidR="000715EC">
        <w:rPr>
          <w:i/>
          <w:iCs/>
        </w:rPr>
        <w:t xml:space="preserve"> Order</w:t>
      </w:r>
      <w:r w:rsidR="000715EC">
        <w:t>)</w:t>
      </w:r>
      <w:r w:rsidRPr="00FE3A0D" w:rsidR="00FB72A8">
        <w:t>;</w:t>
      </w:r>
      <w:r w:rsidR="00C53610">
        <w:t xml:space="preserve"> </w:t>
      </w:r>
      <w:r w:rsidR="00C53610">
        <w:rPr>
          <w:i/>
          <w:iCs/>
        </w:rPr>
        <w:t>Expanding Flexible Use of the 3.7 to 4.2 GHz Band</w:t>
      </w:r>
      <w:r w:rsidR="00E67E33">
        <w:rPr>
          <w:i/>
          <w:iCs/>
        </w:rPr>
        <w:t>,</w:t>
      </w:r>
      <w:r w:rsidR="00C53610">
        <w:rPr>
          <w:i/>
          <w:iCs/>
        </w:rPr>
        <w:t xml:space="preserve"> Phase I Certification of Accelerated </w:t>
      </w:r>
      <w:r w:rsidRPr="00857898" w:rsidR="00C53610">
        <w:rPr>
          <w:i/>
          <w:iCs/>
        </w:rPr>
        <w:t xml:space="preserve">Relocation </w:t>
      </w:r>
      <w:r w:rsidR="00C7096E">
        <w:rPr>
          <w:i/>
          <w:iCs/>
        </w:rPr>
        <w:t xml:space="preserve">of </w:t>
      </w:r>
      <w:r w:rsidRPr="00C7096E" w:rsidR="00C7096E">
        <w:rPr>
          <w:i/>
          <w:iCs/>
        </w:rPr>
        <w:t>Telesat</w:t>
      </w:r>
      <w:r w:rsidRPr="00C7096E" w:rsidR="00C7096E">
        <w:rPr>
          <w:i/>
          <w:iCs/>
        </w:rPr>
        <w:t xml:space="preserve"> Spectrum Corporation</w:t>
      </w:r>
      <w:r w:rsidRPr="00C7096E" w:rsidR="00C53610">
        <w:rPr>
          <w:i/>
          <w:iCs/>
        </w:rPr>
        <w:t>,</w:t>
      </w:r>
      <w:r w:rsidRPr="00857898" w:rsidR="00C53610">
        <w:rPr>
          <w:i/>
          <w:iCs/>
        </w:rPr>
        <w:t xml:space="preserve"> as amended</w:t>
      </w:r>
      <w:r w:rsidRPr="00FE3A0D" w:rsidR="00C53610">
        <w:t xml:space="preserve">, GN Docket Nos. 18-122 and 21-320, Order, </w:t>
      </w:r>
      <w:r w:rsidR="00C53610">
        <w:t xml:space="preserve">36 FCC </w:t>
      </w:r>
      <w:r w:rsidR="00C53610">
        <w:t>Rcd</w:t>
      </w:r>
      <w:r w:rsidR="00C53610">
        <w:t xml:space="preserve"> </w:t>
      </w:r>
      <w:r w:rsidR="00F067A4">
        <w:t>16211</w:t>
      </w:r>
      <w:r w:rsidR="00C53610">
        <w:t xml:space="preserve"> </w:t>
      </w:r>
      <w:r w:rsidRPr="00FE3A0D" w:rsidR="00C53610">
        <w:t>(WTB 2021)</w:t>
      </w:r>
      <w:r w:rsidR="000715EC">
        <w:t xml:space="preserve"> (</w:t>
      </w:r>
      <w:r w:rsidRPr="000715EC" w:rsidR="000715EC">
        <w:rPr>
          <w:i/>
          <w:iCs/>
        </w:rPr>
        <w:t>Telesat</w:t>
      </w:r>
      <w:r w:rsidRPr="000715EC" w:rsidR="000715EC">
        <w:rPr>
          <w:i/>
          <w:iCs/>
        </w:rPr>
        <w:t xml:space="preserve"> </w:t>
      </w:r>
      <w:r w:rsidR="0026628E">
        <w:rPr>
          <w:i/>
          <w:iCs/>
        </w:rPr>
        <w:t xml:space="preserve">Phase I </w:t>
      </w:r>
      <w:r w:rsidRPr="000715EC" w:rsidR="000715EC">
        <w:rPr>
          <w:i/>
          <w:iCs/>
        </w:rPr>
        <w:t>Certification Order</w:t>
      </w:r>
      <w:r w:rsidR="000715EC">
        <w:t>)</w:t>
      </w:r>
      <w:r w:rsidRPr="00FE3A0D" w:rsidR="00C53610">
        <w:t>;</w:t>
      </w:r>
      <w:r w:rsidR="00605CEB">
        <w:t xml:space="preserve"> </w:t>
      </w:r>
      <w:r w:rsidR="00605CEB">
        <w:rPr>
          <w:i/>
          <w:iCs/>
        </w:rPr>
        <w:t>Expanding Flexible Use of the 3.7 to 4.2 GHz Band</w:t>
      </w:r>
      <w:r w:rsidR="00E67E33">
        <w:rPr>
          <w:i/>
          <w:iCs/>
        </w:rPr>
        <w:t>,</w:t>
      </w:r>
      <w:r w:rsidR="00605CEB">
        <w:rPr>
          <w:i/>
          <w:iCs/>
        </w:rPr>
        <w:t xml:space="preserve"> Phase I Certification of Accelerated </w:t>
      </w:r>
      <w:r w:rsidRPr="00857898" w:rsidR="00605CEB">
        <w:rPr>
          <w:i/>
          <w:iCs/>
        </w:rPr>
        <w:t xml:space="preserve">Relocation </w:t>
      </w:r>
      <w:r w:rsidR="00605CEB">
        <w:rPr>
          <w:i/>
          <w:iCs/>
        </w:rPr>
        <w:t xml:space="preserve">of </w:t>
      </w:r>
      <w:r w:rsidRPr="00505B36" w:rsidR="0001345F">
        <w:rPr>
          <w:i/>
        </w:rPr>
        <w:t xml:space="preserve">SES </w:t>
      </w:r>
      <w:r w:rsidRPr="00505B36" w:rsidR="0001345F">
        <w:rPr>
          <w:i/>
        </w:rPr>
        <w:t>Americom</w:t>
      </w:r>
      <w:r w:rsidRPr="00505B36" w:rsidR="0001345F">
        <w:rPr>
          <w:i/>
        </w:rPr>
        <w:t>, Inc.</w:t>
      </w:r>
      <w:r w:rsidRPr="00C7096E" w:rsidR="00605CEB">
        <w:rPr>
          <w:i/>
          <w:iCs/>
        </w:rPr>
        <w:t>,</w:t>
      </w:r>
      <w:r w:rsidRPr="00857898" w:rsidR="00605CEB">
        <w:rPr>
          <w:i/>
          <w:iCs/>
        </w:rPr>
        <w:t xml:space="preserve"> as amended</w:t>
      </w:r>
      <w:r w:rsidRPr="00FE3A0D" w:rsidR="00605CEB">
        <w:t xml:space="preserve">, GN Docket Nos. 18-122 and 21-320, Order, </w:t>
      </w:r>
      <w:r w:rsidR="00605CEB">
        <w:t xml:space="preserve">36 FCC </w:t>
      </w:r>
      <w:r w:rsidR="00605CEB">
        <w:t>Rcd</w:t>
      </w:r>
      <w:r w:rsidR="00605CEB">
        <w:t xml:space="preserve"> </w:t>
      </w:r>
      <w:r w:rsidR="005E58C6">
        <w:t>16432</w:t>
      </w:r>
      <w:r w:rsidR="00605CEB">
        <w:t xml:space="preserve"> </w:t>
      </w:r>
      <w:r w:rsidRPr="00FE3A0D" w:rsidR="00605CEB">
        <w:t>(WTB 2021)</w:t>
      </w:r>
      <w:r w:rsidR="000715EC">
        <w:t xml:space="preserve"> </w:t>
      </w:r>
      <w:r w:rsidR="00C21723">
        <w:t>(</w:t>
      </w:r>
      <w:r w:rsidR="00C21723">
        <w:rPr>
          <w:i/>
          <w:iCs/>
        </w:rPr>
        <w:t xml:space="preserve">SES </w:t>
      </w:r>
      <w:r w:rsidR="0026628E">
        <w:rPr>
          <w:i/>
          <w:iCs/>
        </w:rPr>
        <w:t xml:space="preserve">Phase I </w:t>
      </w:r>
      <w:r w:rsidR="00C21723">
        <w:rPr>
          <w:i/>
          <w:iCs/>
        </w:rPr>
        <w:t>Certification Order</w:t>
      </w:r>
      <w:r w:rsidR="00C21723">
        <w:t>)</w:t>
      </w:r>
      <w:r w:rsidR="00605CEB">
        <w:t>.</w:t>
      </w:r>
    </w:p>
  </w:footnote>
  <w:footnote w:id="24">
    <w:p w:rsidR="001862FA" w14:paraId="399DF95B" w14:textId="6EF320BC">
      <w:pPr>
        <w:pStyle w:val="FootnoteText"/>
      </w:pPr>
      <w:r>
        <w:rPr>
          <w:rStyle w:val="FootnoteReference"/>
        </w:rPr>
        <w:footnoteRef/>
      </w:r>
      <w:r>
        <w:t xml:space="preserve"> </w:t>
      </w:r>
      <w:r w:rsidRPr="00211C8E" w:rsidR="00B437B5">
        <w:rPr>
          <w:i/>
          <w:iCs/>
        </w:rPr>
        <w:t>3.7 GHz Report and Order</w:t>
      </w:r>
      <w:r w:rsidR="00B437B5">
        <w:t xml:space="preserve">, 35 FCC </w:t>
      </w:r>
      <w:r w:rsidR="00B437B5">
        <w:t>Rcd</w:t>
      </w:r>
      <w:r w:rsidR="00B437B5">
        <w:t xml:space="preserve"> at 245</w:t>
      </w:r>
      <w:r w:rsidR="007F07D8">
        <w:t>6-5</w:t>
      </w:r>
      <w:r w:rsidR="00B437B5">
        <w:t>7, para</w:t>
      </w:r>
      <w:r w:rsidR="00240538">
        <w:t>s</w:t>
      </w:r>
      <w:r w:rsidR="00B437B5">
        <w:t>. 29</w:t>
      </w:r>
      <w:r w:rsidR="00240538">
        <w:t>7-</w:t>
      </w:r>
      <w:r w:rsidR="007F07D8">
        <w:t>9</w:t>
      </w:r>
      <w:r w:rsidR="00B437B5">
        <w:t xml:space="preserve">8; 47 CFR </w:t>
      </w:r>
      <w:r w:rsidR="00B833BC">
        <w:t>§</w:t>
      </w:r>
      <w:r w:rsidR="00B437B5">
        <w:t xml:space="preserve"> 27.1412</w:t>
      </w:r>
      <w:r w:rsidR="00B833BC">
        <w:t xml:space="preserve">(b), </w:t>
      </w:r>
      <w:r w:rsidR="00B437B5">
        <w:t xml:space="preserve">(g).  </w:t>
      </w:r>
    </w:p>
  </w:footnote>
  <w:footnote w:id="25">
    <w:p w:rsidR="00E36418" w:rsidRPr="004B48C7" w:rsidP="00E36418" w14:paraId="0FC061A5" w14:textId="77777777">
      <w:pPr>
        <w:pStyle w:val="FootnoteText"/>
      </w:pPr>
      <w:r>
        <w:rPr>
          <w:rStyle w:val="FootnoteReference"/>
        </w:rPr>
        <w:footnoteRef/>
      </w:r>
      <w:r>
        <w:t xml:space="preserve"> </w:t>
      </w:r>
      <w:r w:rsidRPr="00A068BA">
        <w:rPr>
          <w:i/>
          <w:iCs/>
        </w:rPr>
        <w:t>See</w:t>
      </w:r>
      <w:r w:rsidRPr="0083503F">
        <w:t xml:space="preserve"> </w:t>
      </w:r>
      <w:r w:rsidRPr="004B48C7">
        <w:rPr>
          <w:i/>
          <w:iCs/>
        </w:rPr>
        <w:t>Phase I</w:t>
      </w:r>
      <w:r>
        <w:t xml:space="preserve"> </w:t>
      </w:r>
      <w:r w:rsidRPr="00A068BA">
        <w:rPr>
          <w:i/>
          <w:iCs/>
        </w:rPr>
        <w:t>ARP Certification Procedures PN</w:t>
      </w:r>
      <w:r w:rsidRPr="0083503F">
        <w:rPr>
          <w:i/>
          <w:iCs/>
        </w:rPr>
        <w:t>.</w:t>
      </w:r>
      <w:r>
        <w:rPr>
          <w:i/>
          <w:iCs/>
        </w:rPr>
        <w:t xml:space="preserve">  </w:t>
      </w:r>
    </w:p>
  </w:footnote>
  <w:footnote w:id="26">
    <w:p w:rsidR="00BD173B" w:rsidP="00BD173B" w14:paraId="34D9DD2B" w14:textId="59E2224D">
      <w:pPr>
        <w:pStyle w:val="FootnoteText"/>
      </w:pPr>
      <w:r>
        <w:rPr>
          <w:rStyle w:val="FootnoteReference"/>
        </w:rPr>
        <w:footnoteRef/>
      </w:r>
      <w:r>
        <w:t xml:space="preserve"> </w:t>
      </w:r>
      <w:r w:rsidRPr="00A068BA">
        <w:rPr>
          <w:i/>
          <w:iCs/>
        </w:rPr>
        <w:t>See</w:t>
      </w:r>
      <w:r w:rsidRPr="0083503F">
        <w:t xml:space="preserve"> </w:t>
      </w:r>
      <w:r w:rsidR="00A6287C">
        <w:rPr>
          <w:i/>
          <w:iCs/>
        </w:rPr>
        <w:t>id.</w:t>
      </w:r>
      <w:r w:rsidR="00F441BB">
        <w:t xml:space="preserve"> at 123</w:t>
      </w:r>
      <w:r w:rsidR="006125B2">
        <w:t xml:space="preserve">60, </w:t>
      </w:r>
      <w:r w:rsidR="00B7725F">
        <w:t>123</w:t>
      </w:r>
      <w:r w:rsidR="00F441BB">
        <w:t>63</w:t>
      </w:r>
      <w:r w:rsidR="00F76F43">
        <w:t xml:space="preserve">; </w:t>
      </w:r>
      <w:r w:rsidRPr="00F76F43" w:rsidR="00F76F43">
        <w:rPr>
          <w:i/>
          <w:iCs/>
        </w:rPr>
        <w:t>3.7 GHz Report and Order</w:t>
      </w:r>
      <w:r w:rsidRPr="00F76F43" w:rsidR="00F76F43">
        <w:t xml:space="preserve">, 35 FCC </w:t>
      </w:r>
      <w:r w:rsidRPr="00F76F43" w:rsidR="00F76F43">
        <w:t>Rcd</w:t>
      </w:r>
      <w:r w:rsidRPr="00F76F43" w:rsidR="00F76F43">
        <w:t xml:space="preserve"> at 2457, para. 299; 47 CFR § 27.1412(g)(2).</w:t>
      </w:r>
    </w:p>
  </w:footnote>
  <w:footnote w:id="27">
    <w:p w:rsidR="00B01FB0" w14:paraId="24BAB786" w14:textId="77A17245">
      <w:pPr>
        <w:pStyle w:val="FootnoteText"/>
      </w:pPr>
      <w:r>
        <w:rPr>
          <w:rStyle w:val="FootnoteReference"/>
        </w:rPr>
        <w:footnoteRef/>
      </w:r>
      <w:r>
        <w:t xml:space="preserve"> </w:t>
      </w:r>
      <w:r w:rsidR="00891E69">
        <w:t xml:space="preserve">For example, </w:t>
      </w:r>
      <w:r w:rsidR="00886F76">
        <w:t xml:space="preserve">Intelsat and SES </w:t>
      </w:r>
      <w:r w:rsidR="006F7579">
        <w:t xml:space="preserve">used different </w:t>
      </w:r>
      <w:r w:rsidR="00177345">
        <w:t xml:space="preserve">terminology </w:t>
      </w:r>
      <w:r w:rsidR="00603BCB">
        <w:t>in the</w:t>
      </w:r>
      <w:r w:rsidR="00D06BAA">
        <w:t xml:space="preserve"> change logs</w:t>
      </w:r>
      <w:r w:rsidR="00603BCB">
        <w:t xml:space="preserve"> </w:t>
      </w:r>
      <w:r w:rsidR="00D06BAA">
        <w:t xml:space="preserve">appended </w:t>
      </w:r>
      <w:r w:rsidR="00603BCB">
        <w:t xml:space="preserve">to </w:t>
      </w:r>
      <w:r w:rsidR="00D462F8">
        <w:t xml:space="preserve">their </w:t>
      </w:r>
      <w:r w:rsidR="00FC450D">
        <w:t xml:space="preserve">Phase I </w:t>
      </w:r>
      <w:r w:rsidR="00D06BAA">
        <w:t>C</w:t>
      </w:r>
      <w:r w:rsidR="00D462F8">
        <w:t xml:space="preserve">ertifications. </w:t>
      </w:r>
      <w:r w:rsidR="00FE3A84">
        <w:t xml:space="preserve"> </w:t>
      </w:r>
      <w:r w:rsidR="00060681">
        <w:rPr>
          <w:i/>
          <w:iCs/>
        </w:rPr>
        <w:t xml:space="preserve">See generally </w:t>
      </w:r>
      <w:r w:rsidR="00C776ED">
        <w:t xml:space="preserve">Intelsat License LLC, debtor in possession, </w:t>
      </w:r>
      <w:r w:rsidRPr="00353930" w:rsidR="00C776ED">
        <w:t>Phase I Certificate of Accelerated Relocation</w:t>
      </w:r>
      <w:r w:rsidR="00C776ED">
        <w:t xml:space="preserve">, </w:t>
      </w:r>
      <w:r w:rsidRPr="004E0661" w:rsidR="00C776ED">
        <w:t>GN Docket Nos. 18-122 and 21-320</w:t>
      </w:r>
      <w:r w:rsidRPr="00207FEB" w:rsidR="00C776ED">
        <w:t xml:space="preserve"> (</w:t>
      </w:r>
      <w:r w:rsidR="00C776ED">
        <w:t>filed Oct. 4, 2021) (</w:t>
      </w:r>
      <w:r w:rsidRPr="00353930" w:rsidR="00C776ED">
        <w:t>Intelsat</w:t>
      </w:r>
      <w:r w:rsidR="00366B79">
        <w:t xml:space="preserve"> Phase I</w:t>
      </w:r>
      <w:r w:rsidRPr="00353930" w:rsidR="00C776ED">
        <w:t xml:space="preserve"> Certification</w:t>
      </w:r>
      <w:r w:rsidR="00C776ED">
        <w:t xml:space="preserve">); Intelsat License LLC, debtor in possession, </w:t>
      </w:r>
      <w:r w:rsidRPr="00353930" w:rsidR="00C776ED">
        <w:t>Amendment</w:t>
      </w:r>
      <w:r w:rsidR="00C776ED">
        <w:t xml:space="preserve">, </w:t>
      </w:r>
      <w:r w:rsidRPr="004E0661" w:rsidR="00C776ED">
        <w:t>GN Docket Nos. 18-122 and 21-320</w:t>
      </w:r>
      <w:r w:rsidRPr="00207FEB" w:rsidR="00C776ED">
        <w:t xml:space="preserve"> (</w:t>
      </w:r>
      <w:r w:rsidR="00C776ED">
        <w:t>filed Oct. 15, 2021) (</w:t>
      </w:r>
      <w:r w:rsidRPr="00353930" w:rsidR="00C776ED">
        <w:t>Intelsat Amendment</w:t>
      </w:r>
      <w:r w:rsidR="00C776ED">
        <w:t>)</w:t>
      </w:r>
      <w:r w:rsidR="00C35609">
        <w:t xml:space="preserve">; </w:t>
      </w:r>
      <w:r w:rsidRPr="00FF5A8B" w:rsidR="00C35609">
        <w:t xml:space="preserve">SES </w:t>
      </w:r>
      <w:r w:rsidRPr="00FF5A8B" w:rsidR="00C35609">
        <w:t>Americom</w:t>
      </w:r>
      <w:r w:rsidRPr="00FF5A8B" w:rsidR="00C35609">
        <w:t xml:space="preserve">, Inc., </w:t>
      </w:r>
      <w:r w:rsidR="00C35609">
        <w:t xml:space="preserve">Certification, </w:t>
      </w:r>
      <w:r w:rsidRPr="00AB4A49" w:rsidR="00C35609">
        <w:t>GN Docket Nos. 18-122 and 21-320 (filed Oct. 1, 2021) (</w:t>
      </w:r>
      <w:r w:rsidR="00C35609">
        <w:t xml:space="preserve">SES </w:t>
      </w:r>
      <w:r w:rsidR="00A00018">
        <w:t xml:space="preserve">Phase I </w:t>
      </w:r>
      <w:r w:rsidRPr="00AB4A49" w:rsidR="00C35609">
        <w:t xml:space="preserve">Certification); SES </w:t>
      </w:r>
      <w:r w:rsidRPr="00AB4A49" w:rsidR="00C35609">
        <w:t>Americom</w:t>
      </w:r>
      <w:r w:rsidRPr="00AB4A49" w:rsidR="00C35609">
        <w:t xml:space="preserve">, Inc., </w:t>
      </w:r>
      <w:r w:rsidR="00C35609">
        <w:t xml:space="preserve">Amendment, </w:t>
      </w:r>
      <w:r w:rsidRPr="00FF5A8B" w:rsidR="00C35609">
        <w:t>GN Docket Nos. 18-122 and 21-320 (filed Oct. 26, 2021)</w:t>
      </w:r>
      <w:r w:rsidR="00C35609">
        <w:t xml:space="preserve"> (SES Amendment).  </w:t>
      </w:r>
    </w:p>
  </w:footnote>
  <w:footnote w:id="28">
    <w:p w:rsidR="00144923" w:rsidRPr="006661FC" w:rsidP="00144923" w14:paraId="59BA90AF" w14:textId="77777777">
      <w:pPr>
        <w:pStyle w:val="FootnoteText"/>
      </w:pPr>
      <w:r>
        <w:rPr>
          <w:rStyle w:val="FootnoteReference"/>
        </w:rPr>
        <w:footnoteRef/>
      </w:r>
      <w:r>
        <w:t xml:space="preserve"> </w:t>
      </w:r>
      <w:r w:rsidRPr="00A068BA">
        <w:rPr>
          <w:i/>
          <w:iCs/>
        </w:rPr>
        <w:t>See</w:t>
      </w:r>
      <w:r w:rsidRPr="0083503F">
        <w:t xml:space="preserve"> </w:t>
      </w:r>
      <w:r w:rsidRPr="004B48C7">
        <w:rPr>
          <w:i/>
          <w:iCs/>
        </w:rPr>
        <w:t>Phase I</w:t>
      </w:r>
      <w:r>
        <w:t xml:space="preserve"> </w:t>
      </w:r>
      <w:r w:rsidRPr="00A068BA">
        <w:rPr>
          <w:i/>
          <w:iCs/>
        </w:rPr>
        <w:t>ARP Certification Procedures PN</w:t>
      </w:r>
      <w:r>
        <w:t xml:space="preserve">, 36 FCC </w:t>
      </w:r>
      <w:r>
        <w:t>Rcd</w:t>
      </w:r>
      <w:r>
        <w:t xml:space="preserve"> at 12361-62.</w:t>
      </w:r>
    </w:p>
  </w:footnote>
  <w:footnote w:id="29">
    <w:p w:rsidR="003F0A06" w:rsidP="00380322" w14:paraId="7F077E6B" w14:textId="49D5B2F4">
      <w:pPr>
        <w:pStyle w:val="FootnoteText"/>
      </w:pPr>
      <w:r>
        <w:rPr>
          <w:rStyle w:val="FootnoteReference"/>
        </w:rPr>
        <w:footnoteRef/>
      </w:r>
      <w:r>
        <w:t xml:space="preserve"> </w:t>
      </w:r>
      <w:r w:rsidR="00A44152">
        <w:t xml:space="preserve">In opening a </w:t>
      </w:r>
      <w:r w:rsidR="00C11105">
        <w:t xml:space="preserve">final Phase I </w:t>
      </w:r>
      <w:r w:rsidR="00A44152">
        <w:t xml:space="preserve">Transition Plan </w:t>
      </w:r>
      <w:r w:rsidR="0098052C">
        <w:t>a</w:t>
      </w:r>
      <w:r w:rsidR="00A44152">
        <w:t xml:space="preserve">mendment </w:t>
      </w:r>
      <w:r w:rsidR="0098052C">
        <w:t>w</w:t>
      </w:r>
      <w:r w:rsidR="00A44152">
        <w:t xml:space="preserve">indow immediately prior to start of the Phase I Certification process, </w:t>
      </w:r>
      <w:r w:rsidR="006926E8">
        <w:t xml:space="preserve">the Bureau </w:t>
      </w:r>
      <w:r w:rsidR="000142D8">
        <w:t xml:space="preserve">indicated </w:t>
      </w:r>
      <w:r w:rsidRPr="00546308" w:rsidR="000142D8">
        <w:t xml:space="preserve">that </w:t>
      </w:r>
      <w:r w:rsidRPr="00546308" w:rsidR="00546308">
        <w:t>“[f]</w:t>
      </w:r>
      <w:r w:rsidRPr="008E774A" w:rsidR="000142D8">
        <w:t>urther</w:t>
      </w:r>
      <w:r w:rsidRPr="008E774A" w:rsidR="000142D8">
        <w:t xml:space="preserve"> guidance about Transition Plan amendments relative to Phase II of the C-band transition</w:t>
      </w:r>
      <w:r w:rsidRPr="00546308" w:rsidR="00546308">
        <w:t xml:space="preserve"> </w:t>
      </w:r>
      <w:r w:rsidRPr="008E774A" w:rsidR="000142D8">
        <w:t>will be provided at a future date.</w:t>
      </w:r>
      <w:r w:rsidRPr="00546308" w:rsidR="00546308">
        <w:t>”</w:t>
      </w:r>
      <w:r w:rsidR="00546308">
        <w:t xml:space="preserve">  </w:t>
      </w:r>
      <w:r w:rsidRPr="007F3C65" w:rsidR="00380322">
        <w:rPr>
          <w:i/>
          <w:iCs/>
        </w:rPr>
        <w:t xml:space="preserve">Wireless Telecommunications Bureau </w:t>
      </w:r>
      <w:r w:rsidRPr="007F3C65" w:rsidR="00A724BD">
        <w:rPr>
          <w:i/>
          <w:iCs/>
        </w:rPr>
        <w:t>O</w:t>
      </w:r>
      <w:r w:rsidRPr="007F3C65" w:rsidR="00380322">
        <w:rPr>
          <w:i/>
          <w:iCs/>
        </w:rPr>
        <w:t xml:space="preserve">pens </w:t>
      </w:r>
      <w:r w:rsidRPr="007F3C65" w:rsidR="00A724BD">
        <w:rPr>
          <w:i/>
          <w:iCs/>
        </w:rPr>
        <w:t>W</w:t>
      </w:r>
      <w:r w:rsidRPr="007F3C65" w:rsidR="00380322">
        <w:rPr>
          <w:i/>
          <w:iCs/>
        </w:rPr>
        <w:t>indow</w:t>
      </w:r>
      <w:r w:rsidRPr="007F3C65" w:rsidR="00A724BD">
        <w:rPr>
          <w:i/>
          <w:iCs/>
        </w:rPr>
        <w:t xml:space="preserve"> for Eligible C-Band Satellite Operators to Account for Final Phase I Updates to Their Transition Plans</w:t>
      </w:r>
      <w:r w:rsidR="00380322">
        <w:t xml:space="preserve">, </w:t>
      </w:r>
      <w:r w:rsidRPr="00A068BA" w:rsidR="00A724BD">
        <w:t xml:space="preserve">GN Docket Nos. 18-122 and </w:t>
      </w:r>
      <w:r w:rsidRPr="002373A6" w:rsidR="00A724BD">
        <w:t>2</w:t>
      </w:r>
      <w:r w:rsidR="00A724BD">
        <w:t>0</w:t>
      </w:r>
      <w:r w:rsidRPr="002373A6" w:rsidR="00A724BD">
        <w:t>-</w:t>
      </w:r>
      <w:r w:rsidR="00515F22">
        <w:t>173</w:t>
      </w:r>
      <w:r w:rsidRPr="00A068BA" w:rsidR="00A724BD">
        <w:t xml:space="preserve">, Public Notice, </w:t>
      </w:r>
      <w:r w:rsidRPr="000E38DA" w:rsidR="000E38DA">
        <w:t xml:space="preserve">36 FCC </w:t>
      </w:r>
      <w:r w:rsidRPr="000E38DA" w:rsidR="000E38DA">
        <w:t>Rcd</w:t>
      </w:r>
      <w:r w:rsidRPr="000E38DA" w:rsidR="000E38DA">
        <w:t xml:space="preserve"> 13306</w:t>
      </w:r>
      <w:r w:rsidR="000E38DA">
        <w:t xml:space="preserve"> (2021)</w:t>
      </w:r>
      <w:r w:rsidR="00C11105">
        <w:t xml:space="preserve">.  We anticipate opening a </w:t>
      </w:r>
      <w:r w:rsidR="004E7CEA">
        <w:t xml:space="preserve">similar window for any Phase II Transition Plan </w:t>
      </w:r>
      <w:r w:rsidR="00532877">
        <w:t xml:space="preserve">amendments </w:t>
      </w:r>
      <w:r w:rsidR="0071642C">
        <w:t>in conjunction with issuance of our final Phase II Certification procedures</w:t>
      </w:r>
      <w:r w:rsidR="00C0342D">
        <w:t xml:space="preserve"> and incremental reduction plan.</w:t>
      </w:r>
    </w:p>
  </w:footnote>
  <w:footnote w:id="30">
    <w:p w:rsidR="00F63ACA" w:rsidRPr="00F63ACA" w14:paraId="2B50A557" w14:textId="4AFEC98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F441BB">
        <w:t xml:space="preserve">, 36 FCC </w:t>
      </w:r>
      <w:r w:rsidR="00F441BB">
        <w:t>Rcd</w:t>
      </w:r>
      <w:r w:rsidR="00F441BB">
        <w:t xml:space="preserve"> at 12361-62.</w:t>
      </w:r>
    </w:p>
  </w:footnote>
  <w:footnote w:id="31">
    <w:p w:rsidR="00F6096D" w14:paraId="15463FEC" w14:textId="11AAA2D7">
      <w:pPr>
        <w:pStyle w:val="FootnoteText"/>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w:t>
      </w:r>
      <w:r>
        <w:t>0</w:t>
      </w:r>
      <w:r w:rsidRPr="00A433F8">
        <w:t xml:space="preserve">-205, GN Docket No. 20-305, Public Notice, DA </w:t>
      </w:r>
      <w:r>
        <w:t>22-1282</w:t>
      </w:r>
      <w:r w:rsidRPr="00A433F8">
        <w:t xml:space="preserve"> (IB </w:t>
      </w:r>
      <w:r>
        <w:t>Dec. 9</w:t>
      </w:r>
      <w:r w:rsidRPr="00A433F8">
        <w:t>, 202</w:t>
      </w:r>
      <w:r>
        <w:t>2</w:t>
      </w:r>
      <w:r w:rsidRPr="00A433F8">
        <w:t>).</w:t>
      </w:r>
    </w:p>
  </w:footnote>
  <w:footnote w:id="32">
    <w:p w:rsidR="0075582B" w:rsidRPr="001A2786" w:rsidP="0075582B" w14:paraId="29C6A84C" w14:textId="77777777">
      <w:pPr>
        <w:pStyle w:val="FootnoteText"/>
      </w:pPr>
      <w:r>
        <w:rPr>
          <w:rStyle w:val="FootnoteReference"/>
        </w:rPr>
        <w:footnoteRef/>
      </w:r>
      <w:r>
        <w:t xml:space="preserve"> </w:t>
      </w:r>
      <w:r>
        <w:rPr>
          <w:i/>
          <w:iCs/>
        </w:rPr>
        <w:t xml:space="preserve">See generally </w:t>
      </w:r>
      <w:r>
        <w:t xml:space="preserve">Letter from Michelle V. Bryan, General Counsel, Intelsat License LLC, to Marlene H. Dortch, Secretary, FCC, GN Docket Nos. 18-122 and 20-173 (filed Sept. 30, 2022); Letter from Michelle V. Bryan, General Counsel, Intelsat License LLC, to Marlene H. Dortch, Secretary, FCC, GN Docket Nos. 18-122 and 20-173 (filed Dec. 22, 2022) (using color codes to depict changes to previous reporting). </w:t>
      </w:r>
    </w:p>
  </w:footnote>
  <w:footnote w:id="33">
    <w:p w:rsidR="00B6177D" w:rsidRPr="00B6177D" w14:paraId="2450AEFE" w14:textId="53CF56EF">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F441BB">
        <w:t xml:space="preserve">, 36 FCC </w:t>
      </w:r>
      <w:r w:rsidR="00F441BB">
        <w:t>Rcd</w:t>
      </w:r>
      <w:r w:rsidR="00F441BB">
        <w:t xml:space="preserve"> at 12361-62</w:t>
      </w:r>
      <w:r>
        <w:t xml:space="preserve">.  The </w:t>
      </w:r>
      <w:r>
        <w:rPr>
          <w:i/>
          <w:iCs/>
        </w:rPr>
        <w:t xml:space="preserve">3.7 GHz Report and Order </w:t>
      </w:r>
      <w:r>
        <w:t>stated “</w:t>
      </w:r>
      <w:r w:rsidR="00EF64CB">
        <w:t>[o]</w:t>
      </w:r>
      <w:r>
        <w:t>nly</w:t>
      </w:r>
      <w:r>
        <w:t xml:space="preserve"> incumbent earth station transition delays that are beyond the control of the incumbent space station operators will not impact their eligibility for the accelerated relocation payment.</w:t>
      </w:r>
      <w:r w:rsidR="00EF477C">
        <w:t>”</w:t>
      </w:r>
      <w:r>
        <w:t xml:space="preserve"> </w:t>
      </w:r>
      <w:r w:rsidR="00EF477C">
        <w:t xml:space="preserve"> </w:t>
      </w:r>
      <w:r>
        <w:rPr>
          <w:i/>
          <w:iCs/>
        </w:rPr>
        <w:t>3.7 GHz Report and Order</w:t>
      </w:r>
      <w:r>
        <w:t xml:space="preserve">, 35 FCC </w:t>
      </w:r>
      <w:r>
        <w:t>Rcd</w:t>
      </w:r>
      <w:r>
        <w:t xml:space="preserve"> at 2455, para. 294.  </w:t>
      </w:r>
    </w:p>
  </w:footnote>
  <w:footnote w:id="34">
    <w:p w:rsidR="00B6177D" w:rsidRPr="00A96C69" w:rsidP="00B6177D" w14:paraId="0F781786" w14:textId="05C81DDE">
      <w:pPr>
        <w:pStyle w:val="FootnoteText"/>
      </w:pPr>
      <w:r>
        <w:rPr>
          <w:rStyle w:val="FootnoteReference"/>
        </w:rPr>
        <w:footnoteRef/>
      </w:r>
      <w:r>
        <w:rPr>
          <w:i/>
          <w:iCs/>
        </w:rPr>
        <w:t xml:space="preserve"> 3.7 GHz Report and Order</w:t>
      </w:r>
      <w:r>
        <w:t xml:space="preserve">, 35 FCC </w:t>
      </w:r>
      <w:r>
        <w:t>Rcd</w:t>
      </w:r>
      <w:r>
        <w:t xml:space="preserve"> at 2455, para. 294 (“Such a request must include supporting documentation to allow for resolution as soon as practicable and must be submitted before the Accelerated Relocation Deadlines.”). </w:t>
      </w:r>
    </w:p>
  </w:footnote>
  <w:footnote w:id="35">
    <w:p w:rsidR="00DB7287" w14:paraId="21EF8831" w14:textId="164D0EC0">
      <w:pPr>
        <w:pStyle w:val="FootnoteText"/>
      </w:pPr>
      <w:r>
        <w:rPr>
          <w:rStyle w:val="FootnoteReference"/>
        </w:rPr>
        <w:footnoteRef/>
      </w:r>
      <w:r>
        <w:t xml:space="preserve"> </w:t>
      </w:r>
      <w:r w:rsidR="009F0DBD">
        <w:rPr>
          <w:i/>
          <w:iCs/>
        </w:rPr>
        <w:t>Id.</w:t>
      </w:r>
      <w:r w:rsidR="005C458C">
        <w:t xml:space="preserve"> at 2456, para. 298.</w:t>
      </w:r>
    </w:p>
  </w:footnote>
  <w:footnote w:id="36">
    <w:p w:rsidR="00CE4B8C" w:rsidRPr="00241623" w:rsidP="00CE4B8C" w14:paraId="1ED870F7" w14:textId="08E9DF4D">
      <w:pPr>
        <w:pStyle w:val="FootnoteText"/>
      </w:pPr>
      <w:r>
        <w:rPr>
          <w:rStyle w:val="FootnoteReference"/>
        </w:rPr>
        <w:footnoteRef/>
      </w:r>
      <w:r>
        <w:t xml:space="preserve"> 47 CFR § 27.1413(d)</w:t>
      </w:r>
      <w:r w:rsidR="009E18D0">
        <w:t xml:space="preserve">; </w:t>
      </w:r>
      <w:r w:rsidRPr="00505B36" w:rsidR="00A76900">
        <w:rPr>
          <w:i/>
          <w:iCs/>
        </w:rPr>
        <w:t>see e.g.</w:t>
      </w:r>
      <w:r w:rsidR="00A76900">
        <w:t xml:space="preserve">, </w:t>
      </w:r>
      <w:r w:rsidR="009E18D0">
        <w:t xml:space="preserve">Letter from Andrew C. Ely, </w:t>
      </w:r>
      <w:r w:rsidR="00B855C5">
        <w:t>Relocation Coordinator</w:t>
      </w:r>
      <w:r w:rsidR="00122809">
        <w:t>,</w:t>
      </w:r>
      <w:r w:rsidR="00B855C5">
        <w:t xml:space="preserve"> </w:t>
      </w:r>
      <w:r w:rsidR="00122809">
        <w:t>to Marlene H. Dortch, Secretary, FCC, GN Docket Nos. 18-122 and 20-173</w:t>
      </w:r>
      <w:r w:rsidR="00DC5876">
        <w:t xml:space="preserve">, </w:t>
      </w:r>
      <w:r w:rsidR="00DC5876">
        <w:t>Exh</w:t>
      </w:r>
      <w:r w:rsidR="00DC5876">
        <w:t>. E</w:t>
      </w:r>
      <w:r w:rsidR="00122809">
        <w:t xml:space="preserve"> (filed </w:t>
      </w:r>
      <w:r w:rsidR="00DC5876">
        <w:t>Oct. 15</w:t>
      </w:r>
      <w:r w:rsidR="00122809">
        <w:t>, 202</w:t>
      </w:r>
      <w:r w:rsidR="00DC5876">
        <w:t>1</w:t>
      </w:r>
      <w:r w:rsidR="00122809">
        <w:t>)</w:t>
      </w:r>
      <w:r w:rsidR="00DC5876">
        <w:t xml:space="preserve"> (showing a complete claims </w:t>
      </w:r>
      <w:r w:rsidR="00101F4B">
        <w:t xml:space="preserve">and assignment </w:t>
      </w:r>
      <w:r w:rsidR="00DC5876">
        <w:t>list for Phase I).</w:t>
      </w:r>
    </w:p>
  </w:footnote>
  <w:footnote w:id="37">
    <w:p w:rsidR="00C013C4" w:rsidP="00C013C4" w14:paraId="1AF7825B" w14:textId="3AF03650">
      <w:pPr>
        <w:pStyle w:val="FootnoteText"/>
      </w:pPr>
      <w:r w:rsidRPr="00913372">
        <w:rPr>
          <w:rStyle w:val="FootnoteReference"/>
        </w:rPr>
        <w:footnoteRef/>
      </w:r>
      <w:r w:rsidRPr="00A96C69">
        <w:rPr>
          <w:rStyle w:val="FootnoteReference"/>
        </w:rPr>
        <w:t xml:space="preserve"> </w:t>
      </w:r>
      <w:r w:rsidR="00DD254F">
        <w:rPr>
          <w:i/>
          <w:iCs/>
        </w:rPr>
        <w:t>3.7 GHz Report and Order</w:t>
      </w:r>
      <w:r w:rsidR="00DD254F">
        <w:t xml:space="preserve">, 35 FCC </w:t>
      </w:r>
      <w:r w:rsidR="00DD254F">
        <w:t>Rcd</w:t>
      </w:r>
      <w:r w:rsidR="00DD254F">
        <w:t xml:space="preserve"> at 2455, para. 294 </w:t>
      </w:r>
      <w:r w:rsidRPr="00E145F4">
        <w:t>(</w:t>
      </w:r>
      <w:r w:rsidR="00640191">
        <w:t>“</w:t>
      </w:r>
      <w:r w:rsidRPr="00E145F4">
        <w:t>Eligible space station operators are responsible for all necessary actions</w:t>
      </w:r>
      <w:r w:rsidR="00C0526A">
        <w:t xml:space="preserve"> . . . </w:t>
      </w:r>
      <w:r w:rsidRPr="00E145F4">
        <w:t>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rsidR="00640191">
        <w:t>”</w:t>
      </w:r>
      <w:r w:rsidRPr="00E145F4">
        <w:t>).</w:t>
      </w:r>
      <w:r>
        <w:t xml:space="preserve">  The obligation to remediate is independent from, and without prejudice to, any determination that the Certification (or any subsequent remediation effort) was made in bad faith. </w:t>
      </w:r>
    </w:p>
  </w:footnote>
  <w:footnote w:id="38">
    <w:p w:rsidR="00342BFE" w14:paraId="2A4EC7B1" w14:textId="62800AB6">
      <w:pPr>
        <w:pStyle w:val="FootnoteText"/>
      </w:pPr>
      <w:r>
        <w:rPr>
          <w:rStyle w:val="FootnoteReference"/>
        </w:rPr>
        <w:footnoteRef/>
      </w:r>
      <w:r w:rsidR="00591550">
        <w:t xml:space="preserve"> </w:t>
      </w:r>
      <w:r w:rsidR="00591550">
        <w:rPr>
          <w:i/>
          <w:iCs/>
        </w:rPr>
        <w:t xml:space="preserve">Eutelsat </w:t>
      </w:r>
      <w:r w:rsidR="00A00018">
        <w:rPr>
          <w:i/>
          <w:iCs/>
        </w:rPr>
        <w:t xml:space="preserve">Phase I </w:t>
      </w:r>
      <w:r w:rsidR="00591550">
        <w:rPr>
          <w:i/>
          <w:iCs/>
        </w:rPr>
        <w:t>Certification Order</w:t>
      </w:r>
      <w:r w:rsidR="00433589">
        <w:t xml:space="preserve">, 36 FCC </w:t>
      </w:r>
      <w:r w:rsidR="00433589">
        <w:t>Rcd</w:t>
      </w:r>
      <w:r w:rsidR="00433589">
        <w:t xml:space="preserve"> at </w:t>
      </w:r>
      <w:r w:rsidR="00046EF1">
        <w:t>15301-</w:t>
      </w:r>
      <w:r w:rsidR="00847E9E">
        <w:t>302</w:t>
      </w:r>
      <w:r w:rsidRPr="00FE3A0D" w:rsidR="00591550">
        <w:t xml:space="preserve">; </w:t>
      </w:r>
      <w:r w:rsidRPr="00135288" w:rsidR="00591550">
        <w:rPr>
          <w:i/>
          <w:iCs/>
        </w:rPr>
        <w:t xml:space="preserve">Embratel </w:t>
      </w:r>
      <w:r w:rsidR="00A00018">
        <w:rPr>
          <w:i/>
          <w:iCs/>
        </w:rPr>
        <w:t xml:space="preserve">Phase I </w:t>
      </w:r>
      <w:r w:rsidRPr="00135288" w:rsidR="00591550">
        <w:rPr>
          <w:i/>
          <w:iCs/>
        </w:rPr>
        <w:t>Certification Order</w:t>
      </w:r>
      <w:r w:rsidR="00E60020">
        <w:t xml:space="preserve">, 36 FCC </w:t>
      </w:r>
      <w:r w:rsidR="00E60020">
        <w:t>Rcd</w:t>
      </w:r>
      <w:r w:rsidR="00E60020">
        <w:t xml:space="preserve"> at 15838-39</w:t>
      </w:r>
      <w:r w:rsidRPr="00FE3A0D" w:rsidR="00591550">
        <w:t>;</w:t>
      </w:r>
      <w:r w:rsidR="00591550">
        <w:t xml:space="preserve"> </w:t>
      </w:r>
      <w:r w:rsidRPr="000715EC" w:rsidR="00591550">
        <w:rPr>
          <w:i/>
          <w:iCs/>
        </w:rPr>
        <w:t xml:space="preserve">Intelsat </w:t>
      </w:r>
      <w:r w:rsidR="00A00018">
        <w:rPr>
          <w:i/>
          <w:iCs/>
        </w:rPr>
        <w:t xml:space="preserve">Phase I </w:t>
      </w:r>
      <w:r w:rsidRPr="000715EC" w:rsidR="00591550">
        <w:rPr>
          <w:i/>
          <w:iCs/>
        </w:rPr>
        <w:t>Certification</w:t>
      </w:r>
      <w:r w:rsidR="00591550">
        <w:rPr>
          <w:i/>
          <w:iCs/>
        </w:rPr>
        <w:t xml:space="preserve"> Order</w:t>
      </w:r>
      <w:r w:rsidR="00B723A5">
        <w:t xml:space="preserve">, 36 FCC </w:t>
      </w:r>
      <w:r w:rsidR="00B723A5">
        <w:t>Rcd</w:t>
      </w:r>
      <w:r w:rsidR="00B723A5">
        <w:t xml:space="preserve"> at 15849</w:t>
      </w:r>
      <w:r w:rsidRPr="00FE3A0D" w:rsidR="00591550">
        <w:t>;</w:t>
      </w:r>
      <w:r w:rsidR="00591550">
        <w:t xml:space="preserve"> </w:t>
      </w:r>
      <w:r w:rsidRPr="000715EC" w:rsidR="00591550">
        <w:rPr>
          <w:i/>
          <w:iCs/>
        </w:rPr>
        <w:t>Telesat</w:t>
      </w:r>
      <w:r w:rsidRPr="000715EC" w:rsidR="00591550">
        <w:rPr>
          <w:i/>
          <w:iCs/>
        </w:rPr>
        <w:t xml:space="preserve"> </w:t>
      </w:r>
      <w:r w:rsidR="00A00018">
        <w:rPr>
          <w:i/>
          <w:iCs/>
        </w:rPr>
        <w:t xml:space="preserve">Phase I </w:t>
      </w:r>
      <w:r w:rsidRPr="000715EC" w:rsidR="00591550">
        <w:rPr>
          <w:i/>
          <w:iCs/>
        </w:rPr>
        <w:t>Certification Order</w:t>
      </w:r>
      <w:r w:rsidR="005349ED">
        <w:t xml:space="preserve">, 36 FCC </w:t>
      </w:r>
      <w:r w:rsidR="005349ED">
        <w:t>Rcd</w:t>
      </w:r>
      <w:r w:rsidR="005349ED">
        <w:t xml:space="preserve"> at 16215</w:t>
      </w:r>
      <w:r w:rsidRPr="00FE3A0D" w:rsidR="00591550">
        <w:t>;</w:t>
      </w:r>
      <w:r w:rsidR="00591550">
        <w:t xml:space="preserve"> </w:t>
      </w:r>
      <w:r w:rsidR="00591550">
        <w:rPr>
          <w:i/>
          <w:iCs/>
        </w:rPr>
        <w:t xml:space="preserve">SES </w:t>
      </w:r>
      <w:r w:rsidR="00A00018">
        <w:rPr>
          <w:i/>
          <w:iCs/>
        </w:rPr>
        <w:t xml:space="preserve">Phase I </w:t>
      </w:r>
      <w:r w:rsidR="00591550">
        <w:rPr>
          <w:i/>
          <w:iCs/>
        </w:rPr>
        <w:t>Certification Order</w:t>
      </w:r>
      <w:r w:rsidR="00A83BC8">
        <w:t xml:space="preserve">, 36 FCC </w:t>
      </w:r>
      <w:r w:rsidR="00A83BC8">
        <w:t>Rcd</w:t>
      </w:r>
      <w:r w:rsidR="00A83BC8">
        <w:t xml:space="preserve"> at 16436-37</w:t>
      </w:r>
      <w:r w:rsidR="00591550">
        <w:t>.</w:t>
      </w:r>
    </w:p>
  </w:footnote>
  <w:footnote w:id="39">
    <w:p w:rsidR="004B4B32" w:rsidRPr="00734803" w:rsidP="004B4B32" w14:paraId="2BD17F5A" w14:textId="77777777">
      <w:pPr>
        <w:pStyle w:val="FootnoteText"/>
      </w:pPr>
      <w:r>
        <w:rPr>
          <w:rStyle w:val="FootnoteReference"/>
        </w:rPr>
        <w:footnoteRef/>
      </w:r>
      <w:r>
        <w:rPr>
          <w:i/>
          <w:iCs/>
        </w:rPr>
        <w:t xml:space="preserve"> 3.7 GHz Report and </w:t>
      </w:r>
      <w:r w:rsidRPr="00472103">
        <w:rPr>
          <w:i/>
          <w:iCs/>
        </w:rPr>
        <w:t>Order</w:t>
      </w:r>
      <w:r w:rsidRPr="001E4335">
        <w:t>,</w:t>
      </w:r>
      <w:r>
        <w:rPr>
          <w:i/>
          <w:iCs/>
        </w:rPr>
        <w:t xml:space="preserve"> </w:t>
      </w:r>
      <w:r>
        <w:t xml:space="preserve">35 FCC </w:t>
      </w:r>
      <w:r>
        <w:t>Rcd</w:t>
      </w:r>
      <w:r>
        <w:t xml:space="preserve"> at 2457, para. 299; 47 CFR § 27.1412(g)(2). </w:t>
      </w:r>
    </w:p>
  </w:footnote>
  <w:footnote w:id="40">
    <w:p w:rsidR="004B4B32" w:rsidRPr="00D65D19" w:rsidP="004B4B32" w14:paraId="1F0F6202" w14:textId="59BE6467">
      <w:pPr>
        <w:pStyle w:val="FootnoteText"/>
      </w:pPr>
      <w:r>
        <w:rPr>
          <w:rStyle w:val="FootnoteReference"/>
        </w:rPr>
        <w:footnoteRef/>
      </w:r>
      <w:r>
        <w:t xml:space="preserve"> </w:t>
      </w:r>
      <w:r w:rsidRPr="006457E2">
        <w:rPr>
          <w:i/>
          <w:iCs/>
        </w:rPr>
        <w:t>Phase I</w:t>
      </w:r>
      <w:r>
        <w:t xml:space="preserve"> </w:t>
      </w:r>
      <w:r>
        <w:rPr>
          <w:i/>
          <w:iCs/>
        </w:rPr>
        <w:t>Incremental Reduction Plan</w:t>
      </w:r>
      <w:r w:rsidRPr="00A068BA">
        <w:rPr>
          <w:i/>
          <w:iCs/>
        </w:rPr>
        <w:t xml:space="preserve"> PN</w:t>
      </w:r>
      <w:r>
        <w:t xml:space="preserve">; </w:t>
      </w:r>
      <w:r>
        <w:rPr>
          <w:i/>
          <w:iCs/>
        </w:rPr>
        <w:t>see also Wireless Telecommunications Bureau Seeks Comment on Implementation of the Commission’s Incremental Reduction Plan for Phase I Accelerated Relocation Payments</w:t>
      </w:r>
      <w:r>
        <w:t xml:space="preserve">, GN Docket Nos. 18-122 and 21-320, Public Notice, </w:t>
      </w:r>
      <w:r w:rsidR="00882B83">
        <w:t xml:space="preserve">36 FCC </w:t>
      </w:r>
      <w:r w:rsidR="00882B83">
        <w:t>Rcd</w:t>
      </w:r>
      <w:r w:rsidR="00882B83">
        <w:t xml:space="preserve"> 12366</w:t>
      </w:r>
      <w:r>
        <w:t xml:space="preserve"> </w:t>
      </w:r>
      <w:r w:rsidRPr="00A068BA">
        <w:t>(WTB 2021)</w:t>
      </w:r>
      <w:r>
        <w:t>.</w:t>
      </w:r>
    </w:p>
  </w:footnote>
  <w:footnote w:id="41">
    <w:p w:rsidR="00DF10E2" w:rsidRPr="00E45F39" w:rsidP="00DF10E2" w14:paraId="51EA73F3" w14:textId="77777777">
      <w:pPr>
        <w:pStyle w:val="FootnoteText"/>
      </w:pPr>
      <w:r w:rsidRPr="00E45F39">
        <w:rPr>
          <w:rStyle w:val="FootnoteReference"/>
        </w:rPr>
        <w:footnoteRef/>
      </w:r>
      <w:r w:rsidRPr="00E45F39">
        <w:t xml:space="preserve"> 5 U.S.C. § 603.  The RFA, 5 U.S.C. §§ 601–612, was amended by the Small Business Regulatory Enforcement Fairness Act of 1996 (SBREFA), Pub. L. No. 104-121, Title II, 110 Stat. 857 (1996).</w:t>
      </w:r>
    </w:p>
  </w:footnote>
  <w:footnote w:id="42">
    <w:p w:rsidR="00DF10E2" w:rsidRPr="00E45F39" w:rsidP="00DF10E2" w14:paraId="2A6F0E0A" w14:textId="42071B65">
      <w:pPr>
        <w:pStyle w:val="FootnoteText"/>
      </w:pPr>
      <w:r w:rsidRPr="00E45F39">
        <w:rPr>
          <w:rStyle w:val="FootnoteReference"/>
        </w:rPr>
        <w:footnoteRef/>
      </w:r>
      <w:r w:rsidRPr="00E45F39">
        <w:t xml:space="preserve"> </w:t>
      </w:r>
      <w:r w:rsidRPr="00F97AD4" w:rsidR="00F97AD4">
        <w:t xml:space="preserve"> </w:t>
      </w:r>
      <w:r w:rsidRPr="00BC60CB" w:rsidR="00F97AD4">
        <w:rPr>
          <w:i/>
          <w:iCs/>
        </w:rPr>
        <w:t>Id</w:t>
      </w:r>
      <w:r w:rsidRPr="00BC60CB">
        <w:rPr>
          <w:i/>
          <w:iCs/>
        </w:rPr>
        <w:t>.</w:t>
      </w:r>
      <w:r w:rsidRPr="00E45F39">
        <w:t xml:space="preserve"> § 605(b).  </w:t>
      </w:r>
    </w:p>
  </w:footnote>
  <w:footnote w:id="43">
    <w:p w:rsidR="00DF10E2" w:rsidRPr="00E45F39" w:rsidP="00DF10E2" w14:paraId="017A6A88" w14:textId="77777777">
      <w:pPr>
        <w:pStyle w:val="FootnoteText"/>
      </w:pPr>
      <w:r w:rsidRPr="00E45F39">
        <w:rPr>
          <w:rStyle w:val="FootnoteReference"/>
        </w:rPr>
        <w:footnoteRef/>
      </w:r>
      <w:r w:rsidRPr="00E45F39">
        <w:t xml:space="preserve"> </w:t>
      </w:r>
      <w:r w:rsidRPr="00E45F39">
        <w:rPr>
          <w:i/>
          <w:iCs/>
        </w:rPr>
        <w:t>Id.</w:t>
      </w:r>
    </w:p>
  </w:footnote>
  <w:footnote w:id="44">
    <w:p w:rsidR="009B434F" w:rsidRPr="00526349" w:rsidP="009B434F" w14:paraId="7A0169AA"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45">
    <w:p w:rsidR="009B434F" w:rsidRPr="0014668A" w:rsidP="009B434F" w14:paraId="233F88A2" w14:textId="77777777">
      <w:pPr>
        <w:pStyle w:val="FootnoteText"/>
      </w:pPr>
      <w:r>
        <w:rPr>
          <w:rStyle w:val="FootnoteReference"/>
        </w:rPr>
        <w:footnoteRef/>
      </w:r>
      <w:r>
        <w:t xml:space="preserve"> </w:t>
      </w:r>
      <w:r>
        <w:rPr>
          <w:i/>
          <w:iCs/>
        </w:rPr>
        <w:t>Id.</w:t>
      </w:r>
      <w:r>
        <w:t xml:space="preserve"> § 1.1206(b). </w:t>
      </w:r>
    </w:p>
  </w:footnote>
  <w:footnote w:id="46">
    <w:p w:rsidR="00DF10E2" w:rsidRPr="00E45F39" w:rsidP="00DF10E2" w14:paraId="5FF124C7" w14:textId="77777777">
      <w:pPr>
        <w:pStyle w:val="FootnoteText"/>
      </w:pPr>
      <w:r w:rsidRPr="00E45F39">
        <w:rPr>
          <w:rStyle w:val="FootnoteReference"/>
        </w:rPr>
        <w:footnoteRef/>
      </w:r>
      <w:r w:rsidRPr="00E45F39">
        <w:t xml:space="preserve"> </w:t>
      </w:r>
      <w:r>
        <w:rPr>
          <w:i/>
        </w:rPr>
        <w:t>S</w:t>
      </w:r>
      <w:r w:rsidRPr="00E45F39">
        <w:rPr>
          <w:i/>
        </w:rPr>
        <w:t xml:space="preserve">ee </w:t>
      </w:r>
      <w:r w:rsidRPr="00E45F39">
        <w:t>5 U.S.C. §§ 601–612</w:t>
      </w:r>
      <w:r>
        <w:t xml:space="preserve">. </w:t>
      </w:r>
      <w:r w:rsidRPr="001D4FBF">
        <w:t xml:space="preserve"> </w:t>
      </w:r>
      <w:r w:rsidRPr="00E45F39">
        <w:t>The RFA has been amended by the Small Business Regulatory Enforcement Fairness Act of 1996 (SBREFA), Pub. L. No. 104-121, Title II, 110 Stat. 857 (1996).</w:t>
      </w:r>
    </w:p>
  </w:footnote>
  <w:footnote w:id="47">
    <w:p w:rsidR="00DF10E2" w:rsidRPr="00E45F39" w:rsidP="00DF10E2" w14:paraId="411CDF74" w14:textId="59089D20">
      <w:pPr>
        <w:pStyle w:val="FootnoteText"/>
      </w:pPr>
      <w:r w:rsidRPr="00E45F39">
        <w:rPr>
          <w:rStyle w:val="FootnoteReference"/>
        </w:rPr>
        <w:footnoteRef/>
      </w:r>
      <w:r w:rsidR="00E96737">
        <w:t xml:space="preserve"> </w:t>
      </w:r>
      <w:r w:rsidR="00E96737">
        <w:rPr>
          <w:i/>
          <w:iCs/>
        </w:rPr>
        <w:t>Id</w:t>
      </w:r>
      <w:r w:rsidRPr="00E45F39">
        <w:t>. § 605(b).</w:t>
      </w:r>
    </w:p>
  </w:footnote>
  <w:footnote w:id="48">
    <w:p w:rsidR="00DF10E2" w:rsidRPr="00E45F39" w:rsidP="00DF10E2" w14:paraId="0BB533F8" w14:textId="3A80C4F1">
      <w:pPr>
        <w:pStyle w:val="FootnoteText"/>
      </w:pPr>
      <w:r w:rsidRPr="00E45F39">
        <w:rPr>
          <w:rStyle w:val="FootnoteReference"/>
        </w:rPr>
        <w:footnoteRef/>
      </w:r>
      <w:r w:rsidRPr="00E45F39">
        <w:t xml:space="preserve"> </w:t>
      </w:r>
      <w:r w:rsidR="00E96737">
        <w:rPr>
          <w:i/>
          <w:iCs/>
        </w:rPr>
        <w:t>Id</w:t>
      </w:r>
      <w:r w:rsidRPr="00E45F39" w:rsidR="00E96737">
        <w:t>.</w:t>
      </w:r>
      <w:r w:rsidRPr="00E45F39">
        <w:t xml:space="preserve"> § 601(6).</w:t>
      </w:r>
    </w:p>
  </w:footnote>
  <w:footnote w:id="49">
    <w:p w:rsidR="00DF10E2" w:rsidRPr="00E45F39" w:rsidP="00DF10E2" w14:paraId="419767DE" w14:textId="408098D4">
      <w:pPr>
        <w:pStyle w:val="FootnoteText"/>
      </w:pPr>
      <w:r w:rsidRPr="00E45F39">
        <w:rPr>
          <w:rStyle w:val="FootnoteReference"/>
        </w:rPr>
        <w:footnoteRef/>
      </w:r>
      <w:r w:rsidRPr="00E45F39">
        <w:t xml:space="preserve"> </w:t>
      </w:r>
      <w:r w:rsidR="00E96737">
        <w:rPr>
          <w:i/>
          <w:iCs/>
        </w:rPr>
        <w:t>Id</w:t>
      </w:r>
      <w:r w:rsidRPr="00E45F39" w:rsidR="00E96737">
        <w:t>.</w:t>
      </w:r>
      <w:r w:rsidRPr="00E45F39">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0">
    <w:p w:rsidR="00DF10E2" w:rsidRPr="00E45F39" w:rsidP="00DF10E2" w14:paraId="68788105" w14:textId="77777777">
      <w:pPr>
        <w:pStyle w:val="FootnoteText"/>
      </w:pPr>
      <w:r w:rsidRPr="00E45F39">
        <w:rPr>
          <w:rStyle w:val="FootnoteReference"/>
        </w:rPr>
        <w:footnoteRef/>
      </w:r>
      <w:r w:rsidRPr="00E45F39">
        <w:t xml:space="preserve"> 15 U.S.C. § 632.</w:t>
      </w:r>
    </w:p>
  </w:footnote>
  <w:footnote w:id="51">
    <w:p w:rsidR="009D3DA5" w:rsidP="009D3DA5" w14:paraId="0B526122" w14:textId="77777777">
      <w:pPr>
        <w:pStyle w:val="FootnoteText"/>
      </w:pPr>
      <w:r>
        <w:rPr>
          <w:rStyle w:val="FootnoteReference"/>
        </w:rPr>
        <w:footnoteRef/>
      </w:r>
      <w:r>
        <w:t xml:space="preserve"> 5 U.S.C.</w:t>
      </w:r>
      <w:r>
        <w:rPr>
          <w:i/>
          <w:iCs/>
        </w:rPr>
        <w:t xml:space="preserve"> </w:t>
      </w:r>
      <w:r>
        <w:t xml:space="preserve">§ 603, </w:t>
      </w:r>
      <w:r>
        <w:rPr>
          <w:i/>
        </w:rPr>
        <w:t>et seq</w:t>
      </w:r>
      <w:r>
        <w:t xml:space="preserve">.  </w:t>
      </w:r>
      <w:r>
        <w:rPr>
          <w:i/>
        </w:rPr>
        <w:t>See also Mid-</w:t>
      </w:r>
      <w:r>
        <w:rPr>
          <w:i/>
        </w:rPr>
        <w:t>Tex</w:t>
      </w:r>
      <w:r>
        <w:rPr>
          <w:i/>
        </w:rPr>
        <w:t xml:space="preserve"> Electric Cooperative, Inc., v. FERC</w:t>
      </w:r>
      <w:r>
        <w:t>, 773 F.2d 327, 342-343 (D.C. Cir. 1985) (</w:t>
      </w:r>
      <w:r>
        <w:rPr>
          <w:i/>
        </w:rPr>
        <w:t>Mid-</w:t>
      </w:r>
      <w:r>
        <w:rPr>
          <w:i/>
        </w:rPr>
        <w:t>Tex</w:t>
      </w:r>
      <w:r>
        <w:rPr>
          <w:i/>
        </w:rPr>
        <w:t xml:space="preserve"> Electric</w:t>
      </w:r>
      <w:r>
        <w:t xml:space="preserve">).  </w:t>
      </w:r>
    </w:p>
  </w:footnote>
  <w:footnote w:id="52">
    <w:p w:rsidR="00DF10E2" w:rsidP="00DF10E2" w14:paraId="71FA80B1" w14:textId="77777777">
      <w:pPr>
        <w:pStyle w:val="FootnoteText"/>
      </w:pPr>
      <w:r>
        <w:rPr>
          <w:rStyle w:val="FootnoteReference"/>
        </w:rPr>
        <w:footnoteRef/>
      </w:r>
      <w:r>
        <w:t xml:space="preserve"> 47 CFR </w:t>
      </w:r>
      <w:r w:rsidRPr="0022310A">
        <w:rPr>
          <w:szCs w:val="22"/>
        </w:rPr>
        <w:t>§</w:t>
      </w:r>
      <w:r>
        <w:rPr>
          <w:szCs w:val="22"/>
        </w:rPr>
        <w:t xml:space="preserve"> 27.1412(g).</w:t>
      </w:r>
    </w:p>
  </w:footnote>
  <w:footnote w:id="53">
    <w:p w:rsidR="00DF10E2" w:rsidP="00DF10E2" w14:paraId="32280B60" w14:textId="77777777">
      <w:pPr>
        <w:pStyle w:val="FootnoteText"/>
      </w:pPr>
      <w:r>
        <w:rPr>
          <w:rStyle w:val="FootnoteReference"/>
        </w:rPr>
        <w:footnoteRef/>
      </w:r>
      <w:r>
        <w:t xml:space="preserve"> </w:t>
      </w:r>
      <w:r w:rsidRPr="00A068BA">
        <w:rPr>
          <w:i/>
          <w:iCs/>
        </w:rPr>
        <w:t>See</w:t>
      </w:r>
      <w:r w:rsidRPr="0083503F">
        <w:t xml:space="preserve"> </w:t>
      </w:r>
      <w:r w:rsidRPr="00A068BA">
        <w:rPr>
          <w:i/>
          <w:iCs/>
        </w:rPr>
        <w:t>The Wireless Telecommunication</w:t>
      </w:r>
      <w:r>
        <w:rPr>
          <w:i/>
          <w:iCs/>
        </w:rPr>
        <w:t>s</w:t>
      </w:r>
      <w:r w:rsidRPr="00A068BA">
        <w:rPr>
          <w:i/>
          <w:iCs/>
        </w:rPr>
        <w:t xml:space="preserve"> Bureau Opens a New Docket and Establishes the Process for C-band Space Station Operator </w:t>
      </w:r>
      <w:r>
        <w:rPr>
          <w:i/>
          <w:iCs/>
        </w:rPr>
        <w:t xml:space="preserve">Phase I </w:t>
      </w:r>
      <w:r w:rsidRPr="00A068BA">
        <w:rPr>
          <w:i/>
          <w:iCs/>
        </w:rPr>
        <w:t>Certification of Accelerated Relocation</w:t>
      </w:r>
      <w:r w:rsidRPr="00A068BA">
        <w:t xml:space="preserve">, GN Docket Nos. 18-122 and </w:t>
      </w:r>
      <w:r w:rsidRPr="002373A6">
        <w:t>21-</w:t>
      </w:r>
      <w:r>
        <w:t>320</w:t>
      </w:r>
      <w:r w:rsidRPr="00A068BA">
        <w:t xml:space="preserve">, Public Notice, </w:t>
      </w:r>
      <w:r>
        <w:t xml:space="preserve">36 FCC 12359 </w:t>
      </w:r>
      <w:r w:rsidRPr="00A068BA">
        <w:t>(WTB 2021) (</w:t>
      </w:r>
      <w:r w:rsidRPr="006457E2">
        <w:rPr>
          <w:i/>
          <w:iCs/>
        </w:rPr>
        <w:t>Phase I</w:t>
      </w:r>
      <w:r>
        <w:t xml:space="preserve"> </w:t>
      </w:r>
      <w:r w:rsidRPr="00A068BA">
        <w:rPr>
          <w:i/>
          <w:iCs/>
        </w:rPr>
        <w:t>ARP Certification Procedures PN</w:t>
      </w:r>
      <w:r w:rsidRPr="00A068BA">
        <w:t>).</w:t>
      </w:r>
    </w:p>
  </w:footnote>
  <w:footnote w:id="54">
    <w:p w:rsidR="00DF10E2" w:rsidRPr="002E1453" w:rsidP="00DF10E2" w14:paraId="45492C21" w14:textId="77777777">
      <w:pPr>
        <w:pStyle w:val="FootnoteText"/>
      </w:pPr>
      <w:r>
        <w:rPr>
          <w:rStyle w:val="FootnoteReference"/>
        </w:rPr>
        <w:footnoteRef/>
      </w:r>
      <w:r>
        <w:t xml:space="preserve"> </w:t>
      </w:r>
      <w:r>
        <w:rPr>
          <w:i/>
          <w:iCs/>
        </w:rPr>
        <w:t xml:space="preserve">See </w:t>
      </w:r>
      <w:r w:rsidRPr="00A068BA">
        <w:rPr>
          <w:i/>
          <w:iCs/>
        </w:rPr>
        <w:t>Wireless Telecommunication</w:t>
      </w:r>
      <w:r>
        <w:rPr>
          <w:i/>
          <w:iCs/>
        </w:rPr>
        <w:t>s</w:t>
      </w:r>
      <w:r w:rsidRPr="00A068BA">
        <w:rPr>
          <w:i/>
          <w:iCs/>
        </w:rPr>
        <w:t xml:space="preserve"> Bureau</w:t>
      </w:r>
      <w:r>
        <w:rPr>
          <w:i/>
          <w:iCs/>
        </w:rPr>
        <w:t xml:space="preserve"> Announces Implementation of the Commission’s Incremental Reduction Plan for Phase I Accelerated Relocation Payments</w:t>
      </w:r>
      <w:r>
        <w:t xml:space="preserve">, </w:t>
      </w:r>
      <w:r w:rsidRPr="00A068BA">
        <w:t xml:space="preserve">GN Docket Nos. 18-122 and </w:t>
      </w:r>
      <w:r w:rsidRPr="002373A6">
        <w:t>21-</w:t>
      </w:r>
      <w:r>
        <w:t>320</w:t>
      </w:r>
      <w:r w:rsidRPr="00A068BA">
        <w:t xml:space="preserve">, Public Notice, </w:t>
      </w:r>
      <w:r>
        <w:t xml:space="preserve">36 FCC </w:t>
      </w:r>
      <w:r>
        <w:t>Rcd</w:t>
      </w:r>
      <w:r>
        <w:t xml:space="preserve"> 14012 </w:t>
      </w:r>
      <w:r w:rsidRPr="00A068BA">
        <w:t>(WTB 2021) (</w:t>
      </w:r>
      <w:r w:rsidRPr="006457E2">
        <w:rPr>
          <w:i/>
          <w:iCs/>
        </w:rPr>
        <w:t>Phase I</w:t>
      </w:r>
      <w:r>
        <w:t xml:space="preserve"> </w:t>
      </w:r>
      <w:r>
        <w:rPr>
          <w:i/>
          <w:iCs/>
        </w:rPr>
        <w:t>Incremental Reduction Plan</w:t>
      </w:r>
      <w:r w:rsidRPr="00A068BA">
        <w:rPr>
          <w:i/>
          <w:iCs/>
        </w:rPr>
        <w:t xml:space="preserve"> PN</w:t>
      </w:r>
      <w:r w:rsidRPr="00A068BA">
        <w:t>)</w:t>
      </w:r>
      <w:r>
        <w:t xml:space="preserve">; </w:t>
      </w:r>
      <w:r w:rsidRPr="00211C8E">
        <w:rPr>
          <w:i/>
          <w:iCs/>
        </w:rPr>
        <w:t>Expanding Flexible Use of the 3.7 to 4.2 GHz Band, Report and Order and Proposed Modification</w:t>
      </w:r>
      <w:r>
        <w:t xml:space="preserve">, 35 FCC </w:t>
      </w:r>
      <w:r>
        <w:t>Rcd</w:t>
      </w:r>
      <w:r>
        <w:t xml:space="preserve"> 2343, 2456, para. 297 (2020) (</w:t>
      </w:r>
      <w:r w:rsidRPr="00211C8E">
        <w:rPr>
          <w:i/>
          <w:iCs/>
        </w:rPr>
        <w:t>3.7 GHz Report and Order</w:t>
      </w:r>
      <w:r>
        <w:t>).</w:t>
      </w:r>
    </w:p>
  </w:footnote>
  <w:footnote w:id="55">
    <w:p w:rsidR="00DF10E2" w:rsidP="00DF10E2" w14:paraId="232EC80E" w14:textId="77777777">
      <w:pPr>
        <w:pStyle w:val="FootnoteText"/>
      </w:pPr>
      <w:r>
        <w:rPr>
          <w:rStyle w:val="FootnoteReference"/>
        </w:rPr>
        <w:footnoteRef/>
      </w:r>
      <w:r>
        <w:t xml:space="preserve"> </w:t>
      </w:r>
      <w:bookmarkStart w:id="5" w:name="_Hlk103344633"/>
      <w:r w:rsidRPr="00DA5BC7">
        <w:rPr>
          <w:i/>
          <w:iCs/>
        </w:rPr>
        <w:t xml:space="preserve">See </w:t>
      </w:r>
      <w:r w:rsidRPr="006C4939">
        <w:t>OMB Approvals for Non-Substantive Changes to Currently Approved Information Collections (OMB Control No. 3060-0</w:t>
      </w:r>
      <w:r>
        <w:t>678</w:t>
      </w:r>
      <w:r w:rsidRPr="006C4939">
        <w:t xml:space="preserve">), </w:t>
      </w:r>
      <w:r>
        <w:t>July 16, 2021</w:t>
      </w:r>
      <w:r w:rsidRPr="006C4939">
        <w:t>.</w:t>
      </w:r>
      <w:r>
        <w:t xml:space="preserve"> </w:t>
      </w:r>
      <w:bookmarkEnd w:id="5"/>
    </w:p>
  </w:footnote>
  <w:footnote w:id="56">
    <w:p w:rsidR="00FC0C6E" w14:paraId="297E97D2" w14:textId="08C5C3AE">
      <w:pPr>
        <w:pStyle w:val="FootnoteText"/>
      </w:pPr>
      <w:r>
        <w:rPr>
          <w:rStyle w:val="FootnoteReference"/>
        </w:rPr>
        <w:footnoteRef/>
      </w:r>
      <w:r>
        <w:t xml:space="preserve"> </w:t>
      </w:r>
      <w:r>
        <w:rPr>
          <w:i/>
          <w:iCs/>
        </w:rPr>
        <w:t xml:space="preserve">Expanding Flexible Use of the 3.7 to 4.2 GHz Band, Phase I Certification of Accelerated Relocation </w:t>
      </w:r>
      <w:r w:rsidRPr="004A2E8F">
        <w:rPr>
          <w:i/>
          <w:iCs/>
        </w:rPr>
        <w:t>Satélites</w:t>
      </w:r>
      <w:r>
        <w:rPr>
          <w:i/>
          <w:iCs/>
        </w:rPr>
        <w:t xml:space="preserve"> </w:t>
      </w:r>
      <w:r>
        <w:rPr>
          <w:i/>
          <w:iCs/>
        </w:rPr>
        <w:t>Mexicanos</w:t>
      </w:r>
      <w:r>
        <w:rPr>
          <w:i/>
          <w:iCs/>
        </w:rPr>
        <w:t xml:space="preserve"> S.A. de C.V. d/b/a Eutelsat Americas</w:t>
      </w:r>
      <w:r w:rsidRPr="00FE3A0D">
        <w:t xml:space="preserve">, GN Docket Nos. 18-122 and 21-320, Order, </w:t>
      </w:r>
      <w:r>
        <w:t xml:space="preserve">36 FCC </w:t>
      </w:r>
      <w:r>
        <w:t>Rcd</w:t>
      </w:r>
      <w:r>
        <w:t xml:space="preserve"> 15297 </w:t>
      </w:r>
      <w:r w:rsidRPr="00FE3A0D">
        <w:t>(WTB 2021)</w:t>
      </w:r>
      <w:r>
        <w:t xml:space="preserve"> (</w:t>
      </w:r>
      <w:r>
        <w:rPr>
          <w:i/>
          <w:iCs/>
        </w:rPr>
        <w:t>Eutelsat Phase I Certification Order</w:t>
      </w:r>
      <w:r>
        <w:t>)</w:t>
      </w:r>
      <w:r w:rsidRPr="00FE3A0D">
        <w:t xml:space="preserve">; </w:t>
      </w:r>
      <w:r>
        <w:rPr>
          <w:i/>
          <w:iCs/>
        </w:rPr>
        <w:t xml:space="preserve">Expanding Flexible Use of the 3.7 to 4.2 GHz Band, Phase I Certification of Accelerated Relocation of Embratel TVSAT </w:t>
      </w:r>
      <w:r>
        <w:rPr>
          <w:i/>
          <w:iCs/>
        </w:rPr>
        <w:t>Telcomunca</w:t>
      </w:r>
      <w:r w:rsidRPr="00401C75">
        <w:rPr>
          <w:i/>
          <w:iCs/>
        </w:rPr>
        <w:t>çõe</w:t>
      </w:r>
      <w:r>
        <w:rPr>
          <w:i/>
          <w:iCs/>
        </w:rPr>
        <w:t>s</w:t>
      </w:r>
      <w:r>
        <w:rPr>
          <w:i/>
          <w:iCs/>
        </w:rPr>
        <w:t xml:space="preserve"> S.A.</w:t>
      </w:r>
      <w:r w:rsidRPr="00FE3A0D">
        <w:t xml:space="preserve">, GN Docket Nos. 18-122 and 21-320, Order, </w:t>
      </w:r>
      <w:r>
        <w:t xml:space="preserve">36 FCC </w:t>
      </w:r>
      <w:r>
        <w:t>Rcd</w:t>
      </w:r>
      <w:r>
        <w:t xml:space="preserve"> 15835 </w:t>
      </w:r>
      <w:r w:rsidRPr="00FE3A0D">
        <w:t>(WTB 2021)</w:t>
      </w:r>
      <w:r>
        <w:t xml:space="preserve"> (</w:t>
      </w:r>
      <w:r w:rsidRPr="00135288">
        <w:rPr>
          <w:i/>
          <w:iCs/>
        </w:rPr>
        <w:t xml:space="preserve">Embratel </w:t>
      </w:r>
      <w:r>
        <w:rPr>
          <w:i/>
          <w:iCs/>
        </w:rPr>
        <w:t xml:space="preserve">Phase I </w:t>
      </w:r>
      <w:r w:rsidRPr="00135288">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Relocation of Intelsat License LLC, debtor in possession, as amended</w:t>
      </w:r>
      <w:r w:rsidRPr="00FE3A0D">
        <w:t xml:space="preserve">, GN Docket Nos. 18-122 and 21-320, Order, </w:t>
      </w:r>
      <w:r>
        <w:t xml:space="preserve">36 FCC </w:t>
      </w:r>
      <w:r>
        <w:t>Rcd</w:t>
      </w:r>
      <w:r>
        <w:t xml:space="preserve"> 15844 </w:t>
      </w:r>
      <w:r w:rsidRPr="00FE3A0D">
        <w:t>(WTB 2021)</w:t>
      </w:r>
      <w:r>
        <w:t xml:space="preserve"> (</w:t>
      </w:r>
      <w:r w:rsidRPr="000715EC">
        <w:rPr>
          <w:i/>
          <w:iCs/>
        </w:rPr>
        <w:t xml:space="preserve">Intelsat </w:t>
      </w:r>
      <w:r>
        <w:rPr>
          <w:i/>
          <w:iCs/>
        </w:rPr>
        <w:t xml:space="preserve">Phase I </w:t>
      </w:r>
      <w:r w:rsidRPr="000715EC">
        <w:rPr>
          <w:i/>
          <w:iCs/>
        </w:rPr>
        <w:t>Certification</w:t>
      </w:r>
      <w:r>
        <w:rPr>
          <w:i/>
          <w:iCs/>
        </w:rPr>
        <w:t xml:space="preserve">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C7096E">
        <w:rPr>
          <w:i/>
          <w:iCs/>
        </w:rPr>
        <w:t>Telesat</w:t>
      </w:r>
      <w:r w:rsidRPr="00C7096E">
        <w:rPr>
          <w:i/>
          <w:iCs/>
        </w:rPr>
        <w:t xml:space="preserve"> Spectrum Corporation,</w:t>
      </w:r>
      <w:r w:rsidRPr="00857898">
        <w:rPr>
          <w:i/>
          <w:iCs/>
        </w:rPr>
        <w:t xml:space="preserve"> as amended</w:t>
      </w:r>
      <w:r w:rsidRPr="00FE3A0D">
        <w:t xml:space="preserve">, GN Docket Nos. 18-122 and 21-320, Order, </w:t>
      </w:r>
      <w:r>
        <w:t xml:space="preserve">36 FCC </w:t>
      </w:r>
      <w:r>
        <w:t>Rcd</w:t>
      </w:r>
      <w:r>
        <w:t xml:space="preserve"> 16211 </w:t>
      </w:r>
      <w:r w:rsidRPr="00FE3A0D">
        <w:t>(WTB 2021)</w:t>
      </w:r>
      <w:r>
        <w:t xml:space="preserve"> (</w:t>
      </w:r>
      <w:r w:rsidRPr="000715EC">
        <w:rPr>
          <w:i/>
          <w:iCs/>
        </w:rPr>
        <w:t>Telesat</w:t>
      </w:r>
      <w:r w:rsidRPr="000715EC">
        <w:rPr>
          <w:i/>
          <w:iCs/>
        </w:rPr>
        <w:t xml:space="preserve"> </w:t>
      </w:r>
      <w:r>
        <w:rPr>
          <w:i/>
          <w:iCs/>
        </w:rPr>
        <w:t xml:space="preserve">Phase I </w:t>
      </w:r>
      <w:r w:rsidRPr="000715EC">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505B36">
        <w:rPr>
          <w:i/>
        </w:rPr>
        <w:t xml:space="preserve">SES </w:t>
      </w:r>
      <w:r w:rsidRPr="00505B36">
        <w:rPr>
          <w:i/>
        </w:rPr>
        <w:t>Americom</w:t>
      </w:r>
      <w:r w:rsidRPr="00505B36">
        <w:rPr>
          <w:i/>
        </w:rPr>
        <w:t>, Inc.</w:t>
      </w:r>
      <w:r w:rsidRPr="00C7096E">
        <w:rPr>
          <w:i/>
          <w:iCs/>
        </w:rPr>
        <w:t>,</w:t>
      </w:r>
      <w:r w:rsidRPr="00857898">
        <w:rPr>
          <w:i/>
          <w:iCs/>
        </w:rPr>
        <w:t xml:space="preserve"> as amended</w:t>
      </w:r>
      <w:r w:rsidRPr="00FE3A0D">
        <w:t xml:space="preserve">, GN Docket Nos. 18-122 and 21-320, Order, </w:t>
      </w:r>
      <w:r>
        <w:t xml:space="preserve">36 FCC </w:t>
      </w:r>
      <w:r>
        <w:t>Rcd</w:t>
      </w:r>
      <w:r>
        <w:t xml:space="preserve"> 16432 </w:t>
      </w:r>
      <w:r w:rsidRPr="00FE3A0D">
        <w:t>(WTB 2021)</w:t>
      </w:r>
      <w:r>
        <w:t xml:space="preserve"> (</w:t>
      </w:r>
      <w:r>
        <w:rPr>
          <w:i/>
          <w:iCs/>
        </w:rPr>
        <w:t>SES Phase I Certification Order</w:t>
      </w:r>
      <w:r>
        <w:t>)</w:t>
      </w:r>
    </w:p>
  </w:footnote>
  <w:footnote w:id="57">
    <w:p w:rsidR="00DF10E2" w:rsidP="00DF10E2" w14:paraId="54BD814C" w14:textId="2073E17F">
      <w:pPr>
        <w:pStyle w:val="FootnoteText"/>
      </w:pPr>
      <w:r w:rsidRPr="00743928">
        <w:rPr>
          <w:rStyle w:val="FootnoteReference"/>
        </w:rPr>
        <w:footnoteRef/>
      </w:r>
      <w:r w:rsidR="00743928">
        <w:rPr>
          <w:i/>
          <w:iCs/>
        </w:rPr>
        <w:t xml:space="preserve"> </w:t>
      </w:r>
      <w:r w:rsidRPr="00D63965">
        <w:t>5 U.S.C.</w:t>
      </w:r>
      <w:r w:rsidRPr="0070426B">
        <w:t xml:space="preserve">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D16" w14:paraId="16816C59" w14:textId="1B04A833">
    <w:pPr>
      <w:tabs>
        <w:tab w:val="center" w:pos="4680"/>
        <w:tab w:val="right" w:pos="9360"/>
      </w:tabs>
    </w:pPr>
    <w:r>
      <w:rPr>
        <w:b/>
      </w:rPr>
      <w:tab/>
      <w:t>Federal Communications Commission</w:t>
    </w:r>
    <w:r>
      <w:rPr>
        <w:b/>
      </w:rPr>
      <w:tab/>
    </w:r>
    <w:r w:rsidR="00DA367E">
      <w:rPr>
        <w:b/>
      </w:rPr>
      <w:t>DA 23-</w:t>
    </w:r>
    <w:r w:rsidR="005D614A">
      <w:rPr>
        <w:b/>
      </w:rPr>
      <w:t>204</w:t>
    </w:r>
  </w:p>
  <w:p w:rsidR="00085D16" w14:paraId="7E265923" w14:textId="519CE15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85D16" w14:paraId="2036868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D16" w14:paraId="7299EB72" w14:textId="4F96B9BC">
    <w:pPr>
      <w:pStyle w:val="Header"/>
    </w:pPr>
    <w:r>
      <w:rPr>
        <w:noProof/>
        <w:snapToGrid/>
      </w:rPr>
      <w:drawing>
        <wp:inline distT="0" distB="0" distL="0" distR="0">
          <wp:extent cx="5943600" cy="1419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4A5" w14:paraId="14E5B012" w14:textId="77777777">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DA00BB"/>
    <w:multiLevelType w:val="hybridMultilevel"/>
    <w:tmpl w:val="54B06B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26"/>
    <w:rsid w:val="000009A3"/>
    <w:rsid w:val="000012BD"/>
    <w:rsid w:val="00007D8B"/>
    <w:rsid w:val="0001019D"/>
    <w:rsid w:val="0001250F"/>
    <w:rsid w:val="00012A3A"/>
    <w:rsid w:val="0001345F"/>
    <w:rsid w:val="000142D8"/>
    <w:rsid w:val="00015C7D"/>
    <w:rsid w:val="00022142"/>
    <w:rsid w:val="00030245"/>
    <w:rsid w:val="00030388"/>
    <w:rsid w:val="000308D4"/>
    <w:rsid w:val="00030C0B"/>
    <w:rsid w:val="0003275F"/>
    <w:rsid w:val="000356D5"/>
    <w:rsid w:val="00035D92"/>
    <w:rsid w:val="00040D93"/>
    <w:rsid w:val="0004276B"/>
    <w:rsid w:val="000467F2"/>
    <w:rsid w:val="00046D26"/>
    <w:rsid w:val="00046EDC"/>
    <w:rsid w:val="00046EF1"/>
    <w:rsid w:val="000525E8"/>
    <w:rsid w:val="000528EB"/>
    <w:rsid w:val="00055771"/>
    <w:rsid w:val="000563D2"/>
    <w:rsid w:val="000578ED"/>
    <w:rsid w:val="00060681"/>
    <w:rsid w:val="00062AC1"/>
    <w:rsid w:val="00063EE8"/>
    <w:rsid w:val="00066EC3"/>
    <w:rsid w:val="000715EC"/>
    <w:rsid w:val="00071847"/>
    <w:rsid w:val="0007677E"/>
    <w:rsid w:val="00085D16"/>
    <w:rsid w:val="00085F16"/>
    <w:rsid w:val="00086CF5"/>
    <w:rsid w:val="00091479"/>
    <w:rsid w:val="000923D8"/>
    <w:rsid w:val="00096F1E"/>
    <w:rsid w:val="000A0999"/>
    <w:rsid w:val="000A68E6"/>
    <w:rsid w:val="000A6C01"/>
    <w:rsid w:val="000B075E"/>
    <w:rsid w:val="000B1705"/>
    <w:rsid w:val="000B3E17"/>
    <w:rsid w:val="000B51C9"/>
    <w:rsid w:val="000C6CD1"/>
    <w:rsid w:val="000D4625"/>
    <w:rsid w:val="000D4D8A"/>
    <w:rsid w:val="000D6DA8"/>
    <w:rsid w:val="000E0D70"/>
    <w:rsid w:val="000E2F70"/>
    <w:rsid w:val="000E38DA"/>
    <w:rsid w:val="000E74EB"/>
    <w:rsid w:val="000E7AD6"/>
    <w:rsid w:val="000F6539"/>
    <w:rsid w:val="00101F4B"/>
    <w:rsid w:val="00103F5E"/>
    <w:rsid w:val="001064EB"/>
    <w:rsid w:val="0010729A"/>
    <w:rsid w:val="00113994"/>
    <w:rsid w:val="00115B67"/>
    <w:rsid w:val="001226C1"/>
    <w:rsid w:val="00122809"/>
    <w:rsid w:val="00123E20"/>
    <w:rsid w:val="00135288"/>
    <w:rsid w:val="00144923"/>
    <w:rsid w:val="0014668A"/>
    <w:rsid w:val="001473C1"/>
    <w:rsid w:val="00150D2F"/>
    <w:rsid w:val="0015375A"/>
    <w:rsid w:val="001543C7"/>
    <w:rsid w:val="00155D9E"/>
    <w:rsid w:val="00156309"/>
    <w:rsid w:val="001650E9"/>
    <w:rsid w:val="00166343"/>
    <w:rsid w:val="001667AC"/>
    <w:rsid w:val="001668B2"/>
    <w:rsid w:val="00171B3D"/>
    <w:rsid w:val="00177345"/>
    <w:rsid w:val="0018496C"/>
    <w:rsid w:val="001862FA"/>
    <w:rsid w:val="00186F21"/>
    <w:rsid w:val="00187CD2"/>
    <w:rsid w:val="001A2786"/>
    <w:rsid w:val="001A5C06"/>
    <w:rsid w:val="001B20E2"/>
    <w:rsid w:val="001B6804"/>
    <w:rsid w:val="001B78A1"/>
    <w:rsid w:val="001C023B"/>
    <w:rsid w:val="001C282C"/>
    <w:rsid w:val="001C3483"/>
    <w:rsid w:val="001C4DAE"/>
    <w:rsid w:val="001C7F49"/>
    <w:rsid w:val="001D40D2"/>
    <w:rsid w:val="001D4AC5"/>
    <w:rsid w:val="001D4FBF"/>
    <w:rsid w:val="001D79F2"/>
    <w:rsid w:val="001E031E"/>
    <w:rsid w:val="001E1A3A"/>
    <w:rsid w:val="001E4169"/>
    <w:rsid w:val="001E4335"/>
    <w:rsid w:val="001E4567"/>
    <w:rsid w:val="001E6D37"/>
    <w:rsid w:val="001F0758"/>
    <w:rsid w:val="001F0938"/>
    <w:rsid w:val="0020036C"/>
    <w:rsid w:val="002013E3"/>
    <w:rsid w:val="00202F51"/>
    <w:rsid w:val="00202FFA"/>
    <w:rsid w:val="00206D3A"/>
    <w:rsid w:val="00207EAA"/>
    <w:rsid w:val="00207FEB"/>
    <w:rsid w:val="00211C8E"/>
    <w:rsid w:val="0021252E"/>
    <w:rsid w:val="00216134"/>
    <w:rsid w:val="00216DB1"/>
    <w:rsid w:val="0022310A"/>
    <w:rsid w:val="002276BB"/>
    <w:rsid w:val="00231AE8"/>
    <w:rsid w:val="00232CEF"/>
    <w:rsid w:val="002331E9"/>
    <w:rsid w:val="0023384E"/>
    <w:rsid w:val="002373A6"/>
    <w:rsid w:val="00237E46"/>
    <w:rsid w:val="00240538"/>
    <w:rsid w:val="00241623"/>
    <w:rsid w:val="00243190"/>
    <w:rsid w:val="002470F2"/>
    <w:rsid w:val="00250655"/>
    <w:rsid w:val="00250FDD"/>
    <w:rsid w:val="0025110A"/>
    <w:rsid w:val="00254177"/>
    <w:rsid w:val="002551BD"/>
    <w:rsid w:val="00260A26"/>
    <w:rsid w:val="00260C91"/>
    <w:rsid w:val="00261987"/>
    <w:rsid w:val="00264F5F"/>
    <w:rsid w:val="0026628E"/>
    <w:rsid w:val="0027000F"/>
    <w:rsid w:val="00270255"/>
    <w:rsid w:val="00270DE8"/>
    <w:rsid w:val="0027248B"/>
    <w:rsid w:val="00272EB3"/>
    <w:rsid w:val="00273AF7"/>
    <w:rsid w:val="00274E49"/>
    <w:rsid w:val="00280765"/>
    <w:rsid w:val="00281C8D"/>
    <w:rsid w:val="0028251B"/>
    <w:rsid w:val="0029107E"/>
    <w:rsid w:val="002946FF"/>
    <w:rsid w:val="002967F9"/>
    <w:rsid w:val="002A39C9"/>
    <w:rsid w:val="002A6F87"/>
    <w:rsid w:val="002B1EDD"/>
    <w:rsid w:val="002B514A"/>
    <w:rsid w:val="002C3695"/>
    <w:rsid w:val="002C7959"/>
    <w:rsid w:val="002D0D1E"/>
    <w:rsid w:val="002D3393"/>
    <w:rsid w:val="002D65F0"/>
    <w:rsid w:val="002D6D0C"/>
    <w:rsid w:val="002E1453"/>
    <w:rsid w:val="002E1558"/>
    <w:rsid w:val="002E3323"/>
    <w:rsid w:val="002E464A"/>
    <w:rsid w:val="002F50C7"/>
    <w:rsid w:val="002F51E2"/>
    <w:rsid w:val="002F5EC3"/>
    <w:rsid w:val="0030318D"/>
    <w:rsid w:val="00307963"/>
    <w:rsid w:val="003105E6"/>
    <w:rsid w:val="003108CF"/>
    <w:rsid w:val="003116E2"/>
    <w:rsid w:val="003152A3"/>
    <w:rsid w:val="003228D5"/>
    <w:rsid w:val="0032612E"/>
    <w:rsid w:val="003265BD"/>
    <w:rsid w:val="0032683D"/>
    <w:rsid w:val="0033241C"/>
    <w:rsid w:val="003357BC"/>
    <w:rsid w:val="00337D9B"/>
    <w:rsid w:val="00342151"/>
    <w:rsid w:val="00342BFE"/>
    <w:rsid w:val="003432E8"/>
    <w:rsid w:val="003435AD"/>
    <w:rsid w:val="00346E3A"/>
    <w:rsid w:val="00346EC0"/>
    <w:rsid w:val="00350DDB"/>
    <w:rsid w:val="003529CF"/>
    <w:rsid w:val="003533C9"/>
    <w:rsid w:val="00353930"/>
    <w:rsid w:val="00355D77"/>
    <w:rsid w:val="00357CEE"/>
    <w:rsid w:val="00365D12"/>
    <w:rsid w:val="00366B79"/>
    <w:rsid w:val="0037784F"/>
    <w:rsid w:val="00380322"/>
    <w:rsid w:val="00381210"/>
    <w:rsid w:val="00381ECB"/>
    <w:rsid w:val="00382AF5"/>
    <w:rsid w:val="00385AF6"/>
    <w:rsid w:val="003864D7"/>
    <w:rsid w:val="0039030E"/>
    <w:rsid w:val="00390BDD"/>
    <w:rsid w:val="00393703"/>
    <w:rsid w:val="00397BC3"/>
    <w:rsid w:val="003A0C03"/>
    <w:rsid w:val="003A36F0"/>
    <w:rsid w:val="003A37CC"/>
    <w:rsid w:val="003B0EDE"/>
    <w:rsid w:val="003B257B"/>
    <w:rsid w:val="003B4D34"/>
    <w:rsid w:val="003B7187"/>
    <w:rsid w:val="003C1EAA"/>
    <w:rsid w:val="003C4EF1"/>
    <w:rsid w:val="003C590D"/>
    <w:rsid w:val="003C6FC2"/>
    <w:rsid w:val="003D4070"/>
    <w:rsid w:val="003D56AB"/>
    <w:rsid w:val="003E1EB2"/>
    <w:rsid w:val="003E3B90"/>
    <w:rsid w:val="003F0A06"/>
    <w:rsid w:val="003F1563"/>
    <w:rsid w:val="003F4092"/>
    <w:rsid w:val="003F48FF"/>
    <w:rsid w:val="003F5821"/>
    <w:rsid w:val="00400BFB"/>
    <w:rsid w:val="00400E7D"/>
    <w:rsid w:val="00401C75"/>
    <w:rsid w:val="004027AB"/>
    <w:rsid w:val="0040670C"/>
    <w:rsid w:val="00413C79"/>
    <w:rsid w:val="004205AE"/>
    <w:rsid w:val="00421CE9"/>
    <w:rsid w:val="00425DA2"/>
    <w:rsid w:val="00426DCD"/>
    <w:rsid w:val="00432AD0"/>
    <w:rsid w:val="00433589"/>
    <w:rsid w:val="0043769D"/>
    <w:rsid w:val="00453B8A"/>
    <w:rsid w:val="00455E43"/>
    <w:rsid w:val="00460E17"/>
    <w:rsid w:val="00461F51"/>
    <w:rsid w:val="00462979"/>
    <w:rsid w:val="004702EC"/>
    <w:rsid w:val="00470963"/>
    <w:rsid w:val="00471291"/>
    <w:rsid w:val="00472103"/>
    <w:rsid w:val="00473B2E"/>
    <w:rsid w:val="004748AA"/>
    <w:rsid w:val="00474CB1"/>
    <w:rsid w:val="004752CC"/>
    <w:rsid w:val="00481877"/>
    <w:rsid w:val="00485C77"/>
    <w:rsid w:val="00487292"/>
    <w:rsid w:val="00487BE7"/>
    <w:rsid w:val="0049003C"/>
    <w:rsid w:val="00490C60"/>
    <w:rsid w:val="00492F8A"/>
    <w:rsid w:val="00496971"/>
    <w:rsid w:val="004A08E5"/>
    <w:rsid w:val="004A2446"/>
    <w:rsid w:val="004A2E8F"/>
    <w:rsid w:val="004A3175"/>
    <w:rsid w:val="004B2763"/>
    <w:rsid w:val="004B464E"/>
    <w:rsid w:val="004B48C7"/>
    <w:rsid w:val="004B4B32"/>
    <w:rsid w:val="004B4FD5"/>
    <w:rsid w:val="004B64FA"/>
    <w:rsid w:val="004B664E"/>
    <w:rsid w:val="004B6EBA"/>
    <w:rsid w:val="004C7F44"/>
    <w:rsid w:val="004D08AD"/>
    <w:rsid w:val="004D1F9A"/>
    <w:rsid w:val="004D58FC"/>
    <w:rsid w:val="004E0661"/>
    <w:rsid w:val="004E0A93"/>
    <w:rsid w:val="004E0B9F"/>
    <w:rsid w:val="004E12D9"/>
    <w:rsid w:val="004E1AAA"/>
    <w:rsid w:val="004E5D4F"/>
    <w:rsid w:val="004E5F23"/>
    <w:rsid w:val="004E7CEA"/>
    <w:rsid w:val="004E7D4C"/>
    <w:rsid w:val="004F06FF"/>
    <w:rsid w:val="004F177B"/>
    <w:rsid w:val="004F1CCF"/>
    <w:rsid w:val="004F5789"/>
    <w:rsid w:val="004F7EB9"/>
    <w:rsid w:val="005036EA"/>
    <w:rsid w:val="0050483A"/>
    <w:rsid w:val="00505B36"/>
    <w:rsid w:val="00511B4D"/>
    <w:rsid w:val="00513BEB"/>
    <w:rsid w:val="00515F22"/>
    <w:rsid w:val="0052121E"/>
    <w:rsid w:val="00526349"/>
    <w:rsid w:val="00531B7E"/>
    <w:rsid w:val="00532877"/>
    <w:rsid w:val="005349ED"/>
    <w:rsid w:val="00534C01"/>
    <w:rsid w:val="00535E1B"/>
    <w:rsid w:val="005427AA"/>
    <w:rsid w:val="0054338D"/>
    <w:rsid w:val="00543DF6"/>
    <w:rsid w:val="00544657"/>
    <w:rsid w:val="00546308"/>
    <w:rsid w:val="005466A4"/>
    <w:rsid w:val="00547B98"/>
    <w:rsid w:val="00547D1D"/>
    <w:rsid w:val="00547DC8"/>
    <w:rsid w:val="005503B2"/>
    <w:rsid w:val="00556F68"/>
    <w:rsid w:val="005575FE"/>
    <w:rsid w:val="005618CA"/>
    <w:rsid w:val="00561BA8"/>
    <w:rsid w:val="00561CDF"/>
    <w:rsid w:val="0057167B"/>
    <w:rsid w:val="00575360"/>
    <w:rsid w:val="0058112D"/>
    <w:rsid w:val="0058311C"/>
    <w:rsid w:val="00584A8F"/>
    <w:rsid w:val="00585DA3"/>
    <w:rsid w:val="005905AE"/>
    <w:rsid w:val="00590A71"/>
    <w:rsid w:val="00591550"/>
    <w:rsid w:val="005A3FE7"/>
    <w:rsid w:val="005A4C5A"/>
    <w:rsid w:val="005A4D3E"/>
    <w:rsid w:val="005A7239"/>
    <w:rsid w:val="005B3114"/>
    <w:rsid w:val="005B3203"/>
    <w:rsid w:val="005B3396"/>
    <w:rsid w:val="005B3BBE"/>
    <w:rsid w:val="005B407F"/>
    <w:rsid w:val="005B5EBC"/>
    <w:rsid w:val="005C1A2E"/>
    <w:rsid w:val="005C458C"/>
    <w:rsid w:val="005D0FC5"/>
    <w:rsid w:val="005D1023"/>
    <w:rsid w:val="005D142B"/>
    <w:rsid w:val="005D14E2"/>
    <w:rsid w:val="005D21E2"/>
    <w:rsid w:val="005D3DD9"/>
    <w:rsid w:val="005D5DA7"/>
    <w:rsid w:val="005D5F13"/>
    <w:rsid w:val="005D614A"/>
    <w:rsid w:val="005D7604"/>
    <w:rsid w:val="005E0FB8"/>
    <w:rsid w:val="005E2D34"/>
    <w:rsid w:val="005E3EC9"/>
    <w:rsid w:val="005E497A"/>
    <w:rsid w:val="005E58C6"/>
    <w:rsid w:val="005F139F"/>
    <w:rsid w:val="005F56AB"/>
    <w:rsid w:val="00602195"/>
    <w:rsid w:val="00602A7C"/>
    <w:rsid w:val="00603172"/>
    <w:rsid w:val="00603BCB"/>
    <w:rsid w:val="00605CEB"/>
    <w:rsid w:val="006125B2"/>
    <w:rsid w:val="00613F20"/>
    <w:rsid w:val="0061730F"/>
    <w:rsid w:val="006247AF"/>
    <w:rsid w:val="00625173"/>
    <w:rsid w:val="006262DE"/>
    <w:rsid w:val="00630A2E"/>
    <w:rsid w:val="00635FBA"/>
    <w:rsid w:val="00636638"/>
    <w:rsid w:val="00640191"/>
    <w:rsid w:val="006457E2"/>
    <w:rsid w:val="00652036"/>
    <w:rsid w:val="00652DDF"/>
    <w:rsid w:val="006557D2"/>
    <w:rsid w:val="00660607"/>
    <w:rsid w:val="006613AF"/>
    <w:rsid w:val="006621AA"/>
    <w:rsid w:val="006661FC"/>
    <w:rsid w:val="006675F6"/>
    <w:rsid w:val="006824A4"/>
    <w:rsid w:val="00683745"/>
    <w:rsid w:val="0068382E"/>
    <w:rsid w:val="00686C6C"/>
    <w:rsid w:val="00687306"/>
    <w:rsid w:val="006908DD"/>
    <w:rsid w:val="00690DA3"/>
    <w:rsid w:val="006926E8"/>
    <w:rsid w:val="006929F4"/>
    <w:rsid w:val="006A4F31"/>
    <w:rsid w:val="006A77BE"/>
    <w:rsid w:val="006A7A91"/>
    <w:rsid w:val="006C1008"/>
    <w:rsid w:val="006C10D4"/>
    <w:rsid w:val="006C1898"/>
    <w:rsid w:val="006C33E5"/>
    <w:rsid w:val="006C4445"/>
    <w:rsid w:val="006C4939"/>
    <w:rsid w:val="006C5994"/>
    <w:rsid w:val="006C5BCA"/>
    <w:rsid w:val="006C5D0D"/>
    <w:rsid w:val="006C6BEC"/>
    <w:rsid w:val="006D3DAC"/>
    <w:rsid w:val="006D6DE1"/>
    <w:rsid w:val="006E0648"/>
    <w:rsid w:val="006E15EB"/>
    <w:rsid w:val="006E2E7D"/>
    <w:rsid w:val="006E6D8D"/>
    <w:rsid w:val="006F2566"/>
    <w:rsid w:val="006F7579"/>
    <w:rsid w:val="0070274F"/>
    <w:rsid w:val="007027C4"/>
    <w:rsid w:val="0070426B"/>
    <w:rsid w:val="00704D05"/>
    <w:rsid w:val="00705A9D"/>
    <w:rsid w:val="00707498"/>
    <w:rsid w:val="00714F4E"/>
    <w:rsid w:val="007158CE"/>
    <w:rsid w:val="007159CA"/>
    <w:rsid w:val="0071642C"/>
    <w:rsid w:val="00716D24"/>
    <w:rsid w:val="007172C4"/>
    <w:rsid w:val="00723F28"/>
    <w:rsid w:val="007275EC"/>
    <w:rsid w:val="0073139E"/>
    <w:rsid w:val="00733C6A"/>
    <w:rsid w:val="00734803"/>
    <w:rsid w:val="0073556B"/>
    <w:rsid w:val="007375D1"/>
    <w:rsid w:val="007415E2"/>
    <w:rsid w:val="00743928"/>
    <w:rsid w:val="00752D81"/>
    <w:rsid w:val="00753718"/>
    <w:rsid w:val="0075582B"/>
    <w:rsid w:val="00755E00"/>
    <w:rsid w:val="00756041"/>
    <w:rsid w:val="007701F9"/>
    <w:rsid w:val="00773413"/>
    <w:rsid w:val="00776ECA"/>
    <w:rsid w:val="00780B43"/>
    <w:rsid w:val="00781924"/>
    <w:rsid w:val="00795517"/>
    <w:rsid w:val="00796569"/>
    <w:rsid w:val="007A2AEA"/>
    <w:rsid w:val="007A302F"/>
    <w:rsid w:val="007A3108"/>
    <w:rsid w:val="007A3476"/>
    <w:rsid w:val="007A6346"/>
    <w:rsid w:val="007A6D67"/>
    <w:rsid w:val="007A6EDC"/>
    <w:rsid w:val="007A7AB1"/>
    <w:rsid w:val="007B2775"/>
    <w:rsid w:val="007B480F"/>
    <w:rsid w:val="007B60C6"/>
    <w:rsid w:val="007B619B"/>
    <w:rsid w:val="007C01AE"/>
    <w:rsid w:val="007C1426"/>
    <w:rsid w:val="007C7EFE"/>
    <w:rsid w:val="007D29CA"/>
    <w:rsid w:val="007D74B0"/>
    <w:rsid w:val="007D76E7"/>
    <w:rsid w:val="007E0BC2"/>
    <w:rsid w:val="007E0C8C"/>
    <w:rsid w:val="007E0FD9"/>
    <w:rsid w:val="007E5A3D"/>
    <w:rsid w:val="007E5DB4"/>
    <w:rsid w:val="007E6ADF"/>
    <w:rsid w:val="007F07D8"/>
    <w:rsid w:val="007F145D"/>
    <w:rsid w:val="007F3C65"/>
    <w:rsid w:val="007F5F86"/>
    <w:rsid w:val="007F671C"/>
    <w:rsid w:val="007F7B65"/>
    <w:rsid w:val="00800852"/>
    <w:rsid w:val="008027EA"/>
    <w:rsid w:val="00802B42"/>
    <w:rsid w:val="00804B75"/>
    <w:rsid w:val="00805B75"/>
    <w:rsid w:val="00811399"/>
    <w:rsid w:val="00814F27"/>
    <w:rsid w:val="00814F2B"/>
    <w:rsid w:val="00822D0F"/>
    <w:rsid w:val="008304E4"/>
    <w:rsid w:val="0083503F"/>
    <w:rsid w:val="00835EC6"/>
    <w:rsid w:val="008376C7"/>
    <w:rsid w:val="00840938"/>
    <w:rsid w:val="00840FDC"/>
    <w:rsid w:val="00842DFD"/>
    <w:rsid w:val="00847615"/>
    <w:rsid w:val="00847E9E"/>
    <w:rsid w:val="0085002F"/>
    <w:rsid w:val="0085529D"/>
    <w:rsid w:val="00857898"/>
    <w:rsid w:val="00864610"/>
    <w:rsid w:val="0086502D"/>
    <w:rsid w:val="00866477"/>
    <w:rsid w:val="00870538"/>
    <w:rsid w:val="00875CDF"/>
    <w:rsid w:val="00880C0E"/>
    <w:rsid w:val="00882B83"/>
    <w:rsid w:val="00886F76"/>
    <w:rsid w:val="00887944"/>
    <w:rsid w:val="00891E69"/>
    <w:rsid w:val="0089308F"/>
    <w:rsid w:val="008958D9"/>
    <w:rsid w:val="008A380E"/>
    <w:rsid w:val="008A4471"/>
    <w:rsid w:val="008B2BBC"/>
    <w:rsid w:val="008B498A"/>
    <w:rsid w:val="008C2B66"/>
    <w:rsid w:val="008C4D15"/>
    <w:rsid w:val="008D03CD"/>
    <w:rsid w:val="008D5741"/>
    <w:rsid w:val="008E13A6"/>
    <w:rsid w:val="008E4C61"/>
    <w:rsid w:val="008E774A"/>
    <w:rsid w:val="008F5B60"/>
    <w:rsid w:val="00903CD7"/>
    <w:rsid w:val="00911381"/>
    <w:rsid w:val="00911D1F"/>
    <w:rsid w:val="00917C75"/>
    <w:rsid w:val="00921E7C"/>
    <w:rsid w:val="00922888"/>
    <w:rsid w:val="0092405A"/>
    <w:rsid w:val="00925221"/>
    <w:rsid w:val="009261CC"/>
    <w:rsid w:val="00926C44"/>
    <w:rsid w:val="00933784"/>
    <w:rsid w:val="0093771D"/>
    <w:rsid w:val="009418ED"/>
    <w:rsid w:val="00942DCB"/>
    <w:rsid w:val="00944D23"/>
    <w:rsid w:val="009536E5"/>
    <w:rsid w:val="00953E17"/>
    <w:rsid w:val="00955C1A"/>
    <w:rsid w:val="0095755B"/>
    <w:rsid w:val="009623A3"/>
    <w:rsid w:val="00963515"/>
    <w:rsid w:val="00963527"/>
    <w:rsid w:val="009639FB"/>
    <w:rsid w:val="009705E9"/>
    <w:rsid w:val="00976AD0"/>
    <w:rsid w:val="00976B92"/>
    <w:rsid w:val="00976F7C"/>
    <w:rsid w:val="0098052C"/>
    <w:rsid w:val="00980A7F"/>
    <w:rsid w:val="00982144"/>
    <w:rsid w:val="009831CB"/>
    <w:rsid w:val="0098559D"/>
    <w:rsid w:val="00986972"/>
    <w:rsid w:val="00993A17"/>
    <w:rsid w:val="009A0E60"/>
    <w:rsid w:val="009A278C"/>
    <w:rsid w:val="009A2BF5"/>
    <w:rsid w:val="009A4152"/>
    <w:rsid w:val="009A444A"/>
    <w:rsid w:val="009A6565"/>
    <w:rsid w:val="009A6851"/>
    <w:rsid w:val="009A69DB"/>
    <w:rsid w:val="009B12ED"/>
    <w:rsid w:val="009B3863"/>
    <w:rsid w:val="009B41AF"/>
    <w:rsid w:val="009B434F"/>
    <w:rsid w:val="009B538F"/>
    <w:rsid w:val="009B71A6"/>
    <w:rsid w:val="009C1A8D"/>
    <w:rsid w:val="009C2F45"/>
    <w:rsid w:val="009D0E17"/>
    <w:rsid w:val="009D3DA5"/>
    <w:rsid w:val="009E1020"/>
    <w:rsid w:val="009E18D0"/>
    <w:rsid w:val="009E20FB"/>
    <w:rsid w:val="009E5EA2"/>
    <w:rsid w:val="009E6E74"/>
    <w:rsid w:val="009F0DBD"/>
    <w:rsid w:val="009F1FE7"/>
    <w:rsid w:val="009F408C"/>
    <w:rsid w:val="009F5CDD"/>
    <w:rsid w:val="00A00018"/>
    <w:rsid w:val="00A026AE"/>
    <w:rsid w:val="00A02C2F"/>
    <w:rsid w:val="00A068BA"/>
    <w:rsid w:val="00A11EA7"/>
    <w:rsid w:val="00A12725"/>
    <w:rsid w:val="00A16970"/>
    <w:rsid w:val="00A16F11"/>
    <w:rsid w:val="00A21625"/>
    <w:rsid w:val="00A234C2"/>
    <w:rsid w:val="00A27E17"/>
    <w:rsid w:val="00A40B8A"/>
    <w:rsid w:val="00A41E15"/>
    <w:rsid w:val="00A420FE"/>
    <w:rsid w:val="00A433F8"/>
    <w:rsid w:val="00A43B44"/>
    <w:rsid w:val="00A44152"/>
    <w:rsid w:val="00A44CE3"/>
    <w:rsid w:val="00A50BF1"/>
    <w:rsid w:val="00A529B5"/>
    <w:rsid w:val="00A529C1"/>
    <w:rsid w:val="00A540B4"/>
    <w:rsid w:val="00A550F4"/>
    <w:rsid w:val="00A5551F"/>
    <w:rsid w:val="00A562A5"/>
    <w:rsid w:val="00A6287C"/>
    <w:rsid w:val="00A6352F"/>
    <w:rsid w:val="00A65188"/>
    <w:rsid w:val="00A657E2"/>
    <w:rsid w:val="00A724BD"/>
    <w:rsid w:val="00A7568C"/>
    <w:rsid w:val="00A76900"/>
    <w:rsid w:val="00A83BC8"/>
    <w:rsid w:val="00A841B0"/>
    <w:rsid w:val="00A847D9"/>
    <w:rsid w:val="00A84C8E"/>
    <w:rsid w:val="00A85B0D"/>
    <w:rsid w:val="00A87B53"/>
    <w:rsid w:val="00A95CBD"/>
    <w:rsid w:val="00A964AB"/>
    <w:rsid w:val="00A96C69"/>
    <w:rsid w:val="00AB1CEA"/>
    <w:rsid w:val="00AB225A"/>
    <w:rsid w:val="00AB4481"/>
    <w:rsid w:val="00AB4A49"/>
    <w:rsid w:val="00AB79E0"/>
    <w:rsid w:val="00AC45FF"/>
    <w:rsid w:val="00AC5F53"/>
    <w:rsid w:val="00AD0111"/>
    <w:rsid w:val="00AD0C71"/>
    <w:rsid w:val="00AD3CF1"/>
    <w:rsid w:val="00AD6E19"/>
    <w:rsid w:val="00AE2B4C"/>
    <w:rsid w:val="00AE4985"/>
    <w:rsid w:val="00AE56B8"/>
    <w:rsid w:val="00AE66C7"/>
    <w:rsid w:val="00AE71B5"/>
    <w:rsid w:val="00AE7CBB"/>
    <w:rsid w:val="00AE7F64"/>
    <w:rsid w:val="00AE7F8B"/>
    <w:rsid w:val="00AF2AD6"/>
    <w:rsid w:val="00AF4DF0"/>
    <w:rsid w:val="00AF64FE"/>
    <w:rsid w:val="00AF6DEE"/>
    <w:rsid w:val="00B003C0"/>
    <w:rsid w:val="00B01340"/>
    <w:rsid w:val="00B01FB0"/>
    <w:rsid w:val="00B029F9"/>
    <w:rsid w:val="00B044A5"/>
    <w:rsid w:val="00B1352D"/>
    <w:rsid w:val="00B16B33"/>
    <w:rsid w:val="00B17B6C"/>
    <w:rsid w:val="00B20A15"/>
    <w:rsid w:val="00B20DC6"/>
    <w:rsid w:val="00B22E50"/>
    <w:rsid w:val="00B23F1B"/>
    <w:rsid w:val="00B25FDD"/>
    <w:rsid w:val="00B27F27"/>
    <w:rsid w:val="00B323B1"/>
    <w:rsid w:val="00B352A4"/>
    <w:rsid w:val="00B35B6B"/>
    <w:rsid w:val="00B37184"/>
    <w:rsid w:val="00B37A54"/>
    <w:rsid w:val="00B425CA"/>
    <w:rsid w:val="00B437B5"/>
    <w:rsid w:val="00B47052"/>
    <w:rsid w:val="00B47757"/>
    <w:rsid w:val="00B50768"/>
    <w:rsid w:val="00B5257C"/>
    <w:rsid w:val="00B55589"/>
    <w:rsid w:val="00B605E2"/>
    <w:rsid w:val="00B608F0"/>
    <w:rsid w:val="00B6177D"/>
    <w:rsid w:val="00B723A5"/>
    <w:rsid w:val="00B72541"/>
    <w:rsid w:val="00B730B4"/>
    <w:rsid w:val="00B7725F"/>
    <w:rsid w:val="00B81218"/>
    <w:rsid w:val="00B833BC"/>
    <w:rsid w:val="00B83551"/>
    <w:rsid w:val="00B855C5"/>
    <w:rsid w:val="00B91F23"/>
    <w:rsid w:val="00B92C55"/>
    <w:rsid w:val="00B95C34"/>
    <w:rsid w:val="00B95D71"/>
    <w:rsid w:val="00BA170E"/>
    <w:rsid w:val="00BA2580"/>
    <w:rsid w:val="00BA7F56"/>
    <w:rsid w:val="00BB0F99"/>
    <w:rsid w:val="00BB169B"/>
    <w:rsid w:val="00BB1ABC"/>
    <w:rsid w:val="00BB229A"/>
    <w:rsid w:val="00BB3081"/>
    <w:rsid w:val="00BB3713"/>
    <w:rsid w:val="00BC2691"/>
    <w:rsid w:val="00BC2ECC"/>
    <w:rsid w:val="00BC55C1"/>
    <w:rsid w:val="00BC60CB"/>
    <w:rsid w:val="00BD173B"/>
    <w:rsid w:val="00BD323E"/>
    <w:rsid w:val="00BE687A"/>
    <w:rsid w:val="00BE7D05"/>
    <w:rsid w:val="00BF27F6"/>
    <w:rsid w:val="00BF3F07"/>
    <w:rsid w:val="00BF49B5"/>
    <w:rsid w:val="00BF6144"/>
    <w:rsid w:val="00BF63E7"/>
    <w:rsid w:val="00C003E0"/>
    <w:rsid w:val="00C010B2"/>
    <w:rsid w:val="00C013C4"/>
    <w:rsid w:val="00C0342D"/>
    <w:rsid w:val="00C0526A"/>
    <w:rsid w:val="00C05799"/>
    <w:rsid w:val="00C10027"/>
    <w:rsid w:val="00C11105"/>
    <w:rsid w:val="00C11F5D"/>
    <w:rsid w:val="00C133D0"/>
    <w:rsid w:val="00C1503F"/>
    <w:rsid w:val="00C15D66"/>
    <w:rsid w:val="00C213A1"/>
    <w:rsid w:val="00C21723"/>
    <w:rsid w:val="00C25B74"/>
    <w:rsid w:val="00C30833"/>
    <w:rsid w:val="00C31F8A"/>
    <w:rsid w:val="00C32695"/>
    <w:rsid w:val="00C33EE3"/>
    <w:rsid w:val="00C34363"/>
    <w:rsid w:val="00C35043"/>
    <w:rsid w:val="00C35609"/>
    <w:rsid w:val="00C35692"/>
    <w:rsid w:val="00C359F4"/>
    <w:rsid w:val="00C35CB8"/>
    <w:rsid w:val="00C40267"/>
    <w:rsid w:val="00C42084"/>
    <w:rsid w:val="00C42CF6"/>
    <w:rsid w:val="00C50578"/>
    <w:rsid w:val="00C52F34"/>
    <w:rsid w:val="00C53610"/>
    <w:rsid w:val="00C539D5"/>
    <w:rsid w:val="00C615A6"/>
    <w:rsid w:val="00C64338"/>
    <w:rsid w:val="00C64C1C"/>
    <w:rsid w:val="00C70508"/>
    <w:rsid w:val="00C70568"/>
    <w:rsid w:val="00C7096E"/>
    <w:rsid w:val="00C70BA5"/>
    <w:rsid w:val="00C718D6"/>
    <w:rsid w:val="00C742A5"/>
    <w:rsid w:val="00C776ED"/>
    <w:rsid w:val="00C8010D"/>
    <w:rsid w:val="00C838EE"/>
    <w:rsid w:val="00C83E12"/>
    <w:rsid w:val="00C846B6"/>
    <w:rsid w:val="00C914DE"/>
    <w:rsid w:val="00C9203A"/>
    <w:rsid w:val="00CA03DB"/>
    <w:rsid w:val="00CA3B66"/>
    <w:rsid w:val="00CA4236"/>
    <w:rsid w:val="00CA4A8D"/>
    <w:rsid w:val="00CA74DA"/>
    <w:rsid w:val="00CA74F7"/>
    <w:rsid w:val="00CB053D"/>
    <w:rsid w:val="00CB1F81"/>
    <w:rsid w:val="00CC50BA"/>
    <w:rsid w:val="00CE3341"/>
    <w:rsid w:val="00CE4B8C"/>
    <w:rsid w:val="00CE636A"/>
    <w:rsid w:val="00CE642A"/>
    <w:rsid w:val="00CF2D36"/>
    <w:rsid w:val="00CF3FB8"/>
    <w:rsid w:val="00CF5E08"/>
    <w:rsid w:val="00D001D3"/>
    <w:rsid w:val="00D01933"/>
    <w:rsid w:val="00D01CB9"/>
    <w:rsid w:val="00D06BAA"/>
    <w:rsid w:val="00D10072"/>
    <w:rsid w:val="00D14139"/>
    <w:rsid w:val="00D15EF0"/>
    <w:rsid w:val="00D21B94"/>
    <w:rsid w:val="00D24666"/>
    <w:rsid w:val="00D24C40"/>
    <w:rsid w:val="00D34EC7"/>
    <w:rsid w:val="00D369FD"/>
    <w:rsid w:val="00D418F0"/>
    <w:rsid w:val="00D419D9"/>
    <w:rsid w:val="00D42A2B"/>
    <w:rsid w:val="00D462F8"/>
    <w:rsid w:val="00D50A9E"/>
    <w:rsid w:val="00D511F4"/>
    <w:rsid w:val="00D54423"/>
    <w:rsid w:val="00D55966"/>
    <w:rsid w:val="00D566B2"/>
    <w:rsid w:val="00D569AB"/>
    <w:rsid w:val="00D56F29"/>
    <w:rsid w:val="00D61BB9"/>
    <w:rsid w:val="00D63965"/>
    <w:rsid w:val="00D63A08"/>
    <w:rsid w:val="00D65D19"/>
    <w:rsid w:val="00D65FAC"/>
    <w:rsid w:val="00D6629A"/>
    <w:rsid w:val="00D70E56"/>
    <w:rsid w:val="00D75E74"/>
    <w:rsid w:val="00D77DDA"/>
    <w:rsid w:val="00D80323"/>
    <w:rsid w:val="00D8098A"/>
    <w:rsid w:val="00D80C7B"/>
    <w:rsid w:val="00D81116"/>
    <w:rsid w:val="00D852EB"/>
    <w:rsid w:val="00D9113C"/>
    <w:rsid w:val="00D915B7"/>
    <w:rsid w:val="00D94B16"/>
    <w:rsid w:val="00DA0A80"/>
    <w:rsid w:val="00DA367E"/>
    <w:rsid w:val="00DA439F"/>
    <w:rsid w:val="00DA5BC7"/>
    <w:rsid w:val="00DA767E"/>
    <w:rsid w:val="00DB01C2"/>
    <w:rsid w:val="00DB0390"/>
    <w:rsid w:val="00DB259A"/>
    <w:rsid w:val="00DB28BC"/>
    <w:rsid w:val="00DB460E"/>
    <w:rsid w:val="00DB593B"/>
    <w:rsid w:val="00DB6CC2"/>
    <w:rsid w:val="00DB7287"/>
    <w:rsid w:val="00DC1402"/>
    <w:rsid w:val="00DC5876"/>
    <w:rsid w:val="00DD084B"/>
    <w:rsid w:val="00DD1D6D"/>
    <w:rsid w:val="00DD254F"/>
    <w:rsid w:val="00DD4A67"/>
    <w:rsid w:val="00DD7637"/>
    <w:rsid w:val="00DE0662"/>
    <w:rsid w:val="00DE09E1"/>
    <w:rsid w:val="00DE3ECF"/>
    <w:rsid w:val="00DE44B9"/>
    <w:rsid w:val="00DE7F49"/>
    <w:rsid w:val="00DF10E2"/>
    <w:rsid w:val="00DF1967"/>
    <w:rsid w:val="00DF4999"/>
    <w:rsid w:val="00DF74CE"/>
    <w:rsid w:val="00E002FE"/>
    <w:rsid w:val="00E00D6A"/>
    <w:rsid w:val="00E03D86"/>
    <w:rsid w:val="00E05195"/>
    <w:rsid w:val="00E051DC"/>
    <w:rsid w:val="00E12208"/>
    <w:rsid w:val="00E145F4"/>
    <w:rsid w:val="00E17BFB"/>
    <w:rsid w:val="00E25A32"/>
    <w:rsid w:val="00E263C1"/>
    <w:rsid w:val="00E2672B"/>
    <w:rsid w:val="00E32277"/>
    <w:rsid w:val="00E34559"/>
    <w:rsid w:val="00E350F4"/>
    <w:rsid w:val="00E36418"/>
    <w:rsid w:val="00E36B0D"/>
    <w:rsid w:val="00E41163"/>
    <w:rsid w:val="00E4548C"/>
    <w:rsid w:val="00E45F39"/>
    <w:rsid w:val="00E461F4"/>
    <w:rsid w:val="00E51594"/>
    <w:rsid w:val="00E559F8"/>
    <w:rsid w:val="00E5730B"/>
    <w:rsid w:val="00E57FA5"/>
    <w:rsid w:val="00E60020"/>
    <w:rsid w:val="00E614FD"/>
    <w:rsid w:val="00E635BD"/>
    <w:rsid w:val="00E64297"/>
    <w:rsid w:val="00E64E15"/>
    <w:rsid w:val="00E6658A"/>
    <w:rsid w:val="00E67E33"/>
    <w:rsid w:val="00E73881"/>
    <w:rsid w:val="00E74210"/>
    <w:rsid w:val="00E74674"/>
    <w:rsid w:val="00E747BF"/>
    <w:rsid w:val="00E75166"/>
    <w:rsid w:val="00E816A6"/>
    <w:rsid w:val="00E81B7E"/>
    <w:rsid w:val="00E9117C"/>
    <w:rsid w:val="00E92934"/>
    <w:rsid w:val="00E9558A"/>
    <w:rsid w:val="00E96737"/>
    <w:rsid w:val="00E97F33"/>
    <w:rsid w:val="00EA49E8"/>
    <w:rsid w:val="00EA50E3"/>
    <w:rsid w:val="00EA51B6"/>
    <w:rsid w:val="00EA5E6C"/>
    <w:rsid w:val="00EA6F30"/>
    <w:rsid w:val="00EB0DE9"/>
    <w:rsid w:val="00EB21E1"/>
    <w:rsid w:val="00EB3E88"/>
    <w:rsid w:val="00EB5DBF"/>
    <w:rsid w:val="00EB640C"/>
    <w:rsid w:val="00EC6351"/>
    <w:rsid w:val="00EC6582"/>
    <w:rsid w:val="00EC6934"/>
    <w:rsid w:val="00ED0370"/>
    <w:rsid w:val="00ED754F"/>
    <w:rsid w:val="00ED7551"/>
    <w:rsid w:val="00ED7E27"/>
    <w:rsid w:val="00EE077F"/>
    <w:rsid w:val="00EE515B"/>
    <w:rsid w:val="00EE788E"/>
    <w:rsid w:val="00EF0374"/>
    <w:rsid w:val="00EF052F"/>
    <w:rsid w:val="00EF129E"/>
    <w:rsid w:val="00EF1D2E"/>
    <w:rsid w:val="00EF3B99"/>
    <w:rsid w:val="00EF3D36"/>
    <w:rsid w:val="00EF477C"/>
    <w:rsid w:val="00EF5579"/>
    <w:rsid w:val="00EF64CB"/>
    <w:rsid w:val="00F02349"/>
    <w:rsid w:val="00F067A4"/>
    <w:rsid w:val="00F121C8"/>
    <w:rsid w:val="00F1738A"/>
    <w:rsid w:val="00F21C78"/>
    <w:rsid w:val="00F241C0"/>
    <w:rsid w:val="00F25008"/>
    <w:rsid w:val="00F26A9E"/>
    <w:rsid w:val="00F27618"/>
    <w:rsid w:val="00F376C9"/>
    <w:rsid w:val="00F410E5"/>
    <w:rsid w:val="00F41DE7"/>
    <w:rsid w:val="00F441BB"/>
    <w:rsid w:val="00F444B4"/>
    <w:rsid w:val="00F44FD5"/>
    <w:rsid w:val="00F50006"/>
    <w:rsid w:val="00F5584C"/>
    <w:rsid w:val="00F55B08"/>
    <w:rsid w:val="00F55C5E"/>
    <w:rsid w:val="00F5715D"/>
    <w:rsid w:val="00F6096D"/>
    <w:rsid w:val="00F6182F"/>
    <w:rsid w:val="00F62EB1"/>
    <w:rsid w:val="00F63ACA"/>
    <w:rsid w:val="00F660E4"/>
    <w:rsid w:val="00F7119D"/>
    <w:rsid w:val="00F76082"/>
    <w:rsid w:val="00F76F43"/>
    <w:rsid w:val="00F8018B"/>
    <w:rsid w:val="00F816CF"/>
    <w:rsid w:val="00F81DCC"/>
    <w:rsid w:val="00F82CB1"/>
    <w:rsid w:val="00F82CFA"/>
    <w:rsid w:val="00F83CE5"/>
    <w:rsid w:val="00F84C4C"/>
    <w:rsid w:val="00F86356"/>
    <w:rsid w:val="00F86842"/>
    <w:rsid w:val="00F94B08"/>
    <w:rsid w:val="00F97AD4"/>
    <w:rsid w:val="00FA1110"/>
    <w:rsid w:val="00FA5B28"/>
    <w:rsid w:val="00FA61D0"/>
    <w:rsid w:val="00FB1399"/>
    <w:rsid w:val="00FB33D3"/>
    <w:rsid w:val="00FB3FB2"/>
    <w:rsid w:val="00FB5365"/>
    <w:rsid w:val="00FB5F9C"/>
    <w:rsid w:val="00FB65F6"/>
    <w:rsid w:val="00FB6A8A"/>
    <w:rsid w:val="00FB72A8"/>
    <w:rsid w:val="00FC04AC"/>
    <w:rsid w:val="00FC0C6E"/>
    <w:rsid w:val="00FC0D00"/>
    <w:rsid w:val="00FC3B3E"/>
    <w:rsid w:val="00FC450D"/>
    <w:rsid w:val="00FC498A"/>
    <w:rsid w:val="00FC62E2"/>
    <w:rsid w:val="00FD2506"/>
    <w:rsid w:val="00FD6BA8"/>
    <w:rsid w:val="00FD789A"/>
    <w:rsid w:val="00FE1337"/>
    <w:rsid w:val="00FE17F9"/>
    <w:rsid w:val="00FE2983"/>
    <w:rsid w:val="00FE3A0D"/>
    <w:rsid w:val="00FE3A84"/>
    <w:rsid w:val="00FE4D1F"/>
    <w:rsid w:val="00FF3B44"/>
    <w:rsid w:val="00FF3CBD"/>
    <w:rsid w:val="00FF5A8B"/>
    <w:rsid w:val="1F14123A"/>
    <w:rsid w:val="4141E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7BA60FB"/>
  <w15:chartTrackingRefBased/>
  <w15:docId w15:val="{71444A56-CF3C-4302-85EE-5906312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qFormat/>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rsid w:val="009B434F"/>
  </w:style>
  <w:style w:type="paragraph" w:styleId="ListParagraph">
    <w:name w:val="List Paragraph"/>
    <w:basedOn w:val="Normal"/>
    <w:uiPriority w:val="34"/>
    <w:qFormat/>
    <w:rsid w:val="00A657E2"/>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030C0B"/>
    <w:rPr>
      <w:snapToGrid w:val="0"/>
      <w:kern w:val="28"/>
      <w:sz w:val="22"/>
    </w:rPr>
  </w:style>
  <w:style w:type="character" w:styleId="CommentReference">
    <w:name w:val="annotation reference"/>
    <w:uiPriority w:val="99"/>
    <w:semiHidden/>
    <w:unhideWhenUsed/>
    <w:rsid w:val="0001019D"/>
    <w:rPr>
      <w:sz w:val="16"/>
      <w:szCs w:val="16"/>
    </w:rPr>
  </w:style>
  <w:style w:type="paragraph" w:styleId="CommentText">
    <w:name w:val="annotation text"/>
    <w:basedOn w:val="Normal"/>
    <w:link w:val="CommentTextChar"/>
    <w:uiPriority w:val="99"/>
    <w:unhideWhenUsed/>
    <w:rsid w:val="0001019D"/>
    <w:rPr>
      <w:sz w:val="20"/>
    </w:rPr>
  </w:style>
  <w:style w:type="character" w:customStyle="1" w:styleId="CommentTextChar">
    <w:name w:val="Comment Text Char"/>
    <w:link w:val="CommentText"/>
    <w:uiPriority w:val="99"/>
    <w:rsid w:val="0001019D"/>
    <w:rPr>
      <w:snapToGrid w:val="0"/>
      <w:kern w:val="28"/>
    </w:rPr>
  </w:style>
  <w:style w:type="paragraph" w:styleId="CommentSubject">
    <w:name w:val="annotation subject"/>
    <w:basedOn w:val="CommentText"/>
    <w:next w:val="CommentText"/>
    <w:link w:val="CommentSubjectChar"/>
    <w:uiPriority w:val="99"/>
    <w:semiHidden/>
    <w:unhideWhenUsed/>
    <w:rsid w:val="0001019D"/>
    <w:rPr>
      <w:b/>
      <w:bCs/>
    </w:rPr>
  </w:style>
  <w:style w:type="character" w:customStyle="1" w:styleId="CommentSubjectChar">
    <w:name w:val="Comment Subject Char"/>
    <w:link w:val="CommentSubject"/>
    <w:uiPriority w:val="99"/>
    <w:semiHidden/>
    <w:rsid w:val="0001019D"/>
    <w:rPr>
      <w:b/>
      <w:bCs/>
      <w:snapToGrid w:val="0"/>
      <w:kern w:val="28"/>
    </w:rPr>
  </w:style>
  <w:style w:type="character" w:styleId="Mention">
    <w:name w:val="Mention"/>
    <w:basedOn w:val="DefaultParagraphFont"/>
    <w:uiPriority w:val="99"/>
    <w:unhideWhenUsed/>
    <w:rsid w:val="00547D1D"/>
    <w:rPr>
      <w:color w:val="2B579A"/>
      <w:shd w:val="clear" w:color="auto" w:fill="E1DFDD"/>
    </w:rPr>
  </w:style>
  <w:style w:type="paragraph" w:customStyle="1" w:styleId="hd3-paragraph">
    <w:name w:val="hd3-paragraph"/>
    <w:basedOn w:val="Normal"/>
    <w:rsid w:val="00DF10E2"/>
    <w:pPr>
      <w:widowControl/>
      <w:spacing w:before="100" w:beforeAutospacing="1" w:after="100" w:afterAutospacing="1"/>
    </w:pPr>
    <w:rPr>
      <w:rFonts w:ascii="Calibri" w:eastAsia="Calibri" w:hAnsi="Calibri" w:cs="Calibri"/>
      <w:snapToGrid/>
      <w:kern w:val="0"/>
      <w:szCs w:val="22"/>
    </w:rPr>
  </w:style>
  <w:style w:type="paragraph" w:customStyle="1" w:styleId="paragraph">
    <w:name w:val="paragraph"/>
    <w:basedOn w:val="Normal"/>
    <w:rsid w:val="00DF10E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F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