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7A5D9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8A1A92" w14:textId="77777777">
      <w:pPr>
        <w:pStyle w:val="StyleBoldCentered"/>
      </w:pPr>
      <w:r>
        <w:t>F</w:t>
      </w:r>
      <w:r>
        <w:rPr>
          <w:caps w:val="0"/>
        </w:rPr>
        <w:t>ederal Communications Commission</w:t>
      </w:r>
    </w:p>
    <w:p w:rsidR="004C2EE3" w:rsidP="00096D8C" w14:paraId="0D2A30DA" w14:textId="77777777">
      <w:pPr>
        <w:pStyle w:val="StyleBoldCentered"/>
      </w:pPr>
      <w:r>
        <w:rPr>
          <w:caps w:val="0"/>
        </w:rPr>
        <w:t>Washington, D.C. 20554</w:t>
      </w:r>
    </w:p>
    <w:p w:rsidR="004C2EE3" w:rsidP="0070224F" w14:paraId="26A0DE8F" w14:textId="77777777"/>
    <w:p w:rsidR="004C2EE3" w:rsidP="0070224F" w14:paraId="0486D2BE" w14:textId="77777777"/>
    <w:tbl>
      <w:tblPr>
        <w:tblW w:w="0" w:type="auto"/>
        <w:tblLayout w:type="fixed"/>
        <w:tblLook w:val="0000"/>
      </w:tblPr>
      <w:tblGrid>
        <w:gridCol w:w="4698"/>
        <w:gridCol w:w="630"/>
        <w:gridCol w:w="4248"/>
      </w:tblGrid>
      <w:tr w14:paraId="6A8B04B6" w14:textId="77777777">
        <w:tblPrEx>
          <w:tblW w:w="0" w:type="auto"/>
          <w:tblLayout w:type="fixed"/>
          <w:tblLook w:val="0000"/>
        </w:tblPrEx>
        <w:tc>
          <w:tcPr>
            <w:tcW w:w="4698" w:type="dxa"/>
          </w:tcPr>
          <w:p w:rsidR="004C2EE3" w14:paraId="434F7EBE" w14:textId="77777777">
            <w:pPr>
              <w:tabs>
                <w:tab w:val="center" w:pos="4680"/>
              </w:tabs>
              <w:suppressAutoHyphens/>
              <w:rPr>
                <w:spacing w:val="-2"/>
              </w:rPr>
            </w:pPr>
            <w:r>
              <w:rPr>
                <w:spacing w:val="-2"/>
              </w:rPr>
              <w:t>In the Matter of</w:t>
            </w:r>
          </w:p>
          <w:p w:rsidR="004C2EE3" w14:paraId="5BBE0FF2" w14:textId="77777777">
            <w:pPr>
              <w:tabs>
                <w:tab w:val="center" w:pos="4680"/>
              </w:tabs>
              <w:suppressAutoHyphens/>
              <w:rPr>
                <w:spacing w:val="-2"/>
              </w:rPr>
            </w:pPr>
          </w:p>
          <w:p w:rsidR="004C2EE3" w:rsidP="007115F7" w14:paraId="35E19DE9" w14:textId="77777777">
            <w:pPr>
              <w:tabs>
                <w:tab w:val="center" w:pos="4680"/>
              </w:tabs>
              <w:suppressAutoHyphens/>
              <w:rPr>
                <w:spacing w:val="-2"/>
              </w:rPr>
            </w:pPr>
            <w:r>
              <w:rPr>
                <w:spacing w:val="-2"/>
              </w:rPr>
              <w:t>Hughes Network Systems, LLC</w:t>
            </w:r>
          </w:p>
          <w:p w:rsidR="004B51E2" w:rsidP="007115F7" w14:paraId="12C49510" w14:textId="77777777">
            <w:pPr>
              <w:tabs>
                <w:tab w:val="center" w:pos="4680"/>
              </w:tabs>
              <w:suppressAutoHyphens/>
              <w:rPr>
                <w:spacing w:val="-2"/>
              </w:rPr>
            </w:pPr>
          </w:p>
          <w:p w:rsidR="004B51E2" w:rsidP="007115F7" w14:paraId="7F9FB239" w14:textId="114FB708">
            <w:pPr>
              <w:tabs>
                <w:tab w:val="center" w:pos="4680"/>
              </w:tabs>
              <w:suppressAutoHyphens/>
              <w:rPr>
                <w:spacing w:val="-2"/>
              </w:rPr>
            </w:pPr>
            <w:r>
              <w:rPr>
                <w:spacing w:val="-2"/>
              </w:rPr>
              <w:t xml:space="preserve">Request to Extend </w:t>
            </w:r>
          </w:p>
          <w:p w:rsidR="004B51E2" w:rsidRPr="007115F7" w:rsidP="007115F7" w14:paraId="25769759" w14:textId="29A590BC">
            <w:pPr>
              <w:tabs>
                <w:tab w:val="center" w:pos="4680"/>
              </w:tabs>
              <w:suppressAutoHyphens/>
            </w:pPr>
            <w:r>
              <w:rPr>
                <w:spacing w:val="-2"/>
              </w:rPr>
              <w:t xml:space="preserve">Launch and Operation Milestone </w:t>
            </w:r>
          </w:p>
        </w:tc>
        <w:tc>
          <w:tcPr>
            <w:tcW w:w="630" w:type="dxa"/>
          </w:tcPr>
          <w:p w:rsidR="004C2EE3" w14:paraId="51990267" w14:textId="77777777">
            <w:pPr>
              <w:tabs>
                <w:tab w:val="center" w:pos="4680"/>
              </w:tabs>
              <w:suppressAutoHyphens/>
              <w:rPr>
                <w:b/>
                <w:spacing w:val="-2"/>
              </w:rPr>
            </w:pPr>
            <w:r>
              <w:rPr>
                <w:b/>
                <w:spacing w:val="-2"/>
              </w:rPr>
              <w:t>)</w:t>
            </w:r>
          </w:p>
          <w:p w:rsidR="004C2EE3" w14:paraId="75FE17C9" w14:textId="77777777">
            <w:pPr>
              <w:tabs>
                <w:tab w:val="center" w:pos="4680"/>
              </w:tabs>
              <w:suppressAutoHyphens/>
              <w:rPr>
                <w:b/>
                <w:spacing w:val="-2"/>
              </w:rPr>
            </w:pPr>
            <w:r>
              <w:rPr>
                <w:b/>
                <w:spacing w:val="-2"/>
              </w:rPr>
              <w:t>)</w:t>
            </w:r>
          </w:p>
          <w:p w:rsidR="004C2EE3" w14:paraId="2FE36937" w14:textId="77777777">
            <w:pPr>
              <w:tabs>
                <w:tab w:val="center" w:pos="4680"/>
              </w:tabs>
              <w:suppressAutoHyphens/>
              <w:rPr>
                <w:b/>
                <w:spacing w:val="-2"/>
              </w:rPr>
            </w:pPr>
            <w:r>
              <w:rPr>
                <w:b/>
                <w:spacing w:val="-2"/>
              </w:rPr>
              <w:t>)</w:t>
            </w:r>
          </w:p>
          <w:p w:rsidR="004C2EE3" w14:paraId="42482BBC" w14:textId="77777777">
            <w:pPr>
              <w:tabs>
                <w:tab w:val="center" w:pos="4680"/>
              </w:tabs>
              <w:suppressAutoHyphens/>
              <w:rPr>
                <w:b/>
                <w:spacing w:val="-2"/>
              </w:rPr>
            </w:pPr>
            <w:r>
              <w:rPr>
                <w:b/>
                <w:spacing w:val="-2"/>
              </w:rPr>
              <w:t>)</w:t>
            </w:r>
          </w:p>
          <w:p w:rsidR="004C2EE3" w14:paraId="65C2B372" w14:textId="77777777">
            <w:pPr>
              <w:tabs>
                <w:tab w:val="center" w:pos="4680"/>
              </w:tabs>
              <w:suppressAutoHyphens/>
              <w:rPr>
                <w:b/>
                <w:spacing w:val="-2"/>
              </w:rPr>
            </w:pPr>
            <w:r>
              <w:rPr>
                <w:b/>
                <w:spacing w:val="-2"/>
              </w:rPr>
              <w:t>)</w:t>
            </w:r>
          </w:p>
          <w:p w:rsidR="004C2EE3" w14:paraId="796B08AF" w14:textId="77777777">
            <w:pPr>
              <w:tabs>
                <w:tab w:val="center" w:pos="4680"/>
              </w:tabs>
              <w:suppressAutoHyphens/>
              <w:rPr>
                <w:b/>
                <w:spacing w:val="-2"/>
              </w:rPr>
            </w:pPr>
            <w:r>
              <w:rPr>
                <w:b/>
                <w:spacing w:val="-2"/>
              </w:rPr>
              <w:t>)</w:t>
            </w:r>
          </w:p>
          <w:p w:rsidR="004C2EE3" w14:paraId="1A390D79" w14:textId="4FAE5709">
            <w:pPr>
              <w:tabs>
                <w:tab w:val="center" w:pos="4680"/>
              </w:tabs>
              <w:suppressAutoHyphens/>
              <w:rPr>
                <w:b/>
                <w:spacing w:val="-2"/>
              </w:rPr>
            </w:pPr>
          </w:p>
          <w:p w:rsidR="004C2EE3" w14:paraId="19C6A404" w14:textId="3A2D752A">
            <w:pPr>
              <w:tabs>
                <w:tab w:val="center" w:pos="4680"/>
              </w:tabs>
              <w:suppressAutoHyphens/>
              <w:rPr>
                <w:b/>
                <w:spacing w:val="-2"/>
              </w:rPr>
            </w:pPr>
          </w:p>
          <w:p w:rsidR="004C2EE3" w14:paraId="748EE4BF" w14:textId="7CF49C21">
            <w:pPr>
              <w:tabs>
                <w:tab w:val="center" w:pos="4680"/>
              </w:tabs>
              <w:suppressAutoHyphens/>
              <w:rPr>
                <w:spacing w:val="-2"/>
              </w:rPr>
            </w:pPr>
          </w:p>
        </w:tc>
        <w:tc>
          <w:tcPr>
            <w:tcW w:w="4248" w:type="dxa"/>
          </w:tcPr>
          <w:p w:rsidR="004C2EE3" w14:paraId="28EA758A" w14:textId="77777777">
            <w:pPr>
              <w:tabs>
                <w:tab w:val="center" w:pos="4680"/>
              </w:tabs>
              <w:suppressAutoHyphens/>
              <w:rPr>
                <w:spacing w:val="-2"/>
              </w:rPr>
            </w:pPr>
          </w:p>
          <w:p w:rsidR="004C2EE3" w14:paraId="45ABF63D" w14:textId="77777777">
            <w:pPr>
              <w:pStyle w:val="TOAHeading"/>
              <w:tabs>
                <w:tab w:val="center" w:pos="4680"/>
                <w:tab w:val="clear" w:pos="9360"/>
              </w:tabs>
              <w:rPr>
                <w:spacing w:val="-2"/>
              </w:rPr>
            </w:pPr>
          </w:p>
          <w:p w:rsidR="004C2EE3" w14:paraId="7F534ADC" w14:textId="77777777">
            <w:pPr>
              <w:tabs>
                <w:tab w:val="center" w:pos="4680"/>
              </w:tabs>
              <w:suppressAutoHyphens/>
              <w:rPr>
                <w:spacing w:val="-2"/>
              </w:rPr>
            </w:pPr>
            <w:r>
              <w:rPr>
                <w:spacing w:val="-2"/>
              </w:rPr>
              <w:t>IBFS File No. SAT-MOD-20221017-00137</w:t>
            </w:r>
          </w:p>
          <w:p w:rsidR="004B51E2" w14:paraId="71126A75" w14:textId="4F168FF4">
            <w:pPr>
              <w:tabs>
                <w:tab w:val="center" w:pos="4680"/>
              </w:tabs>
              <w:suppressAutoHyphens/>
              <w:rPr>
                <w:spacing w:val="-2"/>
              </w:rPr>
            </w:pPr>
            <w:r>
              <w:rPr>
                <w:spacing w:val="-2"/>
              </w:rPr>
              <w:t xml:space="preserve">Call </w:t>
            </w:r>
            <w:r w:rsidR="00631C05">
              <w:rPr>
                <w:spacing w:val="-2"/>
              </w:rPr>
              <w:t>S</w:t>
            </w:r>
            <w:r>
              <w:rPr>
                <w:spacing w:val="-2"/>
              </w:rPr>
              <w:t>ign: S3017</w:t>
            </w:r>
          </w:p>
        </w:tc>
      </w:tr>
    </w:tbl>
    <w:p w:rsidR="00B013AD" w:rsidP="00F021FA" w14:paraId="3F5CC41D" w14:textId="77777777">
      <w:pPr>
        <w:pStyle w:val="StyleBoldCentered"/>
      </w:pPr>
    </w:p>
    <w:p w:rsidR="00841AB1" w:rsidP="00F021FA" w14:paraId="33F45E9B" w14:textId="6081B89C">
      <w:pPr>
        <w:pStyle w:val="StyleBoldCentered"/>
      </w:pPr>
      <w:r>
        <w:t>order</w:t>
      </w:r>
      <w:r w:rsidR="0020754C">
        <w:t xml:space="preserve">   </w:t>
      </w:r>
    </w:p>
    <w:p w:rsidR="0020754C" w:rsidRPr="00FE3A12" w:rsidP="7D4F3C54" w14:paraId="6B942817" w14:textId="4FDDF8D5">
      <w:pPr>
        <w:pStyle w:val="StyleBoldCentered"/>
        <w:rPr>
          <w:rFonts w:ascii="Times New Roman" w:hAnsi="Times New Roman"/>
          <w:i/>
          <w:iCs/>
          <w:color w:val="C00000"/>
          <w:sz w:val="16"/>
          <w:szCs w:val="16"/>
        </w:rPr>
      </w:pPr>
      <w:r>
        <w:tab/>
      </w:r>
      <w:r>
        <w:tab/>
      </w:r>
      <w:r>
        <w:tab/>
        <w:t xml:space="preserve">             </w:t>
      </w:r>
      <w:r w:rsidR="00FE3A12">
        <w:t xml:space="preserve">                                                   </w:t>
      </w:r>
      <w:r>
        <w:t xml:space="preserve"> </w:t>
      </w:r>
    </w:p>
    <w:p w:rsidR="004C2EE3" w:rsidRPr="0020754C" w14:paraId="40DE32F4" w14:textId="77777777">
      <w:pPr>
        <w:tabs>
          <w:tab w:val="left" w:pos="-720"/>
        </w:tabs>
        <w:suppressAutoHyphens/>
        <w:spacing w:line="227" w:lineRule="auto"/>
        <w:rPr>
          <w:i/>
          <w:iCs/>
          <w:color w:val="C00000"/>
          <w:spacing w:val="-2"/>
          <w:sz w:val="16"/>
          <w:szCs w:val="16"/>
        </w:rPr>
      </w:pPr>
    </w:p>
    <w:p w:rsidR="004C2EE3" w:rsidP="00133F79" w14:paraId="2755A1E5" w14:textId="033C460B">
      <w:pPr>
        <w:tabs>
          <w:tab w:val="left" w:pos="720"/>
          <w:tab w:val="right" w:pos="9360"/>
        </w:tabs>
        <w:suppressAutoHyphens/>
        <w:spacing w:line="227" w:lineRule="auto"/>
        <w:rPr>
          <w:spacing w:val="-2"/>
        </w:rPr>
      </w:pPr>
      <w:r>
        <w:rPr>
          <w:b/>
          <w:spacing w:val="-2"/>
        </w:rPr>
        <w:t xml:space="preserve">Adopted:  </w:t>
      </w:r>
      <w:r w:rsidR="008467B3">
        <w:rPr>
          <w:b/>
          <w:spacing w:val="-2"/>
        </w:rPr>
        <w:t>March 14,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67B3">
        <w:rPr>
          <w:b/>
          <w:spacing w:val="-2"/>
        </w:rPr>
        <w:t>March 14, 2023</w:t>
      </w:r>
    </w:p>
    <w:p w:rsidR="00822CE0" w14:paraId="1B308D35" w14:textId="77777777"/>
    <w:p w:rsidR="004C2EE3" w14:paraId="30A5FAE1" w14:textId="7F7E951E">
      <w:pPr>
        <w:rPr>
          <w:spacing w:val="-2"/>
        </w:rPr>
      </w:pPr>
      <w:r>
        <w:t xml:space="preserve">By </w:t>
      </w:r>
      <w:r w:rsidRPr="00454986" w:rsidR="004E4A22">
        <w:t>the</w:t>
      </w:r>
      <w:r w:rsidRPr="00454986" w:rsidR="002A2D2E">
        <w:t xml:space="preserve"> </w:t>
      </w:r>
      <w:r w:rsidRPr="00454986" w:rsidR="00B013AD">
        <w:rPr>
          <w:spacing w:val="-2"/>
        </w:rPr>
        <w:t>Chief, International Bureau</w:t>
      </w:r>
      <w:r w:rsidRPr="00454986">
        <w:rPr>
          <w:spacing w:val="-2"/>
        </w:rPr>
        <w:t>:</w:t>
      </w:r>
    </w:p>
    <w:p w:rsidR="00822CE0" w14:paraId="6A964E4C" w14:textId="77777777">
      <w:pPr>
        <w:rPr>
          <w:spacing w:val="-2"/>
        </w:rPr>
      </w:pPr>
    </w:p>
    <w:p w:rsidR="00412FC5" w:rsidP="00C36B4C" w14:paraId="23469B2B" w14:textId="64DC5F2E">
      <w:pPr>
        <w:pStyle w:val="Heading1"/>
      </w:pPr>
      <w:r>
        <w:t>Introduction</w:t>
      </w:r>
    </w:p>
    <w:p w:rsidR="00920DF3" w:rsidP="00920DF3" w14:paraId="496AD674" w14:textId="463BA10F">
      <w:pPr>
        <w:pStyle w:val="ParaNum"/>
      </w:pPr>
      <w:r>
        <w:t>By t</w:t>
      </w:r>
      <w:r w:rsidR="00FB28B7">
        <w:t>his order, we grant the request of Hughes Network Systems, LLC (Hughes) to modify the</w:t>
      </w:r>
      <w:r w:rsidR="00631C05">
        <w:t xml:space="preserve"> milestone for launching and operating the</w:t>
      </w:r>
      <w:r w:rsidR="00FB28B7">
        <w:t xml:space="preserve"> </w:t>
      </w:r>
      <w:r w:rsidR="008834EE">
        <w:t>EchoStar</w:t>
      </w:r>
      <w:r w:rsidR="00891901">
        <w:t xml:space="preserve"> XXIV satellite (aka Jupiter 3)</w:t>
      </w:r>
      <w:r w:rsidR="00631C05">
        <w:t xml:space="preserve">, which is </w:t>
      </w:r>
      <w:r w:rsidR="000740E2">
        <w:t xml:space="preserve">planned to </w:t>
      </w:r>
      <w:r w:rsidR="008C7D22">
        <w:t>provide fixed-satellite service from</w:t>
      </w:r>
      <w:r w:rsidR="00891901">
        <w:t xml:space="preserve"> the 95.2</w:t>
      </w:r>
      <w:r>
        <w:t>°</w:t>
      </w:r>
      <w:r w:rsidR="00891901">
        <w:t xml:space="preserve"> W.L. orbital location</w:t>
      </w:r>
      <w:r w:rsidR="00631C05">
        <w:t xml:space="preserve">.  Specifically, we modify the milestone by extending it from the current date, March 20, 2023, to </w:t>
      </w:r>
      <w:r w:rsidR="00FB28B7">
        <w:t xml:space="preserve">March 20, 2024. </w:t>
      </w:r>
      <w:r w:rsidR="0020754C">
        <w:t xml:space="preserve"> This </w:t>
      </w:r>
      <w:r w:rsidR="00631C05">
        <w:t xml:space="preserve">action is taken based on a finding that the additional time needed by Hughes to launch and operate is due to continued COVID-19 related delays as well as delays resulting from the war in Ukraine, </w:t>
      </w:r>
      <w:r w:rsidR="008D2DAF">
        <w:t xml:space="preserve">circumstances </w:t>
      </w:r>
      <w:r w:rsidR="00631C05">
        <w:t xml:space="preserve">beyond Hughes’ control. </w:t>
      </w:r>
      <w:r w:rsidR="008C7D22">
        <w:t xml:space="preserve"> </w:t>
      </w:r>
      <w:r w:rsidR="00631C05">
        <w:t xml:space="preserve">Grant of the request for a one-year extension will allow for </w:t>
      </w:r>
      <w:r w:rsidR="008C7D22">
        <w:t>completion of construction and launch of the satellite.</w:t>
      </w:r>
      <w:r w:rsidR="00631C05">
        <w:t xml:space="preserve">  The launch and operation of the </w:t>
      </w:r>
      <w:r w:rsidR="008834EE">
        <w:t>EchoStar</w:t>
      </w:r>
      <w:r w:rsidR="00631C05">
        <w:t xml:space="preserve"> XXIV satellite will provide additional capacity for new broadband service to government, small business, and residential customers throughout the continental United States. </w:t>
      </w:r>
    </w:p>
    <w:p w:rsidR="004D24B4" w:rsidP="00920DF3" w14:paraId="3CBDD58F" w14:textId="4486877D">
      <w:pPr>
        <w:pStyle w:val="Heading1"/>
        <w:tabs>
          <w:tab w:val="left" w:pos="720"/>
        </w:tabs>
      </w:pPr>
      <w:r>
        <w:t xml:space="preserve">BACKGROUND </w:t>
      </w:r>
    </w:p>
    <w:p w:rsidR="00AA6D15" w:rsidP="008F579E" w14:paraId="0BA623AB" w14:textId="6BE44E89">
      <w:pPr>
        <w:pStyle w:val="ParaNum"/>
      </w:pPr>
      <w:r>
        <w:t xml:space="preserve">On </w:t>
      </w:r>
      <w:r>
        <w:t xml:space="preserve">March 20, 2018, </w:t>
      </w:r>
      <w:r w:rsidR="008C7D22">
        <w:t xml:space="preserve">the Satellite Division granted </w:t>
      </w:r>
      <w:r>
        <w:t xml:space="preserve">Hughes authority to deploy and operate a geostationary orbit space station, </w:t>
      </w:r>
      <w:r w:rsidR="008834EE">
        <w:t>EchoStar</w:t>
      </w:r>
      <w:r>
        <w:t xml:space="preserve"> XXIV</w:t>
      </w:r>
      <w:r w:rsidR="001C5F05">
        <w:t xml:space="preserve"> to provide fixed</w:t>
      </w:r>
      <w:r w:rsidR="008C7D22">
        <w:t>-</w:t>
      </w:r>
      <w:r w:rsidR="008D2DAF">
        <w:t>s</w:t>
      </w:r>
      <w:r w:rsidR="001C5F05">
        <w:t>atellite service at the 95.2</w:t>
      </w:r>
      <w:r w:rsidR="00BF5A90">
        <w:t>°</w:t>
      </w:r>
      <w:r w:rsidR="001C5F05">
        <w:t xml:space="preserve"> W.L. orbital location using certain Ka-band and V-band frequencies.</w:t>
      </w:r>
      <w:r>
        <w:rPr>
          <w:rStyle w:val="FootnoteReference"/>
        </w:rPr>
        <w:footnoteReference w:id="3"/>
      </w:r>
      <w:r w:rsidR="001C5F05">
        <w:t xml:space="preserve"> </w:t>
      </w:r>
      <w:r w:rsidR="00421CB6">
        <w:t xml:space="preserve"> </w:t>
      </w:r>
      <w:r>
        <w:t xml:space="preserve">The authorization </w:t>
      </w:r>
      <w:r w:rsidR="00511C35">
        <w:t xml:space="preserve">included several milestone requirements, including that </w:t>
      </w:r>
      <w:r>
        <w:t>Hughes launch the space station and commence operations at the assigned orbital location no later than March 20, 2023.</w:t>
      </w:r>
      <w:r>
        <w:rPr>
          <w:rStyle w:val="FootnoteReference"/>
        </w:rPr>
        <w:footnoteReference w:id="4"/>
      </w:r>
    </w:p>
    <w:p w:rsidR="001C5F05" w:rsidP="008F579E" w14:paraId="63C72405" w14:textId="615383E7">
      <w:pPr>
        <w:pStyle w:val="ParaNum"/>
      </w:pPr>
      <w:r>
        <w:t xml:space="preserve">On October 17, 2022, </w:t>
      </w:r>
      <w:r w:rsidR="00AB4E3E">
        <w:t>Hughes filed</w:t>
      </w:r>
      <w:r w:rsidR="00DA4426">
        <w:t xml:space="preserve"> an application requesting</w:t>
      </w:r>
      <w:r w:rsidR="00850258">
        <w:t xml:space="preserve"> modification of the</w:t>
      </w:r>
      <w:r w:rsidR="00DA4426">
        <w:t xml:space="preserve"> authorization for the </w:t>
      </w:r>
      <w:r w:rsidR="008834EE">
        <w:t>EchoStar</w:t>
      </w:r>
      <w:r w:rsidR="00DA4426">
        <w:t xml:space="preserve"> XXIV satellite</w:t>
      </w:r>
      <w:r w:rsidR="0069221A">
        <w:t xml:space="preserve"> </w:t>
      </w:r>
      <w:r w:rsidR="04326642">
        <w:t xml:space="preserve">to extend by </w:t>
      </w:r>
      <w:r w:rsidR="00DA4426">
        <w:t>one</w:t>
      </w:r>
      <w:r w:rsidR="464DA17D">
        <w:t xml:space="preserve"> </w:t>
      </w:r>
      <w:r w:rsidR="00DA4426">
        <w:t>year the</w:t>
      </w:r>
      <w:r w:rsidR="7E5001FF">
        <w:t xml:space="preserve"> requirement </w:t>
      </w:r>
      <w:r w:rsidR="00DA4426">
        <w:t xml:space="preserve">to launch and operate </w:t>
      </w:r>
      <w:r w:rsidR="00DA4426">
        <w:t>the space station by March 20, 2023.</w:t>
      </w:r>
      <w:r>
        <w:rPr>
          <w:rStyle w:val="FootnoteReference"/>
        </w:rPr>
        <w:footnoteReference w:id="5"/>
      </w:r>
      <w:r w:rsidR="00AB4E3E">
        <w:t xml:space="preserve"> </w:t>
      </w:r>
      <w:r w:rsidR="00421CB6">
        <w:t xml:space="preserve"> </w:t>
      </w:r>
      <w:r w:rsidR="00AB4E3E">
        <w:t>Hughes states the extension is warranted due to unforeseeable circumstances beyond its control, and due to unique and overriding public interest considerations.</w:t>
      </w:r>
    </w:p>
    <w:p w:rsidR="00511C35" w:rsidP="008F579E" w14:paraId="4D1BFFD7" w14:textId="28EB3072">
      <w:pPr>
        <w:pStyle w:val="ParaNum"/>
      </w:pPr>
      <w:r>
        <w:t>Hughes cites several reasons in support of its request, starting with C</w:t>
      </w:r>
      <w:r w:rsidR="382B360A">
        <w:t>OVID</w:t>
      </w:r>
      <w:r>
        <w:t xml:space="preserve">-19 delays.  </w:t>
      </w:r>
      <w:r w:rsidR="382B360A">
        <w:t>According to Hughes,</w:t>
      </w:r>
      <w:r>
        <w:t xml:space="preserve"> the satellite manufacturer exp</w:t>
      </w:r>
      <w:r w:rsidR="70124A21">
        <w:t>erienced</w:t>
      </w:r>
      <w:r>
        <w:t xml:space="preserve"> numerous disruptions leading to </w:t>
      </w:r>
      <w:r w:rsidR="70124A21">
        <w:t>accumulated delays resulting from restrictions</w:t>
      </w:r>
      <w:r w:rsidR="382B360A">
        <w:t xml:space="preserve"> </w:t>
      </w:r>
      <w:r w:rsidR="3D38A223">
        <w:t>-</w:t>
      </w:r>
      <w:r w:rsidR="1DE0BD2C">
        <w:t xml:space="preserve"> </w:t>
      </w:r>
      <w:r w:rsidR="324998FE">
        <w:t xml:space="preserve">including stay at home orders and </w:t>
      </w:r>
      <w:r w:rsidR="2293B375">
        <w:t xml:space="preserve">country </w:t>
      </w:r>
      <w:r w:rsidR="324998FE">
        <w:t xml:space="preserve">border </w:t>
      </w:r>
      <w:r w:rsidR="554B0BA7">
        <w:t>restrictions</w:t>
      </w:r>
      <w:r w:rsidR="3D38A223">
        <w:t xml:space="preserve"> - i</w:t>
      </w:r>
      <w:r w:rsidR="70124A21">
        <w:t xml:space="preserve">mposed to combat the pandemic. </w:t>
      </w:r>
      <w:r w:rsidR="4979E172">
        <w:t xml:space="preserve"> </w:t>
      </w:r>
      <w:r w:rsidR="1DE0BD2C">
        <w:t>Hughes states that the d</w:t>
      </w:r>
      <w:r w:rsidR="324998FE">
        <w:t xml:space="preserve">elays </w:t>
      </w:r>
      <w:r>
        <w:t>includ</w:t>
      </w:r>
      <w:r>
        <w:t>ed</w:t>
      </w:r>
      <w:r w:rsidR="324998FE">
        <w:t xml:space="preserve"> the manufacturing of critical </w:t>
      </w:r>
      <w:r w:rsidR="554B0BA7">
        <w:t xml:space="preserve">components and </w:t>
      </w:r>
      <w:r w:rsidR="0D7EA4FD">
        <w:t xml:space="preserve">the </w:t>
      </w:r>
      <w:r w:rsidR="554B0BA7">
        <w:t xml:space="preserve">limited availability of key </w:t>
      </w:r>
      <w:r w:rsidR="22115BD0">
        <w:t>personnel</w:t>
      </w:r>
      <w:r w:rsidR="2293B375">
        <w:t xml:space="preserve"> to work on the satellite.</w:t>
      </w:r>
      <w:r>
        <w:rPr>
          <w:rStyle w:val="FootnoteReference"/>
        </w:rPr>
        <w:footnoteReference w:id="6"/>
      </w:r>
      <w:r w:rsidR="2293B375">
        <w:t xml:space="preserve"> </w:t>
      </w:r>
    </w:p>
    <w:p w:rsidR="005151EF" w:rsidP="008F579E" w14:paraId="26A5AFAC" w14:textId="32AE8E22">
      <w:pPr>
        <w:pStyle w:val="ParaNum"/>
      </w:pPr>
      <w:r>
        <w:t xml:space="preserve">In addition, </w:t>
      </w:r>
      <w:r w:rsidR="00F86AE1">
        <w:t xml:space="preserve">Hughes </w:t>
      </w:r>
      <w:r w:rsidR="00E4382C">
        <w:t>cites</w:t>
      </w:r>
      <w:r w:rsidR="008C2CE2">
        <w:t xml:space="preserve"> </w:t>
      </w:r>
      <w:r>
        <w:t>significant delays</w:t>
      </w:r>
      <w:r w:rsidR="00E4382C">
        <w:t xml:space="preserve"> that</w:t>
      </w:r>
      <w:r>
        <w:t xml:space="preserve"> occurred as a result of the war in Ukraine.</w:t>
      </w:r>
      <w:r>
        <w:rPr>
          <w:rStyle w:val="FootnoteReference"/>
        </w:rPr>
        <w:footnoteReference w:id="7"/>
      </w:r>
      <w:r>
        <w:t xml:space="preserve">  </w:t>
      </w:r>
      <w:r w:rsidR="00E4382C">
        <w:t xml:space="preserve">According to Hughes, </w:t>
      </w:r>
      <w:r>
        <w:t xml:space="preserve">U.S. sanctions imposed on Russia precluded the use of a Russian based cargo ship to deliver the satellite from the manufacturing facility to the launch site. </w:t>
      </w:r>
      <w:r w:rsidR="00E4382C">
        <w:t>Hughes states that the</w:t>
      </w:r>
      <w:r w:rsidR="00D44CC6">
        <w:t xml:space="preserve"> war also dictated that the satellite manufacturer prioritize the fulfillment of U.S. government contracts and as a result, the key testing facility was unavailable for a period of time.</w:t>
      </w:r>
      <w:r>
        <w:rPr>
          <w:rStyle w:val="FootnoteReference"/>
        </w:rPr>
        <w:footnoteReference w:id="8"/>
      </w:r>
      <w:r w:rsidR="00D44CC6">
        <w:t xml:space="preserve">  </w:t>
      </w:r>
    </w:p>
    <w:p w:rsidR="0039429A" w:rsidP="00ED5430" w14:paraId="1CDA6553" w14:textId="2ED72A10">
      <w:pPr>
        <w:pStyle w:val="ParaNum"/>
      </w:pPr>
      <w:r>
        <w:t xml:space="preserve">Hughes </w:t>
      </w:r>
      <w:r w:rsidR="40813A76">
        <w:t xml:space="preserve">maintains </w:t>
      </w:r>
      <w:r>
        <w:t xml:space="preserve">that these delays also </w:t>
      </w:r>
      <w:r w:rsidR="65E659F1">
        <w:t xml:space="preserve">affected </w:t>
      </w:r>
      <w:r>
        <w:t>the</w:t>
      </w:r>
      <w:r w:rsidR="41AA6229">
        <w:t xml:space="preserve"> ability of </w:t>
      </w:r>
      <w:r>
        <w:t>sub-contractors to produce novel components</w:t>
      </w:r>
      <w:r w:rsidR="41AA6229">
        <w:t xml:space="preserve"> for the manufacturer.</w:t>
      </w:r>
      <w:r w:rsidR="1DE0BD2C">
        <w:t xml:space="preserve"> </w:t>
      </w:r>
      <w:r>
        <w:t xml:space="preserve"> </w:t>
      </w:r>
      <w:r w:rsidR="41AA6229">
        <w:t>Due to the complexity of the satellite design, Hughes states much of the construction work is performed sequentially, slowing construction because steps could not be completed without the delivery of certain components</w:t>
      </w:r>
      <w:r w:rsidR="5EFD676B">
        <w:t>.</w:t>
      </w:r>
      <w:r>
        <w:rPr>
          <w:rStyle w:val="FootnoteReference"/>
        </w:rPr>
        <w:footnoteReference w:id="9"/>
      </w:r>
      <w:r w:rsidR="41AA6229">
        <w:t xml:space="preserve">  These production delays, Hughes asserts, were beyond its control. </w:t>
      </w:r>
    </w:p>
    <w:p w:rsidR="00CE1CFD" w:rsidP="00786C32" w14:paraId="126EA10B" w14:textId="57329073">
      <w:pPr>
        <w:pStyle w:val="ParaNum"/>
      </w:pPr>
      <w:r>
        <w:t>Hugh</w:t>
      </w:r>
      <w:r w:rsidR="6D538F15">
        <w:t>e</w:t>
      </w:r>
      <w:r>
        <w:t>s notes that despite the challenges it has worked diligently to mitigate the delays</w:t>
      </w:r>
      <w:r w:rsidR="225A8677">
        <w:t xml:space="preserve"> including</w:t>
      </w:r>
      <w:r>
        <w:t xml:space="preserve"> hiring consultants to address personnel shortages, moving the locations of certain tasks, and procuring a launch vehicle that removes the need for electrical orbit raising to minimize months of further delay.</w:t>
      </w:r>
      <w:r>
        <w:rPr>
          <w:rStyle w:val="FootnoteReference"/>
        </w:rPr>
        <w:footnoteReference w:id="10"/>
      </w:r>
      <w:r>
        <w:t xml:space="preserve"> </w:t>
      </w:r>
      <w:r w:rsidR="0D7EA4FD">
        <w:t xml:space="preserve"> </w:t>
      </w:r>
      <w:r w:rsidR="40813A76">
        <w:t>Importantly, Hug</w:t>
      </w:r>
      <w:r w:rsidR="6CEE5E7A">
        <w:t>hes states it has paid over 93 percent of the cost for constructing the satellite and has the financial resources to complete construction and launch and operate the satellite.</w:t>
      </w:r>
      <w:r>
        <w:rPr>
          <w:rStyle w:val="FootnoteReference"/>
        </w:rPr>
        <w:footnoteReference w:id="11"/>
      </w:r>
      <w:r w:rsidR="6CEE5E7A">
        <w:t xml:space="preserve">  </w:t>
      </w:r>
      <w:r w:rsidR="1DE0BD2C">
        <w:t>Hughes states that it</w:t>
      </w:r>
      <w:r w:rsidR="3D38A223">
        <w:t xml:space="preserve"> </w:t>
      </w:r>
      <w:r w:rsidR="6CEE5E7A">
        <w:t xml:space="preserve">also continues to develop the ground network and expects to spend 90 percent of construction costs </w:t>
      </w:r>
      <w:r w:rsidR="40A2B750">
        <w:t>for its system b</w:t>
      </w:r>
      <w:r w:rsidR="6CEE5E7A">
        <w:t>y the end of 2022.</w:t>
      </w:r>
      <w:r>
        <w:rPr>
          <w:rStyle w:val="FootnoteReference"/>
        </w:rPr>
        <w:footnoteReference w:id="12"/>
      </w:r>
      <w:r w:rsidR="6CEE5E7A">
        <w:t xml:space="preserve">  </w:t>
      </w:r>
      <w:r w:rsidR="0D7EA4FD">
        <w:t xml:space="preserve">Hughes states it has “every confidence in the successful launch of the </w:t>
      </w:r>
      <w:r w:rsidR="008834EE">
        <w:t>EchoStar</w:t>
      </w:r>
      <w:r w:rsidR="0D7EA4FD">
        <w:t xml:space="preserve"> XXIV satellite and consequently the provision of a new broadband service with improved services, speeds and cost efficiencies.</w:t>
      </w:r>
      <w:r w:rsidR="5EAED9B0">
        <w:t>”</w:t>
      </w:r>
      <w:r>
        <w:rPr>
          <w:rStyle w:val="FootnoteReference"/>
        </w:rPr>
        <w:footnoteReference w:id="13"/>
      </w:r>
      <w:r w:rsidR="0D7EA4FD">
        <w:t xml:space="preserve"> </w:t>
      </w:r>
    </w:p>
    <w:p w:rsidR="00CE1CFD" w:rsidP="00CE1CFD" w14:paraId="5F7E7C2D" w14:textId="0EF8B489">
      <w:pPr>
        <w:pStyle w:val="Heading1"/>
      </w:pPr>
      <w:r>
        <w:t>Discussion</w:t>
      </w:r>
    </w:p>
    <w:p w:rsidR="00094ED9" w:rsidP="006E72F5" w14:paraId="0537A37A" w14:textId="64C14EB9">
      <w:pPr>
        <w:pStyle w:val="ParaNum"/>
      </w:pPr>
      <w:r>
        <w:t>Commission rules allow for milestone extensions when the delay is due to unforeseeable circumstances beyond the applicant</w:t>
      </w:r>
      <w:r w:rsidR="46644545">
        <w:t>’</w:t>
      </w:r>
      <w:r>
        <w:t xml:space="preserve">s control, or when there are unique and overriding public interest </w:t>
      </w:r>
      <w:r>
        <w:t>concerns that justify an extension.</w:t>
      </w:r>
      <w:r>
        <w:rPr>
          <w:rStyle w:val="FootnoteReference"/>
        </w:rPr>
        <w:footnoteReference w:id="14"/>
      </w:r>
      <w:r>
        <w:t xml:space="preserve"> </w:t>
      </w:r>
      <w:r w:rsidR="4979E172">
        <w:t xml:space="preserve"> </w:t>
      </w:r>
      <w:r w:rsidR="1162B2C7">
        <w:t>An applicant must justify the precise extension period requested.</w:t>
      </w:r>
      <w:r>
        <w:rPr>
          <w:rStyle w:val="FootnoteReference"/>
        </w:rPr>
        <w:footnoteReference w:id="15"/>
      </w:r>
      <w:r w:rsidR="5EFD676B">
        <w:t xml:space="preserve"> </w:t>
      </w:r>
      <w:r w:rsidR="7A4D1FC2">
        <w:t>The unforeseeable circumstances in this instance are attributed to the C</w:t>
      </w:r>
      <w:r w:rsidR="1DE0BD2C">
        <w:t>OVID</w:t>
      </w:r>
      <w:r w:rsidR="7A4D1FC2">
        <w:t xml:space="preserve">-19 pandemic, which the Commission has acknowledged is a unique and unusual circumstance that resulted in widespread delays in the receipt of communications equipment </w:t>
      </w:r>
      <w:r w:rsidR="245A2F5B">
        <w:t>and caused delays in network construction.</w:t>
      </w:r>
      <w:r>
        <w:rPr>
          <w:rStyle w:val="FootnoteReference"/>
        </w:rPr>
        <w:footnoteReference w:id="16"/>
      </w:r>
      <w:r w:rsidR="245A2F5B">
        <w:t xml:space="preserve"> </w:t>
      </w:r>
      <w:r w:rsidR="6FE13C19">
        <w:t xml:space="preserve"> Further, it recognized that various stay-at-home orders, necessary for public health and safety, have created “gaps in all phases of the supply and deployment chain.”</w:t>
      </w:r>
      <w:r>
        <w:rPr>
          <w:rStyle w:val="FootnoteReference"/>
        </w:rPr>
        <w:footnoteReference w:id="17"/>
      </w:r>
      <w:r w:rsidR="564A0C40">
        <w:t xml:space="preserve"> </w:t>
      </w:r>
      <w:r w:rsidR="5EAED9B0">
        <w:t xml:space="preserve"> </w:t>
      </w:r>
      <w:r w:rsidR="6FE13C19">
        <w:t>As a result, we find that Hughes</w:t>
      </w:r>
      <w:r w:rsidR="46DA23BE">
        <w:t>’</w:t>
      </w:r>
      <w:r w:rsidR="6FE13C19">
        <w:t xml:space="preserve"> </w:t>
      </w:r>
      <w:r w:rsidR="183E3C97">
        <w:t xml:space="preserve">claims with respect to </w:t>
      </w:r>
      <w:r w:rsidR="6FE13C19">
        <w:t xml:space="preserve">supply chain and human resource disruptions and consequent construction and delivery delays to be </w:t>
      </w:r>
      <w:r w:rsidR="183E3C97">
        <w:t xml:space="preserve">generally credible.  </w:t>
      </w:r>
      <w:r w:rsidR="46DA23BE">
        <w:t xml:space="preserve">We </w:t>
      </w:r>
      <w:r w:rsidR="0B4109A3">
        <w:t xml:space="preserve">also </w:t>
      </w:r>
      <w:r w:rsidR="46DA23BE">
        <w:t xml:space="preserve">acknowledge that the </w:t>
      </w:r>
      <w:r w:rsidR="009F703A">
        <w:t>war in U</w:t>
      </w:r>
      <w:r w:rsidR="46DA23BE">
        <w:t>kraine</w:t>
      </w:r>
      <w:r w:rsidR="757F694E">
        <w:t xml:space="preserve"> is disrupting air and shipping freight, </w:t>
      </w:r>
      <w:r w:rsidR="564A0C40">
        <w:t xml:space="preserve">and involves </w:t>
      </w:r>
      <w:r w:rsidR="757F694E">
        <w:t>sanctions</w:t>
      </w:r>
      <w:r w:rsidR="183E3C97">
        <w:t xml:space="preserve"> that may</w:t>
      </w:r>
      <w:r w:rsidR="0097C953">
        <w:t xml:space="preserve"> affect</w:t>
      </w:r>
      <w:r w:rsidR="183E3C97">
        <w:t xml:space="preserve"> transportation.</w:t>
      </w:r>
      <w:r w:rsidR="0B4109A3">
        <w:t xml:space="preserve">  </w:t>
      </w:r>
      <w:r w:rsidR="183E3C97">
        <w:t>We also observe that such circumstances may have necessitated</w:t>
      </w:r>
      <w:r w:rsidR="757F694E">
        <w:t xml:space="preserve"> the manufacturer’s</w:t>
      </w:r>
      <w:r w:rsidR="02D1852A">
        <w:t xml:space="preserve"> </w:t>
      </w:r>
      <w:r w:rsidR="757F694E">
        <w:t>shift to prioritizing government contracts over commercial enterprises.</w:t>
      </w:r>
      <w:r>
        <w:rPr>
          <w:rStyle w:val="FootnoteReference"/>
        </w:rPr>
        <w:footnoteReference w:id="18"/>
      </w:r>
      <w:r w:rsidR="757F694E">
        <w:t xml:space="preserve"> </w:t>
      </w:r>
      <w:r w:rsidR="46DA23BE">
        <w:t xml:space="preserve"> </w:t>
      </w:r>
    </w:p>
    <w:p w:rsidR="00957425" w:rsidP="006E72F5" w14:paraId="7EAE2FC8" w14:textId="26CE9499">
      <w:pPr>
        <w:pStyle w:val="ParaNum"/>
      </w:pPr>
      <w:r>
        <w:t xml:space="preserve">In response to these interruptions, Hughes has taken </w:t>
      </w:r>
      <w:r w:rsidR="757F694E">
        <w:t xml:space="preserve">concrete </w:t>
      </w:r>
      <w:r>
        <w:t>steps to reduce further delays</w:t>
      </w:r>
      <w:r w:rsidR="44DCF360">
        <w:t>, specifying that it has hired</w:t>
      </w:r>
      <w:r>
        <w:t xml:space="preserve"> consultants to address </w:t>
      </w:r>
      <w:r w:rsidR="60DE7BB2">
        <w:t>personnel</w:t>
      </w:r>
      <w:r w:rsidR="1D98F849">
        <w:t xml:space="preserve"> </w:t>
      </w:r>
      <w:r>
        <w:t xml:space="preserve">shortages and </w:t>
      </w:r>
      <w:r w:rsidR="44DCF360">
        <w:t xml:space="preserve">reassigned </w:t>
      </w:r>
      <w:r>
        <w:t>tasks to the manufacturer’s production fac</w:t>
      </w:r>
      <w:r w:rsidR="757F694E">
        <w:t xml:space="preserve">ility </w:t>
      </w:r>
      <w:r>
        <w:t xml:space="preserve">to reduce the need for subcontractors.  </w:t>
      </w:r>
      <w:r w:rsidR="44DCF360">
        <w:t>We note that Hughes</w:t>
      </w:r>
      <w:r>
        <w:t xml:space="preserve"> has spent over 93 percent </w:t>
      </w:r>
      <w:r w:rsidR="757F694E">
        <w:t xml:space="preserve">of the satellite construction costs and continues to invest in completing the </w:t>
      </w:r>
      <w:r w:rsidR="008834EE">
        <w:t>EchoStar</w:t>
      </w:r>
      <w:r w:rsidR="757F694E">
        <w:t xml:space="preserve"> XXIV</w:t>
      </w:r>
      <w:r w:rsidR="44DCF360">
        <w:t xml:space="preserve"> satellite</w:t>
      </w:r>
      <w:r w:rsidR="757F694E">
        <w:t>.</w:t>
      </w:r>
      <w:r w:rsidR="08F3371C">
        <w:t xml:space="preserve"> </w:t>
      </w:r>
      <w:r w:rsidR="7F748442">
        <w:t xml:space="preserve"> The policy objective of the Commission’s milestone rules is to ensure that licensees proceed with the construction and launch of their satellites in a timely manner so that valuable spectrum will not be held to the exclusion of others by those unwilling or unable to proceed.  We find no basis to conclude that Hughes is unable or unwilling to proceed with completion of the satellite, but rather that the record presented demonstrates substantial expenditures and concrete progress toward completion of the satellite.</w:t>
      </w:r>
      <w:r w:rsidR="67FA0487">
        <w:t xml:space="preserve">  </w:t>
      </w:r>
    </w:p>
    <w:p w:rsidR="000A73C1" w:rsidP="00421CB6" w14:paraId="4657C25B" w14:textId="64FB6630">
      <w:pPr>
        <w:pStyle w:val="ParaNum"/>
        <w:tabs>
          <w:tab w:val="clear" w:pos="1080"/>
          <w:tab w:val="num" w:pos="1440"/>
        </w:tabs>
      </w:pPr>
      <w:r>
        <w:t>In light of these factors, grant of an extension will serv</w:t>
      </w:r>
      <w:r w:rsidR="00570DE3">
        <w:t>e</w:t>
      </w:r>
      <w:r>
        <w:t xml:space="preserve"> the public interest by allowing Hughes to promptly complete its system.  We condition this extension on Hughes also having its bond requirement extended.  The bond requirement was adopted to establish a market</w:t>
      </w:r>
      <w:r w:rsidR="38871F35">
        <w:t>-</w:t>
      </w:r>
      <w:r>
        <w:t>based mechanism for ensuring that licensees are willing and able to proceed with satellite construction and to discourage warehousing of scarce resources.</w:t>
      </w:r>
      <w:r>
        <w:rPr>
          <w:rStyle w:val="FootnoteReference"/>
        </w:rPr>
        <w:footnoteReference w:id="19"/>
      </w:r>
      <w:r>
        <w:t xml:space="preserve">  An extension of the bond is consistent with and supports the Commission’s policy of using a market</w:t>
      </w:r>
      <w:r w:rsidR="008745FB">
        <w:t>-</w:t>
      </w:r>
      <w:r>
        <w:t>based approach toward ensuring that licensees complete construction and not warehouse scarce resources.</w:t>
      </w:r>
      <w:r>
        <w:rPr>
          <w:rStyle w:val="FootnoteReference"/>
        </w:rPr>
        <w:footnoteReference w:id="20"/>
      </w:r>
    </w:p>
    <w:p w:rsidR="008745FB" w:rsidRPr="006E72F5" w:rsidP="008D2DAF" w14:paraId="6A83D027" w14:textId="0526598F">
      <w:pPr>
        <w:pStyle w:val="ParaNum"/>
        <w:numPr>
          <w:ilvl w:val="0"/>
          <w:numId w:val="0"/>
        </w:numPr>
        <w:ind w:left="720"/>
      </w:pPr>
    </w:p>
    <w:p w:rsidR="00891901" w:rsidP="7D4F3C54" w14:paraId="233715B9" w14:textId="2A57ACE7">
      <w:pPr>
        <w:pStyle w:val="Heading1"/>
        <w:rPr>
          <w:rFonts w:ascii="Times New Roman" w:hAnsi="Times New Roman"/>
        </w:rPr>
      </w:pPr>
      <w:r w:rsidRPr="7D4F3C54">
        <w:rPr>
          <w:rFonts w:ascii="Times New Roman" w:hAnsi="Times New Roman"/>
        </w:rPr>
        <w:t>ORDERing clauses</w:t>
      </w:r>
    </w:p>
    <w:p w:rsidR="00447CEC" w:rsidRPr="00B32ADF" w:rsidP="7D4F3C54" w14:paraId="27BEE84F" w14:textId="2CA9B097">
      <w:pPr>
        <w:pStyle w:val="ParaNum"/>
      </w:pPr>
      <w:r w:rsidRPr="7D4F3C54">
        <w:rPr>
          <w:snapToGrid/>
          <w:kern w:val="0"/>
        </w:rPr>
        <w:t>Accordingly, IT IS ORDERED that Hughes Network Systems, LLC</w:t>
      </w:r>
      <w:r w:rsidRPr="7D4F3C54" w:rsidR="44DCF360">
        <w:rPr>
          <w:snapToGrid/>
          <w:kern w:val="0"/>
        </w:rPr>
        <w:t>’s</w:t>
      </w:r>
      <w:r w:rsidRPr="7D4F3C54">
        <w:rPr>
          <w:snapToGrid/>
          <w:kern w:val="0"/>
        </w:rPr>
        <w:t xml:space="preserve"> request to extend the milestone date to launch and operate the </w:t>
      </w:r>
      <w:r w:rsidR="008834EE">
        <w:rPr>
          <w:snapToGrid/>
          <w:kern w:val="0"/>
        </w:rPr>
        <w:t>EchoStar</w:t>
      </w:r>
      <w:r w:rsidRPr="7D4F3C54">
        <w:rPr>
          <w:snapToGrid/>
          <w:kern w:val="0"/>
        </w:rPr>
        <w:t xml:space="preserve"> XXIV satellite to March 20, 2024 is GRANTED  pursuant to sections 0.51, 0.261, and 25.117(e) of the Commission's Rules, 47 CFR §§ 0.51, 0.261 and 25.117(e).</w:t>
      </w:r>
    </w:p>
    <w:p w:rsidR="00B32ADF" w:rsidP="00B32ADF" w14:paraId="681AE595" w14:textId="626EEA8D">
      <w:pPr>
        <w:pStyle w:val="ParaNum"/>
      </w:pPr>
      <w:r w:rsidRPr="7D4F3C54">
        <w:rPr>
          <w:snapToGrid/>
        </w:rPr>
        <w:t>Hughes Network Systems, LLC, mus</w:t>
      </w:r>
      <w:r w:rsidRPr="00454986">
        <w:rPr>
          <w:snapToGrid/>
        </w:rPr>
        <w:t xml:space="preserve">t launch the </w:t>
      </w:r>
      <w:r w:rsidR="008834EE">
        <w:rPr>
          <w:snapToGrid/>
        </w:rPr>
        <w:t>EchoStar</w:t>
      </w:r>
      <w:r w:rsidRPr="00454986">
        <w:rPr>
          <w:snapToGrid/>
        </w:rPr>
        <w:t xml:space="preserve"> XXIV satellite, position it in its assigned orbital location, and operate it in accordance with the grant in IBFS File Nos.</w:t>
      </w:r>
      <w:r w:rsidRPr="00454986">
        <w:t xml:space="preserve"> SAT-LOA-20170621-00092 and SAT-AMD-20170908-00128 (granted March 20, 2018)</w:t>
      </w:r>
      <w:r w:rsidR="008745FB">
        <w:t>, as subsequently modified,</w:t>
      </w:r>
      <w:r w:rsidRPr="00454986">
        <w:t xml:space="preserve"> no later than March 20, 2024. </w:t>
      </w:r>
    </w:p>
    <w:p w:rsidR="00891901" w:rsidRPr="00454986" w:rsidP="007144EA" w14:paraId="79111108" w14:textId="78250F35">
      <w:pPr>
        <w:pStyle w:val="ParaNum"/>
      </w:pPr>
      <w:r>
        <w:t>Hughes Networ</w:t>
      </w:r>
      <w:r w:rsidR="007144EA">
        <w:t xml:space="preserve">k </w:t>
      </w:r>
      <w:r w:rsidRPr="007144EA" w:rsidR="00447CEC">
        <w:rPr>
          <w:shd w:val="clear" w:color="auto" w:fill="FFFFFF"/>
        </w:rPr>
        <w:t xml:space="preserve">Systems, LLC </w:t>
      </w:r>
      <w:r w:rsidRPr="007144EA">
        <w:rPr>
          <w:shd w:val="clear" w:color="auto" w:fill="FFFFFF"/>
        </w:rPr>
        <w:t xml:space="preserve"> must maintain a surety bond requiring payment in the event of default as defined in section 25.165(c) of the FCC rules, in an amount, at a minimum, determined according to the following formula, with the resulting dollar amount rounded to the nearest $10,000: A= $</w:t>
      </w:r>
      <w:r w:rsidRPr="007144EA" w:rsidR="00140D08">
        <w:rPr>
          <w:shd w:val="clear" w:color="auto" w:fill="FFFFFF"/>
        </w:rPr>
        <w:t>3</w:t>
      </w:r>
      <w:r w:rsidRPr="007144EA" w:rsidR="008D2DAF">
        <w:rPr>
          <w:shd w:val="clear" w:color="auto" w:fill="FFFFFF"/>
        </w:rPr>
        <w:t>,000,000 + $ 2,000,000</w:t>
      </w:r>
      <w:r w:rsidRPr="007144EA">
        <w:rPr>
          <w:shd w:val="clear" w:color="auto" w:fill="FFFFFF"/>
        </w:rPr>
        <w:t>*D/</w:t>
      </w:r>
      <w:r w:rsidRPr="007144EA" w:rsidR="008D2DAF">
        <w:rPr>
          <w:shd w:val="clear" w:color="auto" w:fill="FFFFFF"/>
        </w:rPr>
        <w:t>1827</w:t>
      </w:r>
      <w:r w:rsidRPr="007144EA">
        <w:rPr>
          <w:shd w:val="clear" w:color="auto" w:fill="FFFFFF"/>
        </w:rPr>
        <w:t xml:space="preserve">, where A is the amount to be paid and D is the lesser of </w:t>
      </w:r>
      <w:r w:rsidRPr="007144EA" w:rsidR="005F2830">
        <w:rPr>
          <w:shd w:val="clear" w:color="auto" w:fill="FFFFFF"/>
        </w:rPr>
        <w:t>36</w:t>
      </w:r>
      <w:r w:rsidRPr="007144EA" w:rsidR="4FA62036">
        <w:rPr>
          <w:shd w:val="clear" w:color="auto" w:fill="FFFFFF"/>
        </w:rPr>
        <w:t>6</w:t>
      </w:r>
      <w:r w:rsidRPr="007144EA" w:rsidR="005F2830">
        <w:rPr>
          <w:shd w:val="clear" w:color="auto" w:fill="FFFFFF"/>
        </w:rPr>
        <w:t xml:space="preserve"> days </w:t>
      </w:r>
      <w:r w:rsidRPr="007144EA">
        <w:rPr>
          <w:shd w:val="clear" w:color="auto" w:fill="FFFFFF"/>
        </w:rPr>
        <w:t xml:space="preserve">or the number of days elapsed from </w:t>
      </w:r>
      <w:r w:rsidRPr="007144EA" w:rsidR="00920DF3">
        <w:rPr>
          <w:shd w:val="clear" w:color="auto" w:fill="FFFFFF"/>
        </w:rPr>
        <w:t>March 20, 20</w:t>
      </w:r>
      <w:r w:rsidRPr="007144EA" w:rsidR="005F2830">
        <w:rPr>
          <w:shd w:val="clear" w:color="auto" w:fill="FFFFFF"/>
        </w:rPr>
        <w:t>23</w:t>
      </w:r>
      <w:r w:rsidRPr="007144EA" w:rsidR="00920DF3">
        <w:rPr>
          <w:shd w:val="clear" w:color="auto" w:fill="FFFFFF"/>
        </w:rPr>
        <w:t>,</w:t>
      </w:r>
      <w:r w:rsidRPr="007144EA">
        <w:rPr>
          <w:shd w:val="clear" w:color="auto" w:fill="FFFFFF"/>
        </w:rPr>
        <w:t xml:space="preserve"> until the date when the grant is surrendered.</w:t>
      </w:r>
    </w:p>
    <w:p w:rsidR="00891901" w:rsidRPr="00E95001" w:rsidP="00447CEC" w14:paraId="5658FAB6" w14:textId="1C9CFAF8">
      <w:pPr>
        <w:pStyle w:val="ParaNum"/>
      </w:pPr>
      <w:r w:rsidRPr="4C7C49C3">
        <w:rPr>
          <w:snapToGrid/>
          <w:kern w:val="0"/>
        </w:rPr>
        <w:t xml:space="preserve">This grant will be null and void automatically, without further Commission action if </w:t>
      </w:r>
      <w:r w:rsidRPr="4C7C49C3" w:rsidR="1F8AB022">
        <w:rPr>
          <w:snapToGrid/>
          <w:kern w:val="0"/>
        </w:rPr>
        <w:t>Hughe</w:t>
      </w:r>
      <w:r w:rsidR="00563E7C">
        <w:rPr>
          <w:snapToGrid/>
          <w:kern w:val="0"/>
        </w:rPr>
        <w:t>s</w:t>
      </w:r>
      <w:r w:rsidRPr="4C7C49C3" w:rsidR="1F8AB022">
        <w:rPr>
          <w:snapToGrid/>
          <w:kern w:val="0"/>
        </w:rPr>
        <w:t xml:space="preserve"> Network Systems, LLC </w:t>
      </w:r>
      <w:r w:rsidRPr="4C7C49C3">
        <w:rPr>
          <w:snapToGrid/>
          <w:kern w:val="0"/>
        </w:rPr>
        <w:t xml:space="preserve">fails to comply with these requirements. Failure to comply with the milestone requirement will also result in forfeiture of </w:t>
      </w:r>
      <w:r w:rsidRPr="4C7C49C3" w:rsidR="1F8AB022">
        <w:rPr>
          <w:snapToGrid/>
          <w:kern w:val="0"/>
        </w:rPr>
        <w:t xml:space="preserve">Hughes’ </w:t>
      </w:r>
      <w:r w:rsidRPr="4C7C49C3">
        <w:rPr>
          <w:snapToGrid/>
          <w:kern w:val="0"/>
        </w:rPr>
        <w:t>surety bond.</w:t>
      </w:r>
      <w:r w:rsidR="1F8AB022">
        <w:rPr>
          <w:snapToGrid/>
          <w:kern w:val="0"/>
          <w:szCs w:val="22"/>
        </w:rPr>
        <w:t xml:space="preserve"> </w:t>
      </w:r>
      <w:r w:rsidRPr="4C7C49C3">
        <w:rPr>
          <w:snapToGrid/>
          <w:kern w:val="0"/>
        </w:rPr>
        <w:t xml:space="preserve"> By </w:t>
      </w:r>
      <w:r w:rsidRPr="4C7C49C3" w:rsidR="1F8AB022">
        <w:rPr>
          <w:snapToGrid/>
          <w:kern w:val="0"/>
        </w:rPr>
        <w:t xml:space="preserve">April 4, 2024, Hughes </w:t>
      </w:r>
      <w:r w:rsidRPr="4C7C49C3" w:rsidR="564A0C40">
        <w:rPr>
          <w:snapToGrid/>
          <w:kern w:val="0"/>
        </w:rPr>
        <w:t xml:space="preserve">Network Systems, LLC </w:t>
      </w:r>
      <w:r w:rsidRPr="4C7C49C3" w:rsidR="1F8AB022">
        <w:rPr>
          <w:snapToGrid/>
          <w:kern w:val="0"/>
        </w:rPr>
        <w:t xml:space="preserve">must either </w:t>
      </w:r>
      <w:r w:rsidRPr="4C7C49C3">
        <w:rPr>
          <w:snapToGrid/>
          <w:kern w:val="0"/>
        </w:rPr>
        <w:t>demonstrate compliance with its milestone requirement or notify the Commission in writing that the requirement was not met.</w:t>
      </w:r>
      <w:r w:rsidR="44DCF360">
        <w:rPr>
          <w:snapToGrid/>
          <w:kern w:val="0"/>
          <w:szCs w:val="22"/>
        </w:rPr>
        <w:t xml:space="preserve"> </w:t>
      </w:r>
      <w:r w:rsidRPr="00447CEC">
        <w:rPr>
          <w:snapToGrid/>
          <w:kern w:val="0"/>
          <w:szCs w:val="22"/>
        </w:rPr>
        <w:t> </w:t>
      </w:r>
      <w:hyperlink r:id="rId5" w:anchor="co_pp_ae0d0000c5150" w:history="1">
        <w:r w:rsidRPr="4C7C49C3">
          <w:rPr>
            <w:snapToGrid/>
            <w:kern w:val="0"/>
            <w:bdr w:val="none" w:sz="0" w:space="0" w:color="auto" w:frame="1"/>
          </w:rPr>
          <w:t>47 CFR § 25.164(f)</w:t>
        </w:r>
      </w:hyperlink>
      <w:r w:rsidRPr="00E95001">
        <w:rPr>
          <w:snapToGrid/>
          <w:kern w:val="0"/>
          <w:szCs w:val="22"/>
        </w:rPr>
        <w:t>.</w:t>
      </w:r>
    </w:p>
    <w:p w:rsidR="00891901" w:rsidP="00891901" w14:paraId="5E733A54" w14:textId="20B9512A">
      <w:pPr>
        <w:pStyle w:val="ParaNum"/>
        <w:numPr>
          <w:ilvl w:val="0"/>
          <w:numId w:val="0"/>
        </w:numPr>
        <w:ind w:firstLine="720"/>
        <w:rPr>
          <w:snapToGrid/>
          <w:color w:val="3D3D3D"/>
          <w:kern w:val="0"/>
          <w:szCs w:val="22"/>
          <w:shd w:val="clear" w:color="auto" w:fill="FFFFFF"/>
        </w:rPr>
      </w:pPr>
    </w:p>
    <w:p w:rsidR="00447CEC" w:rsidP="00447CEC" w14:paraId="70C086C6" w14:textId="77777777">
      <w:pPr>
        <w:pStyle w:val="ParaNum"/>
        <w:numPr>
          <w:ilvl w:val="0"/>
          <w:numId w:val="0"/>
        </w:numPr>
        <w:ind w:firstLine="720"/>
        <w:rPr>
          <w:snapToGrid/>
          <w:color w:val="3D3D3D"/>
          <w:kern w:val="0"/>
          <w:szCs w:val="22"/>
          <w:shd w:val="clear" w:color="auto" w:fill="FFFFFF"/>
        </w:rPr>
      </w:pPr>
    </w:p>
    <w:p w:rsidR="00447CEC" w:rsidRPr="00B32ADF" w:rsidP="00447CEC" w14:paraId="105667F9" w14:textId="4C5CD4D4">
      <w:pPr>
        <w:pStyle w:val="ParaNum"/>
        <w:numPr>
          <w:ilvl w:val="0"/>
          <w:numId w:val="0"/>
        </w:numPr>
        <w:ind w:left="3600" w:firstLine="720"/>
        <w:rPr>
          <w:snapToGrid/>
          <w:kern w:val="0"/>
          <w:szCs w:val="22"/>
          <w:shd w:val="clear" w:color="auto" w:fill="FFFFFF"/>
        </w:rPr>
      </w:pPr>
      <w:r w:rsidRPr="00B32ADF">
        <w:rPr>
          <w:snapToGrid/>
          <w:kern w:val="0"/>
          <w:szCs w:val="22"/>
          <w:shd w:val="clear" w:color="auto" w:fill="FFFFFF"/>
        </w:rPr>
        <w:t xml:space="preserve">FEDERAL COMMUNICATIONS COMMISSION </w:t>
      </w:r>
    </w:p>
    <w:p w:rsidR="00447CEC" w:rsidP="00447CEC" w14:paraId="205D997E" w14:textId="33400018">
      <w:pPr>
        <w:pStyle w:val="ParaNum"/>
        <w:numPr>
          <w:ilvl w:val="0"/>
          <w:numId w:val="0"/>
        </w:numPr>
        <w:ind w:left="3600" w:firstLine="720"/>
        <w:rPr>
          <w:snapToGrid/>
          <w:kern w:val="0"/>
          <w:szCs w:val="22"/>
          <w:shd w:val="clear" w:color="auto" w:fill="FFFFFF"/>
        </w:rPr>
      </w:pPr>
    </w:p>
    <w:p w:rsidR="00F76DDB" w:rsidRPr="00B32ADF" w:rsidP="00447CEC" w14:paraId="39507542" w14:textId="77777777">
      <w:pPr>
        <w:pStyle w:val="ParaNum"/>
        <w:numPr>
          <w:ilvl w:val="0"/>
          <w:numId w:val="0"/>
        </w:numPr>
        <w:ind w:left="3600" w:firstLine="720"/>
        <w:rPr>
          <w:snapToGrid/>
          <w:kern w:val="0"/>
          <w:szCs w:val="22"/>
          <w:shd w:val="clear" w:color="auto" w:fill="FFFFFF"/>
        </w:rPr>
      </w:pPr>
    </w:p>
    <w:p w:rsidR="00447CEC" w:rsidRPr="00B32ADF" w:rsidP="00447CEC" w14:paraId="5098657D" w14:textId="5BCAE36A">
      <w:pPr>
        <w:pStyle w:val="ParaNum"/>
        <w:numPr>
          <w:ilvl w:val="0"/>
          <w:numId w:val="0"/>
        </w:numPr>
        <w:spacing w:after="0"/>
        <w:ind w:left="3600" w:firstLine="720"/>
        <w:rPr>
          <w:snapToGrid/>
          <w:kern w:val="0"/>
          <w:szCs w:val="22"/>
          <w:shd w:val="clear" w:color="auto" w:fill="FFFFFF"/>
        </w:rPr>
      </w:pPr>
      <w:r w:rsidRPr="00B32ADF">
        <w:rPr>
          <w:snapToGrid/>
          <w:kern w:val="0"/>
          <w:szCs w:val="22"/>
          <w:shd w:val="clear" w:color="auto" w:fill="FFFFFF"/>
        </w:rPr>
        <w:t>Thomas P. Sullivan</w:t>
      </w:r>
    </w:p>
    <w:p w:rsidR="00447CEC" w:rsidRPr="00B32ADF" w:rsidP="00447CEC" w14:paraId="1183354C" w14:textId="3E29F1E6">
      <w:pPr>
        <w:pStyle w:val="ParaNum"/>
        <w:numPr>
          <w:ilvl w:val="0"/>
          <w:numId w:val="0"/>
        </w:numPr>
        <w:spacing w:after="0"/>
        <w:ind w:left="3600" w:firstLine="720"/>
        <w:rPr>
          <w:snapToGrid/>
          <w:kern w:val="0"/>
          <w:szCs w:val="22"/>
          <w:shd w:val="clear" w:color="auto" w:fill="FFFFFF"/>
        </w:rPr>
      </w:pPr>
      <w:r w:rsidRPr="00B32ADF">
        <w:rPr>
          <w:snapToGrid/>
          <w:kern w:val="0"/>
          <w:szCs w:val="22"/>
          <w:shd w:val="clear" w:color="auto" w:fill="FFFFFF"/>
        </w:rPr>
        <w:t>Chief,</w:t>
      </w:r>
    </w:p>
    <w:p w:rsidR="00447CEC" w:rsidRPr="00B32ADF" w:rsidP="00447CEC" w14:paraId="6A31D2B4" w14:textId="194C6D04">
      <w:pPr>
        <w:pStyle w:val="ParaNum"/>
        <w:numPr>
          <w:ilvl w:val="0"/>
          <w:numId w:val="0"/>
        </w:numPr>
        <w:spacing w:after="0"/>
        <w:ind w:left="3600" w:firstLine="720"/>
      </w:pPr>
      <w:r w:rsidRPr="5F1A5213">
        <w:rPr>
          <w:snapToGrid/>
          <w:kern w:val="0"/>
          <w:shd w:val="clear" w:color="auto" w:fill="FFFFFF"/>
        </w:rPr>
        <w:t>International Bureau</w:t>
      </w:r>
    </w:p>
    <w:p w:rsidR="00447CEC" w:rsidRPr="00B32ADF" w:rsidP="00F76DDB" w14:paraId="40DDA75E" w14:textId="6DA462F1">
      <w:pPr>
        <w:pStyle w:val="ParaNum"/>
        <w:numPr>
          <w:ilvl w:val="0"/>
          <w:numId w:val="0"/>
        </w:numPr>
        <w:spacing w:after="0"/>
        <w:ind w:firstLine="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C872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D775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D18EE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07FC5C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3DAA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783" w14:paraId="5AC6C8D2" w14:textId="77777777">
      <w:r>
        <w:separator/>
      </w:r>
    </w:p>
  </w:footnote>
  <w:footnote w:type="continuationSeparator" w:id="1">
    <w:p w:rsidR="00400783" w:rsidP="00C721AC" w14:paraId="522BC675" w14:textId="77777777">
      <w:pPr>
        <w:spacing w:before="120"/>
        <w:rPr>
          <w:sz w:val="20"/>
        </w:rPr>
      </w:pPr>
      <w:r>
        <w:rPr>
          <w:sz w:val="20"/>
        </w:rPr>
        <w:t xml:space="preserve">(Continued from previous page)  </w:t>
      </w:r>
      <w:r>
        <w:rPr>
          <w:sz w:val="20"/>
        </w:rPr>
        <w:separator/>
      </w:r>
    </w:p>
  </w:footnote>
  <w:footnote w:type="continuationNotice" w:id="2">
    <w:p w:rsidR="00400783" w:rsidP="00C721AC" w14:paraId="05F74042" w14:textId="77777777">
      <w:pPr>
        <w:jc w:val="right"/>
        <w:rPr>
          <w:sz w:val="20"/>
        </w:rPr>
      </w:pPr>
      <w:r>
        <w:rPr>
          <w:sz w:val="20"/>
        </w:rPr>
        <w:t>(continued….)</w:t>
      </w:r>
    </w:p>
  </w:footnote>
  <w:footnote w:id="3">
    <w:p w:rsidR="001C5F05" w:rsidP="001C5F05" w14:paraId="2CE27616" w14:textId="3770D44E">
      <w:pPr>
        <w:pStyle w:val="FootnoteText"/>
      </w:pPr>
      <w:r>
        <w:rPr>
          <w:rStyle w:val="FootnoteReference"/>
        </w:rPr>
        <w:footnoteRef/>
      </w:r>
      <w:r>
        <w:t xml:space="preserve"> Hughes Network Systems, LLC, IBFS File Nos. SAT-LOA-20170621-00092 and SAT-AMD-20170908-00128 (granted March 20, 2018) (Hughes Grant).</w:t>
      </w:r>
      <w:r w:rsidR="008C7D22">
        <w:t xml:space="preserve">  The application was deferred-in-part at the time regarding operations in the 50.4-51.4 GHz frequency band.  </w:t>
      </w:r>
      <w:r w:rsidR="008C7D22">
        <w:rPr>
          <w:i/>
          <w:iCs/>
        </w:rPr>
        <w:t>Id</w:t>
      </w:r>
      <w:r w:rsidR="008C7D22">
        <w:t xml:space="preserve">.  On June 13, 2019, the Satellite Division granted Hughes’ request to modify the license to include additional frequency bands, including the 50.4-51.4 GHz band.  </w:t>
      </w:r>
      <w:r w:rsidR="008C7D22">
        <w:rPr>
          <w:i/>
          <w:iCs/>
        </w:rPr>
        <w:t xml:space="preserve">See </w:t>
      </w:r>
      <w:r w:rsidR="008C7D22">
        <w:t xml:space="preserve">Hughes Network Systems, LLC, IBFS File No. SAT-MOD-20190212-00011 (granted June 13, 2019).  The Satellite Division granted further modification of the license on September 3, 2020, to authorize additional frequencies for telemetry, tracking, and command, as well some </w:t>
      </w:r>
      <w:r w:rsidR="008C022E">
        <w:t xml:space="preserve">other technical adjustments.  </w:t>
      </w:r>
      <w:r w:rsidR="008C022E">
        <w:rPr>
          <w:i/>
          <w:iCs/>
        </w:rPr>
        <w:t xml:space="preserve">See </w:t>
      </w:r>
      <w:r w:rsidR="008C022E">
        <w:t>Hughes Network Systems, LLC, IBFS File No. SAT-MOD-20200612-00072 (granted Sept. 3, 2020).</w:t>
      </w:r>
      <w:r w:rsidR="00A95B2A">
        <w:t xml:space="preserve">  None of these modification actions altered the milestone date.</w:t>
      </w:r>
    </w:p>
  </w:footnote>
  <w:footnote w:id="4">
    <w:p w:rsidR="001C5F05" w14:paraId="063C9742" w14:textId="3175B1CA">
      <w:pPr>
        <w:pStyle w:val="FootnoteText"/>
      </w:pPr>
      <w:r>
        <w:rPr>
          <w:rStyle w:val="FootnoteReference"/>
        </w:rPr>
        <w:footnoteRef/>
      </w:r>
      <w:r>
        <w:t xml:space="preserve"> </w:t>
      </w:r>
      <w:r w:rsidRPr="001C5F05">
        <w:rPr>
          <w:i/>
          <w:iCs/>
        </w:rPr>
        <w:t>Id</w:t>
      </w:r>
      <w:r>
        <w:t>. at ¶ 24.</w:t>
      </w:r>
    </w:p>
  </w:footnote>
  <w:footnote w:id="5">
    <w:p w:rsidR="00AB4E3E" w14:paraId="746399B1" w14:textId="45392190">
      <w:pPr>
        <w:pStyle w:val="FootnoteText"/>
      </w:pPr>
      <w:r>
        <w:rPr>
          <w:rStyle w:val="FootnoteReference"/>
        </w:rPr>
        <w:footnoteRef/>
      </w:r>
      <w:r>
        <w:t xml:space="preserve"> Hughes Network Systems, IBFS File No. SAT-MOD-20221017-00137 (filed Oct. 17, 2022)</w:t>
      </w:r>
      <w:r w:rsidR="005151EF">
        <w:t xml:space="preserve"> (Hughes Modification). </w:t>
      </w:r>
      <w:r>
        <w:t xml:space="preserve"> </w:t>
      </w:r>
    </w:p>
  </w:footnote>
  <w:footnote w:id="6">
    <w:p w:rsidR="00DA4426" w14:paraId="1A7335C4" w14:textId="453DEBB2">
      <w:pPr>
        <w:pStyle w:val="FootnoteText"/>
      </w:pPr>
      <w:r>
        <w:rPr>
          <w:rStyle w:val="FootnoteReference"/>
        </w:rPr>
        <w:footnoteRef/>
      </w:r>
      <w:r>
        <w:t xml:space="preserve"> Hughes Modification, Exh 1, at 3. </w:t>
      </w:r>
    </w:p>
  </w:footnote>
  <w:footnote w:id="7">
    <w:p w:rsidR="00671F4E" w14:paraId="6D8F6EA3" w14:textId="60A8D3F1">
      <w:pPr>
        <w:pStyle w:val="FootnoteText"/>
      </w:pPr>
      <w:r>
        <w:rPr>
          <w:rStyle w:val="FootnoteReference"/>
        </w:rPr>
        <w:footnoteRef/>
      </w:r>
      <w:r>
        <w:t xml:space="preserve"> </w:t>
      </w:r>
      <w:r w:rsidRPr="00671F4E">
        <w:rPr>
          <w:i/>
          <w:iCs/>
        </w:rPr>
        <w:t>Id.</w:t>
      </w:r>
      <w:r>
        <w:t xml:space="preserve"> </w:t>
      </w:r>
    </w:p>
  </w:footnote>
  <w:footnote w:id="8">
    <w:p w:rsidR="00E4382C" w:rsidRPr="00E4382C" w14:paraId="417B979A" w14:textId="6052B802">
      <w:pPr>
        <w:pStyle w:val="FootnoteText"/>
      </w:pPr>
      <w:r>
        <w:rPr>
          <w:rStyle w:val="FootnoteReference"/>
        </w:rPr>
        <w:footnoteRef/>
      </w:r>
      <w:r>
        <w:t xml:space="preserve"> </w:t>
      </w:r>
      <w:r>
        <w:rPr>
          <w:i/>
          <w:iCs/>
        </w:rPr>
        <w:t>Id.</w:t>
      </w:r>
      <w:r>
        <w:t xml:space="preserve"> at 3-4.</w:t>
      </w:r>
    </w:p>
  </w:footnote>
  <w:footnote w:id="9">
    <w:p w:rsidR="004C3E0E" w14:paraId="2CC0E0B2" w14:textId="11781A7F">
      <w:pPr>
        <w:pStyle w:val="FootnoteText"/>
      </w:pPr>
      <w:r>
        <w:rPr>
          <w:rStyle w:val="FootnoteReference"/>
        </w:rPr>
        <w:footnoteRef/>
      </w:r>
      <w:r>
        <w:t xml:space="preserve"> </w:t>
      </w:r>
      <w:r w:rsidRPr="00DA4426" w:rsidR="00DA4426">
        <w:rPr>
          <w:i/>
          <w:iCs/>
        </w:rPr>
        <w:t>Id</w:t>
      </w:r>
      <w:r w:rsidR="00DA4426">
        <w:t xml:space="preserve">. at 4. </w:t>
      </w:r>
    </w:p>
  </w:footnote>
  <w:footnote w:id="10">
    <w:p w:rsidR="00E4382C" w:rsidRPr="00E4382C" w14:paraId="2228BDBA" w14:textId="368CB4C5">
      <w:pPr>
        <w:pStyle w:val="FootnoteText"/>
      </w:pPr>
      <w:r>
        <w:rPr>
          <w:rStyle w:val="FootnoteReference"/>
        </w:rPr>
        <w:footnoteRef/>
      </w:r>
      <w:r>
        <w:t xml:space="preserve"> </w:t>
      </w:r>
      <w:r>
        <w:rPr>
          <w:i/>
          <w:iCs/>
        </w:rPr>
        <w:t>Id.</w:t>
      </w:r>
    </w:p>
  </w:footnote>
  <w:footnote w:id="11">
    <w:p w:rsidR="00F15C7A" w14:paraId="0B6FF49C" w14:textId="1F2433CD">
      <w:pPr>
        <w:pStyle w:val="FootnoteText"/>
      </w:pPr>
      <w:r>
        <w:rPr>
          <w:rStyle w:val="FootnoteReference"/>
        </w:rPr>
        <w:footnoteRef/>
      </w:r>
      <w:r w:rsidR="00DA4426">
        <w:t xml:space="preserve"> </w:t>
      </w:r>
      <w:r w:rsidRPr="00DA4426" w:rsidR="00DA4426">
        <w:rPr>
          <w:i/>
          <w:iCs/>
        </w:rPr>
        <w:t>Id</w:t>
      </w:r>
      <w:r w:rsidR="00DA4426">
        <w:t xml:space="preserve">. at 5. </w:t>
      </w:r>
    </w:p>
  </w:footnote>
  <w:footnote w:id="12">
    <w:p w:rsidR="00E4382C" w:rsidRPr="00E4382C" w14:paraId="4FBDF38D" w14:textId="49DEFD3C">
      <w:pPr>
        <w:pStyle w:val="FootnoteText"/>
      </w:pPr>
      <w:r>
        <w:rPr>
          <w:rStyle w:val="FootnoteReference"/>
        </w:rPr>
        <w:footnoteRef/>
      </w:r>
      <w:r>
        <w:t xml:space="preserve"> </w:t>
      </w:r>
      <w:r>
        <w:rPr>
          <w:i/>
          <w:iCs/>
        </w:rPr>
        <w:t>Id.</w:t>
      </w:r>
    </w:p>
  </w:footnote>
  <w:footnote w:id="13">
    <w:p w:rsidR="004C3E0E" w14:paraId="0DC07532" w14:textId="52C5EF12">
      <w:pPr>
        <w:pStyle w:val="FootnoteText"/>
      </w:pPr>
      <w:r>
        <w:rPr>
          <w:rStyle w:val="FootnoteReference"/>
        </w:rPr>
        <w:footnoteRef/>
      </w:r>
      <w:r>
        <w:t xml:space="preserve"> </w:t>
      </w:r>
      <w:r w:rsidRPr="004C3E0E">
        <w:rPr>
          <w:i/>
          <w:iCs/>
        </w:rPr>
        <w:t>Id</w:t>
      </w:r>
      <w:r>
        <w:t xml:space="preserve">. </w:t>
      </w:r>
    </w:p>
  </w:footnote>
  <w:footnote w:id="14">
    <w:p w:rsidR="00A21B1C" w14:paraId="1236B5A3" w14:textId="323BF1AF">
      <w:pPr>
        <w:pStyle w:val="FootnoteText"/>
      </w:pPr>
      <w:r>
        <w:rPr>
          <w:rStyle w:val="FootnoteReference"/>
        </w:rPr>
        <w:footnoteRef/>
      </w:r>
      <w:r>
        <w:t xml:space="preserve"> 47 CFR </w:t>
      </w:r>
      <w:r w:rsidR="004C3E0E">
        <w:t xml:space="preserve">§ </w:t>
      </w:r>
      <w:r w:rsidR="00A33CC3">
        <w:t>25.117(e).</w:t>
      </w:r>
    </w:p>
  </w:footnote>
  <w:footnote w:id="15">
    <w:p w:rsidR="00A33CC3" w14:paraId="331DBA6C" w14:textId="63037499">
      <w:pPr>
        <w:pStyle w:val="FootnoteText"/>
      </w:pPr>
      <w:r>
        <w:rPr>
          <w:rStyle w:val="FootnoteReference"/>
        </w:rPr>
        <w:footnoteRef/>
      </w:r>
      <w:r>
        <w:t xml:space="preserve"> </w:t>
      </w:r>
      <w:r w:rsidRPr="00A33CC3">
        <w:rPr>
          <w:i/>
          <w:iCs/>
        </w:rPr>
        <w:t>Id</w:t>
      </w:r>
      <w:r>
        <w:t xml:space="preserve">. </w:t>
      </w:r>
    </w:p>
  </w:footnote>
  <w:footnote w:id="16">
    <w:p w:rsidR="007860E4" w:rsidP="00E37906" w14:paraId="27C3169F" w14:textId="7E8D9092">
      <w:pPr>
        <w:widowControl/>
        <w:autoSpaceDE w:val="0"/>
        <w:autoSpaceDN w:val="0"/>
        <w:adjustRightInd w:val="0"/>
        <w:rPr>
          <w:snapToGrid/>
          <w:kern w:val="0"/>
          <w:sz w:val="20"/>
        </w:rPr>
      </w:pPr>
      <w:r>
        <w:rPr>
          <w:rStyle w:val="FootnoteReference"/>
        </w:rPr>
        <w:footnoteRef/>
      </w:r>
      <w:r>
        <w:t xml:space="preserve"> </w:t>
      </w:r>
      <w:r w:rsidRPr="00E37906" w:rsidR="00E37906">
        <w:rPr>
          <w:sz w:val="20"/>
        </w:rPr>
        <w:t xml:space="preserve">Viasat Inc., Request to Extend or Waive Milestone Date, </w:t>
      </w:r>
      <w:r w:rsidRPr="00E37906" w:rsidR="00E37906">
        <w:rPr>
          <w:i/>
          <w:iCs/>
          <w:sz w:val="20"/>
        </w:rPr>
        <w:t>Order</w:t>
      </w:r>
      <w:r w:rsidRPr="00E37906" w:rsidR="00E37906">
        <w:rPr>
          <w:sz w:val="20"/>
        </w:rPr>
        <w:t xml:space="preserve">,  DA 22-1141 (IB, Oct. 2022), at </w:t>
      </w:r>
      <w:r w:rsidR="008745FB">
        <w:rPr>
          <w:sz w:val="20"/>
        </w:rPr>
        <w:t>para.</w:t>
      </w:r>
      <w:r w:rsidRPr="00E37906" w:rsidR="00E37906">
        <w:rPr>
          <w:sz w:val="20"/>
        </w:rPr>
        <w:t xml:space="preserve"> 7, and </w:t>
      </w:r>
      <w:r w:rsidRPr="00E37906" w:rsidR="00E37906">
        <w:rPr>
          <w:snapToGrid/>
          <w:kern w:val="0"/>
          <w:sz w:val="20"/>
        </w:rPr>
        <w:t>Waiver of FCC Rule Sections 1.946 (c) and (d) for Wireless Site-Based and Mobile-Only System, Order, 35 FCC Rcd 3536, 3536-3539, paras. 2-5 (WTB, PSHSB 2020)</w:t>
      </w:r>
      <w:r w:rsidR="00E95001">
        <w:rPr>
          <w:snapToGrid/>
          <w:kern w:val="0"/>
          <w:sz w:val="20"/>
        </w:rPr>
        <w:t xml:space="preserve"> (Waiver of 1.946)</w:t>
      </w:r>
      <w:r w:rsidRPr="00E37906" w:rsidR="00E37906">
        <w:rPr>
          <w:snapToGrid/>
          <w:kern w:val="0"/>
          <w:sz w:val="20"/>
        </w:rPr>
        <w:t xml:space="preserve">; Request for Waiver by the Schools, Health &amp; Libraries Broadband (SHLB) Coalition, </w:t>
      </w:r>
      <w:r w:rsidRPr="00B32ADF" w:rsidR="00E37906">
        <w:rPr>
          <w:i/>
          <w:iCs/>
          <w:snapToGrid/>
          <w:kern w:val="0"/>
          <w:sz w:val="20"/>
        </w:rPr>
        <w:t>Order</w:t>
      </w:r>
      <w:r w:rsidRPr="00E37906" w:rsidR="00E37906">
        <w:rPr>
          <w:snapToGrid/>
          <w:kern w:val="0"/>
          <w:sz w:val="20"/>
        </w:rPr>
        <w:t>, 36 FCC Rcd 9956, 9958-59, paras. 4-7 (WCB 2021)</w:t>
      </w:r>
      <w:r w:rsidR="00DA4426">
        <w:rPr>
          <w:snapToGrid/>
          <w:kern w:val="0"/>
          <w:sz w:val="20"/>
        </w:rPr>
        <w:t>.</w:t>
      </w:r>
    </w:p>
    <w:p w:rsidR="00E95001" w:rsidRPr="00E37906" w:rsidP="00E37906" w14:paraId="13F157AE" w14:textId="77777777">
      <w:pPr>
        <w:widowControl/>
        <w:autoSpaceDE w:val="0"/>
        <w:autoSpaceDN w:val="0"/>
        <w:adjustRightInd w:val="0"/>
        <w:rPr>
          <w:sz w:val="20"/>
        </w:rPr>
      </w:pPr>
    </w:p>
  </w:footnote>
  <w:footnote w:id="17">
    <w:p w:rsidR="00E95001" w:rsidP="00E95001" w14:paraId="6B49C7C8" w14:textId="0F586EF8">
      <w:pPr>
        <w:pStyle w:val="FootnoteText"/>
      </w:pPr>
      <w:r>
        <w:rPr>
          <w:rStyle w:val="FootnoteReference"/>
        </w:rPr>
        <w:footnoteRef/>
      </w:r>
      <w:r>
        <w:t xml:space="preserve"> Waiver of 1.946, 35 FCC Rcd at 3537, paras. 4-5; SHLB Coalition, 36 FCC Rcd at 9958, para. 4 (“[T]he impacts of the virus are still being felt. For example, widespread delays in the receipt of ‘communications equipment of all kinds, which extends not only to electronics (such as routers, optical network terminals, and customer premises equipment (CPE)) but also fiber’ is causing delays in network construction. The impact of the pandemic is causing delays in construction projects across the country.”).</w:t>
      </w:r>
    </w:p>
  </w:footnote>
  <w:footnote w:id="18">
    <w:p w:rsidR="004C0CF4" w14:paraId="6B756CD1" w14:textId="17F021E2">
      <w:pPr>
        <w:pStyle w:val="FootnoteText"/>
      </w:pPr>
      <w:r>
        <w:rPr>
          <w:rStyle w:val="FootnoteReference"/>
        </w:rPr>
        <w:footnoteRef/>
      </w:r>
      <w:r>
        <w:t xml:space="preserve"> Hughes Modification, Exh. 1 at </w:t>
      </w:r>
      <w:r w:rsidR="008745FB">
        <w:t xml:space="preserve">para. </w:t>
      </w:r>
      <w:r>
        <w:t xml:space="preserve">3.  </w:t>
      </w:r>
    </w:p>
  </w:footnote>
  <w:footnote w:id="19">
    <w:p w:rsidR="00570DE3" w14:paraId="4E9D861D" w14:textId="2D63BB69">
      <w:pPr>
        <w:pStyle w:val="FootnoteText"/>
      </w:pPr>
      <w:r>
        <w:rPr>
          <w:rStyle w:val="FootnoteReference"/>
        </w:rPr>
        <w:footnoteRef/>
      </w:r>
      <w:r>
        <w:t xml:space="preserve"> </w:t>
      </w:r>
      <w:r w:rsidR="00421CB6">
        <w:t xml:space="preserve">Amendment of the Commission’s Space Station Licensing Rules and Policies, </w:t>
      </w:r>
      <w:r w:rsidRPr="00421CB6" w:rsidR="00421CB6">
        <w:rPr>
          <w:i/>
          <w:iCs/>
        </w:rPr>
        <w:t>First Order on Reconsideration and</w:t>
      </w:r>
      <w:r w:rsidR="00421CB6">
        <w:t xml:space="preserve"> </w:t>
      </w:r>
      <w:r w:rsidRPr="00421CB6" w:rsidR="00421CB6">
        <w:rPr>
          <w:i/>
          <w:iCs/>
        </w:rPr>
        <w:t>Fifth Report and Order</w:t>
      </w:r>
      <w:r w:rsidR="00421CB6">
        <w:t>, 19 FCC Rcd 12637, 12645 (2004).</w:t>
      </w:r>
    </w:p>
  </w:footnote>
  <w:footnote w:id="20">
    <w:p w:rsidR="0054786C" w:rsidRPr="0054786C" w14:paraId="4291777A" w14:textId="437BD3F2">
      <w:pPr>
        <w:pStyle w:val="FootnoteText"/>
      </w:pPr>
      <w:r>
        <w:rPr>
          <w:rStyle w:val="FootnoteReference"/>
        </w:rPr>
        <w:footnoteRef/>
      </w:r>
      <w:bookmarkStart w:id="0" w:name="_Hlk123651150"/>
      <w:r w:rsidR="00746815">
        <w:rPr>
          <w:rFonts w:ascii="Source Sans Pro" w:hAnsi="Source Sans Pro"/>
          <w:snapToGrid w:val="0"/>
          <w:color w:val="3D3D3D"/>
          <w:kern w:val="28"/>
          <w:shd w:val="clear" w:color="auto" w:fill="FFFFFF"/>
        </w:rPr>
        <w:t xml:space="preserve"> </w:t>
      </w:r>
      <w:r w:rsidRPr="00746815" w:rsidR="00746815">
        <w:rPr>
          <w:i/>
          <w:iCs/>
          <w:snapToGrid w:val="0"/>
          <w:kern w:val="28"/>
          <w:shd w:val="clear" w:color="auto" w:fill="FFFFFF"/>
        </w:rPr>
        <w:t>Id</w:t>
      </w:r>
      <w:r w:rsidRPr="00746815" w:rsidR="00746815">
        <w:rPr>
          <w:snapToGrid w:val="0"/>
          <w:kern w:val="28"/>
          <w:shd w:val="clear" w:color="auto" w:fill="FFFFFF"/>
        </w:rPr>
        <w:t>. at 12646.</w:t>
      </w:r>
      <w:r w:rsidRPr="00746815" w:rsidR="00746815">
        <w:t xml:space="preserve"> </w:t>
      </w:r>
      <w:r w:rsidRPr="0054786C">
        <w:t xml:space="preserve"> We modify the bond beyond the regular five</w:t>
      </w:r>
      <w:r w:rsidRPr="0054786C" w:rsidR="5F1A5213">
        <w:t>-</w:t>
      </w:r>
      <w:r w:rsidRPr="0054786C">
        <w:t xml:space="preserve">year period to continue the escalation of the bond through March 20, 2024. </w:t>
      </w:r>
      <w:r w:rsidR="00E07054">
        <w:t xml:space="preserve"> </w:t>
      </w:r>
      <w:r w:rsidRPr="0054786C">
        <w:rPr>
          <w:shd w:val="clear" w:color="auto" w:fill="FFFFFF"/>
        </w:rPr>
        <w:t xml:space="preserve">The specific bond requirement included in the conditions of this grant requires that the bond amount continue to increase at the same rate as specified under our rules. </w:t>
      </w:r>
      <w:r w:rsidR="003F6A51">
        <w:rPr>
          <w:shd w:val="clear" w:color="auto" w:fill="FFFFFF"/>
        </w:rPr>
        <w:t xml:space="preserve"> </w:t>
      </w:r>
      <w:r w:rsidRPr="0054786C">
        <w:rPr>
          <w:shd w:val="clear" w:color="auto" w:fill="FFFFFF"/>
        </w:rPr>
        <w:t>For a bond coming due on March 20, 2024, this results in a</w:t>
      </w:r>
      <w:r w:rsidR="00FB5BD6">
        <w:rPr>
          <w:shd w:val="clear" w:color="auto" w:fill="FFFFFF"/>
        </w:rPr>
        <w:t xml:space="preserve"> total </w:t>
      </w:r>
      <w:r w:rsidRPr="0054786C">
        <w:rPr>
          <w:shd w:val="clear" w:color="auto" w:fill="FFFFFF"/>
        </w:rPr>
        <w:t>required bond amount of $</w:t>
      </w:r>
      <w:r>
        <w:rPr>
          <w:shd w:val="clear" w:color="auto" w:fill="FFFFFF"/>
        </w:rPr>
        <w:t>3,</w:t>
      </w:r>
      <w:r w:rsidR="00656BA6">
        <w:rPr>
          <w:shd w:val="clear" w:color="auto" w:fill="FFFFFF"/>
        </w:rPr>
        <w:t>4</w:t>
      </w:r>
      <w:r>
        <w:rPr>
          <w:shd w:val="clear" w:color="auto" w:fill="FFFFFF"/>
        </w:rPr>
        <w:t xml:space="preserve">00,000. </w:t>
      </w:r>
      <w:r w:rsidRPr="0054786C">
        <w:rPr>
          <w:shd w:val="clear" w:color="auto" w:fill="FFFFFF"/>
        </w:rPr>
        <w:t xml:space="preserve"> T</w:t>
      </w:r>
      <w:r w:rsidRPr="0054786C">
        <w:rPr>
          <w:snapToGrid w:val="0"/>
          <w:kern w:val="28"/>
          <w:shd w:val="clear" w:color="auto" w:fill="FFFFFF"/>
        </w:rPr>
        <w:t>he escalation of the bond value beyond the regular five-year period is a simple extrapolation of the linear increase. </w:t>
      </w:r>
      <w:r w:rsidR="00191128">
        <w:rPr>
          <w:snapToGrid w:val="0"/>
          <w:kern w:val="28"/>
          <w:shd w:val="clear" w:color="auto" w:fill="FFFFFF"/>
        </w:rPr>
        <w:t xml:space="preserve"> </w:t>
      </w:r>
      <w:r w:rsidRPr="0054786C">
        <w:rPr>
          <w:i/>
          <w:iCs/>
          <w:snapToGrid w:val="0"/>
          <w:kern w:val="28"/>
          <w:bdr w:val="none" w:sz="0" w:space="0" w:color="auto" w:frame="1"/>
          <w:shd w:val="clear" w:color="auto" w:fill="FFFFFF"/>
        </w:rPr>
        <w:t>See</w:t>
      </w:r>
      <w:r w:rsidRPr="0054786C">
        <w:rPr>
          <w:snapToGrid w:val="0"/>
          <w:kern w:val="28"/>
          <w:shd w:val="clear" w:color="auto" w:fill="FFFFFF"/>
        </w:rPr>
        <w:t> </w:t>
      </w:r>
      <w:hyperlink r:id="rId1" w:anchor="co_pp_d86d0000be040" w:history="1">
        <w:r w:rsidRPr="0054786C">
          <w:rPr>
            <w:snapToGrid w:val="0"/>
            <w:kern w:val="28"/>
            <w:bdr w:val="none" w:sz="0" w:space="0" w:color="auto" w:frame="1"/>
            <w:shd w:val="clear" w:color="auto" w:fill="FFFFFF"/>
          </w:rPr>
          <w:t>47 C.F.R. § 25.165(a)(2)</w:t>
        </w:r>
      </w:hyperlink>
      <w:r w:rsidR="007A259C">
        <w:rPr>
          <w:snapToGrid w:val="0"/>
          <w:kern w:val="28"/>
          <w:bdr w:val="none" w:sz="0" w:space="0" w:color="auto" w:frame="1"/>
          <w:shd w:val="clear" w:color="auto" w:fill="FFFFFF"/>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0179" w14:paraId="6CFB95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E0E" w:rsidP="00810B6F" w14:paraId="039F5D97" w14:textId="77777777">
    <w:pPr>
      <w:pStyle w:val="Header"/>
    </w:pPr>
  </w:p>
  <w:p w:rsidR="004C3E0E" w:rsidP="00810B6F" w14:paraId="174D01C5" w14:textId="77777777">
    <w:pPr>
      <w:pStyle w:val="Header"/>
    </w:pPr>
  </w:p>
  <w:p w:rsidR="00D25FB5" w:rsidP="00810B6F" w14:paraId="675BE58A" w14:textId="36169042">
    <w:pPr>
      <w:pStyle w:val="Header"/>
      <w:rPr>
        <w:b w:val="0"/>
      </w:rPr>
    </w:pPr>
    <w:r>
      <w:tab/>
      <w:t>Federal Communications Commission</w:t>
    </w:r>
    <w:r>
      <w:tab/>
    </w:r>
    <w:r w:rsidR="008467B3">
      <w:t>DA 23-21</w:t>
    </w:r>
    <w:r w:rsidR="00560179">
      <w:t>1</w:t>
    </w:r>
  </w:p>
  <w:p w:rsidR="00D25FB5" w14:paraId="4B81CB67" w14:textId="2214193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4D651A5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93D295" w14:textId="30D3ABF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8467B3">
      <w:rPr>
        <w:spacing w:val="-2"/>
      </w:rPr>
      <w:t>DA 23-21</w:t>
    </w:r>
    <w:r w:rsidR="00560179">
      <w:rPr>
        <w:spacing w:val="-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3"/>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E2"/>
    <w:rsid w:val="00036039"/>
    <w:rsid w:val="00037F90"/>
    <w:rsid w:val="00062F0E"/>
    <w:rsid w:val="000740E2"/>
    <w:rsid w:val="00084C14"/>
    <w:rsid w:val="000875BF"/>
    <w:rsid w:val="00094ED9"/>
    <w:rsid w:val="00096D8C"/>
    <w:rsid w:val="00097952"/>
    <w:rsid w:val="000A73C1"/>
    <w:rsid w:val="000C0B65"/>
    <w:rsid w:val="000D6039"/>
    <w:rsid w:val="000E05FE"/>
    <w:rsid w:val="000E3D42"/>
    <w:rsid w:val="00122BD5"/>
    <w:rsid w:val="00133F79"/>
    <w:rsid w:val="00140D08"/>
    <w:rsid w:val="00175673"/>
    <w:rsid w:val="00191128"/>
    <w:rsid w:val="00194A66"/>
    <w:rsid w:val="001C5F05"/>
    <w:rsid w:val="001D6BCF"/>
    <w:rsid w:val="001E01CA"/>
    <w:rsid w:val="0020754C"/>
    <w:rsid w:val="00275CF5"/>
    <w:rsid w:val="00275FAF"/>
    <w:rsid w:val="0028301F"/>
    <w:rsid w:val="00285017"/>
    <w:rsid w:val="002A2D2E"/>
    <w:rsid w:val="002C00E8"/>
    <w:rsid w:val="00343749"/>
    <w:rsid w:val="00347A75"/>
    <w:rsid w:val="003660ED"/>
    <w:rsid w:val="0037112C"/>
    <w:rsid w:val="0039429A"/>
    <w:rsid w:val="003A642F"/>
    <w:rsid w:val="003B0550"/>
    <w:rsid w:val="003B694F"/>
    <w:rsid w:val="003D242F"/>
    <w:rsid w:val="003F171C"/>
    <w:rsid w:val="003F6A51"/>
    <w:rsid w:val="00400783"/>
    <w:rsid w:val="00412FC5"/>
    <w:rsid w:val="004135A6"/>
    <w:rsid w:val="00421CB6"/>
    <w:rsid w:val="00422276"/>
    <w:rsid w:val="004242F1"/>
    <w:rsid w:val="00445A00"/>
    <w:rsid w:val="00447CEC"/>
    <w:rsid w:val="00451B0F"/>
    <w:rsid w:val="00454986"/>
    <w:rsid w:val="004B51E2"/>
    <w:rsid w:val="004C0CF4"/>
    <w:rsid w:val="004C2EE3"/>
    <w:rsid w:val="004C3E0E"/>
    <w:rsid w:val="004D24B4"/>
    <w:rsid w:val="004E4A22"/>
    <w:rsid w:val="00511968"/>
    <w:rsid w:val="00511C35"/>
    <w:rsid w:val="005151EF"/>
    <w:rsid w:val="00522A96"/>
    <w:rsid w:val="00546BE7"/>
    <w:rsid w:val="0054786C"/>
    <w:rsid w:val="0055614C"/>
    <w:rsid w:val="00557C56"/>
    <w:rsid w:val="00560179"/>
    <w:rsid w:val="00563E7C"/>
    <w:rsid w:val="00566D06"/>
    <w:rsid w:val="00570DE3"/>
    <w:rsid w:val="00596638"/>
    <w:rsid w:val="005E14C2"/>
    <w:rsid w:val="005E2362"/>
    <w:rsid w:val="005F2830"/>
    <w:rsid w:val="00607BA5"/>
    <w:rsid w:val="0061180A"/>
    <w:rsid w:val="00626EB6"/>
    <w:rsid w:val="00631C05"/>
    <w:rsid w:val="00655D03"/>
    <w:rsid w:val="00656BA6"/>
    <w:rsid w:val="00671F4E"/>
    <w:rsid w:val="00683388"/>
    <w:rsid w:val="00683F84"/>
    <w:rsid w:val="0069221A"/>
    <w:rsid w:val="006A6A81"/>
    <w:rsid w:val="006E72F5"/>
    <w:rsid w:val="006F7393"/>
    <w:rsid w:val="0070224F"/>
    <w:rsid w:val="007115F7"/>
    <w:rsid w:val="007144EA"/>
    <w:rsid w:val="00740842"/>
    <w:rsid w:val="00746815"/>
    <w:rsid w:val="00772B90"/>
    <w:rsid w:val="00785689"/>
    <w:rsid w:val="007860E4"/>
    <w:rsid w:val="00786C32"/>
    <w:rsid w:val="0079754B"/>
    <w:rsid w:val="007A1E6D"/>
    <w:rsid w:val="007A259C"/>
    <w:rsid w:val="007B0EB2"/>
    <w:rsid w:val="007C07A2"/>
    <w:rsid w:val="00810B6F"/>
    <w:rsid w:val="00822CE0"/>
    <w:rsid w:val="0082723F"/>
    <w:rsid w:val="00841AB1"/>
    <w:rsid w:val="00843973"/>
    <w:rsid w:val="008467B3"/>
    <w:rsid w:val="00850258"/>
    <w:rsid w:val="008745FB"/>
    <w:rsid w:val="008834EE"/>
    <w:rsid w:val="00891901"/>
    <w:rsid w:val="008931FD"/>
    <w:rsid w:val="008C022E"/>
    <w:rsid w:val="008C2CE2"/>
    <w:rsid w:val="008C68F1"/>
    <w:rsid w:val="008C7D22"/>
    <w:rsid w:val="008D2DAF"/>
    <w:rsid w:val="008F579E"/>
    <w:rsid w:val="00920DF3"/>
    <w:rsid w:val="00921803"/>
    <w:rsid w:val="00926503"/>
    <w:rsid w:val="009308CB"/>
    <w:rsid w:val="00957425"/>
    <w:rsid w:val="009726D8"/>
    <w:rsid w:val="0097C953"/>
    <w:rsid w:val="00981488"/>
    <w:rsid w:val="009D7308"/>
    <w:rsid w:val="009F703A"/>
    <w:rsid w:val="009F76DB"/>
    <w:rsid w:val="00A21B1C"/>
    <w:rsid w:val="00A32C3B"/>
    <w:rsid w:val="00A33CC3"/>
    <w:rsid w:val="00A372BC"/>
    <w:rsid w:val="00A45F4F"/>
    <w:rsid w:val="00A600A9"/>
    <w:rsid w:val="00A95B2A"/>
    <w:rsid w:val="00AA19C0"/>
    <w:rsid w:val="00AA55B7"/>
    <w:rsid w:val="00AA5B9E"/>
    <w:rsid w:val="00AA6D15"/>
    <w:rsid w:val="00AB2407"/>
    <w:rsid w:val="00AB4E3E"/>
    <w:rsid w:val="00AB53DF"/>
    <w:rsid w:val="00AB5824"/>
    <w:rsid w:val="00B013AD"/>
    <w:rsid w:val="00B07E5C"/>
    <w:rsid w:val="00B32ADF"/>
    <w:rsid w:val="00B44724"/>
    <w:rsid w:val="00B811F7"/>
    <w:rsid w:val="00B83833"/>
    <w:rsid w:val="00BA5DC6"/>
    <w:rsid w:val="00BA6196"/>
    <w:rsid w:val="00BC6D8C"/>
    <w:rsid w:val="00BF5A90"/>
    <w:rsid w:val="00C34006"/>
    <w:rsid w:val="00C36B4C"/>
    <w:rsid w:val="00C426B1"/>
    <w:rsid w:val="00C66160"/>
    <w:rsid w:val="00C721AC"/>
    <w:rsid w:val="00C90D6A"/>
    <w:rsid w:val="00CA247E"/>
    <w:rsid w:val="00CA6D21"/>
    <w:rsid w:val="00CC72B6"/>
    <w:rsid w:val="00CE1CFD"/>
    <w:rsid w:val="00D0218D"/>
    <w:rsid w:val="00D17E1F"/>
    <w:rsid w:val="00D24BD8"/>
    <w:rsid w:val="00D25FB5"/>
    <w:rsid w:val="00D300E7"/>
    <w:rsid w:val="00D44223"/>
    <w:rsid w:val="00D44CC6"/>
    <w:rsid w:val="00D73720"/>
    <w:rsid w:val="00DA2529"/>
    <w:rsid w:val="00DA4426"/>
    <w:rsid w:val="00DB130A"/>
    <w:rsid w:val="00DB2EBB"/>
    <w:rsid w:val="00DB54C5"/>
    <w:rsid w:val="00DC10A1"/>
    <w:rsid w:val="00DC655F"/>
    <w:rsid w:val="00DD03D3"/>
    <w:rsid w:val="00DD0B59"/>
    <w:rsid w:val="00DD7EBD"/>
    <w:rsid w:val="00DF1659"/>
    <w:rsid w:val="00DF62B6"/>
    <w:rsid w:val="00E065FE"/>
    <w:rsid w:val="00E07054"/>
    <w:rsid w:val="00E07225"/>
    <w:rsid w:val="00E27932"/>
    <w:rsid w:val="00E37906"/>
    <w:rsid w:val="00E4382C"/>
    <w:rsid w:val="00E5409F"/>
    <w:rsid w:val="00E95001"/>
    <w:rsid w:val="00ED5430"/>
    <w:rsid w:val="00EE3625"/>
    <w:rsid w:val="00EE6488"/>
    <w:rsid w:val="00F021FA"/>
    <w:rsid w:val="00F15C7A"/>
    <w:rsid w:val="00F55903"/>
    <w:rsid w:val="00F62E97"/>
    <w:rsid w:val="00F64209"/>
    <w:rsid w:val="00F76DDB"/>
    <w:rsid w:val="00F86AE1"/>
    <w:rsid w:val="00F93BF5"/>
    <w:rsid w:val="00FB28B7"/>
    <w:rsid w:val="00FB5BD6"/>
    <w:rsid w:val="00FC2F08"/>
    <w:rsid w:val="00FE3A12"/>
    <w:rsid w:val="02D1852A"/>
    <w:rsid w:val="031CDF12"/>
    <w:rsid w:val="04326642"/>
    <w:rsid w:val="08F3371C"/>
    <w:rsid w:val="0A2DBC65"/>
    <w:rsid w:val="0B4109A3"/>
    <w:rsid w:val="0B8BAE07"/>
    <w:rsid w:val="0D277E68"/>
    <w:rsid w:val="0D7EA4FD"/>
    <w:rsid w:val="0F2370EB"/>
    <w:rsid w:val="1162B2C7"/>
    <w:rsid w:val="11F72D8C"/>
    <w:rsid w:val="16955EB5"/>
    <w:rsid w:val="183E3C97"/>
    <w:rsid w:val="186556AC"/>
    <w:rsid w:val="1D98F849"/>
    <w:rsid w:val="1DE0BD2C"/>
    <w:rsid w:val="1F8AB022"/>
    <w:rsid w:val="215E8DBE"/>
    <w:rsid w:val="22115BD0"/>
    <w:rsid w:val="225A8677"/>
    <w:rsid w:val="227922FD"/>
    <w:rsid w:val="2293B375"/>
    <w:rsid w:val="245A2F5B"/>
    <w:rsid w:val="25D779A0"/>
    <w:rsid w:val="26691DEA"/>
    <w:rsid w:val="27B5D1BD"/>
    <w:rsid w:val="320E4CA0"/>
    <w:rsid w:val="324998FE"/>
    <w:rsid w:val="382B360A"/>
    <w:rsid w:val="38871F35"/>
    <w:rsid w:val="39B000D5"/>
    <w:rsid w:val="3A4067BA"/>
    <w:rsid w:val="3A5D8B2B"/>
    <w:rsid w:val="3BC7A494"/>
    <w:rsid w:val="3BDB9691"/>
    <w:rsid w:val="3D38A223"/>
    <w:rsid w:val="3FECD5CA"/>
    <w:rsid w:val="40813A76"/>
    <w:rsid w:val="40A2B750"/>
    <w:rsid w:val="41AA6229"/>
    <w:rsid w:val="44DCF360"/>
    <w:rsid w:val="464DA17D"/>
    <w:rsid w:val="46644545"/>
    <w:rsid w:val="46DA23BE"/>
    <w:rsid w:val="4979E172"/>
    <w:rsid w:val="4B7154E4"/>
    <w:rsid w:val="4C7296D0"/>
    <w:rsid w:val="4C7C49C3"/>
    <w:rsid w:val="4CE8179C"/>
    <w:rsid w:val="4FA62036"/>
    <w:rsid w:val="50D900A3"/>
    <w:rsid w:val="52E8196A"/>
    <w:rsid w:val="55073586"/>
    <w:rsid w:val="554B0BA7"/>
    <w:rsid w:val="564A0C40"/>
    <w:rsid w:val="58DCC787"/>
    <w:rsid w:val="5EAED9B0"/>
    <w:rsid w:val="5EFD676B"/>
    <w:rsid w:val="5F1A5213"/>
    <w:rsid w:val="5F94AA45"/>
    <w:rsid w:val="60DE7BB2"/>
    <w:rsid w:val="62B79BAE"/>
    <w:rsid w:val="65E659F1"/>
    <w:rsid w:val="67FA0487"/>
    <w:rsid w:val="6A10D1F4"/>
    <w:rsid w:val="6CEE5E7A"/>
    <w:rsid w:val="6D538F15"/>
    <w:rsid w:val="6D599302"/>
    <w:rsid w:val="6F89C1E1"/>
    <w:rsid w:val="6FE13C19"/>
    <w:rsid w:val="70124A21"/>
    <w:rsid w:val="72D5ACFE"/>
    <w:rsid w:val="735D60CD"/>
    <w:rsid w:val="7512023C"/>
    <w:rsid w:val="757F694E"/>
    <w:rsid w:val="760D4DC0"/>
    <w:rsid w:val="7867F219"/>
    <w:rsid w:val="7A4D1FC2"/>
    <w:rsid w:val="7A9F832D"/>
    <w:rsid w:val="7BD99DD5"/>
    <w:rsid w:val="7C6366E7"/>
    <w:rsid w:val="7D4F3C54"/>
    <w:rsid w:val="7E5001FF"/>
    <w:rsid w:val="7F03A553"/>
    <w:rsid w:val="7F7484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2CD909"/>
  <w15:docId w15:val="{0D44B8F6-3792-4EF5-AEE5-073E91CC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1C5F05"/>
  </w:style>
  <w:style w:type="paragraph" w:styleId="ListParagraph">
    <w:name w:val="List Paragraph"/>
    <w:basedOn w:val="Normal"/>
    <w:uiPriority w:val="34"/>
    <w:qFormat/>
    <w:rsid w:val="00D44CC6"/>
    <w:pPr>
      <w:ind w:left="720"/>
      <w:contextualSpacing/>
    </w:pPr>
  </w:style>
  <w:style w:type="paragraph" w:styleId="Revision">
    <w:name w:val="Revision"/>
    <w:hidden/>
    <w:uiPriority w:val="99"/>
    <w:semiHidden/>
    <w:rsid w:val="00EE3625"/>
    <w:rPr>
      <w:snapToGrid w:val="0"/>
      <w:kern w:val="28"/>
      <w:sz w:val="22"/>
    </w:rPr>
  </w:style>
  <w:style w:type="paragraph" w:styleId="CommentText">
    <w:name w:val="annotation text"/>
    <w:basedOn w:val="Normal"/>
    <w:link w:val="CommentTextChar"/>
    <w:rsid w:val="008931FD"/>
    <w:rPr>
      <w:sz w:val="20"/>
    </w:rPr>
  </w:style>
  <w:style w:type="character" w:customStyle="1" w:styleId="CommentTextChar">
    <w:name w:val="Comment Text Char"/>
    <w:basedOn w:val="DefaultParagraphFont"/>
    <w:link w:val="CommentText"/>
    <w:rsid w:val="008931FD"/>
    <w:rPr>
      <w:snapToGrid w:val="0"/>
      <w:kern w:val="28"/>
    </w:rPr>
  </w:style>
  <w:style w:type="character" w:styleId="CommentReference">
    <w:name w:val="annotation reference"/>
    <w:basedOn w:val="DefaultParagraphFont"/>
    <w:rsid w:val="008931FD"/>
    <w:rPr>
      <w:sz w:val="16"/>
      <w:szCs w:val="16"/>
    </w:rPr>
  </w:style>
  <w:style w:type="paragraph" w:styleId="CommentSubject">
    <w:name w:val="annotation subject"/>
    <w:basedOn w:val="CommentText"/>
    <w:next w:val="CommentText"/>
    <w:link w:val="CommentSubjectChar"/>
    <w:rsid w:val="00084C14"/>
    <w:rPr>
      <w:b/>
      <w:bCs/>
    </w:rPr>
  </w:style>
  <w:style w:type="character" w:customStyle="1" w:styleId="CommentSubjectChar">
    <w:name w:val="Comment Subject Char"/>
    <w:basedOn w:val="CommentTextChar"/>
    <w:link w:val="CommentSubject"/>
    <w:rsid w:val="00084C1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25.164&amp;originatingDoc=I23924df565a611ec834f874beb14aaa2&amp;refType=RB&amp;originationContext=document&amp;transitionType=DocumentItem&amp;ppcid=a25f97ee7cd84c95934583d3a54569f4&amp;contextData=(sc.Search)"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25.165&amp;originatingDoc=Ic7457352a3a511eaaf56e82bee30e016&amp;refType=RB&amp;originationContext=document&amp;transitionType=DocumentItem&amp;ppcid=bce94393d7f04056b525afa755dcfd47&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