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24CF80F0">
            <w:pPr>
              <w:tabs>
                <w:tab w:val="center" w:pos="4680"/>
              </w:tabs>
              <w:suppressAutoHyphens/>
              <w:rPr>
                <w:spacing w:val="-2"/>
              </w:rPr>
            </w:pPr>
            <w:r w:rsidRPr="00E97187">
              <w:rPr>
                <w:spacing w:val="-2"/>
              </w:rPr>
              <w:t>Stations</w:t>
            </w:r>
            <w:r w:rsidR="006F4D4C">
              <w:rPr>
                <w:spacing w:val="-2"/>
              </w:rPr>
              <w:t xml:space="preserve"> (</w:t>
            </w:r>
            <w:r w:rsidR="0085064B">
              <w:rPr>
                <w:spacing w:val="-2"/>
              </w:rPr>
              <w:t>Hampton</w:t>
            </w:r>
            <w:r w:rsidR="006F4D4C">
              <w:rPr>
                <w:spacing w:val="-2"/>
              </w:rPr>
              <w:t xml:space="preserve">, </w:t>
            </w:r>
            <w:r w:rsidR="0085064B">
              <w:rPr>
                <w:spacing w:val="-2"/>
              </w:rPr>
              <w:t>Virginia</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6141DECF">
            <w:pPr>
              <w:pStyle w:val="TOAHeading"/>
              <w:tabs>
                <w:tab w:val="center" w:pos="4680"/>
              </w:tabs>
              <w:rPr>
                <w:spacing w:val="-2"/>
              </w:rPr>
            </w:pPr>
            <w:r w:rsidRPr="00E97187">
              <w:rPr>
                <w:spacing w:val="-2"/>
              </w:rPr>
              <w:t>MB Docket No. 2</w:t>
            </w:r>
            <w:r w:rsidR="002159C2">
              <w:rPr>
                <w:spacing w:val="-2"/>
              </w:rPr>
              <w:t>2-</w:t>
            </w:r>
            <w:r w:rsidR="0085064B">
              <w:rPr>
                <w:spacing w:val="-2"/>
              </w:rPr>
              <w:t>151</w:t>
            </w:r>
          </w:p>
          <w:p w:rsidR="004C2EE3" w:rsidP="00E97187" w14:paraId="1C5147C7" w14:textId="15027922">
            <w:pPr>
              <w:tabs>
                <w:tab w:val="center" w:pos="4680"/>
              </w:tabs>
              <w:suppressAutoHyphens/>
              <w:rPr>
                <w:spacing w:val="-2"/>
              </w:rPr>
            </w:pPr>
            <w:r w:rsidRPr="00E97187">
              <w:rPr>
                <w:spacing w:val="-2"/>
              </w:rPr>
              <w:t>RM-11</w:t>
            </w:r>
            <w:r w:rsidR="0033610A">
              <w:rPr>
                <w:spacing w:val="-2"/>
              </w:rPr>
              <w:t>9</w:t>
            </w:r>
            <w:r w:rsidR="002159C2">
              <w:rPr>
                <w:spacing w:val="-2"/>
              </w:rPr>
              <w:t>2</w:t>
            </w:r>
            <w:r w:rsidR="0085064B">
              <w:rPr>
                <w:spacing w:val="-2"/>
              </w:rPr>
              <w:t>7</w:t>
            </w:r>
          </w:p>
        </w:tc>
      </w:tr>
    </w:tbl>
    <w:p w:rsidR="004C2EE3" w:rsidP="0070224F" w14:paraId="7EE9EEFF" w14:textId="77777777"/>
    <w:p w:rsidR="00E97187" w:rsidP="00E97187" w14:paraId="6F829742" w14:textId="18077193">
      <w:pPr>
        <w:pStyle w:val="StyleBoldCentered"/>
      </w:pPr>
      <w:r>
        <w:t>report and orde</w:t>
      </w:r>
      <w:r w:rsidR="003630D0">
        <w:t>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71CD5049">
      <w:pPr>
        <w:tabs>
          <w:tab w:val="left" w:pos="720"/>
          <w:tab w:val="right" w:pos="9360"/>
        </w:tabs>
        <w:suppressAutoHyphens/>
        <w:spacing w:line="227" w:lineRule="auto"/>
        <w:rPr>
          <w:spacing w:val="-2"/>
        </w:rPr>
      </w:pPr>
      <w:r>
        <w:rPr>
          <w:b/>
          <w:spacing w:val="-2"/>
        </w:rPr>
        <w:t xml:space="preserve">Adopted:  </w:t>
      </w:r>
      <w:r w:rsidR="005A519E">
        <w:rPr>
          <w:b/>
          <w:spacing w:val="-2"/>
        </w:rPr>
        <w:t xml:space="preserve">March </w:t>
      </w:r>
      <w:r w:rsidR="00953C94">
        <w:rPr>
          <w:b/>
          <w:spacing w:val="-2"/>
        </w:rPr>
        <w:t>16</w:t>
      </w:r>
      <w:r w:rsidR="008F6DAD">
        <w:rPr>
          <w:b/>
          <w:spacing w:val="-2"/>
        </w:rPr>
        <w:t>, 202</w:t>
      </w:r>
      <w:r w:rsidR="005A519E">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519E">
        <w:rPr>
          <w:b/>
          <w:spacing w:val="-2"/>
        </w:rPr>
        <w:t xml:space="preserve">March </w:t>
      </w:r>
      <w:r w:rsidR="00953C94">
        <w:rPr>
          <w:b/>
          <w:spacing w:val="-2"/>
        </w:rPr>
        <w:t>16</w:t>
      </w:r>
      <w:r w:rsidR="008F6DAD">
        <w:rPr>
          <w:b/>
          <w:spacing w:val="-2"/>
        </w:rPr>
        <w:t>, 202</w:t>
      </w:r>
      <w:r w:rsidR="005A519E">
        <w:rPr>
          <w:b/>
          <w:spacing w:val="-2"/>
        </w:rPr>
        <w:t>3</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480BA5" w14:paraId="74AAEE84" w14:textId="08DB3139">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76278F">
        <w:rPr>
          <w:spacing w:val="-3"/>
        </w:rPr>
        <w:t xml:space="preserve"> </w:t>
      </w:r>
      <w:r w:rsidR="0085064B">
        <w:t>WVEC Television</w:t>
      </w:r>
      <w:r w:rsidR="007C0E98">
        <w:t>,</w:t>
      </w:r>
      <w:r w:rsidR="0085064B">
        <w:t xml:space="preserve"> LLC</w:t>
      </w:r>
      <w:r w:rsidRPr="00E97187">
        <w:rPr>
          <w:spacing w:val="-7"/>
        </w:rPr>
        <w:t xml:space="preserve"> </w:t>
      </w:r>
      <w:r w:rsidRPr="00E208EC" w:rsidR="00092AB5">
        <w:t>(</w:t>
      </w:r>
      <w:r w:rsidR="00432B47">
        <w:t>Petitioner</w:t>
      </w:r>
      <w:r w:rsidRPr="00E208EC" w:rsidR="00092AB5">
        <w:t xml:space="preserve">), the licensee </w:t>
      </w:r>
      <w:r w:rsidR="00B11296">
        <w:t xml:space="preserve">of </w:t>
      </w:r>
      <w:r w:rsidR="0033610A">
        <w:t>television station</w:t>
      </w:r>
      <w:r w:rsidR="00C671B7">
        <w:t xml:space="preserve"> </w:t>
      </w:r>
      <w:r w:rsidR="00E134B8">
        <w:t>W</w:t>
      </w:r>
      <w:r w:rsidR="007C0E98">
        <w:t>VEC(TV)</w:t>
      </w:r>
      <w:r w:rsidR="0033610A">
        <w:t xml:space="preserve"> (</w:t>
      </w:r>
      <w:r w:rsidR="007C0E98">
        <w:t xml:space="preserve">WVEC or </w:t>
      </w:r>
      <w:r w:rsidR="0033610A">
        <w:t>Station),</w:t>
      </w:r>
      <w:r w:rsidR="002A1087">
        <w:t xml:space="preserve"> </w:t>
      </w:r>
      <w:r w:rsidRPr="00E208EC" w:rsidR="00092AB5">
        <w:t>channel</w:t>
      </w:r>
      <w:r w:rsidR="0076278F">
        <w:t xml:space="preserve"> </w:t>
      </w:r>
      <w:r w:rsidR="007C0E98">
        <w:t>11</w:t>
      </w:r>
      <w:r w:rsidRPr="00E208EC" w:rsidR="00092AB5">
        <w:t xml:space="preserve">, </w:t>
      </w:r>
      <w:r w:rsidR="0085064B">
        <w:t>Hampton</w:t>
      </w:r>
      <w:r w:rsidR="00C65811">
        <w:t xml:space="preserve">, </w:t>
      </w:r>
      <w:r w:rsidR="0085064B">
        <w:t>Virginia</w:t>
      </w:r>
      <w:r w:rsidR="00092AB5">
        <w:t>.</w:t>
      </w:r>
      <w:r w:rsidRPr="00E97187">
        <w:t xml:space="preserve"> </w:t>
      </w:r>
      <w:r w:rsidR="0028616B">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4C5A89">
        <w:rPr>
          <w:spacing w:val="-6"/>
        </w:rPr>
        <w:t>35</w:t>
      </w:r>
      <w:r w:rsidRPr="00E97187">
        <w:rPr>
          <w:spacing w:val="-7"/>
        </w:rPr>
        <w:t xml:space="preserve"> </w:t>
      </w:r>
      <w:r w:rsidRPr="00E97187">
        <w:rPr>
          <w:spacing w:val="-3"/>
        </w:rPr>
        <w:t>for</w:t>
      </w:r>
      <w:r w:rsidRPr="00E97187">
        <w:t xml:space="preserve"> VHF channel</w:t>
      </w:r>
      <w:r w:rsidRPr="00E97187">
        <w:rPr>
          <w:spacing w:val="-6"/>
        </w:rPr>
        <w:t xml:space="preserve"> </w:t>
      </w:r>
      <w:r w:rsidR="004C5A89">
        <w:rPr>
          <w:spacing w:val="-6"/>
        </w:rPr>
        <w:t>11</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 xml:space="preserve">of </w:t>
      </w:r>
      <w:r w:rsidR="004C5A89">
        <w:rPr>
          <w:spacing w:val="-3"/>
        </w:rPr>
        <w:t xml:space="preserve">TV </w:t>
      </w:r>
      <w:r w:rsidR="007E31D4">
        <w:rPr>
          <w:spacing w:val="-3"/>
        </w:rPr>
        <w:t>Allotments</w:t>
      </w:r>
      <w:r w:rsidRPr="00E97187">
        <w:t>.</w:t>
      </w:r>
      <w:r w:rsidRPr="00E97187">
        <w:rPr>
          <w:position w:val="8"/>
        </w:rPr>
        <w:t xml:space="preserve">  </w:t>
      </w:r>
      <w:r w:rsidR="00F8143C">
        <w:t>The</w:t>
      </w:r>
      <w:r w:rsidR="00480BA5">
        <w:t xml:space="preserve"> Petitioner</w:t>
      </w:r>
      <w:r w:rsidR="00E72DEF">
        <w:t>,</w:t>
      </w:r>
      <w:r w:rsidRPr="00E97187" w:rsidR="00480BA5">
        <w:t xml:space="preserve"> filed comments in support of the petition, as required by the Commission’s rules,</w:t>
      </w:r>
      <w:r>
        <w:rPr>
          <w:rStyle w:val="FootnoteReference"/>
          <w:iCs/>
          <w:sz w:val="22"/>
        </w:rPr>
        <w:footnoteReference w:id="4"/>
      </w:r>
      <w:r w:rsidRPr="00E97187" w:rsidR="00480BA5">
        <w:t xml:space="preserve"> reaffirming its commitment to apply for channel </w:t>
      </w:r>
      <w:r w:rsidR="004C5A89">
        <w:t>35</w:t>
      </w:r>
      <w:r w:rsidR="00480BA5">
        <w:t>.</w:t>
      </w:r>
      <w:r>
        <w:rPr>
          <w:rStyle w:val="FootnoteReference"/>
        </w:rPr>
        <w:footnoteReference w:id="5"/>
      </w:r>
      <w:r w:rsidR="001542A1">
        <w:t xml:space="preserve">  No other comments were received.</w:t>
      </w:r>
      <w:r w:rsidRPr="00E97187" w:rsidR="00F86933">
        <w:t xml:space="preserve">  </w:t>
      </w:r>
    </w:p>
    <w:p w:rsidR="003261EE" w:rsidRPr="00953C94" w:rsidP="00F54626" w14:paraId="35334589" w14:textId="1F85ACDC">
      <w:pPr>
        <w:pStyle w:val="ParaNum"/>
        <w:widowControl/>
        <w:rPr>
          <w:szCs w:val="22"/>
        </w:rPr>
      </w:pPr>
      <w:r w:rsidRPr="00E97187">
        <w:t xml:space="preserve">We believe the public interest would be served by substituting channel </w:t>
      </w:r>
      <w:r w:rsidR="004C5A89">
        <w:t>35</w:t>
      </w:r>
      <w:r w:rsidRPr="00E97187">
        <w:t xml:space="preserve"> for channel </w:t>
      </w:r>
      <w:r w:rsidR="004C5A89">
        <w:t>11</w:t>
      </w:r>
      <w:r w:rsidRPr="00E97187" w:rsidR="00424EA6">
        <w:t xml:space="preserve"> </w:t>
      </w:r>
      <w:r w:rsidRPr="00E97187">
        <w:t xml:space="preserve">at </w:t>
      </w:r>
      <w:r w:rsidR="0085064B">
        <w:t>Hampton</w:t>
      </w:r>
      <w:r w:rsidR="001032F9">
        <w:t xml:space="preserve">, </w:t>
      </w:r>
      <w:r w:rsidR="0085064B">
        <w:t>Virginia</w:t>
      </w:r>
      <w:r w:rsidR="00C309BD">
        <w:t>.</w:t>
      </w:r>
      <w:r w:rsidR="007C0E98">
        <w:t xml:space="preserve">  </w:t>
      </w:r>
      <w:r w:rsidR="00C309BD">
        <w:t>T</w:t>
      </w:r>
      <w:r w:rsidR="007C0E98">
        <w:t>he Petitioner</w:t>
      </w:r>
      <w:r w:rsidRPr="00E208EC" w:rsidR="007C0E98">
        <w:t xml:space="preserve"> states</w:t>
      </w:r>
      <w:r w:rsidR="007C0E9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6"/>
      </w:r>
      <w:r w:rsidR="007C0E98">
        <w:t xml:space="preserve">  </w:t>
      </w:r>
      <w:r w:rsidRPr="000A6D9A" w:rsidR="007C0E98">
        <w:rPr>
          <w:szCs w:val="22"/>
        </w:rPr>
        <w:t xml:space="preserve">According to the Petitioner, it has received many complaints from viewers unable to receive a reliable signal on channel 11, despite being able to receive the NBC, CBS, and FOX network affiliates in </w:t>
      </w:r>
      <w:r w:rsidRPr="000A6D9A" w:rsidR="007C0E98">
        <w:rPr>
          <w:szCs w:val="22"/>
        </w:rPr>
        <w:t>the Norfolk, Virginia market, all of which operate on UHF channels.</w:t>
      </w:r>
      <w:r>
        <w:rPr>
          <w:rStyle w:val="FootnoteReference"/>
          <w:sz w:val="22"/>
          <w:szCs w:val="22"/>
        </w:rPr>
        <w:footnoteReference w:id="7"/>
      </w:r>
      <w:r w:rsidRPr="000A6D9A" w:rsidR="007C0E98">
        <w:rPr>
          <w:szCs w:val="22"/>
        </w:rPr>
        <w:t xml:space="preserve">  </w:t>
      </w:r>
      <w:bookmarkStart w:id="0" w:name="_Hlk95933709"/>
      <w:r w:rsidRPr="000A6D9A" w:rsidR="007C0E98">
        <w:rPr>
          <w:szCs w:val="22"/>
        </w:rPr>
        <w:t>The proposed channel change would not cause any loss of service to viewers of WVEC’s existing coverage area.</w:t>
      </w:r>
      <w:r>
        <w:rPr>
          <w:rStyle w:val="FootnoteReference"/>
          <w:szCs w:val="22"/>
        </w:rPr>
        <w:footnoteReference w:id="8"/>
      </w:r>
      <w:bookmarkEnd w:id="0"/>
    </w:p>
    <w:p w:rsidR="00E97187" w:rsidRPr="007E31D4" w:rsidP="00C1083B" w14:paraId="401FC91F" w14:textId="18D15A38">
      <w:pPr>
        <w:pStyle w:val="ParaNum"/>
        <w:spacing w:after="220"/>
      </w:pPr>
      <w:r w:rsidRPr="000A6D9A">
        <w:rPr>
          <w:spacing w:val="-7"/>
          <w:szCs w:val="22"/>
        </w:rPr>
        <w:t xml:space="preserve">As proposed, </w:t>
      </w:r>
      <w:r w:rsidRPr="000A6D9A" w:rsidR="009078BE">
        <w:rPr>
          <w:spacing w:val="-7"/>
          <w:szCs w:val="22"/>
        </w:rPr>
        <w:t>c</w:t>
      </w:r>
      <w:r w:rsidRPr="000A6D9A">
        <w:rPr>
          <w:spacing w:val="-7"/>
          <w:szCs w:val="22"/>
        </w:rPr>
        <w:t xml:space="preserve">hannel </w:t>
      </w:r>
      <w:r w:rsidRPr="000A6D9A" w:rsidR="004C5A89">
        <w:rPr>
          <w:spacing w:val="-7"/>
          <w:szCs w:val="22"/>
        </w:rPr>
        <w:t>35</w:t>
      </w:r>
      <w:r w:rsidRPr="000A6D9A">
        <w:rPr>
          <w:spacing w:val="-7"/>
          <w:szCs w:val="22"/>
        </w:rPr>
        <w:t xml:space="preserve"> can be substituted for channel</w:t>
      </w:r>
      <w:r w:rsidRPr="000A6D9A">
        <w:rPr>
          <w:szCs w:val="22"/>
        </w:rPr>
        <w:t xml:space="preserve"> </w:t>
      </w:r>
      <w:r w:rsidRPr="000A6D9A" w:rsidR="004C5A89">
        <w:rPr>
          <w:szCs w:val="22"/>
        </w:rPr>
        <w:t>11</w:t>
      </w:r>
      <w:r w:rsidRPr="000A6D9A">
        <w:rPr>
          <w:szCs w:val="22"/>
        </w:rPr>
        <w:t xml:space="preserve"> at </w:t>
      </w:r>
      <w:r w:rsidRPr="000A6D9A" w:rsidR="0085064B">
        <w:rPr>
          <w:szCs w:val="22"/>
        </w:rPr>
        <w:t>Hampton</w:t>
      </w:r>
      <w:r w:rsidRPr="000A6D9A" w:rsidR="007C60E1">
        <w:rPr>
          <w:szCs w:val="22"/>
        </w:rPr>
        <w:t xml:space="preserve">, </w:t>
      </w:r>
      <w:r w:rsidRPr="000A6D9A" w:rsidR="0085064B">
        <w:rPr>
          <w:szCs w:val="22"/>
        </w:rPr>
        <w:t>Virginia</w:t>
      </w:r>
      <w:r w:rsidRPr="000A6D9A">
        <w:rPr>
          <w:szCs w:val="22"/>
        </w:rPr>
        <w:t>, in</w:t>
      </w:r>
      <w:r w:rsidRPr="00E97187">
        <w:t xml:space="preserve">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rPr>
        <w:footnoteReference w:id="9"/>
      </w:r>
      <w:r w:rsidRPr="00E97187">
        <w:rPr>
          <w:spacing w:val="17"/>
          <w:position w:val="8"/>
        </w:rPr>
        <w:t xml:space="preserve"> </w:t>
      </w:r>
      <w:r w:rsidRPr="00E97187">
        <w:rPr>
          <w:spacing w:val="-3"/>
        </w:rPr>
        <w:t xml:space="preserve">at </w:t>
      </w:r>
      <w:r w:rsidRPr="00E97187">
        <w:rPr>
          <w:spacing w:val="-4"/>
        </w:rPr>
        <w:t>coordinates</w:t>
      </w:r>
      <w:r w:rsidR="0076278F">
        <w:rPr>
          <w:spacing w:val="-4"/>
        </w:rPr>
        <w:t xml:space="preserve"> </w:t>
      </w:r>
      <w:r w:rsidR="007C0E98">
        <w:rPr>
          <w:szCs w:val="22"/>
        </w:rPr>
        <w:t>36</w:t>
      </w:r>
      <w:r w:rsidRPr="006C717D" w:rsidR="003261EE">
        <w:rPr>
          <w:snapToGrid/>
          <w:kern w:val="0"/>
          <w:szCs w:val="22"/>
        </w:rPr>
        <w:t>°</w:t>
      </w:r>
      <w:r w:rsidRPr="006C717D" w:rsidR="003261EE">
        <w:rPr>
          <w:szCs w:val="22"/>
        </w:rPr>
        <w:t xml:space="preserve"> </w:t>
      </w:r>
      <w:r w:rsidR="007C0E98">
        <w:rPr>
          <w:szCs w:val="22"/>
        </w:rPr>
        <w:t>49</w:t>
      </w:r>
      <w:r w:rsidRPr="006C717D" w:rsidR="003261EE">
        <w:rPr>
          <w:snapToGrid/>
          <w:kern w:val="0"/>
          <w:szCs w:val="22"/>
        </w:rPr>
        <w:t>'</w:t>
      </w:r>
      <w:r w:rsidRPr="006C717D" w:rsidR="003261EE">
        <w:rPr>
          <w:szCs w:val="22"/>
        </w:rPr>
        <w:t xml:space="preserve"> </w:t>
      </w:r>
      <w:r w:rsidR="007C0E98">
        <w:rPr>
          <w:szCs w:val="22"/>
        </w:rPr>
        <w:t>00</w:t>
      </w:r>
      <w:r w:rsidR="003261EE">
        <w:rPr>
          <w:szCs w:val="22"/>
        </w:rPr>
        <w:t>.0</w:t>
      </w:r>
      <w:r w:rsidRPr="006C717D" w:rsidR="003261EE">
        <w:rPr>
          <w:snapToGrid/>
          <w:kern w:val="0"/>
          <w:szCs w:val="22"/>
        </w:rPr>
        <w:t>"</w:t>
      </w:r>
      <w:r w:rsidRPr="006C717D" w:rsidR="003261EE">
        <w:rPr>
          <w:szCs w:val="22"/>
        </w:rPr>
        <w:t xml:space="preserve"> </w:t>
      </w:r>
      <w:r w:rsidRPr="004F0BC4" w:rsidR="0076278F">
        <w:rPr>
          <w:snapToGrid/>
          <w:kern w:val="0"/>
          <w:szCs w:val="22"/>
        </w:rPr>
        <w:t>N and</w:t>
      </w:r>
      <w:r w:rsidR="00445352">
        <w:rPr>
          <w:snapToGrid/>
          <w:kern w:val="0"/>
          <w:szCs w:val="22"/>
        </w:rPr>
        <w:t xml:space="preserve"> </w:t>
      </w:r>
      <w:r w:rsidR="007C0E98">
        <w:rPr>
          <w:szCs w:val="22"/>
        </w:rPr>
        <w:t>76</w:t>
      </w:r>
      <w:r w:rsidRPr="006C717D" w:rsidR="003261EE">
        <w:rPr>
          <w:snapToGrid/>
          <w:kern w:val="0"/>
          <w:szCs w:val="22"/>
        </w:rPr>
        <w:t>°</w:t>
      </w:r>
      <w:r w:rsidRPr="006C717D" w:rsidR="003261EE">
        <w:rPr>
          <w:szCs w:val="22"/>
        </w:rPr>
        <w:t xml:space="preserve"> </w:t>
      </w:r>
      <w:r w:rsidR="007C0E98">
        <w:rPr>
          <w:szCs w:val="22"/>
        </w:rPr>
        <w:t>28</w:t>
      </w:r>
      <w:r w:rsidRPr="006C717D" w:rsidR="003261EE">
        <w:rPr>
          <w:snapToGrid/>
          <w:kern w:val="0"/>
          <w:szCs w:val="22"/>
        </w:rPr>
        <w:t>'</w:t>
      </w:r>
      <w:r w:rsidRPr="006C717D" w:rsidR="003261EE">
        <w:rPr>
          <w:szCs w:val="22"/>
        </w:rPr>
        <w:t xml:space="preserve"> </w:t>
      </w:r>
      <w:r w:rsidR="007C0E98">
        <w:rPr>
          <w:szCs w:val="22"/>
        </w:rPr>
        <w:t>05</w:t>
      </w:r>
      <w:r w:rsidR="003261EE">
        <w:rPr>
          <w:szCs w:val="22"/>
        </w:rPr>
        <w:t>.0</w:t>
      </w:r>
      <w:r w:rsidRPr="006C717D" w:rsidR="003261EE">
        <w:rPr>
          <w:snapToGrid/>
          <w:kern w:val="0"/>
          <w:szCs w:val="22"/>
        </w:rPr>
        <w:t>"</w:t>
      </w:r>
      <w:r w:rsidRPr="006C717D" w:rsidR="003261EE">
        <w:rPr>
          <w:szCs w:val="22"/>
        </w:rPr>
        <w:t xml:space="preserve"> </w:t>
      </w:r>
      <w:r w:rsidRPr="004F0BC4" w:rsidR="0076278F">
        <w:rPr>
          <w:snapToGrid/>
          <w:kern w:val="0"/>
          <w:szCs w:val="22"/>
        </w:rPr>
        <w:t>W</w:t>
      </w:r>
      <w:r w:rsidR="00EA0EAE">
        <w:rPr>
          <w:snapToGrid/>
          <w:kern w:val="0"/>
          <w:szCs w:val="22"/>
        </w:rPr>
        <w:t>.</w:t>
      </w:r>
      <w:r>
        <w:rPr>
          <w:spacing w:val="-2"/>
        </w:rPr>
        <w:t xml:space="preserve"> </w:t>
      </w:r>
      <w:r w:rsidR="001D75EF">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p>
    <w:p w:rsidR="00E97187" w:rsidRPr="00E97187" w:rsidP="00E97187" w14:paraId="1E73859A" w14:textId="6156F72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50D92888" w14:textId="005BF480">
      <w:pPr>
        <w:pStyle w:val="BodyText"/>
        <w:tabs>
          <w:tab w:val="left" w:pos="3748"/>
          <w:tab w:val="left" w:pos="5189"/>
          <w:tab w:val="right" w:pos="7126"/>
        </w:tabs>
        <w:spacing w:after="220"/>
        <w:ind w:left="0"/>
      </w:pPr>
      <w:r>
        <w:rPr>
          <w:spacing w:val="-1"/>
        </w:rPr>
        <w:t>Hampton</w:t>
      </w:r>
      <w:r w:rsidR="007C60E1">
        <w:rPr>
          <w:spacing w:val="-1"/>
        </w:rPr>
        <w:t xml:space="preserve">, </w:t>
      </w:r>
      <w:r>
        <w:rPr>
          <w:spacing w:val="-1"/>
        </w:rPr>
        <w:t>Virginia</w:t>
      </w:r>
      <w:r w:rsidRPr="00E97187" w:rsidR="00F86933">
        <w:rPr>
          <w:spacing w:val="-1"/>
        </w:rPr>
        <w:t xml:space="preserve">       </w:t>
      </w:r>
      <w:r w:rsidR="002A5DE4">
        <w:rPr>
          <w:spacing w:val="-1"/>
        </w:rPr>
        <w:t xml:space="preserve">            </w:t>
      </w:r>
      <w:r w:rsidRPr="00E97187" w:rsidR="00F86933">
        <w:rPr>
          <w:spacing w:val="-1"/>
        </w:rPr>
        <w:t xml:space="preserve"> </w:t>
      </w:r>
      <w:r w:rsidR="00817335">
        <w:rPr>
          <w:spacing w:val="-1"/>
        </w:rPr>
        <w:t xml:space="preserve">  </w:t>
      </w:r>
      <w:r w:rsidR="004C5A89">
        <w:rPr>
          <w:spacing w:val="-1"/>
        </w:rPr>
        <w:t>35</w:t>
      </w:r>
      <w:r w:rsidRPr="00E97187" w:rsidR="00F86933">
        <w:t xml:space="preserve">               </w:t>
      </w:r>
      <w:r w:rsidR="00445352">
        <w:t>1000</w:t>
      </w:r>
      <w:r w:rsidRPr="00E97187" w:rsidR="00F86933">
        <w:t xml:space="preserve">                </w:t>
      </w:r>
      <w:r w:rsidR="007C0E98">
        <w:t>363.9</w:t>
      </w:r>
      <w:r w:rsidRPr="00C16C35" w:rsidR="00F86933">
        <w:t xml:space="preserve">                 </w:t>
      </w:r>
      <w:r w:rsidR="001129B6">
        <w:t xml:space="preserve">    </w:t>
      </w:r>
      <w:r w:rsidRPr="001129B6" w:rsidR="001129B6">
        <w:t>2,127,491</w:t>
      </w:r>
    </w:p>
    <w:p w:rsidR="00E97187" w:rsidRPr="00E97187" w:rsidP="00E97187" w14:paraId="35F4BD1A" w14:textId="71B1559A">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0"/>
      </w:r>
      <w:r w:rsidRPr="00E97187">
        <w:t xml:space="preserve">  An expedited effective date is necessary in this case to ensure that </w:t>
      </w:r>
      <w:r w:rsidR="004C5A89">
        <w:t>WVEC</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4AEAC568">
      <w:pPr>
        <w:pStyle w:val="ParaNum"/>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6EF99334" w14:textId="55430088">
      <w:pPr>
        <w:pStyle w:val="BodyText"/>
        <w:tabs>
          <w:tab w:val="left" w:pos="3728"/>
          <w:tab w:val="right" w:pos="6105"/>
        </w:tabs>
        <w:spacing w:after="220"/>
        <w:ind w:left="0"/>
      </w:pPr>
      <w:r>
        <w:rPr>
          <w:spacing w:val="-4"/>
        </w:rPr>
        <w:t>Hampton</w:t>
      </w:r>
      <w:r w:rsidR="0031731D">
        <w:rPr>
          <w:spacing w:val="-4"/>
        </w:rPr>
        <w:t xml:space="preserve">, </w:t>
      </w:r>
      <w:r>
        <w:rPr>
          <w:spacing w:val="-4"/>
        </w:rPr>
        <w:t>Virginia</w:t>
      </w:r>
      <w:r w:rsidRPr="00E97187" w:rsidR="00F86933">
        <w:rPr>
          <w:spacing w:val="-4"/>
        </w:rPr>
        <w:t xml:space="preserve">                        </w:t>
      </w:r>
      <w:r w:rsidR="001A6147">
        <w:rPr>
          <w:spacing w:val="-4"/>
        </w:rPr>
        <w:t xml:space="preserve">  </w:t>
      </w:r>
      <w:r w:rsidR="008521B8">
        <w:rPr>
          <w:spacing w:val="-4"/>
        </w:rPr>
        <w:t xml:space="preserve">        </w:t>
      </w:r>
      <w:r w:rsidR="00C61461">
        <w:rPr>
          <w:spacing w:val="-4"/>
        </w:rPr>
        <w:tab/>
      </w:r>
      <w:r w:rsidR="008521B8">
        <w:rPr>
          <w:spacing w:val="-4"/>
        </w:rPr>
        <w:t xml:space="preserve"> </w:t>
      </w:r>
      <w:r w:rsidR="007C0E98">
        <w:rPr>
          <w:spacing w:val="-4"/>
        </w:rPr>
        <w:t>35</w:t>
      </w:r>
      <w:r w:rsidR="008521B8">
        <w:rPr>
          <w:spacing w:val="-4"/>
        </w:rPr>
        <w:t xml:space="preserve">     </w:t>
      </w:r>
      <w:r w:rsidR="00B701AF">
        <w:rPr>
          <w:spacing w:val="-4"/>
        </w:rPr>
        <w:t xml:space="preserve">   </w:t>
      </w:r>
    </w:p>
    <w:p w:rsidR="00E97187" w:rsidRPr="00E97187" w:rsidP="00E97187" w14:paraId="77911205" w14:textId="01643E9B">
      <w:pPr>
        <w:pStyle w:val="ParaNum"/>
      </w:pPr>
      <w:r w:rsidRPr="00E97187">
        <w:rPr>
          <w:b/>
          <w:bCs/>
        </w:rPr>
        <w:t>IT IS FURTHER ORDERED</w:t>
      </w:r>
      <w:r w:rsidRPr="00E97187">
        <w:t xml:space="preserve">, That within </w:t>
      </w:r>
      <w:r w:rsidR="00E72DEF">
        <w:t>30</w:t>
      </w:r>
      <w:r w:rsidRPr="00E97187">
        <w:t xml:space="preserve"> days of the effective date of this Order,</w:t>
      </w:r>
      <w:r w:rsidR="00432B47">
        <w:t xml:space="preserve"> </w:t>
      </w:r>
      <w:r w:rsidR="007C0E98">
        <w:t>WVEC Television, LLC</w:t>
      </w:r>
      <w:r w:rsidR="00691886">
        <w:t xml:space="preserve"> </w:t>
      </w:r>
      <w:r w:rsidRPr="00E97187" w:rsidR="00691886">
        <w:t>shall</w:t>
      </w:r>
      <w:r w:rsidRPr="00E97187">
        <w:t xml:space="preserve"> submit to the Commission a minor change application for a construction permit (Form 2100, Schedule A) specifying channel </w:t>
      </w:r>
      <w:r w:rsidR="007C0E98">
        <w:t>35</w:t>
      </w:r>
      <w:r w:rsidRPr="00E97187">
        <w:t xml:space="preserve"> in lieu of channel </w:t>
      </w:r>
      <w:r w:rsidR="007C0E98">
        <w:t>11</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63027075" w14:textId="5900EE41">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A73AA9">
        <w:t>2</w:t>
      </w:r>
      <w:r w:rsidR="0071598A">
        <w:t>-</w:t>
      </w:r>
      <w:r w:rsidR="007C0E98">
        <w:t>151</w:t>
      </w:r>
      <w:r w:rsidR="008A7F19">
        <w:t xml:space="preserve"> and </w:t>
      </w:r>
      <w:r w:rsidR="00C802E6">
        <w:t>RM-11</w:t>
      </w:r>
      <w:r w:rsidR="00A73AA9">
        <w:t>9</w:t>
      </w:r>
      <w:r w:rsidR="00445352">
        <w:t>2</w:t>
      </w:r>
      <w:r w:rsidR="007C0E98">
        <w:t>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FA1290B"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4B08475" w14:textId="77777777">
      <w:r>
        <w:tab/>
      </w:r>
      <w:r>
        <w:tab/>
      </w:r>
      <w:r>
        <w:tab/>
      </w:r>
      <w:r>
        <w:tab/>
      </w:r>
      <w:r>
        <w:tab/>
      </w:r>
      <w:r>
        <w:tab/>
        <w:t>FEDERAL COMMUNICATIONS COMMISSION</w:t>
      </w:r>
    </w:p>
    <w:p w:rsidR="006409B6" w:rsidP="0017296B" w14:paraId="52D640EA" w14:textId="77777777"/>
    <w:p w:rsidR="00C43340" w:rsidP="0017296B" w14:paraId="0EDB033E" w14:textId="77777777"/>
    <w:p w:rsidR="006409B6" w:rsidP="0017296B" w14:paraId="03181155" w14:textId="77777777">
      <w:r>
        <w:tab/>
      </w:r>
      <w:r>
        <w:tab/>
      </w:r>
      <w:r>
        <w:tab/>
      </w:r>
      <w:r>
        <w:tab/>
      </w:r>
      <w:r>
        <w:tab/>
      </w:r>
      <w:r>
        <w:tab/>
        <w:t>Barbara A. Kreisman</w:t>
      </w:r>
    </w:p>
    <w:p w:rsidR="006409B6" w:rsidP="0017296B" w14:paraId="4D5DA483" w14:textId="77777777">
      <w:r>
        <w:tab/>
      </w:r>
      <w:r>
        <w:tab/>
      </w:r>
      <w:r>
        <w:tab/>
      </w:r>
      <w:r>
        <w:tab/>
      </w:r>
      <w:r>
        <w:tab/>
      </w:r>
      <w:r>
        <w:tab/>
        <w:t>Chief, Video Division</w:t>
      </w:r>
    </w:p>
    <w:p w:rsidR="00412FC5" w:rsidP="006409B6" w14:paraId="1C7D016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rsidR="00ED663D">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737" w14:paraId="3317F56A" w14:textId="77777777">
      <w:r>
        <w:separator/>
      </w:r>
    </w:p>
  </w:footnote>
  <w:footnote w:type="continuationSeparator" w:id="1">
    <w:p w:rsidR="00DB2737" w:rsidP="00C721AC" w14:paraId="5236C496" w14:textId="77777777">
      <w:pPr>
        <w:spacing w:before="120"/>
        <w:rPr>
          <w:sz w:val="20"/>
        </w:rPr>
      </w:pPr>
      <w:r>
        <w:rPr>
          <w:sz w:val="20"/>
        </w:rPr>
        <w:t xml:space="preserve">(Continued from previous page)  </w:t>
      </w:r>
      <w:r>
        <w:rPr>
          <w:sz w:val="20"/>
        </w:rPr>
        <w:separator/>
      </w:r>
    </w:p>
  </w:footnote>
  <w:footnote w:type="continuationNotice" w:id="2">
    <w:p w:rsidR="00DB2737" w:rsidP="00C721AC" w14:paraId="70FD89CD" w14:textId="77777777">
      <w:pPr>
        <w:jc w:val="right"/>
        <w:rPr>
          <w:sz w:val="20"/>
        </w:rPr>
      </w:pPr>
      <w:r>
        <w:rPr>
          <w:sz w:val="20"/>
        </w:rPr>
        <w:t>(continued….)</w:t>
      </w:r>
    </w:p>
  </w:footnote>
  <w:footnote w:id="3">
    <w:p w:rsidR="00E97187" w:rsidP="006409B6" w14:paraId="08E961E2" w14:textId="7E6DE033">
      <w:pPr>
        <w:pStyle w:val="FootnoteText"/>
      </w:pPr>
      <w:r>
        <w:rPr>
          <w:rStyle w:val="FootnoteReference"/>
        </w:rPr>
        <w:footnoteRef/>
      </w:r>
      <w:r w:rsidR="00B36460">
        <w:rPr>
          <w:i/>
          <w:iCs/>
        </w:rPr>
        <w:t xml:space="preserve"> </w:t>
      </w:r>
      <w:r w:rsidRPr="00400001">
        <w:rPr>
          <w:i/>
          <w:iCs/>
        </w:rPr>
        <w:t>Amendment of Section 73.622(</w:t>
      </w:r>
      <w:r w:rsidR="00D20FC5">
        <w:rPr>
          <w:i/>
          <w:iCs/>
        </w:rPr>
        <w:t>j</w:t>
      </w:r>
      <w:r w:rsidRPr="00400001">
        <w:rPr>
          <w:i/>
          <w:iCs/>
        </w:rPr>
        <w:t>),</w:t>
      </w:r>
      <w:r w:rsidR="00D20FC5">
        <w:rPr>
          <w:i/>
          <w:iCs/>
        </w:rPr>
        <w:t xml:space="preserve"> Table of Allotments</w:t>
      </w:r>
      <w:r w:rsidR="00E80419">
        <w:rPr>
          <w:i/>
          <w:iCs/>
        </w:rPr>
        <w:t xml:space="preserve">, </w:t>
      </w:r>
      <w:r w:rsidRPr="00400001">
        <w:rPr>
          <w:i/>
          <w:iCs/>
        </w:rPr>
        <w:t xml:space="preserve">Television </w:t>
      </w:r>
      <w:r w:rsidR="00D20FC5">
        <w:rPr>
          <w:i/>
          <w:iCs/>
        </w:rPr>
        <w:t xml:space="preserve">Broadcast </w:t>
      </w:r>
      <w:r w:rsidRPr="00400001">
        <w:rPr>
          <w:i/>
          <w:iCs/>
        </w:rPr>
        <w:t>Stations</w:t>
      </w:r>
      <w:r w:rsidR="00E80419">
        <w:rPr>
          <w:i/>
          <w:iCs/>
        </w:rPr>
        <w:t xml:space="preserve"> </w:t>
      </w:r>
      <w:r w:rsidRPr="00400001">
        <w:rPr>
          <w:i/>
          <w:iCs/>
        </w:rPr>
        <w:t>(</w:t>
      </w:r>
      <w:r w:rsidR="0085064B">
        <w:rPr>
          <w:i/>
          <w:iCs/>
        </w:rPr>
        <w:t>Hampton</w:t>
      </w:r>
      <w:r w:rsidR="00C65811">
        <w:rPr>
          <w:i/>
          <w:iCs/>
        </w:rPr>
        <w:t xml:space="preserve">, </w:t>
      </w:r>
      <w:r w:rsidR="0085064B">
        <w:rPr>
          <w:i/>
          <w:iCs/>
        </w:rPr>
        <w:t>Virginia</w:t>
      </w:r>
      <w:r w:rsidRPr="00400001">
        <w:rPr>
          <w:i/>
          <w:iCs/>
        </w:rPr>
        <w:t>)</w:t>
      </w:r>
      <w:r>
        <w:t xml:space="preserve">, </w:t>
      </w:r>
      <w:r w:rsidR="006409B6">
        <w:t>MB Docket No. 2</w:t>
      </w:r>
      <w:r w:rsidR="00C671B7">
        <w:t>2</w:t>
      </w:r>
      <w:r w:rsidR="00752E7E">
        <w:t>-</w:t>
      </w:r>
      <w:r w:rsidR="0085064B">
        <w:t>151</w:t>
      </w:r>
      <w:r w:rsidR="006409B6">
        <w:t xml:space="preserve">, </w:t>
      </w:r>
      <w:r>
        <w:t>Notice of Proposed Rulemaking,</w:t>
      </w:r>
      <w:r w:rsidR="00C34A62">
        <w:t xml:space="preserve"> </w:t>
      </w:r>
      <w:r w:rsidR="00C65811">
        <w:t>DA 2</w:t>
      </w:r>
      <w:r w:rsidR="00FD0E09">
        <w:t>2</w:t>
      </w:r>
      <w:r w:rsidR="00C65811">
        <w:t>-</w:t>
      </w:r>
      <w:r w:rsidR="004C5A89">
        <w:t>404</w:t>
      </w:r>
      <w:r w:rsidR="00C65811">
        <w:t xml:space="preserve"> (rel.</w:t>
      </w:r>
      <w:r w:rsidR="00FD0E09">
        <w:t xml:space="preserve"> </w:t>
      </w:r>
      <w:r w:rsidR="0085064B">
        <w:t>Apr.</w:t>
      </w:r>
      <w:r w:rsidR="00E134B8">
        <w:t xml:space="preserve"> </w:t>
      </w:r>
      <w:r w:rsidR="004C5A89">
        <w:t>13</w:t>
      </w:r>
      <w:r w:rsidR="00FD0E09">
        <w:t>,</w:t>
      </w:r>
      <w:r w:rsidR="00C65811">
        <w:t xml:space="preserve"> 202</w:t>
      </w:r>
      <w:r w:rsidR="00FD0E09">
        <w:t>2</w:t>
      </w:r>
      <w:r w:rsidR="00C65811">
        <w:t>)</w:t>
      </w:r>
      <w:r>
        <w:t xml:space="preserve"> (</w:t>
      </w:r>
      <w:r w:rsidRPr="00400001">
        <w:rPr>
          <w:i/>
          <w:iCs/>
        </w:rPr>
        <w:t>NPRM</w:t>
      </w:r>
      <w:r>
        <w:t>).</w:t>
      </w:r>
      <w:r w:rsidR="004718FA">
        <w:t xml:space="preserve">  </w:t>
      </w:r>
    </w:p>
  </w:footnote>
  <w:footnote w:id="4">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5">
    <w:p w:rsidR="00E72DEF" w:rsidP="00C309BD" w14:paraId="6E6A0801" w14:textId="38CEF50C">
      <w:pPr>
        <w:pStyle w:val="FootnoteText"/>
        <w:spacing w:before="240"/>
      </w:pPr>
      <w:r>
        <w:rPr>
          <w:rStyle w:val="FootnoteReference"/>
        </w:rPr>
        <w:footnoteRef/>
      </w:r>
      <w:r>
        <w:t xml:space="preserve"> </w:t>
      </w:r>
      <w:r w:rsidRPr="00C309BD">
        <w:t xml:space="preserve">As noted in the </w:t>
      </w:r>
      <w:r w:rsidRPr="00C309BD">
        <w:rPr>
          <w:i/>
          <w:iCs/>
        </w:rPr>
        <w:t>NPRM</w:t>
      </w:r>
      <w:r w:rsidRPr="00C309BD">
        <w:t xml:space="preserve">, </w:t>
      </w:r>
      <w:r w:rsidR="0028616B">
        <w:t xml:space="preserve">the </w:t>
      </w:r>
      <w:r w:rsidRPr="0028616B" w:rsidR="0028616B">
        <w:t>proposed channel 35 facility causes 1.38</w:t>
      </w:r>
      <w:r w:rsidR="005A519E">
        <w:t xml:space="preserve"> percent </w:t>
      </w:r>
      <w:r w:rsidRPr="0028616B" w:rsidR="0028616B">
        <w:t>interference to WFMY-TV, Greensboro, North Carolina, in excess of the 0.5</w:t>
      </w:r>
      <w:r w:rsidR="005A519E">
        <w:t xml:space="preserve"> percent</w:t>
      </w:r>
      <w:r w:rsidRPr="0028616B" w:rsidR="0028616B">
        <w:t xml:space="preserve"> interference allowed in the Commission’s rules.  </w:t>
      </w:r>
      <w:r w:rsidRPr="001129B6" w:rsidR="0028616B">
        <w:rPr>
          <w:i/>
          <w:iCs/>
        </w:rPr>
        <w:t>See</w:t>
      </w:r>
      <w:r w:rsidRPr="0028616B" w:rsidR="0028616B">
        <w:t xml:space="preserve"> 47 CFR § 73.616(d) (“An application will not be accepted if it is predicted to cause interference to more than an additional 0.5 percent of the population served by another post-transition DTV station.”).  </w:t>
      </w:r>
      <w:r w:rsidR="0028616B">
        <w:t xml:space="preserve">The Petitioner owns both </w:t>
      </w:r>
      <w:r w:rsidRPr="0028616B" w:rsidR="0028616B">
        <w:t xml:space="preserve">WFMY-TV </w:t>
      </w:r>
      <w:r w:rsidR="0028616B">
        <w:t>and WVEC,</w:t>
      </w:r>
      <w:r w:rsidRPr="0028616B" w:rsidR="0028616B">
        <w:t xml:space="preserve"> and provides an Interference Acceptance Consent letter from WFMY-TV, LLC agreeing to accept the interference from the proposed channel 35 facility.  Petition, Exhibit C</w:t>
      </w:r>
      <w:r w:rsidR="00F8143C">
        <w:t xml:space="preserve">.  </w:t>
      </w:r>
      <w:r w:rsidRPr="00F8143C" w:rsidR="00F8143C">
        <w:t>In addition, the proposed facility was predicted to cause prohibited interference to WYSJ-CD, Yorktown, Virginia</w:t>
      </w:r>
      <w:r w:rsidR="00F8143C">
        <w:t xml:space="preserve"> (WYSJ-CD)</w:t>
      </w:r>
      <w:r w:rsidRPr="00F8143C" w:rsidR="00F8143C">
        <w:t>.  An application for minor modification application to co-locate WYSJ-CD with WVEC’s proposed channel 35 facility (LMS File No. 0000188559), thus eliminating the adjacent-channel interference, will be granted simultaneously with the issuance of this Order.</w:t>
      </w:r>
      <w:r w:rsidRPr="0028616B" w:rsidR="0028616B">
        <w:t xml:space="preserve">  </w:t>
      </w:r>
      <w:r w:rsidRPr="001129B6" w:rsidR="005A519E">
        <w:rPr>
          <w:i/>
          <w:iCs/>
        </w:rPr>
        <w:t>See</w:t>
      </w:r>
      <w:r w:rsidR="005A519E">
        <w:t xml:space="preserve"> </w:t>
      </w:r>
      <w:r w:rsidRPr="00F54626" w:rsidR="0028616B">
        <w:rPr>
          <w:i/>
          <w:iCs/>
        </w:rPr>
        <w:t>NPRM</w:t>
      </w:r>
      <w:r w:rsidRPr="0028616B" w:rsidR="0028616B">
        <w:t xml:space="preserve"> at para. 3, n.7.</w:t>
      </w:r>
    </w:p>
  </w:footnote>
  <w:footnote w:id="6">
    <w:p w:rsidR="007C0E98" w:rsidP="007C0E98" w14:paraId="37C28B38" w14:textId="45CF65F7">
      <w:pPr>
        <w:pStyle w:val="FootnoteText"/>
        <w:widowControl w:val="0"/>
      </w:pPr>
      <w:r>
        <w:rPr>
          <w:rStyle w:val="FootnoteReference"/>
        </w:rPr>
        <w:footnoteRef/>
      </w:r>
      <w:r>
        <w:t xml:space="preserve"> </w:t>
      </w:r>
      <w:r w:rsidR="00ED663D">
        <w:rPr>
          <w:i/>
          <w:iCs/>
        </w:rPr>
        <w:t>Id.</w:t>
      </w:r>
      <w:r>
        <w:t xml:space="preserve"> at para. 2.</w:t>
      </w:r>
    </w:p>
  </w:footnote>
  <w:footnote w:id="7">
    <w:p w:rsidR="007C0E98" w:rsidP="007C0E98" w14:paraId="3D63A847" w14:textId="300637B0">
      <w:pPr>
        <w:pStyle w:val="FootnoteText"/>
      </w:pPr>
      <w:r>
        <w:rPr>
          <w:rStyle w:val="FootnoteReference"/>
        </w:rPr>
        <w:footnoteRef/>
      </w:r>
      <w:r>
        <w:t xml:space="preserve"> </w:t>
      </w:r>
      <w:r w:rsidRPr="00EA58A2">
        <w:rPr>
          <w:i/>
          <w:iCs/>
        </w:rPr>
        <w:t>Id</w:t>
      </w:r>
      <w:r>
        <w:t>.</w:t>
      </w:r>
    </w:p>
  </w:footnote>
  <w:footnote w:id="8">
    <w:p w:rsidR="004559DF" w14:paraId="0ACD1714" w14:textId="2CE7ED46">
      <w:pPr>
        <w:pStyle w:val="FootnoteText"/>
      </w:pPr>
      <w:r>
        <w:rPr>
          <w:rStyle w:val="FootnoteReference"/>
        </w:rPr>
        <w:footnoteRef/>
      </w:r>
      <w:r>
        <w:t xml:space="preserve"> </w:t>
      </w:r>
      <w:r w:rsidRPr="004559DF">
        <w:rPr>
          <w:i/>
          <w:iCs/>
        </w:rPr>
        <w:t>Id</w:t>
      </w:r>
      <w:r>
        <w:t>.</w:t>
      </w:r>
    </w:p>
  </w:footnote>
  <w:footnote w:id="9">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28671B7F">
    <w:pPr>
      <w:pStyle w:val="Header"/>
      <w:rPr>
        <w:b w:val="0"/>
      </w:rPr>
    </w:pPr>
    <w:r>
      <w:tab/>
      <w:t>Federal Communications Commission</w:t>
    </w:r>
    <w:r>
      <w:tab/>
    </w:r>
    <w:r w:rsidR="00E97187">
      <w:t xml:space="preserve">DA </w:t>
    </w:r>
    <w:r w:rsidR="00502F59">
      <w:t>2</w:t>
    </w:r>
    <w:r w:rsidR="00625316">
      <w:t>3-229</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38A876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w:t>
    </w:r>
    <w:r w:rsidR="00625316">
      <w:rPr>
        <w:spacing w:val="-2"/>
      </w:rPr>
      <w:t>3</w:t>
    </w:r>
    <w:r w:rsidR="00502F59">
      <w:rPr>
        <w:spacing w:val="-2"/>
      </w:rPr>
      <w:t>-</w:t>
    </w:r>
    <w:r w:rsidR="00625316">
      <w:rPr>
        <w:spacing w:val="-2"/>
      </w:rPr>
      <w:t>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04A1"/>
    <w:rsid w:val="000143CF"/>
    <w:rsid w:val="00024DD6"/>
    <w:rsid w:val="000309C0"/>
    <w:rsid w:val="00031E32"/>
    <w:rsid w:val="00032441"/>
    <w:rsid w:val="00034324"/>
    <w:rsid w:val="00036039"/>
    <w:rsid w:val="0003658C"/>
    <w:rsid w:val="000376BF"/>
    <w:rsid w:val="00037F90"/>
    <w:rsid w:val="0005127D"/>
    <w:rsid w:val="00061E09"/>
    <w:rsid w:val="00064BDF"/>
    <w:rsid w:val="000658A4"/>
    <w:rsid w:val="000709BB"/>
    <w:rsid w:val="00072DD6"/>
    <w:rsid w:val="000875BF"/>
    <w:rsid w:val="00092AB5"/>
    <w:rsid w:val="00096D8C"/>
    <w:rsid w:val="000A5931"/>
    <w:rsid w:val="000A6D9A"/>
    <w:rsid w:val="000B6166"/>
    <w:rsid w:val="000C0B65"/>
    <w:rsid w:val="000C26D1"/>
    <w:rsid w:val="000C6457"/>
    <w:rsid w:val="000E05FE"/>
    <w:rsid w:val="000E3D42"/>
    <w:rsid w:val="000E3EFF"/>
    <w:rsid w:val="000F1C60"/>
    <w:rsid w:val="001023E8"/>
    <w:rsid w:val="001032F9"/>
    <w:rsid w:val="001129B6"/>
    <w:rsid w:val="00122BD5"/>
    <w:rsid w:val="00133F79"/>
    <w:rsid w:val="00146B1A"/>
    <w:rsid w:val="00150D37"/>
    <w:rsid w:val="0015218A"/>
    <w:rsid w:val="00154155"/>
    <w:rsid w:val="001542A1"/>
    <w:rsid w:val="0016452C"/>
    <w:rsid w:val="0017296B"/>
    <w:rsid w:val="00175593"/>
    <w:rsid w:val="00190580"/>
    <w:rsid w:val="0019432C"/>
    <w:rsid w:val="00194A66"/>
    <w:rsid w:val="001A0147"/>
    <w:rsid w:val="001A6147"/>
    <w:rsid w:val="001B10DB"/>
    <w:rsid w:val="001D4184"/>
    <w:rsid w:val="001D6BCF"/>
    <w:rsid w:val="001D75EF"/>
    <w:rsid w:val="001E0027"/>
    <w:rsid w:val="001E01CA"/>
    <w:rsid w:val="001E63D8"/>
    <w:rsid w:val="001F5E8F"/>
    <w:rsid w:val="002004C8"/>
    <w:rsid w:val="00206D86"/>
    <w:rsid w:val="002159C2"/>
    <w:rsid w:val="002566E5"/>
    <w:rsid w:val="00275CF5"/>
    <w:rsid w:val="0028301F"/>
    <w:rsid w:val="00285017"/>
    <w:rsid w:val="0028616B"/>
    <w:rsid w:val="00291754"/>
    <w:rsid w:val="002A1087"/>
    <w:rsid w:val="002A2D2E"/>
    <w:rsid w:val="002A5DE4"/>
    <w:rsid w:val="002A79DD"/>
    <w:rsid w:val="002C00E8"/>
    <w:rsid w:val="002C607F"/>
    <w:rsid w:val="002D4695"/>
    <w:rsid w:val="002F6E16"/>
    <w:rsid w:val="0031731D"/>
    <w:rsid w:val="003261EE"/>
    <w:rsid w:val="0033517A"/>
    <w:rsid w:val="0033610A"/>
    <w:rsid w:val="00343749"/>
    <w:rsid w:val="00351C35"/>
    <w:rsid w:val="003630D0"/>
    <w:rsid w:val="003660ED"/>
    <w:rsid w:val="00367B19"/>
    <w:rsid w:val="00381DCA"/>
    <w:rsid w:val="003A00AA"/>
    <w:rsid w:val="003A688B"/>
    <w:rsid w:val="003B0550"/>
    <w:rsid w:val="003B2DD1"/>
    <w:rsid w:val="003B694F"/>
    <w:rsid w:val="003C109A"/>
    <w:rsid w:val="003C639A"/>
    <w:rsid w:val="003C78ED"/>
    <w:rsid w:val="003F171C"/>
    <w:rsid w:val="00400001"/>
    <w:rsid w:val="0040157D"/>
    <w:rsid w:val="0040460E"/>
    <w:rsid w:val="00412FC5"/>
    <w:rsid w:val="00422276"/>
    <w:rsid w:val="004242F1"/>
    <w:rsid w:val="00424EA6"/>
    <w:rsid w:val="00432B47"/>
    <w:rsid w:val="00436645"/>
    <w:rsid w:val="00445352"/>
    <w:rsid w:val="00445A00"/>
    <w:rsid w:val="00451B0F"/>
    <w:rsid w:val="004559DF"/>
    <w:rsid w:val="004718FA"/>
    <w:rsid w:val="00471E93"/>
    <w:rsid w:val="00472840"/>
    <w:rsid w:val="00480BA5"/>
    <w:rsid w:val="00494BBF"/>
    <w:rsid w:val="004A3058"/>
    <w:rsid w:val="004A57F0"/>
    <w:rsid w:val="004A63F5"/>
    <w:rsid w:val="004C2EE3"/>
    <w:rsid w:val="004C5A89"/>
    <w:rsid w:val="004D4DB7"/>
    <w:rsid w:val="004E4A22"/>
    <w:rsid w:val="004E5DF2"/>
    <w:rsid w:val="004E716F"/>
    <w:rsid w:val="004F0BC4"/>
    <w:rsid w:val="004F5127"/>
    <w:rsid w:val="00502F59"/>
    <w:rsid w:val="005077A3"/>
    <w:rsid w:val="00511968"/>
    <w:rsid w:val="00511E8C"/>
    <w:rsid w:val="00516A3F"/>
    <w:rsid w:val="0055614C"/>
    <w:rsid w:val="00566D06"/>
    <w:rsid w:val="00586AF3"/>
    <w:rsid w:val="00590F45"/>
    <w:rsid w:val="005A3852"/>
    <w:rsid w:val="005A519E"/>
    <w:rsid w:val="005E0314"/>
    <w:rsid w:val="005E14C2"/>
    <w:rsid w:val="005E1A37"/>
    <w:rsid w:val="005F2F3D"/>
    <w:rsid w:val="005F737D"/>
    <w:rsid w:val="00601070"/>
    <w:rsid w:val="00607BA5"/>
    <w:rsid w:val="0061180A"/>
    <w:rsid w:val="00616F89"/>
    <w:rsid w:val="006241E4"/>
    <w:rsid w:val="00625316"/>
    <w:rsid w:val="00625FAE"/>
    <w:rsid w:val="00626EB6"/>
    <w:rsid w:val="006345A5"/>
    <w:rsid w:val="0063745B"/>
    <w:rsid w:val="006409B6"/>
    <w:rsid w:val="00655D03"/>
    <w:rsid w:val="006631F8"/>
    <w:rsid w:val="00665E6B"/>
    <w:rsid w:val="0067154C"/>
    <w:rsid w:val="006777C5"/>
    <w:rsid w:val="00683388"/>
    <w:rsid w:val="00683CEC"/>
    <w:rsid w:val="00683F84"/>
    <w:rsid w:val="006856D1"/>
    <w:rsid w:val="00691886"/>
    <w:rsid w:val="0069200D"/>
    <w:rsid w:val="006945ED"/>
    <w:rsid w:val="0069695A"/>
    <w:rsid w:val="006A6A81"/>
    <w:rsid w:val="006C43FD"/>
    <w:rsid w:val="006C717D"/>
    <w:rsid w:val="006D3720"/>
    <w:rsid w:val="006E0BDE"/>
    <w:rsid w:val="006E2ABD"/>
    <w:rsid w:val="006F0619"/>
    <w:rsid w:val="006F4D4C"/>
    <w:rsid w:val="006F7393"/>
    <w:rsid w:val="0070224F"/>
    <w:rsid w:val="007115F7"/>
    <w:rsid w:val="00711A32"/>
    <w:rsid w:val="0071598A"/>
    <w:rsid w:val="00716576"/>
    <w:rsid w:val="00734172"/>
    <w:rsid w:val="00742FEA"/>
    <w:rsid w:val="007469D2"/>
    <w:rsid w:val="00752E7E"/>
    <w:rsid w:val="00755FC5"/>
    <w:rsid w:val="00756C1E"/>
    <w:rsid w:val="0076002E"/>
    <w:rsid w:val="0076278F"/>
    <w:rsid w:val="00772675"/>
    <w:rsid w:val="00785689"/>
    <w:rsid w:val="007876AA"/>
    <w:rsid w:val="00792B09"/>
    <w:rsid w:val="0079754B"/>
    <w:rsid w:val="007A1E6D"/>
    <w:rsid w:val="007A7D14"/>
    <w:rsid w:val="007B0EB2"/>
    <w:rsid w:val="007C0E98"/>
    <w:rsid w:val="007C60E1"/>
    <w:rsid w:val="007D35F6"/>
    <w:rsid w:val="007E31D4"/>
    <w:rsid w:val="007F6ED0"/>
    <w:rsid w:val="00810B6F"/>
    <w:rsid w:val="00817335"/>
    <w:rsid w:val="00822CE0"/>
    <w:rsid w:val="00841AB1"/>
    <w:rsid w:val="008431F5"/>
    <w:rsid w:val="0085064B"/>
    <w:rsid w:val="008521B8"/>
    <w:rsid w:val="00852F57"/>
    <w:rsid w:val="008534B2"/>
    <w:rsid w:val="0085773E"/>
    <w:rsid w:val="00866173"/>
    <w:rsid w:val="00871A2D"/>
    <w:rsid w:val="00880D1D"/>
    <w:rsid w:val="00893C37"/>
    <w:rsid w:val="008A5210"/>
    <w:rsid w:val="008A5B1B"/>
    <w:rsid w:val="008A7F19"/>
    <w:rsid w:val="008B3E1E"/>
    <w:rsid w:val="008B4DE5"/>
    <w:rsid w:val="008B526C"/>
    <w:rsid w:val="008C68F1"/>
    <w:rsid w:val="008E5616"/>
    <w:rsid w:val="008F6B08"/>
    <w:rsid w:val="008F6DAD"/>
    <w:rsid w:val="008F6F47"/>
    <w:rsid w:val="009043D2"/>
    <w:rsid w:val="009064B6"/>
    <w:rsid w:val="009078BE"/>
    <w:rsid w:val="009148A4"/>
    <w:rsid w:val="00921803"/>
    <w:rsid w:val="00924BBC"/>
    <w:rsid w:val="00924D09"/>
    <w:rsid w:val="00926503"/>
    <w:rsid w:val="00936017"/>
    <w:rsid w:val="00941655"/>
    <w:rsid w:val="00952649"/>
    <w:rsid w:val="00953030"/>
    <w:rsid w:val="00953C94"/>
    <w:rsid w:val="009726D8"/>
    <w:rsid w:val="009803CE"/>
    <w:rsid w:val="009919F5"/>
    <w:rsid w:val="00996978"/>
    <w:rsid w:val="009A286F"/>
    <w:rsid w:val="009C0779"/>
    <w:rsid w:val="009D7308"/>
    <w:rsid w:val="009F76DB"/>
    <w:rsid w:val="009F7981"/>
    <w:rsid w:val="00A10BD0"/>
    <w:rsid w:val="00A17D36"/>
    <w:rsid w:val="00A2491E"/>
    <w:rsid w:val="00A26DFA"/>
    <w:rsid w:val="00A32C3B"/>
    <w:rsid w:val="00A369E2"/>
    <w:rsid w:val="00A45F4F"/>
    <w:rsid w:val="00A600A9"/>
    <w:rsid w:val="00A6058D"/>
    <w:rsid w:val="00A651AA"/>
    <w:rsid w:val="00A73AA9"/>
    <w:rsid w:val="00A755D3"/>
    <w:rsid w:val="00A85239"/>
    <w:rsid w:val="00AA55B7"/>
    <w:rsid w:val="00AA5B9E"/>
    <w:rsid w:val="00AB2407"/>
    <w:rsid w:val="00AB53DF"/>
    <w:rsid w:val="00AE01F6"/>
    <w:rsid w:val="00AE423E"/>
    <w:rsid w:val="00AE585E"/>
    <w:rsid w:val="00B07E5C"/>
    <w:rsid w:val="00B11296"/>
    <w:rsid w:val="00B2579A"/>
    <w:rsid w:val="00B36460"/>
    <w:rsid w:val="00B52836"/>
    <w:rsid w:val="00B66A30"/>
    <w:rsid w:val="00B701AF"/>
    <w:rsid w:val="00B7763C"/>
    <w:rsid w:val="00B811F7"/>
    <w:rsid w:val="00B92E3C"/>
    <w:rsid w:val="00BA5DC6"/>
    <w:rsid w:val="00BA6196"/>
    <w:rsid w:val="00BB297B"/>
    <w:rsid w:val="00BC0F09"/>
    <w:rsid w:val="00BC399E"/>
    <w:rsid w:val="00BC6D8C"/>
    <w:rsid w:val="00BD70E4"/>
    <w:rsid w:val="00BE6CEF"/>
    <w:rsid w:val="00BF0056"/>
    <w:rsid w:val="00BF0A68"/>
    <w:rsid w:val="00C1083B"/>
    <w:rsid w:val="00C12F3A"/>
    <w:rsid w:val="00C16C35"/>
    <w:rsid w:val="00C2185E"/>
    <w:rsid w:val="00C309BD"/>
    <w:rsid w:val="00C34006"/>
    <w:rsid w:val="00C34A62"/>
    <w:rsid w:val="00C36B4C"/>
    <w:rsid w:val="00C42076"/>
    <w:rsid w:val="00C426B1"/>
    <w:rsid w:val="00C43340"/>
    <w:rsid w:val="00C43C45"/>
    <w:rsid w:val="00C53046"/>
    <w:rsid w:val="00C61461"/>
    <w:rsid w:val="00C65811"/>
    <w:rsid w:val="00C66160"/>
    <w:rsid w:val="00C671B7"/>
    <w:rsid w:val="00C721AC"/>
    <w:rsid w:val="00C72A6A"/>
    <w:rsid w:val="00C738D7"/>
    <w:rsid w:val="00C802E6"/>
    <w:rsid w:val="00C85E24"/>
    <w:rsid w:val="00C869ED"/>
    <w:rsid w:val="00C87108"/>
    <w:rsid w:val="00C90D6A"/>
    <w:rsid w:val="00CA247E"/>
    <w:rsid w:val="00CA4457"/>
    <w:rsid w:val="00CA6563"/>
    <w:rsid w:val="00CA6D21"/>
    <w:rsid w:val="00CA77CA"/>
    <w:rsid w:val="00CC72B6"/>
    <w:rsid w:val="00CD1C31"/>
    <w:rsid w:val="00CE0F49"/>
    <w:rsid w:val="00CE17C0"/>
    <w:rsid w:val="00CE61A9"/>
    <w:rsid w:val="00CF3A61"/>
    <w:rsid w:val="00CF65F3"/>
    <w:rsid w:val="00D0218D"/>
    <w:rsid w:val="00D1004F"/>
    <w:rsid w:val="00D139C5"/>
    <w:rsid w:val="00D20FC5"/>
    <w:rsid w:val="00D21ECE"/>
    <w:rsid w:val="00D25FB5"/>
    <w:rsid w:val="00D3417F"/>
    <w:rsid w:val="00D4006E"/>
    <w:rsid w:val="00D44223"/>
    <w:rsid w:val="00D55227"/>
    <w:rsid w:val="00D56707"/>
    <w:rsid w:val="00D711F6"/>
    <w:rsid w:val="00D7252C"/>
    <w:rsid w:val="00D73E32"/>
    <w:rsid w:val="00D7585F"/>
    <w:rsid w:val="00D80309"/>
    <w:rsid w:val="00D84D96"/>
    <w:rsid w:val="00D867A7"/>
    <w:rsid w:val="00DA2529"/>
    <w:rsid w:val="00DA6018"/>
    <w:rsid w:val="00DB130A"/>
    <w:rsid w:val="00DB1F56"/>
    <w:rsid w:val="00DB2737"/>
    <w:rsid w:val="00DB2EBB"/>
    <w:rsid w:val="00DB6A95"/>
    <w:rsid w:val="00DC024A"/>
    <w:rsid w:val="00DC10A1"/>
    <w:rsid w:val="00DC28AB"/>
    <w:rsid w:val="00DC655F"/>
    <w:rsid w:val="00DC699B"/>
    <w:rsid w:val="00DD0B59"/>
    <w:rsid w:val="00DD2E71"/>
    <w:rsid w:val="00DD64D6"/>
    <w:rsid w:val="00DD7EBD"/>
    <w:rsid w:val="00DE27DE"/>
    <w:rsid w:val="00DE70C9"/>
    <w:rsid w:val="00DF62B6"/>
    <w:rsid w:val="00E0405C"/>
    <w:rsid w:val="00E07225"/>
    <w:rsid w:val="00E100BC"/>
    <w:rsid w:val="00E134B8"/>
    <w:rsid w:val="00E208EC"/>
    <w:rsid w:val="00E260F8"/>
    <w:rsid w:val="00E3141D"/>
    <w:rsid w:val="00E319DF"/>
    <w:rsid w:val="00E474AA"/>
    <w:rsid w:val="00E5409F"/>
    <w:rsid w:val="00E66F51"/>
    <w:rsid w:val="00E72DEF"/>
    <w:rsid w:val="00E80419"/>
    <w:rsid w:val="00E8079C"/>
    <w:rsid w:val="00E819AC"/>
    <w:rsid w:val="00E91504"/>
    <w:rsid w:val="00E9514A"/>
    <w:rsid w:val="00E97187"/>
    <w:rsid w:val="00EA0A8B"/>
    <w:rsid w:val="00EA0EAE"/>
    <w:rsid w:val="00EA58A2"/>
    <w:rsid w:val="00EB6D5F"/>
    <w:rsid w:val="00EC2856"/>
    <w:rsid w:val="00EC5F55"/>
    <w:rsid w:val="00EC6EEF"/>
    <w:rsid w:val="00ED663D"/>
    <w:rsid w:val="00EE0047"/>
    <w:rsid w:val="00EE6488"/>
    <w:rsid w:val="00EF48D8"/>
    <w:rsid w:val="00F021FA"/>
    <w:rsid w:val="00F0767B"/>
    <w:rsid w:val="00F23620"/>
    <w:rsid w:val="00F23FF8"/>
    <w:rsid w:val="00F372C7"/>
    <w:rsid w:val="00F41DC1"/>
    <w:rsid w:val="00F466AA"/>
    <w:rsid w:val="00F54626"/>
    <w:rsid w:val="00F61B15"/>
    <w:rsid w:val="00F62E97"/>
    <w:rsid w:val="00F64209"/>
    <w:rsid w:val="00F8143C"/>
    <w:rsid w:val="00F86933"/>
    <w:rsid w:val="00F9262B"/>
    <w:rsid w:val="00F93BF5"/>
    <w:rsid w:val="00FA07F6"/>
    <w:rsid w:val="00FA14EF"/>
    <w:rsid w:val="00FA4C43"/>
    <w:rsid w:val="00FB1EE4"/>
    <w:rsid w:val="00FB4302"/>
    <w:rsid w:val="00FC0606"/>
    <w:rsid w:val="00FC350D"/>
    <w:rsid w:val="00FD0E09"/>
    <w:rsid w:val="00FD221D"/>
    <w:rsid w:val="00FD3720"/>
    <w:rsid w:val="00FE7B78"/>
    <w:rsid w:val="00FF167F"/>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94"/>
    <w:pPr>
      <w:widowControl w:val="0"/>
    </w:pPr>
    <w:rPr>
      <w:snapToGrid w:val="0"/>
      <w:kern w:val="28"/>
      <w:sz w:val="22"/>
    </w:rPr>
  </w:style>
  <w:style w:type="paragraph" w:styleId="Heading1">
    <w:name w:val="heading 1"/>
    <w:basedOn w:val="Normal"/>
    <w:next w:val="ParaNum"/>
    <w:qFormat/>
    <w:rsid w:val="00953C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3C94"/>
    <w:pPr>
      <w:keepNext/>
      <w:numPr>
        <w:ilvl w:val="1"/>
        <w:numId w:val="3"/>
      </w:numPr>
      <w:spacing w:after="120"/>
      <w:outlineLvl w:val="1"/>
    </w:pPr>
    <w:rPr>
      <w:b/>
    </w:rPr>
  </w:style>
  <w:style w:type="paragraph" w:styleId="Heading3">
    <w:name w:val="heading 3"/>
    <w:basedOn w:val="Normal"/>
    <w:next w:val="ParaNum"/>
    <w:qFormat/>
    <w:rsid w:val="00953C94"/>
    <w:pPr>
      <w:keepNext/>
      <w:numPr>
        <w:ilvl w:val="2"/>
        <w:numId w:val="3"/>
      </w:numPr>
      <w:tabs>
        <w:tab w:val="left" w:pos="2160"/>
      </w:tabs>
      <w:spacing w:after="120"/>
      <w:outlineLvl w:val="2"/>
    </w:pPr>
    <w:rPr>
      <w:b/>
    </w:rPr>
  </w:style>
  <w:style w:type="paragraph" w:styleId="Heading4">
    <w:name w:val="heading 4"/>
    <w:basedOn w:val="Normal"/>
    <w:next w:val="ParaNum"/>
    <w:qFormat/>
    <w:rsid w:val="00953C94"/>
    <w:pPr>
      <w:keepNext/>
      <w:numPr>
        <w:ilvl w:val="3"/>
        <w:numId w:val="3"/>
      </w:numPr>
      <w:tabs>
        <w:tab w:val="left" w:pos="2880"/>
      </w:tabs>
      <w:spacing w:after="120"/>
      <w:outlineLvl w:val="3"/>
    </w:pPr>
    <w:rPr>
      <w:b/>
    </w:rPr>
  </w:style>
  <w:style w:type="paragraph" w:styleId="Heading5">
    <w:name w:val="heading 5"/>
    <w:basedOn w:val="Normal"/>
    <w:next w:val="ParaNum"/>
    <w:qFormat/>
    <w:rsid w:val="00953C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3C94"/>
    <w:pPr>
      <w:numPr>
        <w:ilvl w:val="5"/>
        <w:numId w:val="3"/>
      </w:numPr>
      <w:tabs>
        <w:tab w:val="left" w:pos="4320"/>
      </w:tabs>
      <w:spacing w:after="120"/>
      <w:outlineLvl w:val="5"/>
    </w:pPr>
    <w:rPr>
      <w:b/>
    </w:rPr>
  </w:style>
  <w:style w:type="paragraph" w:styleId="Heading7">
    <w:name w:val="heading 7"/>
    <w:basedOn w:val="Normal"/>
    <w:next w:val="ParaNum"/>
    <w:qFormat/>
    <w:rsid w:val="00953C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3C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3C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3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C94"/>
  </w:style>
  <w:style w:type="paragraph" w:customStyle="1" w:styleId="ParaNum">
    <w:name w:val="ParaNum"/>
    <w:basedOn w:val="Normal"/>
    <w:link w:val="ParaNumChar1"/>
    <w:rsid w:val="00953C94"/>
    <w:pPr>
      <w:numPr>
        <w:numId w:val="2"/>
      </w:numPr>
      <w:tabs>
        <w:tab w:val="clear" w:pos="1080"/>
        <w:tab w:val="num" w:pos="1440"/>
      </w:tabs>
      <w:spacing w:after="120"/>
    </w:pPr>
  </w:style>
  <w:style w:type="paragraph" w:styleId="EndnoteText">
    <w:name w:val="endnote text"/>
    <w:basedOn w:val="Normal"/>
    <w:semiHidden/>
    <w:rsid w:val="00953C94"/>
    <w:rPr>
      <w:sz w:val="20"/>
    </w:rPr>
  </w:style>
  <w:style w:type="character" w:styleId="EndnoteReference">
    <w:name w:val="endnote reference"/>
    <w:semiHidden/>
    <w:rsid w:val="00953C9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953C9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53C94"/>
    <w:rPr>
      <w:rFonts w:ascii="Times New Roman" w:hAnsi="Times New Roman"/>
      <w:dstrike w:val="0"/>
      <w:color w:val="auto"/>
      <w:sz w:val="20"/>
      <w:vertAlign w:val="superscript"/>
    </w:rPr>
  </w:style>
  <w:style w:type="paragraph" w:styleId="TOC1">
    <w:name w:val="toc 1"/>
    <w:basedOn w:val="Normal"/>
    <w:next w:val="Normal"/>
    <w:semiHidden/>
    <w:rsid w:val="00953C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3C94"/>
    <w:pPr>
      <w:tabs>
        <w:tab w:val="left" w:pos="720"/>
        <w:tab w:val="right" w:leader="dot" w:pos="9360"/>
      </w:tabs>
      <w:suppressAutoHyphens/>
      <w:ind w:left="720" w:right="720" w:hanging="360"/>
    </w:pPr>
    <w:rPr>
      <w:noProof/>
    </w:rPr>
  </w:style>
  <w:style w:type="paragraph" w:styleId="TOC3">
    <w:name w:val="toc 3"/>
    <w:basedOn w:val="Normal"/>
    <w:next w:val="Normal"/>
    <w:semiHidden/>
    <w:rsid w:val="00953C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3C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3C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3C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3C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3C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3C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3C94"/>
    <w:pPr>
      <w:tabs>
        <w:tab w:val="right" w:pos="9360"/>
      </w:tabs>
      <w:suppressAutoHyphens/>
    </w:pPr>
  </w:style>
  <w:style w:type="character" w:customStyle="1" w:styleId="EquationCaption">
    <w:name w:val="_Equation Caption"/>
    <w:rsid w:val="00953C94"/>
  </w:style>
  <w:style w:type="paragraph" w:styleId="Header">
    <w:name w:val="header"/>
    <w:basedOn w:val="Normal"/>
    <w:autoRedefine/>
    <w:rsid w:val="00953C94"/>
    <w:pPr>
      <w:tabs>
        <w:tab w:val="center" w:pos="4680"/>
        <w:tab w:val="right" w:pos="9360"/>
      </w:tabs>
    </w:pPr>
    <w:rPr>
      <w:b/>
    </w:rPr>
  </w:style>
  <w:style w:type="paragraph" w:styleId="Footer">
    <w:name w:val="footer"/>
    <w:basedOn w:val="Normal"/>
    <w:link w:val="FooterChar"/>
    <w:uiPriority w:val="99"/>
    <w:rsid w:val="00953C94"/>
    <w:pPr>
      <w:tabs>
        <w:tab w:val="center" w:pos="4320"/>
        <w:tab w:val="right" w:pos="8640"/>
      </w:tabs>
    </w:pPr>
  </w:style>
  <w:style w:type="character" w:styleId="PageNumber">
    <w:name w:val="page number"/>
    <w:basedOn w:val="DefaultParagraphFont"/>
    <w:rsid w:val="00953C94"/>
  </w:style>
  <w:style w:type="paragraph" w:styleId="BlockText">
    <w:name w:val="Block Text"/>
    <w:basedOn w:val="Normal"/>
    <w:rsid w:val="00953C94"/>
    <w:pPr>
      <w:spacing w:after="240"/>
      <w:ind w:left="1440" w:right="1440"/>
    </w:pPr>
  </w:style>
  <w:style w:type="paragraph" w:customStyle="1" w:styleId="Paratitle">
    <w:name w:val="Para title"/>
    <w:basedOn w:val="Normal"/>
    <w:rsid w:val="00953C94"/>
    <w:pPr>
      <w:tabs>
        <w:tab w:val="center" w:pos="9270"/>
      </w:tabs>
      <w:spacing w:after="240"/>
    </w:pPr>
    <w:rPr>
      <w:spacing w:val="-2"/>
    </w:rPr>
  </w:style>
  <w:style w:type="paragraph" w:customStyle="1" w:styleId="Bullet">
    <w:name w:val="Bullet"/>
    <w:basedOn w:val="Normal"/>
    <w:rsid w:val="00953C94"/>
    <w:pPr>
      <w:tabs>
        <w:tab w:val="left" w:pos="2160"/>
      </w:tabs>
      <w:spacing w:after="220"/>
      <w:ind w:left="2160" w:hanging="720"/>
    </w:pPr>
  </w:style>
  <w:style w:type="paragraph" w:customStyle="1" w:styleId="TableFormat">
    <w:name w:val="TableFormat"/>
    <w:basedOn w:val="Bullet"/>
    <w:rsid w:val="00953C94"/>
    <w:pPr>
      <w:tabs>
        <w:tab w:val="clear" w:pos="2160"/>
        <w:tab w:val="left" w:pos="5040"/>
      </w:tabs>
      <w:ind w:left="5040" w:hanging="3600"/>
    </w:pPr>
  </w:style>
  <w:style w:type="paragraph" w:customStyle="1" w:styleId="TOCTitle">
    <w:name w:val="TOC Title"/>
    <w:basedOn w:val="Normal"/>
    <w:rsid w:val="00953C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3C94"/>
    <w:pPr>
      <w:jc w:val="center"/>
    </w:pPr>
    <w:rPr>
      <w:rFonts w:ascii="Times New Roman Bold" w:hAnsi="Times New Roman Bold"/>
      <w:b/>
      <w:bCs/>
      <w:caps/>
      <w:szCs w:val="22"/>
    </w:rPr>
  </w:style>
  <w:style w:type="character" w:styleId="Hyperlink">
    <w:name w:val="Hyperlink"/>
    <w:rsid w:val="00953C94"/>
    <w:rPr>
      <w:color w:val="0000FF"/>
      <w:u w:val="single"/>
    </w:rPr>
  </w:style>
  <w:style w:type="character" w:customStyle="1" w:styleId="FooterChar">
    <w:name w:val="Footer Char"/>
    <w:link w:val="Footer"/>
    <w:uiPriority w:val="99"/>
    <w:rsid w:val="00953C94"/>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924D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