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04CE3" w14:paraId="7B82ACB6" w14:textId="4BE3A098">
      <w:pPr>
        <w:rPr>
          <w:szCs w:val="22"/>
        </w:rPr>
      </w:pPr>
    </w:p>
    <w:p w:rsidR="00AD58A6" w:rsidP="00F3418D" w14:paraId="6D5B7F26" w14:textId="41A71FC3">
      <w:pPr>
        <w:jc w:val="right"/>
        <w:rPr>
          <w:szCs w:val="22"/>
        </w:rPr>
      </w:pPr>
      <w:r>
        <w:rPr>
          <w:szCs w:val="22"/>
        </w:rPr>
        <w:t xml:space="preserve">In Reply Refer to:  </w:t>
      </w:r>
    </w:p>
    <w:p w:rsidR="00F3418D" w:rsidP="00AD58A6" w14:paraId="7694C1F4" w14:textId="6ED059BE">
      <w:pPr>
        <w:ind w:left="7200"/>
        <w:rPr>
          <w:szCs w:val="22"/>
        </w:rPr>
      </w:pPr>
      <w:r>
        <w:rPr>
          <w:szCs w:val="22"/>
        </w:rPr>
        <w:t xml:space="preserve">          </w:t>
      </w:r>
      <w:r>
        <w:rPr>
          <w:szCs w:val="22"/>
        </w:rPr>
        <w:t>1800B3-TSN</w:t>
      </w:r>
    </w:p>
    <w:p w:rsidR="002F7F5E" w:rsidP="00AD58A6" w14:paraId="4A0FBCEB" w14:textId="58CF569E">
      <w:pPr>
        <w:ind w:left="7200"/>
        <w:rPr>
          <w:szCs w:val="22"/>
        </w:rPr>
      </w:pPr>
    </w:p>
    <w:p w:rsidR="002F7F5E" w:rsidRPr="00BB346A" w:rsidP="002F7F5E" w14:paraId="598B33E5" w14:textId="2CD89111">
      <w:pPr>
        <w:tabs>
          <w:tab w:val="left" w:pos="6480"/>
        </w:tabs>
        <w:ind w:firstLine="720"/>
        <w:rPr>
          <w:b/>
          <w:bCs/>
          <w:szCs w:val="22"/>
        </w:rPr>
      </w:pPr>
      <w:r>
        <w:rPr>
          <w:b/>
          <w:bCs/>
          <w:szCs w:val="22"/>
        </w:rPr>
        <w:tab/>
        <w:t xml:space="preserve">    </w:t>
      </w:r>
      <w:r w:rsidRPr="00BB346A">
        <w:rPr>
          <w:b/>
          <w:bCs/>
          <w:szCs w:val="22"/>
        </w:rPr>
        <w:t xml:space="preserve">DA </w:t>
      </w:r>
      <w:r w:rsidR="002C357B">
        <w:rPr>
          <w:b/>
          <w:bCs/>
          <w:szCs w:val="22"/>
        </w:rPr>
        <w:t>23</w:t>
      </w:r>
      <w:r w:rsidRPr="00BB346A">
        <w:rPr>
          <w:b/>
          <w:bCs/>
          <w:szCs w:val="22"/>
        </w:rPr>
        <w:t>-</w:t>
      </w:r>
      <w:r w:rsidR="00CE720C">
        <w:rPr>
          <w:b/>
          <w:bCs/>
          <w:szCs w:val="22"/>
        </w:rPr>
        <w:t>231</w:t>
      </w:r>
    </w:p>
    <w:p w:rsidR="002F7F5E" w:rsidRPr="00BB346A" w:rsidP="002F7F5E" w14:paraId="4C52ABD0" w14:textId="7460BA57">
      <w:pPr>
        <w:tabs>
          <w:tab w:val="left" w:pos="6480"/>
        </w:tabs>
        <w:ind w:firstLine="720"/>
        <w:rPr>
          <w:szCs w:val="22"/>
        </w:rPr>
      </w:pPr>
      <w:r w:rsidRPr="00BB346A">
        <w:rPr>
          <w:szCs w:val="22"/>
        </w:rPr>
        <w:tab/>
      </w:r>
      <w:r>
        <w:rPr>
          <w:szCs w:val="22"/>
        </w:rPr>
        <w:t xml:space="preserve">    </w:t>
      </w:r>
      <w:r w:rsidRPr="00BB346A">
        <w:rPr>
          <w:szCs w:val="22"/>
        </w:rPr>
        <w:t xml:space="preserve">Released:  </w:t>
      </w:r>
      <w:r w:rsidR="002C357B">
        <w:rPr>
          <w:szCs w:val="22"/>
        </w:rPr>
        <w:t xml:space="preserve">March </w:t>
      </w:r>
      <w:r w:rsidR="00772114">
        <w:rPr>
          <w:szCs w:val="22"/>
        </w:rPr>
        <w:t>17</w:t>
      </w:r>
      <w:r w:rsidRPr="00BB346A">
        <w:rPr>
          <w:szCs w:val="22"/>
        </w:rPr>
        <w:t>, 202</w:t>
      </w:r>
      <w:r w:rsidR="002C357B">
        <w:rPr>
          <w:szCs w:val="22"/>
        </w:rPr>
        <w:t>3</w:t>
      </w:r>
    </w:p>
    <w:p w:rsidR="002F7F5E" w:rsidRPr="00826CB1" w:rsidP="002F7F5E" w14:paraId="1A961951" w14:textId="77777777">
      <w:pPr>
        <w:tabs>
          <w:tab w:val="left" w:pos="6480"/>
        </w:tabs>
        <w:ind w:firstLine="720"/>
        <w:rPr>
          <w:szCs w:val="22"/>
        </w:rPr>
      </w:pPr>
      <w:r w:rsidRPr="001330FC">
        <w:tab/>
      </w:r>
    </w:p>
    <w:p w:rsidR="002F7F5E" w:rsidRPr="00BF6E82" w:rsidP="002F7F5E" w14:paraId="0B55E83C" w14:textId="77777777">
      <w:pPr>
        <w:tabs>
          <w:tab w:val="left" w:pos="6480"/>
        </w:tabs>
        <w:rPr>
          <w:b/>
          <w:u w:val="single"/>
        </w:rPr>
      </w:pPr>
    </w:p>
    <w:p w:rsidR="002F7F5E" w:rsidP="002F7F5E" w14:paraId="79BAF4EC" w14:textId="77777777">
      <w:pPr>
        <w:tabs>
          <w:tab w:val="left" w:pos="0"/>
        </w:tabs>
        <w:suppressAutoHyphens/>
        <w:ind w:left="5040" w:hanging="5040"/>
        <w:rPr>
          <w:szCs w:val="22"/>
        </w:rPr>
      </w:pPr>
      <w:r>
        <w:rPr>
          <w:szCs w:val="22"/>
        </w:rPr>
        <w:t>William Johnson, Managing Member</w:t>
      </w:r>
    </w:p>
    <w:p w:rsidR="002F7F5E" w:rsidP="002F7F5E" w14:paraId="14530B9B" w14:textId="77777777">
      <w:pPr>
        <w:tabs>
          <w:tab w:val="left" w:pos="0"/>
        </w:tabs>
        <w:suppressAutoHyphens/>
        <w:ind w:left="5040" w:hanging="5040"/>
        <w:rPr>
          <w:szCs w:val="22"/>
        </w:rPr>
      </w:pPr>
      <w:r>
        <w:rPr>
          <w:szCs w:val="22"/>
        </w:rPr>
        <w:t>Urban One Broadcasting Network, LLC</w:t>
      </w:r>
    </w:p>
    <w:p w:rsidR="002F7F5E" w:rsidP="002F7F5E" w14:paraId="50F0F52D" w14:textId="77777777">
      <w:pPr>
        <w:tabs>
          <w:tab w:val="left" w:pos="0"/>
        </w:tabs>
        <w:suppressAutoHyphens/>
        <w:ind w:left="5040" w:hanging="5040"/>
        <w:rPr>
          <w:szCs w:val="22"/>
        </w:rPr>
      </w:pPr>
      <w:r>
        <w:rPr>
          <w:szCs w:val="22"/>
        </w:rPr>
        <w:t>414 SW 140</w:t>
      </w:r>
      <w:r>
        <w:rPr>
          <w:szCs w:val="22"/>
          <w:vertAlign w:val="superscript"/>
        </w:rPr>
        <w:t>th</w:t>
      </w:r>
      <w:r>
        <w:rPr>
          <w:szCs w:val="22"/>
        </w:rPr>
        <w:t xml:space="preserve"> Terrace, Suite 120</w:t>
      </w:r>
    </w:p>
    <w:p w:rsidR="002F7F5E" w:rsidP="002F7F5E" w14:paraId="46FA9E35" w14:textId="1B264D47">
      <w:pPr>
        <w:tabs>
          <w:tab w:val="left" w:pos="0"/>
        </w:tabs>
        <w:suppressAutoHyphens/>
        <w:ind w:left="5040" w:hanging="5040"/>
        <w:rPr>
          <w:szCs w:val="22"/>
        </w:rPr>
      </w:pPr>
      <w:r>
        <w:rPr>
          <w:szCs w:val="22"/>
        </w:rPr>
        <w:t xml:space="preserve">Newberry, FL </w:t>
      </w:r>
      <w:r w:rsidR="0053057F">
        <w:rPr>
          <w:szCs w:val="22"/>
        </w:rPr>
        <w:t xml:space="preserve"> </w:t>
      </w:r>
      <w:r>
        <w:rPr>
          <w:szCs w:val="22"/>
        </w:rPr>
        <w:t>32669</w:t>
      </w:r>
    </w:p>
    <w:p w:rsidR="002F7F5E" w:rsidP="002F7F5E" w14:paraId="17942F73" w14:textId="77777777">
      <w:pPr>
        <w:tabs>
          <w:tab w:val="left" w:pos="0"/>
        </w:tabs>
        <w:suppressAutoHyphens/>
        <w:ind w:left="5040" w:hanging="5040"/>
        <w:rPr>
          <w:szCs w:val="22"/>
        </w:rPr>
      </w:pPr>
    </w:p>
    <w:p w:rsidR="002F7F5E" w:rsidRPr="00D76F8A" w:rsidP="002F7F5E" w14:paraId="2AECFA3D" w14:textId="77777777">
      <w:pPr>
        <w:rPr>
          <w:szCs w:val="22"/>
        </w:rPr>
      </w:pPr>
    </w:p>
    <w:p w:rsidR="002F7F5E" w:rsidP="002F7F5E" w14:paraId="6048B71F" w14:textId="77777777">
      <w:pPr>
        <w:tabs>
          <w:tab w:val="left" w:pos="0"/>
          <w:tab w:val="left" w:pos="3600"/>
          <w:tab w:val="left" w:pos="3870"/>
          <w:tab w:val="left" w:pos="4500"/>
          <w:tab w:val="left" w:pos="4590"/>
        </w:tabs>
        <w:suppressAutoHyphens/>
        <w:ind w:left="5040" w:hanging="5040"/>
        <w:rPr>
          <w:b/>
          <w:szCs w:val="22"/>
        </w:rPr>
      </w:pPr>
      <w:r w:rsidRPr="00D76F8A">
        <w:rPr>
          <w:szCs w:val="22"/>
        </w:rPr>
        <w:t xml:space="preserve">                                                                   </w:t>
      </w:r>
      <w:r w:rsidRPr="00D76F8A">
        <w:rPr>
          <w:szCs w:val="22"/>
        </w:rPr>
        <w:tab/>
      </w:r>
      <w:r>
        <w:rPr>
          <w:szCs w:val="22"/>
        </w:rPr>
        <w:tab/>
      </w:r>
      <w:r w:rsidRPr="00D76F8A">
        <w:rPr>
          <w:b/>
          <w:szCs w:val="22"/>
        </w:rPr>
        <w:t xml:space="preserve">In re:  </w:t>
      </w:r>
      <w:r w:rsidRPr="00D76F8A">
        <w:rPr>
          <w:b/>
          <w:szCs w:val="22"/>
        </w:rPr>
        <w:tab/>
      </w:r>
      <w:r>
        <w:rPr>
          <w:b/>
          <w:szCs w:val="22"/>
        </w:rPr>
        <w:t>DWURB(FM), Cross City, FL</w:t>
      </w:r>
    </w:p>
    <w:p w:rsidR="002F7F5E" w:rsidP="002F7F5E" w14:paraId="60A60C9B" w14:textId="77777777">
      <w:pPr>
        <w:tabs>
          <w:tab w:val="left" w:pos="0"/>
          <w:tab w:val="left" w:pos="3870"/>
          <w:tab w:val="left" w:pos="4500"/>
          <w:tab w:val="left" w:pos="5310"/>
        </w:tabs>
        <w:suppressAutoHyphens/>
        <w:ind w:left="5040" w:hanging="5040"/>
        <w:rPr>
          <w:szCs w:val="22"/>
        </w:rPr>
      </w:pPr>
      <w:r>
        <w:rPr>
          <w:b/>
          <w:szCs w:val="22"/>
        </w:rPr>
        <w:tab/>
      </w:r>
      <w:r>
        <w:rPr>
          <w:b/>
          <w:szCs w:val="22"/>
        </w:rPr>
        <w:tab/>
      </w:r>
      <w:r>
        <w:rPr>
          <w:b/>
          <w:szCs w:val="22"/>
        </w:rPr>
        <w:tab/>
      </w:r>
      <w:r>
        <w:rPr>
          <w:b/>
          <w:szCs w:val="22"/>
        </w:rPr>
        <w:tab/>
      </w:r>
      <w:r>
        <w:rPr>
          <w:b/>
          <w:szCs w:val="22"/>
        </w:rPr>
        <w:tab/>
      </w:r>
      <w:r>
        <w:rPr>
          <w:szCs w:val="22"/>
        </w:rPr>
        <w:t>Facility ID No. 189555</w:t>
      </w:r>
    </w:p>
    <w:p w:rsidR="002F7F5E" w:rsidP="002F7F5E" w14:paraId="5D3E892C" w14:textId="77777777">
      <w:pPr>
        <w:tabs>
          <w:tab w:val="left" w:pos="0"/>
          <w:tab w:val="left" w:pos="3870"/>
          <w:tab w:val="left" w:pos="4500"/>
          <w:tab w:val="left" w:pos="4590"/>
        </w:tabs>
        <w:suppressAutoHyphens/>
        <w:ind w:left="5040" w:hanging="5040"/>
        <w:rPr>
          <w:szCs w:val="22"/>
        </w:rPr>
      </w:pPr>
      <w:r>
        <w:rPr>
          <w:szCs w:val="22"/>
        </w:rPr>
        <w:tab/>
      </w:r>
      <w:r>
        <w:rPr>
          <w:szCs w:val="22"/>
        </w:rPr>
        <w:tab/>
      </w:r>
      <w:r>
        <w:rPr>
          <w:szCs w:val="22"/>
        </w:rPr>
        <w:tab/>
      </w:r>
      <w:r>
        <w:rPr>
          <w:szCs w:val="22"/>
        </w:rPr>
        <w:tab/>
      </w:r>
      <w:r>
        <w:rPr>
          <w:szCs w:val="22"/>
        </w:rPr>
        <w:tab/>
        <w:t xml:space="preserve">File No.  BNPH-20110524AHQ            </w:t>
      </w:r>
      <w:r>
        <w:rPr>
          <w:szCs w:val="22"/>
        </w:rPr>
        <w:tab/>
      </w:r>
      <w:r>
        <w:rPr>
          <w:szCs w:val="22"/>
        </w:rPr>
        <w:tab/>
        <w:t xml:space="preserve">  </w:t>
      </w:r>
    </w:p>
    <w:p w:rsidR="002F7F5E" w:rsidP="002F7F5E" w14:paraId="43214848" w14:textId="15CE1583">
      <w:pPr>
        <w:tabs>
          <w:tab w:val="left" w:pos="4680"/>
          <w:tab w:val="left" w:pos="5040"/>
        </w:tabs>
        <w:rPr>
          <w:b/>
          <w:szCs w:val="22"/>
        </w:rPr>
      </w:pPr>
      <w:r>
        <w:rPr>
          <w:b/>
          <w:szCs w:val="22"/>
        </w:rPr>
        <w:tab/>
      </w:r>
      <w:r>
        <w:rPr>
          <w:b/>
          <w:szCs w:val="22"/>
        </w:rPr>
        <w:tab/>
      </w:r>
      <w:r>
        <w:rPr>
          <w:b/>
          <w:szCs w:val="22"/>
        </w:rPr>
        <w:tab/>
        <w:t xml:space="preserve">Petition for </w:t>
      </w:r>
      <w:r w:rsidR="00E22A4F">
        <w:rPr>
          <w:b/>
          <w:szCs w:val="22"/>
        </w:rPr>
        <w:t>Reconsideration</w:t>
      </w:r>
    </w:p>
    <w:p w:rsidR="002F7F5E" w:rsidP="002F7F5E" w14:paraId="253ABDAC" w14:textId="77777777">
      <w:pPr>
        <w:ind w:left="7200"/>
        <w:jc w:val="both"/>
        <w:rPr>
          <w:szCs w:val="22"/>
        </w:rPr>
      </w:pPr>
    </w:p>
    <w:p w:rsidR="00F3418D" w:rsidP="00F3418D" w14:paraId="01911FF8" w14:textId="37840C44">
      <w:pPr>
        <w:jc w:val="right"/>
        <w:rPr>
          <w:szCs w:val="22"/>
        </w:rPr>
      </w:pPr>
    </w:p>
    <w:p w:rsidR="00F57134" w:rsidP="00F3418D" w14:paraId="375CF54F" w14:textId="41251464">
      <w:pPr>
        <w:rPr>
          <w:szCs w:val="22"/>
        </w:rPr>
      </w:pPr>
      <w:r>
        <w:rPr>
          <w:szCs w:val="22"/>
        </w:rPr>
        <w:t xml:space="preserve">Dear Mr. </w:t>
      </w:r>
      <w:r w:rsidR="002F7F5E">
        <w:rPr>
          <w:szCs w:val="22"/>
        </w:rPr>
        <w:t>Johnson</w:t>
      </w:r>
      <w:r>
        <w:rPr>
          <w:szCs w:val="22"/>
        </w:rPr>
        <w:t>:</w:t>
      </w:r>
    </w:p>
    <w:p w:rsidR="00DB553A" w:rsidP="00DB553A" w14:paraId="0A725449" w14:textId="0432AC45">
      <w:pPr>
        <w:pStyle w:val="Default"/>
      </w:pPr>
    </w:p>
    <w:p w:rsidR="00DB553A" w:rsidP="00DB553A" w14:paraId="5F183601" w14:textId="2AA0ABEA">
      <w:pPr>
        <w:pStyle w:val="Default"/>
        <w:ind w:firstLine="720"/>
        <w:rPr>
          <w:sz w:val="22"/>
          <w:szCs w:val="22"/>
        </w:rPr>
      </w:pPr>
      <w:r>
        <w:rPr>
          <w:sz w:val="22"/>
          <w:szCs w:val="22"/>
        </w:rPr>
        <w:t xml:space="preserve">We have before us a Petition for Reconsideration (Petition) filed by Urban One Broadcasting Network, LLC (Urban One), on </w:t>
      </w:r>
      <w:r w:rsidR="006754D4">
        <w:rPr>
          <w:sz w:val="22"/>
          <w:szCs w:val="22"/>
        </w:rPr>
        <w:t>January 14, 2022</w:t>
      </w:r>
      <w:r>
        <w:rPr>
          <w:sz w:val="22"/>
          <w:szCs w:val="22"/>
        </w:rPr>
        <w:t xml:space="preserve">.  In the Petition, Urban One seeks </w:t>
      </w:r>
      <w:r w:rsidR="006754D4">
        <w:rPr>
          <w:sz w:val="22"/>
          <w:szCs w:val="22"/>
        </w:rPr>
        <w:t xml:space="preserve">reconsideration of the Media Bureau’s (Bureau) letter decision denying its </w:t>
      </w:r>
      <w:r w:rsidR="00730398">
        <w:rPr>
          <w:sz w:val="22"/>
          <w:szCs w:val="22"/>
        </w:rPr>
        <w:t xml:space="preserve">June 17, 2021, </w:t>
      </w:r>
      <w:r w:rsidR="006754D4">
        <w:rPr>
          <w:sz w:val="22"/>
          <w:szCs w:val="22"/>
        </w:rPr>
        <w:t>Petition for Declaratory Ruling.</w:t>
      </w:r>
      <w:r>
        <w:rPr>
          <w:rStyle w:val="FootnoteReference"/>
          <w:sz w:val="22"/>
          <w:szCs w:val="22"/>
        </w:rPr>
        <w:footnoteReference w:id="2"/>
      </w:r>
      <w:r w:rsidR="006754D4">
        <w:rPr>
          <w:sz w:val="22"/>
          <w:szCs w:val="22"/>
        </w:rPr>
        <w:t xml:space="preserve">  </w:t>
      </w:r>
      <w:r w:rsidR="008712E8">
        <w:rPr>
          <w:sz w:val="22"/>
          <w:szCs w:val="22"/>
        </w:rPr>
        <w:t xml:space="preserve">In the Petition for Declaratory Ruling </w:t>
      </w:r>
      <w:r w:rsidR="00730398">
        <w:rPr>
          <w:sz w:val="22"/>
          <w:szCs w:val="22"/>
        </w:rPr>
        <w:t xml:space="preserve">Urban One sought </w:t>
      </w:r>
      <w:r>
        <w:rPr>
          <w:sz w:val="22"/>
          <w:szCs w:val="22"/>
        </w:rPr>
        <w:t xml:space="preserve">to amend its December 13, 2016, “Petition for Reinstatement of Construction Permit,” </w:t>
      </w:r>
      <w:r w:rsidR="00D8173B">
        <w:rPr>
          <w:sz w:val="22"/>
          <w:szCs w:val="22"/>
        </w:rPr>
        <w:t xml:space="preserve">in </w:t>
      </w:r>
      <w:r w:rsidR="00550EF3">
        <w:rPr>
          <w:sz w:val="22"/>
          <w:szCs w:val="22"/>
        </w:rPr>
        <w:t xml:space="preserve">which </w:t>
      </w:r>
      <w:r w:rsidR="00D8173B">
        <w:rPr>
          <w:sz w:val="22"/>
          <w:szCs w:val="22"/>
        </w:rPr>
        <w:t>Urban One requested</w:t>
      </w:r>
      <w:r>
        <w:rPr>
          <w:sz w:val="22"/>
          <w:szCs w:val="22"/>
        </w:rPr>
        <w:t xml:space="preserve"> reinstate</w:t>
      </w:r>
      <w:r w:rsidR="00D8173B">
        <w:rPr>
          <w:sz w:val="22"/>
          <w:szCs w:val="22"/>
        </w:rPr>
        <w:t>ment of</w:t>
      </w:r>
      <w:r>
        <w:rPr>
          <w:sz w:val="22"/>
          <w:szCs w:val="22"/>
        </w:rPr>
        <w:t xml:space="preserve"> </w:t>
      </w:r>
      <w:r w:rsidR="00D8173B">
        <w:rPr>
          <w:sz w:val="22"/>
          <w:szCs w:val="22"/>
        </w:rPr>
        <w:t>its</w:t>
      </w:r>
      <w:r>
        <w:rPr>
          <w:sz w:val="22"/>
          <w:szCs w:val="22"/>
        </w:rPr>
        <w:t xml:space="preserve"> forfeited permit to construct an FM radio station at Cross City, Florida</w:t>
      </w:r>
      <w:r w:rsidR="00510653">
        <w:rPr>
          <w:sz w:val="22"/>
          <w:szCs w:val="22"/>
        </w:rPr>
        <w:t xml:space="preserve"> (Station)</w:t>
      </w:r>
      <w:r>
        <w:rPr>
          <w:sz w:val="22"/>
          <w:szCs w:val="22"/>
        </w:rPr>
        <w:t xml:space="preserve"> and to grant an 18-month construction period</w:t>
      </w:r>
      <w:r w:rsidR="00550EF3">
        <w:rPr>
          <w:sz w:val="22"/>
          <w:szCs w:val="22"/>
        </w:rPr>
        <w:t xml:space="preserve">.  </w:t>
      </w:r>
      <w:r w:rsidR="00D8173B">
        <w:rPr>
          <w:sz w:val="22"/>
          <w:szCs w:val="22"/>
        </w:rPr>
        <w:t>Urban One further</w:t>
      </w:r>
      <w:r w:rsidR="00550EF3">
        <w:rPr>
          <w:sz w:val="22"/>
          <w:szCs w:val="22"/>
        </w:rPr>
        <w:t xml:space="preserve"> </w:t>
      </w:r>
      <w:r w:rsidR="002C5B71">
        <w:rPr>
          <w:sz w:val="22"/>
          <w:szCs w:val="22"/>
        </w:rPr>
        <w:t xml:space="preserve">sought </w:t>
      </w:r>
      <w:r w:rsidR="00730398">
        <w:rPr>
          <w:sz w:val="22"/>
          <w:szCs w:val="22"/>
        </w:rPr>
        <w:t>to remove</w:t>
      </w:r>
      <w:r w:rsidR="002C5B71">
        <w:rPr>
          <w:sz w:val="22"/>
          <w:szCs w:val="22"/>
        </w:rPr>
        <w:t xml:space="preserve"> from the Auction 109 inventory</w:t>
      </w:r>
      <w:r>
        <w:rPr>
          <w:sz w:val="22"/>
          <w:szCs w:val="22"/>
        </w:rPr>
        <w:t xml:space="preserve"> the allotment for Channel 249C3 at Cross City, Florida, which </w:t>
      </w:r>
      <w:r w:rsidR="000B2EE3">
        <w:rPr>
          <w:sz w:val="22"/>
          <w:szCs w:val="22"/>
        </w:rPr>
        <w:t xml:space="preserve">was </w:t>
      </w:r>
      <w:r>
        <w:rPr>
          <w:sz w:val="22"/>
          <w:szCs w:val="22"/>
        </w:rPr>
        <w:t xml:space="preserve">previously </w:t>
      </w:r>
      <w:r w:rsidR="000B2EE3">
        <w:rPr>
          <w:sz w:val="22"/>
          <w:szCs w:val="22"/>
        </w:rPr>
        <w:t>assigned to</w:t>
      </w:r>
      <w:r>
        <w:rPr>
          <w:sz w:val="22"/>
          <w:szCs w:val="22"/>
        </w:rPr>
        <w:t xml:space="preserve"> Urban One’s now-forfeited construction permit.  We </w:t>
      </w:r>
      <w:r w:rsidR="00BC5EA9">
        <w:rPr>
          <w:sz w:val="22"/>
          <w:szCs w:val="22"/>
        </w:rPr>
        <w:t xml:space="preserve">dismiss and, in the alternative, </w:t>
      </w:r>
      <w:r>
        <w:rPr>
          <w:sz w:val="22"/>
          <w:szCs w:val="22"/>
        </w:rPr>
        <w:t>deny the Petition.</w:t>
      </w:r>
      <w:r>
        <w:rPr>
          <w:sz w:val="22"/>
          <w:szCs w:val="22"/>
        </w:rPr>
        <w:t xml:space="preserve"> </w:t>
      </w:r>
    </w:p>
    <w:p w:rsidR="00DB553A" w:rsidP="00DB553A" w14:paraId="04780903" w14:textId="77777777">
      <w:pPr>
        <w:pStyle w:val="Default"/>
        <w:ind w:firstLine="720"/>
        <w:rPr>
          <w:sz w:val="22"/>
          <w:szCs w:val="22"/>
        </w:rPr>
      </w:pPr>
    </w:p>
    <w:p w:rsidR="007C7596" w:rsidRPr="00D8173B" w:rsidP="00D8173B" w14:paraId="2DFAEE25" w14:textId="54995549">
      <w:pPr>
        <w:ind w:firstLine="720"/>
        <w:rPr>
          <w:bCs/>
          <w:color w:val="000000"/>
          <w:szCs w:val="22"/>
        </w:rPr>
      </w:pPr>
      <w:r>
        <w:rPr>
          <w:b/>
          <w:color w:val="000000"/>
          <w:szCs w:val="22"/>
        </w:rPr>
        <w:t>Background.</w:t>
      </w:r>
      <w:r>
        <w:rPr>
          <w:rStyle w:val="FootnoteReference"/>
          <w:bCs/>
          <w:color w:val="000000"/>
          <w:szCs w:val="22"/>
        </w:rPr>
        <w:footnoteReference w:id="3"/>
      </w:r>
      <w:r w:rsidR="00D8173B">
        <w:rPr>
          <w:bCs/>
          <w:color w:val="000000"/>
          <w:szCs w:val="22"/>
        </w:rPr>
        <w:t xml:space="preserve">  </w:t>
      </w:r>
      <w:r w:rsidR="00D71A66">
        <w:rPr>
          <w:bCs/>
          <w:color w:val="000000"/>
          <w:szCs w:val="22"/>
        </w:rPr>
        <w:t>I</w:t>
      </w:r>
      <w:r>
        <w:rPr>
          <w:bCs/>
          <w:color w:val="000000"/>
          <w:szCs w:val="22"/>
        </w:rPr>
        <w:t>n 201</w:t>
      </w:r>
      <w:r w:rsidR="00EA059C">
        <w:rPr>
          <w:bCs/>
          <w:color w:val="000000"/>
          <w:szCs w:val="22"/>
        </w:rPr>
        <w:t>3</w:t>
      </w:r>
      <w:r>
        <w:rPr>
          <w:bCs/>
          <w:color w:val="000000"/>
          <w:szCs w:val="22"/>
        </w:rPr>
        <w:t xml:space="preserve"> Urban One acquired </w:t>
      </w:r>
      <w:r w:rsidR="00604E6D">
        <w:rPr>
          <w:bCs/>
          <w:color w:val="000000"/>
          <w:szCs w:val="22"/>
        </w:rPr>
        <w:t>the</w:t>
      </w:r>
      <w:r>
        <w:rPr>
          <w:bCs/>
          <w:color w:val="000000"/>
          <w:szCs w:val="22"/>
        </w:rPr>
        <w:t xml:space="preserve"> construction permit for Channel 249 at Cross City, Florida</w:t>
      </w:r>
      <w:r w:rsidR="000B2EE3">
        <w:rPr>
          <w:bCs/>
          <w:color w:val="000000"/>
          <w:szCs w:val="22"/>
        </w:rPr>
        <w:t>,</w:t>
      </w:r>
      <w:r>
        <w:rPr>
          <w:bCs/>
          <w:color w:val="000000"/>
          <w:szCs w:val="22"/>
        </w:rPr>
        <w:t xml:space="preserve"> with an expiration date of July 21, 2014.</w:t>
      </w:r>
      <w:r>
        <w:rPr>
          <w:rStyle w:val="FootnoteReference"/>
          <w:color w:val="000000"/>
          <w:szCs w:val="22"/>
        </w:rPr>
        <w:footnoteReference w:id="4"/>
      </w:r>
      <w:r>
        <w:rPr>
          <w:color w:val="000000"/>
          <w:szCs w:val="22"/>
        </w:rPr>
        <w:t xml:space="preserve">  While Urban One identified itself </w:t>
      </w:r>
      <w:r w:rsidR="00EA059C">
        <w:rPr>
          <w:color w:val="000000"/>
          <w:szCs w:val="22"/>
        </w:rPr>
        <w:t xml:space="preserve">in the </w:t>
      </w:r>
      <w:r w:rsidR="00EA059C">
        <w:rPr>
          <w:color w:val="000000"/>
          <w:szCs w:val="22"/>
        </w:rPr>
        <w:t xml:space="preserve">assignment application </w:t>
      </w:r>
      <w:r>
        <w:rPr>
          <w:color w:val="000000"/>
          <w:szCs w:val="22"/>
        </w:rPr>
        <w:t xml:space="preserve">as an “eligible entity” under the definition set forth in the Commission’s </w:t>
      </w:r>
      <w:r w:rsidRPr="00354400" w:rsidR="00354400">
        <w:rPr>
          <w:i/>
          <w:iCs/>
          <w:color w:val="000000"/>
          <w:szCs w:val="22"/>
        </w:rPr>
        <w:t xml:space="preserve">Promoting Diversity of Ownership in the Broadcasting Services </w:t>
      </w:r>
      <w:r w:rsidR="00354400">
        <w:rPr>
          <w:color w:val="000000"/>
          <w:szCs w:val="22"/>
        </w:rPr>
        <w:t>Report and Order,</w:t>
      </w:r>
      <w:r>
        <w:rPr>
          <w:rStyle w:val="FootnoteReference"/>
          <w:color w:val="000000"/>
          <w:szCs w:val="22"/>
        </w:rPr>
        <w:footnoteReference w:id="5"/>
      </w:r>
      <w:r w:rsidR="00354400">
        <w:rPr>
          <w:color w:val="000000"/>
          <w:szCs w:val="22"/>
        </w:rPr>
        <w:t xml:space="preserve"> </w:t>
      </w:r>
      <w:r>
        <w:rPr>
          <w:color w:val="000000"/>
          <w:szCs w:val="22"/>
        </w:rPr>
        <w:t xml:space="preserve">at all times relevant to Urban One’s ownership of and attempt to license the </w:t>
      </w:r>
      <w:r w:rsidR="00604E6D">
        <w:rPr>
          <w:color w:val="000000"/>
          <w:szCs w:val="22"/>
        </w:rPr>
        <w:t>Station</w:t>
      </w:r>
      <w:r>
        <w:rPr>
          <w:color w:val="000000"/>
          <w:szCs w:val="22"/>
        </w:rPr>
        <w:t xml:space="preserve">, </w:t>
      </w:r>
      <w:r w:rsidRPr="00CA49A2" w:rsidR="006D4E0A">
        <w:rPr>
          <w:color w:val="000000"/>
          <w:szCs w:val="22"/>
        </w:rPr>
        <w:t>which began in 2013,</w:t>
      </w:r>
      <w:r w:rsidR="006D4E0A">
        <w:rPr>
          <w:color w:val="000000"/>
          <w:szCs w:val="22"/>
        </w:rPr>
        <w:t xml:space="preserve"> </w:t>
      </w:r>
      <w:r w:rsidR="00354400">
        <w:rPr>
          <w:color w:val="000000"/>
          <w:szCs w:val="22"/>
        </w:rPr>
        <w:t xml:space="preserve">the eligible entity </w:t>
      </w:r>
      <w:r w:rsidR="004E669F">
        <w:rPr>
          <w:color w:val="000000"/>
          <w:szCs w:val="22"/>
        </w:rPr>
        <w:t>policy</w:t>
      </w:r>
      <w:r w:rsidR="00354400">
        <w:rPr>
          <w:color w:val="000000"/>
          <w:szCs w:val="22"/>
        </w:rPr>
        <w:t xml:space="preserve"> was </w:t>
      </w:r>
      <w:r w:rsidR="004E669F">
        <w:rPr>
          <w:color w:val="000000"/>
          <w:szCs w:val="22"/>
        </w:rPr>
        <w:t>not in effect</w:t>
      </w:r>
      <w:r w:rsidR="00354400">
        <w:rPr>
          <w:color w:val="000000"/>
          <w:szCs w:val="22"/>
        </w:rPr>
        <w:t xml:space="preserve">, having been vacated </w:t>
      </w:r>
      <w:r w:rsidR="00DD39BC">
        <w:rPr>
          <w:color w:val="000000"/>
          <w:szCs w:val="22"/>
        </w:rPr>
        <w:t xml:space="preserve">in 2011 </w:t>
      </w:r>
      <w:r w:rsidR="00354400">
        <w:rPr>
          <w:color w:val="000000"/>
          <w:szCs w:val="22"/>
        </w:rPr>
        <w:t>by the United States Court of Appeals for the Third Circuit</w:t>
      </w:r>
      <w:r w:rsidR="00766A0A">
        <w:rPr>
          <w:color w:val="000000"/>
          <w:szCs w:val="22"/>
        </w:rPr>
        <w:t xml:space="preserve"> and </w:t>
      </w:r>
      <w:r w:rsidR="00CC3C7A">
        <w:rPr>
          <w:color w:val="000000"/>
          <w:szCs w:val="22"/>
        </w:rPr>
        <w:t xml:space="preserve">thereafter </w:t>
      </w:r>
      <w:r w:rsidR="00766A0A">
        <w:rPr>
          <w:color w:val="000000"/>
          <w:szCs w:val="22"/>
        </w:rPr>
        <w:t>suspended by the Commission</w:t>
      </w:r>
      <w:r w:rsidR="00354400">
        <w:rPr>
          <w:color w:val="000000"/>
          <w:szCs w:val="22"/>
        </w:rPr>
        <w:t>.</w:t>
      </w:r>
      <w:r>
        <w:rPr>
          <w:rStyle w:val="FootnoteReference"/>
          <w:color w:val="000000"/>
          <w:szCs w:val="22"/>
        </w:rPr>
        <w:footnoteReference w:id="6"/>
      </w:r>
      <w:r>
        <w:rPr>
          <w:color w:val="000000"/>
          <w:szCs w:val="22"/>
        </w:rPr>
        <w:t xml:space="preserve"> </w:t>
      </w:r>
      <w:r w:rsidR="00D43956">
        <w:rPr>
          <w:color w:val="000000"/>
          <w:szCs w:val="22"/>
        </w:rPr>
        <w:t xml:space="preserve"> Thus, despite Urban One’s </w:t>
      </w:r>
      <w:r w:rsidR="009D48F1">
        <w:rPr>
          <w:color w:val="000000"/>
          <w:szCs w:val="22"/>
        </w:rPr>
        <w:t xml:space="preserve">May </w:t>
      </w:r>
      <w:r w:rsidR="00370D9E">
        <w:rPr>
          <w:color w:val="000000"/>
          <w:szCs w:val="22"/>
        </w:rPr>
        <w:t>19, 2014</w:t>
      </w:r>
      <w:r w:rsidR="00C96769">
        <w:rPr>
          <w:color w:val="000000"/>
          <w:szCs w:val="22"/>
        </w:rPr>
        <w:t>,</w:t>
      </w:r>
      <w:r w:rsidR="00370D9E">
        <w:rPr>
          <w:color w:val="000000"/>
          <w:szCs w:val="22"/>
        </w:rPr>
        <w:t xml:space="preserve"> application</w:t>
      </w:r>
      <w:r w:rsidR="009D48F1">
        <w:rPr>
          <w:color w:val="000000"/>
          <w:szCs w:val="22"/>
        </w:rPr>
        <w:t xml:space="preserve"> </w:t>
      </w:r>
      <w:r w:rsidR="00D43956">
        <w:rPr>
          <w:color w:val="000000"/>
          <w:szCs w:val="22"/>
        </w:rPr>
        <w:t>to modify the construction permit</w:t>
      </w:r>
      <w:r w:rsidR="00BA3AD5">
        <w:rPr>
          <w:color w:val="000000"/>
          <w:szCs w:val="22"/>
        </w:rPr>
        <w:t>,</w:t>
      </w:r>
      <w:r>
        <w:rPr>
          <w:rStyle w:val="FootnoteReference"/>
          <w:color w:val="000000"/>
          <w:szCs w:val="22"/>
        </w:rPr>
        <w:footnoteReference w:id="7"/>
      </w:r>
      <w:r w:rsidR="00D43956">
        <w:rPr>
          <w:color w:val="000000"/>
          <w:szCs w:val="22"/>
        </w:rPr>
        <w:t xml:space="preserve"> and</w:t>
      </w:r>
      <w:r w:rsidR="00BA3AD5">
        <w:rPr>
          <w:color w:val="000000"/>
          <w:szCs w:val="22"/>
        </w:rPr>
        <w:t xml:space="preserve"> its</w:t>
      </w:r>
      <w:r w:rsidR="00D43956">
        <w:rPr>
          <w:color w:val="000000"/>
          <w:szCs w:val="22"/>
        </w:rPr>
        <w:t xml:space="preserve"> </w:t>
      </w:r>
      <w:r w:rsidR="00370D9E">
        <w:rPr>
          <w:color w:val="000000"/>
          <w:szCs w:val="22"/>
        </w:rPr>
        <w:t>June 23, 2014</w:t>
      </w:r>
      <w:r w:rsidR="00D952B0">
        <w:rPr>
          <w:color w:val="000000"/>
          <w:szCs w:val="22"/>
        </w:rPr>
        <w:t>,</w:t>
      </w:r>
      <w:r w:rsidR="00370D9E">
        <w:rPr>
          <w:color w:val="000000"/>
          <w:szCs w:val="22"/>
        </w:rPr>
        <w:t xml:space="preserve"> </w:t>
      </w:r>
      <w:r w:rsidR="003D138C">
        <w:rPr>
          <w:color w:val="000000"/>
          <w:szCs w:val="22"/>
        </w:rPr>
        <w:t xml:space="preserve">request for </w:t>
      </w:r>
      <w:r w:rsidR="00D43956">
        <w:rPr>
          <w:color w:val="000000"/>
          <w:szCs w:val="22"/>
        </w:rPr>
        <w:t xml:space="preserve">tolling of the construction period, the </w:t>
      </w:r>
      <w:r w:rsidR="00604E6D">
        <w:rPr>
          <w:color w:val="000000"/>
          <w:szCs w:val="22"/>
        </w:rPr>
        <w:t>Station</w:t>
      </w:r>
      <w:r w:rsidR="00D43956">
        <w:rPr>
          <w:color w:val="000000"/>
          <w:szCs w:val="22"/>
        </w:rPr>
        <w:t xml:space="preserve"> construction permit automatically expired and was forfeit </w:t>
      </w:r>
      <w:r w:rsidR="00F80292">
        <w:rPr>
          <w:color w:val="000000"/>
          <w:szCs w:val="22"/>
        </w:rPr>
        <w:t>by</w:t>
      </w:r>
      <w:r w:rsidR="00D43956">
        <w:rPr>
          <w:color w:val="000000"/>
          <w:szCs w:val="22"/>
        </w:rPr>
        <w:t xml:space="preserve"> its own terms on July 2</w:t>
      </w:r>
      <w:r w:rsidR="004906C5">
        <w:rPr>
          <w:color w:val="000000"/>
          <w:szCs w:val="22"/>
        </w:rPr>
        <w:t>1</w:t>
      </w:r>
      <w:r w:rsidR="00D43956">
        <w:rPr>
          <w:color w:val="000000"/>
          <w:szCs w:val="22"/>
        </w:rPr>
        <w:t>, 2014</w:t>
      </w:r>
      <w:r w:rsidR="00F80292">
        <w:rPr>
          <w:color w:val="000000"/>
          <w:szCs w:val="22"/>
        </w:rPr>
        <w:t>.</w:t>
      </w:r>
      <w:r>
        <w:rPr>
          <w:rStyle w:val="FootnoteReference"/>
          <w:color w:val="000000"/>
          <w:szCs w:val="22"/>
        </w:rPr>
        <w:footnoteReference w:id="8"/>
      </w:r>
    </w:p>
    <w:p w:rsidR="00D74A9D" w:rsidP="007C7596" w14:paraId="2B34800A" w14:textId="6274E5F8">
      <w:pPr>
        <w:ind w:firstLine="720"/>
        <w:rPr>
          <w:color w:val="000000"/>
          <w:szCs w:val="22"/>
        </w:rPr>
      </w:pPr>
    </w:p>
    <w:p w:rsidR="00D74A9D" w:rsidP="007C7596" w14:paraId="39A7553A" w14:textId="7D3DBB77">
      <w:pPr>
        <w:ind w:firstLine="720"/>
        <w:rPr>
          <w:color w:val="000000"/>
          <w:szCs w:val="22"/>
        </w:rPr>
      </w:pPr>
      <w:r>
        <w:rPr>
          <w:color w:val="000000"/>
          <w:szCs w:val="22"/>
        </w:rPr>
        <w:t xml:space="preserve">Urban One filed petitions for reconsideration of the adverse decisions on its </w:t>
      </w:r>
      <w:r w:rsidR="00F412BB">
        <w:rPr>
          <w:color w:val="000000"/>
          <w:szCs w:val="22"/>
        </w:rPr>
        <w:t>Modification Application</w:t>
      </w:r>
      <w:r>
        <w:rPr>
          <w:color w:val="000000"/>
          <w:szCs w:val="22"/>
        </w:rPr>
        <w:t xml:space="preserve"> and</w:t>
      </w:r>
      <w:r w:rsidR="00E333F4">
        <w:rPr>
          <w:color w:val="000000"/>
          <w:szCs w:val="22"/>
        </w:rPr>
        <w:t xml:space="preserve"> its request</w:t>
      </w:r>
      <w:r>
        <w:rPr>
          <w:color w:val="000000"/>
          <w:szCs w:val="22"/>
        </w:rPr>
        <w:t xml:space="preserve"> to have the construction period tolled</w:t>
      </w:r>
      <w:r w:rsidR="00DD7799">
        <w:rPr>
          <w:color w:val="000000"/>
          <w:szCs w:val="22"/>
        </w:rPr>
        <w:t xml:space="preserve">.  </w:t>
      </w:r>
      <w:r w:rsidR="00265533">
        <w:rPr>
          <w:color w:val="000000"/>
          <w:szCs w:val="22"/>
        </w:rPr>
        <w:t>The Media Bureau denied b</w:t>
      </w:r>
      <w:r w:rsidR="00DD7799">
        <w:rPr>
          <w:color w:val="000000"/>
          <w:szCs w:val="22"/>
        </w:rPr>
        <w:t>oth petitions for reconsideration</w:t>
      </w:r>
      <w:r>
        <w:rPr>
          <w:color w:val="000000"/>
          <w:szCs w:val="22"/>
        </w:rPr>
        <w:t>.</w:t>
      </w:r>
      <w:r>
        <w:rPr>
          <w:rStyle w:val="FootnoteReference"/>
          <w:color w:val="000000"/>
          <w:szCs w:val="22"/>
        </w:rPr>
        <w:footnoteReference w:id="9"/>
      </w:r>
      <w:r>
        <w:rPr>
          <w:color w:val="000000"/>
          <w:szCs w:val="22"/>
        </w:rPr>
        <w:t xml:space="preserve">  The Commission denied review of those decisions,</w:t>
      </w:r>
      <w:r>
        <w:rPr>
          <w:rStyle w:val="FootnoteReference"/>
          <w:color w:val="000000"/>
          <w:szCs w:val="22"/>
        </w:rPr>
        <w:footnoteReference w:id="10"/>
      </w:r>
      <w:r>
        <w:rPr>
          <w:color w:val="000000"/>
          <w:szCs w:val="22"/>
        </w:rPr>
        <w:t xml:space="preserve"> and </w:t>
      </w:r>
      <w:r w:rsidR="00A7714E">
        <w:rPr>
          <w:color w:val="000000"/>
          <w:szCs w:val="22"/>
        </w:rPr>
        <w:t xml:space="preserve">the Bureau </w:t>
      </w:r>
      <w:r w:rsidR="00DC2123">
        <w:rPr>
          <w:color w:val="000000"/>
          <w:szCs w:val="22"/>
        </w:rPr>
        <w:t xml:space="preserve">then </w:t>
      </w:r>
      <w:r w:rsidR="00C6196C">
        <w:rPr>
          <w:color w:val="000000"/>
          <w:szCs w:val="22"/>
        </w:rPr>
        <w:t>dismissed Urban One’s petition for</w:t>
      </w:r>
      <w:r>
        <w:rPr>
          <w:color w:val="000000"/>
          <w:szCs w:val="22"/>
        </w:rPr>
        <w:t xml:space="preserve"> reconsideration of </w:t>
      </w:r>
      <w:r w:rsidR="0080056F">
        <w:rPr>
          <w:color w:val="000000"/>
          <w:szCs w:val="22"/>
        </w:rPr>
        <w:t xml:space="preserve">the Commission’s </w:t>
      </w:r>
      <w:r>
        <w:rPr>
          <w:color w:val="000000"/>
          <w:szCs w:val="22"/>
        </w:rPr>
        <w:t>denial of review.</w:t>
      </w:r>
      <w:r>
        <w:rPr>
          <w:rStyle w:val="FootnoteReference"/>
          <w:color w:val="000000"/>
          <w:szCs w:val="22"/>
        </w:rPr>
        <w:footnoteReference w:id="11"/>
      </w:r>
      <w:r>
        <w:rPr>
          <w:color w:val="000000"/>
          <w:szCs w:val="22"/>
        </w:rPr>
        <w:t xml:space="preserve">  Urban One </w:t>
      </w:r>
      <w:r w:rsidR="00A22D3E">
        <w:rPr>
          <w:color w:val="000000"/>
          <w:szCs w:val="22"/>
        </w:rPr>
        <w:t>next</w:t>
      </w:r>
      <w:r>
        <w:rPr>
          <w:color w:val="000000"/>
          <w:szCs w:val="22"/>
        </w:rPr>
        <w:t xml:space="preserve"> sought review from the United States Court of Appeals for the District of Columbia Circuit, </w:t>
      </w:r>
      <w:r w:rsidR="00B34400">
        <w:rPr>
          <w:color w:val="000000"/>
          <w:szCs w:val="22"/>
        </w:rPr>
        <w:t xml:space="preserve">which </w:t>
      </w:r>
      <w:r>
        <w:rPr>
          <w:color w:val="000000"/>
          <w:szCs w:val="22"/>
        </w:rPr>
        <w:t>dismissed its Petition for Review for lack of prosecution on August 11, 2017.</w:t>
      </w:r>
      <w:r>
        <w:rPr>
          <w:rStyle w:val="FootnoteReference"/>
          <w:color w:val="000000"/>
          <w:szCs w:val="22"/>
        </w:rPr>
        <w:footnoteReference w:id="12"/>
      </w:r>
      <w:r>
        <w:rPr>
          <w:color w:val="000000"/>
          <w:szCs w:val="22"/>
        </w:rPr>
        <w:t xml:space="preserve">  Thus, </w:t>
      </w:r>
      <w:r w:rsidR="00DF28BA">
        <w:rPr>
          <w:color w:val="000000"/>
          <w:szCs w:val="22"/>
        </w:rPr>
        <w:t xml:space="preserve">the Commission’s denial of </w:t>
      </w:r>
      <w:r>
        <w:rPr>
          <w:color w:val="000000"/>
          <w:szCs w:val="22"/>
        </w:rPr>
        <w:t xml:space="preserve">Urban One’s </w:t>
      </w:r>
      <w:r w:rsidR="00CA3D12">
        <w:rPr>
          <w:color w:val="000000"/>
          <w:szCs w:val="22"/>
        </w:rPr>
        <w:t xml:space="preserve">Modification Application and its </w:t>
      </w:r>
      <w:r w:rsidR="00DF28BA">
        <w:rPr>
          <w:color w:val="000000"/>
          <w:szCs w:val="22"/>
        </w:rPr>
        <w:t xml:space="preserve">request </w:t>
      </w:r>
      <w:r w:rsidR="003B58A0">
        <w:rPr>
          <w:color w:val="000000"/>
          <w:szCs w:val="22"/>
        </w:rPr>
        <w:t xml:space="preserve">to toll the expiration date of the construction permit and obtain additional time to construct </w:t>
      </w:r>
      <w:r w:rsidR="002B4EED">
        <w:rPr>
          <w:color w:val="000000"/>
          <w:szCs w:val="22"/>
        </w:rPr>
        <w:t xml:space="preserve">was </w:t>
      </w:r>
      <w:r>
        <w:rPr>
          <w:color w:val="000000"/>
          <w:szCs w:val="22"/>
        </w:rPr>
        <w:t xml:space="preserve">final </w:t>
      </w:r>
      <w:r w:rsidR="00CB2D28">
        <w:rPr>
          <w:color w:val="000000"/>
          <w:szCs w:val="22"/>
        </w:rPr>
        <w:t>as of August 11, 2017</w:t>
      </w:r>
      <w:r>
        <w:rPr>
          <w:color w:val="000000"/>
          <w:szCs w:val="22"/>
        </w:rPr>
        <w:t>.</w:t>
      </w:r>
      <w:r w:rsidR="005865F4">
        <w:rPr>
          <w:color w:val="000000"/>
          <w:szCs w:val="22"/>
        </w:rPr>
        <w:t xml:space="preserve">  The allotment for the Station, Channel 249C3 at Cross City, Florida, </w:t>
      </w:r>
      <w:r w:rsidR="000D038A">
        <w:rPr>
          <w:color w:val="000000"/>
          <w:szCs w:val="22"/>
        </w:rPr>
        <w:t>remained in</w:t>
      </w:r>
      <w:r w:rsidR="005865F4">
        <w:rPr>
          <w:color w:val="000000"/>
          <w:szCs w:val="22"/>
        </w:rPr>
        <w:t xml:space="preserve"> the Table of </w:t>
      </w:r>
      <w:r w:rsidR="002157FE">
        <w:rPr>
          <w:color w:val="000000"/>
          <w:szCs w:val="22"/>
        </w:rPr>
        <w:t xml:space="preserve">FM </w:t>
      </w:r>
      <w:r w:rsidR="005865F4">
        <w:rPr>
          <w:color w:val="000000"/>
          <w:szCs w:val="22"/>
        </w:rPr>
        <w:t>Allotments,</w:t>
      </w:r>
      <w:r>
        <w:rPr>
          <w:rStyle w:val="FootnoteReference"/>
          <w:color w:val="000000"/>
          <w:szCs w:val="22"/>
        </w:rPr>
        <w:footnoteReference w:id="13"/>
      </w:r>
      <w:r w:rsidR="005865F4">
        <w:rPr>
          <w:color w:val="000000"/>
          <w:szCs w:val="22"/>
        </w:rPr>
        <w:t xml:space="preserve"> and </w:t>
      </w:r>
      <w:r w:rsidR="00DD7799">
        <w:rPr>
          <w:color w:val="000000"/>
          <w:szCs w:val="22"/>
        </w:rPr>
        <w:t xml:space="preserve">was </w:t>
      </w:r>
      <w:r w:rsidR="005865F4">
        <w:rPr>
          <w:color w:val="000000"/>
          <w:szCs w:val="22"/>
        </w:rPr>
        <w:t xml:space="preserve">eventually </w:t>
      </w:r>
      <w:r w:rsidR="002157FE">
        <w:rPr>
          <w:color w:val="000000"/>
          <w:szCs w:val="22"/>
        </w:rPr>
        <w:t>included in the inventory for</w:t>
      </w:r>
      <w:r w:rsidR="005865F4">
        <w:rPr>
          <w:color w:val="000000"/>
          <w:szCs w:val="22"/>
        </w:rPr>
        <w:t xml:space="preserve"> Auction 109.</w:t>
      </w:r>
      <w:r>
        <w:rPr>
          <w:rStyle w:val="FootnoteReference"/>
          <w:color w:val="000000"/>
          <w:szCs w:val="22"/>
        </w:rPr>
        <w:footnoteReference w:id="14"/>
      </w:r>
    </w:p>
    <w:p w:rsidR="00431E4D" w:rsidP="007C7596" w14:paraId="7F7047FF" w14:textId="11871014">
      <w:pPr>
        <w:ind w:firstLine="720"/>
        <w:rPr>
          <w:color w:val="000000"/>
          <w:szCs w:val="22"/>
        </w:rPr>
      </w:pPr>
    </w:p>
    <w:p w:rsidR="00431E4D" w:rsidP="007C7596" w14:paraId="05808E49" w14:textId="02768149">
      <w:pPr>
        <w:ind w:firstLine="720"/>
        <w:rPr>
          <w:color w:val="000000"/>
          <w:szCs w:val="22"/>
        </w:rPr>
      </w:pPr>
      <w:r>
        <w:rPr>
          <w:color w:val="000000"/>
          <w:szCs w:val="22"/>
        </w:rPr>
        <w:t xml:space="preserve">In its Petition for Declaratory Ruling, Urban One argued that the Commission must reinstate its construction permit and provide an additional 18 months in which to construct the Station, based on the </w:t>
      </w:r>
      <w:r w:rsidR="009F44F7">
        <w:rPr>
          <w:color w:val="000000"/>
          <w:szCs w:val="22"/>
        </w:rPr>
        <w:t>Bureau</w:t>
      </w:r>
      <w:r w:rsidR="00A00C87">
        <w:rPr>
          <w:color w:val="000000"/>
          <w:szCs w:val="22"/>
        </w:rPr>
        <w:t xml:space="preserve">’s </w:t>
      </w:r>
      <w:r w:rsidR="00994C55">
        <w:rPr>
          <w:color w:val="000000"/>
          <w:szCs w:val="22"/>
        </w:rPr>
        <w:t xml:space="preserve">2021 </w:t>
      </w:r>
      <w:r>
        <w:rPr>
          <w:color w:val="000000"/>
          <w:szCs w:val="22"/>
        </w:rPr>
        <w:t xml:space="preserve">reinstatement of the eligible entity policy </w:t>
      </w:r>
      <w:r w:rsidR="0099009A">
        <w:rPr>
          <w:color w:val="000000"/>
          <w:szCs w:val="22"/>
        </w:rPr>
        <w:t xml:space="preserve">pursuant to </w:t>
      </w:r>
      <w:r w:rsidRPr="00F42CCB" w:rsidR="005865F4">
        <w:rPr>
          <w:i/>
          <w:iCs/>
          <w:color w:val="000000"/>
          <w:szCs w:val="22"/>
        </w:rPr>
        <w:t>FCC v.</w:t>
      </w:r>
      <w:r>
        <w:rPr>
          <w:color w:val="000000"/>
          <w:szCs w:val="22"/>
        </w:rPr>
        <w:t xml:space="preserve"> </w:t>
      </w:r>
      <w:r w:rsidRPr="00906428">
        <w:rPr>
          <w:i/>
          <w:iCs/>
          <w:color w:val="000000"/>
          <w:szCs w:val="22"/>
        </w:rPr>
        <w:t xml:space="preserve">Prometheus </w:t>
      </w:r>
      <w:r w:rsidR="005865F4">
        <w:rPr>
          <w:i/>
          <w:iCs/>
          <w:color w:val="000000"/>
          <w:szCs w:val="22"/>
        </w:rPr>
        <w:t>Radio Project</w:t>
      </w:r>
      <w:r>
        <w:rPr>
          <w:color w:val="000000"/>
          <w:szCs w:val="22"/>
        </w:rPr>
        <w:t>.</w:t>
      </w:r>
      <w:r>
        <w:rPr>
          <w:rStyle w:val="FootnoteReference"/>
          <w:color w:val="000000"/>
          <w:szCs w:val="22"/>
        </w:rPr>
        <w:footnoteReference w:id="15"/>
      </w:r>
      <w:r>
        <w:rPr>
          <w:color w:val="000000"/>
          <w:szCs w:val="22"/>
        </w:rPr>
        <w:t xml:space="preserve">  Urban One also demand</w:t>
      </w:r>
      <w:r w:rsidR="005865F4">
        <w:rPr>
          <w:color w:val="000000"/>
          <w:szCs w:val="22"/>
        </w:rPr>
        <w:t>ed</w:t>
      </w:r>
      <w:r>
        <w:rPr>
          <w:color w:val="000000"/>
          <w:szCs w:val="22"/>
        </w:rPr>
        <w:t xml:space="preserve"> that </w:t>
      </w:r>
      <w:r w:rsidR="004E66EB">
        <w:rPr>
          <w:color w:val="000000"/>
          <w:szCs w:val="22"/>
        </w:rPr>
        <w:t>the Commission</w:t>
      </w:r>
      <w:r>
        <w:rPr>
          <w:color w:val="000000"/>
          <w:szCs w:val="22"/>
        </w:rPr>
        <w:t xml:space="preserve"> remove the </w:t>
      </w:r>
      <w:bookmarkStart w:id="2" w:name="_Hlk79073136"/>
      <w:r>
        <w:rPr>
          <w:color w:val="000000"/>
          <w:szCs w:val="22"/>
        </w:rPr>
        <w:t xml:space="preserve">vacant </w:t>
      </w:r>
      <w:r w:rsidR="00F42CCB">
        <w:rPr>
          <w:color w:val="000000"/>
          <w:szCs w:val="22"/>
        </w:rPr>
        <w:t xml:space="preserve">Cross City </w:t>
      </w:r>
      <w:r>
        <w:rPr>
          <w:color w:val="000000"/>
          <w:szCs w:val="22"/>
        </w:rPr>
        <w:t xml:space="preserve">allotment </w:t>
      </w:r>
      <w:bookmarkEnd w:id="2"/>
      <w:r>
        <w:rPr>
          <w:color w:val="000000"/>
          <w:szCs w:val="22"/>
        </w:rPr>
        <w:t xml:space="preserve">from the </w:t>
      </w:r>
      <w:r w:rsidR="00F42CCB">
        <w:rPr>
          <w:color w:val="000000"/>
          <w:szCs w:val="22"/>
        </w:rPr>
        <w:t xml:space="preserve">Auction 109 </w:t>
      </w:r>
      <w:r>
        <w:rPr>
          <w:color w:val="000000"/>
          <w:szCs w:val="22"/>
        </w:rPr>
        <w:t>inventory.  Because Urban One’s construction permit was automatically forfeited on July 21, 2014</w:t>
      </w:r>
      <w:r w:rsidR="00543C7E">
        <w:rPr>
          <w:color w:val="000000"/>
          <w:szCs w:val="22"/>
        </w:rPr>
        <w:t>,</w:t>
      </w:r>
      <w:r>
        <w:rPr>
          <w:rStyle w:val="FootnoteReference"/>
          <w:color w:val="000000"/>
          <w:szCs w:val="22"/>
        </w:rPr>
        <w:footnoteReference w:id="16"/>
      </w:r>
      <w:r>
        <w:rPr>
          <w:color w:val="000000"/>
          <w:szCs w:val="22"/>
        </w:rPr>
        <w:t xml:space="preserve"> and the dismissal of its appeals of the </w:t>
      </w:r>
      <w:r w:rsidR="00583044">
        <w:rPr>
          <w:color w:val="000000"/>
          <w:szCs w:val="22"/>
        </w:rPr>
        <w:t>Commission’s denial of</w:t>
      </w:r>
      <w:r>
        <w:rPr>
          <w:color w:val="000000"/>
          <w:szCs w:val="22"/>
        </w:rPr>
        <w:t xml:space="preserve"> the </w:t>
      </w:r>
      <w:r w:rsidR="00F412BB">
        <w:rPr>
          <w:color w:val="000000"/>
          <w:szCs w:val="22"/>
        </w:rPr>
        <w:t>M</w:t>
      </w:r>
      <w:r>
        <w:rPr>
          <w:color w:val="000000"/>
          <w:szCs w:val="22"/>
        </w:rPr>
        <w:t xml:space="preserve">odification </w:t>
      </w:r>
      <w:r w:rsidR="00F412BB">
        <w:rPr>
          <w:color w:val="000000"/>
          <w:szCs w:val="22"/>
        </w:rPr>
        <w:t>A</w:t>
      </w:r>
      <w:r>
        <w:rPr>
          <w:color w:val="000000"/>
          <w:szCs w:val="22"/>
        </w:rPr>
        <w:t xml:space="preserve">pplication and the tolling request became final in 2017, </w:t>
      </w:r>
      <w:r w:rsidR="004E66EB">
        <w:rPr>
          <w:color w:val="000000"/>
          <w:szCs w:val="22"/>
        </w:rPr>
        <w:t>the Bureau denied the Petition for Declaratory Ruling</w:t>
      </w:r>
      <w:r>
        <w:rPr>
          <w:color w:val="000000"/>
          <w:szCs w:val="22"/>
        </w:rPr>
        <w:t>.</w:t>
      </w:r>
      <w:r>
        <w:rPr>
          <w:rStyle w:val="FootnoteReference"/>
          <w:color w:val="000000"/>
          <w:szCs w:val="22"/>
        </w:rPr>
        <w:footnoteReference w:id="17"/>
      </w:r>
      <w:r>
        <w:rPr>
          <w:color w:val="000000"/>
          <w:szCs w:val="22"/>
        </w:rPr>
        <w:t xml:space="preserve"> </w:t>
      </w:r>
    </w:p>
    <w:p w:rsidR="00C00F6B" w:rsidP="007C7596" w14:paraId="103B9E94" w14:textId="7D9452C5">
      <w:pPr>
        <w:ind w:firstLine="720"/>
        <w:rPr>
          <w:color w:val="000000"/>
          <w:szCs w:val="22"/>
        </w:rPr>
      </w:pPr>
    </w:p>
    <w:p w:rsidR="00C00F6B" w:rsidP="007C7596" w14:paraId="3E385337" w14:textId="068C765D">
      <w:pPr>
        <w:ind w:firstLine="720"/>
        <w:rPr>
          <w:color w:val="000000"/>
          <w:szCs w:val="22"/>
        </w:rPr>
      </w:pPr>
      <w:r>
        <w:rPr>
          <w:color w:val="000000"/>
          <w:szCs w:val="22"/>
        </w:rPr>
        <w:t xml:space="preserve">Urban One now seeks reconsideration of the </w:t>
      </w:r>
      <w:r w:rsidRPr="00C34F55">
        <w:rPr>
          <w:i/>
          <w:iCs/>
          <w:color w:val="000000"/>
          <w:szCs w:val="22"/>
        </w:rPr>
        <w:t>Declaratory Ruling Decision</w:t>
      </w:r>
      <w:r>
        <w:rPr>
          <w:color w:val="000000"/>
          <w:szCs w:val="22"/>
        </w:rPr>
        <w:t xml:space="preserve">.  It argues, first, that </w:t>
      </w:r>
      <w:r w:rsidR="00C34F55">
        <w:rPr>
          <w:color w:val="000000"/>
          <w:szCs w:val="22"/>
        </w:rPr>
        <w:t>the Bureau erred by not putting its Petition for Declaratory Ruling on public notice, pursuant to section 1.2(b) of the Commission’s rules,</w:t>
      </w:r>
      <w:r>
        <w:rPr>
          <w:rStyle w:val="FootnoteReference"/>
          <w:color w:val="000000"/>
          <w:szCs w:val="22"/>
        </w:rPr>
        <w:footnoteReference w:id="18"/>
      </w:r>
      <w:r w:rsidR="00C34F55">
        <w:rPr>
          <w:color w:val="000000"/>
          <w:szCs w:val="22"/>
        </w:rPr>
        <w:t xml:space="preserve"> and seeking public comment.  Second, Urban One contends that the </w:t>
      </w:r>
      <w:r w:rsidR="009F44F7">
        <w:rPr>
          <w:color w:val="000000"/>
          <w:szCs w:val="22"/>
        </w:rPr>
        <w:t xml:space="preserve">Bureau should apply the </w:t>
      </w:r>
      <w:r w:rsidR="00C34F55">
        <w:rPr>
          <w:color w:val="000000"/>
          <w:szCs w:val="22"/>
        </w:rPr>
        <w:t xml:space="preserve">eligible entity </w:t>
      </w:r>
      <w:r w:rsidR="00D15CD3">
        <w:rPr>
          <w:color w:val="000000"/>
          <w:szCs w:val="22"/>
        </w:rPr>
        <w:t>policy</w:t>
      </w:r>
      <w:r w:rsidR="00C34F55">
        <w:rPr>
          <w:color w:val="000000"/>
          <w:szCs w:val="22"/>
        </w:rPr>
        <w:t xml:space="preserve">, and specifically the </w:t>
      </w:r>
      <w:r w:rsidR="00D15CD3">
        <w:rPr>
          <w:color w:val="000000"/>
          <w:szCs w:val="22"/>
        </w:rPr>
        <w:t xml:space="preserve">rule </w:t>
      </w:r>
      <w:r w:rsidR="00C34F55">
        <w:rPr>
          <w:color w:val="000000"/>
          <w:szCs w:val="22"/>
        </w:rPr>
        <w:t xml:space="preserve">provision that gives an eligible entity acquiring an expiring construction permit up to </w:t>
      </w:r>
      <w:r w:rsidR="0081590A">
        <w:rPr>
          <w:color w:val="000000"/>
          <w:szCs w:val="22"/>
        </w:rPr>
        <w:t xml:space="preserve">an additional </w:t>
      </w:r>
      <w:r w:rsidR="00C34F55">
        <w:rPr>
          <w:color w:val="000000"/>
          <w:szCs w:val="22"/>
        </w:rPr>
        <w:t>18 months in which to construct the facilities,</w:t>
      </w:r>
      <w:r>
        <w:rPr>
          <w:rStyle w:val="FootnoteReference"/>
          <w:color w:val="000000"/>
          <w:szCs w:val="22"/>
        </w:rPr>
        <w:footnoteReference w:id="19"/>
      </w:r>
      <w:r w:rsidR="00C34F55">
        <w:rPr>
          <w:color w:val="000000"/>
          <w:szCs w:val="22"/>
        </w:rPr>
        <w:t xml:space="preserve"> retroactively</w:t>
      </w:r>
      <w:r w:rsidR="009F44F7">
        <w:rPr>
          <w:color w:val="000000"/>
          <w:szCs w:val="22"/>
        </w:rPr>
        <w:t xml:space="preserve"> to Urban One.  </w:t>
      </w:r>
      <w:r w:rsidR="004048C5">
        <w:rPr>
          <w:color w:val="000000"/>
          <w:szCs w:val="22"/>
        </w:rPr>
        <w:t xml:space="preserve">It asserts </w:t>
      </w:r>
      <w:r w:rsidR="004D39C1">
        <w:rPr>
          <w:color w:val="000000"/>
          <w:szCs w:val="22"/>
        </w:rPr>
        <w:t xml:space="preserve">that </w:t>
      </w:r>
      <w:r w:rsidR="00787327">
        <w:rPr>
          <w:color w:val="000000"/>
          <w:szCs w:val="22"/>
        </w:rPr>
        <w:t>the Bureau’s 2021 reinstatement of the rule</w:t>
      </w:r>
      <w:r w:rsidR="009C2AB8">
        <w:rPr>
          <w:color w:val="000000"/>
          <w:szCs w:val="22"/>
        </w:rPr>
        <w:t xml:space="preserve">, which the court had </w:t>
      </w:r>
      <w:r w:rsidR="00D952B0">
        <w:rPr>
          <w:color w:val="000000"/>
          <w:szCs w:val="22"/>
        </w:rPr>
        <w:t xml:space="preserve">first </w:t>
      </w:r>
      <w:r w:rsidR="009C2AB8">
        <w:rPr>
          <w:color w:val="000000"/>
          <w:szCs w:val="22"/>
        </w:rPr>
        <w:t xml:space="preserve">vacated in 2011, </w:t>
      </w:r>
      <w:r w:rsidR="00787327">
        <w:rPr>
          <w:color w:val="000000"/>
          <w:szCs w:val="22"/>
        </w:rPr>
        <w:t>before Urban One acquired the Cross City permit</w:t>
      </w:r>
      <w:r w:rsidR="00CC1341">
        <w:rPr>
          <w:color w:val="000000"/>
          <w:szCs w:val="22"/>
        </w:rPr>
        <w:t xml:space="preserve"> </w:t>
      </w:r>
      <w:r w:rsidRPr="00CA49A2" w:rsidR="00CC1341">
        <w:rPr>
          <w:color w:val="000000"/>
          <w:szCs w:val="22"/>
        </w:rPr>
        <w:t>in 2013</w:t>
      </w:r>
      <w:r w:rsidR="00787327">
        <w:rPr>
          <w:color w:val="000000"/>
          <w:szCs w:val="22"/>
        </w:rPr>
        <w:t>, would have applied to it had the</w:t>
      </w:r>
      <w:r w:rsidR="00C7269E">
        <w:rPr>
          <w:color w:val="000000"/>
          <w:szCs w:val="22"/>
        </w:rPr>
        <w:t xml:space="preserve"> Commission not suspended the rule after the</w:t>
      </w:r>
      <w:r w:rsidR="00787327">
        <w:rPr>
          <w:color w:val="000000"/>
          <w:szCs w:val="22"/>
        </w:rPr>
        <w:t xml:space="preserve"> court of appeals vacated </w:t>
      </w:r>
      <w:r w:rsidR="00C7269E">
        <w:rPr>
          <w:color w:val="000000"/>
          <w:szCs w:val="22"/>
        </w:rPr>
        <w:t>it</w:t>
      </w:r>
      <w:r w:rsidR="00787327">
        <w:rPr>
          <w:color w:val="000000"/>
          <w:szCs w:val="22"/>
        </w:rPr>
        <w:t>.</w:t>
      </w:r>
      <w:r w:rsidR="001D0F07">
        <w:rPr>
          <w:color w:val="000000"/>
          <w:szCs w:val="22"/>
        </w:rPr>
        <w:t xml:space="preserve">  Finally, Urban One asserts that equity and fairness compel application of the eligible entity definition and construction period extension rule.</w:t>
      </w:r>
    </w:p>
    <w:p w:rsidR="00D74A9D" w:rsidP="007C7596" w14:paraId="3C7AE8B4" w14:textId="523E0CFE">
      <w:pPr>
        <w:ind w:firstLine="720"/>
        <w:rPr>
          <w:color w:val="000000"/>
          <w:szCs w:val="22"/>
        </w:rPr>
      </w:pPr>
    </w:p>
    <w:p w:rsidR="00B8180A" w:rsidP="007C7596" w14:paraId="37123589" w14:textId="2788BD06">
      <w:pPr>
        <w:ind w:firstLine="720"/>
      </w:pPr>
      <w:r w:rsidRPr="0081590A">
        <w:rPr>
          <w:b/>
          <w:bCs/>
          <w:color w:val="000000"/>
          <w:szCs w:val="22"/>
        </w:rPr>
        <w:t>Discussion.</w:t>
      </w:r>
      <w:r>
        <w:rPr>
          <w:color w:val="000000"/>
          <w:szCs w:val="22"/>
        </w:rPr>
        <w:t xml:space="preserve">  </w:t>
      </w:r>
      <w:r>
        <w:t>We dismiss the Petition as defective for failing to meet the requirements for reconsideration of a decision on delegated authority and, on alternative and independent grounds, we deny the Petition on the merits.</w:t>
      </w:r>
    </w:p>
    <w:p w:rsidR="00B8180A" w:rsidP="007C7596" w14:paraId="209634B2" w14:textId="77777777">
      <w:pPr>
        <w:ind w:firstLine="720"/>
      </w:pPr>
    </w:p>
    <w:p w:rsidR="00D74A9D" w:rsidP="007C7596" w14:paraId="318550AE" w14:textId="714123F5">
      <w:pPr>
        <w:ind w:firstLine="720"/>
      </w:pPr>
      <w:r w:rsidRPr="0081590A">
        <w:rPr>
          <w:i/>
          <w:iCs/>
          <w:color w:val="000000"/>
          <w:szCs w:val="22"/>
        </w:rPr>
        <w:t>Procedural Dismissal</w:t>
      </w:r>
      <w:r>
        <w:rPr>
          <w:color w:val="000000"/>
          <w:szCs w:val="22"/>
        </w:rPr>
        <w:t xml:space="preserve">.  </w:t>
      </w:r>
      <w:r w:rsidR="0081590A">
        <w:t>A party may seek reconsideration of a Commission denial of an action by a designated authority only on the basis of either changed circumstances or newly</w:t>
      </w:r>
      <w:r w:rsidR="00A92580">
        <w:t xml:space="preserve"> </w:t>
      </w:r>
      <w:r w:rsidR="0081590A">
        <w:t xml:space="preserve">discovered facts, or </w:t>
      </w:r>
      <w:r w:rsidR="0081590A">
        <w:t>when the designated authority determines that consideration of the facts or arguments relied on is required in the public interest.</w:t>
      </w:r>
      <w:r>
        <w:rPr>
          <w:rStyle w:val="FootnoteReference"/>
        </w:rPr>
        <w:footnoteReference w:id="20"/>
      </w:r>
      <w:r w:rsidR="0081590A">
        <w:t xml:space="preserve">  </w:t>
      </w:r>
      <w:r w:rsidR="00FF0905">
        <w:t>In t</w:t>
      </w:r>
      <w:r w:rsidR="0081590A">
        <w:t xml:space="preserve">he Petition, however, </w:t>
      </w:r>
      <w:r w:rsidR="00FF0905">
        <w:t xml:space="preserve">Urban One </w:t>
      </w:r>
      <w:r w:rsidR="0081590A">
        <w:t>does not allege any change in circumstances or offer any newly</w:t>
      </w:r>
      <w:r w:rsidR="00A92580">
        <w:t xml:space="preserve"> </w:t>
      </w:r>
      <w:r w:rsidR="0081590A">
        <w:t xml:space="preserve">discovered facts.  </w:t>
      </w:r>
      <w:r w:rsidR="00FF0905">
        <w:t xml:space="preserve">Instead, it </w:t>
      </w:r>
      <w:r w:rsidR="00683661">
        <w:t>repeats</w:t>
      </w:r>
      <w:r w:rsidR="00430332">
        <w:t xml:space="preserve"> </w:t>
      </w:r>
      <w:r w:rsidR="00FF0905">
        <w:t xml:space="preserve">the arguments it made in its Petition for Declaratory Ruling, as well as arguments it </w:t>
      </w:r>
      <w:r w:rsidR="00986DF5">
        <w:t xml:space="preserve">previously </w:t>
      </w:r>
      <w:r w:rsidR="009C638B">
        <w:t xml:space="preserve">raised </w:t>
      </w:r>
      <w:r w:rsidR="00A92580">
        <w:t xml:space="preserve">in pleadings contemporaneous with its attempts to license the </w:t>
      </w:r>
      <w:r>
        <w:t>Station</w:t>
      </w:r>
      <w:r w:rsidR="00A92580">
        <w:t>, and petitions for reconsideration of adverse decisions on those pleadings.</w:t>
      </w:r>
      <w:r>
        <w:rPr>
          <w:rStyle w:val="FootnoteReference"/>
        </w:rPr>
        <w:footnoteReference w:id="21"/>
      </w:r>
      <w:r w:rsidR="00A92580">
        <w:t xml:space="preserve"> </w:t>
      </w:r>
      <w:r w:rsidR="00FF0905">
        <w:t xml:space="preserve"> </w:t>
      </w:r>
      <w:r w:rsidR="0081590A">
        <w:t>We reaffirm that “[</w:t>
      </w:r>
      <w:r w:rsidR="0081590A">
        <w:t>i</w:t>
      </w:r>
      <w:r w:rsidR="0081590A">
        <w:t xml:space="preserve">]t is settled Commission Policy that petitions for reconsideration are not to be used for the mere </w:t>
      </w:r>
      <w:r w:rsidR="0081590A">
        <w:t>reargument</w:t>
      </w:r>
      <w:r w:rsidR="0081590A">
        <w:t xml:space="preserve"> of points previously advanced and rejected.”</w:t>
      </w:r>
      <w:r>
        <w:rPr>
          <w:rStyle w:val="FootnoteReference"/>
        </w:rPr>
        <w:footnoteReference w:id="22"/>
      </w:r>
      <w:r w:rsidR="0081590A">
        <w:t xml:space="preserve">  </w:t>
      </w:r>
      <w:r w:rsidR="00A05337">
        <w:t xml:space="preserve">We further note that </w:t>
      </w:r>
      <w:r w:rsidR="00E46FDB">
        <w:t xml:space="preserve">the evidence presented in </w:t>
      </w:r>
      <w:r>
        <w:t>Exhibits A and B to</w:t>
      </w:r>
      <w:r w:rsidR="00E46FDB">
        <w:t xml:space="preserve"> the Petition consist</w:t>
      </w:r>
      <w:r>
        <w:t>s</w:t>
      </w:r>
      <w:r w:rsidR="00E46FDB">
        <w:t xml:space="preserve"> of documents either generated or received by Urban One in 2014, indicating that they do not constitute </w:t>
      </w:r>
      <w:r w:rsidR="0047404B">
        <w:t xml:space="preserve">facts “unknown to petitioner until after [its] last opportunity to present them to the Commission,” or that it “could not through the exercise of ordinary diligence have learned of </w:t>
      </w:r>
      <w:r w:rsidR="00494134">
        <w:t>. . .</w:t>
      </w:r>
      <w:r w:rsidR="007A4744">
        <w:t xml:space="preserve"> </w:t>
      </w:r>
      <w:r w:rsidR="0047404B">
        <w:t>prior to such opportunity.”</w:t>
      </w:r>
      <w:r>
        <w:rPr>
          <w:rStyle w:val="FootnoteReference"/>
        </w:rPr>
        <w:footnoteReference w:id="23"/>
      </w:r>
      <w:r w:rsidR="0047404B">
        <w:t xml:space="preserve"> </w:t>
      </w:r>
      <w:r w:rsidR="00E46FDB">
        <w:t xml:space="preserve"> </w:t>
      </w:r>
      <w:r w:rsidR="0081590A">
        <w:t>Accordingly we dismiss the Petition as procedurally defective.</w:t>
      </w:r>
    </w:p>
    <w:p w:rsidR="00211436" w:rsidP="007C7596" w14:paraId="5C88A4B7" w14:textId="0123D7A0">
      <w:pPr>
        <w:ind w:firstLine="720"/>
      </w:pPr>
    </w:p>
    <w:p w:rsidR="00211436" w:rsidP="007C7596" w14:paraId="5713D21E" w14:textId="1924CB8B">
      <w:pPr>
        <w:ind w:firstLine="720"/>
      </w:pPr>
      <w:r w:rsidRPr="005E606E">
        <w:rPr>
          <w:i/>
          <w:iCs/>
        </w:rPr>
        <w:t>Denial on the Merits</w:t>
      </w:r>
      <w:r>
        <w:t xml:space="preserve">.  </w:t>
      </w:r>
      <w:r w:rsidR="005E606E">
        <w:t xml:space="preserve">On alternative and independent grounds, we deny the Petition </w:t>
      </w:r>
      <w:r w:rsidR="00B8180A">
        <w:t>on the merits</w:t>
      </w:r>
      <w:r w:rsidR="005E606E">
        <w:t xml:space="preserve">.  </w:t>
      </w:r>
      <w:r w:rsidR="00B3007C">
        <w:t xml:space="preserve">We find that Urban One may not use the mechanism of a Petition for Declaratory Ruling to challenge unambiguous Commission and staff orders.  Additionally, we find that Urban One may not retroactively apply the Supreme Court’s </w:t>
      </w:r>
      <w:r w:rsidR="00AA5C13">
        <w:t xml:space="preserve">2021 </w:t>
      </w:r>
      <w:r w:rsidR="00B3007C">
        <w:t xml:space="preserve">revival of the eligible entity definition and related rules to its construction permit, which </w:t>
      </w:r>
      <w:r w:rsidR="00F36CA0">
        <w:t xml:space="preserve">had </w:t>
      </w:r>
      <w:r w:rsidR="00B3007C">
        <w:t xml:space="preserve">expired by its own terms at a </w:t>
      </w:r>
      <w:r w:rsidR="00F36CA0">
        <w:t xml:space="preserve">point in </w:t>
      </w:r>
      <w:r w:rsidR="00B3007C">
        <w:t xml:space="preserve">time </w:t>
      </w:r>
      <w:r w:rsidR="00AA5C13">
        <w:t xml:space="preserve">during which </w:t>
      </w:r>
      <w:r w:rsidR="00B3007C">
        <w:t xml:space="preserve">the Commission </w:t>
      </w:r>
      <w:r w:rsidR="00F36CA0">
        <w:t xml:space="preserve">had </w:t>
      </w:r>
      <w:r w:rsidR="00B3007C">
        <w:t xml:space="preserve">suspended that definition and </w:t>
      </w:r>
      <w:r w:rsidR="00AA5C13">
        <w:t xml:space="preserve">attendant </w:t>
      </w:r>
      <w:r w:rsidR="00B3007C">
        <w:t xml:space="preserve">rules.  Finally, we disagree with Urban One’s attempt to relitigate its </w:t>
      </w:r>
      <w:r w:rsidR="00574910">
        <w:t xml:space="preserve">arguments surrounding the </w:t>
      </w:r>
      <w:r w:rsidR="00B3007C">
        <w:t xml:space="preserve">Modification Application by labeling </w:t>
      </w:r>
      <w:r w:rsidR="00574910">
        <w:t>those</w:t>
      </w:r>
      <w:r w:rsidR="00B3007C">
        <w:t xml:space="preserve"> arguments as an appeal to “equity and fairness.”</w:t>
      </w:r>
    </w:p>
    <w:p w:rsidR="007E4369" w:rsidP="007C7596" w14:paraId="230EC5B6" w14:textId="08C3AC50">
      <w:pPr>
        <w:ind w:firstLine="720"/>
      </w:pPr>
    </w:p>
    <w:p w:rsidR="004978C6" w:rsidP="007C7596" w14:paraId="133A9C19" w14:textId="58DFF88D">
      <w:pPr>
        <w:ind w:firstLine="720"/>
      </w:pPr>
      <w:r w:rsidRPr="005E606E">
        <w:rPr>
          <w:u w:val="single"/>
        </w:rPr>
        <w:t>Section 1.2(b) of the rules</w:t>
      </w:r>
      <w:r>
        <w:t xml:space="preserve">.  </w:t>
      </w:r>
      <w:r w:rsidR="003151FE">
        <w:t xml:space="preserve">We </w:t>
      </w:r>
      <w:r w:rsidR="00330BD0">
        <w:t xml:space="preserve">find the Bureau was not obligated by section 1.2(b) of the </w:t>
      </w:r>
      <w:r w:rsidR="00F37035">
        <w:t>r</w:t>
      </w:r>
      <w:r w:rsidR="00330BD0">
        <w:t>ules to seek public comment on the Petition</w:t>
      </w:r>
      <w:r w:rsidR="00FC0110">
        <w:t xml:space="preserve"> </w:t>
      </w:r>
      <w:r w:rsidR="003F370D">
        <w:t>for Declaratory Ruling</w:t>
      </w:r>
      <w:r w:rsidR="00D31C80">
        <w:t>,</w:t>
      </w:r>
      <w:r>
        <w:rPr>
          <w:rStyle w:val="FootnoteReference"/>
        </w:rPr>
        <w:footnoteReference w:id="24"/>
      </w:r>
      <w:r w:rsidR="003F370D">
        <w:t xml:space="preserve"> </w:t>
      </w:r>
      <w:r w:rsidR="00FC0110">
        <w:t xml:space="preserve">and that Urban One had multiple opportunities to provide input on the </w:t>
      </w:r>
      <w:r w:rsidR="001778F3">
        <w:t>inclusion of the Cross City allotment in the Auction 109 inventory.</w:t>
      </w:r>
    </w:p>
    <w:p w:rsidR="004978C6" w:rsidP="007C7596" w14:paraId="23C4FF49" w14:textId="77777777">
      <w:pPr>
        <w:ind w:firstLine="720"/>
      </w:pPr>
    </w:p>
    <w:p w:rsidR="001F2D3D" w:rsidP="007C7596" w14:paraId="465E7286" w14:textId="4A50292F">
      <w:pPr>
        <w:ind w:firstLine="720"/>
      </w:pPr>
      <w:r>
        <w:rPr>
          <w:szCs w:val="22"/>
        </w:rPr>
        <w:t>As noted above, in the Petition</w:t>
      </w:r>
      <w:r w:rsidR="00B830FD">
        <w:rPr>
          <w:szCs w:val="22"/>
        </w:rPr>
        <w:t xml:space="preserve"> for Declaratory Ruling</w:t>
      </w:r>
      <w:r>
        <w:rPr>
          <w:szCs w:val="22"/>
        </w:rPr>
        <w:t xml:space="preserve"> Urban One </w:t>
      </w:r>
      <w:r w:rsidR="006B2EFF">
        <w:rPr>
          <w:szCs w:val="22"/>
        </w:rPr>
        <w:t xml:space="preserve">had </w:t>
      </w:r>
      <w:r>
        <w:rPr>
          <w:szCs w:val="22"/>
        </w:rPr>
        <w:t>first sought to amend its December 13, 2016, “Petition for Reinstatement of Construction Permit,” asking the Commission to reinstate Urban One’s forfeited permit to construct an FM radio station at Cross City, Florida</w:t>
      </w:r>
      <w:r w:rsidR="007108D3">
        <w:rPr>
          <w:szCs w:val="22"/>
        </w:rPr>
        <w:t>,</w:t>
      </w:r>
      <w:r>
        <w:rPr>
          <w:szCs w:val="22"/>
        </w:rPr>
        <w:t xml:space="preserve"> and to grant an </w:t>
      </w:r>
      <w:r w:rsidR="00543C7E">
        <w:rPr>
          <w:szCs w:val="22"/>
        </w:rPr>
        <w:t xml:space="preserve">additional </w:t>
      </w:r>
      <w:r>
        <w:rPr>
          <w:szCs w:val="22"/>
        </w:rPr>
        <w:t xml:space="preserve">18-month construction period.  Second, Urban One asked to remove from the Auction 109 inventory the allotment for </w:t>
      </w:r>
      <w:r>
        <w:rPr>
          <w:color w:val="000000"/>
          <w:szCs w:val="22"/>
        </w:rPr>
        <w:t>Channel 249C3 at Cross City, Florida, which previously covered</w:t>
      </w:r>
      <w:r>
        <w:rPr>
          <w:szCs w:val="22"/>
        </w:rPr>
        <w:t xml:space="preserve"> Urban One’s now-forfeited construction permit.</w:t>
      </w:r>
      <w:r w:rsidR="00B830FD">
        <w:rPr>
          <w:szCs w:val="22"/>
        </w:rPr>
        <w:t xml:space="preserve">  </w:t>
      </w:r>
      <w:r w:rsidR="00B830FD">
        <w:t xml:space="preserve">Neither of these </w:t>
      </w:r>
      <w:r w:rsidR="00AA768F">
        <w:t xml:space="preserve">requests </w:t>
      </w:r>
      <w:r w:rsidR="00B84E1D">
        <w:t xml:space="preserve">for relief </w:t>
      </w:r>
      <w:r w:rsidR="00B830FD">
        <w:t>is appropriate for a petition for declaratory ruling.  According to section 1.2(a) of the rules, a declaratory ruling is designed for “terminating a controversy or removing uncertainty.”</w:t>
      </w:r>
      <w:r>
        <w:rPr>
          <w:rStyle w:val="FootnoteReference"/>
        </w:rPr>
        <w:footnoteReference w:id="25"/>
      </w:r>
      <w:r w:rsidR="00B830FD">
        <w:t xml:space="preserve">   The expiration of the Cross City construction </w:t>
      </w:r>
      <w:r w:rsidR="00B830FD">
        <w:t>permit was neither controversial nor uncertain,</w:t>
      </w:r>
      <w:r>
        <w:rPr>
          <w:rStyle w:val="FootnoteReference"/>
        </w:rPr>
        <w:footnoteReference w:id="26"/>
      </w:r>
      <w:r w:rsidR="00B830FD">
        <w:t xml:space="preserve"> </w:t>
      </w:r>
      <w:r w:rsidR="00AA768F">
        <w:t xml:space="preserve">and the consequence of automatic forfeiture </w:t>
      </w:r>
      <w:r w:rsidR="00B830FD">
        <w:t xml:space="preserve"> was </w:t>
      </w:r>
      <w:r w:rsidR="00AA768F">
        <w:t xml:space="preserve">unambiguously </w:t>
      </w:r>
      <w:r w:rsidR="00B830FD">
        <w:t xml:space="preserve">set forth in the </w:t>
      </w:r>
      <w:r w:rsidR="00AA768F">
        <w:t>authorization</w:t>
      </w:r>
      <w:r w:rsidR="00B830FD">
        <w:t xml:space="preserve"> itself</w:t>
      </w:r>
      <w:r w:rsidR="006E5FBB">
        <w:t xml:space="preserve">, as well as </w:t>
      </w:r>
      <w:r w:rsidR="00B830FD">
        <w:t xml:space="preserve">in </w:t>
      </w:r>
      <w:r w:rsidR="007108D3">
        <w:t>s</w:t>
      </w:r>
      <w:r w:rsidRPr="002101DF" w:rsidR="007108D3">
        <w:t>ection 319(b) of the Act</w:t>
      </w:r>
      <w:r w:rsidR="007108D3">
        <w:t xml:space="preserve"> and</w:t>
      </w:r>
      <w:r w:rsidRPr="002101DF" w:rsidR="007108D3">
        <w:t xml:space="preserve"> </w:t>
      </w:r>
      <w:r w:rsidR="00B830FD">
        <w:t>section 73.3598(e) of the rules.</w:t>
      </w:r>
      <w:r>
        <w:rPr>
          <w:rStyle w:val="FootnoteReference"/>
        </w:rPr>
        <w:footnoteReference w:id="27"/>
      </w:r>
      <w:r w:rsidR="00A40354">
        <w:t xml:space="preserve">  </w:t>
      </w:r>
      <w:r w:rsidR="00A359F1">
        <w:t xml:space="preserve">Moreover, a party’s recourse when disagreeing with a clear and non-controversial Commission or staff action is to seek reconsideration or review, not to file a petition for declaratory ruling.  </w:t>
      </w:r>
      <w:r w:rsidR="006F5F55">
        <w:t xml:space="preserve">As the Commission has stated, </w:t>
      </w:r>
      <w:r w:rsidRPr="009758F1" w:rsidR="006F5F55">
        <w:rPr>
          <w:szCs w:val="22"/>
        </w:rPr>
        <w:t>“</w:t>
      </w:r>
      <w:r w:rsidR="006F5F55">
        <w:rPr>
          <w:szCs w:val="22"/>
        </w:rPr>
        <w:t>[a]</w:t>
      </w:r>
      <w:r w:rsidRPr="009758F1" w:rsidR="006F5F55">
        <w:rPr>
          <w:color w:val="000000"/>
          <w:szCs w:val="22"/>
        </w:rPr>
        <w:t xml:space="preserve">n interested person who believes an unambiguous Commission decision is incorrect, however, should either file a timely petition for reconsideration with this Commission or a timely appeal or petition for review with an appropriate Court of Appeals. </w:t>
      </w:r>
      <w:r w:rsidR="006F5F55">
        <w:rPr>
          <w:color w:val="000000"/>
          <w:szCs w:val="22"/>
        </w:rPr>
        <w:t xml:space="preserve"> </w:t>
      </w:r>
      <w:r w:rsidRPr="009758F1" w:rsidR="006F5F55">
        <w:rPr>
          <w:color w:val="000000"/>
          <w:szCs w:val="22"/>
        </w:rPr>
        <w:t>Such persons should not attempt to use a petition for</w:t>
      </w:r>
      <w:r w:rsidR="006F5F55">
        <w:rPr>
          <w:color w:val="000000"/>
          <w:szCs w:val="22"/>
        </w:rPr>
        <w:t xml:space="preserve"> declaratory ruling </w:t>
      </w:r>
      <w:r w:rsidRPr="009758F1" w:rsidR="006F5F55">
        <w:rPr>
          <w:color w:val="000000"/>
          <w:szCs w:val="22"/>
        </w:rPr>
        <w:t>as a</w:t>
      </w:r>
      <w:r w:rsidR="006F5F55">
        <w:rPr>
          <w:color w:val="000000"/>
          <w:szCs w:val="22"/>
        </w:rPr>
        <w:t xml:space="preserve"> substitute</w:t>
      </w:r>
      <w:r w:rsidRPr="009758F1" w:rsidR="006F5F55">
        <w:rPr>
          <w:color w:val="000000"/>
          <w:szCs w:val="22"/>
        </w:rPr>
        <w:t xml:space="preserve"> for a petition for</w:t>
      </w:r>
      <w:r w:rsidR="006F5F55">
        <w:rPr>
          <w:color w:val="000000"/>
          <w:szCs w:val="22"/>
        </w:rPr>
        <w:t xml:space="preserve"> reconsideration</w:t>
      </w:r>
      <w:r w:rsidRPr="009758F1" w:rsidR="006F5F55">
        <w:rPr>
          <w:color w:val="000000"/>
          <w:szCs w:val="22"/>
        </w:rPr>
        <w:t>.</w:t>
      </w:r>
      <w:r w:rsidR="006F5F55">
        <w:rPr>
          <w:color w:val="000000"/>
          <w:szCs w:val="22"/>
        </w:rPr>
        <w:t>”</w:t>
      </w:r>
      <w:r>
        <w:rPr>
          <w:rStyle w:val="FootnoteReference"/>
          <w:color w:val="000000"/>
          <w:szCs w:val="22"/>
        </w:rPr>
        <w:footnoteReference w:id="28"/>
      </w:r>
      <w:r w:rsidR="006F5F55">
        <w:t xml:space="preserve"> </w:t>
      </w:r>
    </w:p>
    <w:p w:rsidR="001F2D3D" w:rsidP="007C7596" w14:paraId="632127F3" w14:textId="77777777">
      <w:pPr>
        <w:ind w:firstLine="720"/>
      </w:pPr>
    </w:p>
    <w:p w:rsidR="00003741" w:rsidP="00C9645F" w14:paraId="6CB3E224" w14:textId="2798F4AC">
      <w:pPr>
        <w:ind w:firstLine="720"/>
      </w:pPr>
      <w:r>
        <w:rPr>
          <w:color w:val="000000"/>
          <w:szCs w:val="22"/>
        </w:rPr>
        <w:t xml:space="preserve">  </w:t>
      </w:r>
      <w:r w:rsidR="00745178">
        <w:t>N</w:t>
      </w:r>
      <w:r w:rsidR="006101E7">
        <w:t xml:space="preserve">either of the specific requests for relief raised </w:t>
      </w:r>
      <w:r w:rsidR="00745178">
        <w:t xml:space="preserve">in the Petition for Declaratory Ruling </w:t>
      </w:r>
      <w:r w:rsidR="00411CB7">
        <w:t>was</w:t>
      </w:r>
      <w:r w:rsidR="006101E7">
        <w:t xml:space="preserve"> so </w:t>
      </w:r>
      <w:r w:rsidR="00F3331E">
        <w:t xml:space="preserve">complicated </w:t>
      </w:r>
      <w:r w:rsidR="006101E7">
        <w:t xml:space="preserve">as to require </w:t>
      </w:r>
      <w:r w:rsidR="00A15FE6">
        <w:t>additional</w:t>
      </w:r>
      <w:r w:rsidR="006101E7">
        <w:t xml:space="preserve"> </w:t>
      </w:r>
      <w:r w:rsidR="006101E7">
        <w:t>analysis and extended time for non-parties to file comments.</w:t>
      </w:r>
      <w:r>
        <w:rPr>
          <w:rStyle w:val="FootnoteReference"/>
        </w:rPr>
        <w:footnoteReference w:id="29"/>
      </w:r>
      <w:r w:rsidR="006101E7">
        <w:t xml:space="preserve">  The fact that Urban One disagree</w:t>
      </w:r>
      <w:r w:rsidR="0089419D">
        <w:t>d</w:t>
      </w:r>
      <w:r w:rsidR="006101E7">
        <w:t xml:space="preserve"> with the staff’s </w:t>
      </w:r>
      <w:r w:rsidR="006A3E97">
        <w:t xml:space="preserve">unambiguous </w:t>
      </w:r>
      <w:r w:rsidR="006101E7">
        <w:t>decision</w:t>
      </w:r>
      <w:r w:rsidR="00353141">
        <w:t>s</w:t>
      </w:r>
      <w:r w:rsidR="006101E7">
        <w:t xml:space="preserve"> </w:t>
      </w:r>
      <w:r w:rsidR="0089419D">
        <w:t xml:space="preserve">not to grant the Modification Application or the tolling request </w:t>
      </w:r>
      <w:r w:rsidR="006101E7">
        <w:t xml:space="preserve">does not render </w:t>
      </w:r>
      <w:r w:rsidR="0089419D">
        <w:t xml:space="preserve">either </w:t>
      </w:r>
      <w:r w:rsidR="006101E7">
        <w:t xml:space="preserve">a matter of such complexity </w:t>
      </w:r>
      <w:r w:rsidR="00745178">
        <w:t xml:space="preserve">or of such </w:t>
      </w:r>
      <w:r w:rsidR="006101E7">
        <w:t>public interest that it must be docketed for public comment.</w:t>
      </w:r>
      <w:r>
        <w:rPr>
          <w:rStyle w:val="FootnoteReference"/>
        </w:rPr>
        <w:footnoteReference w:id="30"/>
      </w:r>
      <w:r w:rsidR="006101E7">
        <w:t xml:space="preserve">  </w:t>
      </w:r>
    </w:p>
    <w:p w:rsidR="00143669" w:rsidP="00CA49A2" w14:paraId="63B99EB2" w14:textId="77777777"/>
    <w:p w:rsidR="00C9645F" w:rsidRPr="00C9645F" w:rsidP="00C9645F" w14:paraId="1CFBCC79" w14:textId="1969B6AD">
      <w:pPr>
        <w:ind w:firstLine="720"/>
        <w:rPr>
          <w:szCs w:val="22"/>
        </w:rPr>
      </w:pPr>
      <w:r>
        <w:t xml:space="preserve">Although we disagree that </w:t>
      </w:r>
      <w:r w:rsidR="00DC7080">
        <w:t xml:space="preserve">section 1.2(b) </w:t>
      </w:r>
      <w:r w:rsidR="007B5D5B">
        <w:t xml:space="preserve">required </w:t>
      </w:r>
      <w:r w:rsidR="006B14B3">
        <w:t>that we</w:t>
      </w:r>
      <w:r w:rsidR="007B5D5B">
        <w:t xml:space="preserve"> seek</w:t>
      </w:r>
      <w:r w:rsidR="006B14B3">
        <w:t xml:space="preserve"> </w:t>
      </w:r>
      <w:r w:rsidR="00DC7080">
        <w:t xml:space="preserve">comment on </w:t>
      </w:r>
      <w:r w:rsidR="00D9598C">
        <w:t>Urban One’s request to remove the Cross City allotment from Auction</w:t>
      </w:r>
      <w:r w:rsidR="001F5E2B">
        <w:t xml:space="preserve"> </w:t>
      </w:r>
      <w:r w:rsidR="00D9598C">
        <w:t>109</w:t>
      </w:r>
      <w:r w:rsidR="00DC7080">
        <w:t>, a</w:t>
      </w:r>
      <w:r w:rsidR="00143669">
        <w:t xml:space="preserve">s pointed out in the </w:t>
      </w:r>
      <w:r w:rsidRPr="00B1172C" w:rsidR="00143669">
        <w:rPr>
          <w:i/>
          <w:iCs/>
        </w:rPr>
        <w:t>Declaratory Ruling Decision</w:t>
      </w:r>
      <w:r w:rsidR="00143669">
        <w:t xml:space="preserve">, </w:t>
      </w:r>
      <w:r w:rsidR="00CD3309">
        <w:t xml:space="preserve">nevertheless </w:t>
      </w:r>
      <w:r w:rsidR="00D9598C">
        <w:t xml:space="preserve">the public had multiple opportunities to comment on </w:t>
      </w:r>
      <w:r w:rsidR="00143669">
        <w:t>the entire proposed Auction 106/109 inventory, including the Cross City allotment</w:t>
      </w:r>
      <w:r w:rsidR="00522CFF">
        <w:t>.</w:t>
      </w:r>
      <w:r>
        <w:rPr>
          <w:rStyle w:val="FootnoteReference"/>
        </w:rPr>
        <w:footnoteReference w:id="31"/>
      </w:r>
      <w:r w:rsidR="00143669">
        <w:t xml:space="preserve">  </w:t>
      </w:r>
      <w:r w:rsidR="00D9598C">
        <w:t>Urban One offers no explanation for why those opportunities were not sufficient nor does it explain why it did not avail itself of those opportunities to provide timely input about the Cross City allotment.</w:t>
      </w:r>
      <w:r>
        <w:rPr>
          <w:rStyle w:val="FootnoteReference"/>
        </w:rPr>
        <w:footnoteReference w:id="32"/>
      </w:r>
      <w:r w:rsidR="0023010B">
        <w:t xml:space="preserve">  </w:t>
      </w:r>
      <w:r w:rsidR="00C54DBA">
        <w:t>In the Petition</w:t>
      </w:r>
      <w:r w:rsidR="00A7690B">
        <w:t xml:space="preserve">, </w:t>
      </w:r>
      <w:r w:rsidR="009F1D0D">
        <w:t xml:space="preserve">it neglects to </w:t>
      </w:r>
      <w:r w:rsidR="00D57F22">
        <w:t>acknowledge</w:t>
      </w:r>
      <w:r w:rsidR="009F1D0D">
        <w:t xml:space="preserve"> that it had ample opportunity to comment on the inclusion of </w:t>
      </w:r>
      <w:r w:rsidR="00A7690B">
        <w:t xml:space="preserve">the </w:t>
      </w:r>
      <w:r w:rsidR="009F1D0D">
        <w:t xml:space="preserve">Cross City </w:t>
      </w:r>
      <w:r w:rsidR="00A7690B">
        <w:t xml:space="preserve">allotment </w:t>
      </w:r>
      <w:r w:rsidR="009F1D0D">
        <w:t>in Auctions 106 and 109, but did not do so</w:t>
      </w:r>
      <w:r w:rsidR="0055237B">
        <w:t>.</w:t>
      </w:r>
      <w:r w:rsidR="006334B1">
        <w:t xml:space="preserve"> </w:t>
      </w:r>
      <w:r w:rsidR="00A83542">
        <w:t xml:space="preserve"> Urban One has mis-read the </w:t>
      </w:r>
      <w:r w:rsidR="00D57F22">
        <w:t>framework</w:t>
      </w:r>
      <w:r w:rsidR="00D57F22">
        <w:t xml:space="preserve"> </w:t>
      </w:r>
      <w:r w:rsidR="00A83542">
        <w:t>of section 1.2(b), and we reject its argument in this regard.</w:t>
      </w:r>
      <w:r w:rsidR="0055237B">
        <w:t xml:space="preserve">  </w:t>
      </w:r>
    </w:p>
    <w:p w:rsidR="00C9645F" w:rsidRPr="00C9645F" w:rsidP="00C9645F" w14:paraId="6654A8F0" w14:textId="77777777">
      <w:pPr>
        <w:ind w:firstLine="720"/>
        <w:rPr>
          <w:szCs w:val="22"/>
        </w:rPr>
      </w:pPr>
    </w:p>
    <w:p w:rsidR="007C7596" w:rsidP="007C7596" w14:paraId="0E8ED690" w14:textId="00DE9C9D">
      <w:pPr>
        <w:ind w:firstLine="720"/>
        <w:rPr>
          <w:color w:val="000000"/>
          <w:szCs w:val="22"/>
        </w:rPr>
      </w:pPr>
      <w:r w:rsidRPr="00430332">
        <w:rPr>
          <w:color w:val="000000"/>
          <w:szCs w:val="22"/>
          <w:u w:val="single"/>
        </w:rPr>
        <w:t xml:space="preserve">Retroactive application of eligible entity </w:t>
      </w:r>
      <w:r w:rsidR="00B12E89">
        <w:rPr>
          <w:color w:val="000000"/>
          <w:szCs w:val="22"/>
          <w:u w:val="single"/>
        </w:rPr>
        <w:t>definition</w:t>
      </w:r>
      <w:r w:rsidRPr="00430332">
        <w:rPr>
          <w:color w:val="000000"/>
          <w:szCs w:val="22"/>
          <w:u w:val="single"/>
        </w:rPr>
        <w:t xml:space="preserve"> and section 73.3598(a)</w:t>
      </w:r>
      <w:r>
        <w:rPr>
          <w:color w:val="000000"/>
          <w:szCs w:val="22"/>
        </w:rPr>
        <w:t xml:space="preserve">.  </w:t>
      </w:r>
      <w:r w:rsidR="00171802">
        <w:rPr>
          <w:color w:val="000000"/>
          <w:szCs w:val="22"/>
        </w:rPr>
        <w:t xml:space="preserve">We disagree </w:t>
      </w:r>
      <w:r w:rsidR="00C97D28">
        <w:rPr>
          <w:color w:val="000000"/>
          <w:szCs w:val="22"/>
        </w:rPr>
        <w:t xml:space="preserve">with Urban One and find the Bureau’s 2021 reinstatement of the eligible entity policy cannot be retroactively </w:t>
      </w:r>
      <w:r w:rsidR="00C97D28">
        <w:rPr>
          <w:color w:val="000000"/>
          <w:szCs w:val="22"/>
        </w:rPr>
        <w:t>applied to the Urban One construction permit</w:t>
      </w:r>
      <w:r w:rsidR="00147B20">
        <w:rPr>
          <w:color w:val="000000"/>
          <w:szCs w:val="22"/>
        </w:rPr>
        <w:t xml:space="preserve">, </w:t>
      </w:r>
      <w:r w:rsidR="00E3143D">
        <w:rPr>
          <w:color w:val="000000"/>
          <w:szCs w:val="22"/>
        </w:rPr>
        <w:t>which expired and was automatically forfeited on July 21, 2014</w:t>
      </w:r>
      <w:r w:rsidR="00147B20">
        <w:rPr>
          <w:color w:val="000000"/>
          <w:szCs w:val="22"/>
        </w:rPr>
        <w:t xml:space="preserve">.  </w:t>
      </w:r>
      <w:r w:rsidR="0024607A">
        <w:rPr>
          <w:color w:val="000000"/>
          <w:szCs w:val="22"/>
        </w:rPr>
        <w:t xml:space="preserve">Throughout this protracted proceeding, </w:t>
      </w:r>
      <w:r w:rsidR="00BA7F41">
        <w:rPr>
          <w:color w:val="000000"/>
          <w:szCs w:val="22"/>
        </w:rPr>
        <w:t xml:space="preserve">Urban One has claimed to be an “eligible entity,” and that it is </w:t>
      </w:r>
      <w:r w:rsidR="002D50F8">
        <w:rPr>
          <w:color w:val="000000"/>
          <w:szCs w:val="22"/>
        </w:rPr>
        <w:t xml:space="preserve">therefore </w:t>
      </w:r>
      <w:r w:rsidR="0024607A">
        <w:rPr>
          <w:color w:val="000000"/>
          <w:szCs w:val="22"/>
        </w:rPr>
        <w:t xml:space="preserve">unequivocally </w:t>
      </w:r>
      <w:r w:rsidR="00BA7F41">
        <w:rPr>
          <w:color w:val="000000"/>
          <w:szCs w:val="22"/>
        </w:rPr>
        <w:t>entitled</w:t>
      </w:r>
      <w:r w:rsidR="002D50F8">
        <w:rPr>
          <w:color w:val="000000"/>
          <w:szCs w:val="22"/>
        </w:rPr>
        <w:t xml:space="preserve"> </w:t>
      </w:r>
      <w:r w:rsidR="00BA7F41">
        <w:rPr>
          <w:color w:val="000000"/>
          <w:szCs w:val="22"/>
        </w:rPr>
        <w:t xml:space="preserve">to an additional 18 months in which to construct the </w:t>
      </w:r>
      <w:r w:rsidR="002D50F8">
        <w:rPr>
          <w:color w:val="000000"/>
          <w:szCs w:val="22"/>
        </w:rPr>
        <w:t>Station</w:t>
      </w:r>
      <w:r w:rsidR="00BA7F41">
        <w:rPr>
          <w:color w:val="000000"/>
          <w:szCs w:val="22"/>
        </w:rPr>
        <w:t>.</w:t>
      </w:r>
      <w:r>
        <w:rPr>
          <w:rStyle w:val="FootnoteReference"/>
          <w:color w:val="000000"/>
          <w:szCs w:val="22"/>
        </w:rPr>
        <w:footnoteReference w:id="33"/>
      </w:r>
      <w:r w:rsidR="00BA7F41">
        <w:rPr>
          <w:color w:val="000000"/>
          <w:szCs w:val="22"/>
        </w:rPr>
        <w:t xml:space="preserve">  It</w:t>
      </w:r>
      <w:r w:rsidR="00E336DA">
        <w:rPr>
          <w:color w:val="000000"/>
          <w:szCs w:val="22"/>
        </w:rPr>
        <w:t xml:space="preserve"> argues that the </w:t>
      </w:r>
      <w:r w:rsidR="00BA7F41">
        <w:rPr>
          <w:color w:val="000000"/>
          <w:szCs w:val="22"/>
        </w:rPr>
        <w:t xml:space="preserve">Commission’s </w:t>
      </w:r>
      <w:r w:rsidR="00E336DA">
        <w:rPr>
          <w:color w:val="000000"/>
          <w:szCs w:val="22"/>
        </w:rPr>
        <w:t xml:space="preserve">eligible entity </w:t>
      </w:r>
      <w:r w:rsidR="00BA7F41">
        <w:rPr>
          <w:color w:val="000000"/>
          <w:szCs w:val="22"/>
        </w:rPr>
        <w:t>definition</w:t>
      </w:r>
      <w:r w:rsidR="00E336DA">
        <w:rPr>
          <w:color w:val="000000"/>
          <w:szCs w:val="22"/>
        </w:rPr>
        <w:t xml:space="preserve"> should be retroactively applied to it because the rule </w:t>
      </w:r>
      <w:r w:rsidR="008E294D">
        <w:rPr>
          <w:color w:val="000000"/>
          <w:szCs w:val="22"/>
        </w:rPr>
        <w:t>“went into effect in 2008.”</w:t>
      </w:r>
      <w:r>
        <w:rPr>
          <w:rStyle w:val="FootnoteReference"/>
          <w:color w:val="000000"/>
          <w:szCs w:val="22"/>
        </w:rPr>
        <w:footnoteReference w:id="34"/>
      </w:r>
      <w:r w:rsidR="008E294D">
        <w:rPr>
          <w:color w:val="000000"/>
          <w:szCs w:val="22"/>
        </w:rPr>
        <w:t xml:space="preserve">  Urban One further argues that the eligible entity </w:t>
      </w:r>
      <w:r w:rsidR="00BA7F41">
        <w:rPr>
          <w:color w:val="000000"/>
          <w:szCs w:val="22"/>
        </w:rPr>
        <w:t xml:space="preserve">definition and rules </w:t>
      </w:r>
      <w:r w:rsidR="00D14EDE">
        <w:rPr>
          <w:color w:val="000000"/>
          <w:szCs w:val="22"/>
        </w:rPr>
        <w:t>applying</w:t>
      </w:r>
      <w:r w:rsidR="00BA7F41">
        <w:rPr>
          <w:color w:val="000000"/>
          <w:szCs w:val="22"/>
        </w:rPr>
        <w:t xml:space="preserve"> that definition, which were reinstated by the United States Supreme Court in 2021,</w:t>
      </w:r>
      <w:r>
        <w:rPr>
          <w:rStyle w:val="FootnoteReference"/>
          <w:color w:val="000000"/>
          <w:szCs w:val="22"/>
        </w:rPr>
        <w:footnoteReference w:id="35"/>
      </w:r>
      <w:r w:rsidR="008E294D">
        <w:rPr>
          <w:color w:val="000000"/>
          <w:szCs w:val="22"/>
        </w:rPr>
        <w:t xml:space="preserve"> should be considered</w:t>
      </w:r>
      <w:r w:rsidR="00F45BA6">
        <w:rPr>
          <w:color w:val="000000"/>
          <w:szCs w:val="22"/>
        </w:rPr>
        <w:t xml:space="preserve"> to be of</w:t>
      </w:r>
      <w:r w:rsidR="008E294D">
        <w:rPr>
          <w:color w:val="000000"/>
          <w:szCs w:val="22"/>
        </w:rPr>
        <w:t xml:space="preserve"> </w:t>
      </w:r>
      <w:r w:rsidR="001E4A3E">
        <w:rPr>
          <w:color w:val="000000"/>
          <w:szCs w:val="22"/>
        </w:rPr>
        <w:t>“</w:t>
      </w:r>
      <w:r w:rsidR="005428C6">
        <w:rPr>
          <w:color w:val="000000"/>
          <w:szCs w:val="22"/>
        </w:rPr>
        <w:t xml:space="preserve">retroactive </w:t>
      </w:r>
      <w:r w:rsidR="001E4A3E">
        <w:rPr>
          <w:color w:val="000000"/>
          <w:szCs w:val="22"/>
        </w:rPr>
        <w:t xml:space="preserve">effect . . . appropriate for </w:t>
      </w:r>
      <w:r w:rsidR="005428C6">
        <w:rPr>
          <w:color w:val="000000"/>
          <w:szCs w:val="22"/>
        </w:rPr>
        <w:t>new application</w:t>
      </w:r>
      <w:r w:rsidR="001E4A3E">
        <w:rPr>
          <w:color w:val="000000"/>
          <w:szCs w:val="22"/>
        </w:rPr>
        <w:t>s</w:t>
      </w:r>
      <w:r w:rsidR="005428C6">
        <w:rPr>
          <w:color w:val="000000"/>
          <w:szCs w:val="22"/>
        </w:rPr>
        <w:t xml:space="preserve"> of existing law, clarification</w:t>
      </w:r>
      <w:r w:rsidR="001E4A3E">
        <w:rPr>
          <w:color w:val="000000"/>
          <w:szCs w:val="22"/>
        </w:rPr>
        <w:t>s</w:t>
      </w:r>
      <w:r w:rsidR="005428C6">
        <w:rPr>
          <w:color w:val="000000"/>
          <w:szCs w:val="22"/>
        </w:rPr>
        <w:t>, and addition</w:t>
      </w:r>
      <w:r w:rsidR="001E4A3E">
        <w:rPr>
          <w:color w:val="000000"/>
          <w:szCs w:val="22"/>
        </w:rPr>
        <w:t>s</w:t>
      </w:r>
      <w:r w:rsidR="005428C6">
        <w:rPr>
          <w:color w:val="000000"/>
          <w:szCs w:val="22"/>
        </w:rPr>
        <w:t>.</w:t>
      </w:r>
      <w:r w:rsidR="001E4A3E">
        <w:rPr>
          <w:color w:val="000000"/>
          <w:szCs w:val="22"/>
        </w:rPr>
        <w:t>”</w:t>
      </w:r>
      <w:r>
        <w:rPr>
          <w:rStyle w:val="FootnoteReference"/>
          <w:color w:val="000000"/>
          <w:szCs w:val="22"/>
        </w:rPr>
        <w:footnoteReference w:id="36"/>
      </w:r>
      <w:r w:rsidR="005428C6">
        <w:rPr>
          <w:color w:val="000000"/>
          <w:szCs w:val="22"/>
        </w:rPr>
        <w:t xml:space="preserve">  Further, </w:t>
      </w:r>
      <w:r w:rsidR="00104EED">
        <w:rPr>
          <w:color w:val="000000"/>
          <w:szCs w:val="22"/>
        </w:rPr>
        <w:t xml:space="preserve">citing certain specific aspects of its </w:t>
      </w:r>
      <w:r w:rsidR="00DD71E6">
        <w:rPr>
          <w:color w:val="000000"/>
          <w:szCs w:val="22"/>
        </w:rPr>
        <w:t xml:space="preserve">prior 2014 </w:t>
      </w:r>
      <w:r w:rsidR="00104EED">
        <w:rPr>
          <w:color w:val="000000"/>
          <w:szCs w:val="22"/>
        </w:rPr>
        <w:t xml:space="preserve">attempt to modify the </w:t>
      </w:r>
      <w:r w:rsidR="007E76FC">
        <w:rPr>
          <w:color w:val="000000"/>
          <w:szCs w:val="22"/>
        </w:rPr>
        <w:t>Station</w:t>
      </w:r>
      <w:r w:rsidR="00104EED">
        <w:rPr>
          <w:color w:val="000000"/>
          <w:szCs w:val="22"/>
        </w:rPr>
        <w:t xml:space="preserve"> construction permit</w:t>
      </w:r>
      <w:r w:rsidR="00845F5B">
        <w:rPr>
          <w:color w:val="000000"/>
          <w:szCs w:val="22"/>
        </w:rPr>
        <w:t xml:space="preserve">, Urban One contends that “equity and fairness” </w:t>
      </w:r>
      <w:r w:rsidR="00171258">
        <w:rPr>
          <w:color w:val="000000"/>
          <w:szCs w:val="22"/>
        </w:rPr>
        <w:t>must now</w:t>
      </w:r>
      <w:r w:rsidR="00845F5B">
        <w:rPr>
          <w:color w:val="000000"/>
          <w:szCs w:val="22"/>
        </w:rPr>
        <w:t xml:space="preserve"> be applied and </w:t>
      </w:r>
      <w:r w:rsidR="00171258">
        <w:rPr>
          <w:color w:val="000000"/>
          <w:szCs w:val="22"/>
        </w:rPr>
        <w:t xml:space="preserve">should </w:t>
      </w:r>
      <w:r w:rsidR="00845F5B">
        <w:rPr>
          <w:color w:val="000000"/>
          <w:szCs w:val="22"/>
        </w:rPr>
        <w:t>dictate that the Cross City construction permit be returned to it.</w:t>
      </w:r>
      <w:r>
        <w:rPr>
          <w:rStyle w:val="FootnoteReference"/>
          <w:color w:val="000000"/>
          <w:szCs w:val="22"/>
        </w:rPr>
        <w:footnoteReference w:id="37"/>
      </w:r>
    </w:p>
    <w:p w:rsidR="005A0998" w:rsidP="007C7596" w14:paraId="17C384F7" w14:textId="17C2FA0A">
      <w:pPr>
        <w:ind w:firstLine="720"/>
        <w:rPr>
          <w:color w:val="000000"/>
          <w:szCs w:val="22"/>
        </w:rPr>
      </w:pPr>
    </w:p>
    <w:p w:rsidR="005A0998" w:rsidP="007C7596" w14:paraId="2DFF17B1" w14:textId="19ABE1AD">
      <w:pPr>
        <w:ind w:firstLine="720"/>
        <w:rPr>
          <w:color w:val="000000"/>
          <w:szCs w:val="22"/>
        </w:rPr>
      </w:pPr>
      <w:r>
        <w:rPr>
          <w:color w:val="000000"/>
          <w:szCs w:val="22"/>
        </w:rPr>
        <w:t xml:space="preserve">As noted, the revenue-based eligible entity definition, as well as the revision to section 73.3598 of the rules allowing an eligible entity acquiring an expiring construction permit up to an additional 18 months to construct the facility, were first adopted in the Commission’s </w:t>
      </w:r>
      <w:r w:rsidRPr="00167635">
        <w:rPr>
          <w:i/>
          <w:iCs/>
          <w:color w:val="000000"/>
          <w:szCs w:val="22"/>
        </w:rPr>
        <w:t>2008 Diversity Order</w:t>
      </w:r>
      <w:r>
        <w:rPr>
          <w:color w:val="000000"/>
          <w:szCs w:val="22"/>
        </w:rPr>
        <w:t>.</w:t>
      </w:r>
      <w:r>
        <w:rPr>
          <w:rStyle w:val="FootnoteReference"/>
          <w:color w:val="000000"/>
          <w:szCs w:val="22"/>
        </w:rPr>
        <w:footnoteReference w:id="38"/>
      </w:r>
      <w:r w:rsidR="0024481F">
        <w:rPr>
          <w:color w:val="000000"/>
          <w:szCs w:val="22"/>
        </w:rPr>
        <w:t xml:space="preserve"> </w:t>
      </w:r>
      <w:r w:rsidR="008833B8">
        <w:rPr>
          <w:color w:val="000000"/>
          <w:szCs w:val="22"/>
        </w:rPr>
        <w:t xml:space="preserve"> </w:t>
      </w:r>
      <w:r w:rsidR="00D25505">
        <w:rPr>
          <w:color w:val="000000"/>
          <w:szCs w:val="22"/>
        </w:rPr>
        <w:t xml:space="preserve">The United States Court of Appeals for the Third Circuit vacated </w:t>
      </w:r>
      <w:r w:rsidR="00C70DA7">
        <w:rPr>
          <w:color w:val="000000"/>
          <w:szCs w:val="22"/>
        </w:rPr>
        <w:t>the</w:t>
      </w:r>
      <w:r w:rsidR="005D1A21">
        <w:rPr>
          <w:color w:val="000000"/>
          <w:szCs w:val="22"/>
        </w:rPr>
        <w:t xml:space="preserve"> eligible entity definition, and the rules </w:t>
      </w:r>
      <w:r w:rsidR="004A1DBC">
        <w:rPr>
          <w:color w:val="000000"/>
          <w:szCs w:val="22"/>
        </w:rPr>
        <w:t>reliant on</w:t>
      </w:r>
      <w:r w:rsidR="005D1A21">
        <w:rPr>
          <w:color w:val="000000"/>
          <w:szCs w:val="22"/>
        </w:rPr>
        <w:t xml:space="preserve"> that definition</w:t>
      </w:r>
      <w:r w:rsidR="00D25505">
        <w:rPr>
          <w:color w:val="000000"/>
          <w:szCs w:val="22"/>
        </w:rPr>
        <w:t xml:space="preserve"> </w:t>
      </w:r>
      <w:r w:rsidR="005D1A21">
        <w:rPr>
          <w:color w:val="000000"/>
          <w:szCs w:val="22"/>
        </w:rPr>
        <w:t>in 2011</w:t>
      </w:r>
      <w:r w:rsidR="005140E1">
        <w:rPr>
          <w:color w:val="000000"/>
          <w:szCs w:val="22"/>
        </w:rPr>
        <w:t>,</w:t>
      </w:r>
      <w:r>
        <w:rPr>
          <w:rStyle w:val="FootnoteReference"/>
          <w:color w:val="000000"/>
          <w:szCs w:val="22"/>
        </w:rPr>
        <w:footnoteReference w:id="39"/>
      </w:r>
      <w:r w:rsidR="005140E1">
        <w:rPr>
          <w:color w:val="000000"/>
          <w:szCs w:val="22"/>
        </w:rPr>
        <w:t xml:space="preserve"> before </w:t>
      </w:r>
      <w:r w:rsidR="00D25505">
        <w:rPr>
          <w:color w:val="000000"/>
          <w:szCs w:val="22"/>
        </w:rPr>
        <w:t xml:space="preserve">Urban One acquired </w:t>
      </w:r>
      <w:r w:rsidR="005140E1">
        <w:rPr>
          <w:color w:val="000000"/>
          <w:szCs w:val="22"/>
        </w:rPr>
        <w:t xml:space="preserve">the Cross City construction </w:t>
      </w:r>
      <w:r w:rsidRPr="00F221E4" w:rsidR="005140E1">
        <w:rPr>
          <w:color w:val="000000"/>
          <w:szCs w:val="22"/>
        </w:rPr>
        <w:t>permit</w:t>
      </w:r>
      <w:r w:rsidRPr="00F221E4" w:rsidR="00A8773F">
        <w:rPr>
          <w:color w:val="000000"/>
          <w:szCs w:val="22"/>
        </w:rPr>
        <w:t xml:space="preserve"> in 2013</w:t>
      </w:r>
      <w:r w:rsidRPr="00F221E4" w:rsidR="005140E1">
        <w:rPr>
          <w:color w:val="000000"/>
          <w:szCs w:val="22"/>
        </w:rPr>
        <w:t>.</w:t>
      </w:r>
      <w:r w:rsidR="005140E1">
        <w:rPr>
          <w:color w:val="000000"/>
          <w:szCs w:val="22"/>
        </w:rPr>
        <w:t xml:space="preserve">  </w:t>
      </w:r>
      <w:r w:rsidR="00F42CA7">
        <w:rPr>
          <w:color w:val="000000"/>
          <w:szCs w:val="22"/>
        </w:rPr>
        <w:t xml:space="preserve">The eligible entity definition, and correlating rules, were subsequently addressed </w:t>
      </w:r>
      <w:r w:rsidR="00E77C96">
        <w:rPr>
          <w:color w:val="000000"/>
          <w:szCs w:val="22"/>
        </w:rPr>
        <w:t xml:space="preserve">and re-adopted </w:t>
      </w:r>
      <w:r w:rsidR="00F42CA7">
        <w:rPr>
          <w:color w:val="000000"/>
          <w:szCs w:val="22"/>
        </w:rPr>
        <w:t xml:space="preserve">by the Commission in August 2016, in the </w:t>
      </w:r>
      <w:r w:rsidRPr="006F0FFA" w:rsidR="00F42CA7">
        <w:rPr>
          <w:i/>
          <w:iCs/>
          <w:color w:val="000000"/>
          <w:szCs w:val="22"/>
        </w:rPr>
        <w:t>2014/2010 Quadrennial Second R&amp;O</w:t>
      </w:r>
      <w:r w:rsidR="00F42CA7">
        <w:rPr>
          <w:color w:val="000000"/>
          <w:szCs w:val="22"/>
        </w:rPr>
        <w:t>.</w:t>
      </w:r>
      <w:r>
        <w:rPr>
          <w:rStyle w:val="FootnoteReference"/>
          <w:color w:val="000000"/>
          <w:szCs w:val="22"/>
        </w:rPr>
        <w:footnoteReference w:id="40"/>
      </w:r>
      <w:r w:rsidR="00F42CA7">
        <w:rPr>
          <w:color w:val="000000"/>
          <w:szCs w:val="22"/>
        </w:rPr>
        <w:t xml:space="preserve">  When that </w:t>
      </w:r>
      <w:r w:rsidR="00E77C96">
        <w:rPr>
          <w:color w:val="000000"/>
          <w:szCs w:val="22"/>
        </w:rPr>
        <w:t xml:space="preserve">re-adopted </w:t>
      </w:r>
      <w:r w:rsidR="00F42CA7">
        <w:rPr>
          <w:color w:val="000000"/>
          <w:szCs w:val="22"/>
        </w:rPr>
        <w:t xml:space="preserve">definition </w:t>
      </w:r>
      <w:r w:rsidR="00E77C96">
        <w:rPr>
          <w:color w:val="000000"/>
          <w:szCs w:val="22"/>
        </w:rPr>
        <w:t>became effective</w:t>
      </w:r>
      <w:r w:rsidR="00110922">
        <w:rPr>
          <w:color w:val="000000"/>
          <w:szCs w:val="22"/>
        </w:rPr>
        <w:t xml:space="preserve"> in December 2016,</w:t>
      </w:r>
      <w:r w:rsidR="00F42CA7">
        <w:rPr>
          <w:color w:val="000000"/>
          <w:szCs w:val="22"/>
        </w:rPr>
        <w:t xml:space="preserve"> the Cross City construction permit had already expired and been forfeited by its terms, and Urban One had exhausted its remedies before the Commission.</w:t>
      </w:r>
      <w:r>
        <w:rPr>
          <w:rStyle w:val="FootnoteReference"/>
          <w:color w:val="000000"/>
          <w:szCs w:val="22"/>
        </w:rPr>
        <w:footnoteReference w:id="41"/>
      </w:r>
    </w:p>
    <w:p w:rsidR="00760FB2" w:rsidP="007C7596" w14:paraId="13ED7239" w14:textId="1743BAEB">
      <w:pPr>
        <w:ind w:firstLine="720"/>
        <w:rPr>
          <w:color w:val="000000"/>
          <w:szCs w:val="22"/>
        </w:rPr>
      </w:pPr>
    </w:p>
    <w:p w:rsidR="00D60EAF" w:rsidP="007C7596" w14:paraId="6D155C9B" w14:textId="5EA6CA3C">
      <w:pPr>
        <w:ind w:firstLine="720"/>
        <w:rPr>
          <w:color w:val="000000"/>
          <w:szCs w:val="22"/>
        </w:rPr>
      </w:pPr>
      <w:r>
        <w:rPr>
          <w:color w:val="000000"/>
          <w:szCs w:val="22"/>
        </w:rPr>
        <w:t>It</w:t>
      </w:r>
      <w:r w:rsidR="00760FB2">
        <w:rPr>
          <w:color w:val="000000"/>
          <w:szCs w:val="22"/>
        </w:rPr>
        <w:t xml:space="preserve"> is </w:t>
      </w:r>
      <w:r w:rsidR="00BC50FC">
        <w:rPr>
          <w:color w:val="000000"/>
          <w:szCs w:val="22"/>
        </w:rPr>
        <w:t xml:space="preserve">thus </w:t>
      </w:r>
      <w:r w:rsidR="001A0399">
        <w:rPr>
          <w:color w:val="000000"/>
          <w:szCs w:val="22"/>
        </w:rPr>
        <w:t>undisputed</w:t>
      </w:r>
      <w:r w:rsidR="001A0399">
        <w:rPr>
          <w:color w:val="000000"/>
          <w:szCs w:val="22"/>
        </w:rPr>
        <w:t xml:space="preserve"> </w:t>
      </w:r>
      <w:r w:rsidR="00760FB2">
        <w:rPr>
          <w:color w:val="000000"/>
          <w:szCs w:val="22"/>
        </w:rPr>
        <w:t xml:space="preserve">that the </w:t>
      </w:r>
      <w:r>
        <w:rPr>
          <w:color w:val="000000"/>
          <w:szCs w:val="22"/>
        </w:rPr>
        <w:t xml:space="preserve">eligible entity </w:t>
      </w:r>
      <w:r w:rsidR="00760FB2">
        <w:rPr>
          <w:color w:val="000000"/>
          <w:szCs w:val="22"/>
        </w:rPr>
        <w:t xml:space="preserve">definition, and the </w:t>
      </w:r>
      <w:r w:rsidR="00696D5A">
        <w:rPr>
          <w:color w:val="000000"/>
          <w:szCs w:val="22"/>
        </w:rPr>
        <w:t xml:space="preserve">specific rule relying on that definition </w:t>
      </w:r>
      <w:r w:rsidR="00847DE0">
        <w:rPr>
          <w:color w:val="000000"/>
          <w:szCs w:val="22"/>
        </w:rPr>
        <w:t>that</w:t>
      </w:r>
      <w:r w:rsidR="00696D5A">
        <w:rPr>
          <w:color w:val="000000"/>
          <w:szCs w:val="22"/>
        </w:rPr>
        <w:t xml:space="preserve"> </w:t>
      </w:r>
      <w:r w:rsidR="00847DE0">
        <w:t>gave</w:t>
      </w:r>
      <w:r w:rsidR="00696D5A">
        <w:t xml:space="preserve"> </w:t>
      </w:r>
      <w:r w:rsidR="00847DE0">
        <w:t>certain</w:t>
      </w:r>
      <w:r w:rsidR="00696D5A">
        <w:t xml:space="preserve"> eligible entit</w:t>
      </w:r>
      <w:r w:rsidR="00847DE0">
        <w:t>ies</w:t>
      </w:r>
      <w:r w:rsidR="00696D5A">
        <w:t xml:space="preserve"> additional time to build out </w:t>
      </w:r>
      <w:r w:rsidR="00847DE0">
        <w:t>their</w:t>
      </w:r>
      <w:r w:rsidR="00696D5A">
        <w:t xml:space="preserve"> facilities</w:t>
      </w:r>
      <w:r w:rsidR="00760FB2">
        <w:rPr>
          <w:color w:val="000000"/>
          <w:szCs w:val="22"/>
        </w:rPr>
        <w:t>,</w:t>
      </w:r>
      <w:r>
        <w:rPr>
          <w:rStyle w:val="FootnoteReference"/>
          <w:color w:val="000000"/>
          <w:szCs w:val="22"/>
        </w:rPr>
        <w:footnoteReference w:id="42"/>
      </w:r>
      <w:r w:rsidR="00760FB2">
        <w:rPr>
          <w:color w:val="000000"/>
          <w:szCs w:val="22"/>
        </w:rPr>
        <w:t xml:space="preserve"> were not in effect at any time from the date when Urban One first acquired the Cross City construction permit, through the date when that permit expired and was forfeited by its terms, and through the date when</w:t>
      </w:r>
      <w:r w:rsidR="00B90884">
        <w:rPr>
          <w:color w:val="000000"/>
          <w:szCs w:val="22"/>
        </w:rPr>
        <w:t xml:space="preserve"> the Commission </w:t>
      </w:r>
      <w:r w:rsidR="00B90884">
        <w:rPr>
          <w:color w:val="000000"/>
          <w:szCs w:val="22"/>
        </w:rPr>
        <w:t>finally rejected</w:t>
      </w:r>
      <w:r w:rsidR="00760FB2">
        <w:rPr>
          <w:color w:val="000000"/>
          <w:szCs w:val="22"/>
        </w:rPr>
        <w:t xml:space="preserve"> Urban One</w:t>
      </w:r>
      <w:r w:rsidR="00B90884">
        <w:rPr>
          <w:color w:val="000000"/>
          <w:szCs w:val="22"/>
        </w:rPr>
        <w:t>’s</w:t>
      </w:r>
      <w:r w:rsidR="00760FB2">
        <w:rPr>
          <w:color w:val="000000"/>
          <w:szCs w:val="22"/>
        </w:rPr>
        <w:t xml:space="preserve"> </w:t>
      </w:r>
      <w:r w:rsidR="00B90884">
        <w:rPr>
          <w:color w:val="000000"/>
          <w:szCs w:val="22"/>
        </w:rPr>
        <w:t>attempts to revive the construction permit</w:t>
      </w:r>
      <w:r w:rsidR="00760FB2">
        <w:rPr>
          <w:color w:val="000000"/>
          <w:szCs w:val="22"/>
        </w:rPr>
        <w:t>.  Urban One itself states in its Petition that “an agency that fails to comply with its own regulations is fatal to the deviant action.”</w:t>
      </w:r>
      <w:r>
        <w:rPr>
          <w:rStyle w:val="FootnoteReference"/>
          <w:color w:val="000000"/>
          <w:szCs w:val="22"/>
        </w:rPr>
        <w:footnoteReference w:id="43"/>
      </w:r>
      <w:r w:rsidR="000C6ABD">
        <w:rPr>
          <w:color w:val="000000"/>
          <w:szCs w:val="22"/>
        </w:rPr>
        <w:t xml:space="preserve">  It is true that</w:t>
      </w:r>
      <w:r w:rsidR="00B8180A">
        <w:rPr>
          <w:color w:val="000000"/>
          <w:szCs w:val="22"/>
        </w:rPr>
        <w:t>,</w:t>
      </w:r>
      <w:r w:rsidR="000C6ABD">
        <w:rPr>
          <w:color w:val="000000"/>
          <w:szCs w:val="22"/>
        </w:rPr>
        <w:t xml:space="preserve"> as </w:t>
      </w:r>
      <w:bookmarkStart w:id="4" w:name="_Hlk106288313"/>
      <w:r w:rsidRPr="000C6ABD" w:rsidR="000C6ABD">
        <w:rPr>
          <w:color w:val="000000"/>
          <w:szCs w:val="22"/>
        </w:rPr>
        <w:t>a general matter, an administrative agency must</w:t>
      </w:r>
      <w:r w:rsidR="000C6ABD">
        <w:rPr>
          <w:color w:val="000000"/>
          <w:szCs w:val="22"/>
        </w:rPr>
        <w:t xml:space="preserve"> apply</w:t>
      </w:r>
      <w:r w:rsidRPr="000C6ABD" w:rsidR="000C6ABD">
        <w:rPr>
          <w:color w:val="000000"/>
          <w:szCs w:val="22"/>
        </w:rPr>
        <w:t xml:space="preserve"> the law in effect at the time it renders its decision unless there is some indication to the contrary in the statute or its legislative history or unless the new statute or</w:t>
      </w:r>
      <w:r w:rsidR="000C6ABD">
        <w:rPr>
          <w:color w:val="000000"/>
          <w:szCs w:val="22"/>
        </w:rPr>
        <w:t xml:space="preserve"> rule</w:t>
      </w:r>
      <w:r w:rsidRPr="000C6ABD" w:rsidR="000C6ABD">
        <w:rPr>
          <w:color w:val="000000"/>
          <w:szCs w:val="22"/>
        </w:rPr>
        <w:t xml:space="preserve"> would have</w:t>
      </w:r>
      <w:r w:rsidR="000C6ABD">
        <w:rPr>
          <w:color w:val="000000"/>
          <w:szCs w:val="22"/>
        </w:rPr>
        <w:t xml:space="preserve"> retroactive</w:t>
      </w:r>
      <w:r w:rsidRPr="000C6ABD" w:rsidR="000C6ABD">
        <w:rPr>
          <w:color w:val="000000"/>
          <w:szCs w:val="22"/>
        </w:rPr>
        <w:t xml:space="preserve"> effect.</w:t>
      </w:r>
      <w:bookmarkEnd w:id="4"/>
      <w:r>
        <w:rPr>
          <w:rStyle w:val="FootnoteReference"/>
          <w:color w:val="000000"/>
          <w:szCs w:val="22"/>
        </w:rPr>
        <w:footnoteReference w:id="44"/>
      </w:r>
      <w:r w:rsidR="00771365">
        <w:rPr>
          <w:color w:val="000000"/>
          <w:szCs w:val="22"/>
        </w:rPr>
        <w:t xml:space="preserve">  </w:t>
      </w:r>
      <w:r w:rsidR="00B8180A">
        <w:rPr>
          <w:color w:val="000000"/>
          <w:szCs w:val="22"/>
        </w:rPr>
        <w:t xml:space="preserve">What Urban One fails to </w:t>
      </w:r>
      <w:r w:rsidR="00EB6260">
        <w:rPr>
          <w:color w:val="000000"/>
          <w:szCs w:val="22"/>
        </w:rPr>
        <w:t>recognize</w:t>
      </w:r>
      <w:r w:rsidR="00EB6260">
        <w:rPr>
          <w:color w:val="000000"/>
          <w:szCs w:val="22"/>
        </w:rPr>
        <w:t xml:space="preserve"> </w:t>
      </w:r>
      <w:r w:rsidR="00B8180A">
        <w:rPr>
          <w:color w:val="000000"/>
          <w:szCs w:val="22"/>
        </w:rPr>
        <w:t>is that</w:t>
      </w:r>
      <w:r w:rsidR="00653608">
        <w:rPr>
          <w:color w:val="000000"/>
          <w:szCs w:val="22"/>
        </w:rPr>
        <w:t>, at the time the Bureau and the Commission released their decisions regarding the Station construction permit,</w:t>
      </w:r>
      <w:r w:rsidR="00B8180A">
        <w:rPr>
          <w:color w:val="000000"/>
          <w:szCs w:val="22"/>
        </w:rPr>
        <w:t xml:space="preserve"> the</w:t>
      </w:r>
      <w:r w:rsidR="00771365">
        <w:rPr>
          <w:color w:val="000000"/>
          <w:szCs w:val="22"/>
        </w:rPr>
        <w:t xml:space="preserve"> </w:t>
      </w:r>
      <w:r w:rsidR="0048614E">
        <w:rPr>
          <w:color w:val="000000"/>
          <w:szCs w:val="22"/>
        </w:rPr>
        <w:t>rule</w:t>
      </w:r>
      <w:r w:rsidR="00771365">
        <w:rPr>
          <w:color w:val="000000"/>
          <w:szCs w:val="22"/>
        </w:rPr>
        <w:t xml:space="preserve"> in effect did not include the eligible entity definition, nor did it include the</w:t>
      </w:r>
      <w:r w:rsidR="00696D5A">
        <w:rPr>
          <w:color w:val="000000"/>
          <w:szCs w:val="22"/>
        </w:rPr>
        <w:t xml:space="preserve"> allowance for an</w:t>
      </w:r>
      <w:r w:rsidR="00771365">
        <w:rPr>
          <w:color w:val="000000"/>
          <w:szCs w:val="22"/>
        </w:rPr>
        <w:t xml:space="preserve"> additional 18 months </w:t>
      </w:r>
      <w:r w:rsidR="00696D5A">
        <w:rPr>
          <w:color w:val="000000"/>
          <w:szCs w:val="22"/>
        </w:rPr>
        <w:t>to construct</w:t>
      </w:r>
      <w:r w:rsidR="00771365">
        <w:rPr>
          <w:color w:val="000000"/>
          <w:szCs w:val="22"/>
        </w:rPr>
        <w:t xml:space="preserve"> that Urban One now demands.  </w:t>
      </w:r>
      <w:r>
        <w:rPr>
          <w:color w:val="000000"/>
          <w:szCs w:val="22"/>
        </w:rPr>
        <w:t xml:space="preserve">In rejecting Urban One’s arguments and demands for extra time to construct, the Bureau and Commission </w:t>
      </w:r>
      <w:r w:rsidR="00EE2B11">
        <w:rPr>
          <w:color w:val="000000"/>
          <w:szCs w:val="22"/>
        </w:rPr>
        <w:t xml:space="preserve">correctly </w:t>
      </w:r>
      <w:r>
        <w:rPr>
          <w:color w:val="000000"/>
          <w:szCs w:val="22"/>
        </w:rPr>
        <w:t>applied the law in effect</w:t>
      </w:r>
      <w:r w:rsidR="00EE2B11">
        <w:rPr>
          <w:color w:val="000000"/>
          <w:szCs w:val="22"/>
        </w:rPr>
        <w:t xml:space="preserve"> at the time</w:t>
      </w:r>
      <w:r>
        <w:rPr>
          <w:color w:val="000000"/>
          <w:szCs w:val="22"/>
        </w:rPr>
        <w:t>.</w:t>
      </w:r>
      <w:r w:rsidR="0039336C">
        <w:rPr>
          <w:color w:val="000000"/>
          <w:szCs w:val="22"/>
        </w:rPr>
        <w:t xml:space="preserve">  </w:t>
      </w:r>
    </w:p>
    <w:p w:rsidR="00D60EAF" w:rsidP="007C7596" w14:paraId="6720BB20" w14:textId="77777777">
      <w:pPr>
        <w:ind w:firstLine="720"/>
        <w:rPr>
          <w:color w:val="000000"/>
          <w:szCs w:val="22"/>
        </w:rPr>
      </w:pPr>
    </w:p>
    <w:p w:rsidR="00B80C60" w:rsidP="007C7596" w14:paraId="249AA569" w14:textId="5A2ED2B9">
      <w:pPr>
        <w:ind w:firstLine="720"/>
        <w:rPr>
          <w:color w:val="000000"/>
          <w:szCs w:val="22"/>
        </w:rPr>
      </w:pPr>
      <w:r>
        <w:rPr>
          <w:color w:val="000000"/>
          <w:szCs w:val="22"/>
        </w:rPr>
        <w:t xml:space="preserve">We therefore reject Urban One’s argument that the 2021 </w:t>
      </w:r>
      <w:r w:rsidRPr="00750136">
        <w:rPr>
          <w:i/>
          <w:iCs/>
          <w:color w:val="000000"/>
          <w:szCs w:val="22"/>
        </w:rPr>
        <w:t>Prometheus</w:t>
      </w:r>
      <w:r>
        <w:rPr>
          <w:color w:val="000000"/>
          <w:szCs w:val="22"/>
        </w:rPr>
        <w:t xml:space="preserve"> </w:t>
      </w:r>
      <w:r w:rsidRPr="002146B7">
        <w:rPr>
          <w:i/>
          <w:iCs/>
          <w:color w:val="000000"/>
          <w:szCs w:val="22"/>
        </w:rPr>
        <w:t>Supreme Court Decision</w:t>
      </w:r>
      <w:r>
        <w:rPr>
          <w:color w:val="000000"/>
          <w:szCs w:val="22"/>
        </w:rPr>
        <w:t xml:space="preserve"> invalidates the entire administrative history of the eligible entity definition and the rules employing that definition.  Urban One seems to contend that the </w:t>
      </w:r>
      <w:r w:rsidRPr="003C6586">
        <w:rPr>
          <w:i/>
          <w:iCs/>
          <w:color w:val="000000"/>
          <w:szCs w:val="22"/>
        </w:rPr>
        <w:t>Prometheus Supreme Court Decision</w:t>
      </w:r>
      <w:r>
        <w:rPr>
          <w:color w:val="000000"/>
          <w:szCs w:val="22"/>
        </w:rPr>
        <w:t xml:space="preserve"> effectively nullified the </w:t>
      </w:r>
      <w:r w:rsidR="00B90884">
        <w:rPr>
          <w:color w:val="000000"/>
          <w:szCs w:val="22"/>
        </w:rPr>
        <w:t>entire</w:t>
      </w:r>
      <w:r>
        <w:rPr>
          <w:color w:val="000000"/>
          <w:szCs w:val="22"/>
        </w:rPr>
        <w:t xml:space="preserve"> intervening record of the eligible entity definition from 2008 to the present, including the </w:t>
      </w:r>
      <w:r w:rsidR="00515A82">
        <w:rPr>
          <w:color w:val="000000"/>
          <w:szCs w:val="22"/>
        </w:rPr>
        <w:t xml:space="preserve">two </w:t>
      </w:r>
      <w:r>
        <w:rPr>
          <w:color w:val="000000"/>
          <w:szCs w:val="22"/>
        </w:rPr>
        <w:t>prior vacat</w:t>
      </w:r>
      <w:r w:rsidR="00D205EB">
        <w:rPr>
          <w:color w:val="000000"/>
          <w:szCs w:val="22"/>
        </w:rPr>
        <w:t>ur</w:t>
      </w:r>
      <w:r w:rsidR="00515A82">
        <w:rPr>
          <w:color w:val="000000"/>
          <w:szCs w:val="22"/>
        </w:rPr>
        <w:t>s</w:t>
      </w:r>
      <w:r>
        <w:rPr>
          <w:color w:val="000000"/>
          <w:szCs w:val="22"/>
        </w:rPr>
        <w:t xml:space="preserve"> and remand</w:t>
      </w:r>
      <w:r w:rsidR="00515A82">
        <w:rPr>
          <w:color w:val="000000"/>
          <w:szCs w:val="22"/>
        </w:rPr>
        <w:t>s</w:t>
      </w:r>
      <w:r>
        <w:rPr>
          <w:color w:val="000000"/>
          <w:szCs w:val="22"/>
        </w:rPr>
        <w:t xml:space="preserve"> of the definition by a court of appeals, </w:t>
      </w:r>
      <w:r w:rsidR="00515A82">
        <w:rPr>
          <w:color w:val="000000"/>
          <w:szCs w:val="22"/>
        </w:rPr>
        <w:t xml:space="preserve">ensuing </w:t>
      </w:r>
      <w:r>
        <w:rPr>
          <w:color w:val="000000"/>
          <w:szCs w:val="22"/>
        </w:rPr>
        <w:t xml:space="preserve">suspensions of that definition and related rules by the Commission, and the </w:t>
      </w:r>
      <w:r w:rsidR="00515A82">
        <w:rPr>
          <w:color w:val="000000"/>
          <w:szCs w:val="22"/>
        </w:rPr>
        <w:t xml:space="preserve">ultimate </w:t>
      </w:r>
      <w:r>
        <w:rPr>
          <w:color w:val="000000"/>
          <w:szCs w:val="22"/>
        </w:rPr>
        <w:t xml:space="preserve">lifting of the suspension upon reinstatement of the definition pursuant to a </w:t>
      </w:r>
      <w:r w:rsidR="00515A82">
        <w:rPr>
          <w:color w:val="000000"/>
          <w:szCs w:val="22"/>
        </w:rPr>
        <w:t xml:space="preserve">Supreme Court </w:t>
      </w:r>
      <w:r>
        <w:rPr>
          <w:color w:val="000000"/>
          <w:szCs w:val="22"/>
        </w:rPr>
        <w:t xml:space="preserve"> reversal.</w:t>
      </w:r>
      <w:r>
        <w:rPr>
          <w:rStyle w:val="FootnoteReference"/>
          <w:color w:val="000000"/>
          <w:szCs w:val="22"/>
        </w:rPr>
        <w:footnoteReference w:id="45"/>
      </w:r>
      <w:r>
        <w:rPr>
          <w:color w:val="000000"/>
          <w:szCs w:val="22"/>
        </w:rPr>
        <w:t xml:space="preserve">  As noted above, the Commission is bound by the law as it exists at the time a given case is decided, and that body of law included all court and Commission decisions pertaining to</w:t>
      </w:r>
      <w:r>
        <w:rPr>
          <w:color w:val="000000"/>
          <w:szCs w:val="22"/>
        </w:rPr>
        <w:t xml:space="preserve"> </w:t>
      </w:r>
      <w:r>
        <w:rPr>
          <w:color w:val="000000"/>
          <w:szCs w:val="22"/>
        </w:rPr>
        <w:t>the eligible entity definition.  Those valid legal actions did not cease to exist</w:t>
      </w:r>
      <w:r>
        <w:rPr>
          <w:color w:val="000000"/>
          <w:szCs w:val="22"/>
        </w:rPr>
        <w:t xml:space="preserve"> </w:t>
      </w:r>
      <w:r>
        <w:rPr>
          <w:color w:val="000000"/>
          <w:szCs w:val="22"/>
        </w:rPr>
        <w:t>on the day the Supreme Court reversed the court of appeals decision, such that parties affected by those earlier actions—legally correct when made—may now come before us to demand that we retroactively render the definition and correlating rules applicable during the time periods when the regulations were not actually in effect.  We know of no precedent, and Urban One cites none, to support this novel proposition.</w:t>
      </w:r>
      <w:r>
        <w:rPr>
          <w:rStyle w:val="FootnoteReference"/>
          <w:color w:val="000000"/>
          <w:szCs w:val="22"/>
        </w:rPr>
        <w:footnoteReference w:id="46"/>
      </w:r>
    </w:p>
    <w:p w:rsidR="00B80C60" w:rsidP="007C7596" w14:paraId="09BF4310" w14:textId="77777777">
      <w:pPr>
        <w:ind w:firstLine="720"/>
        <w:rPr>
          <w:color w:val="000000"/>
          <w:szCs w:val="22"/>
        </w:rPr>
      </w:pPr>
    </w:p>
    <w:p w:rsidR="00760FB2" w:rsidP="007C7596" w14:paraId="1C66846B" w14:textId="71C48073">
      <w:pPr>
        <w:ind w:firstLine="720"/>
        <w:rPr>
          <w:color w:val="000000"/>
          <w:szCs w:val="22"/>
        </w:rPr>
      </w:pPr>
      <w:r>
        <w:rPr>
          <w:color w:val="000000"/>
          <w:szCs w:val="22"/>
        </w:rPr>
        <w:t xml:space="preserve">Moreover, Urban One ignores the fact that the procedural history of the eligible entity </w:t>
      </w:r>
      <w:r w:rsidR="00E47771">
        <w:rPr>
          <w:color w:val="000000"/>
          <w:szCs w:val="22"/>
        </w:rPr>
        <w:t>policy</w:t>
      </w:r>
      <w:r>
        <w:rPr>
          <w:color w:val="000000"/>
          <w:szCs w:val="22"/>
        </w:rPr>
        <w:t xml:space="preserve"> includes Commission public notices, published </w:t>
      </w:r>
      <w:r w:rsidR="005B7ADF">
        <w:rPr>
          <w:color w:val="000000"/>
          <w:szCs w:val="22"/>
        </w:rPr>
        <w:t>in accordance with section 552(a) of the Administrative Procedure Act</w:t>
      </w:r>
      <w:r>
        <w:rPr>
          <w:color w:val="000000"/>
          <w:szCs w:val="22"/>
        </w:rPr>
        <w:t>,</w:t>
      </w:r>
      <w:r>
        <w:rPr>
          <w:rStyle w:val="FootnoteReference"/>
          <w:color w:val="000000"/>
          <w:szCs w:val="22"/>
        </w:rPr>
        <w:footnoteReference w:id="47"/>
      </w:r>
      <w:r>
        <w:rPr>
          <w:color w:val="000000"/>
          <w:szCs w:val="22"/>
        </w:rPr>
        <w:t xml:space="preserve"> announcing the effective dates of </w:t>
      </w:r>
      <w:r w:rsidR="00E47771">
        <w:rPr>
          <w:color w:val="000000"/>
          <w:szCs w:val="22"/>
        </w:rPr>
        <w:t xml:space="preserve">both rule suspensions </w:t>
      </w:r>
      <w:r w:rsidR="00663B99">
        <w:rPr>
          <w:color w:val="000000"/>
          <w:szCs w:val="22"/>
        </w:rPr>
        <w:t xml:space="preserve">and </w:t>
      </w:r>
      <w:r w:rsidR="00E47771">
        <w:rPr>
          <w:color w:val="000000"/>
          <w:szCs w:val="22"/>
        </w:rPr>
        <w:t>rule reinstatements</w:t>
      </w:r>
      <w:r>
        <w:rPr>
          <w:color w:val="000000"/>
          <w:szCs w:val="22"/>
        </w:rPr>
        <w:t>.</w:t>
      </w:r>
      <w:r>
        <w:rPr>
          <w:rStyle w:val="FootnoteReference"/>
          <w:color w:val="000000"/>
          <w:szCs w:val="22"/>
        </w:rPr>
        <w:footnoteReference w:id="48"/>
      </w:r>
      <w:r>
        <w:rPr>
          <w:color w:val="000000"/>
          <w:szCs w:val="22"/>
        </w:rPr>
        <w:t xml:space="preserve">  This includes </w:t>
      </w:r>
      <w:r w:rsidR="002146B7">
        <w:rPr>
          <w:color w:val="000000"/>
          <w:szCs w:val="22"/>
        </w:rPr>
        <w:t xml:space="preserve">notice of </w:t>
      </w:r>
      <w:r>
        <w:rPr>
          <w:color w:val="000000"/>
          <w:szCs w:val="22"/>
        </w:rPr>
        <w:t>the effective date of those rules post-</w:t>
      </w:r>
      <w:r w:rsidRPr="002146B7">
        <w:rPr>
          <w:i/>
          <w:iCs/>
          <w:color w:val="000000"/>
          <w:szCs w:val="22"/>
        </w:rPr>
        <w:t>Prometheus Supreme Court Decision</w:t>
      </w:r>
      <w:r>
        <w:rPr>
          <w:color w:val="000000"/>
          <w:szCs w:val="22"/>
        </w:rPr>
        <w:t>.</w:t>
      </w:r>
      <w:r>
        <w:rPr>
          <w:rStyle w:val="FootnoteReference"/>
          <w:color w:val="000000"/>
          <w:szCs w:val="22"/>
        </w:rPr>
        <w:footnoteReference w:id="49"/>
      </w:r>
      <w:r w:rsidR="000370A4">
        <w:rPr>
          <w:color w:val="000000"/>
          <w:szCs w:val="22"/>
        </w:rPr>
        <w:t xml:space="preserve">  Urban </w:t>
      </w:r>
      <w:r w:rsidR="000370A4">
        <w:rPr>
          <w:color w:val="000000"/>
          <w:szCs w:val="22"/>
        </w:rPr>
        <w:t xml:space="preserve">One would have us </w:t>
      </w:r>
      <w:r w:rsidR="00925646">
        <w:rPr>
          <w:color w:val="000000"/>
          <w:szCs w:val="22"/>
        </w:rPr>
        <w:t>eradicate</w:t>
      </w:r>
      <w:r w:rsidR="00925646">
        <w:rPr>
          <w:color w:val="000000"/>
          <w:szCs w:val="22"/>
        </w:rPr>
        <w:t xml:space="preserve"> </w:t>
      </w:r>
      <w:r w:rsidR="000370A4">
        <w:rPr>
          <w:color w:val="000000"/>
          <w:szCs w:val="22"/>
        </w:rPr>
        <w:t xml:space="preserve">these published </w:t>
      </w:r>
      <w:r w:rsidR="005B7ADF">
        <w:rPr>
          <w:color w:val="000000"/>
          <w:szCs w:val="22"/>
        </w:rPr>
        <w:t xml:space="preserve">effective date </w:t>
      </w:r>
      <w:r w:rsidR="000370A4">
        <w:rPr>
          <w:color w:val="000000"/>
          <w:szCs w:val="22"/>
        </w:rPr>
        <w:t>notices</w:t>
      </w:r>
      <w:r w:rsidR="005B7ADF">
        <w:rPr>
          <w:color w:val="000000"/>
          <w:szCs w:val="22"/>
        </w:rPr>
        <w:t xml:space="preserve"> </w:t>
      </w:r>
      <w:r w:rsidR="000370A4">
        <w:rPr>
          <w:color w:val="000000"/>
          <w:szCs w:val="22"/>
        </w:rPr>
        <w:t xml:space="preserve">in order to substitute its own preferred effective date </w:t>
      </w:r>
      <w:r w:rsidR="005B7ADF">
        <w:rPr>
          <w:color w:val="000000"/>
          <w:szCs w:val="22"/>
        </w:rPr>
        <w:t>for</w:t>
      </w:r>
      <w:r w:rsidR="000370A4">
        <w:rPr>
          <w:color w:val="000000"/>
          <w:szCs w:val="22"/>
        </w:rPr>
        <w:t xml:space="preserve"> the previously vacated rules.</w:t>
      </w:r>
      <w:r>
        <w:rPr>
          <w:color w:val="000000"/>
          <w:szCs w:val="22"/>
        </w:rPr>
        <w:t xml:space="preserve">  </w:t>
      </w:r>
      <w:r w:rsidR="00264BCD">
        <w:rPr>
          <w:color w:val="000000"/>
          <w:szCs w:val="22"/>
        </w:rPr>
        <w:t xml:space="preserve">Again, however, Urban One may not re-write </w:t>
      </w:r>
      <w:r w:rsidR="005B7ADF">
        <w:rPr>
          <w:color w:val="000000"/>
          <w:szCs w:val="22"/>
        </w:rPr>
        <w:t>the record</w:t>
      </w:r>
      <w:r w:rsidR="00264BCD">
        <w:rPr>
          <w:color w:val="000000"/>
          <w:szCs w:val="22"/>
        </w:rPr>
        <w:t xml:space="preserve"> in order to </w:t>
      </w:r>
      <w:r w:rsidR="005B7ADF">
        <w:rPr>
          <w:color w:val="000000"/>
          <w:szCs w:val="22"/>
        </w:rPr>
        <w:t>sidestep</w:t>
      </w:r>
      <w:r w:rsidR="00264BCD">
        <w:rPr>
          <w:color w:val="000000"/>
          <w:szCs w:val="22"/>
        </w:rPr>
        <w:t xml:space="preserve"> the Cross City permit</w:t>
      </w:r>
      <w:r w:rsidR="00AB25A1">
        <w:rPr>
          <w:color w:val="000000"/>
          <w:szCs w:val="22"/>
        </w:rPr>
        <w:t>’s</w:t>
      </w:r>
      <w:r w:rsidR="00264BCD">
        <w:rPr>
          <w:color w:val="000000"/>
          <w:szCs w:val="22"/>
        </w:rPr>
        <w:t xml:space="preserve"> expir</w:t>
      </w:r>
      <w:r w:rsidR="00AB25A1">
        <w:rPr>
          <w:color w:val="000000"/>
          <w:szCs w:val="22"/>
        </w:rPr>
        <w:t>ation</w:t>
      </w:r>
      <w:r w:rsidR="00264BCD">
        <w:rPr>
          <w:color w:val="000000"/>
          <w:szCs w:val="22"/>
        </w:rPr>
        <w:t xml:space="preserve"> at a time when the eligible entity definition, and the construction permit extension provisions of section 73.3598, had been suspended.  We therefore reject Urban One’s attempt to argue that the eligible entity definition and related rule should be applied </w:t>
      </w:r>
      <w:r w:rsidRPr="00264BCD" w:rsidR="00264BCD">
        <w:rPr>
          <w:i/>
          <w:iCs/>
          <w:color w:val="000000"/>
          <w:szCs w:val="22"/>
        </w:rPr>
        <w:t>post hoc</w:t>
      </w:r>
      <w:r w:rsidR="00264BCD">
        <w:rPr>
          <w:color w:val="000000"/>
          <w:szCs w:val="22"/>
        </w:rPr>
        <w:t xml:space="preserve"> </w:t>
      </w:r>
      <w:r w:rsidR="00925646">
        <w:rPr>
          <w:color w:val="000000"/>
          <w:szCs w:val="22"/>
        </w:rPr>
        <w:t xml:space="preserve">in order </w:t>
      </w:r>
      <w:r w:rsidR="00264BCD">
        <w:rPr>
          <w:color w:val="000000"/>
          <w:szCs w:val="22"/>
        </w:rPr>
        <w:t xml:space="preserve">to resurrect the </w:t>
      </w:r>
      <w:r w:rsidR="00BE7B62">
        <w:rPr>
          <w:color w:val="000000"/>
          <w:szCs w:val="22"/>
        </w:rPr>
        <w:t xml:space="preserve">forfeited </w:t>
      </w:r>
      <w:r w:rsidR="00264BCD">
        <w:rPr>
          <w:color w:val="000000"/>
          <w:szCs w:val="22"/>
        </w:rPr>
        <w:t>Cross City permit.</w:t>
      </w:r>
    </w:p>
    <w:p w:rsidR="00ED1D48" w:rsidP="00B96346" w14:paraId="23227CA1" w14:textId="7D13ED00">
      <w:pPr>
        <w:rPr>
          <w:rFonts w:eastAsia="Calibri"/>
          <w:szCs w:val="22"/>
        </w:rPr>
      </w:pPr>
    </w:p>
    <w:p w:rsidR="00CB53C5" w:rsidP="007C7596" w14:paraId="016CD5AC" w14:textId="16E7B560">
      <w:pPr>
        <w:ind w:firstLine="720"/>
        <w:rPr>
          <w:rFonts w:eastAsia="Calibri"/>
          <w:szCs w:val="22"/>
        </w:rPr>
      </w:pPr>
      <w:r>
        <w:rPr>
          <w:rFonts w:eastAsia="Calibri"/>
          <w:szCs w:val="22"/>
          <w:u w:val="single"/>
        </w:rPr>
        <w:t>Equity arguments</w:t>
      </w:r>
      <w:r w:rsidR="00ED1D48">
        <w:rPr>
          <w:rFonts w:eastAsia="Calibri"/>
          <w:szCs w:val="22"/>
        </w:rPr>
        <w:t xml:space="preserve">.  </w:t>
      </w:r>
      <w:r w:rsidR="00B950C6">
        <w:rPr>
          <w:rFonts w:eastAsia="Calibri"/>
          <w:szCs w:val="22"/>
        </w:rPr>
        <w:t xml:space="preserve">We </w:t>
      </w:r>
      <w:r w:rsidR="00B90884">
        <w:rPr>
          <w:rFonts w:eastAsia="Calibri"/>
          <w:szCs w:val="22"/>
        </w:rPr>
        <w:t xml:space="preserve">also </w:t>
      </w:r>
      <w:r w:rsidR="00B950C6">
        <w:rPr>
          <w:rFonts w:eastAsia="Calibri"/>
          <w:szCs w:val="22"/>
        </w:rPr>
        <w:t xml:space="preserve">reject Urban One’s claim that we must reinstate its construction permit based on </w:t>
      </w:r>
      <w:r w:rsidR="00D7219C">
        <w:rPr>
          <w:rFonts w:eastAsia="Calibri"/>
          <w:szCs w:val="22"/>
        </w:rPr>
        <w:t>“equity and fairness</w:t>
      </w:r>
      <w:r w:rsidR="003C44D0">
        <w:rPr>
          <w:rFonts w:eastAsia="Calibri"/>
          <w:szCs w:val="22"/>
        </w:rPr>
        <w:t>.</w:t>
      </w:r>
      <w:r w:rsidR="00D7219C">
        <w:rPr>
          <w:rFonts w:eastAsia="Calibri"/>
          <w:szCs w:val="22"/>
        </w:rPr>
        <w:t xml:space="preserve">”  </w:t>
      </w:r>
      <w:r w:rsidR="00AC309F">
        <w:rPr>
          <w:rFonts w:eastAsia="Calibri"/>
          <w:szCs w:val="22"/>
        </w:rPr>
        <w:t xml:space="preserve">Apart </w:t>
      </w:r>
      <w:r w:rsidR="00A0043F">
        <w:rPr>
          <w:rFonts w:eastAsia="Calibri"/>
          <w:szCs w:val="22"/>
        </w:rPr>
        <w:t xml:space="preserve">from </w:t>
      </w:r>
      <w:r w:rsidR="00AC309F">
        <w:rPr>
          <w:rFonts w:eastAsia="Calibri"/>
          <w:szCs w:val="22"/>
        </w:rPr>
        <w:t xml:space="preserve">contradicting the history of </w:t>
      </w:r>
      <w:r w:rsidR="00ED1D48">
        <w:rPr>
          <w:rFonts w:eastAsia="Calibri"/>
          <w:szCs w:val="22"/>
        </w:rPr>
        <w:t>Urban One</w:t>
      </w:r>
      <w:r w:rsidR="00D7219C">
        <w:rPr>
          <w:rFonts w:eastAsia="Calibri"/>
          <w:szCs w:val="22"/>
        </w:rPr>
        <w:t>’s</w:t>
      </w:r>
      <w:r w:rsidR="00ED1D48">
        <w:rPr>
          <w:rFonts w:eastAsia="Calibri"/>
          <w:szCs w:val="22"/>
        </w:rPr>
        <w:t xml:space="preserve"> </w:t>
      </w:r>
      <w:r w:rsidR="00AC309F">
        <w:rPr>
          <w:rFonts w:eastAsia="Calibri"/>
          <w:szCs w:val="22"/>
        </w:rPr>
        <w:t>Cross City construction permit,</w:t>
      </w:r>
      <w:r>
        <w:rPr>
          <w:rStyle w:val="FootnoteReference"/>
          <w:rFonts w:eastAsia="Calibri"/>
          <w:szCs w:val="22"/>
        </w:rPr>
        <w:footnoteReference w:id="50"/>
      </w:r>
      <w:r w:rsidR="00AC309F">
        <w:rPr>
          <w:rFonts w:eastAsia="Calibri"/>
          <w:szCs w:val="22"/>
        </w:rPr>
        <w:t xml:space="preserve"> its </w:t>
      </w:r>
      <w:r>
        <w:rPr>
          <w:rFonts w:eastAsia="Calibri"/>
          <w:szCs w:val="22"/>
        </w:rPr>
        <w:t xml:space="preserve">appeals to “equity and fairness” </w:t>
      </w:r>
      <w:r w:rsidR="00AC309F">
        <w:rPr>
          <w:rFonts w:eastAsia="Calibri"/>
          <w:szCs w:val="22"/>
        </w:rPr>
        <w:t>are nothing more than an attempt to relitigate the Modification Application, the Commission’s denial of which has been final for years</w:t>
      </w:r>
      <w:r>
        <w:rPr>
          <w:rFonts w:eastAsia="Calibri"/>
          <w:szCs w:val="22"/>
        </w:rPr>
        <w:t xml:space="preserve">.  </w:t>
      </w:r>
    </w:p>
    <w:p w:rsidR="00370EB3" w:rsidP="007C7596" w14:paraId="2C8A0AFC" w14:textId="6BA5A641">
      <w:pPr>
        <w:ind w:firstLine="720"/>
        <w:rPr>
          <w:rFonts w:eastAsia="Calibri"/>
          <w:szCs w:val="22"/>
        </w:rPr>
      </w:pPr>
    </w:p>
    <w:p w:rsidR="002627FD" w:rsidRPr="00F221E4" w:rsidP="00F221E4" w14:paraId="7B33D6DD" w14:textId="5225D51A">
      <w:pPr>
        <w:ind w:firstLine="720"/>
        <w:rPr>
          <w:rStyle w:val="SubtleEmphasis"/>
          <w:rFonts w:eastAsia="Calibri"/>
          <w:i w:val="0"/>
          <w:iCs w:val="0"/>
          <w:color w:val="auto"/>
          <w:szCs w:val="22"/>
        </w:rPr>
      </w:pPr>
      <w:r>
        <w:rPr>
          <w:rFonts w:eastAsia="Calibri"/>
          <w:szCs w:val="22"/>
        </w:rPr>
        <w:t>A</w:t>
      </w:r>
      <w:r w:rsidR="00C538BF">
        <w:rPr>
          <w:rFonts w:eastAsia="Calibri"/>
          <w:szCs w:val="22"/>
        </w:rPr>
        <w:t xml:space="preserve">s discussed in the </w:t>
      </w:r>
      <w:r w:rsidR="00B9649C">
        <w:rPr>
          <w:rFonts w:eastAsia="Calibri"/>
          <w:szCs w:val="22"/>
        </w:rPr>
        <w:t>Background</w:t>
      </w:r>
      <w:r w:rsidR="00C538BF">
        <w:rPr>
          <w:rFonts w:eastAsia="Calibri"/>
          <w:szCs w:val="22"/>
        </w:rPr>
        <w:t xml:space="preserve"> section above, Urban One has extensively pleaded, and the Commission has rejected, its arguments regarding the </w:t>
      </w:r>
      <w:r w:rsidR="00F412BB">
        <w:rPr>
          <w:rFonts w:eastAsia="Calibri"/>
          <w:szCs w:val="22"/>
        </w:rPr>
        <w:t>M</w:t>
      </w:r>
      <w:r w:rsidR="00C538BF">
        <w:rPr>
          <w:rFonts w:eastAsia="Calibri"/>
          <w:szCs w:val="22"/>
        </w:rPr>
        <w:t xml:space="preserve">odification </w:t>
      </w:r>
      <w:r w:rsidR="00F412BB">
        <w:rPr>
          <w:rFonts w:eastAsia="Calibri"/>
          <w:szCs w:val="22"/>
        </w:rPr>
        <w:t>A</w:t>
      </w:r>
      <w:r w:rsidR="00C538BF">
        <w:rPr>
          <w:rFonts w:eastAsia="Calibri"/>
          <w:szCs w:val="22"/>
        </w:rPr>
        <w:t>pplication it filed for the Cross City construction permit.</w:t>
      </w:r>
      <w:r>
        <w:rPr>
          <w:rStyle w:val="FootnoteReference"/>
          <w:rFonts w:eastAsia="Calibri"/>
          <w:szCs w:val="22"/>
        </w:rPr>
        <w:footnoteReference w:id="51"/>
      </w:r>
      <w:r w:rsidR="00C538BF">
        <w:rPr>
          <w:rFonts w:eastAsia="Calibri"/>
          <w:szCs w:val="22"/>
        </w:rPr>
        <w:t xml:space="preserve">  Having unsuccessfully sought Commission and court review of these contentions, Urban One may not simply re-argue the points, years later, by labeling them a</w:t>
      </w:r>
      <w:r w:rsidR="00B9649C">
        <w:rPr>
          <w:rFonts w:eastAsia="Calibri"/>
          <w:szCs w:val="22"/>
        </w:rPr>
        <w:t>n appeal to “equity and fairness</w:t>
      </w:r>
      <w:r w:rsidR="00C538BF">
        <w:rPr>
          <w:rFonts w:eastAsia="Calibri"/>
          <w:szCs w:val="22"/>
        </w:rPr>
        <w:t xml:space="preserve">.”  </w:t>
      </w:r>
      <w:r>
        <w:rPr>
          <w:rFonts w:eastAsia="Calibri"/>
          <w:szCs w:val="22"/>
        </w:rPr>
        <w:t xml:space="preserve">This is especially true where, as here, Urban One </w:t>
      </w:r>
      <w:r w:rsidR="00DB317A">
        <w:t xml:space="preserve">attempts to use a petition for reconsideration of a what we have already determined to be an invalid </w:t>
      </w:r>
      <w:r w:rsidR="00B90884">
        <w:t>P</w:t>
      </w:r>
      <w:r w:rsidR="00DB317A">
        <w:t xml:space="preserve">etition for </w:t>
      </w:r>
      <w:r w:rsidR="00B90884">
        <w:t>D</w:t>
      </w:r>
      <w:r w:rsidR="00DB317A">
        <w:t xml:space="preserve">eclaratory </w:t>
      </w:r>
      <w:r w:rsidR="00B90884">
        <w:t>R</w:t>
      </w:r>
      <w:r w:rsidR="00DB317A">
        <w:t xml:space="preserve">uling to introduce new arguments in matters that have already been argued, decided, and dismissed.  We thus dismiss Urban One’s “equity and fairness” arguments as </w:t>
      </w:r>
      <w:r w:rsidR="003E0FB4">
        <w:t>untimely</w:t>
      </w:r>
      <w:r w:rsidR="00DB317A">
        <w:t>.</w:t>
      </w:r>
      <w:r>
        <w:rPr>
          <w:rStyle w:val="FootnoteReference"/>
        </w:rPr>
        <w:footnoteReference w:id="52"/>
      </w:r>
      <w:r w:rsidR="00DB317A">
        <w:t xml:space="preserve">  </w:t>
      </w:r>
    </w:p>
    <w:p w:rsidR="0014584C" w:rsidP="007C7596" w14:paraId="3AD518EC" w14:textId="1C29EB3B">
      <w:pPr>
        <w:ind w:firstLine="720"/>
        <w:rPr>
          <w:rStyle w:val="SubtleEmphasis"/>
          <w:rFonts w:eastAsia="Calibri"/>
          <w:i w:val="0"/>
          <w:iCs w:val="0"/>
        </w:rPr>
      </w:pPr>
    </w:p>
    <w:p w:rsidR="0014584C" w:rsidP="007C7596" w14:paraId="0F31F394" w14:textId="7FE07DA5">
      <w:pPr>
        <w:ind w:firstLine="720"/>
        <w:rPr>
          <w:rStyle w:val="SubtleEmphasis"/>
          <w:rFonts w:eastAsia="Calibri"/>
          <w:i w:val="0"/>
          <w:iCs w:val="0"/>
        </w:rPr>
      </w:pPr>
      <w:r w:rsidRPr="000E090F">
        <w:rPr>
          <w:rStyle w:val="SubtleEmphasis"/>
          <w:rFonts w:eastAsia="Calibri"/>
          <w:b/>
          <w:bCs/>
          <w:i w:val="0"/>
          <w:iCs w:val="0"/>
        </w:rPr>
        <w:t>Conclusion</w:t>
      </w:r>
      <w:r>
        <w:rPr>
          <w:rStyle w:val="SubtleEmphasis"/>
          <w:rFonts w:eastAsia="Calibri"/>
          <w:i w:val="0"/>
          <w:iCs w:val="0"/>
        </w:rPr>
        <w:t xml:space="preserve">.  </w:t>
      </w:r>
      <w:r w:rsidR="000E090F">
        <w:rPr>
          <w:rStyle w:val="SubtleEmphasis"/>
          <w:rFonts w:eastAsia="Calibri"/>
          <w:i w:val="0"/>
          <w:iCs w:val="0"/>
        </w:rPr>
        <w:t xml:space="preserve">Because Urban One has not presented us with new facts or circumstances justifying reconsideration of the </w:t>
      </w:r>
      <w:r w:rsidRPr="000E090F" w:rsidR="000E090F">
        <w:rPr>
          <w:rStyle w:val="SubtleEmphasis"/>
          <w:rFonts w:eastAsia="Calibri"/>
        </w:rPr>
        <w:t>Declaratory Ruling Decision</w:t>
      </w:r>
      <w:r w:rsidR="000E090F">
        <w:rPr>
          <w:rStyle w:val="SubtleEmphasis"/>
          <w:rFonts w:eastAsia="Calibri"/>
          <w:i w:val="0"/>
          <w:iCs w:val="0"/>
        </w:rPr>
        <w:t xml:space="preserve">, we dismiss the Petition.  As discussed above, on </w:t>
      </w:r>
      <w:r w:rsidR="0071694F">
        <w:rPr>
          <w:rStyle w:val="SubtleEmphasis"/>
          <w:rFonts w:eastAsia="Calibri"/>
          <w:i w:val="0"/>
          <w:iCs w:val="0"/>
        </w:rPr>
        <w:t xml:space="preserve">alternative and independent grounds, we find no merit in Urban One’s various arguments in support of its Petition, and on that basis the </w:t>
      </w:r>
      <w:r w:rsidR="00703230">
        <w:rPr>
          <w:rStyle w:val="SubtleEmphasis"/>
          <w:rFonts w:eastAsia="Calibri"/>
          <w:i w:val="0"/>
          <w:iCs w:val="0"/>
        </w:rPr>
        <w:t>January 14, 2022, P</w:t>
      </w:r>
      <w:r w:rsidR="0071694F">
        <w:rPr>
          <w:rStyle w:val="SubtleEmphasis"/>
          <w:rFonts w:eastAsia="Calibri"/>
          <w:i w:val="0"/>
          <w:iCs w:val="0"/>
        </w:rPr>
        <w:t xml:space="preserve">etition for </w:t>
      </w:r>
      <w:r w:rsidR="00703230">
        <w:rPr>
          <w:rStyle w:val="SubtleEmphasis"/>
          <w:rFonts w:eastAsia="Calibri"/>
          <w:i w:val="0"/>
          <w:iCs w:val="0"/>
        </w:rPr>
        <w:t>R</w:t>
      </w:r>
      <w:r w:rsidR="0071694F">
        <w:rPr>
          <w:rStyle w:val="SubtleEmphasis"/>
          <w:rFonts w:eastAsia="Calibri"/>
          <w:i w:val="0"/>
          <w:iCs w:val="0"/>
        </w:rPr>
        <w:t>econsideration is denied.</w:t>
      </w:r>
    </w:p>
    <w:p w:rsidR="002E7032" w:rsidRPr="002E7032" w:rsidP="002E7032" w14:paraId="1874F828" w14:textId="58B05C02">
      <w:pPr>
        <w:rPr>
          <w:rFonts w:eastAsia="Calibri"/>
          <w:szCs w:val="22"/>
        </w:rPr>
      </w:pPr>
    </w:p>
    <w:p w:rsidR="00530206" w:rsidRPr="000769F2" w:rsidP="00DB553A" w14:paraId="712758A5" w14:textId="0D80B54B">
      <w:pPr>
        <w:rPr>
          <w:szCs w:val="22"/>
        </w:rPr>
      </w:pPr>
    </w:p>
    <w:p w:rsidR="00530206" w:rsidP="00DB553A" w14:paraId="1DB7C1C2" w14:textId="3AD5A3D9">
      <w:pPr>
        <w:rPr>
          <w:szCs w:val="22"/>
        </w:rPr>
      </w:pPr>
      <w:r>
        <w:rPr>
          <w:szCs w:val="22"/>
        </w:rPr>
        <w:tab/>
      </w:r>
      <w:r>
        <w:rPr>
          <w:szCs w:val="22"/>
        </w:rPr>
        <w:tab/>
      </w:r>
      <w:r>
        <w:rPr>
          <w:szCs w:val="22"/>
        </w:rPr>
        <w:tab/>
      </w:r>
      <w:r>
        <w:rPr>
          <w:szCs w:val="22"/>
        </w:rPr>
        <w:tab/>
      </w:r>
      <w:r>
        <w:rPr>
          <w:szCs w:val="22"/>
        </w:rPr>
        <w:tab/>
      </w:r>
      <w:r>
        <w:rPr>
          <w:szCs w:val="22"/>
        </w:rPr>
        <w:tab/>
      </w:r>
      <w:r>
        <w:rPr>
          <w:szCs w:val="22"/>
        </w:rPr>
        <w:tab/>
        <w:t>Sincerely,</w:t>
      </w:r>
    </w:p>
    <w:p w:rsidR="00530206" w:rsidP="00DB553A" w14:paraId="30FB9C57" w14:textId="3FA98DA6">
      <w:pPr>
        <w:rPr>
          <w:szCs w:val="22"/>
        </w:rPr>
      </w:pPr>
    </w:p>
    <w:p w:rsidR="004976AF" w:rsidP="00DB553A" w14:paraId="3623A436" w14:textId="77777777">
      <w:pPr>
        <w:rPr>
          <w:szCs w:val="22"/>
        </w:rPr>
      </w:pPr>
    </w:p>
    <w:p w:rsidR="00530206" w:rsidP="00DB553A" w14:paraId="505C93F6" w14:textId="0AA517EA">
      <w:pPr>
        <w:rPr>
          <w:szCs w:val="22"/>
        </w:rPr>
      </w:pPr>
    </w:p>
    <w:p w:rsidR="00530206" w:rsidP="00DB553A" w14:paraId="7A9333C9" w14:textId="129396A8">
      <w:pPr>
        <w:rPr>
          <w:szCs w:val="22"/>
        </w:rPr>
      </w:pPr>
      <w:r>
        <w:rPr>
          <w:szCs w:val="22"/>
        </w:rPr>
        <w:tab/>
      </w:r>
      <w:r>
        <w:rPr>
          <w:szCs w:val="22"/>
        </w:rPr>
        <w:tab/>
      </w:r>
      <w:r>
        <w:rPr>
          <w:szCs w:val="22"/>
        </w:rPr>
        <w:tab/>
      </w:r>
      <w:r>
        <w:rPr>
          <w:szCs w:val="22"/>
        </w:rPr>
        <w:tab/>
      </w:r>
      <w:r>
        <w:rPr>
          <w:szCs w:val="22"/>
        </w:rPr>
        <w:tab/>
      </w:r>
      <w:r>
        <w:rPr>
          <w:szCs w:val="22"/>
        </w:rPr>
        <w:tab/>
      </w:r>
      <w:r>
        <w:rPr>
          <w:szCs w:val="22"/>
        </w:rPr>
        <w:tab/>
        <w:t>Albert Shuldiner</w:t>
      </w:r>
    </w:p>
    <w:p w:rsidR="00530206" w:rsidP="00DB553A" w14:paraId="43075AD6" w14:textId="0CA6AFBB">
      <w:pPr>
        <w:rPr>
          <w:szCs w:val="22"/>
        </w:rPr>
      </w:pPr>
      <w:r>
        <w:rPr>
          <w:szCs w:val="22"/>
        </w:rPr>
        <w:tab/>
      </w:r>
      <w:r>
        <w:rPr>
          <w:szCs w:val="22"/>
        </w:rPr>
        <w:tab/>
      </w:r>
      <w:r>
        <w:rPr>
          <w:szCs w:val="22"/>
        </w:rPr>
        <w:tab/>
      </w:r>
      <w:r>
        <w:rPr>
          <w:szCs w:val="22"/>
        </w:rPr>
        <w:tab/>
      </w:r>
      <w:r>
        <w:rPr>
          <w:szCs w:val="22"/>
        </w:rPr>
        <w:tab/>
      </w:r>
      <w:r>
        <w:rPr>
          <w:szCs w:val="22"/>
        </w:rPr>
        <w:tab/>
      </w:r>
      <w:r>
        <w:rPr>
          <w:szCs w:val="22"/>
        </w:rPr>
        <w:tab/>
        <w:t>Chief, Audio Division</w:t>
      </w:r>
    </w:p>
    <w:p w:rsidR="00530206" w:rsidRPr="00204CE3" w:rsidP="00DB553A" w14:paraId="71B05CBE" w14:textId="310411FC">
      <w:pPr>
        <w:rPr>
          <w:szCs w:val="22"/>
        </w:rPr>
      </w:pPr>
      <w:r>
        <w:rPr>
          <w:szCs w:val="22"/>
        </w:rPr>
        <w:tab/>
      </w:r>
      <w:r>
        <w:rPr>
          <w:szCs w:val="22"/>
        </w:rPr>
        <w:tab/>
      </w:r>
      <w:r>
        <w:rPr>
          <w:szCs w:val="22"/>
        </w:rPr>
        <w:tab/>
      </w:r>
      <w:r>
        <w:rPr>
          <w:szCs w:val="22"/>
        </w:rPr>
        <w:tab/>
      </w:r>
      <w:r>
        <w:rPr>
          <w:szCs w:val="22"/>
        </w:rPr>
        <w:tab/>
      </w:r>
      <w:r>
        <w:rPr>
          <w:szCs w:val="22"/>
        </w:rPr>
        <w:tab/>
      </w:r>
      <w:r>
        <w:rPr>
          <w:szCs w:val="22"/>
        </w:rPr>
        <w:tab/>
        <w:t>Media Bureau</w:t>
      </w: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CB8" w14:paraId="191186B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D5CB8" w14:paraId="62FA94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5B38" w14:paraId="2AE8D9CD" w14:textId="77777777">
      <w:r>
        <w:separator/>
      </w:r>
    </w:p>
  </w:footnote>
  <w:footnote w:type="continuationSeparator" w:id="1">
    <w:p w:rsidR="00E95B38" w14:paraId="6FC02F54" w14:textId="77777777">
      <w:r>
        <w:continuationSeparator/>
      </w:r>
    </w:p>
  </w:footnote>
  <w:footnote w:id="2">
    <w:p w:rsidR="00730398" w:rsidRPr="002101DF" w:rsidP="007C7596" w14:paraId="2EB6525F" w14:textId="438B062E">
      <w:pPr>
        <w:pStyle w:val="FootnoteText"/>
      </w:pPr>
      <w:r w:rsidRPr="002101DF">
        <w:rPr>
          <w:rStyle w:val="FootnoteReference"/>
        </w:rPr>
        <w:footnoteRef/>
      </w:r>
      <w:r w:rsidRPr="002101DF">
        <w:t xml:space="preserve"> </w:t>
      </w:r>
      <w:r w:rsidRPr="002101DF">
        <w:rPr>
          <w:i/>
          <w:iCs/>
        </w:rPr>
        <w:t>William Johnson, Managing Member, Urban One Broadcasting Network, LLC</w:t>
      </w:r>
      <w:r w:rsidRPr="002101DF">
        <w:t>, Letter Decision, DA 21-1561 (MB Dec. 15, 2021) (</w:t>
      </w:r>
      <w:r w:rsidRPr="002101DF">
        <w:rPr>
          <w:i/>
          <w:iCs/>
        </w:rPr>
        <w:t>Declaratory Ruling Decision</w:t>
      </w:r>
      <w:r w:rsidRPr="002101DF">
        <w:t>).</w:t>
      </w:r>
    </w:p>
  </w:footnote>
  <w:footnote w:id="3">
    <w:p w:rsidR="007C7596" w:rsidRPr="002101DF" w:rsidP="007C7596" w14:paraId="45746EA3" w14:textId="4E8B2A77">
      <w:pPr>
        <w:pStyle w:val="FootnoteText"/>
      </w:pPr>
      <w:r w:rsidRPr="002101DF">
        <w:rPr>
          <w:rStyle w:val="FootnoteReference"/>
        </w:rPr>
        <w:footnoteRef/>
      </w:r>
      <w:r w:rsidRPr="002101DF">
        <w:t xml:space="preserve"> </w:t>
      </w:r>
      <w:r w:rsidR="00996238">
        <w:rPr>
          <w:bCs/>
          <w:color w:val="000000"/>
          <w:szCs w:val="22"/>
        </w:rPr>
        <w:t>The procedural history of the above-referenced facility is complex</w:t>
      </w:r>
      <w:r w:rsidR="00B965A7">
        <w:rPr>
          <w:bCs/>
          <w:color w:val="000000"/>
          <w:szCs w:val="22"/>
        </w:rPr>
        <w:t xml:space="preserve">. </w:t>
      </w:r>
      <w:r w:rsidRPr="002101DF" w:rsidR="00996238">
        <w:t xml:space="preserve"> </w:t>
      </w:r>
      <w:r w:rsidR="00B965A7">
        <w:rPr>
          <w:i/>
          <w:iCs/>
        </w:rPr>
        <w:t>See</w:t>
      </w:r>
      <w:r w:rsidR="00B965A7">
        <w:t xml:space="preserve"> </w:t>
      </w:r>
      <w:r w:rsidRPr="002101DF">
        <w:t>File No. BNPH-20110524AHQ.</w:t>
      </w:r>
      <w:r w:rsidR="00B965A7">
        <w:t xml:space="preserve">  It </w:t>
      </w:r>
      <w:r w:rsidR="00B965A7">
        <w:rPr>
          <w:bCs/>
          <w:color w:val="000000"/>
          <w:szCs w:val="22"/>
        </w:rPr>
        <w:t xml:space="preserve">is recounted in </w:t>
      </w:r>
      <w:r w:rsidR="00D86BEE">
        <w:rPr>
          <w:bCs/>
          <w:color w:val="000000"/>
          <w:szCs w:val="22"/>
        </w:rPr>
        <w:t>grea</w:t>
      </w:r>
      <w:r w:rsidR="0083382D">
        <w:rPr>
          <w:bCs/>
          <w:color w:val="000000"/>
          <w:szCs w:val="22"/>
        </w:rPr>
        <w:t xml:space="preserve">ter </w:t>
      </w:r>
      <w:r w:rsidR="00B965A7">
        <w:rPr>
          <w:bCs/>
          <w:color w:val="000000"/>
          <w:szCs w:val="22"/>
        </w:rPr>
        <w:t xml:space="preserve">detail in the </w:t>
      </w:r>
      <w:r w:rsidRPr="007C7596" w:rsidR="00B965A7">
        <w:rPr>
          <w:bCs/>
          <w:i/>
          <w:iCs/>
          <w:color w:val="000000"/>
          <w:szCs w:val="22"/>
        </w:rPr>
        <w:t>Declaratory Ruling Decision</w:t>
      </w:r>
      <w:r w:rsidR="00B965A7">
        <w:rPr>
          <w:bCs/>
          <w:color w:val="000000"/>
          <w:szCs w:val="22"/>
        </w:rPr>
        <w:t xml:space="preserve">. </w:t>
      </w:r>
      <w:r w:rsidRPr="00B965A7" w:rsidR="00B965A7">
        <w:rPr>
          <w:i/>
          <w:iCs/>
        </w:rPr>
        <w:t xml:space="preserve"> </w:t>
      </w:r>
      <w:r w:rsidRPr="002101DF" w:rsidR="00B965A7">
        <w:rPr>
          <w:i/>
          <w:iCs/>
        </w:rPr>
        <w:t>Declaratory Ruling Decision</w:t>
      </w:r>
      <w:r w:rsidRPr="002101DF" w:rsidR="00B965A7">
        <w:t xml:space="preserve"> at 1-5.</w:t>
      </w:r>
    </w:p>
  </w:footnote>
  <w:footnote w:id="4">
    <w:p w:rsidR="007C7596" w:rsidRPr="002101DF" w:rsidP="007C7596" w14:paraId="143B99C6" w14:textId="77777777">
      <w:pPr>
        <w:pStyle w:val="FootnoteText"/>
      </w:pPr>
      <w:r w:rsidRPr="002101DF">
        <w:rPr>
          <w:rStyle w:val="FootnoteReference"/>
        </w:rPr>
        <w:footnoteRef/>
      </w:r>
      <w:r w:rsidRPr="002101DF">
        <w:t xml:space="preserve"> </w:t>
      </w:r>
      <w:bookmarkStart w:id="0" w:name="_Hlk79075627"/>
      <w:r w:rsidRPr="002101DF">
        <w:rPr>
          <w:color w:val="000000"/>
        </w:rPr>
        <w:t xml:space="preserve">Alex Media, Inc. (Alex Media) was the winning bidder for the construction permit (Station) in FM Auction 91.  </w:t>
      </w:r>
      <w:r w:rsidRPr="002101DF">
        <w:rPr>
          <w:i/>
        </w:rPr>
        <w:t>See Auction of FM Broadcast Construction Permits Closes; Winning Bidders Announced for Auction 91</w:t>
      </w:r>
      <w:r w:rsidRPr="002101DF">
        <w:t xml:space="preserve">, Public Notice, </w:t>
      </w:r>
      <w:r w:rsidRPr="002101DF">
        <w:rPr>
          <w:iCs/>
        </w:rPr>
        <w:t xml:space="preserve">26 FCC </w:t>
      </w:r>
      <w:r w:rsidRPr="002101DF">
        <w:rPr>
          <w:iCs/>
        </w:rPr>
        <w:t>Rcd</w:t>
      </w:r>
      <w:r w:rsidRPr="002101DF">
        <w:rPr>
          <w:iCs/>
        </w:rPr>
        <w:t xml:space="preserve"> 7541, Attachment A (MB/WTB 2011).  </w:t>
      </w:r>
      <w:bookmarkStart w:id="1" w:name="_Hlk79076871"/>
      <w:r w:rsidRPr="002101DF">
        <w:rPr>
          <w:color w:val="000000"/>
        </w:rPr>
        <w:t xml:space="preserve">We granted Alex Media’s post-auction construction permit application on July 21, 2011, </w:t>
      </w:r>
      <w:bookmarkEnd w:id="1"/>
      <w:r w:rsidRPr="002101DF">
        <w:rPr>
          <w:color w:val="000000"/>
        </w:rPr>
        <w:t xml:space="preserve">which was set to expire on July 21, 2014.  </w:t>
      </w:r>
      <w:r w:rsidRPr="002101DF">
        <w:t xml:space="preserve">Public Notice, Broadcast Actions, Report No. 47536 (July 26, 2011).  </w:t>
      </w:r>
      <w:r w:rsidRPr="002101DF">
        <w:rPr>
          <w:color w:val="000000"/>
        </w:rPr>
        <w:t xml:space="preserve">On March 1, 2013, Urban One acquired the construction permit from Alex Media.  </w:t>
      </w:r>
      <w:r w:rsidRPr="002101DF">
        <w:t>File No. BAPH-20120917AGZ (Assignment Application) (assignment approved December 26, 2012, and consummated March 1, 2013).  Urban One certified in the Assignment Application that it qualified as an eligible entity.</w:t>
      </w:r>
    </w:p>
    <w:bookmarkEnd w:id="0"/>
  </w:footnote>
  <w:footnote w:id="5">
    <w:p w:rsidR="00354400" w:rsidRPr="002101DF" w:rsidP="00551FD9" w14:paraId="7D91697C" w14:textId="23088687">
      <w:pPr>
        <w:pStyle w:val="FootnoteText"/>
      </w:pPr>
      <w:r w:rsidRPr="002101DF">
        <w:rPr>
          <w:rStyle w:val="FootnoteReference"/>
        </w:rPr>
        <w:footnoteRef/>
      </w:r>
      <w:r w:rsidRPr="002101DF">
        <w:t xml:space="preserve"> </w:t>
      </w:r>
      <w:r w:rsidRPr="002101DF">
        <w:rPr>
          <w:i/>
          <w:iCs/>
          <w:color w:val="000000"/>
        </w:rPr>
        <w:t>Promoting Diversity of Ownership in the Broadcasting Services</w:t>
      </w:r>
      <w:r w:rsidRPr="002101DF">
        <w:rPr>
          <w:color w:val="000000"/>
        </w:rPr>
        <w:t>, MB Docket Nos.</w:t>
      </w:r>
      <w:r w:rsidRPr="002101DF" w:rsidR="00551FD9">
        <w:rPr>
          <w:color w:val="000000"/>
        </w:rPr>
        <w:t xml:space="preserve"> 07-294, 06-121, 02-277, 01-235, 01-317, 00-244, 04-228, Report and Order and Third </w:t>
      </w:r>
      <w:r w:rsidRPr="002101DF" w:rsidR="00551FD9">
        <w:t>Further</w:t>
      </w:r>
      <w:r w:rsidRPr="002101DF" w:rsidR="00551FD9">
        <w:rPr>
          <w:color w:val="000000"/>
        </w:rPr>
        <w:t xml:space="preserve"> Notice of Proposed Rule Making, 23 FCC </w:t>
      </w:r>
      <w:r w:rsidRPr="002101DF" w:rsidR="00551FD9">
        <w:rPr>
          <w:color w:val="000000"/>
        </w:rPr>
        <w:t>Rcd</w:t>
      </w:r>
      <w:r w:rsidRPr="002101DF" w:rsidR="00551FD9">
        <w:rPr>
          <w:color w:val="000000"/>
        </w:rPr>
        <w:t xml:space="preserve"> 5922, 5925-27 (2008) (</w:t>
      </w:r>
      <w:r w:rsidRPr="00167635" w:rsidR="00167635">
        <w:rPr>
          <w:i/>
          <w:iCs/>
          <w:color w:val="000000"/>
        </w:rPr>
        <w:t>2008</w:t>
      </w:r>
      <w:r w:rsidR="00167635">
        <w:rPr>
          <w:color w:val="000000"/>
        </w:rPr>
        <w:t xml:space="preserve"> </w:t>
      </w:r>
      <w:r w:rsidRPr="002101DF" w:rsidR="00551FD9">
        <w:rPr>
          <w:i/>
          <w:iCs/>
          <w:color w:val="000000"/>
        </w:rPr>
        <w:t>Diversity Order</w:t>
      </w:r>
      <w:r w:rsidRPr="002101DF" w:rsidR="00551FD9">
        <w:rPr>
          <w:color w:val="000000"/>
        </w:rPr>
        <w:t>).</w:t>
      </w:r>
    </w:p>
  </w:footnote>
  <w:footnote w:id="6">
    <w:p w:rsidR="00BC7796" w:rsidRPr="002101DF" w:rsidP="00BC7796" w14:paraId="11102EBA" w14:textId="6940BFA1">
      <w:pPr>
        <w:pStyle w:val="FootnoteText"/>
      </w:pPr>
      <w:r w:rsidRPr="002101DF">
        <w:rPr>
          <w:rStyle w:val="FootnoteReference"/>
        </w:rPr>
        <w:footnoteRef/>
      </w:r>
      <w:r w:rsidRPr="002101DF">
        <w:t xml:space="preserve"> </w:t>
      </w:r>
      <w:r w:rsidRPr="002101DF">
        <w:rPr>
          <w:i/>
          <w:iCs/>
        </w:rPr>
        <w:t>Prometheus Radio Project v. FCC</w:t>
      </w:r>
      <w:r w:rsidRPr="002101DF">
        <w:t>, 652 F.3d 431, 437 (3d Cir. 2011) (</w:t>
      </w:r>
      <w:r w:rsidRPr="002101DF">
        <w:rPr>
          <w:i/>
          <w:iCs/>
        </w:rPr>
        <w:t>Prometheus II</w:t>
      </w:r>
      <w:r w:rsidRPr="002101DF">
        <w:t>)</w:t>
      </w:r>
      <w:r w:rsidR="0044591A">
        <w:t xml:space="preserve">; </w:t>
      </w:r>
      <w:r w:rsidRPr="0044591A" w:rsidR="0044591A">
        <w:rPr>
          <w:i/>
          <w:iCs/>
        </w:rPr>
        <w:t>Media Bureau Provides Notice of Suspension of Eligible Entity Rule Changes and Guidance on the Assignment of Broadcast Station Construction Permits to Eligible Entities</w:t>
      </w:r>
      <w:r w:rsidR="0044591A">
        <w:t xml:space="preserve">, Public Notice, 26 FCC </w:t>
      </w:r>
      <w:r w:rsidR="0044591A">
        <w:t>Rcd</w:t>
      </w:r>
      <w:r w:rsidR="0044591A">
        <w:t xml:space="preserve"> 10370 (MB 2011).</w:t>
      </w:r>
    </w:p>
  </w:footnote>
  <w:footnote w:id="7">
    <w:p w:rsidR="00F412BB" w14:paraId="0CE1879E" w14:textId="303E4E1D">
      <w:pPr>
        <w:pStyle w:val="FootnoteText"/>
      </w:pPr>
      <w:r>
        <w:rPr>
          <w:rStyle w:val="FootnoteReference"/>
        </w:rPr>
        <w:footnoteRef/>
      </w:r>
      <w:r>
        <w:t xml:space="preserve"> </w:t>
      </w:r>
      <w:r w:rsidRPr="0091509C">
        <w:t>File No. BMPH-20140519ABG</w:t>
      </w:r>
      <w:r>
        <w:t xml:space="preserve"> (Modification Application).</w:t>
      </w:r>
    </w:p>
  </w:footnote>
  <w:footnote w:id="8">
    <w:p w:rsidR="00F80292" w:rsidRPr="002101DF" w:rsidP="00F80292" w14:paraId="3BBC04FC" w14:textId="6D73F873">
      <w:pPr>
        <w:pStyle w:val="FootnoteText"/>
      </w:pPr>
      <w:r w:rsidRPr="002101DF">
        <w:rPr>
          <w:rStyle w:val="FootnoteReference"/>
        </w:rPr>
        <w:footnoteRef/>
      </w:r>
      <w:r w:rsidRPr="002101DF">
        <w:t xml:space="preserve"> </w:t>
      </w:r>
      <w:r w:rsidRPr="002101DF">
        <w:rPr>
          <w:i/>
        </w:rPr>
        <w:t>William Johnson</w:t>
      </w:r>
      <w:r w:rsidRPr="002101DF">
        <w:t xml:space="preserve">, Letter Decision, </w:t>
      </w:r>
      <w:r w:rsidRPr="002101DF">
        <w:rPr>
          <w:iCs/>
        </w:rPr>
        <w:t xml:space="preserve">30 </w:t>
      </w:r>
      <w:r w:rsidRPr="002101DF">
        <w:t>FCC</w:t>
      </w:r>
      <w:r w:rsidRPr="002101DF">
        <w:rPr>
          <w:iCs/>
        </w:rPr>
        <w:t xml:space="preserve"> </w:t>
      </w:r>
      <w:r w:rsidRPr="002101DF">
        <w:rPr>
          <w:iCs/>
        </w:rPr>
        <w:t>Rcd</w:t>
      </w:r>
      <w:r w:rsidRPr="002101DF">
        <w:rPr>
          <w:iCs/>
        </w:rPr>
        <w:t xml:space="preserve"> 2015, 2021</w:t>
      </w:r>
      <w:r w:rsidRPr="002101DF">
        <w:t xml:space="preserve"> (MB 2015)</w:t>
      </w:r>
      <w:r w:rsidR="00494134">
        <w:t xml:space="preserve"> (</w:t>
      </w:r>
      <w:r w:rsidR="00494134">
        <w:rPr>
          <w:i/>
        </w:rPr>
        <w:t>Reconsideration Decision</w:t>
      </w:r>
      <w:r w:rsidR="00494134">
        <w:t>)</w:t>
      </w:r>
      <w:r w:rsidRPr="002101DF">
        <w:t>.</w:t>
      </w:r>
    </w:p>
  </w:footnote>
  <w:footnote w:id="9">
    <w:p w:rsidR="00C6196C" w:rsidP="00C6196C" w14:paraId="291D5761" w14:textId="0FE8F007">
      <w:pPr>
        <w:pStyle w:val="FootnoteText"/>
      </w:pPr>
      <w:r>
        <w:rPr>
          <w:rStyle w:val="FootnoteReference"/>
        </w:rPr>
        <w:footnoteRef/>
      </w:r>
      <w:r>
        <w:t xml:space="preserve"> </w:t>
      </w:r>
      <w:r w:rsidR="00494134">
        <w:rPr>
          <w:i/>
        </w:rPr>
        <w:t>Id</w:t>
      </w:r>
      <w:r>
        <w:t>.</w:t>
      </w:r>
    </w:p>
  </w:footnote>
  <w:footnote w:id="10">
    <w:p w:rsidR="00C6196C" w:rsidP="00C6196C" w14:paraId="0D50C31E" w14:textId="77777777">
      <w:pPr>
        <w:pStyle w:val="FootnoteText"/>
      </w:pPr>
      <w:r>
        <w:rPr>
          <w:rStyle w:val="FootnoteReference"/>
        </w:rPr>
        <w:footnoteRef/>
      </w:r>
      <w:r>
        <w:t xml:space="preserve"> </w:t>
      </w:r>
      <w:r w:rsidRPr="00E96BCF">
        <w:rPr>
          <w:i/>
          <w:iCs/>
        </w:rPr>
        <w:t>Urban One Broadcasting Network, LLC</w:t>
      </w:r>
      <w:r>
        <w:t xml:space="preserve">, Memorandum Opinion and Order, 31 FCC </w:t>
      </w:r>
      <w:r>
        <w:t>Rcd</w:t>
      </w:r>
      <w:r>
        <w:t xml:space="preserve"> 4186 (2016) (</w:t>
      </w:r>
      <w:r w:rsidRPr="00C17C2B">
        <w:rPr>
          <w:i/>
          <w:iCs/>
        </w:rPr>
        <w:t>Urban One MO&amp;O</w:t>
      </w:r>
      <w:r>
        <w:t>).</w:t>
      </w:r>
    </w:p>
  </w:footnote>
  <w:footnote w:id="11">
    <w:p w:rsidR="00C6196C" w:rsidP="00C6196C" w14:paraId="1043B7A4" w14:textId="77777777">
      <w:pPr>
        <w:pStyle w:val="FootnoteText"/>
      </w:pPr>
      <w:r>
        <w:rPr>
          <w:rStyle w:val="FootnoteReference"/>
        </w:rPr>
        <w:footnoteRef/>
      </w:r>
      <w:r>
        <w:t xml:space="preserve"> </w:t>
      </w:r>
      <w:r w:rsidRPr="00E96BCF">
        <w:rPr>
          <w:i/>
          <w:iCs/>
        </w:rPr>
        <w:t>Urban One Broadcasting Network, LLC</w:t>
      </w:r>
      <w:r>
        <w:t xml:space="preserve">, Order on Reconsideration, 31 FCC </w:t>
      </w:r>
      <w:r>
        <w:t>Rcd</w:t>
      </w:r>
      <w:r>
        <w:t xml:space="preserve"> 7680 (MB 2016) (</w:t>
      </w:r>
      <w:r w:rsidRPr="00A97B35">
        <w:rPr>
          <w:i/>
          <w:iCs/>
        </w:rPr>
        <w:t xml:space="preserve">Reconsideration </w:t>
      </w:r>
      <w:r>
        <w:rPr>
          <w:i/>
          <w:iCs/>
        </w:rPr>
        <w:t>Dismissal</w:t>
      </w:r>
      <w:r>
        <w:t>).</w:t>
      </w:r>
    </w:p>
  </w:footnote>
  <w:footnote w:id="12">
    <w:p w:rsidR="00431E4D" w:rsidRPr="002101DF" w:rsidP="00431E4D" w14:paraId="116AC0ED" w14:textId="5915A620">
      <w:pPr>
        <w:pStyle w:val="FootnoteText"/>
      </w:pPr>
      <w:r w:rsidRPr="002101DF">
        <w:rPr>
          <w:rStyle w:val="FootnoteReference"/>
        </w:rPr>
        <w:footnoteRef/>
      </w:r>
      <w:r w:rsidRPr="002101DF">
        <w:t xml:space="preserve"> </w:t>
      </w:r>
      <w:r w:rsidRPr="002101DF">
        <w:rPr>
          <w:i/>
          <w:iCs/>
        </w:rPr>
        <w:t>Urban One Broadcasting Network, LLC v. FCC</w:t>
      </w:r>
      <w:r w:rsidRPr="002101DF">
        <w:t>, Order, Document No. 1688385 (D.C. Cir. Aug. 11, 2017).</w:t>
      </w:r>
      <w:r w:rsidR="007A2FE8">
        <w:t xml:space="preserve">  Additionally, since release of the </w:t>
      </w:r>
      <w:r w:rsidRPr="007A2FE8" w:rsidR="007A2FE8">
        <w:rPr>
          <w:i/>
          <w:iCs/>
        </w:rPr>
        <w:t>Declaratory Ruling Decision</w:t>
      </w:r>
      <w:r w:rsidR="007A2FE8">
        <w:t>, Urban One filed an action in the United States District Court for the District of Columbia, seeking</w:t>
      </w:r>
      <w:r w:rsidR="004C316C">
        <w:t xml:space="preserve"> </w:t>
      </w:r>
      <w:r w:rsidRPr="00CA49A2" w:rsidR="004C316C">
        <w:t>an</w:t>
      </w:r>
      <w:r w:rsidR="007A2FE8">
        <w:t xml:space="preserve"> injunction </w:t>
      </w:r>
      <w:r w:rsidR="00241CF2">
        <w:t xml:space="preserve">prohibiting the Commission </w:t>
      </w:r>
      <w:r w:rsidR="007A2FE8">
        <w:t>from offering the Cross City permit in Auction 109 and returning the permit to Urban One.  The court dismissed th</w:t>
      </w:r>
      <w:r w:rsidR="00DF28BA">
        <w:t>at</w:t>
      </w:r>
      <w:r w:rsidR="007A2FE8">
        <w:t xml:space="preserve"> action on November 29, 2022, finding that it lacked subject matter jurisdiction.  </w:t>
      </w:r>
      <w:r w:rsidRPr="007A2FE8" w:rsidR="007A2FE8">
        <w:rPr>
          <w:i/>
          <w:iCs/>
        </w:rPr>
        <w:t>William Johnson, et al. v. FCC</w:t>
      </w:r>
      <w:r w:rsidR="007A2FE8">
        <w:t xml:space="preserve">, </w:t>
      </w:r>
      <w:r w:rsidR="00402A91">
        <w:t xml:space="preserve">Memorandum Opinion, </w:t>
      </w:r>
      <w:r w:rsidR="007A2FE8">
        <w:t>Civil Action No. 1:21-cv-2050 (CKK), at 5-9 (D.D.C. Nov. 29, 2022).</w:t>
      </w:r>
    </w:p>
  </w:footnote>
  <w:footnote w:id="13">
    <w:p w:rsidR="005865F4" w:rsidRPr="002101DF" w:rsidP="005865F4" w14:paraId="26FEB557" w14:textId="1CE5A4E0">
      <w:pPr>
        <w:pStyle w:val="FootnoteText"/>
      </w:pPr>
      <w:r w:rsidRPr="002101DF">
        <w:rPr>
          <w:rStyle w:val="FootnoteReference"/>
        </w:rPr>
        <w:footnoteRef/>
      </w:r>
      <w:r w:rsidRPr="002101DF">
        <w:t xml:space="preserve"> </w:t>
      </w:r>
      <w:r w:rsidRPr="002101DF">
        <w:t>47 CFR § 73.202.</w:t>
      </w:r>
    </w:p>
  </w:footnote>
  <w:footnote w:id="14">
    <w:p w:rsidR="0084280C" w:rsidRPr="002101DF" w:rsidP="003B4DA0" w14:paraId="6D778382" w14:textId="37D3AF15">
      <w:pPr>
        <w:pStyle w:val="FootnoteText"/>
      </w:pPr>
      <w:r w:rsidRPr="002101DF">
        <w:rPr>
          <w:rStyle w:val="FootnoteReference"/>
        </w:rPr>
        <w:footnoteRef/>
      </w:r>
      <w:r w:rsidRPr="002101DF">
        <w:t xml:space="preserve"> </w:t>
      </w:r>
      <w:r w:rsidRPr="002101DF" w:rsidR="003B4DA0">
        <w:rPr>
          <w:i/>
          <w:iCs/>
        </w:rPr>
        <w:t>Public Notice Auction of AM and FM Broadcast Construction Permits Scheduled for July 27, 2021; Comment Sought on Competitive Bidding Procedures for Auction 109</w:t>
      </w:r>
      <w:r w:rsidRPr="002101DF" w:rsidR="003B4DA0">
        <w:t xml:space="preserve">, AU Docket No. 21-39, Public Notice, 36 FCC </w:t>
      </w:r>
      <w:r w:rsidRPr="002101DF" w:rsidR="003B4DA0">
        <w:t>Rcd</w:t>
      </w:r>
      <w:r w:rsidRPr="002101DF" w:rsidR="003B4DA0">
        <w:t xml:space="preserve"> 1409, 1410, para. 3 (OEA/MB 2021) (</w:t>
      </w:r>
      <w:r w:rsidRPr="002101DF" w:rsidR="003B4DA0">
        <w:rPr>
          <w:i/>
          <w:iCs/>
        </w:rPr>
        <w:t>Auction 109 Comment Public Notice</w:t>
      </w:r>
      <w:r w:rsidRPr="002101DF" w:rsidR="003B4DA0">
        <w:t xml:space="preserve">).  The Cross City permit had previously been offered in the inventory for Auction 106, which was canceled due to the COVID-19 pandemic, and </w:t>
      </w:r>
      <w:r w:rsidRPr="00CA49A2" w:rsidR="004C316C">
        <w:t>the</w:t>
      </w:r>
      <w:r w:rsidRPr="002101DF" w:rsidR="004C316C">
        <w:t xml:space="preserve"> </w:t>
      </w:r>
      <w:r w:rsidRPr="002101DF" w:rsidR="003B4DA0">
        <w:t xml:space="preserve">inventory offered in Auction 109.  </w:t>
      </w:r>
      <w:r w:rsidRPr="002101DF" w:rsidR="003B4DA0">
        <w:rPr>
          <w:i/>
          <w:iCs/>
        </w:rPr>
        <w:t>Auction of FM Broadcast Construction Permits Scheduled for April 28, 2020; Comment Sought on Competitive Bidding Procedures for Auction 106</w:t>
      </w:r>
      <w:r w:rsidRPr="002101DF" w:rsidR="003B4DA0">
        <w:t xml:space="preserve">, AU Docket No. 19-290, Public Notice, DA 19-1027, 34 FCC </w:t>
      </w:r>
      <w:r w:rsidRPr="002101DF" w:rsidR="003B4DA0">
        <w:t>Rcd</w:t>
      </w:r>
      <w:r w:rsidRPr="002101DF" w:rsidR="003B4DA0">
        <w:t xml:space="preserve"> 9375 (OEA/MB 2019) (</w:t>
      </w:r>
      <w:r w:rsidRPr="002101DF" w:rsidR="003B4DA0">
        <w:rPr>
          <w:i/>
          <w:iCs/>
        </w:rPr>
        <w:t>Auction 106 Comment Public Notice</w:t>
      </w:r>
      <w:r w:rsidRPr="002101DF" w:rsidR="003B4DA0">
        <w:t xml:space="preserve">).  As noted in the </w:t>
      </w:r>
      <w:r w:rsidRPr="002101DF" w:rsidR="003B4DA0">
        <w:rPr>
          <w:i/>
          <w:iCs/>
        </w:rPr>
        <w:t>Declaratory Ruling Decision</w:t>
      </w:r>
      <w:r w:rsidRPr="002101DF" w:rsidR="003B4DA0">
        <w:t xml:space="preserve">, Urban One did not protest the inclusion of the Cross City permit in response to either the </w:t>
      </w:r>
      <w:r w:rsidRPr="002101DF" w:rsidR="003B4DA0">
        <w:rPr>
          <w:i/>
          <w:iCs/>
        </w:rPr>
        <w:t>Auction 106 Comment Public Notice</w:t>
      </w:r>
      <w:r w:rsidRPr="002101DF" w:rsidR="003B4DA0">
        <w:t xml:space="preserve"> or the </w:t>
      </w:r>
      <w:r w:rsidRPr="002101DF" w:rsidR="003B4DA0">
        <w:rPr>
          <w:i/>
          <w:iCs/>
        </w:rPr>
        <w:t>Auction 109 Comment Public Notice</w:t>
      </w:r>
      <w:r w:rsidRPr="002101DF" w:rsidR="003B4DA0">
        <w:t xml:space="preserve">.  </w:t>
      </w:r>
      <w:r w:rsidRPr="002101DF" w:rsidR="003B4DA0">
        <w:rPr>
          <w:i/>
          <w:iCs/>
        </w:rPr>
        <w:t>Declaratory Ruling Decision</w:t>
      </w:r>
      <w:r w:rsidRPr="002101DF" w:rsidR="003B4DA0">
        <w:t xml:space="preserve"> at 4-5.</w:t>
      </w:r>
    </w:p>
  </w:footnote>
  <w:footnote w:id="15">
    <w:p w:rsidR="00510653" w:rsidRPr="002101DF" w:rsidP="005865F4" w14:paraId="2B0C8045" w14:textId="723D29EF">
      <w:pPr>
        <w:pStyle w:val="FootnoteText"/>
      </w:pPr>
      <w:r w:rsidRPr="002101DF">
        <w:rPr>
          <w:rStyle w:val="FootnoteReference"/>
        </w:rPr>
        <w:footnoteRef/>
      </w:r>
      <w:r w:rsidRPr="002101DF">
        <w:t xml:space="preserve"> </w:t>
      </w:r>
      <w:r w:rsidRPr="002101DF" w:rsidR="005865F4">
        <w:rPr>
          <w:i/>
          <w:iCs/>
          <w:color w:val="252525"/>
        </w:rPr>
        <w:t>FCC v. Prometheus Radio Project</w:t>
      </w:r>
      <w:r w:rsidRPr="002101DF" w:rsidR="005865F4">
        <w:rPr>
          <w:color w:val="252525"/>
        </w:rPr>
        <w:t xml:space="preserve">, 141 </w:t>
      </w:r>
      <w:r w:rsidRPr="002101DF" w:rsidR="005865F4">
        <w:rPr>
          <w:color w:val="252525"/>
        </w:rPr>
        <w:t>S.Ct</w:t>
      </w:r>
      <w:r w:rsidRPr="002101DF" w:rsidR="005865F4">
        <w:rPr>
          <w:color w:val="252525"/>
        </w:rPr>
        <w:t>. 1150, 209 L.Ed.2d 287 (2021) (</w:t>
      </w:r>
      <w:r w:rsidRPr="002101DF" w:rsidR="005865F4">
        <w:rPr>
          <w:i/>
          <w:iCs/>
          <w:color w:val="252525"/>
        </w:rPr>
        <w:t>Prometheus Supreme Court Decision</w:t>
      </w:r>
      <w:r w:rsidRPr="002101DF" w:rsidR="005865F4">
        <w:rPr>
          <w:color w:val="252525"/>
        </w:rPr>
        <w:t xml:space="preserve">).  </w:t>
      </w:r>
      <w:r w:rsidRPr="002101DF">
        <w:t xml:space="preserve">In June 2021, the Media Bureau announced that the eligible entity rules would be reinstated pursuant to the </w:t>
      </w:r>
      <w:r w:rsidRPr="002101DF">
        <w:rPr>
          <w:i/>
          <w:iCs/>
        </w:rPr>
        <w:t>Prometheus Supreme Court Decision</w:t>
      </w:r>
      <w:r w:rsidRPr="002101DF">
        <w:t xml:space="preserve">.  </w:t>
      </w:r>
      <w:r w:rsidRPr="002101DF">
        <w:rPr>
          <w:i/>
          <w:iCs/>
        </w:rPr>
        <w:t xml:space="preserve">2014 Quadrennial Regulatory Review - </w:t>
      </w:r>
      <w:r w:rsidRPr="002101DF">
        <w:rPr>
          <w:i/>
          <w:iCs/>
          <w:color w:val="252525"/>
        </w:rPr>
        <w:t>Review of the Commission’s Broadcast Ownership Rules and Other Rules Adopted Pursuant to Section 202 of the Telecommunications Act of 1996</w:t>
      </w:r>
      <w:r w:rsidRPr="002101DF">
        <w:rPr>
          <w:color w:val="252525"/>
        </w:rPr>
        <w:t xml:space="preserve">, MB Docket Nos. </w:t>
      </w:r>
      <w:r w:rsidRPr="002101DF">
        <w:rPr>
          <w:color w:val="000000"/>
        </w:rPr>
        <w:t xml:space="preserve">14-50, 09-182, 07-294, 04-256, 17-289, Order, DA 21-656, at 1-2, para. 1 (MB June 4, 2021).  </w:t>
      </w:r>
      <w:r w:rsidRPr="002101DF">
        <w:t xml:space="preserve">Subsequently on July 1, 2021, the Media Bureau announced by public notice that the summary of </w:t>
      </w:r>
      <w:r w:rsidRPr="00E453A4">
        <w:t>the Order</w:t>
      </w:r>
      <w:r w:rsidRPr="002101DF">
        <w:t xml:space="preserve"> had been published in the </w:t>
      </w:r>
      <w:r w:rsidRPr="002101DF">
        <w:rPr>
          <w:i/>
          <w:iCs/>
        </w:rPr>
        <w:t>Federal Register</w:t>
      </w:r>
      <w:r w:rsidRPr="002101DF">
        <w:t xml:space="preserve"> and that the reinstated rules became effective on June 30, 2021.  </w:t>
      </w:r>
      <w:r w:rsidRPr="002101DF">
        <w:rPr>
          <w:i/>
          <w:iCs/>
        </w:rPr>
        <w:t xml:space="preserve">Media Bureau Announces June 30, 2021 Effective Date of Reinstated Media Ownership Rules, </w:t>
      </w:r>
      <w:r w:rsidRPr="002101DF">
        <w:t xml:space="preserve">Public Notice, DA 21-783 (MB July 1, 2021); </w:t>
      </w:r>
      <w:r w:rsidRPr="002101DF">
        <w:rPr>
          <w:i/>
          <w:iCs/>
        </w:rPr>
        <w:t>Media Bureau Reinstates Commission's Prior Rule Changes Regarding Media Ownership Consistent with the U.S. Supreme Court's Decision</w:t>
      </w:r>
      <w:r w:rsidRPr="002101DF">
        <w:t>, 86 Fed. Reg. 34627 (June 30, 2021).</w:t>
      </w:r>
    </w:p>
  </w:footnote>
  <w:footnote w:id="16">
    <w:p w:rsidR="00510653" w:rsidRPr="002101DF" w:rsidP="004E66EB" w14:paraId="19A19290" w14:textId="77777777">
      <w:pPr>
        <w:pStyle w:val="FootnoteText"/>
      </w:pPr>
      <w:r w:rsidRPr="002101DF">
        <w:rPr>
          <w:rStyle w:val="FootnoteReference"/>
        </w:rPr>
        <w:footnoteRef/>
      </w:r>
      <w:r w:rsidRPr="002101DF">
        <w:t xml:space="preserve"> </w:t>
      </w:r>
      <w:r w:rsidRPr="002101DF">
        <w:t xml:space="preserve">Section 319(b) of the Communications Act of 1934, as amended (Act) and section 73.3598(e) of the Rules provide that a station’s construction permit forfeits automatically if the station is not ready for operation by the construction deadline.  </w:t>
      </w:r>
      <w:r w:rsidRPr="002101DF">
        <w:rPr>
          <w:i/>
        </w:rPr>
        <w:t xml:space="preserve">See </w:t>
      </w:r>
      <w:r w:rsidRPr="002101DF">
        <w:t>47 U.S.C. § 319(b); 47 CFR § 73.3598(e).</w:t>
      </w:r>
    </w:p>
  </w:footnote>
  <w:footnote w:id="17">
    <w:p w:rsidR="004E66EB" w:rsidRPr="002101DF" w:rsidP="004E66EB" w14:paraId="5196AAD1" w14:textId="21EE23C8">
      <w:pPr>
        <w:pStyle w:val="FootnoteText"/>
      </w:pPr>
      <w:r w:rsidRPr="002101DF">
        <w:rPr>
          <w:rStyle w:val="FootnoteReference"/>
        </w:rPr>
        <w:footnoteRef/>
      </w:r>
      <w:r w:rsidRPr="002101DF">
        <w:t xml:space="preserve"> </w:t>
      </w:r>
      <w:r w:rsidRPr="002101DF">
        <w:rPr>
          <w:i/>
          <w:iCs/>
        </w:rPr>
        <w:t>See Declaratory Ruling Decision</w:t>
      </w:r>
      <w:r w:rsidRPr="002101DF">
        <w:t xml:space="preserve">, </w:t>
      </w:r>
      <w:r w:rsidRPr="002101DF">
        <w:rPr>
          <w:i/>
          <w:iCs/>
        </w:rPr>
        <w:t>supra</w:t>
      </w:r>
      <w:r w:rsidRPr="002101DF">
        <w:t xml:space="preserve"> note 1.</w:t>
      </w:r>
    </w:p>
  </w:footnote>
  <w:footnote w:id="18">
    <w:p w:rsidR="00787327" w:rsidRPr="002101DF" w:rsidP="00787327" w14:paraId="39D3D9FF" w14:textId="39EEA768">
      <w:pPr>
        <w:pStyle w:val="FootnoteText"/>
      </w:pPr>
      <w:r w:rsidRPr="002101DF">
        <w:rPr>
          <w:rStyle w:val="FootnoteReference"/>
        </w:rPr>
        <w:footnoteRef/>
      </w:r>
      <w:r w:rsidRPr="002101DF">
        <w:t xml:space="preserve"> </w:t>
      </w:r>
      <w:r w:rsidRPr="002101DF">
        <w:t>47 CFR § 1.2(b).</w:t>
      </w:r>
    </w:p>
  </w:footnote>
  <w:footnote w:id="19">
    <w:p w:rsidR="0081590A" w:rsidRPr="002101DF" w:rsidP="0081590A" w14:paraId="281F7589" w14:textId="43DED615">
      <w:pPr>
        <w:pStyle w:val="FootnoteText"/>
      </w:pPr>
      <w:r w:rsidRPr="002101DF">
        <w:rPr>
          <w:rStyle w:val="FootnoteReference"/>
        </w:rPr>
        <w:footnoteRef/>
      </w:r>
      <w:r w:rsidRPr="002101DF">
        <w:t xml:space="preserve"> </w:t>
      </w:r>
      <w:r w:rsidRPr="002101DF">
        <w:rPr>
          <w:i/>
          <w:iCs/>
        </w:rPr>
        <w:t>See</w:t>
      </w:r>
      <w:r w:rsidRPr="002101DF">
        <w:t xml:space="preserve"> 47 CFR § 73.3598(a).</w:t>
      </w:r>
    </w:p>
  </w:footnote>
  <w:footnote w:id="20">
    <w:p w:rsidR="0081590A" w:rsidRPr="002101DF" w:rsidP="0081590A" w14:paraId="619E1D0F" w14:textId="595272A6">
      <w:pPr>
        <w:pStyle w:val="FootnoteText"/>
      </w:pPr>
      <w:r w:rsidRPr="002101DF">
        <w:rPr>
          <w:rStyle w:val="FootnoteReference"/>
        </w:rPr>
        <w:footnoteRef/>
      </w:r>
      <w:r w:rsidRPr="002101DF">
        <w:t xml:space="preserve"> </w:t>
      </w:r>
      <w:r w:rsidRPr="002101DF">
        <w:t>47 CFR § 1.106(</w:t>
      </w:r>
      <w:r w:rsidRPr="002101DF" w:rsidR="00FF0905">
        <w:t>c</w:t>
      </w:r>
      <w:r w:rsidRPr="002101DF">
        <w:t>).</w:t>
      </w:r>
    </w:p>
  </w:footnote>
  <w:footnote w:id="21">
    <w:p w:rsidR="00A92580" w:rsidRPr="002101DF" w:rsidP="00E336DA" w14:paraId="55A88802" w14:textId="51950423">
      <w:pPr>
        <w:pStyle w:val="FootnoteText"/>
      </w:pPr>
      <w:r w:rsidRPr="002101DF">
        <w:rPr>
          <w:rStyle w:val="FootnoteReference"/>
        </w:rPr>
        <w:footnoteRef/>
      </w:r>
      <w:r w:rsidRPr="002101DF">
        <w:t xml:space="preserve"> </w:t>
      </w:r>
      <w:r w:rsidRPr="002101DF">
        <w:rPr>
          <w:i/>
          <w:iCs/>
        </w:rPr>
        <w:t>See</w:t>
      </w:r>
      <w:r w:rsidRPr="002101DF" w:rsidR="00A05337">
        <w:rPr>
          <w:i/>
          <w:iCs/>
        </w:rPr>
        <w:t xml:space="preserve"> generally</w:t>
      </w:r>
      <w:r w:rsidRPr="002101DF">
        <w:rPr>
          <w:i/>
          <w:iCs/>
        </w:rPr>
        <w:t xml:space="preserve"> Declaratory Ruling Decision</w:t>
      </w:r>
      <w:r w:rsidRPr="002101DF">
        <w:t xml:space="preserve"> at </w:t>
      </w:r>
      <w:r w:rsidRPr="002101DF" w:rsidR="00A05337">
        <w:t>2-4 nn.4-18.</w:t>
      </w:r>
      <w:r w:rsidR="009758F1">
        <w:t xml:space="preserve">  </w:t>
      </w:r>
      <w:r w:rsidRPr="009758F1" w:rsidR="009758F1">
        <w:rPr>
          <w:i/>
          <w:iCs/>
        </w:rPr>
        <w:t>See also Reconsideration Decision</w:t>
      </w:r>
      <w:r w:rsidR="009758F1">
        <w:t xml:space="preserve">, </w:t>
      </w:r>
      <w:r w:rsidRPr="009758F1" w:rsidR="009758F1">
        <w:rPr>
          <w:i/>
          <w:iCs/>
        </w:rPr>
        <w:t>Urban One MO&amp;O</w:t>
      </w:r>
      <w:r w:rsidR="009758F1">
        <w:t xml:space="preserve">, and </w:t>
      </w:r>
      <w:r w:rsidRPr="009758F1" w:rsidR="009758F1">
        <w:rPr>
          <w:i/>
          <w:iCs/>
        </w:rPr>
        <w:t>Reconsideration Dismissal</w:t>
      </w:r>
      <w:r w:rsidR="009758F1">
        <w:t xml:space="preserve">, </w:t>
      </w:r>
      <w:r w:rsidRPr="009758F1" w:rsidR="009758F1">
        <w:rPr>
          <w:i/>
          <w:iCs/>
        </w:rPr>
        <w:t>supra</w:t>
      </w:r>
      <w:r w:rsidR="009758F1">
        <w:t xml:space="preserve"> notes 7-10.</w:t>
      </w:r>
    </w:p>
  </w:footnote>
  <w:footnote w:id="22">
    <w:p w:rsidR="0081590A" w:rsidRPr="002101DF" w:rsidP="0047404B" w14:paraId="09CDBDA4" w14:textId="7807A0AE">
      <w:pPr>
        <w:pStyle w:val="FootnoteText"/>
      </w:pPr>
      <w:r w:rsidRPr="002101DF">
        <w:rPr>
          <w:rStyle w:val="FootnoteReference"/>
        </w:rPr>
        <w:footnoteRef/>
      </w:r>
      <w:r w:rsidRPr="002101DF">
        <w:t xml:space="preserve"> </w:t>
      </w:r>
      <w:r w:rsidRPr="002101DF">
        <w:rPr>
          <w:i/>
          <w:iCs/>
        </w:rPr>
        <w:t>See</w:t>
      </w:r>
      <w:r w:rsidRPr="002101DF">
        <w:t xml:space="preserve"> </w:t>
      </w:r>
      <w:r w:rsidRPr="002101DF">
        <w:rPr>
          <w:i/>
          <w:iCs/>
        </w:rPr>
        <w:t>S&amp;L Teen Hospital Shuttle</w:t>
      </w:r>
      <w:r w:rsidRPr="002101DF">
        <w:t xml:space="preserve">, Order on Reconsideration, 17 FCC </w:t>
      </w:r>
      <w:r w:rsidRPr="002101DF">
        <w:t>Rcd</w:t>
      </w:r>
      <w:r w:rsidRPr="002101DF">
        <w:t xml:space="preserve"> 7899, 7900-01, para. 3 (2002) (citing </w:t>
      </w:r>
      <w:r w:rsidRPr="002101DF">
        <w:rPr>
          <w:i/>
          <w:iCs/>
        </w:rPr>
        <w:t>Mandeville Broad. Corp. and Infinity Broad. of Los Angeles</w:t>
      </w:r>
      <w:r w:rsidRPr="002101DF">
        <w:t xml:space="preserve">, Order, 3 FCC </w:t>
      </w:r>
      <w:r w:rsidRPr="002101DF">
        <w:t>Rcd</w:t>
      </w:r>
      <w:r w:rsidRPr="002101DF">
        <w:t xml:space="preserve"> 1667, para. 2 (1988)</w:t>
      </w:r>
      <w:r w:rsidRPr="002101DF" w:rsidR="0047404B">
        <w:t>)</w:t>
      </w:r>
      <w:r w:rsidRPr="002101DF">
        <w:t>.</w:t>
      </w:r>
    </w:p>
  </w:footnote>
  <w:footnote w:id="23">
    <w:p w:rsidR="0047404B" w:rsidRPr="002101DF" w:rsidP="0047404B" w14:paraId="12D6A398" w14:textId="01F1FFAC">
      <w:pPr>
        <w:pStyle w:val="FootnoteText"/>
      </w:pPr>
      <w:r w:rsidRPr="002101DF">
        <w:rPr>
          <w:rStyle w:val="FootnoteReference"/>
        </w:rPr>
        <w:footnoteRef/>
      </w:r>
      <w:r w:rsidRPr="002101DF">
        <w:t xml:space="preserve"> </w:t>
      </w:r>
      <w:r w:rsidRPr="002101DF">
        <w:rPr>
          <w:i/>
          <w:iCs/>
        </w:rPr>
        <w:t>See</w:t>
      </w:r>
      <w:r w:rsidRPr="002101DF">
        <w:t xml:space="preserve"> 47 CFR </w:t>
      </w:r>
      <w:r w:rsidRPr="002101DF" w:rsidR="00B80C3C">
        <w:t xml:space="preserve">§ </w:t>
      </w:r>
      <w:r w:rsidRPr="002101DF">
        <w:t xml:space="preserve">1.106(b)(2)(ii) (referenced in 47 CFR </w:t>
      </w:r>
      <w:r w:rsidRPr="002101DF" w:rsidR="00CC275D">
        <w:t xml:space="preserve">§ </w:t>
      </w:r>
      <w:r w:rsidRPr="002101DF">
        <w:t>1.106(c)(1)).</w:t>
      </w:r>
    </w:p>
  </w:footnote>
  <w:footnote w:id="24">
    <w:p w:rsidR="00D31C80" w14:paraId="52E882DA" w14:textId="7F196BAB">
      <w:pPr>
        <w:pStyle w:val="FootnoteText"/>
      </w:pPr>
      <w:r>
        <w:rPr>
          <w:rStyle w:val="FootnoteReference"/>
        </w:rPr>
        <w:footnoteRef/>
      </w:r>
      <w:r>
        <w:t xml:space="preserve"> </w:t>
      </w:r>
      <w:r>
        <w:t>Section 1.2(b) (</w:t>
      </w:r>
      <w:r w:rsidRPr="002101DF">
        <w:t>47 CFR § 1.2(b)</w:t>
      </w:r>
      <w:r>
        <w:t>) states that the Bureau “should docket such a petition [for declaratory ruling] within an existing or current proceeding, depending on whether the issues raised within the petition substantially relate to an existing proceeding.  The bureau or office then should seek comment on the petition via public notice.”</w:t>
      </w:r>
    </w:p>
  </w:footnote>
  <w:footnote w:id="25">
    <w:p w:rsidR="00B830FD" w:rsidP="00B830FD" w14:paraId="61C09A96" w14:textId="77777777">
      <w:pPr>
        <w:pStyle w:val="FootnoteText"/>
      </w:pPr>
      <w:r>
        <w:rPr>
          <w:rStyle w:val="FootnoteReference"/>
        </w:rPr>
        <w:footnoteRef/>
      </w:r>
      <w:r>
        <w:t xml:space="preserve"> </w:t>
      </w:r>
      <w:r w:rsidRPr="002101DF">
        <w:rPr>
          <w:i/>
          <w:iCs/>
        </w:rPr>
        <w:t>See</w:t>
      </w:r>
      <w:r w:rsidRPr="002101DF">
        <w:t xml:space="preserve"> 47 CFR § 1.2(</w:t>
      </w:r>
      <w:r>
        <w:t>a</w:t>
      </w:r>
      <w:r w:rsidRPr="002101DF">
        <w:t>).</w:t>
      </w:r>
    </w:p>
  </w:footnote>
  <w:footnote w:id="26">
    <w:p w:rsidR="00C13C74" w14:paraId="4C3A003C" w14:textId="79A335AA">
      <w:pPr>
        <w:pStyle w:val="FootnoteText"/>
      </w:pPr>
      <w:r>
        <w:rPr>
          <w:rStyle w:val="FootnoteReference"/>
        </w:rPr>
        <w:footnoteRef/>
      </w:r>
      <w:r>
        <w:t xml:space="preserve"> </w:t>
      </w:r>
      <w:r w:rsidR="00745178">
        <w:t xml:space="preserve">In adopting section 1.2(b), the Commission </w:t>
      </w:r>
      <w:r w:rsidRPr="00C9645F" w:rsidR="00745178">
        <w:rPr>
          <w:color w:val="000000"/>
          <w:szCs w:val="22"/>
        </w:rPr>
        <w:t>intended to make the process for petitions for declaratory rulings “similar” to that for petitions for rule</w:t>
      </w:r>
      <w:r w:rsidR="00745178">
        <w:rPr>
          <w:color w:val="000000"/>
          <w:szCs w:val="22"/>
        </w:rPr>
        <w:t xml:space="preserve"> </w:t>
      </w:r>
      <w:r w:rsidRPr="00C9645F" w:rsidR="00745178">
        <w:rPr>
          <w:color w:val="000000"/>
          <w:szCs w:val="22"/>
        </w:rPr>
        <w:t>making</w:t>
      </w:r>
      <w:r w:rsidR="00745178">
        <w:rPr>
          <w:color w:val="000000"/>
          <w:szCs w:val="22"/>
        </w:rPr>
        <w:t>, meant</w:t>
      </w:r>
      <w:r w:rsidR="00745178">
        <w:rPr>
          <w:color w:val="000000"/>
          <w:szCs w:val="22"/>
        </w:rPr>
        <w:t xml:space="preserve"> </w:t>
      </w:r>
      <w:r w:rsidR="00745178">
        <w:rPr>
          <w:color w:val="000000"/>
          <w:szCs w:val="22"/>
        </w:rPr>
        <w:t xml:space="preserve">for matters so complex that extra response time is warranted.  </w:t>
      </w:r>
      <w:r w:rsidR="00745178">
        <w:rPr>
          <w:i/>
          <w:iCs/>
          <w:color w:val="000000"/>
        </w:rPr>
        <w:t>Part 1 Amendment R&amp;O</w:t>
      </w:r>
      <w:r w:rsidR="00745178">
        <w:rPr>
          <w:color w:val="000000"/>
        </w:rPr>
        <w:t xml:space="preserve">, 26 FCC </w:t>
      </w:r>
      <w:r w:rsidR="00745178">
        <w:rPr>
          <w:color w:val="000000"/>
        </w:rPr>
        <w:t>Rcd</w:t>
      </w:r>
      <w:r w:rsidR="00745178">
        <w:rPr>
          <w:color w:val="000000"/>
        </w:rPr>
        <w:t xml:space="preserve"> at 1598-99, para. 12</w:t>
      </w:r>
      <w:r w:rsidRPr="002101DF" w:rsidR="00745178">
        <w:rPr>
          <w:color w:val="000000"/>
        </w:rPr>
        <w:t>.</w:t>
      </w:r>
      <w:r w:rsidR="00745178">
        <w:rPr>
          <w:color w:val="000000"/>
        </w:rPr>
        <w:t xml:space="preserve">  </w:t>
      </w:r>
    </w:p>
  </w:footnote>
  <w:footnote w:id="27">
    <w:p w:rsidR="00B830FD" w:rsidP="00B830FD" w14:paraId="34F76A5F" w14:textId="2108E2BC">
      <w:pPr>
        <w:pStyle w:val="FootnoteText"/>
      </w:pPr>
      <w:r>
        <w:rPr>
          <w:rStyle w:val="FootnoteReference"/>
        </w:rPr>
        <w:footnoteRef/>
      </w:r>
      <w:r>
        <w:t xml:space="preserve"> </w:t>
      </w:r>
      <w:r w:rsidRPr="006255B9">
        <w:rPr>
          <w:i/>
          <w:iCs/>
        </w:rPr>
        <w:t>See Declaratory Ruling Decision</w:t>
      </w:r>
      <w:r>
        <w:t xml:space="preserve"> at 1 n.1; </w:t>
      </w:r>
      <w:r w:rsidRPr="002101DF" w:rsidR="00513557">
        <w:t xml:space="preserve">47 U.S.C. § 319(b); </w:t>
      </w:r>
      <w:r w:rsidRPr="002101DF">
        <w:t>47 CFR §</w:t>
      </w:r>
      <w:r>
        <w:t xml:space="preserve"> 73.3598(e).</w:t>
      </w:r>
    </w:p>
  </w:footnote>
  <w:footnote w:id="28">
    <w:p w:rsidR="006F5F55" w:rsidRPr="009758F1" w:rsidP="006F5F55" w14:paraId="28D6FBBD" w14:textId="77777777">
      <w:pPr>
        <w:pStyle w:val="FootnoteText"/>
        <w:rPr>
          <w:color w:val="252525"/>
        </w:rPr>
      </w:pPr>
      <w:r w:rsidRPr="009758F1">
        <w:rPr>
          <w:rStyle w:val="FootnoteReference"/>
        </w:rPr>
        <w:footnoteRef/>
      </w:r>
      <w:r w:rsidRPr="009758F1">
        <w:t xml:space="preserve"> </w:t>
      </w:r>
      <w:r w:rsidRPr="009758F1">
        <w:rPr>
          <w:i/>
          <w:iCs/>
          <w:color w:val="252525"/>
        </w:rPr>
        <w:t xml:space="preserve">Public Service Commission of </w:t>
      </w:r>
      <w:r w:rsidRPr="009758F1">
        <w:rPr>
          <w:i/>
          <w:iCs/>
        </w:rPr>
        <w:t>Maryland</w:t>
      </w:r>
      <w:r w:rsidRPr="009758F1">
        <w:rPr>
          <w:i/>
          <w:iCs/>
          <w:color w:val="252525"/>
        </w:rPr>
        <w:t xml:space="preserve"> and Maryland People’s Counsel Applications for Review of a Memorandum Opinion and Order By the Chief, Common Carrier Bureau Denying The Public Service Commission of Maryland Petition for Declaratory Ruling Regarding Billing and Collection Services</w:t>
      </w:r>
      <w:r>
        <w:rPr>
          <w:color w:val="252525"/>
        </w:rPr>
        <w:t xml:space="preserve">, Memorandum Opinion and Order, 4 FCC </w:t>
      </w:r>
      <w:r>
        <w:rPr>
          <w:color w:val="252525"/>
        </w:rPr>
        <w:t>Rcd</w:t>
      </w:r>
      <w:r>
        <w:rPr>
          <w:color w:val="252525"/>
        </w:rPr>
        <w:t xml:space="preserve"> 4000, 4004, para. 30 (1989).</w:t>
      </w:r>
    </w:p>
  </w:footnote>
  <w:footnote w:id="29">
    <w:p w:rsidR="006101E7" w:rsidP="006101E7" w14:paraId="4E7B6D05" w14:textId="5BE103BB">
      <w:pPr>
        <w:pStyle w:val="FootnoteText"/>
      </w:pPr>
      <w:r>
        <w:rPr>
          <w:rStyle w:val="FootnoteReference"/>
        </w:rPr>
        <w:footnoteRef/>
      </w:r>
      <w:r>
        <w:t xml:space="preserve"> </w:t>
      </w:r>
      <w:r>
        <w:t xml:space="preserve">We also point out that, to the extent </w:t>
      </w:r>
      <w:r w:rsidR="00747710">
        <w:t xml:space="preserve">in-depth </w:t>
      </w:r>
      <w:r>
        <w:t xml:space="preserve">analysis was needed in considering Urban One’s contentions, the staff wrote a seven-page letter decision in the </w:t>
      </w:r>
      <w:r w:rsidRPr="00776B31">
        <w:rPr>
          <w:i/>
          <w:iCs/>
        </w:rPr>
        <w:t>Declaratory Ruling Decision</w:t>
      </w:r>
      <w:r>
        <w:t>, in which it exhaustively responded to Urban One’s contentions.  It is unclear what benefit Urban One thinks would have accrued by opening its arguments up to public comment.  Also, as discussed below, the public was invited to comment on the inclusion of the Cross City permit in the Auction 106 and Auction 109 inventories—an invitation that Urban One itself declined.</w:t>
      </w:r>
    </w:p>
  </w:footnote>
  <w:footnote w:id="30">
    <w:p w:rsidR="006101E7" w:rsidP="006101E7" w14:paraId="70123C9E" w14:textId="606F837E">
      <w:pPr>
        <w:pStyle w:val="FootnoteText"/>
      </w:pPr>
      <w:r>
        <w:rPr>
          <w:rStyle w:val="FootnoteReference"/>
        </w:rPr>
        <w:footnoteRef/>
      </w:r>
      <w:r>
        <w:t xml:space="preserve"> </w:t>
      </w:r>
      <w:r>
        <w:t>We reiterate that the mere re-labeling of a straightforward request for relief as a “petition for declaratory ruling” does not of itself justify the extended deadlines and other treatment accorded such petitions under 47 CFR § 1.2.</w:t>
      </w:r>
    </w:p>
  </w:footnote>
  <w:footnote w:id="31">
    <w:p w:rsidR="00143669" w14:paraId="46AC73FC" w14:textId="316F1046">
      <w:pPr>
        <w:pStyle w:val="FootnoteText"/>
      </w:pPr>
      <w:r>
        <w:rPr>
          <w:rStyle w:val="FootnoteReference"/>
        </w:rPr>
        <w:footnoteRef/>
      </w:r>
      <w:r>
        <w:t xml:space="preserve"> </w:t>
      </w:r>
      <w:r w:rsidRPr="00143669">
        <w:rPr>
          <w:i/>
          <w:iCs/>
        </w:rPr>
        <w:t>Declaratory Ruling Decision</w:t>
      </w:r>
      <w:r>
        <w:t xml:space="preserve"> at 4-5.</w:t>
      </w:r>
      <w:r w:rsidR="00515B2C">
        <w:t xml:space="preserve">  </w:t>
      </w:r>
      <w:r w:rsidRPr="00515B2C" w:rsidR="00515B2C">
        <w:rPr>
          <w:i/>
          <w:iCs/>
        </w:rPr>
        <w:t>See</w:t>
      </w:r>
      <w:r w:rsidR="00515B2C">
        <w:t xml:space="preserve"> </w:t>
      </w:r>
      <w:r w:rsidR="002C357B">
        <w:rPr>
          <w:i/>
          <w:iCs/>
        </w:rPr>
        <w:t>Auction 106 Comment Public Notice, Auction 109 Comment Public Notice</w:t>
      </w:r>
      <w:r w:rsidR="002C357B">
        <w:t xml:space="preserve">, </w:t>
      </w:r>
      <w:r w:rsidR="002C357B">
        <w:rPr>
          <w:i/>
          <w:iCs/>
        </w:rPr>
        <w:t xml:space="preserve">supra </w:t>
      </w:r>
      <w:r w:rsidR="002C357B">
        <w:t>note 1</w:t>
      </w:r>
      <w:r w:rsidR="002A781A">
        <w:t>3</w:t>
      </w:r>
      <w:r w:rsidR="00F91D48">
        <w:t>.</w:t>
      </w:r>
    </w:p>
  </w:footnote>
  <w:footnote w:id="32">
    <w:p w:rsidR="0023010B" w14:paraId="0A316B6F" w14:textId="04B91AE6">
      <w:pPr>
        <w:pStyle w:val="FootnoteText"/>
      </w:pPr>
      <w:r>
        <w:rPr>
          <w:rStyle w:val="FootnoteReference"/>
        </w:rPr>
        <w:footnoteRef/>
      </w:r>
      <w:r>
        <w:t xml:space="preserve"> </w:t>
      </w:r>
      <w:r w:rsidRPr="0023010B">
        <w:rPr>
          <w:i/>
          <w:iCs/>
        </w:rPr>
        <w:t>Id</w:t>
      </w:r>
      <w:r>
        <w:t>.</w:t>
      </w:r>
    </w:p>
  </w:footnote>
  <w:footnote w:id="33">
    <w:p w:rsidR="00BA7F41" w14:paraId="50F29291" w14:textId="6C518966">
      <w:pPr>
        <w:pStyle w:val="FootnoteText"/>
      </w:pPr>
      <w:r>
        <w:rPr>
          <w:rStyle w:val="FootnoteReference"/>
        </w:rPr>
        <w:footnoteRef/>
      </w:r>
      <w:r>
        <w:t xml:space="preserve"> </w:t>
      </w:r>
      <w:r w:rsidRPr="002D50F8" w:rsidR="002D50F8">
        <w:rPr>
          <w:i/>
          <w:iCs/>
        </w:rPr>
        <w:t>See</w:t>
      </w:r>
      <w:r w:rsidR="002D50F8">
        <w:t xml:space="preserve"> </w:t>
      </w:r>
      <w:r>
        <w:t>47 CFR § 73.3598(a).</w:t>
      </w:r>
    </w:p>
  </w:footnote>
  <w:footnote w:id="34">
    <w:p w:rsidR="008E294D" w:rsidRPr="008E294D" w:rsidP="008E294D" w14:paraId="1AEA2D78" w14:textId="5DB36A96">
      <w:pPr>
        <w:pStyle w:val="FootnoteText"/>
      </w:pPr>
      <w:r>
        <w:rPr>
          <w:rStyle w:val="FootnoteReference"/>
        </w:rPr>
        <w:footnoteRef/>
      </w:r>
      <w:r>
        <w:t xml:space="preserve"> </w:t>
      </w:r>
      <w:r w:rsidRPr="008E294D">
        <w:rPr>
          <w:rStyle w:val="Hyperlink"/>
          <w:color w:val="000000"/>
          <w:u w:val="none"/>
        </w:rPr>
        <w:t>Petition</w:t>
      </w:r>
      <w:r w:rsidRPr="008E294D">
        <w:t xml:space="preserve"> at 2.</w:t>
      </w:r>
    </w:p>
  </w:footnote>
  <w:footnote w:id="35">
    <w:p w:rsidR="00C817A8" w14:paraId="3A503AC4" w14:textId="769AB722">
      <w:pPr>
        <w:pStyle w:val="FootnoteText"/>
      </w:pPr>
      <w:r>
        <w:rPr>
          <w:rStyle w:val="FootnoteReference"/>
        </w:rPr>
        <w:footnoteRef/>
      </w:r>
      <w:r>
        <w:t xml:space="preserve"> </w:t>
      </w:r>
      <w:r w:rsidRPr="00C817A8">
        <w:rPr>
          <w:i/>
          <w:iCs/>
        </w:rPr>
        <w:t>See supra</w:t>
      </w:r>
      <w:r>
        <w:t xml:space="preserve"> note 1</w:t>
      </w:r>
      <w:r w:rsidR="002A781A">
        <w:t>4</w:t>
      </w:r>
      <w:r>
        <w:t>.</w:t>
      </w:r>
    </w:p>
  </w:footnote>
  <w:footnote w:id="36">
    <w:p w:rsidR="005428C6" w:rsidRPr="005428C6" w:rsidP="005428C6" w14:paraId="6508933C" w14:textId="0964B2E1">
      <w:pPr>
        <w:pStyle w:val="FootnoteText"/>
      </w:pPr>
      <w:r>
        <w:rPr>
          <w:rStyle w:val="FootnoteReference"/>
        </w:rPr>
        <w:footnoteRef/>
      </w:r>
      <w:r>
        <w:t xml:space="preserve"> </w:t>
      </w:r>
      <w:r w:rsidR="001E4A3E">
        <w:t xml:space="preserve">Petition </w:t>
      </w:r>
      <w:r>
        <w:t>at 3.</w:t>
      </w:r>
    </w:p>
  </w:footnote>
  <w:footnote w:id="37">
    <w:p w:rsidR="00845F5B" w:rsidRPr="00845F5B" w:rsidP="00845F5B" w14:paraId="476574D1" w14:textId="433B50E1">
      <w:pPr>
        <w:pStyle w:val="FootnoteText"/>
      </w:pPr>
      <w:r>
        <w:rPr>
          <w:rStyle w:val="FootnoteReference"/>
        </w:rPr>
        <w:footnoteRef/>
      </w:r>
      <w:r>
        <w:t xml:space="preserve"> </w:t>
      </w:r>
      <w:r w:rsidRPr="00845F5B">
        <w:rPr>
          <w:i/>
          <w:iCs/>
        </w:rPr>
        <w:t>Id</w:t>
      </w:r>
      <w:r>
        <w:t>. at 2-3.</w:t>
      </w:r>
    </w:p>
  </w:footnote>
  <w:footnote w:id="38">
    <w:p w:rsidR="0024481F" w14:paraId="79E2F064" w14:textId="0AD47EC0">
      <w:pPr>
        <w:pStyle w:val="FootnoteText"/>
      </w:pPr>
      <w:r>
        <w:rPr>
          <w:rStyle w:val="FootnoteReference"/>
        </w:rPr>
        <w:footnoteRef/>
      </w:r>
      <w:r>
        <w:t xml:space="preserve"> </w:t>
      </w:r>
      <w:r w:rsidRPr="00DC7AE2">
        <w:rPr>
          <w:i/>
          <w:iCs/>
        </w:rPr>
        <w:t>See 2008 Diversity Order</w:t>
      </w:r>
      <w:r>
        <w:t xml:space="preserve">, </w:t>
      </w:r>
      <w:r w:rsidRPr="00DC7AE2">
        <w:rPr>
          <w:i/>
          <w:iCs/>
        </w:rPr>
        <w:t>supra</w:t>
      </w:r>
      <w:r>
        <w:t xml:space="preserve"> note 4, 23 FCC </w:t>
      </w:r>
      <w:r>
        <w:t>Rcd</w:t>
      </w:r>
      <w:r>
        <w:t xml:space="preserve"> at 5925-26, 5928-31, paras. 6-7, 10-16.</w:t>
      </w:r>
    </w:p>
  </w:footnote>
  <w:footnote w:id="39">
    <w:p w:rsidR="005D1A21" w14:paraId="0C9DA307" w14:textId="5A298A65">
      <w:pPr>
        <w:pStyle w:val="FootnoteText"/>
      </w:pPr>
      <w:r>
        <w:rPr>
          <w:rStyle w:val="FootnoteReference"/>
        </w:rPr>
        <w:footnoteRef/>
      </w:r>
      <w:r>
        <w:t xml:space="preserve"> </w:t>
      </w:r>
      <w:r w:rsidRPr="005D1A21">
        <w:rPr>
          <w:i/>
          <w:iCs/>
        </w:rPr>
        <w:t>Prometheus Radio Project v. FCC</w:t>
      </w:r>
      <w:r>
        <w:t>, 652 F.3d 431, 437 (3d Cir. 2011) (</w:t>
      </w:r>
      <w:r w:rsidRPr="005D1A21">
        <w:rPr>
          <w:i/>
          <w:iCs/>
        </w:rPr>
        <w:t>Prometheus II</w:t>
      </w:r>
      <w:r>
        <w:t>).</w:t>
      </w:r>
    </w:p>
  </w:footnote>
  <w:footnote w:id="40">
    <w:p w:rsidR="00166FE5" w14:paraId="0D7E8F54" w14:textId="7F65BB85">
      <w:pPr>
        <w:pStyle w:val="FootnoteText"/>
      </w:pPr>
      <w:r>
        <w:rPr>
          <w:rStyle w:val="FootnoteReference"/>
        </w:rPr>
        <w:footnoteRef/>
      </w:r>
      <w:r>
        <w:t xml:space="preserve"> </w:t>
      </w:r>
      <w:r w:rsidRPr="00BB300F">
        <w:rPr>
          <w:i/>
          <w:iCs/>
        </w:rPr>
        <w:t>2014 Quadrennial Regulatory Review</w:t>
      </w:r>
      <w:r>
        <w:rPr>
          <w:i/>
          <w:iCs/>
        </w:rPr>
        <w:t>—</w:t>
      </w:r>
      <w:r w:rsidRPr="00BB300F">
        <w:rPr>
          <w:i/>
          <w:iCs/>
          <w:color w:val="252525"/>
        </w:rPr>
        <w:t>Review of the Commission’s Broadcast Ownership Rules and Other Rules Adopted Pursuant to Section 202 of the Telecommunications Act of 1996</w:t>
      </w:r>
      <w:r w:rsidRPr="00BB300F">
        <w:rPr>
          <w:color w:val="252525"/>
        </w:rPr>
        <w:t xml:space="preserve">, MB Docket Nos. </w:t>
      </w:r>
      <w:r w:rsidRPr="00BB300F">
        <w:rPr>
          <w:color w:val="000000"/>
        </w:rPr>
        <w:t xml:space="preserve">14-50, 09-182, 07-294, 04-256, </w:t>
      </w:r>
      <w:r w:rsidRPr="00BB300F">
        <w:rPr>
          <w:color w:val="252525"/>
        </w:rPr>
        <w:t xml:space="preserve">Second Report and Order, 31 </w:t>
      </w:r>
      <w:r w:rsidRPr="00BB300F">
        <w:rPr>
          <w:rStyle w:val="Hyperlink"/>
          <w:color w:val="000000"/>
          <w:u w:val="none"/>
        </w:rPr>
        <w:t>FCC</w:t>
      </w:r>
      <w:r w:rsidRPr="00BB300F">
        <w:rPr>
          <w:color w:val="252525"/>
        </w:rPr>
        <w:t xml:space="preserve"> </w:t>
      </w:r>
      <w:r w:rsidRPr="00BB300F">
        <w:rPr>
          <w:color w:val="252525"/>
        </w:rPr>
        <w:t>Rcd</w:t>
      </w:r>
      <w:r w:rsidRPr="00BB300F">
        <w:rPr>
          <w:color w:val="252525"/>
        </w:rPr>
        <w:t xml:space="preserve"> 9864, 9985-87, para. 285-286 (2016) (</w:t>
      </w:r>
      <w:bookmarkStart w:id="3" w:name="_Hlk80884722"/>
      <w:r w:rsidRPr="00BB300F">
        <w:rPr>
          <w:i/>
          <w:iCs/>
          <w:color w:val="252525"/>
        </w:rPr>
        <w:t>2014/2010</w:t>
      </w:r>
      <w:r w:rsidRPr="00BB300F">
        <w:rPr>
          <w:color w:val="252525"/>
        </w:rPr>
        <w:t xml:space="preserve"> </w:t>
      </w:r>
      <w:r w:rsidRPr="00BB300F">
        <w:rPr>
          <w:i/>
          <w:iCs/>
          <w:color w:val="252525"/>
        </w:rPr>
        <w:t>Quadrennial Second R&amp;O</w:t>
      </w:r>
      <w:bookmarkEnd w:id="3"/>
      <w:r w:rsidRPr="00BB300F">
        <w:rPr>
          <w:color w:val="252525"/>
        </w:rPr>
        <w:t xml:space="preserve">).  </w:t>
      </w:r>
      <w:r w:rsidRPr="00BB300F">
        <w:rPr>
          <w:i/>
          <w:iCs/>
          <w:color w:val="252525"/>
        </w:rPr>
        <w:t>See also</w:t>
      </w:r>
      <w:r w:rsidRPr="00BB300F">
        <w:rPr>
          <w:color w:val="252525"/>
        </w:rPr>
        <w:t xml:space="preserve"> </w:t>
      </w:r>
      <w:r>
        <w:rPr>
          <w:i/>
          <w:iCs/>
          <w:color w:val="252525"/>
        </w:rPr>
        <w:t>Prometheus Supreme Court Decision</w:t>
      </w:r>
      <w:r w:rsidRPr="00BB300F">
        <w:rPr>
          <w:color w:val="252525"/>
        </w:rPr>
        <w:t xml:space="preserve">, 141 </w:t>
      </w:r>
      <w:r w:rsidRPr="00BB300F">
        <w:rPr>
          <w:color w:val="252525"/>
        </w:rPr>
        <w:t>S.Ct</w:t>
      </w:r>
      <w:r w:rsidRPr="00BB300F">
        <w:rPr>
          <w:color w:val="252525"/>
        </w:rPr>
        <w:t xml:space="preserve">. </w:t>
      </w:r>
      <w:r>
        <w:rPr>
          <w:color w:val="252525"/>
        </w:rPr>
        <w:t>at</w:t>
      </w:r>
      <w:r w:rsidRPr="00BB300F">
        <w:rPr>
          <w:color w:val="252525"/>
        </w:rPr>
        <w:t xml:space="preserve"> 1160 n.4</w:t>
      </w:r>
      <w:r>
        <w:rPr>
          <w:color w:val="252525"/>
        </w:rPr>
        <w:t>.</w:t>
      </w:r>
    </w:p>
  </w:footnote>
  <w:footnote w:id="41">
    <w:p w:rsidR="004C4EFB" w14:paraId="71FD6A82" w14:textId="01E22006">
      <w:pPr>
        <w:pStyle w:val="FootnoteText"/>
      </w:pPr>
      <w:r>
        <w:rPr>
          <w:rStyle w:val="FootnoteReference"/>
        </w:rPr>
        <w:footnoteRef/>
      </w:r>
      <w:r>
        <w:t xml:space="preserve"> </w:t>
      </w:r>
      <w:r w:rsidRPr="006B337B" w:rsidR="00CA5195">
        <w:rPr>
          <w:i/>
          <w:iCs/>
        </w:rPr>
        <w:t>See 2014 Quadrennial Regulatory Review</w:t>
      </w:r>
      <w:r w:rsidR="00CA5195">
        <w:t xml:space="preserve">, 81 Fed. Reg. 76220-01 (Nov. 1, 2016) (announcing </w:t>
      </w:r>
      <w:r w:rsidR="00A07A69">
        <w:t xml:space="preserve">December 1, 2016, </w:t>
      </w:r>
      <w:r w:rsidR="00CA5195">
        <w:t xml:space="preserve">effective date of </w:t>
      </w:r>
      <w:r w:rsidR="006B337B">
        <w:t xml:space="preserve">reinstated eligible entity policy); </w:t>
      </w:r>
      <w:r w:rsidRPr="00A07A69" w:rsidR="000B177A">
        <w:rPr>
          <w:i/>
          <w:iCs/>
        </w:rPr>
        <w:t>Reconsideration Dismissal</w:t>
      </w:r>
      <w:r w:rsidR="000B177A">
        <w:t xml:space="preserve">, </w:t>
      </w:r>
      <w:r w:rsidRPr="00A07A69" w:rsidR="000B177A">
        <w:rPr>
          <w:i/>
          <w:iCs/>
        </w:rPr>
        <w:t>supra</w:t>
      </w:r>
      <w:r w:rsidR="000B177A">
        <w:t xml:space="preserve"> note 10, 31 FCC </w:t>
      </w:r>
      <w:r w:rsidR="000B177A">
        <w:t>Rcd</w:t>
      </w:r>
      <w:r w:rsidR="000B177A">
        <w:t xml:space="preserve"> 7680 (MB 2016) (exhausting Urban One’s remedies before the Commission).  Following</w:t>
      </w:r>
      <w:r w:rsidR="00A07A69">
        <w:t xml:space="preserve"> release of</w:t>
      </w:r>
      <w:r w:rsidR="000B177A">
        <w:t xml:space="preserve"> the </w:t>
      </w:r>
      <w:r w:rsidRPr="00A07A69" w:rsidR="000B177A">
        <w:rPr>
          <w:i/>
          <w:iCs/>
        </w:rPr>
        <w:t xml:space="preserve">Reconsideration </w:t>
      </w:r>
      <w:r w:rsidR="00CD0F71">
        <w:rPr>
          <w:i/>
          <w:iCs/>
        </w:rPr>
        <w:t>Dismissal</w:t>
      </w:r>
      <w:r w:rsidR="000B177A">
        <w:t xml:space="preserve">, </w:t>
      </w:r>
      <w:r w:rsidR="00A07A69">
        <w:t xml:space="preserve">on August 15, 2016, </w:t>
      </w:r>
      <w:r w:rsidR="000B177A">
        <w:t xml:space="preserve">Urban One </w:t>
      </w:r>
      <w:r w:rsidR="00A07A69">
        <w:t>filed a Petition for Review with</w:t>
      </w:r>
      <w:r w:rsidR="000B177A">
        <w:t xml:space="preserve"> the United States Court of Appeals for the District of Columbia Circuit</w:t>
      </w:r>
      <w:r w:rsidR="00A07A69">
        <w:t>.</w:t>
      </w:r>
      <w:r w:rsidR="000B177A">
        <w:t xml:space="preserve"> </w:t>
      </w:r>
    </w:p>
  </w:footnote>
  <w:footnote w:id="42">
    <w:p w:rsidR="00696D5A" w14:paraId="5F8DDA28" w14:textId="6643F500">
      <w:pPr>
        <w:pStyle w:val="FootnoteText"/>
      </w:pPr>
      <w:r>
        <w:rPr>
          <w:rStyle w:val="FootnoteReference"/>
        </w:rPr>
        <w:footnoteRef/>
      </w:r>
      <w:r>
        <w:t xml:space="preserve"> </w:t>
      </w:r>
      <w:r>
        <w:rPr>
          <w:i/>
        </w:rPr>
        <w:t xml:space="preserve">See </w:t>
      </w:r>
      <w:r>
        <w:t>47 CFR § 73.3598(a) (“An eligible entity that acquires an issued and outstanding construction permit for a station in any of the services listed in this paragraph shall have the time remaining on the construction permit or eighteen months from the consummation of the assignment or transfer of control, whichever is longer, within which to complete construction and file an application for license.”).</w:t>
      </w:r>
    </w:p>
  </w:footnote>
  <w:footnote w:id="43">
    <w:p w:rsidR="00C50068" w:rsidRPr="00C50068" w:rsidP="00094EB1" w14:paraId="1B1B4B37" w14:textId="06E37FEC">
      <w:pPr>
        <w:pStyle w:val="FootnoteText"/>
      </w:pPr>
      <w:r>
        <w:rPr>
          <w:rStyle w:val="FootnoteReference"/>
        </w:rPr>
        <w:footnoteRef/>
      </w:r>
      <w:r>
        <w:t xml:space="preserve"> </w:t>
      </w:r>
      <w:r>
        <w:t xml:space="preserve">Petition at 2 (citing </w:t>
      </w:r>
      <w:r w:rsidRPr="00094EB1">
        <w:rPr>
          <w:i/>
          <w:iCs/>
        </w:rPr>
        <w:t xml:space="preserve">Way of Life Television Network, </w:t>
      </w:r>
      <w:r w:rsidRPr="00094EB1">
        <w:rPr>
          <w:i/>
          <w:iCs/>
          <w:color w:val="252525"/>
        </w:rPr>
        <w:t>Inc</w:t>
      </w:r>
      <w:r w:rsidRPr="00094EB1">
        <w:rPr>
          <w:i/>
          <w:iCs/>
        </w:rPr>
        <w:t>. v. FCC</w:t>
      </w:r>
      <w:r>
        <w:t>, 593 F.2d 1356 (D.C. Cir. 1979)</w:t>
      </w:r>
      <w:r w:rsidR="00F305EA">
        <w:t>)</w:t>
      </w:r>
      <w:r>
        <w:t>.</w:t>
      </w:r>
    </w:p>
  </w:footnote>
  <w:footnote w:id="44">
    <w:p w:rsidR="000C6ABD" w:rsidRPr="000C6ABD" w:rsidP="00771365" w14:paraId="67A9A27A" w14:textId="365618F9">
      <w:pPr>
        <w:pStyle w:val="FootnoteText"/>
      </w:pPr>
      <w:r>
        <w:rPr>
          <w:rStyle w:val="FootnoteReference"/>
        </w:rPr>
        <w:footnoteRef/>
      </w:r>
      <w:r>
        <w:t xml:space="preserve"> </w:t>
      </w:r>
      <w:bookmarkStart w:id="5" w:name="_Hlk106288373"/>
      <w:r w:rsidRPr="00771365">
        <w:rPr>
          <w:i/>
          <w:iCs/>
        </w:rPr>
        <w:t>Petition for Modification of Dayton, Ohio, Designated Market Area with Regard to Television Station WHIO-TV, Dayton, Ohio</w:t>
      </w:r>
      <w:r>
        <w:t xml:space="preserve">, </w:t>
      </w:r>
      <w:r w:rsidR="00AC2A42">
        <w:t xml:space="preserve">MB Docket No. 13-201, Memorandum Opinion and Order, 33 FCC </w:t>
      </w:r>
      <w:r w:rsidR="00AC2A42">
        <w:t>Rcd</w:t>
      </w:r>
      <w:r w:rsidR="00AC2A42">
        <w:t xml:space="preserve"> </w:t>
      </w:r>
      <w:r w:rsidR="00771365">
        <w:t>8943, 8948, para. 14 (2018).</w:t>
      </w:r>
      <w:bookmarkEnd w:id="5"/>
    </w:p>
  </w:footnote>
  <w:footnote w:id="45">
    <w:p w:rsidR="00D205EB" w14:paraId="7296537C" w14:textId="3C5BC738">
      <w:pPr>
        <w:pStyle w:val="FootnoteText"/>
      </w:pPr>
      <w:r>
        <w:rPr>
          <w:rStyle w:val="FootnoteReference"/>
        </w:rPr>
        <w:footnoteRef/>
      </w:r>
      <w:r>
        <w:t xml:space="preserve"> </w:t>
      </w:r>
      <w:r w:rsidRPr="00D205EB">
        <w:rPr>
          <w:i/>
          <w:iCs/>
        </w:rPr>
        <w:t>See supra</w:t>
      </w:r>
      <w:r>
        <w:t xml:space="preserve"> notes </w:t>
      </w:r>
      <w:r w:rsidR="00DF181F">
        <w:t>5</w:t>
      </w:r>
      <w:r>
        <w:t xml:space="preserve">, </w:t>
      </w:r>
      <w:r w:rsidR="00DF181F">
        <w:t>14</w:t>
      </w:r>
      <w:r>
        <w:t>.</w:t>
      </w:r>
    </w:p>
  </w:footnote>
  <w:footnote w:id="46">
    <w:p w:rsidR="00187318" w:rsidP="00187318" w14:paraId="3254C4F7" w14:textId="77777777">
      <w:pPr>
        <w:pStyle w:val="FootnoteText"/>
      </w:pPr>
      <w:r>
        <w:rPr>
          <w:rStyle w:val="FootnoteReference"/>
        </w:rPr>
        <w:footnoteRef/>
      </w:r>
      <w:r>
        <w:t xml:space="preserve"> </w:t>
      </w:r>
      <w:r>
        <w:rPr>
          <w:color w:val="000000"/>
          <w:szCs w:val="22"/>
        </w:rPr>
        <w:t xml:space="preserve">To hold otherwise would require an agency to revisit virtually any case that might have been impacted by a previously vacated and suspended rule.  </w:t>
      </w:r>
      <w:r w:rsidRPr="00C35AE4">
        <w:rPr>
          <w:color w:val="000000"/>
          <w:szCs w:val="22"/>
        </w:rPr>
        <w:t>Indeed, given that any rule is subject to attack when it is first applied to a party</w:t>
      </w:r>
      <w:r>
        <w:rPr>
          <w:color w:val="000000"/>
          <w:szCs w:val="22"/>
        </w:rPr>
        <w:t xml:space="preserve"> (</w:t>
      </w:r>
      <w:r>
        <w:rPr>
          <w:i/>
          <w:iCs/>
        </w:rPr>
        <w:t>s</w:t>
      </w:r>
      <w:r w:rsidRPr="00774BC4">
        <w:rPr>
          <w:i/>
          <w:iCs/>
        </w:rPr>
        <w:t>ee</w:t>
      </w:r>
      <w:r>
        <w:t xml:space="preserve">, </w:t>
      </w:r>
      <w:r w:rsidRPr="00774BC4">
        <w:rPr>
          <w:i/>
          <w:iCs/>
        </w:rPr>
        <w:t>e.g.</w:t>
      </w:r>
      <w:r>
        <w:t xml:space="preserve">, </w:t>
      </w:r>
      <w:r w:rsidRPr="00774BC4">
        <w:rPr>
          <w:i/>
          <w:iCs/>
        </w:rPr>
        <w:t>Functional Music v. FCC</w:t>
      </w:r>
      <w:r>
        <w:t xml:space="preserve">, 274 F.2d 543, 546-47 (D.C. Cir. 1958), </w:t>
      </w:r>
      <w:r w:rsidRPr="00774BC4">
        <w:rPr>
          <w:i/>
          <w:iCs/>
        </w:rPr>
        <w:t>cert. denied</w:t>
      </w:r>
      <w:r>
        <w:t xml:space="preserve">, 361 U.S. 813 (1959); </w:t>
      </w:r>
      <w:r w:rsidRPr="00774BC4">
        <w:rPr>
          <w:i/>
          <w:iCs/>
        </w:rPr>
        <w:t>Geller v. FCC</w:t>
      </w:r>
      <w:r>
        <w:t>, 610 F.2d 973, 978 (D.C. Cir. 1979))</w:t>
      </w:r>
      <w:r w:rsidRPr="00C35AE4">
        <w:rPr>
          <w:color w:val="000000"/>
          <w:szCs w:val="22"/>
        </w:rPr>
        <w:t>,</w:t>
      </w:r>
      <w:r>
        <w:rPr>
          <w:color w:val="000000"/>
          <w:szCs w:val="22"/>
        </w:rPr>
        <w:t xml:space="preserve"> </w:t>
      </w:r>
      <w:r w:rsidRPr="00C35AE4">
        <w:rPr>
          <w:color w:val="000000"/>
          <w:szCs w:val="22"/>
        </w:rPr>
        <w:t>we could essentially never reach a final decision were we to accept Urban One’s novel interpretation of retroactivity</w:t>
      </w:r>
      <w:r>
        <w:rPr>
          <w:color w:val="000000"/>
          <w:szCs w:val="22"/>
        </w:rPr>
        <w:t xml:space="preserve">: </w:t>
      </w:r>
      <w:r w:rsidRPr="00C35AE4">
        <w:rPr>
          <w:color w:val="000000"/>
          <w:szCs w:val="22"/>
        </w:rPr>
        <w:t xml:space="preserve"> a subsequent litigant could successfully attack a rule and, in theory, unravel all previous decisions that relied on the rule.</w:t>
      </w:r>
    </w:p>
  </w:footnote>
  <w:footnote w:id="47">
    <w:p w:rsidR="005B7ADF" w14:paraId="398CF019" w14:textId="74968B08">
      <w:pPr>
        <w:pStyle w:val="FootnoteText"/>
      </w:pPr>
      <w:r>
        <w:rPr>
          <w:rStyle w:val="FootnoteReference"/>
        </w:rPr>
        <w:footnoteRef/>
      </w:r>
      <w:r>
        <w:t xml:space="preserve"> </w:t>
      </w:r>
      <w:r>
        <w:t>5 U.S.C. § 552(a)(D), (E).</w:t>
      </w:r>
    </w:p>
  </w:footnote>
  <w:footnote w:id="48">
    <w:p w:rsidR="00AE36DE" w14:paraId="70418379" w14:textId="040FDA6C">
      <w:pPr>
        <w:pStyle w:val="FootnoteText"/>
      </w:pPr>
      <w:r>
        <w:rPr>
          <w:rStyle w:val="FootnoteReference"/>
        </w:rPr>
        <w:footnoteRef/>
      </w:r>
      <w:r>
        <w:t xml:space="preserve"> </w:t>
      </w:r>
      <w:r w:rsidRPr="00AE36DE">
        <w:rPr>
          <w:i/>
          <w:iCs/>
        </w:rPr>
        <w:t>See Media Bureau Provides Notice of Suspension of Eligible Entity Rule Changes and Guidance on the Assignment of Broadcast Station Construction Permits to Eligible Entities</w:t>
      </w:r>
      <w:r>
        <w:t xml:space="preserve">, Public Notice, 26 FCC </w:t>
      </w:r>
      <w:r>
        <w:t>Rcd</w:t>
      </w:r>
      <w:r>
        <w:t xml:space="preserve"> 10370 (MB 2011)</w:t>
      </w:r>
      <w:r w:rsidR="00124761">
        <w:t xml:space="preserve">; </w:t>
      </w:r>
      <w:r w:rsidRPr="00BB300F" w:rsidR="00124761">
        <w:rPr>
          <w:i/>
          <w:iCs/>
          <w:color w:val="252525"/>
        </w:rPr>
        <w:t>2014/2010</w:t>
      </w:r>
      <w:r w:rsidRPr="00BB300F" w:rsidR="00124761">
        <w:rPr>
          <w:color w:val="252525"/>
        </w:rPr>
        <w:t xml:space="preserve"> </w:t>
      </w:r>
      <w:r w:rsidRPr="00BB300F" w:rsidR="00124761">
        <w:rPr>
          <w:i/>
          <w:iCs/>
          <w:color w:val="252525"/>
        </w:rPr>
        <w:t>Quadrennial Second R&amp;O</w:t>
      </w:r>
      <w:r w:rsidR="00124761">
        <w:rPr>
          <w:color w:val="252525"/>
        </w:rPr>
        <w:t xml:space="preserve">, 31 FCC </w:t>
      </w:r>
      <w:r w:rsidR="00124761">
        <w:rPr>
          <w:color w:val="252525"/>
        </w:rPr>
        <w:t>Rcd</w:t>
      </w:r>
      <w:r w:rsidR="00124761">
        <w:rPr>
          <w:color w:val="252525"/>
        </w:rPr>
        <w:t xml:space="preserve"> at 9979-84, paras. 279-286</w:t>
      </w:r>
      <w:r>
        <w:t>.</w:t>
      </w:r>
    </w:p>
  </w:footnote>
  <w:footnote w:id="49">
    <w:p w:rsidR="002146B7" w14:paraId="0773AF3E" w14:textId="3991CF62">
      <w:pPr>
        <w:pStyle w:val="FootnoteText"/>
      </w:pPr>
      <w:r>
        <w:rPr>
          <w:rStyle w:val="FootnoteReference"/>
        </w:rPr>
        <w:footnoteRef/>
      </w:r>
      <w:r>
        <w:t xml:space="preserve"> </w:t>
      </w:r>
      <w:r w:rsidRPr="002146B7">
        <w:rPr>
          <w:i/>
          <w:iCs/>
        </w:rPr>
        <w:t>See</w:t>
      </w:r>
      <w:r>
        <w:t xml:space="preserve"> </w:t>
      </w:r>
      <w:r w:rsidRPr="002101DF">
        <w:rPr>
          <w:i/>
          <w:iCs/>
        </w:rPr>
        <w:t xml:space="preserve">Media Bureau Announces June 30, 2021 Effective Date of Reinstated Media Ownership Rules, </w:t>
      </w:r>
      <w:r w:rsidRPr="002101DF">
        <w:t>Public Notice, DA 21-783 (MB July 1, 2021)</w:t>
      </w:r>
      <w:r>
        <w:t xml:space="preserve">, cited </w:t>
      </w:r>
      <w:r w:rsidRPr="00F72350">
        <w:rPr>
          <w:i/>
          <w:iCs/>
        </w:rPr>
        <w:t>supra</w:t>
      </w:r>
      <w:r>
        <w:t xml:space="preserve"> note 1</w:t>
      </w:r>
      <w:r w:rsidR="00A15561">
        <w:t>4</w:t>
      </w:r>
      <w:r w:rsidRPr="002101DF">
        <w:t>.</w:t>
      </w:r>
    </w:p>
  </w:footnote>
  <w:footnote w:id="50">
    <w:p w:rsidR="00AC309F" w14:paraId="659955CA" w14:textId="1A5461A5">
      <w:pPr>
        <w:pStyle w:val="FootnoteText"/>
      </w:pPr>
      <w:r>
        <w:rPr>
          <w:rStyle w:val="FootnoteReference"/>
        </w:rPr>
        <w:footnoteRef/>
      </w:r>
      <w:r>
        <w:t xml:space="preserve"> </w:t>
      </w:r>
      <w:r>
        <w:t xml:space="preserve">For example, Urban One states that the Bureau should have granted a request for special temporary authorization (STA) to operate the Cross City facility that </w:t>
      </w:r>
      <w:r w:rsidR="00DB317A">
        <w:t>it insists it</w:t>
      </w:r>
      <w:r>
        <w:t xml:space="preserve"> </w:t>
      </w:r>
      <w:r w:rsidR="00DB317A">
        <w:t>submitted</w:t>
      </w:r>
      <w:r>
        <w:t>.  Urban One attaches</w:t>
      </w:r>
      <w:r w:rsidR="00DB317A">
        <w:t xml:space="preserve"> to its Petition as Exhibit A</w:t>
      </w:r>
      <w:r>
        <w:t xml:space="preserve"> </w:t>
      </w:r>
      <w:r>
        <w:t>a</w:t>
      </w:r>
      <w:r>
        <w:t xml:space="preserve"> bare copy of an STA request, but this does not bear an Office of the Secretary stamp or any other indication that it was received or accepted for filing by the Commission, and there is no record of such a request in the Commission’s filing databases.  </w:t>
      </w:r>
      <w:r w:rsidR="00AB6DBD">
        <w:t xml:space="preserve">Without a record of the filing, or a date-stamped copy, we have no basis to </w:t>
      </w:r>
      <w:r>
        <w:t>conclude that such request was ever filed.</w:t>
      </w:r>
    </w:p>
  </w:footnote>
  <w:footnote w:id="51">
    <w:p w:rsidR="00B9649C" w14:paraId="200F7596" w14:textId="533C1E4F">
      <w:pPr>
        <w:pStyle w:val="FootnoteText"/>
      </w:pPr>
      <w:r>
        <w:rPr>
          <w:rStyle w:val="FootnoteReference"/>
        </w:rPr>
        <w:footnoteRef/>
      </w:r>
      <w:r>
        <w:t xml:space="preserve"> </w:t>
      </w:r>
      <w:r w:rsidRPr="00B9649C">
        <w:rPr>
          <w:i/>
          <w:iCs/>
        </w:rPr>
        <w:t>See supra</w:t>
      </w:r>
      <w:r>
        <w:t xml:space="preserve"> notes </w:t>
      </w:r>
      <w:r w:rsidR="005E6C52">
        <w:t>7-1</w:t>
      </w:r>
      <w:r w:rsidR="003E0FB4">
        <w:t>1</w:t>
      </w:r>
      <w:r>
        <w:t xml:space="preserve"> and accompanying text.</w:t>
      </w:r>
    </w:p>
  </w:footnote>
  <w:footnote w:id="52">
    <w:p w:rsidR="00DB317A" w14:paraId="32D4F94D" w14:textId="5F3BC08D">
      <w:pPr>
        <w:pStyle w:val="FootnoteText"/>
      </w:pPr>
      <w:r>
        <w:rPr>
          <w:rStyle w:val="FootnoteReference"/>
        </w:rPr>
        <w:footnoteRef/>
      </w:r>
      <w:r>
        <w:t xml:space="preserve"> </w:t>
      </w:r>
      <w:r>
        <w:t xml:space="preserve">Even were we to consider the substance of Urban One’s arguments, we would have rejected them.  Given the protracted history of this matter, however, we see no value in </w:t>
      </w:r>
      <w:r w:rsidR="00B90884">
        <w:t>discussing</w:t>
      </w:r>
      <w:r>
        <w:t xml:space="preserve"> contentions that, as noted in the text, should not have been presented in the first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rsidP="00840B2C" w14:paraId="49372091" w14:textId="39A52196">
    <w:pPr>
      <w:pStyle w:val="Header"/>
      <w:tabs>
        <w:tab w:val="clear" w:pos="4320"/>
        <w:tab w:val="clear" w:pos="8640"/>
      </w:tabs>
      <w:spacing w:before="360" w:line="228" w:lineRule="auto"/>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840B2C">
      <w:rPr>
        <w:rFonts w:ascii="CG Times (W1)" w:hAnsi="CG Times (W1)"/>
        <w:sz w:val="28"/>
      </w:rPr>
      <w:t xml:space="preserve">                         </w:t>
    </w:r>
    <w:r>
      <w:rPr>
        <w:rFonts w:ascii="CG Times (W1)" w:hAnsi="CG Times (W1)"/>
        <w:sz w:val="28"/>
      </w:rPr>
      <w:t>Federal Communications Commission</w:t>
    </w:r>
  </w:p>
  <w:p w:rsidR="002B54DB" w:rsidP="001333F1" w14:paraId="62E93AA8"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287C3306" w14:textId="77777777">
    <w:pPr>
      <w:pStyle w:val="Header"/>
      <w:tabs>
        <w:tab w:val="clear" w:pos="4320"/>
      </w:tabs>
      <w:jc w:val="center"/>
    </w:pPr>
  </w:p>
  <w:p w:rsidR="002B54DB" w14:paraId="3FBE278D" w14:textId="77777777">
    <w:pPr>
      <w:pStyle w:val="Header"/>
      <w:tabs>
        <w:tab w:val="clear" w:pos="4320"/>
      </w:tabs>
      <w:jc w:val="center"/>
    </w:pPr>
  </w:p>
  <w:p w:rsidR="002B54DB" w:rsidP="00F9266F" w14:paraId="7D0012CD" w14:textId="3E4DBACF">
    <w:pPr>
      <w:pStyle w:val="Header"/>
      <w:tabs>
        <w:tab w:val="clear" w:pos="4320"/>
      </w:tabs>
      <w:jc w:val="center"/>
      <w:rPr>
        <w:sz w:val="24"/>
      </w:rPr>
    </w:pPr>
    <w:r>
      <w:rPr>
        <w:sz w:val="24"/>
      </w:rPr>
      <w:t xml:space="preserve">March </w:t>
    </w:r>
    <w:r w:rsidR="00772114">
      <w:rPr>
        <w:sz w:val="24"/>
      </w:rPr>
      <w:t>17</w:t>
    </w:r>
    <w:r>
      <w:rPr>
        <w:sz w:val="24"/>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8D"/>
    <w:rsid w:val="00001A4D"/>
    <w:rsid w:val="00003741"/>
    <w:rsid w:val="00022423"/>
    <w:rsid w:val="000251C3"/>
    <w:rsid w:val="00030D81"/>
    <w:rsid w:val="00035EA3"/>
    <w:rsid w:val="000370A4"/>
    <w:rsid w:val="00037B6A"/>
    <w:rsid w:val="00041841"/>
    <w:rsid w:val="00042343"/>
    <w:rsid w:val="000429B7"/>
    <w:rsid w:val="0004447F"/>
    <w:rsid w:val="00045B3D"/>
    <w:rsid w:val="000519D5"/>
    <w:rsid w:val="000769F2"/>
    <w:rsid w:val="00077115"/>
    <w:rsid w:val="00083576"/>
    <w:rsid w:val="00094EB1"/>
    <w:rsid w:val="000A0CBA"/>
    <w:rsid w:val="000B0B98"/>
    <w:rsid w:val="000B177A"/>
    <w:rsid w:val="000B2EE3"/>
    <w:rsid w:val="000B4165"/>
    <w:rsid w:val="000C6ABD"/>
    <w:rsid w:val="000D038A"/>
    <w:rsid w:val="000D560C"/>
    <w:rsid w:val="000E090F"/>
    <w:rsid w:val="000E762E"/>
    <w:rsid w:val="000F73B8"/>
    <w:rsid w:val="00104EED"/>
    <w:rsid w:val="00106079"/>
    <w:rsid w:val="00110703"/>
    <w:rsid w:val="00110922"/>
    <w:rsid w:val="00116284"/>
    <w:rsid w:val="001179CB"/>
    <w:rsid w:val="00122FFF"/>
    <w:rsid w:val="00124761"/>
    <w:rsid w:val="001316DD"/>
    <w:rsid w:val="00131C1B"/>
    <w:rsid w:val="001320AB"/>
    <w:rsid w:val="001330FC"/>
    <w:rsid w:val="001333F1"/>
    <w:rsid w:val="00137067"/>
    <w:rsid w:val="00143669"/>
    <w:rsid w:val="0014584C"/>
    <w:rsid w:val="00147B20"/>
    <w:rsid w:val="00150898"/>
    <w:rsid w:val="001517F8"/>
    <w:rsid w:val="00156428"/>
    <w:rsid w:val="00166FE5"/>
    <w:rsid w:val="00167635"/>
    <w:rsid w:val="00171258"/>
    <w:rsid w:val="00171802"/>
    <w:rsid w:val="001736E0"/>
    <w:rsid w:val="001778F3"/>
    <w:rsid w:val="00180763"/>
    <w:rsid w:val="00181796"/>
    <w:rsid w:val="0018602C"/>
    <w:rsid w:val="00187318"/>
    <w:rsid w:val="001925DC"/>
    <w:rsid w:val="00193E2D"/>
    <w:rsid w:val="00197D65"/>
    <w:rsid w:val="001A0399"/>
    <w:rsid w:val="001A0B15"/>
    <w:rsid w:val="001A48DB"/>
    <w:rsid w:val="001A4924"/>
    <w:rsid w:val="001A4BD4"/>
    <w:rsid w:val="001B1252"/>
    <w:rsid w:val="001B1AD8"/>
    <w:rsid w:val="001B5EF4"/>
    <w:rsid w:val="001C3E69"/>
    <w:rsid w:val="001D0F07"/>
    <w:rsid w:val="001E1EEC"/>
    <w:rsid w:val="001E21DF"/>
    <w:rsid w:val="001E4A3E"/>
    <w:rsid w:val="001E538B"/>
    <w:rsid w:val="001E74A1"/>
    <w:rsid w:val="001F2D3D"/>
    <w:rsid w:val="001F5E2B"/>
    <w:rsid w:val="00200BBD"/>
    <w:rsid w:val="00204CE3"/>
    <w:rsid w:val="002101DF"/>
    <w:rsid w:val="0021026E"/>
    <w:rsid w:val="00211436"/>
    <w:rsid w:val="002146B7"/>
    <w:rsid w:val="002157FE"/>
    <w:rsid w:val="00222647"/>
    <w:rsid w:val="00225A43"/>
    <w:rsid w:val="0023010B"/>
    <w:rsid w:val="002309EC"/>
    <w:rsid w:val="00235006"/>
    <w:rsid w:val="00236ACD"/>
    <w:rsid w:val="00241901"/>
    <w:rsid w:val="00241CF2"/>
    <w:rsid w:val="002437AE"/>
    <w:rsid w:val="00243FF5"/>
    <w:rsid w:val="0024481F"/>
    <w:rsid w:val="0024607A"/>
    <w:rsid w:val="0026006D"/>
    <w:rsid w:val="002627FD"/>
    <w:rsid w:val="00263EF0"/>
    <w:rsid w:val="00264BCD"/>
    <w:rsid w:val="00265533"/>
    <w:rsid w:val="00266300"/>
    <w:rsid w:val="00272C03"/>
    <w:rsid w:val="00281690"/>
    <w:rsid w:val="002854BF"/>
    <w:rsid w:val="002858DC"/>
    <w:rsid w:val="002871A5"/>
    <w:rsid w:val="00291CB0"/>
    <w:rsid w:val="00295F29"/>
    <w:rsid w:val="00296086"/>
    <w:rsid w:val="002A5263"/>
    <w:rsid w:val="002A5CBD"/>
    <w:rsid w:val="002A781A"/>
    <w:rsid w:val="002B01FB"/>
    <w:rsid w:val="002B2136"/>
    <w:rsid w:val="002B39B4"/>
    <w:rsid w:val="002B4EED"/>
    <w:rsid w:val="002B54DB"/>
    <w:rsid w:val="002B76C6"/>
    <w:rsid w:val="002C1A8A"/>
    <w:rsid w:val="002C2247"/>
    <w:rsid w:val="002C357B"/>
    <w:rsid w:val="002C5B71"/>
    <w:rsid w:val="002C67F1"/>
    <w:rsid w:val="002D3F26"/>
    <w:rsid w:val="002D50F8"/>
    <w:rsid w:val="002D5F97"/>
    <w:rsid w:val="002D6B99"/>
    <w:rsid w:val="002E2D4A"/>
    <w:rsid w:val="002E6C9E"/>
    <w:rsid w:val="002E7032"/>
    <w:rsid w:val="002E73C7"/>
    <w:rsid w:val="002F283C"/>
    <w:rsid w:val="002F2863"/>
    <w:rsid w:val="002F5F55"/>
    <w:rsid w:val="002F7F5E"/>
    <w:rsid w:val="00303BB3"/>
    <w:rsid w:val="00304E28"/>
    <w:rsid w:val="00305294"/>
    <w:rsid w:val="003130F6"/>
    <w:rsid w:val="003151FE"/>
    <w:rsid w:val="00315945"/>
    <w:rsid w:val="00321D6A"/>
    <w:rsid w:val="00330BD0"/>
    <w:rsid w:val="00335C82"/>
    <w:rsid w:val="00341581"/>
    <w:rsid w:val="003451BD"/>
    <w:rsid w:val="00352565"/>
    <w:rsid w:val="00353141"/>
    <w:rsid w:val="00354400"/>
    <w:rsid w:val="00355AC4"/>
    <w:rsid w:val="003613DF"/>
    <w:rsid w:val="0036256A"/>
    <w:rsid w:val="00365AC9"/>
    <w:rsid w:val="00370D9E"/>
    <w:rsid w:val="00370EB3"/>
    <w:rsid w:val="003803B1"/>
    <w:rsid w:val="00391AE2"/>
    <w:rsid w:val="0039336C"/>
    <w:rsid w:val="00397EB9"/>
    <w:rsid w:val="003A28C1"/>
    <w:rsid w:val="003A50F6"/>
    <w:rsid w:val="003A6249"/>
    <w:rsid w:val="003B4DA0"/>
    <w:rsid w:val="003B58A0"/>
    <w:rsid w:val="003B69C8"/>
    <w:rsid w:val="003C44D0"/>
    <w:rsid w:val="003C6586"/>
    <w:rsid w:val="003D1319"/>
    <w:rsid w:val="003D138C"/>
    <w:rsid w:val="003D284C"/>
    <w:rsid w:val="003E0FB4"/>
    <w:rsid w:val="003E7054"/>
    <w:rsid w:val="003F370D"/>
    <w:rsid w:val="004002AD"/>
    <w:rsid w:val="00402A91"/>
    <w:rsid w:val="004047C2"/>
    <w:rsid w:val="004048C5"/>
    <w:rsid w:val="00411CB7"/>
    <w:rsid w:val="00420C5D"/>
    <w:rsid w:val="00430332"/>
    <w:rsid w:val="00431B91"/>
    <w:rsid w:val="00431E4D"/>
    <w:rsid w:val="00435D3D"/>
    <w:rsid w:val="00442E1F"/>
    <w:rsid w:val="0044591A"/>
    <w:rsid w:val="00446CD2"/>
    <w:rsid w:val="0045268D"/>
    <w:rsid w:val="0046336E"/>
    <w:rsid w:val="004640EB"/>
    <w:rsid w:val="004651F2"/>
    <w:rsid w:val="004671BD"/>
    <w:rsid w:val="00467502"/>
    <w:rsid w:val="004707C8"/>
    <w:rsid w:val="0047404B"/>
    <w:rsid w:val="00484E5A"/>
    <w:rsid w:val="0048614E"/>
    <w:rsid w:val="0048745A"/>
    <w:rsid w:val="004906C5"/>
    <w:rsid w:val="00494134"/>
    <w:rsid w:val="004976AF"/>
    <w:rsid w:val="004978C6"/>
    <w:rsid w:val="004A1DBC"/>
    <w:rsid w:val="004A2B52"/>
    <w:rsid w:val="004C2047"/>
    <w:rsid w:val="004C316C"/>
    <w:rsid w:val="004C4EFB"/>
    <w:rsid w:val="004D326F"/>
    <w:rsid w:val="004D39C1"/>
    <w:rsid w:val="004D3B53"/>
    <w:rsid w:val="004E1D21"/>
    <w:rsid w:val="004E669F"/>
    <w:rsid w:val="004E66EB"/>
    <w:rsid w:val="004F1DA4"/>
    <w:rsid w:val="004F4437"/>
    <w:rsid w:val="004F71BC"/>
    <w:rsid w:val="00500126"/>
    <w:rsid w:val="00500833"/>
    <w:rsid w:val="00500C6E"/>
    <w:rsid w:val="0050650F"/>
    <w:rsid w:val="005076B4"/>
    <w:rsid w:val="005100EA"/>
    <w:rsid w:val="00510653"/>
    <w:rsid w:val="0051345D"/>
    <w:rsid w:val="00513557"/>
    <w:rsid w:val="005140C5"/>
    <w:rsid w:val="005140E1"/>
    <w:rsid w:val="0051551B"/>
    <w:rsid w:val="005159FF"/>
    <w:rsid w:val="00515A82"/>
    <w:rsid w:val="00515B2C"/>
    <w:rsid w:val="00522CFF"/>
    <w:rsid w:val="0052352C"/>
    <w:rsid w:val="00530206"/>
    <w:rsid w:val="0053057F"/>
    <w:rsid w:val="00531580"/>
    <w:rsid w:val="0053464B"/>
    <w:rsid w:val="0054125D"/>
    <w:rsid w:val="005422B4"/>
    <w:rsid w:val="005428C6"/>
    <w:rsid w:val="00542C95"/>
    <w:rsid w:val="005434E7"/>
    <w:rsid w:val="00543C7E"/>
    <w:rsid w:val="00550EF3"/>
    <w:rsid w:val="00551FD9"/>
    <w:rsid w:val="0055237B"/>
    <w:rsid w:val="00553004"/>
    <w:rsid w:val="00562A8A"/>
    <w:rsid w:val="00563C06"/>
    <w:rsid w:val="005649C8"/>
    <w:rsid w:val="0056591F"/>
    <w:rsid w:val="00574910"/>
    <w:rsid w:val="0057585F"/>
    <w:rsid w:val="0057620C"/>
    <w:rsid w:val="00577CED"/>
    <w:rsid w:val="00583044"/>
    <w:rsid w:val="005865F4"/>
    <w:rsid w:val="00597DAD"/>
    <w:rsid w:val="005A0998"/>
    <w:rsid w:val="005A34BE"/>
    <w:rsid w:val="005A3DA8"/>
    <w:rsid w:val="005A6021"/>
    <w:rsid w:val="005A6491"/>
    <w:rsid w:val="005A78B5"/>
    <w:rsid w:val="005A7E23"/>
    <w:rsid w:val="005B65BD"/>
    <w:rsid w:val="005B7ADF"/>
    <w:rsid w:val="005D1A21"/>
    <w:rsid w:val="005E0BA2"/>
    <w:rsid w:val="005E0BCF"/>
    <w:rsid w:val="005E0E57"/>
    <w:rsid w:val="005E1979"/>
    <w:rsid w:val="005E606E"/>
    <w:rsid w:val="005E6C52"/>
    <w:rsid w:val="005F2895"/>
    <w:rsid w:val="005F3D34"/>
    <w:rsid w:val="005F4798"/>
    <w:rsid w:val="005F7C7F"/>
    <w:rsid w:val="00604E6D"/>
    <w:rsid w:val="006101E7"/>
    <w:rsid w:val="006255B9"/>
    <w:rsid w:val="0063179E"/>
    <w:rsid w:val="006334B1"/>
    <w:rsid w:val="006345C2"/>
    <w:rsid w:val="00645EC6"/>
    <w:rsid w:val="006464FE"/>
    <w:rsid w:val="00647E45"/>
    <w:rsid w:val="00651EB6"/>
    <w:rsid w:val="00653608"/>
    <w:rsid w:val="006555C1"/>
    <w:rsid w:val="006608C7"/>
    <w:rsid w:val="006611DC"/>
    <w:rsid w:val="00662544"/>
    <w:rsid w:val="00663B99"/>
    <w:rsid w:val="00664D27"/>
    <w:rsid w:val="00666B42"/>
    <w:rsid w:val="00666CB7"/>
    <w:rsid w:val="006702E4"/>
    <w:rsid w:val="00670E60"/>
    <w:rsid w:val="00672A12"/>
    <w:rsid w:val="006754D4"/>
    <w:rsid w:val="00683661"/>
    <w:rsid w:val="00696D5A"/>
    <w:rsid w:val="006A3E97"/>
    <w:rsid w:val="006B0C67"/>
    <w:rsid w:val="006B14B3"/>
    <w:rsid w:val="006B265E"/>
    <w:rsid w:val="006B2EFF"/>
    <w:rsid w:val="006B337B"/>
    <w:rsid w:val="006B658F"/>
    <w:rsid w:val="006C4CA6"/>
    <w:rsid w:val="006C7494"/>
    <w:rsid w:val="006D4E0A"/>
    <w:rsid w:val="006E1CD9"/>
    <w:rsid w:val="006E3E9C"/>
    <w:rsid w:val="006E5FBB"/>
    <w:rsid w:val="006E7AB1"/>
    <w:rsid w:val="006F0FFA"/>
    <w:rsid w:val="006F5F55"/>
    <w:rsid w:val="00703230"/>
    <w:rsid w:val="00703FC3"/>
    <w:rsid w:val="00707A35"/>
    <w:rsid w:val="007108D3"/>
    <w:rsid w:val="007116F6"/>
    <w:rsid w:val="00715CA2"/>
    <w:rsid w:val="0071694F"/>
    <w:rsid w:val="00730398"/>
    <w:rsid w:val="00734F03"/>
    <w:rsid w:val="00745178"/>
    <w:rsid w:val="00747710"/>
    <w:rsid w:val="00750136"/>
    <w:rsid w:val="00751F27"/>
    <w:rsid w:val="00754B58"/>
    <w:rsid w:val="00756D5B"/>
    <w:rsid w:val="00760FB2"/>
    <w:rsid w:val="00764423"/>
    <w:rsid w:val="00766A0A"/>
    <w:rsid w:val="00770FD3"/>
    <w:rsid w:val="00771365"/>
    <w:rsid w:val="00772114"/>
    <w:rsid w:val="00774BC4"/>
    <w:rsid w:val="00775BDA"/>
    <w:rsid w:val="00776B31"/>
    <w:rsid w:val="007805FF"/>
    <w:rsid w:val="00785110"/>
    <w:rsid w:val="00786161"/>
    <w:rsid w:val="00787327"/>
    <w:rsid w:val="00792F73"/>
    <w:rsid w:val="007971D1"/>
    <w:rsid w:val="007A2FE8"/>
    <w:rsid w:val="007A473C"/>
    <w:rsid w:val="007A4744"/>
    <w:rsid w:val="007A47FD"/>
    <w:rsid w:val="007A5BD9"/>
    <w:rsid w:val="007A5C03"/>
    <w:rsid w:val="007A5E70"/>
    <w:rsid w:val="007B2F16"/>
    <w:rsid w:val="007B5D5B"/>
    <w:rsid w:val="007B7C4D"/>
    <w:rsid w:val="007C095D"/>
    <w:rsid w:val="007C0E46"/>
    <w:rsid w:val="007C2201"/>
    <w:rsid w:val="007C4818"/>
    <w:rsid w:val="007C7596"/>
    <w:rsid w:val="007E1DC0"/>
    <w:rsid w:val="007E4369"/>
    <w:rsid w:val="007E76FC"/>
    <w:rsid w:val="007F7A9D"/>
    <w:rsid w:val="0080056F"/>
    <w:rsid w:val="0080533D"/>
    <w:rsid w:val="0081590A"/>
    <w:rsid w:val="0081718E"/>
    <w:rsid w:val="00821D5C"/>
    <w:rsid w:val="00824323"/>
    <w:rsid w:val="008248EB"/>
    <w:rsid w:val="00826CB1"/>
    <w:rsid w:val="0083382D"/>
    <w:rsid w:val="008377AD"/>
    <w:rsid w:val="00840B2C"/>
    <w:rsid w:val="0084280C"/>
    <w:rsid w:val="00843DBD"/>
    <w:rsid w:val="00845E89"/>
    <w:rsid w:val="00845F5B"/>
    <w:rsid w:val="00847DE0"/>
    <w:rsid w:val="0085288E"/>
    <w:rsid w:val="008535DE"/>
    <w:rsid w:val="0085784A"/>
    <w:rsid w:val="00864EDE"/>
    <w:rsid w:val="008679A7"/>
    <w:rsid w:val="008712E8"/>
    <w:rsid w:val="008833B8"/>
    <w:rsid w:val="00885075"/>
    <w:rsid w:val="0089419D"/>
    <w:rsid w:val="008969E0"/>
    <w:rsid w:val="00897977"/>
    <w:rsid w:val="008A0355"/>
    <w:rsid w:val="008A0978"/>
    <w:rsid w:val="008A1C79"/>
    <w:rsid w:val="008A3FD7"/>
    <w:rsid w:val="008A4652"/>
    <w:rsid w:val="008A7087"/>
    <w:rsid w:val="008A7C7E"/>
    <w:rsid w:val="008B2F9B"/>
    <w:rsid w:val="008C4E51"/>
    <w:rsid w:val="008D1E67"/>
    <w:rsid w:val="008D2FE1"/>
    <w:rsid w:val="008E294D"/>
    <w:rsid w:val="008E36F1"/>
    <w:rsid w:val="008F5BCA"/>
    <w:rsid w:val="00903471"/>
    <w:rsid w:val="00906428"/>
    <w:rsid w:val="0091509C"/>
    <w:rsid w:val="00925646"/>
    <w:rsid w:val="00925699"/>
    <w:rsid w:val="00944488"/>
    <w:rsid w:val="00944A60"/>
    <w:rsid w:val="00964B7A"/>
    <w:rsid w:val="00965A35"/>
    <w:rsid w:val="009758F1"/>
    <w:rsid w:val="00980015"/>
    <w:rsid w:val="00982375"/>
    <w:rsid w:val="00986DF5"/>
    <w:rsid w:val="0099009A"/>
    <w:rsid w:val="00990318"/>
    <w:rsid w:val="00994AAC"/>
    <w:rsid w:val="00994C55"/>
    <w:rsid w:val="00996238"/>
    <w:rsid w:val="009A3002"/>
    <w:rsid w:val="009A4E1B"/>
    <w:rsid w:val="009A703D"/>
    <w:rsid w:val="009B331B"/>
    <w:rsid w:val="009B52BD"/>
    <w:rsid w:val="009C2AB8"/>
    <w:rsid w:val="009C3AB0"/>
    <w:rsid w:val="009C638B"/>
    <w:rsid w:val="009D48F1"/>
    <w:rsid w:val="009D72A4"/>
    <w:rsid w:val="009E2D1A"/>
    <w:rsid w:val="009E47EB"/>
    <w:rsid w:val="009E57EC"/>
    <w:rsid w:val="009F1D0D"/>
    <w:rsid w:val="009F44F7"/>
    <w:rsid w:val="009F6889"/>
    <w:rsid w:val="00A0043F"/>
    <w:rsid w:val="00A00C87"/>
    <w:rsid w:val="00A043A2"/>
    <w:rsid w:val="00A05337"/>
    <w:rsid w:val="00A06B3A"/>
    <w:rsid w:val="00A07A69"/>
    <w:rsid w:val="00A10A80"/>
    <w:rsid w:val="00A1299A"/>
    <w:rsid w:val="00A15561"/>
    <w:rsid w:val="00A15FE6"/>
    <w:rsid w:val="00A16042"/>
    <w:rsid w:val="00A20427"/>
    <w:rsid w:val="00A22D3E"/>
    <w:rsid w:val="00A26A6A"/>
    <w:rsid w:val="00A30FAA"/>
    <w:rsid w:val="00A359F1"/>
    <w:rsid w:val="00A40354"/>
    <w:rsid w:val="00A45404"/>
    <w:rsid w:val="00A50BBA"/>
    <w:rsid w:val="00A52CB1"/>
    <w:rsid w:val="00A530B0"/>
    <w:rsid w:val="00A60324"/>
    <w:rsid w:val="00A629B6"/>
    <w:rsid w:val="00A630B4"/>
    <w:rsid w:val="00A6388B"/>
    <w:rsid w:val="00A710F0"/>
    <w:rsid w:val="00A7690B"/>
    <w:rsid w:val="00A7714E"/>
    <w:rsid w:val="00A81FE5"/>
    <w:rsid w:val="00A83542"/>
    <w:rsid w:val="00A83910"/>
    <w:rsid w:val="00A86230"/>
    <w:rsid w:val="00A8773F"/>
    <w:rsid w:val="00A90A0B"/>
    <w:rsid w:val="00A92580"/>
    <w:rsid w:val="00A95800"/>
    <w:rsid w:val="00A97B35"/>
    <w:rsid w:val="00AA0052"/>
    <w:rsid w:val="00AA4567"/>
    <w:rsid w:val="00AA5C13"/>
    <w:rsid w:val="00AA768F"/>
    <w:rsid w:val="00AB25A1"/>
    <w:rsid w:val="00AB3B63"/>
    <w:rsid w:val="00AB6DBD"/>
    <w:rsid w:val="00AC1410"/>
    <w:rsid w:val="00AC2A42"/>
    <w:rsid w:val="00AC309F"/>
    <w:rsid w:val="00AC5816"/>
    <w:rsid w:val="00AD58A6"/>
    <w:rsid w:val="00AD5CB8"/>
    <w:rsid w:val="00AD71AF"/>
    <w:rsid w:val="00AE146D"/>
    <w:rsid w:val="00AE327B"/>
    <w:rsid w:val="00AE36DE"/>
    <w:rsid w:val="00AE3DF1"/>
    <w:rsid w:val="00AE7084"/>
    <w:rsid w:val="00AF1F8A"/>
    <w:rsid w:val="00AF555C"/>
    <w:rsid w:val="00B03EA6"/>
    <w:rsid w:val="00B1172C"/>
    <w:rsid w:val="00B125DD"/>
    <w:rsid w:val="00B12E89"/>
    <w:rsid w:val="00B1525C"/>
    <w:rsid w:val="00B3007C"/>
    <w:rsid w:val="00B34400"/>
    <w:rsid w:val="00B34978"/>
    <w:rsid w:val="00B363E5"/>
    <w:rsid w:val="00B424FE"/>
    <w:rsid w:val="00B435D4"/>
    <w:rsid w:val="00B535FF"/>
    <w:rsid w:val="00B5610B"/>
    <w:rsid w:val="00B6514F"/>
    <w:rsid w:val="00B7198F"/>
    <w:rsid w:val="00B80C3C"/>
    <w:rsid w:val="00B80C60"/>
    <w:rsid w:val="00B8180A"/>
    <w:rsid w:val="00B830FD"/>
    <w:rsid w:val="00B84E1D"/>
    <w:rsid w:val="00B90884"/>
    <w:rsid w:val="00B950C6"/>
    <w:rsid w:val="00B95BBC"/>
    <w:rsid w:val="00B96346"/>
    <w:rsid w:val="00B9649C"/>
    <w:rsid w:val="00B965A7"/>
    <w:rsid w:val="00BA21C1"/>
    <w:rsid w:val="00BA3AD5"/>
    <w:rsid w:val="00BA7C7B"/>
    <w:rsid w:val="00BA7F41"/>
    <w:rsid w:val="00BB1BD4"/>
    <w:rsid w:val="00BB300F"/>
    <w:rsid w:val="00BB346A"/>
    <w:rsid w:val="00BB46CA"/>
    <w:rsid w:val="00BB52F8"/>
    <w:rsid w:val="00BB5AD2"/>
    <w:rsid w:val="00BB79CC"/>
    <w:rsid w:val="00BC1B37"/>
    <w:rsid w:val="00BC50FC"/>
    <w:rsid w:val="00BC5EA9"/>
    <w:rsid w:val="00BC763A"/>
    <w:rsid w:val="00BC7796"/>
    <w:rsid w:val="00BD278A"/>
    <w:rsid w:val="00BE6166"/>
    <w:rsid w:val="00BE70CE"/>
    <w:rsid w:val="00BE7B62"/>
    <w:rsid w:val="00BF5A4F"/>
    <w:rsid w:val="00BF6E82"/>
    <w:rsid w:val="00C00F6B"/>
    <w:rsid w:val="00C01C68"/>
    <w:rsid w:val="00C06356"/>
    <w:rsid w:val="00C0676A"/>
    <w:rsid w:val="00C13C74"/>
    <w:rsid w:val="00C17C2B"/>
    <w:rsid w:val="00C22719"/>
    <w:rsid w:val="00C257EA"/>
    <w:rsid w:val="00C34F55"/>
    <w:rsid w:val="00C35AE4"/>
    <w:rsid w:val="00C36639"/>
    <w:rsid w:val="00C40E02"/>
    <w:rsid w:val="00C47651"/>
    <w:rsid w:val="00C47880"/>
    <w:rsid w:val="00C47949"/>
    <w:rsid w:val="00C47DFE"/>
    <w:rsid w:val="00C50068"/>
    <w:rsid w:val="00C52742"/>
    <w:rsid w:val="00C538BF"/>
    <w:rsid w:val="00C54DBA"/>
    <w:rsid w:val="00C56968"/>
    <w:rsid w:val="00C57600"/>
    <w:rsid w:val="00C6196C"/>
    <w:rsid w:val="00C64A3A"/>
    <w:rsid w:val="00C70DA7"/>
    <w:rsid w:val="00C71300"/>
    <w:rsid w:val="00C7269E"/>
    <w:rsid w:val="00C734B2"/>
    <w:rsid w:val="00C817A8"/>
    <w:rsid w:val="00C9645F"/>
    <w:rsid w:val="00C96769"/>
    <w:rsid w:val="00C97D28"/>
    <w:rsid w:val="00CA1448"/>
    <w:rsid w:val="00CA3835"/>
    <w:rsid w:val="00CA3D12"/>
    <w:rsid w:val="00CA49A2"/>
    <w:rsid w:val="00CA5195"/>
    <w:rsid w:val="00CB2D28"/>
    <w:rsid w:val="00CB45BC"/>
    <w:rsid w:val="00CB53C5"/>
    <w:rsid w:val="00CB7243"/>
    <w:rsid w:val="00CC1341"/>
    <w:rsid w:val="00CC275D"/>
    <w:rsid w:val="00CC3C7A"/>
    <w:rsid w:val="00CD0F71"/>
    <w:rsid w:val="00CD3309"/>
    <w:rsid w:val="00CE31E8"/>
    <w:rsid w:val="00CE5C38"/>
    <w:rsid w:val="00CE720C"/>
    <w:rsid w:val="00D02818"/>
    <w:rsid w:val="00D02A11"/>
    <w:rsid w:val="00D044B0"/>
    <w:rsid w:val="00D149C1"/>
    <w:rsid w:val="00D14EDE"/>
    <w:rsid w:val="00D15459"/>
    <w:rsid w:val="00D15CD3"/>
    <w:rsid w:val="00D16204"/>
    <w:rsid w:val="00D17CC5"/>
    <w:rsid w:val="00D205EB"/>
    <w:rsid w:val="00D25505"/>
    <w:rsid w:val="00D31C80"/>
    <w:rsid w:val="00D36678"/>
    <w:rsid w:val="00D4059B"/>
    <w:rsid w:val="00D43956"/>
    <w:rsid w:val="00D52F99"/>
    <w:rsid w:val="00D57F22"/>
    <w:rsid w:val="00D60EAF"/>
    <w:rsid w:val="00D621A5"/>
    <w:rsid w:val="00D65409"/>
    <w:rsid w:val="00D71A66"/>
    <w:rsid w:val="00D7219C"/>
    <w:rsid w:val="00D74A9D"/>
    <w:rsid w:val="00D76F8A"/>
    <w:rsid w:val="00D8173B"/>
    <w:rsid w:val="00D869C4"/>
    <w:rsid w:val="00D86BEE"/>
    <w:rsid w:val="00D952B0"/>
    <w:rsid w:val="00D9598C"/>
    <w:rsid w:val="00D97013"/>
    <w:rsid w:val="00DA4B4B"/>
    <w:rsid w:val="00DA5677"/>
    <w:rsid w:val="00DA7100"/>
    <w:rsid w:val="00DB317A"/>
    <w:rsid w:val="00DB553A"/>
    <w:rsid w:val="00DB657F"/>
    <w:rsid w:val="00DC2123"/>
    <w:rsid w:val="00DC2516"/>
    <w:rsid w:val="00DC2BBE"/>
    <w:rsid w:val="00DC3B94"/>
    <w:rsid w:val="00DC7080"/>
    <w:rsid w:val="00DC7AE2"/>
    <w:rsid w:val="00DD28DC"/>
    <w:rsid w:val="00DD3397"/>
    <w:rsid w:val="00DD39BC"/>
    <w:rsid w:val="00DD3CD6"/>
    <w:rsid w:val="00DD71E6"/>
    <w:rsid w:val="00DD7799"/>
    <w:rsid w:val="00DE4D62"/>
    <w:rsid w:val="00DF181F"/>
    <w:rsid w:val="00DF28BA"/>
    <w:rsid w:val="00E01E51"/>
    <w:rsid w:val="00E04FF5"/>
    <w:rsid w:val="00E21452"/>
    <w:rsid w:val="00E22A4F"/>
    <w:rsid w:val="00E27888"/>
    <w:rsid w:val="00E3143D"/>
    <w:rsid w:val="00E333F4"/>
    <w:rsid w:val="00E336DA"/>
    <w:rsid w:val="00E3707B"/>
    <w:rsid w:val="00E377C6"/>
    <w:rsid w:val="00E40406"/>
    <w:rsid w:val="00E453A4"/>
    <w:rsid w:val="00E46FDB"/>
    <w:rsid w:val="00E47771"/>
    <w:rsid w:val="00E75A23"/>
    <w:rsid w:val="00E779D2"/>
    <w:rsid w:val="00E77C96"/>
    <w:rsid w:val="00E91DAF"/>
    <w:rsid w:val="00E9394F"/>
    <w:rsid w:val="00E95641"/>
    <w:rsid w:val="00E95B38"/>
    <w:rsid w:val="00E969D9"/>
    <w:rsid w:val="00E96B11"/>
    <w:rsid w:val="00E96BCF"/>
    <w:rsid w:val="00EA059C"/>
    <w:rsid w:val="00EA0E3F"/>
    <w:rsid w:val="00EA4796"/>
    <w:rsid w:val="00EB6260"/>
    <w:rsid w:val="00EC0431"/>
    <w:rsid w:val="00ED1D48"/>
    <w:rsid w:val="00ED6487"/>
    <w:rsid w:val="00EE2B11"/>
    <w:rsid w:val="00EE640B"/>
    <w:rsid w:val="00EE7829"/>
    <w:rsid w:val="00EF0B9B"/>
    <w:rsid w:val="00EF14CC"/>
    <w:rsid w:val="00F0106E"/>
    <w:rsid w:val="00F02CD4"/>
    <w:rsid w:val="00F118C9"/>
    <w:rsid w:val="00F151CC"/>
    <w:rsid w:val="00F153C3"/>
    <w:rsid w:val="00F173E3"/>
    <w:rsid w:val="00F20049"/>
    <w:rsid w:val="00F221E4"/>
    <w:rsid w:val="00F25FAF"/>
    <w:rsid w:val="00F305EA"/>
    <w:rsid w:val="00F31E0F"/>
    <w:rsid w:val="00F3331E"/>
    <w:rsid w:val="00F3418D"/>
    <w:rsid w:val="00F36CA0"/>
    <w:rsid w:val="00F37035"/>
    <w:rsid w:val="00F412BB"/>
    <w:rsid w:val="00F42CA7"/>
    <w:rsid w:val="00F42CCB"/>
    <w:rsid w:val="00F45BA6"/>
    <w:rsid w:val="00F57134"/>
    <w:rsid w:val="00F6633A"/>
    <w:rsid w:val="00F72350"/>
    <w:rsid w:val="00F75012"/>
    <w:rsid w:val="00F80292"/>
    <w:rsid w:val="00F83BFE"/>
    <w:rsid w:val="00F91D48"/>
    <w:rsid w:val="00F91E01"/>
    <w:rsid w:val="00F9266F"/>
    <w:rsid w:val="00F94665"/>
    <w:rsid w:val="00F95B6B"/>
    <w:rsid w:val="00FA228D"/>
    <w:rsid w:val="00FB072D"/>
    <w:rsid w:val="00FB1D87"/>
    <w:rsid w:val="00FB417A"/>
    <w:rsid w:val="00FC0110"/>
    <w:rsid w:val="00FC491D"/>
    <w:rsid w:val="00FD0F6F"/>
    <w:rsid w:val="00FD568C"/>
    <w:rsid w:val="00FD5E1E"/>
    <w:rsid w:val="00FE290F"/>
    <w:rsid w:val="00FE5D92"/>
    <w:rsid w:val="00FF0905"/>
    <w:rsid w:val="00FF1C9A"/>
    <w:rsid w:val="00FF60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5BE677"/>
  <w15:chartTrackingRefBased/>
  <w15:docId w15:val="{750D1FB1-9EBE-4C46-8F5A-389E9E17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90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DB553A"/>
    <w:pPr>
      <w:autoSpaceDE w:val="0"/>
      <w:autoSpaceDN w:val="0"/>
      <w:adjustRightInd w:val="0"/>
    </w:pPr>
    <w:rPr>
      <w:color w:val="000000"/>
      <w:sz w:val="24"/>
      <w:szCs w:val="24"/>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unhideWhenUsed/>
    <w:rsid w:val="001A4BD4"/>
    <w:pPr>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1A4BD4"/>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unhideWhenUsed/>
    <w:qFormat/>
    <w:rsid w:val="00DB553A"/>
    <w:rPr>
      <w:vertAlign w:val="superscript"/>
    </w:rPr>
  </w:style>
  <w:style w:type="character" w:styleId="Hyperlink">
    <w:name w:val="Hyperlink"/>
    <w:uiPriority w:val="99"/>
    <w:unhideWhenUsed/>
    <w:rsid w:val="007C7596"/>
    <w:rPr>
      <w:color w:val="0000FF"/>
      <w:u w:val="single"/>
    </w:rPr>
  </w:style>
  <w:style w:type="character" w:customStyle="1" w:styleId="emphi">
    <w:name w:val="emphi"/>
    <w:rsid w:val="007C7596"/>
  </w:style>
  <w:style w:type="character" w:customStyle="1" w:styleId="FooterChar">
    <w:name w:val="Footer Char"/>
    <w:link w:val="Footer"/>
    <w:uiPriority w:val="99"/>
    <w:rsid w:val="00AD5CB8"/>
    <w:rPr>
      <w:sz w:val="22"/>
    </w:rPr>
  </w:style>
  <w:style w:type="character" w:styleId="CommentReference">
    <w:name w:val="annotation reference"/>
    <w:basedOn w:val="DefaultParagraphFont"/>
    <w:uiPriority w:val="99"/>
    <w:semiHidden/>
    <w:unhideWhenUsed/>
    <w:rsid w:val="00B12E89"/>
    <w:rPr>
      <w:sz w:val="16"/>
      <w:szCs w:val="16"/>
    </w:rPr>
  </w:style>
  <w:style w:type="paragraph" w:styleId="CommentText">
    <w:name w:val="annotation text"/>
    <w:basedOn w:val="Normal"/>
    <w:link w:val="CommentTextChar"/>
    <w:uiPriority w:val="99"/>
    <w:unhideWhenUsed/>
    <w:rsid w:val="00B12E89"/>
    <w:rPr>
      <w:sz w:val="20"/>
    </w:rPr>
  </w:style>
  <w:style w:type="character" w:customStyle="1" w:styleId="CommentTextChar">
    <w:name w:val="Comment Text Char"/>
    <w:basedOn w:val="DefaultParagraphFont"/>
    <w:link w:val="CommentText"/>
    <w:uiPriority w:val="99"/>
    <w:rsid w:val="00B12E89"/>
  </w:style>
  <w:style w:type="paragraph" w:styleId="CommentSubject">
    <w:name w:val="annotation subject"/>
    <w:basedOn w:val="CommentText"/>
    <w:next w:val="CommentText"/>
    <w:link w:val="CommentSubjectChar"/>
    <w:uiPriority w:val="99"/>
    <w:semiHidden/>
    <w:unhideWhenUsed/>
    <w:rsid w:val="00B12E89"/>
    <w:rPr>
      <w:b/>
      <w:bCs/>
    </w:rPr>
  </w:style>
  <w:style w:type="character" w:customStyle="1" w:styleId="CommentSubjectChar">
    <w:name w:val="Comment Subject Char"/>
    <w:basedOn w:val="CommentTextChar"/>
    <w:link w:val="CommentSubject"/>
    <w:uiPriority w:val="99"/>
    <w:semiHidden/>
    <w:rsid w:val="00B12E89"/>
    <w:rPr>
      <w:b/>
      <w:bCs/>
    </w:rPr>
  </w:style>
  <w:style w:type="character" w:customStyle="1" w:styleId="FootnoteTextChar2">
    <w:name w:val="Footnote Text Char2"/>
    <w:aliases w:val="Footnote Text Char Char Char,Footnote Text Char Char Char4 Char Char Char Char,Footnote Text Char1 Char Char Char,Footnote Text Char1 Char1"/>
    <w:rsid w:val="006E1CD9"/>
    <w:rPr>
      <w:lang w:val="en-US" w:eastAsia="en-US" w:bidi="ar-SA"/>
    </w:rPr>
  </w:style>
  <w:style w:type="character" w:styleId="SubtleEmphasis">
    <w:name w:val="Subtle Emphasis"/>
    <w:basedOn w:val="DefaultParagraphFont"/>
    <w:uiPriority w:val="19"/>
    <w:qFormat/>
    <w:rsid w:val="00F0106E"/>
    <w:rPr>
      <w:i/>
      <w:iCs/>
      <w:color w:val="404040" w:themeColor="text1" w:themeTint="BF"/>
    </w:rPr>
  </w:style>
  <w:style w:type="paragraph" w:styleId="Revision">
    <w:name w:val="Revision"/>
    <w:hidden/>
    <w:uiPriority w:val="99"/>
    <w:semiHidden/>
    <w:rsid w:val="00CC3C7A"/>
    <w:rPr>
      <w:sz w:val="22"/>
    </w:rPr>
  </w:style>
  <w:style w:type="character" w:customStyle="1" w:styleId="cf01">
    <w:name w:val="cf01"/>
    <w:basedOn w:val="DefaultParagraphFont"/>
    <w:rsid w:val="00420C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