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0D8E86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C5911FC" w14:textId="77777777">
      <w:pPr>
        <w:pStyle w:val="StyleBoldCentered"/>
      </w:pPr>
      <w:r>
        <w:t>F</w:t>
      </w:r>
      <w:r>
        <w:rPr>
          <w:caps w:val="0"/>
        </w:rPr>
        <w:t>ederal Communications Commission</w:t>
      </w:r>
    </w:p>
    <w:p w:rsidR="004C2EE3" w:rsidP="00096D8C" w14:paraId="2013C478" w14:textId="77777777">
      <w:pPr>
        <w:pStyle w:val="StyleBoldCentered"/>
      </w:pPr>
      <w:r>
        <w:rPr>
          <w:caps w:val="0"/>
        </w:rPr>
        <w:t>Washington, D.C. 20554</w:t>
      </w:r>
    </w:p>
    <w:p w:rsidR="004C2EE3" w:rsidP="0070224F" w14:paraId="3164FF5B" w14:textId="77777777"/>
    <w:p w:rsidR="004C2EE3" w:rsidP="0070224F" w14:paraId="0AA51A65" w14:textId="77777777"/>
    <w:tbl>
      <w:tblPr>
        <w:tblW w:w="0" w:type="auto"/>
        <w:tblLayout w:type="fixed"/>
        <w:tblLook w:val="0000"/>
      </w:tblPr>
      <w:tblGrid>
        <w:gridCol w:w="4698"/>
        <w:gridCol w:w="630"/>
        <w:gridCol w:w="4248"/>
      </w:tblGrid>
      <w:tr w14:paraId="140776D3" w14:textId="77777777">
        <w:tblPrEx>
          <w:tblW w:w="0" w:type="auto"/>
          <w:tblLayout w:type="fixed"/>
          <w:tblLook w:val="0000"/>
        </w:tblPrEx>
        <w:tc>
          <w:tcPr>
            <w:tcW w:w="4698" w:type="dxa"/>
          </w:tcPr>
          <w:p w:rsidR="004C2EE3" w14:paraId="7AF245BB" w14:textId="77777777">
            <w:pPr>
              <w:tabs>
                <w:tab w:val="center" w:pos="4680"/>
              </w:tabs>
              <w:suppressAutoHyphens/>
              <w:rPr>
                <w:spacing w:val="-2"/>
              </w:rPr>
            </w:pPr>
            <w:r>
              <w:rPr>
                <w:spacing w:val="-2"/>
              </w:rPr>
              <w:t>In the Matter of</w:t>
            </w:r>
          </w:p>
          <w:p w:rsidR="004C2EE3" w14:paraId="3B69FF7F" w14:textId="77777777">
            <w:pPr>
              <w:tabs>
                <w:tab w:val="center" w:pos="4680"/>
              </w:tabs>
              <w:suppressAutoHyphens/>
              <w:rPr>
                <w:spacing w:val="-2"/>
              </w:rPr>
            </w:pPr>
          </w:p>
          <w:p w:rsidR="00237591" w:rsidP="007115F7" w14:paraId="0B146D4E" w14:textId="43D1DF63">
            <w:pPr>
              <w:tabs>
                <w:tab w:val="center" w:pos="4680"/>
              </w:tabs>
              <w:suppressAutoHyphens/>
              <w:rPr>
                <w:spacing w:val="-2"/>
                <w:szCs w:val="22"/>
              </w:rPr>
            </w:pPr>
            <w:r>
              <w:rPr>
                <w:spacing w:val="-2"/>
                <w:szCs w:val="22"/>
              </w:rPr>
              <w:t>Northwest Communications Cooperative, Inc. and</w:t>
            </w:r>
          </w:p>
          <w:p w:rsidR="005059A6" w:rsidP="007115F7" w14:paraId="21265593" w14:textId="1C9F9BFD">
            <w:pPr>
              <w:tabs>
                <w:tab w:val="center" w:pos="4680"/>
              </w:tabs>
              <w:suppressAutoHyphens/>
              <w:rPr>
                <w:spacing w:val="-2"/>
                <w:szCs w:val="22"/>
              </w:rPr>
            </w:pPr>
            <w:r>
              <w:rPr>
                <w:spacing w:val="-2"/>
                <w:szCs w:val="22"/>
              </w:rPr>
              <w:t>Midstate Telephone Company, LLC Joint Petition</w:t>
            </w:r>
          </w:p>
          <w:p w:rsidR="005059A6" w:rsidP="007115F7" w14:paraId="322FEC89" w14:textId="088B4A3A">
            <w:pPr>
              <w:tabs>
                <w:tab w:val="center" w:pos="4680"/>
              </w:tabs>
              <w:suppressAutoHyphens/>
              <w:rPr>
                <w:spacing w:val="-2"/>
                <w:szCs w:val="22"/>
              </w:rPr>
            </w:pPr>
            <w:r>
              <w:rPr>
                <w:spacing w:val="-2"/>
                <w:szCs w:val="22"/>
              </w:rPr>
              <w:t>for Waiver of Sections 51.909(a), 51.917(b)(1) and</w:t>
            </w:r>
          </w:p>
          <w:p w:rsidR="005059A6" w:rsidP="007115F7" w14:paraId="5D3FEADB" w14:textId="44AEFDDC">
            <w:pPr>
              <w:tabs>
                <w:tab w:val="center" w:pos="4680"/>
              </w:tabs>
              <w:suppressAutoHyphens/>
              <w:rPr>
                <w:spacing w:val="-2"/>
                <w:szCs w:val="22"/>
              </w:rPr>
            </w:pPr>
            <w:r>
              <w:rPr>
                <w:spacing w:val="-2"/>
                <w:szCs w:val="22"/>
              </w:rPr>
              <w:t>51.917(b)(7) of the Commission’s Rules</w:t>
            </w:r>
          </w:p>
          <w:p w:rsidR="00237591" w:rsidP="007115F7" w14:paraId="2C7BC664" w14:textId="77777777">
            <w:pPr>
              <w:tabs>
                <w:tab w:val="center" w:pos="4680"/>
              </w:tabs>
              <w:suppressAutoHyphens/>
              <w:rPr>
                <w:spacing w:val="-2"/>
                <w:szCs w:val="22"/>
              </w:rPr>
            </w:pPr>
          </w:p>
          <w:p w:rsidR="004C2EE3" w:rsidP="007115F7" w14:paraId="0D78FA45" w14:textId="29B1FE76">
            <w:pPr>
              <w:tabs>
                <w:tab w:val="center" w:pos="4680"/>
              </w:tabs>
              <w:suppressAutoHyphens/>
              <w:rPr>
                <w:spacing w:val="-2"/>
                <w:szCs w:val="22"/>
              </w:rPr>
            </w:pPr>
            <w:r>
              <w:rPr>
                <w:spacing w:val="-2"/>
                <w:szCs w:val="22"/>
              </w:rPr>
              <w:t>Connect America Fund</w:t>
            </w:r>
          </w:p>
          <w:p w:rsidR="00237591" w:rsidP="007115F7" w14:paraId="471D8298" w14:textId="77777777">
            <w:pPr>
              <w:tabs>
                <w:tab w:val="center" w:pos="4680"/>
              </w:tabs>
              <w:suppressAutoHyphens/>
              <w:rPr>
                <w:spacing w:val="-2"/>
                <w:szCs w:val="22"/>
              </w:rPr>
            </w:pPr>
          </w:p>
          <w:p w:rsidR="00237591" w:rsidRPr="00237591" w:rsidP="00237591" w14:paraId="4FAD7E55" w14:textId="77777777">
            <w:pPr>
              <w:widowControl/>
              <w:autoSpaceDE w:val="0"/>
              <w:autoSpaceDN w:val="0"/>
              <w:adjustRightInd w:val="0"/>
              <w:rPr>
                <w:snapToGrid/>
                <w:kern w:val="0"/>
                <w:szCs w:val="22"/>
              </w:rPr>
            </w:pPr>
            <w:r w:rsidRPr="00237591">
              <w:rPr>
                <w:snapToGrid/>
                <w:kern w:val="0"/>
                <w:szCs w:val="22"/>
              </w:rPr>
              <w:t>Developing a Unified Intercarrier Compensation</w:t>
            </w:r>
          </w:p>
          <w:p w:rsidR="00237591" w:rsidRPr="007115F7" w:rsidP="00237591" w14:paraId="6C7B8439" w14:textId="4DD4572C">
            <w:pPr>
              <w:tabs>
                <w:tab w:val="center" w:pos="4680"/>
              </w:tabs>
              <w:suppressAutoHyphens/>
              <w:rPr>
                <w:spacing w:val="-2"/>
              </w:rPr>
            </w:pPr>
            <w:r w:rsidRPr="00237591">
              <w:rPr>
                <w:snapToGrid/>
                <w:kern w:val="0"/>
                <w:szCs w:val="22"/>
              </w:rPr>
              <w:t>Regime</w:t>
            </w:r>
          </w:p>
        </w:tc>
        <w:tc>
          <w:tcPr>
            <w:tcW w:w="630" w:type="dxa"/>
          </w:tcPr>
          <w:p w:rsidR="004C2EE3" w14:paraId="598C7DC9" w14:textId="77777777">
            <w:pPr>
              <w:tabs>
                <w:tab w:val="center" w:pos="4680"/>
              </w:tabs>
              <w:suppressAutoHyphens/>
              <w:rPr>
                <w:b/>
                <w:spacing w:val="-2"/>
              </w:rPr>
            </w:pPr>
            <w:r>
              <w:rPr>
                <w:b/>
                <w:spacing w:val="-2"/>
              </w:rPr>
              <w:t>)</w:t>
            </w:r>
          </w:p>
          <w:p w:rsidR="004C2EE3" w14:paraId="7DC26441" w14:textId="77777777">
            <w:pPr>
              <w:tabs>
                <w:tab w:val="center" w:pos="4680"/>
              </w:tabs>
              <w:suppressAutoHyphens/>
              <w:rPr>
                <w:b/>
                <w:spacing w:val="-2"/>
              </w:rPr>
            </w:pPr>
            <w:r>
              <w:rPr>
                <w:b/>
                <w:spacing w:val="-2"/>
              </w:rPr>
              <w:t>)</w:t>
            </w:r>
          </w:p>
          <w:p w:rsidR="004C2EE3" w14:paraId="258D0275" w14:textId="77777777">
            <w:pPr>
              <w:tabs>
                <w:tab w:val="center" w:pos="4680"/>
              </w:tabs>
              <w:suppressAutoHyphens/>
              <w:rPr>
                <w:b/>
                <w:spacing w:val="-2"/>
              </w:rPr>
            </w:pPr>
            <w:r>
              <w:rPr>
                <w:b/>
                <w:spacing w:val="-2"/>
              </w:rPr>
              <w:t>)</w:t>
            </w:r>
          </w:p>
          <w:p w:rsidR="004C2EE3" w14:paraId="2DA40B43" w14:textId="77777777">
            <w:pPr>
              <w:tabs>
                <w:tab w:val="center" w:pos="4680"/>
              </w:tabs>
              <w:suppressAutoHyphens/>
              <w:rPr>
                <w:b/>
                <w:spacing w:val="-2"/>
              </w:rPr>
            </w:pPr>
            <w:r>
              <w:rPr>
                <w:b/>
                <w:spacing w:val="-2"/>
              </w:rPr>
              <w:t>)</w:t>
            </w:r>
          </w:p>
          <w:p w:rsidR="004C2EE3" w14:paraId="0950CB21" w14:textId="77777777">
            <w:pPr>
              <w:tabs>
                <w:tab w:val="center" w:pos="4680"/>
              </w:tabs>
              <w:suppressAutoHyphens/>
              <w:rPr>
                <w:b/>
                <w:spacing w:val="-2"/>
              </w:rPr>
            </w:pPr>
            <w:r>
              <w:rPr>
                <w:b/>
                <w:spacing w:val="-2"/>
              </w:rPr>
              <w:t>)</w:t>
            </w:r>
          </w:p>
          <w:p w:rsidR="004C2EE3" w14:paraId="7B8D76E5" w14:textId="77777777">
            <w:pPr>
              <w:tabs>
                <w:tab w:val="center" w:pos="4680"/>
              </w:tabs>
              <w:suppressAutoHyphens/>
              <w:rPr>
                <w:b/>
                <w:spacing w:val="-2"/>
              </w:rPr>
            </w:pPr>
            <w:r>
              <w:rPr>
                <w:b/>
                <w:spacing w:val="-2"/>
              </w:rPr>
              <w:t>)</w:t>
            </w:r>
          </w:p>
          <w:p w:rsidR="004C2EE3" w14:paraId="7D171B16" w14:textId="77777777">
            <w:pPr>
              <w:tabs>
                <w:tab w:val="center" w:pos="4680"/>
              </w:tabs>
              <w:suppressAutoHyphens/>
              <w:rPr>
                <w:b/>
                <w:spacing w:val="-2"/>
              </w:rPr>
            </w:pPr>
            <w:r>
              <w:rPr>
                <w:b/>
                <w:spacing w:val="-2"/>
              </w:rPr>
              <w:t>)</w:t>
            </w:r>
          </w:p>
          <w:p w:rsidR="004C2EE3" w14:paraId="7A770A68" w14:textId="77777777">
            <w:pPr>
              <w:tabs>
                <w:tab w:val="center" w:pos="4680"/>
              </w:tabs>
              <w:suppressAutoHyphens/>
              <w:rPr>
                <w:b/>
                <w:spacing w:val="-2"/>
              </w:rPr>
            </w:pPr>
            <w:r>
              <w:rPr>
                <w:b/>
                <w:spacing w:val="-2"/>
              </w:rPr>
              <w:t>)</w:t>
            </w:r>
          </w:p>
          <w:p w:rsidR="004C2EE3" w14:paraId="692E2D27" w14:textId="77777777">
            <w:pPr>
              <w:tabs>
                <w:tab w:val="center" w:pos="4680"/>
              </w:tabs>
              <w:suppressAutoHyphens/>
              <w:rPr>
                <w:b/>
                <w:spacing w:val="-2"/>
              </w:rPr>
            </w:pPr>
            <w:r>
              <w:rPr>
                <w:b/>
                <w:spacing w:val="-2"/>
              </w:rPr>
              <w:t>)</w:t>
            </w:r>
          </w:p>
          <w:p w:rsidR="005059A6" w14:paraId="6463BE03" w14:textId="77777777">
            <w:pPr>
              <w:tabs>
                <w:tab w:val="center" w:pos="4680"/>
              </w:tabs>
              <w:suppressAutoHyphens/>
              <w:rPr>
                <w:b/>
                <w:spacing w:val="-2"/>
              </w:rPr>
            </w:pPr>
            <w:r>
              <w:rPr>
                <w:b/>
                <w:spacing w:val="-2"/>
              </w:rPr>
              <w:t>)</w:t>
            </w:r>
          </w:p>
          <w:p w:rsidR="005059A6" w14:paraId="2F644169" w14:textId="77777777">
            <w:pPr>
              <w:tabs>
                <w:tab w:val="center" w:pos="4680"/>
              </w:tabs>
              <w:suppressAutoHyphens/>
              <w:rPr>
                <w:b/>
                <w:spacing w:val="-2"/>
              </w:rPr>
            </w:pPr>
            <w:r>
              <w:rPr>
                <w:b/>
                <w:spacing w:val="-2"/>
              </w:rPr>
              <w:t>)</w:t>
            </w:r>
          </w:p>
          <w:p w:rsidR="005059A6" w:rsidRPr="005059A6" w14:paraId="43D73BE1" w14:textId="048498A0">
            <w:pPr>
              <w:tabs>
                <w:tab w:val="center" w:pos="4680"/>
              </w:tabs>
              <w:suppressAutoHyphens/>
              <w:rPr>
                <w:b/>
                <w:spacing w:val="-2"/>
              </w:rPr>
            </w:pPr>
            <w:r>
              <w:rPr>
                <w:b/>
                <w:spacing w:val="-2"/>
              </w:rPr>
              <w:t>)</w:t>
            </w:r>
          </w:p>
        </w:tc>
        <w:tc>
          <w:tcPr>
            <w:tcW w:w="4248" w:type="dxa"/>
          </w:tcPr>
          <w:p w:rsidR="004C2EE3" w14:paraId="33210992" w14:textId="77777777">
            <w:pPr>
              <w:tabs>
                <w:tab w:val="center" w:pos="4680"/>
              </w:tabs>
              <w:suppressAutoHyphens/>
              <w:rPr>
                <w:spacing w:val="-2"/>
              </w:rPr>
            </w:pPr>
          </w:p>
          <w:p w:rsidR="004C2EE3" w14:paraId="1578EFEC" w14:textId="77777777">
            <w:pPr>
              <w:pStyle w:val="TOAHeading"/>
              <w:tabs>
                <w:tab w:val="center" w:pos="4680"/>
                <w:tab w:val="clear" w:pos="9360"/>
              </w:tabs>
              <w:rPr>
                <w:spacing w:val="-2"/>
              </w:rPr>
            </w:pPr>
          </w:p>
          <w:p w:rsidR="00237591" w:rsidP="00237591" w14:paraId="1C289020" w14:textId="52D2EBCB">
            <w:pPr>
              <w:pStyle w:val="TOAHeading"/>
              <w:tabs>
                <w:tab w:val="center" w:pos="4680"/>
              </w:tabs>
              <w:rPr>
                <w:spacing w:val="-2"/>
                <w:szCs w:val="22"/>
              </w:rPr>
            </w:pPr>
            <w:r>
              <w:rPr>
                <w:spacing w:val="-2"/>
                <w:szCs w:val="22"/>
              </w:rPr>
              <w:t xml:space="preserve">WC Docket No. </w:t>
            </w:r>
            <w:bookmarkStart w:id="0" w:name="_Hlk129260202"/>
            <w:r>
              <w:rPr>
                <w:spacing w:val="-2"/>
                <w:szCs w:val="22"/>
              </w:rPr>
              <w:t>22-434</w:t>
            </w:r>
            <w:bookmarkEnd w:id="0"/>
          </w:p>
          <w:p w:rsidR="00237591" w:rsidP="00237591" w14:paraId="0AF58183" w14:textId="77777777">
            <w:pPr>
              <w:pStyle w:val="TOAHeading"/>
              <w:tabs>
                <w:tab w:val="center" w:pos="4680"/>
              </w:tabs>
              <w:rPr>
                <w:spacing w:val="-2"/>
                <w:szCs w:val="22"/>
              </w:rPr>
            </w:pPr>
          </w:p>
          <w:p w:rsidR="005059A6" w:rsidP="00237591" w14:paraId="2702F389" w14:textId="77777777">
            <w:pPr>
              <w:pStyle w:val="TOAHeading"/>
              <w:tabs>
                <w:tab w:val="center" w:pos="4680"/>
              </w:tabs>
              <w:rPr>
                <w:spacing w:val="-2"/>
                <w:szCs w:val="22"/>
              </w:rPr>
            </w:pPr>
          </w:p>
          <w:p w:rsidR="005059A6" w:rsidP="00237591" w14:paraId="01437552" w14:textId="77777777">
            <w:pPr>
              <w:pStyle w:val="TOAHeading"/>
              <w:tabs>
                <w:tab w:val="center" w:pos="4680"/>
              </w:tabs>
              <w:rPr>
                <w:spacing w:val="-2"/>
                <w:szCs w:val="22"/>
              </w:rPr>
            </w:pPr>
          </w:p>
          <w:p w:rsidR="005059A6" w:rsidP="00237591" w14:paraId="3EE88A30" w14:textId="77777777">
            <w:pPr>
              <w:pStyle w:val="TOAHeading"/>
              <w:tabs>
                <w:tab w:val="center" w:pos="4680"/>
              </w:tabs>
              <w:rPr>
                <w:spacing w:val="-2"/>
                <w:szCs w:val="22"/>
              </w:rPr>
            </w:pPr>
          </w:p>
          <w:p w:rsidR="00237591" w:rsidP="00237591" w14:paraId="7BECFAC4" w14:textId="7A0A254B">
            <w:pPr>
              <w:pStyle w:val="TOAHeading"/>
              <w:tabs>
                <w:tab w:val="center" w:pos="4680"/>
              </w:tabs>
              <w:rPr>
                <w:spacing w:val="-2"/>
                <w:szCs w:val="22"/>
              </w:rPr>
            </w:pPr>
            <w:r>
              <w:rPr>
                <w:spacing w:val="-2"/>
                <w:szCs w:val="22"/>
              </w:rPr>
              <w:t>WC Docket No. 10-90</w:t>
            </w:r>
          </w:p>
          <w:p w:rsidR="004C2EE3" w14:paraId="0745676C" w14:textId="77777777">
            <w:pPr>
              <w:tabs>
                <w:tab w:val="center" w:pos="4680"/>
              </w:tabs>
              <w:suppressAutoHyphens/>
              <w:rPr>
                <w:spacing w:val="-2"/>
              </w:rPr>
            </w:pPr>
          </w:p>
          <w:p w:rsidR="00237591" w14:paraId="5B98E7F5" w14:textId="15567235">
            <w:pPr>
              <w:tabs>
                <w:tab w:val="center" w:pos="4680"/>
              </w:tabs>
              <w:suppressAutoHyphens/>
              <w:rPr>
                <w:spacing w:val="-2"/>
              </w:rPr>
            </w:pPr>
            <w:r w:rsidRPr="002A3776">
              <w:rPr>
                <w:spacing w:val="-2"/>
                <w:szCs w:val="22"/>
              </w:rPr>
              <w:t>CC Docket No.  96-45</w:t>
            </w:r>
          </w:p>
        </w:tc>
      </w:tr>
      <w:tr w14:paraId="649B5D32" w14:textId="77777777">
        <w:tblPrEx>
          <w:tblW w:w="0" w:type="auto"/>
          <w:tblLayout w:type="fixed"/>
          <w:tblLook w:val="0000"/>
        </w:tblPrEx>
        <w:tc>
          <w:tcPr>
            <w:tcW w:w="4698" w:type="dxa"/>
          </w:tcPr>
          <w:p w:rsidR="00237591" w14:paraId="55EE040C" w14:textId="77777777">
            <w:pPr>
              <w:tabs>
                <w:tab w:val="center" w:pos="4680"/>
              </w:tabs>
              <w:suppressAutoHyphens/>
              <w:rPr>
                <w:spacing w:val="-2"/>
              </w:rPr>
            </w:pPr>
          </w:p>
        </w:tc>
        <w:tc>
          <w:tcPr>
            <w:tcW w:w="630" w:type="dxa"/>
          </w:tcPr>
          <w:p w:rsidR="00237591" w14:paraId="271E17F4" w14:textId="77777777">
            <w:pPr>
              <w:tabs>
                <w:tab w:val="center" w:pos="4680"/>
              </w:tabs>
              <w:suppressAutoHyphens/>
              <w:rPr>
                <w:b/>
                <w:spacing w:val="-2"/>
              </w:rPr>
            </w:pPr>
          </w:p>
        </w:tc>
        <w:tc>
          <w:tcPr>
            <w:tcW w:w="4248" w:type="dxa"/>
          </w:tcPr>
          <w:p w:rsidR="00237591" w14:paraId="4889AC14" w14:textId="77777777">
            <w:pPr>
              <w:tabs>
                <w:tab w:val="center" w:pos="4680"/>
              </w:tabs>
              <w:suppressAutoHyphens/>
              <w:rPr>
                <w:spacing w:val="-2"/>
              </w:rPr>
            </w:pPr>
          </w:p>
        </w:tc>
      </w:tr>
    </w:tbl>
    <w:p w:rsidR="004C2EE3" w:rsidP="0070224F" w14:paraId="7D6647CD" w14:textId="77777777"/>
    <w:p w:rsidR="00841AB1" w:rsidP="00F021FA" w14:paraId="57DD8ACB" w14:textId="5FEA6430">
      <w:pPr>
        <w:pStyle w:val="StyleBoldCentered"/>
      </w:pPr>
      <w:r>
        <w:t>ORDER</w:t>
      </w:r>
    </w:p>
    <w:p w:rsidR="004C2EE3" w14:paraId="69226962" w14:textId="77777777">
      <w:pPr>
        <w:tabs>
          <w:tab w:val="left" w:pos="-720"/>
        </w:tabs>
        <w:suppressAutoHyphens/>
        <w:spacing w:line="227" w:lineRule="auto"/>
        <w:rPr>
          <w:spacing w:val="-2"/>
        </w:rPr>
      </w:pPr>
    </w:p>
    <w:p w:rsidR="004C2EE3" w:rsidP="00133F79" w14:paraId="6831B40F" w14:textId="5612091F">
      <w:pPr>
        <w:tabs>
          <w:tab w:val="left" w:pos="720"/>
          <w:tab w:val="right" w:pos="9360"/>
        </w:tabs>
        <w:suppressAutoHyphens/>
        <w:spacing w:line="227" w:lineRule="auto"/>
        <w:rPr>
          <w:spacing w:val="-2"/>
        </w:rPr>
      </w:pPr>
      <w:r w:rsidRPr="007C25C0">
        <w:rPr>
          <w:b/>
          <w:spacing w:val="-2"/>
        </w:rPr>
        <w:t xml:space="preserve">Adopted:  </w:t>
      </w:r>
      <w:r w:rsidRPr="00E83059" w:rsidR="00A22128">
        <w:rPr>
          <w:b/>
          <w:spacing w:val="-2"/>
        </w:rPr>
        <w:t xml:space="preserve">March </w:t>
      </w:r>
      <w:r w:rsidRPr="00E83059" w:rsidR="007C25C0">
        <w:rPr>
          <w:b/>
          <w:spacing w:val="-2"/>
        </w:rPr>
        <w:t>2</w:t>
      </w:r>
      <w:r w:rsidR="00E83059">
        <w:rPr>
          <w:b/>
          <w:spacing w:val="-2"/>
        </w:rPr>
        <w:t>2</w:t>
      </w:r>
      <w:r w:rsidRPr="00E83059" w:rsidR="005059A6">
        <w:rPr>
          <w:b/>
          <w:spacing w:val="-2"/>
        </w:rPr>
        <w:t>, 2023</w:t>
      </w:r>
      <w:r w:rsidRPr="007C25C0">
        <w:rPr>
          <w:b/>
          <w:spacing w:val="-2"/>
        </w:rPr>
        <w:tab/>
      </w:r>
      <w:r w:rsidRPr="007C25C0" w:rsidR="00822CE0">
        <w:rPr>
          <w:b/>
          <w:spacing w:val="-2"/>
        </w:rPr>
        <w:t>Released</w:t>
      </w:r>
      <w:r w:rsidRPr="007C25C0">
        <w:rPr>
          <w:b/>
          <w:spacing w:val="-2"/>
        </w:rPr>
        <w:t>:</w:t>
      </w:r>
      <w:r w:rsidRPr="007C25C0" w:rsidR="00822CE0">
        <w:rPr>
          <w:b/>
          <w:spacing w:val="-2"/>
        </w:rPr>
        <w:t xml:space="preserve"> </w:t>
      </w:r>
      <w:r w:rsidRPr="007C25C0">
        <w:rPr>
          <w:b/>
          <w:spacing w:val="-2"/>
        </w:rPr>
        <w:t xml:space="preserve"> </w:t>
      </w:r>
      <w:r w:rsidRPr="00E83059" w:rsidR="00A22128">
        <w:rPr>
          <w:b/>
          <w:spacing w:val="-2"/>
        </w:rPr>
        <w:t xml:space="preserve">March </w:t>
      </w:r>
      <w:r w:rsidRPr="00E83059" w:rsidR="007C25C0">
        <w:rPr>
          <w:b/>
          <w:spacing w:val="-2"/>
        </w:rPr>
        <w:t>2</w:t>
      </w:r>
      <w:r w:rsidR="006414C0">
        <w:rPr>
          <w:b/>
          <w:spacing w:val="-2"/>
        </w:rPr>
        <w:t>2</w:t>
      </w:r>
      <w:r w:rsidRPr="00E83059" w:rsidR="005059A6">
        <w:rPr>
          <w:b/>
          <w:spacing w:val="-2"/>
        </w:rPr>
        <w:t>, 2023</w:t>
      </w:r>
    </w:p>
    <w:p w:rsidR="00822CE0" w14:paraId="55D58D06" w14:textId="77777777"/>
    <w:p w:rsidR="004C2EE3" w14:paraId="7C8FF665" w14:textId="525F665C">
      <w:pPr>
        <w:rPr>
          <w:spacing w:val="-2"/>
        </w:rPr>
      </w:pPr>
      <w:r>
        <w:t xml:space="preserve">By </w:t>
      </w:r>
      <w:r w:rsidR="004E4A22">
        <w:t>the</w:t>
      </w:r>
      <w:r w:rsidR="002A2D2E">
        <w:t xml:space="preserve"> </w:t>
      </w:r>
      <w:r w:rsidR="005059A6">
        <w:rPr>
          <w:spacing w:val="-2"/>
        </w:rPr>
        <w:t>Chief, Wireline Competition Bureau</w:t>
      </w:r>
      <w:r>
        <w:rPr>
          <w:spacing w:val="-2"/>
        </w:rPr>
        <w:t>:</w:t>
      </w:r>
    </w:p>
    <w:p w:rsidR="00822CE0" w14:paraId="39EC6B04" w14:textId="77777777">
      <w:pPr>
        <w:rPr>
          <w:spacing w:val="-2"/>
        </w:rPr>
      </w:pPr>
    </w:p>
    <w:p w:rsidR="005059A6" w:rsidP="005059A6" w14:paraId="7DDDCD54" w14:textId="77777777">
      <w:pPr>
        <w:pStyle w:val="Heading1"/>
      </w:pPr>
      <w:r>
        <w:t>INTRODUCTION</w:t>
      </w:r>
    </w:p>
    <w:p w:rsidR="005059A6" w:rsidRPr="00822619" w:rsidP="00BF1E86" w14:paraId="411B0587" w14:textId="4B7AD718">
      <w:pPr>
        <w:pStyle w:val="ParaNum"/>
        <w:tabs>
          <w:tab w:val="clear" w:pos="1080"/>
          <w:tab w:val="num" w:pos="1440"/>
        </w:tabs>
      </w:pPr>
      <w:r w:rsidRPr="00822619">
        <w:t xml:space="preserve">In this </w:t>
      </w:r>
      <w:r w:rsidRPr="00BF1E86">
        <w:rPr>
          <w:iCs/>
        </w:rPr>
        <w:t>Order</w:t>
      </w:r>
      <w:r w:rsidRPr="00822619">
        <w:t>, consistent with precedent,</w:t>
      </w:r>
      <w:r>
        <w:rPr>
          <w:rStyle w:val="FootnoteReference"/>
          <w:color w:val="000000"/>
        </w:rPr>
        <w:footnoteReference w:id="3"/>
      </w:r>
      <w:r w:rsidRPr="00822619">
        <w:t xml:space="preserve"> we grant </w:t>
      </w:r>
      <w:r w:rsidRPr="00677890">
        <w:t>the</w:t>
      </w:r>
      <w:r w:rsidR="008A5787">
        <w:t xml:space="preserve"> joint</w:t>
      </w:r>
      <w:r w:rsidRPr="00677890">
        <w:t xml:space="preserve"> petition</w:t>
      </w:r>
      <w:r w:rsidRPr="00822619">
        <w:t xml:space="preserve"> filed by </w:t>
      </w:r>
      <w:r w:rsidR="0021265B">
        <w:t>Northwest Communications Cooperative, Inc.</w:t>
      </w:r>
      <w:r w:rsidR="008A5787">
        <w:t xml:space="preserve"> (NCC)</w:t>
      </w:r>
      <w:r w:rsidR="0021265B">
        <w:t xml:space="preserve"> and Midstate Telephone Company, LLC</w:t>
      </w:r>
      <w:r w:rsidR="008A5787">
        <w:t xml:space="preserve"> (Midstate)</w:t>
      </w:r>
      <w:r w:rsidRPr="00A3437D">
        <w:t xml:space="preserve"> (</w:t>
      </w:r>
      <w:r w:rsidR="00667D87">
        <w:t>together,</w:t>
      </w:r>
      <w:r w:rsidRPr="00A3437D" w:rsidR="00667D87">
        <w:t xml:space="preserve"> </w:t>
      </w:r>
      <w:r w:rsidRPr="00A3437D">
        <w:t>Petitioners),</w:t>
      </w:r>
      <w:r>
        <w:rPr>
          <w:rStyle w:val="FootnoteReference"/>
        </w:rPr>
        <w:footnoteReference w:id="4"/>
      </w:r>
      <w:r w:rsidRPr="00822619">
        <w:t xml:space="preserve"> seeking </w:t>
      </w:r>
      <w:bookmarkStart w:id="1" w:name="_Hlk9510393"/>
      <w:r w:rsidRPr="00822619">
        <w:t xml:space="preserve">waiver of certain of the Commission’s intercarrier compensation rules to </w:t>
      </w:r>
      <w:r w:rsidR="00731CD9">
        <w:t>facilitate the transfer of</w:t>
      </w:r>
      <w:r w:rsidR="00FA4F44">
        <w:t xml:space="preserve"> an </w:t>
      </w:r>
      <w:r w:rsidR="00E2219F">
        <w:t xml:space="preserve">exchange </w:t>
      </w:r>
      <w:r w:rsidR="00D52FD4">
        <w:t xml:space="preserve">in Portal, North Dakota </w:t>
      </w:r>
      <w:r w:rsidR="00731CD9">
        <w:t xml:space="preserve">from Midstate </w:t>
      </w:r>
      <w:bookmarkEnd w:id="1"/>
      <w:r w:rsidR="008A5787">
        <w:t>to NCC</w:t>
      </w:r>
      <w:r w:rsidRPr="00822619">
        <w:t>.</w:t>
      </w:r>
      <w:r>
        <w:rPr>
          <w:rStyle w:val="FootnoteReference"/>
        </w:rPr>
        <w:footnoteReference w:id="5"/>
      </w:r>
      <w:r w:rsidRPr="00822619">
        <w:t xml:space="preserve">  Based on the record before us, we find </w:t>
      </w:r>
      <w:r w:rsidR="00C945C1">
        <w:t xml:space="preserve">good cause to </w:t>
      </w:r>
      <w:r w:rsidRPr="00822619">
        <w:t xml:space="preserve">grant the unopposed waiver </w:t>
      </w:r>
      <w:r w:rsidR="00D52FD4">
        <w:t>petition</w:t>
      </w:r>
      <w:r w:rsidR="00C96285">
        <w:t>,</w:t>
      </w:r>
      <w:r w:rsidR="00D52FD4">
        <w:t xml:space="preserve"> </w:t>
      </w:r>
      <w:r w:rsidR="00C945C1">
        <w:t xml:space="preserve">which </w:t>
      </w:r>
      <w:r w:rsidRPr="00822619">
        <w:t>will serve the public interest by</w:t>
      </w:r>
      <w:r w:rsidR="001F6262">
        <w:t xml:space="preserve"> </w:t>
      </w:r>
      <w:r w:rsidR="00F63CF1">
        <w:t>facilitating</w:t>
      </w:r>
      <w:r w:rsidR="001F6262">
        <w:t xml:space="preserve"> the </w:t>
      </w:r>
      <w:r w:rsidR="00F63CF1">
        <w:t xml:space="preserve">Petitioners’ </w:t>
      </w:r>
      <w:r w:rsidR="002A5449">
        <w:t>transfer</w:t>
      </w:r>
      <w:r w:rsidR="00F63CF1">
        <w:t xml:space="preserve"> </w:t>
      </w:r>
      <w:r w:rsidR="001A49E8">
        <w:t>which, in turn, will</w:t>
      </w:r>
      <w:r w:rsidRPr="00822619">
        <w:t xml:space="preserve"> promot</w:t>
      </w:r>
      <w:r w:rsidR="001A49E8">
        <w:t>e</w:t>
      </w:r>
      <w:r w:rsidRPr="00822619">
        <w:t xml:space="preserve"> increased productivity</w:t>
      </w:r>
      <w:r w:rsidR="002449C5">
        <w:t xml:space="preserve"> and</w:t>
      </w:r>
      <w:r w:rsidR="00731CD9">
        <w:t xml:space="preserve"> </w:t>
      </w:r>
      <w:r w:rsidRPr="00822619">
        <w:t>efficiencies</w:t>
      </w:r>
      <w:r w:rsidR="00731CD9">
        <w:t xml:space="preserve">, </w:t>
      </w:r>
      <w:r w:rsidR="00850F8F">
        <w:t>as well as</w:t>
      </w:r>
      <w:r w:rsidR="00731CD9">
        <w:t xml:space="preserve"> </w:t>
      </w:r>
      <w:r w:rsidRPr="00822619">
        <w:t>cost</w:t>
      </w:r>
      <w:r w:rsidR="00731CD9">
        <w:t>-</w:t>
      </w:r>
      <w:r w:rsidRPr="00822619">
        <w:t xml:space="preserve">savings </w:t>
      </w:r>
      <w:r w:rsidR="00731CD9">
        <w:t>that can be passed on to</w:t>
      </w:r>
      <w:r w:rsidRPr="00822619">
        <w:t xml:space="preserve"> </w:t>
      </w:r>
      <w:r w:rsidR="008A5787">
        <w:t>consumers</w:t>
      </w:r>
      <w:r w:rsidR="00622713">
        <w:t>, while hav</w:t>
      </w:r>
      <w:r w:rsidR="004F0CBD">
        <w:t>ing</w:t>
      </w:r>
      <w:r w:rsidR="00622713">
        <w:t xml:space="preserve"> </w:t>
      </w:r>
      <w:r w:rsidR="00AE6A1C">
        <w:t xml:space="preserve">a </w:t>
      </w:r>
      <w:r w:rsidRPr="00CF462E" w:rsidR="00C945C1">
        <w:rPr>
          <w:i/>
          <w:iCs/>
        </w:rPr>
        <w:t>de minimis</w:t>
      </w:r>
      <w:r w:rsidR="00622713">
        <w:t xml:space="preserve"> effect on </w:t>
      </w:r>
      <w:r w:rsidR="001A6925">
        <w:t xml:space="preserve">switched access </w:t>
      </w:r>
      <w:r w:rsidR="00067EFB">
        <w:t>charge revenu</w:t>
      </w:r>
      <w:r w:rsidR="00D8791D">
        <w:t>e</w:t>
      </w:r>
      <w:r w:rsidR="00816DEC">
        <w:t xml:space="preserve"> and </w:t>
      </w:r>
      <w:r w:rsidR="00FA1C0A">
        <w:t>u</w:t>
      </w:r>
      <w:r w:rsidR="00622713">
        <w:t xml:space="preserve">niversal </w:t>
      </w:r>
      <w:r w:rsidR="00FA1C0A">
        <w:t>s</w:t>
      </w:r>
      <w:r w:rsidR="00622713">
        <w:t xml:space="preserve">ervice </w:t>
      </w:r>
      <w:r w:rsidR="00FA1C0A">
        <w:t>support</w:t>
      </w:r>
      <w:r w:rsidRPr="00822619">
        <w:t xml:space="preserve">.    </w:t>
      </w:r>
    </w:p>
    <w:p w:rsidR="005059A6" w:rsidRPr="00822619" w:rsidP="005059A6" w14:paraId="44AFE92E" w14:textId="77777777">
      <w:pPr>
        <w:pStyle w:val="Heading1"/>
      </w:pPr>
      <w:r w:rsidRPr="00822619">
        <w:t>BACKGROUND</w:t>
      </w:r>
    </w:p>
    <w:p w:rsidR="005059A6" w:rsidRPr="00D12B52" w:rsidP="00106E76" w14:paraId="2B915B16" w14:textId="77777777">
      <w:pPr>
        <w:pStyle w:val="Heading2"/>
      </w:pPr>
      <w:r w:rsidRPr="00D12B52">
        <w:t>Intercarrier Compensation Reform</w:t>
      </w:r>
    </w:p>
    <w:p w:rsidR="005059A6" w:rsidRPr="00A3437D" w:rsidP="00BF1E86" w14:paraId="02601883" w14:textId="429A9979">
      <w:pPr>
        <w:pStyle w:val="ParaNum"/>
        <w:tabs>
          <w:tab w:val="clear" w:pos="1080"/>
          <w:tab w:val="num" w:pos="1440"/>
        </w:tabs>
      </w:pPr>
      <w:r w:rsidRPr="00D12B52">
        <w:t xml:space="preserve">In the </w:t>
      </w:r>
      <w:r w:rsidRPr="00D12B52">
        <w:rPr>
          <w:i/>
        </w:rPr>
        <w:t>USF/ICC Transformation Order</w:t>
      </w:r>
      <w:r w:rsidRPr="00D12B52">
        <w:t>,</w:t>
      </w:r>
      <w:r>
        <w:rPr>
          <w:rStyle w:val="FootnoteReference"/>
          <w:color w:val="000000"/>
        </w:rPr>
        <w:footnoteReference w:id="6"/>
      </w:r>
      <w:r w:rsidRPr="00D12B52">
        <w:t xml:space="preserve"> the Commission capped reciprocal compensation and interstate switched access rates and most intrastate switched access rates at the </w:t>
      </w:r>
      <w:r w:rsidR="00B86728">
        <w:t xml:space="preserve">levels </w:t>
      </w:r>
      <w:r w:rsidRPr="00D12B52">
        <w:t>in effect on December 29, 2011.</w:t>
      </w:r>
      <w:r>
        <w:rPr>
          <w:rStyle w:val="FootnoteReference"/>
          <w:color w:val="000000"/>
        </w:rPr>
        <w:footnoteReference w:id="7"/>
      </w:r>
      <w:r w:rsidRPr="00D12B52">
        <w:t xml:space="preserve">  In that same </w:t>
      </w:r>
      <w:r w:rsidR="00850F8F">
        <w:t>O</w:t>
      </w:r>
      <w:r w:rsidRPr="00D12B52">
        <w:t>rder, the Commission adopted a multi-year process for reducing most terminating switched access rates to bill-and-keep.</w:t>
      </w:r>
      <w:r>
        <w:rPr>
          <w:rStyle w:val="FootnoteReference"/>
        </w:rPr>
        <w:footnoteReference w:id="8"/>
      </w:r>
      <w:r w:rsidRPr="00D12B52">
        <w:t xml:space="preserve">  The Commission adopted a transitional revenue recovery mechanism that allows incumbent local exchange carriers (LECs) to recover a portion of the intercarrier compensation revenues lost due to the Commission’s reforms, up to an amount defined for each year of the incumbent LEC’s transition.</w:t>
      </w:r>
      <w:r>
        <w:rPr>
          <w:rStyle w:val="FootnoteReference"/>
        </w:rPr>
        <w:footnoteReference w:id="9"/>
      </w:r>
      <w:r w:rsidRPr="00A3437D">
        <w:t xml:space="preserve">  These defined amounts are referred to as “Eligible Recovery.”</w:t>
      </w:r>
      <w:r>
        <w:rPr>
          <w:rStyle w:val="FootnoteReference"/>
          <w:color w:val="000000"/>
        </w:rPr>
        <w:footnoteReference w:id="10"/>
      </w:r>
      <w:r w:rsidRPr="00A3437D">
        <w:t xml:space="preserve">  An incumbent LEC may recover its Eligible Recovery each year from its end users through an Access Recovery Charge</w:t>
      </w:r>
      <w:r w:rsidR="00933F78">
        <w:t xml:space="preserve"> (ARC)</w:t>
      </w:r>
      <w:r w:rsidRPr="00A3437D">
        <w:t>, subject to an annual cap.</w:t>
      </w:r>
      <w:r>
        <w:rPr>
          <w:rStyle w:val="FootnoteReference"/>
          <w:color w:val="000000"/>
        </w:rPr>
        <w:footnoteReference w:id="11"/>
      </w:r>
      <w:r w:rsidRPr="00A3437D">
        <w:t xml:space="preserve">  If the projected </w:t>
      </w:r>
      <w:r w:rsidR="00933F78">
        <w:t>ARC</w:t>
      </w:r>
      <w:r w:rsidRPr="00A3437D">
        <w:t xml:space="preserve"> revenues are not sufficient to cover the entire Eligible Recovery amount, the carrier may elect to collect the remainder in Connect America Fund</w:t>
      </w:r>
      <w:r>
        <w:t>–</w:t>
      </w:r>
      <w:r w:rsidRPr="00A3437D">
        <w:t>Intercarrier Compensation</w:t>
      </w:r>
      <w:r w:rsidR="00933F78">
        <w:t xml:space="preserve"> (CAF ICC)</w:t>
      </w:r>
      <w:r w:rsidRPr="00A3437D">
        <w:t xml:space="preserve"> support.</w:t>
      </w:r>
      <w:r>
        <w:rPr>
          <w:rStyle w:val="FootnoteReference"/>
          <w:color w:val="000000"/>
        </w:rPr>
        <w:footnoteReference w:id="12"/>
      </w:r>
      <w:r w:rsidRPr="00A3437D">
        <w:t xml:space="preserve">   </w:t>
      </w:r>
    </w:p>
    <w:p w:rsidR="005059A6" w:rsidP="00BF1E86" w14:paraId="7A51EE71" w14:textId="1C8FE811">
      <w:pPr>
        <w:pStyle w:val="ParaNum"/>
        <w:tabs>
          <w:tab w:val="clear" w:pos="1080"/>
          <w:tab w:val="num" w:pos="1440"/>
        </w:tabs>
      </w:pPr>
      <w:r w:rsidRPr="00A3437D">
        <w:t xml:space="preserve">The calculation of a rate-of-return </w:t>
      </w:r>
      <w:r w:rsidR="00850F8F">
        <w:t xml:space="preserve">incumbent </w:t>
      </w:r>
      <w:r w:rsidRPr="00A3437D">
        <w:t>LEC’s</w:t>
      </w:r>
      <w:r w:rsidR="00EC24FD">
        <w:t xml:space="preserve"> (rate-of-return LEC</w:t>
      </w:r>
      <w:r w:rsidR="000C6CF7">
        <w:t>’</w:t>
      </w:r>
      <w:r w:rsidR="00EC24FD">
        <w:t>s)</w:t>
      </w:r>
      <w:r w:rsidRPr="00A3437D">
        <w:t xml:space="preserve"> Eligible Recovery begins with its Base Period Revenue</w:t>
      </w:r>
      <w:r w:rsidR="008A62BD">
        <w:t xml:space="preserve"> (BPR)</w:t>
      </w:r>
      <w:r w:rsidRPr="00A3437D">
        <w:t>.</w:t>
      </w:r>
      <w:r>
        <w:rPr>
          <w:rStyle w:val="FootnoteReference"/>
          <w:color w:val="000000"/>
        </w:rPr>
        <w:footnoteReference w:id="13"/>
      </w:r>
      <w:r w:rsidRPr="00A3437D">
        <w:t xml:space="preserve">  A rate-of-return carrier’s </w:t>
      </w:r>
      <w:r w:rsidR="006A2E4B">
        <w:t>BPR</w:t>
      </w:r>
      <w:r w:rsidRPr="00A3437D">
        <w:t xml:space="preserve"> is the sum of certain </w:t>
      </w:r>
      <w:r w:rsidRPr="00A77FDE" w:rsidR="00A77FDE">
        <w:t xml:space="preserve">terminating </w:t>
      </w:r>
      <w:r w:rsidRPr="00A3437D">
        <w:t>intrastate switched access revenues and net reciprocal compensation revenues received by March 31, 2012, for services provided during Fiscal Year (FY) 2011,</w:t>
      </w:r>
      <w:r>
        <w:rPr>
          <w:rStyle w:val="FootnoteReference"/>
          <w:color w:val="000000"/>
        </w:rPr>
        <w:footnoteReference w:id="14"/>
      </w:r>
      <w:r w:rsidRPr="00A3437D">
        <w:t xml:space="preserve"> and the projected revenue requirement for interstate switched access services for the 2011-2012 tariff period.</w:t>
      </w:r>
      <w:r>
        <w:rPr>
          <w:rStyle w:val="FootnoteReference"/>
          <w:color w:val="000000"/>
        </w:rPr>
        <w:footnoteReference w:id="15"/>
      </w:r>
      <w:r w:rsidRPr="00A3437D">
        <w:t xml:space="preserve">  The </w:t>
      </w:r>
      <w:r w:rsidR="006A2E4B">
        <w:t>BPR</w:t>
      </w:r>
      <w:r w:rsidRPr="00A3437D">
        <w:t xml:space="preserve"> for rate-of-return carriers is reduced by 5% each year of the transition.</w:t>
      </w:r>
      <w:r>
        <w:rPr>
          <w:rStyle w:val="FootnoteReference"/>
          <w:color w:val="000000"/>
        </w:rPr>
        <w:footnoteReference w:id="16"/>
      </w:r>
      <w:r w:rsidRPr="00A3437D">
        <w:t xml:space="preserve">  A rate-of-return </w:t>
      </w:r>
      <w:r w:rsidR="003059F1">
        <w:t xml:space="preserve">incumbent </w:t>
      </w:r>
      <w:r w:rsidRPr="00A3437D">
        <w:t xml:space="preserve">LEC’s Eligible Recovery is equal to the adjusted </w:t>
      </w:r>
      <w:r w:rsidR="006A2E4B">
        <w:t>BPR</w:t>
      </w:r>
      <w:r w:rsidRPr="00A3437D">
        <w:t xml:space="preserve"> for the year in question, less, for each relevant year of the transition, the sum of (1) projected </w:t>
      </w:r>
      <w:r w:rsidR="00257E2D">
        <w:t xml:space="preserve">terminating </w:t>
      </w:r>
      <w:r w:rsidRPr="00A3437D">
        <w:t>intrastate switched access revenue;</w:t>
      </w:r>
      <w:r>
        <w:rPr>
          <w:rStyle w:val="FootnoteReference"/>
        </w:rPr>
        <w:footnoteReference w:id="17"/>
      </w:r>
      <w:r w:rsidRPr="00A3437D">
        <w:t xml:space="preserve"> (2) projected interstate switched access revenue; and (3) projected net reciprocal compensation revenue.</w:t>
      </w:r>
      <w:r>
        <w:rPr>
          <w:rStyle w:val="FootnoteReference"/>
          <w:color w:val="000000"/>
        </w:rPr>
        <w:footnoteReference w:id="18"/>
      </w:r>
      <w:r w:rsidRPr="00A3437D">
        <w:t xml:space="preserve">  A rate-of-return</w:t>
      </w:r>
      <w:r w:rsidR="003059F1">
        <w:t xml:space="preserve"> incumbent</w:t>
      </w:r>
      <w:r w:rsidRPr="00A3437D">
        <w:t xml:space="preserve"> LEC’s </w:t>
      </w:r>
      <w:r w:rsidR="006A2E4B">
        <w:t>BPR</w:t>
      </w:r>
      <w:r w:rsidRPr="00A3437D">
        <w:t xml:space="preserve"> is calculated only once, but is used during each step of the intercarrier compensation recovery mechanism calculations for each year of the transition.</w:t>
      </w:r>
      <w:r>
        <w:rPr>
          <w:rStyle w:val="FootnoteReference"/>
          <w:color w:val="000000"/>
        </w:rPr>
        <w:footnoteReference w:id="19"/>
      </w:r>
      <w:r w:rsidRPr="00A3437D">
        <w:t xml:space="preserve"> </w:t>
      </w:r>
    </w:p>
    <w:p w:rsidR="000D3E30" w:rsidP="00BF1E86" w14:paraId="55578058" w14:textId="2FA056E0">
      <w:pPr>
        <w:pStyle w:val="Heading2"/>
      </w:pPr>
      <w:r>
        <w:t>Commission Precedent Waiving Intercarrier Compensation Rules</w:t>
      </w:r>
    </w:p>
    <w:p w:rsidR="00D75547" w:rsidP="00BF1E86" w14:paraId="444EECB4" w14:textId="79E80FB2">
      <w:pPr>
        <w:pStyle w:val="ParaNum"/>
        <w:tabs>
          <w:tab w:val="clear" w:pos="1080"/>
          <w:tab w:val="num" w:pos="1440"/>
        </w:tabs>
      </w:pPr>
      <w:r w:rsidRPr="00A3437D">
        <w:t>The Commission’s rules for calculating Eligible Recovery are based on study</w:t>
      </w:r>
      <w:r>
        <w:t xml:space="preserve"> </w:t>
      </w:r>
      <w:r w:rsidRPr="00A3437D">
        <w:t xml:space="preserve">area-specific data and do not address </w:t>
      </w:r>
      <w:r w:rsidR="006B65B7">
        <w:t xml:space="preserve">the </w:t>
      </w:r>
      <w:r w:rsidRPr="00A3437D">
        <w:t xml:space="preserve">adjustments </w:t>
      </w:r>
      <w:r w:rsidR="006B65B7">
        <w:t xml:space="preserve">that may be necessary </w:t>
      </w:r>
      <w:r w:rsidRPr="00A3437D">
        <w:t xml:space="preserve">when study areas are </w:t>
      </w:r>
      <w:r w:rsidR="00970B82">
        <w:t>transferred or restructured</w:t>
      </w:r>
      <w:r w:rsidRPr="00A3437D">
        <w:t>.</w:t>
      </w:r>
      <w:r>
        <w:rPr>
          <w:rStyle w:val="FootnoteReference"/>
        </w:rPr>
        <w:footnoteReference w:id="20"/>
      </w:r>
      <w:r w:rsidRPr="00A3437D">
        <w:t xml:space="preserve">  </w:t>
      </w:r>
      <w:bookmarkStart w:id="3" w:name="co_fnRef_FN_F47_ID0EQPAC_1"/>
      <w:bookmarkEnd w:id="3"/>
      <w:r w:rsidR="00A2224A">
        <w:t xml:space="preserve">Therefore, where carriers </w:t>
      </w:r>
      <w:r w:rsidR="00C906E1">
        <w:t>restructure</w:t>
      </w:r>
      <w:r w:rsidR="00A55A89">
        <w:t>, acquire</w:t>
      </w:r>
      <w:r w:rsidR="003328C6">
        <w:t>,</w:t>
      </w:r>
      <w:r w:rsidR="00C906E1">
        <w:t xml:space="preserve"> or merge their study areas, the</w:t>
      </w:r>
      <w:r w:rsidR="003511B8">
        <w:t xml:space="preserve"> carriers must</w:t>
      </w:r>
      <w:r w:rsidR="00C906E1">
        <w:t xml:space="preserve"> recalculate </w:t>
      </w:r>
      <w:r w:rsidR="003511B8">
        <w:t xml:space="preserve">their </w:t>
      </w:r>
      <w:r w:rsidR="009F018D">
        <w:t>BPRs</w:t>
      </w:r>
      <w:r w:rsidR="00D2643C">
        <w:t xml:space="preserve"> and interstate revenue requirements </w:t>
      </w:r>
      <w:r w:rsidR="00202A69">
        <w:t>for the</w:t>
      </w:r>
      <w:r w:rsidR="00D14E59">
        <w:t xml:space="preserve"> restructured</w:t>
      </w:r>
      <w:r w:rsidR="00125545">
        <w:t>, acquired</w:t>
      </w:r>
      <w:r w:rsidR="000C0C03">
        <w:t>,</w:t>
      </w:r>
      <w:r w:rsidR="00D14E59">
        <w:t xml:space="preserve"> or merged study areas.</w:t>
      </w:r>
      <w:r>
        <w:rPr>
          <w:rStyle w:val="FootnoteReference"/>
        </w:rPr>
        <w:footnoteReference w:id="21"/>
      </w:r>
      <w:r w:rsidR="00D14E59">
        <w:t xml:space="preserve">  </w:t>
      </w:r>
      <w:r w:rsidR="0037553D">
        <w:t>T</w:t>
      </w:r>
      <w:r w:rsidR="00F36E02">
        <w:t xml:space="preserve">he Commission must waive its rules regarding </w:t>
      </w:r>
      <w:r w:rsidR="009250D4">
        <w:t>BPRs</w:t>
      </w:r>
      <w:r w:rsidR="003A2E43">
        <w:t xml:space="preserve"> and interstate revenue requirements calculations</w:t>
      </w:r>
      <w:r w:rsidR="00FF1237">
        <w:t xml:space="preserve"> i</w:t>
      </w:r>
      <w:r w:rsidR="0066628D">
        <w:t>n order</w:t>
      </w:r>
      <w:r w:rsidR="00FF1237">
        <w:t xml:space="preserve"> for the carriers to</w:t>
      </w:r>
      <w:r w:rsidR="0066628D">
        <w:t xml:space="preserve"> recalculate these revenues</w:t>
      </w:r>
      <w:r w:rsidR="002B14CA">
        <w:t xml:space="preserve"> </w:t>
      </w:r>
      <w:r w:rsidRPr="0033713F" w:rsidR="0033713F">
        <w:t xml:space="preserve">and revenue requirements </w:t>
      </w:r>
      <w:r w:rsidR="002B14CA">
        <w:t xml:space="preserve">for the </w:t>
      </w:r>
      <w:r w:rsidR="00260A05">
        <w:t>reconfigured</w:t>
      </w:r>
      <w:r w:rsidR="002B14CA">
        <w:t xml:space="preserve"> study areas.</w:t>
      </w:r>
      <w:r>
        <w:rPr>
          <w:rStyle w:val="FootnoteReference"/>
        </w:rPr>
        <w:footnoteReference w:id="22"/>
      </w:r>
      <w:r w:rsidR="00344C71">
        <w:t xml:space="preserve"> </w:t>
      </w:r>
    </w:p>
    <w:p w:rsidR="009F018D" w:rsidP="00BF1E86" w14:paraId="75FC4728" w14:textId="4F0C87A2">
      <w:pPr>
        <w:pStyle w:val="ParaNum"/>
        <w:tabs>
          <w:tab w:val="clear" w:pos="1080"/>
          <w:tab w:val="num" w:pos="1440"/>
        </w:tabs>
      </w:pPr>
      <w:r w:rsidRPr="00175E84">
        <w:t>Since the Eligible Recovery rules have taken effect, several rate-of-return LECs have partially or fully merged study areas or acquired study areas.</w:t>
      </w:r>
      <w:r>
        <w:t xml:space="preserve"> </w:t>
      </w:r>
      <w:r w:rsidRPr="00175E84">
        <w:t xml:space="preserve"> Because the intercarrier compensation and CAF ICC rules adopted in the </w:t>
      </w:r>
      <w:r w:rsidRPr="0038402A">
        <w:rPr>
          <w:i/>
          <w:iCs/>
        </w:rPr>
        <w:t>USF/ICC Transformation Order</w:t>
      </w:r>
      <w:r w:rsidRPr="00175E84">
        <w:t xml:space="preserve"> do not contemplate study area changes, these carriers have had to file petitions for waiver of portions of section 51.917 of the Commission’s rules to reset the applicable </w:t>
      </w:r>
      <w:r>
        <w:t>BPR</w:t>
      </w:r>
      <w:r w:rsidRPr="00175E84">
        <w:t xml:space="preserve"> associated with the study areas they have merged or acquired.</w:t>
      </w:r>
      <w:r>
        <w:rPr>
          <w:rStyle w:val="FootnoteReference"/>
        </w:rPr>
        <w:footnoteReference w:id="23"/>
      </w:r>
      <w:r>
        <w:t xml:space="preserve">  </w:t>
      </w:r>
    </w:p>
    <w:p w:rsidR="009F018D" w:rsidRPr="0007007C" w:rsidP="00BF1E86" w14:paraId="6A42C5D6" w14:textId="06859E55">
      <w:pPr>
        <w:pStyle w:val="ParaNum"/>
        <w:tabs>
          <w:tab w:val="clear" w:pos="1080"/>
          <w:tab w:val="num" w:pos="1440"/>
        </w:tabs>
      </w:pPr>
      <w:r w:rsidRPr="0007007C">
        <w:t xml:space="preserve">The </w:t>
      </w:r>
      <w:r w:rsidR="003328C6">
        <w:t xml:space="preserve">Wireline Competition </w:t>
      </w:r>
      <w:r w:rsidRPr="0007007C">
        <w:t xml:space="preserve">Bureau </w:t>
      </w:r>
      <w:r w:rsidR="003328C6">
        <w:t xml:space="preserve">(Bureau) </w:t>
      </w:r>
      <w:r w:rsidRPr="0007007C">
        <w:t>has granted waivers of section 51.917(b)(1) and (b)(7) of the</w:t>
      </w:r>
      <w:r w:rsidR="001E0315">
        <w:t xml:space="preserve"> Commission’s</w:t>
      </w:r>
      <w:r w:rsidRPr="0007007C">
        <w:t xml:space="preserve"> rules where carriers merge</w:t>
      </w:r>
      <w:r>
        <w:t>, acquire</w:t>
      </w:r>
      <w:r w:rsidR="001E0315">
        <w:t>,</w:t>
      </w:r>
      <w:r w:rsidRPr="0007007C">
        <w:t xml:space="preserve"> or restructure study areas.</w:t>
      </w:r>
      <w:r>
        <w:rPr>
          <w:rStyle w:val="FootnoteReference"/>
        </w:rPr>
        <w:footnoteReference w:id="24"/>
      </w:r>
      <w:r w:rsidRPr="0007007C">
        <w:t xml:space="preserve">  Such waivers allowed carriers to recalculate their BPR based on the restructured study area boundaries.</w:t>
      </w:r>
      <w:r>
        <w:rPr>
          <w:rStyle w:val="FootnoteReference"/>
        </w:rPr>
        <w:footnoteReference w:id="25"/>
      </w:r>
      <w:r w:rsidRPr="0007007C">
        <w:t xml:space="preserve">  In cases</w:t>
      </w:r>
      <w:r w:rsidR="008D6389">
        <w:t xml:space="preserve"> </w:t>
      </w:r>
      <w:r w:rsidRPr="0007007C">
        <w:t>where a study area was transferred or restructured, the carriers were permitted to adjust their BPR amounts</w:t>
      </w:r>
      <w:r w:rsidR="00AB7571">
        <w:t>,</w:t>
      </w:r>
      <w:r w:rsidRPr="0007007C">
        <w:t xml:space="preserve"> based on the relative number of access lines being transferred</w:t>
      </w:r>
      <w:r w:rsidR="00AB7571">
        <w:t>,</w:t>
      </w:r>
      <w:r w:rsidRPr="0007007C">
        <w:t xml:space="preserve"> to reflect the revised study areas.</w:t>
      </w:r>
      <w:r>
        <w:rPr>
          <w:rStyle w:val="FootnoteReference"/>
        </w:rPr>
        <w:footnoteReference w:id="26"/>
      </w:r>
      <w:r w:rsidRPr="0007007C">
        <w:t xml:space="preserve">  In each case, the Bureau found that such an adjustment would create an appropriate revised BPR to serve as the baseline for calculating the Eligible Recovery of the redefined study areas going forward.</w:t>
      </w:r>
      <w:r>
        <w:rPr>
          <w:rStyle w:val="FootnoteReference"/>
        </w:rPr>
        <w:footnoteReference w:id="27"/>
      </w:r>
      <w:r w:rsidRPr="0007007C">
        <w:t xml:space="preserve">    </w:t>
      </w:r>
    </w:p>
    <w:p w:rsidR="009F018D" w:rsidRPr="00A3437D" w:rsidP="00E83059" w14:paraId="5417D825" w14:textId="104A2336">
      <w:pPr>
        <w:pStyle w:val="ParaNum"/>
        <w:tabs>
          <w:tab w:val="clear" w:pos="1080"/>
          <w:tab w:val="num" w:pos="1440"/>
        </w:tabs>
      </w:pPr>
      <w:r w:rsidRPr="00A3437D">
        <w:t xml:space="preserve">The </w:t>
      </w:r>
      <w:r>
        <w:t>Bureau</w:t>
      </w:r>
      <w:r w:rsidRPr="00A3437D">
        <w:t xml:space="preserve"> has also used the waiver process to adjust the interstate switched access rate</w:t>
      </w:r>
      <w:r w:rsidR="00AE441F">
        <w:t>s</w:t>
      </w:r>
      <w:r w:rsidRPr="00A3437D">
        <w:t xml:space="preserve"> that the compan</w:t>
      </w:r>
      <w:r>
        <w:t>ies</w:t>
      </w:r>
      <w:r w:rsidRPr="00A3437D">
        <w:t xml:space="preserve"> </w:t>
      </w:r>
      <w:r w:rsidR="00752458">
        <w:t xml:space="preserve">may assess when </w:t>
      </w:r>
      <w:r w:rsidR="00977608">
        <w:t xml:space="preserve">they </w:t>
      </w:r>
      <w:r>
        <w:t>transfer a portion of one</w:t>
      </w:r>
      <w:r w:rsidRPr="00A3437D">
        <w:t xml:space="preserve"> study area</w:t>
      </w:r>
      <w:r>
        <w:t xml:space="preserve"> </w:t>
      </w:r>
      <w:r w:rsidR="00977608">
        <w:t>from one carrier to another</w:t>
      </w:r>
      <w:r w:rsidRPr="00A3437D">
        <w:t xml:space="preserve">.  To facilitate mergers for entities that participate in the </w:t>
      </w:r>
      <w:r w:rsidR="00977608">
        <w:t>National Exchange Carrier Association</w:t>
      </w:r>
      <w:r w:rsidR="00C225E1">
        <w:t>, Inc.</w:t>
      </w:r>
      <w:r w:rsidR="00977608">
        <w:t xml:space="preserve"> (</w:t>
      </w:r>
      <w:r w:rsidRPr="00A3437D">
        <w:t>NECA</w:t>
      </w:r>
      <w:r w:rsidR="00977608">
        <w:t>)</w:t>
      </w:r>
      <w:r w:rsidRPr="00A3437D">
        <w:t xml:space="preserve"> traffic-sensitive tariff, the Bureau has granted waivers of section 51.909(a) of the </w:t>
      </w:r>
      <w:r w:rsidR="00E80A40">
        <w:t xml:space="preserve">Commission’s </w:t>
      </w:r>
      <w:r w:rsidRPr="00A3437D">
        <w:t>rules to allow NECA to place the consolidated study area in the rate band that most closely approximates the merged entities’ cost characteristics.</w:t>
      </w:r>
      <w:r>
        <w:rPr>
          <w:rStyle w:val="FootnoteReference"/>
        </w:rPr>
        <w:footnoteReference w:id="28"/>
      </w:r>
      <w:r w:rsidRPr="00A3437D">
        <w:t xml:space="preserve">  The rate for that rate band then becomes the rate cap for that rate element in the merged</w:t>
      </w:r>
      <w:r>
        <w:t xml:space="preserve"> or restructured</w:t>
      </w:r>
      <w:r w:rsidRPr="00A3437D">
        <w:t xml:space="preserve"> study area.    </w:t>
      </w:r>
    </w:p>
    <w:p w:rsidR="00FA4F44" w:rsidP="00106E76" w14:paraId="565BFEC1" w14:textId="6BCDD2F4">
      <w:pPr>
        <w:pStyle w:val="Heading2"/>
      </w:pPr>
      <w:r>
        <w:t>NCC-Midstate Acquisition</w:t>
      </w:r>
    </w:p>
    <w:p w:rsidR="00FA4F44" w:rsidRPr="00B429B9" w:rsidP="00BF1E86" w14:paraId="5222DCDD" w14:textId="5C17E954">
      <w:pPr>
        <w:pStyle w:val="ParaNum"/>
        <w:tabs>
          <w:tab w:val="clear" w:pos="1080"/>
          <w:tab w:val="num" w:pos="1440"/>
        </w:tabs>
      </w:pPr>
      <w:r w:rsidRPr="00BF1E86">
        <w:t xml:space="preserve">On February 23, 2023, the Bureau granted </w:t>
      </w:r>
      <w:r w:rsidR="00B429B9">
        <w:t>an</w:t>
      </w:r>
      <w:r w:rsidRPr="00BF1E86">
        <w:t xml:space="preserve"> </w:t>
      </w:r>
      <w:r w:rsidR="00B429B9">
        <w:t xml:space="preserve">application filed by Midstate and NCC, </w:t>
      </w:r>
      <w:r w:rsidR="00473650">
        <w:t xml:space="preserve">approving </w:t>
      </w:r>
      <w:r w:rsidR="004C23CE">
        <w:t xml:space="preserve">NCC’s </w:t>
      </w:r>
      <w:r w:rsidR="00473650">
        <w:t xml:space="preserve">acquisition of 90 voice access lines </w:t>
      </w:r>
      <w:r w:rsidR="00840AF8">
        <w:t>served by a</w:t>
      </w:r>
      <w:r w:rsidR="00B73EE6">
        <w:t xml:space="preserve"> Midstate</w:t>
      </w:r>
      <w:r w:rsidR="00840AF8">
        <w:t xml:space="preserve"> exchange in</w:t>
      </w:r>
      <w:r w:rsidR="00473650">
        <w:t xml:space="preserve"> Portal, North Dakota</w:t>
      </w:r>
      <w:r w:rsidR="00D645CC">
        <w:t xml:space="preserve"> (Portal Exchange)</w:t>
      </w:r>
      <w:r w:rsidRPr="00BF1E86">
        <w:t>.</w:t>
      </w:r>
      <w:r>
        <w:rPr>
          <w:rStyle w:val="FootnoteReference"/>
        </w:rPr>
        <w:footnoteReference w:id="29"/>
      </w:r>
      <w:r w:rsidRPr="00B429B9">
        <w:t xml:space="preserve">  </w:t>
      </w:r>
      <w:r w:rsidR="00840AF8">
        <w:t xml:space="preserve">The </w:t>
      </w:r>
      <w:r w:rsidRPr="00B429B9">
        <w:t xml:space="preserve">Bureau </w:t>
      </w:r>
      <w:r w:rsidR="00840AF8">
        <w:t xml:space="preserve">also </w:t>
      </w:r>
      <w:r w:rsidRPr="00B429B9">
        <w:t xml:space="preserve">granted </w:t>
      </w:r>
      <w:r w:rsidR="00473650">
        <w:t xml:space="preserve">a </w:t>
      </w:r>
      <w:r w:rsidR="00840AF8">
        <w:t xml:space="preserve">related </w:t>
      </w:r>
      <w:r w:rsidR="00473650">
        <w:t xml:space="preserve">petition filed by Midstate and NCC for waiver of the part 36 study area boundary freeze to permit Midstate to remove </w:t>
      </w:r>
      <w:r w:rsidR="00DC5FA4">
        <w:t>the</w:t>
      </w:r>
      <w:r w:rsidR="00473650">
        <w:t xml:space="preserve"> </w:t>
      </w:r>
      <w:r w:rsidRPr="00CF3696" w:rsidR="00CF3696">
        <w:t>Portal</w:t>
      </w:r>
      <w:r w:rsidR="00D645CC">
        <w:t xml:space="preserve"> Exchange</w:t>
      </w:r>
      <w:r w:rsidRPr="00CF3696" w:rsidR="00CF3696">
        <w:t xml:space="preserve"> </w:t>
      </w:r>
      <w:r w:rsidR="00CF3696">
        <w:t>from</w:t>
      </w:r>
      <w:r w:rsidR="00473650">
        <w:t xml:space="preserve"> its study area (SAC 381617) and</w:t>
      </w:r>
      <w:r w:rsidR="005120A7">
        <w:t xml:space="preserve"> to allow NCC to incorporate</w:t>
      </w:r>
      <w:r w:rsidR="005A6D2D">
        <w:t xml:space="preserve"> the Portal Exchange into</w:t>
      </w:r>
      <w:r w:rsidR="00473650">
        <w:t xml:space="preserve"> </w:t>
      </w:r>
      <w:r w:rsidR="005A6D2D">
        <w:t xml:space="preserve">its </w:t>
      </w:r>
      <w:r w:rsidR="00473650">
        <w:t>study area (SAC 381625).</w:t>
      </w:r>
      <w:r>
        <w:rPr>
          <w:rStyle w:val="FootnoteReference"/>
        </w:rPr>
        <w:footnoteReference w:id="30"/>
      </w:r>
      <w:r w:rsidR="0053698B">
        <w:t xml:space="preserve">  </w:t>
      </w:r>
      <w:r w:rsidR="00D645CC">
        <w:t xml:space="preserve">As a result of the transaction, NCC </w:t>
      </w:r>
      <w:r w:rsidR="007C76E9">
        <w:t xml:space="preserve">will </w:t>
      </w:r>
      <w:r w:rsidR="00D645CC">
        <w:t>acquire</w:t>
      </w:r>
      <w:r w:rsidR="009C7EAF">
        <w:t xml:space="preserve"> from Midstate</w:t>
      </w:r>
      <w:r w:rsidR="00D645CC">
        <w:t xml:space="preserve"> all assets, property, rights, and interests </w:t>
      </w:r>
      <w:r w:rsidR="009C7EAF">
        <w:t xml:space="preserve">related to </w:t>
      </w:r>
      <w:r w:rsidR="00D645CC">
        <w:t xml:space="preserve">90 voice access line customers </w:t>
      </w:r>
      <w:r w:rsidR="002A5449">
        <w:t xml:space="preserve">associated with the </w:t>
      </w:r>
      <w:r w:rsidR="00D645CC">
        <w:t>Portal Exchange</w:t>
      </w:r>
      <w:r w:rsidR="00E4024A">
        <w:t xml:space="preserve">. </w:t>
      </w:r>
      <w:r w:rsidR="00002BFB">
        <w:t xml:space="preserve"> </w:t>
      </w:r>
      <w:r w:rsidR="00E4024A">
        <w:t xml:space="preserve">The Portal Exchange </w:t>
      </w:r>
      <w:r w:rsidR="007C76E9">
        <w:t xml:space="preserve">will be </w:t>
      </w:r>
      <w:r w:rsidR="00E4024A">
        <w:t>integrated in</w:t>
      </w:r>
      <w:r w:rsidR="00165115">
        <w:t>to</w:t>
      </w:r>
      <w:r w:rsidR="00E4024A">
        <w:t xml:space="preserve"> NCC’s study area and NCC will provide telecommunications and Internet access services to customers served by the Portal Exchange.</w:t>
      </w:r>
      <w:r>
        <w:rPr>
          <w:rStyle w:val="FootnoteReference"/>
        </w:rPr>
        <w:footnoteReference w:id="31"/>
      </w:r>
      <w:r w:rsidR="00E4024A">
        <w:t xml:space="preserve">  </w:t>
      </w:r>
    </w:p>
    <w:p w:rsidR="005059A6" w:rsidRPr="00A3437D" w:rsidP="00106E76" w14:paraId="3435561E" w14:textId="3B0F55D1">
      <w:pPr>
        <w:pStyle w:val="Heading2"/>
      </w:pPr>
      <w:r w:rsidRPr="00A3437D">
        <w:t>Petitioners’ Requests</w:t>
      </w:r>
    </w:p>
    <w:p w:rsidR="00A935EC" w:rsidRPr="0088626E" w:rsidP="00BF1E86" w14:paraId="62197035" w14:textId="2FC9FD36">
      <w:pPr>
        <w:pStyle w:val="ParaNum"/>
        <w:tabs>
          <w:tab w:val="clear" w:pos="1080"/>
          <w:tab w:val="num" w:pos="1440"/>
        </w:tabs>
        <w:rPr>
          <w:szCs w:val="22"/>
        </w:rPr>
      </w:pPr>
      <w:r>
        <w:t xml:space="preserve">In connection with the NCC-Midstate </w:t>
      </w:r>
      <w:r w:rsidR="00D66C14">
        <w:t>transaction</w:t>
      </w:r>
      <w:r>
        <w:t xml:space="preserve">, </w:t>
      </w:r>
      <w:r w:rsidR="00FA4F44">
        <w:t xml:space="preserve">Petitioners filed a joint petition </w:t>
      </w:r>
      <w:r>
        <w:t xml:space="preserve">on December 8, 2022 </w:t>
      </w:r>
      <w:r w:rsidR="00C00C63">
        <w:t>requesting</w:t>
      </w:r>
      <w:r w:rsidR="00FA4F44">
        <w:t xml:space="preserve"> </w:t>
      </w:r>
      <w:r w:rsidR="00667D87">
        <w:t>waiver of section 51.909(a)</w:t>
      </w:r>
      <w:r w:rsidR="004A1831">
        <w:t xml:space="preserve"> of the Commission’s rules to </w:t>
      </w:r>
      <w:r w:rsidR="00841252">
        <w:t xml:space="preserve">revise their </w:t>
      </w:r>
      <w:r w:rsidR="004A1831">
        <w:t>rate band</w:t>
      </w:r>
      <w:r w:rsidR="002D04A3">
        <w:t xml:space="preserve"> assignments</w:t>
      </w:r>
      <w:r w:rsidR="004A1831">
        <w:t xml:space="preserve"> and </w:t>
      </w:r>
      <w:r w:rsidR="00C00C63">
        <w:t xml:space="preserve">charges for </w:t>
      </w:r>
      <w:r w:rsidR="00551901">
        <w:t>certain switched access services</w:t>
      </w:r>
      <w:r w:rsidR="002D04A3">
        <w:t>, as necessary,</w:t>
      </w:r>
      <w:r w:rsidR="00C00C63">
        <w:t xml:space="preserve"> </w:t>
      </w:r>
      <w:r w:rsidRPr="00C00C63" w:rsidR="00C00C63">
        <w:t>to reflect the</w:t>
      </w:r>
      <w:r w:rsidR="00C422E2">
        <w:t xml:space="preserve"> transfer of the </w:t>
      </w:r>
      <w:r w:rsidR="00840AF8">
        <w:t>Portal E</w:t>
      </w:r>
      <w:r w:rsidRPr="00C00C63" w:rsidR="00C00C63">
        <w:t>xchange</w:t>
      </w:r>
      <w:r w:rsidR="00C00C63">
        <w:t>.</w:t>
      </w:r>
      <w:r>
        <w:rPr>
          <w:rStyle w:val="FootnoteReference"/>
        </w:rPr>
        <w:footnoteReference w:id="32"/>
      </w:r>
      <w:r w:rsidR="00C00C63">
        <w:t xml:space="preserve">  </w:t>
      </w:r>
      <w:r w:rsidR="00681AB0">
        <w:t>NCC</w:t>
      </w:r>
      <w:r w:rsidR="00840AF8">
        <w:t>’s</w:t>
      </w:r>
      <w:r w:rsidR="00681AB0">
        <w:t xml:space="preserve"> and Midstate</w:t>
      </w:r>
      <w:r w:rsidR="00840AF8">
        <w:t>’s</w:t>
      </w:r>
      <w:r w:rsidR="00681AB0">
        <w:t xml:space="preserve"> </w:t>
      </w:r>
      <w:r w:rsidR="00F675F6">
        <w:t xml:space="preserve">switched access rates are tariffed pursuant to </w:t>
      </w:r>
      <w:r w:rsidR="00681AB0">
        <w:t xml:space="preserve">NECA Tariff F.C.C. No. 5 (NECA tariff) </w:t>
      </w:r>
      <w:r w:rsidR="000B6E7C">
        <w:t xml:space="preserve">and </w:t>
      </w:r>
      <w:r w:rsidR="002A13D4">
        <w:t>subject to</w:t>
      </w:r>
      <w:r w:rsidR="00681AB0">
        <w:t xml:space="preserve"> different rate band</w:t>
      </w:r>
      <w:r w:rsidR="00820F51">
        <w:t xml:space="preserve"> assignments</w:t>
      </w:r>
      <w:r w:rsidR="00681AB0">
        <w:t xml:space="preserve"> for local switching, </w:t>
      </w:r>
      <w:r w:rsidR="003558E5">
        <w:t>local transport</w:t>
      </w:r>
      <w:r w:rsidR="00681AB0">
        <w:t xml:space="preserve">, and </w:t>
      </w:r>
      <w:r w:rsidR="003558E5">
        <w:t>tandem switched</w:t>
      </w:r>
      <w:r w:rsidR="00681AB0">
        <w:t xml:space="preserve"> transport.</w:t>
      </w:r>
      <w:r>
        <w:rPr>
          <w:rStyle w:val="FootnoteReference"/>
        </w:rPr>
        <w:footnoteReference w:id="33"/>
      </w:r>
      <w:r w:rsidR="00681AB0">
        <w:t xml:space="preserve">  </w:t>
      </w:r>
      <w:r w:rsidR="00890E29">
        <w:t xml:space="preserve">The </w:t>
      </w:r>
      <w:r w:rsidRPr="00890E29" w:rsidR="00890E29">
        <w:t xml:space="preserve">Midstate </w:t>
      </w:r>
      <w:r w:rsidR="00890E29">
        <w:t xml:space="preserve">study area </w:t>
      </w:r>
      <w:r w:rsidRPr="00890E29" w:rsidR="00625CAF">
        <w:t>(SAC 381</w:t>
      </w:r>
      <w:r w:rsidR="00770E38">
        <w:t>6</w:t>
      </w:r>
      <w:r w:rsidRPr="00890E29" w:rsidR="00625CAF">
        <w:t>17)</w:t>
      </w:r>
      <w:r w:rsidR="00625CAF">
        <w:t xml:space="preserve"> </w:t>
      </w:r>
      <w:r w:rsidR="00890E29">
        <w:t xml:space="preserve">is </w:t>
      </w:r>
      <w:r w:rsidR="000D07C3">
        <w:t xml:space="preserve">assigned </w:t>
      </w:r>
      <w:r w:rsidR="00890E29">
        <w:t xml:space="preserve">to </w:t>
      </w:r>
      <w:r w:rsidRPr="00890E29" w:rsidR="00890E29">
        <w:t>rate band 8 for local switching, rate band 8 for local transport, and rate band 1 for tandem switched transport.</w:t>
      </w:r>
      <w:r>
        <w:rPr>
          <w:rStyle w:val="FootnoteReference"/>
        </w:rPr>
        <w:footnoteReference w:id="34"/>
      </w:r>
      <w:r w:rsidRPr="00890E29" w:rsidR="00890E29">
        <w:t xml:space="preserve"> </w:t>
      </w:r>
      <w:r w:rsidR="00033D78">
        <w:t xml:space="preserve"> </w:t>
      </w:r>
      <w:r w:rsidR="00890E29">
        <w:t xml:space="preserve">The </w:t>
      </w:r>
      <w:r w:rsidRPr="00890E29" w:rsidR="00890E29">
        <w:t xml:space="preserve">NCC </w:t>
      </w:r>
      <w:r w:rsidR="00890E29">
        <w:t xml:space="preserve">study area </w:t>
      </w:r>
      <w:r w:rsidRPr="00890E29" w:rsidR="00625CAF">
        <w:t xml:space="preserve">(SAC 381625) </w:t>
      </w:r>
      <w:r w:rsidR="00890E29">
        <w:t xml:space="preserve">is </w:t>
      </w:r>
      <w:r w:rsidR="000D07C3">
        <w:t xml:space="preserve">assigned </w:t>
      </w:r>
      <w:r w:rsidR="00890E29">
        <w:t xml:space="preserve">to </w:t>
      </w:r>
      <w:r w:rsidRPr="00890E29" w:rsidR="00890E29">
        <w:t>rate band 4 for local switching, rate band 10 for local transport, and rate band 2 for tandem switched transport.</w:t>
      </w:r>
      <w:r>
        <w:rPr>
          <w:rStyle w:val="FootnoteReference"/>
        </w:rPr>
        <w:footnoteReference w:id="35"/>
      </w:r>
      <w:r w:rsidRPr="00890E29" w:rsidR="00890E29">
        <w:t xml:space="preserve">  </w:t>
      </w:r>
      <w:r w:rsidR="00704F72">
        <w:t>Following transfer, these rate band</w:t>
      </w:r>
      <w:r w:rsidR="00585CCE">
        <w:t xml:space="preserve"> assignments </w:t>
      </w:r>
      <w:r w:rsidR="00704F72">
        <w:t xml:space="preserve">will remain the same for each study area.  </w:t>
      </w:r>
      <w:r w:rsidR="00681AB0">
        <w:t xml:space="preserve">Petitioners seek waiver of section 51.909(a) </w:t>
      </w:r>
      <w:r w:rsidR="008B6CD8">
        <w:t xml:space="preserve">to </w:t>
      </w:r>
      <w:r w:rsidR="006B0955">
        <w:t xml:space="preserve">revise </w:t>
      </w:r>
      <w:r w:rsidR="000B6E7C">
        <w:t xml:space="preserve">the </w:t>
      </w:r>
      <w:r w:rsidR="008B6CD8">
        <w:t xml:space="preserve">rate band </w:t>
      </w:r>
      <w:r w:rsidR="006B0955">
        <w:t xml:space="preserve">assignments </w:t>
      </w:r>
      <w:r w:rsidR="000B6E7C">
        <w:t xml:space="preserve">and charges </w:t>
      </w:r>
      <w:r w:rsidR="002A13D4">
        <w:t xml:space="preserve">to </w:t>
      </w:r>
      <w:r w:rsidR="008B6CD8">
        <w:t xml:space="preserve">reflect the </w:t>
      </w:r>
      <w:r w:rsidR="000B6E7C">
        <w:t xml:space="preserve">transfer of the </w:t>
      </w:r>
      <w:r w:rsidR="00F0319E">
        <w:t xml:space="preserve">90 access lines </w:t>
      </w:r>
      <w:r w:rsidR="009B3F1B">
        <w:t>served by</w:t>
      </w:r>
      <w:r w:rsidR="00F0319E">
        <w:t xml:space="preserve"> the </w:t>
      </w:r>
      <w:r w:rsidR="00002BFB">
        <w:t>Portal Exchange</w:t>
      </w:r>
      <w:r w:rsidR="008B6CD8">
        <w:t>.</w:t>
      </w:r>
      <w:r>
        <w:rPr>
          <w:rStyle w:val="FootnoteReference"/>
        </w:rPr>
        <w:footnoteReference w:id="36"/>
      </w:r>
      <w:r w:rsidR="002A13D4">
        <w:t xml:space="preserve"> </w:t>
      </w:r>
      <w:r w:rsidR="008B6CD8">
        <w:t xml:space="preserve"> </w:t>
      </w:r>
      <w:r w:rsidR="00C00C63">
        <w:t xml:space="preserve">Petitioners also sought waiver of </w:t>
      </w:r>
      <w:r w:rsidR="004A1831">
        <w:t>section</w:t>
      </w:r>
      <w:r w:rsidR="00667D87">
        <w:t xml:space="preserve"> 51.917(b)(1) and (b)(7)</w:t>
      </w:r>
      <w:r w:rsidR="00C00C63">
        <w:t xml:space="preserve"> of the Commission’s </w:t>
      </w:r>
      <w:r w:rsidR="00C00C63">
        <w:t>rules</w:t>
      </w:r>
      <w:r w:rsidR="00667D87">
        <w:t xml:space="preserve"> </w:t>
      </w:r>
      <w:r w:rsidR="004A1831">
        <w:t>to recalculate</w:t>
      </w:r>
      <w:r w:rsidR="00135272">
        <w:t xml:space="preserve"> Midstate’s and NCC’s</w:t>
      </w:r>
      <w:r w:rsidR="004A1831">
        <w:t xml:space="preserve"> 2011 interstate switched access revenue requirement</w:t>
      </w:r>
      <w:r w:rsidR="00A65BCE">
        <w:t>s</w:t>
      </w:r>
      <w:r w:rsidR="004A1831">
        <w:t xml:space="preserve"> and 2011 BPR</w:t>
      </w:r>
      <w:r w:rsidR="00A65BCE">
        <w:t>s</w:t>
      </w:r>
      <w:r w:rsidR="00C00C63">
        <w:t xml:space="preserve"> to reflect the </w:t>
      </w:r>
      <w:r w:rsidR="008950FD">
        <w:t xml:space="preserve">Portal Exchange </w:t>
      </w:r>
      <w:r w:rsidR="00C00C63">
        <w:t>transfer</w:t>
      </w:r>
      <w:r w:rsidR="00667D87">
        <w:t>.</w:t>
      </w:r>
      <w:r>
        <w:rPr>
          <w:rStyle w:val="FootnoteReference"/>
        </w:rPr>
        <w:footnoteReference w:id="37"/>
      </w:r>
      <w:r w:rsidR="00667D87">
        <w:t xml:space="preserve"> </w:t>
      </w:r>
      <w:r w:rsidR="004A1831">
        <w:t xml:space="preserve"> </w:t>
      </w:r>
      <w:r w:rsidR="00701687">
        <w:t>Petitioners</w:t>
      </w:r>
      <w:r w:rsidR="004D3C60">
        <w:t xml:space="preserve"> seek</w:t>
      </w:r>
      <w:r w:rsidR="00701687">
        <w:t xml:space="preserve"> </w:t>
      </w:r>
      <w:r w:rsidR="00E51F14">
        <w:t xml:space="preserve">a </w:t>
      </w:r>
      <w:r w:rsidR="004D3C60">
        <w:t>waiver to include</w:t>
      </w:r>
      <w:r w:rsidRPr="004D3C60" w:rsidR="004D3C60">
        <w:t xml:space="preserve"> the </w:t>
      </w:r>
      <w:r w:rsidR="008950FD">
        <w:t xml:space="preserve">Portal Exchange </w:t>
      </w:r>
      <w:r w:rsidR="006971C5">
        <w:t>in</w:t>
      </w:r>
      <w:r w:rsidRPr="004D3C60" w:rsidR="006971C5">
        <w:t xml:space="preserve"> </w:t>
      </w:r>
      <w:r w:rsidR="00701687">
        <w:t xml:space="preserve">NCC’s </w:t>
      </w:r>
      <w:r w:rsidRPr="004D3C60" w:rsidR="004D3C60">
        <w:t xml:space="preserve">2011 </w:t>
      </w:r>
      <w:r w:rsidR="00135272">
        <w:t>i</w:t>
      </w:r>
      <w:r w:rsidRPr="004D3C60" w:rsidR="004D3C60">
        <w:t xml:space="preserve">nterstate </w:t>
      </w:r>
      <w:r w:rsidR="00135272">
        <w:t>s</w:t>
      </w:r>
      <w:r w:rsidRPr="004D3C60" w:rsidR="004D3C60">
        <w:t xml:space="preserve">witched </w:t>
      </w:r>
      <w:r w:rsidR="00135272">
        <w:t>a</w:t>
      </w:r>
      <w:r w:rsidRPr="004D3C60" w:rsidR="004D3C60">
        <w:t xml:space="preserve">ccess </w:t>
      </w:r>
      <w:r w:rsidR="00135272">
        <w:t>r</w:t>
      </w:r>
      <w:r w:rsidRPr="004D3C60" w:rsidR="004D3C60">
        <w:t xml:space="preserve">evenue </w:t>
      </w:r>
      <w:r w:rsidR="00135272">
        <w:t>r</w:t>
      </w:r>
      <w:r w:rsidRPr="004D3C60" w:rsidR="004D3C60">
        <w:t>equirement</w:t>
      </w:r>
      <w:r w:rsidR="004D3C60">
        <w:t xml:space="preserve"> and </w:t>
      </w:r>
      <w:r w:rsidRPr="004D3C60" w:rsidR="004D3C60">
        <w:t xml:space="preserve">2011 </w:t>
      </w:r>
      <w:r w:rsidR="006A2E4B">
        <w:t>BPR</w:t>
      </w:r>
      <w:r w:rsidR="00F675F6">
        <w:t xml:space="preserve"> and </w:t>
      </w:r>
      <w:r w:rsidRPr="0088626E" w:rsidR="00406E28">
        <w:rPr>
          <w:szCs w:val="22"/>
        </w:rPr>
        <w:t xml:space="preserve">to exclude </w:t>
      </w:r>
      <w:r w:rsidR="00165115">
        <w:rPr>
          <w:szCs w:val="22"/>
        </w:rPr>
        <w:t>the Portal Exchange</w:t>
      </w:r>
      <w:r w:rsidRPr="0088626E" w:rsidR="004D3C60">
        <w:rPr>
          <w:szCs w:val="22"/>
        </w:rPr>
        <w:t xml:space="preserve"> </w:t>
      </w:r>
      <w:r w:rsidRPr="0088626E" w:rsidR="00406E28">
        <w:rPr>
          <w:szCs w:val="22"/>
        </w:rPr>
        <w:t xml:space="preserve">from </w:t>
      </w:r>
      <w:r w:rsidRPr="0088626E" w:rsidR="00701687">
        <w:rPr>
          <w:szCs w:val="22"/>
        </w:rPr>
        <w:t>Midstate</w:t>
      </w:r>
      <w:r w:rsidR="00701687">
        <w:rPr>
          <w:szCs w:val="22"/>
        </w:rPr>
        <w:t>’s</w:t>
      </w:r>
      <w:r w:rsidRPr="0088626E" w:rsidR="00701687">
        <w:rPr>
          <w:szCs w:val="22"/>
        </w:rPr>
        <w:t xml:space="preserve"> </w:t>
      </w:r>
      <w:r w:rsidRPr="0088626E" w:rsidR="00406E28">
        <w:rPr>
          <w:szCs w:val="22"/>
        </w:rPr>
        <w:t xml:space="preserve">2011 </w:t>
      </w:r>
      <w:r w:rsidR="00135272">
        <w:rPr>
          <w:szCs w:val="22"/>
        </w:rPr>
        <w:t>i</w:t>
      </w:r>
      <w:r w:rsidRPr="0088626E" w:rsidR="00406E28">
        <w:rPr>
          <w:szCs w:val="22"/>
        </w:rPr>
        <w:t xml:space="preserve">nterstate </w:t>
      </w:r>
      <w:r w:rsidR="00135272">
        <w:rPr>
          <w:szCs w:val="22"/>
        </w:rPr>
        <w:t>s</w:t>
      </w:r>
      <w:r w:rsidRPr="0088626E" w:rsidR="00406E28">
        <w:rPr>
          <w:szCs w:val="22"/>
        </w:rPr>
        <w:t xml:space="preserve">witched </w:t>
      </w:r>
      <w:r w:rsidR="00135272">
        <w:rPr>
          <w:szCs w:val="22"/>
        </w:rPr>
        <w:t>a</w:t>
      </w:r>
      <w:r w:rsidRPr="0088626E" w:rsidR="00406E28">
        <w:rPr>
          <w:szCs w:val="22"/>
        </w:rPr>
        <w:t xml:space="preserve">ccess </w:t>
      </w:r>
      <w:r w:rsidR="00135272">
        <w:rPr>
          <w:szCs w:val="22"/>
        </w:rPr>
        <w:t>r</w:t>
      </w:r>
      <w:r w:rsidRPr="0088626E" w:rsidR="00406E28">
        <w:rPr>
          <w:szCs w:val="22"/>
        </w:rPr>
        <w:t xml:space="preserve">evenue </w:t>
      </w:r>
      <w:r w:rsidR="00135272">
        <w:rPr>
          <w:szCs w:val="22"/>
        </w:rPr>
        <w:t>r</w:t>
      </w:r>
      <w:r w:rsidRPr="0088626E" w:rsidR="00406E28">
        <w:rPr>
          <w:szCs w:val="22"/>
        </w:rPr>
        <w:t xml:space="preserve">equirement and </w:t>
      </w:r>
      <w:r w:rsidRPr="00C665B6" w:rsidR="00C665B6">
        <w:rPr>
          <w:szCs w:val="22"/>
        </w:rPr>
        <w:t>2011 BPR</w:t>
      </w:r>
      <w:r w:rsidR="006140FD">
        <w:rPr>
          <w:szCs w:val="22"/>
        </w:rPr>
        <w:t>.</w:t>
      </w:r>
      <w:r>
        <w:rPr>
          <w:rStyle w:val="FootnoteReference"/>
          <w:szCs w:val="22"/>
        </w:rPr>
        <w:footnoteReference w:id="38"/>
      </w:r>
    </w:p>
    <w:p w:rsidR="005059A6" w:rsidRPr="00316533" w:rsidP="00BF1E86" w14:paraId="66F51ECD" w14:textId="2AD02E98">
      <w:pPr>
        <w:pStyle w:val="ParaNum"/>
        <w:widowControl/>
        <w:tabs>
          <w:tab w:val="clear" w:pos="1080"/>
          <w:tab w:val="num" w:pos="1440"/>
        </w:tabs>
        <w:rPr>
          <w:szCs w:val="22"/>
        </w:rPr>
      </w:pPr>
      <w:r>
        <w:t>On</w:t>
      </w:r>
      <w:r w:rsidR="003C5877">
        <w:rPr>
          <w:szCs w:val="22"/>
        </w:rPr>
        <w:t xml:space="preserve"> December</w:t>
      </w:r>
      <w:r>
        <w:rPr>
          <w:szCs w:val="22"/>
        </w:rPr>
        <w:t xml:space="preserve"> 12, 2022</w:t>
      </w:r>
      <w:r w:rsidRPr="00316533">
        <w:rPr>
          <w:szCs w:val="22"/>
        </w:rPr>
        <w:t xml:space="preserve">, </w:t>
      </w:r>
      <w:r>
        <w:rPr>
          <w:szCs w:val="22"/>
        </w:rPr>
        <w:t>the Bureau released</w:t>
      </w:r>
      <w:r w:rsidRPr="00316533" w:rsidR="00FE5930">
        <w:rPr>
          <w:szCs w:val="22"/>
        </w:rPr>
        <w:t xml:space="preserve"> a</w:t>
      </w:r>
      <w:r w:rsidRPr="00316533">
        <w:rPr>
          <w:szCs w:val="22"/>
        </w:rPr>
        <w:t xml:space="preserve"> public notice seeking comment on the </w:t>
      </w:r>
      <w:r w:rsidRPr="00316533" w:rsidR="00FE5930">
        <w:rPr>
          <w:szCs w:val="22"/>
        </w:rPr>
        <w:t>Joint Petition for Waiver</w:t>
      </w:r>
      <w:r w:rsidRPr="00316533">
        <w:rPr>
          <w:szCs w:val="22"/>
        </w:rPr>
        <w:t>.</w:t>
      </w:r>
      <w:r>
        <w:rPr>
          <w:rStyle w:val="FootnoteReference"/>
          <w:sz w:val="22"/>
          <w:szCs w:val="22"/>
        </w:rPr>
        <w:footnoteReference w:id="39"/>
      </w:r>
      <w:r w:rsidRPr="00316533">
        <w:rPr>
          <w:szCs w:val="22"/>
        </w:rPr>
        <w:t xml:space="preserve">  No comments were filed in response to th</w:t>
      </w:r>
      <w:r w:rsidRPr="00316533" w:rsidR="00FE5930">
        <w:rPr>
          <w:szCs w:val="22"/>
        </w:rPr>
        <w:t>e</w:t>
      </w:r>
      <w:r w:rsidRPr="00316533">
        <w:rPr>
          <w:szCs w:val="22"/>
        </w:rPr>
        <w:t xml:space="preserve"> public notice.</w:t>
      </w:r>
      <w:r w:rsidR="00A84771">
        <w:rPr>
          <w:szCs w:val="22"/>
        </w:rPr>
        <w:t xml:space="preserve">  On March 9, 2023, Petitioners filed an </w:t>
      </w:r>
      <w:r w:rsidRPr="009B37A5" w:rsidR="00A84771">
        <w:rPr>
          <w:i/>
          <w:iCs/>
          <w:szCs w:val="22"/>
        </w:rPr>
        <w:t xml:space="preserve">ex </w:t>
      </w:r>
      <w:r w:rsidRPr="009B37A5" w:rsidR="00A84771">
        <w:rPr>
          <w:i/>
          <w:iCs/>
          <w:szCs w:val="22"/>
        </w:rPr>
        <w:t>parte</w:t>
      </w:r>
      <w:r w:rsidR="00A84771">
        <w:rPr>
          <w:szCs w:val="22"/>
        </w:rPr>
        <w:t xml:space="preserve"> letter amending their Petition by replacing Exhibit A with Amended Exhibit A and modifying two sentences in the Petition.</w:t>
      </w:r>
      <w:r>
        <w:rPr>
          <w:rStyle w:val="FootnoteReference"/>
          <w:szCs w:val="22"/>
        </w:rPr>
        <w:footnoteReference w:id="40"/>
      </w:r>
      <w:r w:rsidR="008F6176">
        <w:rPr>
          <w:szCs w:val="22"/>
        </w:rPr>
        <w:t xml:space="preserve">  </w:t>
      </w:r>
    </w:p>
    <w:p w:rsidR="005059A6" w:rsidRPr="00342B23" w:rsidP="005059A6" w14:paraId="7569A410" w14:textId="6B846B28">
      <w:pPr>
        <w:pStyle w:val="Heading1"/>
      </w:pPr>
      <w:r w:rsidRPr="00822619">
        <w:t>Discussion</w:t>
      </w:r>
      <w:bookmarkStart w:id="5" w:name="_Toc373849425"/>
      <w:bookmarkStart w:id="6" w:name="_Toc373849367"/>
      <w:bookmarkStart w:id="7" w:name="_Toc381719684"/>
      <w:bookmarkStart w:id="8" w:name="_Toc379291443"/>
      <w:r w:rsidRPr="00822619">
        <w:t xml:space="preserve"> </w:t>
      </w:r>
    </w:p>
    <w:p w:rsidR="00D56C8B" w:rsidP="00070EBD" w14:paraId="073ABC73" w14:textId="2C5D94C6">
      <w:pPr>
        <w:pStyle w:val="ParaNum"/>
        <w:widowControl/>
        <w:tabs>
          <w:tab w:val="clear" w:pos="1080"/>
          <w:tab w:val="num" w:pos="1440"/>
        </w:tabs>
      </w:pPr>
      <w:bookmarkStart w:id="9" w:name="_Hlk507406611"/>
      <w:r w:rsidRPr="00A3437D">
        <w:t xml:space="preserve">Generally, the </w:t>
      </w:r>
      <w:r w:rsidRPr="00D56C8B">
        <w:rPr>
          <w:szCs w:val="22"/>
        </w:rPr>
        <w:t>Commission’s</w:t>
      </w:r>
      <w:r w:rsidRPr="00A3437D">
        <w:t xml:space="preserve"> rules may be waived for good cause shown.</w:t>
      </w:r>
      <w:r>
        <w:rPr>
          <w:sz w:val="20"/>
          <w:vertAlign w:val="superscript"/>
        </w:rPr>
        <w:footnoteReference w:id="41"/>
      </w:r>
      <w:r w:rsidRPr="00A3437D">
        <w:t xml:space="preserve">  The Commission may exercise its discretion to waive a rule where the specific facts make strict compliance inconsistent with the public</w:t>
      </w:r>
      <w:r w:rsidR="00053AC8">
        <w:t xml:space="preserve"> interest</w:t>
      </w:r>
      <w:r w:rsidRPr="00A3437D">
        <w:t>.</w:t>
      </w:r>
      <w:r>
        <w:rPr>
          <w:rStyle w:val="FootnoteReference"/>
          <w:color w:val="000000"/>
        </w:rPr>
        <w:footnoteReference w:id="42"/>
      </w:r>
      <w:r w:rsidRPr="00A3437D">
        <w:t xml:space="preserve">  Waiver of the Commission’s rules is therefore appropriate only if special circumstances warrant a deviation from the general rule and such deviation will serve the public interest.</w:t>
      </w:r>
      <w:r>
        <w:rPr>
          <w:rStyle w:val="FootnoteReference"/>
          <w:color w:val="000000"/>
        </w:rPr>
        <w:footnoteReference w:id="43"/>
      </w:r>
    </w:p>
    <w:bookmarkEnd w:id="5"/>
    <w:bookmarkEnd w:id="6"/>
    <w:bookmarkEnd w:id="7"/>
    <w:bookmarkEnd w:id="8"/>
    <w:p w:rsidR="008A5787" w:rsidP="00BF1E86" w14:paraId="5F8C9F31" w14:textId="2EBC2D1E">
      <w:pPr>
        <w:pStyle w:val="ParaNum"/>
        <w:tabs>
          <w:tab w:val="clear" w:pos="1080"/>
          <w:tab w:val="num" w:pos="1440"/>
        </w:tabs>
      </w:pPr>
      <w:r>
        <w:t>Consistent with</w:t>
      </w:r>
      <w:r w:rsidRPr="00406E28" w:rsidR="00406E28">
        <w:t xml:space="preserve"> precedent</w:t>
      </w:r>
      <w:r>
        <w:t>, we find good cause exists to grant Petitioner</w:t>
      </w:r>
      <w:r w:rsidR="00DB30DD">
        <w:t>s</w:t>
      </w:r>
      <w:r>
        <w:t xml:space="preserve">’ joint petition for waiver of the Commission’s rules </w:t>
      </w:r>
      <w:r w:rsidRPr="00406E28" w:rsidR="00406E28">
        <w:t xml:space="preserve">to </w:t>
      </w:r>
      <w:r w:rsidR="00FD5C2A">
        <w:t>facilitate the</w:t>
      </w:r>
      <w:r w:rsidR="00134DFC">
        <w:t xml:space="preserve"> transfer</w:t>
      </w:r>
      <w:r w:rsidR="00F0609E">
        <w:t xml:space="preserve"> </w:t>
      </w:r>
      <w:r w:rsidR="00FD5C2A">
        <w:t xml:space="preserve">of </w:t>
      </w:r>
      <w:r w:rsidR="00F0609E">
        <w:t xml:space="preserve">the </w:t>
      </w:r>
      <w:r w:rsidR="000F6733">
        <w:t>Portal</w:t>
      </w:r>
      <w:r w:rsidR="00874E29">
        <w:t xml:space="preserve"> Exchange </w:t>
      </w:r>
      <w:r w:rsidR="00F0609E">
        <w:t xml:space="preserve">from </w:t>
      </w:r>
      <w:r w:rsidR="009307DC">
        <w:t>Midstate to NCC</w:t>
      </w:r>
      <w:r w:rsidRPr="00406E28" w:rsidR="00406E28">
        <w:t>.</w:t>
      </w:r>
      <w:r>
        <w:rPr>
          <w:rStyle w:val="FootnoteReference"/>
        </w:rPr>
        <w:footnoteReference w:id="44"/>
      </w:r>
      <w:r w:rsidRPr="00406E28" w:rsidR="00406E28">
        <w:t xml:space="preserve">  We </w:t>
      </w:r>
      <w:r w:rsidR="009E2970">
        <w:t>agree with Petitioners that waiving sections 51.909(a), 51.917(b)(1),</w:t>
      </w:r>
      <w:r w:rsidR="00070EBD">
        <w:t xml:space="preserve"> and 51.917(b)</w:t>
      </w:r>
      <w:r w:rsidR="009E2970">
        <w:t xml:space="preserve">(7) of the Commission’s rules will serve the public interest by </w:t>
      </w:r>
      <w:r w:rsidR="000F079E">
        <w:t>facilitating the exchange transfer from Midstate to NCC</w:t>
      </w:r>
      <w:r w:rsidR="000323ED">
        <w:t xml:space="preserve">, </w:t>
      </w:r>
      <w:r w:rsidR="001F4A50">
        <w:t>thereby creating</w:t>
      </w:r>
      <w:r w:rsidR="000323ED">
        <w:t xml:space="preserve"> </w:t>
      </w:r>
      <w:r w:rsidR="0047154D">
        <w:t>administrative and operational</w:t>
      </w:r>
      <w:r w:rsidRPr="00406E28" w:rsidR="00406E28">
        <w:t xml:space="preserve"> efficiencies</w:t>
      </w:r>
      <w:r w:rsidR="009E2970">
        <w:t xml:space="preserve">. </w:t>
      </w:r>
      <w:r w:rsidR="000323ED">
        <w:t xml:space="preserve"> T</w:t>
      </w:r>
      <w:r w:rsidR="000F6733">
        <w:t>hese public interest benefits and reduction</w:t>
      </w:r>
      <w:r w:rsidR="000E19BF">
        <w:t>s</w:t>
      </w:r>
      <w:r w:rsidR="000F6733">
        <w:t xml:space="preserve"> </w:t>
      </w:r>
      <w:r w:rsidR="000E19BF">
        <w:t>to</w:t>
      </w:r>
      <w:r w:rsidR="000F6733">
        <w:t xml:space="preserve"> CAF ICC support offset </w:t>
      </w:r>
      <w:r w:rsidRPr="00BF1E86" w:rsidR="009F1B12">
        <w:t>any</w:t>
      </w:r>
      <w:r w:rsidR="000F079E">
        <w:t xml:space="preserve"> </w:t>
      </w:r>
      <w:r w:rsidRPr="00CF462E" w:rsidR="000F079E">
        <w:rPr>
          <w:i/>
          <w:iCs/>
        </w:rPr>
        <w:t>de minimis</w:t>
      </w:r>
      <w:r w:rsidR="009F1B12">
        <w:rPr>
          <w:i/>
          <w:iCs/>
        </w:rPr>
        <w:t xml:space="preserve"> </w:t>
      </w:r>
      <w:r w:rsidR="000F6733">
        <w:t>rate increases</w:t>
      </w:r>
      <w:r w:rsidR="000323ED">
        <w:t xml:space="preserve"> for customers</w:t>
      </w:r>
      <w:r w:rsidR="000F6733">
        <w:t xml:space="preserve">.  </w:t>
      </w:r>
      <w:r w:rsidR="007D12C5">
        <w:t xml:space="preserve">  </w:t>
      </w:r>
    </w:p>
    <w:p w:rsidR="0065099E" w:rsidP="00E26D18" w14:paraId="7CD9DD01" w14:textId="041B9485">
      <w:pPr>
        <w:pStyle w:val="ParaNum"/>
        <w:tabs>
          <w:tab w:val="clear" w:pos="1080"/>
          <w:tab w:val="num" w:pos="1440"/>
        </w:tabs>
      </w:pPr>
      <w:r>
        <w:t xml:space="preserve">First, we </w:t>
      </w:r>
      <w:r w:rsidR="007D12C5">
        <w:t xml:space="preserve">find that good cause exists </w:t>
      </w:r>
      <w:r w:rsidR="009E2970">
        <w:t xml:space="preserve">to grant Petitioners </w:t>
      </w:r>
      <w:r w:rsidR="007D12C5">
        <w:t xml:space="preserve">a waiver of section 51.909(a) </w:t>
      </w:r>
      <w:r w:rsidR="009E2970">
        <w:t xml:space="preserve">of the Commission’s rules </w:t>
      </w:r>
      <w:r w:rsidR="007D12C5">
        <w:t xml:space="preserve">to </w:t>
      </w:r>
      <w:r w:rsidR="008A7379">
        <w:t xml:space="preserve">allow them to </w:t>
      </w:r>
      <w:r w:rsidR="00D15D79">
        <w:t>revise the rate band assignments</w:t>
      </w:r>
      <w:r w:rsidR="00F41F64">
        <w:t xml:space="preserve"> </w:t>
      </w:r>
      <w:r w:rsidR="00475723">
        <w:t>applicable to</w:t>
      </w:r>
      <w:r w:rsidR="0025779B">
        <w:t xml:space="preserve"> the</w:t>
      </w:r>
      <w:r w:rsidR="00895857">
        <w:t xml:space="preserve"> </w:t>
      </w:r>
      <w:r w:rsidR="00AC5CAE">
        <w:t xml:space="preserve">90 access lines </w:t>
      </w:r>
      <w:r w:rsidR="0025779B">
        <w:t>associated with the</w:t>
      </w:r>
      <w:r w:rsidR="00AC5CAE">
        <w:t xml:space="preserve"> </w:t>
      </w:r>
      <w:r w:rsidR="00895857">
        <w:t>Portal Exchange</w:t>
      </w:r>
      <w:r w:rsidR="006A7EEB">
        <w:t>, as necessary,</w:t>
      </w:r>
      <w:r w:rsidR="00757128">
        <w:t xml:space="preserve"> to reflect the transfer</w:t>
      </w:r>
      <w:r w:rsidR="00AC5CAE">
        <w:t xml:space="preserve">. </w:t>
      </w:r>
      <w:r w:rsidR="00957845">
        <w:t xml:space="preserve"> </w:t>
      </w:r>
      <w:r w:rsidR="00292215">
        <w:t xml:space="preserve">As explained above, NCC’s study area and Midstate’s study area are assigned different rate bands </w:t>
      </w:r>
      <w:bookmarkStart w:id="10" w:name="_Hlk129345180"/>
      <w:r w:rsidR="00292215">
        <w:t>for local switching, local transport, and tandem switched transport</w:t>
      </w:r>
      <w:bookmarkEnd w:id="10"/>
      <w:r w:rsidR="00292215">
        <w:t xml:space="preserve">.  The switched access rates </w:t>
      </w:r>
      <w:r w:rsidRPr="003C7697" w:rsidR="00292215">
        <w:t xml:space="preserve">for these rate bands </w:t>
      </w:r>
      <w:r w:rsidR="00292215">
        <w:t>are capped under section 51.909(a).</w:t>
      </w:r>
      <w:r>
        <w:rPr>
          <w:rStyle w:val="FootnoteReference"/>
        </w:rPr>
        <w:footnoteReference w:id="45"/>
      </w:r>
      <w:r w:rsidR="00292215">
        <w:t xml:space="preserve">  </w:t>
      </w:r>
      <w:r w:rsidR="006E5BE0">
        <w:t>Midstate</w:t>
      </w:r>
      <w:r w:rsidR="00076BAA">
        <w:t>’s study area</w:t>
      </w:r>
      <w:r w:rsidR="006E5BE0">
        <w:t xml:space="preserve"> and NCC</w:t>
      </w:r>
      <w:r w:rsidR="00076BAA">
        <w:t>’s</w:t>
      </w:r>
      <w:r w:rsidR="009E2970">
        <w:t xml:space="preserve"> </w:t>
      </w:r>
      <w:r w:rsidR="00AA7836">
        <w:t>study area</w:t>
      </w:r>
      <w:r w:rsidR="005A1A7D">
        <w:t xml:space="preserve"> </w:t>
      </w:r>
      <w:r w:rsidR="002B0F03">
        <w:t xml:space="preserve">will retain their rate band assignments pre- and post-transfer.  </w:t>
      </w:r>
      <w:r w:rsidR="00611F5B">
        <w:t>W</w:t>
      </w:r>
      <w:r w:rsidR="00993AD7">
        <w:t xml:space="preserve">aiver of section 51.909(a) </w:t>
      </w:r>
      <w:r w:rsidR="00611F5B">
        <w:t xml:space="preserve">is necessary </w:t>
      </w:r>
      <w:r w:rsidR="00993AD7">
        <w:t xml:space="preserve">to allow NCC to charge </w:t>
      </w:r>
      <w:r w:rsidR="00591496">
        <w:t xml:space="preserve">rates for switched access to </w:t>
      </w:r>
      <w:r w:rsidR="00993AD7">
        <w:t xml:space="preserve">the 90 lines </w:t>
      </w:r>
      <w:r w:rsidR="00611F5B">
        <w:t>incorporated into its study area that may be higher than the rate caps these 90 access lines were subject to under Midstate’s study area rate bands</w:t>
      </w:r>
      <w:r w:rsidR="00993AD7">
        <w:t xml:space="preserve">.  </w:t>
      </w:r>
      <w:r w:rsidR="00645440">
        <w:t xml:space="preserve">We recognize that, depending on the </w:t>
      </w:r>
      <w:r w:rsidR="008D4EF3">
        <w:t>rate band</w:t>
      </w:r>
      <w:r w:rsidR="00292215">
        <w:t xml:space="preserve"> assignment</w:t>
      </w:r>
      <w:r w:rsidR="000449B6">
        <w:t>s</w:t>
      </w:r>
      <w:r w:rsidR="00645440">
        <w:t xml:space="preserve">, </w:t>
      </w:r>
      <w:r w:rsidR="00993AD7">
        <w:t xml:space="preserve">the transfer of 90 lines </w:t>
      </w:r>
      <w:r w:rsidR="00645440">
        <w:t>alter</w:t>
      </w:r>
      <w:r w:rsidR="00993AD7">
        <w:t xml:space="preserve">s the </w:t>
      </w:r>
      <w:r w:rsidR="00645440">
        <w:t xml:space="preserve">relative recovery between access </w:t>
      </w:r>
      <w:r w:rsidR="00993AD7">
        <w:t xml:space="preserve">revenues </w:t>
      </w:r>
      <w:r w:rsidR="00645440">
        <w:t>and CAF</w:t>
      </w:r>
      <w:r w:rsidR="00DB30DD">
        <w:t xml:space="preserve"> </w:t>
      </w:r>
      <w:r w:rsidR="00645440">
        <w:t xml:space="preserve">ICC </w:t>
      </w:r>
      <w:r w:rsidR="00645440">
        <w:t>support</w:t>
      </w:r>
      <w:r w:rsidR="00993AD7">
        <w:t xml:space="preserve">. </w:t>
      </w:r>
      <w:r w:rsidR="00B52B29">
        <w:t xml:space="preserve"> </w:t>
      </w:r>
      <w:r w:rsidR="007723AD">
        <w:t xml:space="preserve">Petitioners estimate </w:t>
      </w:r>
      <w:r w:rsidR="001743FD">
        <w:t xml:space="preserve">that annual </w:t>
      </w:r>
      <w:r w:rsidR="00601C52">
        <w:t xml:space="preserve">interstate and intrastate </w:t>
      </w:r>
      <w:r w:rsidR="001743FD">
        <w:t xml:space="preserve">switched access revenue is expected to decrease for Midstate by $4,375 and increase for NCC by $4,899, yielding a net annual increase of $524 in total </w:t>
      </w:r>
      <w:r w:rsidR="00601C52">
        <w:t>revenues</w:t>
      </w:r>
      <w:r w:rsidR="004C4925">
        <w:t>.</w:t>
      </w:r>
      <w:r>
        <w:rPr>
          <w:rStyle w:val="FootnoteReference"/>
        </w:rPr>
        <w:footnoteReference w:id="46"/>
      </w:r>
      <w:r w:rsidR="004C4925">
        <w:t xml:space="preserve">  </w:t>
      </w:r>
      <w:r w:rsidR="007723AD">
        <w:t xml:space="preserve">As a result, </w:t>
      </w:r>
      <w:r w:rsidR="002A33A8">
        <w:t>t</w:t>
      </w:r>
      <w:r w:rsidRPr="002A33A8" w:rsidR="002A33A8">
        <w:t>he overall impact on Midstate and NCC is estimated to be a net switched access revenue increase of $166 per year, after pooling of interstate switched access revenues, and a</w:t>
      </w:r>
      <w:r w:rsidR="005C6EBB">
        <w:t xml:space="preserve"> corresponding</w:t>
      </w:r>
      <w:r w:rsidRPr="002A33A8" w:rsidR="002A33A8">
        <w:t xml:space="preserve"> net CAF</w:t>
      </w:r>
      <w:r w:rsidR="007723AD">
        <w:t xml:space="preserve"> </w:t>
      </w:r>
      <w:r w:rsidRPr="002A33A8" w:rsidR="002A33A8">
        <w:t>ICC decrease of $166 per year</w:t>
      </w:r>
      <w:r w:rsidR="001743FD">
        <w:t>.</w:t>
      </w:r>
      <w:r>
        <w:rPr>
          <w:rStyle w:val="FootnoteReference"/>
        </w:rPr>
        <w:footnoteReference w:id="47"/>
      </w:r>
      <w:r w:rsidR="001743FD">
        <w:t xml:space="preserve">  </w:t>
      </w:r>
    </w:p>
    <w:p w:rsidR="00406E28" w:rsidP="00BF1E86" w14:paraId="2E29A5E4" w14:textId="37CD4CD1">
      <w:pPr>
        <w:pStyle w:val="ParaNum"/>
        <w:tabs>
          <w:tab w:val="clear" w:pos="1080"/>
          <w:tab w:val="num" w:pos="1440"/>
        </w:tabs>
      </w:pPr>
      <w:r>
        <w:t xml:space="preserve">While not revenue </w:t>
      </w:r>
      <w:r w:rsidR="00D751F0">
        <w:t>neutral</w:t>
      </w:r>
      <w:r>
        <w:t>, we</w:t>
      </w:r>
      <w:r w:rsidR="00D751F0">
        <w:t xml:space="preserve"> </w:t>
      </w:r>
      <w:r>
        <w:t xml:space="preserve">find the </w:t>
      </w:r>
      <w:r w:rsidR="00D751F0">
        <w:t>nominal</w:t>
      </w:r>
      <w:r>
        <w:t xml:space="preserve"> differences </w:t>
      </w:r>
      <w:r w:rsidR="008A0B41">
        <w:t xml:space="preserve">in switched access revenues and CAF ICC </w:t>
      </w:r>
      <w:r>
        <w:t>to be offset by the public interest benefits resulting fro</w:t>
      </w:r>
      <w:r w:rsidR="00D751F0">
        <w:t xml:space="preserve">m </w:t>
      </w:r>
      <w:r>
        <w:t xml:space="preserve">efficiencies gained from </w:t>
      </w:r>
      <w:r w:rsidR="00D751F0">
        <w:t xml:space="preserve">the </w:t>
      </w:r>
      <w:r w:rsidR="008C1584">
        <w:t>Portal E</w:t>
      </w:r>
      <w:r w:rsidR="00D751F0">
        <w:t>xchange transfer</w:t>
      </w:r>
      <w:r>
        <w:t xml:space="preserve">. </w:t>
      </w:r>
      <w:r w:rsidR="00D751F0">
        <w:t xml:space="preserve"> </w:t>
      </w:r>
      <w:r w:rsidR="000233ED">
        <w:t xml:space="preserve">We agree with Petitioners that the </w:t>
      </w:r>
      <w:r w:rsidR="007C68CF">
        <w:t xml:space="preserve">relatively </w:t>
      </w:r>
      <w:r w:rsidR="000233ED">
        <w:t xml:space="preserve">small </w:t>
      </w:r>
      <w:r w:rsidR="00B408BD">
        <w:t>customer</w:t>
      </w:r>
      <w:r w:rsidR="000233ED">
        <w:t xml:space="preserve"> base served by </w:t>
      </w:r>
      <w:r w:rsidR="007C68CF">
        <w:t>the Portal Exchange</w:t>
      </w:r>
      <w:r w:rsidR="000233ED">
        <w:t xml:space="preserve">, which is currently </w:t>
      </w:r>
      <w:r w:rsidR="00B408BD">
        <w:t>“</w:t>
      </w:r>
      <w:r w:rsidR="000233ED">
        <w:t>isolated in a geographic area surrounded by the NCC exchanges,</w:t>
      </w:r>
      <w:r w:rsidR="00B408BD">
        <w:t>”</w:t>
      </w:r>
      <w:r w:rsidR="000233ED">
        <w:t xml:space="preserve"> will </w:t>
      </w:r>
      <w:r w:rsidR="00B408BD">
        <w:t>“</w:t>
      </w:r>
      <w:r w:rsidR="000233ED">
        <w:t>benefit from NCC’s resources and close network proximity.</w:t>
      </w:r>
      <w:r w:rsidR="00B408BD">
        <w:t>”</w:t>
      </w:r>
      <w:r>
        <w:rPr>
          <w:rStyle w:val="FootnoteReference"/>
        </w:rPr>
        <w:footnoteReference w:id="48"/>
      </w:r>
      <w:r w:rsidR="000233ED">
        <w:t xml:space="preserve">  We find that </w:t>
      </w:r>
      <w:r w:rsidR="00A11F08">
        <w:t xml:space="preserve">the transfer </w:t>
      </w:r>
      <w:r w:rsidR="000233ED">
        <w:t>will</w:t>
      </w:r>
      <w:r w:rsidR="00A11F08">
        <w:t xml:space="preserve"> ultimately</w:t>
      </w:r>
      <w:r w:rsidR="000233ED">
        <w:t xml:space="preserve"> facilitate </w:t>
      </w:r>
      <w:r w:rsidRPr="00406E28" w:rsidR="000233ED">
        <w:t>the Commission’s goal of encouraging carriers to become more efficient and increase productivity,</w:t>
      </w:r>
      <w:r w:rsidR="000233ED">
        <w:t xml:space="preserve"> resulting in cost-savings that can be passed on to customers</w:t>
      </w:r>
      <w:r w:rsidR="003676EE">
        <w:t xml:space="preserve"> or </w:t>
      </w:r>
      <w:r w:rsidR="009F57CE">
        <w:t xml:space="preserve">used to </w:t>
      </w:r>
      <w:r w:rsidR="00385D23">
        <w:t>enhanc</w:t>
      </w:r>
      <w:r w:rsidR="009F57CE">
        <w:t>e</w:t>
      </w:r>
      <w:r w:rsidR="003676EE">
        <w:t xml:space="preserve"> service</w:t>
      </w:r>
      <w:r w:rsidRPr="00406E28" w:rsidR="000233ED">
        <w:t>.</w:t>
      </w:r>
      <w:r>
        <w:rPr>
          <w:color w:val="000000"/>
          <w:sz w:val="20"/>
          <w:vertAlign w:val="superscript"/>
        </w:rPr>
        <w:footnoteReference w:id="49"/>
      </w:r>
      <w:r w:rsidR="000233ED">
        <w:t xml:space="preserve">  </w:t>
      </w:r>
      <w:r w:rsidR="00E55E35">
        <w:t>We</w:t>
      </w:r>
      <w:r w:rsidR="008A0B41">
        <w:t xml:space="preserve"> </w:t>
      </w:r>
      <w:r w:rsidR="00B04011">
        <w:t>also</w:t>
      </w:r>
      <w:r w:rsidR="008A0B41">
        <w:t xml:space="preserve"> find </w:t>
      </w:r>
      <w:r w:rsidR="007723AD">
        <w:t>the proposed rate band assignments to be reasonable.</w:t>
      </w:r>
      <w:r>
        <w:rPr>
          <w:rStyle w:val="FootnoteReference"/>
        </w:rPr>
        <w:footnoteReference w:id="50"/>
      </w:r>
      <w:r w:rsidR="007723AD">
        <w:t xml:space="preserve"> </w:t>
      </w:r>
      <w:r w:rsidR="00397EA2">
        <w:t xml:space="preserve"> </w:t>
      </w:r>
      <w:r w:rsidR="005F0B63">
        <w:t>Accordingly, w</w:t>
      </w:r>
      <w:r w:rsidR="000233ED">
        <w:t>e waive section 51.909(a)</w:t>
      </w:r>
      <w:r w:rsidR="0085054F">
        <w:t xml:space="preserve"> </w:t>
      </w:r>
      <w:r w:rsidR="00F57B65">
        <w:t xml:space="preserve">of the Commission’s rules </w:t>
      </w:r>
      <w:r w:rsidR="0085054F">
        <w:t xml:space="preserve">to allow NCC to </w:t>
      </w:r>
      <w:r w:rsidR="00A11F08">
        <w:t xml:space="preserve">charge the </w:t>
      </w:r>
      <w:r w:rsidR="0085054F">
        <w:t xml:space="preserve">customers </w:t>
      </w:r>
      <w:r w:rsidR="005F0B63">
        <w:t xml:space="preserve">served by the </w:t>
      </w:r>
      <w:r w:rsidR="0065404B">
        <w:t>Portal E</w:t>
      </w:r>
      <w:r w:rsidR="005F0B63">
        <w:t xml:space="preserve">xchange </w:t>
      </w:r>
      <w:r w:rsidR="00A13C83">
        <w:t xml:space="preserve">rates consistent with </w:t>
      </w:r>
      <w:r w:rsidR="00153331">
        <w:t>NECA</w:t>
      </w:r>
      <w:r w:rsidR="008A0B41">
        <w:t xml:space="preserve"> rate band 4 for</w:t>
      </w:r>
      <w:r w:rsidR="0085054F">
        <w:t xml:space="preserve"> </w:t>
      </w:r>
      <w:r w:rsidRPr="0085054F" w:rsidR="0085054F">
        <w:t xml:space="preserve">local switching, </w:t>
      </w:r>
      <w:r w:rsidR="008A0B41">
        <w:t xml:space="preserve">rate band 10 for </w:t>
      </w:r>
      <w:r w:rsidRPr="0085054F" w:rsidR="0085054F">
        <w:t xml:space="preserve">local transport, and </w:t>
      </w:r>
      <w:r w:rsidR="008A0B41">
        <w:t xml:space="preserve">rate band 2 for </w:t>
      </w:r>
      <w:r w:rsidRPr="0085054F" w:rsidR="0085054F">
        <w:t>tandem switched transport</w:t>
      </w:r>
      <w:r w:rsidR="0085054F">
        <w:t>.</w:t>
      </w:r>
      <w:r>
        <w:rPr>
          <w:rStyle w:val="FootnoteReference"/>
        </w:rPr>
        <w:footnoteReference w:id="51"/>
      </w:r>
      <w:r w:rsidR="000233ED">
        <w:t xml:space="preserve"> </w:t>
      </w:r>
      <w:r w:rsidR="00A11F08">
        <w:t xml:space="preserve"> </w:t>
      </w:r>
    </w:p>
    <w:p w:rsidR="004D1902" w:rsidP="00BF1E86" w14:paraId="22D844C0" w14:textId="311D63C5">
      <w:pPr>
        <w:pStyle w:val="ParaNum"/>
        <w:widowControl/>
        <w:tabs>
          <w:tab w:val="clear" w:pos="1080"/>
          <w:tab w:val="num" w:pos="1440"/>
        </w:tabs>
      </w:pPr>
      <w:r>
        <w:t xml:space="preserve">Second, we </w:t>
      </w:r>
      <w:r w:rsidR="00733DF8">
        <w:t xml:space="preserve">find </w:t>
      </w:r>
      <w:r w:rsidR="00DF3B9E">
        <w:t xml:space="preserve">good cause </w:t>
      </w:r>
      <w:r w:rsidR="00153331">
        <w:t xml:space="preserve">exists </w:t>
      </w:r>
      <w:r w:rsidR="00DF3B9E">
        <w:t>to grant Petitioners</w:t>
      </w:r>
      <w:r w:rsidR="00D763CF">
        <w:t>’</w:t>
      </w:r>
      <w:r w:rsidR="00DF3B9E">
        <w:t xml:space="preserve"> </w:t>
      </w:r>
      <w:r w:rsidR="00733DF8">
        <w:t xml:space="preserve">request to waive section 51.917(b)(1) and (b)(7) </w:t>
      </w:r>
      <w:r w:rsidR="00DF3B9E">
        <w:t xml:space="preserve">of the Commission’s rules </w:t>
      </w:r>
      <w:r w:rsidR="0008024E">
        <w:t xml:space="preserve">to adjust their 2011 interstate </w:t>
      </w:r>
      <w:r w:rsidR="00153331">
        <w:t xml:space="preserve">switched access </w:t>
      </w:r>
      <w:r w:rsidR="0008024E">
        <w:t xml:space="preserve">revenue requirements and </w:t>
      </w:r>
      <w:r w:rsidR="00622F81">
        <w:t xml:space="preserve">2011 </w:t>
      </w:r>
      <w:r w:rsidR="0008024E">
        <w:t xml:space="preserve">BPR to reflect the transfer </w:t>
      </w:r>
      <w:r w:rsidR="00BD37BE">
        <w:t xml:space="preserve">from Midstate to NCC </w:t>
      </w:r>
      <w:r w:rsidR="0008024E">
        <w:t xml:space="preserve">of 90 </w:t>
      </w:r>
      <w:r w:rsidR="002A33A8">
        <w:t xml:space="preserve">access </w:t>
      </w:r>
      <w:r w:rsidR="0008024E">
        <w:t xml:space="preserve">lines </w:t>
      </w:r>
      <w:r w:rsidR="00D44E6B">
        <w:t xml:space="preserve">associated with </w:t>
      </w:r>
      <w:r w:rsidR="00DF178B">
        <w:t>the</w:t>
      </w:r>
      <w:r w:rsidR="00D44E6B">
        <w:t xml:space="preserve"> </w:t>
      </w:r>
      <w:r w:rsidR="00153331">
        <w:t>Portal E</w:t>
      </w:r>
      <w:r w:rsidR="00D44E6B">
        <w:t>xchange</w:t>
      </w:r>
      <w:r w:rsidR="00733DF8">
        <w:t>.</w:t>
      </w:r>
      <w:r>
        <w:rPr>
          <w:rStyle w:val="FootnoteReference"/>
        </w:rPr>
        <w:footnoteReference w:id="52"/>
      </w:r>
      <w:r w:rsidR="00733DF8">
        <w:t xml:space="preserve">  </w:t>
      </w:r>
      <w:r w:rsidR="002A33A8">
        <w:t xml:space="preserve">Waiver is necessary to adjust </w:t>
      </w:r>
      <w:r w:rsidR="000D45D7">
        <w:t>Midstate</w:t>
      </w:r>
      <w:r w:rsidR="002A33A8">
        <w:t>’s</w:t>
      </w:r>
      <w:r w:rsidR="000D45D7">
        <w:t xml:space="preserve"> </w:t>
      </w:r>
      <w:r w:rsidR="002A33A8">
        <w:t>and</w:t>
      </w:r>
      <w:r w:rsidR="000D45D7">
        <w:t xml:space="preserve"> NCC</w:t>
      </w:r>
      <w:r w:rsidR="002A33A8">
        <w:t>’s</w:t>
      </w:r>
      <w:r w:rsidR="000D45D7">
        <w:t xml:space="preserve"> </w:t>
      </w:r>
      <w:r w:rsidR="00DF178B">
        <w:t xml:space="preserve">2011 </w:t>
      </w:r>
      <w:r w:rsidR="000D45D7">
        <w:t>BPR</w:t>
      </w:r>
      <w:r w:rsidR="00153331">
        <w:t>s</w:t>
      </w:r>
      <w:r w:rsidR="000D45D7">
        <w:t xml:space="preserve"> and </w:t>
      </w:r>
      <w:r w:rsidR="00153331">
        <w:t xml:space="preserve">2011 </w:t>
      </w:r>
      <w:r w:rsidR="000D45D7">
        <w:t>switched access revenue</w:t>
      </w:r>
      <w:r w:rsidR="00DF178B">
        <w:t xml:space="preserve"> requirement</w:t>
      </w:r>
      <w:r w:rsidR="002A33A8">
        <w:t>,</w:t>
      </w:r>
      <w:r w:rsidR="000D45D7">
        <w:t xml:space="preserve"> </w:t>
      </w:r>
      <w:r w:rsidR="002A33A8">
        <w:t xml:space="preserve">which </w:t>
      </w:r>
      <w:r w:rsidR="00153331">
        <w:t>are</w:t>
      </w:r>
      <w:r w:rsidR="002A33A8">
        <w:t xml:space="preserve"> used to calculate CAF ICC support,</w:t>
      </w:r>
      <w:r w:rsidR="002A33A8">
        <w:t xml:space="preserve"> </w:t>
      </w:r>
      <w:r w:rsidR="002A33A8">
        <w:t>to reflect the</w:t>
      </w:r>
      <w:r w:rsidR="0065710E">
        <w:t xml:space="preserve"> 90 access lines being acquired</w:t>
      </w:r>
      <w:r w:rsidR="003871EE">
        <w:t xml:space="preserve"> by NCC</w:t>
      </w:r>
      <w:r w:rsidR="000D45D7">
        <w:t>.</w:t>
      </w:r>
      <w:r>
        <w:rPr>
          <w:rStyle w:val="FootnoteReference"/>
        </w:rPr>
        <w:footnoteReference w:id="53"/>
      </w:r>
      <w:r w:rsidR="000D45D7">
        <w:t xml:space="preserve">  Petitioners </w:t>
      </w:r>
      <w:r w:rsidR="002345D9">
        <w:t>calculat</w:t>
      </w:r>
      <w:r w:rsidR="000D45D7">
        <w:t>e that NCC’s 2011 BPR will increase by $</w:t>
      </w:r>
      <w:bookmarkStart w:id="11" w:name="_Hlk129696740"/>
      <w:r w:rsidR="000D45D7">
        <w:t xml:space="preserve">25,835 </w:t>
      </w:r>
      <w:bookmarkEnd w:id="11"/>
      <w:r w:rsidR="000D45D7">
        <w:t>and Midstate’s 2011 BPR will decrease by $25,835.</w:t>
      </w:r>
      <w:r>
        <w:rPr>
          <w:rStyle w:val="FootnoteReference"/>
        </w:rPr>
        <w:footnoteReference w:id="54"/>
      </w:r>
      <w:r w:rsidR="000D45D7">
        <w:t xml:space="preserve"> </w:t>
      </w:r>
      <w:r w:rsidR="00DF178B">
        <w:t xml:space="preserve"> </w:t>
      </w:r>
      <w:r w:rsidRPr="0031751A" w:rsidR="0031751A">
        <w:t>Petitioners determine these amounts by multiplying Midstate’s 2011 BPR (including Midstate’s 2011 interstate switched access revenue requirement) by the ratio of the transferred access lines to Midstate’s total access lines (including the transferred lines), using 2022 access line counts.</w:t>
      </w:r>
      <w:r w:rsidR="0031751A">
        <w:t xml:space="preserve">  </w:t>
      </w:r>
      <w:r w:rsidRPr="00167DEF" w:rsidR="00167DEF">
        <w:t xml:space="preserve">We find this </w:t>
      </w:r>
      <w:r w:rsidR="00E61424">
        <w:t>apportionment</w:t>
      </w:r>
      <w:r w:rsidRPr="00167DEF" w:rsidR="00167DEF">
        <w:t xml:space="preserve"> to be reasonable, as it reflects prior precedent.</w:t>
      </w:r>
      <w:r>
        <w:rPr>
          <w:rStyle w:val="FootnoteReference"/>
        </w:rPr>
        <w:footnoteReference w:id="55"/>
      </w:r>
      <w:r w:rsidRPr="00167DEF" w:rsidR="00167DEF">
        <w:t xml:space="preserve">  </w:t>
      </w:r>
      <w:r w:rsidR="002A33A8">
        <w:t>Thus</w:t>
      </w:r>
      <w:r w:rsidR="00D41FD2">
        <w:t>,</w:t>
      </w:r>
      <w:r w:rsidR="002A33A8">
        <w:t xml:space="preserve"> granting</w:t>
      </w:r>
      <w:r w:rsidR="00DF178B">
        <w:t xml:space="preserve"> waiver </w:t>
      </w:r>
      <w:r w:rsidR="002634ED">
        <w:t xml:space="preserve">of these rules </w:t>
      </w:r>
      <w:r w:rsidR="00DF178B">
        <w:t>has no</w:t>
      </w:r>
      <w:r w:rsidR="00AB4C26">
        <w:t xml:space="preserve"> net</w:t>
      </w:r>
      <w:r w:rsidR="00DF178B">
        <w:t xml:space="preserve"> impact on </w:t>
      </w:r>
      <w:r w:rsidR="0065710E">
        <w:t xml:space="preserve">NCC’s and Midstate’s combined </w:t>
      </w:r>
      <w:r w:rsidR="00DF178B">
        <w:t>2011 BPR</w:t>
      </w:r>
      <w:r w:rsidR="00922A3D">
        <w:t xml:space="preserve"> and interstate revenue requirements</w:t>
      </w:r>
      <w:r w:rsidR="006F396C">
        <w:t>.</w:t>
      </w:r>
      <w:r w:rsidR="00DF178B">
        <w:t xml:space="preserve"> </w:t>
      </w:r>
      <w:r w:rsidR="0065710E">
        <w:t xml:space="preserve"> </w:t>
      </w:r>
      <w:bookmarkStart w:id="12" w:name="_Hlk129340619"/>
      <w:r w:rsidR="00BD37BE">
        <w:t>For similar reasons, w</w:t>
      </w:r>
      <w:r w:rsidR="0070164F">
        <w:t xml:space="preserve">e find that </w:t>
      </w:r>
      <w:r w:rsidR="0069208F">
        <w:t xml:space="preserve">granting </w:t>
      </w:r>
      <w:r w:rsidR="00174506">
        <w:t xml:space="preserve">the requested </w:t>
      </w:r>
      <w:r w:rsidR="0069208F">
        <w:t>waiver furthers</w:t>
      </w:r>
      <w:r w:rsidR="0070164F">
        <w:t xml:space="preserve"> </w:t>
      </w:r>
      <w:r w:rsidR="004D041F">
        <w:t xml:space="preserve">the </w:t>
      </w:r>
      <w:r w:rsidR="0070164F">
        <w:t xml:space="preserve">public interest </w:t>
      </w:r>
      <w:r w:rsidR="004D041F">
        <w:t>by</w:t>
      </w:r>
      <w:r w:rsidR="0070164F">
        <w:t xml:space="preserve"> </w:t>
      </w:r>
      <w:r w:rsidR="0048105E">
        <w:t>facilitating the proposed transfer whi</w:t>
      </w:r>
      <w:r w:rsidR="00782F9F">
        <w:t xml:space="preserve">ch, in turn, will result in </w:t>
      </w:r>
      <w:r w:rsidR="0070164F">
        <w:t>operational efficiencies</w:t>
      </w:r>
      <w:r w:rsidR="00247097">
        <w:t xml:space="preserve"> </w:t>
      </w:r>
      <w:r w:rsidR="00782F9F">
        <w:t xml:space="preserve">that should benefit </w:t>
      </w:r>
      <w:r w:rsidR="00247097">
        <w:t>consumers</w:t>
      </w:r>
      <w:r w:rsidR="0070164F">
        <w:t xml:space="preserve">.  </w:t>
      </w:r>
      <w:r w:rsidR="002A33A8">
        <w:t>We</w:t>
      </w:r>
      <w:r w:rsidR="0070164F">
        <w:t xml:space="preserve"> </w:t>
      </w:r>
      <w:r w:rsidR="002A33A8">
        <w:t xml:space="preserve">waive section 51.917(b)(1) and (b)(7) of the Commission’s rules to allow Petitioners to reduce Midstate’s 2011 BPR </w:t>
      </w:r>
      <w:r w:rsidR="00CA3A2F">
        <w:t>by $</w:t>
      </w:r>
      <w:r w:rsidRPr="00CA3A2F" w:rsidR="00CA3A2F">
        <w:t xml:space="preserve">25,835 </w:t>
      </w:r>
      <w:r w:rsidR="002A33A8">
        <w:t xml:space="preserve">and </w:t>
      </w:r>
      <w:r w:rsidR="002A33A8">
        <w:t xml:space="preserve">increase NCC’s 2011 BPR by </w:t>
      </w:r>
      <w:r w:rsidR="00C8281E">
        <w:t>$</w:t>
      </w:r>
      <w:r w:rsidRPr="00CA3A2F" w:rsidR="00CA3A2F">
        <w:t>25,835</w:t>
      </w:r>
      <w:r w:rsidR="00CA3A2F">
        <w:t>.</w:t>
      </w:r>
      <w:r>
        <w:rPr>
          <w:rStyle w:val="FootnoteReference"/>
        </w:rPr>
        <w:footnoteReference w:id="56"/>
      </w:r>
      <w:r w:rsidR="0065710E">
        <w:t xml:space="preserve"> </w:t>
      </w:r>
      <w:r w:rsidR="003E6D44">
        <w:t xml:space="preserve"> Finally, w</w:t>
      </w:r>
      <w:r w:rsidR="00073B9D">
        <w:t xml:space="preserve">e grant a waiver of section 51.917(b)(1) </w:t>
      </w:r>
      <w:r w:rsidR="00F57B65">
        <w:t xml:space="preserve">of the Commission’s rules </w:t>
      </w:r>
      <w:r w:rsidR="00073B9D">
        <w:t xml:space="preserve">to allow Petitioners to make corresponding adjustments to </w:t>
      </w:r>
      <w:r w:rsidR="00701B4A">
        <w:t xml:space="preserve">their </w:t>
      </w:r>
      <w:r w:rsidR="00073B9D">
        <w:t>2011</w:t>
      </w:r>
      <w:r w:rsidR="00772BB9">
        <w:t xml:space="preserve"> </w:t>
      </w:r>
      <w:r w:rsidR="00073B9D">
        <w:t xml:space="preserve">interstate switched access revenue requirements </w:t>
      </w:r>
      <w:r w:rsidR="00BF5E60">
        <w:t>using th</w:t>
      </w:r>
      <w:r w:rsidR="00F42BBB">
        <w:t>e</w:t>
      </w:r>
      <w:r w:rsidR="00BF5E60">
        <w:t xml:space="preserve"> </w:t>
      </w:r>
      <w:r w:rsidR="00F42BBB">
        <w:t xml:space="preserve">same </w:t>
      </w:r>
      <w:r w:rsidR="00BF5E60">
        <w:t>ratio</w:t>
      </w:r>
      <w:r w:rsidRPr="00F530EC" w:rsidR="00F530EC">
        <w:t xml:space="preserve"> </w:t>
      </w:r>
      <w:r w:rsidR="00F530EC">
        <w:t xml:space="preserve">of </w:t>
      </w:r>
      <w:r w:rsidRPr="00F530EC" w:rsidR="00F530EC">
        <w:t>transferred access lines to Midstate’s total access lines</w:t>
      </w:r>
      <w:r w:rsidR="00F908B8">
        <w:t xml:space="preserve">, as </w:t>
      </w:r>
      <w:r w:rsidR="007D02E9">
        <w:t xml:space="preserve">the </w:t>
      </w:r>
      <w:r w:rsidRPr="007D02E9" w:rsidR="007D02E9">
        <w:t>interstate switched access revenue requirement</w:t>
      </w:r>
      <w:r w:rsidR="007D02E9">
        <w:t xml:space="preserve"> is a component of</w:t>
      </w:r>
      <w:r w:rsidR="00497C1F">
        <w:t xml:space="preserve"> BPR</w:t>
      </w:r>
      <w:r w:rsidR="00073B9D">
        <w:t xml:space="preserve">.  </w:t>
      </w:r>
    </w:p>
    <w:bookmarkEnd w:id="9"/>
    <w:bookmarkEnd w:id="12"/>
    <w:p w:rsidR="005059A6" w:rsidRPr="00822619" w:rsidP="005059A6" w14:paraId="1CDB2F00" w14:textId="77777777">
      <w:pPr>
        <w:pStyle w:val="Heading1"/>
      </w:pPr>
      <w:r w:rsidRPr="00822619">
        <w:rPr>
          <w:rFonts w:hint="eastAsia"/>
        </w:rPr>
        <w:t>Ordering Clauses</w:t>
      </w:r>
    </w:p>
    <w:p w:rsidR="005059A6" w:rsidRPr="00A3437D" w:rsidP="00BF1E86" w14:paraId="5B8C2E54" w14:textId="6374CE81">
      <w:pPr>
        <w:pStyle w:val="ParaNum"/>
        <w:widowControl/>
        <w:tabs>
          <w:tab w:val="clear" w:pos="1080"/>
          <w:tab w:val="num" w:pos="1440"/>
        </w:tabs>
      </w:pPr>
      <w:r w:rsidRPr="00A3437D">
        <w:t>Accordingly, IT IS ORDERED, pursuant to sections 4(</w:t>
      </w:r>
      <w:r w:rsidRPr="00A3437D">
        <w:t>i</w:t>
      </w:r>
      <w:r w:rsidRPr="00A3437D">
        <w:t>), 5, 201-203</w:t>
      </w:r>
      <w:r>
        <w:t xml:space="preserve"> and </w:t>
      </w:r>
      <w:r w:rsidRPr="00390014">
        <w:t>254(g)</w:t>
      </w:r>
      <w:r w:rsidRPr="00A3437D">
        <w:t xml:space="preserve"> of the Communications Act of 1934, as amended, 47 U.S.C. §§ 154(</w:t>
      </w:r>
      <w:r w:rsidRPr="00A3437D">
        <w:t>i</w:t>
      </w:r>
      <w:r w:rsidRPr="00A3437D">
        <w:t xml:space="preserve">), 155, 201-203, </w:t>
      </w:r>
      <w:r w:rsidRPr="00390014">
        <w:t>254(g),</w:t>
      </w:r>
      <w:r w:rsidRPr="00A3437D">
        <w:t xml:space="preserve"> and sections 0.91, 0.29</w:t>
      </w:r>
      <w:r>
        <w:t>1 and</w:t>
      </w:r>
      <w:r w:rsidRPr="00A3437D">
        <w:t xml:space="preserve"> 1.3 of the Commission’s rules, 47 CFR §§ 0.91, 0.291, 1.3, that the</w:t>
      </w:r>
      <w:r w:rsidR="008A5787">
        <w:t xml:space="preserve"> Joint</w:t>
      </w:r>
      <w:r w:rsidRPr="00A3437D">
        <w:t xml:space="preserve"> Petition for Waiver filed by </w:t>
      </w:r>
      <w:r w:rsidR="00FE5930">
        <w:t>Northwest Communications Cooperative, Inc. and Midstate Telephone Company, LLC</w:t>
      </w:r>
      <w:r w:rsidRPr="00A3437D">
        <w:t xml:space="preserve">, on </w:t>
      </w:r>
      <w:r w:rsidR="00FE5930">
        <w:t>December 8, 2022</w:t>
      </w:r>
      <w:r w:rsidRPr="00A3437D">
        <w:t xml:space="preserve"> IS GRANTED </w:t>
      </w:r>
      <w:r w:rsidR="00891E28">
        <w:t>as provided herein</w:t>
      </w:r>
      <w:r w:rsidRPr="00A3437D">
        <w:t>.</w:t>
      </w:r>
    </w:p>
    <w:p w:rsidR="005059A6" w:rsidRPr="00A3437D" w:rsidP="00BF1E86" w14:paraId="2BDA3006" w14:textId="77777777">
      <w:pPr>
        <w:pStyle w:val="ParaNum"/>
        <w:widowControl/>
        <w:tabs>
          <w:tab w:val="clear" w:pos="1080"/>
          <w:tab w:val="num" w:pos="1440"/>
        </w:tabs>
      </w:pPr>
      <w:r w:rsidRPr="00A3437D">
        <w:t>IT IS FURTHER ORDERED that pursuant to section 1.102(b)(1) of the Commission’s rules, 47 CFR § 1.102(b)(1), this Order SHALL BE EFFECTIVE upon release.</w:t>
      </w:r>
    </w:p>
    <w:p w:rsidR="005059A6" w:rsidRPr="00822619" w:rsidP="005059A6" w14:paraId="6C71120C" w14:textId="77777777">
      <w:pPr>
        <w:keepNext/>
        <w:autoSpaceDE w:val="0"/>
        <w:autoSpaceDN w:val="0"/>
        <w:adjustRightInd w:val="0"/>
        <w:spacing w:after="120"/>
        <w:rPr>
          <w:color w:val="000000"/>
          <w:szCs w:val="22"/>
        </w:rPr>
      </w:pPr>
    </w:p>
    <w:p w:rsidR="005059A6" w:rsidRPr="00822619" w:rsidP="005059A6" w14:paraId="48CE3538" w14:textId="77777777">
      <w:pPr>
        <w:keepNext/>
        <w:keepLines/>
        <w:spacing w:after="100" w:afterAutospacing="1"/>
        <w:ind w:left="3600" w:firstLine="720"/>
        <w:rPr>
          <w:color w:val="000000"/>
          <w:szCs w:val="22"/>
        </w:rPr>
      </w:pPr>
      <w:r w:rsidRPr="00822619">
        <w:rPr>
          <w:color w:val="000000"/>
          <w:szCs w:val="22"/>
        </w:rPr>
        <w:t>FEDERAL COMMUNICATIONS COMMISSION</w:t>
      </w:r>
    </w:p>
    <w:p w:rsidR="005059A6" w:rsidRPr="00822619" w:rsidP="005059A6" w14:paraId="29DC7DB0" w14:textId="77777777">
      <w:pPr>
        <w:keepNext/>
        <w:keepLines/>
        <w:tabs>
          <w:tab w:val="left" w:pos="-1440"/>
          <w:tab w:val="left" w:pos="-720"/>
        </w:tabs>
        <w:suppressAutoHyphens/>
        <w:rPr>
          <w:color w:val="000000"/>
          <w:szCs w:val="22"/>
        </w:rPr>
      </w:pP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p>
    <w:p w:rsidR="005059A6" w:rsidRPr="00822619" w:rsidP="005059A6" w14:paraId="0ACE8256" w14:textId="77777777">
      <w:pPr>
        <w:keepNext/>
        <w:keepLines/>
        <w:tabs>
          <w:tab w:val="left" w:pos="-1440"/>
          <w:tab w:val="left" w:pos="-720"/>
        </w:tabs>
        <w:suppressAutoHyphens/>
        <w:rPr>
          <w:color w:val="000000"/>
          <w:szCs w:val="22"/>
        </w:rPr>
      </w:pPr>
    </w:p>
    <w:p w:rsidR="005059A6" w:rsidRPr="00822619" w:rsidP="005059A6" w14:paraId="2F6AD5F7" w14:textId="77777777">
      <w:pPr>
        <w:keepNext/>
        <w:keepLines/>
        <w:tabs>
          <w:tab w:val="left" w:pos="-1440"/>
          <w:tab w:val="left" w:pos="-720"/>
        </w:tabs>
        <w:suppressAutoHyphens/>
        <w:rPr>
          <w:color w:val="000000"/>
          <w:szCs w:val="22"/>
        </w:rPr>
      </w:pPr>
    </w:p>
    <w:p w:rsidR="005059A6" w:rsidRPr="00822619" w:rsidP="005059A6" w14:paraId="309F2B77" w14:textId="02AEA7B5">
      <w:pPr>
        <w:keepNext/>
        <w:keepLines/>
        <w:rPr>
          <w:color w:val="000000"/>
          <w:szCs w:val="22"/>
        </w:rPr>
      </w:pP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E746FB" w:rsidR="00FE5930">
        <w:rPr>
          <w:szCs w:val="22"/>
        </w:rPr>
        <w:t xml:space="preserve">Trent </w:t>
      </w:r>
      <w:r w:rsidR="00F25EAE">
        <w:rPr>
          <w:szCs w:val="22"/>
        </w:rPr>
        <w:t xml:space="preserve">B. </w:t>
      </w:r>
      <w:r w:rsidRPr="00E746FB" w:rsidR="00FE5930">
        <w:rPr>
          <w:szCs w:val="22"/>
        </w:rPr>
        <w:t>Harkrader</w:t>
      </w:r>
    </w:p>
    <w:p w:rsidR="005059A6" w:rsidRPr="00822619" w:rsidP="005059A6" w14:paraId="655339B0" w14:textId="77777777">
      <w:pPr>
        <w:keepNext/>
        <w:keepLines/>
        <w:rPr>
          <w:color w:val="000000"/>
          <w:szCs w:val="22"/>
        </w:rPr>
      </w:pP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t xml:space="preserve">Chief </w:t>
      </w:r>
    </w:p>
    <w:p w:rsidR="00412FC5" w:rsidRPr="005059A6" w:rsidP="005059A6" w14:paraId="3DD248B4" w14:textId="1007487F">
      <w:pPr>
        <w:keepNext/>
        <w:keepLines/>
        <w:ind w:left="3600" w:firstLine="720"/>
        <w:rPr>
          <w:color w:val="000000"/>
          <w:szCs w:val="22"/>
        </w:rPr>
      </w:pPr>
      <w:r w:rsidRPr="00822619">
        <w:rPr>
          <w:color w:val="000000"/>
          <w:szCs w:val="22"/>
        </w:rPr>
        <w:t>Wireline Competition Bureau</w:t>
      </w:r>
      <w:r w:rsidRPr="00822619">
        <w:rPr>
          <w:color w:val="000000"/>
          <w:szCs w:val="22"/>
        </w:rP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5314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36C6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1788A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8775AA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BB16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6193" w14:paraId="0CC5B496" w14:textId="77777777">
      <w:r>
        <w:separator/>
      </w:r>
    </w:p>
  </w:footnote>
  <w:footnote w:type="continuationSeparator" w:id="1">
    <w:p w:rsidR="00686193" w:rsidP="00C721AC" w14:paraId="7AD3B118" w14:textId="77777777">
      <w:pPr>
        <w:spacing w:before="120"/>
        <w:rPr>
          <w:sz w:val="20"/>
        </w:rPr>
      </w:pPr>
      <w:r>
        <w:rPr>
          <w:sz w:val="20"/>
        </w:rPr>
        <w:t xml:space="preserve">(Continued from previous page)  </w:t>
      </w:r>
      <w:r>
        <w:rPr>
          <w:sz w:val="20"/>
        </w:rPr>
        <w:separator/>
      </w:r>
    </w:p>
  </w:footnote>
  <w:footnote w:type="continuationNotice" w:id="2">
    <w:p w:rsidR="00686193" w:rsidP="00C721AC" w14:paraId="31902A8D" w14:textId="77777777">
      <w:pPr>
        <w:jc w:val="right"/>
        <w:rPr>
          <w:sz w:val="20"/>
        </w:rPr>
      </w:pPr>
      <w:r>
        <w:rPr>
          <w:sz w:val="20"/>
        </w:rPr>
        <w:t>(continued….)</w:t>
      </w:r>
    </w:p>
  </w:footnote>
  <w:footnote w:id="3">
    <w:p w:rsidR="005059A6" w:rsidRPr="00822619" w:rsidP="005059A6" w14:paraId="60DBE4BC" w14:textId="751DF0F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 e</w:t>
      </w:r>
      <w:r w:rsidRPr="00822619">
        <w:rPr>
          <w:color w:val="000000"/>
        </w:rPr>
        <w:t>.</w:t>
      </w:r>
      <w:r w:rsidRPr="00822619">
        <w:rPr>
          <w:i/>
          <w:color w:val="000000"/>
        </w:rPr>
        <w:t>g</w:t>
      </w:r>
      <w:r w:rsidRPr="00822619">
        <w:rPr>
          <w:color w:val="000000"/>
        </w:rPr>
        <w:t>.,</w:t>
      </w:r>
      <w:r w:rsidR="00F433E9">
        <w:rPr>
          <w:color w:val="000000"/>
        </w:rPr>
        <w:t xml:space="preserve"> </w:t>
      </w:r>
      <w:r w:rsidRPr="00D6032B" w:rsidR="00F433E9">
        <w:rPr>
          <w:i/>
          <w:iCs/>
        </w:rPr>
        <w:t xml:space="preserve">3 Rivers Telephone Cooperative, Inc., and </w:t>
      </w:r>
      <w:r w:rsidRPr="00D6032B" w:rsidR="00F433E9">
        <w:rPr>
          <w:i/>
          <w:iCs/>
        </w:rPr>
        <w:t>Siyeh</w:t>
      </w:r>
      <w:r w:rsidRPr="00D6032B" w:rsidR="00F433E9">
        <w:rPr>
          <w:i/>
          <w:iCs/>
        </w:rPr>
        <w:t xml:space="preserve"> Communications Application for Transfer of Assets Pursuant to Section 214 of the Communications Act of 1934, as Amended</w:t>
      </w:r>
      <w:r w:rsidR="00946C88">
        <w:rPr>
          <w:i/>
          <w:iCs/>
        </w:rPr>
        <w:t>, et al.</w:t>
      </w:r>
      <w:r w:rsidR="00946C88">
        <w:t>,</w:t>
      </w:r>
      <w:r w:rsidR="00F433E9">
        <w:t xml:space="preserve"> WC Docket No. 20-85</w:t>
      </w:r>
      <w:r w:rsidR="00ED2D4B">
        <w:t xml:space="preserve"> </w:t>
      </w:r>
      <w:r w:rsidR="00BE2DD3">
        <w:t>et al.</w:t>
      </w:r>
      <w:r w:rsidR="00F433E9">
        <w:t xml:space="preserve">, Order, </w:t>
      </w:r>
      <w:r w:rsidRPr="00AF15B1" w:rsidR="00F433E9">
        <w:t xml:space="preserve">35 FCC </w:t>
      </w:r>
      <w:r w:rsidRPr="00AF15B1" w:rsidR="00F433E9">
        <w:t>Rcd</w:t>
      </w:r>
      <w:r w:rsidRPr="00AF15B1" w:rsidR="00F433E9">
        <w:t xml:space="preserve"> 12983</w:t>
      </w:r>
      <w:r w:rsidR="00F433E9">
        <w:t xml:space="preserve"> (WCB 2020) (</w:t>
      </w:r>
      <w:r w:rsidRPr="00BF1E86" w:rsidR="00F433E9">
        <w:rPr>
          <w:i/>
          <w:iCs/>
        </w:rPr>
        <w:t>3 Rivers Order</w:t>
      </w:r>
      <w:r w:rsidR="00F433E9">
        <w:t>)</w:t>
      </w:r>
      <w:r w:rsidR="00C94974">
        <w:t xml:space="preserve"> </w:t>
      </w:r>
      <w:r w:rsidR="00580B50">
        <w:t>(granting</w:t>
      </w:r>
      <w:r w:rsidR="00756826">
        <w:t xml:space="preserve"> waiver of</w:t>
      </w:r>
      <w:r w:rsidR="00580B50">
        <w:t xml:space="preserve"> </w:t>
      </w:r>
      <w:r w:rsidR="004C1B9E">
        <w:t xml:space="preserve">Commission </w:t>
      </w:r>
      <w:r w:rsidR="00756826">
        <w:t xml:space="preserve">intercarrier compensation rules </w:t>
      </w:r>
      <w:r w:rsidR="00137C3B">
        <w:t>and applying Commission precedent</w:t>
      </w:r>
      <w:r w:rsidR="00981B3A">
        <w:t xml:space="preserve"> where one provider transfers</w:t>
      </w:r>
      <w:r w:rsidR="00756826">
        <w:t xml:space="preserve"> certain</w:t>
      </w:r>
      <w:r w:rsidR="00981B3A">
        <w:t xml:space="preserve"> assets to another provider</w:t>
      </w:r>
      <w:r w:rsidR="00AE6559">
        <w:t xml:space="preserve"> resulting in a restructured study area</w:t>
      </w:r>
      <w:r w:rsidR="00981B3A">
        <w:t>)</w:t>
      </w:r>
      <w:r w:rsidR="00F429BF">
        <w:t>;</w:t>
      </w:r>
      <w:r w:rsidR="00F429BF">
        <w:rPr>
          <w:color w:val="000000"/>
        </w:rPr>
        <w:t xml:space="preserve"> </w:t>
      </w:r>
      <w:r w:rsidRPr="00B1510B">
        <w:rPr>
          <w:i/>
        </w:rPr>
        <w:t>Petition of Butler-Bremer Mutual Telephone Company, Inc. for a Waiver of Sections 51.909(a), 51.917(b)(1), and 51.917(b)(7) of the Commission’s Rules to Modify Access Rate Bands and Charges, and 2011 Switched Access Revenue in Connection with Merger of Affiliated Study Areas in Iowa</w:t>
      </w:r>
      <w:r w:rsidRPr="00620614">
        <w:t>;</w:t>
      </w:r>
      <w:r w:rsidRPr="00B1510B">
        <w:rPr>
          <w:i/>
        </w:rPr>
        <w:t xml:space="preserve"> </w:t>
      </w:r>
      <w:r w:rsidR="005F63AE">
        <w:rPr>
          <w:i/>
        </w:rPr>
        <w:t>et al.</w:t>
      </w:r>
      <w:r w:rsidRPr="00B1510B">
        <w:t>, WC Docket No. 10-90</w:t>
      </w:r>
      <w:r w:rsidR="005F63AE">
        <w:t xml:space="preserve"> et al.</w:t>
      </w:r>
      <w:r w:rsidRPr="00B1510B">
        <w:t xml:space="preserve">, Order, 33 FCC </w:t>
      </w:r>
      <w:r w:rsidRPr="00B1510B">
        <w:t>Rcd</w:t>
      </w:r>
      <w:r w:rsidRPr="00B1510B">
        <w:t xml:space="preserve"> 1152</w:t>
      </w:r>
      <w:r w:rsidRPr="00822619">
        <w:rPr>
          <w:color w:val="000000"/>
        </w:rPr>
        <w:t xml:space="preserve">, 1157-58, paras. 15-16 </w:t>
      </w:r>
      <w:r w:rsidRPr="00B1510B">
        <w:t>(WCB 2018) (</w:t>
      </w:r>
      <w:r w:rsidRPr="00B1510B">
        <w:rPr>
          <w:i/>
        </w:rPr>
        <w:t>Butler-</w:t>
      </w:r>
      <w:r w:rsidRPr="00B1510B">
        <w:rPr>
          <w:i/>
        </w:rPr>
        <w:t>Panora</w:t>
      </w:r>
      <w:r w:rsidRPr="00B1510B">
        <w:rPr>
          <w:i/>
        </w:rPr>
        <w:t xml:space="preserve"> Order</w:t>
      </w:r>
      <w:r w:rsidRPr="00B1510B">
        <w:t xml:space="preserve">) (outlining and applying relevant Commission precedent to approve the two </w:t>
      </w:r>
      <w:r w:rsidR="000F4DE6">
        <w:t xml:space="preserve">merger-related </w:t>
      </w:r>
      <w:r w:rsidRPr="00B1510B">
        <w:t>rate-of-return study area waiver petitions</w:t>
      </w:r>
      <w:r w:rsidRPr="00B1510B">
        <w:rPr>
          <w:iCs/>
        </w:rPr>
        <w:t>)</w:t>
      </w:r>
      <w:r w:rsidRPr="00822619">
        <w:rPr>
          <w:color w:val="000000"/>
        </w:rPr>
        <w:t xml:space="preserve">.  </w:t>
      </w:r>
    </w:p>
  </w:footnote>
  <w:footnote w:id="4">
    <w:p w:rsidR="005059A6" w:rsidP="005059A6" w14:paraId="110AD48D" w14:textId="5CA8E499">
      <w:pPr>
        <w:pStyle w:val="FootnoteText"/>
      </w:pPr>
      <w:r w:rsidRPr="00BF1E86">
        <w:rPr>
          <w:rStyle w:val="FootnoteReference"/>
        </w:rPr>
        <w:footnoteRef/>
      </w:r>
      <w:r w:rsidRPr="00BF1E86">
        <w:t xml:space="preserve"> </w:t>
      </w:r>
      <w:r w:rsidRPr="00272886" w:rsidR="00272886">
        <w:t xml:space="preserve">Northwest Communications Cooperative, Inc. and Midstate Telephone Company, LLC </w:t>
      </w:r>
      <w:r w:rsidRPr="00BF1E86" w:rsidR="0021265B">
        <w:rPr>
          <w:szCs w:val="22"/>
        </w:rPr>
        <w:t>Joint Petition for Waiver of Sections 51.909(a), 51.917(b)(1) and 51.917(b)(7)</w:t>
      </w:r>
      <w:r w:rsidRPr="00BF1E86" w:rsidR="00773730">
        <w:rPr>
          <w:szCs w:val="22"/>
        </w:rPr>
        <w:t xml:space="preserve"> of the Commission’s Rules</w:t>
      </w:r>
      <w:r w:rsidRPr="00272886">
        <w:t>,</w:t>
      </w:r>
      <w:r>
        <w:t xml:space="preserve"> WC Docket No. </w:t>
      </w:r>
      <w:r w:rsidR="00773730">
        <w:t>22-434</w:t>
      </w:r>
      <w:r>
        <w:t xml:space="preserve"> (filed </w:t>
      </w:r>
      <w:r w:rsidR="00773730">
        <w:t>Dec</w:t>
      </w:r>
      <w:r>
        <w:t xml:space="preserve">. </w:t>
      </w:r>
      <w:r w:rsidR="00773730">
        <w:t>8</w:t>
      </w:r>
      <w:r>
        <w:t>, 20</w:t>
      </w:r>
      <w:r w:rsidR="00773730">
        <w:t>22</w:t>
      </w:r>
      <w:r>
        <w:t>) (</w:t>
      </w:r>
      <w:r w:rsidR="009B3855">
        <w:t>Joint</w:t>
      </w:r>
      <w:r>
        <w:t xml:space="preserve"> Petition).  </w:t>
      </w:r>
    </w:p>
  </w:footnote>
  <w:footnote w:id="5">
    <w:p w:rsidR="005059A6" w:rsidP="005059A6" w14:paraId="6788EBBA" w14:textId="4F8951E9">
      <w:pPr>
        <w:pStyle w:val="FootnoteText"/>
      </w:pPr>
      <w:r>
        <w:rPr>
          <w:rStyle w:val="FootnoteReference"/>
        </w:rPr>
        <w:footnoteRef/>
      </w:r>
      <w:r>
        <w:t xml:space="preserve"> A study area is the </w:t>
      </w:r>
      <w:r w:rsidRPr="00822619">
        <w:rPr>
          <w:color w:val="000000"/>
          <w:szCs w:val="22"/>
        </w:rPr>
        <w:t xml:space="preserve">geographic territory of an incumbent local exchange carrier’s telephone operations. </w:t>
      </w:r>
      <w:r w:rsidRPr="009C0399">
        <w:rPr>
          <w:i/>
        </w:rPr>
        <w:t xml:space="preserve"> </w:t>
      </w:r>
      <w:r>
        <w:rPr>
          <w:i/>
        </w:rPr>
        <w:t xml:space="preserve">See </w:t>
      </w:r>
      <w:r>
        <w:t>47 CFR Part 36 App</w:t>
      </w:r>
      <w:r w:rsidR="00BE2DD3">
        <w:t>x.</w:t>
      </w:r>
      <w:r w:rsidRPr="00D12B52">
        <w:t xml:space="preserve">; </w:t>
      </w:r>
      <w:r w:rsidRPr="00A3437D">
        <w:rPr>
          <w:i/>
        </w:rPr>
        <w:t>US West Communications, Inc. &amp; Eagle Telecommunications, Inc. Joint Petition for Waiver of the Definition of “Study Area” Contained in Part 36, Appendix—Glossary of the Commission’s Rules</w:t>
      </w:r>
      <w:r w:rsidRPr="00A3437D">
        <w:t xml:space="preserve">, </w:t>
      </w:r>
      <w:r w:rsidR="00EC24FD">
        <w:t>AAD 94-27</w:t>
      </w:r>
      <w:r w:rsidR="00850F8F">
        <w:t xml:space="preserve">, </w:t>
      </w:r>
      <w:r w:rsidRPr="00A3437D">
        <w:t xml:space="preserve">Memorandum Opinion and Order, 10 FCC </w:t>
      </w:r>
      <w:r w:rsidRPr="00A3437D">
        <w:t>Rcd</w:t>
      </w:r>
      <w:r w:rsidRPr="00A3437D">
        <w:t xml:space="preserve"> 1771, 1772, para. 5 (</w:t>
      </w:r>
      <w:r w:rsidR="00E404D3">
        <w:t xml:space="preserve">WCB </w:t>
      </w:r>
      <w:r w:rsidRPr="00A3437D">
        <w:t>1995)</w:t>
      </w:r>
      <w:r w:rsidRPr="00D12B52">
        <w:t>.</w:t>
      </w:r>
      <w:r>
        <w:t xml:space="preserve"> </w:t>
      </w:r>
      <w:r w:rsidRPr="00822619">
        <w:rPr>
          <w:color w:val="000000"/>
        </w:rPr>
        <w:t xml:space="preserve"> </w:t>
      </w:r>
    </w:p>
  </w:footnote>
  <w:footnote w:id="6">
    <w:p w:rsidR="005059A6" w:rsidRPr="00822619" w:rsidP="005059A6" w14:paraId="0AC83BDB" w14:textId="7364C3FA">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Connect America Fund et al.</w:t>
      </w:r>
      <w:r w:rsidRPr="00822619">
        <w:rPr>
          <w:color w:val="000000"/>
        </w:rPr>
        <w:t xml:space="preserve">, WC Docket No. 10-90 et al., Report and Order and Further Notice of Proposed Rulemaking, 26 FCC </w:t>
      </w:r>
      <w:r w:rsidRPr="00822619">
        <w:rPr>
          <w:color w:val="000000"/>
        </w:rPr>
        <w:t>Rcd</w:t>
      </w:r>
      <w:r w:rsidRPr="00822619">
        <w:rPr>
          <w:color w:val="000000"/>
        </w:rPr>
        <w:t xml:space="preserve"> 17663 (</w:t>
      </w:r>
      <w:r w:rsidR="00380281">
        <w:rPr>
          <w:color w:val="000000"/>
        </w:rPr>
        <w:t xml:space="preserve">WCB </w:t>
      </w:r>
      <w:r w:rsidRPr="00822619">
        <w:rPr>
          <w:color w:val="000000"/>
        </w:rPr>
        <w:t>2011) (</w:t>
      </w:r>
      <w:r w:rsidRPr="00822619">
        <w:rPr>
          <w:i/>
          <w:color w:val="000000"/>
        </w:rPr>
        <w:t xml:space="preserve">USF/ICC Transformation </w:t>
      </w:r>
      <w:bookmarkStart w:id="2" w:name="_Hlk523848279"/>
      <w:r w:rsidRPr="00822619">
        <w:rPr>
          <w:i/>
          <w:color w:val="000000"/>
        </w:rPr>
        <w:t>Order</w:t>
      </w:r>
      <w:bookmarkEnd w:id="2"/>
      <w:r w:rsidRPr="00822619">
        <w:rPr>
          <w:color w:val="000000"/>
        </w:rPr>
        <w:t>)</w:t>
      </w:r>
      <w:r w:rsidR="00BE4CFE">
        <w:rPr>
          <w:color w:val="000000"/>
        </w:rPr>
        <w:t>,</w:t>
      </w:r>
      <w:r w:rsidRPr="00822619">
        <w:rPr>
          <w:color w:val="000000"/>
        </w:rPr>
        <w:t xml:space="preserve"> </w:t>
      </w:r>
      <w:r w:rsidRPr="00822619">
        <w:rPr>
          <w:i/>
          <w:color w:val="000000"/>
        </w:rPr>
        <w:t>aff’d, In re</w:t>
      </w:r>
      <w:r w:rsidRPr="00822619">
        <w:rPr>
          <w:color w:val="000000"/>
        </w:rPr>
        <w:t xml:space="preserve"> </w:t>
      </w:r>
      <w:r w:rsidRPr="00822619">
        <w:rPr>
          <w:i/>
          <w:color w:val="000000"/>
        </w:rPr>
        <w:t>FCC 11-161</w:t>
      </w:r>
      <w:r w:rsidRPr="00822619">
        <w:rPr>
          <w:color w:val="000000"/>
        </w:rPr>
        <w:t>, 753 F.3d 1015 (10th Cir. 2014).</w:t>
      </w:r>
      <w:r w:rsidRPr="00822619">
        <w:rPr>
          <w:i/>
          <w:color w:val="000000"/>
        </w:rPr>
        <w:t xml:space="preserve">  </w:t>
      </w:r>
    </w:p>
  </w:footnote>
  <w:footnote w:id="7">
    <w:p w:rsidR="005059A6" w:rsidRPr="00822619" w:rsidP="005059A6" w14:paraId="3EACE8A5"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 xml:space="preserve">See </w:t>
      </w:r>
      <w:r w:rsidRPr="00822619">
        <w:rPr>
          <w:color w:val="000000"/>
        </w:rPr>
        <w:t xml:space="preserve">47 CFR § 51.909(a).  Originating intrastate switched access rates for rate-of-return carriers were exempt from the rate cap.  </w:t>
      </w:r>
    </w:p>
  </w:footnote>
  <w:footnote w:id="8">
    <w:p w:rsidR="005059A6" w:rsidP="005059A6" w14:paraId="0A65E29A" w14:textId="77777777">
      <w:pPr>
        <w:pStyle w:val="FootnoteText"/>
      </w:pPr>
      <w:r>
        <w:rPr>
          <w:rStyle w:val="FootnoteReference"/>
        </w:rPr>
        <w:footnoteRef/>
      </w:r>
      <w:r>
        <w:t xml:space="preserve"> </w:t>
      </w:r>
      <w:r w:rsidRPr="00822619">
        <w:rPr>
          <w:i/>
          <w:color w:val="000000"/>
        </w:rPr>
        <w:t>USF/ICC Transformation Order</w:t>
      </w:r>
      <w:r w:rsidRPr="00822619">
        <w:rPr>
          <w:color w:val="000000"/>
        </w:rPr>
        <w:t xml:space="preserve">, 26 FCC </w:t>
      </w:r>
      <w:r w:rsidRPr="00822619">
        <w:rPr>
          <w:color w:val="000000"/>
        </w:rPr>
        <w:t>Rcd</w:t>
      </w:r>
      <w:r w:rsidRPr="00822619">
        <w:rPr>
          <w:color w:val="000000"/>
        </w:rPr>
        <w:t xml:space="preserve"> at 17934-36, para. 801 &amp; fig. 9.</w:t>
      </w:r>
    </w:p>
  </w:footnote>
  <w:footnote w:id="9">
    <w:p w:rsidR="005059A6" w:rsidP="005059A6" w14:paraId="01B2ED90" w14:textId="77777777">
      <w:pPr>
        <w:pStyle w:val="FootnoteText"/>
      </w:pPr>
      <w:r>
        <w:rPr>
          <w:rStyle w:val="FootnoteReference"/>
        </w:rPr>
        <w:footnoteRef/>
      </w:r>
      <w:r>
        <w:t xml:space="preserve"> </w:t>
      </w:r>
      <w:r w:rsidRPr="00822619">
        <w:rPr>
          <w:i/>
          <w:color w:val="000000"/>
        </w:rPr>
        <w:t>See id</w:t>
      </w:r>
      <w:r w:rsidRPr="00822619">
        <w:rPr>
          <w:color w:val="000000"/>
        </w:rPr>
        <w:t>. at 17956, para. 847.</w:t>
      </w:r>
    </w:p>
  </w:footnote>
  <w:footnote w:id="10">
    <w:p w:rsidR="005059A6" w:rsidRPr="00822619" w:rsidP="005059A6" w14:paraId="485068F5" w14:textId="77777777">
      <w:pPr>
        <w:pStyle w:val="FootnoteText"/>
        <w:rPr>
          <w:color w:val="000000"/>
        </w:rPr>
      </w:pPr>
      <w:r w:rsidRPr="00822619">
        <w:rPr>
          <w:rStyle w:val="FootnoteReference"/>
          <w:color w:val="000000"/>
        </w:rPr>
        <w:footnoteRef/>
      </w:r>
      <w:r w:rsidRPr="00822619">
        <w:rPr>
          <w:i/>
          <w:color w:val="000000"/>
        </w:rPr>
        <w:t xml:space="preserve"> Id</w:t>
      </w:r>
      <w:r w:rsidRPr="00822619">
        <w:rPr>
          <w:color w:val="000000"/>
        </w:rPr>
        <w:t>. at 17957, para. 850.</w:t>
      </w:r>
    </w:p>
  </w:footnote>
  <w:footnote w:id="11">
    <w:p w:rsidR="005059A6" w:rsidRPr="00822619" w:rsidP="005059A6" w14:paraId="4FD748F6"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Id</w:t>
      </w:r>
      <w:r w:rsidRPr="00822619">
        <w:rPr>
          <w:color w:val="000000"/>
        </w:rPr>
        <w:t>. at 17958-61, para. 852; 47 CFR §§ 51.917(d)-(e).</w:t>
      </w:r>
    </w:p>
  </w:footnote>
  <w:footnote w:id="12">
    <w:p w:rsidR="005059A6" w:rsidRPr="00822619" w:rsidP="005059A6" w14:paraId="1116DA90" w14:textId="77777777">
      <w:pPr>
        <w:pStyle w:val="FootnoteText"/>
        <w:rPr>
          <w:color w:val="000000"/>
        </w:rPr>
      </w:pPr>
      <w:r w:rsidRPr="00822619">
        <w:rPr>
          <w:rStyle w:val="FootnoteReference"/>
          <w:color w:val="000000"/>
        </w:rPr>
        <w:footnoteRef/>
      </w:r>
      <w:r w:rsidRPr="00822619">
        <w:rPr>
          <w:i/>
          <w:color w:val="000000"/>
        </w:rPr>
        <w:t xml:space="preserve"> USF/ICC Transformation Order</w:t>
      </w:r>
      <w:r w:rsidRPr="00822619">
        <w:rPr>
          <w:color w:val="000000"/>
        </w:rPr>
        <w:t xml:space="preserve">, 26 FCC </w:t>
      </w:r>
      <w:r w:rsidRPr="00822619">
        <w:rPr>
          <w:color w:val="000000"/>
        </w:rPr>
        <w:t>Rcd</w:t>
      </w:r>
      <w:r w:rsidRPr="00822619">
        <w:rPr>
          <w:color w:val="000000"/>
        </w:rPr>
        <w:t xml:space="preserve"> at 17994-95, para. 918; 47 CFR § 51.917(f).</w:t>
      </w:r>
    </w:p>
  </w:footnote>
  <w:footnote w:id="13">
    <w:p w:rsidR="005059A6" w:rsidRPr="00822619" w:rsidP="005059A6" w14:paraId="34CB8DF2"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w:t>
      </w:r>
    </w:p>
  </w:footnote>
  <w:footnote w:id="14">
    <w:p w:rsidR="005059A6" w:rsidRPr="00822619" w:rsidP="005059A6" w14:paraId="00114945" w14:textId="77777777">
      <w:pPr>
        <w:pStyle w:val="FootnoteText"/>
        <w:rPr>
          <w:color w:val="000000"/>
        </w:rPr>
      </w:pPr>
      <w:r w:rsidRPr="00822619">
        <w:rPr>
          <w:rStyle w:val="FootnoteReference"/>
          <w:color w:val="000000"/>
        </w:rPr>
        <w:footnoteRef/>
      </w:r>
      <w:r w:rsidRPr="00822619">
        <w:rPr>
          <w:color w:val="000000"/>
        </w:rPr>
        <w:t xml:space="preserve"> For purposes of the recovery mechanism, FY 2011 is defined as Oct. 1, 2010 through Sept. 30, 2011.  </w:t>
      </w:r>
      <w:r w:rsidRPr="00822619">
        <w:rPr>
          <w:i/>
          <w:color w:val="000000"/>
        </w:rPr>
        <w:t xml:space="preserve">See </w:t>
      </w:r>
      <w:r w:rsidRPr="00822619">
        <w:rPr>
          <w:color w:val="000000"/>
        </w:rPr>
        <w:t>47 CFR § 51.903(e).</w:t>
      </w:r>
    </w:p>
  </w:footnote>
  <w:footnote w:id="15">
    <w:p w:rsidR="005059A6" w:rsidRPr="00822619" w:rsidP="005059A6" w14:paraId="32349311"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The 2011-2012 tariff period was July 1, 2011 through June 30, 2012.</w:t>
      </w:r>
    </w:p>
  </w:footnote>
  <w:footnote w:id="16">
    <w:p w:rsidR="005059A6" w:rsidRPr="00822619" w:rsidP="005059A6" w14:paraId="25FAB318"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51.917(b)(3).</w:t>
      </w:r>
    </w:p>
  </w:footnote>
  <w:footnote w:id="17">
    <w:p w:rsidR="005059A6" w:rsidP="005059A6" w14:paraId="1DB55E83" w14:textId="77777777">
      <w:pPr>
        <w:pStyle w:val="FootnoteText"/>
      </w:pPr>
      <w:r>
        <w:rPr>
          <w:rStyle w:val="FootnoteReference"/>
        </w:rPr>
        <w:footnoteRef/>
      </w:r>
      <w:r>
        <w:t xml:space="preserve"> The carrier would reflect forward any required true-ups resulting from the operation of the pre-merger study areas in the proper year for the merged study area.  </w:t>
      </w:r>
      <w:r>
        <w:rPr>
          <w:i/>
        </w:rPr>
        <w:t xml:space="preserve">See e.g., </w:t>
      </w:r>
      <w:r>
        <w:t>47 CFR §§ 51.915(b)(13); 51.917(b)(6).</w:t>
      </w:r>
    </w:p>
  </w:footnote>
  <w:footnote w:id="18">
    <w:p w:rsidR="005059A6" w:rsidRPr="00822619" w:rsidP="005059A6" w14:paraId="51F7834F"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51.917(d).</w:t>
      </w:r>
    </w:p>
  </w:footnote>
  <w:footnote w:id="19">
    <w:p w:rsidR="005059A6" w:rsidRPr="00822619" w:rsidP="005059A6" w14:paraId="1F753EA0" w14:textId="5721A70A">
      <w:pPr>
        <w:pStyle w:val="FootnoteText"/>
        <w:rPr>
          <w:color w:val="000000"/>
        </w:rPr>
      </w:pPr>
      <w:r w:rsidRPr="00822619">
        <w:rPr>
          <w:rStyle w:val="FootnoteReference"/>
          <w:color w:val="000000"/>
        </w:rPr>
        <w:footnoteRef/>
      </w:r>
      <w:r w:rsidRPr="00822619">
        <w:rPr>
          <w:color w:val="000000"/>
        </w:rPr>
        <w:t xml:space="preserve"> </w:t>
      </w:r>
      <w:r w:rsidRPr="00822619" w:rsidR="0067262B">
        <w:rPr>
          <w:i/>
          <w:color w:val="000000"/>
        </w:rPr>
        <w:t>See</w:t>
      </w:r>
      <w:r w:rsidRPr="00822619" w:rsidR="0067262B">
        <w:rPr>
          <w:color w:val="000000"/>
        </w:rPr>
        <w:t xml:space="preserve"> </w:t>
      </w:r>
      <w:r w:rsidRPr="00BF1E86" w:rsidR="00ED2D4B">
        <w:rPr>
          <w:i/>
          <w:iCs/>
          <w:color w:val="000000"/>
        </w:rPr>
        <w:t>id</w:t>
      </w:r>
      <w:r w:rsidR="0067262B">
        <w:rPr>
          <w:color w:val="000000"/>
        </w:rPr>
        <w:t>.</w:t>
      </w:r>
    </w:p>
  </w:footnote>
  <w:footnote w:id="20">
    <w:p w:rsidR="00D75547" w:rsidRPr="00F53829" w:rsidP="00D75547" w14:paraId="5DB60FEE" w14:textId="01325F78">
      <w:pPr>
        <w:pStyle w:val="FootnoteText"/>
      </w:pPr>
      <w:r>
        <w:rPr>
          <w:rStyle w:val="FootnoteReference"/>
        </w:rPr>
        <w:footnoteRef/>
      </w:r>
      <w:r>
        <w:t xml:space="preserve"> </w:t>
      </w:r>
      <w:r w:rsidRPr="00822619">
        <w:rPr>
          <w:color w:val="000000"/>
        </w:rPr>
        <w:t>47 CFR § 51.917(d)-(e)</w:t>
      </w:r>
      <w:r w:rsidR="00345B0C">
        <w:rPr>
          <w:color w:val="000000"/>
        </w:rPr>
        <w:t>;</w:t>
      </w:r>
      <w:r>
        <w:rPr>
          <w:color w:val="000000"/>
        </w:rPr>
        <w:t xml:space="preserve"> </w:t>
      </w:r>
      <w:r w:rsidR="00345B0C">
        <w:rPr>
          <w:i/>
          <w:iCs/>
          <w:color w:val="000000"/>
        </w:rPr>
        <w:t>s</w:t>
      </w:r>
      <w:r>
        <w:rPr>
          <w:i/>
          <w:iCs/>
          <w:color w:val="000000"/>
        </w:rPr>
        <w:t>ee</w:t>
      </w:r>
      <w:r w:rsidR="00345B0C">
        <w:rPr>
          <w:i/>
          <w:iCs/>
          <w:color w:val="000000"/>
        </w:rPr>
        <w:t>,</w:t>
      </w:r>
      <w:r>
        <w:rPr>
          <w:i/>
          <w:iCs/>
          <w:color w:val="000000"/>
        </w:rPr>
        <w:t xml:space="preserve"> e.g.</w:t>
      </w:r>
      <w:r>
        <w:rPr>
          <w:color w:val="000000"/>
        </w:rPr>
        <w:t xml:space="preserve">, </w:t>
      </w:r>
      <w:r>
        <w:rPr>
          <w:i/>
          <w:iCs/>
          <w:color w:val="000000"/>
        </w:rPr>
        <w:t>Butler-</w:t>
      </w:r>
      <w:r>
        <w:rPr>
          <w:i/>
          <w:iCs/>
          <w:color w:val="000000"/>
        </w:rPr>
        <w:t>Panora</w:t>
      </w:r>
      <w:r>
        <w:rPr>
          <w:i/>
          <w:iCs/>
          <w:color w:val="000000"/>
        </w:rPr>
        <w:t xml:space="preserve"> Order</w:t>
      </w:r>
      <w:r>
        <w:rPr>
          <w:color w:val="000000"/>
        </w:rPr>
        <w:t xml:space="preserve">, 33 FCC </w:t>
      </w:r>
      <w:r>
        <w:rPr>
          <w:color w:val="000000"/>
        </w:rPr>
        <w:t>Rcd</w:t>
      </w:r>
      <w:r>
        <w:rPr>
          <w:color w:val="000000"/>
        </w:rPr>
        <w:t xml:space="preserve"> at 1155, 1157, paras. 10, 15 (discussing relevant precedent and describing approach to calculating Eligible Recovery when study areas consolidate). </w:t>
      </w:r>
    </w:p>
  </w:footnote>
  <w:footnote w:id="21">
    <w:p w:rsidR="00FD466A" w:rsidRPr="005F124E" w14:paraId="049A3639" w14:textId="04853778">
      <w:pPr>
        <w:pStyle w:val="FootnoteText"/>
      </w:pPr>
      <w:r>
        <w:rPr>
          <w:rStyle w:val="FootnoteReference"/>
        </w:rPr>
        <w:footnoteRef/>
      </w:r>
      <w:r>
        <w:t xml:space="preserve"> </w:t>
      </w:r>
      <w:r w:rsidR="00EE5362">
        <w:rPr>
          <w:i/>
          <w:iCs/>
        </w:rPr>
        <w:t xml:space="preserve">Joint Petition for Waiver of the Definition of “Study Area” of the Appendix-Glossary of Part 36 of the Commission’s Rules </w:t>
      </w:r>
      <w:r w:rsidR="0090041E">
        <w:rPr>
          <w:i/>
          <w:iCs/>
        </w:rPr>
        <w:t xml:space="preserve">Filed by Mutual Telephone Company of Sioux Center, Iowa d/b/a Premier Communications </w:t>
      </w:r>
      <w:r w:rsidR="007A3063">
        <w:rPr>
          <w:i/>
          <w:iCs/>
        </w:rPr>
        <w:t xml:space="preserve">and </w:t>
      </w:r>
      <w:r w:rsidR="0090041E">
        <w:rPr>
          <w:i/>
          <w:iCs/>
        </w:rPr>
        <w:t>Winn</w:t>
      </w:r>
      <w:r w:rsidR="00AF2C8B">
        <w:rPr>
          <w:i/>
          <w:iCs/>
        </w:rPr>
        <w:t>ebago Cooperative Telecom Association</w:t>
      </w:r>
      <w:r w:rsidR="005F124E">
        <w:rPr>
          <w:i/>
          <w:iCs/>
        </w:rPr>
        <w:t>, et al.</w:t>
      </w:r>
      <w:r w:rsidR="005F124E">
        <w:t xml:space="preserve">, </w:t>
      </w:r>
      <w:r w:rsidR="00931F51">
        <w:t>WC Docket No. 10-90</w:t>
      </w:r>
      <w:r w:rsidR="00C222FD">
        <w:t xml:space="preserve"> et al.</w:t>
      </w:r>
      <w:r w:rsidR="00931F51">
        <w:t xml:space="preserve">, </w:t>
      </w:r>
      <w:r w:rsidR="00EA365C">
        <w:t xml:space="preserve">Order, </w:t>
      </w:r>
      <w:r w:rsidR="003431CE">
        <w:t>3</w:t>
      </w:r>
      <w:r w:rsidR="00E94147">
        <w:t>1</w:t>
      </w:r>
      <w:r w:rsidR="003431CE">
        <w:t xml:space="preserve"> FCC </w:t>
      </w:r>
      <w:r w:rsidR="003431CE">
        <w:t>Rcd</w:t>
      </w:r>
      <w:r w:rsidR="003431CE">
        <w:t xml:space="preserve"> 10683, 10691, para. 27 (WCB 2016)</w:t>
      </w:r>
      <w:r w:rsidR="00F82F12">
        <w:t xml:space="preserve"> (</w:t>
      </w:r>
      <w:r w:rsidR="00F82F12">
        <w:rPr>
          <w:i/>
          <w:iCs/>
        </w:rPr>
        <w:t>Mutual</w:t>
      </w:r>
      <w:r w:rsidR="00BB2CA5">
        <w:rPr>
          <w:i/>
          <w:iCs/>
        </w:rPr>
        <w:t>-</w:t>
      </w:r>
      <w:r w:rsidR="00F82F12">
        <w:rPr>
          <w:i/>
          <w:iCs/>
        </w:rPr>
        <w:t>Winnebago Order</w:t>
      </w:r>
      <w:r w:rsidR="00F82F12">
        <w:t>)</w:t>
      </w:r>
      <w:r w:rsidR="00577F02">
        <w:t xml:space="preserve"> (Bureau finding that the Petitioner</w:t>
      </w:r>
      <w:r w:rsidR="00FC6903">
        <w:t>s’ BPR allocation is reasonable</w:t>
      </w:r>
      <w:r w:rsidR="00EA105A">
        <w:t xml:space="preserve"> and will help Petitioners determine </w:t>
      </w:r>
      <w:r w:rsidRPr="000047C2" w:rsidR="000047C2">
        <w:t>study area specific recovery amounts, including the amount of CAF ICC going forward</w:t>
      </w:r>
      <w:r w:rsidR="007867FF">
        <w:t>)</w:t>
      </w:r>
      <w:r w:rsidR="003431CE">
        <w:t>.</w:t>
      </w:r>
    </w:p>
  </w:footnote>
  <w:footnote w:id="22">
    <w:p w:rsidR="000F6051" w:rsidRPr="00F82F12" w14:paraId="0FC48CF0" w14:textId="39903DD2">
      <w:pPr>
        <w:pStyle w:val="FootnoteText"/>
      </w:pPr>
      <w:r>
        <w:rPr>
          <w:rStyle w:val="FootnoteReference"/>
        </w:rPr>
        <w:footnoteRef/>
      </w:r>
      <w:r>
        <w:t xml:space="preserve"> </w:t>
      </w:r>
      <w:r w:rsidR="00F82F12">
        <w:rPr>
          <w:i/>
          <w:iCs/>
        </w:rPr>
        <w:t>Mutual</w:t>
      </w:r>
      <w:r w:rsidR="008412C2">
        <w:rPr>
          <w:i/>
          <w:iCs/>
        </w:rPr>
        <w:t>-</w:t>
      </w:r>
      <w:r w:rsidR="00F82F12">
        <w:rPr>
          <w:i/>
          <w:iCs/>
        </w:rPr>
        <w:t>Winnebago Order</w:t>
      </w:r>
      <w:r w:rsidR="00F82F12">
        <w:t xml:space="preserve">, 31 FCC </w:t>
      </w:r>
      <w:r w:rsidR="00F82F12">
        <w:t>Rcd</w:t>
      </w:r>
      <w:r w:rsidR="00F82F12">
        <w:t xml:space="preserve"> at 10691, para. 27. </w:t>
      </w:r>
    </w:p>
  </w:footnote>
  <w:footnote w:id="23">
    <w:p w:rsidR="009F018D" w:rsidRPr="00A06BE9" w:rsidP="009F018D" w14:paraId="5C2E1B0A" w14:textId="05ADA4E8">
      <w:pPr>
        <w:pStyle w:val="FootnoteText"/>
        <w:rPr>
          <w:i/>
          <w:iCs/>
        </w:rPr>
      </w:pPr>
      <w:r>
        <w:rPr>
          <w:rStyle w:val="FootnoteReference"/>
        </w:rPr>
        <w:footnoteRef/>
      </w:r>
      <w:r>
        <w:t xml:space="preserve"> </w:t>
      </w:r>
      <w:r w:rsidRPr="000D609C">
        <w:rPr>
          <w:i/>
          <w:iCs/>
        </w:rPr>
        <w:t>See, e.g.</w:t>
      </w:r>
      <w:r w:rsidRPr="000D609C">
        <w:t xml:space="preserve">, </w:t>
      </w:r>
      <w:r w:rsidRPr="00814043">
        <w:rPr>
          <w:i/>
          <w:iCs/>
        </w:rPr>
        <w:t>Butler-</w:t>
      </w:r>
      <w:r w:rsidRPr="00814043">
        <w:rPr>
          <w:i/>
          <w:iCs/>
        </w:rPr>
        <w:t>Panora</w:t>
      </w:r>
      <w:r w:rsidRPr="00814043">
        <w:rPr>
          <w:i/>
          <w:iCs/>
        </w:rPr>
        <w:t xml:space="preserve"> Order</w:t>
      </w:r>
      <w:r w:rsidRPr="00814043">
        <w:t xml:space="preserve">, 33 FCC </w:t>
      </w:r>
      <w:r w:rsidRPr="00814043">
        <w:t>Rcd</w:t>
      </w:r>
      <w:r w:rsidRPr="00814043">
        <w:t xml:space="preserve"> </w:t>
      </w:r>
      <w:r>
        <w:t>at</w:t>
      </w:r>
      <w:r w:rsidRPr="00814043">
        <w:t xml:space="preserve"> 1157-58, paras. 15-16 (outlining and applying relevant Commission precedent to approve the merger of two rate-of-return study area</w:t>
      </w:r>
      <w:r w:rsidR="004503D0">
        <w:t>s</w:t>
      </w:r>
      <w:r w:rsidRPr="00814043">
        <w:t>);</w:t>
      </w:r>
      <w:r>
        <w:t xml:space="preserve"> </w:t>
      </w:r>
      <w:hyperlink r:id="rId1" w:history="1">
        <w:r w:rsidRPr="00A06BE9">
          <w:t xml:space="preserve"> </w:t>
        </w:r>
        <w:r>
          <w:rPr>
            <w:i/>
            <w:iCs/>
          </w:rPr>
          <w:t xml:space="preserve">Connect America Fund </w:t>
        </w:r>
        <w:r w:rsidRPr="00A06BE9">
          <w:rPr>
            <w:i/>
            <w:iCs/>
          </w:rPr>
          <w:t>Developing a Unified Intercarrier Compensation Regime</w:t>
        </w:r>
        <w:r>
          <w:rPr>
            <w:i/>
            <w:iCs/>
          </w:rPr>
          <w:t xml:space="preserve"> </w:t>
        </w:r>
        <w:r w:rsidRPr="00A06BE9">
          <w:rPr>
            <w:i/>
            <w:iCs/>
          </w:rPr>
          <w:t xml:space="preserve">Titonka Telephone Company and The Burt Telephone Company Petition for Waiver of Sections 51.917(b)(1) and 51.917(b)(7) of the Communications Rules to </w:t>
        </w:r>
        <w:r>
          <w:rPr>
            <w:i/>
            <w:iCs/>
          </w:rPr>
          <w:t>M</w:t>
        </w:r>
        <w:r w:rsidRPr="00A06BE9">
          <w:rPr>
            <w:i/>
            <w:iCs/>
          </w:rPr>
          <w:t>odify 2011 Base Period Revenue</w:t>
        </w:r>
        <w:r>
          <w:rPr>
            <w:i/>
            <w:iCs/>
          </w:rPr>
          <w:t>,</w:t>
        </w:r>
        <w:r w:rsidRPr="00DA7EA6">
          <w:rPr>
            <w:i/>
            <w:iCs/>
          </w:rPr>
          <w:t xml:space="preserve"> et al.</w:t>
        </w:r>
        <w:r w:rsidRPr="00DA7EA6">
          <w:t>, WC Docket No.</w:t>
        </w:r>
        <w:r>
          <w:t xml:space="preserve"> </w:t>
        </w:r>
        <w:r w:rsidR="0039285D">
          <w:t>10-90</w:t>
        </w:r>
        <w:r w:rsidR="00DB30DD">
          <w:t xml:space="preserve"> </w:t>
        </w:r>
        <w:r w:rsidR="00C222FD">
          <w:t>et al.</w:t>
        </w:r>
        <w:r w:rsidRPr="00DA7EA6">
          <w:t xml:space="preserve">, Order, 34 FCC </w:t>
        </w:r>
        <w:r w:rsidRPr="00DA7EA6">
          <w:t>Rcd</w:t>
        </w:r>
        <w:r w:rsidRPr="00DA7EA6">
          <w:t xml:space="preserve"> 4777</w:t>
        </w:r>
        <w:r>
          <w:t>, 4781, paras. 8-10</w:t>
        </w:r>
        <w:r w:rsidRPr="00DA7EA6">
          <w:t xml:space="preserve"> (WCB 2019)</w:t>
        </w:r>
      </w:hyperlink>
      <w:r>
        <w:rPr>
          <w:color w:val="000000"/>
        </w:rPr>
        <w:t>.</w:t>
      </w:r>
    </w:p>
  </w:footnote>
  <w:footnote w:id="24">
    <w:p w:rsidR="009F018D" w:rsidRPr="00D6032B" w:rsidP="009F018D" w14:paraId="6FD02B9E" w14:textId="77777777">
      <w:pPr>
        <w:pStyle w:val="FootnoteText"/>
      </w:pPr>
      <w:r>
        <w:rPr>
          <w:rStyle w:val="FootnoteReference"/>
        </w:rPr>
        <w:footnoteRef/>
      </w:r>
      <w:r>
        <w:t xml:space="preserve"> </w:t>
      </w:r>
      <w:r w:rsidRPr="00D6032B">
        <w:rPr>
          <w:i/>
          <w:iCs/>
        </w:rPr>
        <w:t xml:space="preserve">3 Rivers </w:t>
      </w:r>
      <w:r>
        <w:rPr>
          <w:i/>
          <w:iCs/>
        </w:rPr>
        <w:t>Order</w:t>
      </w:r>
      <w:r>
        <w:t xml:space="preserve">, </w:t>
      </w:r>
      <w:r w:rsidRPr="00AF15B1">
        <w:t xml:space="preserve">35 FCC </w:t>
      </w:r>
      <w:r w:rsidRPr="00AF15B1">
        <w:t>Rcd</w:t>
      </w:r>
      <w:r w:rsidRPr="00AF15B1">
        <w:t xml:space="preserve"> </w:t>
      </w:r>
      <w:r>
        <w:t>at 12987, para 12.</w:t>
      </w:r>
    </w:p>
  </w:footnote>
  <w:footnote w:id="25">
    <w:p w:rsidR="009F018D" w:rsidRPr="001F6726" w:rsidP="009F018D" w14:paraId="20263633" w14:textId="0CE57D51">
      <w:pPr>
        <w:pStyle w:val="FootnoteText"/>
      </w:pPr>
      <w:r>
        <w:rPr>
          <w:rStyle w:val="FootnoteReference"/>
        </w:rPr>
        <w:footnoteRef/>
      </w:r>
      <w:r>
        <w:t xml:space="preserve"> </w:t>
      </w:r>
      <w:r>
        <w:rPr>
          <w:i/>
          <w:iCs/>
        </w:rPr>
        <w:t>Butler-</w:t>
      </w:r>
      <w:r>
        <w:rPr>
          <w:i/>
          <w:iCs/>
        </w:rPr>
        <w:t>Panora</w:t>
      </w:r>
      <w:r>
        <w:rPr>
          <w:i/>
          <w:iCs/>
        </w:rPr>
        <w:t xml:space="preserve"> Order</w:t>
      </w:r>
      <w:r>
        <w:t xml:space="preserve">, 33 FCC </w:t>
      </w:r>
      <w:r>
        <w:t>Rcd</w:t>
      </w:r>
      <w:r>
        <w:t xml:space="preserve"> at </w:t>
      </w:r>
      <w:r w:rsidRPr="00E21D8E">
        <w:t>1157-58, paras. 15-16</w:t>
      </w:r>
      <w:r w:rsidR="00BE20BA">
        <w:t>;</w:t>
      </w:r>
      <w:r>
        <w:t xml:space="preserve"> </w:t>
      </w:r>
      <w:r w:rsidR="00BE20BA">
        <w:rPr>
          <w:i/>
          <w:iCs/>
        </w:rPr>
        <w:t>s</w:t>
      </w:r>
      <w:r w:rsidRPr="00E83059" w:rsidR="00DB30DD">
        <w:rPr>
          <w:i/>
          <w:iCs/>
        </w:rPr>
        <w:t>ee</w:t>
      </w:r>
      <w:r w:rsidR="00DB30DD">
        <w:t xml:space="preserve"> </w:t>
      </w:r>
      <w:r w:rsidRPr="008A4BCE">
        <w:rPr>
          <w:i/>
        </w:rPr>
        <w:t>Telapex</w:t>
      </w:r>
      <w:r w:rsidRPr="008A4BCE">
        <w:rPr>
          <w:i/>
        </w:rPr>
        <w:t>, Inc. Petition for Waiver of Sections 51.909(a), 51.9</w:t>
      </w:r>
      <w:r w:rsidRPr="0086464B">
        <w:rPr>
          <w:i/>
        </w:rPr>
        <w:t xml:space="preserve">17(b)(1), and 51.917(b)(7) of the Commission’s Rules to </w:t>
      </w:r>
      <w:r>
        <w:rPr>
          <w:i/>
        </w:rPr>
        <w:t>M</w:t>
      </w:r>
      <w:r w:rsidRPr="0086464B">
        <w:rPr>
          <w:i/>
        </w:rPr>
        <w:t xml:space="preserve">odify </w:t>
      </w:r>
      <w:r>
        <w:rPr>
          <w:i/>
        </w:rPr>
        <w:t>A</w:t>
      </w:r>
      <w:r w:rsidRPr="0086464B">
        <w:rPr>
          <w:i/>
        </w:rPr>
        <w:t xml:space="preserve">ccess </w:t>
      </w:r>
      <w:r>
        <w:rPr>
          <w:i/>
        </w:rPr>
        <w:t>R</w:t>
      </w:r>
      <w:r w:rsidRPr="0086464B">
        <w:rPr>
          <w:i/>
        </w:rPr>
        <w:t xml:space="preserve">ate </w:t>
      </w:r>
      <w:r>
        <w:rPr>
          <w:i/>
        </w:rPr>
        <w:t>B</w:t>
      </w:r>
      <w:r w:rsidRPr="0086464B">
        <w:rPr>
          <w:i/>
        </w:rPr>
        <w:t xml:space="preserve">ands and </w:t>
      </w:r>
      <w:r>
        <w:rPr>
          <w:i/>
        </w:rPr>
        <w:t>C</w:t>
      </w:r>
      <w:r w:rsidRPr="0086464B">
        <w:rPr>
          <w:i/>
        </w:rPr>
        <w:t xml:space="preserve">harges, and 2011 Base Period Revenue in </w:t>
      </w:r>
      <w:r>
        <w:rPr>
          <w:i/>
        </w:rPr>
        <w:t>C</w:t>
      </w:r>
      <w:r w:rsidRPr="0086464B">
        <w:rPr>
          <w:i/>
        </w:rPr>
        <w:t xml:space="preserve">onnection with </w:t>
      </w:r>
      <w:r>
        <w:rPr>
          <w:i/>
        </w:rPr>
        <w:t>M</w:t>
      </w:r>
      <w:r w:rsidRPr="0086464B">
        <w:rPr>
          <w:i/>
        </w:rPr>
        <w:t xml:space="preserve">erger of </w:t>
      </w:r>
      <w:r>
        <w:rPr>
          <w:i/>
        </w:rPr>
        <w:t>A</w:t>
      </w:r>
      <w:r w:rsidRPr="0086464B">
        <w:rPr>
          <w:i/>
        </w:rPr>
        <w:t xml:space="preserve">ffiliated </w:t>
      </w:r>
      <w:r>
        <w:rPr>
          <w:i/>
        </w:rPr>
        <w:t>S</w:t>
      </w:r>
      <w:r w:rsidRPr="0086464B">
        <w:rPr>
          <w:i/>
        </w:rPr>
        <w:t xml:space="preserve">tudy </w:t>
      </w:r>
      <w:r>
        <w:rPr>
          <w:i/>
        </w:rPr>
        <w:t>A</w:t>
      </w:r>
      <w:r w:rsidRPr="0086464B">
        <w:rPr>
          <w:i/>
        </w:rPr>
        <w:t>reas in Mississippi</w:t>
      </w:r>
      <w:r w:rsidR="004465A6">
        <w:rPr>
          <w:i/>
        </w:rPr>
        <w:t xml:space="preserve"> et al.</w:t>
      </w:r>
      <w:r w:rsidRPr="0086464B">
        <w:t>, WC Docket No. 10-90</w:t>
      </w:r>
      <w:r w:rsidR="004465A6">
        <w:t xml:space="preserve"> et al.</w:t>
      </w:r>
      <w:r w:rsidRPr="0086464B">
        <w:t xml:space="preserve">, Order, 33 FCC </w:t>
      </w:r>
      <w:r w:rsidRPr="0086464B">
        <w:t>Rcd</w:t>
      </w:r>
      <w:r w:rsidRPr="0086464B">
        <w:t xml:space="preserve"> 11764 (WCB 2018)</w:t>
      </w:r>
      <w:r>
        <w:rPr>
          <w:iCs/>
        </w:rPr>
        <w:t>.</w:t>
      </w:r>
    </w:p>
  </w:footnote>
  <w:footnote w:id="26">
    <w:p w:rsidR="009F018D" w:rsidP="009F018D" w14:paraId="74FA0848" w14:textId="3811C4FC">
      <w:pPr>
        <w:pStyle w:val="FootnoteText"/>
      </w:pPr>
      <w:r>
        <w:rPr>
          <w:rStyle w:val="FootnoteReference"/>
        </w:rPr>
        <w:footnoteRef/>
      </w:r>
      <w:r>
        <w:t xml:space="preserve"> </w:t>
      </w:r>
      <w:r w:rsidRPr="002825DC">
        <w:rPr>
          <w:i/>
          <w:iCs/>
        </w:rPr>
        <w:t>See, e.g.</w:t>
      </w:r>
      <w:r w:rsidRPr="0025613B">
        <w:t xml:space="preserve">, </w:t>
      </w:r>
      <w:r>
        <w:rPr>
          <w:i/>
          <w:iCs/>
        </w:rPr>
        <w:t xml:space="preserve">Connect America Fund; </w:t>
      </w:r>
      <w:r w:rsidRPr="002825DC">
        <w:rPr>
          <w:i/>
          <w:color w:val="000000" w:themeColor="text1"/>
        </w:rPr>
        <w:t>Mutual</w:t>
      </w:r>
      <w:r>
        <w:rPr>
          <w:i/>
          <w:color w:val="000000" w:themeColor="text1"/>
        </w:rPr>
        <w:t>-</w:t>
      </w:r>
      <w:r w:rsidRPr="002825DC">
        <w:rPr>
          <w:i/>
          <w:color w:val="000000" w:themeColor="text1"/>
        </w:rPr>
        <w:t xml:space="preserve">Winnebago </w:t>
      </w:r>
      <w:r>
        <w:rPr>
          <w:i/>
          <w:color w:val="000000" w:themeColor="text1"/>
        </w:rPr>
        <w:t>Order</w:t>
      </w:r>
      <w:r w:rsidRPr="002825DC">
        <w:rPr>
          <w:color w:val="000000" w:themeColor="text1"/>
        </w:rPr>
        <w:t xml:space="preserve">, 31 FCC </w:t>
      </w:r>
      <w:r w:rsidRPr="002825DC">
        <w:rPr>
          <w:color w:val="000000" w:themeColor="text1"/>
        </w:rPr>
        <w:t>Rcd</w:t>
      </w:r>
      <w:r w:rsidRPr="002825DC">
        <w:rPr>
          <w:color w:val="000000" w:themeColor="text1"/>
        </w:rPr>
        <w:t xml:space="preserve"> </w:t>
      </w:r>
      <w:r>
        <w:rPr>
          <w:color w:val="000000" w:themeColor="text1"/>
        </w:rPr>
        <w:t>at</w:t>
      </w:r>
      <w:r w:rsidRPr="002825DC">
        <w:rPr>
          <w:color w:val="000000" w:themeColor="text1"/>
        </w:rPr>
        <w:t xml:space="preserve"> 10691, para. 27 (approving allocating BPR amounts using a simple average of the access line count for FY 2011 when only a portion of a study area is involved)</w:t>
      </w:r>
      <w:r>
        <w:rPr>
          <w:color w:val="000000" w:themeColor="text1"/>
        </w:rPr>
        <w:t xml:space="preserve">; </w:t>
      </w:r>
      <w:r w:rsidRPr="00BF1E86">
        <w:rPr>
          <w:i/>
          <w:iCs/>
          <w:color w:val="000000" w:themeColor="text1"/>
        </w:rPr>
        <w:t>3 Rivers Order</w:t>
      </w:r>
      <w:r>
        <w:rPr>
          <w:color w:val="000000" w:themeColor="text1"/>
        </w:rPr>
        <w:t xml:space="preserve">, </w:t>
      </w:r>
      <w:r>
        <w:t xml:space="preserve">35 FCC </w:t>
      </w:r>
      <w:r>
        <w:t>Rcd</w:t>
      </w:r>
      <w:r>
        <w:t xml:space="preserve"> at 12990, para. 18</w:t>
      </w:r>
      <w:r w:rsidRPr="002825DC">
        <w:rPr>
          <w:color w:val="000000" w:themeColor="text1"/>
        </w:rPr>
        <w:t>.</w:t>
      </w:r>
    </w:p>
  </w:footnote>
  <w:footnote w:id="27">
    <w:p w:rsidR="009F018D" w:rsidP="009F018D" w14:paraId="371CB67B" w14:textId="77777777">
      <w:pPr>
        <w:pStyle w:val="FootnoteText"/>
      </w:pPr>
      <w:r>
        <w:rPr>
          <w:rStyle w:val="FootnoteReference"/>
        </w:rPr>
        <w:footnoteRef/>
      </w:r>
      <w:r>
        <w:t xml:space="preserve"> </w:t>
      </w:r>
      <w:r w:rsidRPr="002825DC">
        <w:rPr>
          <w:i/>
        </w:rPr>
        <w:t>See</w:t>
      </w:r>
      <w:r>
        <w:rPr>
          <w:i/>
        </w:rPr>
        <w:t>, e.g.</w:t>
      </w:r>
      <w:r w:rsidRPr="00CB181C">
        <w:rPr>
          <w:iCs/>
        </w:rPr>
        <w:t>,</w:t>
      </w:r>
      <w:r w:rsidRPr="002825DC">
        <w:t xml:space="preserve"> </w:t>
      </w:r>
      <w:r w:rsidRPr="002825DC">
        <w:rPr>
          <w:i/>
        </w:rPr>
        <w:t>Butler-</w:t>
      </w:r>
      <w:r w:rsidRPr="002825DC">
        <w:rPr>
          <w:i/>
        </w:rPr>
        <w:t>Panora</w:t>
      </w:r>
      <w:r w:rsidRPr="002825DC">
        <w:rPr>
          <w:i/>
        </w:rPr>
        <w:t xml:space="preserve"> Order</w:t>
      </w:r>
      <w:r w:rsidRPr="002825DC">
        <w:t xml:space="preserve">, 33 FCC </w:t>
      </w:r>
      <w:r w:rsidRPr="002825DC">
        <w:t>Rcd</w:t>
      </w:r>
      <w:r w:rsidRPr="002825DC">
        <w:t xml:space="preserve"> at 1157, para. 15.</w:t>
      </w:r>
    </w:p>
  </w:footnote>
  <w:footnote w:id="28">
    <w:p w:rsidR="009F018D" w:rsidP="009F018D" w14:paraId="63915E21" w14:textId="77777777">
      <w:pPr>
        <w:pStyle w:val="FootnoteText"/>
      </w:pPr>
      <w:r>
        <w:rPr>
          <w:rStyle w:val="FootnoteReference"/>
        </w:rPr>
        <w:footnoteRef/>
      </w:r>
      <w:r>
        <w:t xml:space="preserve"> </w:t>
      </w:r>
      <w:r>
        <w:rPr>
          <w:i/>
        </w:rPr>
        <w:t>See</w:t>
      </w:r>
      <w:r w:rsidRPr="00620614">
        <w:t>,</w:t>
      </w:r>
      <w:r>
        <w:rPr>
          <w:i/>
        </w:rPr>
        <w:t xml:space="preserve"> e</w:t>
      </w:r>
      <w:r w:rsidRPr="00620614">
        <w:t>.</w:t>
      </w:r>
      <w:r>
        <w:rPr>
          <w:i/>
        </w:rPr>
        <w:t>g</w:t>
      </w:r>
      <w:r w:rsidRPr="00620614">
        <w:t>.</w:t>
      </w:r>
      <w:r>
        <w:t xml:space="preserve">, </w:t>
      </w:r>
      <w:r>
        <w:rPr>
          <w:i/>
        </w:rPr>
        <w:t>Butler-</w:t>
      </w:r>
      <w:r>
        <w:rPr>
          <w:i/>
        </w:rPr>
        <w:t>Panora</w:t>
      </w:r>
      <w:r>
        <w:rPr>
          <w:i/>
        </w:rPr>
        <w:t xml:space="preserve"> Order</w:t>
      </w:r>
      <w:r>
        <w:t xml:space="preserve">, 33 FCC </w:t>
      </w:r>
      <w:r>
        <w:t>Rcd</w:t>
      </w:r>
      <w:r>
        <w:t xml:space="preserve"> at 1157-58, para. 16; </w:t>
      </w:r>
      <w:r>
        <w:rPr>
          <w:i/>
        </w:rPr>
        <w:t>Titonka-ITC-</w:t>
      </w:r>
      <w:r w:rsidRPr="00620614">
        <w:rPr>
          <w:i/>
        </w:rPr>
        <w:t>Northeast Order</w:t>
      </w:r>
      <w:r>
        <w:t xml:space="preserve">, </w:t>
      </w:r>
      <w:r w:rsidRPr="00C937A3">
        <w:t xml:space="preserve">34 FCC </w:t>
      </w:r>
      <w:r w:rsidRPr="00C937A3">
        <w:t>Rcd</w:t>
      </w:r>
      <w:r w:rsidRPr="00C937A3">
        <w:t xml:space="preserve"> </w:t>
      </w:r>
      <w:r>
        <w:t xml:space="preserve">at 4781-82, para. 10. </w:t>
      </w:r>
    </w:p>
  </w:footnote>
  <w:footnote w:id="29">
    <w:p w:rsidR="00473650" w14:paraId="03573487" w14:textId="57459602">
      <w:pPr>
        <w:pStyle w:val="FootnoteText"/>
      </w:pPr>
      <w:r>
        <w:rPr>
          <w:rStyle w:val="FootnoteReference"/>
        </w:rPr>
        <w:footnoteRef/>
      </w:r>
      <w:r>
        <w:t xml:space="preserve"> </w:t>
      </w:r>
      <w:r>
        <w:rPr>
          <w:i/>
          <w:iCs/>
        </w:rPr>
        <w:t>Application Granted for the Acquisition of Certain Assets of Midstate Telephone Company, LLC by Northwest Communications Cooperative, Inc.</w:t>
      </w:r>
      <w:r w:rsidRPr="00606B22">
        <w:t>;</w:t>
      </w:r>
      <w:r>
        <w:rPr>
          <w:i/>
          <w:iCs/>
        </w:rPr>
        <w:t xml:space="preserve"> Joint Petition Granted for Waiver of the Definition of “Study Area” Contained in Part 36 of the Commission’s Rules</w:t>
      </w:r>
      <w:r>
        <w:t>, WC Docket No. 22-397, CC Docket No. 96-45, Public Notice, DA 23-143,</w:t>
      </w:r>
      <w:r w:rsidRPr="00D27853">
        <w:t xml:space="preserve"> 2023 WL 2212748</w:t>
      </w:r>
      <w:r>
        <w:t xml:space="preserve"> (WCB Feb. 23, 2023) (</w:t>
      </w:r>
      <w:r w:rsidRPr="00606B22">
        <w:rPr>
          <w:i/>
          <w:iCs/>
        </w:rPr>
        <w:t>Public Notice</w:t>
      </w:r>
      <w:r>
        <w:t>).</w:t>
      </w:r>
      <w:r w:rsidRPr="0083186B" w:rsidR="0083186B">
        <w:t xml:space="preserve"> </w:t>
      </w:r>
      <w:r w:rsidR="001563E9">
        <w:t xml:space="preserve"> </w:t>
      </w:r>
      <w:r w:rsidR="0083186B">
        <w:t>O</w:t>
      </w:r>
      <w:r w:rsidRPr="0083186B" w:rsidR="0083186B">
        <w:t>n February 8, 2023, the North Dakota Public Services Commission issued an order approving the transfer of the exchange in Portal, North Dakota from Midstate to NCC</w:t>
      </w:r>
      <w:r w:rsidR="0083186B">
        <w:t>.</w:t>
      </w:r>
      <w:r w:rsidRPr="0083186B" w:rsidR="0083186B">
        <w:t xml:space="preserve"> </w:t>
      </w:r>
      <w:r w:rsidR="0083186B">
        <w:rPr>
          <w:i/>
          <w:iCs/>
        </w:rPr>
        <w:t>Northwest Communications/Midstate Telephone Company, et al.</w:t>
      </w:r>
      <w:r w:rsidR="0083186B">
        <w:t>, Case Nos. PU-22-408, PU-22-409, Order (N.D. Pub. Serv. Comm. Feb. 8, 2023),</w:t>
      </w:r>
      <w:r w:rsidRPr="009E13E1" w:rsidR="0083186B">
        <w:t xml:space="preserve"> </w:t>
      </w:r>
      <w:hyperlink r:id="rId2" w:history="1">
        <w:r w:rsidRPr="00CE5633" w:rsidR="0083186B">
          <w:rPr>
            <w:rStyle w:val="Hyperlink"/>
          </w:rPr>
          <w:t>https://www.psc.nd.gov/database/documents/22-0409/013-030.pdf</w:t>
        </w:r>
      </w:hyperlink>
      <w:r w:rsidR="0083186B">
        <w:t>.</w:t>
      </w:r>
    </w:p>
  </w:footnote>
  <w:footnote w:id="30">
    <w:p w:rsidR="00473650" w14:paraId="12501127" w14:textId="2F6DB2A2">
      <w:pPr>
        <w:pStyle w:val="FootnoteText"/>
      </w:pPr>
      <w:r>
        <w:rPr>
          <w:rStyle w:val="FootnoteReference"/>
        </w:rPr>
        <w:footnoteRef/>
      </w:r>
      <w:r>
        <w:t xml:space="preserve"> </w:t>
      </w:r>
      <w:r w:rsidRPr="00BF1E86" w:rsidR="00E4024A">
        <w:rPr>
          <w:i/>
          <w:iCs/>
        </w:rPr>
        <w:t>Public Notice</w:t>
      </w:r>
      <w:r w:rsidR="00E4024A">
        <w:t xml:space="preserve"> at 1. </w:t>
      </w:r>
    </w:p>
  </w:footnote>
  <w:footnote w:id="31">
    <w:p w:rsidR="00E4024A" w14:paraId="66C1435E" w14:textId="2109D580">
      <w:pPr>
        <w:pStyle w:val="FootnoteText"/>
      </w:pPr>
      <w:r>
        <w:rPr>
          <w:rStyle w:val="FootnoteReference"/>
        </w:rPr>
        <w:footnoteRef/>
      </w:r>
      <w:r>
        <w:t xml:space="preserve"> </w:t>
      </w:r>
      <w:r>
        <w:rPr>
          <w:i/>
          <w:iCs/>
        </w:rPr>
        <w:t>Id.</w:t>
      </w:r>
      <w:r>
        <w:t xml:space="preserve"> at 2.</w:t>
      </w:r>
    </w:p>
  </w:footnote>
  <w:footnote w:id="32">
    <w:p w:rsidR="00C00C63" w14:paraId="7766061E" w14:textId="76B403B8">
      <w:pPr>
        <w:pStyle w:val="FootnoteText"/>
      </w:pPr>
      <w:r>
        <w:rPr>
          <w:rStyle w:val="FootnoteReference"/>
        </w:rPr>
        <w:footnoteRef/>
      </w:r>
      <w:r>
        <w:t xml:space="preserve"> </w:t>
      </w:r>
      <w:bookmarkStart w:id="4" w:name="_Hlk129260508"/>
      <w:r w:rsidRPr="00BF1E86" w:rsidR="00E4024A">
        <w:t>Joint Petition</w:t>
      </w:r>
      <w:r w:rsidRPr="0053698B" w:rsidR="0053698B">
        <w:t xml:space="preserve"> </w:t>
      </w:r>
      <w:bookmarkEnd w:id="4"/>
      <w:r w:rsidRPr="0053698B" w:rsidR="0053698B">
        <w:t xml:space="preserve">at 1.  </w:t>
      </w:r>
    </w:p>
  </w:footnote>
  <w:footnote w:id="33">
    <w:p w:rsidR="00B8256E" w14:paraId="7DFF7EB3" w14:textId="249F6926">
      <w:pPr>
        <w:pStyle w:val="FootnoteText"/>
      </w:pPr>
      <w:r>
        <w:rPr>
          <w:rStyle w:val="FootnoteReference"/>
        </w:rPr>
        <w:footnoteRef/>
      </w:r>
      <w:r>
        <w:t xml:space="preserve"> </w:t>
      </w:r>
      <w:r w:rsidRPr="00BF1E86" w:rsidR="00890E29">
        <w:rPr>
          <w:i/>
          <w:iCs/>
        </w:rPr>
        <w:t>Id</w:t>
      </w:r>
      <w:r w:rsidR="00890E29">
        <w:t xml:space="preserve">. </w:t>
      </w:r>
      <w:r>
        <w:t xml:space="preserve">at 3.   </w:t>
      </w:r>
    </w:p>
  </w:footnote>
  <w:footnote w:id="34">
    <w:p w:rsidR="00890E29" w14:paraId="1C77A2F3" w14:textId="58BD4CC5">
      <w:pPr>
        <w:pStyle w:val="FootnoteText"/>
      </w:pPr>
      <w:r>
        <w:rPr>
          <w:rStyle w:val="FootnoteReference"/>
        </w:rPr>
        <w:footnoteRef/>
      </w:r>
      <w:r>
        <w:t xml:space="preserve"> </w:t>
      </w:r>
      <w:r w:rsidRPr="00BF1E86">
        <w:rPr>
          <w:i/>
          <w:iCs/>
        </w:rPr>
        <w:t>Id</w:t>
      </w:r>
      <w:r>
        <w:t>.</w:t>
      </w:r>
      <w:r w:rsidR="00033D78">
        <w:t xml:space="preserve"> </w:t>
      </w:r>
      <w:r w:rsidR="00D0528B">
        <w:t xml:space="preserve"> The NECA tariff contains several switched access rates depending on what service is order</w:t>
      </w:r>
      <w:r w:rsidR="003B1D8C">
        <w:t>ed</w:t>
      </w:r>
      <w:r w:rsidR="00D0528B">
        <w:t>.  For example, a</w:t>
      </w:r>
      <w:r w:rsidR="00033D78">
        <w:t>s of July 1, 2022, the NECA local switching</w:t>
      </w:r>
      <w:r w:rsidR="0082436F">
        <w:t xml:space="preserve"> </w:t>
      </w:r>
      <w:r w:rsidR="00D0528B">
        <w:t xml:space="preserve">per originating access minute </w:t>
      </w:r>
      <w:r w:rsidR="0082436F">
        <w:t>rates are as follows: premium non-toll free</w:t>
      </w:r>
      <w:r w:rsidR="00D0528B">
        <w:t>:</w:t>
      </w:r>
      <w:r w:rsidR="0082436F">
        <w:t xml:space="preserve"> rate band 4</w:t>
      </w:r>
      <w:r w:rsidR="00D0528B">
        <w:t xml:space="preserve"> (</w:t>
      </w:r>
      <w:r w:rsidRPr="0082436F" w:rsidR="00D0528B">
        <w:t>$0.029158</w:t>
      </w:r>
      <w:r w:rsidR="00D0528B">
        <w:t xml:space="preserve">), </w:t>
      </w:r>
      <w:r w:rsidR="0082436F">
        <w:t>rate band 8</w:t>
      </w:r>
      <w:r w:rsidR="00D0528B">
        <w:t xml:space="preserve"> (</w:t>
      </w:r>
      <w:r w:rsidRPr="0082436F" w:rsidR="00D0528B">
        <w:t>$0.048596</w:t>
      </w:r>
      <w:r w:rsidR="00D0528B">
        <w:t>)</w:t>
      </w:r>
      <w:r w:rsidR="0082436F">
        <w:t>; premium toll free</w:t>
      </w:r>
      <w:r w:rsidR="00D0528B">
        <w:t>:</w:t>
      </w:r>
      <w:r w:rsidRPr="00D0528B" w:rsidR="00D0528B">
        <w:t xml:space="preserve"> </w:t>
      </w:r>
      <w:r w:rsidR="00D0528B">
        <w:t>rate band 4 (</w:t>
      </w:r>
      <w:r w:rsidRPr="00D0528B" w:rsidR="00D0528B">
        <w:t>$0.014396</w:t>
      </w:r>
      <w:r w:rsidR="00D0528B">
        <w:t xml:space="preserve">), rate band </w:t>
      </w:r>
      <w:r w:rsidR="00496DAB">
        <w:t xml:space="preserve">8 </w:t>
      </w:r>
      <w:r w:rsidR="00D0528B">
        <w:t>(</w:t>
      </w:r>
      <w:r w:rsidRPr="00D0528B" w:rsidR="00D0528B">
        <w:t>$0.023993</w:t>
      </w:r>
      <w:r w:rsidR="00D0528B">
        <w:t>); non-premium non-toll free:</w:t>
      </w:r>
      <w:r w:rsidRPr="00D0528B" w:rsidR="00D0528B">
        <w:t xml:space="preserve"> </w:t>
      </w:r>
      <w:r w:rsidR="00D0528B">
        <w:t>rate band 4 (</w:t>
      </w:r>
      <w:r w:rsidRPr="00D0528B" w:rsidR="00D0528B">
        <w:t>$0.013121</w:t>
      </w:r>
      <w:r w:rsidR="00D0528B">
        <w:t>), rate band 8 (</w:t>
      </w:r>
      <w:r w:rsidRPr="00D0528B" w:rsidR="00D0528B">
        <w:t>$0.021869</w:t>
      </w:r>
      <w:r w:rsidR="00D0528B">
        <w:t>); non-premium toll free: rate band 4 (</w:t>
      </w:r>
      <w:r w:rsidRPr="00D0528B" w:rsidR="00D0528B">
        <w:t>$0.006478</w:t>
      </w:r>
      <w:r w:rsidR="00D0528B">
        <w:t>), rate band 8 (</w:t>
      </w:r>
      <w:r w:rsidRPr="00D0528B" w:rsidR="00D0528B">
        <w:t>$0.010797</w:t>
      </w:r>
      <w:r w:rsidR="00D0528B">
        <w:t xml:space="preserve">). NECA </w:t>
      </w:r>
      <w:r w:rsidR="00565945">
        <w:t xml:space="preserve">F.C.C Tariff No. 5, </w:t>
      </w:r>
      <w:r w:rsidR="003E1A87">
        <w:t xml:space="preserve">§ </w:t>
      </w:r>
      <w:r w:rsidR="00565945">
        <w:t xml:space="preserve">17.2.3 (eff. Jul. 1, 2022). </w:t>
      </w:r>
      <w:r w:rsidR="0082436F">
        <w:t xml:space="preserve">  </w:t>
      </w:r>
    </w:p>
  </w:footnote>
  <w:footnote w:id="35">
    <w:p w:rsidR="00890E29" w14:paraId="5C8D5332" w14:textId="4737F38D">
      <w:pPr>
        <w:pStyle w:val="FootnoteText"/>
      </w:pPr>
      <w:r>
        <w:rPr>
          <w:rStyle w:val="FootnoteReference"/>
        </w:rPr>
        <w:footnoteRef/>
      </w:r>
      <w:r>
        <w:t xml:space="preserve"> </w:t>
      </w:r>
      <w:r w:rsidRPr="00BF1E86" w:rsidR="00840AF8">
        <w:t xml:space="preserve">Joint Petition at 3. </w:t>
      </w:r>
    </w:p>
  </w:footnote>
  <w:footnote w:id="36">
    <w:p w:rsidR="002A13D4" w:rsidP="002A13D4" w14:paraId="644E488E" w14:textId="221024BD">
      <w:pPr>
        <w:pStyle w:val="FootnoteText"/>
      </w:pPr>
      <w:r>
        <w:rPr>
          <w:rStyle w:val="FootnoteReference"/>
        </w:rPr>
        <w:footnoteRef/>
      </w:r>
      <w:r>
        <w:t xml:space="preserve"> </w:t>
      </w:r>
      <w:r w:rsidRPr="006C140B" w:rsidR="00EF2917">
        <w:rPr>
          <w:i/>
          <w:iCs/>
        </w:rPr>
        <w:t>Id</w:t>
      </w:r>
      <w:r w:rsidR="00EF2917">
        <w:t>.</w:t>
      </w:r>
      <w:r w:rsidRPr="0053698B" w:rsidR="00EF2917">
        <w:t xml:space="preserve"> </w:t>
      </w:r>
    </w:p>
  </w:footnote>
  <w:footnote w:id="37">
    <w:p w:rsidR="00667D87" w14:paraId="0E4DD766" w14:textId="1F5A1760">
      <w:pPr>
        <w:pStyle w:val="FootnoteText"/>
      </w:pPr>
      <w:r>
        <w:rPr>
          <w:rStyle w:val="FootnoteReference"/>
        </w:rPr>
        <w:footnoteRef/>
      </w:r>
      <w:r>
        <w:t xml:space="preserve"> </w:t>
      </w:r>
      <w:r w:rsidRPr="006C140B" w:rsidR="00EF2917">
        <w:rPr>
          <w:i/>
          <w:iCs/>
        </w:rPr>
        <w:t>Id</w:t>
      </w:r>
      <w:r w:rsidR="00EF2917">
        <w:t>.</w:t>
      </w:r>
      <w:r w:rsidRPr="0053698B" w:rsidR="00EF2917">
        <w:t xml:space="preserve"> </w:t>
      </w:r>
      <w:r>
        <w:t>at 1.</w:t>
      </w:r>
      <w:r w:rsidR="00616864">
        <w:t xml:space="preserve">  </w:t>
      </w:r>
    </w:p>
  </w:footnote>
  <w:footnote w:id="38">
    <w:p w:rsidR="006A2E4B" w14:paraId="25EB4101" w14:textId="5E3F85F4">
      <w:pPr>
        <w:pStyle w:val="FootnoteText"/>
      </w:pPr>
      <w:r>
        <w:rPr>
          <w:rStyle w:val="FootnoteReference"/>
        </w:rPr>
        <w:footnoteRef/>
      </w:r>
      <w:r>
        <w:t xml:space="preserve"> </w:t>
      </w:r>
      <w:r w:rsidRPr="006C140B" w:rsidR="00EF2917">
        <w:rPr>
          <w:i/>
          <w:iCs/>
        </w:rPr>
        <w:t>Id</w:t>
      </w:r>
      <w:r w:rsidR="00EF2917">
        <w:t>.</w:t>
      </w:r>
      <w:r w:rsidRPr="0053698B" w:rsidR="00EF2917">
        <w:t xml:space="preserve"> </w:t>
      </w:r>
      <w:r w:rsidR="0067262B">
        <w:t>at</w:t>
      </w:r>
      <w:r w:rsidR="00667E92">
        <w:t xml:space="preserve"> 4</w:t>
      </w:r>
      <w:r>
        <w:t>.</w:t>
      </w:r>
    </w:p>
  </w:footnote>
  <w:footnote w:id="39">
    <w:p w:rsidR="005059A6" w:rsidP="005059A6" w14:paraId="6E68A31E" w14:textId="55D90CD7">
      <w:pPr>
        <w:pStyle w:val="FootnoteText"/>
      </w:pPr>
      <w:r>
        <w:rPr>
          <w:rStyle w:val="FootnoteReference"/>
        </w:rPr>
        <w:footnoteRef/>
      </w:r>
      <w:r>
        <w:t xml:space="preserve"> </w:t>
      </w:r>
      <w:r w:rsidRPr="00A3437D">
        <w:rPr>
          <w:i/>
        </w:rPr>
        <w:t>See</w:t>
      </w:r>
      <w:r w:rsidRPr="00BD6960">
        <w:t xml:space="preserve"> </w:t>
      </w:r>
      <w:r w:rsidRPr="003D6A7C">
        <w:rPr>
          <w:i/>
        </w:rPr>
        <w:t xml:space="preserve">Wireline Competition Bureau Seeks Comment on </w:t>
      </w:r>
      <w:r w:rsidR="00FE5930">
        <w:rPr>
          <w:i/>
        </w:rPr>
        <w:t>Northwest Communication</w:t>
      </w:r>
      <w:r w:rsidR="002F570D">
        <w:rPr>
          <w:i/>
        </w:rPr>
        <w:t xml:space="preserve"> Cooperative</w:t>
      </w:r>
      <w:r w:rsidR="00FE5930">
        <w:rPr>
          <w:i/>
        </w:rPr>
        <w:t xml:space="preserve">, Inc. and Midstate Telephone Company, LLC For Waiver of Part 51 Access Charge and Connect America </w:t>
      </w:r>
      <w:r w:rsidR="00677890">
        <w:rPr>
          <w:i/>
        </w:rPr>
        <w:t>Fund Intercarrier Compensation Calculation</w:t>
      </w:r>
      <w:r w:rsidRPr="00BD6960">
        <w:t>,</w:t>
      </w:r>
      <w:r w:rsidR="00CC46F9">
        <w:t xml:space="preserve"> </w:t>
      </w:r>
      <w:r w:rsidRPr="00BD6960" w:rsidR="00CC46F9">
        <w:t xml:space="preserve">WC </w:t>
      </w:r>
      <w:r w:rsidR="00CC46F9">
        <w:t>Docket</w:t>
      </w:r>
      <w:r w:rsidRPr="00BD6960" w:rsidR="00CC46F9">
        <w:t xml:space="preserve">. No. </w:t>
      </w:r>
      <w:r w:rsidR="00CC46F9">
        <w:t>22-434</w:t>
      </w:r>
      <w:r w:rsidR="00C25702">
        <w:t>,</w:t>
      </w:r>
      <w:r w:rsidRPr="00BD6960" w:rsidR="00CC46F9">
        <w:t xml:space="preserve"> </w:t>
      </w:r>
      <w:r w:rsidRPr="00BD6960">
        <w:t xml:space="preserve">Public Notice, DA </w:t>
      </w:r>
      <w:r w:rsidR="00677890">
        <w:t>22-1305</w:t>
      </w:r>
      <w:r w:rsidRPr="00BD6960">
        <w:t>,</w:t>
      </w:r>
      <w:r w:rsidR="00853163">
        <w:t xml:space="preserve"> </w:t>
      </w:r>
      <w:r w:rsidRPr="00853163" w:rsidR="00853163">
        <w:t>2022 WL 18023064</w:t>
      </w:r>
      <w:r w:rsidRPr="00BD6960">
        <w:t xml:space="preserve"> (WCB </w:t>
      </w:r>
      <w:r w:rsidR="00677890">
        <w:t>Dec. 12, 2022</w:t>
      </w:r>
      <w:r w:rsidRPr="00BD6960">
        <w:t>)</w:t>
      </w:r>
      <w:r w:rsidR="00677890">
        <w:t>.</w:t>
      </w:r>
    </w:p>
  </w:footnote>
  <w:footnote w:id="40">
    <w:p w:rsidR="00A84771" w:rsidRPr="00344489" w:rsidP="00A84771" w14:paraId="432BD115" w14:textId="25047284">
      <w:pPr>
        <w:pStyle w:val="FootnoteText"/>
      </w:pPr>
      <w:r>
        <w:rPr>
          <w:rStyle w:val="FootnoteReference"/>
        </w:rPr>
        <w:footnoteRef/>
      </w:r>
      <w:r>
        <w:t xml:space="preserve"> Letter from John Kuykendall, Regulatory Advisor, JSI, </w:t>
      </w:r>
      <w:r w:rsidR="004F647B">
        <w:t xml:space="preserve">on behalf of Petitioners, </w:t>
      </w:r>
      <w:r>
        <w:t xml:space="preserve">to Marlene H. Dortch, Secretary, FCC, WC Docket No. 22-434, at 1-2 (filed March 9, 2023) (JSI </w:t>
      </w:r>
      <w:r w:rsidR="0074244C">
        <w:t>Mar. 9 Letter</w:t>
      </w:r>
      <w:r>
        <w:t xml:space="preserve">).  </w:t>
      </w:r>
    </w:p>
  </w:footnote>
  <w:footnote w:id="41">
    <w:p w:rsidR="00D56C8B" w:rsidRPr="00822619" w:rsidP="00D56C8B" w14:paraId="735C2F69" w14:textId="77777777">
      <w:pPr>
        <w:pStyle w:val="FootnoteText"/>
        <w:rPr>
          <w:color w:val="000000"/>
        </w:rPr>
      </w:pPr>
      <w:r w:rsidRPr="00822619">
        <w:rPr>
          <w:rStyle w:val="FootnoteReference"/>
          <w:color w:val="000000"/>
        </w:rPr>
        <w:footnoteRef/>
      </w:r>
      <w:r w:rsidRPr="00822619">
        <w:rPr>
          <w:color w:val="000000"/>
        </w:rPr>
        <w:t xml:space="preserve"> 47 CFR § 1.3.</w:t>
      </w:r>
    </w:p>
  </w:footnote>
  <w:footnote w:id="42">
    <w:p w:rsidR="00D56C8B" w:rsidRPr="00822619" w:rsidP="00D56C8B" w14:paraId="3293D2B8"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Northeast Cellular Telephone Co. L.P. v. FCC</w:t>
      </w:r>
      <w:r w:rsidRPr="00822619">
        <w:rPr>
          <w:color w:val="000000"/>
        </w:rPr>
        <w:t>, 897 F.2d 1164, 1166 (D.C. Cir. 1990) (</w:t>
      </w:r>
      <w:r w:rsidRPr="00822619">
        <w:rPr>
          <w:i/>
          <w:color w:val="000000"/>
        </w:rPr>
        <w:t>Northeast Cellular</w:t>
      </w:r>
      <w:r w:rsidRPr="00822619">
        <w:rPr>
          <w:color w:val="000000"/>
        </w:rPr>
        <w:t xml:space="preserve">).  </w:t>
      </w:r>
    </w:p>
  </w:footnote>
  <w:footnote w:id="43">
    <w:p w:rsidR="00D56C8B" w:rsidRPr="00822619" w:rsidP="00D56C8B" w14:paraId="6C07B52F" w14:textId="77777777">
      <w:pPr>
        <w:pStyle w:val="FootnoteText"/>
        <w:rPr>
          <w:color w:val="000000"/>
        </w:rPr>
      </w:pPr>
      <w:r w:rsidRPr="00822619">
        <w:rPr>
          <w:rStyle w:val="FootnoteReference"/>
          <w:color w:val="000000"/>
        </w:rPr>
        <w:footnoteRef/>
      </w:r>
      <w:r w:rsidRPr="00822619">
        <w:rPr>
          <w:color w:val="000000"/>
        </w:rPr>
        <w:t xml:space="preserve"> </w:t>
      </w:r>
      <w:r w:rsidRPr="00822619">
        <w:rPr>
          <w:color w:val="000000"/>
          <w:szCs w:val="22"/>
        </w:rPr>
        <w:t xml:space="preserve">The Commission may, on an individual basis, take into account considerations of hardship, equity, or more effective implementation of overall policy. </w:t>
      </w:r>
      <w:r w:rsidRPr="00822619">
        <w:rPr>
          <w:i/>
          <w:color w:val="000000"/>
        </w:rPr>
        <w:t xml:space="preserve"> See WAIT Radio v. FCC</w:t>
      </w:r>
      <w:r w:rsidRPr="00822619">
        <w:rPr>
          <w:color w:val="000000"/>
        </w:rPr>
        <w:t xml:space="preserve">, 418 F.2d 1153, 1159 (D.C. Cir. 1969); </w:t>
      </w:r>
      <w:r w:rsidRPr="00822619">
        <w:rPr>
          <w:i/>
          <w:color w:val="000000"/>
        </w:rPr>
        <w:t>Northeast Cellular</w:t>
      </w:r>
      <w:r w:rsidRPr="00822619">
        <w:rPr>
          <w:color w:val="000000"/>
        </w:rPr>
        <w:t xml:space="preserve">, 897 F.2d at 1166.  </w:t>
      </w:r>
    </w:p>
  </w:footnote>
  <w:footnote w:id="44">
    <w:p w:rsidR="00987EFD" w14:paraId="16DF6912" w14:textId="6343E88D">
      <w:pPr>
        <w:pStyle w:val="FootnoteText"/>
      </w:pPr>
      <w:r>
        <w:rPr>
          <w:rStyle w:val="FootnoteReference"/>
        </w:rPr>
        <w:footnoteRef/>
      </w:r>
      <w:r>
        <w:t xml:space="preserve"> </w:t>
      </w:r>
      <w:r w:rsidR="00B201CE">
        <w:rPr>
          <w:i/>
          <w:iCs/>
        </w:rPr>
        <w:t>See</w:t>
      </w:r>
      <w:r w:rsidR="00D37D05">
        <w:rPr>
          <w:i/>
          <w:iCs/>
        </w:rPr>
        <w:t xml:space="preserve">, </w:t>
      </w:r>
      <w:r w:rsidR="0021698E">
        <w:rPr>
          <w:i/>
          <w:iCs/>
        </w:rPr>
        <w:t>e.g.</w:t>
      </w:r>
      <w:r w:rsidRPr="00CB181C" w:rsidR="00D37D05">
        <w:t>,</w:t>
      </w:r>
      <w:r w:rsidR="00B201CE">
        <w:rPr>
          <w:i/>
          <w:iCs/>
        </w:rPr>
        <w:t xml:space="preserve"> 3 Rivers Order</w:t>
      </w:r>
      <w:r w:rsidR="009E7045">
        <w:t xml:space="preserve">, 35 FCC </w:t>
      </w:r>
      <w:r w:rsidR="009E7045">
        <w:t>Rcd</w:t>
      </w:r>
      <w:r w:rsidR="00ED54A6">
        <w:t xml:space="preserve"> 12983</w:t>
      </w:r>
      <w:r w:rsidR="004B367E">
        <w:t>.</w:t>
      </w:r>
    </w:p>
  </w:footnote>
  <w:footnote w:id="45">
    <w:p w:rsidR="00292215" w:rsidP="00292215" w14:paraId="290F54A2" w14:textId="77777777">
      <w:pPr>
        <w:pStyle w:val="FootnoteText"/>
      </w:pPr>
      <w:r>
        <w:rPr>
          <w:rStyle w:val="FootnoteReference"/>
        </w:rPr>
        <w:footnoteRef/>
      </w:r>
      <w:r>
        <w:t xml:space="preserve"> 47 CFR § 51.909(a).</w:t>
      </w:r>
    </w:p>
  </w:footnote>
  <w:footnote w:id="46">
    <w:p w:rsidR="00C850EC" w:rsidP="00C850EC" w14:paraId="21AC521A" w14:textId="62BF630E">
      <w:pPr>
        <w:pStyle w:val="FootnoteText"/>
      </w:pPr>
      <w:r>
        <w:rPr>
          <w:rStyle w:val="FootnoteReference"/>
        </w:rPr>
        <w:footnoteRef/>
      </w:r>
      <w:r>
        <w:t xml:space="preserve"> </w:t>
      </w:r>
      <w:r w:rsidRPr="00BD3D35" w:rsidR="00365AC1">
        <w:t>JSI Mar. 9 Letter</w:t>
      </w:r>
      <w:r>
        <w:t xml:space="preserve"> at 2.  </w:t>
      </w:r>
    </w:p>
  </w:footnote>
  <w:footnote w:id="47">
    <w:p w:rsidR="001743FD" w14:paraId="7A1CAD80" w14:textId="4BD6C0C7">
      <w:pPr>
        <w:pStyle w:val="FootnoteText"/>
      </w:pPr>
      <w:r>
        <w:rPr>
          <w:rStyle w:val="FootnoteReference"/>
        </w:rPr>
        <w:footnoteRef/>
      </w:r>
      <w:r>
        <w:t xml:space="preserve"> </w:t>
      </w:r>
      <w:r w:rsidRPr="00BF1E86" w:rsidR="004C004F">
        <w:t>Joint Petition at 3.</w:t>
      </w:r>
      <w:r w:rsidR="004C004F">
        <w:rPr>
          <w:i/>
          <w:iCs/>
        </w:rPr>
        <w:t xml:space="preserve"> </w:t>
      </w:r>
    </w:p>
  </w:footnote>
  <w:footnote w:id="48">
    <w:p w:rsidR="000233ED" w:rsidRPr="000D1524" w:rsidP="000233ED" w14:paraId="4331BF06" w14:textId="5E42C4C3">
      <w:pPr>
        <w:pStyle w:val="FootnoteText"/>
      </w:pPr>
      <w:r>
        <w:rPr>
          <w:rStyle w:val="FootnoteReference"/>
        </w:rPr>
        <w:footnoteRef/>
      </w:r>
      <w:r>
        <w:t xml:space="preserve"> </w:t>
      </w:r>
      <w:r w:rsidRPr="00BF1E86" w:rsidR="00F0319E">
        <w:rPr>
          <w:i/>
          <w:iCs/>
        </w:rPr>
        <w:t>Id</w:t>
      </w:r>
      <w:r w:rsidR="00F0319E">
        <w:t>.</w:t>
      </w:r>
      <w:r w:rsidRPr="003328AF">
        <w:t xml:space="preserve"> </w:t>
      </w:r>
      <w:r w:rsidRPr="000B5629">
        <w:t>at 5.</w:t>
      </w:r>
    </w:p>
  </w:footnote>
  <w:footnote w:id="49">
    <w:p w:rsidR="000233ED" w:rsidRPr="00822619" w:rsidP="000233ED" w14:paraId="667A1BD3" w14:textId="7468B8D0">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w:t>
      </w:r>
      <w:r w:rsidRPr="00822619">
        <w:rPr>
          <w:i/>
          <w:color w:val="000000"/>
        </w:rPr>
        <w:t xml:space="preserve"> e</w:t>
      </w:r>
      <w:r w:rsidRPr="00822619">
        <w:rPr>
          <w:color w:val="000000"/>
        </w:rPr>
        <w:t>.</w:t>
      </w:r>
      <w:r w:rsidRPr="00822619">
        <w:rPr>
          <w:i/>
          <w:color w:val="000000"/>
        </w:rPr>
        <w:t>g</w:t>
      </w:r>
      <w:r w:rsidRPr="00822619">
        <w:rPr>
          <w:color w:val="000000"/>
        </w:rPr>
        <w:t>.</w:t>
      </w:r>
      <w:r w:rsidRPr="00822619">
        <w:rPr>
          <w:i/>
          <w:color w:val="000000"/>
        </w:rPr>
        <w:t>, USF/ICC Transformation Order</w:t>
      </w:r>
      <w:r w:rsidRPr="00822619">
        <w:rPr>
          <w:color w:val="000000"/>
        </w:rPr>
        <w:t xml:space="preserve">, 26 FCC </w:t>
      </w:r>
      <w:r w:rsidRPr="00822619">
        <w:rPr>
          <w:color w:val="000000"/>
        </w:rPr>
        <w:t>Rcd</w:t>
      </w:r>
      <w:r w:rsidRPr="00822619">
        <w:rPr>
          <w:color w:val="000000"/>
        </w:rPr>
        <w:t xml:space="preserve"> at 17984-85, para. 902</w:t>
      </w:r>
      <w:r>
        <w:rPr>
          <w:color w:val="000000"/>
        </w:rPr>
        <w:t xml:space="preserve">; </w:t>
      </w:r>
      <w:r w:rsidRPr="001A62E1">
        <w:t xml:space="preserve">Joint Petition at </w:t>
      </w:r>
      <w:r>
        <w:t xml:space="preserve">5; </w:t>
      </w:r>
      <w:r w:rsidRPr="0071612A">
        <w:rPr>
          <w:i/>
          <w:iCs/>
        </w:rPr>
        <w:t>see Butler-</w:t>
      </w:r>
      <w:r w:rsidRPr="0071612A">
        <w:rPr>
          <w:i/>
          <w:iCs/>
        </w:rPr>
        <w:t>Panora</w:t>
      </w:r>
      <w:r w:rsidRPr="0071612A">
        <w:rPr>
          <w:i/>
          <w:iCs/>
        </w:rPr>
        <w:t xml:space="preserve"> Order</w:t>
      </w:r>
      <w:r w:rsidRPr="00590FC4">
        <w:t xml:space="preserve">, 33 FCC </w:t>
      </w:r>
      <w:r w:rsidRPr="00590FC4">
        <w:t>Rcd</w:t>
      </w:r>
      <w:r w:rsidRPr="00590FC4">
        <w:t xml:space="preserve"> at 1158, para. 16; </w:t>
      </w:r>
      <w:r w:rsidRPr="0071612A">
        <w:rPr>
          <w:i/>
          <w:iCs/>
        </w:rPr>
        <w:t>Ace Telephone Order</w:t>
      </w:r>
      <w:r w:rsidRPr="00590FC4">
        <w:t xml:space="preserve">, 36 FCC </w:t>
      </w:r>
      <w:r w:rsidRPr="00590FC4">
        <w:t>Rcd</w:t>
      </w:r>
      <w:r w:rsidRPr="00590FC4">
        <w:t xml:space="preserve"> at 5439, para. 14.</w:t>
      </w:r>
    </w:p>
  </w:footnote>
  <w:footnote w:id="50">
    <w:p w:rsidR="007723AD" w:rsidRPr="00BB4832" w:rsidP="007723AD" w14:paraId="5370C35D" w14:textId="5E429990">
      <w:pPr>
        <w:pStyle w:val="FootnoteText"/>
      </w:pPr>
      <w:r>
        <w:rPr>
          <w:rStyle w:val="FootnoteReference"/>
        </w:rPr>
        <w:footnoteRef/>
      </w:r>
      <w:r>
        <w:t xml:space="preserve"> </w:t>
      </w:r>
      <w:r>
        <w:rPr>
          <w:i/>
          <w:iCs/>
        </w:rPr>
        <w:t>See</w:t>
      </w:r>
      <w:r>
        <w:t xml:space="preserve"> </w:t>
      </w:r>
      <w:r w:rsidRPr="001A62E1" w:rsidR="00C11D98">
        <w:t xml:space="preserve">Joint Petition at </w:t>
      </w:r>
      <w:r>
        <w:t>Exh</w:t>
      </w:r>
      <w:r>
        <w:t xml:space="preserve">. A. </w:t>
      </w:r>
    </w:p>
  </w:footnote>
  <w:footnote w:id="51">
    <w:p w:rsidR="0085054F" w14:paraId="027E9DE8" w14:textId="03D8F3AE">
      <w:pPr>
        <w:pStyle w:val="FootnoteText"/>
      </w:pPr>
      <w:r>
        <w:rPr>
          <w:rStyle w:val="FootnoteReference"/>
        </w:rPr>
        <w:footnoteRef/>
      </w:r>
      <w:r>
        <w:t xml:space="preserve"> </w:t>
      </w:r>
      <w:r w:rsidRPr="00BF1E86" w:rsidR="00D35BBE">
        <w:rPr>
          <w:i/>
          <w:iCs/>
        </w:rPr>
        <w:t xml:space="preserve">See </w:t>
      </w:r>
      <w:r w:rsidRPr="00D35BBE" w:rsidR="00D35BBE">
        <w:rPr>
          <w:i/>
          <w:iCs/>
        </w:rPr>
        <w:t>i</w:t>
      </w:r>
      <w:r w:rsidRPr="00BF1E86" w:rsidR="008A0B41">
        <w:rPr>
          <w:i/>
          <w:iCs/>
        </w:rPr>
        <w:t>d</w:t>
      </w:r>
      <w:r w:rsidR="008A0B41">
        <w:t>. at 4</w:t>
      </w:r>
      <w:r w:rsidR="00D35BBE">
        <w:t xml:space="preserve">; </w:t>
      </w:r>
      <w:r w:rsidR="008A0B41">
        <w:t xml:space="preserve">NECA Tariff F.C.C. No. 5, §§ 17.5.1, 17.2.2, 17.2.3 (eff. Jul. 1, 2022) (local switching, local transport, and tandem switched transport rate bands and per minute charges). </w:t>
      </w:r>
    </w:p>
  </w:footnote>
  <w:footnote w:id="52">
    <w:p w:rsidR="00733DF8" w14:paraId="045ACA96" w14:textId="761DBE78">
      <w:pPr>
        <w:pStyle w:val="FootnoteText"/>
      </w:pPr>
      <w:r>
        <w:rPr>
          <w:rStyle w:val="FootnoteReference"/>
        </w:rPr>
        <w:footnoteRef/>
      </w:r>
      <w:r>
        <w:t xml:space="preserve"> </w:t>
      </w:r>
      <w:r w:rsidRPr="00BF1E86" w:rsidR="008A0B41">
        <w:t>Joint Petition</w:t>
      </w:r>
      <w:r w:rsidRPr="0053698B" w:rsidR="00EF2917">
        <w:t xml:space="preserve"> </w:t>
      </w:r>
      <w:r>
        <w:t xml:space="preserve">at 3-4.  </w:t>
      </w:r>
    </w:p>
  </w:footnote>
  <w:footnote w:id="53">
    <w:p w:rsidR="000D45D7" w:rsidRPr="00631AAD" w:rsidP="000D45D7" w14:paraId="177A303F" w14:textId="73660072">
      <w:pPr>
        <w:pStyle w:val="FootnoteText"/>
      </w:pPr>
      <w:r>
        <w:rPr>
          <w:rStyle w:val="FootnoteReference"/>
        </w:rPr>
        <w:footnoteRef/>
      </w:r>
      <w:r>
        <w:t xml:space="preserve"> </w:t>
      </w:r>
      <w:r>
        <w:rPr>
          <w:i/>
          <w:iCs/>
        </w:rPr>
        <w:t>See</w:t>
      </w:r>
      <w:r>
        <w:t xml:space="preserve"> 47 CFR </w:t>
      </w:r>
      <w:r w:rsidR="00F57B65">
        <w:t xml:space="preserve">§ </w:t>
      </w:r>
      <w:r>
        <w:t xml:space="preserve">51.917(b)(1), (b)(7); </w:t>
      </w:r>
      <w:r>
        <w:rPr>
          <w:i/>
          <w:iCs/>
        </w:rPr>
        <w:t>see also</w:t>
      </w:r>
      <w:r>
        <w:t xml:space="preserve"> </w:t>
      </w:r>
      <w:r>
        <w:rPr>
          <w:i/>
          <w:iCs/>
        </w:rPr>
        <w:t>Mutual-Winnebago Order</w:t>
      </w:r>
      <w:r>
        <w:t xml:space="preserve">, 31 FCC </w:t>
      </w:r>
      <w:r>
        <w:t>Rcd</w:t>
      </w:r>
      <w:r>
        <w:t xml:space="preserve">. at 10691, para. 27 (finding that apportioning the BPR amounts allows petitioners to “determine study area specific recovery amounts, including the amount of CAF ICC going forward”).  </w:t>
      </w:r>
    </w:p>
  </w:footnote>
  <w:footnote w:id="54">
    <w:p w:rsidR="00BD3D35" w14:paraId="152F03EA" w14:textId="46D56B6E">
      <w:pPr>
        <w:pStyle w:val="FootnoteText"/>
      </w:pPr>
      <w:r>
        <w:rPr>
          <w:rStyle w:val="FootnoteReference"/>
        </w:rPr>
        <w:footnoteRef/>
      </w:r>
      <w:r>
        <w:t xml:space="preserve"> JSI Mar. 9 Letter at 2. </w:t>
      </w:r>
    </w:p>
  </w:footnote>
  <w:footnote w:id="55">
    <w:p w:rsidR="00467DE1" w14:paraId="100D982D" w14:textId="444027B7">
      <w:pPr>
        <w:pStyle w:val="FootnoteText"/>
      </w:pPr>
      <w:r>
        <w:rPr>
          <w:rStyle w:val="FootnoteReference"/>
        </w:rPr>
        <w:footnoteRef/>
      </w:r>
      <w:r>
        <w:t xml:space="preserve"> </w:t>
      </w:r>
      <w:r w:rsidR="00F75FC4">
        <w:rPr>
          <w:i/>
          <w:iCs/>
        </w:rPr>
        <w:t>See, e.g.</w:t>
      </w:r>
      <w:r w:rsidR="00F75FC4">
        <w:t xml:space="preserve">, </w:t>
      </w:r>
      <w:r w:rsidR="00CC2DD2">
        <w:rPr>
          <w:i/>
        </w:rPr>
        <w:t>Butler-</w:t>
      </w:r>
      <w:r w:rsidR="00CC2DD2">
        <w:rPr>
          <w:i/>
        </w:rPr>
        <w:t>Panora</w:t>
      </w:r>
      <w:r w:rsidR="00CC2DD2">
        <w:rPr>
          <w:i/>
        </w:rPr>
        <w:t xml:space="preserve"> Order</w:t>
      </w:r>
      <w:r w:rsidR="00CC2DD2">
        <w:t xml:space="preserve">, 33 FCC </w:t>
      </w:r>
      <w:r w:rsidR="00CC2DD2">
        <w:t>Rcd</w:t>
      </w:r>
      <w:r w:rsidR="00CC2DD2">
        <w:t xml:space="preserve"> at </w:t>
      </w:r>
      <w:r w:rsidR="00A11798">
        <w:t xml:space="preserve">1159, para. 19. </w:t>
      </w:r>
    </w:p>
  </w:footnote>
  <w:footnote w:id="56">
    <w:p w:rsidR="003871EE" w:rsidP="00863D28" w14:paraId="437A2DA2" w14:textId="6348008D">
      <w:pPr>
        <w:pStyle w:val="FootnoteText"/>
      </w:pPr>
      <w:r>
        <w:rPr>
          <w:rStyle w:val="FootnoteReference"/>
        </w:rPr>
        <w:footnoteRef/>
      </w:r>
      <w:r>
        <w:t xml:space="preserve"> </w:t>
      </w:r>
      <w:r w:rsidRPr="004920E2" w:rsidR="00EB6666">
        <w:t>JSI Mar. 9 Letter</w:t>
      </w:r>
      <w:r w:rsidRPr="00EB6666" w:rsidR="00BE084E">
        <w:t>.,</w:t>
      </w:r>
      <w:r w:rsidR="00BE084E">
        <w:t xml:space="preserve"> Amend. </w:t>
      </w:r>
      <w:r w:rsidR="00BE084E">
        <w:t>Exh</w:t>
      </w:r>
      <w:r w:rsidR="00BE084E">
        <w:t>. A</w:t>
      </w:r>
      <w:r w:rsidR="00863D28">
        <w:t xml:space="preserve">; Joint Petition, </w:t>
      </w:r>
      <w:r w:rsidR="00863D28">
        <w:t>Exh</w:t>
      </w:r>
      <w:r w:rsidR="00863D28">
        <w:t>. A (calculations based on access lines from settlement month as of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D3E30" w14:paraId="5B4B3BB0" w14:textId="6B5A35E7">
    <w:pPr>
      <w:pStyle w:val="Header"/>
    </w:pPr>
    <w:r>
      <w:tab/>
      <w:t>Federal Communications Commission</w:t>
    </w:r>
    <w:r>
      <w:tab/>
    </w:r>
    <w:r w:rsidRPr="008742CA" w:rsidR="008E11E1">
      <w:t>DA 23-</w:t>
    </w:r>
    <w:r w:rsidRPr="008742CA" w:rsidR="008742CA">
      <w:t>242</w:t>
    </w:r>
  </w:p>
  <w:p w:rsidR="00D25FB5" w14:paraId="703DC22D" w14:textId="514C1C0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C4F20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D3E30" w14:paraId="0044A2AA" w14:textId="3157F11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65068F" w:rsidR="008E11E1">
      <w:rPr>
        <w:spacing w:val="-2"/>
      </w:rPr>
      <w:t>DA 23-</w:t>
    </w:r>
    <w:r w:rsidRPr="0065068F" w:rsidR="0065068F">
      <w:rPr>
        <w:spacing w:val="-2"/>
      </w:rPr>
      <w:t>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9240B"/>
    <w:multiLevelType w:val="hybridMultilevel"/>
    <w:tmpl w:val="C49647FA"/>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51F494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0"/>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
    </w:lvlOverride>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89"/>
    <w:rsid w:val="00000212"/>
    <w:rsid w:val="00001698"/>
    <w:rsid w:val="00002BFB"/>
    <w:rsid w:val="000030DE"/>
    <w:rsid w:val="00003912"/>
    <w:rsid w:val="00003B7A"/>
    <w:rsid w:val="00004192"/>
    <w:rsid w:val="000047C2"/>
    <w:rsid w:val="00006261"/>
    <w:rsid w:val="00012AAA"/>
    <w:rsid w:val="000139BE"/>
    <w:rsid w:val="000164EA"/>
    <w:rsid w:val="0001668A"/>
    <w:rsid w:val="00017292"/>
    <w:rsid w:val="00022A61"/>
    <w:rsid w:val="000233ED"/>
    <w:rsid w:val="000242B8"/>
    <w:rsid w:val="00030DA9"/>
    <w:rsid w:val="00031D2F"/>
    <w:rsid w:val="000323ED"/>
    <w:rsid w:val="0003281E"/>
    <w:rsid w:val="00033D78"/>
    <w:rsid w:val="00036039"/>
    <w:rsid w:val="00037016"/>
    <w:rsid w:val="00037F90"/>
    <w:rsid w:val="00040058"/>
    <w:rsid w:val="00040648"/>
    <w:rsid w:val="000449B6"/>
    <w:rsid w:val="00046DAB"/>
    <w:rsid w:val="00052277"/>
    <w:rsid w:val="00053AC8"/>
    <w:rsid w:val="000560AC"/>
    <w:rsid w:val="00060E99"/>
    <w:rsid w:val="00065D9D"/>
    <w:rsid w:val="00067EFB"/>
    <w:rsid w:val="0007007C"/>
    <w:rsid w:val="00070EBD"/>
    <w:rsid w:val="00073B9D"/>
    <w:rsid w:val="00076BAA"/>
    <w:rsid w:val="0008024E"/>
    <w:rsid w:val="00084CB6"/>
    <w:rsid w:val="00085E9B"/>
    <w:rsid w:val="000875BF"/>
    <w:rsid w:val="00091649"/>
    <w:rsid w:val="00092AD1"/>
    <w:rsid w:val="00096D8C"/>
    <w:rsid w:val="000974FE"/>
    <w:rsid w:val="000A1121"/>
    <w:rsid w:val="000A1FA4"/>
    <w:rsid w:val="000A5130"/>
    <w:rsid w:val="000B1333"/>
    <w:rsid w:val="000B4955"/>
    <w:rsid w:val="000B5629"/>
    <w:rsid w:val="000B5772"/>
    <w:rsid w:val="000B65ED"/>
    <w:rsid w:val="000B6E7C"/>
    <w:rsid w:val="000B7D65"/>
    <w:rsid w:val="000C0B65"/>
    <w:rsid w:val="000C0BCA"/>
    <w:rsid w:val="000C0C03"/>
    <w:rsid w:val="000C5214"/>
    <w:rsid w:val="000C69C9"/>
    <w:rsid w:val="000C6CF7"/>
    <w:rsid w:val="000D07C3"/>
    <w:rsid w:val="000D1524"/>
    <w:rsid w:val="000D3E30"/>
    <w:rsid w:val="000D4516"/>
    <w:rsid w:val="000D45D7"/>
    <w:rsid w:val="000D59A5"/>
    <w:rsid w:val="000D609C"/>
    <w:rsid w:val="000E05FE"/>
    <w:rsid w:val="000E1401"/>
    <w:rsid w:val="000E19BF"/>
    <w:rsid w:val="000E3D42"/>
    <w:rsid w:val="000E5C47"/>
    <w:rsid w:val="000E6BCF"/>
    <w:rsid w:val="000E6E4F"/>
    <w:rsid w:val="000F06D3"/>
    <w:rsid w:val="000F079E"/>
    <w:rsid w:val="000F227F"/>
    <w:rsid w:val="000F2AD5"/>
    <w:rsid w:val="000F2E40"/>
    <w:rsid w:val="000F4DE6"/>
    <w:rsid w:val="000F4E64"/>
    <w:rsid w:val="000F6051"/>
    <w:rsid w:val="000F6733"/>
    <w:rsid w:val="000F7A59"/>
    <w:rsid w:val="0010253D"/>
    <w:rsid w:val="00104CA7"/>
    <w:rsid w:val="00106E76"/>
    <w:rsid w:val="0011058D"/>
    <w:rsid w:val="001128EC"/>
    <w:rsid w:val="0011385A"/>
    <w:rsid w:val="001169C9"/>
    <w:rsid w:val="001218AB"/>
    <w:rsid w:val="00121C98"/>
    <w:rsid w:val="00122BD5"/>
    <w:rsid w:val="00123323"/>
    <w:rsid w:val="00125545"/>
    <w:rsid w:val="00127CCD"/>
    <w:rsid w:val="0013355F"/>
    <w:rsid w:val="00133F79"/>
    <w:rsid w:val="00134DFC"/>
    <w:rsid w:val="00135272"/>
    <w:rsid w:val="00137C3B"/>
    <w:rsid w:val="00142044"/>
    <w:rsid w:val="001436D8"/>
    <w:rsid w:val="001527D7"/>
    <w:rsid w:val="00153331"/>
    <w:rsid w:val="001546AE"/>
    <w:rsid w:val="001563E9"/>
    <w:rsid w:val="00162052"/>
    <w:rsid w:val="00163F06"/>
    <w:rsid w:val="00165115"/>
    <w:rsid w:val="00165144"/>
    <w:rsid w:val="00166823"/>
    <w:rsid w:val="00166F83"/>
    <w:rsid w:val="00167DEF"/>
    <w:rsid w:val="001743FD"/>
    <w:rsid w:val="00174506"/>
    <w:rsid w:val="00175E84"/>
    <w:rsid w:val="00185D2D"/>
    <w:rsid w:val="00191E89"/>
    <w:rsid w:val="00191EA4"/>
    <w:rsid w:val="00194A66"/>
    <w:rsid w:val="00195EB4"/>
    <w:rsid w:val="001A3F1B"/>
    <w:rsid w:val="001A49E8"/>
    <w:rsid w:val="001A62E1"/>
    <w:rsid w:val="001A6925"/>
    <w:rsid w:val="001B3187"/>
    <w:rsid w:val="001C1946"/>
    <w:rsid w:val="001C1F4E"/>
    <w:rsid w:val="001C2743"/>
    <w:rsid w:val="001C4C6F"/>
    <w:rsid w:val="001C5583"/>
    <w:rsid w:val="001D0620"/>
    <w:rsid w:val="001D1FAA"/>
    <w:rsid w:val="001D359D"/>
    <w:rsid w:val="001D458F"/>
    <w:rsid w:val="001D6BCF"/>
    <w:rsid w:val="001E01CA"/>
    <w:rsid w:val="001E0315"/>
    <w:rsid w:val="001E37BA"/>
    <w:rsid w:val="001F1FFF"/>
    <w:rsid w:val="001F4A50"/>
    <w:rsid w:val="001F6262"/>
    <w:rsid w:val="001F6726"/>
    <w:rsid w:val="00202A69"/>
    <w:rsid w:val="002042EB"/>
    <w:rsid w:val="00204BF7"/>
    <w:rsid w:val="002119C0"/>
    <w:rsid w:val="0021265B"/>
    <w:rsid w:val="0021698E"/>
    <w:rsid w:val="00222505"/>
    <w:rsid w:val="00222BF2"/>
    <w:rsid w:val="00223081"/>
    <w:rsid w:val="002240A2"/>
    <w:rsid w:val="0022701A"/>
    <w:rsid w:val="00233842"/>
    <w:rsid w:val="002345D9"/>
    <w:rsid w:val="00237591"/>
    <w:rsid w:val="002379C0"/>
    <w:rsid w:val="0024138D"/>
    <w:rsid w:val="00243FBA"/>
    <w:rsid w:val="002449C5"/>
    <w:rsid w:val="00245E73"/>
    <w:rsid w:val="00247097"/>
    <w:rsid w:val="002510F3"/>
    <w:rsid w:val="00256037"/>
    <w:rsid w:val="0025613B"/>
    <w:rsid w:val="002565CF"/>
    <w:rsid w:val="00256B7F"/>
    <w:rsid w:val="0025779B"/>
    <w:rsid w:val="00257E2D"/>
    <w:rsid w:val="00260A05"/>
    <w:rsid w:val="00261834"/>
    <w:rsid w:val="0026250B"/>
    <w:rsid w:val="002634ED"/>
    <w:rsid w:val="00264E04"/>
    <w:rsid w:val="00266793"/>
    <w:rsid w:val="00272368"/>
    <w:rsid w:val="00272886"/>
    <w:rsid w:val="00272BB2"/>
    <w:rsid w:val="0027352B"/>
    <w:rsid w:val="00275CF5"/>
    <w:rsid w:val="002767BF"/>
    <w:rsid w:val="00277840"/>
    <w:rsid w:val="002825DC"/>
    <w:rsid w:val="00282E78"/>
    <w:rsid w:val="0028301F"/>
    <w:rsid w:val="00285017"/>
    <w:rsid w:val="0028515C"/>
    <w:rsid w:val="002901FD"/>
    <w:rsid w:val="00292215"/>
    <w:rsid w:val="00297DC8"/>
    <w:rsid w:val="002A0BF3"/>
    <w:rsid w:val="002A13D4"/>
    <w:rsid w:val="002A2D2E"/>
    <w:rsid w:val="002A33A8"/>
    <w:rsid w:val="002A3776"/>
    <w:rsid w:val="002A5449"/>
    <w:rsid w:val="002B0F03"/>
    <w:rsid w:val="002B14CA"/>
    <w:rsid w:val="002B394E"/>
    <w:rsid w:val="002B3DE6"/>
    <w:rsid w:val="002B4DAA"/>
    <w:rsid w:val="002B5AE0"/>
    <w:rsid w:val="002C00E8"/>
    <w:rsid w:val="002D04A3"/>
    <w:rsid w:val="002D31A7"/>
    <w:rsid w:val="002D6DD9"/>
    <w:rsid w:val="002F13D1"/>
    <w:rsid w:val="002F4141"/>
    <w:rsid w:val="002F4B7D"/>
    <w:rsid w:val="002F570D"/>
    <w:rsid w:val="002F74FF"/>
    <w:rsid w:val="002F796C"/>
    <w:rsid w:val="00302220"/>
    <w:rsid w:val="003054E5"/>
    <w:rsid w:val="003059F1"/>
    <w:rsid w:val="00305B5A"/>
    <w:rsid w:val="00310AF8"/>
    <w:rsid w:val="00316533"/>
    <w:rsid w:val="0031751A"/>
    <w:rsid w:val="00330A96"/>
    <w:rsid w:val="0033109B"/>
    <w:rsid w:val="00331C63"/>
    <w:rsid w:val="003328AF"/>
    <w:rsid w:val="003328C6"/>
    <w:rsid w:val="0033713F"/>
    <w:rsid w:val="003375D7"/>
    <w:rsid w:val="00342B23"/>
    <w:rsid w:val="003431CE"/>
    <w:rsid w:val="00343749"/>
    <w:rsid w:val="00343E93"/>
    <w:rsid w:val="00344489"/>
    <w:rsid w:val="00344C71"/>
    <w:rsid w:val="00345B0C"/>
    <w:rsid w:val="003511B8"/>
    <w:rsid w:val="003542C9"/>
    <w:rsid w:val="003558AF"/>
    <w:rsid w:val="003558E5"/>
    <w:rsid w:val="00355A91"/>
    <w:rsid w:val="00362E2E"/>
    <w:rsid w:val="00363B37"/>
    <w:rsid w:val="00365AC1"/>
    <w:rsid w:val="003660ED"/>
    <w:rsid w:val="00367252"/>
    <w:rsid w:val="003676EE"/>
    <w:rsid w:val="003732E6"/>
    <w:rsid w:val="003752E4"/>
    <w:rsid w:val="0037553D"/>
    <w:rsid w:val="00380281"/>
    <w:rsid w:val="0038402A"/>
    <w:rsid w:val="0038581D"/>
    <w:rsid w:val="00385D23"/>
    <w:rsid w:val="003869D4"/>
    <w:rsid w:val="003871EE"/>
    <w:rsid w:val="00390014"/>
    <w:rsid w:val="003913D0"/>
    <w:rsid w:val="003919CA"/>
    <w:rsid w:val="0039285D"/>
    <w:rsid w:val="003951D3"/>
    <w:rsid w:val="00395EB4"/>
    <w:rsid w:val="003969B8"/>
    <w:rsid w:val="00397EA2"/>
    <w:rsid w:val="003A12F2"/>
    <w:rsid w:val="003A2E43"/>
    <w:rsid w:val="003A4BD3"/>
    <w:rsid w:val="003A7339"/>
    <w:rsid w:val="003B0550"/>
    <w:rsid w:val="003B0720"/>
    <w:rsid w:val="003B1D8C"/>
    <w:rsid w:val="003B2DF8"/>
    <w:rsid w:val="003B3AAC"/>
    <w:rsid w:val="003B694F"/>
    <w:rsid w:val="003B7447"/>
    <w:rsid w:val="003B7B68"/>
    <w:rsid w:val="003C5877"/>
    <w:rsid w:val="003C7697"/>
    <w:rsid w:val="003C7D19"/>
    <w:rsid w:val="003D0DB6"/>
    <w:rsid w:val="003D0ECC"/>
    <w:rsid w:val="003D2B9B"/>
    <w:rsid w:val="003D2DC6"/>
    <w:rsid w:val="003D5114"/>
    <w:rsid w:val="003D6A7C"/>
    <w:rsid w:val="003D7764"/>
    <w:rsid w:val="003E1A87"/>
    <w:rsid w:val="003E1AB7"/>
    <w:rsid w:val="003E6D44"/>
    <w:rsid w:val="003E70A5"/>
    <w:rsid w:val="003E75CA"/>
    <w:rsid w:val="003E7788"/>
    <w:rsid w:val="003F0EF1"/>
    <w:rsid w:val="003F171C"/>
    <w:rsid w:val="003F3AE5"/>
    <w:rsid w:val="003F54C9"/>
    <w:rsid w:val="003F7A7B"/>
    <w:rsid w:val="0040479F"/>
    <w:rsid w:val="00404AB7"/>
    <w:rsid w:val="00404B72"/>
    <w:rsid w:val="00404DA7"/>
    <w:rsid w:val="00406E28"/>
    <w:rsid w:val="00412FC5"/>
    <w:rsid w:val="00415350"/>
    <w:rsid w:val="00415762"/>
    <w:rsid w:val="00422276"/>
    <w:rsid w:val="004227C0"/>
    <w:rsid w:val="004242F1"/>
    <w:rsid w:val="00425EAD"/>
    <w:rsid w:val="00435370"/>
    <w:rsid w:val="004361CD"/>
    <w:rsid w:val="00436A55"/>
    <w:rsid w:val="004432A1"/>
    <w:rsid w:val="00445A00"/>
    <w:rsid w:val="004465A6"/>
    <w:rsid w:val="00446F13"/>
    <w:rsid w:val="00450329"/>
    <w:rsid w:val="004503D0"/>
    <w:rsid w:val="00451B0F"/>
    <w:rsid w:val="00452DCC"/>
    <w:rsid w:val="00460E80"/>
    <w:rsid w:val="00463E7A"/>
    <w:rsid w:val="004655D9"/>
    <w:rsid w:val="00465D6B"/>
    <w:rsid w:val="00467DE1"/>
    <w:rsid w:val="00470C94"/>
    <w:rsid w:val="0047154D"/>
    <w:rsid w:val="00473650"/>
    <w:rsid w:val="00474A00"/>
    <w:rsid w:val="00474C4E"/>
    <w:rsid w:val="00475723"/>
    <w:rsid w:val="00475C64"/>
    <w:rsid w:val="004779A6"/>
    <w:rsid w:val="0048105E"/>
    <w:rsid w:val="004823A0"/>
    <w:rsid w:val="0048280D"/>
    <w:rsid w:val="004830EA"/>
    <w:rsid w:val="0048369C"/>
    <w:rsid w:val="004920E2"/>
    <w:rsid w:val="00495E20"/>
    <w:rsid w:val="004966AC"/>
    <w:rsid w:val="00496DAB"/>
    <w:rsid w:val="00497C1F"/>
    <w:rsid w:val="004A1831"/>
    <w:rsid w:val="004A39C6"/>
    <w:rsid w:val="004A6A1F"/>
    <w:rsid w:val="004B2AC2"/>
    <w:rsid w:val="004B367E"/>
    <w:rsid w:val="004B3EA6"/>
    <w:rsid w:val="004C004F"/>
    <w:rsid w:val="004C006D"/>
    <w:rsid w:val="004C1B9E"/>
    <w:rsid w:val="004C23CE"/>
    <w:rsid w:val="004C2EE3"/>
    <w:rsid w:val="004C4215"/>
    <w:rsid w:val="004C4925"/>
    <w:rsid w:val="004D041F"/>
    <w:rsid w:val="004D1902"/>
    <w:rsid w:val="004D1FB8"/>
    <w:rsid w:val="004D3C60"/>
    <w:rsid w:val="004D7642"/>
    <w:rsid w:val="004E1B7E"/>
    <w:rsid w:val="004E4A22"/>
    <w:rsid w:val="004F04D1"/>
    <w:rsid w:val="004F0CBD"/>
    <w:rsid w:val="004F19D3"/>
    <w:rsid w:val="004F317E"/>
    <w:rsid w:val="004F3F72"/>
    <w:rsid w:val="004F596D"/>
    <w:rsid w:val="004F647B"/>
    <w:rsid w:val="005010D1"/>
    <w:rsid w:val="005026D9"/>
    <w:rsid w:val="00503283"/>
    <w:rsid w:val="00504241"/>
    <w:rsid w:val="005043DA"/>
    <w:rsid w:val="005059A6"/>
    <w:rsid w:val="00505E70"/>
    <w:rsid w:val="00505F03"/>
    <w:rsid w:val="00507134"/>
    <w:rsid w:val="00510225"/>
    <w:rsid w:val="00511968"/>
    <w:rsid w:val="005120A7"/>
    <w:rsid w:val="0051243B"/>
    <w:rsid w:val="00517826"/>
    <w:rsid w:val="00520735"/>
    <w:rsid w:val="00525D0E"/>
    <w:rsid w:val="0053047A"/>
    <w:rsid w:val="0053527E"/>
    <w:rsid w:val="0053698B"/>
    <w:rsid w:val="00542E90"/>
    <w:rsid w:val="005444BB"/>
    <w:rsid w:val="00550D27"/>
    <w:rsid w:val="00551901"/>
    <w:rsid w:val="00552AFF"/>
    <w:rsid w:val="0055614C"/>
    <w:rsid w:val="005577D6"/>
    <w:rsid w:val="00565286"/>
    <w:rsid w:val="00565945"/>
    <w:rsid w:val="005662FB"/>
    <w:rsid w:val="00566D06"/>
    <w:rsid w:val="0057260E"/>
    <w:rsid w:val="00577954"/>
    <w:rsid w:val="00577F02"/>
    <w:rsid w:val="00580B50"/>
    <w:rsid w:val="0058176D"/>
    <w:rsid w:val="005841AE"/>
    <w:rsid w:val="00584A77"/>
    <w:rsid w:val="00585CCE"/>
    <w:rsid w:val="00590CE1"/>
    <w:rsid w:val="00590FC4"/>
    <w:rsid w:val="00591496"/>
    <w:rsid w:val="00593EBE"/>
    <w:rsid w:val="005947E2"/>
    <w:rsid w:val="00594858"/>
    <w:rsid w:val="005A1A7D"/>
    <w:rsid w:val="005A3A83"/>
    <w:rsid w:val="005A5214"/>
    <w:rsid w:val="005A6D2D"/>
    <w:rsid w:val="005B08EF"/>
    <w:rsid w:val="005B492A"/>
    <w:rsid w:val="005B72C6"/>
    <w:rsid w:val="005C53B0"/>
    <w:rsid w:val="005C6EBB"/>
    <w:rsid w:val="005D2079"/>
    <w:rsid w:val="005E14C2"/>
    <w:rsid w:val="005F0B00"/>
    <w:rsid w:val="005F0B63"/>
    <w:rsid w:val="005F124E"/>
    <w:rsid w:val="005F4061"/>
    <w:rsid w:val="005F466A"/>
    <w:rsid w:val="005F63AE"/>
    <w:rsid w:val="00601C52"/>
    <w:rsid w:val="00603C9C"/>
    <w:rsid w:val="00606B22"/>
    <w:rsid w:val="00607BA5"/>
    <w:rsid w:val="0061180A"/>
    <w:rsid w:val="00611F5B"/>
    <w:rsid w:val="00613B71"/>
    <w:rsid w:val="006140FD"/>
    <w:rsid w:val="00614134"/>
    <w:rsid w:val="006161DC"/>
    <w:rsid w:val="00616864"/>
    <w:rsid w:val="006202DE"/>
    <w:rsid w:val="00620614"/>
    <w:rsid w:val="00622713"/>
    <w:rsid w:val="00622F81"/>
    <w:rsid w:val="00625CAF"/>
    <w:rsid w:val="00626EB6"/>
    <w:rsid w:val="00627735"/>
    <w:rsid w:val="00631AAD"/>
    <w:rsid w:val="006368EA"/>
    <w:rsid w:val="006379DD"/>
    <w:rsid w:val="00640068"/>
    <w:rsid w:val="006414C0"/>
    <w:rsid w:val="00645440"/>
    <w:rsid w:val="00646AAF"/>
    <w:rsid w:val="0065043D"/>
    <w:rsid w:val="0065068F"/>
    <w:rsid w:val="0065099E"/>
    <w:rsid w:val="00650CEF"/>
    <w:rsid w:val="00651E41"/>
    <w:rsid w:val="0065207A"/>
    <w:rsid w:val="0065404B"/>
    <w:rsid w:val="00654173"/>
    <w:rsid w:val="00655D03"/>
    <w:rsid w:val="00656423"/>
    <w:rsid w:val="0065710E"/>
    <w:rsid w:val="006575B2"/>
    <w:rsid w:val="0066628D"/>
    <w:rsid w:val="00667CFE"/>
    <w:rsid w:val="00667D87"/>
    <w:rsid w:val="00667E92"/>
    <w:rsid w:val="00670BEC"/>
    <w:rsid w:val="0067262B"/>
    <w:rsid w:val="00672A34"/>
    <w:rsid w:val="0067721A"/>
    <w:rsid w:val="00677890"/>
    <w:rsid w:val="0068079C"/>
    <w:rsid w:val="00681AB0"/>
    <w:rsid w:val="006829BB"/>
    <w:rsid w:val="00683388"/>
    <w:rsid w:val="00683F84"/>
    <w:rsid w:val="00686193"/>
    <w:rsid w:val="006870AC"/>
    <w:rsid w:val="0069121B"/>
    <w:rsid w:val="0069208F"/>
    <w:rsid w:val="00694C7C"/>
    <w:rsid w:val="00695EA1"/>
    <w:rsid w:val="00695F9A"/>
    <w:rsid w:val="006961EC"/>
    <w:rsid w:val="006963E2"/>
    <w:rsid w:val="006971C5"/>
    <w:rsid w:val="006A22F1"/>
    <w:rsid w:val="006A2E4B"/>
    <w:rsid w:val="006A6A81"/>
    <w:rsid w:val="006A6E4E"/>
    <w:rsid w:val="006A71D9"/>
    <w:rsid w:val="006A76C8"/>
    <w:rsid w:val="006A7EEB"/>
    <w:rsid w:val="006B0955"/>
    <w:rsid w:val="006B43CE"/>
    <w:rsid w:val="006B4930"/>
    <w:rsid w:val="006B6127"/>
    <w:rsid w:val="006B65B7"/>
    <w:rsid w:val="006B723A"/>
    <w:rsid w:val="006B72EB"/>
    <w:rsid w:val="006B7FDF"/>
    <w:rsid w:val="006C140B"/>
    <w:rsid w:val="006C3BE9"/>
    <w:rsid w:val="006C5F74"/>
    <w:rsid w:val="006D0377"/>
    <w:rsid w:val="006D5036"/>
    <w:rsid w:val="006D5988"/>
    <w:rsid w:val="006E0255"/>
    <w:rsid w:val="006E21CE"/>
    <w:rsid w:val="006E2944"/>
    <w:rsid w:val="006E5BE0"/>
    <w:rsid w:val="006E7D85"/>
    <w:rsid w:val="006F366A"/>
    <w:rsid w:val="006F38C1"/>
    <w:rsid w:val="006F396C"/>
    <w:rsid w:val="006F3E63"/>
    <w:rsid w:val="006F5543"/>
    <w:rsid w:val="006F7393"/>
    <w:rsid w:val="0070164F"/>
    <w:rsid w:val="00701687"/>
    <w:rsid w:val="00701A73"/>
    <w:rsid w:val="00701B4A"/>
    <w:rsid w:val="0070224F"/>
    <w:rsid w:val="00704F72"/>
    <w:rsid w:val="007072DE"/>
    <w:rsid w:val="00707D06"/>
    <w:rsid w:val="007115F7"/>
    <w:rsid w:val="0071612A"/>
    <w:rsid w:val="007210C2"/>
    <w:rsid w:val="0072128B"/>
    <w:rsid w:val="007263A9"/>
    <w:rsid w:val="00726893"/>
    <w:rsid w:val="00731CD9"/>
    <w:rsid w:val="00732148"/>
    <w:rsid w:val="007336B6"/>
    <w:rsid w:val="00733DF8"/>
    <w:rsid w:val="007344A7"/>
    <w:rsid w:val="0074026A"/>
    <w:rsid w:val="0074244C"/>
    <w:rsid w:val="00744171"/>
    <w:rsid w:val="00750382"/>
    <w:rsid w:val="00751F24"/>
    <w:rsid w:val="00752458"/>
    <w:rsid w:val="007559E9"/>
    <w:rsid w:val="00755CA8"/>
    <w:rsid w:val="00756826"/>
    <w:rsid w:val="00757128"/>
    <w:rsid w:val="00761902"/>
    <w:rsid w:val="0076421B"/>
    <w:rsid w:val="00764B57"/>
    <w:rsid w:val="00770E38"/>
    <w:rsid w:val="007723AD"/>
    <w:rsid w:val="00772BB9"/>
    <w:rsid w:val="00773730"/>
    <w:rsid w:val="00773EF6"/>
    <w:rsid w:val="00773FF0"/>
    <w:rsid w:val="00777ACD"/>
    <w:rsid w:val="00782914"/>
    <w:rsid w:val="00782F9F"/>
    <w:rsid w:val="00785689"/>
    <w:rsid w:val="007867FF"/>
    <w:rsid w:val="007923C9"/>
    <w:rsid w:val="007930BC"/>
    <w:rsid w:val="0079754B"/>
    <w:rsid w:val="007A1517"/>
    <w:rsid w:val="007A1E6D"/>
    <w:rsid w:val="007A3063"/>
    <w:rsid w:val="007B0EB2"/>
    <w:rsid w:val="007B56ED"/>
    <w:rsid w:val="007B631F"/>
    <w:rsid w:val="007C0CC9"/>
    <w:rsid w:val="007C25C0"/>
    <w:rsid w:val="007C2D1B"/>
    <w:rsid w:val="007C52B3"/>
    <w:rsid w:val="007C68CF"/>
    <w:rsid w:val="007C76E9"/>
    <w:rsid w:val="007D02E9"/>
    <w:rsid w:val="007D12C5"/>
    <w:rsid w:val="007D30F3"/>
    <w:rsid w:val="007D56F2"/>
    <w:rsid w:val="007D6DFA"/>
    <w:rsid w:val="007E2323"/>
    <w:rsid w:val="008017C2"/>
    <w:rsid w:val="00801D4F"/>
    <w:rsid w:val="00802489"/>
    <w:rsid w:val="00802CEB"/>
    <w:rsid w:val="00805110"/>
    <w:rsid w:val="00806124"/>
    <w:rsid w:val="00810B6F"/>
    <w:rsid w:val="008127A1"/>
    <w:rsid w:val="00814043"/>
    <w:rsid w:val="0081469F"/>
    <w:rsid w:val="00816DEC"/>
    <w:rsid w:val="00820947"/>
    <w:rsid w:val="00820F51"/>
    <w:rsid w:val="00822619"/>
    <w:rsid w:val="00822CE0"/>
    <w:rsid w:val="008235F2"/>
    <w:rsid w:val="0082436F"/>
    <w:rsid w:val="0083171C"/>
    <w:rsid w:val="0083186B"/>
    <w:rsid w:val="00840AF8"/>
    <w:rsid w:val="00841252"/>
    <w:rsid w:val="008412C2"/>
    <w:rsid w:val="00841AB1"/>
    <w:rsid w:val="0084769F"/>
    <w:rsid w:val="00850509"/>
    <w:rsid w:val="0085054F"/>
    <w:rsid w:val="00850F8F"/>
    <w:rsid w:val="00853163"/>
    <w:rsid w:val="0085400B"/>
    <w:rsid w:val="008555AE"/>
    <w:rsid w:val="00856B8F"/>
    <w:rsid w:val="008576E8"/>
    <w:rsid w:val="008579C3"/>
    <w:rsid w:val="00863370"/>
    <w:rsid w:val="00863D28"/>
    <w:rsid w:val="0086464B"/>
    <w:rsid w:val="008661F4"/>
    <w:rsid w:val="008667FB"/>
    <w:rsid w:val="00870762"/>
    <w:rsid w:val="008721AA"/>
    <w:rsid w:val="008742CA"/>
    <w:rsid w:val="008745ED"/>
    <w:rsid w:val="00874E29"/>
    <w:rsid w:val="00875BC0"/>
    <w:rsid w:val="008762CC"/>
    <w:rsid w:val="00886122"/>
    <w:rsid w:val="0088626E"/>
    <w:rsid w:val="00890E29"/>
    <w:rsid w:val="00891E28"/>
    <w:rsid w:val="00893280"/>
    <w:rsid w:val="00893E93"/>
    <w:rsid w:val="008950FD"/>
    <w:rsid w:val="00895857"/>
    <w:rsid w:val="008A0B41"/>
    <w:rsid w:val="008A0E5D"/>
    <w:rsid w:val="008A207F"/>
    <w:rsid w:val="008A4BCE"/>
    <w:rsid w:val="008A52E5"/>
    <w:rsid w:val="008A5787"/>
    <w:rsid w:val="008A62BD"/>
    <w:rsid w:val="008A66D2"/>
    <w:rsid w:val="008A7379"/>
    <w:rsid w:val="008B2544"/>
    <w:rsid w:val="008B3E96"/>
    <w:rsid w:val="008B5C0D"/>
    <w:rsid w:val="008B6CD8"/>
    <w:rsid w:val="008C1584"/>
    <w:rsid w:val="008C16F9"/>
    <w:rsid w:val="008C3349"/>
    <w:rsid w:val="008C3724"/>
    <w:rsid w:val="008C59EE"/>
    <w:rsid w:val="008C68F1"/>
    <w:rsid w:val="008C74C5"/>
    <w:rsid w:val="008C7695"/>
    <w:rsid w:val="008D2EA0"/>
    <w:rsid w:val="008D4EF3"/>
    <w:rsid w:val="008D5551"/>
    <w:rsid w:val="008D6389"/>
    <w:rsid w:val="008E0EA3"/>
    <w:rsid w:val="008E11E1"/>
    <w:rsid w:val="008E3F05"/>
    <w:rsid w:val="008E50EC"/>
    <w:rsid w:val="008E5DA4"/>
    <w:rsid w:val="008E750C"/>
    <w:rsid w:val="008F01CB"/>
    <w:rsid w:val="008F1D2B"/>
    <w:rsid w:val="008F3C15"/>
    <w:rsid w:val="008F3EB4"/>
    <w:rsid w:val="008F5878"/>
    <w:rsid w:val="008F6176"/>
    <w:rsid w:val="008F6773"/>
    <w:rsid w:val="0090041E"/>
    <w:rsid w:val="00901137"/>
    <w:rsid w:val="00905986"/>
    <w:rsid w:val="00907532"/>
    <w:rsid w:val="009077F4"/>
    <w:rsid w:val="00910291"/>
    <w:rsid w:val="00911EB0"/>
    <w:rsid w:val="00912B79"/>
    <w:rsid w:val="0091498C"/>
    <w:rsid w:val="009159AF"/>
    <w:rsid w:val="00921803"/>
    <w:rsid w:val="009227B4"/>
    <w:rsid w:val="00922A3D"/>
    <w:rsid w:val="00923D8E"/>
    <w:rsid w:val="00924884"/>
    <w:rsid w:val="009250D4"/>
    <w:rsid w:val="00926503"/>
    <w:rsid w:val="0092798D"/>
    <w:rsid w:val="009307DC"/>
    <w:rsid w:val="009319E5"/>
    <w:rsid w:val="00931CED"/>
    <w:rsid w:val="00931F51"/>
    <w:rsid w:val="009322E4"/>
    <w:rsid w:val="00933F78"/>
    <w:rsid w:val="00935AC3"/>
    <w:rsid w:val="00945B8C"/>
    <w:rsid w:val="00946C88"/>
    <w:rsid w:val="00950369"/>
    <w:rsid w:val="00952F43"/>
    <w:rsid w:val="00953A24"/>
    <w:rsid w:val="009576A9"/>
    <w:rsid w:val="00957845"/>
    <w:rsid w:val="00960170"/>
    <w:rsid w:val="00963806"/>
    <w:rsid w:val="00963833"/>
    <w:rsid w:val="00970B82"/>
    <w:rsid w:val="00971782"/>
    <w:rsid w:val="009726D8"/>
    <w:rsid w:val="00974B9F"/>
    <w:rsid w:val="00974F1C"/>
    <w:rsid w:val="00977608"/>
    <w:rsid w:val="009810A9"/>
    <w:rsid w:val="00981B3A"/>
    <w:rsid w:val="00985B4E"/>
    <w:rsid w:val="00987EFD"/>
    <w:rsid w:val="00993AD7"/>
    <w:rsid w:val="009958E1"/>
    <w:rsid w:val="00995C5D"/>
    <w:rsid w:val="00996D62"/>
    <w:rsid w:val="009A055A"/>
    <w:rsid w:val="009A2A43"/>
    <w:rsid w:val="009A3EF7"/>
    <w:rsid w:val="009A4115"/>
    <w:rsid w:val="009A450F"/>
    <w:rsid w:val="009A69F4"/>
    <w:rsid w:val="009A73F1"/>
    <w:rsid w:val="009B368B"/>
    <w:rsid w:val="009B37A5"/>
    <w:rsid w:val="009B3855"/>
    <w:rsid w:val="009B3F1B"/>
    <w:rsid w:val="009B532A"/>
    <w:rsid w:val="009B6723"/>
    <w:rsid w:val="009B7A02"/>
    <w:rsid w:val="009B7FC3"/>
    <w:rsid w:val="009C0399"/>
    <w:rsid w:val="009C62B1"/>
    <w:rsid w:val="009C77D9"/>
    <w:rsid w:val="009C7EAF"/>
    <w:rsid w:val="009D09C3"/>
    <w:rsid w:val="009D12D9"/>
    <w:rsid w:val="009D3E02"/>
    <w:rsid w:val="009D641D"/>
    <w:rsid w:val="009D7308"/>
    <w:rsid w:val="009D7B14"/>
    <w:rsid w:val="009D7F6D"/>
    <w:rsid w:val="009E0FFC"/>
    <w:rsid w:val="009E13E1"/>
    <w:rsid w:val="009E2970"/>
    <w:rsid w:val="009E7045"/>
    <w:rsid w:val="009F018D"/>
    <w:rsid w:val="009F098C"/>
    <w:rsid w:val="009F1B12"/>
    <w:rsid w:val="009F2568"/>
    <w:rsid w:val="009F57CE"/>
    <w:rsid w:val="009F76DB"/>
    <w:rsid w:val="00A06960"/>
    <w:rsid w:val="00A06BE9"/>
    <w:rsid w:val="00A10251"/>
    <w:rsid w:val="00A11798"/>
    <w:rsid w:val="00A11DA3"/>
    <w:rsid w:val="00A11F08"/>
    <w:rsid w:val="00A12B0A"/>
    <w:rsid w:val="00A13C83"/>
    <w:rsid w:val="00A15098"/>
    <w:rsid w:val="00A22128"/>
    <w:rsid w:val="00A2224A"/>
    <w:rsid w:val="00A2679A"/>
    <w:rsid w:val="00A27A1F"/>
    <w:rsid w:val="00A32C3B"/>
    <w:rsid w:val="00A3437D"/>
    <w:rsid w:val="00A34C7F"/>
    <w:rsid w:val="00A434DA"/>
    <w:rsid w:val="00A4499C"/>
    <w:rsid w:val="00A45F4F"/>
    <w:rsid w:val="00A46C84"/>
    <w:rsid w:val="00A55A89"/>
    <w:rsid w:val="00A56FB8"/>
    <w:rsid w:val="00A600A9"/>
    <w:rsid w:val="00A638E0"/>
    <w:rsid w:val="00A65BCE"/>
    <w:rsid w:val="00A72D47"/>
    <w:rsid w:val="00A750CB"/>
    <w:rsid w:val="00A75C09"/>
    <w:rsid w:val="00A77FDE"/>
    <w:rsid w:val="00A835D2"/>
    <w:rsid w:val="00A84771"/>
    <w:rsid w:val="00A86EBA"/>
    <w:rsid w:val="00A935EC"/>
    <w:rsid w:val="00AA55B7"/>
    <w:rsid w:val="00AA5B9E"/>
    <w:rsid w:val="00AA7836"/>
    <w:rsid w:val="00AB2407"/>
    <w:rsid w:val="00AB47D1"/>
    <w:rsid w:val="00AB4C26"/>
    <w:rsid w:val="00AB53DF"/>
    <w:rsid w:val="00AB5697"/>
    <w:rsid w:val="00AB74D2"/>
    <w:rsid w:val="00AB7571"/>
    <w:rsid w:val="00AB782E"/>
    <w:rsid w:val="00AC1DE4"/>
    <w:rsid w:val="00AC27CE"/>
    <w:rsid w:val="00AC3F8A"/>
    <w:rsid w:val="00AC5CAE"/>
    <w:rsid w:val="00AC7EF3"/>
    <w:rsid w:val="00AD08D6"/>
    <w:rsid w:val="00AD0BD0"/>
    <w:rsid w:val="00AD1465"/>
    <w:rsid w:val="00AE0637"/>
    <w:rsid w:val="00AE1B30"/>
    <w:rsid w:val="00AE30E2"/>
    <w:rsid w:val="00AE3C59"/>
    <w:rsid w:val="00AE441F"/>
    <w:rsid w:val="00AE4EB8"/>
    <w:rsid w:val="00AE50A5"/>
    <w:rsid w:val="00AE5260"/>
    <w:rsid w:val="00AE5C8E"/>
    <w:rsid w:val="00AE6559"/>
    <w:rsid w:val="00AE6A1C"/>
    <w:rsid w:val="00AF15B1"/>
    <w:rsid w:val="00AF2C8B"/>
    <w:rsid w:val="00AF2F14"/>
    <w:rsid w:val="00AF5923"/>
    <w:rsid w:val="00AF6473"/>
    <w:rsid w:val="00B0071D"/>
    <w:rsid w:val="00B04011"/>
    <w:rsid w:val="00B07E5C"/>
    <w:rsid w:val="00B121C3"/>
    <w:rsid w:val="00B12D01"/>
    <w:rsid w:val="00B1510B"/>
    <w:rsid w:val="00B1538B"/>
    <w:rsid w:val="00B201CE"/>
    <w:rsid w:val="00B2173E"/>
    <w:rsid w:val="00B26A3F"/>
    <w:rsid w:val="00B31DFB"/>
    <w:rsid w:val="00B32C4E"/>
    <w:rsid w:val="00B33C78"/>
    <w:rsid w:val="00B408BD"/>
    <w:rsid w:val="00B429B9"/>
    <w:rsid w:val="00B45546"/>
    <w:rsid w:val="00B464EB"/>
    <w:rsid w:val="00B50546"/>
    <w:rsid w:val="00B51DF7"/>
    <w:rsid w:val="00B52B29"/>
    <w:rsid w:val="00B532B4"/>
    <w:rsid w:val="00B56A97"/>
    <w:rsid w:val="00B56EDD"/>
    <w:rsid w:val="00B601CE"/>
    <w:rsid w:val="00B60E39"/>
    <w:rsid w:val="00B6523D"/>
    <w:rsid w:val="00B67A11"/>
    <w:rsid w:val="00B73EE6"/>
    <w:rsid w:val="00B76561"/>
    <w:rsid w:val="00B811F7"/>
    <w:rsid w:val="00B8256E"/>
    <w:rsid w:val="00B84A7B"/>
    <w:rsid w:val="00B86728"/>
    <w:rsid w:val="00B90411"/>
    <w:rsid w:val="00B93830"/>
    <w:rsid w:val="00B9393E"/>
    <w:rsid w:val="00BA17C4"/>
    <w:rsid w:val="00BA3732"/>
    <w:rsid w:val="00BA5DC6"/>
    <w:rsid w:val="00BA6196"/>
    <w:rsid w:val="00BB01AE"/>
    <w:rsid w:val="00BB24BC"/>
    <w:rsid w:val="00BB24FA"/>
    <w:rsid w:val="00BB2CA5"/>
    <w:rsid w:val="00BB4832"/>
    <w:rsid w:val="00BC1E91"/>
    <w:rsid w:val="00BC23CE"/>
    <w:rsid w:val="00BC4B0E"/>
    <w:rsid w:val="00BC5DFD"/>
    <w:rsid w:val="00BC6BC2"/>
    <w:rsid w:val="00BC6D8C"/>
    <w:rsid w:val="00BD3249"/>
    <w:rsid w:val="00BD3539"/>
    <w:rsid w:val="00BD37BE"/>
    <w:rsid w:val="00BD3826"/>
    <w:rsid w:val="00BD3D35"/>
    <w:rsid w:val="00BD6440"/>
    <w:rsid w:val="00BD6960"/>
    <w:rsid w:val="00BE084E"/>
    <w:rsid w:val="00BE1A5E"/>
    <w:rsid w:val="00BE20BA"/>
    <w:rsid w:val="00BE2DD3"/>
    <w:rsid w:val="00BE4CFE"/>
    <w:rsid w:val="00BE5F96"/>
    <w:rsid w:val="00BF1E86"/>
    <w:rsid w:val="00BF22C7"/>
    <w:rsid w:val="00BF5E60"/>
    <w:rsid w:val="00C000C3"/>
    <w:rsid w:val="00C002BA"/>
    <w:rsid w:val="00C00C55"/>
    <w:rsid w:val="00C00C63"/>
    <w:rsid w:val="00C033D9"/>
    <w:rsid w:val="00C11D98"/>
    <w:rsid w:val="00C150F2"/>
    <w:rsid w:val="00C222FD"/>
    <w:rsid w:val="00C225E1"/>
    <w:rsid w:val="00C25702"/>
    <w:rsid w:val="00C34006"/>
    <w:rsid w:val="00C3432B"/>
    <w:rsid w:val="00C3579F"/>
    <w:rsid w:val="00C36B4C"/>
    <w:rsid w:val="00C422E2"/>
    <w:rsid w:val="00C426B1"/>
    <w:rsid w:val="00C451B8"/>
    <w:rsid w:val="00C5102C"/>
    <w:rsid w:val="00C511F6"/>
    <w:rsid w:val="00C540CC"/>
    <w:rsid w:val="00C6092D"/>
    <w:rsid w:val="00C62068"/>
    <w:rsid w:val="00C63FA1"/>
    <w:rsid w:val="00C645B9"/>
    <w:rsid w:val="00C66160"/>
    <w:rsid w:val="00C665B6"/>
    <w:rsid w:val="00C667BA"/>
    <w:rsid w:val="00C66E0F"/>
    <w:rsid w:val="00C701AF"/>
    <w:rsid w:val="00C721AC"/>
    <w:rsid w:val="00C7398A"/>
    <w:rsid w:val="00C73A82"/>
    <w:rsid w:val="00C74054"/>
    <w:rsid w:val="00C7577E"/>
    <w:rsid w:val="00C8281E"/>
    <w:rsid w:val="00C841D3"/>
    <w:rsid w:val="00C850EC"/>
    <w:rsid w:val="00C906E1"/>
    <w:rsid w:val="00C90D6A"/>
    <w:rsid w:val="00C937A3"/>
    <w:rsid w:val="00C945C1"/>
    <w:rsid w:val="00C94974"/>
    <w:rsid w:val="00C96285"/>
    <w:rsid w:val="00CA247E"/>
    <w:rsid w:val="00CA3A2F"/>
    <w:rsid w:val="00CA6D21"/>
    <w:rsid w:val="00CA7A3B"/>
    <w:rsid w:val="00CB181C"/>
    <w:rsid w:val="00CB3299"/>
    <w:rsid w:val="00CB469F"/>
    <w:rsid w:val="00CB5059"/>
    <w:rsid w:val="00CB6782"/>
    <w:rsid w:val="00CB6917"/>
    <w:rsid w:val="00CC2DD2"/>
    <w:rsid w:val="00CC46F9"/>
    <w:rsid w:val="00CC72B6"/>
    <w:rsid w:val="00CD1033"/>
    <w:rsid w:val="00CD7DF5"/>
    <w:rsid w:val="00CE5633"/>
    <w:rsid w:val="00CE5906"/>
    <w:rsid w:val="00CE73A5"/>
    <w:rsid w:val="00CE78E7"/>
    <w:rsid w:val="00CF2DA8"/>
    <w:rsid w:val="00CF3696"/>
    <w:rsid w:val="00CF462E"/>
    <w:rsid w:val="00CF4D3E"/>
    <w:rsid w:val="00CF5A07"/>
    <w:rsid w:val="00D006E2"/>
    <w:rsid w:val="00D0218D"/>
    <w:rsid w:val="00D033EC"/>
    <w:rsid w:val="00D0528B"/>
    <w:rsid w:val="00D06E56"/>
    <w:rsid w:val="00D116BB"/>
    <w:rsid w:val="00D12B52"/>
    <w:rsid w:val="00D14E59"/>
    <w:rsid w:val="00D15021"/>
    <w:rsid w:val="00D15D79"/>
    <w:rsid w:val="00D2093A"/>
    <w:rsid w:val="00D23428"/>
    <w:rsid w:val="00D25FB5"/>
    <w:rsid w:val="00D2643C"/>
    <w:rsid w:val="00D27853"/>
    <w:rsid w:val="00D316A6"/>
    <w:rsid w:val="00D35487"/>
    <w:rsid w:val="00D35B14"/>
    <w:rsid w:val="00D35BBE"/>
    <w:rsid w:val="00D367A3"/>
    <w:rsid w:val="00D37D05"/>
    <w:rsid w:val="00D41FD2"/>
    <w:rsid w:val="00D42575"/>
    <w:rsid w:val="00D44223"/>
    <w:rsid w:val="00D44E6B"/>
    <w:rsid w:val="00D460A4"/>
    <w:rsid w:val="00D50533"/>
    <w:rsid w:val="00D522B1"/>
    <w:rsid w:val="00D52FD4"/>
    <w:rsid w:val="00D554FE"/>
    <w:rsid w:val="00D56C8B"/>
    <w:rsid w:val="00D6032B"/>
    <w:rsid w:val="00D645CC"/>
    <w:rsid w:val="00D6497F"/>
    <w:rsid w:val="00D66C14"/>
    <w:rsid w:val="00D70947"/>
    <w:rsid w:val="00D7132B"/>
    <w:rsid w:val="00D72819"/>
    <w:rsid w:val="00D7418D"/>
    <w:rsid w:val="00D751F0"/>
    <w:rsid w:val="00D75547"/>
    <w:rsid w:val="00D763CF"/>
    <w:rsid w:val="00D76D80"/>
    <w:rsid w:val="00D777E8"/>
    <w:rsid w:val="00D77BD5"/>
    <w:rsid w:val="00D821CD"/>
    <w:rsid w:val="00D84268"/>
    <w:rsid w:val="00D8791D"/>
    <w:rsid w:val="00D920FB"/>
    <w:rsid w:val="00D95369"/>
    <w:rsid w:val="00DA0238"/>
    <w:rsid w:val="00DA2529"/>
    <w:rsid w:val="00DA4326"/>
    <w:rsid w:val="00DA557C"/>
    <w:rsid w:val="00DA7BE8"/>
    <w:rsid w:val="00DA7EA6"/>
    <w:rsid w:val="00DB130A"/>
    <w:rsid w:val="00DB2EBB"/>
    <w:rsid w:val="00DB30DD"/>
    <w:rsid w:val="00DB39BF"/>
    <w:rsid w:val="00DB5C49"/>
    <w:rsid w:val="00DC10A1"/>
    <w:rsid w:val="00DC2019"/>
    <w:rsid w:val="00DC5351"/>
    <w:rsid w:val="00DC5FA4"/>
    <w:rsid w:val="00DC655F"/>
    <w:rsid w:val="00DD0B59"/>
    <w:rsid w:val="00DD13A1"/>
    <w:rsid w:val="00DD34F0"/>
    <w:rsid w:val="00DD5973"/>
    <w:rsid w:val="00DD7D6D"/>
    <w:rsid w:val="00DD7EBD"/>
    <w:rsid w:val="00DE1298"/>
    <w:rsid w:val="00DE1FE3"/>
    <w:rsid w:val="00DE27AA"/>
    <w:rsid w:val="00DE57A5"/>
    <w:rsid w:val="00DE7427"/>
    <w:rsid w:val="00DF178B"/>
    <w:rsid w:val="00DF3B9E"/>
    <w:rsid w:val="00DF46E7"/>
    <w:rsid w:val="00DF62B6"/>
    <w:rsid w:val="00E07225"/>
    <w:rsid w:val="00E14C64"/>
    <w:rsid w:val="00E16673"/>
    <w:rsid w:val="00E169D4"/>
    <w:rsid w:val="00E17E52"/>
    <w:rsid w:val="00E208DF"/>
    <w:rsid w:val="00E21D8E"/>
    <w:rsid w:val="00E2219F"/>
    <w:rsid w:val="00E26A42"/>
    <w:rsid w:val="00E26D18"/>
    <w:rsid w:val="00E4024A"/>
    <w:rsid w:val="00E404D3"/>
    <w:rsid w:val="00E40D41"/>
    <w:rsid w:val="00E51F14"/>
    <w:rsid w:val="00E5409F"/>
    <w:rsid w:val="00E55387"/>
    <w:rsid w:val="00E55E35"/>
    <w:rsid w:val="00E55EEA"/>
    <w:rsid w:val="00E57D36"/>
    <w:rsid w:val="00E61424"/>
    <w:rsid w:val="00E616D4"/>
    <w:rsid w:val="00E61866"/>
    <w:rsid w:val="00E71B6A"/>
    <w:rsid w:val="00E746FB"/>
    <w:rsid w:val="00E749D8"/>
    <w:rsid w:val="00E75CE1"/>
    <w:rsid w:val="00E80A40"/>
    <w:rsid w:val="00E81933"/>
    <w:rsid w:val="00E83059"/>
    <w:rsid w:val="00E86129"/>
    <w:rsid w:val="00E91D0C"/>
    <w:rsid w:val="00E94147"/>
    <w:rsid w:val="00EA105A"/>
    <w:rsid w:val="00EA365C"/>
    <w:rsid w:val="00EB6666"/>
    <w:rsid w:val="00EC1BBB"/>
    <w:rsid w:val="00EC24FD"/>
    <w:rsid w:val="00EC287D"/>
    <w:rsid w:val="00EC2919"/>
    <w:rsid w:val="00EC54CD"/>
    <w:rsid w:val="00ED05E6"/>
    <w:rsid w:val="00ED1E39"/>
    <w:rsid w:val="00ED20FA"/>
    <w:rsid w:val="00ED2D4B"/>
    <w:rsid w:val="00ED2FEE"/>
    <w:rsid w:val="00ED54A6"/>
    <w:rsid w:val="00EE0E39"/>
    <w:rsid w:val="00EE4197"/>
    <w:rsid w:val="00EE5362"/>
    <w:rsid w:val="00EE6488"/>
    <w:rsid w:val="00EF2917"/>
    <w:rsid w:val="00EF5712"/>
    <w:rsid w:val="00EF6AF7"/>
    <w:rsid w:val="00F015BA"/>
    <w:rsid w:val="00F021FA"/>
    <w:rsid w:val="00F0319E"/>
    <w:rsid w:val="00F0609E"/>
    <w:rsid w:val="00F13E2C"/>
    <w:rsid w:val="00F22037"/>
    <w:rsid w:val="00F22D15"/>
    <w:rsid w:val="00F25EAE"/>
    <w:rsid w:val="00F33A22"/>
    <w:rsid w:val="00F3409E"/>
    <w:rsid w:val="00F357CB"/>
    <w:rsid w:val="00F36E02"/>
    <w:rsid w:val="00F3727B"/>
    <w:rsid w:val="00F41F64"/>
    <w:rsid w:val="00F429BF"/>
    <w:rsid w:val="00F42BBB"/>
    <w:rsid w:val="00F433E9"/>
    <w:rsid w:val="00F45125"/>
    <w:rsid w:val="00F454FD"/>
    <w:rsid w:val="00F47444"/>
    <w:rsid w:val="00F507E0"/>
    <w:rsid w:val="00F525ED"/>
    <w:rsid w:val="00F530EC"/>
    <w:rsid w:val="00F53829"/>
    <w:rsid w:val="00F57B65"/>
    <w:rsid w:val="00F62E97"/>
    <w:rsid w:val="00F63849"/>
    <w:rsid w:val="00F63C69"/>
    <w:rsid w:val="00F63CF1"/>
    <w:rsid w:val="00F64209"/>
    <w:rsid w:val="00F675F6"/>
    <w:rsid w:val="00F67D68"/>
    <w:rsid w:val="00F7303B"/>
    <w:rsid w:val="00F75C4B"/>
    <w:rsid w:val="00F75FC4"/>
    <w:rsid w:val="00F7714A"/>
    <w:rsid w:val="00F82F12"/>
    <w:rsid w:val="00F908B8"/>
    <w:rsid w:val="00F93BF5"/>
    <w:rsid w:val="00FA1C0A"/>
    <w:rsid w:val="00FA4F44"/>
    <w:rsid w:val="00FA6E8A"/>
    <w:rsid w:val="00FB57DB"/>
    <w:rsid w:val="00FB6680"/>
    <w:rsid w:val="00FB67EF"/>
    <w:rsid w:val="00FC0191"/>
    <w:rsid w:val="00FC64B5"/>
    <w:rsid w:val="00FC6547"/>
    <w:rsid w:val="00FC6903"/>
    <w:rsid w:val="00FC7956"/>
    <w:rsid w:val="00FD466A"/>
    <w:rsid w:val="00FD4A1E"/>
    <w:rsid w:val="00FD5C2A"/>
    <w:rsid w:val="00FE11DF"/>
    <w:rsid w:val="00FE5930"/>
    <w:rsid w:val="00FF1237"/>
    <w:rsid w:val="00FF6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8B769D"/>
  <w15:docId w15:val="{183EBA6C-3EC5-478E-B762-FA1AE3EC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106E76"/>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D3E30"/>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5059A6"/>
    <w:rPr>
      <w:rFonts w:ascii="Times New Roman Bold" w:hAnsi="Times New Roman Bold"/>
      <w:b/>
      <w:caps/>
      <w:snapToGrid w:val="0"/>
      <w:kern w:val="28"/>
      <w:sz w:val="2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
    <w:link w:val="Heading2"/>
    <w:rsid w:val="00106E76"/>
    <w:rPr>
      <w:b/>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basedOn w:val="DefaultParagraphFont"/>
    <w:link w:val="FootnoteText"/>
    <w:rsid w:val="005059A6"/>
  </w:style>
  <w:style w:type="character" w:customStyle="1" w:styleId="ParaNumChar">
    <w:name w:val="ParaNum Char"/>
    <w:link w:val="ParaNum"/>
    <w:locked/>
    <w:rsid w:val="005059A6"/>
    <w:rPr>
      <w:snapToGrid w:val="0"/>
      <w:kern w:val="28"/>
      <w:sz w:val="22"/>
    </w:rPr>
  </w:style>
  <w:style w:type="character" w:customStyle="1" w:styleId="Bodytext2">
    <w:name w:val="Body text (2)"/>
    <w:uiPriority w:val="99"/>
    <w:rsid w:val="005059A6"/>
    <w:rPr>
      <w:rFonts w:ascii="Arial" w:hAnsi="Arial" w:cs="Arial"/>
      <w:color w:val="5A5A5A"/>
      <w:sz w:val="20"/>
      <w:szCs w:val="20"/>
      <w:shd w:val="clear" w:color="auto" w:fill="FFFFFF"/>
    </w:rPr>
  </w:style>
  <w:style w:type="character" w:customStyle="1" w:styleId="item-value">
    <w:name w:val="item-value"/>
    <w:rsid w:val="005059A6"/>
  </w:style>
  <w:style w:type="character" w:styleId="CommentReference">
    <w:name w:val="annotation reference"/>
    <w:rsid w:val="00406E28"/>
    <w:rPr>
      <w:sz w:val="16"/>
      <w:szCs w:val="16"/>
    </w:rPr>
  </w:style>
  <w:style w:type="paragraph" w:styleId="CommentText">
    <w:name w:val="annotation text"/>
    <w:basedOn w:val="Normal"/>
    <w:link w:val="CommentTextChar"/>
    <w:rsid w:val="00406E28"/>
    <w:rPr>
      <w:sz w:val="20"/>
    </w:rPr>
  </w:style>
  <w:style w:type="character" w:customStyle="1" w:styleId="CommentTextChar">
    <w:name w:val="Comment Text Char"/>
    <w:link w:val="CommentText"/>
    <w:rsid w:val="00406E28"/>
    <w:rPr>
      <w:snapToGrid w:val="0"/>
      <w:kern w:val="28"/>
    </w:rPr>
  </w:style>
  <w:style w:type="paragraph" w:styleId="CommentSubject">
    <w:name w:val="annotation subject"/>
    <w:basedOn w:val="CommentText"/>
    <w:next w:val="CommentText"/>
    <w:link w:val="CommentSubjectChar"/>
    <w:rsid w:val="00406E28"/>
    <w:rPr>
      <w:b/>
      <w:bCs/>
    </w:rPr>
  </w:style>
  <w:style w:type="character" w:customStyle="1" w:styleId="CommentSubjectChar">
    <w:name w:val="Comment Subject Char"/>
    <w:link w:val="CommentSubject"/>
    <w:rsid w:val="00406E28"/>
    <w:rPr>
      <w:b/>
      <w:bCs/>
      <w:snapToGrid w:val="0"/>
      <w:kern w:val="28"/>
    </w:rPr>
  </w:style>
  <w:style w:type="paragraph" w:customStyle="1" w:styleId="footnotedescription">
    <w:name w:val="footnote description"/>
    <w:next w:val="Normal"/>
    <w:link w:val="footnotedescriptionChar"/>
    <w:hidden/>
    <w:rsid w:val="001C1F4E"/>
    <w:pPr>
      <w:spacing w:after="43" w:line="259" w:lineRule="auto"/>
    </w:pPr>
    <w:rPr>
      <w:color w:val="000000"/>
      <w:szCs w:val="22"/>
    </w:rPr>
  </w:style>
  <w:style w:type="character" w:customStyle="1" w:styleId="footnotedescriptionChar">
    <w:name w:val="footnote description Char"/>
    <w:link w:val="footnotedescription"/>
    <w:rsid w:val="001C1F4E"/>
    <w:rPr>
      <w:color w:val="000000"/>
      <w:szCs w:val="22"/>
    </w:rPr>
  </w:style>
  <w:style w:type="character" w:customStyle="1" w:styleId="footnotemark">
    <w:name w:val="footnote mark"/>
    <w:hidden/>
    <w:rsid w:val="001C1F4E"/>
    <w:rPr>
      <w:rFonts w:ascii="Times New Roman" w:eastAsia="Times New Roman" w:hAnsi="Times New Roman" w:cs="Times New Roman"/>
      <w:color w:val="000000"/>
      <w:sz w:val="20"/>
      <w:vertAlign w:val="superscript"/>
    </w:rPr>
  </w:style>
  <w:style w:type="paragraph" w:styleId="Revision">
    <w:name w:val="Revision"/>
    <w:hidden/>
    <w:uiPriority w:val="99"/>
    <w:semiHidden/>
    <w:rsid w:val="00971782"/>
    <w:rPr>
      <w:snapToGrid w:val="0"/>
      <w:kern w:val="28"/>
      <w:sz w:val="22"/>
    </w:rPr>
  </w:style>
  <w:style w:type="character" w:styleId="UnresolvedMention">
    <w:name w:val="Unresolved Mention"/>
    <w:basedOn w:val="DefaultParagraphFont"/>
    <w:uiPriority w:val="99"/>
    <w:semiHidden/>
    <w:unhideWhenUsed/>
    <w:rsid w:val="0009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estlaw.com/Link/Document/FullText?findType=Y&amp;serNum=2048486413&amp;pubNum=0004493&amp;originatingDoc=I1b5232b3dd5611ecad44ded34e2f04d8&amp;refType=CA&amp;originationContext=document&amp;vr=3.0&amp;rs=cblt1.0&amp;transitionType=DocumentItem&amp;contextData=(sc.Keycite)" TargetMode="External" /><Relationship Id="rId2" Type="http://schemas.openxmlformats.org/officeDocument/2006/relationships/hyperlink" Target="https://www.psc.nd.gov/database/documents/22-0409/013-030.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