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CD0206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776C33D" w14:textId="77777777">
      <w:pPr>
        <w:pStyle w:val="StyleBoldCentered"/>
      </w:pPr>
      <w:r>
        <w:t>F</w:t>
      </w:r>
      <w:r>
        <w:rPr>
          <w:caps w:val="0"/>
        </w:rPr>
        <w:t>ederal Communications Commission</w:t>
      </w:r>
    </w:p>
    <w:p w:rsidR="004C2EE3" w:rsidP="00096D8C" w14:paraId="322CD620" w14:textId="77777777">
      <w:pPr>
        <w:pStyle w:val="StyleBoldCentered"/>
      </w:pPr>
      <w:r>
        <w:rPr>
          <w:caps w:val="0"/>
        </w:rPr>
        <w:t>Washington, D.C. 20554</w:t>
      </w:r>
    </w:p>
    <w:p w:rsidR="004C2EE3" w:rsidP="0070224F" w14:paraId="7D1F50BB" w14:textId="77777777"/>
    <w:p w:rsidR="004C2EE3" w:rsidP="0070224F" w14:paraId="3568FE3C" w14:textId="77777777"/>
    <w:tbl>
      <w:tblPr>
        <w:tblW w:w="0" w:type="auto"/>
        <w:tblLayout w:type="fixed"/>
        <w:tblLook w:val="0000"/>
      </w:tblPr>
      <w:tblGrid>
        <w:gridCol w:w="4698"/>
        <w:gridCol w:w="630"/>
        <w:gridCol w:w="4248"/>
      </w:tblGrid>
      <w:tr w14:paraId="405D8B41" w14:textId="77777777">
        <w:tblPrEx>
          <w:tblW w:w="0" w:type="auto"/>
          <w:tblLayout w:type="fixed"/>
          <w:tblLook w:val="0000"/>
        </w:tblPrEx>
        <w:tc>
          <w:tcPr>
            <w:tcW w:w="4698" w:type="dxa"/>
          </w:tcPr>
          <w:p w:rsidR="00131E73" w14:paraId="395C1F92" w14:textId="77777777">
            <w:pPr>
              <w:tabs>
                <w:tab w:val="center" w:pos="4680"/>
              </w:tabs>
              <w:suppressAutoHyphens/>
              <w:rPr>
                <w:spacing w:val="-2"/>
              </w:rPr>
            </w:pPr>
          </w:p>
          <w:p w:rsidR="004C2EE3" w14:paraId="17EE17A5" w14:textId="3810B5C4">
            <w:pPr>
              <w:tabs>
                <w:tab w:val="center" w:pos="4680"/>
              </w:tabs>
              <w:suppressAutoHyphens/>
              <w:rPr>
                <w:spacing w:val="-2"/>
              </w:rPr>
            </w:pPr>
            <w:r>
              <w:rPr>
                <w:spacing w:val="-2"/>
              </w:rPr>
              <w:t>In the Matter of</w:t>
            </w:r>
            <w:r w:rsidR="00D00EB0">
              <w:rPr>
                <w:spacing w:val="-2"/>
              </w:rPr>
              <w:t xml:space="preserve"> Progeny LMS, LLC</w:t>
            </w:r>
          </w:p>
          <w:p w:rsidR="004C2EE3" w14:paraId="240DD23C" w14:textId="77777777">
            <w:pPr>
              <w:tabs>
                <w:tab w:val="center" w:pos="4680"/>
              </w:tabs>
              <w:suppressAutoHyphens/>
              <w:rPr>
                <w:spacing w:val="-2"/>
              </w:rPr>
            </w:pPr>
          </w:p>
          <w:p w:rsidR="004C2EE3" w:rsidRPr="00D00EB0" w:rsidP="007115F7" w14:paraId="6C891AC2" w14:textId="77777777">
            <w:pPr>
              <w:tabs>
                <w:tab w:val="center" w:pos="4680"/>
              </w:tabs>
              <w:suppressAutoHyphens/>
              <w:rPr>
                <w:spacing w:val="-2"/>
                <w:szCs w:val="22"/>
              </w:rPr>
            </w:pPr>
            <w:r w:rsidRPr="00D00EB0">
              <w:rPr>
                <w:spacing w:val="-2"/>
                <w:szCs w:val="22"/>
              </w:rPr>
              <w:t>Request for Waiver and Extension of Time</w:t>
            </w:r>
          </w:p>
          <w:p w:rsidR="00D00EB0" w:rsidRPr="00D00EB0" w:rsidP="007115F7" w14:paraId="0D3DC109" w14:textId="77777777">
            <w:pPr>
              <w:tabs>
                <w:tab w:val="center" w:pos="4680"/>
              </w:tabs>
              <w:suppressAutoHyphens/>
              <w:rPr>
                <w:spacing w:val="-2"/>
                <w:szCs w:val="22"/>
              </w:rPr>
            </w:pPr>
          </w:p>
          <w:p w:rsidR="00D00EB0" w:rsidRPr="00D00EB0" w:rsidP="007115F7" w14:paraId="067E374F" w14:textId="77777777">
            <w:pPr>
              <w:tabs>
                <w:tab w:val="center" w:pos="4680"/>
              </w:tabs>
              <w:suppressAutoHyphens/>
              <w:rPr>
                <w:szCs w:val="22"/>
              </w:rPr>
            </w:pPr>
            <w:r w:rsidRPr="00D00EB0">
              <w:rPr>
                <w:szCs w:val="22"/>
              </w:rPr>
              <w:t>Further Request for Waiver and Extension of Time</w:t>
            </w:r>
          </w:p>
          <w:p w:rsidR="00D00EB0" w:rsidRPr="00D00EB0" w:rsidP="007115F7" w14:paraId="6A4768D5" w14:textId="77777777">
            <w:pPr>
              <w:tabs>
                <w:tab w:val="center" w:pos="4680"/>
              </w:tabs>
              <w:suppressAutoHyphens/>
              <w:rPr>
                <w:szCs w:val="22"/>
              </w:rPr>
            </w:pPr>
          </w:p>
          <w:p w:rsidR="00D00EB0" w:rsidRPr="00D00EB0" w:rsidP="007115F7" w14:paraId="4A59F686" w14:textId="77777777">
            <w:pPr>
              <w:tabs>
                <w:tab w:val="center" w:pos="4680"/>
              </w:tabs>
              <w:suppressAutoHyphens/>
              <w:rPr>
                <w:szCs w:val="22"/>
              </w:rPr>
            </w:pPr>
            <w:r w:rsidRPr="00D00EB0">
              <w:rPr>
                <w:szCs w:val="22"/>
              </w:rPr>
              <w:t>Further Waiver Request</w:t>
            </w:r>
          </w:p>
          <w:p w:rsidR="00D00EB0" w:rsidRPr="00D00EB0" w:rsidP="007115F7" w14:paraId="2ED959EC" w14:textId="77777777">
            <w:pPr>
              <w:tabs>
                <w:tab w:val="center" w:pos="4680"/>
              </w:tabs>
              <w:suppressAutoHyphens/>
              <w:rPr>
                <w:szCs w:val="22"/>
              </w:rPr>
            </w:pPr>
          </w:p>
          <w:p w:rsidR="00D00EB0" w:rsidRPr="00D00EB0" w:rsidP="007115F7" w14:paraId="15C84272" w14:textId="77777777">
            <w:pPr>
              <w:tabs>
                <w:tab w:val="center" w:pos="4680"/>
              </w:tabs>
              <w:suppressAutoHyphens/>
              <w:rPr>
                <w:szCs w:val="22"/>
              </w:rPr>
            </w:pPr>
            <w:r w:rsidRPr="00D00EB0">
              <w:rPr>
                <w:szCs w:val="22"/>
              </w:rPr>
              <w:t>Request for Waiver and Extension of Time</w:t>
            </w:r>
          </w:p>
          <w:p w:rsidR="00D00EB0" w:rsidRPr="007115F7" w:rsidP="007115F7" w14:paraId="4147119A" w14:textId="430E470B">
            <w:pPr>
              <w:tabs>
                <w:tab w:val="center" w:pos="4680"/>
              </w:tabs>
              <w:suppressAutoHyphens/>
              <w:rPr>
                <w:spacing w:val="-2"/>
              </w:rPr>
            </w:pPr>
          </w:p>
        </w:tc>
        <w:tc>
          <w:tcPr>
            <w:tcW w:w="630" w:type="dxa"/>
          </w:tcPr>
          <w:p w:rsidR="004C2EE3" w14:paraId="5E7B1790" w14:textId="77777777">
            <w:pPr>
              <w:tabs>
                <w:tab w:val="center" w:pos="4680"/>
              </w:tabs>
              <w:suppressAutoHyphens/>
              <w:rPr>
                <w:b/>
                <w:spacing w:val="-2"/>
              </w:rPr>
            </w:pPr>
            <w:r>
              <w:rPr>
                <w:b/>
                <w:spacing w:val="-2"/>
              </w:rPr>
              <w:t>)</w:t>
            </w:r>
          </w:p>
          <w:p w:rsidR="004C2EE3" w14:paraId="3343C841" w14:textId="77777777">
            <w:pPr>
              <w:tabs>
                <w:tab w:val="center" w:pos="4680"/>
              </w:tabs>
              <w:suppressAutoHyphens/>
              <w:rPr>
                <w:b/>
                <w:spacing w:val="-2"/>
              </w:rPr>
            </w:pPr>
            <w:r>
              <w:rPr>
                <w:b/>
                <w:spacing w:val="-2"/>
              </w:rPr>
              <w:t>)</w:t>
            </w:r>
          </w:p>
          <w:p w:rsidR="004C2EE3" w14:paraId="4A663064" w14:textId="77777777">
            <w:pPr>
              <w:tabs>
                <w:tab w:val="center" w:pos="4680"/>
              </w:tabs>
              <w:suppressAutoHyphens/>
              <w:rPr>
                <w:b/>
                <w:spacing w:val="-2"/>
              </w:rPr>
            </w:pPr>
            <w:r>
              <w:rPr>
                <w:b/>
                <w:spacing w:val="-2"/>
              </w:rPr>
              <w:t>)</w:t>
            </w:r>
          </w:p>
          <w:p w:rsidR="004C2EE3" w14:paraId="4D5B50CE" w14:textId="77777777">
            <w:pPr>
              <w:tabs>
                <w:tab w:val="center" w:pos="4680"/>
              </w:tabs>
              <w:suppressAutoHyphens/>
              <w:rPr>
                <w:b/>
                <w:spacing w:val="-2"/>
              </w:rPr>
            </w:pPr>
            <w:r>
              <w:rPr>
                <w:b/>
                <w:spacing w:val="-2"/>
              </w:rPr>
              <w:t>)</w:t>
            </w:r>
          </w:p>
          <w:p w:rsidR="004C2EE3" w14:paraId="4337DEEE" w14:textId="77777777">
            <w:pPr>
              <w:tabs>
                <w:tab w:val="center" w:pos="4680"/>
              </w:tabs>
              <w:suppressAutoHyphens/>
              <w:rPr>
                <w:b/>
                <w:spacing w:val="-2"/>
              </w:rPr>
            </w:pPr>
            <w:r>
              <w:rPr>
                <w:b/>
                <w:spacing w:val="-2"/>
              </w:rPr>
              <w:t>)</w:t>
            </w:r>
          </w:p>
          <w:p w:rsidR="004C2EE3" w14:paraId="1432F925" w14:textId="77777777">
            <w:pPr>
              <w:tabs>
                <w:tab w:val="center" w:pos="4680"/>
              </w:tabs>
              <w:suppressAutoHyphens/>
              <w:rPr>
                <w:b/>
                <w:spacing w:val="-2"/>
              </w:rPr>
            </w:pPr>
            <w:r>
              <w:rPr>
                <w:b/>
                <w:spacing w:val="-2"/>
              </w:rPr>
              <w:t>)</w:t>
            </w:r>
          </w:p>
          <w:p w:rsidR="00D00EB0" w14:paraId="25751F9B" w14:textId="77777777">
            <w:pPr>
              <w:tabs>
                <w:tab w:val="center" w:pos="4680"/>
              </w:tabs>
              <w:suppressAutoHyphens/>
              <w:rPr>
                <w:b/>
                <w:spacing w:val="-2"/>
              </w:rPr>
            </w:pPr>
            <w:r>
              <w:rPr>
                <w:b/>
                <w:spacing w:val="-2"/>
              </w:rPr>
              <w:t>)</w:t>
            </w:r>
          </w:p>
          <w:p w:rsidR="00D00EB0" w14:paraId="129F41FB" w14:textId="77777777">
            <w:pPr>
              <w:tabs>
                <w:tab w:val="center" w:pos="4680"/>
              </w:tabs>
              <w:suppressAutoHyphens/>
              <w:rPr>
                <w:b/>
                <w:spacing w:val="-2"/>
              </w:rPr>
            </w:pPr>
            <w:r>
              <w:rPr>
                <w:b/>
                <w:spacing w:val="-2"/>
              </w:rPr>
              <w:t>)</w:t>
            </w:r>
          </w:p>
          <w:p w:rsidR="00D00EB0" w14:paraId="453311EF" w14:textId="77777777">
            <w:pPr>
              <w:tabs>
                <w:tab w:val="center" w:pos="4680"/>
              </w:tabs>
              <w:suppressAutoHyphens/>
              <w:rPr>
                <w:b/>
                <w:spacing w:val="-2"/>
              </w:rPr>
            </w:pPr>
            <w:r>
              <w:rPr>
                <w:b/>
                <w:spacing w:val="-2"/>
              </w:rPr>
              <w:t>)</w:t>
            </w:r>
          </w:p>
          <w:p w:rsidR="00D00EB0" w14:paraId="64F87284" w14:textId="77777777">
            <w:pPr>
              <w:tabs>
                <w:tab w:val="center" w:pos="4680"/>
              </w:tabs>
              <w:suppressAutoHyphens/>
              <w:rPr>
                <w:b/>
                <w:spacing w:val="-2"/>
              </w:rPr>
            </w:pPr>
            <w:r>
              <w:rPr>
                <w:b/>
                <w:spacing w:val="-2"/>
              </w:rPr>
              <w:t>)</w:t>
            </w:r>
          </w:p>
          <w:p w:rsidR="00D00EB0" w:rsidRPr="00131E73" w14:paraId="47569B87" w14:textId="1E606D14">
            <w:pPr>
              <w:tabs>
                <w:tab w:val="center" w:pos="4680"/>
              </w:tabs>
              <w:suppressAutoHyphens/>
              <w:rPr>
                <w:b/>
                <w:spacing w:val="-2"/>
              </w:rPr>
            </w:pPr>
            <w:r>
              <w:rPr>
                <w:b/>
                <w:spacing w:val="-2"/>
              </w:rPr>
              <w:t>)</w:t>
            </w:r>
          </w:p>
        </w:tc>
        <w:tc>
          <w:tcPr>
            <w:tcW w:w="4248" w:type="dxa"/>
          </w:tcPr>
          <w:p w:rsidR="004C2EE3" w14:paraId="60996860" w14:textId="77777777">
            <w:pPr>
              <w:tabs>
                <w:tab w:val="center" w:pos="4680"/>
              </w:tabs>
              <w:suppressAutoHyphens/>
              <w:rPr>
                <w:spacing w:val="-2"/>
              </w:rPr>
            </w:pPr>
          </w:p>
          <w:p w:rsidR="004C2EE3" w14:paraId="78461F03" w14:textId="77777777">
            <w:pPr>
              <w:pStyle w:val="TOAHeading"/>
              <w:tabs>
                <w:tab w:val="center" w:pos="4680"/>
                <w:tab w:val="clear" w:pos="9360"/>
              </w:tabs>
              <w:rPr>
                <w:spacing w:val="-2"/>
              </w:rPr>
            </w:pPr>
          </w:p>
          <w:p w:rsidR="00131E73" w14:paraId="06ECE38E" w14:textId="77777777">
            <w:pPr>
              <w:tabs>
                <w:tab w:val="center" w:pos="4680"/>
              </w:tabs>
              <w:suppressAutoHyphens/>
              <w:rPr>
                <w:spacing w:val="-2"/>
              </w:rPr>
            </w:pPr>
          </w:p>
          <w:p w:rsidR="004C2EE3" w14:paraId="3520A4C3" w14:textId="7AF793C5">
            <w:pPr>
              <w:tabs>
                <w:tab w:val="center" w:pos="4680"/>
              </w:tabs>
              <w:suppressAutoHyphens/>
              <w:rPr>
                <w:spacing w:val="-2"/>
              </w:rPr>
            </w:pPr>
            <w:r>
              <w:rPr>
                <w:spacing w:val="-2"/>
              </w:rPr>
              <w:t>WT Docket No. 12-202</w:t>
            </w:r>
          </w:p>
        </w:tc>
      </w:tr>
    </w:tbl>
    <w:p w:rsidR="004C2EE3" w:rsidP="0070224F" w14:paraId="5FB42237" w14:textId="77777777"/>
    <w:p w:rsidR="00841AB1" w:rsidP="00F021FA" w14:paraId="1C917D83" w14:textId="34B6E47D">
      <w:pPr>
        <w:pStyle w:val="StyleBoldCentered"/>
      </w:pPr>
      <w:r>
        <w:t>ORDER</w:t>
      </w:r>
    </w:p>
    <w:p w:rsidR="004C2EE3" w14:paraId="1488C2CA" w14:textId="77777777">
      <w:pPr>
        <w:tabs>
          <w:tab w:val="left" w:pos="-720"/>
        </w:tabs>
        <w:suppressAutoHyphens/>
        <w:spacing w:line="227" w:lineRule="auto"/>
        <w:rPr>
          <w:spacing w:val="-2"/>
        </w:rPr>
      </w:pPr>
    </w:p>
    <w:p w:rsidR="004C2EE3" w:rsidP="00133F79" w14:paraId="5DA57BB3" w14:textId="1B0D77C3">
      <w:pPr>
        <w:tabs>
          <w:tab w:val="left" w:pos="720"/>
          <w:tab w:val="right" w:pos="9360"/>
        </w:tabs>
        <w:suppressAutoHyphens/>
        <w:spacing w:line="227" w:lineRule="auto"/>
        <w:rPr>
          <w:spacing w:val="-2"/>
        </w:rPr>
      </w:pPr>
      <w:r>
        <w:rPr>
          <w:b/>
          <w:spacing w:val="-2"/>
        </w:rPr>
        <w:t xml:space="preserve">Adopted:  </w:t>
      </w:r>
      <w:r w:rsidR="00253911">
        <w:rPr>
          <w:b/>
          <w:spacing w:val="-2"/>
        </w:rPr>
        <w:t>March 29,</w:t>
      </w:r>
      <w:r w:rsidR="00131E73">
        <w:rPr>
          <w:b/>
          <w:spacing w:val="-2"/>
        </w:rPr>
        <w:t xml:space="preserve">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53911">
        <w:rPr>
          <w:b/>
          <w:spacing w:val="-2"/>
        </w:rPr>
        <w:t>March 29</w:t>
      </w:r>
      <w:r w:rsidR="00131E73">
        <w:rPr>
          <w:b/>
          <w:spacing w:val="-2"/>
        </w:rPr>
        <w:t>, 2023</w:t>
      </w:r>
    </w:p>
    <w:p w:rsidR="00822CE0" w14:paraId="30876456" w14:textId="77777777"/>
    <w:p w:rsidR="004C2EE3" w14:paraId="5520F6B5" w14:textId="06FAAAEA">
      <w:pPr>
        <w:rPr>
          <w:spacing w:val="-2"/>
        </w:rPr>
      </w:pPr>
      <w:r>
        <w:t xml:space="preserve">By </w:t>
      </w:r>
      <w:r w:rsidR="004E4A22">
        <w:t>the</w:t>
      </w:r>
      <w:r w:rsidR="002A2D2E">
        <w:t xml:space="preserve"> </w:t>
      </w:r>
      <w:r w:rsidR="00131E73">
        <w:rPr>
          <w:spacing w:val="-2"/>
        </w:rPr>
        <w:t>Chief</w:t>
      </w:r>
      <w:r w:rsidR="00BC7822">
        <w:rPr>
          <w:spacing w:val="-2"/>
        </w:rPr>
        <w:t>,</w:t>
      </w:r>
      <w:r w:rsidR="00131E73">
        <w:rPr>
          <w:spacing w:val="-2"/>
        </w:rPr>
        <w:t xml:space="preserve"> Mobility Division, Wireless Telecommunications Bureau</w:t>
      </w:r>
      <w:r>
        <w:rPr>
          <w:spacing w:val="-2"/>
        </w:rPr>
        <w:t>:</w:t>
      </w:r>
    </w:p>
    <w:p w:rsidR="00822CE0" w14:paraId="6CA551D2" w14:textId="77777777">
      <w:pPr>
        <w:rPr>
          <w:spacing w:val="-2"/>
        </w:rPr>
      </w:pPr>
    </w:p>
    <w:p w:rsidR="00412FC5" w:rsidP="00C36B4C" w14:paraId="1D40DDDA" w14:textId="04331020">
      <w:pPr>
        <w:pStyle w:val="Heading1"/>
      </w:pPr>
      <w:r>
        <w:t xml:space="preserve">introduction </w:t>
      </w:r>
    </w:p>
    <w:p w:rsidR="00965AA8" w:rsidRPr="0083503A" w:rsidP="00965AA8" w14:paraId="519C1FBC" w14:textId="7220E752">
      <w:pPr>
        <w:pStyle w:val="ParaNum"/>
      </w:pPr>
      <w:r w:rsidRPr="0083503A">
        <w:t>By</w:t>
      </w:r>
      <w:r w:rsidRPr="0083503A">
        <w:t xml:space="preserve"> this Order</w:t>
      </w:r>
      <w:r w:rsidRPr="00DC5A97">
        <w:t>,</w:t>
      </w:r>
      <w:r w:rsidRPr="0083503A">
        <w:rPr>
          <w:i/>
          <w:iCs/>
        </w:rPr>
        <w:t xml:space="preserve"> </w:t>
      </w:r>
      <w:r w:rsidRPr="0083503A">
        <w:t>the Mobility Division (Division) of the Wireless Telecommunications Bureau (Bureau) addresses the requests filed by Progeny LMS, LLC (Progeny</w:t>
      </w:r>
      <w:r w:rsidR="00436A80">
        <w:t xml:space="preserve"> or </w:t>
      </w:r>
      <w:r w:rsidR="00436A80">
        <w:t>NextNav</w:t>
      </w:r>
      <w:r w:rsidRPr="0083503A">
        <w:t>)</w:t>
      </w:r>
      <w:r>
        <w:rPr>
          <w:rStyle w:val="FootnoteReference"/>
        </w:rPr>
        <w:footnoteReference w:id="3"/>
      </w:r>
      <w:r w:rsidRPr="0083503A">
        <w:t xml:space="preserve"> for waiver of Section 90.155(d)</w:t>
      </w:r>
      <w:r>
        <w:rPr>
          <w:rStyle w:val="FootnoteReference"/>
        </w:rPr>
        <w:footnoteReference w:id="4"/>
      </w:r>
      <w:r w:rsidRPr="0083503A">
        <w:t xml:space="preserve"> of the Commission’s rules and extension of time to meet the construction deadlines for </w:t>
      </w:r>
      <w:r w:rsidRPr="0083503A">
        <w:t>82 of its</w:t>
      </w:r>
      <w:r w:rsidRPr="0083503A">
        <w:t xml:space="preserve"> 900 MHz </w:t>
      </w:r>
      <w:r w:rsidRPr="0083503A">
        <w:t>Multilateration</w:t>
      </w:r>
      <w:r w:rsidRPr="0083503A">
        <w:t xml:space="preserve"> Location and Monitoring Service (M-LMS) Economic Area (EA) licenses (Licenses).</w:t>
      </w:r>
      <w:r>
        <w:rPr>
          <w:rStyle w:val="FootnoteReference"/>
        </w:rPr>
        <w:footnoteReference w:id="5"/>
      </w:r>
      <w:r w:rsidRPr="0083503A">
        <w:t xml:space="preserve">  </w:t>
      </w:r>
      <w:r w:rsidRPr="00DF252C" w:rsidR="00DF252C">
        <w:t>We address Progeny’s waiver and extension requests under the appropriate standard in turn below.</w:t>
      </w:r>
      <w:r w:rsidR="001165D2">
        <w:t xml:space="preserve">  Regarding Progeny’s request for waiver of section 90.155(d)’s </w:t>
      </w:r>
      <w:r w:rsidR="00781596">
        <w:t>construction</w:t>
      </w:r>
      <w:r w:rsidR="001165D2">
        <w:t xml:space="preserve"> requirement to allow it to serve two-thirds</w:t>
      </w:r>
      <w:r w:rsidRPr="00982C4A" w:rsidR="001165D2">
        <w:t xml:space="preserve"> of buildings in excess of three stories</w:t>
      </w:r>
      <w:r w:rsidR="001165D2">
        <w:t xml:space="preserve"> for its Group 1, 2, and 3 licenses, w</w:t>
      </w:r>
      <w:r w:rsidRPr="00852C00" w:rsidR="001165D2">
        <w:t>e find that Progeny may demonstrate that it is providing service consistent with the two-thirds tall buildings coverage approach to satisfy the substantial service requirement</w:t>
      </w:r>
      <w:r w:rsidR="001165D2">
        <w:t xml:space="preserve"> in 90.155(d), and therefore dismiss that </w:t>
      </w:r>
      <w:r w:rsidR="001165D2">
        <w:t>waiver request as moot.</w:t>
      </w:r>
      <w:r>
        <w:rPr>
          <w:rStyle w:val="FootnoteReference"/>
        </w:rPr>
        <w:footnoteReference w:id="6"/>
      </w:r>
      <w:r w:rsidRPr="0083503A">
        <w:t xml:space="preserve">  We conclude that</w:t>
      </w:r>
      <w:r w:rsidR="0082149C">
        <w:t>, together,</w:t>
      </w:r>
      <w:r w:rsidRPr="0083503A">
        <w:t xml:space="preserve"> this relief will facilitate Progeny’s provision of service to wireless carriers to enable them to meet the Enhanced 911 (E911) location accuracy deadlines the Commission adopted in the </w:t>
      </w:r>
      <w:r w:rsidRPr="0083503A">
        <w:rPr>
          <w:i/>
          <w:iCs/>
        </w:rPr>
        <w:t xml:space="preserve">2015 </w:t>
      </w:r>
      <w:r w:rsidRPr="0083503A">
        <w:t xml:space="preserve">and </w:t>
      </w:r>
      <w:r w:rsidRPr="0083503A">
        <w:rPr>
          <w:i/>
          <w:iCs/>
        </w:rPr>
        <w:t xml:space="preserve">2020 </w:t>
      </w:r>
      <w:r w:rsidRPr="0083503A">
        <w:rPr>
          <w:i/>
          <w:iCs/>
        </w:rPr>
        <w:t>Indoor Location Accuracy Order</w:t>
      </w:r>
      <w:r w:rsidRPr="0083503A">
        <w:rPr>
          <w:i/>
          <w:iCs/>
        </w:rPr>
        <w:t>s</w:t>
      </w:r>
      <w:r w:rsidRPr="0083503A">
        <w:t xml:space="preserve"> to address a critical public safety need for improving indoor location accuracy.</w:t>
      </w:r>
      <w:r>
        <w:rPr>
          <w:rStyle w:val="FootnoteReference"/>
        </w:rPr>
        <w:footnoteReference w:id="7"/>
      </w:r>
      <w:r w:rsidRPr="0083503A">
        <w:t xml:space="preserve">  </w:t>
      </w:r>
    </w:p>
    <w:p w:rsidR="00131E73" w:rsidP="00131E73" w14:paraId="41017389" w14:textId="6E87DB7C">
      <w:pPr>
        <w:pStyle w:val="Heading1"/>
      </w:pPr>
      <w:r>
        <w:t xml:space="preserve">background </w:t>
      </w:r>
    </w:p>
    <w:p w:rsidR="0071706C" w:rsidP="00C4462D" w14:paraId="4EDF0E24" w14:textId="6E2CE262">
      <w:pPr>
        <w:pStyle w:val="ParaNum"/>
      </w:pPr>
      <w:r>
        <w:rPr>
          <w:i/>
          <w:iCs/>
        </w:rPr>
        <w:t xml:space="preserve">Progeny’s </w:t>
      </w:r>
      <w:r w:rsidRPr="00C138B3" w:rsidR="00C138B3">
        <w:rPr>
          <w:i/>
          <w:iCs/>
        </w:rPr>
        <w:t>Location and Monitoring Service (LMS).</w:t>
      </w:r>
      <w:r w:rsidR="00C138B3">
        <w:t xml:space="preserve">  In 1995, the Commission established LMS as a new service in the 902-928 MHz band</w:t>
      </w:r>
      <w:r w:rsidR="00C653EF">
        <w:t xml:space="preserve">, which is shared </w:t>
      </w:r>
      <w:r w:rsidR="00891581">
        <w:t>by a variety of users under a</w:t>
      </w:r>
      <w:r w:rsidR="00C138B3">
        <w:t xml:space="preserve"> hierarchy of spectrum usage rights.</w:t>
      </w:r>
      <w:bookmarkStart w:id="0" w:name="FN_FN2_"/>
      <w:bookmarkEnd w:id="0"/>
      <w:r>
        <w:rPr>
          <w:rStyle w:val="FootnoteReference"/>
        </w:rPr>
        <w:footnoteReference w:id="8"/>
      </w:r>
      <w:r w:rsidRPr="2B6A6910" w:rsidR="00C138B3">
        <w:t xml:space="preserve">  </w:t>
      </w:r>
      <w:r w:rsidR="00C138B3">
        <w:t>Specifically, this band is allocated on a primary basis to both Federal radiolocation systems and Industrial, Scientific, and Medical (ISM) equipment.</w:t>
      </w:r>
      <w:bookmarkStart w:id="1" w:name="FN_FN3_"/>
      <w:bookmarkEnd w:id="1"/>
      <w:r>
        <w:rPr>
          <w:rStyle w:val="FootnoteReference"/>
        </w:rPr>
        <w:footnoteReference w:id="9"/>
      </w:r>
      <w:r w:rsidR="00C138B3">
        <w:t xml:space="preserve">  Federal fixed and mobile services are allocated on a secondary basis to Federal radiolocation systems and ISM equipment.  LMS licenses are allocated on a secondary basis to Federal users and to ISM devices and may not cause interference to and must tolerate interference from these users and devices.</w:t>
      </w:r>
      <w:bookmarkStart w:id="2" w:name="FN_FN4_"/>
      <w:bookmarkEnd w:id="2"/>
      <w:r>
        <w:rPr>
          <w:rStyle w:val="FootnoteReference"/>
        </w:rPr>
        <w:footnoteReference w:id="10"/>
      </w:r>
      <w:r w:rsidR="00C138B3">
        <w:t xml:space="preserve">  </w:t>
      </w:r>
      <w:r w:rsidR="004B0689">
        <w:t xml:space="preserve">LMS systems use non-voice radio techniques to determine the location and status of mobile radio units.  </w:t>
      </w:r>
      <w:r w:rsidR="00C138B3">
        <w:t>The</w:t>
      </w:r>
      <w:r w:rsidR="00AC631B">
        <w:t xml:space="preserve"> Commission granted the Licenses to Progeny in July 2000.</w:t>
      </w:r>
      <w:r>
        <w:rPr>
          <w:rStyle w:val="FootnoteReference"/>
        </w:rPr>
        <w:footnoteReference w:id="11"/>
      </w:r>
      <w:r w:rsidRPr="2B6A6910" w:rsidR="00AC631B">
        <w:t xml:space="preserve">  </w:t>
      </w:r>
      <w:r w:rsidR="00AC631B">
        <w:t xml:space="preserve">The Licenses had an initial five-year construction deadline of July 19, 2005.  </w:t>
      </w:r>
    </w:p>
    <w:p w:rsidR="00AC631B" w:rsidP="00AC631B" w14:paraId="51A85696" w14:textId="3CDE6438">
      <w:pPr>
        <w:pStyle w:val="ParaNum"/>
      </w:pPr>
      <w:r>
        <w:rPr>
          <w:i/>
          <w:iCs/>
        </w:rPr>
        <w:t>Progeny 2006 Waiver Order.</w:t>
      </w:r>
      <w:r>
        <w:t xml:space="preserve">  </w:t>
      </w:r>
      <w:r>
        <w:t xml:space="preserve">On May 24, 2006, the Bureau granted Progeny a three-year extension of time, until July 19, 2008, to meet its five-year </w:t>
      </w:r>
      <w:r w:rsidRPr="00AC631B">
        <w:rPr>
          <w:color w:val="000000"/>
        </w:rPr>
        <w:t>renewal date on the basis that Progeny had actively sought to develop M-LMS equipment and applications but the M-LMS band spectrum sharing environment had hindered licensees’ ability to secure such equipment.</w:t>
      </w:r>
      <w:r>
        <w:rPr>
          <w:rStyle w:val="FootnoteReference"/>
        </w:rPr>
        <w:footnoteReference w:id="12"/>
      </w:r>
      <w:r w:rsidRPr="00AC631B">
        <w:rPr>
          <w:color w:val="000000"/>
        </w:rPr>
        <w:t xml:space="preserve"> </w:t>
      </w:r>
    </w:p>
    <w:p w:rsidR="00AC631B" w:rsidP="00AC631B" w14:paraId="420E9482" w14:textId="6FE4537D">
      <w:pPr>
        <w:pStyle w:val="ParaNum"/>
      </w:pPr>
      <w:r>
        <w:rPr>
          <w:i/>
          <w:iCs/>
        </w:rPr>
        <w:t>Progeny 200</w:t>
      </w:r>
      <w:r w:rsidR="00575E4A">
        <w:rPr>
          <w:i/>
          <w:iCs/>
        </w:rPr>
        <w:t>8</w:t>
      </w:r>
      <w:r>
        <w:rPr>
          <w:i/>
          <w:iCs/>
        </w:rPr>
        <w:t xml:space="preserve"> Waiver Order</w:t>
      </w:r>
      <w:r>
        <w:t xml:space="preserve">.  </w:t>
      </w:r>
      <w:r>
        <w:t xml:space="preserve">On November 26, 2008, the Bureau </w:t>
      </w:r>
      <w:r w:rsidR="000F4843">
        <w:t xml:space="preserve">again </w:t>
      </w:r>
      <w:r>
        <w:t xml:space="preserve">extended Progeny’s five-year and ten-year construction deadlines to </w:t>
      </w:r>
      <w:r w:rsidRPr="008A12B4">
        <w:t>July 19, 2012</w:t>
      </w:r>
      <w:r w:rsidRPr="2B6A6910">
        <w:t>,</w:t>
      </w:r>
      <w:r w:rsidRPr="008A12B4">
        <w:t xml:space="preserve"> and July 19, 2014</w:t>
      </w:r>
      <w:r>
        <w:t>, respectively</w:t>
      </w:r>
      <w:r w:rsidRPr="2B6A6910">
        <w:t>.</w:t>
      </w:r>
      <w:r>
        <w:rPr>
          <w:vertAlign w:val="superscript"/>
        </w:rPr>
        <w:footnoteReference w:id="13"/>
      </w:r>
      <w:r>
        <w:t xml:space="preserve">  The Bureau noted that there was still no commercially available equipment certified for M-LMS use in the 900 MHz band</w:t>
      </w:r>
      <w:r w:rsidR="009626FC">
        <w:t>,</w:t>
      </w:r>
      <w:r>
        <w:rPr>
          <w:rStyle w:val="FootnoteReference"/>
        </w:rPr>
        <w:footnoteReference w:id="14"/>
      </w:r>
      <w:r>
        <w:t xml:space="preserve"> </w:t>
      </w:r>
      <w:r w:rsidR="009626FC">
        <w:t xml:space="preserve">and </w:t>
      </w:r>
      <w:r>
        <w:t>indicated that its extension of the respective mid-term and end-of-term construction benchmarks afforded a reasonable amount of time to develop M-LMS operations.</w:t>
      </w:r>
      <w:r>
        <w:rPr>
          <w:rStyle w:val="FootnoteReference"/>
        </w:rPr>
        <w:footnoteReference w:id="15"/>
      </w:r>
    </w:p>
    <w:p w:rsidR="0071706C" w:rsidRPr="007A01B2" w:rsidP="0071706C" w14:paraId="696E57BE" w14:textId="2FBF5AE3">
      <w:pPr>
        <w:pStyle w:val="ParaNum"/>
      </w:pPr>
      <w:r w:rsidRPr="0071706C">
        <w:rPr>
          <w:i/>
          <w:iCs/>
          <w:color w:val="000000"/>
        </w:rPr>
        <w:t>Progeny</w:t>
      </w:r>
      <w:r w:rsidR="00483C1E">
        <w:rPr>
          <w:i/>
          <w:iCs/>
          <w:color w:val="000000"/>
        </w:rPr>
        <w:t xml:space="preserve"> 2011 </w:t>
      </w:r>
      <w:r w:rsidRPr="0071706C">
        <w:rPr>
          <w:i/>
          <w:iCs/>
          <w:color w:val="000000"/>
        </w:rPr>
        <w:t xml:space="preserve">Limited Waiver Order.  </w:t>
      </w:r>
      <w:r w:rsidR="00483C1E">
        <w:rPr>
          <w:color w:val="000000"/>
        </w:rPr>
        <w:t xml:space="preserve">The </w:t>
      </w:r>
      <w:r w:rsidRPr="0071706C">
        <w:rPr>
          <w:color w:val="000000"/>
        </w:rPr>
        <w:t>Bureau and the Office of Engineering and Technology (OET) in December 2011</w:t>
      </w:r>
      <w:r w:rsidR="00483C1E">
        <w:rPr>
          <w:color w:val="000000"/>
        </w:rPr>
        <w:t xml:space="preserve"> jointly granted Progeny’s requests </w:t>
      </w:r>
      <w:r w:rsidR="00BB7095">
        <w:rPr>
          <w:color w:val="000000"/>
        </w:rPr>
        <w:t xml:space="preserve">which </w:t>
      </w:r>
      <w:r w:rsidR="00E725E6">
        <w:rPr>
          <w:color w:val="000000"/>
        </w:rPr>
        <w:t xml:space="preserve">conditionally </w:t>
      </w:r>
      <w:r w:rsidR="00BB7095">
        <w:rPr>
          <w:color w:val="000000"/>
        </w:rPr>
        <w:t xml:space="preserve">granted waiver of:  (1) </w:t>
      </w:r>
      <w:r w:rsidR="00BB7095">
        <w:t>Section 90.155(e)</w:t>
      </w:r>
      <w:r>
        <w:rPr>
          <w:rStyle w:val="FootnoteReference"/>
        </w:rPr>
        <w:footnoteReference w:id="16"/>
      </w:r>
      <w:r w:rsidR="00BB7095">
        <w:t xml:space="preserve"> allowing </w:t>
      </w:r>
      <w:r w:rsidRPr="003562D7" w:rsidR="00BB7095">
        <w:t xml:space="preserve">Progeny to take advantage of technical advances in </w:t>
      </w:r>
      <w:r w:rsidRPr="003562D7" w:rsidR="00BB7095">
        <w:t>multilateration</w:t>
      </w:r>
      <w:r w:rsidRPr="003562D7" w:rsidR="00BB7095">
        <w:t xml:space="preserve"> technologies </w:t>
      </w:r>
      <w:r w:rsidRPr="00202417" w:rsidR="00BB7095">
        <w:t>in deploying its network</w:t>
      </w:r>
      <w:r w:rsidR="00BB7095">
        <w:t xml:space="preserve"> to provide location-based services;</w:t>
      </w:r>
      <w:r>
        <w:rPr>
          <w:rStyle w:val="FootnoteReference"/>
          <w:color w:val="000000"/>
        </w:rPr>
        <w:footnoteReference w:id="17"/>
      </w:r>
      <w:r w:rsidR="00BB7095">
        <w:t xml:space="preserve"> and </w:t>
      </w:r>
      <w:r w:rsidR="00FB212A">
        <w:t xml:space="preserve">(2) </w:t>
      </w:r>
      <w:r w:rsidRPr="00202417" w:rsidR="00BB7095">
        <w:t>Section 90.353(g),</w:t>
      </w:r>
      <w:r>
        <w:rPr>
          <w:rStyle w:val="FootnoteReference"/>
        </w:rPr>
        <w:footnoteReference w:id="18"/>
      </w:r>
      <w:r w:rsidRPr="003562D7" w:rsidR="00BB7095">
        <w:t xml:space="preserve"> </w:t>
      </w:r>
      <w:r w:rsidRPr="00894215" w:rsidR="00BB7095">
        <w:t>which requires that M-LMS systems’ “primary” operations involve the provision of vehicle location services, to enable Progeny to make its service equally available to other mobile devices, so long as it provides a location service to both vehicular and non-vehicular location services.</w:t>
      </w:r>
      <w:r>
        <w:rPr>
          <w:rStyle w:val="FootnoteReference"/>
          <w:color w:val="000000"/>
        </w:rPr>
        <w:footnoteReference w:id="19"/>
      </w:r>
      <w:r w:rsidRPr="00894215" w:rsidR="00BB7095">
        <w:rPr>
          <w:color w:val="000000"/>
        </w:rPr>
        <w:t xml:space="preserve"> </w:t>
      </w:r>
      <w:r w:rsidRPr="0071706C">
        <w:rPr>
          <w:color w:val="000000"/>
        </w:rPr>
        <w:t xml:space="preserve"> </w:t>
      </w:r>
      <w:r w:rsidR="00107372">
        <w:rPr>
          <w:color w:val="000000"/>
        </w:rPr>
        <w:t>The</w:t>
      </w:r>
      <w:r w:rsidR="003F73DB">
        <w:rPr>
          <w:color w:val="000000"/>
        </w:rPr>
        <w:t xml:space="preserve"> Bureau and OET </w:t>
      </w:r>
      <w:r w:rsidRPr="00107372" w:rsidR="00107372">
        <w:rPr>
          <w:color w:val="000000"/>
        </w:rPr>
        <w:t xml:space="preserve">further conditioned </w:t>
      </w:r>
      <w:r w:rsidR="003F73DB">
        <w:rPr>
          <w:color w:val="000000"/>
        </w:rPr>
        <w:t xml:space="preserve">the grant </w:t>
      </w:r>
      <w:r w:rsidRPr="00107372" w:rsidR="00107372">
        <w:rPr>
          <w:color w:val="000000"/>
        </w:rPr>
        <w:t xml:space="preserve">on </w:t>
      </w:r>
      <w:r w:rsidR="00943BCB">
        <w:rPr>
          <w:color w:val="000000"/>
        </w:rPr>
        <w:t xml:space="preserve">a requirement that </w:t>
      </w:r>
      <w:r w:rsidRPr="00107372" w:rsidR="00107372">
        <w:rPr>
          <w:color w:val="000000"/>
        </w:rPr>
        <w:t>Progeny fil</w:t>
      </w:r>
      <w:r w:rsidR="00943BCB">
        <w:rPr>
          <w:color w:val="000000"/>
        </w:rPr>
        <w:t>e</w:t>
      </w:r>
      <w:r w:rsidRPr="00107372" w:rsidR="00107372">
        <w:rPr>
          <w:color w:val="000000"/>
        </w:rPr>
        <w:t xml:space="preserve"> a field testing report prior to commencing commercial operations demonstrating that its M-LMS system would not cause unacceptable levels of interference to Part 15 devices that operate in the 902-928 MHz band.</w:t>
      </w:r>
      <w:r>
        <w:rPr>
          <w:rStyle w:val="FootnoteReference"/>
        </w:rPr>
        <w:footnoteReference w:id="20"/>
      </w:r>
      <w:r w:rsidR="00BC028F">
        <w:rPr>
          <w:color w:val="000000"/>
        </w:rPr>
        <w:t xml:space="preserve">  </w:t>
      </w:r>
      <w:r w:rsidRPr="0071706C">
        <w:rPr>
          <w:color w:val="000000"/>
        </w:rPr>
        <w:t xml:space="preserve">The </w:t>
      </w:r>
      <w:r w:rsidRPr="0071706C">
        <w:rPr>
          <w:i/>
          <w:iCs/>
          <w:color w:val="000000"/>
        </w:rPr>
        <w:t>Progeny Limited Waiver Order</w:t>
      </w:r>
      <w:r w:rsidRPr="0071706C">
        <w:rPr>
          <w:color w:val="000000"/>
        </w:rPr>
        <w:t xml:space="preserve"> provided that if the Commission determined that no significant interference issues were raised by the report, Progeny would be notified that it may commence commercial service.</w:t>
      </w:r>
      <w:r>
        <w:rPr>
          <w:rStyle w:val="FootnoteReference"/>
          <w:color w:val="000000"/>
        </w:rPr>
        <w:footnoteReference w:id="21"/>
      </w:r>
    </w:p>
    <w:p w:rsidR="00807613" w:rsidRPr="00B95859" w:rsidP="00B95859" w14:paraId="5D37CF32" w14:textId="6958F818">
      <w:pPr>
        <w:pStyle w:val="ParaNum"/>
      </w:pPr>
      <w:r w:rsidRPr="00B95859">
        <w:rPr>
          <w:i/>
          <w:iCs/>
        </w:rPr>
        <w:t xml:space="preserve">Commission Order Permitting Progeny’s Commercial M-LMS Operations.  </w:t>
      </w:r>
      <w:r w:rsidRPr="00B95859">
        <w:t xml:space="preserve">On June 6, 2013, following review of Progeny’s January 2012 field testing reports and Progeny’s (and others’) October 2012 joint field testing reports, the Commission adopted an order allowing Progeny to commence commercial operations of its M-LMS network on </w:t>
      </w:r>
      <w:r w:rsidR="00663D15">
        <w:t xml:space="preserve">the </w:t>
      </w:r>
      <w:r w:rsidRPr="00B95859">
        <w:t xml:space="preserve">B and C </w:t>
      </w:r>
      <w:r w:rsidR="007F7123">
        <w:t>B</w:t>
      </w:r>
      <w:r w:rsidR="00663D15">
        <w:t xml:space="preserve">lock </w:t>
      </w:r>
      <w:r w:rsidR="007F7123">
        <w:t xml:space="preserve">M-LMS </w:t>
      </w:r>
      <w:r w:rsidRPr="00B95859">
        <w:t>spectrum</w:t>
      </w:r>
      <w:r w:rsidR="007F7123">
        <w:t xml:space="preserve"> it holds</w:t>
      </w:r>
      <w:r w:rsidRPr="00B95859">
        <w:t>, subject to certain conditions.</w:t>
      </w:r>
      <w:r>
        <w:rPr>
          <w:rStyle w:val="FootnoteReference"/>
        </w:rPr>
        <w:footnoteReference w:id="22"/>
      </w:r>
      <w:r w:rsidRPr="00B95859">
        <w:t xml:space="preserve">  On June 21, 2013, Progeny notified the Commission that it had completed </w:t>
      </w:r>
      <w:r w:rsidRPr="00B95859">
        <w:t>construction in each of its top 40 EAs, including Orlando, and was providing service to the required one-third of the population in each EA.</w:t>
      </w:r>
      <w:r>
        <w:rPr>
          <w:rStyle w:val="FootnoteReference"/>
        </w:rPr>
        <w:footnoteReference w:id="23"/>
      </w:r>
    </w:p>
    <w:p w:rsidR="00807613" w:rsidRPr="00B95859" w:rsidP="00B95859" w14:paraId="470DC3EA" w14:textId="794801E0">
      <w:pPr>
        <w:pStyle w:val="ParaNum"/>
      </w:pPr>
      <w:r w:rsidRPr="00B95859">
        <w:rPr>
          <w:i/>
          <w:iCs/>
        </w:rPr>
        <w:t xml:space="preserve">M-LMS Termination Order.  </w:t>
      </w:r>
      <w:r w:rsidRPr="00B95859">
        <w:t xml:space="preserve">On June 10, 2014, the Commission released an order terminating the </w:t>
      </w:r>
      <w:r w:rsidRPr="00B95859">
        <w:rPr>
          <w:i/>
          <w:iCs/>
        </w:rPr>
        <w:t>M-LMS NPRM.</w:t>
      </w:r>
      <w:r>
        <w:rPr>
          <w:rStyle w:val="FootnoteReference"/>
        </w:rPr>
        <w:footnoteReference w:id="24"/>
      </w:r>
      <w:r w:rsidRPr="00B95859">
        <w:rPr>
          <w:i/>
          <w:iCs/>
        </w:rPr>
        <w:t xml:space="preserve">  </w:t>
      </w:r>
      <w:r w:rsidRPr="00B95859">
        <w:rPr>
          <w:iCs/>
        </w:rPr>
        <w:t>T</w:t>
      </w:r>
      <w:r w:rsidRPr="00B95859">
        <w:t xml:space="preserve">he Commission concluded that the various proposals for broad revisions </w:t>
      </w:r>
      <w:r w:rsidR="008A67F3">
        <w:t>to</w:t>
      </w:r>
      <w:r w:rsidRPr="00B95859" w:rsidR="008A67F3">
        <w:t xml:space="preserve"> </w:t>
      </w:r>
      <w:r w:rsidRPr="00B95859">
        <w:t>the applicable rules, including considering “whether greater opportunity can be afforded M-LMS licensees to provide services, while ensuring continued access for other licensed and unlicensed uses that share this band,” did not merit further consideration at that time.</w:t>
      </w:r>
      <w:r>
        <w:rPr>
          <w:rStyle w:val="FootnoteReference"/>
        </w:rPr>
        <w:footnoteReference w:id="25"/>
      </w:r>
      <w:r w:rsidRPr="00B95859">
        <w:t xml:space="preserve">  The </w:t>
      </w:r>
      <w:r w:rsidRPr="00B95859">
        <w:rPr>
          <w:i/>
          <w:iCs/>
        </w:rPr>
        <w:t xml:space="preserve">M-LMS Termination Order </w:t>
      </w:r>
      <w:r w:rsidRPr="00B95859">
        <w:t>stated that based on recent developments in the M-LMS band, the Commission believed that the existing framework could provide M-LMS licensees with sufficient opportunities to provide service offerings.</w:t>
      </w:r>
      <w:r>
        <w:rPr>
          <w:rStyle w:val="FootnoteReference"/>
        </w:rPr>
        <w:footnoteReference w:id="26"/>
      </w:r>
      <w:r w:rsidRPr="00B95859">
        <w:t xml:space="preserve">  The Commission specifically noted Progeny’s ability to commence commercial operations of its M-LMS position location service network, while co-existing with unlicensed operations in the band under the Commission’s initially established framework.</w:t>
      </w:r>
      <w:r>
        <w:rPr>
          <w:rStyle w:val="FootnoteReference"/>
        </w:rPr>
        <w:footnoteReference w:id="27"/>
      </w:r>
    </w:p>
    <w:p w:rsidR="00667E9F" w:rsidP="00BE4042" w14:paraId="41AD5702" w14:textId="39D37126">
      <w:pPr>
        <w:pStyle w:val="ParaNum"/>
      </w:pPr>
      <w:r w:rsidRPr="002E44DE">
        <w:rPr>
          <w:i/>
          <w:iCs/>
        </w:rPr>
        <w:t>Commission</w:t>
      </w:r>
      <w:r>
        <w:rPr>
          <w:i/>
          <w:iCs/>
        </w:rPr>
        <w:t xml:space="preserve"> Orders on 911 Indoor </w:t>
      </w:r>
      <w:r w:rsidRPr="002E44DE">
        <w:rPr>
          <w:i/>
          <w:iCs/>
        </w:rPr>
        <w:t>Location Accuracy Requirements</w:t>
      </w:r>
      <w:r w:rsidRPr="002E44DE">
        <w:t>.</w:t>
      </w:r>
      <w:r w:rsidRPr="002E44DE">
        <w:rPr>
          <w:i/>
          <w:iCs/>
        </w:rPr>
        <w:t xml:space="preserve">  </w:t>
      </w:r>
      <w:r w:rsidRPr="002E44DE">
        <w:t xml:space="preserve">On January 29, 2015, the Commission adopted the </w:t>
      </w:r>
      <w:r w:rsidR="00683A74">
        <w:rPr>
          <w:i/>
          <w:iCs/>
        </w:rPr>
        <w:t xml:space="preserve">2015 </w:t>
      </w:r>
      <w:r w:rsidRPr="002E44DE">
        <w:rPr>
          <w:i/>
          <w:iCs/>
        </w:rPr>
        <w:t>Indoor Location Accuracy Order</w:t>
      </w:r>
      <w:r w:rsidRPr="009B0CA9">
        <w:t>,</w:t>
      </w:r>
      <w:r>
        <w:rPr>
          <w:rStyle w:val="FootnoteReference"/>
        </w:rPr>
        <w:footnoteReference w:id="28"/>
      </w:r>
      <w:r w:rsidRPr="002E44DE">
        <w:rPr>
          <w:i/>
          <w:iCs/>
        </w:rPr>
        <w:t xml:space="preserve"> </w:t>
      </w:r>
      <w:r w:rsidRPr="002E44DE">
        <w:t>which included measures aimed at enhancing Public Safety Answering Points’ (PSAPs) ability to accurately identify the location of wireless 911 callers when indoors.</w:t>
      </w:r>
      <w:r>
        <w:rPr>
          <w:rStyle w:val="FootnoteReference"/>
        </w:rPr>
        <w:footnoteReference w:id="29"/>
      </w:r>
      <w:r w:rsidRPr="002E44DE">
        <w:t xml:space="preserve">  </w:t>
      </w:r>
      <w:r w:rsidR="0013467F">
        <w:t>Over two</w:t>
      </w:r>
      <w:r w:rsidR="00AB4199">
        <w:t>-</w:t>
      </w:r>
      <w:r w:rsidR="0013467F">
        <w:t>thirds of 911 calls come from wireless phones,</w:t>
      </w:r>
      <w:r>
        <w:rPr>
          <w:rStyle w:val="FootnoteReference"/>
        </w:rPr>
        <w:footnoteReference w:id="30"/>
      </w:r>
      <w:r w:rsidR="0013467F">
        <w:t xml:space="preserve"> and these calls are as likely to come from indoor a</w:t>
      </w:r>
      <w:r w:rsidR="003E3FD8">
        <w:t>nd</w:t>
      </w:r>
      <w:r w:rsidR="0013467F">
        <w:t xml:space="preserve"> outdoor locations.  </w:t>
      </w:r>
      <w:r w:rsidRPr="002E44DE">
        <w:t xml:space="preserve">To close the gap in the performance of outdoor vs. indoor 911 location service, the </w:t>
      </w:r>
      <w:r w:rsidR="00683A74">
        <w:rPr>
          <w:i/>
          <w:iCs/>
        </w:rPr>
        <w:t xml:space="preserve">2015 </w:t>
      </w:r>
      <w:r w:rsidRPr="00BE4042">
        <w:rPr>
          <w:i/>
          <w:iCs/>
        </w:rPr>
        <w:t>Indoor Location Accuracy Order</w:t>
      </w:r>
      <w:r w:rsidRPr="002E44DE">
        <w:t xml:space="preserve"> adopted measures requiring Commercial Mobile Radio Service (CMRS) providers to improve their 911 location technology and meet a timeline for implementation of solutions </w:t>
      </w:r>
      <w:r w:rsidR="00AE40E6">
        <w:t xml:space="preserve">to improve </w:t>
      </w:r>
      <w:r w:rsidRPr="002E44DE">
        <w:t>horizontal and vertical location accuracy.</w:t>
      </w:r>
      <w:r>
        <w:rPr>
          <w:rStyle w:val="FootnoteReference"/>
        </w:rPr>
        <w:footnoteReference w:id="31"/>
      </w:r>
      <w:r w:rsidRPr="002E44DE">
        <w:t xml:space="preserve">  </w:t>
      </w:r>
    </w:p>
    <w:p w:rsidR="00643FDD" w:rsidP="00643FDD" w14:paraId="2DEB1D4B" w14:textId="4C79205E">
      <w:pPr>
        <w:pStyle w:val="ParaNum"/>
      </w:pPr>
      <w:r w:rsidRPr="002E44DE">
        <w:t xml:space="preserve">The </w:t>
      </w:r>
      <w:r w:rsidR="00134DDC">
        <w:rPr>
          <w:i/>
          <w:iCs/>
        </w:rPr>
        <w:t xml:space="preserve">2015 </w:t>
      </w:r>
      <w:r w:rsidRPr="00BE4042" w:rsidR="00134DDC">
        <w:rPr>
          <w:i/>
          <w:iCs/>
        </w:rPr>
        <w:t>Indoor Location Accuracy</w:t>
      </w:r>
      <w:r w:rsidRPr="00BE4042">
        <w:rPr>
          <w:i/>
        </w:rPr>
        <w:t xml:space="preserve"> Order</w:t>
      </w:r>
      <w:r>
        <w:t xml:space="preserve"> </w:t>
      </w:r>
      <w:r w:rsidRPr="002E44DE">
        <w:t>require</w:t>
      </w:r>
      <w:r>
        <w:t>d</w:t>
      </w:r>
      <w:r w:rsidRPr="002E44DE">
        <w:t xml:space="preserve">, </w:t>
      </w:r>
      <w:r w:rsidRPr="00FE72D2">
        <w:rPr>
          <w:i/>
        </w:rPr>
        <w:t>inter alia</w:t>
      </w:r>
      <w:r w:rsidRPr="002E44DE">
        <w:t>, CMRS providers to provide dispatchable location</w:t>
      </w:r>
      <w:r>
        <w:rPr>
          <w:rStyle w:val="FootnoteReference"/>
        </w:rPr>
        <w:footnoteReference w:id="32"/>
      </w:r>
      <w:r w:rsidRPr="002E44DE">
        <w:t xml:space="preserve"> or x/y coordinates</w:t>
      </w:r>
      <w:r>
        <w:rPr>
          <w:rStyle w:val="FootnoteReference"/>
        </w:rPr>
        <w:footnoteReference w:id="33"/>
      </w:r>
      <w:r w:rsidRPr="002E44DE">
        <w:t xml:space="preserve"> within 50 meters of the caller for: </w:t>
      </w:r>
      <w:r w:rsidR="00AB2B52">
        <w:t xml:space="preserve"> </w:t>
      </w:r>
      <w:r w:rsidRPr="002E44DE">
        <w:t xml:space="preserve">(1) 40 percent of </w:t>
      </w:r>
      <w:r w:rsidRPr="002E44DE">
        <w:t>all wireless 911 calls within two years of the effective date of the order (by 2017);</w:t>
      </w:r>
      <w:r>
        <w:rPr>
          <w:rStyle w:val="FootnoteReference"/>
        </w:rPr>
        <w:footnoteReference w:id="34"/>
      </w:r>
      <w:r w:rsidRPr="002E44DE">
        <w:t xml:space="preserve"> (2) 50 percent within three years (by 2018); (3) 70 percent within five years (by 2020); and (4) 80 percent within six years (by 2021).</w:t>
      </w:r>
      <w:r>
        <w:rPr>
          <w:rStyle w:val="FootnoteReference"/>
        </w:rPr>
        <w:footnoteReference w:id="35"/>
      </w:r>
      <w:r w:rsidRPr="002E44DE">
        <w:t xml:space="preserve">  With regard to vertical location, the </w:t>
      </w:r>
      <w:r w:rsidR="00EE72F7">
        <w:rPr>
          <w:i/>
          <w:iCs/>
        </w:rPr>
        <w:t xml:space="preserve">2015 </w:t>
      </w:r>
      <w:r w:rsidRPr="00BE4042" w:rsidR="00EE72F7">
        <w:rPr>
          <w:i/>
          <w:iCs/>
        </w:rPr>
        <w:t>Indoor Location Accuracy</w:t>
      </w:r>
      <w:r w:rsidRPr="00BE4042">
        <w:rPr>
          <w:i/>
        </w:rPr>
        <w:t xml:space="preserve"> Order</w:t>
      </w:r>
      <w:r>
        <w:t xml:space="preserve"> </w:t>
      </w:r>
      <w:r w:rsidRPr="002E44DE">
        <w:t>require</w:t>
      </w:r>
      <w:r>
        <w:t>d</w:t>
      </w:r>
      <w:r w:rsidRPr="002E44DE">
        <w:t xml:space="preserve"> CMRS providers to begin delivering uncompensated barometric pressure data</w:t>
      </w:r>
      <w:r>
        <w:rPr>
          <w:rStyle w:val="FootnoteReference"/>
        </w:rPr>
        <w:footnoteReference w:id="36"/>
      </w:r>
      <w:r w:rsidRPr="002E44DE">
        <w:t xml:space="preserve"> within three years (by 2018) from any device that is capable of delivering such information.</w:t>
      </w:r>
      <w:r>
        <w:rPr>
          <w:rStyle w:val="FootnoteReference"/>
        </w:rPr>
        <w:footnoteReference w:id="37"/>
      </w:r>
      <w:r w:rsidRPr="002E44DE">
        <w:t xml:space="preserve">  </w:t>
      </w:r>
      <w:r>
        <w:t xml:space="preserve">In addition, </w:t>
      </w:r>
      <w:r w:rsidRPr="00050FD1">
        <w:t>the Commission required providers to deploy z-axis technology that meets a Commission-approved metric in the top 25 Cellular Market Areas (CMAs) by April 3, 2021, and in the top 50 CMAs by April 3, 2023.</w:t>
      </w:r>
      <w:r>
        <w:rPr>
          <w:rStyle w:val="FootnoteReference"/>
          <w:sz w:val="22"/>
          <w:szCs w:val="22"/>
        </w:rPr>
        <w:footnoteReference w:id="38"/>
      </w:r>
      <w:r w:rsidRPr="00050FD1">
        <w:t xml:space="preserve">  The Commission</w:t>
      </w:r>
      <w:r>
        <w:t xml:space="preserve">, however, did not identify any specific approved z-axis metric at that time, and instead </w:t>
      </w:r>
      <w:r w:rsidRPr="00050FD1">
        <w:t xml:space="preserve">deferred adoption of a </w:t>
      </w:r>
      <w:r>
        <w:t xml:space="preserve">metric </w:t>
      </w:r>
      <w:r w:rsidRPr="00050FD1">
        <w:t>pending further testing</w:t>
      </w:r>
      <w:r w:rsidRPr="00050FD1">
        <w:rPr>
          <w:shd w:val="clear" w:color="auto" w:fill="FFFFFF"/>
        </w:rPr>
        <w:t>.</w:t>
      </w:r>
      <w:r>
        <w:rPr>
          <w:rStyle w:val="FootnoteReference"/>
          <w:sz w:val="22"/>
          <w:szCs w:val="22"/>
          <w:shd w:val="clear" w:color="auto" w:fill="FFFFFF"/>
        </w:rPr>
        <w:footnoteReference w:id="39"/>
      </w:r>
      <w:r w:rsidRPr="002E44DE">
        <w:t xml:space="preserve"> </w:t>
      </w:r>
    </w:p>
    <w:p w:rsidR="00643FDD" w:rsidRPr="00F928DF" w:rsidP="00643FDD" w14:paraId="2FCF7EF8" w14:textId="77777777">
      <w:pPr>
        <w:pStyle w:val="ParaNum"/>
      </w:pPr>
      <w:r w:rsidRPr="00962755">
        <w:t>In the</w:t>
      </w:r>
      <w:r>
        <w:t xml:space="preserve"> </w:t>
      </w:r>
      <w:r w:rsidRPr="005216BD">
        <w:rPr>
          <w:i/>
          <w:iCs/>
        </w:rPr>
        <w:t>2019 Indoor Location Accuracy Order</w:t>
      </w:r>
      <w:r>
        <w:t>, the Commission</w:t>
      </w:r>
      <w:r w:rsidRPr="00962755">
        <w:t xml:space="preserve"> </w:t>
      </w:r>
      <w:r>
        <w:t xml:space="preserve">adopted a z-axis location accuracy metric of 3 meters above or below the handset (plus or minus 3 meters) for 80% of calls </w:t>
      </w:r>
      <w:r w:rsidRPr="00E37ADD">
        <w:rPr>
          <w:color w:val="000000"/>
          <w:shd w:val="clear" w:color="auto" w:fill="FFFFFF"/>
        </w:rPr>
        <w:t>made from z-axis capable device</w:t>
      </w:r>
      <w:r>
        <w:rPr>
          <w:color w:val="000000"/>
          <w:shd w:val="clear" w:color="auto" w:fill="FFFFFF"/>
        </w:rPr>
        <w:t>s as demonstrated in the test bed</w:t>
      </w:r>
      <w:r w:rsidRPr="00962755">
        <w:rPr>
          <w:shd w:val="clear" w:color="auto" w:fill="FFFFFF"/>
        </w:rPr>
        <w:t>.</w:t>
      </w:r>
      <w:r>
        <w:rPr>
          <w:rStyle w:val="FootnoteReference"/>
          <w:shd w:val="clear" w:color="auto" w:fill="FFFFFF"/>
        </w:rPr>
        <w:footnoteReference w:id="40"/>
      </w:r>
      <w:r w:rsidRPr="00962755">
        <w:rPr>
          <w:shd w:val="clear" w:color="auto" w:fill="FFFFFF"/>
        </w:rPr>
        <w:t xml:space="preserve">  </w:t>
      </w:r>
      <w:r>
        <w:rPr>
          <w:shd w:val="clear" w:color="auto" w:fill="FFFFFF"/>
        </w:rPr>
        <w:t>The Commission found that implementing the 3-meter metric within the existing compliance timeline was technically feasible and would yield significant public safety benefits.</w:t>
      </w:r>
      <w:r>
        <w:rPr>
          <w:rStyle w:val="FootnoteReference"/>
          <w:shd w:val="clear" w:color="auto" w:fill="FFFFFF"/>
        </w:rPr>
        <w:footnoteReference w:id="41"/>
      </w:r>
      <w:r>
        <w:rPr>
          <w:shd w:val="clear" w:color="auto" w:fill="FFFFFF"/>
        </w:rPr>
        <w:t xml:space="preserve">  In addition, the Commission required </w:t>
      </w:r>
      <w:r w:rsidRPr="00962755">
        <w:rPr>
          <w:shd w:val="clear" w:color="auto" w:fill="FFFFFF"/>
        </w:rPr>
        <w:t xml:space="preserve">CMRS providers </w:t>
      </w:r>
      <w:r>
        <w:rPr>
          <w:shd w:val="clear" w:color="auto" w:fill="FFFFFF"/>
        </w:rPr>
        <w:t xml:space="preserve">to </w:t>
      </w:r>
      <w:r w:rsidRPr="00962755">
        <w:rPr>
          <w:shd w:val="clear" w:color="auto" w:fill="FFFFFF"/>
        </w:rPr>
        <w:t xml:space="preserve">deliver z-axis information </w:t>
      </w:r>
      <w:r>
        <w:rPr>
          <w:shd w:val="clear" w:color="auto" w:fill="FFFFFF"/>
        </w:rPr>
        <w:t xml:space="preserve">to PSAPs </w:t>
      </w:r>
      <w:r w:rsidRPr="00962755">
        <w:rPr>
          <w:shd w:val="clear" w:color="auto" w:fill="FFFFFF"/>
        </w:rPr>
        <w:t xml:space="preserve">in Height Above Ellipsoid </w:t>
      </w:r>
      <w:r>
        <w:rPr>
          <w:shd w:val="clear" w:color="auto" w:fill="FFFFFF"/>
        </w:rPr>
        <w:t xml:space="preserve">and to provide </w:t>
      </w:r>
      <w:r w:rsidRPr="00962755">
        <w:rPr>
          <w:shd w:val="clear" w:color="auto" w:fill="FFFFFF"/>
        </w:rPr>
        <w:t>floor level information</w:t>
      </w:r>
      <w:r>
        <w:rPr>
          <w:shd w:val="clear" w:color="auto" w:fill="FFFFFF"/>
        </w:rPr>
        <w:t xml:space="preserve"> when available</w:t>
      </w:r>
      <w:r w:rsidRPr="00962755">
        <w:rPr>
          <w:shd w:val="clear" w:color="auto" w:fill="FFFFFF"/>
        </w:rPr>
        <w:t>.</w:t>
      </w:r>
      <w:r>
        <w:rPr>
          <w:rStyle w:val="FootnoteReference"/>
          <w:shd w:val="clear" w:color="auto" w:fill="FFFFFF"/>
        </w:rPr>
        <w:footnoteReference w:id="42"/>
      </w:r>
    </w:p>
    <w:p w:rsidR="00EA4D8E" w:rsidRPr="002E44DE" w:rsidP="00643FDD" w14:paraId="48F6C3CA" w14:textId="3B14A709">
      <w:pPr>
        <w:pStyle w:val="ParaNum"/>
      </w:pPr>
      <w:r w:rsidRPr="003D2FEB">
        <w:t xml:space="preserve">In the </w:t>
      </w:r>
      <w:r w:rsidRPr="005216BD">
        <w:rPr>
          <w:i/>
          <w:iCs/>
        </w:rPr>
        <w:t xml:space="preserve">2020 </w:t>
      </w:r>
      <w:r w:rsidRPr="00F928DF">
        <w:rPr>
          <w:i/>
          <w:iCs/>
        </w:rPr>
        <w:t>Indoor Location Accuracy Order</w:t>
      </w:r>
      <w:r w:rsidRPr="003D2FEB">
        <w:t xml:space="preserve">, </w:t>
      </w:r>
      <w:r>
        <w:t xml:space="preserve">the Commission </w:t>
      </w:r>
      <w:r w:rsidRPr="003D2FEB">
        <w:t>expanded the options for CMRS providers choosing to deploy z-axis technology to meet the 2021 and 2023 deadlines.</w:t>
      </w:r>
      <w:r>
        <w:rPr>
          <w:rStyle w:val="FootnoteReference"/>
          <w:sz w:val="22"/>
          <w:szCs w:val="22"/>
        </w:rPr>
        <w:footnoteReference w:id="43"/>
      </w:r>
      <w:r w:rsidRPr="003D2FEB">
        <w:t xml:space="preserve">  </w:t>
      </w:r>
      <w:r>
        <w:t xml:space="preserve">The Commission </w:t>
      </w:r>
      <w:r w:rsidRPr="003D2FEB">
        <w:t>provided that in</w:t>
      </w:r>
      <w:r>
        <w:t xml:space="preserve">stead of </w:t>
      </w:r>
      <w:r w:rsidRPr="003D2FEB">
        <w:t xml:space="preserve">deploying z-axis technology to cover 80% of the CMA population, CMRS providers may </w:t>
      </w:r>
      <w:r>
        <w:t xml:space="preserve">meet the deadlines by deploying </w:t>
      </w:r>
      <w:r w:rsidRPr="003D2FEB">
        <w:t>z-axis technology to cover 80% of the buildings that exceed three stories in the CMA.</w:t>
      </w:r>
      <w:r>
        <w:rPr>
          <w:rStyle w:val="FootnoteReference"/>
          <w:sz w:val="22"/>
          <w:szCs w:val="22"/>
        </w:rPr>
        <w:footnoteReference w:id="44"/>
      </w:r>
      <w:r w:rsidRPr="003D2FEB">
        <w:t xml:space="preserve">  </w:t>
      </w:r>
      <w:r>
        <w:t xml:space="preserve">The Commission </w:t>
      </w:r>
      <w:r w:rsidRPr="003D2FEB">
        <w:t>also provided an option for CMRS providers to deploy z-axis technology on a nationwide basis or throughout the provider’s network footprint, as applicable.</w:t>
      </w:r>
      <w:r>
        <w:rPr>
          <w:rStyle w:val="FootnoteReference"/>
          <w:sz w:val="22"/>
          <w:szCs w:val="22"/>
        </w:rPr>
        <w:footnoteReference w:id="45"/>
      </w:r>
      <w:r w:rsidRPr="003D2FEB">
        <w:t xml:space="preserve">  In addition, </w:t>
      </w:r>
      <w:r>
        <w:t xml:space="preserve">the Commission </w:t>
      </w:r>
      <w:r w:rsidRPr="003D2FEB">
        <w:t>adopted a requirement for CMRS providers by January 6, 2022</w:t>
      </w:r>
      <w:r w:rsidR="00B569E7">
        <w:t>,</w:t>
      </w:r>
      <w:r w:rsidRPr="003D2FEB">
        <w:t xml:space="preserve"> to provide dispatchable location with wireless E911 calls if it is technically feasible and cost effective for them to do so,</w:t>
      </w:r>
      <w:r>
        <w:rPr>
          <w:rStyle w:val="FootnoteReference"/>
          <w:sz w:val="22"/>
          <w:szCs w:val="22"/>
        </w:rPr>
        <w:footnoteReference w:id="46"/>
      </w:r>
      <w:r w:rsidRPr="003D2FEB">
        <w:t xml:space="preserve"> as well as a requirement for providers by April </w:t>
      </w:r>
      <w:r w:rsidR="001F4048">
        <w:t xml:space="preserve">3, </w:t>
      </w:r>
      <w:r w:rsidRPr="003D2FEB">
        <w:t xml:space="preserve">2025 to deploy z-axis </w:t>
      </w:r>
      <w:r w:rsidRPr="003D2FEB">
        <w:t>location technology or dispatchable location to all CMAs nationwide.</w:t>
      </w:r>
      <w:r>
        <w:rPr>
          <w:rStyle w:val="FootnoteReference"/>
          <w:sz w:val="22"/>
          <w:szCs w:val="22"/>
        </w:rPr>
        <w:footnoteReference w:id="47"/>
      </w:r>
      <w:r w:rsidRPr="0075753E">
        <w:rPr>
          <w:shd w:val="clear" w:color="auto" w:fill="FFFFFF"/>
        </w:rPr>
        <w:t xml:space="preserve"> </w:t>
      </w:r>
    </w:p>
    <w:p w:rsidR="00E72A14" w:rsidP="00E72A14" w14:paraId="3404097C" w14:textId="78164D93">
      <w:pPr>
        <w:pStyle w:val="ParaNum"/>
      </w:pPr>
      <w:r>
        <w:rPr>
          <w:i/>
          <w:iCs/>
        </w:rPr>
        <w:t>2017 Progeny</w:t>
      </w:r>
      <w:r w:rsidR="000940EB">
        <w:rPr>
          <w:i/>
          <w:iCs/>
        </w:rPr>
        <w:t xml:space="preserve"> Waiver Order</w:t>
      </w:r>
      <w:r w:rsidR="000940EB">
        <w:t xml:space="preserve">.  </w:t>
      </w:r>
      <w:r w:rsidRPr="00417184">
        <w:t xml:space="preserve">In the </w:t>
      </w:r>
      <w:r>
        <w:rPr>
          <w:i/>
          <w:iCs/>
        </w:rPr>
        <w:t>2017 Progeny</w:t>
      </w:r>
      <w:r w:rsidRPr="007A01B2">
        <w:rPr>
          <w:i/>
          <w:iCs/>
        </w:rPr>
        <w:t xml:space="preserve"> Order</w:t>
      </w:r>
      <w:r w:rsidRPr="00417184">
        <w:t>, the Division conditionally granted Progeny a waiver of section 90.155(d) of the Commission’s rules</w:t>
      </w:r>
      <w:r>
        <w:rPr>
          <w:rStyle w:val="FootnoteReference"/>
          <w:sz w:val="22"/>
        </w:rPr>
        <w:footnoteReference w:id="48"/>
      </w:r>
      <w:r w:rsidRPr="00417184">
        <w:t xml:space="preserve"> for its B and C Block M-LMS licenses to facilitate Progeny’s provision of service to wireless carriers.</w:t>
      </w:r>
      <w:r>
        <w:rPr>
          <w:rStyle w:val="FootnoteReference"/>
        </w:rPr>
        <w:footnoteReference w:id="49"/>
      </w:r>
      <w:r w:rsidRPr="00417184">
        <w:t xml:space="preserve">  This relief enabled Progeny to assist carriers in meeting th</w:t>
      </w:r>
      <w:r w:rsidR="00784A5F">
        <w:t xml:space="preserve">e </w:t>
      </w:r>
      <w:r w:rsidRPr="00417184">
        <w:t xml:space="preserve">E911 location accuracy deadlines the Commission adopted in its </w:t>
      </w:r>
      <w:r w:rsidRPr="00683A74">
        <w:rPr>
          <w:i/>
          <w:iCs/>
        </w:rPr>
        <w:t>2015 Indoor Location Accuracy Order</w:t>
      </w:r>
      <w:r w:rsidRPr="00417184">
        <w:t>.</w:t>
      </w:r>
      <w:r>
        <w:rPr>
          <w:rStyle w:val="FootnoteReference"/>
          <w:sz w:val="22"/>
        </w:rPr>
        <w:footnoteReference w:id="50"/>
      </w:r>
      <w:r w:rsidRPr="00417184">
        <w:t xml:space="preserve"> </w:t>
      </w:r>
      <w:r w:rsidR="001C35EA">
        <w:t xml:space="preserve"> </w:t>
      </w:r>
      <w:r w:rsidR="00E9421A">
        <w:t>B</w:t>
      </w:r>
      <w:r w:rsidRPr="00417184">
        <w:t xml:space="preserve">ased substantially on deadlines established in the </w:t>
      </w:r>
      <w:r w:rsidR="00683A74">
        <w:rPr>
          <w:i/>
          <w:iCs/>
        </w:rPr>
        <w:t xml:space="preserve">2015 </w:t>
      </w:r>
      <w:r w:rsidRPr="007A01B2">
        <w:rPr>
          <w:i/>
          <w:iCs/>
        </w:rPr>
        <w:t>Indoor Location Accuracy Order</w:t>
      </w:r>
      <w:r w:rsidRPr="00417184">
        <w:t xml:space="preserve"> for wireless carriers</w:t>
      </w:r>
      <w:r w:rsidR="00E9421A">
        <w:t>,</w:t>
      </w:r>
      <w:r>
        <w:rPr>
          <w:rStyle w:val="FootnoteReference"/>
          <w:sz w:val="22"/>
        </w:rPr>
        <w:footnoteReference w:id="51"/>
      </w:r>
      <w:r w:rsidRPr="00807944" w:rsidR="00025939">
        <w:t xml:space="preserve"> </w:t>
      </w:r>
      <w:r w:rsidRPr="23C6FF99" w:rsidR="00025939">
        <w:t>Progeny received extended staggered construction deadlines</w:t>
      </w:r>
      <w:r w:rsidR="00025939">
        <w:t>, which could be met either by demonstrating population coverage or substantial service,</w:t>
      </w:r>
      <w:r w:rsidRPr="23C6FF99" w:rsidR="00025939">
        <w:t xml:space="preserve"> for its </w:t>
      </w:r>
      <w:r w:rsidR="00025939">
        <w:t xml:space="preserve">B and C Block </w:t>
      </w:r>
      <w:r w:rsidRPr="23C6FF99" w:rsidR="00025939">
        <w:t>license</w:t>
      </w:r>
      <w:r w:rsidR="00025939">
        <w:t>s</w:t>
      </w:r>
      <w:r w:rsidRPr="23C6FF99" w:rsidR="00025939">
        <w:t xml:space="preserve"> </w:t>
      </w:r>
      <w:r w:rsidR="00025939">
        <w:t xml:space="preserve">in three license </w:t>
      </w:r>
      <w:r w:rsidRPr="23C6FF99" w:rsidR="00025939">
        <w:t xml:space="preserve">groupings that largely tracked the </w:t>
      </w:r>
      <w:r w:rsidR="00025939">
        <w:t xml:space="preserve">wireless </w:t>
      </w:r>
      <w:r w:rsidRPr="23C6FF99" w:rsidR="00025939">
        <w:t>carriers’ initial deadlines in meeting their indoor location accuracy requirements.</w:t>
      </w:r>
      <w:r>
        <w:rPr>
          <w:rStyle w:val="FootnoteReference"/>
        </w:rPr>
        <w:footnoteReference w:id="52"/>
      </w:r>
      <w:r w:rsidRPr="23C6FF99" w:rsidR="00025939">
        <w:t xml:space="preserve">  </w:t>
      </w:r>
    </w:p>
    <w:p w:rsidR="00EB0CCA" w:rsidP="00EB0CCA" w14:paraId="7C000738" w14:textId="683407B2">
      <w:pPr>
        <w:pStyle w:val="ParaNum"/>
      </w:pPr>
      <w:r>
        <w:t>The Division’s extension grant was conditioned on Progeny demonstrating that it is in fact supporting the wireless carriers’ efforts to comply with their E911 location accuracy requirements.</w:t>
      </w:r>
      <w:r>
        <w:rPr>
          <w:rStyle w:val="FootnoteReference"/>
        </w:rPr>
        <w:footnoteReference w:id="53"/>
      </w:r>
      <w:r>
        <w:t xml:space="preserve">  Accordingly, Progeny was required to demonstrate the required population coverage or substantial service at the end-of-term deadline, and also to show its efforts to support the wireless carriers’ compliance with their E911 location accuracy requirements.</w:t>
      </w:r>
      <w:r>
        <w:rPr>
          <w:rStyle w:val="FootnoteReference"/>
        </w:rPr>
        <w:footnoteReference w:id="54"/>
      </w:r>
      <w:r>
        <w:t xml:space="preserve">  Further, the </w:t>
      </w:r>
      <w:r w:rsidR="00683A74">
        <w:rPr>
          <w:i/>
          <w:iCs/>
        </w:rPr>
        <w:t xml:space="preserve">2015 </w:t>
      </w:r>
      <w:r w:rsidRPr="0036302F">
        <w:rPr>
          <w:i/>
          <w:iCs/>
        </w:rPr>
        <w:t xml:space="preserve">Indoor Location </w:t>
      </w:r>
      <w:r w:rsidRPr="007C1A14">
        <w:rPr>
          <w:i/>
          <w:iCs/>
        </w:rPr>
        <w:t>Accuracy Order</w:t>
      </w:r>
      <w:r>
        <w:t xml:space="preserve"> require</w:t>
      </w:r>
      <w:r w:rsidR="00784A5F">
        <w:t>d</w:t>
      </w:r>
      <w:r>
        <w:t xml:space="preserve"> that, by April 2021, nationwide CMRS providers must deploy vertical location technology in the top 25 CMAs nationwide.</w:t>
      </w:r>
      <w:r>
        <w:rPr>
          <w:rStyle w:val="FootnoteReference"/>
        </w:rPr>
        <w:footnoteReference w:id="55"/>
      </w:r>
      <w:r>
        <w:t xml:space="preserve">  In that regard, the Commission highlighted the </w:t>
      </w:r>
      <w:r>
        <w:t>NextNav</w:t>
      </w:r>
      <w:r>
        <w:t xml:space="preserve"> technology as a promising option for wireless providers to use to meet their location accuracy commitments.</w:t>
      </w:r>
      <w:r>
        <w:rPr>
          <w:rStyle w:val="FootnoteReference"/>
        </w:rPr>
        <w:footnoteReference w:id="56"/>
      </w:r>
      <w:r>
        <w:t xml:space="preserve">  In conditionally </w:t>
      </w:r>
      <w:r>
        <w:t xml:space="preserve">granting Progeny’s extension in the </w:t>
      </w:r>
      <w:r w:rsidR="00B96FDD">
        <w:rPr>
          <w:i/>
          <w:iCs/>
        </w:rPr>
        <w:t>2017 Progeny</w:t>
      </w:r>
      <w:r w:rsidRPr="007A01B2">
        <w:rPr>
          <w:i/>
          <w:iCs/>
        </w:rPr>
        <w:t xml:space="preserve"> Order</w:t>
      </w:r>
      <w:r>
        <w:t xml:space="preserve">, the Division reasoned that it was important for the </w:t>
      </w:r>
      <w:r>
        <w:t>NextNav</w:t>
      </w:r>
      <w:r>
        <w:t xml:space="preserve"> equipment to remain an option for the wireless carriers to improve location accuracy and for Progeny’s service to be available for E911 emergency response.</w:t>
      </w:r>
      <w:r>
        <w:rPr>
          <w:rStyle w:val="FootnoteReference"/>
        </w:rPr>
        <w:footnoteReference w:id="57"/>
      </w:r>
    </w:p>
    <w:p w:rsidR="00DF3DD3" w:rsidP="007A01B2" w14:paraId="5D7C1357" w14:textId="73572567">
      <w:pPr>
        <w:pStyle w:val="ParaNum"/>
      </w:pPr>
      <w:r>
        <w:rPr>
          <w:i/>
          <w:iCs/>
        </w:rPr>
        <w:t>2020 Progeny</w:t>
      </w:r>
      <w:r w:rsidR="00B52077">
        <w:rPr>
          <w:i/>
          <w:iCs/>
        </w:rPr>
        <w:t xml:space="preserve"> Waiver Order</w:t>
      </w:r>
      <w:r w:rsidR="00B52077">
        <w:t xml:space="preserve">.  </w:t>
      </w:r>
      <w:r w:rsidRPr="23C6FF99" w:rsidR="009D44DC">
        <w:t xml:space="preserve">In July 2020, the Division </w:t>
      </w:r>
      <w:r w:rsidRPr="000B25D3" w:rsidR="009D44DC">
        <w:t xml:space="preserve">conditionally granted Progeny </w:t>
      </w:r>
      <w:r w:rsidRPr="000B25D3" w:rsidR="002F2F82">
        <w:t xml:space="preserve">a </w:t>
      </w:r>
      <w:r w:rsidRPr="000B25D3" w:rsidR="007C7023">
        <w:t xml:space="preserve">six month </w:t>
      </w:r>
      <w:r w:rsidRPr="000B25D3" w:rsidR="002F2F82">
        <w:t>extension</w:t>
      </w:r>
      <w:r w:rsidR="006C28B1">
        <w:t>,</w:t>
      </w:r>
      <w:r w:rsidRPr="000B25D3" w:rsidR="007C7023">
        <w:t xml:space="preserve"> </w:t>
      </w:r>
      <w:r w:rsidRPr="000B25D3" w:rsidR="007C7023">
        <w:rPr>
          <w:szCs w:val="22"/>
        </w:rPr>
        <w:t>from April 3, 2020 to October 3, 2020,</w:t>
      </w:r>
      <w:r w:rsidRPr="000B25D3" w:rsidR="009D44DC">
        <w:t xml:space="preserve"> to satisfy the end-of-term requiremen</w:t>
      </w:r>
      <w:r w:rsidRPr="000B25D3" w:rsidR="006178CB">
        <w:t xml:space="preserve">ts for 42 </w:t>
      </w:r>
      <w:r w:rsidRPr="000B25D3" w:rsidR="00DA460A">
        <w:t>M-</w:t>
      </w:r>
      <w:r w:rsidRPr="007A01B2" w:rsidR="00DA460A">
        <w:t>LMS licenses</w:t>
      </w:r>
      <w:r w:rsidRPr="000B25D3" w:rsidR="000F494E">
        <w:t xml:space="preserve"> in its top </w:t>
      </w:r>
      <w:r w:rsidR="00B018F1">
        <w:t>40</w:t>
      </w:r>
      <w:r w:rsidRPr="000B25D3" w:rsidR="00B018F1">
        <w:t xml:space="preserve"> </w:t>
      </w:r>
      <w:r w:rsidRPr="000B25D3" w:rsidR="000F494E">
        <w:t>EAs</w:t>
      </w:r>
      <w:r w:rsidRPr="000B25D3" w:rsidR="00591CB8">
        <w:t>,</w:t>
      </w:r>
      <w:r w:rsidRPr="007A01B2" w:rsidR="00DA460A">
        <w:t xml:space="preserve"> </w:t>
      </w:r>
      <w:r w:rsidRPr="000B25D3" w:rsidR="002F2F82">
        <w:t>which correspond to the top 25 CMAs</w:t>
      </w:r>
      <w:r w:rsidRPr="000B25D3" w:rsidR="00DA460A">
        <w:t>.</w:t>
      </w:r>
      <w:r>
        <w:rPr>
          <w:rStyle w:val="FootnoteReference"/>
        </w:rPr>
        <w:footnoteReference w:id="58"/>
      </w:r>
      <w:r w:rsidRPr="007A01B2" w:rsidR="00DA460A">
        <w:t xml:space="preserve">  </w:t>
      </w:r>
      <w:r w:rsidRPr="007A01B2" w:rsidR="007C7023">
        <w:t xml:space="preserve">The Division granted this extension </w:t>
      </w:r>
      <w:r w:rsidRPr="000B25D3" w:rsidR="009D44DC">
        <w:t>due to the impact of COVID-19 on</w:t>
      </w:r>
      <w:r w:rsidR="0056172F">
        <w:t xml:space="preserve"> Progeny’s</w:t>
      </w:r>
      <w:r w:rsidRPr="000B25D3" w:rsidR="009D44DC">
        <w:t xml:space="preserve"> firefighting end-user customers</w:t>
      </w:r>
      <w:r w:rsidRPr="000B25D3" w:rsidR="007C7023">
        <w:t xml:space="preserve">, and conditioned </w:t>
      </w:r>
      <w:r w:rsidR="006B63C4">
        <w:t>the grant</w:t>
      </w:r>
      <w:r w:rsidRPr="000B25D3" w:rsidR="006B63C4">
        <w:t xml:space="preserve"> </w:t>
      </w:r>
      <w:r w:rsidRPr="000B25D3" w:rsidR="007C7023">
        <w:t>upon Progeny ensuring that performance of the agreement with</w:t>
      </w:r>
      <w:r w:rsidR="00416990">
        <w:t xml:space="preserve"> the International Association of Fire Chiefs (IAFC)</w:t>
      </w:r>
      <w:r w:rsidRPr="000B25D3" w:rsidR="007C7023">
        <w:t xml:space="preserve"> to deliver end user receivers for training and search and rescue exercises </w:t>
      </w:r>
      <w:r w:rsidRPr="000B25D3" w:rsidR="00DD7BC4">
        <w:t>ha</w:t>
      </w:r>
      <w:r w:rsidR="00DD7BC4">
        <w:t>d</w:t>
      </w:r>
      <w:r w:rsidRPr="000B25D3" w:rsidR="00DD7BC4">
        <w:t xml:space="preserve"> </w:t>
      </w:r>
      <w:r w:rsidRPr="000B25D3" w:rsidR="007C7023">
        <w:t xml:space="preserve">resumed and that the receivers </w:t>
      </w:r>
      <w:r w:rsidR="00DD7BC4">
        <w:t xml:space="preserve">were </w:t>
      </w:r>
      <w:r w:rsidR="007C7023">
        <w:t>being used by fire departments</w:t>
      </w:r>
      <w:r w:rsidRPr="23C6FF99" w:rsidR="009D44DC">
        <w:t>.</w:t>
      </w:r>
      <w:r>
        <w:rPr>
          <w:rStyle w:val="FootnoteReference"/>
        </w:rPr>
        <w:footnoteReference w:id="59"/>
      </w:r>
      <w:r w:rsidRPr="23C6FF99" w:rsidR="009D44DC">
        <w:t xml:space="preserve">  </w:t>
      </w:r>
      <w:r w:rsidR="00C3250B">
        <w:t>The Division also reminded</w:t>
      </w:r>
      <w:r>
        <w:t xml:space="preserve"> Progeny that it must continue to support the wireless carriers’ efforts to comply with their E911 location accuracy requirements.</w:t>
      </w:r>
      <w:r>
        <w:rPr>
          <w:rStyle w:val="FootnoteReference"/>
        </w:rPr>
        <w:footnoteReference w:id="60"/>
      </w:r>
      <w:r>
        <w:t xml:space="preserve">  </w:t>
      </w:r>
      <w:r w:rsidR="00C3250B">
        <w:t>Likewise,</w:t>
      </w:r>
      <w:r>
        <w:t xml:space="preserve"> </w:t>
      </w:r>
      <w:r w:rsidR="00DD7BC4">
        <w:t>the Division instructed Proge</w:t>
      </w:r>
      <w:r w:rsidR="005C7253">
        <w:t xml:space="preserve">ny, </w:t>
      </w:r>
      <w:r>
        <w:t xml:space="preserve">when filing its amended construction notifications to demonstrate the required population coverage or substantial service, </w:t>
      </w:r>
      <w:r w:rsidR="00C3250B">
        <w:t>to</w:t>
      </w:r>
      <w:r>
        <w:t xml:space="preserve"> only include coverage areas where its signal strength is sufficient for carrier compliance.</w:t>
      </w:r>
      <w:r>
        <w:rPr>
          <w:rStyle w:val="FootnoteReference"/>
        </w:rPr>
        <w:footnoteReference w:id="61"/>
      </w:r>
      <w:r>
        <w:t xml:space="preserve">  </w:t>
      </w:r>
    </w:p>
    <w:p w:rsidR="00F170B2" w:rsidP="004B0061" w14:paraId="63271984" w14:textId="5E2BE4D8">
      <w:pPr>
        <w:pStyle w:val="Heading2"/>
      </w:pPr>
      <w:r>
        <w:t xml:space="preserve">Progeny’s </w:t>
      </w:r>
      <w:r w:rsidR="008E1163">
        <w:t xml:space="preserve">Pending </w:t>
      </w:r>
      <w:r>
        <w:t>Waiver Requests</w:t>
      </w:r>
    </w:p>
    <w:p w:rsidR="00881946" w:rsidP="004D06C3" w14:paraId="51647B99" w14:textId="0BD2DF68">
      <w:pPr>
        <w:pStyle w:val="ParaNum"/>
      </w:pPr>
      <w:r w:rsidRPr="23C6FF99">
        <w:t>Progeny</w:t>
      </w:r>
      <w:r>
        <w:t>’s</w:t>
      </w:r>
      <w:r w:rsidRPr="23C6FF99">
        <w:t xml:space="preserve"> pending requests</w:t>
      </w:r>
      <w:r>
        <w:t xml:space="preserve"> for relief relate to </w:t>
      </w:r>
      <w:r w:rsidR="00AC05D5">
        <w:t xml:space="preserve">226 </w:t>
      </w:r>
      <w:r w:rsidR="00B96FDD">
        <w:t>of</w:t>
      </w:r>
      <w:r>
        <w:t xml:space="preserve"> </w:t>
      </w:r>
      <w:r w:rsidRPr="00417184" w:rsidR="00B96FDD">
        <w:t>its B and C Block M-LMS licenses</w:t>
      </w:r>
      <w:r w:rsidRPr="23C6FF99">
        <w:t>.</w:t>
      </w:r>
      <w:r>
        <w:rPr>
          <w:rStyle w:val="FootnoteReference"/>
        </w:rPr>
        <w:footnoteReference w:id="62"/>
      </w:r>
      <w:r w:rsidRPr="23C6FF99">
        <w:t xml:space="preserve">  The construction deadline for 42 </w:t>
      </w:r>
      <w:r>
        <w:t xml:space="preserve">of those </w:t>
      </w:r>
      <w:r w:rsidRPr="23C6FF99">
        <w:t>licenses</w:t>
      </w:r>
      <w:r w:rsidR="006B67A4">
        <w:t xml:space="preserve">, </w:t>
      </w:r>
      <w:r>
        <w:t xml:space="preserve">in its top </w:t>
      </w:r>
      <w:r w:rsidR="00B018F1">
        <w:t xml:space="preserve">40 </w:t>
      </w:r>
      <w:r>
        <w:t>EAs</w:t>
      </w:r>
      <w:r w:rsidR="006B67A4">
        <w:t>, (Group 1)</w:t>
      </w:r>
      <w:r w:rsidRPr="23C6FF99">
        <w:t xml:space="preserve"> was exten</w:t>
      </w:r>
      <w:r>
        <w:t>ded</w:t>
      </w:r>
      <w:r w:rsidRPr="23C6FF99">
        <w:t xml:space="preserve"> to October 3, 2020.  The second group of 40 of Progeny’s licenses</w:t>
      </w:r>
      <w:r>
        <w:t xml:space="preserve"> subject to requests for relief</w:t>
      </w:r>
      <w:r w:rsidR="006B67A4">
        <w:t>,</w:t>
      </w:r>
      <w:r w:rsidR="0099155D">
        <w:t xml:space="preserve"> </w:t>
      </w:r>
      <w:r>
        <w:t>in the next 2</w:t>
      </w:r>
      <w:r w:rsidR="00987D42">
        <w:t>0</w:t>
      </w:r>
      <w:r>
        <w:t xml:space="preserve"> EAs,</w:t>
      </w:r>
      <w:r w:rsidR="0099155D">
        <w:t xml:space="preserve"> (Group 2)</w:t>
      </w:r>
      <w:r w:rsidRPr="23C6FF99">
        <w:t xml:space="preserve"> had a </w:t>
      </w:r>
      <w:r w:rsidR="003651D0">
        <w:t xml:space="preserve">construction </w:t>
      </w:r>
      <w:r w:rsidRPr="23C6FF99">
        <w:t>deadline of April 3, 2021</w:t>
      </w:r>
      <w:r>
        <w:t>.</w:t>
      </w:r>
      <w:r w:rsidRPr="23C6FF99">
        <w:t xml:space="preserve"> </w:t>
      </w:r>
      <w:r w:rsidR="00BE193F">
        <w:t xml:space="preserve"> The</w:t>
      </w:r>
      <w:r w:rsidRPr="23C6FF99">
        <w:t xml:space="preserve"> final group of </w:t>
      </w:r>
      <w:r w:rsidR="00075074">
        <w:t xml:space="preserve">144 </w:t>
      </w:r>
      <w:r w:rsidRPr="23C6FF99">
        <w:t xml:space="preserve">Progeny licenses </w:t>
      </w:r>
      <w:r w:rsidR="0099155D">
        <w:t xml:space="preserve">(Group 3) </w:t>
      </w:r>
      <w:r w:rsidRPr="23C6FF99">
        <w:t>has a construction deadline of April 3, 2023.</w:t>
      </w:r>
      <w:r>
        <w:rPr>
          <w:rStyle w:val="FootnoteReference"/>
        </w:rPr>
        <w:footnoteReference w:id="63"/>
      </w:r>
      <w:r w:rsidRPr="23C6FF99">
        <w:t xml:space="preserve">  </w:t>
      </w:r>
      <w:r>
        <w:t>As described in more detail below, all expired deadlines have been tolled by the timely filing of extension and waiver requests.</w:t>
      </w:r>
    </w:p>
    <w:p w:rsidR="002F731E" w:rsidRPr="004D06C3" w:rsidP="004D06C3" w14:paraId="3BD63850" w14:textId="440B9C88">
      <w:pPr>
        <w:pStyle w:val="ParaNum"/>
      </w:pPr>
      <w:r w:rsidRPr="004D06C3">
        <w:rPr>
          <w:i/>
          <w:iCs/>
        </w:rPr>
        <w:t>MBS</w:t>
      </w:r>
      <w:r w:rsidRPr="004D06C3" w:rsidR="00563011">
        <w:rPr>
          <w:i/>
          <w:iCs/>
        </w:rPr>
        <w:t>-Compatible H</w:t>
      </w:r>
      <w:r w:rsidR="00C153E2">
        <w:rPr>
          <w:i/>
          <w:iCs/>
        </w:rPr>
        <w:t>andse</w:t>
      </w:r>
      <w:r w:rsidRPr="004D06C3" w:rsidR="00563011">
        <w:rPr>
          <w:i/>
          <w:iCs/>
        </w:rPr>
        <w:t xml:space="preserve">t </w:t>
      </w:r>
      <w:r w:rsidR="00036AB7">
        <w:rPr>
          <w:i/>
          <w:iCs/>
        </w:rPr>
        <w:t xml:space="preserve">Reporting Requirement </w:t>
      </w:r>
      <w:r w:rsidRPr="004D06C3" w:rsidR="00563011">
        <w:rPr>
          <w:i/>
          <w:iCs/>
        </w:rPr>
        <w:t>Waiver and Extension Request</w:t>
      </w:r>
      <w:r w:rsidRPr="004D06C3" w:rsidR="004D06C3">
        <w:rPr>
          <w:i/>
          <w:iCs/>
        </w:rPr>
        <w:t xml:space="preserve">.  </w:t>
      </w:r>
      <w:r w:rsidR="00E82382">
        <w:t xml:space="preserve">As a condition to the </w:t>
      </w:r>
      <w:r w:rsidR="00B96FDD">
        <w:rPr>
          <w:i/>
          <w:iCs/>
        </w:rPr>
        <w:t>2017 Progeny</w:t>
      </w:r>
      <w:r w:rsidR="00E82382">
        <w:rPr>
          <w:i/>
          <w:iCs/>
        </w:rPr>
        <w:t xml:space="preserve"> Order</w:t>
      </w:r>
      <w:r w:rsidR="00E82382">
        <w:t xml:space="preserve">, the Bureau required </w:t>
      </w:r>
      <w:r w:rsidRPr="002A7ADF" w:rsidR="00E82382">
        <w:rPr>
          <w:szCs w:val="22"/>
        </w:rPr>
        <w:t xml:space="preserve">Progeny </w:t>
      </w:r>
      <w:r w:rsidR="00E82382">
        <w:rPr>
          <w:szCs w:val="22"/>
        </w:rPr>
        <w:t>to</w:t>
      </w:r>
      <w:r w:rsidRPr="002A7ADF" w:rsidR="00E82382">
        <w:rPr>
          <w:szCs w:val="22"/>
        </w:rPr>
        <w:t xml:space="preserve"> file a report</w:t>
      </w:r>
      <w:r w:rsidR="00C061AF">
        <w:rPr>
          <w:szCs w:val="22"/>
        </w:rPr>
        <w:t>, by April 2, 2019,</w:t>
      </w:r>
      <w:r w:rsidRPr="002A7ADF" w:rsidR="00E82382">
        <w:rPr>
          <w:szCs w:val="22"/>
        </w:rPr>
        <w:t xml:space="preserve"> with the Commission demonstrating that </w:t>
      </w:r>
      <w:r w:rsidRPr="004D06C3" w:rsidR="00D30F2D">
        <w:t xml:space="preserve">Metropolitan Beacon Service (MBS)-compatible </w:t>
      </w:r>
      <w:r w:rsidRPr="002A7ADF" w:rsidR="00E82382">
        <w:rPr>
          <w:szCs w:val="22"/>
        </w:rPr>
        <w:t>handsets are commercially available in the United States</w:t>
      </w:r>
      <w:r w:rsidR="005F5E23">
        <w:rPr>
          <w:szCs w:val="22"/>
        </w:rPr>
        <w:t xml:space="preserve"> (MBS-Compatible Handset Reporting Requirement)</w:t>
      </w:r>
      <w:r w:rsidR="00BC0BA7">
        <w:t>.</w:t>
      </w:r>
      <w:r>
        <w:rPr>
          <w:rStyle w:val="FootnoteReference"/>
        </w:rPr>
        <w:footnoteReference w:id="64"/>
      </w:r>
      <w:r w:rsidR="00BC0BA7">
        <w:t xml:space="preserve">  </w:t>
      </w:r>
      <w:r w:rsidR="00C061AF">
        <w:t xml:space="preserve">In April 2019, </w:t>
      </w:r>
      <w:r w:rsidRPr="004D06C3" w:rsidR="00C061AF">
        <w:t>Progeny request</w:t>
      </w:r>
      <w:r w:rsidR="00C061AF">
        <w:t>ed</w:t>
      </w:r>
      <w:r w:rsidRPr="004D06C3" w:rsidR="00C061AF">
        <w:t xml:space="preserve"> a waiver and 20-month extension of time</w:t>
      </w:r>
      <w:r w:rsidR="000C60E6">
        <w:t>, from April 2, 2019, to December 2, 2020,</w:t>
      </w:r>
      <w:r w:rsidRPr="004D06C3" w:rsidR="00C061AF">
        <w:t xml:space="preserve"> to complete the rollout of </w:t>
      </w:r>
      <w:r w:rsidR="00D30F2D">
        <w:t xml:space="preserve">its </w:t>
      </w:r>
      <w:r w:rsidRPr="004D06C3" w:rsidR="00C061AF">
        <w:t>MBS-compatible handsets</w:t>
      </w:r>
      <w:r w:rsidR="001D748B">
        <w:t xml:space="preserve"> and comply with the </w:t>
      </w:r>
      <w:r w:rsidR="001D748B">
        <w:rPr>
          <w:szCs w:val="22"/>
        </w:rPr>
        <w:t>MBS-Compatible Handset Reporting Requirement</w:t>
      </w:r>
      <w:r w:rsidRPr="004D06C3" w:rsidR="00C061AF">
        <w:t>.</w:t>
      </w:r>
      <w:r>
        <w:rPr>
          <w:rStyle w:val="FootnoteReference"/>
        </w:rPr>
        <w:footnoteReference w:id="65"/>
      </w:r>
      <w:r w:rsidRPr="004D06C3" w:rsidR="00C061AF">
        <w:t xml:space="preserve">  </w:t>
      </w:r>
      <w:r w:rsidRPr="004D06C3">
        <w:t>Progeny state</w:t>
      </w:r>
      <w:r w:rsidR="000C60E6">
        <w:t>s</w:t>
      </w:r>
      <w:r w:rsidRPr="004D06C3">
        <w:t xml:space="preserve"> that its failure to meet the deadline </w:t>
      </w:r>
      <w:r w:rsidR="00AB152F">
        <w:t>was</w:t>
      </w:r>
      <w:r w:rsidRPr="004D06C3">
        <w:t xml:space="preserve"> due </w:t>
      </w:r>
      <w:r w:rsidR="001B0621">
        <w:t>its reliance</w:t>
      </w:r>
      <w:r w:rsidRPr="004D06C3">
        <w:t xml:space="preserve"> on other manufacturers to make hardware/software changes</w:t>
      </w:r>
      <w:r w:rsidR="00AB152F">
        <w:t xml:space="preserve"> that would accommodate </w:t>
      </w:r>
      <w:r w:rsidR="00AB152F">
        <w:t>indoor location accuracy services.</w:t>
      </w:r>
      <w:r>
        <w:rPr>
          <w:rStyle w:val="FootnoteReference"/>
        </w:rPr>
        <w:footnoteReference w:id="66"/>
      </w:r>
      <w:r w:rsidR="00AB152F">
        <w:t xml:space="preserve">  In addition, Progeny states that the extension </w:t>
      </w:r>
      <w:r w:rsidR="00A704C6">
        <w:t xml:space="preserve">would </w:t>
      </w:r>
      <w:r w:rsidR="00AB152F">
        <w:t>not delay CMRS providers from meeting the April 2021 deployment deadline because Progeny’s handsets would be available prior to the end of 2020.</w:t>
      </w:r>
      <w:r>
        <w:rPr>
          <w:rStyle w:val="FootnoteReference"/>
        </w:rPr>
        <w:footnoteReference w:id="67"/>
      </w:r>
      <w:r w:rsidR="00AB152F">
        <w:t xml:space="preserve">  </w:t>
      </w:r>
    </w:p>
    <w:p w:rsidR="00726849" w:rsidRPr="005568B5" w:rsidP="00F21ABC" w14:paraId="0177FCC2" w14:textId="30BEB378">
      <w:pPr>
        <w:pStyle w:val="ParaNum"/>
      </w:pPr>
      <w:r w:rsidRPr="005568B5">
        <w:rPr>
          <w:i/>
          <w:iCs/>
        </w:rPr>
        <w:t>Second Construction Deadline Extension Request.</w:t>
      </w:r>
      <w:r w:rsidRPr="005568B5" w:rsidR="005568B5">
        <w:rPr>
          <w:i/>
          <w:iCs/>
        </w:rPr>
        <w:t xml:space="preserve">  </w:t>
      </w:r>
      <w:r w:rsidR="00F21ABC">
        <w:t xml:space="preserve">The Bureau, in the </w:t>
      </w:r>
      <w:r w:rsidR="00B96FDD">
        <w:rPr>
          <w:i/>
          <w:iCs/>
        </w:rPr>
        <w:t>2020 Progeny</w:t>
      </w:r>
      <w:r w:rsidR="00F21ABC">
        <w:rPr>
          <w:i/>
          <w:iCs/>
        </w:rPr>
        <w:t xml:space="preserve"> Order</w:t>
      </w:r>
      <w:r w:rsidR="00F21ABC">
        <w:t>,</w:t>
      </w:r>
      <w:r w:rsidR="00F21ABC">
        <w:rPr>
          <w:i/>
          <w:iCs/>
        </w:rPr>
        <w:t xml:space="preserve"> </w:t>
      </w:r>
      <w:r w:rsidR="00F21ABC">
        <w:t xml:space="preserve">granted Progeny a </w:t>
      </w:r>
      <w:r w:rsidRPr="000B25D3" w:rsidR="00F21ABC">
        <w:t>six</w:t>
      </w:r>
      <w:r w:rsidR="009352F3">
        <w:t>-</w:t>
      </w:r>
      <w:r w:rsidRPr="000B25D3" w:rsidR="00F21ABC">
        <w:t>month extension</w:t>
      </w:r>
      <w:r w:rsidR="00F21ABC">
        <w:t>,</w:t>
      </w:r>
      <w:r w:rsidRPr="000B25D3" w:rsidR="00F21ABC">
        <w:t xml:space="preserve"> </w:t>
      </w:r>
      <w:r w:rsidRPr="000B25D3" w:rsidR="00F21ABC">
        <w:rPr>
          <w:szCs w:val="22"/>
        </w:rPr>
        <w:t>from April 3, 2020 to October 3, 2020</w:t>
      </w:r>
      <w:r w:rsidR="00F21ABC">
        <w:rPr>
          <w:szCs w:val="22"/>
        </w:rPr>
        <w:t xml:space="preserve">, </w:t>
      </w:r>
      <w:r w:rsidRPr="000B25D3" w:rsidR="00F21ABC">
        <w:t xml:space="preserve">to satisfy the end-of-term </w:t>
      </w:r>
      <w:r w:rsidR="004A6B53">
        <w:t xml:space="preserve">construction </w:t>
      </w:r>
      <w:r w:rsidRPr="000B25D3" w:rsidR="00F21ABC">
        <w:t xml:space="preserve">requirements for </w:t>
      </w:r>
      <w:r w:rsidR="008D5708">
        <w:t xml:space="preserve">its Group 1 </w:t>
      </w:r>
      <w:r w:rsidR="006D6CF0">
        <w:t>l</w:t>
      </w:r>
      <w:r w:rsidR="008D5708">
        <w:t>icenses</w:t>
      </w:r>
      <w:r w:rsidR="00F21ABC">
        <w:t>.</w:t>
      </w:r>
      <w:r>
        <w:rPr>
          <w:rStyle w:val="FootnoteReference"/>
        </w:rPr>
        <w:footnoteReference w:id="68"/>
      </w:r>
      <w:r w:rsidR="00F21ABC">
        <w:t xml:space="preserve">  </w:t>
      </w:r>
      <w:r w:rsidRPr="005568B5">
        <w:t xml:space="preserve">In October 2020, Progeny filed a request seeking an additional </w:t>
      </w:r>
      <w:r w:rsidRPr="00741B50" w:rsidR="001D4818">
        <w:t>six</w:t>
      </w:r>
      <w:r w:rsidRPr="00741B50" w:rsidR="00DC1E21">
        <w:t>-</w:t>
      </w:r>
      <w:r w:rsidRPr="00741B50">
        <w:t>month</w:t>
      </w:r>
      <w:r w:rsidRPr="00741B50" w:rsidR="008E5500">
        <w:t xml:space="preserve"> extension</w:t>
      </w:r>
      <w:r w:rsidR="008E5500">
        <w:t>, from October 3, 2020 to April 3, 2021,</w:t>
      </w:r>
      <w:r w:rsidRPr="005568B5">
        <w:t xml:space="preserve"> </w:t>
      </w:r>
      <w:r w:rsidRPr="000B25D3" w:rsidR="008E5500">
        <w:t xml:space="preserve">to satisfy the end-of-term requirements for </w:t>
      </w:r>
      <w:r w:rsidR="00F21ABC">
        <w:t>these licenses</w:t>
      </w:r>
      <w:r w:rsidR="004D02AD">
        <w:t>,</w:t>
      </w:r>
      <w:r w:rsidR="00F21ABC">
        <w:t xml:space="preserve"> stating </w:t>
      </w:r>
      <w:r w:rsidR="008E5500">
        <w:t xml:space="preserve">that a further extension </w:t>
      </w:r>
      <w:r w:rsidR="00467EC6">
        <w:t xml:space="preserve">of the deadline </w:t>
      </w:r>
      <w:r w:rsidR="00741B50">
        <w:t>i</w:t>
      </w:r>
      <w:r w:rsidR="00F21ABC">
        <w:t>s</w:t>
      </w:r>
      <w:r w:rsidR="00467EC6">
        <w:t xml:space="preserve"> necessary due to the impact of </w:t>
      </w:r>
      <w:r w:rsidRPr="000B25D3" w:rsidR="00467EC6">
        <w:t>COVID-19 on its firefighting end-user customers</w:t>
      </w:r>
      <w:r w:rsidR="00467EC6">
        <w:t>.</w:t>
      </w:r>
      <w:r>
        <w:rPr>
          <w:rStyle w:val="FootnoteReference"/>
        </w:rPr>
        <w:footnoteReference w:id="69"/>
      </w:r>
      <w:r>
        <w:t xml:space="preserve">  Progeny explains that it </w:t>
      </w:r>
      <w:r w:rsidR="00D7234B">
        <w:t xml:space="preserve">had </w:t>
      </w:r>
      <w:r>
        <w:t xml:space="preserve">been unable to implement the arrangement with the </w:t>
      </w:r>
      <w:r w:rsidR="00416990">
        <w:t>IAFC</w:t>
      </w:r>
      <w:r>
        <w:t xml:space="preserve"> whereby Progeny would distribute </w:t>
      </w:r>
      <w:r w:rsidR="00131CA5">
        <w:t>its handheld vertical location receivers for training with IAFC members</w:t>
      </w:r>
      <w:r>
        <w:t>.</w:t>
      </w:r>
      <w:r>
        <w:rPr>
          <w:rStyle w:val="FootnoteReference"/>
        </w:rPr>
        <w:footnoteReference w:id="70"/>
      </w:r>
      <w:r>
        <w:t xml:space="preserve">  Progeny reports</w:t>
      </w:r>
      <w:r w:rsidR="00131CA5">
        <w:t xml:space="preserve"> </w:t>
      </w:r>
      <w:r>
        <w:t xml:space="preserve">that the IAFC notified Progeny on </w:t>
      </w:r>
      <w:r w:rsidR="00131CA5">
        <w:t>September 1, 2020</w:t>
      </w:r>
      <w:r>
        <w:t xml:space="preserve">, that it must delay receipt of the receivers because </w:t>
      </w:r>
      <w:r w:rsidR="00131CA5">
        <w:t>“efforts to isolate and control the pandemic have not been successful” and “the continued state of emergency has ‘significantly constrained the ability of IAFC members to address non-essential activities.’”</w:t>
      </w:r>
      <w:r>
        <w:rPr>
          <w:rStyle w:val="FootnoteReference"/>
        </w:rPr>
        <w:footnoteReference w:id="71"/>
      </w:r>
      <w:r>
        <w:t xml:space="preserve"> </w:t>
      </w:r>
      <w:r w:rsidR="00EE093A">
        <w:t xml:space="preserve"> </w:t>
      </w:r>
      <w:r w:rsidR="003D5757">
        <w:t xml:space="preserve">Progeny </w:t>
      </w:r>
      <w:r w:rsidR="00694899">
        <w:t xml:space="preserve">therefore </w:t>
      </w:r>
      <w:r w:rsidR="003D5757">
        <w:t xml:space="preserve">states that a further waiver </w:t>
      </w:r>
      <w:r w:rsidR="003C06E0">
        <w:t xml:space="preserve">and extension of time </w:t>
      </w:r>
      <w:r w:rsidR="003D5757">
        <w:t>is necessary for reasons that are beyond Progeny’s control.</w:t>
      </w:r>
      <w:r>
        <w:rPr>
          <w:rStyle w:val="FootnoteReference"/>
        </w:rPr>
        <w:footnoteReference w:id="72"/>
      </w:r>
    </w:p>
    <w:p w:rsidR="002F731E" w:rsidRPr="00982C4A" w:rsidP="00FA6892" w14:paraId="65190093" w14:textId="7DF76233">
      <w:pPr>
        <w:pStyle w:val="ParaNum"/>
      </w:pPr>
      <w:r>
        <w:rPr>
          <w:i/>
          <w:iCs/>
        </w:rPr>
        <w:t>Coverage Waiver Request.</w:t>
      </w:r>
      <w:r w:rsidR="00C061AF">
        <w:rPr>
          <w:i/>
          <w:iCs/>
        </w:rPr>
        <w:t xml:space="preserve">  </w:t>
      </w:r>
      <w:r w:rsidRPr="00982C4A">
        <w:t xml:space="preserve">Pursuant to </w:t>
      </w:r>
      <w:r w:rsidRPr="00982C4A" w:rsidR="00982C4A">
        <w:t xml:space="preserve">section 90.155(d) of the </w:t>
      </w:r>
      <w:r w:rsidRPr="00982C4A">
        <w:t>Commission’s rules,</w:t>
      </w:r>
      <w:r>
        <w:rPr>
          <w:rStyle w:val="FootnoteReference"/>
        </w:rPr>
        <w:footnoteReference w:id="73"/>
      </w:r>
      <w:r w:rsidRPr="00982C4A">
        <w:t xml:space="preserve"> Progeny is required to provide substantial service or serve </w:t>
      </w:r>
      <w:r w:rsidR="00982C4A">
        <w:t>two-thirds of the population</w:t>
      </w:r>
      <w:r w:rsidRPr="00982C4A">
        <w:t xml:space="preserve"> by </w:t>
      </w:r>
      <w:r w:rsidR="003E3371">
        <w:t>its</w:t>
      </w:r>
      <w:r w:rsidRPr="00982C4A">
        <w:t xml:space="preserve"> end</w:t>
      </w:r>
      <w:r w:rsidR="00617059">
        <w:t>-</w:t>
      </w:r>
      <w:r w:rsidRPr="00982C4A">
        <w:t>of</w:t>
      </w:r>
      <w:r w:rsidR="00617059">
        <w:t>-</w:t>
      </w:r>
      <w:r w:rsidRPr="00982C4A">
        <w:t>term construction deadline.</w:t>
      </w:r>
      <w:r>
        <w:rPr>
          <w:rStyle w:val="FootnoteReference"/>
        </w:rPr>
        <w:footnoteReference w:id="74"/>
      </w:r>
      <w:r w:rsidRPr="00982C4A">
        <w:t xml:space="preserve">  In February 2021, Progeny </w:t>
      </w:r>
      <w:r w:rsidR="009827A8">
        <w:t>requested</w:t>
      </w:r>
      <w:r w:rsidRPr="00982C4A">
        <w:t xml:space="preserve"> a waiver to substitute </w:t>
      </w:r>
      <w:r w:rsidRPr="00982C4A" w:rsidR="00241126">
        <w:t xml:space="preserve">meeting </w:t>
      </w:r>
      <w:r w:rsidR="00F8529A">
        <w:t xml:space="preserve">the </w:t>
      </w:r>
      <w:r w:rsidR="00241126">
        <w:t>two-thirds population</w:t>
      </w:r>
      <w:r w:rsidRPr="00982C4A" w:rsidR="00241126">
        <w:t xml:space="preserve"> coverage</w:t>
      </w:r>
      <w:r w:rsidR="00241126">
        <w:t xml:space="preserve"> with </w:t>
      </w:r>
      <w:r w:rsidRPr="00982C4A">
        <w:t xml:space="preserve">coverage to </w:t>
      </w:r>
      <w:r w:rsidR="00CF3E0B">
        <w:t>two-thirds</w:t>
      </w:r>
      <w:r w:rsidRPr="00982C4A">
        <w:t xml:space="preserve"> of buildings in excess of three stories located in each of its markets </w:t>
      </w:r>
      <w:r w:rsidR="00241126">
        <w:t>and/or</w:t>
      </w:r>
      <w:r w:rsidRPr="00982C4A">
        <w:t xml:space="preserve"> demonstrating substantial service </w:t>
      </w:r>
      <w:r w:rsidR="009827A8">
        <w:t xml:space="preserve">for all </w:t>
      </w:r>
      <w:r w:rsidR="00FA3CE8">
        <w:t xml:space="preserve">of its remaining </w:t>
      </w:r>
      <w:r w:rsidR="00AC05D5">
        <w:t xml:space="preserve">226 </w:t>
      </w:r>
      <w:r w:rsidR="00FA3CE8">
        <w:t xml:space="preserve">B and C-block </w:t>
      </w:r>
      <w:r w:rsidR="009827A8">
        <w:t>licenses</w:t>
      </w:r>
      <w:r w:rsidRPr="00982C4A">
        <w:t>.</w:t>
      </w:r>
      <w:r>
        <w:rPr>
          <w:rStyle w:val="FootnoteReference"/>
        </w:rPr>
        <w:footnoteReference w:id="75"/>
      </w:r>
      <w:r w:rsidRPr="00982C4A">
        <w:t xml:space="preserve">  To justify its waiver request, Progeny relies on the Commission’s </w:t>
      </w:r>
      <w:r w:rsidRPr="00FA6892">
        <w:rPr>
          <w:i/>
          <w:iCs/>
        </w:rPr>
        <w:t>2020 Indoor Location Accuracy Order</w:t>
      </w:r>
      <w:r w:rsidR="002C3EB7">
        <w:t xml:space="preserve"> </w:t>
      </w:r>
      <w:r w:rsidRPr="00982C4A">
        <w:t xml:space="preserve">which </w:t>
      </w:r>
      <w:r w:rsidR="002F42E2">
        <w:t>afforded</w:t>
      </w:r>
      <w:r w:rsidRPr="00982C4A">
        <w:t xml:space="preserve"> CMRS providers the option of deploying z-axis technology to cover </w:t>
      </w:r>
      <w:r w:rsidR="002C3EB7">
        <w:t>t</w:t>
      </w:r>
      <w:r w:rsidR="009827A8">
        <w:t>w</w:t>
      </w:r>
      <w:r w:rsidR="002C3EB7">
        <w:t>o-thirds</w:t>
      </w:r>
      <w:r w:rsidRPr="00982C4A">
        <w:t xml:space="preserve"> of the buildings that exceed three stories.</w:t>
      </w:r>
      <w:r>
        <w:rPr>
          <w:rStyle w:val="FootnoteReference"/>
        </w:rPr>
        <w:footnoteReference w:id="76"/>
      </w:r>
      <w:r w:rsidRPr="00982C4A">
        <w:t xml:space="preserve">  </w:t>
      </w:r>
      <w:r w:rsidR="000548E4">
        <w:t xml:space="preserve">Progeny argues that grant of a waiver will align Progeny’s requirements with those of CMRS providers and also afford Progeny more flexibility to satisfy </w:t>
      </w:r>
      <w:r w:rsidR="000548E4">
        <w:t>its construction requirements.</w:t>
      </w:r>
      <w:r>
        <w:rPr>
          <w:rStyle w:val="FootnoteReference"/>
        </w:rPr>
        <w:footnoteReference w:id="77"/>
      </w:r>
      <w:r w:rsidR="000548E4">
        <w:t xml:space="preserve">  </w:t>
      </w:r>
      <w:r w:rsidR="004F41DA">
        <w:t xml:space="preserve">Progeny </w:t>
      </w:r>
      <w:r w:rsidR="00B15BE2">
        <w:t>notes that the Commission</w:t>
      </w:r>
      <w:r w:rsidR="00E11331">
        <w:t xml:space="preserve"> explained, in the </w:t>
      </w:r>
      <w:r w:rsidR="00E11331">
        <w:rPr>
          <w:i/>
          <w:iCs/>
        </w:rPr>
        <w:t>2020 Indoor Location Accuracy Order</w:t>
      </w:r>
      <w:r w:rsidR="00E11331">
        <w:t>, that a</w:t>
      </w:r>
      <w:r w:rsidR="004F41DA">
        <w:t xml:space="preserve"> compliance approach based on tall buildings “will encourage providers to invest in z-axis solutions that focus on the areas with the greatest need for vertical location information.”</w:t>
      </w:r>
      <w:r>
        <w:rPr>
          <w:rStyle w:val="FootnoteReference"/>
        </w:rPr>
        <w:footnoteReference w:id="78"/>
      </w:r>
      <w:r w:rsidRPr="00473A1A" w:rsidR="00473A1A">
        <w:t xml:space="preserve"> </w:t>
      </w:r>
      <w:r w:rsidR="00E11331">
        <w:t xml:space="preserve"> Progeny </w:t>
      </w:r>
      <w:r w:rsidR="006A01B4">
        <w:t>explains that it “h</w:t>
      </w:r>
      <w:r w:rsidRPr="006A01B4" w:rsidR="006A01B4">
        <w:t>as been focusing its network construction efforts primarily on serving areas with tall buildings, regardless of whether they correspond with residential population centers</w:t>
      </w:r>
      <w:r w:rsidR="006A01B4">
        <w:t>,</w:t>
      </w:r>
      <w:r w:rsidR="003316E4">
        <w:t>”</w:t>
      </w:r>
      <w:r w:rsidR="006A01B4">
        <w:t xml:space="preserve"> and that “[t]</w:t>
      </w:r>
      <w:r w:rsidRPr="006A01B4" w:rsidR="006A01B4">
        <w:t>his often means deploying Progeny’s infrastructure in commercial centers and office parks that may not include residential housing clusters.</w:t>
      </w:r>
      <w:r w:rsidR="006A01B4">
        <w:t>”</w:t>
      </w:r>
      <w:r>
        <w:rPr>
          <w:rStyle w:val="FootnoteReference"/>
        </w:rPr>
        <w:footnoteReference w:id="79"/>
      </w:r>
      <w:r w:rsidR="006A01B4">
        <w:t xml:space="preserve">  </w:t>
      </w:r>
      <w:r w:rsidR="002665DF">
        <w:t xml:space="preserve">Progeny </w:t>
      </w:r>
      <w:r w:rsidR="00473A1A">
        <w:t>argues that there is good cause for grant of the waiver because it</w:t>
      </w:r>
      <w:r w:rsidR="00C26C69">
        <w:t xml:space="preserve"> </w:t>
      </w:r>
      <w:r w:rsidR="00473A1A">
        <w:t>will</w:t>
      </w:r>
      <w:r w:rsidR="00F17719">
        <w:t xml:space="preserve"> “facilitate[e] </w:t>
      </w:r>
      <w:r w:rsidRPr="00F17719" w:rsidR="00F17719">
        <w:t>Progeny’s support of public safety and the wireless industry through the provision of highly accurate vertical location service in those areas where it is most needed, in urban centers with large office buildings and multifamily housing.</w:t>
      </w:r>
      <w:r w:rsidR="00F17719">
        <w:t>”</w:t>
      </w:r>
      <w:r>
        <w:rPr>
          <w:rStyle w:val="FootnoteReference"/>
        </w:rPr>
        <w:footnoteReference w:id="80"/>
      </w:r>
    </w:p>
    <w:p w:rsidR="002F731E" w:rsidRPr="00A64F0A" w:rsidP="005C137B" w14:paraId="75DCB098" w14:textId="090CBDF4">
      <w:pPr>
        <w:pStyle w:val="ParaNum"/>
      </w:pPr>
      <w:r>
        <w:rPr>
          <w:i/>
          <w:iCs/>
        </w:rPr>
        <w:t>Third Construction Deadline Extension Request.</w:t>
      </w:r>
      <w:r w:rsidR="005C137B">
        <w:rPr>
          <w:i/>
          <w:iCs/>
        </w:rPr>
        <w:t xml:space="preserve">  </w:t>
      </w:r>
      <w:r w:rsidR="00A64F0A">
        <w:t>In April</w:t>
      </w:r>
      <w:r w:rsidRPr="00A64F0A">
        <w:t xml:space="preserve"> 2021, Progeny sought an additional </w:t>
      </w:r>
      <w:r w:rsidR="00E32E74">
        <w:t>six-</w:t>
      </w:r>
      <w:r w:rsidRPr="00A64F0A">
        <w:t xml:space="preserve">month </w:t>
      </w:r>
      <w:r w:rsidR="00B9072D">
        <w:t xml:space="preserve">extension </w:t>
      </w:r>
      <w:r w:rsidRPr="00A64F0A">
        <w:t xml:space="preserve">to </w:t>
      </w:r>
      <w:r w:rsidRPr="00B9072D">
        <w:t>October 3, 2021</w:t>
      </w:r>
      <w:r w:rsidR="00581837">
        <w:t>, f</w:t>
      </w:r>
      <w:r w:rsidR="00B9072D">
        <w:t xml:space="preserve">or </w:t>
      </w:r>
      <w:r w:rsidR="00BD2834">
        <w:t xml:space="preserve">its Group 1 and 2 </w:t>
      </w:r>
      <w:r w:rsidR="006D6CF0">
        <w:t>l</w:t>
      </w:r>
      <w:r w:rsidR="00BD2834">
        <w:t>icenses</w:t>
      </w:r>
      <w:r>
        <w:rPr>
          <w:rStyle w:val="FootnoteReference"/>
        </w:rPr>
        <w:footnoteReference w:id="81"/>
      </w:r>
      <w:r w:rsidRPr="00A64F0A">
        <w:t xml:space="preserve"> in the event that </w:t>
      </w:r>
      <w:r w:rsidR="00681753">
        <w:t>the Bureau denies its Coverage Waiver Request or</w:t>
      </w:r>
      <w:r w:rsidRPr="00A64F0A">
        <w:t xml:space="preserve"> finds its construction showings insufficient.</w:t>
      </w:r>
      <w:r>
        <w:rPr>
          <w:rStyle w:val="FootnoteReference"/>
        </w:rPr>
        <w:footnoteReference w:id="82"/>
      </w:r>
      <w:r w:rsidRPr="00A64F0A">
        <w:t xml:space="preserve">  </w:t>
      </w:r>
      <w:r w:rsidR="00A3474E">
        <w:t xml:space="preserve">While Progeny contends that it has already constructed its vertical location network </w:t>
      </w:r>
      <w:r w:rsidR="0008204E">
        <w:t>for its Group 1 and 2 Licenses</w:t>
      </w:r>
      <w:r w:rsidR="00A3474E">
        <w:t>, it explains that a waiver would support the public interest and is warranted for reasons beyond Progeny’s control.</w:t>
      </w:r>
      <w:r>
        <w:rPr>
          <w:rStyle w:val="FootnoteReference"/>
        </w:rPr>
        <w:footnoteReference w:id="83"/>
      </w:r>
      <w:r w:rsidR="00A3474E">
        <w:t xml:space="preserve">  In support of this, Progeny explains that </w:t>
      </w:r>
      <w:r w:rsidRPr="00A64F0A">
        <w:t>widespread use of its vertical location service has been delayed by the reluctance of the major wireless carriers to implement</w:t>
      </w:r>
      <w:r w:rsidR="005D4B6D">
        <w:t>,</w:t>
      </w:r>
      <w:r w:rsidRPr="00A64F0A">
        <w:t xml:space="preserve"> by the April 2021 deadline</w:t>
      </w:r>
      <w:r w:rsidR="005D4B6D">
        <w:t>,</w:t>
      </w:r>
      <w:r w:rsidRPr="00A64F0A">
        <w:t xml:space="preserve"> vertical location technologies that are compliant with the Commission’s rules in the top 25 CMAs.</w:t>
      </w:r>
      <w:r>
        <w:rPr>
          <w:rStyle w:val="FootnoteReference"/>
        </w:rPr>
        <w:footnoteReference w:id="84"/>
      </w:r>
      <w:r w:rsidRPr="00A64F0A">
        <w:t xml:space="preserve">  Progeny states that its ability to meet its requirements relies on carriers’ efforts to meet vertical location accuracy deadlines, and </w:t>
      </w:r>
      <w:r w:rsidR="00E32E74">
        <w:t xml:space="preserve">that </w:t>
      </w:r>
      <w:r w:rsidRPr="00A64F0A">
        <w:t>several carriers</w:t>
      </w:r>
      <w:r w:rsidR="00BA4673">
        <w:t>, at the time of Progeny’s deadlines,</w:t>
      </w:r>
      <w:r w:rsidRPr="00A64F0A">
        <w:t xml:space="preserve"> h</w:t>
      </w:r>
      <w:r w:rsidR="00BA4673">
        <w:t>ad</w:t>
      </w:r>
      <w:r w:rsidRPr="00A64F0A">
        <w:t xml:space="preserve"> failed to meet</w:t>
      </w:r>
      <w:r w:rsidR="00BA4673">
        <w:t xml:space="preserve"> those </w:t>
      </w:r>
      <w:r w:rsidRPr="00A64F0A">
        <w:t>deadlines.</w:t>
      </w:r>
      <w:r>
        <w:rPr>
          <w:rStyle w:val="FootnoteReference"/>
        </w:rPr>
        <w:footnoteReference w:id="85"/>
      </w:r>
      <w:r w:rsidRPr="00A64F0A">
        <w:t xml:space="preserve">  Progeny therefore seeks an additional extension for </w:t>
      </w:r>
      <w:r w:rsidR="007C01E8">
        <w:t xml:space="preserve">its Group 1 and 2 </w:t>
      </w:r>
      <w:r w:rsidR="006D6CF0">
        <w:t>l</w:t>
      </w:r>
      <w:r w:rsidR="007C01E8">
        <w:t>icenses</w:t>
      </w:r>
      <w:r w:rsidRPr="00A64F0A">
        <w:t xml:space="preserve"> until October 3, 2021, or 90-days after the Commission releases any adverse decision against Progeny’s request.</w:t>
      </w:r>
    </w:p>
    <w:p w:rsidR="00E122E8" w:rsidRPr="00E122E8" w:rsidP="004B0061" w14:paraId="531013CB" w14:textId="059D643A">
      <w:pPr>
        <w:pStyle w:val="Heading2"/>
      </w:pPr>
      <w:r>
        <w:t xml:space="preserve">Status of </w:t>
      </w:r>
      <w:r>
        <w:t xml:space="preserve">Progeny’s </w:t>
      </w:r>
      <w:r w:rsidR="00B763F8">
        <w:t>Compliance</w:t>
      </w:r>
      <w:r w:rsidR="000D70A6">
        <w:t xml:space="preserve"> with Handset and Construction Requirements</w:t>
      </w:r>
    </w:p>
    <w:p w:rsidR="00E122E8" w:rsidRPr="00E122E8" w:rsidP="001C1255" w14:paraId="53248857" w14:textId="6BDE30DF">
      <w:pPr>
        <w:pStyle w:val="ParaNum"/>
      </w:pPr>
      <w:r>
        <w:rPr>
          <w:i/>
          <w:iCs/>
        </w:rPr>
        <w:t xml:space="preserve">Progeny’s Handset Requirement.  </w:t>
      </w:r>
      <w:r w:rsidR="00545DE4">
        <w:t xml:space="preserve">As of September 2021, </w:t>
      </w:r>
      <w:r w:rsidRPr="00EC1AE0" w:rsidR="00E542B1">
        <w:t xml:space="preserve">Progeny states that it has manufactured MBS-compatible handsets, which are commercially available and are being used by the </w:t>
      </w:r>
      <w:r w:rsidRPr="002A05C4" w:rsidR="00E542B1">
        <w:t>IAFC</w:t>
      </w:r>
      <w:r w:rsidRPr="00EC1AE0" w:rsidR="00E542B1">
        <w:t xml:space="preserve"> in 15 </w:t>
      </w:r>
      <w:r w:rsidR="004F0832">
        <w:t xml:space="preserve">of its </w:t>
      </w:r>
      <w:r w:rsidRPr="00EC1AE0" w:rsidR="00E542B1">
        <w:t>EAs for situational awareness training and search and rescue exercises, and by third-party contractors in 28</w:t>
      </w:r>
      <w:r w:rsidR="004F0832">
        <w:t xml:space="preserve"> of its </w:t>
      </w:r>
      <w:r w:rsidRPr="00EC1AE0" w:rsidR="00E542B1">
        <w:t>EAs to make vertical location determinations for use as reference points to calibrate the barometric pressure sensors in consumer handsets.</w:t>
      </w:r>
      <w:r>
        <w:rPr>
          <w:rStyle w:val="FootnoteReference"/>
        </w:rPr>
        <w:footnoteReference w:id="86"/>
      </w:r>
      <w:r>
        <w:rPr>
          <w:i/>
          <w:iCs/>
        </w:rPr>
        <w:t xml:space="preserve">  </w:t>
      </w:r>
    </w:p>
    <w:p w:rsidR="001C1255" w:rsidRPr="006F00E4" w:rsidP="001C1255" w14:paraId="619E5670" w14:textId="6B8FA120">
      <w:pPr>
        <w:pStyle w:val="ParaNum"/>
      </w:pPr>
      <w:r>
        <w:rPr>
          <w:i/>
          <w:iCs/>
        </w:rPr>
        <w:t xml:space="preserve">Progeny’s Construction Requirements. </w:t>
      </w:r>
      <w:r w:rsidR="00EB76DC">
        <w:rPr>
          <w:i/>
          <w:iCs/>
        </w:rPr>
        <w:t xml:space="preserve"> </w:t>
      </w:r>
      <w:r>
        <w:t xml:space="preserve">Progeny has pending before the Division </w:t>
      </w:r>
      <w:r w:rsidR="00FF5655">
        <w:t xml:space="preserve">construction </w:t>
      </w:r>
      <w:r>
        <w:t xml:space="preserve">notifications for </w:t>
      </w:r>
      <w:r w:rsidR="00D4412F">
        <w:t xml:space="preserve">its Group 1 and 2 </w:t>
      </w:r>
      <w:r w:rsidR="00D46B3A">
        <w:t>l</w:t>
      </w:r>
      <w:r w:rsidR="00D4412F">
        <w:t>icenses</w:t>
      </w:r>
      <w:r>
        <w:t>.</w:t>
      </w:r>
      <w:r>
        <w:rPr>
          <w:rStyle w:val="FootnoteReference"/>
        </w:rPr>
        <w:footnoteReference w:id="87"/>
      </w:r>
      <w:r>
        <w:t xml:space="preserve">  Specifically, a</w:t>
      </w:r>
      <w:r w:rsidRPr="005A75D1">
        <w:t xml:space="preserve">s of </w:t>
      </w:r>
      <w:r w:rsidRPr="0087699A">
        <w:t xml:space="preserve">March </w:t>
      </w:r>
      <w:r w:rsidR="00A379C4">
        <w:t>1</w:t>
      </w:r>
      <w:r w:rsidRPr="0087699A">
        <w:t>, 2021</w:t>
      </w:r>
      <w:r w:rsidRPr="005A75D1">
        <w:t xml:space="preserve">, Progeny states that it completed construction </w:t>
      </w:r>
      <w:r w:rsidR="00F9645D">
        <w:t xml:space="preserve">for </w:t>
      </w:r>
      <w:r w:rsidR="00767507">
        <w:t xml:space="preserve">its Group 1 and 2 </w:t>
      </w:r>
      <w:r w:rsidR="00F22814">
        <w:t>l</w:t>
      </w:r>
      <w:r w:rsidR="00767507">
        <w:t xml:space="preserve">icenses </w:t>
      </w:r>
      <w:r w:rsidRPr="005A75D1">
        <w:t>and is operating its M-LMS network in the top 41 EAs, which corresponds to the top 50 CMAs.</w:t>
      </w:r>
      <w:r>
        <w:rPr>
          <w:rStyle w:val="FootnoteReference"/>
        </w:rPr>
        <w:footnoteReference w:id="88"/>
      </w:r>
      <w:r w:rsidRPr="005A75D1">
        <w:t xml:space="preserve">  Progeny</w:t>
      </w:r>
      <w:r>
        <w:t>’s</w:t>
      </w:r>
      <w:r w:rsidRPr="005A75D1">
        <w:t xml:space="preserve"> </w:t>
      </w:r>
      <w:r>
        <w:t>notifications reflect construction that anticipates a grant of its pending waiver</w:t>
      </w:r>
      <w:r w:rsidR="000632C6">
        <w:t>s</w:t>
      </w:r>
      <w:r w:rsidR="004553A0">
        <w:t xml:space="preserve"> and</w:t>
      </w:r>
      <w:r>
        <w:t xml:space="preserve"> </w:t>
      </w:r>
      <w:r w:rsidR="00C3666E">
        <w:t>not</w:t>
      </w:r>
      <w:r w:rsidR="004553A0">
        <w:t>e</w:t>
      </w:r>
      <w:r w:rsidR="00C3666E">
        <w:t xml:space="preserve"> that</w:t>
      </w:r>
      <w:r w:rsidRPr="005A75D1">
        <w:t xml:space="preserve"> since </w:t>
      </w:r>
      <w:r w:rsidR="00B763F8">
        <w:t>Progeny’s</w:t>
      </w:r>
      <w:r w:rsidRPr="005A75D1" w:rsidR="00B763F8">
        <w:t xml:space="preserve"> </w:t>
      </w:r>
      <w:r w:rsidRPr="005A75D1">
        <w:t xml:space="preserve">technology is designed to cover tall buildings, </w:t>
      </w:r>
      <w:r w:rsidR="0014236F">
        <w:t xml:space="preserve">the </w:t>
      </w:r>
      <w:r w:rsidRPr="005A75D1" w:rsidR="0014236F">
        <w:t xml:space="preserve">construction showings </w:t>
      </w:r>
      <w:r w:rsidR="0014236F">
        <w:t xml:space="preserve">for its licenses in </w:t>
      </w:r>
      <w:r w:rsidRPr="005A75D1">
        <w:t xml:space="preserve">39 out of 41 of its EAs </w:t>
      </w:r>
      <w:r>
        <w:t xml:space="preserve">purport to </w:t>
      </w:r>
      <w:r w:rsidR="003C2101">
        <w:t xml:space="preserve">demonstrate </w:t>
      </w:r>
      <w:r w:rsidRPr="005A75D1">
        <w:t>cover</w:t>
      </w:r>
      <w:r w:rsidR="003C2101">
        <w:t xml:space="preserve">age of </w:t>
      </w:r>
      <w:r w:rsidR="0087699A">
        <w:t>two-thirds</w:t>
      </w:r>
      <w:r w:rsidRPr="005A75D1">
        <w:t xml:space="preserve"> of tall buildings rather than </w:t>
      </w:r>
      <w:r w:rsidR="0087699A">
        <w:t>two-thirds</w:t>
      </w:r>
      <w:r w:rsidRPr="005A75D1">
        <w:t xml:space="preserve"> of the population as required under one option provided in</w:t>
      </w:r>
      <w:r>
        <w:t xml:space="preserve"> </w:t>
      </w:r>
      <w:r w:rsidRPr="00C60AE4">
        <w:t>the Commission’s rules.</w:t>
      </w:r>
      <w:r>
        <w:rPr>
          <w:rStyle w:val="FootnoteReference"/>
        </w:rPr>
        <w:footnoteReference w:id="89"/>
      </w:r>
      <w:r w:rsidRPr="00C60AE4">
        <w:t xml:space="preserve"> </w:t>
      </w:r>
      <w:r>
        <w:t xml:space="preserve"> Progeny claims that </w:t>
      </w:r>
      <w:r w:rsidR="0079460B">
        <w:t xml:space="preserve">it </w:t>
      </w:r>
      <w:r>
        <w:t>provide</w:t>
      </w:r>
      <w:r w:rsidR="0079460B">
        <w:t>s</w:t>
      </w:r>
      <w:r>
        <w:t xml:space="preserve"> </w:t>
      </w:r>
      <w:r w:rsidRPr="005A75D1">
        <w:t xml:space="preserve">substantial service </w:t>
      </w:r>
      <w:r w:rsidR="00F60B3E">
        <w:t>in</w:t>
      </w:r>
      <w:r w:rsidR="00A63F89">
        <w:t xml:space="preserve"> its construction showings </w:t>
      </w:r>
      <w:r w:rsidR="00F60B3E">
        <w:t xml:space="preserve">for </w:t>
      </w:r>
      <w:r>
        <w:t>t</w:t>
      </w:r>
      <w:r w:rsidRPr="00C60AE4">
        <w:t>he remaining 2 out of 41 EAs.</w:t>
      </w:r>
      <w:r>
        <w:rPr>
          <w:rStyle w:val="FootnoteReference"/>
        </w:rPr>
        <w:footnoteReference w:id="90"/>
      </w:r>
      <w:r w:rsidRPr="00C60AE4">
        <w:t xml:space="preserve">  </w:t>
      </w:r>
    </w:p>
    <w:p w:rsidR="00131E73" w:rsidP="001C1255" w14:paraId="204938F1" w14:textId="1266EFD1">
      <w:pPr>
        <w:pStyle w:val="Heading1"/>
      </w:pPr>
      <w:r>
        <w:t xml:space="preserve">discussion </w:t>
      </w:r>
    </w:p>
    <w:p w:rsidR="00595E90" w:rsidRPr="00696263" w:rsidP="00696263" w14:paraId="011D2BF5" w14:textId="7AB4EC66">
      <w:pPr>
        <w:pStyle w:val="ParaNum"/>
      </w:pPr>
      <w:r w:rsidRPr="00E04021">
        <w:rPr>
          <w:i/>
          <w:iCs/>
        </w:rPr>
        <w:t xml:space="preserve">Standard of Review.  </w:t>
      </w:r>
      <w:r w:rsidRPr="00E04021">
        <w:t xml:space="preserve">Licensees may request a waiver </w:t>
      </w:r>
      <w:r w:rsidR="00F619C6">
        <w:t xml:space="preserve">of </w:t>
      </w:r>
      <w:r w:rsidR="008E01B2">
        <w:t xml:space="preserve">the Commission’s rules </w:t>
      </w:r>
      <w:r w:rsidRPr="00E04021">
        <w:t>pursuant to Section 1.925,</w:t>
      </w:r>
      <w:r>
        <w:rPr>
          <w:rStyle w:val="FootnoteReference"/>
        </w:rPr>
        <w:footnoteReference w:id="91"/>
      </w:r>
      <w:r w:rsidRPr="00E04021">
        <w:t xml:space="preserve"> or an extension of time to construct pursuant to Section 1.946(e).</w:t>
      </w:r>
      <w:r>
        <w:rPr>
          <w:rStyle w:val="FootnoteReference"/>
        </w:rPr>
        <w:footnoteReference w:id="92"/>
      </w:r>
      <w:r w:rsidRPr="00E04021">
        <w:t xml:space="preserve">  The Commission may grant a request for a waiver when: </w:t>
      </w:r>
      <w:r w:rsidR="008B2FF0">
        <w:t xml:space="preserve"> </w:t>
      </w:r>
      <w:r w:rsidRPr="00E04021">
        <w:t>(</w:t>
      </w:r>
      <w:r w:rsidRPr="00E04021">
        <w:t>i</w:t>
      </w:r>
      <w:r w:rsidRPr="00E04021">
        <w:t>)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6" w:name="FN_FN45_"/>
      <w:bookmarkEnd w:id="6"/>
      <w:r>
        <w:rPr>
          <w:rStyle w:val="FootnoteReference"/>
        </w:rPr>
        <w:footnoteReference w:id="93"/>
      </w:r>
      <w:r w:rsidRPr="00E04021">
        <w:t xml:space="preserve">  Section 1.946(e) of the Commission's rules allows for an extension of time to meet construction requirements where a licensee demonstrates that failure to meet the construction deadline is due to circumstances beyond its control, while specifying a number of reasons that would not justify an extension, such as a licensee’s failure to obtain financing, antenna sites, or equipment.</w:t>
      </w:r>
      <w:r>
        <w:rPr>
          <w:rStyle w:val="FootnoteReference"/>
        </w:rPr>
        <w:footnoteReference w:id="94"/>
      </w:r>
      <w:r w:rsidRPr="00E04021">
        <w:t xml:space="preserve">  </w:t>
      </w:r>
      <w:r w:rsidR="001A6192">
        <w:t xml:space="preserve">The rule provides </w:t>
      </w:r>
      <w:r w:rsidR="00765D71">
        <w:t xml:space="preserve">that </w:t>
      </w:r>
      <w:r w:rsidR="008179CB">
        <w:t>requests for extension must be filed</w:t>
      </w:r>
      <w:r w:rsidR="001A6192">
        <w:t xml:space="preserve"> before the expiration of the construction period.</w:t>
      </w:r>
      <w:r>
        <w:rPr>
          <w:rStyle w:val="FootnoteReference"/>
        </w:rPr>
        <w:footnoteReference w:id="95"/>
      </w:r>
      <w:r w:rsidR="001A6192">
        <w:t xml:space="preserve">  </w:t>
      </w:r>
      <w:r w:rsidRPr="00E04021">
        <w:t xml:space="preserve">We note that the waiver standard and extension standard must be applied in consideration of Section 309(j), which states that the Commission shall include performance requirements to ensure prompt delivery of services, to prevent stockpiling and warehousing of spectrum by licensees, </w:t>
      </w:r>
      <w:r w:rsidRPr="00E04021">
        <w:t>and to promote investment and deployment of new technologies and services.</w:t>
      </w:r>
      <w:r>
        <w:rPr>
          <w:rStyle w:val="FootnoteReference"/>
        </w:rPr>
        <w:footnoteReference w:id="96"/>
      </w:r>
      <w:r w:rsidR="00FC13A7">
        <w:t xml:space="preserve">  </w:t>
      </w:r>
      <w:r w:rsidR="004D3828">
        <w:t xml:space="preserve">We address </w:t>
      </w:r>
      <w:r w:rsidR="00881AC3">
        <w:t>Progeny’s</w:t>
      </w:r>
      <w:r w:rsidR="004D3828">
        <w:t xml:space="preserve"> waiver and extension request</w:t>
      </w:r>
      <w:r w:rsidR="00881AC3">
        <w:t>s</w:t>
      </w:r>
      <w:r w:rsidR="004D3828">
        <w:t xml:space="preserve"> under the appropriate standard in turn below.</w:t>
      </w:r>
    </w:p>
    <w:p w:rsidR="00C0155B" w:rsidP="004B0061" w14:paraId="62C87334" w14:textId="430167B7">
      <w:pPr>
        <w:pStyle w:val="Heading2"/>
      </w:pPr>
      <w:r>
        <w:t xml:space="preserve">Extension of </w:t>
      </w:r>
      <w:r>
        <w:t xml:space="preserve">Progeny’s MBS-compatible Handset </w:t>
      </w:r>
      <w:r w:rsidR="00241C31">
        <w:t xml:space="preserve">Reporting Requirement </w:t>
      </w:r>
      <w:r>
        <w:t>Deadline</w:t>
      </w:r>
    </w:p>
    <w:p w:rsidR="00B61B25" w:rsidP="00D16A87" w14:paraId="4D8081B8" w14:textId="5C06D97E">
      <w:pPr>
        <w:pStyle w:val="ParaNum"/>
      </w:pPr>
      <w:r>
        <w:t xml:space="preserve">Based on our review of the record, </w:t>
      </w:r>
      <w:r w:rsidR="00FD31D6">
        <w:t>w</w:t>
      </w:r>
      <w:r w:rsidR="00B60CA2">
        <w:t xml:space="preserve">e </w:t>
      </w:r>
      <w:r>
        <w:t xml:space="preserve">find that </w:t>
      </w:r>
      <w:r w:rsidR="00AD7055">
        <w:t xml:space="preserve">Progeny has shown that a waiver </w:t>
      </w:r>
      <w:r w:rsidR="003A40D2">
        <w:t xml:space="preserve">of the </w:t>
      </w:r>
      <w:r w:rsidR="003A40D2">
        <w:rPr>
          <w:szCs w:val="22"/>
        </w:rPr>
        <w:t>MBS-Compatible Handset Reporting Requirement</w:t>
      </w:r>
      <w:r w:rsidR="003A40D2">
        <w:t xml:space="preserve"> </w:t>
      </w:r>
      <w:r w:rsidR="00C91DE0">
        <w:t xml:space="preserve">deadline </w:t>
      </w:r>
      <w:r w:rsidR="00AD7055">
        <w:t>is warranted because</w:t>
      </w:r>
      <w:r w:rsidR="005A2BFB">
        <w:t xml:space="preserve"> the underlying purpose of the </w:t>
      </w:r>
      <w:r w:rsidR="003A40D2">
        <w:rPr>
          <w:szCs w:val="22"/>
        </w:rPr>
        <w:t>r</w:t>
      </w:r>
      <w:r w:rsidR="00FD5C7C">
        <w:rPr>
          <w:szCs w:val="22"/>
        </w:rPr>
        <w:t>equirement</w:t>
      </w:r>
      <w:r w:rsidR="00FD5C7C">
        <w:t xml:space="preserve"> </w:t>
      </w:r>
      <w:r w:rsidR="00AD7055">
        <w:t xml:space="preserve">would </w:t>
      </w:r>
      <w:r w:rsidR="007040A4">
        <w:t>be frustr</w:t>
      </w:r>
      <w:r w:rsidR="004655EC">
        <w:t>ated by application in the instant case</w:t>
      </w:r>
      <w:r w:rsidR="001C7516">
        <w:t xml:space="preserve"> and because </w:t>
      </w:r>
      <w:r w:rsidR="00A21BB7">
        <w:t xml:space="preserve">grant of the requested waiver will </w:t>
      </w:r>
      <w:r w:rsidR="00AD7055">
        <w:t>serve the public interest</w:t>
      </w:r>
      <w:r>
        <w:t>.</w:t>
      </w:r>
      <w:r w:rsidRPr="00D16A87" w:rsidR="00D16A87">
        <w:rPr>
          <w:rStyle w:val="FootnoteReference"/>
        </w:rPr>
        <w:t xml:space="preserve"> </w:t>
      </w:r>
      <w:r>
        <w:rPr>
          <w:rStyle w:val="FootnoteReference"/>
        </w:rPr>
        <w:footnoteReference w:id="97"/>
      </w:r>
      <w:r>
        <w:t xml:space="preserve">  </w:t>
      </w:r>
      <w:r w:rsidR="00901961">
        <w:t>Accordingly</w:t>
      </w:r>
      <w:r w:rsidR="00D16A87">
        <w:t xml:space="preserve">, we </w:t>
      </w:r>
      <w:r w:rsidR="00CD3242">
        <w:t xml:space="preserve">waive </w:t>
      </w:r>
      <w:r w:rsidR="005D4B6D">
        <w:t xml:space="preserve">the </w:t>
      </w:r>
      <w:r w:rsidR="00FD5C7C">
        <w:rPr>
          <w:szCs w:val="22"/>
        </w:rPr>
        <w:t>MBS-Compatible Handset Reporting Requirement</w:t>
      </w:r>
      <w:r w:rsidR="00FD5C7C">
        <w:t xml:space="preserve"> </w:t>
      </w:r>
      <w:r w:rsidR="002D3309">
        <w:t xml:space="preserve">and </w:t>
      </w:r>
      <w:r w:rsidR="00D16A87">
        <w:t>extend Progeny’s handset reporting deadline from April 2, 2019, to April 18, 2020.</w:t>
      </w:r>
      <w:r>
        <w:rPr>
          <w:rStyle w:val="FootnoteReference"/>
        </w:rPr>
        <w:footnoteReference w:id="98"/>
      </w:r>
      <w:r w:rsidR="00D16A87">
        <w:t xml:space="preserve">  </w:t>
      </w:r>
    </w:p>
    <w:p w:rsidR="00751678" w:rsidP="00D16A87" w14:paraId="1487106D" w14:textId="59D69FA9">
      <w:pPr>
        <w:pStyle w:val="ParaNum"/>
      </w:pPr>
      <w:r>
        <w:t>T</w:t>
      </w:r>
      <w:r w:rsidR="0017666D">
        <w:t xml:space="preserve">he underlying purpose of </w:t>
      </w:r>
      <w:r w:rsidR="00DC06EA">
        <w:t xml:space="preserve">the </w:t>
      </w:r>
      <w:r w:rsidR="00D748A2">
        <w:rPr>
          <w:szCs w:val="22"/>
        </w:rPr>
        <w:t>MBS-Compatible Handset Reporting Requirement</w:t>
      </w:r>
      <w:r w:rsidR="00D748A2">
        <w:t xml:space="preserve"> </w:t>
      </w:r>
      <w:r w:rsidR="00D748A2">
        <w:t>con</w:t>
      </w:r>
      <w:r w:rsidR="009B7157">
        <w:t xml:space="preserve">tained in the </w:t>
      </w:r>
      <w:r w:rsidR="00E256CB">
        <w:rPr>
          <w:i/>
          <w:iCs/>
        </w:rPr>
        <w:t>2017 Progeny Order</w:t>
      </w:r>
      <w:r w:rsidR="0017666D">
        <w:t xml:space="preserve"> </w:t>
      </w:r>
      <w:r w:rsidR="00A81040">
        <w:t xml:space="preserve">was </w:t>
      </w:r>
      <w:r w:rsidR="0017666D">
        <w:t xml:space="preserve">to ensure that </w:t>
      </w:r>
      <w:r w:rsidR="007B39B4">
        <w:t xml:space="preserve">there is a “direct link between Progeny’s proposed service offering and the likelihood of its carrier customers being able to benefit the public through compliance with the </w:t>
      </w:r>
      <w:r w:rsidRPr="003562D7" w:rsidR="007B39B4">
        <w:rPr>
          <w:i/>
          <w:iCs/>
        </w:rPr>
        <w:t>Indoor Location Accuracy Order</w:t>
      </w:r>
      <w:r w:rsidRPr="059C4443" w:rsidR="007B39B4">
        <w:t xml:space="preserve"> </w:t>
      </w:r>
      <w:r w:rsidR="007B39B4">
        <w:t>requirements</w:t>
      </w:r>
      <w:r w:rsidR="0017666D">
        <w:t>.</w:t>
      </w:r>
      <w:r w:rsidR="00F57ECF">
        <w:t>”</w:t>
      </w:r>
      <w:r>
        <w:rPr>
          <w:rStyle w:val="FootnoteReference"/>
        </w:rPr>
        <w:footnoteReference w:id="99"/>
      </w:r>
      <w:r w:rsidR="0017666D">
        <w:t xml:space="preserve"> </w:t>
      </w:r>
      <w:r w:rsidR="00195AA9">
        <w:t xml:space="preserve"> </w:t>
      </w:r>
      <w:r w:rsidR="00BC41D1">
        <w:t xml:space="preserve">In its </w:t>
      </w:r>
      <w:r w:rsidR="005C6BB1">
        <w:t>filings</w:t>
      </w:r>
      <w:r w:rsidR="008E408B">
        <w:t xml:space="preserve">, </w:t>
      </w:r>
      <w:r w:rsidR="009A0CFE">
        <w:t xml:space="preserve">Progeny </w:t>
      </w:r>
      <w:r w:rsidR="00E124B1">
        <w:t xml:space="preserve">demonstrated </w:t>
      </w:r>
      <w:r w:rsidR="001D5EF0">
        <w:t xml:space="preserve">that it was actively working </w:t>
      </w:r>
      <w:r w:rsidR="008B3573">
        <w:t xml:space="preserve">with wireless carriers </w:t>
      </w:r>
      <w:r w:rsidR="00125140">
        <w:t>to bring MBS</w:t>
      </w:r>
      <w:r w:rsidR="00D11117">
        <w:t>-compatible h</w:t>
      </w:r>
      <w:r w:rsidR="002337A3">
        <w:t>andsets to market</w:t>
      </w:r>
      <w:r w:rsidR="009037D2">
        <w:t>.</w:t>
      </w:r>
      <w:r>
        <w:rPr>
          <w:rStyle w:val="FootnoteReference"/>
        </w:rPr>
        <w:footnoteReference w:id="100"/>
      </w:r>
      <w:r w:rsidR="002337A3">
        <w:t xml:space="preserve"> </w:t>
      </w:r>
      <w:r w:rsidR="009037D2">
        <w:t xml:space="preserve"> </w:t>
      </w:r>
      <w:r w:rsidR="0017666D">
        <w:t xml:space="preserve">Progeny </w:t>
      </w:r>
      <w:r w:rsidR="004440D0">
        <w:t xml:space="preserve">also demonstrated that </w:t>
      </w:r>
      <w:r w:rsidR="00931C9B">
        <w:t xml:space="preserve">extending the </w:t>
      </w:r>
      <w:r w:rsidR="001F46D2">
        <w:t>date of compliance with the</w:t>
      </w:r>
      <w:r w:rsidR="009C7020">
        <w:t xml:space="preserve"> </w:t>
      </w:r>
      <w:r w:rsidR="00931C9B">
        <w:rPr>
          <w:szCs w:val="22"/>
        </w:rPr>
        <w:t>MBS-Compatible Handset Reporting Requirement</w:t>
      </w:r>
      <w:r w:rsidR="00931C9B">
        <w:t xml:space="preserve"> did </w:t>
      </w:r>
      <w:r w:rsidR="00C54196">
        <w:t xml:space="preserve">not delay CMRS providers from meeting the April 2021 deployment deadline because Progeny’s handsets </w:t>
      </w:r>
      <w:r w:rsidR="00AD7055">
        <w:t>were available</w:t>
      </w:r>
      <w:r w:rsidR="00C54196">
        <w:t xml:space="preserve"> prior to the end of 2020</w:t>
      </w:r>
      <w:r w:rsidR="0017666D">
        <w:t>, in advance of the CMRS providers deadline</w:t>
      </w:r>
      <w:r w:rsidR="007F4C96">
        <w:t>.</w:t>
      </w:r>
      <w:r>
        <w:rPr>
          <w:rStyle w:val="FootnoteReference"/>
        </w:rPr>
        <w:footnoteReference w:id="101"/>
      </w:r>
      <w:r w:rsidR="007F4C96">
        <w:t xml:space="preserve">  </w:t>
      </w:r>
      <w:r w:rsidR="006C3E86">
        <w:t>Moreover, d</w:t>
      </w:r>
      <w:r w:rsidR="00D16A87">
        <w:t xml:space="preserve">espite being met with delays due to Progeny’s reliance </w:t>
      </w:r>
      <w:r w:rsidRPr="004D06C3" w:rsidR="00D16A87">
        <w:t xml:space="preserve">on </w:t>
      </w:r>
      <w:r w:rsidR="00D16A87">
        <w:t>wireless handset</w:t>
      </w:r>
      <w:r w:rsidRPr="004D06C3" w:rsidR="00D16A87">
        <w:t xml:space="preserve"> manufacturers to make hardware/software changes</w:t>
      </w:r>
      <w:r w:rsidR="00D16A87">
        <w:t xml:space="preserve"> that would accommodate Progeny’s M-LMS services,</w:t>
      </w:r>
      <w:r>
        <w:rPr>
          <w:rStyle w:val="FootnoteReference"/>
        </w:rPr>
        <w:footnoteReference w:id="102"/>
      </w:r>
      <w:r w:rsidR="00D16A87">
        <w:t xml:space="preserve"> Progeny </w:t>
      </w:r>
      <w:r w:rsidR="005708C8">
        <w:t xml:space="preserve">reported </w:t>
      </w:r>
      <w:r w:rsidR="00D16A87">
        <w:t xml:space="preserve">that it had “significant success in securing MBS compatibility in handsets” </w:t>
      </w:r>
      <w:r w:rsidR="00D16A87">
        <w:t>when it successfully manufactured and distributed end user devices that could receive its M-LMS signals.</w:t>
      </w:r>
      <w:r>
        <w:rPr>
          <w:rStyle w:val="FootnoteReference"/>
        </w:rPr>
        <w:footnoteReference w:id="103"/>
      </w:r>
      <w:r w:rsidR="00D16A87">
        <w:t xml:space="preserve">  </w:t>
      </w:r>
      <w:r w:rsidR="0000047D">
        <w:t xml:space="preserve">In light of these factors, we </w:t>
      </w:r>
      <w:r w:rsidR="00713EC5">
        <w:t xml:space="preserve">find that the underlying purpose of the </w:t>
      </w:r>
      <w:r w:rsidRPr="00713EC5" w:rsidR="00713EC5">
        <w:t>MBS-Compatible Handset Reporting Requirement</w:t>
      </w:r>
      <w:r w:rsidR="00713EC5">
        <w:t xml:space="preserve"> would </w:t>
      </w:r>
      <w:r w:rsidR="001B5933">
        <w:t xml:space="preserve">be frustrated by application </w:t>
      </w:r>
      <w:r w:rsidR="00A42AD6">
        <w:t>in the instant case</w:t>
      </w:r>
      <w:r w:rsidR="003E3C98">
        <w:t xml:space="preserve">, and that an extension of the reporting deadline is </w:t>
      </w:r>
      <w:r w:rsidR="00945F7B">
        <w:t>appropriate</w:t>
      </w:r>
      <w:r w:rsidR="00A42AD6">
        <w:t>.</w:t>
      </w:r>
    </w:p>
    <w:p w:rsidR="00010984" w:rsidP="00D16A87" w14:paraId="31287874" w14:textId="4A8DE944">
      <w:pPr>
        <w:pStyle w:val="ParaNum"/>
      </w:pPr>
      <w:r>
        <w:t>We also</w:t>
      </w:r>
      <w:r w:rsidR="00D57171">
        <w:t xml:space="preserve"> find that </w:t>
      </w:r>
      <w:r w:rsidR="001611C4">
        <w:t xml:space="preserve">grant of </w:t>
      </w:r>
      <w:r w:rsidR="00945F7B">
        <w:t xml:space="preserve">a </w:t>
      </w:r>
      <w:r w:rsidR="001611C4">
        <w:t>waiver</w:t>
      </w:r>
      <w:r w:rsidR="00945F7B">
        <w:t xml:space="preserve"> to extend the reporting deadline</w:t>
      </w:r>
      <w:r w:rsidR="001611C4">
        <w:t xml:space="preserve"> is in the public interest.</w:t>
      </w:r>
      <w:r w:rsidR="00E437D9">
        <w:t xml:space="preserve"> </w:t>
      </w:r>
      <w:r w:rsidR="001611C4">
        <w:t xml:space="preserve"> T</w:t>
      </w:r>
      <w:r w:rsidR="00182607">
        <w:t xml:space="preserve">he record demonstrates that Progeny’s network holds the potential </w:t>
      </w:r>
      <w:r w:rsidR="00AB4633">
        <w:t xml:space="preserve">to offer </w:t>
      </w:r>
      <w:r w:rsidR="00182607">
        <w:t>significant public safety benefits through improved E911 indoor location accuracy and, through our relief, we ensure that Progeny will have the opportunity to continue to provide such service to wireless carriers</w:t>
      </w:r>
      <w:r w:rsidR="002524B1">
        <w:t xml:space="preserve"> and to</w:t>
      </w:r>
      <w:r w:rsidR="009457AE">
        <w:t xml:space="preserve"> support </w:t>
      </w:r>
      <w:r w:rsidR="00F07DBE">
        <w:t xml:space="preserve">the wireless carriers’ efforts </w:t>
      </w:r>
      <w:r w:rsidR="00182607">
        <w:t xml:space="preserve">to meet deadlines adopted in the </w:t>
      </w:r>
      <w:r w:rsidRPr="00D16A87" w:rsidR="00182607">
        <w:rPr>
          <w:i/>
          <w:iCs/>
        </w:rPr>
        <w:t xml:space="preserve">2015 </w:t>
      </w:r>
      <w:r w:rsidR="00182607">
        <w:t xml:space="preserve">and </w:t>
      </w:r>
      <w:r w:rsidRPr="00D16A87" w:rsidR="00182607">
        <w:rPr>
          <w:i/>
          <w:iCs/>
        </w:rPr>
        <w:t>2020 Indoor Location Accuracy Orders.</w:t>
      </w:r>
      <w:r>
        <w:rPr>
          <w:rStyle w:val="FootnoteReference"/>
        </w:rPr>
        <w:footnoteReference w:id="104"/>
      </w:r>
      <w:r w:rsidR="00182607">
        <w:t xml:space="preserve">  </w:t>
      </w:r>
      <w:r w:rsidR="00B71A3C">
        <w:t>We find that</w:t>
      </w:r>
      <w:r w:rsidR="00AD7055">
        <w:t xml:space="preserve"> extending Progeny’s handset deadline will promote beneficial use of the spectrum and enable </w:t>
      </w:r>
      <w:r w:rsidR="00572253">
        <w:t>Progeny</w:t>
      </w:r>
      <w:r w:rsidR="00E72772">
        <w:t>’s services</w:t>
      </w:r>
      <w:r w:rsidR="00572253">
        <w:t xml:space="preserve"> </w:t>
      </w:r>
      <w:r w:rsidR="00AD7055">
        <w:t xml:space="preserve">to remain an option for wireless carriers to satisfy the Commission’s location accuracy rules </w:t>
      </w:r>
      <w:r w:rsidR="00492382">
        <w:t>and serve the</w:t>
      </w:r>
      <w:r w:rsidR="00AD7055">
        <w:t xml:space="preserve"> critical public safety need</w:t>
      </w:r>
      <w:r w:rsidR="00492382">
        <w:t xml:space="preserve"> of improved </w:t>
      </w:r>
      <w:r w:rsidRPr="000B0331" w:rsidR="000B0331">
        <w:t xml:space="preserve">E911 indoor </w:t>
      </w:r>
      <w:r w:rsidR="00492382">
        <w:t>location accuracy</w:t>
      </w:r>
      <w:r w:rsidR="00AD7055">
        <w:t>.</w:t>
      </w:r>
    </w:p>
    <w:p w:rsidR="00131E73" w:rsidP="004B0061" w14:paraId="42E326AC" w14:textId="42F559DA">
      <w:pPr>
        <w:pStyle w:val="Heading2"/>
      </w:pPr>
      <w:r>
        <w:t xml:space="preserve">Extension of </w:t>
      </w:r>
      <w:r w:rsidR="00DA3844">
        <w:t>Progeny’s B and C Block Construction Deadlines</w:t>
      </w:r>
    </w:p>
    <w:p w:rsidR="00535C4C" w:rsidP="00650FDF" w14:paraId="159EFA8D" w14:textId="531CD2EF">
      <w:pPr>
        <w:pStyle w:val="ParaNum"/>
      </w:pPr>
      <w:r>
        <w:t>We also</w:t>
      </w:r>
      <w:r w:rsidR="0049088A">
        <w:t xml:space="preserve"> </w:t>
      </w:r>
      <w:r w:rsidR="00362E93">
        <w:t xml:space="preserve">conditionally </w:t>
      </w:r>
      <w:r w:rsidR="0049088A">
        <w:t xml:space="preserve">grant two of Progeny’s </w:t>
      </w:r>
      <w:r w:rsidR="00536F0C">
        <w:t>request</w:t>
      </w:r>
      <w:r w:rsidR="001350E7">
        <w:t>s</w:t>
      </w:r>
      <w:r w:rsidR="00536F0C">
        <w:t xml:space="preserve"> to extend </w:t>
      </w:r>
      <w:r w:rsidR="004652BB">
        <w:t xml:space="preserve">its </w:t>
      </w:r>
      <w:r w:rsidR="0049088A">
        <w:t>construction deadline</w:t>
      </w:r>
      <w:r w:rsidR="007F0E1A">
        <w:t>s</w:t>
      </w:r>
      <w:r w:rsidR="0049088A">
        <w:t xml:space="preserve">.  First, we </w:t>
      </w:r>
      <w:r w:rsidR="004652BB">
        <w:t xml:space="preserve">grant </w:t>
      </w:r>
      <w:r w:rsidR="0049088A">
        <w:t>Progeny</w:t>
      </w:r>
      <w:r w:rsidR="004652BB">
        <w:t xml:space="preserve"> an extension of it</w:t>
      </w:r>
      <w:r w:rsidR="0049088A">
        <w:t>s end-of-term construction deadline</w:t>
      </w:r>
      <w:r w:rsidR="00D12B8F">
        <w:t>s</w:t>
      </w:r>
      <w:r w:rsidR="0049088A">
        <w:t xml:space="preserve"> for </w:t>
      </w:r>
      <w:r w:rsidR="008749FF">
        <w:t xml:space="preserve">its Group 1 </w:t>
      </w:r>
      <w:r w:rsidR="00AD5202">
        <w:t>l</w:t>
      </w:r>
      <w:r w:rsidR="008749FF">
        <w:t xml:space="preserve">icenses for </w:t>
      </w:r>
      <w:r w:rsidR="0049088A">
        <w:t>an additional six months, from October 3, 2020, to April 3, 2021.</w:t>
      </w:r>
      <w:r>
        <w:rPr>
          <w:rStyle w:val="FootnoteReference"/>
        </w:rPr>
        <w:footnoteReference w:id="105"/>
      </w:r>
      <w:r w:rsidR="0049088A">
        <w:t xml:space="preserve">  Next, we grant Progeny a</w:t>
      </w:r>
      <w:r w:rsidR="004652BB">
        <w:t xml:space="preserve"> waiver </w:t>
      </w:r>
      <w:r w:rsidR="007E39A4">
        <w:t xml:space="preserve">of its </w:t>
      </w:r>
      <w:r w:rsidR="003B6CC4">
        <w:t xml:space="preserve">end-of-term </w:t>
      </w:r>
      <w:r w:rsidR="007E39A4">
        <w:t xml:space="preserve">construction requirements </w:t>
      </w:r>
      <w:r w:rsidR="000D566C">
        <w:t xml:space="preserve">for its Group 1 and 2 </w:t>
      </w:r>
      <w:r w:rsidR="00AD5202">
        <w:t>l</w:t>
      </w:r>
      <w:r w:rsidR="00F6750C">
        <w:t>icenses</w:t>
      </w:r>
      <w:r w:rsidR="000D566C">
        <w:t xml:space="preserve"> </w:t>
      </w:r>
      <w:r w:rsidR="007E39A4">
        <w:t xml:space="preserve">and </w:t>
      </w:r>
      <w:r w:rsidR="0049088A">
        <w:t>exten</w:t>
      </w:r>
      <w:r w:rsidR="00B71339">
        <w:t>d</w:t>
      </w:r>
      <w:r w:rsidR="00685867">
        <w:t xml:space="preserve"> the</w:t>
      </w:r>
      <w:r w:rsidR="000D566C">
        <w:t>se</w:t>
      </w:r>
      <w:r w:rsidR="00685867">
        <w:t xml:space="preserve"> construction deadlines</w:t>
      </w:r>
      <w:r w:rsidR="00C31AB0">
        <w:t xml:space="preserve"> </w:t>
      </w:r>
      <w:r w:rsidR="0049088A">
        <w:t>from April 3, 2021,</w:t>
      </w:r>
      <w:r>
        <w:rPr>
          <w:rStyle w:val="FootnoteReference"/>
        </w:rPr>
        <w:footnoteReference w:id="106"/>
      </w:r>
      <w:r w:rsidR="0049088A">
        <w:t xml:space="preserve"> to June </w:t>
      </w:r>
      <w:r w:rsidRPr="00807944" w:rsidR="00DF3CB2">
        <w:t>17</w:t>
      </w:r>
      <w:r w:rsidRPr="00807944" w:rsidR="0049088A">
        <w:t>,</w:t>
      </w:r>
      <w:r w:rsidR="0049088A">
        <w:t xml:space="preserve"> 2021</w:t>
      </w:r>
      <w:r w:rsidR="00F6750C">
        <w:t>.</w:t>
      </w:r>
      <w:r w:rsidR="008C1E1F">
        <w:t xml:space="preserve">  </w:t>
      </w:r>
      <w:r w:rsidR="00D423DE">
        <w:t xml:space="preserve">We discuss these extensions in further detail below. </w:t>
      </w:r>
    </w:p>
    <w:p w:rsidR="00D574EE" w:rsidRPr="009D7D26" w:rsidP="003937E2" w14:paraId="6F9399F5" w14:textId="7715B958">
      <w:pPr>
        <w:pStyle w:val="ParaNum"/>
      </w:pPr>
      <w:r w:rsidRPr="00E144DB">
        <w:rPr>
          <w:i/>
          <w:iCs/>
        </w:rPr>
        <w:t>Second Construction Deadline Extension Request.</w:t>
      </w:r>
      <w:r w:rsidRPr="00DC5A97">
        <w:t xml:space="preserve">  </w:t>
      </w:r>
      <w:r w:rsidR="003937E2">
        <w:t xml:space="preserve">Because </w:t>
      </w:r>
      <w:r w:rsidR="008747AA">
        <w:t xml:space="preserve">we find that </w:t>
      </w:r>
      <w:r w:rsidR="003937E2">
        <w:t xml:space="preserve">Progeny </w:t>
      </w:r>
      <w:r w:rsidR="00D802E4">
        <w:t>encountered</w:t>
      </w:r>
      <w:r w:rsidR="00E144DB">
        <w:t xml:space="preserve"> circumstances beyond its control</w:t>
      </w:r>
      <w:r w:rsidR="003937E2">
        <w:t>,</w:t>
      </w:r>
      <w:r>
        <w:rPr>
          <w:rStyle w:val="FootnoteReference"/>
        </w:rPr>
        <w:footnoteReference w:id="107"/>
      </w:r>
      <w:r w:rsidR="00E144DB">
        <w:t xml:space="preserve"> </w:t>
      </w:r>
      <w:r w:rsidR="003937E2">
        <w:t>w</w:t>
      </w:r>
      <w:r w:rsidR="00E144DB">
        <w:t xml:space="preserve">e find </w:t>
      </w:r>
      <w:r w:rsidR="00D25C54">
        <w:t>that the public interest is served by</w:t>
      </w:r>
      <w:r w:rsidR="00E144DB">
        <w:t xml:space="preserve"> grant</w:t>
      </w:r>
      <w:r w:rsidR="00D25C54">
        <w:t xml:space="preserve"> of</w:t>
      </w:r>
      <w:r w:rsidR="00E144DB">
        <w:t xml:space="preserve"> a</w:t>
      </w:r>
      <w:r w:rsidR="008D657A">
        <w:t>n additional</w:t>
      </w:r>
      <w:r w:rsidR="00E144DB">
        <w:t xml:space="preserve"> </w:t>
      </w:r>
      <w:r w:rsidR="00313DED">
        <w:t>six-month</w:t>
      </w:r>
      <w:r w:rsidR="00E144DB">
        <w:t xml:space="preserve"> exten</w:t>
      </w:r>
      <w:r w:rsidR="00D25C54">
        <w:t>sion of</w:t>
      </w:r>
      <w:r w:rsidR="00E144DB">
        <w:t xml:space="preserve"> Progeny’s end-of-term construction deadline</w:t>
      </w:r>
      <w:r w:rsidR="008D657A">
        <w:t xml:space="preserve">, from October 3, 2020, to April 3, 2021, </w:t>
      </w:r>
      <w:r w:rsidR="00E144DB">
        <w:t xml:space="preserve">for </w:t>
      </w:r>
      <w:r w:rsidR="00133A03">
        <w:t xml:space="preserve">its Group 1 </w:t>
      </w:r>
      <w:r w:rsidR="00B56755">
        <w:t>l</w:t>
      </w:r>
      <w:r w:rsidR="00133A03">
        <w:t>icenses</w:t>
      </w:r>
      <w:r w:rsidR="008D657A">
        <w:t>.</w:t>
      </w:r>
      <w:r>
        <w:rPr>
          <w:rStyle w:val="FootnoteReference"/>
        </w:rPr>
        <w:footnoteReference w:id="108"/>
      </w:r>
      <w:r w:rsidR="003937E2">
        <w:t xml:space="preserve">  </w:t>
      </w:r>
      <w:r w:rsidRPr="009D7D26" w:rsidR="00E144DB">
        <w:t xml:space="preserve">In the </w:t>
      </w:r>
      <w:r w:rsidRPr="009D7D26" w:rsidR="001C40C7">
        <w:t>Second Construction Deadline Request</w:t>
      </w:r>
      <w:r w:rsidRPr="009D7D26" w:rsidR="00E144DB">
        <w:t xml:space="preserve">, Progeny argues that an </w:t>
      </w:r>
      <w:r w:rsidRPr="009D7D26" w:rsidR="00BD3EBB">
        <w:t xml:space="preserve">additional </w:t>
      </w:r>
      <w:r w:rsidRPr="009D7D26" w:rsidR="00E144DB">
        <w:t xml:space="preserve">extension is warranted because, despite </w:t>
      </w:r>
      <w:r w:rsidRPr="009D7D26" w:rsidR="001D6949">
        <w:t>“rapidly construct[</w:t>
      </w:r>
      <w:r w:rsidRPr="009D7D26" w:rsidR="001D6949">
        <w:t>ing</w:t>
      </w:r>
      <w:r w:rsidRPr="009D7D26" w:rsidR="001D6949">
        <w:t>] its vertical location network” and remaining</w:t>
      </w:r>
      <w:r w:rsidRPr="009D7D26" w:rsidR="00E144DB">
        <w:t xml:space="preserve"> on track to satisfy its construction requirements for </w:t>
      </w:r>
      <w:r w:rsidR="00133A03">
        <w:t xml:space="preserve">its Group 1 </w:t>
      </w:r>
      <w:r w:rsidR="00B56755">
        <w:t>l</w:t>
      </w:r>
      <w:r w:rsidR="00133A03">
        <w:t>icenses</w:t>
      </w:r>
      <w:r w:rsidRPr="009D7D26" w:rsidR="00E144DB">
        <w:t xml:space="preserve">, </w:t>
      </w:r>
      <w:r w:rsidR="00E67906">
        <w:t xml:space="preserve">Progeny </w:t>
      </w:r>
      <w:r w:rsidRPr="009D7D26" w:rsidR="003A5DF6">
        <w:t>has been unable to implement its arrangement to</w:t>
      </w:r>
      <w:r w:rsidRPr="009D7D26" w:rsidR="00E144DB">
        <w:t xml:space="preserve"> deliver end</w:t>
      </w:r>
      <w:r w:rsidR="00024C3E">
        <w:t>-</w:t>
      </w:r>
      <w:r w:rsidRPr="009D7D26" w:rsidR="00E144DB">
        <w:t xml:space="preserve">user receivers </w:t>
      </w:r>
      <w:r w:rsidRPr="009D7D26" w:rsidR="003A5DF6">
        <w:t xml:space="preserve">to </w:t>
      </w:r>
      <w:r w:rsidRPr="009D7D26" w:rsidR="00E144DB">
        <w:t xml:space="preserve">and </w:t>
      </w:r>
      <w:r w:rsidRPr="009D7D26" w:rsidR="003A5DF6">
        <w:t xml:space="preserve">initiate </w:t>
      </w:r>
      <w:r w:rsidRPr="009D7D26" w:rsidR="00E144DB">
        <w:t xml:space="preserve">service </w:t>
      </w:r>
      <w:r w:rsidRPr="009D7D26" w:rsidR="003A5DF6">
        <w:t>for</w:t>
      </w:r>
      <w:r w:rsidRPr="009D7D26" w:rsidR="00E144DB">
        <w:t xml:space="preserve"> the </w:t>
      </w:r>
      <w:r w:rsidRPr="009D7D26" w:rsidR="003A5DF6">
        <w:t>IAFC</w:t>
      </w:r>
      <w:r w:rsidRPr="009D7D26" w:rsidR="00E144DB">
        <w:t>.</w:t>
      </w:r>
      <w:r>
        <w:rPr>
          <w:rStyle w:val="FootnoteReference"/>
        </w:rPr>
        <w:footnoteReference w:id="109"/>
      </w:r>
      <w:r w:rsidRPr="009D7D26" w:rsidR="00E144DB">
        <w:t xml:space="preserve">  </w:t>
      </w:r>
      <w:r w:rsidRPr="009D7D26" w:rsidR="008606BE">
        <w:t xml:space="preserve">Progeny explains that the IAFC notified Progeny on September 1, 2020, that it </w:t>
      </w:r>
      <w:r w:rsidR="003A232B">
        <w:t>had to</w:t>
      </w:r>
      <w:r w:rsidRPr="009D7D26" w:rsidR="003A232B">
        <w:t xml:space="preserve"> </w:t>
      </w:r>
      <w:r w:rsidRPr="009D7D26" w:rsidR="008606BE">
        <w:t>again delay receipt of the receivers because “efforts to isolate and control the pandemic have not been successful” and “the continued state of emergency has ‘significantly constrained the ability of IAFC members to address non-essential activities.’”</w:t>
      </w:r>
      <w:r>
        <w:rPr>
          <w:rStyle w:val="FootnoteReference"/>
        </w:rPr>
        <w:footnoteReference w:id="110"/>
      </w:r>
      <w:r w:rsidRPr="009D7D26" w:rsidR="008606BE">
        <w:t xml:space="preserve">  </w:t>
      </w:r>
      <w:r w:rsidRPr="009D7D26" w:rsidR="009D7D26">
        <w:t xml:space="preserve">Progeny </w:t>
      </w:r>
      <w:r w:rsidR="00CD5A1B">
        <w:t>maintains</w:t>
      </w:r>
      <w:r w:rsidRPr="009D7D26" w:rsidR="00CD5A1B">
        <w:t xml:space="preserve"> </w:t>
      </w:r>
      <w:r w:rsidRPr="009D7D26" w:rsidR="009D7D26">
        <w:t>that the IAFC indicated that it would resume work on the deployment of Progeny’s vertical location technology to its members “immediately in advance of the implementation deadline.”</w:t>
      </w:r>
      <w:r>
        <w:rPr>
          <w:rStyle w:val="FootnoteReference"/>
        </w:rPr>
        <w:footnoteReference w:id="111"/>
      </w:r>
      <w:r w:rsidRPr="009D7D26" w:rsidR="009D7D26">
        <w:t xml:space="preserve">  </w:t>
      </w:r>
    </w:p>
    <w:p w:rsidR="00E144DB" w:rsidP="009D7D26" w14:paraId="21C2AF32" w14:textId="3DAB664F">
      <w:pPr>
        <w:pStyle w:val="ParaNum"/>
      </w:pPr>
      <w:r>
        <w:t>We find good cause to grant the requested relief, given the impact of COVID-19 and the resulting declarations of emergencies at the local, state, and federal levels</w:t>
      </w:r>
      <w:r w:rsidR="003767F3">
        <w:t xml:space="preserve"> at that time</w:t>
      </w:r>
      <w:r>
        <w:t>.</w:t>
      </w:r>
      <w:r>
        <w:rPr>
          <w:rStyle w:val="FootnoteReference"/>
        </w:rPr>
        <w:footnoteReference w:id="112"/>
      </w:r>
      <w:r>
        <w:t xml:space="preserve">  We find it relevant to our decision that </w:t>
      </w:r>
      <w:r w:rsidR="00DB5220">
        <w:t>despite</w:t>
      </w:r>
      <w:r>
        <w:t xml:space="preserve"> </w:t>
      </w:r>
      <w:r w:rsidR="002A5A1B">
        <w:t>the delays caused by</w:t>
      </w:r>
      <w:r>
        <w:t xml:space="preserve"> the pandemic</w:t>
      </w:r>
      <w:r w:rsidR="008708E8">
        <w:t>,</w:t>
      </w:r>
      <w:r>
        <w:t xml:space="preserve"> </w:t>
      </w:r>
      <w:r w:rsidR="002A5A1B">
        <w:t>which disrupted</w:t>
      </w:r>
      <w:r>
        <w:t xml:space="preserve"> delivery of the devices needed to initiate service to the fire departments</w:t>
      </w:r>
      <w:r w:rsidR="002A5A1B">
        <w:t>, Progeny still managed to file its construction notifications in April 2021</w:t>
      </w:r>
      <w:r>
        <w:t>.</w:t>
      </w:r>
      <w:r>
        <w:rPr>
          <w:rStyle w:val="FootnoteReference"/>
        </w:rPr>
        <w:footnoteReference w:id="113"/>
      </w:r>
      <w:r>
        <w:t xml:space="preserve">  We recognize that the ability of emergency personnel to locate individuals in distress accurately through improved vertical location accuracy is essential.  It is imperative that first responders have access to accurate vertical location information, and Progeny’s technology remains an important option for achieving improved accuracy.  </w:t>
      </w:r>
      <w:r w:rsidRPr="0001288F" w:rsidR="00F37000">
        <w:t>Given the</w:t>
      </w:r>
      <w:r w:rsidR="00F37000">
        <w:t xml:space="preserve"> evolving and unpredictable nature of the pandemic</w:t>
      </w:r>
      <w:r w:rsidR="00AF0E17">
        <w:t xml:space="preserve"> at the time </w:t>
      </w:r>
      <w:r w:rsidR="001B1084">
        <w:t xml:space="preserve">of </w:t>
      </w:r>
      <w:r w:rsidR="009F7793">
        <w:t xml:space="preserve">the construction </w:t>
      </w:r>
      <w:r w:rsidR="00862A50">
        <w:t>deadline</w:t>
      </w:r>
      <w:r w:rsidR="0085476B">
        <w:t>,</w:t>
      </w:r>
      <w:r w:rsidR="00420B45">
        <w:t xml:space="preserve"> </w:t>
      </w:r>
      <w:r w:rsidR="00847595">
        <w:t xml:space="preserve">which </w:t>
      </w:r>
      <w:r w:rsidR="00456435">
        <w:t>led</w:t>
      </w:r>
      <w:r w:rsidR="005D2010">
        <w:t xml:space="preserve"> I</w:t>
      </w:r>
      <w:r w:rsidR="0040647B">
        <w:t>AF</w:t>
      </w:r>
      <w:r w:rsidR="005D2010">
        <w:t>C</w:t>
      </w:r>
      <w:r w:rsidR="00456435">
        <w:t xml:space="preserve"> to delay its acceptance of the receivers</w:t>
      </w:r>
      <w:r w:rsidR="00A7039A">
        <w:t>,</w:t>
      </w:r>
      <w:r w:rsidR="00420B45">
        <w:t xml:space="preserve"> </w:t>
      </w:r>
      <w:r>
        <w:t>we find th</w:t>
      </w:r>
      <w:r w:rsidR="005A0B79">
        <w:t xml:space="preserve">at Progeny has demonstrated </w:t>
      </w:r>
      <w:r w:rsidRPr="005A0B79" w:rsidR="005A0B79">
        <w:t xml:space="preserve">that failure to meet the construction deadline is </w:t>
      </w:r>
      <w:r w:rsidR="00133A03">
        <w:t xml:space="preserve"> due to circumstances beyond Progeny’s control</w:t>
      </w:r>
      <w:r>
        <w:t>.</w:t>
      </w:r>
      <w:r w:rsidR="009D7D26">
        <w:t xml:space="preserve">  </w:t>
      </w:r>
      <w:r>
        <w:t xml:space="preserve">We </w:t>
      </w:r>
      <w:r w:rsidR="00402A0F">
        <w:t xml:space="preserve">therefore </w:t>
      </w:r>
      <w:r>
        <w:t>find it in the public interest to grant Progeny</w:t>
      </w:r>
      <w:r w:rsidR="0092290B">
        <w:t>’s request for extension</w:t>
      </w:r>
      <w:r w:rsidR="009E5BE5">
        <w:t xml:space="preserve"> of</w:t>
      </w:r>
      <w:r>
        <w:t xml:space="preserve"> its applicable construction deadline</w:t>
      </w:r>
      <w:r w:rsidR="00E631D0">
        <w:t>s</w:t>
      </w:r>
      <w:r>
        <w:t xml:space="preserve"> </w:t>
      </w:r>
      <w:r w:rsidR="00F37000">
        <w:t xml:space="preserve">for an additional </w:t>
      </w:r>
      <w:r>
        <w:t>six months</w:t>
      </w:r>
      <w:r w:rsidR="00060AA1">
        <w:t xml:space="preserve"> to April 3, 2021</w:t>
      </w:r>
      <w:r>
        <w:t>, subject to the condition</w:t>
      </w:r>
      <w:r w:rsidR="00F37000">
        <w:t>s below</w:t>
      </w:r>
      <w:r>
        <w:t xml:space="preserve">.  </w:t>
      </w:r>
    </w:p>
    <w:p w:rsidR="009B403D" w:rsidP="009B403D" w14:paraId="7A04E6EF" w14:textId="167F34B1">
      <w:pPr>
        <w:pStyle w:val="ParaNum"/>
      </w:pPr>
      <w:r>
        <w:rPr>
          <w:i/>
          <w:iCs/>
        </w:rPr>
        <w:t xml:space="preserve">Third Construction Deadline Extension Request.  </w:t>
      </w:r>
      <w:r w:rsidR="003A60A4">
        <w:t xml:space="preserve">We likewise find good cause to grant Progeny </w:t>
      </w:r>
      <w:r w:rsidR="00684D92">
        <w:t xml:space="preserve">a waiver of its construction deadlines </w:t>
      </w:r>
      <w:r w:rsidR="00B05C2A">
        <w:t xml:space="preserve">for its Group 1 and 2 licenses </w:t>
      </w:r>
      <w:r w:rsidR="00684D92">
        <w:t xml:space="preserve">and </w:t>
      </w:r>
      <w:r w:rsidR="007507E0">
        <w:t>extend such deadlines</w:t>
      </w:r>
      <w:r w:rsidR="003A60A4">
        <w:t xml:space="preserve"> from April 3, 2021</w:t>
      </w:r>
      <w:r>
        <w:rPr>
          <w:rStyle w:val="FootnoteReference"/>
        </w:rPr>
        <w:footnoteReference w:id="114"/>
      </w:r>
      <w:r w:rsidR="003A60A4">
        <w:t xml:space="preserve"> t</w:t>
      </w:r>
      <w:r w:rsidRPr="00D627D1" w:rsidR="003A60A4">
        <w:t xml:space="preserve">o </w:t>
      </w:r>
      <w:r w:rsidRPr="00D627D1" w:rsidR="00B65A97">
        <w:t>June</w:t>
      </w:r>
      <w:r w:rsidRPr="00D627D1" w:rsidR="003A60A4">
        <w:t xml:space="preserve"> </w:t>
      </w:r>
      <w:r w:rsidRPr="00D627D1" w:rsidR="008E44DE">
        <w:t>17</w:t>
      </w:r>
      <w:r w:rsidRPr="00D627D1" w:rsidR="003A60A4">
        <w:t>, 2021</w:t>
      </w:r>
      <w:r w:rsidR="007507E0">
        <w:t>.</w:t>
      </w:r>
      <w:r>
        <w:rPr>
          <w:rStyle w:val="FootnoteReference"/>
        </w:rPr>
        <w:footnoteReference w:id="115"/>
      </w:r>
      <w:r w:rsidR="003A60A4">
        <w:t xml:space="preserve"> </w:t>
      </w:r>
      <w:r w:rsidR="00B64709">
        <w:t xml:space="preserve"> Con</w:t>
      </w:r>
      <w:r w:rsidR="00C631E0">
        <w:t xml:space="preserve">struction notifications for these licenses are currently pending.  </w:t>
      </w:r>
      <w:r w:rsidR="00C51F10">
        <w:t xml:space="preserve">Based on our review of the record and the totality of the circumstances presented in this case, we find that the underlying purpose of Section 90.155(d), to ensure that M-LMS licensees use spectrum </w:t>
      </w:r>
      <w:r w:rsidR="00C51F10">
        <w:t xml:space="preserve">to provide location-based services to consumers, would not be served if </w:t>
      </w:r>
      <w:r w:rsidR="009E1AF9">
        <w:t xml:space="preserve">existing construction deadlines are </w:t>
      </w:r>
      <w:r w:rsidR="00C51F10">
        <w:t xml:space="preserve">applied here.  </w:t>
      </w:r>
      <w:r w:rsidR="00F24FE6">
        <w:t xml:space="preserve">First, </w:t>
      </w:r>
      <w:r w:rsidR="00120DA9">
        <w:t xml:space="preserve">Progeny demonstrated that it </w:t>
      </w:r>
      <w:r w:rsidR="00901A70">
        <w:t xml:space="preserve">actively worked </w:t>
      </w:r>
      <w:r w:rsidR="007900B8">
        <w:t>to</w:t>
      </w:r>
      <w:r w:rsidR="007608A3">
        <w:t>wards</w:t>
      </w:r>
      <w:r w:rsidR="007900B8">
        <w:t xml:space="preserve"> meet</w:t>
      </w:r>
      <w:r w:rsidR="007608A3">
        <w:t>ing</w:t>
      </w:r>
      <w:r w:rsidR="007900B8">
        <w:t xml:space="preserve"> its construction requirements </w:t>
      </w:r>
      <w:r w:rsidR="00B731A3">
        <w:t xml:space="preserve">by working with </w:t>
      </w:r>
      <w:r w:rsidR="00CB7C28">
        <w:t xml:space="preserve">wireless </w:t>
      </w:r>
      <w:r w:rsidR="001C4F22">
        <w:t xml:space="preserve">carriers to </w:t>
      </w:r>
      <w:r w:rsidR="00114841">
        <w:t>ensure that end user terminals could receive Progeny’s M-LMS beacon signals</w:t>
      </w:r>
      <w:r w:rsidR="00C9256D">
        <w:t>.</w:t>
      </w:r>
      <w:r>
        <w:rPr>
          <w:rStyle w:val="FootnoteReference"/>
        </w:rPr>
        <w:footnoteReference w:id="116"/>
      </w:r>
      <w:r w:rsidR="00C9256D">
        <w:t xml:space="preserve">  Progeny also </w:t>
      </w:r>
      <w:r w:rsidR="00096DFB">
        <w:t>e</w:t>
      </w:r>
      <w:r w:rsidR="006E0B2F">
        <w:t>nsured that its end</w:t>
      </w:r>
      <w:r w:rsidR="000B3B70">
        <w:t>-</w:t>
      </w:r>
      <w:r w:rsidR="006E0B2F">
        <w:t xml:space="preserve">user terminals were </w:t>
      </w:r>
      <w:r w:rsidR="00680AAD">
        <w:t xml:space="preserve">made available to </w:t>
      </w:r>
      <w:r w:rsidR="00FD2D02">
        <w:t xml:space="preserve">aid </w:t>
      </w:r>
      <w:r w:rsidR="007B6CA9">
        <w:t xml:space="preserve">the IAFC </w:t>
      </w:r>
      <w:r w:rsidR="00616DFD">
        <w:t xml:space="preserve">with situational awareness training and search and rescue exercises as well as to third party contractors </w:t>
      </w:r>
      <w:r w:rsidR="00C96A27">
        <w:t>to make vertical location determinations</w:t>
      </w:r>
      <w:r w:rsidR="00C60098">
        <w:t xml:space="preserve"> in </w:t>
      </w:r>
      <w:r w:rsidR="00F0658F">
        <w:t>support of E911 emergency services.</w:t>
      </w:r>
      <w:r>
        <w:rPr>
          <w:rStyle w:val="FootnoteReference"/>
        </w:rPr>
        <w:footnoteReference w:id="117"/>
      </w:r>
      <w:r w:rsidR="00F0658F">
        <w:t xml:space="preserve"> </w:t>
      </w:r>
      <w:r w:rsidR="00C96A27">
        <w:t xml:space="preserve"> </w:t>
      </w:r>
      <w:r w:rsidR="0024484A">
        <w:t>Second</w:t>
      </w:r>
      <w:r w:rsidR="00C51F10">
        <w:t xml:space="preserve">, as discussed below, the record clearly demonstrates that Progeny’s network holds the potential </w:t>
      </w:r>
      <w:r w:rsidR="00C25C83">
        <w:t>to offer</w:t>
      </w:r>
      <w:r w:rsidR="00C51F10">
        <w:t xml:space="preserve"> significant public safety benefits through improved E911 indoor location accuracy and, through our conditional relief, we ensure that Progeny will have the opportunity to provide such service to wireless carriers in order for them to meet upcoming deadlines adopted in the </w:t>
      </w:r>
      <w:r w:rsidRPr="0078549E" w:rsidR="00D5773F">
        <w:rPr>
          <w:i/>
          <w:iCs/>
        </w:rPr>
        <w:t xml:space="preserve">2015 </w:t>
      </w:r>
      <w:r w:rsidR="00D5773F">
        <w:t xml:space="preserve">and </w:t>
      </w:r>
      <w:r w:rsidRPr="0078549E" w:rsidR="00D5773F">
        <w:rPr>
          <w:i/>
          <w:iCs/>
        </w:rPr>
        <w:t xml:space="preserve">2020 </w:t>
      </w:r>
      <w:r w:rsidRPr="0078549E" w:rsidR="00C51F10">
        <w:rPr>
          <w:i/>
          <w:iCs/>
        </w:rPr>
        <w:t>Indoor Location Accuracy Order</w:t>
      </w:r>
      <w:r w:rsidRPr="0078549E" w:rsidR="00D5773F">
        <w:rPr>
          <w:i/>
          <w:iCs/>
        </w:rPr>
        <w:t>s</w:t>
      </w:r>
      <w:r w:rsidRPr="0078549E" w:rsidR="00C51F10">
        <w:rPr>
          <w:i/>
          <w:iCs/>
        </w:rPr>
        <w:t>.</w:t>
      </w:r>
      <w:r>
        <w:rPr>
          <w:rStyle w:val="FootnoteReference"/>
        </w:rPr>
        <w:footnoteReference w:id="118"/>
      </w:r>
      <w:r w:rsidR="00C51F10">
        <w:t xml:space="preserve">  </w:t>
      </w:r>
      <w:r w:rsidR="00CF4C0A">
        <w:t xml:space="preserve">Finally, </w:t>
      </w:r>
      <w:r w:rsidR="00836CBF">
        <w:t xml:space="preserve">despite </w:t>
      </w:r>
      <w:r w:rsidR="00507339">
        <w:t xml:space="preserve">the delays met </w:t>
      </w:r>
      <w:r w:rsidR="00836CBF">
        <w:t xml:space="preserve">and </w:t>
      </w:r>
      <w:r w:rsidR="003A0874">
        <w:t xml:space="preserve">the technical issues </w:t>
      </w:r>
      <w:r w:rsidR="00A77952">
        <w:t xml:space="preserve">faced by </w:t>
      </w:r>
      <w:r w:rsidR="00836CBF">
        <w:t>vertical location vendors, such as Progeny,</w:t>
      </w:r>
      <w:r>
        <w:rPr>
          <w:rStyle w:val="FootnoteReference"/>
        </w:rPr>
        <w:footnoteReference w:id="119"/>
      </w:r>
      <w:r w:rsidR="00836CBF">
        <w:t xml:space="preserve"> Progeny </w:t>
      </w:r>
      <w:r w:rsidR="006148AD">
        <w:t xml:space="preserve">managed to </w:t>
      </w:r>
      <w:r w:rsidR="00CF059D">
        <w:t xml:space="preserve">file its construction </w:t>
      </w:r>
      <w:r w:rsidR="00975302">
        <w:t xml:space="preserve">notifications </w:t>
      </w:r>
      <w:r w:rsidR="00F85C9E">
        <w:t>by June of 202</w:t>
      </w:r>
      <w:r w:rsidR="008C75A7">
        <w:t xml:space="preserve">1, and states that </w:t>
      </w:r>
      <w:r w:rsidR="00C6202A">
        <w:t xml:space="preserve">its network “provides vertical location services with an </w:t>
      </w:r>
      <w:r w:rsidR="00E6410C">
        <w:t>accuracy</w:t>
      </w:r>
      <w:r w:rsidR="00C6202A">
        <w:t xml:space="preserve"> of within three meters to support emergency response to wireless callers to E911 </w:t>
      </w:r>
      <w:r w:rsidR="00C51D2F">
        <w:t>emergency services</w:t>
      </w:r>
      <w:r w:rsidR="00F85C9E">
        <w:t>.</w:t>
      </w:r>
      <w:r w:rsidR="00E6410C">
        <w:t>”</w:t>
      </w:r>
      <w:r>
        <w:rPr>
          <w:rStyle w:val="FootnoteReference"/>
        </w:rPr>
        <w:footnoteReference w:id="120"/>
      </w:r>
      <w:r w:rsidR="00F85C9E">
        <w:t xml:space="preserve">  </w:t>
      </w:r>
    </w:p>
    <w:p w:rsidR="00C51F10" w:rsidP="00246F41" w14:paraId="26FB84FB" w14:textId="092270A1">
      <w:pPr>
        <w:pStyle w:val="ParaNum"/>
      </w:pPr>
      <w:r>
        <w:t xml:space="preserve">We also find that a number of factors, taken collectively, justify relief in the public interest provided that </w:t>
      </w:r>
      <w:r w:rsidR="0027714E">
        <w:t xml:space="preserve">Progeny adheres to </w:t>
      </w:r>
      <w:r>
        <w:t>the conditions specified below.</w:t>
      </w:r>
      <w:r>
        <w:rPr>
          <w:rStyle w:val="FootnoteReference"/>
        </w:rPr>
        <w:footnoteReference w:id="121"/>
      </w:r>
      <w:r>
        <w:t xml:space="preserve">  </w:t>
      </w:r>
      <w:r>
        <w:t xml:space="preserve">Extending Progeny’s construction deadlines will promote beneficial use of the spectrum and enable </w:t>
      </w:r>
      <w:r w:rsidR="00246F41">
        <w:t>its</w:t>
      </w:r>
      <w:r>
        <w:t xml:space="preserve"> equipment </w:t>
      </w:r>
      <w:r w:rsidR="00246F41">
        <w:t xml:space="preserve">and services </w:t>
      </w:r>
      <w:r>
        <w:t xml:space="preserve">to remain an option for wireless carriers to improve location accuracy and satisfy the Commission’s location accuracy rules identified as a critical public safety need.  We agree with Progeny that </w:t>
      </w:r>
      <w:r w:rsidR="00362E93">
        <w:t xml:space="preserve">conditionally </w:t>
      </w:r>
      <w:r>
        <w:t xml:space="preserve">granting </w:t>
      </w:r>
      <w:r w:rsidR="00B15F7D">
        <w:t xml:space="preserve">its waiver </w:t>
      </w:r>
      <w:r>
        <w:t>relief serves the public interest and will “</w:t>
      </w:r>
      <w:r w:rsidR="00BF08DA">
        <w:t xml:space="preserve">ensure that Progeny’s technology remains available for use by public safety and the U.S. federal government for critical safety </w:t>
      </w:r>
      <w:r w:rsidR="00BF08DA">
        <w:t>and security services</w:t>
      </w:r>
      <w:r>
        <w:t>.”</w:t>
      </w:r>
      <w:r>
        <w:rPr>
          <w:rStyle w:val="FootnoteReference"/>
        </w:rPr>
        <w:footnoteReference w:id="122"/>
      </w:r>
      <w:r w:rsidRPr="2B6A6910">
        <w:t xml:space="preserve">  </w:t>
      </w:r>
      <w:r>
        <w:t xml:space="preserve">We also </w:t>
      </w:r>
      <w:r w:rsidR="00AA4E7A">
        <w:t xml:space="preserve">note </w:t>
      </w:r>
      <w:r>
        <w:t xml:space="preserve">that the existence of competing technologies spurs innovation and provides choice to consumers, thereby furthering the public interest.  </w:t>
      </w:r>
    </w:p>
    <w:p w:rsidR="00DA3844" w:rsidP="004B0061" w14:paraId="2B3CF77B" w14:textId="3228B055">
      <w:pPr>
        <w:pStyle w:val="Heading2"/>
      </w:pPr>
      <w:r>
        <w:t>Compliance with</w:t>
      </w:r>
      <w:r w:rsidR="00B179A8">
        <w:t xml:space="preserve"> </w:t>
      </w:r>
      <w:r>
        <w:t xml:space="preserve">Progeny’s Construction </w:t>
      </w:r>
      <w:r w:rsidR="00B179A8">
        <w:t xml:space="preserve">Coverage </w:t>
      </w:r>
      <w:r>
        <w:t xml:space="preserve">Requirements </w:t>
      </w:r>
    </w:p>
    <w:p w:rsidR="00A40EC5" w:rsidP="00F41F6C" w14:paraId="68F229D3" w14:textId="626E2E08">
      <w:pPr>
        <w:pStyle w:val="ParaNum"/>
      </w:pPr>
      <w:r>
        <w:t xml:space="preserve">Progeny seeks waiver of section 90.155(d) </w:t>
      </w:r>
      <w:r w:rsidR="002D41ED">
        <w:t>to allow it to</w:t>
      </w:r>
      <w:r w:rsidR="006F4A8A">
        <w:t xml:space="preserve"> meet its construction requirement</w:t>
      </w:r>
      <w:r w:rsidR="00ED3F7D">
        <w:t>s</w:t>
      </w:r>
      <w:r w:rsidR="002D41ED">
        <w:t xml:space="preserve"> </w:t>
      </w:r>
      <w:r w:rsidR="00FB4F37">
        <w:t>by</w:t>
      </w:r>
      <w:r w:rsidR="002D41ED">
        <w:t xml:space="preserve"> serv</w:t>
      </w:r>
      <w:r w:rsidR="00FB4F37">
        <w:t>ing</w:t>
      </w:r>
      <w:r w:rsidR="002D41ED">
        <w:t xml:space="preserve"> two-thirds</w:t>
      </w:r>
      <w:r w:rsidRPr="00982C4A" w:rsidR="002D41ED">
        <w:t xml:space="preserve"> of buildings in excess of three stories</w:t>
      </w:r>
      <w:r w:rsidR="002D41ED">
        <w:t xml:space="preserve"> </w:t>
      </w:r>
      <w:r w:rsidR="00E97540">
        <w:t>for</w:t>
      </w:r>
      <w:r w:rsidR="001051EF">
        <w:t xml:space="preserve"> its Group 1, 2, and 3 </w:t>
      </w:r>
      <w:r w:rsidR="00C84B7A">
        <w:t>l</w:t>
      </w:r>
      <w:r w:rsidR="001051EF">
        <w:t>icenses</w:t>
      </w:r>
      <w:r w:rsidR="002D41ED">
        <w:t>.</w:t>
      </w:r>
      <w:r>
        <w:rPr>
          <w:rStyle w:val="FootnoteReference"/>
        </w:rPr>
        <w:footnoteReference w:id="123"/>
      </w:r>
      <w:r w:rsidR="004A4C02">
        <w:t xml:space="preserve">  </w:t>
      </w:r>
      <w:r w:rsidR="00F97EC8">
        <w:t>Progeny states that grant of the waiver to meet its construction requirements by serving two-thirds of buildings in excess of three stories would not only align Progeny’s requirements with those of the CMRS providers, but would also afford Progeny more flexibility to satisfy its construction requirements</w:t>
      </w:r>
      <w:r w:rsidR="00473F09">
        <w:t xml:space="preserve">.  </w:t>
      </w:r>
      <w:r w:rsidR="00F92BF6">
        <w:t xml:space="preserve">In the </w:t>
      </w:r>
      <w:r w:rsidRPr="007131DE" w:rsidR="00F92BF6">
        <w:rPr>
          <w:i/>
          <w:iCs/>
        </w:rPr>
        <w:t>2020 Indoor Location Accuracy Order</w:t>
      </w:r>
      <w:r w:rsidRPr="00807944" w:rsidR="00D129FB">
        <w:t>,</w:t>
      </w:r>
      <w:r w:rsidRPr="007131DE" w:rsidR="00F92BF6">
        <w:rPr>
          <w:i/>
          <w:iCs/>
        </w:rPr>
        <w:t xml:space="preserve"> </w:t>
      </w:r>
      <w:r w:rsidR="00F92BF6">
        <w:t xml:space="preserve">the Commission gave CMRS providers the option of deploying </w:t>
      </w:r>
      <w:r w:rsidRPr="007131DE" w:rsidR="00F92BF6">
        <w:rPr>
          <w:szCs w:val="22"/>
        </w:rPr>
        <w:t>z-axis technology to cover 80% of the buildings that exceed three stories in the CMA rather than 80% of the population.</w:t>
      </w:r>
      <w:r>
        <w:rPr>
          <w:rStyle w:val="FootnoteReference"/>
          <w:szCs w:val="22"/>
        </w:rPr>
        <w:footnoteReference w:id="124"/>
      </w:r>
      <w:r w:rsidRPr="007131DE" w:rsidR="00473F09">
        <w:rPr>
          <w:szCs w:val="22"/>
        </w:rPr>
        <w:t xml:space="preserve">  In doing so, the Commission, relying on some of Progeny’s comments, found that</w:t>
      </w:r>
      <w:r w:rsidR="00473F09">
        <w:t xml:space="preserve"> the compliance approach based on tall buildings could lower the costs of deploying z-axis solutions and could “encourage providers to invest in z-axis solutions that focus on the areas with the greatest need for vertical location information.”</w:t>
      </w:r>
      <w:r>
        <w:rPr>
          <w:rStyle w:val="FootnoteReference"/>
        </w:rPr>
        <w:footnoteReference w:id="125"/>
      </w:r>
      <w:r w:rsidR="00473F09">
        <w:t xml:space="preserve">  </w:t>
      </w:r>
    </w:p>
    <w:p w:rsidR="008C473C" w:rsidP="00A40EC5" w14:paraId="11588118" w14:textId="6F642C5A">
      <w:pPr>
        <w:pStyle w:val="ParaNum"/>
        <w:tabs>
          <w:tab w:val="clear" w:pos="1440"/>
        </w:tabs>
      </w:pPr>
      <w:r>
        <w:t xml:space="preserve">We agree with Progeny </w:t>
      </w:r>
      <w:r w:rsidR="00D06A1E">
        <w:t xml:space="preserve">that affording it the opportunity to meet its construction requirements </w:t>
      </w:r>
      <w:r w:rsidR="00994F55">
        <w:t xml:space="preserve">by </w:t>
      </w:r>
      <w:r w:rsidR="005C7F73">
        <w:t>serving two-thirds of buildings in excess of three stories</w:t>
      </w:r>
      <w:r w:rsidR="00D06A1E">
        <w:t xml:space="preserve"> </w:t>
      </w:r>
      <w:r w:rsidR="002C223C">
        <w:t xml:space="preserve">would </w:t>
      </w:r>
      <w:r w:rsidR="009F3CD3">
        <w:t xml:space="preserve">better </w:t>
      </w:r>
      <w:r w:rsidR="002C223C">
        <w:t xml:space="preserve">align its requirements with those of the CMRS providers.  </w:t>
      </w:r>
      <w:r w:rsidR="008B019C">
        <w:t>However, w</w:t>
      </w:r>
      <w:r w:rsidR="00A40EC5">
        <w:t xml:space="preserve">e find that </w:t>
      </w:r>
      <w:r w:rsidR="006D71B1">
        <w:t xml:space="preserve">in lieu of </w:t>
      </w:r>
      <w:r w:rsidR="00FF0C2D">
        <w:t>granting</w:t>
      </w:r>
      <w:r w:rsidR="00BB1CD1">
        <w:t xml:space="preserve"> a waiver of</w:t>
      </w:r>
      <w:r w:rsidR="006D71B1">
        <w:t xml:space="preserve"> Section 90.155(d),</w:t>
      </w:r>
      <w:r w:rsidR="00A40EC5">
        <w:t xml:space="preserve"> </w:t>
      </w:r>
      <w:r>
        <w:t xml:space="preserve">Progeny </w:t>
      </w:r>
      <w:r w:rsidR="00A521BF">
        <w:t xml:space="preserve">may </w:t>
      </w:r>
      <w:r w:rsidR="00F456DD">
        <w:t xml:space="preserve">comply with </w:t>
      </w:r>
      <w:r w:rsidR="00D31864">
        <w:t>its construction</w:t>
      </w:r>
      <w:r w:rsidR="00CE1A57">
        <w:t xml:space="preserve"> </w:t>
      </w:r>
      <w:r w:rsidR="00D31864">
        <w:t>requirement</w:t>
      </w:r>
      <w:r w:rsidR="00B204CC">
        <w:t>s</w:t>
      </w:r>
      <w:r w:rsidR="00CE1A57">
        <w:t xml:space="preserve"> by </w:t>
      </w:r>
      <w:r w:rsidR="002C38B3">
        <w:t>demonstra</w:t>
      </w:r>
      <w:r w:rsidR="00DB229D">
        <w:t>t</w:t>
      </w:r>
      <w:r w:rsidR="00D31864">
        <w:t>ing</w:t>
      </w:r>
      <w:r w:rsidR="002C38B3">
        <w:t xml:space="preserve"> that it is</w:t>
      </w:r>
      <w:r w:rsidR="00A674CC">
        <w:t xml:space="preserve"> </w:t>
      </w:r>
      <w:r>
        <w:t>provid</w:t>
      </w:r>
      <w:r w:rsidR="00A674CC">
        <w:t>ing</w:t>
      </w:r>
      <w:r>
        <w:t xml:space="preserve"> service </w:t>
      </w:r>
      <w:r w:rsidR="00EB204D">
        <w:t xml:space="preserve">consistent with </w:t>
      </w:r>
      <w:r>
        <w:t>the two-thirds tall buildings coverage approach</w:t>
      </w:r>
      <w:r w:rsidR="00D65D74">
        <w:t xml:space="preserve">, </w:t>
      </w:r>
      <w:r w:rsidR="003B0460">
        <w:t>which would</w:t>
      </w:r>
      <w:r w:rsidR="002C38B3">
        <w:t xml:space="preserve"> </w:t>
      </w:r>
      <w:r w:rsidR="0009125B">
        <w:t>meet</w:t>
      </w:r>
      <w:r w:rsidR="00701EAE">
        <w:t xml:space="preserve"> </w:t>
      </w:r>
      <w:r w:rsidR="002C38B3">
        <w:t>the substantial service</w:t>
      </w:r>
      <w:r w:rsidR="002C38B3">
        <w:t xml:space="preserve"> </w:t>
      </w:r>
      <w:r w:rsidR="002C38B3">
        <w:t>requirement</w:t>
      </w:r>
      <w:r w:rsidR="00D8420B">
        <w:t>.</w:t>
      </w:r>
      <w:r>
        <w:rPr>
          <w:rStyle w:val="FootnoteReference"/>
        </w:rPr>
        <w:footnoteReference w:id="126"/>
      </w:r>
      <w:r w:rsidR="00D8420B">
        <w:t xml:space="preserve"> </w:t>
      </w:r>
      <w:r>
        <w:t xml:space="preserve"> </w:t>
      </w:r>
      <w:r w:rsidR="009A3DF8">
        <w:t>U</w:t>
      </w:r>
      <w:r w:rsidR="00BD66B5">
        <w:t>tilizing</w:t>
      </w:r>
      <w:r w:rsidR="007B7FE5">
        <w:t xml:space="preserve"> the</w:t>
      </w:r>
      <w:r w:rsidR="00BD66B5">
        <w:t xml:space="preserve"> two-thirds tall buildings </w:t>
      </w:r>
      <w:r w:rsidR="007B7FE5">
        <w:t>metric</w:t>
      </w:r>
      <w:r w:rsidR="00701EAE">
        <w:t>,</w:t>
      </w:r>
      <w:r w:rsidR="007B7FE5">
        <w:t xml:space="preserve"> as described in the </w:t>
      </w:r>
      <w:r w:rsidRPr="007131DE" w:rsidR="007B7FE5">
        <w:rPr>
          <w:i/>
          <w:iCs/>
        </w:rPr>
        <w:t>2020 Indoor Location Accuracy Order</w:t>
      </w:r>
      <w:r w:rsidR="00701EAE">
        <w:t>,</w:t>
      </w:r>
      <w:r w:rsidRPr="007131DE" w:rsidR="007B7FE5">
        <w:rPr>
          <w:i/>
          <w:iCs/>
        </w:rPr>
        <w:t xml:space="preserve"> </w:t>
      </w:r>
      <w:r w:rsidR="00BD66B5">
        <w:t>to meet substantial ser</w:t>
      </w:r>
      <w:r w:rsidR="009A3DF8">
        <w:t xml:space="preserve">vice </w:t>
      </w:r>
      <w:r>
        <w:t>will promote beneficial use of the spectrum, especially in areas where it is needed most, and ensure that Progeny’s service remains an option for wireless carriers to improve location accuracy and satisfy the Commission’s location accuracy</w:t>
      </w:r>
      <w:r w:rsidR="0012435E">
        <w:t xml:space="preserve"> requirements</w:t>
      </w:r>
      <w:r>
        <w:t xml:space="preserve">.  </w:t>
      </w:r>
      <w:r w:rsidR="00C6457D">
        <w:t xml:space="preserve">We </w:t>
      </w:r>
      <w:r w:rsidR="009A3DF8">
        <w:t xml:space="preserve">confirm </w:t>
      </w:r>
      <w:r w:rsidR="009A27C8">
        <w:t>here that</w:t>
      </w:r>
      <w:r w:rsidR="00C6457D">
        <w:t xml:space="preserve"> Progeny </w:t>
      </w:r>
      <w:r w:rsidR="009A27C8">
        <w:t>may</w:t>
      </w:r>
      <w:r w:rsidR="00C6457D">
        <w:t xml:space="preserve"> meet its construction deadlines by showing substantial service </w:t>
      </w:r>
      <w:r w:rsidR="00F32DDD">
        <w:t>through</w:t>
      </w:r>
      <w:r w:rsidR="006308A2">
        <w:t xml:space="preserve"> </w:t>
      </w:r>
      <w:r w:rsidR="00646B40">
        <w:t>serving</w:t>
      </w:r>
      <w:r w:rsidR="00C6457D">
        <w:t xml:space="preserve"> two-thirds</w:t>
      </w:r>
      <w:r w:rsidR="006308A2">
        <w:t xml:space="preserve"> of</w:t>
      </w:r>
      <w:r w:rsidR="00C6457D">
        <w:t xml:space="preserve"> </w:t>
      </w:r>
      <w:r w:rsidRPr="006308A2" w:rsidR="006308A2">
        <w:t>buildings in excess of three stories for its Group 1, 2, and 3 license</w:t>
      </w:r>
      <w:r w:rsidR="006308A2">
        <w:t>s</w:t>
      </w:r>
      <w:r w:rsidR="00C6457D">
        <w:t>.</w:t>
      </w:r>
      <w:r>
        <w:rPr>
          <w:rStyle w:val="FootnoteReference"/>
        </w:rPr>
        <w:footnoteReference w:id="127"/>
      </w:r>
      <w:r w:rsidR="00C6457D">
        <w:t xml:space="preserve"> </w:t>
      </w:r>
      <w:r w:rsidR="00F41F6C">
        <w:t xml:space="preserve"> </w:t>
      </w:r>
      <w:r w:rsidR="000E43AC">
        <w:t>Commission staff will apply t</w:t>
      </w:r>
      <w:r w:rsidR="00F41F6C">
        <w:t xml:space="preserve">his </w:t>
      </w:r>
      <w:r w:rsidR="00CC45BA">
        <w:t xml:space="preserve">approach </w:t>
      </w:r>
      <w:r w:rsidR="00F41F6C">
        <w:t xml:space="preserve">to the amended construction showings for </w:t>
      </w:r>
      <w:r w:rsidR="004D3D0C">
        <w:t>Progeny’s</w:t>
      </w:r>
      <w:r w:rsidR="00F32DDD">
        <w:t xml:space="preserve"> Group 1 and 2 </w:t>
      </w:r>
      <w:r w:rsidR="00E97056">
        <w:t>l</w:t>
      </w:r>
      <w:r w:rsidR="00F32DDD">
        <w:t xml:space="preserve">icenses, </w:t>
      </w:r>
      <w:r w:rsidR="00F41F6C">
        <w:t>which were filed in June 2021.</w:t>
      </w:r>
      <w:r>
        <w:rPr>
          <w:rStyle w:val="FootnoteReference"/>
        </w:rPr>
        <w:footnoteReference w:id="128"/>
      </w:r>
      <w:r w:rsidRPr="00982C4A" w:rsidR="00F41F6C">
        <w:t xml:space="preserve"> </w:t>
      </w:r>
      <w:r w:rsidR="00646B40">
        <w:t xml:space="preserve"> This </w:t>
      </w:r>
      <w:r w:rsidR="00CC45BA">
        <w:t xml:space="preserve">approach </w:t>
      </w:r>
      <w:r w:rsidR="00646B40">
        <w:t xml:space="preserve">will also apply to Progeny’s construction showings for its </w:t>
      </w:r>
      <w:r w:rsidR="00F32DDD">
        <w:t xml:space="preserve">Group 3 </w:t>
      </w:r>
      <w:r w:rsidR="00F02A21">
        <w:t>l</w:t>
      </w:r>
      <w:r w:rsidR="00F32DDD">
        <w:t>icense</w:t>
      </w:r>
      <w:r w:rsidR="00646B40">
        <w:t xml:space="preserve">s, which </w:t>
      </w:r>
      <w:r w:rsidR="003E4655">
        <w:t>have a construction deadline of</w:t>
      </w:r>
      <w:r w:rsidR="00646B40">
        <w:t xml:space="preserve"> April 3, 2023. </w:t>
      </w:r>
      <w:r w:rsidR="00F41F6C">
        <w:t xml:space="preserve"> </w:t>
      </w:r>
      <w:r w:rsidR="006476E7">
        <w:t xml:space="preserve">Accordingly, </w:t>
      </w:r>
      <w:r w:rsidR="00193471">
        <w:t xml:space="preserve">because we find that </w:t>
      </w:r>
      <w:r w:rsidR="00C3275C">
        <w:t xml:space="preserve">serving two-thirds of buildings in excess of three stories </w:t>
      </w:r>
      <w:r w:rsidR="00F82855">
        <w:t>may be used to demonstrate substantial service for these license groups,</w:t>
      </w:r>
      <w:r w:rsidR="00C3275C">
        <w:t xml:space="preserve"> </w:t>
      </w:r>
      <w:r w:rsidR="006476E7">
        <w:t xml:space="preserve">we dismiss Progeny’s request </w:t>
      </w:r>
      <w:r w:rsidR="00121A6B">
        <w:t>for waiver of Secti</w:t>
      </w:r>
      <w:r w:rsidR="00E21A8B">
        <w:t xml:space="preserve">on 90.155(d)’s coverage requirement </w:t>
      </w:r>
      <w:r w:rsidR="006476E7">
        <w:t>as moot.</w:t>
      </w:r>
      <w:r>
        <w:rPr>
          <w:rStyle w:val="FootnoteReference"/>
        </w:rPr>
        <w:footnoteReference w:id="129"/>
      </w:r>
    </w:p>
    <w:p w:rsidR="00AF3728" w:rsidRPr="00AF3728" w:rsidP="00AF3728" w14:paraId="790F0A5E" w14:textId="5756B6FB">
      <w:pPr>
        <w:pStyle w:val="Heading1"/>
      </w:pPr>
      <w:r>
        <w:t>conclusion</w:t>
      </w:r>
    </w:p>
    <w:p w:rsidR="00AF3728" w:rsidP="00AF3728" w14:paraId="13BA8121" w14:textId="379642F6">
      <w:pPr>
        <w:pStyle w:val="ParaNum"/>
      </w:pPr>
      <w:r w:rsidRPr="005D2E27">
        <w:t xml:space="preserve">We find it in the public interest to grant relief to Progeny for its </w:t>
      </w:r>
      <w:r w:rsidR="00066829">
        <w:t>Group 1 and 2 licenses</w:t>
      </w:r>
      <w:r w:rsidR="00827EDF">
        <w:t>’</w:t>
      </w:r>
      <w:r w:rsidRPr="005D2E27">
        <w:t xml:space="preserve"> end-of-term construction </w:t>
      </w:r>
      <w:r>
        <w:t xml:space="preserve">requirements and </w:t>
      </w:r>
      <w:r w:rsidRPr="005D2E27">
        <w:t xml:space="preserve">deadlines </w:t>
      </w:r>
      <w:r w:rsidR="009B79D6">
        <w:t xml:space="preserve">subject to the </w:t>
      </w:r>
      <w:r>
        <w:t>conditions outlined below</w:t>
      </w:r>
      <w:r w:rsidRPr="005D2E27">
        <w:t xml:space="preserve">.  </w:t>
      </w:r>
    </w:p>
    <w:p w:rsidR="00DA3844" w:rsidRPr="005D2E27" w:rsidP="00AF3728" w14:paraId="3FFF3A34" w14:textId="39A92C77">
      <w:pPr>
        <w:pStyle w:val="ParaNum"/>
      </w:pPr>
      <w:r>
        <w:rPr>
          <w:i/>
          <w:iCs/>
        </w:rPr>
        <w:t xml:space="preserve">Conditions.  </w:t>
      </w:r>
      <w:r w:rsidR="00D442F2">
        <w:t xml:space="preserve">The relief granted in this Order </w:t>
      </w:r>
      <w:r w:rsidRPr="005D2E27">
        <w:t xml:space="preserve">is subject to the </w:t>
      </w:r>
      <w:r w:rsidR="00590EBE">
        <w:t xml:space="preserve">following </w:t>
      </w:r>
      <w:r w:rsidRPr="005D2E27">
        <w:t>conditions.</w:t>
      </w:r>
      <w:r>
        <w:t xml:space="preserve">  </w:t>
      </w:r>
      <w:r w:rsidRPr="005D2E27">
        <w:t>Progeny must meet the construction deadlines established herein and timely file construction notifications acceptable to the Commission</w:t>
      </w:r>
      <w:r w:rsidRPr="005D2E27" w:rsidR="005D2E27">
        <w:t xml:space="preserve"> for its remaining </w:t>
      </w:r>
      <w:r w:rsidR="00066387">
        <w:t>144</w:t>
      </w:r>
      <w:r w:rsidRPr="005D2E27" w:rsidR="00066387">
        <w:t xml:space="preserve"> </w:t>
      </w:r>
      <w:r w:rsidRPr="005D2E27" w:rsidR="005D2E27">
        <w:t>licenses</w:t>
      </w:r>
      <w:r w:rsidR="0089762F">
        <w:t xml:space="preserve"> (Group 3 Licenses)</w:t>
      </w:r>
      <w:r w:rsidRPr="005D2E27">
        <w:t>.</w:t>
      </w:r>
      <w:r>
        <w:rPr>
          <w:rStyle w:val="FootnoteReference"/>
        </w:rPr>
        <w:footnoteReference w:id="130"/>
      </w:r>
      <w:r w:rsidRPr="005D2E27">
        <w:t xml:space="preserve">  </w:t>
      </w:r>
      <w:r w:rsidR="00497E62">
        <w:t xml:space="preserve">Consistent with </w:t>
      </w:r>
      <w:r w:rsidR="006951CD">
        <w:t>this Order</w:t>
      </w:r>
      <w:r w:rsidR="00497E62">
        <w:t xml:space="preserve">, Progeny shall be permitted to </w:t>
      </w:r>
      <w:r w:rsidRPr="23C6FF99" w:rsidR="00497E62">
        <w:t>fil</w:t>
      </w:r>
      <w:r w:rsidR="00497E62">
        <w:t>e</w:t>
      </w:r>
      <w:r w:rsidRPr="23C6FF99" w:rsidR="00497E62">
        <w:t xml:space="preserve"> its construction notifications </w:t>
      </w:r>
      <w:r w:rsidR="00760905">
        <w:t xml:space="preserve">to meet the substantial service requirement </w:t>
      </w:r>
      <w:r w:rsidR="00497E62">
        <w:t>with a</w:t>
      </w:r>
      <w:r w:rsidRPr="23C6FF99" w:rsidR="00497E62">
        <w:t xml:space="preserve"> demonstrat</w:t>
      </w:r>
      <w:r w:rsidR="00497E62">
        <w:t>ion that</w:t>
      </w:r>
      <w:r w:rsidRPr="23C6FF99" w:rsidR="00497E62">
        <w:t xml:space="preserve"> the required coverage to </w:t>
      </w:r>
      <w:r w:rsidR="00B54DAF">
        <w:t>two-thirds</w:t>
      </w:r>
      <w:r w:rsidRPr="23C6FF99" w:rsidR="00497E62">
        <w:t xml:space="preserve"> of the buildings in excess of three stories </w:t>
      </w:r>
      <w:r w:rsidR="00497E62">
        <w:t>has been achieved</w:t>
      </w:r>
      <w:r w:rsidRPr="23C6FF99" w:rsidR="00497E62">
        <w:t xml:space="preserve">, </w:t>
      </w:r>
      <w:r w:rsidR="00497E62">
        <w:t xml:space="preserve">however, </w:t>
      </w:r>
      <w:r w:rsidRPr="23C6FF99" w:rsidR="00497E62">
        <w:t xml:space="preserve">Progeny may only include coverage areas where its signal strength is sufficient for </w:t>
      </w:r>
      <w:r w:rsidR="00497E62">
        <w:t xml:space="preserve">wireless </w:t>
      </w:r>
      <w:r w:rsidRPr="23C6FF99" w:rsidR="00497E62">
        <w:t xml:space="preserve">carrier compliance with the requirements established in the Commission’s relevant rules, its </w:t>
      </w:r>
      <w:r w:rsidRPr="00AF3728" w:rsidR="00497E62">
        <w:rPr>
          <w:i/>
          <w:iCs/>
        </w:rPr>
        <w:t>2015 Indoor Location Accuracy Order</w:t>
      </w:r>
      <w:r w:rsidRPr="23C6FF99" w:rsidR="00497E62">
        <w:t xml:space="preserve">, 30 FCC </w:t>
      </w:r>
      <w:r w:rsidRPr="23C6FF99" w:rsidR="00497E62">
        <w:t>Rcd</w:t>
      </w:r>
      <w:r w:rsidRPr="23C6FF99" w:rsidR="00497E62">
        <w:t xml:space="preserve"> 1259, and its </w:t>
      </w:r>
      <w:r w:rsidRPr="00AF3728" w:rsidR="00497E62">
        <w:rPr>
          <w:i/>
          <w:iCs/>
        </w:rPr>
        <w:t>2020 Indoor Location Accuracy Order</w:t>
      </w:r>
      <w:r w:rsidRPr="23C6FF99" w:rsidR="00497E62">
        <w:t xml:space="preserve">, 35 FCC </w:t>
      </w:r>
      <w:r w:rsidRPr="23C6FF99" w:rsidR="00497E62">
        <w:t>Rcd</w:t>
      </w:r>
      <w:r w:rsidRPr="23C6FF99" w:rsidR="00497E62">
        <w:t xml:space="preserve"> 7752.</w:t>
      </w:r>
      <w:r>
        <w:rPr>
          <w:rStyle w:val="FootnoteReference"/>
        </w:rPr>
        <w:footnoteReference w:id="131"/>
      </w:r>
      <w:r w:rsidR="00497E62">
        <w:t xml:space="preserve">  </w:t>
      </w:r>
      <w:r w:rsidRPr="005D2E27">
        <w:t>We remind Progeny that the relevant M-LMS licenses will terminate automatically if Progeny fails to meet these required benchmarks pursuant to Sections 1.946(c) and 1.955(a) of the Commission’s rules.</w:t>
      </w:r>
      <w:r>
        <w:rPr>
          <w:rStyle w:val="FootnoteReference"/>
        </w:rPr>
        <w:footnoteReference w:id="132"/>
      </w:r>
      <w:r w:rsidRPr="005D2E27">
        <w:t xml:space="preserve">  Moreover, as an additional condition, Progeny is required to continue to provide location accuracy services on all of its B and C Block licenses for at least a five (5) year period ending April 3, 202</w:t>
      </w:r>
      <w:r w:rsidR="005D2E27">
        <w:t>8</w:t>
      </w:r>
      <w:r w:rsidRPr="005D2E27">
        <w:t>.</w:t>
      </w:r>
      <w:r>
        <w:rPr>
          <w:rStyle w:val="FootnoteReference"/>
        </w:rPr>
        <w:footnoteReference w:id="133"/>
      </w:r>
      <w:r w:rsidRPr="005D2E27">
        <w:t xml:space="preserve">  Until April 3, 202</w:t>
      </w:r>
      <w:r w:rsidR="005D2E27">
        <w:t>8</w:t>
      </w:r>
      <w:r w:rsidRPr="005D2E27">
        <w:t xml:space="preserve">, Progeny’s B and C Block licenses may not be assigned, transferred, partitioned, disaggregated, and/or leased to any third party, unless the potential assignee, transferee, </w:t>
      </w:r>
      <w:r w:rsidRPr="005D2E27">
        <w:t>partitionee</w:t>
      </w:r>
      <w:r w:rsidRPr="005D2E27">
        <w:t xml:space="preserve">, </w:t>
      </w:r>
      <w:r w:rsidRPr="005D2E27">
        <w:t>disaggregatee</w:t>
      </w:r>
      <w:r w:rsidRPr="005D2E27">
        <w:t xml:space="preserve">, and/or lessee requests a waiver justifying continuation of the waiver relief granted herein and the Bureau grants such relief.  </w:t>
      </w:r>
    </w:p>
    <w:p w:rsidR="00DA3844" w:rsidRPr="005D2E27" w:rsidP="00DA3844" w14:paraId="3D68A5A5" w14:textId="0B6F81B5">
      <w:pPr>
        <w:pStyle w:val="ParaNum"/>
        <w:rPr>
          <w:szCs w:val="22"/>
        </w:rPr>
      </w:pPr>
      <w:r w:rsidRPr="005D2E27">
        <w:t xml:space="preserve">In addition, we condition the relief provided on Progeny filing periodic reports electronically in this docket, WT Docket No. 12-202, as outlined below, demonstrating its progress toward meeting the extended construction deadlines.  These reports are necessary because a waiver would not be warranted absent a direct link between Progeny’s proposed service offering and the likelihood of its carrier customers being able to benefit the public through compliance with the </w:t>
      </w:r>
      <w:r w:rsidRPr="005D2E27">
        <w:rPr>
          <w:i/>
          <w:iCs/>
        </w:rPr>
        <w:t>Indoor Location Accuracy Order</w:t>
      </w:r>
      <w:r w:rsidRPr="005D2E27">
        <w:t xml:space="preserve"> requirements.  The record reflects that each step requiring a report is a precursor to Progeny’s ultimate ability to comply with its construction deadlines (e.g., handsets to market, agreements </w:t>
      </w:r>
      <w:r w:rsidRPr="005D2E27">
        <w:t xml:space="preserve">with carriers).  This waiver terminates if we determine that any of Progeny’s reports do not adequately demonstrate that each of the precursors has been accomplished, unless Progeny separately </w:t>
      </w:r>
      <w:r w:rsidRPr="005D2E27">
        <w:rPr>
          <w:szCs w:val="22"/>
        </w:rPr>
        <w:t>demonstrates that continuation of the waiver relief is nonetheless in the public interest.  Accordingly, we require the following:</w:t>
      </w:r>
    </w:p>
    <w:p w:rsidR="00DA3844" w:rsidRPr="003B5437" w:rsidP="00DA3844" w14:paraId="177CFD7F" w14:textId="2A1BA29B">
      <w:pPr>
        <w:pStyle w:val="ParaNum"/>
        <w:widowControl/>
        <w:numPr>
          <w:ilvl w:val="0"/>
          <w:numId w:val="10"/>
        </w:numPr>
        <w:tabs>
          <w:tab w:val="left" w:pos="720"/>
        </w:tabs>
        <w:snapToGrid w:val="0"/>
        <w:spacing w:after="0"/>
        <w:rPr>
          <w:szCs w:val="22"/>
        </w:rPr>
      </w:pPr>
      <w:r w:rsidRPr="003B5437">
        <w:rPr>
          <w:szCs w:val="22"/>
        </w:rPr>
        <w:t xml:space="preserve">Beginning on </w:t>
      </w:r>
      <w:r w:rsidRPr="003B5437" w:rsidR="005D2E27">
        <w:rPr>
          <w:szCs w:val="22"/>
        </w:rPr>
        <w:t>June 15, 2023</w:t>
      </w:r>
      <w:r w:rsidRPr="003B5437">
        <w:rPr>
          <w:szCs w:val="22"/>
        </w:rPr>
        <w:t xml:space="preserve">, Progeny must file </w:t>
      </w:r>
      <w:r w:rsidRPr="003B5437" w:rsidR="005D2E27">
        <w:rPr>
          <w:szCs w:val="22"/>
        </w:rPr>
        <w:t>bi</w:t>
      </w:r>
      <w:r w:rsidRPr="003B5437">
        <w:rPr>
          <w:szCs w:val="22"/>
        </w:rPr>
        <w:t xml:space="preserve">annual reports (by </w:t>
      </w:r>
      <w:r w:rsidRPr="003B5437" w:rsidR="005D2E27">
        <w:rPr>
          <w:szCs w:val="22"/>
        </w:rPr>
        <w:t>June 15</w:t>
      </w:r>
      <w:r w:rsidRPr="003B5437">
        <w:rPr>
          <w:szCs w:val="22"/>
        </w:rPr>
        <w:t xml:space="preserve"> and </w:t>
      </w:r>
      <w:r w:rsidRPr="003B5437" w:rsidR="005D2E27">
        <w:rPr>
          <w:szCs w:val="22"/>
        </w:rPr>
        <w:t>December 15</w:t>
      </w:r>
      <w:r w:rsidRPr="003B5437">
        <w:rPr>
          <w:szCs w:val="22"/>
        </w:rPr>
        <w:t xml:space="preserve"> of each year</w:t>
      </w:r>
      <w:r w:rsidR="00E96350">
        <w:rPr>
          <w:szCs w:val="22"/>
        </w:rPr>
        <w:t>,</w:t>
      </w:r>
      <w:r w:rsidRPr="003B5437">
        <w:rPr>
          <w:szCs w:val="22"/>
        </w:rPr>
        <w:t xml:space="preserve"> ending on </w:t>
      </w:r>
      <w:r w:rsidRPr="003B5437" w:rsidR="00497E62">
        <w:rPr>
          <w:szCs w:val="22"/>
        </w:rPr>
        <w:t>June 15</w:t>
      </w:r>
      <w:r w:rsidRPr="003B5437">
        <w:rPr>
          <w:szCs w:val="22"/>
        </w:rPr>
        <w:t>, 202</w:t>
      </w:r>
      <w:r w:rsidRPr="003B5437" w:rsidR="00497E62">
        <w:rPr>
          <w:szCs w:val="22"/>
        </w:rPr>
        <w:t>8</w:t>
      </w:r>
      <w:r w:rsidRPr="003B5437">
        <w:rPr>
          <w:szCs w:val="22"/>
        </w:rPr>
        <w:t xml:space="preserve">) detailing its progress toward deployment, testing, and activation in each </w:t>
      </w:r>
      <w:r w:rsidRPr="003B5437" w:rsidR="00497E62">
        <w:rPr>
          <w:szCs w:val="22"/>
        </w:rPr>
        <w:t>license area</w:t>
      </w:r>
      <w:r w:rsidRPr="003B5437">
        <w:rPr>
          <w:szCs w:val="22"/>
        </w:rPr>
        <w:t>.</w:t>
      </w:r>
      <w:r w:rsidR="00701EAE">
        <w:rPr>
          <w:szCs w:val="22"/>
        </w:rPr>
        <w:t xml:space="preserve"> </w:t>
      </w:r>
      <w:r w:rsidRPr="003B5437">
        <w:rPr>
          <w:szCs w:val="22"/>
        </w:rPr>
        <w:t xml:space="preserve"> For licenses that are past the relevant end-of-term deadline, Progeny must include in each semi-annual report a confirmation that such licenses continue to remain in operation providing location accuracy services.</w:t>
      </w:r>
      <w:r w:rsidRPr="003B5437" w:rsidR="00497E62">
        <w:rPr>
          <w:szCs w:val="22"/>
        </w:rPr>
        <w:t xml:space="preserve">  Progeny must also include a detailed demonstration as to how Progeny is supporting wireless carriers’ efforts to comply with their E911 location accuracy requirement, and must include a copy of the agreement(s) entered into with any carrier(s) regarding this supporting effort.</w:t>
      </w:r>
      <w:r>
        <w:rPr>
          <w:rStyle w:val="FootnoteReference"/>
          <w:sz w:val="22"/>
          <w:szCs w:val="22"/>
        </w:rPr>
        <w:footnoteReference w:id="134"/>
      </w:r>
      <w:r w:rsidRPr="003B5437" w:rsidR="00497E62">
        <w:rPr>
          <w:szCs w:val="22"/>
        </w:rPr>
        <w:t xml:space="preserve">  </w:t>
      </w:r>
    </w:p>
    <w:p w:rsidR="00DA3844" w:rsidRPr="00DA3844" w:rsidP="00DA3844" w14:paraId="6273A598" w14:textId="77777777">
      <w:pPr>
        <w:pStyle w:val="ParaNum"/>
        <w:widowControl/>
        <w:numPr>
          <w:ilvl w:val="0"/>
          <w:numId w:val="0"/>
        </w:numPr>
        <w:tabs>
          <w:tab w:val="left" w:pos="720"/>
        </w:tabs>
        <w:snapToGrid w:val="0"/>
        <w:spacing w:after="0"/>
        <w:ind w:left="1350"/>
        <w:rPr>
          <w:szCs w:val="22"/>
        </w:rPr>
      </w:pPr>
    </w:p>
    <w:p w:rsidR="00131E73" w:rsidP="00131E73" w14:paraId="74938A4B" w14:textId="5BC91C49">
      <w:pPr>
        <w:pStyle w:val="Heading1"/>
      </w:pPr>
      <w:r>
        <w:t>ordering Clause</w:t>
      </w:r>
    </w:p>
    <w:p w:rsidR="006951CD" w:rsidP="002A6036" w14:paraId="7F271391" w14:textId="00768A96">
      <w:pPr>
        <w:pStyle w:val="ParaNum"/>
      </w:pPr>
      <w:r w:rsidRPr="000D0CD5">
        <w:t>Accordingly, IT IS ORDERED that, pursuant to Sections 2 and 4(</w:t>
      </w:r>
      <w:r w:rsidRPr="000D0CD5">
        <w:t>i</w:t>
      </w:r>
      <w:r w:rsidRPr="000D0CD5">
        <w:t>) of the Communications Act of 1934, as amended, 47 U.S.C. §§ 152, 154(</w:t>
      </w:r>
      <w:r w:rsidRPr="000D0CD5">
        <w:t>i</w:t>
      </w:r>
      <w:r w:rsidRPr="000D0CD5">
        <w:t xml:space="preserve">), and Sections 0.131, 0.331, 1.925, </w:t>
      </w:r>
      <w:r w:rsidR="00555869">
        <w:t>1.946</w:t>
      </w:r>
      <w:r w:rsidR="007D6DFD">
        <w:t xml:space="preserve">, </w:t>
      </w:r>
      <w:r w:rsidRPr="000D0CD5">
        <w:t xml:space="preserve">and 90.155(d) of the Commission’s rules, 47 CFR §§ 0.131, 0.331, 1.925, </w:t>
      </w:r>
      <w:r w:rsidR="00457FF4">
        <w:t>1.94</w:t>
      </w:r>
      <w:r w:rsidR="00555869">
        <w:t xml:space="preserve">6, </w:t>
      </w:r>
      <w:r w:rsidRPr="000D0CD5">
        <w:t>90.155(d), the Progeny LMS, LLC</w:t>
      </w:r>
      <w:r w:rsidRPr="000D0CD5" w:rsidR="00071ED0">
        <w:t xml:space="preserve">, Request for Waiver and Extension of time </w:t>
      </w:r>
      <w:r w:rsidRPr="000D0CD5">
        <w:t xml:space="preserve">filed March 27, 2015, </w:t>
      </w:r>
      <w:r w:rsidRPr="000D0CD5" w:rsidR="000D0CD5">
        <w:t xml:space="preserve">Progeny LMS, LLC’s Request for Waiver and Extension of Time filed April 2, 2019, Progeny LMS, LLC’s Further Request for Waiver and Extension of Time filed Sept. 17, 2020, </w:t>
      </w:r>
      <w:r w:rsidR="004802AF">
        <w:t xml:space="preserve">and Progeny LMS, </w:t>
      </w:r>
      <w:r w:rsidRPr="000D0CD5" w:rsidR="000D0CD5">
        <w:t>LLC’s Request for Waiver and Extension of Time filed March 31, 2021</w:t>
      </w:r>
      <w:r w:rsidRPr="000D0CD5">
        <w:t xml:space="preserve">, </w:t>
      </w:r>
      <w:r w:rsidR="00A37568">
        <w:t>ARE</w:t>
      </w:r>
      <w:r w:rsidRPr="000D0CD5" w:rsidR="00A37568">
        <w:t xml:space="preserve"> </w:t>
      </w:r>
      <w:r w:rsidRPr="000D0CD5">
        <w:t>GRANTED</w:t>
      </w:r>
      <w:r w:rsidR="00A37568">
        <w:t xml:space="preserve"> </w:t>
      </w:r>
      <w:r>
        <w:t xml:space="preserve">to the extent described and subject to the conditions imposed herein and </w:t>
      </w:r>
      <w:r w:rsidR="00827701">
        <w:t xml:space="preserve">are </w:t>
      </w:r>
      <w:r>
        <w:t>otherwise DENIED.</w:t>
      </w:r>
      <w:r w:rsidR="00E0393F">
        <w:t xml:space="preserve"> </w:t>
      </w:r>
      <w:r>
        <w:t xml:space="preserve"> </w:t>
      </w:r>
    </w:p>
    <w:p w:rsidR="00B42809" w:rsidRPr="000D0CD5" w:rsidP="002A6036" w14:paraId="2CC6E486" w14:textId="51DF6C7C">
      <w:pPr>
        <w:pStyle w:val="ParaNum"/>
      </w:pPr>
      <w:r>
        <w:t xml:space="preserve">It is FURTHER ORDERED that </w:t>
      </w:r>
      <w:r w:rsidR="002A6036">
        <w:t>the</w:t>
      </w:r>
      <w:r w:rsidR="00687F9B">
        <w:t xml:space="preserve"> </w:t>
      </w:r>
      <w:r w:rsidRPr="000D0CD5" w:rsidR="00AD0D4D">
        <w:t>Progeny LMS, LLC’s Further Waiver Request filed Feb. 2, 2021</w:t>
      </w:r>
      <w:r w:rsidR="00AD0D4D">
        <w:t>,</w:t>
      </w:r>
      <w:r w:rsidR="00687F9B">
        <w:t xml:space="preserve"> IS DISMISSED as moot.</w:t>
      </w:r>
    </w:p>
    <w:p w:rsidR="00131E73" w:rsidP="00131E73" w14:paraId="64A454B0" w14:textId="77777777">
      <w:pPr>
        <w:pStyle w:val="ParaNum"/>
        <w:numPr>
          <w:ilvl w:val="0"/>
          <w:numId w:val="0"/>
        </w:numPr>
      </w:pPr>
    </w:p>
    <w:p w:rsidR="00131E73" w:rsidP="00131E73" w14:paraId="010D140D" w14:textId="61A61F71">
      <w:pPr>
        <w:tabs>
          <w:tab w:val="left" w:pos="4320"/>
        </w:tabs>
      </w:pPr>
      <w:r>
        <w:tab/>
        <w:t>FEDERAL COMMUNICATIONS COMMISSION</w:t>
      </w:r>
    </w:p>
    <w:p w:rsidR="00131E73" w:rsidP="00131E73" w14:paraId="3D110B24" w14:textId="51E53CCB"/>
    <w:p w:rsidR="00131E73" w:rsidP="00131E73" w14:paraId="625A13FB" w14:textId="00F42059"/>
    <w:p w:rsidR="00131E73" w:rsidP="00131E73" w14:paraId="3089B1AD" w14:textId="77777777"/>
    <w:p w:rsidR="00131E73" w:rsidP="00131E73" w14:paraId="5F0D8932" w14:textId="77777777">
      <w:pPr>
        <w:tabs>
          <w:tab w:val="left" w:pos="4320"/>
        </w:tabs>
      </w:pPr>
      <w:r>
        <w:tab/>
        <w:t>Roger S. Noel</w:t>
      </w:r>
    </w:p>
    <w:p w:rsidR="00131E73" w:rsidP="00131E73" w14:paraId="77BB941B" w14:textId="3C0D0D6E">
      <w:pPr>
        <w:tabs>
          <w:tab w:val="left" w:pos="4320"/>
        </w:tabs>
      </w:pPr>
      <w:r>
        <w:tab/>
        <w:t xml:space="preserve">Chief, Mobility Division </w:t>
      </w:r>
    </w:p>
    <w:p w:rsidR="00131E73" w:rsidP="00131E73" w14:paraId="0BB316F7" w14:textId="722DC9DD">
      <w:pPr>
        <w:tabs>
          <w:tab w:val="left" w:pos="4320"/>
        </w:tabs>
      </w:pPr>
      <w:r>
        <w:tab/>
        <w:t>Wireless Telecommunications Bureau</w:t>
      </w:r>
    </w:p>
    <w:p w:rsidR="001E17AC" w:rsidP="00131E73" w14:paraId="639C2189" w14:textId="0CDB976B">
      <w:pPr>
        <w:pStyle w:val="ParaNum"/>
        <w:numPr>
          <w:ilvl w:val="0"/>
          <w:numId w:val="0"/>
        </w:numPr>
        <w:ind w:left="720"/>
      </w:pPr>
      <w:r>
        <w:br w:type="page"/>
      </w:r>
    </w:p>
    <w:p w:rsidR="00670D4D" w:rsidRPr="000A11C9" w:rsidP="00670D4D" w14:paraId="41D66951" w14:textId="7750A14E">
      <w:pPr>
        <w:jc w:val="center"/>
        <w:rPr>
          <w:b/>
          <w:bCs/>
        </w:rPr>
      </w:pPr>
      <w:r>
        <w:rPr>
          <w:b/>
          <w:bCs/>
        </w:rPr>
        <w:t>ATTACHMENT</w:t>
      </w:r>
      <w:r w:rsidRPr="000A11C9">
        <w:rPr>
          <w:b/>
          <w:bCs/>
        </w:rPr>
        <w:t xml:space="preserve"> </w:t>
      </w:r>
      <w:r>
        <w:rPr>
          <w:b/>
          <w:bCs/>
        </w:rPr>
        <w:t>A</w:t>
      </w:r>
      <w:r w:rsidRPr="000A11C9">
        <w:rPr>
          <w:b/>
          <w:bCs/>
        </w:rPr>
        <w:t xml:space="preserve"> </w:t>
      </w:r>
    </w:p>
    <w:p w:rsidR="00670D4D" w:rsidP="00670D4D" w14:paraId="59932C01" w14:textId="77777777">
      <w:pPr>
        <w:jc w:val="center"/>
        <w:rPr>
          <w:b/>
          <w:bCs/>
        </w:rPr>
      </w:pPr>
      <w:r>
        <w:rPr>
          <w:b/>
          <w:bCs/>
        </w:rPr>
        <w:t>Group 1 – 42 Licenses in Top 40 EAs</w:t>
      </w:r>
    </w:p>
    <w:p w:rsidR="00670D4D" w:rsidP="00670D4D" w14:paraId="7E0C0B8F" w14:textId="77777777">
      <w:pPr>
        <w:jc w:val="center"/>
        <w:rPr>
          <w:b/>
          <w:bCs/>
        </w:rPr>
      </w:pPr>
      <w:r>
        <w:rPr>
          <w:b/>
          <w:bCs/>
        </w:rPr>
        <w:t>Second Milestone Extension until June 17, 2021</w:t>
      </w:r>
    </w:p>
    <w:p w:rsidR="00670D4D" w:rsidP="00670D4D" w14:paraId="2F246E0D" w14:textId="77777777">
      <w:pPr>
        <w:jc w:val="center"/>
        <w:rPr>
          <w:b/>
          <w:bCs/>
        </w:rPr>
      </w:pPr>
    </w:p>
    <w:tbl>
      <w:tblPr>
        <w:tblW w:w="10710" w:type="dxa"/>
        <w:jc w:val="center"/>
        <w:tblLook w:val="04A0"/>
      </w:tblPr>
      <w:tblGrid>
        <w:gridCol w:w="1350"/>
        <w:gridCol w:w="1440"/>
        <w:gridCol w:w="5760"/>
        <w:gridCol w:w="2160"/>
      </w:tblGrid>
      <w:tr w14:paraId="452BA05B"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tcPr>
          <w:p w:rsidR="00670D4D" w:rsidRPr="009F0E09" w:rsidP="00E9507C" w14:paraId="239EC15D" w14:textId="77777777">
            <w:pPr>
              <w:jc w:val="center"/>
              <w:rPr>
                <w:b/>
                <w:bCs/>
                <w:color w:val="000000"/>
                <w:kern w:val="0"/>
              </w:rPr>
            </w:pPr>
            <w:r w:rsidRPr="009F0E09">
              <w:rPr>
                <w:b/>
                <w:bCs/>
                <w:color w:val="000000"/>
                <w:kern w:val="0"/>
              </w:rPr>
              <w:t>Call Sign</w:t>
            </w:r>
          </w:p>
        </w:tc>
        <w:tc>
          <w:tcPr>
            <w:tcW w:w="1440" w:type="dxa"/>
            <w:tcBorders>
              <w:top w:val="nil"/>
              <w:left w:val="nil"/>
              <w:bottom w:val="nil"/>
              <w:right w:val="nil"/>
            </w:tcBorders>
            <w:shd w:val="clear" w:color="auto" w:fill="auto"/>
            <w:noWrap/>
            <w:vAlign w:val="bottom"/>
          </w:tcPr>
          <w:p w:rsidR="00670D4D" w:rsidRPr="009F0E09" w:rsidP="00E9507C" w14:paraId="1C6CE20E" w14:textId="77777777">
            <w:pPr>
              <w:ind w:hanging="99"/>
              <w:jc w:val="center"/>
              <w:rPr>
                <w:b/>
                <w:bCs/>
                <w:color w:val="000000"/>
                <w:kern w:val="0"/>
              </w:rPr>
            </w:pPr>
            <w:r w:rsidRPr="009F0E09">
              <w:rPr>
                <w:b/>
                <w:bCs/>
                <w:color w:val="000000"/>
                <w:kern w:val="0"/>
              </w:rPr>
              <w:t>Market Code</w:t>
            </w:r>
          </w:p>
        </w:tc>
        <w:tc>
          <w:tcPr>
            <w:tcW w:w="5760" w:type="dxa"/>
            <w:tcBorders>
              <w:top w:val="nil"/>
              <w:left w:val="nil"/>
              <w:bottom w:val="nil"/>
              <w:right w:val="nil"/>
            </w:tcBorders>
            <w:shd w:val="clear" w:color="auto" w:fill="auto"/>
            <w:noWrap/>
            <w:vAlign w:val="bottom"/>
          </w:tcPr>
          <w:p w:rsidR="00670D4D" w:rsidRPr="009F0E09" w:rsidP="00E9507C" w14:paraId="182901B0" w14:textId="77777777">
            <w:pPr>
              <w:jc w:val="center"/>
              <w:rPr>
                <w:b/>
                <w:bCs/>
                <w:color w:val="000000"/>
                <w:kern w:val="0"/>
              </w:rPr>
            </w:pPr>
            <w:r w:rsidRPr="009F0E09">
              <w:rPr>
                <w:b/>
                <w:bCs/>
                <w:color w:val="000000"/>
                <w:kern w:val="0"/>
              </w:rPr>
              <w:t>Market Description</w:t>
            </w:r>
          </w:p>
        </w:tc>
        <w:tc>
          <w:tcPr>
            <w:tcW w:w="2160" w:type="dxa"/>
            <w:tcBorders>
              <w:top w:val="nil"/>
              <w:left w:val="nil"/>
              <w:bottom w:val="nil"/>
              <w:right w:val="nil"/>
            </w:tcBorders>
            <w:shd w:val="clear" w:color="auto" w:fill="auto"/>
            <w:noWrap/>
            <w:vAlign w:val="bottom"/>
          </w:tcPr>
          <w:p w:rsidR="00670D4D" w:rsidRPr="009F0E09" w:rsidP="009F0E09" w14:paraId="7832852A" w14:textId="77777777">
            <w:pPr>
              <w:ind w:right="256" w:hanging="12"/>
              <w:jc w:val="center"/>
              <w:rPr>
                <w:b/>
                <w:bCs/>
                <w:color w:val="000000"/>
                <w:kern w:val="0"/>
              </w:rPr>
            </w:pPr>
            <w:r w:rsidRPr="009F0E09">
              <w:rPr>
                <w:b/>
                <w:bCs/>
                <w:color w:val="000000"/>
                <w:kern w:val="0"/>
              </w:rPr>
              <w:t>Channel Block</w:t>
            </w:r>
          </w:p>
        </w:tc>
      </w:tr>
      <w:tr w14:paraId="773CE4BF"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35B3A5E4" w14:textId="77777777">
            <w:pPr>
              <w:jc w:val="center"/>
              <w:rPr>
                <w:color w:val="000000"/>
                <w:kern w:val="0"/>
              </w:rPr>
            </w:pPr>
            <w:r w:rsidRPr="009F0E09">
              <w:rPr>
                <w:color w:val="000000"/>
                <w:kern w:val="0"/>
              </w:rPr>
              <w:t>WPQP849</w:t>
            </w:r>
          </w:p>
        </w:tc>
        <w:tc>
          <w:tcPr>
            <w:tcW w:w="1440" w:type="dxa"/>
            <w:tcBorders>
              <w:top w:val="nil"/>
              <w:left w:val="nil"/>
              <w:bottom w:val="nil"/>
              <w:right w:val="nil"/>
            </w:tcBorders>
            <w:shd w:val="clear" w:color="auto" w:fill="auto"/>
            <w:noWrap/>
            <w:vAlign w:val="bottom"/>
            <w:hideMark/>
          </w:tcPr>
          <w:p w:rsidR="00670D4D" w:rsidRPr="009F0E09" w:rsidP="00E9507C" w14:paraId="47EFE5B5" w14:textId="77777777">
            <w:pPr>
              <w:ind w:hanging="99"/>
              <w:jc w:val="center"/>
              <w:rPr>
                <w:color w:val="000000"/>
                <w:kern w:val="0"/>
              </w:rPr>
            </w:pPr>
            <w:r w:rsidRPr="009F0E09">
              <w:rPr>
                <w:color w:val="000000"/>
                <w:kern w:val="0"/>
              </w:rPr>
              <w:t>BEA003</w:t>
            </w:r>
          </w:p>
        </w:tc>
        <w:tc>
          <w:tcPr>
            <w:tcW w:w="5760" w:type="dxa"/>
            <w:tcBorders>
              <w:top w:val="nil"/>
              <w:left w:val="nil"/>
              <w:bottom w:val="nil"/>
              <w:right w:val="nil"/>
            </w:tcBorders>
            <w:shd w:val="clear" w:color="auto" w:fill="auto"/>
            <w:noWrap/>
            <w:vAlign w:val="bottom"/>
            <w:hideMark/>
          </w:tcPr>
          <w:p w:rsidR="00670D4D" w:rsidRPr="009F0E09" w:rsidP="00E9507C" w14:paraId="594C2E57" w14:textId="77777777">
            <w:pPr>
              <w:rPr>
                <w:color w:val="000000"/>
                <w:kern w:val="0"/>
              </w:rPr>
            </w:pPr>
            <w:r w:rsidRPr="009F0E09">
              <w:rPr>
                <w:color w:val="000000"/>
                <w:kern w:val="0"/>
              </w:rPr>
              <w:t>Boston-Worcester-Lawrence-Lowell-Brockton, MA-NH-RI-VT</w:t>
            </w:r>
          </w:p>
        </w:tc>
        <w:tc>
          <w:tcPr>
            <w:tcW w:w="2160" w:type="dxa"/>
            <w:tcBorders>
              <w:top w:val="nil"/>
              <w:left w:val="nil"/>
              <w:bottom w:val="nil"/>
              <w:right w:val="nil"/>
            </w:tcBorders>
            <w:shd w:val="clear" w:color="auto" w:fill="auto"/>
            <w:noWrap/>
            <w:vAlign w:val="bottom"/>
            <w:hideMark/>
          </w:tcPr>
          <w:p w:rsidR="00670D4D" w:rsidRPr="009F0E09" w:rsidP="00E9507C" w14:paraId="5A9A946C" w14:textId="77777777">
            <w:pPr>
              <w:ind w:right="555"/>
              <w:jc w:val="center"/>
              <w:rPr>
                <w:color w:val="000000"/>
                <w:kern w:val="0"/>
              </w:rPr>
            </w:pPr>
            <w:r w:rsidRPr="009F0E09">
              <w:rPr>
                <w:color w:val="000000"/>
                <w:kern w:val="0"/>
              </w:rPr>
              <w:t>B</w:t>
            </w:r>
          </w:p>
        </w:tc>
      </w:tr>
      <w:tr w14:paraId="70436453"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76207AB4" w14:textId="77777777">
            <w:pPr>
              <w:jc w:val="center"/>
              <w:rPr>
                <w:color w:val="000000"/>
                <w:kern w:val="0"/>
              </w:rPr>
            </w:pPr>
            <w:r w:rsidRPr="009F0E09">
              <w:rPr>
                <w:color w:val="000000"/>
                <w:kern w:val="0"/>
              </w:rPr>
              <w:t>WPQP850</w:t>
            </w:r>
          </w:p>
        </w:tc>
        <w:tc>
          <w:tcPr>
            <w:tcW w:w="1440" w:type="dxa"/>
            <w:tcBorders>
              <w:top w:val="nil"/>
              <w:left w:val="nil"/>
              <w:bottom w:val="nil"/>
              <w:right w:val="nil"/>
            </w:tcBorders>
            <w:shd w:val="clear" w:color="auto" w:fill="auto"/>
            <w:noWrap/>
            <w:vAlign w:val="bottom"/>
            <w:hideMark/>
          </w:tcPr>
          <w:p w:rsidR="00670D4D" w:rsidRPr="009F0E09" w:rsidP="00E9507C" w14:paraId="57104D64" w14:textId="77777777">
            <w:pPr>
              <w:ind w:hanging="99"/>
              <w:jc w:val="center"/>
              <w:rPr>
                <w:color w:val="000000"/>
                <w:kern w:val="0"/>
              </w:rPr>
            </w:pPr>
            <w:r w:rsidRPr="009F0E09">
              <w:rPr>
                <w:color w:val="000000"/>
                <w:kern w:val="0"/>
              </w:rPr>
              <w:t>BEA003</w:t>
            </w:r>
          </w:p>
        </w:tc>
        <w:tc>
          <w:tcPr>
            <w:tcW w:w="5760" w:type="dxa"/>
            <w:tcBorders>
              <w:top w:val="nil"/>
              <w:left w:val="nil"/>
              <w:bottom w:val="nil"/>
              <w:right w:val="nil"/>
            </w:tcBorders>
            <w:shd w:val="clear" w:color="auto" w:fill="auto"/>
            <w:noWrap/>
            <w:vAlign w:val="bottom"/>
            <w:hideMark/>
          </w:tcPr>
          <w:p w:rsidR="00670D4D" w:rsidRPr="009F0E09" w:rsidP="00E9507C" w14:paraId="2775D4DD" w14:textId="77777777">
            <w:pPr>
              <w:rPr>
                <w:color w:val="000000"/>
                <w:kern w:val="0"/>
              </w:rPr>
            </w:pPr>
            <w:r w:rsidRPr="009F0E09">
              <w:rPr>
                <w:color w:val="000000"/>
                <w:kern w:val="0"/>
              </w:rPr>
              <w:t>Boston-Worcester-Lawrence-Lowell-Brockton, MA-NH-RI-VT</w:t>
            </w:r>
          </w:p>
        </w:tc>
        <w:tc>
          <w:tcPr>
            <w:tcW w:w="2160" w:type="dxa"/>
            <w:tcBorders>
              <w:top w:val="nil"/>
              <w:left w:val="nil"/>
              <w:bottom w:val="nil"/>
              <w:right w:val="nil"/>
            </w:tcBorders>
            <w:shd w:val="clear" w:color="auto" w:fill="auto"/>
            <w:noWrap/>
            <w:vAlign w:val="bottom"/>
            <w:hideMark/>
          </w:tcPr>
          <w:p w:rsidR="00670D4D" w:rsidRPr="009F0E09" w:rsidP="00E9507C" w14:paraId="6E73EC76" w14:textId="77777777">
            <w:pPr>
              <w:ind w:right="555"/>
              <w:jc w:val="center"/>
              <w:rPr>
                <w:color w:val="000000"/>
                <w:kern w:val="0"/>
              </w:rPr>
            </w:pPr>
            <w:r w:rsidRPr="009F0E09">
              <w:rPr>
                <w:color w:val="000000"/>
                <w:kern w:val="0"/>
              </w:rPr>
              <w:t>C</w:t>
            </w:r>
          </w:p>
        </w:tc>
      </w:tr>
      <w:tr w14:paraId="3C9CEEA9"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646CAEEC" w14:textId="77777777">
            <w:pPr>
              <w:jc w:val="center"/>
              <w:rPr>
                <w:color w:val="000000"/>
                <w:kern w:val="0"/>
              </w:rPr>
            </w:pPr>
            <w:r w:rsidRPr="009F0E09">
              <w:rPr>
                <w:color w:val="000000"/>
                <w:kern w:val="0"/>
              </w:rPr>
              <w:t>WPQP863</w:t>
            </w:r>
          </w:p>
        </w:tc>
        <w:tc>
          <w:tcPr>
            <w:tcW w:w="1440" w:type="dxa"/>
            <w:tcBorders>
              <w:top w:val="nil"/>
              <w:left w:val="nil"/>
              <w:bottom w:val="nil"/>
              <w:right w:val="nil"/>
            </w:tcBorders>
            <w:shd w:val="clear" w:color="auto" w:fill="auto"/>
            <w:noWrap/>
            <w:vAlign w:val="bottom"/>
            <w:hideMark/>
          </w:tcPr>
          <w:p w:rsidR="00670D4D" w:rsidRPr="009F0E09" w:rsidP="00E9507C" w14:paraId="387F8DCB" w14:textId="77777777">
            <w:pPr>
              <w:ind w:hanging="99"/>
              <w:jc w:val="center"/>
              <w:rPr>
                <w:color w:val="000000"/>
                <w:kern w:val="0"/>
              </w:rPr>
            </w:pPr>
            <w:r w:rsidRPr="009F0E09">
              <w:rPr>
                <w:color w:val="000000"/>
                <w:kern w:val="0"/>
              </w:rPr>
              <w:t>BEA010</w:t>
            </w:r>
          </w:p>
        </w:tc>
        <w:tc>
          <w:tcPr>
            <w:tcW w:w="5760" w:type="dxa"/>
            <w:tcBorders>
              <w:top w:val="nil"/>
              <w:left w:val="nil"/>
              <w:bottom w:val="nil"/>
              <w:right w:val="nil"/>
            </w:tcBorders>
            <w:shd w:val="clear" w:color="auto" w:fill="auto"/>
            <w:noWrap/>
            <w:vAlign w:val="bottom"/>
            <w:hideMark/>
          </w:tcPr>
          <w:p w:rsidR="00670D4D" w:rsidRPr="009F0E09" w:rsidP="00E9507C" w14:paraId="106F7A78" w14:textId="77777777">
            <w:pPr>
              <w:rPr>
                <w:color w:val="000000"/>
                <w:kern w:val="0"/>
              </w:rPr>
            </w:pPr>
            <w:r w:rsidRPr="009F0E09">
              <w:rPr>
                <w:color w:val="000000"/>
                <w:kern w:val="0"/>
              </w:rPr>
              <w:t>New York-North New Jersey-Long Island, NY-NJ-CT-PA-MA-VT</w:t>
            </w:r>
          </w:p>
        </w:tc>
        <w:tc>
          <w:tcPr>
            <w:tcW w:w="2160" w:type="dxa"/>
            <w:tcBorders>
              <w:top w:val="nil"/>
              <w:left w:val="nil"/>
              <w:bottom w:val="nil"/>
              <w:right w:val="nil"/>
            </w:tcBorders>
            <w:shd w:val="clear" w:color="auto" w:fill="auto"/>
            <w:noWrap/>
            <w:vAlign w:val="bottom"/>
            <w:hideMark/>
          </w:tcPr>
          <w:p w:rsidR="00670D4D" w:rsidRPr="009F0E09" w:rsidP="00E9507C" w14:paraId="1FB9F947" w14:textId="77777777">
            <w:pPr>
              <w:ind w:right="555"/>
              <w:jc w:val="center"/>
              <w:rPr>
                <w:color w:val="000000"/>
                <w:kern w:val="0"/>
              </w:rPr>
            </w:pPr>
            <w:r w:rsidRPr="009F0E09">
              <w:rPr>
                <w:color w:val="000000"/>
                <w:kern w:val="0"/>
              </w:rPr>
              <w:t>B</w:t>
            </w:r>
          </w:p>
        </w:tc>
      </w:tr>
      <w:tr w14:paraId="4BC7B2F0"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6B7CA960" w14:textId="77777777">
            <w:pPr>
              <w:jc w:val="center"/>
              <w:rPr>
                <w:color w:val="000000"/>
                <w:kern w:val="0"/>
              </w:rPr>
            </w:pPr>
            <w:r w:rsidRPr="009F0E09">
              <w:rPr>
                <w:color w:val="000000"/>
                <w:kern w:val="0"/>
              </w:rPr>
              <w:t>WPQP864</w:t>
            </w:r>
          </w:p>
        </w:tc>
        <w:tc>
          <w:tcPr>
            <w:tcW w:w="1440" w:type="dxa"/>
            <w:tcBorders>
              <w:top w:val="nil"/>
              <w:left w:val="nil"/>
              <w:bottom w:val="nil"/>
              <w:right w:val="nil"/>
            </w:tcBorders>
            <w:shd w:val="clear" w:color="auto" w:fill="auto"/>
            <w:noWrap/>
            <w:vAlign w:val="bottom"/>
            <w:hideMark/>
          </w:tcPr>
          <w:p w:rsidR="00670D4D" w:rsidRPr="009F0E09" w:rsidP="00E9507C" w14:paraId="287ABBDE" w14:textId="77777777">
            <w:pPr>
              <w:ind w:hanging="99"/>
              <w:jc w:val="center"/>
              <w:rPr>
                <w:color w:val="000000"/>
                <w:kern w:val="0"/>
              </w:rPr>
            </w:pPr>
            <w:r w:rsidRPr="009F0E09">
              <w:rPr>
                <w:color w:val="000000"/>
                <w:kern w:val="0"/>
              </w:rPr>
              <w:t>BEA010</w:t>
            </w:r>
          </w:p>
        </w:tc>
        <w:tc>
          <w:tcPr>
            <w:tcW w:w="5760" w:type="dxa"/>
            <w:tcBorders>
              <w:top w:val="nil"/>
              <w:left w:val="nil"/>
              <w:bottom w:val="nil"/>
              <w:right w:val="nil"/>
            </w:tcBorders>
            <w:shd w:val="clear" w:color="auto" w:fill="auto"/>
            <w:noWrap/>
            <w:vAlign w:val="bottom"/>
            <w:hideMark/>
          </w:tcPr>
          <w:p w:rsidR="00670D4D" w:rsidRPr="009F0E09" w:rsidP="00E9507C" w14:paraId="0785EE05" w14:textId="77777777">
            <w:pPr>
              <w:rPr>
                <w:color w:val="000000"/>
                <w:kern w:val="0"/>
              </w:rPr>
            </w:pPr>
            <w:r w:rsidRPr="009F0E09">
              <w:rPr>
                <w:color w:val="000000"/>
                <w:kern w:val="0"/>
              </w:rPr>
              <w:t>New York-North New Jersey-Long Island, NY-NJ-CT-PA-MA-VT</w:t>
            </w:r>
          </w:p>
        </w:tc>
        <w:tc>
          <w:tcPr>
            <w:tcW w:w="2160" w:type="dxa"/>
            <w:tcBorders>
              <w:top w:val="nil"/>
              <w:left w:val="nil"/>
              <w:bottom w:val="nil"/>
              <w:right w:val="nil"/>
            </w:tcBorders>
            <w:shd w:val="clear" w:color="auto" w:fill="auto"/>
            <w:noWrap/>
            <w:vAlign w:val="bottom"/>
            <w:hideMark/>
          </w:tcPr>
          <w:p w:rsidR="00670D4D" w:rsidRPr="009F0E09" w:rsidP="00E9507C" w14:paraId="3808FC66" w14:textId="77777777">
            <w:pPr>
              <w:ind w:right="555"/>
              <w:jc w:val="center"/>
              <w:rPr>
                <w:color w:val="000000"/>
                <w:kern w:val="0"/>
              </w:rPr>
            </w:pPr>
            <w:r w:rsidRPr="009F0E09">
              <w:rPr>
                <w:color w:val="000000"/>
                <w:kern w:val="0"/>
              </w:rPr>
              <w:t>C</w:t>
            </w:r>
          </w:p>
        </w:tc>
      </w:tr>
      <w:tr w14:paraId="73E6E7B2"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472891E1" w14:textId="77777777">
            <w:pPr>
              <w:jc w:val="center"/>
              <w:rPr>
                <w:color w:val="000000"/>
                <w:kern w:val="0"/>
              </w:rPr>
            </w:pPr>
            <w:r w:rsidRPr="009F0E09">
              <w:rPr>
                <w:color w:val="000000"/>
                <w:kern w:val="0"/>
              </w:rPr>
              <w:t>WPQP867</w:t>
            </w:r>
          </w:p>
        </w:tc>
        <w:tc>
          <w:tcPr>
            <w:tcW w:w="1440" w:type="dxa"/>
            <w:tcBorders>
              <w:top w:val="nil"/>
              <w:left w:val="nil"/>
              <w:bottom w:val="nil"/>
              <w:right w:val="nil"/>
            </w:tcBorders>
            <w:shd w:val="clear" w:color="auto" w:fill="auto"/>
            <w:noWrap/>
            <w:vAlign w:val="bottom"/>
            <w:hideMark/>
          </w:tcPr>
          <w:p w:rsidR="00670D4D" w:rsidRPr="009F0E09" w:rsidP="00E9507C" w14:paraId="7A7145C4" w14:textId="77777777">
            <w:pPr>
              <w:ind w:hanging="99"/>
              <w:jc w:val="center"/>
              <w:rPr>
                <w:color w:val="000000"/>
                <w:kern w:val="0"/>
              </w:rPr>
            </w:pPr>
            <w:r w:rsidRPr="009F0E09">
              <w:rPr>
                <w:color w:val="000000"/>
                <w:kern w:val="0"/>
              </w:rPr>
              <w:t>BEA012</w:t>
            </w:r>
          </w:p>
        </w:tc>
        <w:tc>
          <w:tcPr>
            <w:tcW w:w="5760" w:type="dxa"/>
            <w:tcBorders>
              <w:top w:val="nil"/>
              <w:left w:val="nil"/>
              <w:bottom w:val="nil"/>
              <w:right w:val="nil"/>
            </w:tcBorders>
            <w:shd w:val="clear" w:color="auto" w:fill="auto"/>
            <w:noWrap/>
            <w:vAlign w:val="bottom"/>
            <w:hideMark/>
          </w:tcPr>
          <w:p w:rsidR="00670D4D" w:rsidRPr="009F0E09" w:rsidP="00E9507C" w14:paraId="668E7905" w14:textId="77777777">
            <w:pPr>
              <w:rPr>
                <w:color w:val="000000"/>
                <w:kern w:val="0"/>
              </w:rPr>
            </w:pPr>
            <w:r w:rsidRPr="009F0E09">
              <w:rPr>
                <w:color w:val="000000"/>
                <w:kern w:val="0"/>
              </w:rPr>
              <w:t>Philadelphia-Wilmington-Atlantic City, PA-NJ-DE-MD</w:t>
            </w:r>
          </w:p>
        </w:tc>
        <w:tc>
          <w:tcPr>
            <w:tcW w:w="2160" w:type="dxa"/>
            <w:tcBorders>
              <w:top w:val="nil"/>
              <w:left w:val="nil"/>
              <w:bottom w:val="nil"/>
              <w:right w:val="nil"/>
            </w:tcBorders>
            <w:shd w:val="clear" w:color="auto" w:fill="auto"/>
            <w:noWrap/>
            <w:vAlign w:val="bottom"/>
            <w:hideMark/>
          </w:tcPr>
          <w:p w:rsidR="00670D4D" w:rsidRPr="009F0E09" w:rsidP="00E9507C" w14:paraId="02C5A8BC" w14:textId="77777777">
            <w:pPr>
              <w:ind w:right="555"/>
              <w:jc w:val="center"/>
              <w:rPr>
                <w:color w:val="000000"/>
                <w:kern w:val="0"/>
              </w:rPr>
            </w:pPr>
            <w:r w:rsidRPr="009F0E09">
              <w:rPr>
                <w:color w:val="000000"/>
                <w:kern w:val="0"/>
              </w:rPr>
              <w:t>B</w:t>
            </w:r>
          </w:p>
        </w:tc>
      </w:tr>
      <w:tr w14:paraId="254E448B"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7C5388BB" w14:textId="77777777">
            <w:pPr>
              <w:jc w:val="center"/>
              <w:rPr>
                <w:color w:val="000000"/>
                <w:kern w:val="0"/>
              </w:rPr>
            </w:pPr>
            <w:r w:rsidRPr="009F0E09">
              <w:rPr>
                <w:color w:val="000000"/>
                <w:kern w:val="0"/>
              </w:rPr>
              <w:t>WPQP868</w:t>
            </w:r>
          </w:p>
        </w:tc>
        <w:tc>
          <w:tcPr>
            <w:tcW w:w="1440" w:type="dxa"/>
            <w:tcBorders>
              <w:top w:val="nil"/>
              <w:left w:val="nil"/>
              <w:bottom w:val="nil"/>
              <w:right w:val="nil"/>
            </w:tcBorders>
            <w:shd w:val="clear" w:color="auto" w:fill="auto"/>
            <w:noWrap/>
            <w:vAlign w:val="bottom"/>
            <w:hideMark/>
          </w:tcPr>
          <w:p w:rsidR="00670D4D" w:rsidRPr="009F0E09" w:rsidP="00E9507C" w14:paraId="2BB16273" w14:textId="77777777">
            <w:pPr>
              <w:ind w:hanging="99"/>
              <w:jc w:val="center"/>
              <w:rPr>
                <w:color w:val="000000"/>
                <w:kern w:val="0"/>
              </w:rPr>
            </w:pPr>
            <w:r w:rsidRPr="009F0E09">
              <w:rPr>
                <w:color w:val="000000"/>
                <w:kern w:val="0"/>
              </w:rPr>
              <w:t>BEA012</w:t>
            </w:r>
          </w:p>
        </w:tc>
        <w:tc>
          <w:tcPr>
            <w:tcW w:w="5760" w:type="dxa"/>
            <w:tcBorders>
              <w:top w:val="nil"/>
              <w:left w:val="nil"/>
              <w:bottom w:val="nil"/>
              <w:right w:val="nil"/>
            </w:tcBorders>
            <w:shd w:val="clear" w:color="auto" w:fill="auto"/>
            <w:noWrap/>
            <w:vAlign w:val="bottom"/>
            <w:hideMark/>
          </w:tcPr>
          <w:p w:rsidR="00670D4D" w:rsidRPr="009F0E09" w:rsidP="00E9507C" w14:paraId="4F1A9AA3" w14:textId="77777777">
            <w:pPr>
              <w:rPr>
                <w:color w:val="000000"/>
                <w:kern w:val="0"/>
              </w:rPr>
            </w:pPr>
            <w:r w:rsidRPr="009F0E09">
              <w:rPr>
                <w:color w:val="000000"/>
                <w:kern w:val="0"/>
              </w:rPr>
              <w:t>Philadelphia-Wilmington-Atlantic City, PA-NJ-DE-MD</w:t>
            </w:r>
          </w:p>
        </w:tc>
        <w:tc>
          <w:tcPr>
            <w:tcW w:w="2160" w:type="dxa"/>
            <w:tcBorders>
              <w:top w:val="nil"/>
              <w:left w:val="nil"/>
              <w:bottom w:val="nil"/>
              <w:right w:val="nil"/>
            </w:tcBorders>
            <w:shd w:val="clear" w:color="auto" w:fill="auto"/>
            <w:noWrap/>
            <w:vAlign w:val="bottom"/>
            <w:hideMark/>
          </w:tcPr>
          <w:p w:rsidR="00670D4D" w:rsidRPr="009F0E09" w:rsidP="00E9507C" w14:paraId="4AAB3648" w14:textId="77777777">
            <w:pPr>
              <w:ind w:right="555"/>
              <w:jc w:val="center"/>
              <w:rPr>
                <w:color w:val="000000"/>
                <w:kern w:val="0"/>
              </w:rPr>
            </w:pPr>
            <w:r w:rsidRPr="009F0E09">
              <w:rPr>
                <w:color w:val="000000"/>
                <w:kern w:val="0"/>
              </w:rPr>
              <w:t>C</w:t>
            </w:r>
          </w:p>
        </w:tc>
      </w:tr>
      <w:tr w14:paraId="172D34FA"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46A860E9" w14:textId="77777777">
            <w:pPr>
              <w:jc w:val="center"/>
              <w:rPr>
                <w:color w:val="000000"/>
                <w:kern w:val="0"/>
              </w:rPr>
            </w:pPr>
            <w:r w:rsidRPr="009F0E09">
              <w:rPr>
                <w:color w:val="000000"/>
                <w:kern w:val="0"/>
              </w:rPr>
              <w:t>WPQP869</w:t>
            </w:r>
          </w:p>
        </w:tc>
        <w:tc>
          <w:tcPr>
            <w:tcW w:w="1440" w:type="dxa"/>
            <w:tcBorders>
              <w:top w:val="nil"/>
              <w:left w:val="nil"/>
              <w:bottom w:val="nil"/>
              <w:right w:val="nil"/>
            </w:tcBorders>
            <w:shd w:val="clear" w:color="auto" w:fill="auto"/>
            <w:noWrap/>
            <w:vAlign w:val="bottom"/>
            <w:hideMark/>
          </w:tcPr>
          <w:p w:rsidR="00670D4D" w:rsidRPr="009F0E09" w:rsidP="00E9507C" w14:paraId="449AB15F" w14:textId="77777777">
            <w:pPr>
              <w:ind w:hanging="99"/>
              <w:jc w:val="center"/>
              <w:rPr>
                <w:color w:val="000000"/>
                <w:kern w:val="0"/>
              </w:rPr>
            </w:pPr>
            <w:r w:rsidRPr="009F0E09">
              <w:rPr>
                <w:color w:val="000000"/>
                <w:kern w:val="0"/>
              </w:rPr>
              <w:t>BEA013</w:t>
            </w:r>
          </w:p>
        </w:tc>
        <w:tc>
          <w:tcPr>
            <w:tcW w:w="5760" w:type="dxa"/>
            <w:tcBorders>
              <w:top w:val="nil"/>
              <w:left w:val="nil"/>
              <w:bottom w:val="nil"/>
              <w:right w:val="nil"/>
            </w:tcBorders>
            <w:shd w:val="clear" w:color="auto" w:fill="auto"/>
            <w:noWrap/>
            <w:vAlign w:val="bottom"/>
            <w:hideMark/>
          </w:tcPr>
          <w:p w:rsidR="00670D4D" w:rsidRPr="009F0E09" w:rsidP="00E9507C" w14:paraId="7D936479" w14:textId="77777777">
            <w:pPr>
              <w:rPr>
                <w:color w:val="000000"/>
                <w:kern w:val="0"/>
              </w:rPr>
            </w:pPr>
            <w:r w:rsidRPr="009F0E09">
              <w:rPr>
                <w:color w:val="000000"/>
                <w:kern w:val="0"/>
              </w:rPr>
              <w:t>Washington-Baltimore, DC-MD-VA-WV-PA</w:t>
            </w:r>
          </w:p>
        </w:tc>
        <w:tc>
          <w:tcPr>
            <w:tcW w:w="2160" w:type="dxa"/>
            <w:tcBorders>
              <w:top w:val="nil"/>
              <w:left w:val="nil"/>
              <w:bottom w:val="nil"/>
              <w:right w:val="nil"/>
            </w:tcBorders>
            <w:shd w:val="clear" w:color="auto" w:fill="auto"/>
            <w:noWrap/>
            <w:vAlign w:val="bottom"/>
            <w:hideMark/>
          </w:tcPr>
          <w:p w:rsidR="00670D4D" w:rsidRPr="009F0E09" w:rsidP="00E9507C" w14:paraId="1A82636E" w14:textId="77777777">
            <w:pPr>
              <w:ind w:right="555"/>
              <w:jc w:val="center"/>
              <w:rPr>
                <w:color w:val="000000"/>
                <w:kern w:val="0"/>
              </w:rPr>
            </w:pPr>
            <w:r w:rsidRPr="009F0E09">
              <w:rPr>
                <w:color w:val="000000"/>
                <w:kern w:val="0"/>
              </w:rPr>
              <w:t>B</w:t>
            </w:r>
          </w:p>
        </w:tc>
      </w:tr>
      <w:tr w14:paraId="68017E9D"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3C560F45" w14:textId="77777777">
            <w:pPr>
              <w:jc w:val="center"/>
              <w:rPr>
                <w:color w:val="000000"/>
                <w:kern w:val="0"/>
              </w:rPr>
            </w:pPr>
            <w:r w:rsidRPr="009F0E09">
              <w:rPr>
                <w:color w:val="000000"/>
                <w:kern w:val="0"/>
              </w:rPr>
              <w:t>WPQP870</w:t>
            </w:r>
          </w:p>
        </w:tc>
        <w:tc>
          <w:tcPr>
            <w:tcW w:w="1440" w:type="dxa"/>
            <w:tcBorders>
              <w:top w:val="nil"/>
              <w:left w:val="nil"/>
              <w:bottom w:val="nil"/>
              <w:right w:val="nil"/>
            </w:tcBorders>
            <w:shd w:val="clear" w:color="auto" w:fill="auto"/>
            <w:noWrap/>
            <w:vAlign w:val="bottom"/>
            <w:hideMark/>
          </w:tcPr>
          <w:p w:rsidR="00670D4D" w:rsidRPr="009F0E09" w:rsidP="00E9507C" w14:paraId="4C94A999" w14:textId="77777777">
            <w:pPr>
              <w:ind w:hanging="99"/>
              <w:jc w:val="center"/>
              <w:rPr>
                <w:color w:val="000000"/>
                <w:kern w:val="0"/>
              </w:rPr>
            </w:pPr>
            <w:r w:rsidRPr="009F0E09">
              <w:rPr>
                <w:color w:val="000000"/>
                <w:kern w:val="0"/>
              </w:rPr>
              <w:t>BEA013</w:t>
            </w:r>
          </w:p>
        </w:tc>
        <w:tc>
          <w:tcPr>
            <w:tcW w:w="5760" w:type="dxa"/>
            <w:tcBorders>
              <w:top w:val="nil"/>
              <w:left w:val="nil"/>
              <w:bottom w:val="nil"/>
              <w:right w:val="nil"/>
            </w:tcBorders>
            <w:shd w:val="clear" w:color="auto" w:fill="auto"/>
            <w:noWrap/>
            <w:vAlign w:val="bottom"/>
            <w:hideMark/>
          </w:tcPr>
          <w:p w:rsidR="00670D4D" w:rsidRPr="009F0E09" w:rsidP="00E9507C" w14:paraId="7E3B431F" w14:textId="77777777">
            <w:pPr>
              <w:rPr>
                <w:color w:val="000000"/>
                <w:kern w:val="0"/>
              </w:rPr>
            </w:pPr>
            <w:r w:rsidRPr="009F0E09">
              <w:rPr>
                <w:color w:val="000000"/>
                <w:kern w:val="0"/>
              </w:rPr>
              <w:t>Washington-Baltimore, DC-MD-VA-WV-PA</w:t>
            </w:r>
          </w:p>
        </w:tc>
        <w:tc>
          <w:tcPr>
            <w:tcW w:w="2160" w:type="dxa"/>
            <w:tcBorders>
              <w:top w:val="nil"/>
              <w:left w:val="nil"/>
              <w:bottom w:val="nil"/>
              <w:right w:val="nil"/>
            </w:tcBorders>
            <w:shd w:val="clear" w:color="auto" w:fill="auto"/>
            <w:noWrap/>
            <w:vAlign w:val="bottom"/>
            <w:hideMark/>
          </w:tcPr>
          <w:p w:rsidR="00670D4D" w:rsidRPr="009F0E09" w:rsidP="00E9507C" w14:paraId="428AF5B8" w14:textId="77777777">
            <w:pPr>
              <w:ind w:right="555"/>
              <w:jc w:val="center"/>
              <w:rPr>
                <w:color w:val="000000"/>
                <w:kern w:val="0"/>
              </w:rPr>
            </w:pPr>
            <w:r w:rsidRPr="009F0E09">
              <w:rPr>
                <w:color w:val="000000"/>
                <w:kern w:val="0"/>
              </w:rPr>
              <w:t>C</w:t>
            </w:r>
          </w:p>
        </w:tc>
      </w:tr>
      <w:tr w14:paraId="197414E0"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C634705" w14:textId="77777777">
            <w:pPr>
              <w:jc w:val="center"/>
              <w:rPr>
                <w:color w:val="000000"/>
                <w:kern w:val="0"/>
              </w:rPr>
            </w:pPr>
            <w:r w:rsidRPr="009F0E09">
              <w:rPr>
                <w:color w:val="000000"/>
                <w:kern w:val="0"/>
              </w:rPr>
              <w:t>WPQP899</w:t>
            </w:r>
          </w:p>
        </w:tc>
        <w:tc>
          <w:tcPr>
            <w:tcW w:w="1440" w:type="dxa"/>
            <w:tcBorders>
              <w:top w:val="nil"/>
              <w:left w:val="nil"/>
              <w:bottom w:val="nil"/>
              <w:right w:val="nil"/>
            </w:tcBorders>
            <w:shd w:val="clear" w:color="auto" w:fill="auto"/>
            <w:noWrap/>
            <w:vAlign w:val="bottom"/>
            <w:hideMark/>
          </w:tcPr>
          <w:p w:rsidR="00670D4D" w:rsidRPr="009F0E09" w:rsidP="00E9507C" w14:paraId="27A85991" w14:textId="77777777">
            <w:pPr>
              <w:ind w:hanging="99"/>
              <w:jc w:val="center"/>
              <w:rPr>
                <w:color w:val="000000"/>
                <w:kern w:val="0"/>
              </w:rPr>
            </w:pPr>
            <w:r w:rsidRPr="009F0E09">
              <w:rPr>
                <w:color w:val="000000"/>
                <w:kern w:val="0"/>
              </w:rPr>
              <w:t>BEA031</w:t>
            </w:r>
          </w:p>
        </w:tc>
        <w:tc>
          <w:tcPr>
            <w:tcW w:w="5760" w:type="dxa"/>
            <w:tcBorders>
              <w:top w:val="nil"/>
              <w:left w:val="nil"/>
              <w:bottom w:val="nil"/>
              <w:right w:val="nil"/>
            </w:tcBorders>
            <w:shd w:val="clear" w:color="auto" w:fill="auto"/>
            <w:noWrap/>
            <w:vAlign w:val="bottom"/>
            <w:hideMark/>
          </w:tcPr>
          <w:p w:rsidR="00670D4D" w:rsidRPr="009F0E09" w:rsidP="00E9507C" w14:paraId="0080E5D9" w14:textId="77777777">
            <w:pPr>
              <w:rPr>
                <w:color w:val="000000"/>
                <w:kern w:val="0"/>
              </w:rPr>
            </w:pPr>
            <w:r w:rsidRPr="009F0E09">
              <w:rPr>
                <w:color w:val="000000"/>
                <w:kern w:val="0"/>
              </w:rPr>
              <w:t>Miami-Fort Lauderdale, FL</w:t>
            </w:r>
          </w:p>
        </w:tc>
        <w:tc>
          <w:tcPr>
            <w:tcW w:w="2160" w:type="dxa"/>
            <w:tcBorders>
              <w:top w:val="nil"/>
              <w:left w:val="nil"/>
              <w:bottom w:val="nil"/>
              <w:right w:val="nil"/>
            </w:tcBorders>
            <w:shd w:val="clear" w:color="auto" w:fill="auto"/>
            <w:noWrap/>
            <w:vAlign w:val="bottom"/>
            <w:hideMark/>
          </w:tcPr>
          <w:p w:rsidR="00670D4D" w:rsidRPr="009F0E09" w:rsidP="00E9507C" w14:paraId="6BFE64F6" w14:textId="77777777">
            <w:pPr>
              <w:ind w:right="555"/>
              <w:jc w:val="center"/>
              <w:rPr>
                <w:color w:val="000000"/>
                <w:kern w:val="0"/>
              </w:rPr>
            </w:pPr>
            <w:r w:rsidRPr="009F0E09">
              <w:rPr>
                <w:color w:val="000000"/>
                <w:kern w:val="0"/>
              </w:rPr>
              <w:t>B</w:t>
            </w:r>
          </w:p>
        </w:tc>
      </w:tr>
      <w:tr w14:paraId="315766B3"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5519CC9" w14:textId="77777777">
            <w:pPr>
              <w:jc w:val="center"/>
              <w:rPr>
                <w:color w:val="000000"/>
                <w:kern w:val="0"/>
              </w:rPr>
            </w:pPr>
            <w:r w:rsidRPr="009F0E09">
              <w:rPr>
                <w:color w:val="000000"/>
                <w:kern w:val="0"/>
              </w:rPr>
              <w:t>WPQP900</w:t>
            </w:r>
          </w:p>
        </w:tc>
        <w:tc>
          <w:tcPr>
            <w:tcW w:w="1440" w:type="dxa"/>
            <w:tcBorders>
              <w:top w:val="nil"/>
              <w:left w:val="nil"/>
              <w:bottom w:val="nil"/>
              <w:right w:val="nil"/>
            </w:tcBorders>
            <w:shd w:val="clear" w:color="auto" w:fill="auto"/>
            <w:noWrap/>
            <w:vAlign w:val="bottom"/>
            <w:hideMark/>
          </w:tcPr>
          <w:p w:rsidR="00670D4D" w:rsidRPr="009F0E09" w:rsidP="00E9507C" w14:paraId="76F88277" w14:textId="77777777">
            <w:pPr>
              <w:ind w:hanging="99"/>
              <w:jc w:val="center"/>
              <w:rPr>
                <w:color w:val="000000"/>
                <w:kern w:val="0"/>
              </w:rPr>
            </w:pPr>
            <w:r w:rsidRPr="009F0E09">
              <w:rPr>
                <w:color w:val="000000"/>
                <w:kern w:val="0"/>
              </w:rPr>
              <w:t>BEA031</w:t>
            </w:r>
          </w:p>
        </w:tc>
        <w:tc>
          <w:tcPr>
            <w:tcW w:w="5760" w:type="dxa"/>
            <w:tcBorders>
              <w:top w:val="nil"/>
              <w:left w:val="nil"/>
              <w:bottom w:val="nil"/>
              <w:right w:val="nil"/>
            </w:tcBorders>
            <w:shd w:val="clear" w:color="auto" w:fill="auto"/>
            <w:noWrap/>
            <w:vAlign w:val="bottom"/>
            <w:hideMark/>
          </w:tcPr>
          <w:p w:rsidR="00670D4D" w:rsidRPr="009F0E09" w:rsidP="00E9507C" w14:paraId="36B1F8F5" w14:textId="77777777">
            <w:pPr>
              <w:rPr>
                <w:color w:val="000000"/>
                <w:kern w:val="0"/>
              </w:rPr>
            </w:pPr>
            <w:r w:rsidRPr="009F0E09">
              <w:rPr>
                <w:color w:val="000000"/>
                <w:kern w:val="0"/>
              </w:rPr>
              <w:t>Miami-Fort Lauderdale, FL</w:t>
            </w:r>
          </w:p>
        </w:tc>
        <w:tc>
          <w:tcPr>
            <w:tcW w:w="2160" w:type="dxa"/>
            <w:tcBorders>
              <w:top w:val="nil"/>
              <w:left w:val="nil"/>
              <w:bottom w:val="nil"/>
              <w:right w:val="nil"/>
            </w:tcBorders>
            <w:shd w:val="clear" w:color="auto" w:fill="auto"/>
            <w:noWrap/>
            <w:vAlign w:val="bottom"/>
            <w:hideMark/>
          </w:tcPr>
          <w:p w:rsidR="00670D4D" w:rsidRPr="009F0E09" w:rsidP="00E9507C" w14:paraId="64A88DDE" w14:textId="77777777">
            <w:pPr>
              <w:ind w:right="555"/>
              <w:jc w:val="center"/>
              <w:rPr>
                <w:color w:val="000000"/>
                <w:kern w:val="0"/>
              </w:rPr>
            </w:pPr>
            <w:r w:rsidRPr="009F0E09">
              <w:rPr>
                <w:color w:val="000000"/>
                <w:kern w:val="0"/>
              </w:rPr>
              <w:t>C</w:t>
            </w:r>
          </w:p>
        </w:tc>
      </w:tr>
      <w:tr w14:paraId="4E3C99F3"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10BADD5" w14:textId="77777777">
            <w:pPr>
              <w:jc w:val="center"/>
              <w:rPr>
                <w:color w:val="000000"/>
                <w:kern w:val="0"/>
              </w:rPr>
            </w:pPr>
            <w:r w:rsidRPr="009F0E09">
              <w:rPr>
                <w:color w:val="000000"/>
                <w:kern w:val="0"/>
              </w:rPr>
              <w:t>WPQP905</w:t>
            </w:r>
          </w:p>
        </w:tc>
        <w:tc>
          <w:tcPr>
            <w:tcW w:w="1440" w:type="dxa"/>
            <w:tcBorders>
              <w:top w:val="nil"/>
              <w:left w:val="nil"/>
              <w:bottom w:val="nil"/>
              <w:right w:val="nil"/>
            </w:tcBorders>
            <w:shd w:val="clear" w:color="auto" w:fill="auto"/>
            <w:noWrap/>
            <w:vAlign w:val="bottom"/>
            <w:hideMark/>
          </w:tcPr>
          <w:p w:rsidR="00670D4D" w:rsidRPr="009F0E09" w:rsidP="00E9507C" w14:paraId="38187ED3" w14:textId="77777777">
            <w:pPr>
              <w:ind w:hanging="99"/>
              <w:jc w:val="center"/>
              <w:rPr>
                <w:color w:val="000000"/>
                <w:kern w:val="0"/>
              </w:rPr>
            </w:pPr>
            <w:r w:rsidRPr="009F0E09">
              <w:rPr>
                <w:color w:val="000000"/>
                <w:kern w:val="0"/>
              </w:rPr>
              <w:t>BEA034</w:t>
            </w:r>
          </w:p>
        </w:tc>
        <w:tc>
          <w:tcPr>
            <w:tcW w:w="5760" w:type="dxa"/>
            <w:tcBorders>
              <w:top w:val="nil"/>
              <w:left w:val="nil"/>
              <w:bottom w:val="nil"/>
              <w:right w:val="nil"/>
            </w:tcBorders>
            <w:shd w:val="clear" w:color="auto" w:fill="auto"/>
            <w:noWrap/>
            <w:vAlign w:val="bottom"/>
            <w:hideMark/>
          </w:tcPr>
          <w:p w:rsidR="00670D4D" w:rsidRPr="009F0E09" w:rsidP="00E9507C" w14:paraId="1EC63235" w14:textId="77777777">
            <w:pPr>
              <w:rPr>
                <w:color w:val="000000"/>
                <w:kern w:val="0"/>
              </w:rPr>
            </w:pPr>
            <w:r w:rsidRPr="009F0E09">
              <w:rPr>
                <w:color w:val="000000"/>
                <w:kern w:val="0"/>
              </w:rPr>
              <w:t>Tampa-St. Petersburg-Clearwater, FL</w:t>
            </w:r>
          </w:p>
        </w:tc>
        <w:tc>
          <w:tcPr>
            <w:tcW w:w="2160" w:type="dxa"/>
            <w:tcBorders>
              <w:top w:val="nil"/>
              <w:left w:val="nil"/>
              <w:bottom w:val="nil"/>
              <w:right w:val="nil"/>
            </w:tcBorders>
            <w:shd w:val="clear" w:color="auto" w:fill="auto"/>
            <w:noWrap/>
            <w:vAlign w:val="bottom"/>
            <w:hideMark/>
          </w:tcPr>
          <w:p w:rsidR="00670D4D" w:rsidRPr="009F0E09" w:rsidP="00E9507C" w14:paraId="3480DA1F" w14:textId="77777777">
            <w:pPr>
              <w:ind w:right="555"/>
              <w:jc w:val="center"/>
              <w:rPr>
                <w:color w:val="000000"/>
                <w:kern w:val="0"/>
              </w:rPr>
            </w:pPr>
            <w:r w:rsidRPr="009F0E09">
              <w:rPr>
                <w:color w:val="000000"/>
                <w:kern w:val="0"/>
              </w:rPr>
              <w:t>B</w:t>
            </w:r>
          </w:p>
        </w:tc>
      </w:tr>
      <w:tr w14:paraId="73D84022"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5EACC15" w14:textId="77777777">
            <w:pPr>
              <w:jc w:val="center"/>
              <w:rPr>
                <w:color w:val="000000"/>
                <w:kern w:val="0"/>
              </w:rPr>
            </w:pPr>
            <w:r w:rsidRPr="009F0E09">
              <w:rPr>
                <w:color w:val="000000"/>
                <w:kern w:val="0"/>
              </w:rPr>
              <w:t>WPQP906</w:t>
            </w:r>
          </w:p>
        </w:tc>
        <w:tc>
          <w:tcPr>
            <w:tcW w:w="1440" w:type="dxa"/>
            <w:tcBorders>
              <w:top w:val="nil"/>
              <w:left w:val="nil"/>
              <w:bottom w:val="nil"/>
              <w:right w:val="nil"/>
            </w:tcBorders>
            <w:shd w:val="clear" w:color="auto" w:fill="auto"/>
            <w:noWrap/>
            <w:vAlign w:val="bottom"/>
            <w:hideMark/>
          </w:tcPr>
          <w:p w:rsidR="00670D4D" w:rsidRPr="009F0E09" w:rsidP="00E9507C" w14:paraId="1BA3FC13" w14:textId="77777777">
            <w:pPr>
              <w:ind w:hanging="99"/>
              <w:jc w:val="center"/>
              <w:rPr>
                <w:color w:val="000000"/>
                <w:kern w:val="0"/>
              </w:rPr>
            </w:pPr>
            <w:r w:rsidRPr="009F0E09">
              <w:rPr>
                <w:color w:val="000000"/>
                <w:kern w:val="0"/>
              </w:rPr>
              <w:t>BEA034</w:t>
            </w:r>
          </w:p>
        </w:tc>
        <w:tc>
          <w:tcPr>
            <w:tcW w:w="5760" w:type="dxa"/>
            <w:tcBorders>
              <w:top w:val="nil"/>
              <w:left w:val="nil"/>
              <w:bottom w:val="nil"/>
              <w:right w:val="nil"/>
            </w:tcBorders>
            <w:shd w:val="clear" w:color="auto" w:fill="auto"/>
            <w:noWrap/>
            <w:vAlign w:val="bottom"/>
            <w:hideMark/>
          </w:tcPr>
          <w:p w:rsidR="00670D4D" w:rsidRPr="009F0E09" w:rsidP="00E9507C" w14:paraId="7D0A3273" w14:textId="77777777">
            <w:pPr>
              <w:rPr>
                <w:color w:val="000000"/>
                <w:kern w:val="0"/>
              </w:rPr>
            </w:pPr>
            <w:r w:rsidRPr="009F0E09">
              <w:rPr>
                <w:color w:val="000000"/>
                <w:kern w:val="0"/>
              </w:rPr>
              <w:t>Tampa-St. Petersburg-Clearwater, FL</w:t>
            </w:r>
          </w:p>
        </w:tc>
        <w:tc>
          <w:tcPr>
            <w:tcW w:w="2160" w:type="dxa"/>
            <w:tcBorders>
              <w:top w:val="nil"/>
              <w:left w:val="nil"/>
              <w:bottom w:val="nil"/>
              <w:right w:val="nil"/>
            </w:tcBorders>
            <w:shd w:val="clear" w:color="auto" w:fill="auto"/>
            <w:noWrap/>
            <w:vAlign w:val="bottom"/>
            <w:hideMark/>
          </w:tcPr>
          <w:p w:rsidR="00670D4D" w:rsidRPr="009F0E09" w:rsidP="00E9507C" w14:paraId="0B3E65E9" w14:textId="77777777">
            <w:pPr>
              <w:ind w:right="555"/>
              <w:jc w:val="center"/>
              <w:rPr>
                <w:color w:val="000000"/>
                <w:kern w:val="0"/>
              </w:rPr>
            </w:pPr>
            <w:r w:rsidRPr="009F0E09">
              <w:rPr>
                <w:color w:val="000000"/>
                <w:kern w:val="0"/>
              </w:rPr>
              <w:t>C</w:t>
            </w:r>
          </w:p>
        </w:tc>
      </w:tr>
      <w:tr w14:paraId="13841391"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4A2143CC" w14:textId="77777777">
            <w:pPr>
              <w:jc w:val="center"/>
              <w:rPr>
                <w:color w:val="000000"/>
                <w:kern w:val="0"/>
              </w:rPr>
            </w:pPr>
            <w:r w:rsidRPr="009F0E09">
              <w:rPr>
                <w:color w:val="000000"/>
                <w:kern w:val="0"/>
              </w:rPr>
              <w:t>WPQP911</w:t>
            </w:r>
          </w:p>
        </w:tc>
        <w:tc>
          <w:tcPr>
            <w:tcW w:w="1440" w:type="dxa"/>
            <w:tcBorders>
              <w:top w:val="nil"/>
              <w:left w:val="nil"/>
              <w:bottom w:val="nil"/>
              <w:right w:val="nil"/>
            </w:tcBorders>
            <w:shd w:val="clear" w:color="auto" w:fill="auto"/>
            <w:noWrap/>
            <w:vAlign w:val="bottom"/>
            <w:hideMark/>
          </w:tcPr>
          <w:p w:rsidR="00670D4D" w:rsidRPr="009F0E09" w:rsidP="00E9507C" w14:paraId="7932D53A" w14:textId="77777777">
            <w:pPr>
              <w:ind w:hanging="99"/>
              <w:jc w:val="center"/>
              <w:rPr>
                <w:color w:val="000000"/>
                <w:kern w:val="0"/>
              </w:rPr>
            </w:pPr>
            <w:r w:rsidRPr="009F0E09">
              <w:rPr>
                <w:color w:val="000000"/>
                <w:kern w:val="0"/>
              </w:rPr>
              <w:t>BEA040</w:t>
            </w:r>
          </w:p>
        </w:tc>
        <w:tc>
          <w:tcPr>
            <w:tcW w:w="5760" w:type="dxa"/>
            <w:tcBorders>
              <w:top w:val="nil"/>
              <w:left w:val="nil"/>
              <w:bottom w:val="nil"/>
              <w:right w:val="nil"/>
            </w:tcBorders>
            <w:shd w:val="clear" w:color="auto" w:fill="auto"/>
            <w:noWrap/>
            <w:vAlign w:val="bottom"/>
            <w:hideMark/>
          </w:tcPr>
          <w:p w:rsidR="00670D4D" w:rsidRPr="009F0E09" w:rsidP="00E9507C" w14:paraId="2E2B1665" w14:textId="77777777">
            <w:pPr>
              <w:rPr>
                <w:color w:val="000000"/>
                <w:kern w:val="0"/>
              </w:rPr>
            </w:pPr>
            <w:r w:rsidRPr="009F0E09">
              <w:rPr>
                <w:color w:val="000000"/>
                <w:kern w:val="0"/>
              </w:rPr>
              <w:t>Atlanta, GA-AL-NC</w:t>
            </w:r>
          </w:p>
        </w:tc>
        <w:tc>
          <w:tcPr>
            <w:tcW w:w="2160" w:type="dxa"/>
            <w:tcBorders>
              <w:top w:val="nil"/>
              <w:left w:val="nil"/>
              <w:bottom w:val="nil"/>
              <w:right w:val="nil"/>
            </w:tcBorders>
            <w:shd w:val="clear" w:color="auto" w:fill="auto"/>
            <w:noWrap/>
            <w:vAlign w:val="bottom"/>
            <w:hideMark/>
          </w:tcPr>
          <w:p w:rsidR="00670D4D" w:rsidRPr="009F0E09" w:rsidP="00E9507C" w14:paraId="4606F223" w14:textId="77777777">
            <w:pPr>
              <w:ind w:right="555"/>
              <w:jc w:val="center"/>
              <w:rPr>
                <w:color w:val="000000"/>
                <w:kern w:val="0"/>
              </w:rPr>
            </w:pPr>
            <w:r w:rsidRPr="009F0E09">
              <w:rPr>
                <w:color w:val="000000"/>
                <w:kern w:val="0"/>
              </w:rPr>
              <w:t>B</w:t>
            </w:r>
          </w:p>
        </w:tc>
      </w:tr>
      <w:tr w14:paraId="5DA3EE3A"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4CEF55E6" w14:textId="77777777">
            <w:pPr>
              <w:jc w:val="center"/>
              <w:rPr>
                <w:color w:val="000000"/>
                <w:kern w:val="0"/>
              </w:rPr>
            </w:pPr>
            <w:r w:rsidRPr="009F0E09">
              <w:rPr>
                <w:color w:val="000000"/>
                <w:kern w:val="0"/>
              </w:rPr>
              <w:t>WPQP912</w:t>
            </w:r>
          </w:p>
        </w:tc>
        <w:tc>
          <w:tcPr>
            <w:tcW w:w="1440" w:type="dxa"/>
            <w:tcBorders>
              <w:top w:val="nil"/>
              <w:left w:val="nil"/>
              <w:bottom w:val="nil"/>
              <w:right w:val="nil"/>
            </w:tcBorders>
            <w:shd w:val="clear" w:color="auto" w:fill="auto"/>
            <w:noWrap/>
            <w:vAlign w:val="bottom"/>
            <w:hideMark/>
          </w:tcPr>
          <w:p w:rsidR="00670D4D" w:rsidRPr="009F0E09" w:rsidP="00E9507C" w14:paraId="14BF498D" w14:textId="77777777">
            <w:pPr>
              <w:ind w:hanging="99"/>
              <w:jc w:val="center"/>
              <w:rPr>
                <w:color w:val="000000"/>
                <w:kern w:val="0"/>
              </w:rPr>
            </w:pPr>
            <w:r w:rsidRPr="009F0E09">
              <w:rPr>
                <w:color w:val="000000"/>
                <w:kern w:val="0"/>
              </w:rPr>
              <w:t>BEA040</w:t>
            </w:r>
          </w:p>
        </w:tc>
        <w:tc>
          <w:tcPr>
            <w:tcW w:w="5760" w:type="dxa"/>
            <w:tcBorders>
              <w:top w:val="nil"/>
              <w:left w:val="nil"/>
              <w:bottom w:val="nil"/>
              <w:right w:val="nil"/>
            </w:tcBorders>
            <w:shd w:val="clear" w:color="auto" w:fill="auto"/>
            <w:noWrap/>
            <w:vAlign w:val="bottom"/>
            <w:hideMark/>
          </w:tcPr>
          <w:p w:rsidR="00670D4D" w:rsidRPr="009F0E09" w:rsidP="00E9507C" w14:paraId="09755668" w14:textId="77777777">
            <w:pPr>
              <w:rPr>
                <w:color w:val="000000"/>
                <w:kern w:val="0"/>
              </w:rPr>
            </w:pPr>
            <w:r w:rsidRPr="009F0E09">
              <w:rPr>
                <w:color w:val="000000"/>
                <w:kern w:val="0"/>
              </w:rPr>
              <w:t>Atlanta, GA-AL-NC</w:t>
            </w:r>
          </w:p>
        </w:tc>
        <w:tc>
          <w:tcPr>
            <w:tcW w:w="2160" w:type="dxa"/>
            <w:tcBorders>
              <w:top w:val="nil"/>
              <w:left w:val="nil"/>
              <w:bottom w:val="nil"/>
              <w:right w:val="nil"/>
            </w:tcBorders>
            <w:shd w:val="clear" w:color="auto" w:fill="auto"/>
            <w:noWrap/>
            <w:vAlign w:val="bottom"/>
            <w:hideMark/>
          </w:tcPr>
          <w:p w:rsidR="00670D4D" w:rsidRPr="009F0E09" w:rsidP="00E9507C" w14:paraId="75807F63" w14:textId="77777777">
            <w:pPr>
              <w:ind w:right="555"/>
              <w:jc w:val="center"/>
              <w:rPr>
                <w:color w:val="000000"/>
                <w:kern w:val="0"/>
              </w:rPr>
            </w:pPr>
            <w:r w:rsidRPr="009F0E09">
              <w:rPr>
                <w:color w:val="000000"/>
                <w:kern w:val="0"/>
              </w:rPr>
              <w:t>C</w:t>
            </w:r>
          </w:p>
        </w:tc>
      </w:tr>
      <w:tr w14:paraId="7BADE4D7"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74F70B3F" w14:textId="77777777">
            <w:pPr>
              <w:jc w:val="center"/>
              <w:rPr>
                <w:color w:val="000000"/>
                <w:kern w:val="0"/>
              </w:rPr>
            </w:pPr>
            <w:r w:rsidRPr="009F0E09">
              <w:rPr>
                <w:color w:val="000000"/>
                <w:kern w:val="0"/>
              </w:rPr>
              <w:t>WPQP931</w:t>
            </w:r>
          </w:p>
        </w:tc>
        <w:tc>
          <w:tcPr>
            <w:tcW w:w="1440" w:type="dxa"/>
            <w:tcBorders>
              <w:top w:val="nil"/>
              <w:left w:val="nil"/>
              <w:bottom w:val="nil"/>
              <w:right w:val="nil"/>
            </w:tcBorders>
            <w:shd w:val="clear" w:color="auto" w:fill="auto"/>
            <w:noWrap/>
            <w:vAlign w:val="bottom"/>
            <w:hideMark/>
          </w:tcPr>
          <w:p w:rsidR="00670D4D" w:rsidRPr="009F0E09" w:rsidP="00E9507C" w14:paraId="44776A78" w14:textId="77777777">
            <w:pPr>
              <w:ind w:hanging="99"/>
              <w:jc w:val="center"/>
              <w:rPr>
                <w:color w:val="000000"/>
                <w:kern w:val="0"/>
              </w:rPr>
            </w:pPr>
            <w:r w:rsidRPr="009F0E09">
              <w:rPr>
                <w:color w:val="000000"/>
                <w:kern w:val="0"/>
              </w:rPr>
              <w:t>BEA053</w:t>
            </w:r>
          </w:p>
        </w:tc>
        <w:tc>
          <w:tcPr>
            <w:tcW w:w="5760" w:type="dxa"/>
            <w:tcBorders>
              <w:top w:val="nil"/>
              <w:left w:val="nil"/>
              <w:bottom w:val="nil"/>
              <w:right w:val="nil"/>
            </w:tcBorders>
            <w:shd w:val="clear" w:color="auto" w:fill="auto"/>
            <w:noWrap/>
            <w:vAlign w:val="bottom"/>
            <w:hideMark/>
          </w:tcPr>
          <w:p w:rsidR="00670D4D" w:rsidRPr="009F0E09" w:rsidP="00E9507C" w14:paraId="343C5DBA" w14:textId="77777777">
            <w:pPr>
              <w:rPr>
                <w:color w:val="000000"/>
                <w:kern w:val="0"/>
              </w:rPr>
            </w:pPr>
            <w:r w:rsidRPr="009F0E09">
              <w:rPr>
                <w:color w:val="000000"/>
                <w:kern w:val="0"/>
              </w:rPr>
              <w:t>Pittsburgh, PA-WV</w:t>
            </w:r>
          </w:p>
        </w:tc>
        <w:tc>
          <w:tcPr>
            <w:tcW w:w="2160" w:type="dxa"/>
            <w:tcBorders>
              <w:top w:val="nil"/>
              <w:left w:val="nil"/>
              <w:bottom w:val="nil"/>
              <w:right w:val="nil"/>
            </w:tcBorders>
            <w:shd w:val="clear" w:color="auto" w:fill="auto"/>
            <w:noWrap/>
            <w:vAlign w:val="bottom"/>
            <w:hideMark/>
          </w:tcPr>
          <w:p w:rsidR="00670D4D" w:rsidRPr="009F0E09" w:rsidP="00E9507C" w14:paraId="0AE48423" w14:textId="77777777">
            <w:pPr>
              <w:ind w:right="555"/>
              <w:jc w:val="center"/>
              <w:rPr>
                <w:color w:val="000000"/>
                <w:kern w:val="0"/>
              </w:rPr>
            </w:pPr>
            <w:r w:rsidRPr="009F0E09">
              <w:rPr>
                <w:color w:val="000000"/>
                <w:kern w:val="0"/>
              </w:rPr>
              <w:t>B</w:t>
            </w:r>
          </w:p>
        </w:tc>
      </w:tr>
      <w:tr w14:paraId="6183580D"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5930F9CD" w14:textId="77777777">
            <w:pPr>
              <w:jc w:val="center"/>
              <w:rPr>
                <w:color w:val="000000"/>
                <w:kern w:val="0"/>
              </w:rPr>
            </w:pPr>
            <w:r w:rsidRPr="009F0E09">
              <w:rPr>
                <w:color w:val="000000"/>
                <w:kern w:val="0"/>
              </w:rPr>
              <w:t>WPQP932</w:t>
            </w:r>
          </w:p>
        </w:tc>
        <w:tc>
          <w:tcPr>
            <w:tcW w:w="1440" w:type="dxa"/>
            <w:tcBorders>
              <w:top w:val="nil"/>
              <w:left w:val="nil"/>
              <w:bottom w:val="nil"/>
              <w:right w:val="nil"/>
            </w:tcBorders>
            <w:shd w:val="clear" w:color="auto" w:fill="auto"/>
            <w:noWrap/>
            <w:vAlign w:val="bottom"/>
            <w:hideMark/>
          </w:tcPr>
          <w:p w:rsidR="00670D4D" w:rsidRPr="009F0E09" w:rsidP="00E9507C" w14:paraId="46EC0450" w14:textId="77777777">
            <w:pPr>
              <w:ind w:hanging="99"/>
              <w:jc w:val="center"/>
              <w:rPr>
                <w:color w:val="000000"/>
                <w:kern w:val="0"/>
              </w:rPr>
            </w:pPr>
            <w:r w:rsidRPr="009F0E09">
              <w:rPr>
                <w:color w:val="000000"/>
                <w:kern w:val="0"/>
              </w:rPr>
              <w:t>BEA053</w:t>
            </w:r>
          </w:p>
        </w:tc>
        <w:tc>
          <w:tcPr>
            <w:tcW w:w="5760" w:type="dxa"/>
            <w:tcBorders>
              <w:top w:val="nil"/>
              <w:left w:val="nil"/>
              <w:bottom w:val="nil"/>
              <w:right w:val="nil"/>
            </w:tcBorders>
            <w:shd w:val="clear" w:color="auto" w:fill="auto"/>
            <w:noWrap/>
            <w:vAlign w:val="bottom"/>
            <w:hideMark/>
          </w:tcPr>
          <w:p w:rsidR="00670D4D" w:rsidRPr="009F0E09" w:rsidP="00E9507C" w14:paraId="676E5EE8" w14:textId="77777777">
            <w:pPr>
              <w:rPr>
                <w:color w:val="000000"/>
                <w:kern w:val="0"/>
              </w:rPr>
            </w:pPr>
            <w:r w:rsidRPr="009F0E09">
              <w:rPr>
                <w:color w:val="000000"/>
                <w:kern w:val="0"/>
              </w:rPr>
              <w:t>Pittsburgh, PA-WV</w:t>
            </w:r>
          </w:p>
        </w:tc>
        <w:tc>
          <w:tcPr>
            <w:tcW w:w="2160" w:type="dxa"/>
            <w:tcBorders>
              <w:top w:val="nil"/>
              <w:left w:val="nil"/>
              <w:bottom w:val="nil"/>
              <w:right w:val="nil"/>
            </w:tcBorders>
            <w:shd w:val="clear" w:color="auto" w:fill="auto"/>
            <w:noWrap/>
            <w:vAlign w:val="bottom"/>
            <w:hideMark/>
          </w:tcPr>
          <w:p w:rsidR="00670D4D" w:rsidRPr="009F0E09" w:rsidP="00E9507C" w14:paraId="103BCF10" w14:textId="77777777">
            <w:pPr>
              <w:ind w:right="555"/>
              <w:jc w:val="center"/>
              <w:rPr>
                <w:color w:val="000000"/>
                <w:kern w:val="0"/>
              </w:rPr>
            </w:pPr>
            <w:r w:rsidRPr="009F0E09">
              <w:rPr>
                <w:color w:val="000000"/>
                <w:kern w:val="0"/>
              </w:rPr>
              <w:t>C</w:t>
            </w:r>
          </w:p>
        </w:tc>
      </w:tr>
      <w:tr w14:paraId="1AF2F5D4"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6D5D041" w14:textId="77777777">
            <w:pPr>
              <w:jc w:val="center"/>
              <w:rPr>
                <w:color w:val="000000"/>
                <w:kern w:val="0"/>
              </w:rPr>
            </w:pPr>
            <w:r w:rsidRPr="009F0E09">
              <w:rPr>
                <w:color w:val="000000"/>
                <w:kern w:val="0"/>
              </w:rPr>
              <w:t>WPQP939</w:t>
            </w:r>
          </w:p>
        </w:tc>
        <w:tc>
          <w:tcPr>
            <w:tcW w:w="1440" w:type="dxa"/>
            <w:tcBorders>
              <w:top w:val="nil"/>
              <w:left w:val="nil"/>
              <w:bottom w:val="nil"/>
              <w:right w:val="nil"/>
            </w:tcBorders>
            <w:shd w:val="clear" w:color="auto" w:fill="auto"/>
            <w:noWrap/>
            <w:vAlign w:val="bottom"/>
            <w:hideMark/>
          </w:tcPr>
          <w:p w:rsidR="00670D4D" w:rsidRPr="009F0E09" w:rsidP="00E9507C" w14:paraId="53A305CF" w14:textId="77777777">
            <w:pPr>
              <w:ind w:hanging="99"/>
              <w:jc w:val="center"/>
              <w:rPr>
                <w:color w:val="000000"/>
                <w:kern w:val="0"/>
              </w:rPr>
            </w:pPr>
            <w:r w:rsidRPr="009F0E09">
              <w:rPr>
                <w:color w:val="000000"/>
                <w:kern w:val="0"/>
              </w:rPr>
              <w:t>BEA057</w:t>
            </w:r>
          </w:p>
        </w:tc>
        <w:tc>
          <w:tcPr>
            <w:tcW w:w="5760" w:type="dxa"/>
            <w:tcBorders>
              <w:top w:val="nil"/>
              <w:left w:val="nil"/>
              <w:bottom w:val="nil"/>
              <w:right w:val="nil"/>
            </w:tcBorders>
            <w:shd w:val="clear" w:color="auto" w:fill="auto"/>
            <w:noWrap/>
            <w:vAlign w:val="bottom"/>
            <w:hideMark/>
          </w:tcPr>
          <w:p w:rsidR="00670D4D" w:rsidRPr="009F0E09" w:rsidP="00E9507C" w14:paraId="3022B8E2" w14:textId="77777777">
            <w:pPr>
              <w:rPr>
                <w:color w:val="000000"/>
                <w:kern w:val="0"/>
              </w:rPr>
            </w:pPr>
            <w:r w:rsidRPr="009F0E09">
              <w:rPr>
                <w:color w:val="000000"/>
                <w:kern w:val="0"/>
              </w:rPr>
              <w:t>Detroit-Ann Arbor-Flint, MI</w:t>
            </w:r>
          </w:p>
        </w:tc>
        <w:tc>
          <w:tcPr>
            <w:tcW w:w="2160" w:type="dxa"/>
            <w:tcBorders>
              <w:top w:val="nil"/>
              <w:left w:val="nil"/>
              <w:bottom w:val="nil"/>
              <w:right w:val="nil"/>
            </w:tcBorders>
            <w:shd w:val="clear" w:color="auto" w:fill="auto"/>
            <w:noWrap/>
            <w:vAlign w:val="bottom"/>
            <w:hideMark/>
          </w:tcPr>
          <w:p w:rsidR="00670D4D" w:rsidRPr="009F0E09" w:rsidP="00E9507C" w14:paraId="3F1B720B" w14:textId="77777777">
            <w:pPr>
              <w:ind w:right="555"/>
              <w:jc w:val="center"/>
              <w:rPr>
                <w:color w:val="000000"/>
                <w:kern w:val="0"/>
              </w:rPr>
            </w:pPr>
            <w:r w:rsidRPr="009F0E09">
              <w:rPr>
                <w:color w:val="000000"/>
                <w:kern w:val="0"/>
              </w:rPr>
              <w:t>B</w:t>
            </w:r>
          </w:p>
        </w:tc>
      </w:tr>
      <w:tr w14:paraId="279BD30B"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75CD73B8" w14:textId="77777777">
            <w:pPr>
              <w:jc w:val="center"/>
              <w:rPr>
                <w:color w:val="000000"/>
                <w:kern w:val="0"/>
              </w:rPr>
            </w:pPr>
            <w:r w:rsidRPr="009F0E09">
              <w:rPr>
                <w:color w:val="000000"/>
                <w:kern w:val="0"/>
              </w:rPr>
              <w:t>WPQP940</w:t>
            </w:r>
          </w:p>
        </w:tc>
        <w:tc>
          <w:tcPr>
            <w:tcW w:w="1440" w:type="dxa"/>
            <w:tcBorders>
              <w:top w:val="nil"/>
              <w:left w:val="nil"/>
              <w:bottom w:val="nil"/>
              <w:right w:val="nil"/>
            </w:tcBorders>
            <w:shd w:val="clear" w:color="auto" w:fill="auto"/>
            <w:noWrap/>
            <w:vAlign w:val="bottom"/>
            <w:hideMark/>
          </w:tcPr>
          <w:p w:rsidR="00670D4D" w:rsidRPr="009F0E09" w:rsidP="00E9507C" w14:paraId="65DD5267" w14:textId="77777777">
            <w:pPr>
              <w:ind w:hanging="99"/>
              <w:jc w:val="center"/>
              <w:rPr>
                <w:color w:val="000000"/>
                <w:kern w:val="0"/>
              </w:rPr>
            </w:pPr>
            <w:r w:rsidRPr="009F0E09">
              <w:rPr>
                <w:color w:val="000000"/>
                <w:kern w:val="0"/>
              </w:rPr>
              <w:t>BEA057</w:t>
            </w:r>
          </w:p>
        </w:tc>
        <w:tc>
          <w:tcPr>
            <w:tcW w:w="5760" w:type="dxa"/>
            <w:tcBorders>
              <w:top w:val="nil"/>
              <w:left w:val="nil"/>
              <w:bottom w:val="nil"/>
              <w:right w:val="nil"/>
            </w:tcBorders>
            <w:shd w:val="clear" w:color="auto" w:fill="auto"/>
            <w:noWrap/>
            <w:vAlign w:val="bottom"/>
            <w:hideMark/>
          </w:tcPr>
          <w:p w:rsidR="00670D4D" w:rsidRPr="009F0E09" w:rsidP="00E9507C" w14:paraId="76AF1D4B" w14:textId="77777777">
            <w:pPr>
              <w:rPr>
                <w:color w:val="000000"/>
                <w:kern w:val="0"/>
              </w:rPr>
            </w:pPr>
            <w:r w:rsidRPr="009F0E09">
              <w:rPr>
                <w:color w:val="000000"/>
                <w:kern w:val="0"/>
              </w:rPr>
              <w:t>Detroit-Ann Arbor-Flint, MI</w:t>
            </w:r>
          </w:p>
        </w:tc>
        <w:tc>
          <w:tcPr>
            <w:tcW w:w="2160" w:type="dxa"/>
            <w:tcBorders>
              <w:top w:val="nil"/>
              <w:left w:val="nil"/>
              <w:bottom w:val="nil"/>
              <w:right w:val="nil"/>
            </w:tcBorders>
            <w:shd w:val="clear" w:color="auto" w:fill="auto"/>
            <w:noWrap/>
            <w:vAlign w:val="bottom"/>
            <w:hideMark/>
          </w:tcPr>
          <w:p w:rsidR="00670D4D" w:rsidRPr="009F0E09" w:rsidP="00E9507C" w14:paraId="3703CB52" w14:textId="77777777">
            <w:pPr>
              <w:ind w:right="555"/>
              <w:jc w:val="center"/>
              <w:rPr>
                <w:color w:val="000000"/>
                <w:kern w:val="0"/>
              </w:rPr>
            </w:pPr>
            <w:r w:rsidRPr="009F0E09">
              <w:rPr>
                <w:color w:val="000000"/>
                <w:kern w:val="0"/>
              </w:rPr>
              <w:t>C</w:t>
            </w:r>
          </w:p>
        </w:tc>
      </w:tr>
      <w:tr w14:paraId="1A72A385"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FFC2710" w14:textId="77777777">
            <w:pPr>
              <w:jc w:val="center"/>
              <w:rPr>
                <w:color w:val="000000"/>
                <w:kern w:val="0"/>
              </w:rPr>
            </w:pPr>
            <w:r w:rsidRPr="009F0E09">
              <w:rPr>
                <w:color w:val="000000"/>
                <w:kern w:val="0"/>
              </w:rPr>
              <w:t>WPQP947</w:t>
            </w:r>
          </w:p>
        </w:tc>
        <w:tc>
          <w:tcPr>
            <w:tcW w:w="1440" w:type="dxa"/>
            <w:tcBorders>
              <w:top w:val="nil"/>
              <w:left w:val="nil"/>
              <w:bottom w:val="nil"/>
              <w:right w:val="nil"/>
            </w:tcBorders>
            <w:shd w:val="clear" w:color="auto" w:fill="auto"/>
            <w:noWrap/>
            <w:vAlign w:val="bottom"/>
            <w:hideMark/>
          </w:tcPr>
          <w:p w:rsidR="00670D4D" w:rsidRPr="009F0E09" w:rsidP="00E9507C" w14:paraId="27735107" w14:textId="77777777">
            <w:pPr>
              <w:ind w:hanging="99"/>
              <w:jc w:val="center"/>
              <w:rPr>
                <w:color w:val="000000"/>
                <w:kern w:val="0"/>
              </w:rPr>
            </w:pPr>
            <w:r w:rsidRPr="009F0E09">
              <w:rPr>
                <w:color w:val="000000"/>
                <w:kern w:val="0"/>
              </w:rPr>
              <w:t>BEA064</w:t>
            </w:r>
          </w:p>
        </w:tc>
        <w:tc>
          <w:tcPr>
            <w:tcW w:w="5760" w:type="dxa"/>
            <w:tcBorders>
              <w:top w:val="nil"/>
              <w:left w:val="nil"/>
              <w:bottom w:val="nil"/>
              <w:right w:val="nil"/>
            </w:tcBorders>
            <w:shd w:val="clear" w:color="auto" w:fill="auto"/>
            <w:noWrap/>
            <w:vAlign w:val="bottom"/>
            <w:hideMark/>
          </w:tcPr>
          <w:p w:rsidR="00670D4D" w:rsidRPr="009F0E09" w:rsidP="00E9507C" w14:paraId="0DF84693" w14:textId="77777777">
            <w:pPr>
              <w:rPr>
                <w:color w:val="000000"/>
                <w:kern w:val="0"/>
              </w:rPr>
            </w:pPr>
            <w:r w:rsidRPr="009F0E09">
              <w:rPr>
                <w:color w:val="000000"/>
                <w:kern w:val="0"/>
              </w:rPr>
              <w:t>Chicago-Gary-Kenosha, IL-IN-WI</w:t>
            </w:r>
          </w:p>
        </w:tc>
        <w:tc>
          <w:tcPr>
            <w:tcW w:w="2160" w:type="dxa"/>
            <w:tcBorders>
              <w:top w:val="nil"/>
              <w:left w:val="nil"/>
              <w:bottom w:val="nil"/>
              <w:right w:val="nil"/>
            </w:tcBorders>
            <w:shd w:val="clear" w:color="auto" w:fill="auto"/>
            <w:noWrap/>
            <w:vAlign w:val="bottom"/>
            <w:hideMark/>
          </w:tcPr>
          <w:p w:rsidR="00670D4D" w:rsidRPr="009F0E09" w:rsidP="00E9507C" w14:paraId="08B81E64" w14:textId="77777777">
            <w:pPr>
              <w:ind w:right="555"/>
              <w:jc w:val="center"/>
              <w:rPr>
                <w:color w:val="000000"/>
                <w:kern w:val="0"/>
              </w:rPr>
            </w:pPr>
            <w:r w:rsidRPr="009F0E09">
              <w:rPr>
                <w:color w:val="000000"/>
                <w:kern w:val="0"/>
              </w:rPr>
              <w:t>B</w:t>
            </w:r>
          </w:p>
        </w:tc>
      </w:tr>
      <w:tr w14:paraId="6091C098"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3AF7D9D7" w14:textId="77777777">
            <w:pPr>
              <w:jc w:val="center"/>
              <w:rPr>
                <w:color w:val="000000"/>
                <w:kern w:val="0"/>
              </w:rPr>
            </w:pPr>
            <w:r w:rsidRPr="009F0E09">
              <w:rPr>
                <w:color w:val="000000"/>
                <w:kern w:val="0"/>
              </w:rPr>
              <w:t>WPQP948</w:t>
            </w:r>
          </w:p>
        </w:tc>
        <w:tc>
          <w:tcPr>
            <w:tcW w:w="1440" w:type="dxa"/>
            <w:tcBorders>
              <w:top w:val="nil"/>
              <w:left w:val="nil"/>
              <w:bottom w:val="nil"/>
              <w:right w:val="nil"/>
            </w:tcBorders>
            <w:shd w:val="clear" w:color="auto" w:fill="auto"/>
            <w:noWrap/>
            <w:vAlign w:val="bottom"/>
            <w:hideMark/>
          </w:tcPr>
          <w:p w:rsidR="00670D4D" w:rsidRPr="009F0E09" w:rsidP="00E9507C" w14:paraId="516CF39B" w14:textId="77777777">
            <w:pPr>
              <w:ind w:hanging="99"/>
              <w:jc w:val="center"/>
              <w:rPr>
                <w:color w:val="000000"/>
                <w:kern w:val="0"/>
              </w:rPr>
            </w:pPr>
            <w:r w:rsidRPr="009F0E09">
              <w:rPr>
                <w:color w:val="000000"/>
                <w:kern w:val="0"/>
              </w:rPr>
              <w:t>BEA064</w:t>
            </w:r>
          </w:p>
        </w:tc>
        <w:tc>
          <w:tcPr>
            <w:tcW w:w="5760" w:type="dxa"/>
            <w:tcBorders>
              <w:top w:val="nil"/>
              <w:left w:val="nil"/>
              <w:bottom w:val="nil"/>
              <w:right w:val="nil"/>
            </w:tcBorders>
            <w:shd w:val="clear" w:color="auto" w:fill="auto"/>
            <w:noWrap/>
            <w:vAlign w:val="bottom"/>
            <w:hideMark/>
          </w:tcPr>
          <w:p w:rsidR="00670D4D" w:rsidRPr="009F0E09" w:rsidP="00E9507C" w14:paraId="5BCA6DBA" w14:textId="77777777">
            <w:pPr>
              <w:rPr>
                <w:color w:val="000000"/>
                <w:kern w:val="0"/>
              </w:rPr>
            </w:pPr>
            <w:r w:rsidRPr="009F0E09">
              <w:rPr>
                <w:color w:val="000000"/>
                <w:kern w:val="0"/>
              </w:rPr>
              <w:t>Chicago-Gary-Kenosha, IL-IN-WI</w:t>
            </w:r>
          </w:p>
        </w:tc>
        <w:tc>
          <w:tcPr>
            <w:tcW w:w="2160" w:type="dxa"/>
            <w:tcBorders>
              <w:top w:val="nil"/>
              <w:left w:val="nil"/>
              <w:bottom w:val="nil"/>
              <w:right w:val="nil"/>
            </w:tcBorders>
            <w:shd w:val="clear" w:color="auto" w:fill="auto"/>
            <w:noWrap/>
            <w:vAlign w:val="bottom"/>
            <w:hideMark/>
          </w:tcPr>
          <w:p w:rsidR="00670D4D" w:rsidRPr="009F0E09" w:rsidP="00E9507C" w14:paraId="7FE07266" w14:textId="77777777">
            <w:pPr>
              <w:ind w:right="555"/>
              <w:jc w:val="center"/>
              <w:rPr>
                <w:color w:val="000000"/>
                <w:kern w:val="0"/>
              </w:rPr>
            </w:pPr>
            <w:r w:rsidRPr="009F0E09">
              <w:rPr>
                <w:color w:val="000000"/>
                <w:kern w:val="0"/>
              </w:rPr>
              <w:t>C</w:t>
            </w:r>
          </w:p>
        </w:tc>
      </w:tr>
      <w:tr w14:paraId="3A7D9DB1"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529665B4" w14:textId="77777777">
            <w:pPr>
              <w:jc w:val="center"/>
              <w:rPr>
                <w:color w:val="000000"/>
                <w:kern w:val="0"/>
              </w:rPr>
            </w:pPr>
            <w:r w:rsidRPr="009F0E09">
              <w:rPr>
                <w:color w:val="000000"/>
                <w:kern w:val="0"/>
              </w:rPr>
              <w:t>WPQP991</w:t>
            </w:r>
          </w:p>
        </w:tc>
        <w:tc>
          <w:tcPr>
            <w:tcW w:w="1440" w:type="dxa"/>
            <w:tcBorders>
              <w:top w:val="nil"/>
              <w:left w:val="nil"/>
              <w:bottom w:val="nil"/>
              <w:right w:val="nil"/>
            </w:tcBorders>
            <w:shd w:val="clear" w:color="auto" w:fill="auto"/>
            <w:noWrap/>
            <w:vAlign w:val="bottom"/>
            <w:hideMark/>
          </w:tcPr>
          <w:p w:rsidR="00670D4D" w:rsidRPr="009F0E09" w:rsidP="00E9507C" w14:paraId="6EC8861A" w14:textId="77777777">
            <w:pPr>
              <w:ind w:hanging="99"/>
              <w:jc w:val="center"/>
              <w:rPr>
                <w:color w:val="000000"/>
                <w:kern w:val="0"/>
              </w:rPr>
            </w:pPr>
            <w:r w:rsidRPr="009F0E09">
              <w:rPr>
                <w:color w:val="000000"/>
                <w:kern w:val="0"/>
              </w:rPr>
              <w:t>BEA096</w:t>
            </w:r>
          </w:p>
        </w:tc>
        <w:tc>
          <w:tcPr>
            <w:tcW w:w="5760" w:type="dxa"/>
            <w:tcBorders>
              <w:top w:val="nil"/>
              <w:left w:val="nil"/>
              <w:bottom w:val="nil"/>
              <w:right w:val="nil"/>
            </w:tcBorders>
            <w:shd w:val="clear" w:color="auto" w:fill="auto"/>
            <w:noWrap/>
            <w:vAlign w:val="bottom"/>
            <w:hideMark/>
          </w:tcPr>
          <w:p w:rsidR="00670D4D" w:rsidRPr="009F0E09" w:rsidP="00E9507C" w14:paraId="1DCD79E0" w14:textId="77777777">
            <w:pPr>
              <w:rPr>
                <w:color w:val="000000"/>
                <w:kern w:val="0"/>
              </w:rPr>
            </w:pPr>
            <w:r w:rsidRPr="009F0E09">
              <w:rPr>
                <w:color w:val="000000"/>
                <w:kern w:val="0"/>
              </w:rPr>
              <w:t>St. Louis, MO-IL</w:t>
            </w:r>
          </w:p>
        </w:tc>
        <w:tc>
          <w:tcPr>
            <w:tcW w:w="2160" w:type="dxa"/>
            <w:tcBorders>
              <w:top w:val="nil"/>
              <w:left w:val="nil"/>
              <w:bottom w:val="nil"/>
              <w:right w:val="nil"/>
            </w:tcBorders>
            <w:shd w:val="clear" w:color="auto" w:fill="auto"/>
            <w:noWrap/>
            <w:vAlign w:val="bottom"/>
            <w:hideMark/>
          </w:tcPr>
          <w:p w:rsidR="00670D4D" w:rsidRPr="009F0E09" w:rsidP="00E9507C" w14:paraId="6EC94589" w14:textId="77777777">
            <w:pPr>
              <w:ind w:right="555"/>
              <w:jc w:val="center"/>
              <w:rPr>
                <w:color w:val="000000"/>
                <w:kern w:val="0"/>
              </w:rPr>
            </w:pPr>
            <w:r w:rsidRPr="009F0E09">
              <w:rPr>
                <w:color w:val="000000"/>
                <w:kern w:val="0"/>
              </w:rPr>
              <w:t>B</w:t>
            </w:r>
          </w:p>
        </w:tc>
      </w:tr>
      <w:tr w14:paraId="52AEBDD4"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0177223" w14:textId="77777777">
            <w:pPr>
              <w:jc w:val="center"/>
              <w:rPr>
                <w:color w:val="000000"/>
                <w:kern w:val="0"/>
              </w:rPr>
            </w:pPr>
            <w:r w:rsidRPr="009F0E09">
              <w:rPr>
                <w:color w:val="000000"/>
                <w:kern w:val="0"/>
              </w:rPr>
              <w:t>WPQP992</w:t>
            </w:r>
          </w:p>
        </w:tc>
        <w:tc>
          <w:tcPr>
            <w:tcW w:w="1440" w:type="dxa"/>
            <w:tcBorders>
              <w:top w:val="nil"/>
              <w:left w:val="nil"/>
              <w:bottom w:val="nil"/>
              <w:right w:val="nil"/>
            </w:tcBorders>
            <w:shd w:val="clear" w:color="auto" w:fill="auto"/>
            <w:noWrap/>
            <w:vAlign w:val="bottom"/>
            <w:hideMark/>
          </w:tcPr>
          <w:p w:rsidR="00670D4D" w:rsidRPr="009F0E09" w:rsidP="00E9507C" w14:paraId="1E824C3C" w14:textId="77777777">
            <w:pPr>
              <w:ind w:hanging="99"/>
              <w:jc w:val="center"/>
              <w:rPr>
                <w:color w:val="000000"/>
                <w:kern w:val="0"/>
              </w:rPr>
            </w:pPr>
            <w:r w:rsidRPr="009F0E09">
              <w:rPr>
                <w:color w:val="000000"/>
                <w:kern w:val="0"/>
              </w:rPr>
              <w:t>BEA096</w:t>
            </w:r>
          </w:p>
        </w:tc>
        <w:tc>
          <w:tcPr>
            <w:tcW w:w="5760" w:type="dxa"/>
            <w:tcBorders>
              <w:top w:val="nil"/>
              <w:left w:val="nil"/>
              <w:bottom w:val="nil"/>
              <w:right w:val="nil"/>
            </w:tcBorders>
            <w:shd w:val="clear" w:color="auto" w:fill="auto"/>
            <w:noWrap/>
            <w:vAlign w:val="bottom"/>
            <w:hideMark/>
          </w:tcPr>
          <w:p w:rsidR="00670D4D" w:rsidRPr="009F0E09" w:rsidP="00E9507C" w14:paraId="07B35106" w14:textId="77777777">
            <w:pPr>
              <w:rPr>
                <w:color w:val="000000"/>
                <w:kern w:val="0"/>
              </w:rPr>
            </w:pPr>
            <w:r w:rsidRPr="009F0E09">
              <w:rPr>
                <w:color w:val="000000"/>
                <w:kern w:val="0"/>
              </w:rPr>
              <w:t>St. Louis, MO-IL</w:t>
            </w:r>
          </w:p>
        </w:tc>
        <w:tc>
          <w:tcPr>
            <w:tcW w:w="2160" w:type="dxa"/>
            <w:tcBorders>
              <w:top w:val="nil"/>
              <w:left w:val="nil"/>
              <w:bottom w:val="nil"/>
              <w:right w:val="nil"/>
            </w:tcBorders>
            <w:shd w:val="clear" w:color="auto" w:fill="auto"/>
            <w:noWrap/>
            <w:vAlign w:val="bottom"/>
            <w:hideMark/>
          </w:tcPr>
          <w:p w:rsidR="00670D4D" w:rsidRPr="009F0E09" w:rsidP="00E9507C" w14:paraId="05380F47" w14:textId="77777777">
            <w:pPr>
              <w:ind w:right="555"/>
              <w:jc w:val="center"/>
              <w:rPr>
                <w:color w:val="000000"/>
                <w:kern w:val="0"/>
              </w:rPr>
            </w:pPr>
            <w:r w:rsidRPr="009F0E09">
              <w:rPr>
                <w:color w:val="000000"/>
                <w:kern w:val="0"/>
              </w:rPr>
              <w:t>C</w:t>
            </w:r>
          </w:p>
        </w:tc>
      </w:tr>
      <w:tr w14:paraId="534E806A"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4B56036" w14:textId="77777777">
            <w:pPr>
              <w:jc w:val="center"/>
              <w:rPr>
                <w:color w:val="000000"/>
                <w:kern w:val="0"/>
              </w:rPr>
            </w:pPr>
            <w:r w:rsidRPr="009F0E09">
              <w:rPr>
                <w:color w:val="000000"/>
                <w:kern w:val="0"/>
              </w:rPr>
              <w:t>WPQQ214</w:t>
            </w:r>
          </w:p>
        </w:tc>
        <w:tc>
          <w:tcPr>
            <w:tcW w:w="1440" w:type="dxa"/>
            <w:tcBorders>
              <w:top w:val="nil"/>
              <w:left w:val="nil"/>
              <w:bottom w:val="nil"/>
              <w:right w:val="nil"/>
            </w:tcBorders>
            <w:shd w:val="clear" w:color="auto" w:fill="auto"/>
            <w:noWrap/>
            <w:vAlign w:val="bottom"/>
            <w:hideMark/>
          </w:tcPr>
          <w:p w:rsidR="00670D4D" w:rsidRPr="009F0E09" w:rsidP="00E9507C" w14:paraId="0D38A434" w14:textId="77777777">
            <w:pPr>
              <w:ind w:hanging="99"/>
              <w:jc w:val="center"/>
              <w:rPr>
                <w:color w:val="000000"/>
                <w:kern w:val="0"/>
              </w:rPr>
            </w:pPr>
            <w:r w:rsidRPr="009F0E09">
              <w:rPr>
                <w:color w:val="000000"/>
                <w:kern w:val="0"/>
              </w:rPr>
              <w:t>BEA127</w:t>
            </w:r>
          </w:p>
        </w:tc>
        <w:tc>
          <w:tcPr>
            <w:tcW w:w="5760" w:type="dxa"/>
            <w:tcBorders>
              <w:top w:val="nil"/>
              <w:left w:val="nil"/>
              <w:bottom w:val="nil"/>
              <w:right w:val="nil"/>
            </w:tcBorders>
            <w:shd w:val="clear" w:color="auto" w:fill="auto"/>
            <w:noWrap/>
            <w:vAlign w:val="bottom"/>
            <w:hideMark/>
          </w:tcPr>
          <w:p w:rsidR="00670D4D" w:rsidRPr="009F0E09" w:rsidP="00E9507C" w14:paraId="5100154A" w14:textId="77777777">
            <w:pPr>
              <w:rPr>
                <w:color w:val="000000"/>
                <w:kern w:val="0"/>
              </w:rPr>
            </w:pPr>
            <w:r w:rsidRPr="009F0E09">
              <w:rPr>
                <w:color w:val="000000"/>
                <w:kern w:val="0"/>
              </w:rPr>
              <w:t>Dallas-Fort Worth, TX-AR-OK</w:t>
            </w:r>
          </w:p>
        </w:tc>
        <w:tc>
          <w:tcPr>
            <w:tcW w:w="2160" w:type="dxa"/>
            <w:tcBorders>
              <w:top w:val="nil"/>
              <w:left w:val="nil"/>
              <w:bottom w:val="nil"/>
              <w:right w:val="nil"/>
            </w:tcBorders>
            <w:shd w:val="clear" w:color="auto" w:fill="auto"/>
            <w:noWrap/>
            <w:vAlign w:val="bottom"/>
            <w:hideMark/>
          </w:tcPr>
          <w:p w:rsidR="00670D4D" w:rsidRPr="009F0E09" w:rsidP="00E9507C" w14:paraId="0B3D8CC8" w14:textId="77777777">
            <w:pPr>
              <w:ind w:right="555"/>
              <w:jc w:val="center"/>
              <w:rPr>
                <w:color w:val="000000"/>
                <w:kern w:val="0"/>
              </w:rPr>
            </w:pPr>
            <w:r w:rsidRPr="009F0E09">
              <w:rPr>
                <w:color w:val="000000"/>
                <w:kern w:val="0"/>
              </w:rPr>
              <w:t>B</w:t>
            </w:r>
          </w:p>
        </w:tc>
      </w:tr>
      <w:tr w14:paraId="3100091E"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5A13F59" w14:textId="77777777">
            <w:pPr>
              <w:jc w:val="center"/>
              <w:rPr>
                <w:color w:val="000000"/>
                <w:kern w:val="0"/>
              </w:rPr>
            </w:pPr>
            <w:r w:rsidRPr="009F0E09">
              <w:rPr>
                <w:color w:val="000000"/>
                <w:kern w:val="0"/>
              </w:rPr>
              <w:t>WPQQ215</w:t>
            </w:r>
          </w:p>
        </w:tc>
        <w:tc>
          <w:tcPr>
            <w:tcW w:w="1440" w:type="dxa"/>
            <w:tcBorders>
              <w:top w:val="nil"/>
              <w:left w:val="nil"/>
              <w:bottom w:val="nil"/>
              <w:right w:val="nil"/>
            </w:tcBorders>
            <w:shd w:val="clear" w:color="auto" w:fill="auto"/>
            <w:noWrap/>
            <w:vAlign w:val="bottom"/>
            <w:hideMark/>
          </w:tcPr>
          <w:p w:rsidR="00670D4D" w:rsidRPr="009F0E09" w:rsidP="00E9507C" w14:paraId="1607EED5" w14:textId="77777777">
            <w:pPr>
              <w:ind w:hanging="99"/>
              <w:jc w:val="center"/>
              <w:rPr>
                <w:color w:val="000000"/>
                <w:kern w:val="0"/>
              </w:rPr>
            </w:pPr>
            <w:r w:rsidRPr="009F0E09">
              <w:rPr>
                <w:color w:val="000000"/>
                <w:kern w:val="0"/>
              </w:rPr>
              <w:t>BEA127</w:t>
            </w:r>
          </w:p>
        </w:tc>
        <w:tc>
          <w:tcPr>
            <w:tcW w:w="5760" w:type="dxa"/>
            <w:tcBorders>
              <w:top w:val="nil"/>
              <w:left w:val="nil"/>
              <w:bottom w:val="nil"/>
              <w:right w:val="nil"/>
            </w:tcBorders>
            <w:shd w:val="clear" w:color="auto" w:fill="auto"/>
            <w:noWrap/>
            <w:vAlign w:val="bottom"/>
            <w:hideMark/>
          </w:tcPr>
          <w:p w:rsidR="00670D4D" w:rsidRPr="009F0E09" w:rsidP="00E9507C" w14:paraId="49622F61" w14:textId="77777777">
            <w:pPr>
              <w:rPr>
                <w:color w:val="000000"/>
                <w:kern w:val="0"/>
              </w:rPr>
            </w:pPr>
            <w:r w:rsidRPr="009F0E09">
              <w:rPr>
                <w:color w:val="000000"/>
                <w:kern w:val="0"/>
              </w:rPr>
              <w:t>Dallas-Fort Worth, TX-AR-OK</w:t>
            </w:r>
          </w:p>
        </w:tc>
        <w:tc>
          <w:tcPr>
            <w:tcW w:w="2160" w:type="dxa"/>
            <w:tcBorders>
              <w:top w:val="nil"/>
              <w:left w:val="nil"/>
              <w:bottom w:val="nil"/>
              <w:right w:val="nil"/>
            </w:tcBorders>
            <w:shd w:val="clear" w:color="auto" w:fill="auto"/>
            <w:noWrap/>
            <w:vAlign w:val="bottom"/>
            <w:hideMark/>
          </w:tcPr>
          <w:p w:rsidR="00670D4D" w:rsidRPr="009F0E09" w:rsidP="00E9507C" w14:paraId="56C07973" w14:textId="77777777">
            <w:pPr>
              <w:ind w:right="555"/>
              <w:jc w:val="center"/>
              <w:rPr>
                <w:color w:val="000000"/>
                <w:kern w:val="0"/>
              </w:rPr>
            </w:pPr>
            <w:r w:rsidRPr="009F0E09">
              <w:rPr>
                <w:color w:val="000000"/>
                <w:kern w:val="0"/>
              </w:rPr>
              <w:t>C</w:t>
            </w:r>
          </w:p>
        </w:tc>
      </w:tr>
      <w:tr w14:paraId="6F989726"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696AA3A8" w14:textId="77777777">
            <w:pPr>
              <w:jc w:val="center"/>
              <w:rPr>
                <w:color w:val="000000"/>
                <w:kern w:val="0"/>
              </w:rPr>
            </w:pPr>
            <w:r w:rsidRPr="009F0E09">
              <w:rPr>
                <w:color w:val="000000"/>
                <w:kern w:val="0"/>
              </w:rPr>
              <w:t>WPQQ218</w:t>
            </w:r>
          </w:p>
        </w:tc>
        <w:tc>
          <w:tcPr>
            <w:tcW w:w="1440" w:type="dxa"/>
            <w:tcBorders>
              <w:top w:val="nil"/>
              <w:left w:val="nil"/>
              <w:bottom w:val="nil"/>
              <w:right w:val="nil"/>
            </w:tcBorders>
            <w:shd w:val="clear" w:color="auto" w:fill="auto"/>
            <w:noWrap/>
            <w:vAlign w:val="bottom"/>
            <w:hideMark/>
          </w:tcPr>
          <w:p w:rsidR="00670D4D" w:rsidRPr="009F0E09" w:rsidP="00E9507C" w14:paraId="3B15431E" w14:textId="77777777">
            <w:pPr>
              <w:ind w:hanging="99"/>
              <w:jc w:val="center"/>
              <w:rPr>
                <w:color w:val="000000"/>
                <w:kern w:val="0"/>
              </w:rPr>
            </w:pPr>
            <w:r w:rsidRPr="009F0E09">
              <w:rPr>
                <w:color w:val="000000"/>
                <w:kern w:val="0"/>
              </w:rPr>
              <w:t>BEA131</w:t>
            </w:r>
          </w:p>
        </w:tc>
        <w:tc>
          <w:tcPr>
            <w:tcW w:w="5760" w:type="dxa"/>
            <w:tcBorders>
              <w:top w:val="nil"/>
              <w:left w:val="nil"/>
              <w:bottom w:val="nil"/>
              <w:right w:val="nil"/>
            </w:tcBorders>
            <w:shd w:val="clear" w:color="auto" w:fill="auto"/>
            <w:noWrap/>
            <w:vAlign w:val="bottom"/>
            <w:hideMark/>
          </w:tcPr>
          <w:p w:rsidR="00670D4D" w:rsidRPr="009F0E09" w:rsidP="00E9507C" w14:paraId="39BC9CA2" w14:textId="77777777">
            <w:pPr>
              <w:rPr>
                <w:color w:val="000000"/>
                <w:kern w:val="0"/>
              </w:rPr>
            </w:pPr>
            <w:r w:rsidRPr="009F0E09">
              <w:rPr>
                <w:color w:val="000000"/>
                <w:kern w:val="0"/>
              </w:rPr>
              <w:t>Houston-Galveston-Brazoria, TX</w:t>
            </w:r>
          </w:p>
        </w:tc>
        <w:tc>
          <w:tcPr>
            <w:tcW w:w="2160" w:type="dxa"/>
            <w:tcBorders>
              <w:top w:val="nil"/>
              <w:left w:val="nil"/>
              <w:bottom w:val="nil"/>
              <w:right w:val="nil"/>
            </w:tcBorders>
            <w:shd w:val="clear" w:color="auto" w:fill="auto"/>
            <w:noWrap/>
            <w:vAlign w:val="bottom"/>
            <w:hideMark/>
          </w:tcPr>
          <w:p w:rsidR="00670D4D" w:rsidRPr="009F0E09" w:rsidP="00E9507C" w14:paraId="13D1B850" w14:textId="77777777">
            <w:pPr>
              <w:ind w:right="555"/>
              <w:jc w:val="center"/>
              <w:rPr>
                <w:color w:val="000000"/>
                <w:kern w:val="0"/>
              </w:rPr>
            </w:pPr>
            <w:r w:rsidRPr="009F0E09">
              <w:rPr>
                <w:color w:val="000000"/>
                <w:kern w:val="0"/>
              </w:rPr>
              <w:t>B</w:t>
            </w:r>
          </w:p>
        </w:tc>
      </w:tr>
      <w:tr w14:paraId="32D4FBB9"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4BEB6E96" w14:textId="77777777">
            <w:pPr>
              <w:jc w:val="center"/>
              <w:rPr>
                <w:color w:val="000000"/>
                <w:kern w:val="0"/>
              </w:rPr>
            </w:pPr>
            <w:r w:rsidRPr="009F0E09">
              <w:rPr>
                <w:color w:val="000000"/>
                <w:kern w:val="0"/>
              </w:rPr>
              <w:t>WPQQ219</w:t>
            </w:r>
          </w:p>
        </w:tc>
        <w:tc>
          <w:tcPr>
            <w:tcW w:w="1440" w:type="dxa"/>
            <w:tcBorders>
              <w:top w:val="nil"/>
              <w:left w:val="nil"/>
              <w:bottom w:val="nil"/>
              <w:right w:val="nil"/>
            </w:tcBorders>
            <w:shd w:val="clear" w:color="auto" w:fill="auto"/>
            <w:noWrap/>
            <w:vAlign w:val="bottom"/>
            <w:hideMark/>
          </w:tcPr>
          <w:p w:rsidR="00670D4D" w:rsidRPr="009F0E09" w:rsidP="00E9507C" w14:paraId="21FE4BFB" w14:textId="77777777">
            <w:pPr>
              <w:ind w:hanging="99"/>
              <w:jc w:val="center"/>
              <w:rPr>
                <w:color w:val="000000"/>
                <w:kern w:val="0"/>
              </w:rPr>
            </w:pPr>
            <w:r w:rsidRPr="009F0E09">
              <w:rPr>
                <w:color w:val="000000"/>
                <w:kern w:val="0"/>
              </w:rPr>
              <w:t>BEA131</w:t>
            </w:r>
          </w:p>
        </w:tc>
        <w:tc>
          <w:tcPr>
            <w:tcW w:w="5760" w:type="dxa"/>
            <w:tcBorders>
              <w:top w:val="nil"/>
              <w:left w:val="nil"/>
              <w:bottom w:val="nil"/>
              <w:right w:val="nil"/>
            </w:tcBorders>
            <w:shd w:val="clear" w:color="auto" w:fill="auto"/>
            <w:noWrap/>
            <w:vAlign w:val="bottom"/>
            <w:hideMark/>
          </w:tcPr>
          <w:p w:rsidR="00670D4D" w:rsidRPr="009F0E09" w:rsidP="00E9507C" w14:paraId="33B5ADB5" w14:textId="77777777">
            <w:pPr>
              <w:rPr>
                <w:color w:val="000000"/>
                <w:kern w:val="0"/>
              </w:rPr>
            </w:pPr>
            <w:r w:rsidRPr="009F0E09">
              <w:rPr>
                <w:color w:val="000000"/>
                <w:kern w:val="0"/>
              </w:rPr>
              <w:t>Houston-Galveston-Brazoria, TX</w:t>
            </w:r>
          </w:p>
        </w:tc>
        <w:tc>
          <w:tcPr>
            <w:tcW w:w="2160" w:type="dxa"/>
            <w:tcBorders>
              <w:top w:val="nil"/>
              <w:left w:val="nil"/>
              <w:bottom w:val="nil"/>
              <w:right w:val="nil"/>
            </w:tcBorders>
            <w:shd w:val="clear" w:color="auto" w:fill="auto"/>
            <w:noWrap/>
            <w:vAlign w:val="bottom"/>
            <w:hideMark/>
          </w:tcPr>
          <w:p w:rsidR="00670D4D" w:rsidRPr="009F0E09" w:rsidP="00E9507C" w14:paraId="5BD5C435" w14:textId="77777777">
            <w:pPr>
              <w:ind w:right="555"/>
              <w:jc w:val="center"/>
              <w:rPr>
                <w:color w:val="000000"/>
                <w:kern w:val="0"/>
              </w:rPr>
            </w:pPr>
            <w:r w:rsidRPr="009F0E09">
              <w:rPr>
                <w:color w:val="000000"/>
                <w:kern w:val="0"/>
              </w:rPr>
              <w:t>C</w:t>
            </w:r>
          </w:p>
        </w:tc>
      </w:tr>
      <w:tr w14:paraId="1837FB70"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2FC9B336" w14:textId="77777777">
            <w:pPr>
              <w:jc w:val="center"/>
              <w:rPr>
                <w:color w:val="000000"/>
                <w:kern w:val="0"/>
              </w:rPr>
            </w:pPr>
            <w:r w:rsidRPr="009F0E09">
              <w:rPr>
                <w:color w:val="000000"/>
                <w:kern w:val="0"/>
              </w:rPr>
              <w:t>WPQQ224</w:t>
            </w:r>
          </w:p>
        </w:tc>
        <w:tc>
          <w:tcPr>
            <w:tcW w:w="1440" w:type="dxa"/>
            <w:tcBorders>
              <w:top w:val="nil"/>
              <w:left w:val="nil"/>
              <w:bottom w:val="nil"/>
              <w:right w:val="nil"/>
            </w:tcBorders>
            <w:shd w:val="clear" w:color="auto" w:fill="auto"/>
            <w:noWrap/>
            <w:vAlign w:val="bottom"/>
            <w:hideMark/>
          </w:tcPr>
          <w:p w:rsidR="00670D4D" w:rsidRPr="009F0E09" w:rsidP="00E9507C" w14:paraId="67ECF1A3" w14:textId="77777777">
            <w:pPr>
              <w:ind w:hanging="99"/>
              <w:jc w:val="center"/>
              <w:rPr>
                <w:color w:val="000000"/>
                <w:kern w:val="0"/>
              </w:rPr>
            </w:pPr>
            <w:r w:rsidRPr="009F0E09">
              <w:rPr>
                <w:color w:val="000000"/>
                <w:kern w:val="0"/>
              </w:rPr>
              <w:t>BEA134</w:t>
            </w:r>
          </w:p>
        </w:tc>
        <w:tc>
          <w:tcPr>
            <w:tcW w:w="5760" w:type="dxa"/>
            <w:tcBorders>
              <w:top w:val="nil"/>
              <w:left w:val="nil"/>
              <w:bottom w:val="nil"/>
              <w:right w:val="nil"/>
            </w:tcBorders>
            <w:shd w:val="clear" w:color="auto" w:fill="auto"/>
            <w:noWrap/>
            <w:vAlign w:val="bottom"/>
            <w:hideMark/>
          </w:tcPr>
          <w:p w:rsidR="00670D4D" w:rsidRPr="009F0E09" w:rsidP="00E9507C" w14:paraId="07FEDDF3" w14:textId="77777777">
            <w:pPr>
              <w:rPr>
                <w:color w:val="000000"/>
                <w:kern w:val="0"/>
              </w:rPr>
            </w:pPr>
            <w:r w:rsidRPr="009F0E09">
              <w:rPr>
                <w:color w:val="000000"/>
                <w:kern w:val="0"/>
              </w:rPr>
              <w:t>San Antonio, TX</w:t>
            </w:r>
          </w:p>
        </w:tc>
        <w:tc>
          <w:tcPr>
            <w:tcW w:w="2160" w:type="dxa"/>
            <w:tcBorders>
              <w:top w:val="nil"/>
              <w:left w:val="nil"/>
              <w:bottom w:val="nil"/>
              <w:right w:val="nil"/>
            </w:tcBorders>
            <w:shd w:val="clear" w:color="auto" w:fill="auto"/>
            <w:noWrap/>
            <w:vAlign w:val="bottom"/>
            <w:hideMark/>
          </w:tcPr>
          <w:p w:rsidR="00670D4D" w:rsidRPr="009F0E09" w:rsidP="00E9507C" w14:paraId="57955DB0" w14:textId="77777777">
            <w:pPr>
              <w:ind w:right="555"/>
              <w:jc w:val="center"/>
              <w:rPr>
                <w:color w:val="000000"/>
                <w:kern w:val="0"/>
              </w:rPr>
            </w:pPr>
            <w:r w:rsidRPr="009F0E09">
              <w:rPr>
                <w:color w:val="000000"/>
                <w:kern w:val="0"/>
              </w:rPr>
              <w:t>B</w:t>
            </w:r>
          </w:p>
        </w:tc>
      </w:tr>
      <w:tr w14:paraId="1E62CE39"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36B5AAA4" w14:textId="77777777">
            <w:pPr>
              <w:jc w:val="center"/>
              <w:rPr>
                <w:color w:val="000000"/>
                <w:kern w:val="0"/>
              </w:rPr>
            </w:pPr>
            <w:r w:rsidRPr="009F0E09">
              <w:rPr>
                <w:color w:val="000000"/>
                <w:kern w:val="0"/>
              </w:rPr>
              <w:t>WPQQ225</w:t>
            </w:r>
          </w:p>
        </w:tc>
        <w:tc>
          <w:tcPr>
            <w:tcW w:w="1440" w:type="dxa"/>
            <w:tcBorders>
              <w:top w:val="nil"/>
              <w:left w:val="nil"/>
              <w:bottom w:val="nil"/>
              <w:right w:val="nil"/>
            </w:tcBorders>
            <w:shd w:val="clear" w:color="auto" w:fill="auto"/>
            <w:noWrap/>
            <w:vAlign w:val="bottom"/>
            <w:hideMark/>
          </w:tcPr>
          <w:p w:rsidR="00670D4D" w:rsidRPr="009F0E09" w:rsidP="00E9507C" w14:paraId="72601CD5" w14:textId="77777777">
            <w:pPr>
              <w:ind w:hanging="99"/>
              <w:jc w:val="center"/>
              <w:rPr>
                <w:color w:val="000000"/>
                <w:kern w:val="0"/>
              </w:rPr>
            </w:pPr>
            <w:r w:rsidRPr="009F0E09">
              <w:rPr>
                <w:color w:val="000000"/>
                <w:kern w:val="0"/>
              </w:rPr>
              <w:t>BEA134</w:t>
            </w:r>
          </w:p>
        </w:tc>
        <w:tc>
          <w:tcPr>
            <w:tcW w:w="5760" w:type="dxa"/>
            <w:tcBorders>
              <w:top w:val="nil"/>
              <w:left w:val="nil"/>
              <w:bottom w:val="nil"/>
              <w:right w:val="nil"/>
            </w:tcBorders>
            <w:shd w:val="clear" w:color="auto" w:fill="auto"/>
            <w:noWrap/>
            <w:vAlign w:val="bottom"/>
            <w:hideMark/>
          </w:tcPr>
          <w:p w:rsidR="00670D4D" w:rsidRPr="009F0E09" w:rsidP="00E9507C" w14:paraId="6C3F0D9D" w14:textId="77777777">
            <w:pPr>
              <w:rPr>
                <w:color w:val="000000"/>
                <w:kern w:val="0"/>
              </w:rPr>
            </w:pPr>
            <w:r w:rsidRPr="009F0E09">
              <w:rPr>
                <w:color w:val="000000"/>
                <w:kern w:val="0"/>
              </w:rPr>
              <w:t>San Antonio, TX</w:t>
            </w:r>
          </w:p>
        </w:tc>
        <w:tc>
          <w:tcPr>
            <w:tcW w:w="2160" w:type="dxa"/>
            <w:tcBorders>
              <w:top w:val="nil"/>
              <w:left w:val="nil"/>
              <w:bottom w:val="nil"/>
              <w:right w:val="nil"/>
            </w:tcBorders>
            <w:shd w:val="clear" w:color="auto" w:fill="auto"/>
            <w:noWrap/>
            <w:vAlign w:val="bottom"/>
            <w:hideMark/>
          </w:tcPr>
          <w:p w:rsidR="00670D4D" w:rsidRPr="009F0E09" w:rsidP="00E9507C" w14:paraId="49FA3227" w14:textId="77777777">
            <w:pPr>
              <w:ind w:right="555"/>
              <w:jc w:val="center"/>
              <w:rPr>
                <w:color w:val="000000"/>
                <w:kern w:val="0"/>
              </w:rPr>
            </w:pPr>
            <w:r w:rsidRPr="009F0E09">
              <w:rPr>
                <w:color w:val="000000"/>
                <w:kern w:val="0"/>
              </w:rPr>
              <w:t>C</w:t>
            </w:r>
          </w:p>
        </w:tc>
      </w:tr>
      <w:tr w14:paraId="1A4F0413"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4F8E2232" w14:textId="77777777">
            <w:pPr>
              <w:jc w:val="center"/>
              <w:rPr>
                <w:color w:val="000000"/>
                <w:kern w:val="0"/>
              </w:rPr>
            </w:pPr>
            <w:r w:rsidRPr="009F0E09">
              <w:rPr>
                <w:color w:val="000000"/>
                <w:kern w:val="0"/>
              </w:rPr>
              <w:t>WPQQ226</w:t>
            </w:r>
          </w:p>
        </w:tc>
        <w:tc>
          <w:tcPr>
            <w:tcW w:w="1440" w:type="dxa"/>
            <w:tcBorders>
              <w:top w:val="nil"/>
              <w:left w:val="nil"/>
              <w:bottom w:val="nil"/>
              <w:right w:val="nil"/>
            </w:tcBorders>
            <w:shd w:val="clear" w:color="auto" w:fill="auto"/>
            <w:noWrap/>
            <w:vAlign w:val="bottom"/>
            <w:hideMark/>
          </w:tcPr>
          <w:p w:rsidR="00670D4D" w:rsidRPr="009F0E09" w:rsidP="00E9507C" w14:paraId="1AC2A891" w14:textId="77777777">
            <w:pPr>
              <w:ind w:hanging="99"/>
              <w:jc w:val="center"/>
              <w:rPr>
                <w:color w:val="000000"/>
                <w:kern w:val="0"/>
              </w:rPr>
            </w:pPr>
            <w:r w:rsidRPr="009F0E09">
              <w:rPr>
                <w:color w:val="000000"/>
                <w:kern w:val="0"/>
              </w:rPr>
              <w:t>BEA141</w:t>
            </w:r>
          </w:p>
        </w:tc>
        <w:tc>
          <w:tcPr>
            <w:tcW w:w="5760" w:type="dxa"/>
            <w:tcBorders>
              <w:top w:val="nil"/>
              <w:left w:val="nil"/>
              <w:bottom w:val="nil"/>
              <w:right w:val="nil"/>
            </w:tcBorders>
            <w:shd w:val="clear" w:color="auto" w:fill="auto"/>
            <w:noWrap/>
            <w:vAlign w:val="bottom"/>
            <w:hideMark/>
          </w:tcPr>
          <w:p w:rsidR="00670D4D" w:rsidRPr="009F0E09" w:rsidP="00E9507C" w14:paraId="38C97255" w14:textId="77777777">
            <w:pPr>
              <w:rPr>
                <w:color w:val="000000"/>
                <w:kern w:val="0"/>
              </w:rPr>
            </w:pPr>
            <w:r w:rsidRPr="009F0E09">
              <w:rPr>
                <w:color w:val="000000"/>
                <w:kern w:val="0"/>
              </w:rPr>
              <w:t>Denver-Boulder-Greeley, CO-KS-NE</w:t>
            </w:r>
          </w:p>
        </w:tc>
        <w:tc>
          <w:tcPr>
            <w:tcW w:w="2160" w:type="dxa"/>
            <w:tcBorders>
              <w:top w:val="nil"/>
              <w:left w:val="nil"/>
              <w:bottom w:val="nil"/>
              <w:right w:val="nil"/>
            </w:tcBorders>
            <w:shd w:val="clear" w:color="auto" w:fill="auto"/>
            <w:noWrap/>
            <w:vAlign w:val="bottom"/>
            <w:hideMark/>
          </w:tcPr>
          <w:p w:rsidR="00670D4D" w:rsidRPr="009F0E09" w:rsidP="00E9507C" w14:paraId="2333EE70" w14:textId="77777777">
            <w:pPr>
              <w:ind w:right="555"/>
              <w:jc w:val="center"/>
              <w:rPr>
                <w:color w:val="000000"/>
                <w:kern w:val="0"/>
              </w:rPr>
            </w:pPr>
            <w:r w:rsidRPr="009F0E09">
              <w:rPr>
                <w:color w:val="000000"/>
                <w:kern w:val="0"/>
              </w:rPr>
              <w:t>B</w:t>
            </w:r>
          </w:p>
        </w:tc>
      </w:tr>
      <w:tr w14:paraId="0C4D7488"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645C0805" w14:textId="77777777">
            <w:pPr>
              <w:jc w:val="center"/>
              <w:rPr>
                <w:color w:val="000000"/>
                <w:kern w:val="0"/>
              </w:rPr>
            </w:pPr>
            <w:r w:rsidRPr="009F0E09">
              <w:rPr>
                <w:color w:val="000000"/>
                <w:kern w:val="0"/>
              </w:rPr>
              <w:t>WPQQ227</w:t>
            </w:r>
          </w:p>
        </w:tc>
        <w:tc>
          <w:tcPr>
            <w:tcW w:w="1440" w:type="dxa"/>
            <w:tcBorders>
              <w:top w:val="nil"/>
              <w:left w:val="nil"/>
              <w:bottom w:val="nil"/>
              <w:right w:val="nil"/>
            </w:tcBorders>
            <w:shd w:val="clear" w:color="auto" w:fill="auto"/>
            <w:noWrap/>
            <w:vAlign w:val="bottom"/>
            <w:hideMark/>
          </w:tcPr>
          <w:p w:rsidR="00670D4D" w:rsidRPr="009F0E09" w:rsidP="00E9507C" w14:paraId="39AC8DB8" w14:textId="77777777">
            <w:pPr>
              <w:ind w:hanging="99"/>
              <w:jc w:val="center"/>
              <w:rPr>
                <w:color w:val="000000"/>
                <w:kern w:val="0"/>
              </w:rPr>
            </w:pPr>
            <w:r w:rsidRPr="009F0E09">
              <w:rPr>
                <w:color w:val="000000"/>
                <w:kern w:val="0"/>
              </w:rPr>
              <w:t>BEA141</w:t>
            </w:r>
          </w:p>
        </w:tc>
        <w:tc>
          <w:tcPr>
            <w:tcW w:w="5760" w:type="dxa"/>
            <w:tcBorders>
              <w:top w:val="nil"/>
              <w:left w:val="nil"/>
              <w:bottom w:val="nil"/>
              <w:right w:val="nil"/>
            </w:tcBorders>
            <w:shd w:val="clear" w:color="auto" w:fill="auto"/>
            <w:noWrap/>
            <w:vAlign w:val="bottom"/>
            <w:hideMark/>
          </w:tcPr>
          <w:p w:rsidR="00670D4D" w:rsidRPr="009F0E09" w:rsidP="00E9507C" w14:paraId="2BC5A6E2" w14:textId="77777777">
            <w:pPr>
              <w:rPr>
                <w:color w:val="000000"/>
                <w:kern w:val="0"/>
              </w:rPr>
            </w:pPr>
            <w:r w:rsidRPr="009F0E09">
              <w:rPr>
                <w:color w:val="000000"/>
                <w:kern w:val="0"/>
              </w:rPr>
              <w:t>Denver-Boulder-Greeley, CO-KS-NE</w:t>
            </w:r>
          </w:p>
        </w:tc>
        <w:tc>
          <w:tcPr>
            <w:tcW w:w="2160" w:type="dxa"/>
            <w:tcBorders>
              <w:top w:val="nil"/>
              <w:left w:val="nil"/>
              <w:bottom w:val="nil"/>
              <w:right w:val="nil"/>
            </w:tcBorders>
            <w:shd w:val="clear" w:color="auto" w:fill="auto"/>
            <w:noWrap/>
            <w:vAlign w:val="bottom"/>
            <w:hideMark/>
          </w:tcPr>
          <w:p w:rsidR="00670D4D" w:rsidRPr="009F0E09" w:rsidP="00E9507C" w14:paraId="589FFA2D" w14:textId="77777777">
            <w:pPr>
              <w:ind w:right="555"/>
              <w:jc w:val="center"/>
              <w:rPr>
                <w:color w:val="000000"/>
                <w:kern w:val="0"/>
              </w:rPr>
            </w:pPr>
            <w:r w:rsidRPr="009F0E09">
              <w:rPr>
                <w:color w:val="000000"/>
                <w:kern w:val="0"/>
              </w:rPr>
              <w:t>C</w:t>
            </w:r>
          </w:p>
        </w:tc>
      </w:tr>
      <w:tr w14:paraId="7EC29487"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27C3344" w14:textId="77777777">
            <w:pPr>
              <w:jc w:val="center"/>
              <w:rPr>
                <w:color w:val="000000"/>
                <w:kern w:val="0"/>
              </w:rPr>
            </w:pPr>
            <w:r w:rsidRPr="009F0E09">
              <w:rPr>
                <w:color w:val="000000"/>
                <w:kern w:val="0"/>
              </w:rPr>
              <w:t>WPQQ242</w:t>
            </w:r>
          </w:p>
        </w:tc>
        <w:tc>
          <w:tcPr>
            <w:tcW w:w="1440" w:type="dxa"/>
            <w:tcBorders>
              <w:top w:val="nil"/>
              <w:left w:val="nil"/>
              <w:bottom w:val="nil"/>
              <w:right w:val="nil"/>
            </w:tcBorders>
            <w:shd w:val="clear" w:color="auto" w:fill="auto"/>
            <w:noWrap/>
            <w:vAlign w:val="bottom"/>
            <w:hideMark/>
          </w:tcPr>
          <w:p w:rsidR="00670D4D" w:rsidRPr="009F0E09" w:rsidP="00E9507C" w14:paraId="41C77179" w14:textId="77777777">
            <w:pPr>
              <w:ind w:hanging="99"/>
              <w:jc w:val="center"/>
              <w:rPr>
                <w:color w:val="000000"/>
                <w:kern w:val="0"/>
              </w:rPr>
            </w:pPr>
            <w:r w:rsidRPr="009F0E09">
              <w:rPr>
                <w:color w:val="000000"/>
                <w:kern w:val="0"/>
              </w:rPr>
              <w:t>BEA158</w:t>
            </w:r>
          </w:p>
        </w:tc>
        <w:tc>
          <w:tcPr>
            <w:tcW w:w="5760" w:type="dxa"/>
            <w:tcBorders>
              <w:top w:val="nil"/>
              <w:left w:val="nil"/>
              <w:bottom w:val="nil"/>
              <w:right w:val="nil"/>
            </w:tcBorders>
            <w:shd w:val="clear" w:color="auto" w:fill="auto"/>
            <w:noWrap/>
            <w:vAlign w:val="bottom"/>
            <w:hideMark/>
          </w:tcPr>
          <w:p w:rsidR="00670D4D" w:rsidRPr="009F0E09" w:rsidP="00E9507C" w14:paraId="1B590A86" w14:textId="77777777">
            <w:pPr>
              <w:rPr>
                <w:color w:val="000000"/>
                <w:kern w:val="0"/>
              </w:rPr>
            </w:pPr>
            <w:r w:rsidRPr="009F0E09">
              <w:rPr>
                <w:color w:val="000000"/>
                <w:kern w:val="0"/>
              </w:rPr>
              <w:t>Phoenix-Mesa, AZ-NM</w:t>
            </w:r>
          </w:p>
        </w:tc>
        <w:tc>
          <w:tcPr>
            <w:tcW w:w="2160" w:type="dxa"/>
            <w:tcBorders>
              <w:top w:val="nil"/>
              <w:left w:val="nil"/>
              <w:bottom w:val="nil"/>
              <w:right w:val="nil"/>
            </w:tcBorders>
            <w:shd w:val="clear" w:color="auto" w:fill="auto"/>
            <w:noWrap/>
            <w:vAlign w:val="bottom"/>
            <w:hideMark/>
          </w:tcPr>
          <w:p w:rsidR="00670D4D" w:rsidRPr="009F0E09" w:rsidP="00E9507C" w14:paraId="41F568CF" w14:textId="77777777">
            <w:pPr>
              <w:ind w:right="555"/>
              <w:jc w:val="center"/>
              <w:rPr>
                <w:color w:val="000000"/>
                <w:kern w:val="0"/>
              </w:rPr>
            </w:pPr>
            <w:r w:rsidRPr="009F0E09">
              <w:rPr>
                <w:color w:val="000000"/>
                <w:kern w:val="0"/>
              </w:rPr>
              <w:t>B</w:t>
            </w:r>
          </w:p>
        </w:tc>
      </w:tr>
      <w:tr w14:paraId="65AF7350"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9C8FC40" w14:textId="77777777">
            <w:pPr>
              <w:jc w:val="center"/>
              <w:rPr>
                <w:color w:val="000000"/>
                <w:kern w:val="0"/>
              </w:rPr>
            </w:pPr>
            <w:r w:rsidRPr="009F0E09">
              <w:rPr>
                <w:color w:val="000000"/>
                <w:kern w:val="0"/>
              </w:rPr>
              <w:t>WPQQ243</w:t>
            </w:r>
          </w:p>
        </w:tc>
        <w:tc>
          <w:tcPr>
            <w:tcW w:w="1440" w:type="dxa"/>
            <w:tcBorders>
              <w:top w:val="nil"/>
              <w:left w:val="nil"/>
              <w:bottom w:val="nil"/>
              <w:right w:val="nil"/>
            </w:tcBorders>
            <w:shd w:val="clear" w:color="auto" w:fill="auto"/>
            <w:noWrap/>
            <w:vAlign w:val="bottom"/>
            <w:hideMark/>
          </w:tcPr>
          <w:p w:rsidR="00670D4D" w:rsidRPr="009F0E09" w:rsidP="00E9507C" w14:paraId="7E81EACE" w14:textId="77777777">
            <w:pPr>
              <w:ind w:hanging="99"/>
              <w:jc w:val="center"/>
              <w:rPr>
                <w:color w:val="000000"/>
                <w:kern w:val="0"/>
              </w:rPr>
            </w:pPr>
            <w:r w:rsidRPr="009F0E09">
              <w:rPr>
                <w:color w:val="000000"/>
                <w:kern w:val="0"/>
              </w:rPr>
              <w:t>BEA158</w:t>
            </w:r>
          </w:p>
        </w:tc>
        <w:tc>
          <w:tcPr>
            <w:tcW w:w="5760" w:type="dxa"/>
            <w:tcBorders>
              <w:top w:val="nil"/>
              <w:left w:val="nil"/>
              <w:bottom w:val="nil"/>
              <w:right w:val="nil"/>
            </w:tcBorders>
            <w:shd w:val="clear" w:color="auto" w:fill="auto"/>
            <w:noWrap/>
            <w:vAlign w:val="bottom"/>
            <w:hideMark/>
          </w:tcPr>
          <w:p w:rsidR="00670D4D" w:rsidRPr="009F0E09" w:rsidP="00E9507C" w14:paraId="5919CC95" w14:textId="77777777">
            <w:pPr>
              <w:rPr>
                <w:color w:val="000000"/>
                <w:kern w:val="0"/>
              </w:rPr>
            </w:pPr>
            <w:r w:rsidRPr="009F0E09">
              <w:rPr>
                <w:color w:val="000000"/>
                <w:kern w:val="0"/>
              </w:rPr>
              <w:t>Phoenix-Mesa, AZ-NM</w:t>
            </w:r>
          </w:p>
        </w:tc>
        <w:tc>
          <w:tcPr>
            <w:tcW w:w="2160" w:type="dxa"/>
            <w:tcBorders>
              <w:top w:val="nil"/>
              <w:left w:val="nil"/>
              <w:bottom w:val="nil"/>
              <w:right w:val="nil"/>
            </w:tcBorders>
            <w:shd w:val="clear" w:color="auto" w:fill="auto"/>
            <w:noWrap/>
            <w:vAlign w:val="bottom"/>
            <w:hideMark/>
          </w:tcPr>
          <w:p w:rsidR="00670D4D" w:rsidRPr="009F0E09" w:rsidP="00E9507C" w14:paraId="4DCA51C3" w14:textId="77777777">
            <w:pPr>
              <w:ind w:right="555"/>
              <w:jc w:val="center"/>
              <w:rPr>
                <w:color w:val="000000"/>
                <w:kern w:val="0"/>
              </w:rPr>
            </w:pPr>
            <w:r w:rsidRPr="009F0E09">
              <w:rPr>
                <w:color w:val="000000"/>
                <w:kern w:val="0"/>
              </w:rPr>
              <w:t>C</w:t>
            </w:r>
          </w:p>
        </w:tc>
      </w:tr>
      <w:tr w14:paraId="2EF3D187"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6E7BD39" w14:textId="77777777">
            <w:pPr>
              <w:jc w:val="center"/>
              <w:rPr>
                <w:color w:val="000000"/>
                <w:kern w:val="0"/>
              </w:rPr>
            </w:pPr>
            <w:r w:rsidRPr="009F0E09">
              <w:rPr>
                <w:color w:val="000000"/>
                <w:kern w:val="0"/>
              </w:rPr>
              <w:t>WPQQ246</w:t>
            </w:r>
          </w:p>
        </w:tc>
        <w:tc>
          <w:tcPr>
            <w:tcW w:w="1440" w:type="dxa"/>
            <w:tcBorders>
              <w:top w:val="nil"/>
              <w:left w:val="nil"/>
              <w:bottom w:val="nil"/>
              <w:right w:val="nil"/>
            </w:tcBorders>
            <w:shd w:val="clear" w:color="auto" w:fill="auto"/>
            <w:noWrap/>
            <w:vAlign w:val="bottom"/>
            <w:hideMark/>
          </w:tcPr>
          <w:p w:rsidR="00670D4D" w:rsidRPr="009F0E09" w:rsidP="00E9507C" w14:paraId="53530288" w14:textId="77777777">
            <w:pPr>
              <w:ind w:hanging="99"/>
              <w:jc w:val="center"/>
              <w:rPr>
                <w:color w:val="000000"/>
                <w:kern w:val="0"/>
              </w:rPr>
            </w:pPr>
            <w:r w:rsidRPr="009F0E09">
              <w:rPr>
                <w:color w:val="000000"/>
                <w:kern w:val="0"/>
              </w:rPr>
              <w:t>BEA160</w:t>
            </w:r>
          </w:p>
        </w:tc>
        <w:tc>
          <w:tcPr>
            <w:tcW w:w="5760" w:type="dxa"/>
            <w:tcBorders>
              <w:top w:val="nil"/>
              <w:left w:val="nil"/>
              <w:bottom w:val="nil"/>
              <w:right w:val="nil"/>
            </w:tcBorders>
            <w:shd w:val="clear" w:color="auto" w:fill="auto"/>
            <w:noWrap/>
            <w:vAlign w:val="bottom"/>
            <w:hideMark/>
          </w:tcPr>
          <w:p w:rsidR="00670D4D" w:rsidRPr="009F0E09" w:rsidP="00E9507C" w14:paraId="3294F88B" w14:textId="77777777">
            <w:pPr>
              <w:rPr>
                <w:color w:val="000000"/>
                <w:kern w:val="0"/>
              </w:rPr>
            </w:pPr>
            <w:r w:rsidRPr="009F0E09">
              <w:rPr>
                <w:color w:val="000000"/>
                <w:kern w:val="0"/>
              </w:rPr>
              <w:t>Los Angeles-Riverside-Orange County, CA-AZ</w:t>
            </w:r>
          </w:p>
        </w:tc>
        <w:tc>
          <w:tcPr>
            <w:tcW w:w="2160" w:type="dxa"/>
            <w:tcBorders>
              <w:top w:val="nil"/>
              <w:left w:val="nil"/>
              <w:bottom w:val="nil"/>
              <w:right w:val="nil"/>
            </w:tcBorders>
            <w:shd w:val="clear" w:color="auto" w:fill="auto"/>
            <w:noWrap/>
            <w:vAlign w:val="bottom"/>
            <w:hideMark/>
          </w:tcPr>
          <w:p w:rsidR="00670D4D" w:rsidRPr="009F0E09" w:rsidP="00E9507C" w14:paraId="180FBDDF" w14:textId="77777777">
            <w:pPr>
              <w:ind w:right="555"/>
              <w:jc w:val="center"/>
              <w:rPr>
                <w:color w:val="000000"/>
                <w:kern w:val="0"/>
              </w:rPr>
            </w:pPr>
            <w:r w:rsidRPr="009F0E09">
              <w:rPr>
                <w:color w:val="000000"/>
                <w:kern w:val="0"/>
              </w:rPr>
              <w:t>B</w:t>
            </w:r>
          </w:p>
        </w:tc>
      </w:tr>
      <w:tr w14:paraId="15087531"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5ABA06C0" w14:textId="77777777">
            <w:pPr>
              <w:jc w:val="center"/>
              <w:rPr>
                <w:color w:val="000000"/>
                <w:kern w:val="0"/>
              </w:rPr>
            </w:pPr>
            <w:r w:rsidRPr="009F0E09">
              <w:rPr>
                <w:color w:val="000000"/>
                <w:kern w:val="0"/>
              </w:rPr>
              <w:t>WPQQ247</w:t>
            </w:r>
          </w:p>
        </w:tc>
        <w:tc>
          <w:tcPr>
            <w:tcW w:w="1440" w:type="dxa"/>
            <w:tcBorders>
              <w:top w:val="nil"/>
              <w:left w:val="nil"/>
              <w:bottom w:val="nil"/>
              <w:right w:val="nil"/>
            </w:tcBorders>
            <w:shd w:val="clear" w:color="auto" w:fill="auto"/>
            <w:noWrap/>
            <w:vAlign w:val="bottom"/>
            <w:hideMark/>
          </w:tcPr>
          <w:p w:rsidR="00670D4D" w:rsidRPr="009F0E09" w:rsidP="00E9507C" w14:paraId="2DA1E45E" w14:textId="77777777">
            <w:pPr>
              <w:ind w:hanging="99"/>
              <w:jc w:val="center"/>
              <w:rPr>
                <w:color w:val="000000"/>
                <w:kern w:val="0"/>
              </w:rPr>
            </w:pPr>
            <w:r w:rsidRPr="009F0E09">
              <w:rPr>
                <w:color w:val="000000"/>
                <w:kern w:val="0"/>
              </w:rPr>
              <w:t>BEA160</w:t>
            </w:r>
          </w:p>
        </w:tc>
        <w:tc>
          <w:tcPr>
            <w:tcW w:w="5760" w:type="dxa"/>
            <w:tcBorders>
              <w:top w:val="nil"/>
              <w:left w:val="nil"/>
              <w:bottom w:val="nil"/>
              <w:right w:val="nil"/>
            </w:tcBorders>
            <w:shd w:val="clear" w:color="auto" w:fill="auto"/>
            <w:noWrap/>
            <w:vAlign w:val="bottom"/>
            <w:hideMark/>
          </w:tcPr>
          <w:p w:rsidR="00670D4D" w:rsidRPr="009F0E09" w:rsidP="00E9507C" w14:paraId="36C2C437" w14:textId="77777777">
            <w:pPr>
              <w:rPr>
                <w:color w:val="000000"/>
                <w:kern w:val="0"/>
              </w:rPr>
            </w:pPr>
            <w:r w:rsidRPr="009F0E09">
              <w:rPr>
                <w:color w:val="000000"/>
                <w:kern w:val="0"/>
              </w:rPr>
              <w:t>Los Angeles-Riverside-Orange County, CA-AZ</w:t>
            </w:r>
          </w:p>
        </w:tc>
        <w:tc>
          <w:tcPr>
            <w:tcW w:w="2160" w:type="dxa"/>
            <w:tcBorders>
              <w:top w:val="nil"/>
              <w:left w:val="nil"/>
              <w:bottom w:val="nil"/>
              <w:right w:val="nil"/>
            </w:tcBorders>
            <w:shd w:val="clear" w:color="auto" w:fill="auto"/>
            <w:noWrap/>
            <w:vAlign w:val="bottom"/>
            <w:hideMark/>
          </w:tcPr>
          <w:p w:rsidR="00670D4D" w:rsidRPr="009F0E09" w:rsidP="00E9507C" w14:paraId="68EE3231" w14:textId="77777777">
            <w:pPr>
              <w:ind w:right="555"/>
              <w:jc w:val="center"/>
              <w:rPr>
                <w:color w:val="000000"/>
                <w:kern w:val="0"/>
              </w:rPr>
            </w:pPr>
            <w:r w:rsidRPr="009F0E09">
              <w:rPr>
                <w:color w:val="000000"/>
                <w:kern w:val="0"/>
              </w:rPr>
              <w:t>C</w:t>
            </w:r>
          </w:p>
        </w:tc>
      </w:tr>
      <w:tr w14:paraId="58D1E6E2"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084A827" w14:textId="77777777">
            <w:pPr>
              <w:jc w:val="center"/>
              <w:rPr>
                <w:color w:val="000000"/>
                <w:kern w:val="0"/>
              </w:rPr>
            </w:pPr>
            <w:r w:rsidRPr="009F0E09">
              <w:rPr>
                <w:color w:val="000000"/>
                <w:kern w:val="0"/>
              </w:rPr>
              <w:t>WPQQ248</w:t>
            </w:r>
          </w:p>
        </w:tc>
        <w:tc>
          <w:tcPr>
            <w:tcW w:w="1440" w:type="dxa"/>
            <w:tcBorders>
              <w:top w:val="nil"/>
              <w:left w:val="nil"/>
              <w:bottom w:val="nil"/>
              <w:right w:val="nil"/>
            </w:tcBorders>
            <w:shd w:val="clear" w:color="auto" w:fill="auto"/>
            <w:noWrap/>
            <w:vAlign w:val="bottom"/>
            <w:hideMark/>
          </w:tcPr>
          <w:p w:rsidR="00670D4D" w:rsidRPr="009F0E09" w:rsidP="00E9507C" w14:paraId="7C33A15A" w14:textId="77777777">
            <w:pPr>
              <w:ind w:hanging="99"/>
              <w:jc w:val="center"/>
              <w:rPr>
                <w:color w:val="000000"/>
                <w:kern w:val="0"/>
              </w:rPr>
            </w:pPr>
            <w:r w:rsidRPr="009F0E09">
              <w:rPr>
                <w:color w:val="000000"/>
                <w:kern w:val="0"/>
              </w:rPr>
              <w:t>BEA161</w:t>
            </w:r>
          </w:p>
        </w:tc>
        <w:tc>
          <w:tcPr>
            <w:tcW w:w="5760" w:type="dxa"/>
            <w:tcBorders>
              <w:top w:val="nil"/>
              <w:left w:val="nil"/>
              <w:bottom w:val="nil"/>
              <w:right w:val="nil"/>
            </w:tcBorders>
            <w:shd w:val="clear" w:color="auto" w:fill="auto"/>
            <w:noWrap/>
            <w:vAlign w:val="bottom"/>
            <w:hideMark/>
          </w:tcPr>
          <w:p w:rsidR="00670D4D" w:rsidRPr="009F0E09" w:rsidP="00E9507C" w14:paraId="63C1FAF2" w14:textId="77777777">
            <w:pPr>
              <w:rPr>
                <w:color w:val="000000"/>
                <w:kern w:val="0"/>
              </w:rPr>
            </w:pPr>
            <w:r w:rsidRPr="009F0E09">
              <w:rPr>
                <w:color w:val="000000"/>
                <w:kern w:val="0"/>
              </w:rPr>
              <w:t>San Diego, CA</w:t>
            </w:r>
          </w:p>
        </w:tc>
        <w:tc>
          <w:tcPr>
            <w:tcW w:w="2160" w:type="dxa"/>
            <w:tcBorders>
              <w:top w:val="nil"/>
              <w:left w:val="nil"/>
              <w:bottom w:val="nil"/>
              <w:right w:val="nil"/>
            </w:tcBorders>
            <w:shd w:val="clear" w:color="auto" w:fill="auto"/>
            <w:noWrap/>
            <w:vAlign w:val="bottom"/>
            <w:hideMark/>
          </w:tcPr>
          <w:p w:rsidR="00670D4D" w:rsidRPr="009F0E09" w:rsidP="00E9507C" w14:paraId="23C50808" w14:textId="77777777">
            <w:pPr>
              <w:ind w:right="555"/>
              <w:jc w:val="center"/>
              <w:rPr>
                <w:color w:val="000000"/>
                <w:kern w:val="0"/>
              </w:rPr>
            </w:pPr>
            <w:r w:rsidRPr="009F0E09">
              <w:rPr>
                <w:color w:val="000000"/>
                <w:kern w:val="0"/>
              </w:rPr>
              <w:t>B</w:t>
            </w:r>
          </w:p>
        </w:tc>
      </w:tr>
      <w:tr w14:paraId="4E637423"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07934CFD" w14:textId="77777777">
            <w:pPr>
              <w:jc w:val="center"/>
              <w:rPr>
                <w:color w:val="000000"/>
                <w:kern w:val="0"/>
              </w:rPr>
            </w:pPr>
            <w:r w:rsidRPr="009F0E09">
              <w:rPr>
                <w:color w:val="000000"/>
                <w:kern w:val="0"/>
              </w:rPr>
              <w:t>WPQQ249</w:t>
            </w:r>
          </w:p>
        </w:tc>
        <w:tc>
          <w:tcPr>
            <w:tcW w:w="1440" w:type="dxa"/>
            <w:tcBorders>
              <w:top w:val="nil"/>
              <w:left w:val="nil"/>
              <w:bottom w:val="nil"/>
              <w:right w:val="nil"/>
            </w:tcBorders>
            <w:shd w:val="clear" w:color="auto" w:fill="auto"/>
            <w:noWrap/>
            <w:vAlign w:val="bottom"/>
            <w:hideMark/>
          </w:tcPr>
          <w:p w:rsidR="00670D4D" w:rsidRPr="009F0E09" w:rsidP="00E9507C" w14:paraId="38FD3411" w14:textId="77777777">
            <w:pPr>
              <w:ind w:hanging="99"/>
              <w:jc w:val="center"/>
              <w:rPr>
                <w:color w:val="000000"/>
                <w:kern w:val="0"/>
              </w:rPr>
            </w:pPr>
            <w:r w:rsidRPr="009F0E09">
              <w:rPr>
                <w:color w:val="000000"/>
                <w:kern w:val="0"/>
              </w:rPr>
              <w:t>BEA161</w:t>
            </w:r>
          </w:p>
        </w:tc>
        <w:tc>
          <w:tcPr>
            <w:tcW w:w="5760" w:type="dxa"/>
            <w:tcBorders>
              <w:top w:val="nil"/>
              <w:left w:val="nil"/>
              <w:bottom w:val="nil"/>
              <w:right w:val="nil"/>
            </w:tcBorders>
            <w:shd w:val="clear" w:color="auto" w:fill="auto"/>
            <w:noWrap/>
            <w:vAlign w:val="bottom"/>
            <w:hideMark/>
          </w:tcPr>
          <w:p w:rsidR="00670D4D" w:rsidRPr="009F0E09" w:rsidP="00E9507C" w14:paraId="64C345D1" w14:textId="77777777">
            <w:pPr>
              <w:rPr>
                <w:color w:val="000000"/>
                <w:kern w:val="0"/>
              </w:rPr>
            </w:pPr>
            <w:r w:rsidRPr="009F0E09">
              <w:rPr>
                <w:color w:val="000000"/>
                <w:kern w:val="0"/>
              </w:rPr>
              <w:t>San Diego, CA</w:t>
            </w:r>
          </w:p>
        </w:tc>
        <w:tc>
          <w:tcPr>
            <w:tcW w:w="2160" w:type="dxa"/>
            <w:tcBorders>
              <w:top w:val="nil"/>
              <w:left w:val="nil"/>
              <w:bottom w:val="nil"/>
              <w:right w:val="nil"/>
            </w:tcBorders>
            <w:shd w:val="clear" w:color="auto" w:fill="auto"/>
            <w:noWrap/>
            <w:vAlign w:val="bottom"/>
            <w:hideMark/>
          </w:tcPr>
          <w:p w:rsidR="00670D4D" w:rsidRPr="009F0E09" w:rsidP="00E9507C" w14:paraId="325A545E" w14:textId="77777777">
            <w:pPr>
              <w:ind w:right="555"/>
              <w:jc w:val="center"/>
              <w:rPr>
                <w:color w:val="000000"/>
                <w:kern w:val="0"/>
              </w:rPr>
            </w:pPr>
            <w:r w:rsidRPr="009F0E09">
              <w:rPr>
                <w:color w:val="000000"/>
                <w:kern w:val="0"/>
              </w:rPr>
              <w:t>C</w:t>
            </w:r>
          </w:p>
        </w:tc>
      </w:tr>
      <w:tr w14:paraId="1C5EA80B"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586B4252" w14:textId="77777777">
            <w:pPr>
              <w:jc w:val="center"/>
              <w:rPr>
                <w:color w:val="000000"/>
                <w:kern w:val="0"/>
              </w:rPr>
            </w:pPr>
            <w:r w:rsidRPr="009F0E09">
              <w:rPr>
                <w:color w:val="000000"/>
                <w:kern w:val="0"/>
              </w:rPr>
              <w:t>WPQQ252</w:t>
            </w:r>
          </w:p>
        </w:tc>
        <w:tc>
          <w:tcPr>
            <w:tcW w:w="1440" w:type="dxa"/>
            <w:tcBorders>
              <w:top w:val="nil"/>
              <w:left w:val="nil"/>
              <w:bottom w:val="nil"/>
              <w:right w:val="nil"/>
            </w:tcBorders>
            <w:shd w:val="clear" w:color="auto" w:fill="auto"/>
            <w:noWrap/>
            <w:vAlign w:val="bottom"/>
            <w:hideMark/>
          </w:tcPr>
          <w:p w:rsidR="00670D4D" w:rsidRPr="009F0E09" w:rsidP="00E9507C" w14:paraId="25DC3B4D" w14:textId="77777777">
            <w:pPr>
              <w:ind w:hanging="99"/>
              <w:jc w:val="center"/>
              <w:rPr>
                <w:color w:val="000000"/>
                <w:kern w:val="0"/>
              </w:rPr>
            </w:pPr>
            <w:r w:rsidRPr="009F0E09">
              <w:rPr>
                <w:color w:val="000000"/>
                <w:kern w:val="0"/>
              </w:rPr>
              <w:t>BEA163</w:t>
            </w:r>
          </w:p>
        </w:tc>
        <w:tc>
          <w:tcPr>
            <w:tcW w:w="5760" w:type="dxa"/>
            <w:tcBorders>
              <w:top w:val="nil"/>
              <w:left w:val="nil"/>
              <w:bottom w:val="nil"/>
              <w:right w:val="nil"/>
            </w:tcBorders>
            <w:shd w:val="clear" w:color="auto" w:fill="auto"/>
            <w:noWrap/>
            <w:vAlign w:val="bottom"/>
            <w:hideMark/>
          </w:tcPr>
          <w:p w:rsidR="00670D4D" w:rsidRPr="009F0E09" w:rsidP="00E9507C" w14:paraId="0CDBC7F3" w14:textId="77777777">
            <w:pPr>
              <w:rPr>
                <w:color w:val="000000"/>
                <w:kern w:val="0"/>
              </w:rPr>
            </w:pPr>
            <w:r w:rsidRPr="009F0E09">
              <w:rPr>
                <w:color w:val="000000"/>
                <w:kern w:val="0"/>
              </w:rPr>
              <w:t>San Francisco-Oakland-San Jose, CA</w:t>
            </w:r>
          </w:p>
        </w:tc>
        <w:tc>
          <w:tcPr>
            <w:tcW w:w="2160" w:type="dxa"/>
            <w:tcBorders>
              <w:top w:val="nil"/>
              <w:left w:val="nil"/>
              <w:bottom w:val="nil"/>
              <w:right w:val="nil"/>
            </w:tcBorders>
            <w:shd w:val="clear" w:color="auto" w:fill="auto"/>
            <w:noWrap/>
            <w:vAlign w:val="bottom"/>
            <w:hideMark/>
          </w:tcPr>
          <w:p w:rsidR="00670D4D" w:rsidRPr="009F0E09" w:rsidP="00E9507C" w14:paraId="669279FC" w14:textId="77777777">
            <w:pPr>
              <w:ind w:right="555"/>
              <w:jc w:val="center"/>
              <w:rPr>
                <w:color w:val="000000"/>
                <w:kern w:val="0"/>
              </w:rPr>
            </w:pPr>
            <w:r w:rsidRPr="009F0E09">
              <w:rPr>
                <w:color w:val="000000"/>
                <w:kern w:val="0"/>
              </w:rPr>
              <w:t>B</w:t>
            </w:r>
          </w:p>
        </w:tc>
      </w:tr>
      <w:tr w14:paraId="4EB28A66"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76616C42" w14:textId="77777777">
            <w:pPr>
              <w:jc w:val="center"/>
              <w:rPr>
                <w:color w:val="000000"/>
                <w:kern w:val="0"/>
              </w:rPr>
            </w:pPr>
            <w:r w:rsidRPr="009F0E09">
              <w:rPr>
                <w:color w:val="000000"/>
                <w:kern w:val="0"/>
              </w:rPr>
              <w:t>WPQQ253</w:t>
            </w:r>
          </w:p>
        </w:tc>
        <w:tc>
          <w:tcPr>
            <w:tcW w:w="1440" w:type="dxa"/>
            <w:tcBorders>
              <w:top w:val="nil"/>
              <w:left w:val="nil"/>
              <w:bottom w:val="nil"/>
              <w:right w:val="nil"/>
            </w:tcBorders>
            <w:shd w:val="clear" w:color="auto" w:fill="auto"/>
            <w:noWrap/>
            <w:vAlign w:val="bottom"/>
            <w:hideMark/>
          </w:tcPr>
          <w:p w:rsidR="00670D4D" w:rsidRPr="009F0E09" w:rsidP="00E9507C" w14:paraId="12831E02" w14:textId="77777777">
            <w:pPr>
              <w:ind w:hanging="99"/>
              <w:jc w:val="center"/>
              <w:rPr>
                <w:color w:val="000000"/>
                <w:kern w:val="0"/>
              </w:rPr>
            </w:pPr>
            <w:r w:rsidRPr="009F0E09">
              <w:rPr>
                <w:color w:val="000000"/>
                <w:kern w:val="0"/>
              </w:rPr>
              <w:t>BEA163</w:t>
            </w:r>
          </w:p>
        </w:tc>
        <w:tc>
          <w:tcPr>
            <w:tcW w:w="5760" w:type="dxa"/>
            <w:tcBorders>
              <w:top w:val="nil"/>
              <w:left w:val="nil"/>
              <w:bottom w:val="nil"/>
              <w:right w:val="nil"/>
            </w:tcBorders>
            <w:shd w:val="clear" w:color="auto" w:fill="auto"/>
            <w:noWrap/>
            <w:vAlign w:val="bottom"/>
            <w:hideMark/>
          </w:tcPr>
          <w:p w:rsidR="00670D4D" w:rsidRPr="009F0E09" w:rsidP="00E9507C" w14:paraId="4B22FA48" w14:textId="77777777">
            <w:pPr>
              <w:rPr>
                <w:color w:val="000000"/>
                <w:kern w:val="0"/>
              </w:rPr>
            </w:pPr>
            <w:r w:rsidRPr="009F0E09">
              <w:rPr>
                <w:color w:val="000000"/>
                <w:kern w:val="0"/>
              </w:rPr>
              <w:t>San Francisco-Oakland-San Jose, CA</w:t>
            </w:r>
          </w:p>
        </w:tc>
        <w:tc>
          <w:tcPr>
            <w:tcW w:w="2160" w:type="dxa"/>
            <w:tcBorders>
              <w:top w:val="nil"/>
              <w:left w:val="nil"/>
              <w:bottom w:val="nil"/>
              <w:right w:val="nil"/>
            </w:tcBorders>
            <w:shd w:val="clear" w:color="auto" w:fill="auto"/>
            <w:noWrap/>
            <w:vAlign w:val="bottom"/>
            <w:hideMark/>
          </w:tcPr>
          <w:p w:rsidR="00670D4D" w:rsidRPr="009F0E09" w:rsidP="00E9507C" w14:paraId="17E887E8" w14:textId="77777777">
            <w:pPr>
              <w:ind w:right="555"/>
              <w:jc w:val="center"/>
              <w:rPr>
                <w:color w:val="000000"/>
                <w:kern w:val="0"/>
              </w:rPr>
            </w:pPr>
            <w:r w:rsidRPr="009F0E09">
              <w:rPr>
                <w:color w:val="000000"/>
                <w:kern w:val="0"/>
              </w:rPr>
              <w:t>C</w:t>
            </w:r>
          </w:p>
        </w:tc>
      </w:tr>
      <w:tr w14:paraId="4B402310"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327450F5" w14:textId="77777777">
            <w:pPr>
              <w:jc w:val="center"/>
              <w:rPr>
                <w:color w:val="000000"/>
                <w:kern w:val="0"/>
              </w:rPr>
            </w:pPr>
            <w:r w:rsidRPr="009F0E09">
              <w:rPr>
                <w:color w:val="000000"/>
                <w:kern w:val="0"/>
              </w:rPr>
              <w:t>WPQQ257</w:t>
            </w:r>
          </w:p>
        </w:tc>
        <w:tc>
          <w:tcPr>
            <w:tcW w:w="1440" w:type="dxa"/>
            <w:tcBorders>
              <w:top w:val="nil"/>
              <w:left w:val="nil"/>
              <w:bottom w:val="nil"/>
              <w:right w:val="nil"/>
            </w:tcBorders>
            <w:shd w:val="clear" w:color="auto" w:fill="auto"/>
            <w:noWrap/>
            <w:vAlign w:val="bottom"/>
            <w:hideMark/>
          </w:tcPr>
          <w:p w:rsidR="00670D4D" w:rsidRPr="009F0E09" w:rsidP="00E9507C" w14:paraId="3352A20B" w14:textId="77777777">
            <w:pPr>
              <w:ind w:hanging="99"/>
              <w:jc w:val="center"/>
              <w:rPr>
                <w:color w:val="000000"/>
                <w:kern w:val="0"/>
              </w:rPr>
            </w:pPr>
            <w:r w:rsidRPr="009F0E09">
              <w:rPr>
                <w:color w:val="000000"/>
                <w:kern w:val="0"/>
              </w:rPr>
              <w:t>BEA167</w:t>
            </w:r>
          </w:p>
        </w:tc>
        <w:tc>
          <w:tcPr>
            <w:tcW w:w="5760" w:type="dxa"/>
            <w:tcBorders>
              <w:top w:val="nil"/>
              <w:left w:val="nil"/>
              <w:bottom w:val="nil"/>
              <w:right w:val="nil"/>
            </w:tcBorders>
            <w:shd w:val="clear" w:color="auto" w:fill="auto"/>
            <w:noWrap/>
            <w:vAlign w:val="bottom"/>
            <w:hideMark/>
          </w:tcPr>
          <w:p w:rsidR="00670D4D" w:rsidRPr="009F0E09" w:rsidP="00E9507C" w14:paraId="041F4E13" w14:textId="77777777">
            <w:pPr>
              <w:rPr>
                <w:color w:val="000000"/>
                <w:kern w:val="0"/>
              </w:rPr>
            </w:pPr>
            <w:r w:rsidRPr="009F0E09">
              <w:rPr>
                <w:color w:val="000000"/>
                <w:kern w:val="0"/>
              </w:rPr>
              <w:t>Portland-Salem, OR-WA</w:t>
            </w:r>
          </w:p>
        </w:tc>
        <w:tc>
          <w:tcPr>
            <w:tcW w:w="2160" w:type="dxa"/>
            <w:tcBorders>
              <w:top w:val="nil"/>
              <w:left w:val="nil"/>
              <w:bottom w:val="nil"/>
              <w:right w:val="nil"/>
            </w:tcBorders>
            <w:shd w:val="clear" w:color="auto" w:fill="auto"/>
            <w:noWrap/>
            <w:vAlign w:val="bottom"/>
            <w:hideMark/>
          </w:tcPr>
          <w:p w:rsidR="00670D4D" w:rsidRPr="009F0E09" w:rsidP="00E9507C" w14:paraId="4002ECB8" w14:textId="77777777">
            <w:pPr>
              <w:ind w:right="555"/>
              <w:jc w:val="center"/>
              <w:rPr>
                <w:color w:val="000000"/>
                <w:kern w:val="0"/>
              </w:rPr>
            </w:pPr>
            <w:r w:rsidRPr="009F0E09">
              <w:rPr>
                <w:color w:val="000000"/>
                <w:kern w:val="0"/>
              </w:rPr>
              <w:t>B</w:t>
            </w:r>
          </w:p>
        </w:tc>
      </w:tr>
      <w:tr w14:paraId="622B5CD0"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768DFCF1" w14:textId="77777777">
            <w:pPr>
              <w:jc w:val="center"/>
              <w:rPr>
                <w:color w:val="000000"/>
                <w:kern w:val="0"/>
              </w:rPr>
            </w:pPr>
            <w:r w:rsidRPr="009F0E09">
              <w:rPr>
                <w:color w:val="000000"/>
                <w:kern w:val="0"/>
              </w:rPr>
              <w:t>WPQQ258</w:t>
            </w:r>
          </w:p>
        </w:tc>
        <w:tc>
          <w:tcPr>
            <w:tcW w:w="1440" w:type="dxa"/>
            <w:tcBorders>
              <w:top w:val="nil"/>
              <w:left w:val="nil"/>
              <w:bottom w:val="nil"/>
              <w:right w:val="nil"/>
            </w:tcBorders>
            <w:shd w:val="clear" w:color="auto" w:fill="auto"/>
            <w:noWrap/>
            <w:vAlign w:val="bottom"/>
            <w:hideMark/>
          </w:tcPr>
          <w:p w:rsidR="00670D4D" w:rsidRPr="009F0E09" w:rsidP="00E9507C" w14:paraId="402DAB7A" w14:textId="77777777">
            <w:pPr>
              <w:ind w:hanging="99"/>
              <w:jc w:val="center"/>
              <w:rPr>
                <w:color w:val="000000"/>
                <w:kern w:val="0"/>
              </w:rPr>
            </w:pPr>
            <w:r w:rsidRPr="009F0E09">
              <w:rPr>
                <w:color w:val="000000"/>
                <w:kern w:val="0"/>
              </w:rPr>
              <w:t>BEA167</w:t>
            </w:r>
          </w:p>
        </w:tc>
        <w:tc>
          <w:tcPr>
            <w:tcW w:w="5760" w:type="dxa"/>
            <w:tcBorders>
              <w:top w:val="nil"/>
              <w:left w:val="nil"/>
              <w:bottom w:val="nil"/>
              <w:right w:val="nil"/>
            </w:tcBorders>
            <w:shd w:val="clear" w:color="auto" w:fill="auto"/>
            <w:noWrap/>
            <w:vAlign w:val="bottom"/>
            <w:hideMark/>
          </w:tcPr>
          <w:p w:rsidR="00670D4D" w:rsidRPr="009F0E09" w:rsidP="00E9507C" w14:paraId="33183FF6" w14:textId="77777777">
            <w:pPr>
              <w:rPr>
                <w:color w:val="000000"/>
                <w:kern w:val="0"/>
              </w:rPr>
            </w:pPr>
            <w:r w:rsidRPr="009F0E09">
              <w:rPr>
                <w:color w:val="000000"/>
                <w:kern w:val="0"/>
              </w:rPr>
              <w:t>Portland-Salem, OR-WA</w:t>
            </w:r>
          </w:p>
        </w:tc>
        <w:tc>
          <w:tcPr>
            <w:tcW w:w="2160" w:type="dxa"/>
            <w:tcBorders>
              <w:top w:val="nil"/>
              <w:left w:val="nil"/>
              <w:bottom w:val="nil"/>
              <w:right w:val="nil"/>
            </w:tcBorders>
            <w:shd w:val="clear" w:color="auto" w:fill="auto"/>
            <w:noWrap/>
            <w:vAlign w:val="bottom"/>
            <w:hideMark/>
          </w:tcPr>
          <w:p w:rsidR="00670D4D" w:rsidRPr="009F0E09" w:rsidP="00E9507C" w14:paraId="445A95A3" w14:textId="77777777">
            <w:pPr>
              <w:ind w:right="555"/>
              <w:jc w:val="center"/>
              <w:rPr>
                <w:color w:val="000000"/>
                <w:kern w:val="0"/>
              </w:rPr>
            </w:pPr>
            <w:r w:rsidRPr="009F0E09">
              <w:rPr>
                <w:color w:val="000000"/>
                <w:kern w:val="0"/>
              </w:rPr>
              <w:t>C</w:t>
            </w:r>
          </w:p>
        </w:tc>
      </w:tr>
      <w:tr w14:paraId="7B8E5DFF"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34948628" w14:textId="77777777">
            <w:pPr>
              <w:jc w:val="center"/>
              <w:rPr>
                <w:color w:val="000000"/>
                <w:kern w:val="0"/>
              </w:rPr>
            </w:pPr>
            <w:r w:rsidRPr="009F0E09">
              <w:rPr>
                <w:color w:val="000000"/>
                <w:kern w:val="0"/>
              </w:rPr>
              <w:t>WPQQ261</w:t>
            </w:r>
          </w:p>
        </w:tc>
        <w:tc>
          <w:tcPr>
            <w:tcW w:w="1440" w:type="dxa"/>
            <w:tcBorders>
              <w:top w:val="nil"/>
              <w:left w:val="nil"/>
              <w:bottom w:val="nil"/>
              <w:right w:val="nil"/>
            </w:tcBorders>
            <w:shd w:val="clear" w:color="auto" w:fill="auto"/>
            <w:noWrap/>
            <w:vAlign w:val="bottom"/>
            <w:hideMark/>
          </w:tcPr>
          <w:p w:rsidR="00670D4D" w:rsidRPr="009F0E09" w:rsidP="00E9507C" w14:paraId="40EB8A44" w14:textId="77777777">
            <w:pPr>
              <w:ind w:hanging="99"/>
              <w:jc w:val="center"/>
              <w:rPr>
                <w:color w:val="000000"/>
                <w:kern w:val="0"/>
              </w:rPr>
            </w:pPr>
            <w:r w:rsidRPr="009F0E09">
              <w:rPr>
                <w:color w:val="000000"/>
                <w:kern w:val="0"/>
              </w:rPr>
              <w:t>BEA170</w:t>
            </w:r>
          </w:p>
        </w:tc>
        <w:tc>
          <w:tcPr>
            <w:tcW w:w="5760" w:type="dxa"/>
            <w:tcBorders>
              <w:top w:val="nil"/>
              <w:left w:val="nil"/>
              <w:bottom w:val="nil"/>
              <w:right w:val="nil"/>
            </w:tcBorders>
            <w:shd w:val="clear" w:color="auto" w:fill="auto"/>
            <w:noWrap/>
            <w:vAlign w:val="bottom"/>
            <w:hideMark/>
          </w:tcPr>
          <w:p w:rsidR="00670D4D" w:rsidRPr="009F0E09" w:rsidP="00E9507C" w14:paraId="27243576" w14:textId="77777777">
            <w:pPr>
              <w:rPr>
                <w:color w:val="000000"/>
                <w:kern w:val="0"/>
              </w:rPr>
            </w:pPr>
            <w:r w:rsidRPr="009F0E09">
              <w:rPr>
                <w:color w:val="000000"/>
                <w:kern w:val="0"/>
              </w:rPr>
              <w:t>Seattle-Tacoma-Bremerton, WA</w:t>
            </w:r>
          </w:p>
        </w:tc>
        <w:tc>
          <w:tcPr>
            <w:tcW w:w="2160" w:type="dxa"/>
            <w:tcBorders>
              <w:top w:val="nil"/>
              <w:left w:val="nil"/>
              <w:bottom w:val="nil"/>
              <w:right w:val="nil"/>
            </w:tcBorders>
            <w:shd w:val="clear" w:color="auto" w:fill="auto"/>
            <w:noWrap/>
            <w:vAlign w:val="bottom"/>
            <w:hideMark/>
          </w:tcPr>
          <w:p w:rsidR="00670D4D" w:rsidRPr="009F0E09" w:rsidP="00E9507C" w14:paraId="3323B2C7" w14:textId="77777777">
            <w:pPr>
              <w:ind w:right="555"/>
              <w:jc w:val="center"/>
              <w:rPr>
                <w:color w:val="000000"/>
                <w:kern w:val="0"/>
              </w:rPr>
            </w:pPr>
            <w:r w:rsidRPr="009F0E09">
              <w:rPr>
                <w:color w:val="000000"/>
                <w:kern w:val="0"/>
              </w:rPr>
              <w:t>B</w:t>
            </w:r>
          </w:p>
        </w:tc>
      </w:tr>
      <w:tr w14:paraId="29BC6BDD" w14:textId="77777777" w:rsidTr="00773153">
        <w:tblPrEx>
          <w:tblW w:w="10710" w:type="dxa"/>
          <w:jc w:val="center"/>
          <w:tblLook w:val="04A0"/>
        </w:tblPrEx>
        <w:trPr>
          <w:trHeight w:val="300"/>
          <w:jc w:val="center"/>
        </w:trPr>
        <w:tc>
          <w:tcPr>
            <w:tcW w:w="1350" w:type="dxa"/>
            <w:tcBorders>
              <w:top w:val="nil"/>
              <w:left w:val="nil"/>
              <w:bottom w:val="nil"/>
              <w:right w:val="nil"/>
            </w:tcBorders>
            <w:shd w:val="clear" w:color="auto" w:fill="auto"/>
            <w:noWrap/>
            <w:vAlign w:val="bottom"/>
            <w:hideMark/>
          </w:tcPr>
          <w:p w:rsidR="00670D4D" w:rsidRPr="009F0E09" w:rsidP="00E9507C" w14:paraId="1FB8FA72" w14:textId="77777777">
            <w:pPr>
              <w:jc w:val="center"/>
              <w:rPr>
                <w:color w:val="000000"/>
                <w:kern w:val="0"/>
              </w:rPr>
            </w:pPr>
            <w:r w:rsidRPr="009F0E09">
              <w:rPr>
                <w:color w:val="000000"/>
                <w:kern w:val="0"/>
              </w:rPr>
              <w:t>WPQQ262</w:t>
            </w:r>
          </w:p>
        </w:tc>
        <w:tc>
          <w:tcPr>
            <w:tcW w:w="1440" w:type="dxa"/>
            <w:tcBorders>
              <w:top w:val="nil"/>
              <w:left w:val="nil"/>
              <w:bottom w:val="nil"/>
              <w:right w:val="nil"/>
            </w:tcBorders>
            <w:shd w:val="clear" w:color="auto" w:fill="auto"/>
            <w:noWrap/>
            <w:vAlign w:val="bottom"/>
            <w:hideMark/>
          </w:tcPr>
          <w:p w:rsidR="00670D4D" w:rsidRPr="009F0E09" w:rsidP="00E9507C" w14:paraId="166CB62B" w14:textId="77777777">
            <w:pPr>
              <w:ind w:hanging="99"/>
              <w:jc w:val="center"/>
              <w:rPr>
                <w:color w:val="000000"/>
                <w:kern w:val="0"/>
              </w:rPr>
            </w:pPr>
            <w:r w:rsidRPr="009F0E09">
              <w:rPr>
                <w:color w:val="000000"/>
                <w:kern w:val="0"/>
              </w:rPr>
              <w:t>BEA170</w:t>
            </w:r>
          </w:p>
        </w:tc>
        <w:tc>
          <w:tcPr>
            <w:tcW w:w="5760" w:type="dxa"/>
            <w:tcBorders>
              <w:top w:val="nil"/>
              <w:left w:val="nil"/>
              <w:bottom w:val="nil"/>
              <w:right w:val="nil"/>
            </w:tcBorders>
            <w:shd w:val="clear" w:color="auto" w:fill="auto"/>
            <w:noWrap/>
            <w:vAlign w:val="bottom"/>
            <w:hideMark/>
          </w:tcPr>
          <w:p w:rsidR="00670D4D" w:rsidRPr="009F0E09" w:rsidP="00E9507C" w14:paraId="63953F6C" w14:textId="77777777">
            <w:pPr>
              <w:rPr>
                <w:color w:val="000000"/>
                <w:kern w:val="0"/>
              </w:rPr>
            </w:pPr>
            <w:r w:rsidRPr="009F0E09">
              <w:rPr>
                <w:color w:val="000000"/>
                <w:kern w:val="0"/>
              </w:rPr>
              <w:t>Seattle-Tacoma-Bremerton, WA</w:t>
            </w:r>
          </w:p>
        </w:tc>
        <w:tc>
          <w:tcPr>
            <w:tcW w:w="2160" w:type="dxa"/>
            <w:tcBorders>
              <w:top w:val="nil"/>
              <w:left w:val="nil"/>
              <w:bottom w:val="nil"/>
              <w:right w:val="nil"/>
            </w:tcBorders>
            <w:shd w:val="clear" w:color="auto" w:fill="auto"/>
            <w:noWrap/>
            <w:vAlign w:val="bottom"/>
            <w:hideMark/>
          </w:tcPr>
          <w:p w:rsidR="00670D4D" w:rsidRPr="009F0E09" w:rsidP="00E9507C" w14:paraId="6FAF0E17" w14:textId="77777777">
            <w:pPr>
              <w:ind w:right="555"/>
              <w:jc w:val="center"/>
              <w:rPr>
                <w:color w:val="000000"/>
                <w:kern w:val="0"/>
              </w:rPr>
            </w:pPr>
            <w:r w:rsidRPr="009F0E09">
              <w:rPr>
                <w:color w:val="000000"/>
                <w:kern w:val="0"/>
              </w:rPr>
              <w:t>C</w:t>
            </w:r>
          </w:p>
        </w:tc>
      </w:tr>
    </w:tbl>
    <w:p w:rsidR="00670D4D" w:rsidP="00670D4D" w14:paraId="3C82B927" w14:textId="77777777">
      <w:pPr>
        <w:rPr>
          <w:b/>
          <w:bCs/>
        </w:rPr>
      </w:pPr>
    </w:p>
    <w:p w:rsidR="00670D4D" w:rsidP="00670D4D" w14:paraId="7E05EC06" w14:textId="77777777">
      <w:pPr>
        <w:rPr>
          <w:b/>
          <w:bCs/>
        </w:rPr>
      </w:pPr>
      <w:r>
        <w:rPr>
          <w:b/>
          <w:bCs/>
        </w:rPr>
        <w:br w:type="page"/>
      </w:r>
    </w:p>
    <w:p w:rsidR="00670D4D" w:rsidRPr="000A11C9" w:rsidP="00670D4D" w14:paraId="443CA0BC" w14:textId="6B492764">
      <w:pPr>
        <w:jc w:val="center"/>
        <w:rPr>
          <w:b/>
          <w:bCs/>
        </w:rPr>
      </w:pPr>
      <w:r>
        <w:rPr>
          <w:b/>
          <w:bCs/>
        </w:rPr>
        <w:t>ATTACHMENT</w:t>
      </w:r>
      <w:r w:rsidRPr="000A11C9">
        <w:rPr>
          <w:b/>
          <w:bCs/>
        </w:rPr>
        <w:t xml:space="preserve"> </w:t>
      </w:r>
      <w:r>
        <w:rPr>
          <w:b/>
          <w:bCs/>
        </w:rPr>
        <w:t>B</w:t>
      </w:r>
      <w:r w:rsidRPr="000A11C9">
        <w:rPr>
          <w:b/>
          <w:bCs/>
        </w:rPr>
        <w:t xml:space="preserve"> </w:t>
      </w:r>
    </w:p>
    <w:p w:rsidR="00670D4D" w:rsidP="00670D4D" w14:paraId="64EF1E31" w14:textId="77777777">
      <w:pPr>
        <w:jc w:val="center"/>
        <w:rPr>
          <w:b/>
          <w:bCs/>
        </w:rPr>
      </w:pPr>
      <w:r>
        <w:rPr>
          <w:b/>
          <w:bCs/>
        </w:rPr>
        <w:t>Group 2 – 40 Licenses in 20 EAs</w:t>
      </w:r>
    </w:p>
    <w:p w:rsidR="00670D4D" w:rsidP="00670D4D" w14:paraId="44662C18" w14:textId="77777777">
      <w:pPr>
        <w:jc w:val="center"/>
        <w:rPr>
          <w:b/>
          <w:bCs/>
        </w:rPr>
      </w:pPr>
      <w:r>
        <w:rPr>
          <w:b/>
          <w:bCs/>
        </w:rPr>
        <w:t>Second Milestone Extension until June 17, 2021</w:t>
      </w:r>
    </w:p>
    <w:p w:rsidR="00670D4D" w:rsidP="00670D4D" w14:paraId="1EB67CF2" w14:textId="77777777">
      <w:pPr>
        <w:rPr>
          <w:b/>
          <w:bCs/>
        </w:rPr>
      </w:pPr>
    </w:p>
    <w:tbl>
      <w:tblPr>
        <w:tblW w:w="10710" w:type="dxa"/>
        <w:jc w:val="center"/>
        <w:tblLook w:val="04A0"/>
      </w:tblPr>
      <w:tblGrid>
        <w:gridCol w:w="1800"/>
        <w:gridCol w:w="1500"/>
        <w:gridCol w:w="5340"/>
        <w:gridCol w:w="2070"/>
      </w:tblGrid>
      <w:tr w14:paraId="0655816F"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tcPr>
          <w:p w:rsidR="00670D4D" w:rsidRPr="009F0E09" w:rsidP="00E9507C" w14:paraId="59E41CCA" w14:textId="77777777">
            <w:pPr>
              <w:ind w:hanging="18"/>
              <w:jc w:val="center"/>
              <w:rPr>
                <w:color w:val="000000"/>
                <w:kern w:val="0"/>
              </w:rPr>
            </w:pPr>
            <w:r w:rsidRPr="009F0E09">
              <w:rPr>
                <w:b/>
                <w:bCs/>
                <w:color w:val="000000"/>
                <w:kern w:val="0"/>
              </w:rPr>
              <w:t>Call Sign</w:t>
            </w:r>
          </w:p>
        </w:tc>
        <w:tc>
          <w:tcPr>
            <w:tcW w:w="1500" w:type="dxa"/>
            <w:tcBorders>
              <w:top w:val="nil"/>
              <w:left w:val="nil"/>
              <w:bottom w:val="nil"/>
              <w:right w:val="nil"/>
            </w:tcBorders>
            <w:shd w:val="clear" w:color="auto" w:fill="auto"/>
            <w:noWrap/>
            <w:vAlign w:val="bottom"/>
          </w:tcPr>
          <w:p w:rsidR="00670D4D" w:rsidRPr="009F0E09" w:rsidP="00E9507C" w14:paraId="1F315929" w14:textId="77777777">
            <w:pPr>
              <w:ind w:right="-53" w:hanging="18"/>
              <w:jc w:val="center"/>
              <w:rPr>
                <w:color w:val="000000"/>
                <w:kern w:val="0"/>
              </w:rPr>
            </w:pPr>
            <w:r w:rsidRPr="009F0E09">
              <w:rPr>
                <w:b/>
                <w:bCs/>
                <w:color w:val="000000"/>
                <w:kern w:val="0"/>
              </w:rPr>
              <w:t>Market Code</w:t>
            </w:r>
          </w:p>
        </w:tc>
        <w:tc>
          <w:tcPr>
            <w:tcW w:w="5340" w:type="dxa"/>
            <w:tcBorders>
              <w:top w:val="nil"/>
              <w:left w:val="nil"/>
              <w:bottom w:val="nil"/>
              <w:right w:val="nil"/>
            </w:tcBorders>
            <w:shd w:val="clear" w:color="auto" w:fill="auto"/>
            <w:noWrap/>
            <w:vAlign w:val="bottom"/>
          </w:tcPr>
          <w:p w:rsidR="00670D4D" w:rsidRPr="009F0E09" w:rsidP="00E9507C" w14:paraId="43364353" w14:textId="77777777">
            <w:pPr>
              <w:ind w:hanging="18"/>
              <w:jc w:val="center"/>
              <w:rPr>
                <w:color w:val="000000"/>
                <w:kern w:val="0"/>
              </w:rPr>
            </w:pPr>
            <w:r w:rsidRPr="009F0E09">
              <w:rPr>
                <w:b/>
                <w:bCs/>
                <w:color w:val="000000"/>
                <w:kern w:val="0"/>
              </w:rPr>
              <w:t>Market Description</w:t>
            </w:r>
          </w:p>
        </w:tc>
        <w:tc>
          <w:tcPr>
            <w:tcW w:w="2070" w:type="dxa"/>
            <w:tcBorders>
              <w:top w:val="nil"/>
              <w:left w:val="nil"/>
              <w:bottom w:val="nil"/>
              <w:right w:val="nil"/>
            </w:tcBorders>
            <w:shd w:val="clear" w:color="auto" w:fill="auto"/>
            <w:noWrap/>
            <w:vAlign w:val="bottom"/>
          </w:tcPr>
          <w:p w:rsidR="00670D4D" w:rsidRPr="009F0E09" w:rsidP="00E9507C" w14:paraId="13C1A14B" w14:textId="77777777">
            <w:pPr>
              <w:ind w:right="579" w:hanging="18"/>
              <w:jc w:val="center"/>
              <w:rPr>
                <w:color w:val="000000"/>
                <w:kern w:val="0"/>
              </w:rPr>
            </w:pPr>
            <w:r w:rsidRPr="009F0E09">
              <w:rPr>
                <w:b/>
                <w:bCs/>
                <w:color w:val="000000"/>
                <w:kern w:val="0"/>
              </w:rPr>
              <w:t>Channel Block</w:t>
            </w:r>
          </w:p>
        </w:tc>
      </w:tr>
      <w:tr w14:paraId="64D321AB"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195321DE" w14:textId="77777777">
            <w:pPr>
              <w:ind w:hanging="18"/>
              <w:jc w:val="center"/>
              <w:rPr>
                <w:color w:val="000000"/>
                <w:kern w:val="0"/>
              </w:rPr>
            </w:pPr>
            <w:r w:rsidRPr="009F0E09">
              <w:rPr>
                <w:color w:val="000000"/>
                <w:kern w:val="0"/>
              </w:rPr>
              <w:t>WPQP859</w:t>
            </w:r>
          </w:p>
        </w:tc>
        <w:tc>
          <w:tcPr>
            <w:tcW w:w="1500" w:type="dxa"/>
            <w:tcBorders>
              <w:top w:val="nil"/>
              <w:left w:val="nil"/>
              <w:bottom w:val="nil"/>
              <w:right w:val="nil"/>
            </w:tcBorders>
            <w:shd w:val="clear" w:color="auto" w:fill="auto"/>
            <w:noWrap/>
            <w:vAlign w:val="bottom"/>
            <w:hideMark/>
          </w:tcPr>
          <w:p w:rsidR="00670D4D" w:rsidRPr="009F0E09" w:rsidP="00E9507C" w14:paraId="25471160" w14:textId="77777777">
            <w:pPr>
              <w:ind w:right="-53" w:hanging="18"/>
              <w:jc w:val="center"/>
              <w:rPr>
                <w:color w:val="000000"/>
                <w:kern w:val="0"/>
              </w:rPr>
            </w:pPr>
            <w:r w:rsidRPr="009F0E09">
              <w:rPr>
                <w:color w:val="000000"/>
                <w:kern w:val="0"/>
              </w:rPr>
              <w:t>BEA008</w:t>
            </w:r>
          </w:p>
        </w:tc>
        <w:tc>
          <w:tcPr>
            <w:tcW w:w="5340" w:type="dxa"/>
            <w:tcBorders>
              <w:top w:val="nil"/>
              <w:left w:val="nil"/>
              <w:bottom w:val="nil"/>
              <w:right w:val="nil"/>
            </w:tcBorders>
            <w:shd w:val="clear" w:color="auto" w:fill="auto"/>
            <w:noWrap/>
            <w:vAlign w:val="bottom"/>
            <w:hideMark/>
          </w:tcPr>
          <w:p w:rsidR="00670D4D" w:rsidRPr="009F0E09" w:rsidP="00E9507C" w14:paraId="32724D8B" w14:textId="77777777">
            <w:pPr>
              <w:ind w:hanging="18"/>
              <w:rPr>
                <w:color w:val="000000"/>
                <w:kern w:val="0"/>
              </w:rPr>
            </w:pPr>
            <w:r w:rsidRPr="009F0E09">
              <w:rPr>
                <w:color w:val="000000"/>
                <w:kern w:val="0"/>
              </w:rPr>
              <w:t>Buffalo-Niagara Falls, NY-PA</w:t>
            </w:r>
          </w:p>
        </w:tc>
        <w:tc>
          <w:tcPr>
            <w:tcW w:w="2070" w:type="dxa"/>
            <w:tcBorders>
              <w:top w:val="nil"/>
              <w:left w:val="nil"/>
              <w:bottom w:val="nil"/>
              <w:right w:val="nil"/>
            </w:tcBorders>
            <w:shd w:val="clear" w:color="auto" w:fill="auto"/>
            <w:noWrap/>
            <w:vAlign w:val="bottom"/>
            <w:hideMark/>
          </w:tcPr>
          <w:p w:rsidR="00670D4D" w:rsidRPr="009F0E09" w:rsidP="00E9507C" w14:paraId="661593C7" w14:textId="77777777">
            <w:pPr>
              <w:ind w:right="579" w:hanging="18"/>
              <w:jc w:val="center"/>
              <w:rPr>
                <w:color w:val="000000"/>
                <w:kern w:val="0"/>
              </w:rPr>
            </w:pPr>
            <w:r w:rsidRPr="009F0E09">
              <w:rPr>
                <w:color w:val="000000"/>
                <w:kern w:val="0"/>
              </w:rPr>
              <w:t>B</w:t>
            </w:r>
          </w:p>
        </w:tc>
      </w:tr>
      <w:tr w14:paraId="376C5755"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12BF77F0" w14:textId="77777777">
            <w:pPr>
              <w:ind w:hanging="18"/>
              <w:jc w:val="center"/>
              <w:rPr>
                <w:color w:val="000000"/>
                <w:kern w:val="0"/>
              </w:rPr>
            </w:pPr>
            <w:r w:rsidRPr="009F0E09">
              <w:rPr>
                <w:color w:val="000000"/>
                <w:kern w:val="0"/>
              </w:rPr>
              <w:t>WPQP860</w:t>
            </w:r>
          </w:p>
        </w:tc>
        <w:tc>
          <w:tcPr>
            <w:tcW w:w="1500" w:type="dxa"/>
            <w:tcBorders>
              <w:top w:val="nil"/>
              <w:left w:val="nil"/>
              <w:bottom w:val="nil"/>
              <w:right w:val="nil"/>
            </w:tcBorders>
            <w:shd w:val="clear" w:color="auto" w:fill="auto"/>
            <w:noWrap/>
            <w:vAlign w:val="bottom"/>
            <w:hideMark/>
          </w:tcPr>
          <w:p w:rsidR="00670D4D" w:rsidRPr="009F0E09" w:rsidP="00E9507C" w14:paraId="5668EB5B" w14:textId="77777777">
            <w:pPr>
              <w:ind w:right="-53" w:hanging="18"/>
              <w:jc w:val="center"/>
              <w:rPr>
                <w:color w:val="000000"/>
                <w:kern w:val="0"/>
              </w:rPr>
            </w:pPr>
            <w:r w:rsidRPr="009F0E09">
              <w:rPr>
                <w:color w:val="000000"/>
                <w:kern w:val="0"/>
              </w:rPr>
              <w:t>BEA008</w:t>
            </w:r>
          </w:p>
        </w:tc>
        <w:tc>
          <w:tcPr>
            <w:tcW w:w="5340" w:type="dxa"/>
            <w:tcBorders>
              <w:top w:val="nil"/>
              <w:left w:val="nil"/>
              <w:bottom w:val="nil"/>
              <w:right w:val="nil"/>
            </w:tcBorders>
            <w:shd w:val="clear" w:color="auto" w:fill="auto"/>
            <w:noWrap/>
            <w:vAlign w:val="bottom"/>
            <w:hideMark/>
          </w:tcPr>
          <w:p w:rsidR="00670D4D" w:rsidRPr="009F0E09" w:rsidP="00E9507C" w14:paraId="1219F29B" w14:textId="77777777">
            <w:pPr>
              <w:ind w:hanging="18"/>
              <w:rPr>
                <w:color w:val="000000"/>
                <w:kern w:val="0"/>
              </w:rPr>
            </w:pPr>
            <w:r w:rsidRPr="009F0E09">
              <w:rPr>
                <w:color w:val="000000"/>
                <w:kern w:val="0"/>
              </w:rPr>
              <w:t>Buffalo-Niagara Falls, NY-PA</w:t>
            </w:r>
          </w:p>
        </w:tc>
        <w:tc>
          <w:tcPr>
            <w:tcW w:w="2070" w:type="dxa"/>
            <w:tcBorders>
              <w:top w:val="nil"/>
              <w:left w:val="nil"/>
              <w:bottom w:val="nil"/>
              <w:right w:val="nil"/>
            </w:tcBorders>
            <w:shd w:val="clear" w:color="auto" w:fill="auto"/>
            <w:noWrap/>
            <w:vAlign w:val="bottom"/>
            <w:hideMark/>
          </w:tcPr>
          <w:p w:rsidR="00670D4D" w:rsidRPr="009F0E09" w:rsidP="00E9507C" w14:paraId="087CD10B" w14:textId="77777777">
            <w:pPr>
              <w:ind w:right="579" w:hanging="18"/>
              <w:jc w:val="center"/>
              <w:rPr>
                <w:color w:val="000000"/>
                <w:kern w:val="0"/>
              </w:rPr>
            </w:pPr>
            <w:r w:rsidRPr="009F0E09">
              <w:rPr>
                <w:color w:val="000000"/>
                <w:kern w:val="0"/>
              </w:rPr>
              <w:t>C</w:t>
            </w:r>
          </w:p>
        </w:tc>
      </w:tr>
      <w:tr w14:paraId="7178DCF8"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525F2488" w14:textId="77777777">
            <w:pPr>
              <w:ind w:hanging="18"/>
              <w:jc w:val="center"/>
              <w:rPr>
                <w:color w:val="000000"/>
                <w:kern w:val="0"/>
              </w:rPr>
            </w:pPr>
            <w:r w:rsidRPr="009F0E09">
              <w:rPr>
                <w:color w:val="000000"/>
                <w:kern w:val="0"/>
              </w:rPr>
              <w:t>WPQP877</w:t>
            </w:r>
          </w:p>
        </w:tc>
        <w:tc>
          <w:tcPr>
            <w:tcW w:w="1500" w:type="dxa"/>
            <w:tcBorders>
              <w:top w:val="nil"/>
              <w:left w:val="nil"/>
              <w:bottom w:val="nil"/>
              <w:right w:val="nil"/>
            </w:tcBorders>
            <w:shd w:val="clear" w:color="auto" w:fill="auto"/>
            <w:noWrap/>
            <w:vAlign w:val="bottom"/>
            <w:hideMark/>
          </w:tcPr>
          <w:p w:rsidR="00670D4D" w:rsidRPr="009F0E09" w:rsidP="00E9507C" w14:paraId="27094847" w14:textId="77777777">
            <w:pPr>
              <w:ind w:right="-53" w:hanging="18"/>
              <w:jc w:val="center"/>
              <w:rPr>
                <w:color w:val="000000"/>
                <w:kern w:val="0"/>
              </w:rPr>
            </w:pPr>
            <w:r w:rsidRPr="009F0E09">
              <w:rPr>
                <w:color w:val="000000"/>
                <w:kern w:val="0"/>
              </w:rPr>
              <w:t>BEA019</w:t>
            </w:r>
          </w:p>
        </w:tc>
        <w:tc>
          <w:tcPr>
            <w:tcW w:w="5340" w:type="dxa"/>
            <w:tcBorders>
              <w:top w:val="nil"/>
              <w:left w:val="nil"/>
              <w:bottom w:val="nil"/>
              <w:right w:val="nil"/>
            </w:tcBorders>
            <w:shd w:val="clear" w:color="auto" w:fill="auto"/>
            <w:noWrap/>
            <w:vAlign w:val="bottom"/>
            <w:hideMark/>
          </w:tcPr>
          <w:p w:rsidR="00670D4D" w:rsidRPr="009F0E09" w:rsidP="00E9507C" w14:paraId="2A26A196" w14:textId="77777777">
            <w:pPr>
              <w:ind w:hanging="18"/>
              <w:rPr>
                <w:color w:val="000000"/>
                <w:kern w:val="0"/>
              </w:rPr>
            </w:pPr>
            <w:r w:rsidRPr="009F0E09">
              <w:rPr>
                <w:color w:val="000000"/>
                <w:kern w:val="0"/>
              </w:rPr>
              <w:t>Raleigh-Durham-Chapel Hill, NC</w:t>
            </w:r>
          </w:p>
        </w:tc>
        <w:tc>
          <w:tcPr>
            <w:tcW w:w="2070" w:type="dxa"/>
            <w:tcBorders>
              <w:top w:val="nil"/>
              <w:left w:val="nil"/>
              <w:bottom w:val="nil"/>
              <w:right w:val="nil"/>
            </w:tcBorders>
            <w:shd w:val="clear" w:color="auto" w:fill="auto"/>
            <w:noWrap/>
            <w:vAlign w:val="bottom"/>
            <w:hideMark/>
          </w:tcPr>
          <w:p w:rsidR="00670D4D" w:rsidRPr="009F0E09" w:rsidP="00E9507C" w14:paraId="2711D082" w14:textId="77777777">
            <w:pPr>
              <w:ind w:right="579" w:hanging="18"/>
              <w:jc w:val="center"/>
              <w:rPr>
                <w:color w:val="000000"/>
                <w:kern w:val="0"/>
              </w:rPr>
            </w:pPr>
            <w:r w:rsidRPr="009F0E09">
              <w:rPr>
                <w:color w:val="000000"/>
                <w:kern w:val="0"/>
              </w:rPr>
              <w:t>B</w:t>
            </w:r>
          </w:p>
        </w:tc>
      </w:tr>
      <w:tr w14:paraId="3082E841"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44C21CD1" w14:textId="77777777">
            <w:pPr>
              <w:ind w:hanging="18"/>
              <w:jc w:val="center"/>
              <w:rPr>
                <w:color w:val="000000"/>
                <w:kern w:val="0"/>
              </w:rPr>
            </w:pPr>
            <w:r w:rsidRPr="009F0E09">
              <w:rPr>
                <w:color w:val="000000"/>
                <w:kern w:val="0"/>
              </w:rPr>
              <w:t>WPQP878</w:t>
            </w:r>
          </w:p>
        </w:tc>
        <w:tc>
          <w:tcPr>
            <w:tcW w:w="1500" w:type="dxa"/>
            <w:tcBorders>
              <w:top w:val="nil"/>
              <w:left w:val="nil"/>
              <w:bottom w:val="nil"/>
              <w:right w:val="nil"/>
            </w:tcBorders>
            <w:shd w:val="clear" w:color="auto" w:fill="auto"/>
            <w:noWrap/>
            <w:vAlign w:val="bottom"/>
            <w:hideMark/>
          </w:tcPr>
          <w:p w:rsidR="00670D4D" w:rsidRPr="009F0E09" w:rsidP="00E9507C" w14:paraId="65D8482E" w14:textId="77777777">
            <w:pPr>
              <w:ind w:right="-53" w:hanging="18"/>
              <w:jc w:val="center"/>
              <w:rPr>
                <w:color w:val="000000"/>
                <w:kern w:val="0"/>
              </w:rPr>
            </w:pPr>
            <w:r w:rsidRPr="009F0E09">
              <w:rPr>
                <w:color w:val="000000"/>
                <w:kern w:val="0"/>
              </w:rPr>
              <w:t>BEA019</w:t>
            </w:r>
          </w:p>
        </w:tc>
        <w:tc>
          <w:tcPr>
            <w:tcW w:w="5340" w:type="dxa"/>
            <w:tcBorders>
              <w:top w:val="nil"/>
              <w:left w:val="nil"/>
              <w:bottom w:val="nil"/>
              <w:right w:val="nil"/>
            </w:tcBorders>
            <w:shd w:val="clear" w:color="auto" w:fill="auto"/>
            <w:noWrap/>
            <w:vAlign w:val="bottom"/>
            <w:hideMark/>
          </w:tcPr>
          <w:p w:rsidR="00670D4D" w:rsidRPr="009F0E09" w:rsidP="00E9507C" w14:paraId="3555E6C7" w14:textId="77777777">
            <w:pPr>
              <w:ind w:hanging="18"/>
              <w:rPr>
                <w:color w:val="000000"/>
                <w:kern w:val="0"/>
              </w:rPr>
            </w:pPr>
            <w:r w:rsidRPr="009F0E09">
              <w:rPr>
                <w:color w:val="000000"/>
                <w:kern w:val="0"/>
              </w:rPr>
              <w:t>Raleigh-Durham-Chapel Hill, NC</w:t>
            </w:r>
          </w:p>
        </w:tc>
        <w:tc>
          <w:tcPr>
            <w:tcW w:w="2070" w:type="dxa"/>
            <w:tcBorders>
              <w:top w:val="nil"/>
              <w:left w:val="nil"/>
              <w:bottom w:val="nil"/>
              <w:right w:val="nil"/>
            </w:tcBorders>
            <w:shd w:val="clear" w:color="auto" w:fill="auto"/>
            <w:noWrap/>
            <w:vAlign w:val="bottom"/>
            <w:hideMark/>
          </w:tcPr>
          <w:p w:rsidR="00670D4D" w:rsidRPr="009F0E09" w:rsidP="00E9507C" w14:paraId="3B832082" w14:textId="77777777">
            <w:pPr>
              <w:ind w:right="579" w:hanging="18"/>
              <w:jc w:val="center"/>
              <w:rPr>
                <w:color w:val="000000"/>
                <w:kern w:val="0"/>
              </w:rPr>
            </w:pPr>
            <w:r w:rsidRPr="009F0E09">
              <w:rPr>
                <w:color w:val="000000"/>
                <w:kern w:val="0"/>
              </w:rPr>
              <w:t>C</w:t>
            </w:r>
          </w:p>
        </w:tc>
      </w:tr>
      <w:tr w14:paraId="78D0A0BD"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2914D4F7" w14:textId="77777777">
            <w:pPr>
              <w:ind w:hanging="18"/>
              <w:jc w:val="center"/>
              <w:rPr>
                <w:color w:val="000000"/>
                <w:kern w:val="0"/>
              </w:rPr>
            </w:pPr>
            <w:r w:rsidRPr="009F0E09">
              <w:rPr>
                <w:color w:val="000000"/>
                <w:kern w:val="0"/>
              </w:rPr>
              <w:t>WPQP879</w:t>
            </w:r>
          </w:p>
        </w:tc>
        <w:tc>
          <w:tcPr>
            <w:tcW w:w="1500" w:type="dxa"/>
            <w:tcBorders>
              <w:top w:val="nil"/>
              <w:left w:val="nil"/>
              <w:bottom w:val="nil"/>
              <w:right w:val="nil"/>
            </w:tcBorders>
            <w:shd w:val="clear" w:color="auto" w:fill="auto"/>
            <w:noWrap/>
            <w:vAlign w:val="bottom"/>
            <w:hideMark/>
          </w:tcPr>
          <w:p w:rsidR="00670D4D" w:rsidRPr="009F0E09" w:rsidP="00E9507C" w14:paraId="1F3AC8EC" w14:textId="77777777">
            <w:pPr>
              <w:ind w:right="-53" w:hanging="18"/>
              <w:jc w:val="center"/>
              <w:rPr>
                <w:color w:val="000000"/>
                <w:kern w:val="0"/>
              </w:rPr>
            </w:pPr>
            <w:r w:rsidRPr="009F0E09">
              <w:rPr>
                <w:color w:val="000000"/>
                <w:kern w:val="0"/>
              </w:rPr>
              <w:t>BEA020</w:t>
            </w:r>
          </w:p>
        </w:tc>
        <w:tc>
          <w:tcPr>
            <w:tcW w:w="5340" w:type="dxa"/>
            <w:tcBorders>
              <w:top w:val="nil"/>
              <w:left w:val="nil"/>
              <w:bottom w:val="nil"/>
              <w:right w:val="nil"/>
            </w:tcBorders>
            <w:shd w:val="clear" w:color="auto" w:fill="auto"/>
            <w:noWrap/>
            <w:vAlign w:val="bottom"/>
            <w:hideMark/>
          </w:tcPr>
          <w:p w:rsidR="00670D4D" w:rsidRPr="009F0E09" w:rsidP="00E9507C" w14:paraId="2D3ABA43" w14:textId="77777777">
            <w:pPr>
              <w:ind w:hanging="18"/>
              <w:rPr>
                <w:color w:val="000000"/>
                <w:kern w:val="0"/>
              </w:rPr>
            </w:pPr>
            <w:r w:rsidRPr="009F0E09">
              <w:rPr>
                <w:color w:val="000000"/>
                <w:kern w:val="0"/>
              </w:rPr>
              <w:t>Norfolk-Virginia Beach-Newport News, VA-NC</w:t>
            </w:r>
          </w:p>
        </w:tc>
        <w:tc>
          <w:tcPr>
            <w:tcW w:w="2070" w:type="dxa"/>
            <w:tcBorders>
              <w:top w:val="nil"/>
              <w:left w:val="nil"/>
              <w:bottom w:val="nil"/>
              <w:right w:val="nil"/>
            </w:tcBorders>
            <w:shd w:val="clear" w:color="auto" w:fill="auto"/>
            <w:noWrap/>
            <w:vAlign w:val="bottom"/>
            <w:hideMark/>
          </w:tcPr>
          <w:p w:rsidR="00670D4D" w:rsidRPr="009F0E09" w:rsidP="00E9507C" w14:paraId="41085C7B" w14:textId="77777777">
            <w:pPr>
              <w:ind w:right="579" w:hanging="18"/>
              <w:jc w:val="center"/>
              <w:rPr>
                <w:color w:val="000000"/>
                <w:kern w:val="0"/>
              </w:rPr>
            </w:pPr>
            <w:r w:rsidRPr="009F0E09">
              <w:rPr>
                <w:color w:val="000000"/>
                <w:kern w:val="0"/>
              </w:rPr>
              <w:t>B</w:t>
            </w:r>
          </w:p>
        </w:tc>
      </w:tr>
      <w:tr w14:paraId="7FA38834"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6B36C7E" w14:textId="77777777">
            <w:pPr>
              <w:ind w:hanging="18"/>
              <w:jc w:val="center"/>
              <w:rPr>
                <w:color w:val="000000"/>
                <w:kern w:val="0"/>
              </w:rPr>
            </w:pPr>
            <w:r w:rsidRPr="009F0E09">
              <w:rPr>
                <w:color w:val="000000"/>
                <w:kern w:val="0"/>
              </w:rPr>
              <w:t>WPQP880</w:t>
            </w:r>
          </w:p>
        </w:tc>
        <w:tc>
          <w:tcPr>
            <w:tcW w:w="1500" w:type="dxa"/>
            <w:tcBorders>
              <w:top w:val="nil"/>
              <w:left w:val="nil"/>
              <w:bottom w:val="nil"/>
              <w:right w:val="nil"/>
            </w:tcBorders>
            <w:shd w:val="clear" w:color="auto" w:fill="auto"/>
            <w:noWrap/>
            <w:vAlign w:val="bottom"/>
            <w:hideMark/>
          </w:tcPr>
          <w:p w:rsidR="00670D4D" w:rsidRPr="009F0E09" w:rsidP="00E9507C" w14:paraId="5C560519" w14:textId="77777777">
            <w:pPr>
              <w:ind w:right="-53" w:hanging="18"/>
              <w:jc w:val="center"/>
              <w:rPr>
                <w:color w:val="000000"/>
                <w:kern w:val="0"/>
              </w:rPr>
            </w:pPr>
            <w:r w:rsidRPr="009F0E09">
              <w:rPr>
                <w:color w:val="000000"/>
                <w:kern w:val="0"/>
              </w:rPr>
              <w:t>BEA020</w:t>
            </w:r>
          </w:p>
        </w:tc>
        <w:tc>
          <w:tcPr>
            <w:tcW w:w="5340" w:type="dxa"/>
            <w:tcBorders>
              <w:top w:val="nil"/>
              <w:left w:val="nil"/>
              <w:bottom w:val="nil"/>
              <w:right w:val="nil"/>
            </w:tcBorders>
            <w:shd w:val="clear" w:color="auto" w:fill="auto"/>
            <w:noWrap/>
            <w:vAlign w:val="bottom"/>
            <w:hideMark/>
          </w:tcPr>
          <w:p w:rsidR="00670D4D" w:rsidRPr="009F0E09" w:rsidP="00E9507C" w14:paraId="6B0E7C80" w14:textId="77777777">
            <w:pPr>
              <w:ind w:hanging="18"/>
              <w:rPr>
                <w:color w:val="000000"/>
                <w:kern w:val="0"/>
              </w:rPr>
            </w:pPr>
            <w:r w:rsidRPr="009F0E09">
              <w:rPr>
                <w:color w:val="000000"/>
                <w:kern w:val="0"/>
              </w:rPr>
              <w:t>Norfolk-Virginia Beach-Newport News, VA-NC</w:t>
            </w:r>
          </w:p>
        </w:tc>
        <w:tc>
          <w:tcPr>
            <w:tcW w:w="2070" w:type="dxa"/>
            <w:tcBorders>
              <w:top w:val="nil"/>
              <w:left w:val="nil"/>
              <w:bottom w:val="nil"/>
              <w:right w:val="nil"/>
            </w:tcBorders>
            <w:shd w:val="clear" w:color="auto" w:fill="auto"/>
            <w:noWrap/>
            <w:vAlign w:val="bottom"/>
            <w:hideMark/>
          </w:tcPr>
          <w:p w:rsidR="00670D4D" w:rsidRPr="009F0E09" w:rsidP="00E9507C" w14:paraId="25CB3456" w14:textId="77777777">
            <w:pPr>
              <w:ind w:right="579" w:hanging="18"/>
              <w:jc w:val="center"/>
              <w:rPr>
                <w:color w:val="000000"/>
                <w:kern w:val="0"/>
              </w:rPr>
            </w:pPr>
            <w:r w:rsidRPr="009F0E09">
              <w:rPr>
                <w:color w:val="000000"/>
                <w:kern w:val="0"/>
              </w:rPr>
              <w:t>C</w:t>
            </w:r>
          </w:p>
        </w:tc>
      </w:tr>
      <w:tr w14:paraId="25691CA8"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3FAD1F3D" w14:textId="77777777">
            <w:pPr>
              <w:ind w:hanging="18"/>
              <w:jc w:val="center"/>
              <w:rPr>
                <w:color w:val="000000"/>
                <w:kern w:val="0"/>
              </w:rPr>
            </w:pPr>
            <w:r w:rsidRPr="009F0E09">
              <w:rPr>
                <w:color w:val="000000"/>
                <w:kern w:val="0"/>
              </w:rPr>
              <w:t>WPQP883</w:t>
            </w:r>
          </w:p>
        </w:tc>
        <w:tc>
          <w:tcPr>
            <w:tcW w:w="1500" w:type="dxa"/>
            <w:tcBorders>
              <w:top w:val="nil"/>
              <w:left w:val="nil"/>
              <w:bottom w:val="nil"/>
              <w:right w:val="nil"/>
            </w:tcBorders>
            <w:shd w:val="clear" w:color="auto" w:fill="auto"/>
            <w:noWrap/>
            <w:vAlign w:val="bottom"/>
            <w:hideMark/>
          </w:tcPr>
          <w:p w:rsidR="00670D4D" w:rsidRPr="009F0E09" w:rsidP="00E9507C" w14:paraId="6F9433CF" w14:textId="77777777">
            <w:pPr>
              <w:ind w:right="-53" w:hanging="18"/>
              <w:jc w:val="center"/>
              <w:rPr>
                <w:color w:val="000000"/>
                <w:kern w:val="0"/>
              </w:rPr>
            </w:pPr>
            <w:r w:rsidRPr="009F0E09">
              <w:rPr>
                <w:color w:val="000000"/>
                <w:kern w:val="0"/>
              </w:rPr>
              <w:t>BEA023</w:t>
            </w:r>
          </w:p>
        </w:tc>
        <w:tc>
          <w:tcPr>
            <w:tcW w:w="5340" w:type="dxa"/>
            <w:tcBorders>
              <w:top w:val="nil"/>
              <w:left w:val="nil"/>
              <w:bottom w:val="nil"/>
              <w:right w:val="nil"/>
            </w:tcBorders>
            <w:shd w:val="clear" w:color="auto" w:fill="auto"/>
            <w:noWrap/>
            <w:vAlign w:val="bottom"/>
            <w:hideMark/>
          </w:tcPr>
          <w:p w:rsidR="00670D4D" w:rsidRPr="009F0E09" w:rsidP="00E9507C" w14:paraId="2394856F" w14:textId="77777777">
            <w:pPr>
              <w:ind w:hanging="18"/>
              <w:rPr>
                <w:color w:val="000000"/>
                <w:kern w:val="0"/>
              </w:rPr>
            </w:pPr>
            <w:r w:rsidRPr="009F0E09">
              <w:rPr>
                <w:color w:val="000000"/>
                <w:kern w:val="0"/>
              </w:rPr>
              <w:t>Charlotte-Gastonia-Rock Hill, NC-SC</w:t>
            </w:r>
          </w:p>
        </w:tc>
        <w:tc>
          <w:tcPr>
            <w:tcW w:w="2070" w:type="dxa"/>
            <w:tcBorders>
              <w:top w:val="nil"/>
              <w:left w:val="nil"/>
              <w:bottom w:val="nil"/>
              <w:right w:val="nil"/>
            </w:tcBorders>
            <w:shd w:val="clear" w:color="auto" w:fill="auto"/>
            <w:noWrap/>
            <w:vAlign w:val="bottom"/>
            <w:hideMark/>
          </w:tcPr>
          <w:p w:rsidR="00670D4D" w:rsidRPr="009F0E09" w:rsidP="00E9507C" w14:paraId="13CFC945" w14:textId="77777777">
            <w:pPr>
              <w:ind w:right="579" w:hanging="18"/>
              <w:jc w:val="center"/>
              <w:rPr>
                <w:color w:val="000000"/>
                <w:kern w:val="0"/>
              </w:rPr>
            </w:pPr>
            <w:r w:rsidRPr="009F0E09">
              <w:rPr>
                <w:color w:val="000000"/>
                <w:kern w:val="0"/>
              </w:rPr>
              <w:t>B</w:t>
            </w:r>
          </w:p>
        </w:tc>
      </w:tr>
      <w:tr w14:paraId="006E0931"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4C7D2289" w14:textId="77777777">
            <w:pPr>
              <w:ind w:hanging="18"/>
              <w:jc w:val="center"/>
              <w:rPr>
                <w:color w:val="000000"/>
                <w:kern w:val="0"/>
              </w:rPr>
            </w:pPr>
            <w:r w:rsidRPr="009F0E09">
              <w:rPr>
                <w:color w:val="000000"/>
                <w:kern w:val="0"/>
              </w:rPr>
              <w:t>WPQP884</w:t>
            </w:r>
          </w:p>
        </w:tc>
        <w:tc>
          <w:tcPr>
            <w:tcW w:w="1500" w:type="dxa"/>
            <w:tcBorders>
              <w:top w:val="nil"/>
              <w:left w:val="nil"/>
              <w:bottom w:val="nil"/>
              <w:right w:val="nil"/>
            </w:tcBorders>
            <w:shd w:val="clear" w:color="auto" w:fill="auto"/>
            <w:noWrap/>
            <w:vAlign w:val="bottom"/>
            <w:hideMark/>
          </w:tcPr>
          <w:p w:rsidR="00670D4D" w:rsidRPr="009F0E09" w:rsidP="00E9507C" w14:paraId="77A2C2E0" w14:textId="77777777">
            <w:pPr>
              <w:ind w:right="-53" w:hanging="18"/>
              <w:jc w:val="center"/>
              <w:rPr>
                <w:color w:val="000000"/>
                <w:kern w:val="0"/>
              </w:rPr>
            </w:pPr>
            <w:r w:rsidRPr="009F0E09">
              <w:rPr>
                <w:color w:val="000000"/>
                <w:kern w:val="0"/>
              </w:rPr>
              <w:t>BEA023</w:t>
            </w:r>
          </w:p>
        </w:tc>
        <w:tc>
          <w:tcPr>
            <w:tcW w:w="5340" w:type="dxa"/>
            <w:tcBorders>
              <w:top w:val="nil"/>
              <w:left w:val="nil"/>
              <w:bottom w:val="nil"/>
              <w:right w:val="nil"/>
            </w:tcBorders>
            <w:shd w:val="clear" w:color="auto" w:fill="auto"/>
            <w:noWrap/>
            <w:vAlign w:val="bottom"/>
            <w:hideMark/>
          </w:tcPr>
          <w:p w:rsidR="00670D4D" w:rsidRPr="009F0E09" w:rsidP="00E9507C" w14:paraId="3A1AF4CD" w14:textId="77777777">
            <w:pPr>
              <w:ind w:hanging="18"/>
              <w:rPr>
                <w:color w:val="000000"/>
                <w:kern w:val="0"/>
              </w:rPr>
            </w:pPr>
            <w:r w:rsidRPr="009F0E09">
              <w:rPr>
                <w:color w:val="000000"/>
                <w:kern w:val="0"/>
              </w:rPr>
              <w:t>Charlotte-Gastonia-Rock Hill, NC-SC</w:t>
            </w:r>
          </w:p>
        </w:tc>
        <w:tc>
          <w:tcPr>
            <w:tcW w:w="2070" w:type="dxa"/>
            <w:tcBorders>
              <w:top w:val="nil"/>
              <w:left w:val="nil"/>
              <w:bottom w:val="nil"/>
              <w:right w:val="nil"/>
            </w:tcBorders>
            <w:shd w:val="clear" w:color="auto" w:fill="auto"/>
            <w:noWrap/>
            <w:vAlign w:val="bottom"/>
            <w:hideMark/>
          </w:tcPr>
          <w:p w:rsidR="00670D4D" w:rsidRPr="009F0E09" w:rsidP="00E9507C" w14:paraId="372E25D4" w14:textId="77777777">
            <w:pPr>
              <w:ind w:right="579" w:hanging="18"/>
              <w:jc w:val="center"/>
              <w:rPr>
                <w:color w:val="000000"/>
                <w:kern w:val="0"/>
              </w:rPr>
            </w:pPr>
            <w:r w:rsidRPr="009F0E09">
              <w:rPr>
                <w:color w:val="000000"/>
                <w:kern w:val="0"/>
              </w:rPr>
              <w:t>C</w:t>
            </w:r>
          </w:p>
        </w:tc>
      </w:tr>
      <w:tr w14:paraId="6C6AB24B"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186341BE" w14:textId="77777777">
            <w:pPr>
              <w:ind w:hanging="18"/>
              <w:jc w:val="center"/>
              <w:rPr>
                <w:color w:val="000000"/>
                <w:kern w:val="0"/>
              </w:rPr>
            </w:pPr>
            <w:r w:rsidRPr="009F0E09">
              <w:rPr>
                <w:color w:val="000000"/>
                <w:kern w:val="0"/>
              </w:rPr>
              <w:t>WPQP895</w:t>
            </w:r>
          </w:p>
        </w:tc>
        <w:tc>
          <w:tcPr>
            <w:tcW w:w="1500" w:type="dxa"/>
            <w:tcBorders>
              <w:top w:val="nil"/>
              <w:left w:val="nil"/>
              <w:bottom w:val="nil"/>
              <w:right w:val="nil"/>
            </w:tcBorders>
            <w:shd w:val="clear" w:color="auto" w:fill="auto"/>
            <w:noWrap/>
            <w:vAlign w:val="bottom"/>
            <w:hideMark/>
          </w:tcPr>
          <w:p w:rsidR="00670D4D" w:rsidRPr="009F0E09" w:rsidP="00E9507C" w14:paraId="32DDDE8E" w14:textId="77777777">
            <w:pPr>
              <w:ind w:right="-53" w:hanging="18"/>
              <w:jc w:val="center"/>
              <w:rPr>
                <w:color w:val="000000"/>
                <w:kern w:val="0"/>
              </w:rPr>
            </w:pPr>
            <w:r w:rsidRPr="009F0E09">
              <w:rPr>
                <w:color w:val="000000"/>
                <w:kern w:val="0"/>
              </w:rPr>
              <w:t>BEA029</w:t>
            </w:r>
          </w:p>
        </w:tc>
        <w:tc>
          <w:tcPr>
            <w:tcW w:w="5340" w:type="dxa"/>
            <w:tcBorders>
              <w:top w:val="nil"/>
              <w:left w:val="nil"/>
              <w:bottom w:val="nil"/>
              <w:right w:val="nil"/>
            </w:tcBorders>
            <w:shd w:val="clear" w:color="auto" w:fill="auto"/>
            <w:noWrap/>
            <w:vAlign w:val="bottom"/>
            <w:hideMark/>
          </w:tcPr>
          <w:p w:rsidR="00670D4D" w:rsidRPr="009F0E09" w:rsidP="00E9507C" w14:paraId="04AFCC56" w14:textId="77777777">
            <w:pPr>
              <w:ind w:hanging="18"/>
              <w:rPr>
                <w:color w:val="000000"/>
                <w:kern w:val="0"/>
              </w:rPr>
            </w:pPr>
            <w:r w:rsidRPr="009F0E09">
              <w:rPr>
                <w:color w:val="000000"/>
                <w:kern w:val="0"/>
              </w:rPr>
              <w:t>Jacksonville, FL-GA</w:t>
            </w:r>
          </w:p>
        </w:tc>
        <w:tc>
          <w:tcPr>
            <w:tcW w:w="2070" w:type="dxa"/>
            <w:tcBorders>
              <w:top w:val="nil"/>
              <w:left w:val="nil"/>
              <w:bottom w:val="nil"/>
              <w:right w:val="nil"/>
            </w:tcBorders>
            <w:shd w:val="clear" w:color="auto" w:fill="auto"/>
            <w:noWrap/>
            <w:vAlign w:val="bottom"/>
            <w:hideMark/>
          </w:tcPr>
          <w:p w:rsidR="00670D4D" w:rsidRPr="009F0E09" w:rsidP="00E9507C" w14:paraId="673EB9CC" w14:textId="77777777">
            <w:pPr>
              <w:ind w:right="579" w:hanging="18"/>
              <w:jc w:val="center"/>
              <w:rPr>
                <w:color w:val="000000"/>
                <w:kern w:val="0"/>
              </w:rPr>
            </w:pPr>
            <w:r w:rsidRPr="009F0E09">
              <w:rPr>
                <w:color w:val="000000"/>
                <w:kern w:val="0"/>
              </w:rPr>
              <w:t>B</w:t>
            </w:r>
          </w:p>
        </w:tc>
      </w:tr>
      <w:tr w14:paraId="1E39567F"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5446CE0C" w14:textId="77777777">
            <w:pPr>
              <w:ind w:hanging="18"/>
              <w:jc w:val="center"/>
              <w:rPr>
                <w:color w:val="000000"/>
                <w:kern w:val="0"/>
              </w:rPr>
            </w:pPr>
            <w:r w:rsidRPr="009F0E09">
              <w:rPr>
                <w:color w:val="000000"/>
                <w:kern w:val="0"/>
              </w:rPr>
              <w:t>WPQP896</w:t>
            </w:r>
          </w:p>
        </w:tc>
        <w:tc>
          <w:tcPr>
            <w:tcW w:w="1500" w:type="dxa"/>
            <w:tcBorders>
              <w:top w:val="nil"/>
              <w:left w:val="nil"/>
              <w:bottom w:val="nil"/>
              <w:right w:val="nil"/>
            </w:tcBorders>
            <w:shd w:val="clear" w:color="auto" w:fill="auto"/>
            <w:noWrap/>
            <w:vAlign w:val="bottom"/>
            <w:hideMark/>
          </w:tcPr>
          <w:p w:rsidR="00670D4D" w:rsidRPr="009F0E09" w:rsidP="00E9507C" w14:paraId="3B5B844B" w14:textId="77777777">
            <w:pPr>
              <w:ind w:right="-53" w:hanging="18"/>
              <w:jc w:val="center"/>
              <w:rPr>
                <w:color w:val="000000"/>
                <w:kern w:val="0"/>
              </w:rPr>
            </w:pPr>
            <w:r w:rsidRPr="009F0E09">
              <w:rPr>
                <w:color w:val="000000"/>
                <w:kern w:val="0"/>
              </w:rPr>
              <w:t>BEA029</w:t>
            </w:r>
          </w:p>
        </w:tc>
        <w:tc>
          <w:tcPr>
            <w:tcW w:w="5340" w:type="dxa"/>
            <w:tcBorders>
              <w:top w:val="nil"/>
              <w:left w:val="nil"/>
              <w:bottom w:val="nil"/>
              <w:right w:val="nil"/>
            </w:tcBorders>
            <w:shd w:val="clear" w:color="auto" w:fill="auto"/>
            <w:noWrap/>
            <w:vAlign w:val="bottom"/>
            <w:hideMark/>
          </w:tcPr>
          <w:p w:rsidR="00670D4D" w:rsidRPr="009F0E09" w:rsidP="00E9507C" w14:paraId="40EEF43B" w14:textId="77777777">
            <w:pPr>
              <w:ind w:hanging="18"/>
              <w:rPr>
                <w:color w:val="000000"/>
                <w:kern w:val="0"/>
              </w:rPr>
            </w:pPr>
            <w:r w:rsidRPr="009F0E09">
              <w:rPr>
                <w:color w:val="000000"/>
                <w:kern w:val="0"/>
              </w:rPr>
              <w:t>Jacksonville, FL-GA</w:t>
            </w:r>
          </w:p>
        </w:tc>
        <w:tc>
          <w:tcPr>
            <w:tcW w:w="2070" w:type="dxa"/>
            <w:tcBorders>
              <w:top w:val="nil"/>
              <w:left w:val="nil"/>
              <w:bottom w:val="nil"/>
              <w:right w:val="nil"/>
            </w:tcBorders>
            <w:shd w:val="clear" w:color="auto" w:fill="auto"/>
            <w:noWrap/>
            <w:vAlign w:val="bottom"/>
            <w:hideMark/>
          </w:tcPr>
          <w:p w:rsidR="00670D4D" w:rsidRPr="009F0E09" w:rsidP="00E9507C" w14:paraId="2A1C641C" w14:textId="77777777">
            <w:pPr>
              <w:ind w:right="579" w:hanging="18"/>
              <w:jc w:val="center"/>
              <w:rPr>
                <w:color w:val="000000"/>
                <w:kern w:val="0"/>
              </w:rPr>
            </w:pPr>
            <w:r w:rsidRPr="009F0E09">
              <w:rPr>
                <w:color w:val="000000"/>
                <w:kern w:val="0"/>
              </w:rPr>
              <w:t>C</w:t>
            </w:r>
          </w:p>
        </w:tc>
      </w:tr>
      <w:tr w14:paraId="154ADAAB"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18B81530" w14:textId="77777777">
            <w:pPr>
              <w:ind w:hanging="18"/>
              <w:jc w:val="center"/>
              <w:rPr>
                <w:color w:val="000000"/>
                <w:kern w:val="0"/>
              </w:rPr>
            </w:pPr>
            <w:r w:rsidRPr="009F0E09">
              <w:rPr>
                <w:color w:val="000000"/>
                <w:kern w:val="0"/>
              </w:rPr>
              <w:t>WPQP897</w:t>
            </w:r>
          </w:p>
        </w:tc>
        <w:tc>
          <w:tcPr>
            <w:tcW w:w="1500" w:type="dxa"/>
            <w:tcBorders>
              <w:top w:val="nil"/>
              <w:left w:val="nil"/>
              <w:bottom w:val="nil"/>
              <w:right w:val="nil"/>
            </w:tcBorders>
            <w:shd w:val="clear" w:color="auto" w:fill="auto"/>
            <w:noWrap/>
            <w:vAlign w:val="bottom"/>
            <w:hideMark/>
          </w:tcPr>
          <w:p w:rsidR="00670D4D" w:rsidRPr="009F0E09" w:rsidP="00E9507C" w14:paraId="69119E1D" w14:textId="77777777">
            <w:pPr>
              <w:ind w:right="-53" w:hanging="18"/>
              <w:jc w:val="center"/>
              <w:rPr>
                <w:color w:val="000000"/>
                <w:kern w:val="0"/>
              </w:rPr>
            </w:pPr>
            <w:r w:rsidRPr="009F0E09">
              <w:rPr>
                <w:color w:val="000000"/>
                <w:kern w:val="0"/>
              </w:rPr>
              <w:t>BEA030</w:t>
            </w:r>
          </w:p>
        </w:tc>
        <w:tc>
          <w:tcPr>
            <w:tcW w:w="5340" w:type="dxa"/>
            <w:tcBorders>
              <w:top w:val="nil"/>
              <w:left w:val="nil"/>
              <w:bottom w:val="nil"/>
              <w:right w:val="nil"/>
            </w:tcBorders>
            <w:shd w:val="clear" w:color="auto" w:fill="auto"/>
            <w:noWrap/>
            <w:vAlign w:val="bottom"/>
            <w:hideMark/>
          </w:tcPr>
          <w:p w:rsidR="00670D4D" w:rsidRPr="009F0E09" w:rsidP="00E9507C" w14:paraId="63EBA9E8" w14:textId="77777777">
            <w:pPr>
              <w:ind w:hanging="18"/>
              <w:rPr>
                <w:color w:val="000000"/>
                <w:kern w:val="0"/>
              </w:rPr>
            </w:pPr>
            <w:r w:rsidRPr="009F0E09">
              <w:rPr>
                <w:color w:val="000000"/>
                <w:kern w:val="0"/>
              </w:rPr>
              <w:t>Orlando, FL</w:t>
            </w:r>
          </w:p>
        </w:tc>
        <w:tc>
          <w:tcPr>
            <w:tcW w:w="2070" w:type="dxa"/>
            <w:tcBorders>
              <w:top w:val="nil"/>
              <w:left w:val="nil"/>
              <w:bottom w:val="nil"/>
              <w:right w:val="nil"/>
            </w:tcBorders>
            <w:shd w:val="clear" w:color="auto" w:fill="auto"/>
            <w:noWrap/>
            <w:vAlign w:val="bottom"/>
            <w:hideMark/>
          </w:tcPr>
          <w:p w:rsidR="00670D4D" w:rsidRPr="009F0E09" w:rsidP="00E9507C" w14:paraId="62E20E48" w14:textId="77777777">
            <w:pPr>
              <w:ind w:right="579" w:hanging="18"/>
              <w:jc w:val="center"/>
              <w:rPr>
                <w:color w:val="000000"/>
                <w:kern w:val="0"/>
              </w:rPr>
            </w:pPr>
            <w:r w:rsidRPr="009F0E09">
              <w:rPr>
                <w:color w:val="000000"/>
                <w:kern w:val="0"/>
              </w:rPr>
              <w:t>B</w:t>
            </w:r>
          </w:p>
        </w:tc>
      </w:tr>
      <w:tr w14:paraId="5AE3C72D"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3B384EB" w14:textId="77777777">
            <w:pPr>
              <w:ind w:hanging="18"/>
              <w:jc w:val="center"/>
              <w:rPr>
                <w:color w:val="000000"/>
                <w:kern w:val="0"/>
              </w:rPr>
            </w:pPr>
            <w:r w:rsidRPr="009F0E09">
              <w:rPr>
                <w:color w:val="000000"/>
                <w:kern w:val="0"/>
              </w:rPr>
              <w:t>WPQP898</w:t>
            </w:r>
          </w:p>
        </w:tc>
        <w:tc>
          <w:tcPr>
            <w:tcW w:w="1500" w:type="dxa"/>
            <w:tcBorders>
              <w:top w:val="nil"/>
              <w:left w:val="nil"/>
              <w:bottom w:val="nil"/>
              <w:right w:val="nil"/>
            </w:tcBorders>
            <w:shd w:val="clear" w:color="auto" w:fill="auto"/>
            <w:noWrap/>
            <w:vAlign w:val="bottom"/>
            <w:hideMark/>
          </w:tcPr>
          <w:p w:rsidR="00670D4D" w:rsidRPr="009F0E09" w:rsidP="00E9507C" w14:paraId="48FF316B" w14:textId="77777777">
            <w:pPr>
              <w:ind w:right="-53" w:hanging="18"/>
              <w:jc w:val="center"/>
              <w:rPr>
                <w:color w:val="000000"/>
                <w:kern w:val="0"/>
              </w:rPr>
            </w:pPr>
            <w:r w:rsidRPr="009F0E09">
              <w:rPr>
                <w:color w:val="000000"/>
                <w:kern w:val="0"/>
              </w:rPr>
              <w:t>BEA030</w:t>
            </w:r>
          </w:p>
        </w:tc>
        <w:tc>
          <w:tcPr>
            <w:tcW w:w="5340" w:type="dxa"/>
            <w:tcBorders>
              <w:top w:val="nil"/>
              <w:left w:val="nil"/>
              <w:bottom w:val="nil"/>
              <w:right w:val="nil"/>
            </w:tcBorders>
            <w:shd w:val="clear" w:color="auto" w:fill="auto"/>
            <w:noWrap/>
            <w:vAlign w:val="bottom"/>
            <w:hideMark/>
          </w:tcPr>
          <w:p w:rsidR="00670D4D" w:rsidRPr="009F0E09" w:rsidP="00E9507C" w14:paraId="0117AE11" w14:textId="77777777">
            <w:pPr>
              <w:ind w:hanging="18"/>
              <w:rPr>
                <w:color w:val="000000"/>
                <w:kern w:val="0"/>
              </w:rPr>
            </w:pPr>
            <w:r w:rsidRPr="009F0E09">
              <w:rPr>
                <w:color w:val="000000"/>
                <w:kern w:val="0"/>
              </w:rPr>
              <w:t>Orlando, FL</w:t>
            </w:r>
          </w:p>
        </w:tc>
        <w:tc>
          <w:tcPr>
            <w:tcW w:w="2070" w:type="dxa"/>
            <w:tcBorders>
              <w:top w:val="nil"/>
              <w:left w:val="nil"/>
              <w:bottom w:val="nil"/>
              <w:right w:val="nil"/>
            </w:tcBorders>
            <w:shd w:val="clear" w:color="auto" w:fill="auto"/>
            <w:noWrap/>
            <w:vAlign w:val="bottom"/>
            <w:hideMark/>
          </w:tcPr>
          <w:p w:rsidR="00670D4D" w:rsidRPr="009F0E09" w:rsidP="00E9507C" w14:paraId="047D6DA3" w14:textId="77777777">
            <w:pPr>
              <w:ind w:right="579" w:hanging="18"/>
              <w:jc w:val="center"/>
              <w:rPr>
                <w:color w:val="000000"/>
                <w:kern w:val="0"/>
              </w:rPr>
            </w:pPr>
            <w:r w:rsidRPr="009F0E09">
              <w:rPr>
                <w:color w:val="000000"/>
                <w:kern w:val="0"/>
              </w:rPr>
              <w:t>C</w:t>
            </w:r>
          </w:p>
        </w:tc>
      </w:tr>
      <w:tr w14:paraId="0E173DAA"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6F5D0130" w14:textId="77777777">
            <w:pPr>
              <w:ind w:hanging="18"/>
              <w:jc w:val="center"/>
              <w:rPr>
                <w:color w:val="000000"/>
                <w:kern w:val="0"/>
              </w:rPr>
            </w:pPr>
            <w:r w:rsidRPr="009F0E09">
              <w:rPr>
                <w:color w:val="000000"/>
                <w:kern w:val="0"/>
              </w:rPr>
              <w:t>WPQP925</w:t>
            </w:r>
          </w:p>
        </w:tc>
        <w:tc>
          <w:tcPr>
            <w:tcW w:w="1500" w:type="dxa"/>
            <w:tcBorders>
              <w:top w:val="nil"/>
              <w:left w:val="nil"/>
              <w:bottom w:val="nil"/>
              <w:right w:val="nil"/>
            </w:tcBorders>
            <w:shd w:val="clear" w:color="auto" w:fill="auto"/>
            <w:noWrap/>
            <w:vAlign w:val="bottom"/>
            <w:hideMark/>
          </w:tcPr>
          <w:p w:rsidR="00670D4D" w:rsidRPr="009F0E09" w:rsidP="00E9507C" w14:paraId="5E038858" w14:textId="77777777">
            <w:pPr>
              <w:ind w:right="-53" w:hanging="18"/>
              <w:jc w:val="center"/>
              <w:rPr>
                <w:color w:val="000000"/>
                <w:kern w:val="0"/>
              </w:rPr>
            </w:pPr>
            <w:r w:rsidRPr="009F0E09">
              <w:rPr>
                <w:color w:val="000000"/>
                <w:kern w:val="0"/>
              </w:rPr>
              <w:t>BEA049</w:t>
            </w:r>
          </w:p>
        </w:tc>
        <w:tc>
          <w:tcPr>
            <w:tcW w:w="5340" w:type="dxa"/>
            <w:tcBorders>
              <w:top w:val="nil"/>
              <w:left w:val="nil"/>
              <w:bottom w:val="nil"/>
              <w:right w:val="nil"/>
            </w:tcBorders>
            <w:shd w:val="clear" w:color="auto" w:fill="auto"/>
            <w:noWrap/>
            <w:vAlign w:val="bottom"/>
            <w:hideMark/>
          </w:tcPr>
          <w:p w:rsidR="00670D4D" w:rsidRPr="009F0E09" w:rsidP="00E9507C" w14:paraId="48928630" w14:textId="77777777">
            <w:pPr>
              <w:ind w:hanging="18"/>
              <w:rPr>
                <w:color w:val="000000"/>
                <w:kern w:val="0"/>
              </w:rPr>
            </w:pPr>
            <w:r w:rsidRPr="009F0E09">
              <w:rPr>
                <w:color w:val="000000"/>
                <w:kern w:val="0"/>
              </w:rPr>
              <w:t>Cincinnati-Hamilton, OH-KY-IN</w:t>
            </w:r>
          </w:p>
        </w:tc>
        <w:tc>
          <w:tcPr>
            <w:tcW w:w="2070" w:type="dxa"/>
            <w:tcBorders>
              <w:top w:val="nil"/>
              <w:left w:val="nil"/>
              <w:bottom w:val="nil"/>
              <w:right w:val="nil"/>
            </w:tcBorders>
            <w:shd w:val="clear" w:color="auto" w:fill="auto"/>
            <w:noWrap/>
            <w:vAlign w:val="bottom"/>
            <w:hideMark/>
          </w:tcPr>
          <w:p w:rsidR="00670D4D" w:rsidRPr="009F0E09" w:rsidP="00E9507C" w14:paraId="3832C0B2" w14:textId="77777777">
            <w:pPr>
              <w:ind w:right="579" w:hanging="18"/>
              <w:jc w:val="center"/>
              <w:rPr>
                <w:color w:val="000000"/>
                <w:kern w:val="0"/>
              </w:rPr>
            </w:pPr>
            <w:r w:rsidRPr="009F0E09">
              <w:rPr>
                <w:color w:val="000000"/>
                <w:kern w:val="0"/>
              </w:rPr>
              <w:t>B</w:t>
            </w:r>
          </w:p>
        </w:tc>
      </w:tr>
      <w:tr w14:paraId="4E3A1F8B"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2CA563CC" w14:textId="77777777">
            <w:pPr>
              <w:ind w:hanging="18"/>
              <w:jc w:val="center"/>
              <w:rPr>
                <w:color w:val="000000"/>
                <w:kern w:val="0"/>
              </w:rPr>
            </w:pPr>
            <w:r w:rsidRPr="009F0E09">
              <w:rPr>
                <w:color w:val="000000"/>
                <w:kern w:val="0"/>
              </w:rPr>
              <w:t>WPQP926</w:t>
            </w:r>
          </w:p>
        </w:tc>
        <w:tc>
          <w:tcPr>
            <w:tcW w:w="1500" w:type="dxa"/>
            <w:tcBorders>
              <w:top w:val="nil"/>
              <w:left w:val="nil"/>
              <w:bottom w:val="nil"/>
              <w:right w:val="nil"/>
            </w:tcBorders>
            <w:shd w:val="clear" w:color="auto" w:fill="auto"/>
            <w:noWrap/>
            <w:vAlign w:val="bottom"/>
            <w:hideMark/>
          </w:tcPr>
          <w:p w:rsidR="00670D4D" w:rsidRPr="009F0E09" w:rsidP="00E9507C" w14:paraId="5FF2560F" w14:textId="77777777">
            <w:pPr>
              <w:ind w:right="-53" w:hanging="18"/>
              <w:jc w:val="center"/>
              <w:rPr>
                <w:color w:val="000000"/>
                <w:kern w:val="0"/>
              </w:rPr>
            </w:pPr>
            <w:r w:rsidRPr="009F0E09">
              <w:rPr>
                <w:color w:val="000000"/>
                <w:kern w:val="0"/>
              </w:rPr>
              <w:t>BEA049</w:t>
            </w:r>
          </w:p>
        </w:tc>
        <w:tc>
          <w:tcPr>
            <w:tcW w:w="5340" w:type="dxa"/>
            <w:tcBorders>
              <w:top w:val="nil"/>
              <w:left w:val="nil"/>
              <w:bottom w:val="nil"/>
              <w:right w:val="nil"/>
            </w:tcBorders>
            <w:shd w:val="clear" w:color="auto" w:fill="auto"/>
            <w:noWrap/>
            <w:vAlign w:val="bottom"/>
            <w:hideMark/>
          </w:tcPr>
          <w:p w:rsidR="00670D4D" w:rsidRPr="009F0E09" w:rsidP="00E9507C" w14:paraId="6EDC6C31" w14:textId="77777777">
            <w:pPr>
              <w:ind w:hanging="18"/>
              <w:rPr>
                <w:color w:val="000000"/>
                <w:kern w:val="0"/>
              </w:rPr>
            </w:pPr>
            <w:r w:rsidRPr="009F0E09">
              <w:rPr>
                <w:color w:val="000000"/>
                <w:kern w:val="0"/>
              </w:rPr>
              <w:t>Cincinnati-Hamilton, OH-KY-IN</w:t>
            </w:r>
          </w:p>
        </w:tc>
        <w:tc>
          <w:tcPr>
            <w:tcW w:w="2070" w:type="dxa"/>
            <w:tcBorders>
              <w:top w:val="nil"/>
              <w:left w:val="nil"/>
              <w:bottom w:val="nil"/>
              <w:right w:val="nil"/>
            </w:tcBorders>
            <w:shd w:val="clear" w:color="auto" w:fill="auto"/>
            <w:noWrap/>
            <w:vAlign w:val="bottom"/>
            <w:hideMark/>
          </w:tcPr>
          <w:p w:rsidR="00670D4D" w:rsidRPr="009F0E09" w:rsidP="00E9507C" w14:paraId="192F7F7A" w14:textId="77777777">
            <w:pPr>
              <w:ind w:right="579" w:hanging="18"/>
              <w:jc w:val="center"/>
              <w:rPr>
                <w:color w:val="000000"/>
                <w:kern w:val="0"/>
              </w:rPr>
            </w:pPr>
            <w:r w:rsidRPr="009F0E09">
              <w:rPr>
                <w:color w:val="000000"/>
                <w:kern w:val="0"/>
              </w:rPr>
              <w:t>C</w:t>
            </w:r>
          </w:p>
        </w:tc>
      </w:tr>
      <w:tr w14:paraId="0674A4AC"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26D9087D" w14:textId="77777777">
            <w:pPr>
              <w:ind w:hanging="18"/>
              <w:jc w:val="center"/>
              <w:rPr>
                <w:color w:val="000000"/>
                <w:kern w:val="0"/>
              </w:rPr>
            </w:pPr>
            <w:r w:rsidRPr="009F0E09">
              <w:rPr>
                <w:color w:val="000000"/>
                <w:kern w:val="0"/>
              </w:rPr>
              <w:t>WPQP929</w:t>
            </w:r>
          </w:p>
        </w:tc>
        <w:tc>
          <w:tcPr>
            <w:tcW w:w="1500" w:type="dxa"/>
            <w:tcBorders>
              <w:top w:val="nil"/>
              <w:left w:val="nil"/>
              <w:bottom w:val="nil"/>
              <w:right w:val="nil"/>
            </w:tcBorders>
            <w:shd w:val="clear" w:color="auto" w:fill="auto"/>
            <w:noWrap/>
            <w:vAlign w:val="bottom"/>
            <w:hideMark/>
          </w:tcPr>
          <w:p w:rsidR="00670D4D" w:rsidRPr="009F0E09" w:rsidP="00E9507C" w14:paraId="6F2779F3" w14:textId="77777777">
            <w:pPr>
              <w:ind w:right="-53" w:hanging="18"/>
              <w:jc w:val="center"/>
              <w:rPr>
                <w:color w:val="000000"/>
                <w:kern w:val="0"/>
              </w:rPr>
            </w:pPr>
            <w:r w:rsidRPr="009F0E09">
              <w:rPr>
                <w:color w:val="000000"/>
                <w:kern w:val="0"/>
              </w:rPr>
              <w:t>BEA051</w:t>
            </w:r>
          </w:p>
        </w:tc>
        <w:tc>
          <w:tcPr>
            <w:tcW w:w="5340" w:type="dxa"/>
            <w:tcBorders>
              <w:top w:val="nil"/>
              <w:left w:val="nil"/>
              <w:bottom w:val="nil"/>
              <w:right w:val="nil"/>
            </w:tcBorders>
            <w:shd w:val="clear" w:color="auto" w:fill="auto"/>
            <w:noWrap/>
            <w:vAlign w:val="bottom"/>
            <w:hideMark/>
          </w:tcPr>
          <w:p w:rsidR="00670D4D" w:rsidRPr="009F0E09" w:rsidP="00E9507C" w14:paraId="587E579C" w14:textId="77777777">
            <w:pPr>
              <w:ind w:hanging="18"/>
              <w:rPr>
                <w:color w:val="000000"/>
                <w:kern w:val="0"/>
              </w:rPr>
            </w:pPr>
            <w:r w:rsidRPr="009F0E09">
              <w:rPr>
                <w:color w:val="000000"/>
                <w:kern w:val="0"/>
              </w:rPr>
              <w:t>Columbus, OH</w:t>
            </w:r>
          </w:p>
        </w:tc>
        <w:tc>
          <w:tcPr>
            <w:tcW w:w="2070" w:type="dxa"/>
            <w:tcBorders>
              <w:top w:val="nil"/>
              <w:left w:val="nil"/>
              <w:bottom w:val="nil"/>
              <w:right w:val="nil"/>
            </w:tcBorders>
            <w:shd w:val="clear" w:color="auto" w:fill="auto"/>
            <w:noWrap/>
            <w:vAlign w:val="bottom"/>
            <w:hideMark/>
          </w:tcPr>
          <w:p w:rsidR="00670D4D" w:rsidRPr="009F0E09" w:rsidP="00E9507C" w14:paraId="01F3F117" w14:textId="77777777">
            <w:pPr>
              <w:ind w:right="579" w:hanging="18"/>
              <w:jc w:val="center"/>
              <w:rPr>
                <w:color w:val="000000"/>
                <w:kern w:val="0"/>
              </w:rPr>
            </w:pPr>
            <w:r w:rsidRPr="009F0E09">
              <w:rPr>
                <w:color w:val="000000"/>
                <w:kern w:val="0"/>
              </w:rPr>
              <w:t>B</w:t>
            </w:r>
          </w:p>
        </w:tc>
      </w:tr>
      <w:tr w14:paraId="33C0C765"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43DE1F7F" w14:textId="77777777">
            <w:pPr>
              <w:ind w:hanging="18"/>
              <w:jc w:val="center"/>
              <w:rPr>
                <w:color w:val="000000"/>
                <w:kern w:val="0"/>
              </w:rPr>
            </w:pPr>
            <w:r w:rsidRPr="009F0E09">
              <w:rPr>
                <w:color w:val="000000"/>
                <w:kern w:val="0"/>
              </w:rPr>
              <w:t>WPQP930</w:t>
            </w:r>
          </w:p>
        </w:tc>
        <w:tc>
          <w:tcPr>
            <w:tcW w:w="1500" w:type="dxa"/>
            <w:tcBorders>
              <w:top w:val="nil"/>
              <w:left w:val="nil"/>
              <w:bottom w:val="nil"/>
              <w:right w:val="nil"/>
            </w:tcBorders>
            <w:shd w:val="clear" w:color="auto" w:fill="auto"/>
            <w:noWrap/>
            <w:vAlign w:val="bottom"/>
            <w:hideMark/>
          </w:tcPr>
          <w:p w:rsidR="00670D4D" w:rsidRPr="009F0E09" w:rsidP="00E9507C" w14:paraId="3B6B20C5" w14:textId="77777777">
            <w:pPr>
              <w:ind w:right="-53" w:hanging="18"/>
              <w:jc w:val="center"/>
              <w:rPr>
                <w:color w:val="000000"/>
                <w:kern w:val="0"/>
              </w:rPr>
            </w:pPr>
            <w:r w:rsidRPr="009F0E09">
              <w:rPr>
                <w:color w:val="000000"/>
                <w:kern w:val="0"/>
              </w:rPr>
              <w:t>BEA051</w:t>
            </w:r>
          </w:p>
        </w:tc>
        <w:tc>
          <w:tcPr>
            <w:tcW w:w="5340" w:type="dxa"/>
            <w:tcBorders>
              <w:top w:val="nil"/>
              <w:left w:val="nil"/>
              <w:bottom w:val="nil"/>
              <w:right w:val="nil"/>
            </w:tcBorders>
            <w:shd w:val="clear" w:color="auto" w:fill="auto"/>
            <w:noWrap/>
            <w:vAlign w:val="bottom"/>
            <w:hideMark/>
          </w:tcPr>
          <w:p w:rsidR="00670D4D" w:rsidRPr="009F0E09" w:rsidP="00E9507C" w14:paraId="17D507BA" w14:textId="77777777">
            <w:pPr>
              <w:ind w:hanging="18"/>
              <w:rPr>
                <w:color w:val="000000"/>
                <w:kern w:val="0"/>
              </w:rPr>
            </w:pPr>
            <w:r w:rsidRPr="009F0E09">
              <w:rPr>
                <w:color w:val="000000"/>
                <w:kern w:val="0"/>
              </w:rPr>
              <w:t>Columbus, OH</w:t>
            </w:r>
          </w:p>
        </w:tc>
        <w:tc>
          <w:tcPr>
            <w:tcW w:w="2070" w:type="dxa"/>
            <w:tcBorders>
              <w:top w:val="nil"/>
              <w:left w:val="nil"/>
              <w:bottom w:val="nil"/>
              <w:right w:val="nil"/>
            </w:tcBorders>
            <w:shd w:val="clear" w:color="auto" w:fill="auto"/>
            <w:noWrap/>
            <w:vAlign w:val="bottom"/>
            <w:hideMark/>
          </w:tcPr>
          <w:p w:rsidR="00670D4D" w:rsidRPr="009F0E09" w:rsidP="00E9507C" w14:paraId="62961C19" w14:textId="77777777">
            <w:pPr>
              <w:ind w:right="579" w:hanging="18"/>
              <w:jc w:val="center"/>
              <w:rPr>
                <w:color w:val="000000"/>
                <w:kern w:val="0"/>
              </w:rPr>
            </w:pPr>
            <w:r w:rsidRPr="009F0E09">
              <w:rPr>
                <w:color w:val="000000"/>
                <w:kern w:val="0"/>
              </w:rPr>
              <w:t>C</w:t>
            </w:r>
          </w:p>
        </w:tc>
      </w:tr>
      <w:tr w14:paraId="71063366"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05AE3F24" w14:textId="77777777">
            <w:pPr>
              <w:ind w:hanging="18"/>
              <w:jc w:val="center"/>
              <w:rPr>
                <w:color w:val="000000"/>
                <w:kern w:val="0"/>
              </w:rPr>
            </w:pPr>
            <w:r w:rsidRPr="009F0E09">
              <w:rPr>
                <w:color w:val="000000"/>
                <w:kern w:val="0"/>
              </w:rPr>
              <w:t>WPQP935</w:t>
            </w:r>
          </w:p>
        </w:tc>
        <w:tc>
          <w:tcPr>
            <w:tcW w:w="1500" w:type="dxa"/>
            <w:tcBorders>
              <w:top w:val="nil"/>
              <w:left w:val="nil"/>
              <w:bottom w:val="nil"/>
              <w:right w:val="nil"/>
            </w:tcBorders>
            <w:shd w:val="clear" w:color="auto" w:fill="auto"/>
            <w:noWrap/>
            <w:vAlign w:val="bottom"/>
            <w:hideMark/>
          </w:tcPr>
          <w:p w:rsidR="00670D4D" w:rsidRPr="009F0E09" w:rsidP="00E9507C" w14:paraId="08B90C91" w14:textId="77777777">
            <w:pPr>
              <w:ind w:right="-53" w:hanging="18"/>
              <w:jc w:val="center"/>
              <w:rPr>
                <w:color w:val="000000"/>
                <w:kern w:val="0"/>
              </w:rPr>
            </w:pPr>
            <w:r w:rsidRPr="009F0E09">
              <w:rPr>
                <w:color w:val="000000"/>
                <w:kern w:val="0"/>
              </w:rPr>
              <w:t>BEA055</w:t>
            </w:r>
          </w:p>
        </w:tc>
        <w:tc>
          <w:tcPr>
            <w:tcW w:w="5340" w:type="dxa"/>
            <w:tcBorders>
              <w:top w:val="nil"/>
              <w:left w:val="nil"/>
              <w:bottom w:val="nil"/>
              <w:right w:val="nil"/>
            </w:tcBorders>
            <w:shd w:val="clear" w:color="auto" w:fill="auto"/>
            <w:noWrap/>
            <w:vAlign w:val="bottom"/>
            <w:hideMark/>
          </w:tcPr>
          <w:p w:rsidR="00670D4D" w:rsidRPr="009F0E09" w:rsidP="00E9507C" w14:paraId="3E23CAE7" w14:textId="77777777">
            <w:pPr>
              <w:ind w:hanging="18"/>
              <w:rPr>
                <w:color w:val="000000"/>
                <w:kern w:val="0"/>
              </w:rPr>
            </w:pPr>
            <w:r w:rsidRPr="009F0E09">
              <w:rPr>
                <w:color w:val="000000"/>
                <w:kern w:val="0"/>
              </w:rPr>
              <w:t>Cleveland-Akron, OH-PA</w:t>
            </w:r>
          </w:p>
        </w:tc>
        <w:tc>
          <w:tcPr>
            <w:tcW w:w="2070" w:type="dxa"/>
            <w:tcBorders>
              <w:top w:val="nil"/>
              <w:left w:val="nil"/>
              <w:bottom w:val="nil"/>
              <w:right w:val="nil"/>
            </w:tcBorders>
            <w:shd w:val="clear" w:color="auto" w:fill="auto"/>
            <w:noWrap/>
            <w:vAlign w:val="bottom"/>
            <w:hideMark/>
          </w:tcPr>
          <w:p w:rsidR="00670D4D" w:rsidRPr="009F0E09" w:rsidP="00E9507C" w14:paraId="7E2BCA8B" w14:textId="77777777">
            <w:pPr>
              <w:ind w:right="579" w:hanging="18"/>
              <w:jc w:val="center"/>
              <w:rPr>
                <w:color w:val="000000"/>
                <w:kern w:val="0"/>
              </w:rPr>
            </w:pPr>
            <w:r w:rsidRPr="009F0E09">
              <w:rPr>
                <w:color w:val="000000"/>
                <w:kern w:val="0"/>
              </w:rPr>
              <w:t>B</w:t>
            </w:r>
          </w:p>
        </w:tc>
      </w:tr>
      <w:tr w14:paraId="494BB468"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15EEC878" w14:textId="77777777">
            <w:pPr>
              <w:ind w:hanging="18"/>
              <w:jc w:val="center"/>
              <w:rPr>
                <w:color w:val="000000"/>
                <w:kern w:val="0"/>
              </w:rPr>
            </w:pPr>
            <w:r w:rsidRPr="009F0E09">
              <w:rPr>
                <w:color w:val="000000"/>
                <w:kern w:val="0"/>
              </w:rPr>
              <w:t>WPQP936</w:t>
            </w:r>
          </w:p>
        </w:tc>
        <w:tc>
          <w:tcPr>
            <w:tcW w:w="1500" w:type="dxa"/>
            <w:tcBorders>
              <w:top w:val="nil"/>
              <w:left w:val="nil"/>
              <w:bottom w:val="nil"/>
              <w:right w:val="nil"/>
            </w:tcBorders>
            <w:shd w:val="clear" w:color="auto" w:fill="auto"/>
            <w:noWrap/>
            <w:vAlign w:val="bottom"/>
            <w:hideMark/>
          </w:tcPr>
          <w:p w:rsidR="00670D4D" w:rsidRPr="009F0E09" w:rsidP="00E9507C" w14:paraId="048D532D" w14:textId="77777777">
            <w:pPr>
              <w:ind w:right="-53" w:hanging="18"/>
              <w:jc w:val="center"/>
              <w:rPr>
                <w:color w:val="000000"/>
                <w:kern w:val="0"/>
              </w:rPr>
            </w:pPr>
            <w:r w:rsidRPr="009F0E09">
              <w:rPr>
                <w:color w:val="000000"/>
                <w:kern w:val="0"/>
              </w:rPr>
              <w:t>BEA055</w:t>
            </w:r>
          </w:p>
        </w:tc>
        <w:tc>
          <w:tcPr>
            <w:tcW w:w="5340" w:type="dxa"/>
            <w:tcBorders>
              <w:top w:val="nil"/>
              <w:left w:val="nil"/>
              <w:bottom w:val="nil"/>
              <w:right w:val="nil"/>
            </w:tcBorders>
            <w:shd w:val="clear" w:color="auto" w:fill="auto"/>
            <w:noWrap/>
            <w:vAlign w:val="bottom"/>
            <w:hideMark/>
          </w:tcPr>
          <w:p w:rsidR="00670D4D" w:rsidRPr="009F0E09" w:rsidP="00E9507C" w14:paraId="3CBCA5F0" w14:textId="77777777">
            <w:pPr>
              <w:ind w:hanging="18"/>
              <w:rPr>
                <w:color w:val="000000"/>
                <w:kern w:val="0"/>
              </w:rPr>
            </w:pPr>
            <w:r w:rsidRPr="009F0E09">
              <w:rPr>
                <w:color w:val="000000"/>
                <w:kern w:val="0"/>
              </w:rPr>
              <w:t>Cleveland-Akron, OH-PA</w:t>
            </w:r>
          </w:p>
        </w:tc>
        <w:tc>
          <w:tcPr>
            <w:tcW w:w="2070" w:type="dxa"/>
            <w:tcBorders>
              <w:top w:val="nil"/>
              <w:left w:val="nil"/>
              <w:bottom w:val="nil"/>
              <w:right w:val="nil"/>
            </w:tcBorders>
            <w:shd w:val="clear" w:color="auto" w:fill="auto"/>
            <w:noWrap/>
            <w:vAlign w:val="bottom"/>
            <w:hideMark/>
          </w:tcPr>
          <w:p w:rsidR="00670D4D" w:rsidRPr="009F0E09" w:rsidP="00E9507C" w14:paraId="2C36B1B2" w14:textId="77777777">
            <w:pPr>
              <w:ind w:right="579" w:hanging="18"/>
              <w:jc w:val="center"/>
              <w:rPr>
                <w:color w:val="000000"/>
                <w:kern w:val="0"/>
              </w:rPr>
            </w:pPr>
            <w:r w:rsidRPr="009F0E09">
              <w:rPr>
                <w:color w:val="000000"/>
                <w:kern w:val="0"/>
              </w:rPr>
              <w:t>C</w:t>
            </w:r>
          </w:p>
        </w:tc>
      </w:tr>
      <w:tr w14:paraId="6958BCE8"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854E334" w14:textId="77777777">
            <w:pPr>
              <w:ind w:hanging="18"/>
              <w:jc w:val="center"/>
              <w:rPr>
                <w:color w:val="000000"/>
                <w:kern w:val="0"/>
              </w:rPr>
            </w:pPr>
            <w:r w:rsidRPr="009F0E09">
              <w:rPr>
                <w:color w:val="000000"/>
                <w:kern w:val="0"/>
              </w:rPr>
              <w:t>WPQP945</w:t>
            </w:r>
          </w:p>
        </w:tc>
        <w:tc>
          <w:tcPr>
            <w:tcW w:w="1500" w:type="dxa"/>
            <w:tcBorders>
              <w:top w:val="nil"/>
              <w:left w:val="nil"/>
              <w:bottom w:val="nil"/>
              <w:right w:val="nil"/>
            </w:tcBorders>
            <w:shd w:val="clear" w:color="auto" w:fill="auto"/>
            <w:noWrap/>
            <w:vAlign w:val="bottom"/>
            <w:hideMark/>
          </w:tcPr>
          <w:p w:rsidR="00670D4D" w:rsidRPr="009F0E09" w:rsidP="00E9507C" w14:paraId="6B9D3188" w14:textId="77777777">
            <w:pPr>
              <w:ind w:right="-53" w:hanging="18"/>
              <w:jc w:val="center"/>
              <w:rPr>
                <w:color w:val="000000"/>
                <w:kern w:val="0"/>
              </w:rPr>
            </w:pPr>
            <w:r w:rsidRPr="009F0E09">
              <w:rPr>
                <w:color w:val="000000"/>
                <w:kern w:val="0"/>
              </w:rPr>
              <w:t>BEA063</w:t>
            </w:r>
          </w:p>
        </w:tc>
        <w:tc>
          <w:tcPr>
            <w:tcW w:w="5340" w:type="dxa"/>
            <w:tcBorders>
              <w:top w:val="nil"/>
              <w:left w:val="nil"/>
              <w:bottom w:val="nil"/>
              <w:right w:val="nil"/>
            </w:tcBorders>
            <w:shd w:val="clear" w:color="auto" w:fill="auto"/>
            <w:noWrap/>
            <w:vAlign w:val="bottom"/>
            <w:hideMark/>
          </w:tcPr>
          <w:p w:rsidR="00670D4D" w:rsidRPr="009F0E09" w:rsidP="00E9507C" w14:paraId="08822120" w14:textId="77777777">
            <w:pPr>
              <w:ind w:hanging="18"/>
              <w:rPr>
                <w:color w:val="000000"/>
                <w:kern w:val="0"/>
              </w:rPr>
            </w:pPr>
            <w:r w:rsidRPr="009F0E09">
              <w:rPr>
                <w:color w:val="000000"/>
                <w:kern w:val="0"/>
              </w:rPr>
              <w:t>Milwaukee-Racine, WI</w:t>
            </w:r>
          </w:p>
        </w:tc>
        <w:tc>
          <w:tcPr>
            <w:tcW w:w="2070" w:type="dxa"/>
            <w:tcBorders>
              <w:top w:val="nil"/>
              <w:left w:val="nil"/>
              <w:bottom w:val="nil"/>
              <w:right w:val="nil"/>
            </w:tcBorders>
            <w:shd w:val="clear" w:color="auto" w:fill="auto"/>
            <w:noWrap/>
            <w:vAlign w:val="bottom"/>
            <w:hideMark/>
          </w:tcPr>
          <w:p w:rsidR="00670D4D" w:rsidRPr="009F0E09" w:rsidP="00E9507C" w14:paraId="033D7FB4" w14:textId="77777777">
            <w:pPr>
              <w:ind w:right="579" w:hanging="18"/>
              <w:jc w:val="center"/>
              <w:rPr>
                <w:color w:val="000000"/>
                <w:kern w:val="0"/>
              </w:rPr>
            </w:pPr>
            <w:r w:rsidRPr="009F0E09">
              <w:rPr>
                <w:color w:val="000000"/>
                <w:kern w:val="0"/>
              </w:rPr>
              <w:t>B</w:t>
            </w:r>
          </w:p>
        </w:tc>
      </w:tr>
      <w:tr w14:paraId="2B937C73"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0C540A0C" w14:textId="77777777">
            <w:pPr>
              <w:ind w:hanging="18"/>
              <w:jc w:val="center"/>
              <w:rPr>
                <w:color w:val="000000"/>
                <w:kern w:val="0"/>
              </w:rPr>
            </w:pPr>
            <w:r w:rsidRPr="009F0E09">
              <w:rPr>
                <w:color w:val="000000"/>
                <w:kern w:val="0"/>
              </w:rPr>
              <w:t>WPQP946</w:t>
            </w:r>
          </w:p>
        </w:tc>
        <w:tc>
          <w:tcPr>
            <w:tcW w:w="1500" w:type="dxa"/>
            <w:tcBorders>
              <w:top w:val="nil"/>
              <w:left w:val="nil"/>
              <w:bottom w:val="nil"/>
              <w:right w:val="nil"/>
            </w:tcBorders>
            <w:shd w:val="clear" w:color="auto" w:fill="auto"/>
            <w:noWrap/>
            <w:vAlign w:val="bottom"/>
            <w:hideMark/>
          </w:tcPr>
          <w:p w:rsidR="00670D4D" w:rsidRPr="009F0E09" w:rsidP="00E9507C" w14:paraId="0F1218D9" w14:textId="77777777">
            <w:pPr>
              <w:ind w:right="-53" w:hanging="18"/>
              <w:jc w:val="center"/>
              <w:rPr>
                <w:color w:val="000000"/>
                <w:kern w:val="0"/>
              </w:rPr>
            </w:pPr>
            <w:r w:rsidRPr="009F0E09">
              <w:rPr>
                <w:color w:val="000000"/>
                <w:kern w:val="0"/>
              </w:rPr>
              <w:t>BEA063</w:t>
            </w:r>
          </w:p>
        </w:tc>
        <w:tc>
          <w:tcPr>
            <w:tcW w:w="5340" w:type="dxa"/>
            <w:tcBorders>
              <w:top w:val="nil"/>
              <w:left w:val="nil"/>
              <w:bottom w:val="nil"/>
              <w:right w:val="nil"/>
            </w:tcBorders>
            <w:shd w:val="clear" w:color="auto" w:fill="auto"/>
            <w:noWrap/>
            <w:vAlign w:val="bottom"/>
            <w:hideMark/>
          </w:tcPr>
          <w:p w:rsidR="00670D4D" w:rsidRPr="009F0E09" w:rsidP="00E9507C" w14:paraId="444FEFEF" w14:textId="77777777">
            <w:pPr>
              <w:ind w:hanging="18"/>
              <w:rPr>
                <w:color w:val="000000"/>
                <w:kern w:val="0"/>
              </w:rPr>
            </w:pPr>
            <w:r w:rsidRPr="009F0E09">
              <w:rPr>
                <w:color w:val="000000"/>
                <w:kern w:val="0"/>
              </w:rPr>
              <w:t>Milwaukee-Racine, WI</w:t>
            </w:r>
          </w:p>
        </w:tc>
        <w:tc>
          <w:tcPr>
            <w:tcW w:w="2070" w:type="dxa"/>
            <w:tcBorders>
              <w:top w:val="nil"/>
              <w:left w:val="nil"/>
              <w:bottom w:val="nil"/>
              <w:right w:val="nil"/>
            </w:tcBorders>
            <w:shd w:val="clear" w:color="auto" w:fill="auto"/>
            <w:noWrap/>
            <w:vAlign w:val="bottom"/>
            <w:hideMark/>
          </w:tcPr>
          <w:p w:rsidR="00670D4D" w:rsidRPr="009F0E09" w:rsidP="00E9507C" w14:paraId="49B47904" w14:textId="77777777">
            <w:pPr>
              <w:ind w:right="579" w:hanging="18"/>
              <w:jc w:val="center"/>
              <w:rPr>
                <w:color w:val="000000"/>
                <w:kern w:val="0"/>
              </w:rPr>
            </w:pPr>
            <w:r w:rsidRPr="009F0E09">
              <w:rPr>
                <w:color w:val="000000"/>
                <w:kern w:val="0"/>
              </w:rPr>
              <w:t>C</w:t>
            </w:r>
          </w:p>
        </w:tc>
      </w:tr>
      <w:tr w14:paraId="76D8E445"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541A1421" w14:textId="77777777">
            <w:pPr>
              <w:ind w:hanging="18"/>
              <w:jc w:val="center"/>
              <w:rPr>
                <w:color w:val="000000"/>
                <w:kern w:val="0"/>
              </w:rPr>
            </w:pPr>
            <w:r w:rsidRPr="009F0E09">
              <w:rPr>
                <w:color w:val="000000"/>
                <w:kern w:val="0"/>
              </w:rPr>
              <w:t>WPQP953</w:t>
            </w:r>
          </w:p>
        </w:tc>
        <w:tc>
          <w:tcPr>
            <w:tcW w:w="1500" w:type="dxa"/>
            <w:tcBorders>
              <w:top w:val="nil"/>
              <w:left w:val="nil"/>
              <w:bottom w:val="nil"/>
              <w:right w:val="nil"/>
            </w:tcBorders>
            <w:shd w:val="clear" w:color="auto" w:fill="auto"/>
            <w:noWrap/>
            <w:vAlign w:val="bottom"/>
            <w:hideMark/>
          </w:tcPr>
          <w:p w:rsidR="00670D4D" w:rsidRPr="009F0E09" w:rsidP="00E9507C" w14:paraId="0783135A" w14:textId="77777777">
            <w:pPr>
              <w:ind w:right="-53" w:hanging="18"/>
              <w:jc w:val="center"/>
              <w:rPr>
                <w:color w:val="000000"/>
                <w:kern w:val="0"/>
              </w:rPr>
            </w:pPr>
            <w:r w:rsidRPr="009F0E09">
              <w:rPr>
                <w:color w:val="000000"/>
                <w:kern w:val="0"/>
              </w:rPr>
              <w:t>BEA067</w:t>
            </w:r>
          </w:p>
        </w:tc>
        <w:tc>
          <w:tcPr>
            <w:tcW w:w="5340" w:type="dxa"/>
            <w:tcBorders>
              <w:top w:val="nil"/>
              <w:left w:val="nil"/>
              <w:bottom w:val="nil"/>
              <w:right w:val="nil"/>
            </w:tcBorders>
            <w:shd w:val="clear" w:color="auto" w:fill="auto"/>
            <w:noWrap/>
            <w:vAlign w:val="bottom"/>
            <w:hideMark/>
          </w:tcPr>
          <w:p w:rsidR="00670D4D" w:rsidRPr="009F0E09" w:rsidP="00E9507C" w14:paraId="4A8A239C" w14:textId="77777777">
            <w:pPr>
              <w:ind w:hanging="18"/>
              <w:rPr>
                <w:color w:val="000000"/>
                <w:kern w:val="0"/>
              </w:rPr>
            </w:pPr>
            <w:r w:rsidRPr="009F0E09">
              <w:rPr>
                <w:color w:val="000000"/>
                <w:kern w:val="0"/>
              </w:rPr>
              <w:t>Indianapolis, IN-IL</w:t>
            </w:r>
          </w:p>
        </w:tc>
        <w:tc>
          <w:tcPr>
            <w:tcW w:w="2070" w:type="dxa"/>
            <w:tcBorders>
              <w:top w:val="nil"/>
              <w:left w:val="nil"/>
              <w:bottom w:val="nil"/>
              <w:right w:val="nil"/>
            </w:tcBorders>
            <w:shd w:val="clear" w:color="auto" w:fill="auto"/>
            <w:noWrap/>
            <w:vAlign w:val="bottom"/>
            <w:hideMark/>
          </w:tcPr>
          <w:p w:rsidR="00670D4D" w:rsidRPr="009F0E09" w:rsidP="00E9507C" w14:paraId="3084EF30" w14:textId="77777777">
            <w:pPr>
              <w:ind w:right="579" w:hanging="18"/>
              <w:jc w:val="center"/>
              <w:rPr>
                <w:color w:val="000000"/>
                <w:kern w:val="0"/>
              </w:rPr>
            </w:pPr>
            <w:r w:rsidRPr="009F0E09">
              <w:rPr>
                <w:color w:val="000000"/>
                <w:kern w:val="0"/>
              </w:rPr>
              <w:t>B</w:t>
            </w:r>
          </w:p>
        </w:tc>
      </w:tr>
      <w:tr w14:paraId="5776B36B"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9BA111E" w14:textId="77777777">
            <w:pPr>
              <w:ind w:hanging="18"/>
              <w:jc w:val="center"/>
              <w:rPr>
                <w:color w:val="000000"/>
                <w:kern w:val="0"/>
              </w:rPr>
            </w:pPr>
            <w:r w:rsidRPr="009F0E09">
              <w:rPr>
                <w:color w:val="000000"/>
                <w:kern w:val="0"/>
              </w:rPr>
              <w:t>WPQP954</w:t>
            </w:r>
          </w:p>
        </w:tc>
        <w:tc>
          <w:tcPr>
            <w:tcW w:w="1500" w:type="dxa"/>
            <w:tcBorders>
              <w:top w:val="nil"/>
              <w:left w:val="nil"/>
              <w:bottom w:val="nil"/>
              <w:right w:val="nil"/>
            </w:tcBorders>
            <w:shd w:val="clear" w:color="auto" w:fill="auto"/>
            <w:noWrap/>
            <w:vAlign w:val="bottom"/>
            <w:hideMark/>
          </w:tcPr>
          <w:p w:rsidR="00670D4D" w:rsidRPr="009F0E09" w:rsidP="00E9507C" w14:paraId="722F9505" w14:textId="77777777">
            <w:pPr>
              <w:ind w:right="-53" w:hanging="18"/>
              <w:jc w:val="center"/>
              <w:rPr>
                <w:color w:val="000000"/>
                <w:kern w:val="0"/>
              </w:rPr>
            </w:pPr>
            <w:r w:rsidRPr="009F0E09">
              <w:rPr>
                <w:color w:val="000000"/>
                <w:kern w:val="0"/>
              </w:rPr>
              <w:t>BEA067</w:t>
            </w:r>
          </w:p>
        </w:tc>
        <w:tc>
          <w:tcPr>
            <w:tcW w:w="5340" w:type="dxa"/>
            <w:tcBorders>
              <w:top w:val="nil"/>
              <w:left w:val="nil"/>
              <w:bottom w:val="nil"/>
              <w:right w:val="nil"/>
            </w:tcBorders>
            <w:shd w:val="clear" w:color="auto" w:fill="auto"/>
            <w:noWrap/>
            <w:vAlign w:val="bottom"/>
            <w:hideMark/>
          </w:tcPr>
          <w:p w:rsidR="00670D4D" w:rsidRPr="009F0E09" w:rsidP="00E9507C" w14:paraId="2674DB07" w14:textId="77777777">
            <w:pPr>
              <w:ind w:hanging="18"/>
              <w:rPr>
                <w:color w:val="000000"/>
                <w:kern w:val="0"/>
              </w:rPr>
            </w:pPr>
            <w:r w:rsidRPr="009F0E09">
              <w:rPr>
                <w:color w:val="000000"/>
                <w:kern w:val="0"/>
              </w:rPr>
              <w:t>Indianapolis, IN-IL</w:t>
            </w:r>
          </w:p>
        </w:tc>
        <w:tc>
          <w:tcPr>
            <w:tcW w:w="2070" w:type="dxa"/>
            <w:tcBorders>
              <w:top w:val="nil"/>
              <w:left w:val="nil"/>
              <w:bottom w:val="nil"/>
              <w:right w:val="nil"/>
            </w:tcBorders>
            <w:shd w:val="clear" w:color="auto" w:fill="auto"/>
            <w:noWrap/>
            <w:vAlign w:val="bottom"/>
            <w:hideMark/>
          </w:tcPr>
          <w:p w:rsidR="00670D4D" w:rsidRPr="009F0E09" w:rsidP="00E9507C" w14:paraId="6C0358E8" w14:textId="77777777">
            <w:pPr>
              <w:ind w:right="579" w:hanging="18"/>
              <w:jc w:val="center"/>
              <w:rPr>
                <w:color w:val="000000"/>
                <w:kern w:val="0"/>
              </w:rPr>
            </w:pPr>
            <w:r w:rsidRPr="009F0E09">
              <w:rPr>
                <w:color w:val="000000"/>
                <w:kern w:val="0"/>
              </w:rPr>
              <w:t>C</w:t>
            </w:r>
          </w:p>
        </w:tc>
      </w:tr>
      <w:tr w14:paraId="527466A4"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FCDE283" w14:textId="77777777">
            <w:pPr>
              <w:ind w:hanging="18"/>
              <w:jc w:val="center"/>
              <w:rPr>
                <w:color w:val="000000"/>
                <w:kern w:val="0"/>
              </w:rPr>
            </w:pPr>
            <w:r w:rsidRPr="009F0E09">
              <w:rPr>
                <w:color w:val="000000"/>
                <w:kern w:val="0"/>
              </w:rPr>
              <w:t>WPQP959</w:t>
            </w:r>
          </w:p>
        </w:tc>
        <w:tc>
          <w:tcPr>
            <w:tcW w:w="1500" w:type="dxa"/>
            <w:tcBorders>
              <w:top w:val="nil"/>
              <w:left w:val="nil"/>
              <w:bottom w:val="nil"/>
              <w:right w:val="nil"/>
            </w:tcBorders>
            <w:shd w:val="clear" w:color="auto" w:fill="auto"/>
            <w:noWrap/>
            <w:vAlign w:val="bottom"/>
            <w:hideMark/>
          </w:tcPr>
          <w:p w:rsidR="00670D4D" w:rsidRPr="009F0E09" w:rsidP="00E9507C" w14:paraId="1877C935" w14:textId="77777777">
            <w:pPr>
              <w:ind w:right="-53" w:hanging="18"/>
              <w:jc w:val="center"/>
              <w:rPr>
                <w:color w:val="000000"/>
                <w:kern w:val="0"/>
              </w:rPr>
            </w:pPr>
            <w:r w:rsidRPr="009F0E09">
              <w:rPr>
                <w:color w:val="000000"/>
                <w:kern w:val="0"/>
              </w:rPr>
              <w:t>BEA070</w:t>
            </w:r>
          </w:p>
        </w:tc>
        <w:tc>
          <w:tcPr>
            <w:tcW w:w="5340" w:type="dxa"/>
            <w:tcBorders>
              <w:top w:val="nil"/>
              <w:left w:val="nil"/>
              <w:bottom w:val="nil"/>
              <w:right w:val="nil"/>
            </w:tcBorders>
            <w:shd w:val="clear" w:color="auto" w:fill="auto"/>
            <w:noWrap/>
            <w:vAlign w:val="bottom"/>
            <w:hideMark/>
          </w:tcPr>
          <w:p w:rsidR="00670D4D" w:rsidRPr="009F0E09" w:rsidP="00E9507C" w14:paraId="466EB56B" w14:textId="77777777">
            <w:pPr>
              <w:ind w:hanging="18"/>
              <w:rPr>
                <w:color w:val="000000"/>
                <w:kern w:val="0"/>
              </w:rPr>
            </w:pPr>
            <w:r w:rsidRPr="009F0E09">
              <w:rPr>
                <w:color w:val="000000"/>
                <w:kern w:val="0"/>
              </w:rPr>
              <w:t>Louisville, KY-IN</w:t>
            </w:r>
          </w:p>
        </w:tc>
        <w:tc>
          <w:tcPr>
            <w:tcW w:w="2070" w:type="dxa"/>
            <w:tcBorders>
              <w:top w:val="nil"/>
              <w:left w:val="nil"/>
              <w:bottom w:val="nil"/>
              <w:right w:val="nil"/>
            </w:tcBorders>
            <w:shd w:val="clear" w:color="auto" w:fill="auto"/>
            <w:noWrap/>
            <w:vAlign w:val="bottom"/>
            <w:hideMark/>
          </w:tcPr>
          <w:p w:rsidR="00670D4D" w:rsidRPr="009F0E09" w:rsidP="00E9507C" w14:paraId="2032A86F" w14:textId="77777777">
            <w:pPr>
              <w:ind w:right="579" w:hanging="18"/>
              <w:jc w:val="center"/>
              <w:rPr>
                <w:color w:val="000000"/>
                <w:kern w:val="0"/>
              </w:rPr>
            </w:pPr>
            <w:r w:rsidRPr="009F0E09">
              <w:rPr>
                <w:color w:val="000000"/>
                <w:kern w:val="0"/>
              </w:rPr>
              <w:t>B</w:t>
            </w:r>
          </w:p>
        </w:tc>
      </w:tr>
      <w:tr w14:paraId="55722EC0"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569283E2" w14:textId="77777777">
            <w:pPr>
              <w:ind w:hanging="18"/>
              <w:jc w:val="center"/>
              <w:rPr>
                <w:color w:val="000000"/>
                <w:kern w:val="0"/>
              </w:rPr>
            </w:pPr>
            <w:r w:rsidRPr="009F0E09">
              <w:rPr>
                <w:color w:val="000000"/>
                <w:kern w:val="0"/>
              </w:rPr>
              <w:t>WPQP960</w:t>
            </w:r>
          </w:p>
        </w:tc>
        <w:tc>
          <w:tcPr>
            <w:tcW w:w="1500" w:type="dxa"/>
            <w:tcBorders>
              <w:top w:val="nil"/>
              <w:left w:val="nil"/>
              <w:bottom w:val="nil"/>
              <w:right w:val="nil"/>
            </w:tcBorders>
            <w:shd w:val="clear" w:color="auto" w:fill="auto"/>
            <w:noWrap/>
            <w:vAlign w:val="bottom"/>
            <w:hideMark/>
          </w:tcPr>
          <w:p w:rsidR="00670D4D" w:rsidRPr="009F0E09" w:rsidP="00E9507C" w14:paraId="4DDA5AEE" w14:textId="77777777">
            <w:pPr>
              <w:ind w:right="-53" w:hanging="18"/>
              <w:jc w:val="center"/>
              <w:rPr>
                <w:color w:val="000000"/>
                <w:kern w:val="0"/>
              </w:rPr>
            </w:pPr>
            <w:r w:rsidRPr="009F0E09">
              <w:rPr>
                <w:color w:val="000000"/>
                <w:kern w:val="0"/>
              </w:rPr>
              <w:t>BEA070</w:t>
            </w:r>
          </w:p>
        </w:tc>
        <w:tc>
          <w:tcPr>
            <w:tcW w:w="5340" w:type="dxa"/>
            <w:tcBorders>
              <w:top w:val="nil"/>
              <w:left w:val="nil"/>
              <w:bottom w:val="nil"/>
              <w:right w:val="nil"/>
            </w:tcBorders>
            <w:shd w:val="clear" w:color="auto" w:fill="auto"/>
            <w:noWrap/>
            <w:vAlign w:val="bottom"/>
            <w:hideMark/>
          </w:tcPr>
          <w:p w:rsidR="00670D4D" w:rsidRPr="009F0E09" w:rsidP="00E9507C" w14:paraId="4CDF3088" w14:textId="77777777">
            <w:pPr>
              <w:ind w:hanging="18"/>
              <w:rPr>
                <w:color w:val="000000"/>
                <w:kern w:val="0"/>
              </w:rPr>
            </w:pPr>
            <w:r w:rsidRPr="009F0E09">
              <w:rPr>
                <w:color w:val="000000"/>
                <w:kern w:val="0"/>
              </w:rPr>
              <w:t>Louisville, KY-IN</w:t>
            </w:r>
          </w:p>
        </w:tc>
        <w:tc>
          <w:tcPr>
            <w:tcW w:w="2070" w:type="dxa"/>
            <w:tcBorders>
              <w:top w:val="nil"/>
              <w:left w:val="nil"/>
              <w:bottom w:val="nil"/>
              <w:right w:val="nil"/>
            </w:tcBorders>
            <w:shd w:val="clear" w:color="auto" w:fill="auto"/>
            <w:noWrap/>
            <w:vAlign w:val="bottom"/>
            <w:hideMark/>
          </w:tcPr>
          <w:p w:rsidR="00670D4D" w:rsidRPr="009F0E09" w:rsidP="00E9507C" w14:paraId="2955A39B" w14:textId="77777777">
            <w:pPr>
              <w:ind w:right="579" w:hanging="18"/>
              <w:jc w:val="center"/>
              <w:rPr>
                <w:color w:val="000000"/>
                <w:kern w:val="0"/>
              </w:rPr>
            </w:pPr>
            <w:r w:rsidRPr="009F0E09">
              <w:rPr>
                <w:color w:val="000000"/>
                <w:kern w:val="0"/>
              </w:rPr>
              <w:t>C</w:t>
            </w:r>
          </w:p>
        </w:tc>
      </w:tr>
      <w:tr w14:paraId="71CA61A4"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1878537E" w14:textId="77777777">
            <w:pPr>
              <w:ind w:hanging="18"/>
              <w:jc w:val="center"/>
              <w:rPr>
                <w:color w:val="000000"/>
                <w:kern w:val="0"/>
              </w:rPr>
            </w:pPr>
            <w:r w:rsidRPr="009F0E09">
              <w:rPr>
                <w:color w:val="000000"/>
                <w:kern w:val="0"/>
              </w:rPr>
              <w:t>WPQP961</w:t>
            </w:r>
          </w:p>
        </w:tc>
        <w:tc>
          <w:tcPr>
            <w:tcW w:w="1500" w:type="dxa"/>
            <w:tcBorders>
              <w:top w:val="nil"/>
              <w:left w:val="nil"/>
              <w:bottom w:val="nil"/>
              <w:right w:val="nil"/>
            </w:tcBorders>
            <w:shd w:val="clear" w:color="auto" w:fill="auto"/>
            <w:noWrap/>
            <w:vAlign w:val="bottom"/>
            <w:hideMark/>
          </w:tcPr>
          <w:p w:rsidR="00670D4D" w:rsidRPr="009F0E09" w:rsidP="00E9507C" w14:paraId="5B27D726" w14:textId="77777777">
            <w:pPr>
              <w:ind w:right="-53" w:hanging="18"/>
              <w:jc w:val="center"/>
              <w:rPr>
                <w:color w:val="000000"/>
                <w:kern w:val="0"/>
              </w:rPr>
            </w:pPr>
            <w:r w:rsidRPr="009F0E09">
              <w:rPr>
                <w:color w:val="000000"/>
                <w:kern w:val="0"/>
              </w:rPr>
              <w:t>BEA071</w:t>
            </w:r>
          </w:p>
        </w:tc>
        <w:tc>
          <w:tcPr>
            <w:tcW w:w="5340" w:type="dxa"/>
            <w:tcBorders>
              <w:top w:val="nil"/>
              <w:left w:val="nil"/>
              <w:bottom w:val="nil"/>
              <w:right w:val="nil"/>
            </w:tcBorders>
            <w:shd w:val="clear" w:color="auto" w:fill="auto"/>
            <w:noWrap/>
            <w:vAlign w:val="bottom"/>
            <w:hideMark/>
          </w:tcPr>
          <w:p w:rsidR="00670D4D" w:rsidRPr="009F0E09" w:rsidP="00E9507C" w14:paraId="2275A67F" w14:textId="77777777">
            <w:pPr>
              <w:ind w:hanging="18"/>
              <w:rPr>
                <w:color w:val="000000"/>
                <w:kern w:val="0"/>
              </w:rPr>
            </w:pPr>
            <w:r w:rsidRPr="009F0E09">
              <w:rPr>
                <w:color w:val="000000"/>
                <w:kern w:val="0"/>
              </w:rPr>
              <w:t>Nashville, TN-KY</w:t>
            </w:r>
          </w:p>
        </w:tc>
        <w:tc>
          <w:tcPr>
            <w:tcW w:w="2070" w:type="dxa"/>
            <w:tcBorders>
              <w:top w:val="nil"/>
              <w:left w:val="nil"/>
              <w:bottom w:val="nil"/>
              <w:right w:val="nil"/>
            </w:tcBorders>
            <w:shd w:val="clear" w:color="auto" w:fill="auto"/>
            <w:noWrap/>
            <w:vAlign w:val="bottom"/>
            <w:hideMark/>
          </w:tcPr>
          <w:p w:rsidR="00670D4D" w:rsidRPr="009F0E09" w:rsidP="00E9507C" w14:paraId="168119E0" w14:textId="77777777">
            <w:pPr>
              <w:ind w:right="579" w:hanging="18"/>
              <w:jc w:val="center"/>
              <w:rPr>
                <w:color w:val="000000"/>
                <w:kern w:val="0"/>
              </w:rPr>
            </w:pPr>
            <w:r w:rsidRPr="009F0E09">
              <w:rPr>
                <w:color w:val="000000"/>
                <w:kern w:val="0"/>
              </w:rPr>
              <w:t>B</w:t>
            </w:r>
          </w:p>
        </w:tc>
      </w:tr>
      <w:tr w14:paraId="1A437465"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C10C46A" w14:textId="77777777">
            <w:pPr>
              <w:ind w:hanging="18"/>
              <w:jc w:val="center"/>
              <w:rPr>
                <w:color w:val="000000"/>
                <w:kern w:val="0"/>
              </w:rPr>
            </w:pPr>
            <w:r w:rsidRPr="009F0E09">
              <w:rPr>
                <w:color w:val="000000"/>
                <w:kern w:val="0"/>
              </w:rPr>
              <w:t>WPQP962</w:t>
            </w:r>
          </w:p>
        </w:tc>
        <w:tc>
          <w:tcPr>
            <w:tcW w:w="1500" w:type="dxa"/>
            <w:tcBorders>
              <w:top w:val="nil"/>
              <w:left w:val="nil"/>
              <w:bottom w:val="nil"/>
              <w:right w:val="nil"/>
            </w:tcBorders>
            <w:shd w:val="clear" w:color="auto" w:fill="auto"/>
            <w:noWrap/>
            <w:vAlign w:val="bottom"/>
            <w:hideMark/>
          </w:tcPr>
          <w:p w:rsidR="00670D4D" w:rsidRPr="009F0E09" w:rsidP="00E9507C" w14:paraId="2A4C0FD2" w14:textId="77777777">
            <w:pPr>
              <w:ind w:right="-53" w:hanging="18"/>
              <w:jc w:val="center"/>
              <w:rPr>
                <w:color w:val="000000"/>
                <w:kern w:val="0"/>
              </w:rPr>
            </w:pPr>
            <w:r w:rsidRPr="009F0E09">
              <w:rPr>
                <w:color w:val="000000"/>
                <w:kern w:val="0"/>
              </w:rPr>
              <w:t>BEA071</w:t>
            </w:r>
          </w:p>
        </w:tc>
        <w:tc>
          <w:tcPr>
            <w:tcW w:w="5340" w:type="dxa"/>
            <w:tcBorders>
              <w:top w:val="nil"/>
              <w:left w:val="nil"/>
              <w:bottom w:val="nil"/>
              <w:right w:val="nil"/>
            </w:tcBorders>
            <w:shd w:val="clear" w:color="auto" w:fill="auto"/>
            <w:noWrap/>
            <w:vAlign w:val="bottom"/>
            <w:hideMark/>
          </w:tcPr>
          <w:p w:rsidR="00670D4D" w:rsidRPr="009F0E09" w:rsidP="00E9507C" w14:paraId="4307A1C3" w14:textId="77777777">
            <w:pPr>
              <w:ind w:hanging="18"/>
              <w:rPr>
                <w:color w:val="000000"/>
                <w:kern w:val="0"/>
              </w:rPr>
            </w:pPr>
            <w:r w:rsidRPr="009F0E09">
              <w:rPr>
                <w:color w:val="000000"/>
                <w:kern w:val="0"/>
              </w:rPr>
              <w:t>Nashville, TN-KY</w:t>
            </w:r>
          </w:p>
        </w:tc>
        <w:tc>
          <w:tcPr>
            <w:tcW w:w="2070" w:type="dxa"/>
            <w:tcBorders>
              <w:top w:val="nil"/>
              <w:left w:val="nil"/>
              <w:bottom w:val="nil"/>
              <w:right w:val="nil"/>
            </w:tcBorders>
            <w:shd w:val="clear" w:color="auto" w:fill="auto"/>
            <w:noWrap/>
            <w:vAlign w:val="bottom"/>
            <w:hideMark/>
          </w:tcPr>
          <w:p w:rsidR="00670D4D" w:rsidRPr="009F0E09" w:rsidP="00E9507C" w14:paraId="16D591B4" w14:textId="77777777">
            <w:pPr>
              <w:ind w:right="579" w:hanging="18"/>
              <w:jc w:val="center"/>
              <w:rPr>
                <w:color w:val="000000"/>
                <w:kern w:val="0"/>
              </w:rPr>
            </w:pPr>
            <w:r w:rsidRPr="009F0E09">
              <w:rPr>
                <w:color w:val="000000"/>
                <w:kern w:val="0"/>
              </w:rPr>
              <w:t>C</w:t>
            </w:r>
          </w:p>
        </w:tc>
      </w:tr>
      <w:tr w14:paraId="3401B469"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28D4FD8A" w14:textId="77777777">
            <w:pPr>
              <w:ind w:hanging="18"/>
              <w:jc w:val="center"/>
              <w:rPr>
                <w:color w:val="000000"/>
                <w:kern w:val="0"/>
              </w:rPr>
            </w:pPr>
            <w:r w:rsidRPr="009F0E09">
              <w:rPr>
                <w:color w:val="000000"/>
                <w:kern w:val="0"/>
              </w:rPr>
              <w:t>WPQP963</w:t>
            </w:r>
          </w:p>
        </w:tc>
        <w:tc>
          <w:tcPr>
            <w:tcW w:w="1500" w:type="dxa"/>
            <w:tcBorders>
              <w:top w:val="nil"/>
              <w:left w:val="nil"/>
              <w:bottom w:val="nil"/>
              <w:right w:val="nil"/>
            </w:tcBorders>
            <w:shd w:val="clear" w:color="auto" w:fill="auto"/>
            <w:noWrap/>
            <w:vAlign w:val="bottom"/>
            <w:hideMark/>
          </w:tcPr>
          <w:p w:rsidR="00670D4D" w:rsidRPr="009F0E09" w:rsidP="00E9507C" w14:paraId="0E0F6F7A" w14:textId="77777777">
            <w:pPr>
              <w:ind w:right="-53" w:hanging="18"/>
              <w:jc w:val="center"/>
              <w:rPr>
                <w:color w:val="000000"/>
                <w:kern w:val="0"/>
              </w:rPr>
            </w:pPr>
            <w:r w:rsidRPr="009F0E09">
              <w:rPr>
                <w:color w:val="000000"/>
                <w:kern w:val="0"/>
              </w:rPr>
              <w:t>BEA073</w:t>
            </w:r>
          </w:p>
        </w:tc>
        <w:tc>
          <w:tcPr>
            <w:tcW w:w="5340" w:type="dxa"/>
            <w:tcBorders>
              <w:top w:val="nil"/>
              <w:left w:val="nil"/>
              <w:bottom w:val="nil"/>
              <w:right w:val="nil"/>
            </w:tcBorders>
            <w:shd w:val="clear" w:color="auto" w:fill="auto"/>
            <w:noWrap/>
            <w:vAlign w:val="bottom"/>
            <w:hideMark/>
          </w:tcPr>
          <w:p w:rsidR="00670D4D" w:rsidRPr="009F0E09" w:rsidP="00E9507C" w14:paraId="013454B8" w14:textId="77777777">
            <w:pPr>
              <w:ind w:hanging="18"/>
              <w:rPr>
                <w:color w:val="000000"/>
                <w:kern w:val="0"/>
              </w:rPr>
            </w:pPr>
            <w:r w:rsidRPr="009F0E09">
              <w:rPr>
                <w:color w:val="000000"/>
                <w:kern w:val="0"/>
              </w:rPr>
              <w:t>Memphis, TN-AR-MS-KY</w:t>
            </w:r>
          </w:p>
        </w:tc>
        <w:tc>
          <w:tcPr>
            <w:tcW w:w="2070" w:type="dxa"/>
            <w:tcBorders>
              <w:top w:val="nil"/>
              <w:left w:val="nil"/>
              <w:bottom w:val="nil"/>
              <w:right w:val="nil"/>
            </w:tcBorders>
            <w:shd w:val="clear" w:color="auto" w:fill="auto"/>
            <w:noWrap/>
            <w:vAlign w:val="bottom"/>
            <w:hideMark/>
          </w:tcPr>
          <w:p w:rsidR="00670D4D" w:rsidRPr="009F0E09" w:rsidP="00E9507C" w14:paraId="4FA2CF90" w14:textId="77777777">
            <w:pPr>
              <w:ind w:right="579" w:hanging="18"/>
              <w:jc w:val="center"/>
              <w:rPr>
                <w:color w:val="000000"/>
                <w:kern w:val="0"/>
              </w:rPr>
            </w:pPr>
            <w:r w:rsidRPr="009F0E09">
              <w:rPr>
                <w:color w:val="000000"/>
                <w:kern w:val="0"/>
              </w:rPr>
              <w:t>B</w:t>
            </w:r>
          </w:p>
        </w:tc>
      </w:tr>
      <w:tr w14:paraId="4982AC99"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4072F111" w14:textId="77777777">
            <w:pPr>
              <w:ind w:hanging="18"/>
              <w:jc w:val="center"/>
              <w:rPr>
                <w:color w:val="000000"/>
                <w:kern w:val="0"/>
              </w:rPr>
            </w:pPr>
            <w:r w:rsidRPr="009F0E09">
              <w:rPr>
                <w:color w:val="000000"/>
                <w:kern w:val="0"/>
              </w:rPr>
              <w:t>WPQP964</w:t>
            </w:r>
          </w:p>
        </w:tc>
        <w:tc>
          <w:tcPr>
            <w:tcW w:w="1500" w:type="dxa"/>
            <w:tcBorders>
              <w:top w:val="nil"/>
              <w:left w:val="nil"/>
              <w:bottom w:val="nil"/>
              <w:right w:val="nil"/>
            </w:tcBorders>
            <w:shd w:val="clear" w:color="auto" w:fill="auto"/>
            <w:noWrap/>
            <w:vAlign w:val="bottom"/>
            <w:hideMark/>
          </w:tcPr>
          <w:p w:rsidR="00670D4D" w:rsidRPr="009F0E09" w:rsidP="00E9507C" w14:paraId="1496F99D" w14:textId="77777777">
            <w:pPr>
              <w:ind w:right="-53" w:hanging="18"/>
              <w:jc w:val="center"/>
              <w:rPr>
                <w:color w:val="000000"/>
                <w:kern w:val="0"/>
              </w:rPr>
            </w:pPr>
            <w:r w:rsidRPr="009F0E09">
              <w:rPr>
                <w:color w:val="000000"/>
                <w:kern w:val="0"/>
              </w:rPr>
              <w:t>BEA073</w:t>
            </w:r>
          </w:p>
        </w:tc>
        <w:tc>
          <w:tcPr>
            <w:tcW w:w="5340" w:type="dxa"/>
            <w:tcBorders>
              <w:top w:val="nil"/>
              <w:left w:val="nil"/>
              <w:bottom w:val="nil"/>
              <w:right w:val="nil"/>
            </w:tcBorders>
            <w:shd w:val="clear" w:color="auto" w:fill="auto"/>
            <w:noWrap/>
            <w:vAlign w:val="bottom"/>
            <w:hideMark/>
          </w:tcPr>
          <w:p w:rsidR="00670D4D" w:rsidRPr="009F0E09" w:rsidP="00E9507C" w14:paraId="7EF2A6BE" w14:textId="77777777">
            <w:pPr>
              <w:ind w:hanging="18"/>
              <w:rPr>
                <w:color w:val="000000"/>
                <w:kern w:val="0"/>
              </w:rPr>
            </w:pPr>
            <w:r w:rsidRPr="009F0E09">
              <w:rPr>
                <w:color w:val="000000"/>
                <w:kern w:val="0"/>
              </w:rPr>
              <w:t>Memphis, TN-AR-MS-KY</w:t>
            </w:r>
          </w:p>
        </w:tc>
        <w:tc>
          <w:tcPr>
            <w:tcW w:w="2070" w:type="dxa"/>
            <w:tcBorders>
              <w:top w:val="nil"/>
              <w:left w:val="nil"/>
              <w:bottom w:val="nil"/>
              <w:right w:val="nil"/>
            </w:tcBorders>
            <w:shd w:val="clear" w:color="auto" w:fill="auto"/>
            <w:noWrap/>
            <w:vAlign w:val="bottom"/>
            <w:hideMark/>
          </w:tcPr>
          <w:p w:rsidR="00670D4D" w:rsidRPr="009F0E09" w:rsidP="00E9507C" w14:paraId="3DF3B565" w14:textId="77777777">
            <w:pPr>
              <w:ind w:right="579" w:hanging="18"/>
              <w:jc w:val="center"/>
              <w:rPr>
                <w:color w:val="000000"/>
                <w:kern w:val="0"/>
              </w:rPr>
            </w:pPr>
            <w:r w:rsidRPr="009F0E09">
              <w:rPr>
                <w:color w:val="000000"/>
                <w:kern w:val="0"/>
              </w:rPr>
              <w:t>C</w:t>
            </w:r>
          </w:p>
        </w:tc>
      </w:tr>
      <w:tr w14:paraId="5EBE3B0E"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3524394F" w14:textId="77777777">
            <w:pPr>
              <w:ind w:hanging="18"/>
              <w:jc w:val="center"/>
              <w:rPr>
                <w:color w:val="000000"/>
                <w:kern w:val="0"/>
              </w:rPr>
            </w:pPr>
            <w:r w:rsidRPr="009F0E09">
              <w:rPr>
                <w:color w:val="000000"/>
                <w:kern w:val="0"/>
              </w:rPr>
              <w:t>WPQP977</w:t>
            </w:r>
          </w:p>
        </w:tc>
        <w:tc>
          <w:tcPr>
            <w:tcW w:w="1500" w:type="dxa"/>
            <w:tcBorders>
              <w:top w:val="nil"/>
              <w:left w:val="nil"/>
              <w:bottom w:val="nil"/>
              <w:right w:val="nil"/>
            </w:tcBorders>
            <w:shd w:val="clear" w:color="auto" w:fill="auto"/>
            <w:noWrap/>
            <w:vAlign w:val="bottom"/>
            <w:hideMark/>
          </w:tcPr>
          <w:p w:rsidR="00670D4D" w:rsidRPr="009F0E09" w:rsidP="00E9507C" w14:paraId="49B7495D" w14:textId="77777777">
            <w:pPr>
              <w:ind w:right="-53" w:hanging="18"/>
              <w:jc w:val="center"/>
              <w:rPr>
                <w:color w:val="000000"/>
                <w:kern w:val="0"/>
              </w:rPr>
            </w:pPr>
            <w:r w:rsidRPr="009F0E09">
              <w:rPr>
                <w:color w:val="000000"/>
                <w:kern w:val="0"/>
              </w:rPr>
              <w:t>BEA083</w:t>
            </w:r>
          </w:p>
        </w:tc>
        <w:tc>
          <w:tcPr>
            <w:tcW w:w="5340" w:type="dxa"/>
            <w:tcBorders>
              <w:top w:val="nil"/>
              <w:left w:val="nil"/>
              <w:bottom w:val="nil"/>
              <w:right w:val="nil"/>
            </w:tcBorders>
            <w:shd w:val="clear" w:color="auto" w:fill="auto"/>
            <w:noWrap/>
            <w:vAlign w:val="bottom"/>
            <w:hideMark/>
          </w:tcPr>
          <w:p w:rsidR="00670D4D" w:rsidRPr="009F0E09" w:rsidP="00E9507C" w14:paraId="1786616F" w14:textId="77777777">
            <w:pPr>
              <w:ind w:hanging="18"/>
              <w:rPr>
                <w:color w:val="000000"/>
                <w:kern w:val="0"/>
              </w:rPr>
            </w:pPr>
            <w:r w:rsidRPr="009F0E09">
              <w:rPr>
                <w:color w:val="000000"/>
                <w:kern w:val="0"/>
              </w:rPr>
              <w:t>New Orleans, LA-MS</w:t>
            </w:r>
          </w:p>
        </w:tc>
        <w:tc>
          <w:tcPr>
            <w:tcW w:w="2070" w:type="dxa"/>
            <w:tcBorders>
              <w:top w:val="nil"/>
              <w:left w:val="nil"/>
              <w:bottom w:val="nil"/>
              <w:right w:val="nil"/>
            </w:tcBorders>
            <w:shd w:val="clear" w:color="auto" w:fill="auto"/>
            <w:noWrap/>
            <w:vAlign w:val="bottom"/>
            <w:hideMark/>
          </w:tcPr>
          <w:p w:rsidR="00670D4D" w:rsidRPr="009F0E09" w:rsidP="00E9507C" w14:paraId="1954A157" w14:textId="77777777">
            <w:pPr>
              <w:ind w:right="579" w:hanging="18"/>
              <w:jc w:val="center"/>
              <w:rPr>
                <w:color w:val="000000"/>
                <w:kern w:val="0"/>
              </w:rPr>
            </w:pPr>
            <w:r w:rsidRPr="009F0E09">
              <w:rPr>
                <w:color w:val="000000"/>
                <w:kern w:val="0"/>
              </w:rPr>
              <w:t>B</w:t>
            </w:r>
          </w:p>
        </w:tc>
      </w:tr>
      <w:tr w14:paraId="4296A33C"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42EC679F" w14:textId="77777777">
            <w:pPr>
              <w:ind w:hanging="18"/>
              <w:jc w:val="center"/>
              <w:rPr>
                <w:color w:val="000000"/>
                <w:kern w:val="0"/>
              </w:rPr>
            </w:pPr>
            <w:r w:rsidRPr="009F0E09">
              <w:rPr>
                <w:color w:val="000000"/>
                <w:kern w:val="0"/>
              </w:rPr>
              <w:t>WPQP978</w:t>
            </w:r>
          </w:p>
        </w:tc>
        <w:tc>
          <w:tcPr>
            <w:tcW w:w="1500" w:type="dxa"/>
            <w:tcBorders>
              <w:top w:val="nil"/>
              <w:left w:val="nil"/>
              <w:bottom w:val="nil"/>
              <w:right w:val="nil"/>
            </w:tcBorders>
            <w:shd w:val="clear" w:color="auto" w:fill="auto"/>
            <w:noWrap/>
            <w:vAlign w:val="bottom"/>
            <w:hideMark/>
          </w:tcPr>
          <w:p w:rsidR="00670D4D" w:rsidRPr="009F0E09" w:rsidP="00E9507C" w14:paraId="025008F2" w14:textId="77777777">
            <w:pPr>
              <w:ind w:right="-53" w:hanging="18"/>
              <w:jc w:val="center"/>
              <w:rPr>
                <w:color w:val="000000"/>
                <w:kern w:val="0"/>
              </w:rPr>
            </w:pPr>
            <w:r w:rsidRPr="009F0E09">
              <w:rPr>
                <w:color w:val="000000"/>
                <w:kern w:val="0"/>
              </w:rPr>
              <w:t>BEA083</w:t>
            </w:r>
          </w:p>
        </w:tc>
        <w:tc>
          <w:tcPr>
            <w:tcW w:w="5340" w:type="dxa"/>
            <w:tcBorders>
              <w:top w:val="nil"/>
              <w:left w:val="nil"/>
              <w:bottom w:val="nil"/>
              <w:right w:val="nil"/>
            </w:tcBorders>
            <w:shd w:val="clear" w:color="auto" w:fill="auto"/>
            <w:noWrap/>
            <w:vAlign w:val="bottom"/>
            <w:hideMark/>
          </w:tcPr>
          <w:p w:rsidR="00670D4D" w:rsidRPr="009F0E09" w:rsidP="00E9507C" w14:paraId="5373D8A5" w14:textId="77777777">
            <w:pPr>
              <w:ind w:hanging="18"/>
              <w:rPr>
                <w:color w:val="000000"/>
                <w:kern w:val="0"/>
              </w:rPr>
            </w:pPr>
            <w:r w:rsidRPr="009F0E09">
              <w:rPr>
                <w:color w:val="000000"/>
                <w:kern w:val="0"/>
              </w:rPr>
              <w:t>New Orleans, LA-MS</w:t>
            </w:r>
          </w:p>
        </w:tc>
        <w:tc>
          <w:tcPr>
            <w:tcW w:w="2070" w:type="dxa"/>
            <w:tcBorders>
              <w:top w:val="nil"/>
              <w:left w:val="nil"/>
              <w:bottom w:val="nil"/>
              <w:right w:val="nil"/>
            </w:tcBorders>
            <w:shd w:val="clear" w:color="auto" w:fill="auto"/>
            <w:noWrap/>
            <w:vAlign w:val="bottom"/>
            <w:hideMark/>
          </w:tcPr>
          <w:p w:rsidR="00670D4D" w:rsidRPr="009F0E09" w:rsidP="00E9507C" w14:paraId="1E4B1CA5" w14:textId="77777777">
            <w:pPr>
              <w:ind w:right="579" w:hanging="18"/>
              <w:jc w:val="center"/>
              <w:rPr>
                <w:color w:val="000000"/>
                <w:kern w:val="0"/>
              </w:rPr>
            </w:pPr>
            <w:r w:rsidRPr="009F0E09">
              <w:rPr>
                <w:color w:val="000000"/>
                <w:kern w:val="0"/>
              </w:rPr>
              <w:t>C</w:t>
            </w:r>
          </w:p>
        </w:tc>
      </w:tr>
      <w:tr w14:paraId="1980CDF6"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2800FE9A" w14:textId="77777777">
            <w:pPr>
              <w:ind w:hanging="18"/>
              <w:jc w:val="center"/>
              <w:rPr>
                <w:color w:val="000000"/>
                <w:kern w:val="0"/>
              </w:rPr>
            </w:pPr>
            <w:r w:rsidRPr="009F0E09">
              <w:rPr>
                <w:color w:val="000000"/>
                <w:kern w:val="0"/>
              </w:rPr>
              <w:t>WPQP993</w:t>
            </w:r>
          </w:p>
        </w:tc>
        <w:tc>
          <w:tcPr>
            <w:tcW w:w="1500" w:type="dxa"/>
            <w:tcBorders>
              <w:top w:val="nil"/>
              <w:left w:val="nil"/>
              <w:bottom w:val="nil"/>
              <w:right w:val="nil"/>
            </w:tcBorders>
            <w:shd w:val="clear" w:color="auto" w:fill="auto"/>
            <w:noWrap/>
            <w:vAlign w:val="bottom"/>
            <w:hideMark/>
          </w:tcPr>
          <w:p w:rsidR="00670D4D" w:rsidRPr="009F0E09" w:rsidP="00E9507C" w14:paraId="49343090" w14:textId="77777777">
            <w:pPr>
              <w:ind w:right="-53" w:hanging="18"/>
              <w:jc w:val="center"/>
              <w:rPr>
                <w:color w:val="000000"/>
                <w:kern w:val="0"/>
              </w:rPr>
            </w:pPr>
            <w:r w:rsidRPr="009F0E09">
              <w:rPr>
                <w:color w:val="000000"/>
                <w:kern w:val="0"/>
              </w:rPr>
              <w:t>BEA099</w:t>
            </w:r>
          </w:p>
        </w:tc>
        <w:tc>
          <w:tcPr>
            <w:tcW w:w="5340" w:type="dxa"/>
            <w:tcBorders>
              <w:top w:val="nil"/>
              <w:left w:val="nil"/>
              <w:bottom w:val="nil"/>
              <w:right w:val="nil"/>
            </w:tcBorders>
            <w:shd w:val="clear" w:color="auto" w:fill="auto"/>
            <w:noWrap/>
            <w:vAlign w:val="bottom"/>
            <w:hideMark/>
          </w:tcPr>
          <w:p w:rsidR="00670D4D" w:rsidRPr="009F0E09" w:rsidP="00E9507C" w14:paraId="7237DD40" w14:textId="77777777">
            <w:pPr>
              <w:ind w:hanging="18"/>
              <w:rPr>
                <w:color w:val="000000"/>
                <w:kern w:val="0"/>
              </w:rPr>
            </w:pPr>
            <w:r w:rsidRPr="009F0E09">
              <w:rPr>
                <w:color w:val="000000"/>
                <w:kern w:val="0"/>
              </w:rPr>
              <w:t>Kansas City, MO-KS</w:t>
            </w:r>
          </w:p>
        </w:tc>
        <w:tc>
          <w:tcPr>
            <w:tcW w:w="2070" w:type="dxa"/>
            <w:tcBorders>
              <w:top w:val="nil"/>
              <w:left w:val="nil"/>
              <w:bottom w:val="nil"/>
              <w:right w:val="nil"/>
            </w:tcBorders>
            <w:shd w:val="clear" w:color="auto" w:fill="auto"/>
            <w:noWrap/>
            <w:vAlign w:val="bottom"/>
            <w:hideMark/>
          </w:tcPr>
          <w:p w:rsidR="00670D4D" w:rsidRPr="009F0E09" w:rsidP="00E9507C" w14:paraId="642FD164" w14:textId="77777777">
            <w:pPr>
              <w:ind w:right="579" w:hanging="18"/>
              <w:jc w:val="center"/>
              <w:rPr>
                <w:color w:val="000000"/>
                <w:kern w:val="0"/>
              </w:rPr>
            </w:pPr>
            <w:r w:rsidRPr="009F0E09">
              <w:rPr>
                <w:color w:val="000000"/>
                <w:kern w:val="0"/>
              </w:rPr>
              <w:t>B</w:t>
            </w:r>
          </w:p>
        </w:tc>
      </w:tr>
      <w:tr w14:paraId="42EA443B"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D6A07AB" w14:textId="77777777">
            <w:pPr>
              <w:ind w:hanging="18"/>
              <w:jc w:val="center"/>
              <w:rPr>
                <w:color w:val="000000"/>
                <w:kern w:val="0"/>
              </w:rPr>
            </w:pPr>
            <w:r w:rsidRPr="009F0E09">
              <w:rPr>
                <w:color w:val="000000"/>
                <w:kern w:val="0"/>
              </w:rPr>
              <w:t>WPQP994</w:t>
            </w:r>
          </w:p>
        </w:tc>
        <w:tc>
          <w:tcPr>
            <w:tcW w:w="1500" w:type="dxa"/>
            <w:tcBorders>
              <w:top w:val="nil"/>
              <w:left w:val="nil"/>
              <w:bottom w:val="nil"/>
              <w:right w:val="nil"/>
            </w:tcBorders>
            <w:shd w:val="clear" w:color="auto" w:fill="auto"/>
            <w:noWrap/>
            <w:vAlign w:val="bottom"/>
            <w:hideMark/>
          </w:tcPr>
          <w:p w:rsidR="00670D4D" w:rsidRPr="009F0E09" w:rsidP="00E9507C" w14:paraId="67B518E4" w14:textId="77777777">
            <w:pPr>
              <w:ind w:right="-53" w:hanging="18"/>
              <w:jc w:val="center"/>
              <w:rPr>
                <w:color w:val="000000"/>
                <w:kern w:val="0"/>
              </w:rPr>
            </w:pPr>
            <w:r w:rsidRPr="009F0E09">
              <w:rPr>
                <w:color w:val="000000"/>
                <w:kern w:val="0"/>
              </w:rPr>
              <w:t>BEA099</w:t>
            </w:r>
          </w:p>
        </w:tc>
        <w:tc>
          <w:tcPr>
            <w:tcW w:w="5340" w:type="dxa"/>
            <w:tcBorders>
              <w:top w:val="nil"/>
              <w:left w:val="nil"/>
              <w:bottom w:val="nil"/>
              <w:right w:val="nil"/>
            </w:tcBorders>
            <w:shd w:val="clear" w:color="auto" w:fill="auto"/>
            <w:noWrap/>
            <w:vAlign w:val="bottom"/>
            <w:hideMark/>
          </w:tcPr>
          <w:p w:rsidR="00670D4D" w:rsidRPr="009F0E09" w:rsidP="00E9507C" w14:paraId="2988C0B7" w14:textId="77777777">
            <w:pPr>
              <w:ind w:hanging="18"/>
              <w:rPr>
                <w:color w:val="000000"/>
                <w:kern w:val="0"/>
              </w:rPr>
            </w:pPr>
            <w:r w:rsidRPr="009F0E09">
              <w:rPr>
                <w:color w:val="000000"/>
                <w:kern w:val="0"/>
              </w:rPr>
              <w:t>Kansas City, MO-KS</w:t>
            </w:r>
          </w:p>
        </w:tc>
        <w:tc>
          <w:tcPr>
            <w:tcW w:w="2070" w:type="dxa"/>
            <w:tcBorders>
              <w:top w:val="nil"/>
              <w:left w:val="nil"/>
              <w:bottom w:val="nil"/>
              <w:right w:val="nil"/>
            </w:tcBorders>
            <w:shd w:val="clear" w:color="auto" w:fill="auto"/>
            <w:noWrap/>
            <w:vAlign w:val="bottom"/>
            <w:hideMark/>
          </w:tcPr>
          <w:p w:rsidR="00670D4D" w:rsidRPr="009F0E09" w:rsidP="00E9507C" w14:paraId="7E55F6CE" w14:textId="77777777">
            <w:pPr>
              <w:ind w:right="579" w:hanging="18"/>
              <w:jc w:val="center"/>
              <w:rPr>
                <w:color w:val="000000"/>
                <w:kern w:val="0"/>
              </w:rPr>
            </w:pPr>
            <w:r w:rsidRPr="009F0E09">
              <w:rPr>
                <w:color w:val="000000"/>
                <w:kern w:val="0"/>
              </w:rPr>
              <w:t>C</w:t>
            </w:r>
          </w:p>
        </w:tc>
      </w:tr>
      <w:tr w14:paraId="08CFBDA7"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30486DF7" w14:textId="77777777">
            <w:pPr>
              <w:ind w:hanging="18"/>
              <w:jc w:val="center"/>
              <w:rPr>
                <w:color w:val="000000"/>
                <w:kern w:val="0"/>
              </w:rPr>
            </w:pPr>
            <w:r w:rsidRPr="009F0E09">
              <w:rPr>
                <w:color w:val="000000"/>
                <w:kern w:val="0"/>
              </w:rPr>
              <w:t>WPQQ212</w:t>
            </w:r>
          </w:p>
        </w:tc>
        <w:tc>
          <w:tcPr>
            <w:tcW w:w="1500" w:type="dxa"/>
            <w:tcBorders>
              <w:top w:val="nil"/>
              <w:left w:val="nil"/>
              <w:bottom w:val="nil"/>
              <w:right w:val="nil"/>
            </w:tcBorders>
            <w:shd w:val="clear" w:color="auto" w:fill="auto"/>
            <w:noWrap/>
            <w:vAlign w:val="bottom"/>
            <w:hideMark/>
          </w:tcPr>
          <w:p w:rsidR="00670D4D" w:rsidRPr="009F0E09" w:rsidP="00E9507C" w14:paraId="65AF7119" w14:textId="77777777">
            <w:pPr>
              <w:ind w:right="-53" w:hanging="18"/>
              <w:jc w:val="center"/>
              <w:rPr>
                <w:color w:val="000000"/>
                <w:kern w:val="0"/>
              </w:rPr>
            </w:pPr>
            <w:r w:rsidRPr="009F0E09">
              <w:rPr>
                <w:color w:val="000000"/>
                <w:kern w:val="0"/>
              </w:rPr>
              <w:t>BEA125</w:t>
            </w:r>
          </w:p>
        </w:tc>
        <w:tc>
          <w:tcPr>
            <w:tcW w:w="5340" w:type="dxa"/>
            <w:tcBorders>
              <w:top w:val="nil"/>
              <w:left w:val="nil"/>
              <w:bottom w:val="nil"/>
              <w:right w:val="nil"/>
            </w:tcBorders>
            <w:shd w:val="clear" w:color="auto" w:fill="auto"/>
            <w:noWrap/>
            <w:vAlign w:val="bottom"/>
            <w:hideMark/>
          </w:tcPr>
          <w:p w:rsidR="00670D4D" w:rsidRPr="009F0E09" w:rsidP="00E9507C" w14:paraId="1692BA28" w14:textId="77777777">
            <w:pPr>
              <w:ind w:hanging="18"/>
              <w:rPr>
                <w:color w:val="000000"/>
                <w:kern w:val="0"/>
              </w:rPr>
            </w:pPr>
            <w:r w:rsidRPr="009F0E09">
              <w:rPr>
                <w:color w:val="000000"/>
                <w:kern w:val="0"/>
              </w:rPr>
              <w:t>Oklahoma City, OK</w:t>
            </w:r>
          </w:p>
        </w:tc>
        <w:tc>
          <w:tcPr>
            <w:tcW w:w="2070" w:type="dxa"/>
            <w:tcBorders>
              <w:top w:val="nil"/>
              <w:left w:val="nil"/>
              <w:bottom w:val="nil"/>
              <w:right w:val="nil"/>
            </w:tcBorders>
            <w:shd w:val="clear" w:color="auto" w:fill="auto"/>
            <w:noWrap/>
            <w:vAlign w:val="bottom"/>
            <w:hideMark/>
          </w:tcPr>
          <w:p w:rsidR="00670D4D" w:rsidRPr="009F0E09" w:rsidP="00E9507C" w14:paraId="15FC3D7E" w14:textId="77777777">
            <w:pPr>
              <w:ind w:right="579" w:hanging="18"/>
              <w:jc w:val="center"/>
              <w:rPr>
                <w:color w:val="000000"/>
                <w:kern w:val="0"/>
              </w:rPr>
            </w:pPr>
            <w:r w:rsidRPr="009F0E09">
              <w:rPr>
                <w:color w:val="000000"/>
                <w:kern w:val="0"/>
              </w:rPr>
              <w:t>B</w:t>
            </w:r>
          </w:p>
        </w:tc>
      </w:tr>
      <w:tr w14:paraId="61B3FF01"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24AB6FF5" w14:textId="77777777">
            <w:pPr>
              <w:ind w:hanging="18"/>
              <w:jc w:val="center"/>
              <w:rPr>
                <w:color w:val="000000"/>
                <w:kern w:val="0"/>
              </w:rPr>
            </w:pPr>
            <w:r w:rsidRPr="009F0E09">
              <w:rPr>
                <w:color w:val="000000"/>
                <w:kern w:val="0"/>
              </w:rPr>
              <w:t>WPQQ213</w:t>
            </w:r>
          </w:p>
        </w:tc>
        <w:tc>
          <w:tcPr>
            <w:tcW w:w="1500" w:type="dxa"/>
            <w:tcBorders>
              <w:top w:val="nil"/>
              <w:left w:val="nil"/>
              <w:bottom w:val="nil"/>
              <w:right w:val="nil"/>
            </w:tcBorders>
            <w:shd w:val="clear" w:color="auto" w:fill="auto"/>
            <w:noWrap/>
            <w:vAlign w:val="bottom"/>
            <w:hideMark/>
          </w:tcPr>
          <w:p w:rsidR="00670D4D" w:rsidRPr="009F0E09" w:rsidP="00E9507C" w14:paraId="5FF2DDFF" w14:textId="77777777">
            <w:pPr>
              <w:ind w:right="-53" w:hanging="18"/>
              <w:jc w:val="center"/>
              <w:rPr>
                <w:color w:val="000000"/>
                <w:kern w:val="0"/>
              </w:rPr>
            </w:pPr>
            <w:r w:rsidRPr="009F0E09">
              <w:rPr>
                <w:color w:val="000000"/>
                <w:kern w:val="0"/>
              </w:rPr>
              <w:t>BEA125</w:t>
            </w:r>
          </w:p>
        </w:tc>
        <w:tc>
          <w:tcPr>
            <w:tcW w:w="5340" w:type="dxa"/>
            <w:tcBorders>
              <w:top w:val="nil"/>
              <w:left w:val="nil"/>
              <w:bottom w:val="nil"/>
              <w:right w:val="nil"/>
            </w:tcBorders>
            <w:shd w:val="clear" w:color="auto" w:fill="auto"/>
            <w:noWrap/>
            <w:vAlign w:val="bottom"/>
            <w:hideMark/>
          </w:tcPr>
          <w:p w:rsidR="00670D4D" w:rsidRPr="009F0E09" w:rsidP="00E9507C" w14:paraId="033B713B" w14:textId="77777777">
            <w:pPr>
              <w:ind w:hanging="18"/>
              <w:rPr>
                <w:color w:val="000000"/>
                <w:kern w:val="0"/>
              </w:rPr>
            </w:pPr>
            <w:r w:rsidRPr="009F0E09">
              <w:rPr>
                <w:color w:val="000000"/>
                <w:kern w:val="0"/>
              </w:rPr>
              <w:t>Oklahoma City, OK</w:t>
            </w:r>
          </w:p>
        </w:tc>
        <w:tc>
          <w:tcPr>
            <w:tcW w:w="2070" w:type="dxa"/>
            <w:tcBorders>
              <w:top w:val="nil"/>
              <w:left w:val="nil"/>
              <w:bottom w:val="nil"/>
              <w:right w:val="nil"/>
            </w:tcBorders>
            <w:shd w:val="clear" w:color="auto" w:fill="auto"/>
            <w:noWrap/>
            <w:vAlign w:val="bottom"/>
            <w:hideMark/>
          </w:tcPr>
          <w:p w:rsidR="00670D4D" w:rsidRPr="009F0E09" w:rsidP="00E9507C" w14:paraId="1A73A600" w14:textId="77777777">
            <w:pPr>
              <w:ind w:right="579" w:hanging="18"/>
              <w:jc w:val="center"/>
              <w:rPr>
                <w:color w:val="000000"/>
                <w:kern w:val="0"/>
              </w:rPr>
            </w:pPr>
            <w:r w:rsidRPr="009F0E09">
              <w:rPr>
                <w:color w:val="000000"/>
                <w:kern w:val="0"/>
              </w:rPr>
              <w:t>C</w:t>
            </w:r>
          </w:p>
        </w:tc>
      </w:tr>
      <w:tr w14:paraId="1AB69152"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514AB243" w14:textId="77777777">
            <w:pPr>
              <w:ind w:hanging="18"/>
              <w:jc w:val="center"/>
              <w:rPr>
                <w:color w:val="000000"/>
                <w:kern w:val="0"/>
              </w:rPr>
            </w:pPr>
            <w:r w:rsidRPr="009F0E09">
              <w:rPr>
                <w:color w:val="000000"/>
                <w:kern w:val="0"/>
              </w:rPr>
              <w:t>WPQQ216</w:t>
            </w:r>
          </w:p>
        </w:tc>
        <w:tc>
          <w:tcPr>
            <w:tcW w:w="1500" w:type="dxa"/>
            <w:tcBorders>
              <w:top w:val="nil"/>
              <w:left w:val="nil"/>
              <w:bottom w:val="nil"/>
              <w:right w:val="nil"/>
            </w:tcBorders>
            <w:shd w:val="clear" w:color="auto" w:fill="auto"/>
            <w:noWrap/>
            <w:vAlign w:val="bottom"/>
            <w:hideMark/>
          </w:tcPr>
          <w:p w:rsidR="00670D4D" w:rsidRPr="009F0E09" w:rsidP="00E9507C" w14:paraId="39A59992" w14:textId="77777777">
            <w:pPr>
              <w:ind w:right="-53" w:hanging="18"/>
              <w:jc w:val="center"/>
              <w:rPr>
                <w:color w:val="000000"/>
                <w:kern w:val="0"/>
              </w:rPr>
            </w:pPr>
            <w:r w:rsidRPr="009F0E09">
              <w:rPr>
                <w:color w:val="000000"/>
                <w:kern w:val="0"/>
              </w:rPr>
              <w:t>BEA130</w:t>
            </w:r>
          </w:p>
        </w:tc>
        <w:tc>
          <w:tcPr>
            <w:tcW w:w="5340" w:type="dxa"/>
            <w:tcBorders>
              <w:top w:val="nil"/>
              <w:left w:val="nil"/>
              <w:bottom w:val="nil"/>
              <w:right w:val="nil"/>
            </w:tcBorders>
            <w:shd w:val="clear" w:color="auto" w:fill="auto"/>
            <w:noWrap/>
            <w:vAlign w:val="bottom"/>
            <w:hideMark/>
          </w:tcPr>
          <w:p w:rsidR="00670D4D" w:rsidRPr="009F0E09" w:rsidP="00E9507C" w14:paraId="210138BA" w14:textId="77777777">
            <w:pPr>
              <w:ind w:hanging="18"/>
              <w:rPr>
                <w:color w:val="000000"/>
                <w:kern w:val="0"/>
              </w:rPr>
            </w:pPr>
            <w:r w:rsidRPr="009F0E09">
              <w:rPr>
                <w:color w:val="000000"/>
                <w:kern w:val="0"/>
              </w:rPr>
              <w:t>Austin-San Marcos, TX</w:t>
            </w:r>
          </w:p>
        </w:tc>
        <w:tc>
          <w:tcPr>
            <w:tcW w:w="2070" w:type="dxa"/>
            <w:tcBorders>
              <w:top w:val="nil"/>
              <w:left w:val="nil"/>
              <w:bottom w:val="nil"/>
              <w:right w:val="nil"/>
            </w:tcBorders>
            <w:shd w:val="clear" w:color="auto" w:fill="auto"/>
            <w:noWrap/>
            <w:vAlign w:val="bottom"/>
            <w:hideMark/>
          </w:tcPr>
          <w:p w:rsidR="00670D4D" w:rsidRPr="009F0E09" w:rsidP="00E9507C" w14:paraId="46EA045F" w14:textId="77777777">
            <w:pPr>
              <w:ind w:right="579" w:hanging="18"/>
              <w:jc w:val="center"/>
              <w:rPr>
                <w:color w:val="000000"/>
                <w:kern w:val="0"/>
              </w:rPr>
            </w:pPr>
            <w:r w:rsidRPr="009F0E09">
              <w:rPr>
                <w:color w:val="000000"/>
                <w:kern w:val="0"/>
              </w:rPr>
              <w:t>B</w:t>
            </w:r>
          </w:p>
        </w:tc>
      </w:tr>
      <w:tr w14:paraId="5646709F"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68F1C456" w14:textId="77777777">
            <w:pPr>
              <w:ind w:hanging="18"/>
              <w:jc w:val="center"/>
              <w:rPr>
                <w:color w:val="000000"/>
                <w:kern w:val="0"/>
              </w:rPr>
            </w:pPr>
            <w:r w:rsidRPr="009F0E09">
              <w:rPr>
                <w:color w:val="000000"/>
                <w:kern w:val="0"/>
              </w:rPr>
              <w:t>WPQQ217</w:t>
            </w:r>
          </w:p>
        </w:tc>
        <w:tc>
          <w:tcPr>
            <w:tcW w:w="1500" w:type="dxa"/>
            <w:tcBorders>
              <w:top w:val="nil"/>
              <w:left w:val="nil"/>
              <w:bottom w:val="nil"/>
              <w:right w:val="nil"/>
            </w:tcBorders>
            <w:shd w:val="clear" w:color="auto" w:fill="auto"/>
            <w:noWrap/>
            <w:vAlign w:val="bottom"/>
            <w:hideMark/>
          </w:tcPr>
          <w:p w:rsidR="00670D4D" w:rsidRPr="009F0E09" w:rsidP="00E9507C" w14:paraId="1E06175F" w14:textId="77777777">
            <w:pPr>
              <w:ind w:right="-53" w:hanging="18"/>
              <w:jc w:val="center"/>
              <w:rPr>
                <w:color w:val="000000"/>
                <w:kern w:val="0"/>
              </w:rPr>
            </w:pPr>
            <w:r w:rsidRPr="009F0E09">
              <w:rPr>
                <w:color w:val="000000"/>
                <w:kern w:val="0"/>
              </w:rPr>
              <w:t>BEA130</w:t>
            </w:r>
          </w:p>
        </w:tc>
        <w:tc>
          <w:tcPr>
            <w:tcW w:w="5340" w:type="dxa"/>
            <w:tcBorders>
              <w:top w:val="nil"/>
              <w:left w:val="nil"/>
              <w:bottom w:val="nil"/>
              <w:right w:val="nil"/>
            </w:tcBorders>
            <w:shd w:val="clear" w:color="auto" w:fill="auto"/>
            <w:noWrap/>
            <w:vAlign w:val="bottom"/>
            <w:hideMark/>
          </w:tcPr>
          <w:p w:rsidR="00670D4D" w:rsidRPr="009F0E09" w:rsidP="00E9507C" w14:paraId="6ABB6237" w14:textId="77777777">
            <w:pPr>
              <w:ind w:hanging="18"/>
              <w:rPr>
                <w:color w:val="000000"/>
                <w:kern w:val="0"/>
              </w:rPr>
            </w:pPr>
            <w:r w:rsidRPr="009F0E09">
              <w:rPr>
                <w:color w:val="000000"/>
                <w:kern w:val="0"/>
              </w:rPr>
              <w:t>Austin-San Marcos, TX</w:t>
            </w:r>
          </w:p>
        </w:tc>
        <w:tc>
          <w:tcPr>
            <w:tcW w:w="2070" w:type="dxa"/>
            <w:tcBorders>
              <w:top w:val="nil"/>
              <w:left w:val="nil"/>
              <w:bottom w:val="nil"/>
              <w:right w:val="nil"/>
            </w:tcBorders>
            <w:shd w:val="clear" w:color="auto" w:fill="auto"/>
            <w:noWrap/>
            <w:vAlign w:val="bottom"/>
            <w:hideMark/>
          </w:tcPr>
          <w:p w:rsidR="00670D4D" w:rsidRPr="009F0E09" w:rsidP="00E9507C" w14:paraId="31B3B57E" w14:textId="77777777">
            <w:pPr>
              <w:ind w:right="579" w:hanging="18"/>
              <w:jc w:val="center"/>
              <w:rPr>
                <w:color w:val="000000"/>
                <w:kern w:val="0"/>
              </w:rPr>
            </w:pPr>
            <w:r w:rsidRPr="009F0E09">
              <w:rPr>
                <w:color w:val="000000"/>
                <w:kern w:val="0"/>
              </w:rPr>
              <w:t>C</w:t>
            </w:r>
          </w:p>
        </w:tc>
      </w:tr>
      <w:tr w14:paraId="4FECCD52"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675B7966" w14:textId="77777777">
            <w:pPr>
              <w:ind w:hanging="18"/>
              <w:jc w:val="center"/>
              <w:rPr>
                <w:color w:val="000000"/>
                <w:kern w:val="0"/>
              </w:rPr>
            </w:pPr>
            <w:r w:rsidRPr="009F0E09">
              <w:rPr>
                <w:color w:val="000000"/>
                <w:kern w:val="0"/>
              </w:rPr>
              <w:t>WPQQ234</w:t>
            </w:r>
          </w:p>
        </w:tc>
        <w:tc>
          <w:tcPr>
            <w:tcW w:w="1500" w:type="dxa"/>
            <w:tcBorders>
              <w:top w:val="nil"/>
              <w:left w:val="nil"/>
              <w:bottom w:val="nil"/>
              <w:right w:val="nil"/>
            </w:tcBorders>
            <w:shd w:val="clear" w:color="auto" w:fill="auto"/>
            <w:noWrap/>
            <w:vAlign w:val="bottom"/>
            <w:hideMark/>
          </w:tcPr>
          <w:p w:rsidR="00670D4D" w:rsidRPr="009F0E09" w:rsidP="00E9507C" w14:paraId="3B4D1EA3" w14:textId="77777777">
            <w:pPr>
              <w:ind w:right="-53" w:hanging="18"/>
              <w:jc w:val="center"/>
              <w:rPr>
                <w:color w:val="000000"/>
                <w:kern w:val="0"/>
              </w:rPr>
            </w:pPr>
            <w:r w:rsidRPr="009F0E09">
              <w:rPr>
                <w:color w:val="000000"/>
                <w:kern w:val="0"/>
              </w:rPr>
              <w:t>BEA152</w:t>
            </w:r>
          </w:p>
        </w:tc>
        <w:tc>
          <w:tcPr>
            <w:tcW w:w="5340" w:type="dxa"/>
            <w:tcBorders>
              <w:top w:val="nil"/>
              <w:left w:val="nil"/>
              <w:bottom w:val="nil"/>
              <w:right w:val="nil"/>
            </w:tcBorders>
            <w:shd w:val="clear" w:color="auto" w:fill="auto"/>
            <w:noWrap/>
            <w:vAlign w:val="bottom"/>
            <w:hideMark/>
          </w:tcPr>
          <w:p w:rsidR="00670D4D" w:rsidRPr="009F0E09" w:rsidP="00E9507C" w14:paraId="189D323A" w14:textId="77777777">
            <w:pPr>
              <w:ind w:hanging="18"/>
              <w:rPr>
                <w:color w:val="000000"/>
                <w:kern w:val="0"/>
              </w:rPr>
            </w:pPr>
            <w:r w:rsidRPr="009F0E09">
              <w:rPr>
                <w:color w:val="000000"/>
                <w:kern w:val="0"/>
              </w:rPr>
              <w:t>Salt Lake City-Ogden, UT-ID</w:t>
            </w:r>
          </w:p>
        </w:tc>
        <w:tc>
          <w:tcPr>
            <w:tcW w:w="2070" w:type="dxa"/>
            <w:tcBorders>
              <w:top w:val="nil"/>
              <w:left w:val="nil"/>
              <w:bottom w:val="nil"/>
              <w:right w:val="nil"/>
            </w:tcBorders>
            <w:shd w:val="clear" w:color="auto" w:fill="auto"/>
            <w:noWrap/>
            <w:vAlign w:val="bottom"/>
            <w:hideMark/>
          </w:tcPr>
          <w:p w:rsidR="00670D4D" w:rsidRPr="009F0E09" w:rsidP="00E9507C" w14:paraId="619C9AD5" w14:textId="77777777">
            <w:pPr>
              <w:ind w:right="579" w:hanging="18"/>
              <w:jc w:val="center"/>
              <w:rPr>
                <w:color w:val="000000"/>
                <w:kern w:val="0"/>
              </w:rPr>
            </w:pPr>
            <w:r w:rsidRPr="009F0E09">
              <w:rPr>
                <w:color w:val="000000"/>
                <w:kern w:val="0"/>
              </w:rPr>
              <w:t>B</w:t>
            </w:r>
          </w:p>
        </w:tc>
      </w:tr>
      <w:tr w14:paraId="5FF5CD3F"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4A8DAADD" w14:textId="77777777">
            <w:pPr>
              <w:ind w:hanging="18"/>
              <w:jc w:val="center"/>
              <w:rPr>
                <w:color w:val="000000"/>
                <w:kern w:val="0"/>
              </w:rPr>
            </w:pPr>
            <w:r w:rsidRPr="009F0E09">
              <w:rPr>
                <w:color w:val="000000"/>
                <w:kern w:val="0"/>
              </w:rPr>
              <w:t>WPQQ235</w:t>
            </w:r>
          </w:p>
        </w:tc>
        <w:tc>
          <w:tcPr>
            <w:tcW w:w="1500" w:type="dxa"/>
            <w:tcBorders>
              <w:top w:val="nil"/>
              <w:left w:val="nil"/>
              <w:bottom w:val="nil"/>
              <w:right w:val="nil"/>
            </w:tcBorders>
            <w:shd w:val="clear" w:color="auto" w:fill="auto"/>
            <w:noWrap/>
            <w:vAlign w:val="bottom"/>
            <w:hideMark/>
          </w:tcPr>
          <w:p w:rsidR="00670D4D" w:rsidRPr="009F0E09" w:rsidP="00E9507C" w14:paraId="37E0C597" w14:textId="77777777">
            <w:pPr>
              <w:ind w:right="-53" w:hanging="18"/>
              <w:jc w:val="center"/>
              <w:rPr>
                <w:color w:val="000000"/>
                <w:kern w:val="0"/>
              </w:rPr>
            </w:pPr>
            <w:r w:rsidRPr="009F0E09">
              <w:rPr>
                <w:color w:val="000000"/>
                <w:kern w:val="0"/>
              </w:rPr>
              <w:t>BEA152</w:t>
            </w:r>
          </w:p>
        </w:tc>
        <w:tc>
          <w:tcPr>
            <w:tcW w:w="5340" w:type="dxa"/>
            <w:tcBorders>
              <w:top w:val="nil"/>
              <w:left w:val="nil"/>
              <w:bottom w:val="nil"/>
              <w:right w:val="nil"/>
            </w:tcBorders>
            <w:shd w:val="clear" w:color="auto" w:fill="auto"/>
            <w:noWrap/>
            <w:vAlign w:val="bottom"/>
            <w:hideMark/>
          </w:tcPr>
          <w:p w:rsidR="00670D4D" w:rsidRPr="009F0E09" w:rsidP="00E9507C" w14:paraId="4508FB83" w14:textId="77777777">
            <w:pPr>
              <w:ind w:hanging="18"/>
              <w:rPr>
                <w:color w:val="000000"/>
                <w:kern w:val="0"/>
              </w:rPr>
            </w:pPr>
            <w:r w:rsidRPr="009F0E09">
              <w:rPr>
                <w:color w:val="000000"/>
                <w:kern w:val="0"/>
              </w:rPr>
              <w:t>Salt Lake City-Ogden, UT-ID</w:t>
            </w:r>
          </w:p>
        </w:tc>
        <w:tc>
          <w:tcPr>
            <w:tcW w:w="2070" w:type="dxa"/>
            <w:tcBorders>
              <w:top w:val="nil"/>
              <w:left w:val="nil"/>
              <w:bottom w:val="nil"/>
              <w:right w:val="nil"/>
            </w:tcBorders>
            <w:shd w:val="clear" w:color="auto" w:fill="auto"/>
            <w:noWrap/>
            <w:vAlign w:val="bottom"/>
            <w:hideMark/>
          </w:tcPr>
          <w:p w:rsidR="00670D4D" w:rsidRPr="009F0E09" w:rsidP="00E9507C" w14:paraId="04A59946" w14:textId="77777777">
            <w:pPr>
              <w:ind w:right="579" w:hanging="18"/>
              <w:jc w:val="center"/>
              <w:rPr>
                <w:color w:val="000000"/>
                <w:kern w:val="0"/>
              </w:rPr>
            </w:pPr>
            <w:r w:rsidRPr="009F0E09">
              <w:rPr>
                <w:color w:val="000000"/>
                <w:kern w:val="0"/>
              </w:rPr>
              <w:t>C</w:t>
            </w:r>
          </w:p>
        </w:tc>
      </w:tr>
      <w:tr w14:paraId="425693A8"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73CFDA47" w14:textId="77777777">
            <w:pPr>
              <w:ind w:hanging="18"/>
              <w:jc w:val="center"/>
              <w:rPr>
                <w:color w:val="000000"/>
                <w:kern w:val="0"/>
              </w:rPr>
            </w:pPr>
            <w:r w:rsidRPr="009F0E09">
              <w:rPr>
                <w:color w:val="000000"/>
                <w:kern w:val="0"/>
              </w:rPr>
              <w:t>WPQQ236</w:t>
            </w:r>
          </w:p>
        </w:tc>
        <w:tc>
          <w:tcPr>
            <w:tcW w:w="1500" w:type="dxa"/>
            <w:tcBorders>
              <w:top w:val="nil"/>
              <w:left w:val="nil"/>
              <w:bottom w:val="nil"/>
              <w:right w:val="nil"/>
            </w:tcBorders>
            <w:shd w:val="clear" w:color="auto" w:fill="auto"/>
            <w:noWrap/>
            <w:vAlign w:val="bottom"/>
            <w:hideMark/>
          </w:tcPr>
          <w:p w:rsidR="00670D4D" w:rsidRPr="009F0E09" w:rsidP="00E9507C" w14:paraId="07F5C152" w14:textId="77777777">
            <w:pPr>
              <w:ind w:right="-53" w:hanging="18"/>
              <w:jc w:val="center"/>
              <w:rPr>
                <w:color w:val="000000"/>
                <w:kern w:val="0"/>
              </w:rPr>
            </w:pPr>
            <w:r w:rsidRPr="009F0E09">
              <w:rPr>
                <w:color w:val="000000"/>
                <w:kern w:val="0"/>
              </w:rPr>
              <w:t>BEA153</w:t>
            </w:r>
          </w:p>
        </w:tc>
        <w:tc>
          <w:tcPr>
            <w:tcW w:w="5340" w:type="dxa"/>
            <w:tcBorders>
              <w:top w:val="nil"/>
              <w:left w:val="nil"/>
              <w:bottom w:val="nil"/>
              <w:right w:val="nil"/>
            </w:tcBorders>
            <w:shd w:val="clear" w:color="auto" w:fill="auto"/>
            <w:noWrap/>
            <w:vAlign w:val="bottom"/>
            <w:hideMark/>
          </w:tcPr>
          <w:p w:rsidR="00670D4D" w:rsidRPr="009F0E09" w:rsidP="00E9507C" w14:paraId="7A060D13" w14:textId="77777777">
            <w:pPr>
              <w:ind w:hanging="18"/>
              <w:rPr>
                <w:color w:val="000000"/>
                <w:kern w:val="0"/>
              </w:rPr>
            </w:pPr>
            <w:r w:rsidRPr="009F0E09">
              <w:rPr>
                <w:color w:val="000000"/>
                <w:kern w:val="0"/>
              </w:rPr>
              <w:t>Las Vegas, NV-AZ-UT</w:t>
            </w:r>
          </w:p>
        </w:tc>
        <w:tc>
          <w:tcPr>
            <w:tcW w:w="2070" w:type="dxa"/>
            <w:tcBorders>
              <w:top w:val="nil"/>
              <w:left w:val="nil"/>
              <w:bottom w:val="nil"/>
              <w:right w:val="nil"/>
            </w:tcBorders>
            <w:shd w:val="clear" w:color="auto" w:fill="auto"/>
            <w:noWrap/>
            <w:vAlign w:val="bottom"/>
            <w:hideMark/>
          </w:tcPr>
          <w:p w:rsidR="00670D4D" w:rsidRPr="009F0E09" w:rsidP="00E9507C" w14:paraId="55308B23" w14:textId="77777777">
            <w:pPr>
              <w:ind w:right="579" w:hanging="18"/>
              <w:jc w:val="center"/>
              <w:rPr>
                <w:color w:val="000000"/>
                <w:kern w:val="0"/>
              </w:rPr>
            </w:pPr>
            <w:r w:rsidRPr="009F0E09">
              <w:rPr>
                <w:color w:val="000000"/>
                <w:kern w:val="0"/>
              </w:rPr>
              <w:t>B</w:t>
            </w:r>
          </w:p>
        </w:tc>
      </w:tr>
      <w:tr w14:paraId="3A90F455" w14:textId="77777777">
        <w:tblPrEx>
          <w:tblW w:w="10710" w:type="dxa"/>
          <w:jc w:val="center"/>
          <w:tblLook w:val="04A0"/>
        </w:tblPrEx>
        <w:trPr>
          <w:trHeight w:val="300"/>
          <w:jc w:val="center"/>
        </w:trPr>
        <w:tc>
          <w:tcPr>
            <w:tcW w:w="1800" w:type="dxa"/>
            <w:tcBorders>
              <w:top w:val="nil"/>
              <w:left w:val="nil"/>
              <w:bottom w:val="nil"/>
              <w:right w:val="nil"/>
            </w:tcBorders>
            <w:shd w:val="clear" w:color="auto" w:fill="auto"/>
            <w:noWrap/>
            <w:vAlign w:val="bottom"/>
            <w:hideMark/>
          </w:tcPr>
          <w:p w:rsidR="00670D4D" w:rsidRPr="009F0E09" w:rsidP="00E9507C" w14:paraId="0E6B7AFC" w14:textId="77777777">
            <w:pPr>
              <w:ind w:hanging="18"/>
              <w:jc w:val="center"/>
              <w:rPr>
                <w:color w:val="000000"/>
                <w:kern w:val="0"/>
              </w:rPr>
            </w:pPr>
            <w:r w:rsidRPr="009F0E09">
              <w:rPr>
                <w:color w:val="000000"/>
                <w:kern w:val="0"/>
              </w:rPr>
              <w:t>WPQQ237</w:t>
            </w:r>
          </w:p>
        </w:tc>
        <w:tc>
          <w:tcPr>
            <w:tcW w:w="1500" w:type="dxa"/>
            <w:tcBorders>
              <w:top w:val="nil"/>
              <w:left w:val="nil"/>
              <w:bottom w:val="nil"/>
              <w:right w:val="nil"/>
            </w:tcBorders>
            <w:shd w:val="clear" w:color="auto" w:fill="auto"/>
            <w:noWrap/>
            <w:vAlign w:val="bottom"/>
            <w:hideMark/>
          </w:tcPr>
          <w:p w:rsidR="00670D4D" w:rsidRPr="009F0E09" w:rsidP="00E9507C" w14:paraId="4C59DF0D" w14:textId="77777777">
            <w:pPr>
              <w:ind w:right="-53" w:hanging="18"/>
              <w:jc w:val="center"/>
              <w:rPr>
                <w:color w:val="000000"/>
                <w:kern w:val="0"/>
              </w:rPr>
            </w:pPr>
            <w:r w:rsidRPr="009F0E09">
              <w:rPr>
                <w:color w:val="000000"/>
                <w:kern w:val="0"/>
              </w:rPr>
              <w:t>BEA153</w:t>
            </w:r>
          </w:p>
        </w:tc>
        <w:tc>
          <w:tcPr>
            <w:tcW w:w="5340" w:type="dxa"/>
            <w:tcBorders>
              <w:top w:val="nil"/>
              <w:left w:val="nil"/>
              <w:bottom w:val="nil"/>
              <w:right w:val="nil"/>
            </w:tcBorders>
            <w:shd w:val="clear" w:color="auto" w:fill="auto"/>
            <w:noWrap/>
            <w:vAlign w:val="bottom"/>
            <w:hideMark/>
          </w:tcPr>
          <w:p w:rsidR="00670D4D" w:rsidRPr="009F0E09" w:rsidP="00E9507C" w14:paraId="2ECED6D5" w14:textId="77777777">
            <w:pPr>
              <w:ind w:hanging="18"/>
              <w:rPr>
                <w:color w:val="000000"/>
                <w:kern w:val="0"/>
              </w:rPr>
            </w:pPr>
            <w:r w:rsidRPr="009F0E09">
              <w:rPr>
                <w:color w:val="000000"/>
                <w:kern w:val="0"/>
              </w:rPr>
              <w:t>Las Vegas, NV-AZ-UT</w:t>
            </w:r>
          </w:p>
        </w:tc>
        <w:tc>
          <w:tcPr>
            <w:tcW w:w="2070" w:type="dxa"/>
            <w:tcBorders>
              <w:top w:val="nil"/>
              <w:left w:val="nil"/>
              <w:bottom w:val="nil"/>
              <w:right w:val="nil"/>
            </w:tcBorders>
            <w:shd w:val="clear" w:color="auto" w:fill="auto"/>
            <w:noWrap/>
            <w:vAlign w:val="bottom"/>
            <w:hideMark/>
          </w:tcPr>
          <w:p w:rsidR="00670D4D" w:rsidRPr="009F0E09" w:rsidP="00E9507C" w14:paraId="50146C70" w14:textId="77777777">
            <w:pPr>
              <w:ind w:right="579" w:hanging="18"/>
              <w:jc w:val="center"/>
              <w:rPr>
                <w:color w:val="000000"/>
                <w:kern w:val="0"/>
              </w:rPr>
            </w:pPr>
            <w:r w:rsidRPr="009F0E09">
              <w:rPr>
                <w:color w:val="000000"/>
                <w:kern w:val="0"/>
              </w:rPr>
              <w:t>C</w:t>
            </w:r>
          </w:p>
        </w:tc>
      </w:tr>
    </w:tbl>
    <w:p w:rsidR="00670D4D" w:rsidP="00670D4D" w14:paraId="65FA2D14" w14:textId="77777777">
      <w:pPr>
        <w:jc w:val="center"/>
        <w:rPr>
          <w:b/>
          <w:bCs/>
        </w:rPr>
      </w:pPr>
    </w:p>
    <w:p w:rsidR="00670D4D" w:rsidP="00670D4D" w14:paraId="49A04E0D" w14:textId="77777777">
      <w:pPr>
        <w:rPr>
          <w:b/>
          <w:bCs/>
        </w:rPr>
      </w:pPr>
      <w:r>
        <w:rPr>
          <w:b/>
          <w:bCs/>
        </w:rPr>
        <w:br w:type="page"/>
      </w:r>
    </w:p>
    <w:p w:rsidR="00670D4D" w:rsidRPr="00564A7B" w:rsidP="00670D4D" w14:paraId="25DF373E" w14:textId="7079237B">
      <w:pPr>
        <w:jc w:val="center"/>
        <w:rPr>
          <w:rFonts w:cstheme="minorHAnsi"/>
          <w:b/>
          <w:bCs/>
        </w:rPr>
      </w:pPr>
      <w:r>
        <w:rPr>
          <w:b/>
          <w:bCs/>
        </w:rPr>
        <w:t>ATTACHMENT</w:t>
      </w:r>
      <w:r w:rsidRPr="000A11C9">
        <w:rPr>
          <w:b/>
          <w:bCs/>
        </w:rPr>
        <w:t xml:space="preserve"> </w:t>
      </w:r>
      <w:r w:rsidRPr="00564A7B">
        <w:rPr>
          <w:rFonts w:cstheme="minorHAnsi"/>
          <w:b/>
          <w:bCs/>
        </w:rPr>
        <w:t xml:space="preserve">C </w:t>
      </w:r>
    </w:p>
    <w:p w:rsidR="00670D4D" w:rsidRPr="002560E9" w:rsidP="00670D4D" w14:paraId="7F571C49" w14:textId="77777777">
      <w:pPr>
        <w:jc w:val="center"/>
        <w:rPr>
          <w:rFonts w:cstheme="minorHAnsi"/>
          <w:b/>
          <w:bCs/>
        </w:rPr>
      </w:pPr>
      <w:r w:rsidRPr="002560E9">
        <w:rPr>
          <w:rFonts w:cstheme="minorHAnsi"/>
          <w:b/>
          <w:bCs/>
        </w:rPr>
        <w:t xml:space="preserve">Group 3 – </w:t>
      </w:r>
      <w:r w:rsidRPr="00564A7B">
        <w:rPr>
          <w:rFonts w:cstheme="minorHAnsi"/>
          <w:b/>
          <w:bCs/>
        </w:rPr>
        <w:t>14</w:t>
      </w:r>
      <w:r>
        <w:rPr>
          <w:rFonts w:cstheme="minorHAnsi"/>
          <w:b/>
          <w:bCs/>
        </w:rPr>
        <w:t>4</w:t>
      </w:r>
      <w:r w:rsidRPr="002560E9">
        <w:rPr>
          <w:rFonts w:cstheme="minorHAnsi"/>
          <w:b/>
          <w:bCs/>
        </w:rPr>
        <w:t xml:space="preserve"> Licenses</w:t>
      </w:r>
      <w:r w:rsidRPr="00564A7B">
        <w:rPr>
          <w:rFonts w:cstheme="minorHAnsi"/>
          <w:b/>
          <w:bCs/>
        </w:rPr>
        <w:t xml:space="preserve"> in 73 EAs</w:t>
      </w:r>
    </w:p>
    <w:p w:rsidR="00670D4D" w:rsidRPr="002560E9" w:rsidP="00670D4D" w14:paraId="4BE529C2" w14:textId="77777777">
      <w:pPr>
        <w:jc w:val="center"/>
        <w:rPr>
          <w:rFonts w:cstheme="minorHAnsi"/>
          <w:b/>
          <w:bCs/>
        </w:rPr>
      </w:pPr>
      <w:r w:rsidRPr="002560E9">
        <w:rPr>
          <w:rFonts w:cstheme="minorHAnsi"/>
          <w:b/>
          <w:bCs/>
        </w:rPr>
        <w:t>End-of-term Deadline of April 3, 2023</w:t>
      </w:r>
    </w:p>
    <w:p w:rsidR="00670D4D" w:rsidP="00670D4D" w14:paraId="317FE074" w14:textId="77777777">
      <w:pPr>
        <w:jc w:val="center"/>
        <w:rPr>
          <w:b/>
          <w:bCs/>
        </w:rPr>
      </w:pPr>
    </w:p>
    <w:tbl>
      <w:tblPr>
        <w:tblW w:w="10484" w:type="dxa"/>
        <w:jc w:val="center"/>
        <w:tblLook w:val="04A0"/>
      </w:tblPr>
      <w:tblGrid>
        <w:gridCol w:w="1980"/>
        <w:gridCol w:w="1530"/>
        <w:gridCol w:w="4950"/>
        <w:gridCol w:w="2024"/>
      </w:tblGrid>
      <w:tr w14:paraId="0527041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tcPr>
          <w:p w:rsidR="00670D4D" w:rsidRPr="009F0E09" w:rsidP="00E9507C" w14:paraId="11D287FA" w14:textId="77777777">
            <w:pPr>
              <w:ind w:hanging="378"/>
              <w:jc w:val="center"/>
              <w:rPr>
                <w:color w:val="000000"/>
                <w:kern w:val="0"/>
              </w:rPr>
            </w:pPr>
            <w:r w:rsidRPr="009F0E09">
              <w:rPr>
                <w:b/>
                <w:bCs/>
                <w:color w:val="000000"/>
                <w:kern w:val="0"/>
              </w:rPr>
              <w:t>Call Sign</w:t>
            </w:r>
          </w:p>
        </w:tc>
        <w:tc>
          <w:tcPr>
            <w:tcW w:w="1530" w:type="dxa"/>
            <w:tcBorders>
              <w:top w:val="nil"/>
              <w:left w:val="nil"/>
              <w:bottom w:val="nil"/>
              <w:right w:val="nil"/>
            </w:tcBorders>
            <w:shd w:val="clear" w:color="auto" w:fill="auto"/>
            <w:noWrap/>
            <w:vAlign w:val="bottom"/>
          </w:tcPr>
          <w:p w:rsidR="00670D4D" w:rsidRPr="009F0E09" w:rsidP="00E9507C" w14:paraId="54B74062" w14:textId="77777777">
            <w:pPr>
              <w:jc w:val="center"/>
              <w:rPr>
                <w:color w:val="000000"/>
                <w:kern w:val="0"/>
              </w:rPr>
            </w:pPr>
            <w:r w:rsidRPr="009F0E09">
              <w:rPr>
                <w:b/>
                <w:bCs/>
                <w:color w:val="000000"/>
                <w:kern w:val="0"/>
              </w:rPr>
              <w:t>Market Code</w:t>
            </w:r>
          </w:p>
        </w:tc>
        <w:tc>
          <w:tcPr>
            <w:tcW w:w="4950" w:type="dxa"/>
            <w:tcBorders>
              <w:top w:val="nil"/>
              <w:left w:val="nil"/>
              <w:bottom w:val="nil"/>
              <w:right w:val="nil"/>
            </w:tcBorders>
            <w:shd w:val="clear" w:color="auto" w:fill="auto"/>
            <w:noWrap/>
            <w:vAlign w:val="bottom"/>
          </w:tcPr>
          <w:p w:rsidR="00670D4D" w:rsidRPr="009F0E09" w:rsidP="00E9507C" w14:paraId="152DE325" w14:textId="77777777">
            <w:pPr>
              <w:jc w:val="center"/>
              <w:rPr>
                <w:color w:val="000000"/>
                <w:kern w:val="0"/>
              </w:rPr>
            </w:pPr>
            <w:r w:rsidRPr="009F0E09">
              <w:rPr>
                <w:b/>
                <w:bCs/>
                <w:color w:val="000000"/>
                <w:kern w:val="0"/>
              </w:rPr>
              <w:t>Market Description</w:t>
            </w:r>
          </w:p>
        </w:tc>
        <w:tc>
          <w:tcPr>
            <w:tcW w:w="2024" w:type="dxa"/>
            <w:tcBorders>
              <w:top w:val="nil"/>
              <w:left w:val="nil"/>
              <w:bottom w:val="nil"/>
              <w:right w:val="nil"/>
            </w:tcBorders>
            <w:shd w:val="clear" w:color="auto" w:fill="auto"/>
            <w:noWrap/>
            <w:vAlign w:val="bottom"/>
          </w:tcPr>
          <w:p w:rsidR="00670D4D" w:rsidRPr="009F0E09" w:rsidP="00E9507C" w14:paraId="1C6FB95E" w14:textId="77777777">
            <w:pPr>
              <w:ind w:right="-604"/>
              <w:rPr>
                <w:color w:val="000000"/>
                <w:kern w:val="0"/>
              </w:rPr>
            </w:pPr>
            <w:r w:rsidRPr="009F0E09">
              <w:rPr>
                <w:b/>
                <w:bCs/>
                <w:color w:val="000000"/>
                <w:kern w:val="0"/>
              </w:rPr>
              <w:t>Channel Block</w:t>
            </w:r>
          </w:p>
        </w:tc>
      </w:tr>
      <w:tr w14:paraId="1B5C434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4D4E85B" w14:textId="77777777">
            <w:pPr>
              <w:ind w:hanging="378"/>
              <w:jc w:val="center"/>
              <w:rPr>
                <w:color w:val="000000"/>
                <w:kern w:val="0"/>
              </w:rPr>
            </w:pPr>
            <w:r w:rsidRPr="009F0E09">
              <w:rPr>
                <w:color w:val="000000"/>
                <w:kern w:val="0"/>
              </w:rPr>
              <w:t>WPQP845</w:t>
            </w:r>
          </w:p>
        </w:tc>
        <w:tc>
          <w:tcPr>
            <w:tcW w:w="1530" w:type="dxa"/>
            <w:tcBorders>
              <w:top w:val="nil"/>
              <w:left w:val="nil"/>
              <w:bottom w:val="nil"/>
              <w:right w:val="nil"/>
            </w:tcBorders>
            <w:shd w:val="clear" w:color="auto" w:fill="auto"/>
            <w:noWrap/>
            <w:vAlign w:val="bottom"/>
            <w:hideMark/>
          </w:tcPr>
          <w:p w:rsidR="00670D4D" w:rsidRPr="009F0E09" w:rsidP="00E9507C" w14:paraId="36E2CA85" w14:textId="77777777">
            <w:pPr>
              <w:rPr>
                <w:color w:val="000000"/>
                <w:kern w:val="0"/>
              </w:rPr>
            </w:pPr>
            <w:r w:rsidRPr="009F0E09">
              <w:rPr>
                <w:color w:val="000000"/>
                <w:kern w:val="0"/>
              </w:rPr>
              <w:t>BEA001 </w:t>
            </w:r>
          </w:p>
        </w:tc>
        <w:tc>
          <w:tcPr>
            <w:tcW w:w="4950" w:type="dxa"/>
            <w:tcBorders>
              <w:top w:val="nil"/>
              <w:left w:val="nil"/>
              <w:bottom w:val="nil"/>
              <w:right w:val="nil"/>
            </w:tcBorders>
            <w:shd w:val="clear" w:color="auto" w:fill="auto"/>
            <w:noWrap/>
            <w:vAlign w:val="bottom"/>
            <w:hideMark/>
          </w:tcPr>
          <w:p w:rsidR="00670D4D" w:rsidRPr="009F0E09" w:rsidP="00E9507C" w14:paraId="35801387" w14:textId="77777777">
            <w:pPr>
              <w:rPr>
                <w:color w:val="000000"/>
                <w:kern w:val="0"/>
              </w:rPr>
            </w:pPr>
            <w:r w:rsidRPr="009F0E09">
              <w:rPr>
                <w:color w:val="000000"/>
                <w:kern w:val="0"/>
              </w:rPr>
              <w:t>Bangor, ME</w:t>
            </w:r>
          </w:p>
        </w:tc>
        <w:tc>
          <w:tcPr>
            <w:tcW w:w="2024" w:type="dxa"/>
            <w:tcBorders>
              <w:top w:val="nil"/>
              <w:left w:val="nil"/>
              <w:bottom w:val="nil"/>
              <w:right w:val="nil"/>
            </w:tcBorders>
            <w:shd w:val="clear" w:color="auto" w:fill="auto"/>
            <w:noWrap/>
            <w:vAlign w:val="bottom"/>
            <w:hideMark/>
          </w:tcPr>
          <w:p w:rsidR="00670D4D" w:rsidRPr="009F0E09" w:rsidP="00E9507C" w14:paraId="0D79F943" w14:textId="77777777">
            <w:pPr>
              <w:ind w:right="-604" w:firstLine="158"/>
              <w:rPr>
                <w:color w:val="000000"/>
                <w:kern w:val="0"/>
              </w:rPr>
            </w:pPr>
            <w:r w:rsidRPr="009F0E09">
              <w:rPr>
                <w:color w:val="000000"/>
                <w:kern w:val="0"/>
              </w:rPr>
              <w:t>B  </w:t>
            </w:r>
          </w:p>
        </w:tc>
      </w:tr>
      <w:tr w14:paraId="39F7FBE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D8EB125" w14:textId="77777777">
            <w:pPr>
              <w:ind w:hanging="378"/>
              <w:jc w:val="center"/>
              <w:rPr>
                <w:color w:val="000000"/>
                <w:kern w:val="0"/>
              </w:rPr>
            </w:pPr>
            <w:r w:rsidRPr="009F0E09">
              <w:rPr>
                <w:color w:val="000000"/>
                <w:kern w:val="0"/>
              </w:rPr>
              <w:t>WPQP846</w:t>
            </w:r>
          </w:p>
        </w:tc>
        <w:tc>
          <w:tcPr>
            <w:tcW w:w="1530" w:type="dxa"/>
            <w:tcBorders>
              <w:top w:val="nil"/>
              <w:left w:val="nil"/>
              <w:bottom w:val="nil"/>
              <w:right w:val="nil"/>
            </w:tcBorders>
            <w:shd w:val="clear" w:color="auto" w:fill="auto"/>
            <w:noWrap/>
            <w:vAlign w:val="bottom"/>
            <w:hideMark/>
          </w:tcPr>
          <w:p w:rsidR="00670D4D" w:rsidRPr="009F0E09" w:rsidP="00E9507C" w14:paraId="262EBFEB" w14:textId="77777777">
            <w:pPr>
              <w:rPr>
                <w:color w:val="000000"/>
                <w:kern w:val="0"/>
              </w:rPr>
            </w:pPr>
            <w:r w:rsidRPr="009F0E09">
              <w:rPr>
                <w:color w:val="000000"/>
                <w:kern w:val="0"/>
              </w:rPr>
              <w:t>BEA001 </w:t>
            </w:r>
          </w:p>
        </w:tc>
        <w:tc>
          <w:tcPr>
            <w:tcW w:w="4950" w:type="dxa"/>
            <w:tcBorders>
              <w:top w:val="nil"/>
              <w:left w:val="nil"/>
              <w:bottom w:val="nil"/>
              <w:right w:val="nil"/>
            </w:tcBorders>
            <w:shd w:val="clear" w:color="auto" w:fill="auto"/>
            <w:noWrap/>
            <w:vAlign w:val="bottom"/>
            <w:hideMark/>
          </w:tcPr>
          <w:p w:rsidR="00670D4D" w:rsidRPr="009F0E09" w:rsidP="00E9507C" w14:paraId="6A856E4A" w14:textId="77777777">
            <w:pPr>
              <w:rPr>
                <w:color w:val="000000"/>
                <w:kern w:val="0"/>
              </w:rPr>
            </w:pPr>
            <w:r w:rsidRPr="009F0E09">
              <w:rPr>
                <w:color w:val="000000"/>
                <w:kern w:val="0"/>
              </w:rPr>
              <w:t>Bangor, ME</w:t>
            </w:r>
          </w:p>
        </w:tc>
        <w:tc>
          <w:tcPr>
            <w:tcW w:w="2024" w:type="dxa"/>
            <w:tcBorders>
              <w:top w:val="nil"/>
              <w:left w:val="nil"/>
              <w:bottom w:val="nil"/>
              <w:right w:val="nil"/>
            </w:tcBorders>
            <w:shd w:val="clear" w:color="auto" w:fill="auto"/>
            <w:noWrap/>
            <w:vAlign w:val="bottom"/>
            <w:hideMark/>
          </w:tcPr>
          <w:p w:rsidR="00670D4D" w:rsidRPr="009F0E09" w:rsidP="00E9507C" w14:paraId="1BE4F782" w14:textId="77777777">
            <w:pPr>
              <w:ind w:right="-604" w:firstLine="158"/>
              <w:rPr>
                <w:color w:val="000000"/>
                <w:kern w:val="0"/>
              </w:rPr>
            </w:pPr>
            <w:r w:rsidRPr="009F0E09">
              <w:rPr>
                <w:color w:val="000000"/>
                <w:kern w:val="0"/>
              </w:rPr>
              <w:t>C  </w:t>
            </w:r>
          </w:p>
        </w:tc>
      </w:tr>
      <w:tr w14:paraId="5CEBE2C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987F0A2" w14:textId="77777777">
            <w:pPr>
              <w:ind w:hanging="378"/>
              <w:jc w:val="center"/>
              <w:rPr>
                <w:color w:val="000000"/>
                <w:kern w:val="0"/>
              </w:rPr>
            </w:pPr>
            <w:r w:rsidRPr="009F0E09">
              <w:rPr>
                <w:color w:val="000000"/>
                <w:kern w:val="0"/>
              </w:rPr>
              <w:t>WPQP847</w:t>
            </w:r>
          </w:p>
        </w:tc>
        <w:tc>
          <w:tcPr>
            <w:tcW w:w="1530" w:type="dxa"/>
            <w:tcBorders>
              <w:top w:val="nil"/>
              <w:left w:val="nil"/>
              <w:bottom w:val="nil"/>
              <w:right w:val="nil"/>
            </w:tcBorders>
            <w:shd w:val="clear" w:color="auto" w:fill="auto"/>
            <w:noWrap/>
            <w:vAlign w:val="bottom"/>
            <w:hideMark/>
          </w:tcPr>
          <w:p w:rsidR="00670D4D" w:rsidRPr="009F0E09" w:rsidP="00E9507C" w14:paraId="6F2772A1" w14:textId="77777777">
            <w:pPr>
              <w:rPr>
                <w:color w:val="000000"/>
                <w:kern w:val="0"/>
              </w:rPr>
            </w:pPr>
            <w:r w:rsidRPr="009F0E09">
              <w:rPr>
                <w:color w:val="000000"/>
                <w:kern w:val="0"/>
              </w:rPr>
              <w:t>BEA002 </w:t>
            </w:r>
          </w:p>
        </w:tc>
        <w:tc>
          <w:tcPr>
            <w:tcW w:w="4950" w:type="dxa"/>
            <w:tcBorders>
              <w:top w:val="nil"/>
              <w:left w:val="nil"/>
              <w:bottom w:val="nil"/>
              <w:right w:val="nil"/>
            </w:tcBorders>
            <w:shd w:val="clear" w:color="auto" w:fill="auto"/>
            <w:noWrap/>
            <w:vAlign w:val="bottom"/>
            <w:hideMark/>
          </w:tcPr>
          <w:p w:rsidR="00670D4D" w:rsidRPr="009F0E09" w:rsidP="00E9507C" w14:paraId="57658D63" w14:textId="77777777">
            <w:pPr>
              <w:rPr>
                <w:color w:val="000000"/>
                <w:kern w:val="0"/>
              </w:rPr>
            </w:pPr>
            <w:r w:rsidRPr="009F0E09">
              <w:rPr>
                <w:color w:val="000000"/>
                <w:kern w:val="0"/>
              </w:rPr>
              <w:t>Portland, ME</w:t>
            </w:r>
          </w:p>
        </w:tc>
        <w:tc>
          <w:tcPr>
            <w:tcW w:w="2024" w:type="dxa"/>
            <w:tcBorders>
              <w:top w:val="nil"/>
              <w:left w:val="nil"/>
              <w:bottom w:val="nil"/>
              <w:right w:val="nil"/>
            </w:tcBorders>
            <w:shd w:val="clear" w:color="auto" w:fill="auto"/>
            <w:noWrap/>
            <w:vAlign w:val="bottom"/>
            <w:hideMark/>
          </w:tcPr>
          <w:p w:rsidR="00670D4D" w:rsidRPr="009F0E09" w:rsidP="00E9507C" w14:paraId="6DEDF564" w14:textId="77777777">
            <w:pPr>
              <w:ind w:right="-604" w:firstLine="158"/>
              <w:rPr>
                <w:color w:val="000000"/>
                <w:kern w:val="0"/>
              </w:rPr>
            </w:pPr>
            <w:r w:rsidRPr="009F0E09">
              <w:rPr>
                <w:color w:val="000000"/>
                <w:kern w:val="0"/>
              </w:rPr>
              <w:t>B  </w:t>
            </w:r>
          </w:p>
        </w:tc>
      </w:tr>
      <w:tr w14:paraId="231BED0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067EA65" w14:textId="77777777">
            <w:pPr>
              <w:ind w:hanging="378"/>
              <w:jc w:val="center"/>
              <w:rPr>
                <w:color w:val="000000"/>
                <w:kern w:val="0"/>
              </w:rPr>
            </w:pPr>
            <w:r w:rsidRPr="009F0E09">
              <w:rPr>
                <w:color w:val="000000"/>
                <w:kern w:val="0"/>
              </w:rPr>
              <w:t>WPQP848</w:t>
            </w:r>
          </w:p>
        </w:tc>
        <w:tc>
          <w:tcPr>
            <w:tcW w:w="1530" w:type="dxa"/>
            <w:tcBorders>
              <w:top w:val="nil"/>
              <w:left w:val="nil"/>
              <w:bottom w:val="nil"/>
              <w:right w:val="nil"/>
            </w:tcBorders>
            <w:shd w:val="clear" w:color="auto" w:fill="auto"/>
            <w:noWrap/>
            <w:vAlign w:val="bottom"/>
            <w:hideMark/>
          </w:tcPr>
          <w:p w:rsidR="00670D4D" w:rsidRPr="009F0E09" w:rsidP="00E9507C" w14:paraId="0D98196F" w14:textId="77777777">
            <w:pPr>
              <w:rPr>
                <w:color w:val="000000"/>
                <w:kern w:val="0"/>
              </w:rPr>
            </w:pPr>
            <w:r w:rsidRPr="009F0E09">
              <w:rPr>
                <w:color w:val="000000"/>
                <w:kern w:val="0"/>
              </w:rPr>
              <w:t>BEA002 </w:t>
            </w:r>
          </w:p>
        </w:tc>
        <w:tc>
          <w:tcPr>
            <w:tcW w:w="4950" w:type="dxa"/>
            <w:tcBorders>
              <w:top w:val="nil"/>
              <w:left w:val="nil"/>
              <w:bottom w:val="nil"/>
              <w:right w:val="nil"/>
            </w:tcBorders>
            <w:shd w:val="clear" w:color="auto" w:fill="auto"/>
            <w:noWrap/>
            <w:vAlign w:val="bottom"/>
            <w:hideMark/>
          </w:tcPr>
          <w:p w:rsidR="00670D4D" w:rsidRPr="009F0E09" w:rsidP="00E9507C" w14:paraId="1F146AA7" w14:textId="77777777">
            <w:pPr>
              <w:rPr>
                <w:color w:val="000000"/>
                <w:kern w:val="0"/>
              </w:rPr>
            </w:pPr>
            <w:r w:rsidRPr="009F0E09">
              <w:rPr>
                <w:color w:val="000000"/>
                <w:kern w:val="0"/>
              </w:rPr>
              <w:t>Portland, ME</w:t>
            </w:r>
          </w:p>
        </w:tc>
        <w:tc>
          <w:tcPr>
            <w:tcW w:w="2024" w:type="dxa"/>
            <w:tcBorders>
              <w:top w:val="nil"/>
              <w:left w:val="nil"/>
              <w:bottom w:val="nil"/>
              <w:right w:val="nil"/>
            </w:tcBorders>
            <w:shd w:val="clear" w:color="auto" w:fill="auto"/>
            <w:noWrap/>
            <w:vAlign w:val="bottom"/>
            <w:hideMark/>
          </w:tcPr>
          <w:p w:rsidR="00670D4D" w:rsidRPr="009F0E09" w:rsidP="00E9507C" w14:paraId="6D4C4C67" w14:textId="77777777">
            <w:pPr>
              <w:ind w:right="-604" w:firstLine="158"/>
              <w:rPr>
                <w:color w:val="000000"/>
                <w:kern w:val="0"/>
              </w:rPr>
            </w:pPr>
            <w:r w:rsidRPr="009F0E09">
              <w:rPr>
                <w:color w:val="000000"/>
                <w:kern w:val="0"/>
              </w:rPr>
              <w:t>C  </w:t>
            </w:r>
          </w:p>
        </w:tc>
      </w:tr>
      <w:tr w14:paraId="614CECE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161D947" w14:textId="77777777">
            <w:pPr>
              <w:ind w:hanging="378"/>
              <w:jc w:val="center"/>
              <w:rPr>
                <w:color w:val="000000"/>
                <w:kern w:val="0"/>
              </w:rPr>
            </w:pPr>
            <w:r w:rsidRPr="009F0E09">
              <w:rPr>
                <w:color w:val="000000"/>
                <w:kern w:val="0"/>
              </w:rPr>
              <w:t>WPQP851</w:t>
            </w:r>
          </w:p>
        </w:tc>
        <w:tc>
          <w:tcPr>
            <w:tcW w:w="1530" w:type="dxa"/>
            <w:tcBorders>
              <w:top w:val="nil"/>
              <w:left w:val="nil"/>
              <w:bottom w:val="nil"/>
              <w:right w:val="nil"/>
            </w:tcBorders>
            <w:shd w:val="clear" w:color="auto" w:fill="auto"/>
            <w:noWrap/>
            <w:vAlign w:val="bottom"/>
            <w:hideMark/>
          </w:tcPr>
          <w:p w:rsidR="00670D4D" w:rsidRPr="009F0E09" w:rsidP="00E9507C" w14:paraId="21D92C32" w14:textId="77777777">
            <w:pPr>
              <w:rPr>
                <w:color w:val="000000"/>
                <w:kern w:val="0"/>
              </w:rPr>
            </w:pPr>
            <w:r w:rsidRPr="009F0E09">
              <w:rPr>
                <w:color w:val="000000"/>
                <w:kern w:val="0"/>
              </w:rPr>
              <w:t>BEA004 </w:t>
            </w:r>
          </w:p>
        </w:tc>
        <w:tc>
          <w:tcPr>
            <w:tcW w:w="4950" w:type="dxa"/>
            <w:tcBorders>
              <w:top w:val="nil"/>
              <w:left w:val="nil"/>
              <w:bottom w:val="nil"/>
              <w:right w:val="nil"/>
            </w:tcBorders>
            <w:shd w:val="clear" w:color="auto" w:fill="auto"/>
            <w:noWrap/>
            <w:vAlign w:val="bottom"/>
            <w:hideMark/>
          </w:tcPr>
          <w:p w:rsidR="00670D4D" w:rsidRPr="009F0E09" w:rsidP="00E9507C" w14:paraId="238144DF" w14:textId="77777777">
            <w:pPr>
              <w:rPr>
                <w:color w:val="000000"/>
                <w:kern w:val="0"/>
              </w:rPr>
            </w:pPr>
            <w:r w:rsidRPr="009F0E09">
              <w:rPr>
                <w:color w:val="000000"/>
                <w:kern w:val="0"/>
              </w:rPr>
              <w:t>Burlington, VT-NY</w:t>
            </w:r>
          </w:p>
        </w:tc>
        <w:tc>
          <w:tcPr>
            <w:tcW w:w="2024" w:type="dxa"/>
            <w:tcBorders>
              <w:top w:val="nil"/>
              <w:left w:val="nil"/>
              <w:bottom w:val="nil"/>
              <w:right w:val="nil"/>
            </w:tcBorders>
            <w:shd w:val="clear" w:color="auto" w:fill="auto"/>
            <w:noWrap/>
            <w:vAlign w:val="bottom"/>
            <w:hideMark/>
          </w:tcPr>
          <w:p w:rsidR="00670D4D" w:rsidRPr="009F0E09" w:rsidP="00E9507C" w14:paraId="313BE1A9" w14:textId="77777777">
            <w:pPr>
              <w:ind w:right="-604" w:firstLine="158"/>
              <w:rPr>
                <w:color w:val="000000"/>
                <w:kern w:val="0"/>
              </w:rPr>
            </w:pPr>
            <w:r w:rsidRPr="009F0E09">
              <w:rPr>
                <w:color w:val="000000"/>
                <w:kern w:val="0"/>
              </w:rPr>
              <w:t>B  </w:t>
            </w:r>
          </w:p>
        </w:tc>
      </w:tr>
      <w:tr w14:paraId="26E4FDA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F28DCE0" w14:textId="77777777">
            <w:pPr>
              <w:ind w:hanging="378"/>
              <w:jc w:val="center"/>
              <w:rPr>
                <w:color w:val="000000"/>
                <w:kern w:val="0"/>
              </w:rPr>
            </w:pPr>
            <w:r w:rsidRPr="009F0E09">
              <w:rPr>
                <w:color w:val="000000"/>
                <w:kern w:val="0"/>
              </w:rPr>
              <w:t>WPQP852</w:t>
            </w:r>
          </w:p>
        </w:tc>
        <w:tc>
          <w:tcPr>
            <w:tcW w:w="1530" w:type="dxa"/>
            <w:tcBorders>
              <w:top w:val="nil"/>
              <w:left w:val="nil"/>
              <w:bottom w:val="nil"/>
              <w:right w:val="nil"/>
            </w:tcBorders>
            <w:shd w:val="clear" w:color="auto" w:fill="auto"/>
            <w:noWrap/>
            <w:vAlign w:val="bottom"/>
            <w:hideMark/>
          </w:tcPr>
          <w:p w:rsidR="00670D4D" w:rsidRPr="009F0E09" w:rsidP="00E9507C" w14:paraId="3DAE7111" w14:textId="77777777">
            <w:pPr>
              <w:rPr>
                <w:color w:val="000000"/>
                <w:kern w:val="0"/>
              </w:rPr>
            </w:pPr>
            <w:r w:rsidRPr="009F0E09">
              <w:rPr>
                <w:color w:val="000000"/>
                <w:kern w:val="0"/>
              </w:rPr>
              <w:t>BEA004 </w:t>
            </w:r>
          </w:p>
        </w:tc>
        <w:tc>
          <w:tcPr>
            <w:tcW w:w="4950" w:type="dxa"/>
            <w:tcBorders>
              <w:top w:val="nil"/>
              <w:left w:val="nil"/>
              <w:bottom w:val="nil"/>
              <w:right w:val="nil"/>
            </w:tcBorders>
            <w:shd w:val="clear" w:color="auto" w:fill="auto"/>
            <w:noWrap/>
            <w:vAlign w:val="bottom"/>
            <w:hideMark/>
          </w:tcPr>
          <w:p w:rsidR="00670D4D" w:rsidRPr="009F0E09" w:rsidP="00E9507C" w14:paraId="68345E08" w14:textId="77777777">
            <w:pPr>
              <w:rPr>
                <w:color w:val="000000"/>
                <w:kern w:val="0"/>
              </w:rPr>
            </w:pPr>
            <w:r w:rsidRPr="009F0E09">
              <w:rPr>
                <w:color w:val="000000"/>
                <w:kern w:val="0"/>
              </w:rPr>
              <w:t>Burlington, VT-NY</w:t>
            </w:r>
          </w:p>
        </w:tc>
        <w:tc>
          <w:tcPr>
            <w:tcW w:w="2024" w:type="dxa"/>
            <w:tcBorders>
              <w:top w:val="nil"/>
              <w:left w:val="nil"/>
              <w:bottom w:val="nil"/>
              <w:right w:val="nil"/>
            </w:tcBorders>
            <w:shd w:val="clear" w:color="auto" w:fill="auto"/>
            <w:noWrap/>
            <w:vAlign w:val="bottom"/>
            <w:hideMark/>
          </w:tcPr>
          <w:p w:rsidR="00670D4D" w:rsidRPr="009F0E09" w:rsidP="00E9507C" w14:paraId="3C085656" w14:textId="77777777">
            <w:pPr>
              <w:ind w:right="-604" w:firstLine="158"/>
              <w:rPr>
                <w:color w:val="000000"/>
                <w:kern w:val="0"/>
              </w:rPr>
            </w:pPr>
            <w:r w:rsidRPr="009F0E09">
              <w:rPr>
                <w:color w:val="000000"/>
                <w:kern w:val="0"/>
              </w:rPr>
              <w:t>C  </w:t>
            </w:r>
          </w:p>
        </w:tc>
      </w:tr>
      <w:tr w14:paraId="2296B64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9E2E1E8" w14:textId="77777777">
            <w:pPr>
              <w:ind w:hanging="378"/>
              <w:jc w:val="center"/>
              <w:rPr>
                <w:color w:val="000000"/>
                <w:kern w:val="0"/>
              </w:rPr>
            </w:pPr>
            <w:r w:rsidRPr="009F0E09">
              <w:rPr>
                <w:color w:val="000000"/>
                <w:kern w:val="0"/>
              </w:rPr>
              <w:t>WPQP853</w:t>
            </w:r>
          </w:p>
        </w:tc>
        <w:tc>
          <w:tcPr>
            <w:tcW w:w="1530" w:type="dxa"/>
            <w:tcBorders>
              <w:top w:val="nil"/>
              <w:left w:val="nil"/>
              <w:bottom w:val="nil"/>
              <w:right w:val="nil"/>
            </w:tcBorders>
            <w:shd w:val="clear" w:color="auto" w:fill="auto"/>
            <w:noWrap/>
            <w:vAlign w:val="bottom"/>
            <w:hideMark/>
          </w:tcPr>
          <w:p w:rsidR="00670D4D" w:rsidRPr="009F0E09" w:rsidP="00E9507C" w14:paraId="500141A5" w14:textId="77777777">
            <w:pPr>
              <w:rPr>
                <w:color w:val="000000"/>
                <w:kern w:val="0"/>
              </w:rPr>
            </w:pPr>
            <w:r w:rsidRPr="009F0E09">
              <w:rPr>
                <w:color w:val="000000"/>
                <w:kern w:val="0"/>
              </w:rPr>
              <w:t>BEA005 </w:t>
            </w:r>
          </w:p>
        </w:tc>
        <w:tc>
          <w:tcPr>
            <w:tcW w:w="4950" w:type="dxa"/>
            <w:tcBorders>
              <w:top w:val="nil"/>
              <w:left w:val="nil"/>
              <w:bottom w:val="nil"/>
              <w:right w:val="nil"/>
            </w:tcBorders>
            <w:shd w:val="clear" w:color="auto" w:fill="auto"/>
            <w:noWrap/>
            <w:vAlign w:val="bottom"/>
            <w:hideMark/>
          </w:tcPr>
          <w:p w:rsidR="00670D4D" w:rsidRPr="009F0E09" w:rsidP="00E9507C" w14:paraId="5B4031E7" w14:textId="77777777">
            <w:pPr>
              <w:rPr>
                <w:color w:val="000000"/>
                <w:kern w:val="0"/>
              </w:rPr>
            </w:pPr>
            <w:r w:rsidRPr="009F0E09">
              <w:rPr>
                <w:color w:val="000000"/>
                <w:kern w:val="0"/>
              </w:rPr>
              <w:t>Albany-Schenectady-Troy, NY</w:t>
            </w:r>
          </w:p>
        </w:tc>
        <w:tc>
          <w:tcPr>
            <w:tcW w:w="2024" w:type="dxa"/>
            <w:tcBorders>
              <w:top w:val="nil"/>
              <w:left w:val="nil"/>
              <w:bottom w:val="nil"/>
              <w:right w:val="nil"/>
            </w:tcBorders>
            <w:shd w:val="clear" w:color="auto" w:fill="auto"/>
            <w:noWrap/>
            <w:vAlign w:val="bottom"/>
            <w:hideMark/>
          </w:tcPr>
          <w:p w:rsidR="00670D4D" w:rsidRPr="009F0E09" w:rsidP="00E9507C" w14:paraId="48C75863" w14:textId="77777777">
            <w:pPr>
              <w:ind w:right="-604" w:firstLine="158"/>
              <w:rPr>
                <w:color w:val="000000"/>
                <w:kern w:val="0"/>
              </w:rPr>
            </w:pPr>
            <w:r w:rsidRPr="009F0E09">
              <w:rPr>
                <w:color w:val="000000"/>
                <w:kern w:val="0"/>
              </w:rPr>
              <w:t>B  </w:t>
            </w:r>
          </w:p>
        </w:tc>
      </w:tr>
      <w:tr w14:paraId="772D07A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ADB228D" w14:textId="77777777">
            <w:pPr>
              <w:ind w:hanging="378"/>
              <w:jc w:val="center"/>
              <w:rPr>
                <w:color w:val="000000"/>
                <w:kern w:val="0"/>
              </w:rPr>
            </w:pPr>
            <w:r w:rsidRPr="009F0E09">
              <w:rPr>
                <w:color w:val="000000"/>
                <w:kern w:val="0"/>
              </w:rPr>
              <w:t>WPQP854</w:t>
            </w:r>
          </w:p>
        </w:tc>
        <w:tc>
          <w:tcPr>
            <w:tcW w:w="1530" w:type="dxa"/>
            <w:tcBorders>
              <w:top w:val="nil"/>
              <w:left w:val="nil"/>
              <w:bottom w:val="nil"/>
              <w:right w:val="nil"/>
            </w:tcBorders>
            <w:shd w:val="clear" w:color="auto" w:fill="auto"/>
            <w:noWrap/>
            <w:vAlign w:val="bottom"/>
            <w:hideMark/>
          </w:tcPr>
          <w:p w:rsidR="00670D4D" w:rsidRPr="009F0E09" w:rsidP="00E9507C" w14:paraId="13C93884" w14:textId="77777777">
            <w:pPr>
              <w:rPr>
                <w:color w:val="000000"/>
                <w:kern w:val="0"/>
              </w:rPr>
            </w:pPr>
            <w:r w:rsidRPr="009F0E09">
              <w:rPr>
                <w:color w:val="000000"/>
                <w:kern w:val="0"/>
              </w:rPr>
              <w:t>BEA005 </w:t>
            </w:r>
          </w:p>
        </w:tc>
        <w:tc>
          <w:tcPr>
            <w:tcW w:w="4950" w:type="dxa"/>
            <w:tcBorders>
              <w:top w:val="nil"/>
              <w:left w:val="nil"/>
              <w:bottom w:val="nil"/>
              <w:right w:val="nil"/>
            </w:tcBorders>
            <w:shd w:val="clear" w:color="auto" w:fill="auto"/>
            <w:noWrap/>
            <w:vAlign w:val="bottom"/>
            <w:hideMark/>
          </w:tcPr>
          <w:p w:rsidR="00670D4D" w:rsidRPr="009F0E09" w:rsidP="00E9507C" w14:paraId="2989E9C2" w14:textId="77777777">
            <w:pPr>
              <w:rPr>
                <w:color w:val="000000"/>
                <w:kern w:val="0"/>
              </w:rPr>
            </w:pPr>
            <w:r w:rsidRPr="009F0E09">
              <w:rPr>
                <w:color w:val="000000"/>
                <w:kern w:val="0"/>
              </w:rPr>
              <w:t>Albany-Schenectady-Troy, NY</w:t>
            </w:r>
          </w:p>
        </w:tc>
        <w:tc>
          <w:tcPr>
            <w:tcW w:w="2024" w:type="dxa"/>
            <w:tcBorders>
              <w:top w:val="nil"/>
              <w:left w:val="nil"/>
              <w:bottom w:val="nil"/>
              <w:right w:val="nil"/>
            </w:tcBorders>
            <w:shd w:val="clear" w:color="auto" w:fill="auto"/>
            <w:noWrap/>
            <w:vAlign w:val="bottom"/>
            <w:hideMark/>
          </w:tcPr>
          <w:p w:rsidR="00670D4D" w:rsidRPr="009F0E09" w:rsidP="00E9507C" w14:paraId="2AD98E18" w14:textId="77777777">
            <w:pPr>
              <w:ind w:right="-604" w:firstLine="158"/>
              <w:rPr>
                <w:color w:val="000000"/>
                <w:kern w:val="0"/>
              </w:rPr>
            </w:pPr>
            <w:r w:rsidRPr="009F0E09">
              <w:rPr>
                <w:color w:val="000000"/>
                <w:kern w:val="0"/>
              </w:rPr>
              <w:t>C  </w:t>
            </w:r>
          </w:p>
        </w:tc>
      </w:tr>
      <w:tr w14:paraId="0655630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58BA92D" w14:textId="77777777">
            <w:pPr>
              <w:ind w:hanging="378"/>
              <w:jc w:val="center"/>
              <w:rPr>
                <w:color w:val="000000"/>
                <w:kern w:val="0"/>
              </w:rPr>
            </w:pPr>
            <w:r w:rsidRPr="009F0E09">
              <w:rPr>
                <w:color w:val="000000"/>
                <w:kern w:val="0"/>
              </w:rPr>
              <w:t>WPQP855</w:t>
            </w:r>
          </w:p>
        </w:tc>
        <w:tc>
          <w:tcPr>
            <w:tcW w:w="1530" w:type="dxa"/>
            <w:tcBorders>
              <w:top w:val="nil"/>
              <w:left w:val="nil"/>
              <w:bottom w:val="nil"/>
              <w:right w:val="nil"/>
            </w:tcBorders>
            <w:shd w:val="clear" w:color="auto" w:fill="auto"/>
            <w:noWrap/>
            <w:vAlign w:val="bottom"/>
            <w:hideMark/>
          </w:tcPr>
          <w:p w:rsidR="00670D4D" w:rsidRPr="009F0E09" w:rsidP="00E9507C" w14:paraId="29E5E19D" w14:textId="77777777">
            <w:pPr>
              <w:rPr>
                <w:color w:val="000000"/>
                <w:kern w:val="0"/>
              </w:rPr>
            </w:pPr>
            <w:r w:rsidRPr="009F0E09">
              <w:rPr>
                <w:color w:val="000000"/>
                <w:kern w:val="0"/>
              </w:rPr>
              <w:t>BEA006 </w:t>
            </w:r>
          </w:p>
        </w:tc>
        <w:tc>
          <w:tcPr>
            <w:tcW w:w="4950" w:type="dxa"/>
            <w:tcBorders>
              <w:top w:val="nil"/>
              <w:left w:val="nil"/>
              <w:bottom w:val="nil"/>
              <w:right w:val="nil"/>
            </w:tcBorders>
            <w:shd w:val="clear" w:color="auto" w:fill="auto"/>
            <w:noWrap/>
            <w:vAlign w:val="bottom"/>
            <w:hideMark/>
          </w:tcPr>
          <w:p w:rsidR="00670D4D" w:rsidRPr="009F0E09" w:rsidP="00E9507C" w14:paraId="730D1BB3" w14:textId="77777777">
            <w:pPr>
              <w:rPr>
                <w:color w:val="000000"/>
                <w:kern w:val="0"/>
              </w:rPr>
            </w:pPr>
            <w:r w:rsidRPr="009F0E09">
              <w:rPr>
                <w:color w:val="000000"/>
                <w:kern w:val="0"/>
              </w:rPr>
              <w:t>Syracuse, NY-PA</w:t>
            </w:r>
          </w:p>
        </w:tc>
        <w:tc>
          <w:tcPr>
            <w:tcW w:w="2024" w:type="dxa"/>
            <w:tcBorders>
              <w:top w:val="nil"/>
              <w:left w:val="nil"/>
              <w:bottom w:val="nil"/>
              <w:right w:val="nil"/>
            </w:tcBorders>
            <w:shd w:val="clear" w:color="auto" w:fill="auto"/>
            <w:noWrap/>
            <w:vAlign w:val="bottom"/>
            <w:hideMark/>
          </w:tcPr>
          <w:p w:rsidR="00670D4D" w:rsidRPr="009F0E09" w:rsidP="00E9507C" w14:paraId="58EC8FCC" w14:textId="77777777">
            <w:pPr>
              <w:ind w:right="-604" w:firstLine="158"/>
              <w:rPr>
                <w:color w:val="000000"/>
                <w:kern w:val="0"/>
              </w:rPr>
            </w:pPr>
            <w:r w:rsidRPr="009F0E09">
              <w:rPr>
                <w:color w:val="000000"/>
                <w:kern w:val="0"/>
              </w:rPr>
              <w:t>B  </w:t>
            </w:r>
          </w:p>
        </w:tc>
      </w:tr>
      <w:tr w14:paraId="6DDB6CE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4C39AF8" w14:textId="77777777">
            <w:pPr>
              <w:ind w:hanging="378"/>
              <w:jc w:val="center"/>
              <w:rPr>
                <w:color w:val="000000"/>
                <w:kern w:val="0"/>
              </w:rPr>
            </w:pPr>
            <w:r w:rsidRPr="009F0E09">
              <w:rPr>
                <w:color w:val="000000"/>
                <w:kern w:val="0"/>
              </w:rPr>
              <w:t>WPQP856</w:t>
            </w:r>
          </w:p>
        </w:tc>
        <w:tc>
          <w:tcPr>
            <w:tcW w:w="1530" w:type="dxa"/>
            <w:tcBorders>
              <w:top w:val="nil"/>
              <w:left w:val="nil"/>
              <w:bottom w:val="nil"/>
              <w:right w:val="nil"/>
            </w:tcBorders>
            <w:shd w:val="clear" w:color="auto" w:fill="auto"/>
            <w:noWrap/>
            <w:vAlign w:val="bottom"/>
            <w:hideMark/>
          </w:tcPr>
          <w:p w:rsidR="00670D4D" w:rsidRPr="009F0E09" w:rsidP="00E9507C" w14:paraId="2F1CD6C4" w14:textId="77777777">
            <w:pPr>
              <w:rPr>
                <w:color w:val="000000"/>
                <w:kern w:val="0"/>
              </w:rPr>
            </w:pPr>
            <w:r w:rsidRPr="009F0E09">
              <w:rPr>
                <w:color w:val="000000"/>
                <w:kern w:val="0"/>
              </w:rPr>
              <w:t>BEA006 </w:t>
            </w:r>
          </w:p>
        </w:tc>
        <w:tc>
          <w:tcPr>
            <w:tcW w:w="4950" w:type="dxa"/>
            <w:tcBorders>
              <w:top w:val="nil"/>
              <w:left w:val="nil"/>
              <w:bottom w:val="nil"/>
              <w:right w:val="nil"/>
            </w:tcBorders>
            <w:shd w:val="clear" w:color="auto" w:fill="auto"/>
            <w:noWrap/>
            <w:vAlign w:val="bottom"/>
            <w:hideMark/>
          </w:tcPr>
          <w:p w:rsidR="00670D4D" w:rsidRPr="009F0E09" w:rsidP="00E9507C" w14:paraId="0067D94D" w14:textId="77777777">
            <w:pPr>
              <w:rPr>
                <w:color w:val="000000"/>
                <w:kern w:val="0"/>
              </w:rPr>
            </w:pPr>
            <w:r w:rsidRPr="009F0E09">
              <w:rPr>
                <w:color w:val="000000"/>
                <w:kern w:val="0"/>
              </w:rPr>
              <w:t>Syracuse, NY-PA</w:t>
            </w:r>
          </w:p>
        </w:tc>
        <w:tc>
          <w:tcPr>
            <w:tcW w:w="2024" w:type="dxa"/>
            <w:tcBorders>
              <w:top w:val="nil"/>
              <w:left w:val="nil"/>
              <w:bottom w:val="nil"/>
              <w:right w:val="nil"/>
            </w:tcBorders>
            <w:shd w:val="clear" w:color="auto" w:fill="auto"/>
            <w:noWrap/>
            <w:vAlign w:val="bottom"/>
            <w:hideMark/>
          </w:tcPr>
          <w:p w:rsidR="00670D4D" w:rsidRPr="009F0E09" w:rsidP="00E9507C" w14:paraId="2B080603" w14:textId="77777777">
            <w:pPr>
              <w:ind w:right="-604" w:firstLine="158"/>
              <w:rPr>
                <w:color w:val="000000"/>
                <w:kern w:val="0"/>
              </w:rPr>
            </w:pPr>
            <w:r w:rsidRPr="009F0E09">
              <w:rPr>
                <w:color w:val="000000"/>
                <w:kern w:val="0"/>
              </w:rPr>
              <w:t>C  </w:t>
            </w:r>
          </w:p>
        </w:tc>
      </w:tr>
      <w:tr w14:paraId="54D842A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5EE54B5" w14:textId="77777777">
            <w:pPr>
              <w:ind w:hanging="378"/>
              <w:jc w:val="center"/>
              <w:rPr>
                <w:color w:val="000000"/>
                <w:kern w:val="0"/>
              </w:rPr>
            </w:pPr>
            <w:r w:rsidRPr="009F0E09">
              <w:rPr>
                <w:color w:val="000000"/>
                <w:kern w:val="0"/>
              </w:rPr>
              <w:t>WPQP857</w:t>
            </w:r>
          </w:p>
        </w:tc>
        <w:tc>
          <w:tcPr>
            <w:tcW w:w="1530" w:type="dxa"/>
            <w:tcBorders>
              <w:top w:val="nil"/>
              <w:left w:val="nil"/>
              <w:bottom w:val="nil"/>
              <w:right w:val="nil"/>
            </w:tcBorders>
            <w:shd w:val="clear" w:color="auto" w:fill="auto"/>
            <w:noWrap/>
            <w:vAlign w:val="bottom"/>
            <w:hideMark/>
          </w:tcPr>
          <w:p w:rsidR="00670D4D" w:rsidRPr="009F0E09" w:rsidP="00E9507C" w14:paraId="7334556E" w14:textId="77777777">
            <w:pPr>
              <w:rPr>
                <w:color w:val="000000"/>
                <w:kern w:val="0"/>
              </w:rPr>
            </w:pPr>
            <w:r w:rsidRPr="009F0E09">
              <w:rPr>
                <w:color w:val="000000"/>
                <w:kern w:val="0"/>
              </w:rPr>
              <w:t>BEA007 </w:t>
            </w:r>
          </w:p>
        </w:tc>
        <w:tc>
          <w:tcPr>
            <w:tcW w:w="4950" w:type="dxa"/>
            <w:tcBorders>
              <w:top w:val="nil"/>
              <w:left w:val="nil"/>
              <w:bottom w:val="nil"/>
              <w:right w:val="nil"/>
            </w:tcBorders>
            <w:shd w:val="clear" w:color="auto" w:fill="auto"/>
            <w:noWrap/>
            <w:vAlign w:val="bottom"/>
            <w:hideMark/>
          </w:tcPr>
          <w:p w:rsidR="00670D4D" w:rsidRPr="009F0E09" w:rsidP="00E9507C" w14:paraId="39BE4736" w14:textId="77777777">
            <w:pPr>
              <w:rPr>
                <w:color w:val="000000"/>
                <w:kern w:val="0"/>
              </w:rPr>
            </w:pPr>
            <w:r w:rsidRPr="009F0E09">
              <w:rPr>
                <w:color w:val="000000"/>
                <w:kern w:val="0"/>
              </w:rPr>
              <w:t>Rochester, NY-PA</w:t>
            </w:r>
          </w:p>
        </w:tc>
        <w:tc>
          <w:tcPr>
            <w:tcW w:w="2024" w:type="dxa"/>
            <w:tcBorders>
              <w:top w:val="nil"/>
              <w:left w:val="nil"/>
              <w:bottom w:val="nil"/>
              <w:right w:val="nil"/>
            </w:tcBorders>
            <w:shd w:val="clear" w:color="auto" w:fill="auto"/>
            <w:noWrap/>
            <w:vAlign w:val="bottom"/>
            <w:hideMark/>
          </w:tcPr>
          <w:p w:rsidR="00670D4D" w:rsidRPr="009F0E09" w:rsidP="00E9507C" w14:paraId="53BEABF9" w14:textId="77777777">
            <w:pPr>
              <w:ind w:right="-604" w:firstLine="158"/>
              <w:rPr>
                <w:color w:val="000000"/>
                <w:kern w:val="0"/>
              </w:rPr>
            </w:pPr>
            <w:r w:rsidRPr="009F0E09">
              <w:rPr>
                <w:color w:val="000000"/>
                <w:kern w:val="0"/>
              </w:rPr>
              <w:t>B  </w:t>
            </w:r>
          </w:p>
        </w:tc>
      </w:tr>
      <w:tr w14:paraId="31893D9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780E5CC" w14:textId="77777777">
            <w:pPr>
              <w:ind w:hanging="378"/>
              <w:jc w:val="center"/>
              <w:rPr>
                <w:color w:val="000000"/>
                <w:kern w:val="0"/>
              </w:rPr>
            </w:pPr>
            <w:r w:rsidRPr="009F0E09">
              <w:rPr>
                <w:color w:val="000000"/>
                <w:kern w:val="0"/>
              </w:rPr>
              <w:t>WPQP858</w:t>
            </w:r>
          </w:p>
        </w:tc>
        <w:tc>
          <w:tcPr>
            <w:tcW w:w="1530" w:type="dxa"/>
            <w:tcBorders>
              <w:top w:val="nil"/>
              <w:left w:val="nil"/>
              <w:bottom w:val="nil"/>
              <w:right w:val="nil"/>
            </w:tcBorders>
            <w:shd w:val="clear" w:color="auto" w:fill="auto"/>
            <w:noWrap/>
            <w:vAlign w:val="bottom"/>
            <w:hideMark/>
          </w:tcPr>
          <w:p w:rsidR="00670D4D" w:rsidRPr="009F0E09" w:rsidP="00E9507C" w14:paraId="76FC6546" w14:textId="77777777">
            <w:pPr>
              <w:rPr>
                <w:color w:val="000000"/>
                <w:kern w:val="0"/>
              </w:rPr>
            </w:pPr>
            <w:r w:rsidRPr="009F0E09">
              <w:rPr>
                <w:color w:val="000000"/>
                <w:kern w:val="0"/>
              </w:rPr>
              <w:t>BEA007 </w:t>
            </w:r>
          </w:p>
        </w:tc>
        <w:tc>
          <w:tcPr>
            <w:tcW w:w="4950" w:type="dxa"/>
            <w:tcBorders>
              <w:top w:val="nil"/>
              <w:left w:val="nil"/>
              <w:bottom w:val="nil"/>
              <w:right w:val="nil"/>
            </w:tcBorders>
            <w:shd w:val="clear" w:color="auto" w:fill="auto"/>
            <w:noWrap/>
            <w:vAlign w:val="bottom"/>
            <w:hideMark/>
          </w:tcPr>
          <w:p w:rsidR="00670D4D" w:rsidRPr="009F0E09" w:rsidP="00E9507C" w14:paraId="4BC6280A" w14:textId="77777777">
            <w:pPr>
              <w:rPr>
                <w:color w:val="000000"/>
                <w:kern w:val="0"/>
              </w:rPr>
            </w:pPr>
            <w:r w:rsidRPr="009F0E09">
              <w:rPr>
                <w:color w:val="000000"/>
                <w:kern w:val="0"/>
              </w:rPr>
              <w:t>Rochester, NY-PA</w:t>
            </w:r>
          </w:p>
        </w:tc>
        <w:tc>
          <w:tcPr>
            <w:tcW w:w="2024" w:type="dxa"/>
            <w:tcBorders>
              <w:top w:val="nil"/>
              <w:left w:val="nil"/>
              <w:bottom w:val="nil"/>
              <w:right w:val="nil"/>
            </w:tcBorders>
            <w:shd w:val="clear" w:color="auto" w:fill="auto"/>
            <w:noWrap/>
            <w:vAlign w:val="bottom"/>
            <w:hideMark/>
          </w:tcPr>
          <w:p w:rsidR="00670D4D" w:rsidRPr="009F0E09" w:rsidP="00E9507C" w14:paraId="0BFAD9FC" w14:textId="77777777">
            <w:pPr>
              <w:ind w:right="-604" w:firstLine="158"/>
              <w:rPr>
                <w:color w:val="000000"/>
                <w:kern w:val="0"/>
              </w:rPr>
            </w:pPr>
            <w:r w:rsidRPr="009F0E09">
              <w:rPr>
                <w:color w:val="000000"/>
                <w:kern w:val="0"/>
              </w:rPr>
              <w:t>C  </w:t>
            </w:r>
          </w:p>
        </w:tc>
      </w:tr>
      <w:tr w14:paraId="2A474D9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90B8CCF" w14:textId="77777777">
            <w:pPr>
              <w:ind w:hanging="378"/>
              <w:jc w:val="center"/>
              <w:rPr>
                <w:color w:val="000000"/>
                <w:kern w:val="0"/>
              </w:rPr>
            </w:pPr>
            <w:r w:rsidRPr="009F0E09">
              <w:rPr>
                <w:color w:val="000000"/>
                <w:kern w:val="0"/>
              </w:rPr>
              <w:t>WPQP861</w:t>
            </w:r>
          </w:p>
        </w:tc>
        <w:tc>
          <w:tcPr>
            <w:tcW w:w="1530" w:type="dxa"/>
            <w:tcBorders>
              <w:top w:val="nil"/>
              <w:left w:val="nil"/>
              <w:bottom w:val="nil"/>
              <w:right w:val="nil"/>
            </w:tcBorders>
            <w:shd w:val="clear" w:color="auto" w:fill="auto"/>
            <w:noWrap/>
            <w:vAlign w:val="bottom"/>
            <w:hideMark/>
          </w:tcPr>
          <w:p w:rsidR="00670D4D" w:rsidRPr="009F0E09" w:rsidP="00E9507C" w14:paraId="4B25D6B0" w14:textId="77777777">
            <w:pPr>
              <w:rPr>
                <w:color w:val="000000"/>
                <w:kern w:val="0"/>
              </w:rPr>
            </w:pPr>
            <w:r w:rsidRPr="009F0E09">
              <w:rPr>
                <w:color w:val="000000"/>
                <w:kern w:val="0"/>
              </w:rPr>
              <w:t>BEA009 </w:t>
            </w:r>
          </w:p>
        </w:tc>
        <w:tc>
          <w:tcPr>
            <w:tcW w:w="4950" w:type="dxa"/>
            <w:tcBorders>
              <w:top w:val="nil"/>
              <w:left w:val="nil"/>
              <w:bottom w:val="nil"/>
              <w:right w:val="nil"/>
            </w:tcBorders>
            <w:shd w:val="clear" w:color="auto" w:fill="auto"/>
            <w:noWrap/>
            <w:vAlign w:val="bottom"/>
            <w:hideMark/>
          </w:tcPr>
          <w:p w:rsidR="00670D4D" w:rsidRPr="009F0E09" w:rsidP="00E9507C" w14:paraId="05A9F096" w14:textId="77777777">
            <w:pPr>
              <w:rPr>
                <w:color w:val="000000"/>
                <w:kern w:val="0"/>
              </w:rPr>
            </w:pPr>
            <w:r w:rsidRPr="009F0E09">
              <w:rPr>
                <w:color w:val="000000"/>
                <w:kern w:val="0"/>
              </w:rPr>
              <w:t>State College, PA</w:t>
            </w:r>
          </w:p>
        </w:tc>
        <w:tc>
          <w:tcPr>
            <w:tcW w:w="2024" w:type="dxa"/>
            <w:tcBorders>
              <w:top w:val="nil"/>
              <w:left w:val="nil"/>
              <w:bottom w:val="nil"/>
              <w:right w:val="nil"/>
            </w:tcBorders>
            <w:shd w:val="clear" w:color="auto" w:fill="auto"/>
            <w:noWrap/>
            <w:vAlign w:val="bottom"/>
            <w:hideMark/>
          </w:tcPr>
          <w:p w:rsidR="00670D4D" w:rsidRPr="009F0E09" w:rsidP="00E9507C" w14:paraId="637F6B61" w14:textId="77777777">
            <w:pPr>
              <w:ind w:right="-604" w:firstLine="158"/>
              <w:rPr>
                <w:color w:val="000000"/>
                <w:kern w:val="0"/>
              </w:rPr>
            </w:pPr>
            <w:r w:rsidRPr="009F0E09">
              <w:rPr>
                <w:color w:val="000000"/>
                <w:kern w:val="0"/>
              </w:rPr>
              <w:t>B  </w:t>
            </w:r>
          </w:p>
        </w:tc>
      </w:tr>
      <w:tr w14:paraId="60F7111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C797706" w14:textId="77777777">
            <w:pPr>
              <w:ind w:hanging="378"/>
              <w:jc w:val="center"/>
              <w:rPr>
                <w:color w:val="000000"/>
                <w:kern w:val="0"/>
              </w:rPr>
            </w:pPr>
            <w:r w:rsidRPr="009F0E09">
              <w:rPr>
                <w:color w:val="000000"/>
                <w:kern w:val="0"/>
              </w:rPr>
              <w:t>WPQP862</w:t>
            </w:r>
          </w:p>
        </w:tc>
        <w:tc>
          <w:tcPr>
            <w:tcW w:w="1530" w:type="dxa"/>
            <w:tcBorders>
              <w:top w:val="nil"/>
              <w:left w:val="nil"/>
              <w:bottom w:val="nil"/>
              <w:right w:val="nil"/>
            </w:tcBorders>
            <w:shd w:val="clear" w:color="auto" w:fill="auto"/>
            <w:noWrap/>
            <w:vAlign w:val="bottom"/>
            <w:hideMark/>
          </w:tcPr>
          <w:p w:rsidR="00670D4D" w:rsidRPr="009F0E09" w:rsidP="00E9507C" w14:paraId="2AD7E5BE" w14:textId="77777777">
            <w:pPr>
              <w:rPr>
                <w:color w:val="000000"/>
                <w:kern w:val="0"/>
              </w:rPr>
            </w:pPr>
            <w:r w:rsidRPr="009F0E09">
              <w:rPr>
                <w:color w:val="000000"/>
                <w:kern w:val="0"/>
              </w:rPr>
              <w:t>BEA009 </w:t>
            </w:r>
          </w:p>
        </w:tc>
        <w:tc>
          <w:tcPr>
            <w:tcW w:w="4950" w:type="dxa"/>
            <w:tcBorders>
              <w:top w:val="nil"/>
              <w:left w:val="nil"/>
              <w:bottom w:val="nil"/>
              <w:right w:val="nil"/>
            </w:tcBorders>
            <w:shd w:val="clear" w:color="auto" w:fill="auto"/>
            <w:noWrap/>
            <w:vAlign w:val="bottom"/>
            <w:hideMark/>
          </w:tcPr>
          <w:p w:rsidR="00670D4D" w:rsidRPr="009F0E09" w:rsidP="00E9507C" w14:paraId="37956538" w14:textId="77777777">
            <w:pPr>
              <w:rPr>
                <w:color w:val="000000"/>
                <w:kern w:val="0"/>
              </w:rPr>
            </w:pPr>
            <w:r w:rsidRPr="009F0E09">
              <w:rPr>
                <w:color w:val="000000"/>
                <w:kern w:val="0"/>
              </w:rPr>
              <w:t>State College, PA</w:t>
            </w:r>
          </w:p>
        </w:tc>
        <w:tc>
          <w:tcPr>
            <w:tcW w:w="2024" w:type="dxa"/>
            <w:tcBorders>
              <w:top w:val="nil"/>
              <w:left w:val="nil"/>
              <w:bottom w:val="nil"/>
              <w:right w:val="nil"/>
            </w:tcBorders>
            <w:shd w:val="clear" w:color="auto" w:fill="auto"/>
            <w:noWrap/>
            <w:vAlign w:val="bottom"/>
            <w:hideMark/>
          </w:tcPr>
          <w:p w:rsidR="00670D4D" w:rsidRPr="009F0E09" w:rsidP="00E9507C" w14:paraId="7958DBD9" w14:textId="77777777">
            <w:pPr>
              <w:ind w:right="-604" w:firstLine="158"/>
              <w:rPr>
                <w:color w:val="000000"/>
                <w:kern w:val="0"/>
              </w:rPr>
            </w:pPr>
            <w:r w:rsidRPr="009F0E09">
              <w:rPr>
                <w:color w:val="000000"/>
                <w:kern w:val="0"/>
              </w:rPr>
              <w:t>C  </w:t>
            </w:r>
          </w:p>
        </w:tc>
      </w:tr>
      <w:tr w14:paraId="7613282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15853FD" w14:textId="77777777">
            <w:pPr>
              <w:ind w:hanging="378"/>
              <w:jc w:val="center"/>
              <w:rPr>
                <w:color w:val="000000"/>
                <w:kern w:val="0"/>
              </w:rPr>
            </w:pPr>
            <w:r w:rsidRPr="009F0E09">
              <w:rPr>
                <w:color w:val="000000"/>
                <w:kern w:val="0"/>
              </w:rPr>
              <w:t>WPQP865</w:t>
            </w:r>
          </w:p>
        </w:tc>
        <w:tc>
          <w:tcPr>
            <w:tcW w:w="1530" w:type="dxa"/>
            <w:tcBorders>
              <w:top w:val="nil"/>
              <w:left w:val="nil"/>
              <w:bottom w:val="nil"/>
              <w:right w:val="nil"/>
            </w:tcBorders>
            <w:shd w:val="clear" w:color="auto" w:fill="auto"/>
            <w:noWrap/>
            <w:vAlign w:val="bottom"/>
            <w:hideMark/>
          </w:tcPr>
          <w:p w:rsidR="00670D4D" w:rsidRPr="009F0E09" w:rsidP="00E9507C" w14:paraId="349ACB35" w14:textId="77777777">
            <w:pPr>
              <w:rPr>
                <w:color w:val="000000"/>
                <w:kern w:val="0"/>
              </w:rPr>
            </w:pPr>
            <w:r w:rsidRPr="009F0E09">
              <w:rPr>
                <w:color w:val="000000"/>
                <w:kern w:val="0"/>
              </w:rPr>
              <w:t>BEA011 </w:t>
            </w:r>
          </w:p>
        </w:tc>
        <w:tc>
          <w:tcPr>
            <w:tcW w:w="4950" w:type="dxa"/>
            <w:tcBorders>
              <w:top w:val="nil"/>
              <w:left w:val="nil"/>
              <w:bottom w:val="nil"/>
              <w:right w:val="nil"/>
            </w:tcBorders>
            <w:shd w:val="clear" w:color="auto" w:fill="auto"/>
            <w:noWrap/>
            <w:vAlign w:val="bottom"/>
            <w:hideMark/>
          </w:tcPr>
          <w:p w:rsidR="00670D4D" w:rsidRPr="009F0E09" w:rsidP="00E9507C" w14:paraId="31726FDF" w14:textId="77777777">
            <w:pPr>
              <w:rPr>
                <w:color w:val="000000"/>
                <w:kern w:val="0"/>
              </w:rPr>
            </w:pPr>
            <w:r w:rsidRPr="009F0E09">
              <w:rPr>
                <w:color w:val="000000"/>
                <w:kern w:val="0"/>
              </w:rPr>
              <w:t>Harrisburg-Lebanon-Carlisle, PA</w:t>
            </w:r>
          </w:p>
        </w:tc>
        <w:tc>
          <w:tcPr>
            <w:tcW w:w="2024" w:type="dxa"/>
            <w:tcBorders>
              <w:top w:val="nil"/>
              <w:left w:val="nil"/>
              <w:bottom w:val="nil"/>
              <w:right w:val="nil"/>
            </w:tcBorders>
            <w:shd w:val="clear" w:color="auto" w:fill="auto"/>
            <w:noWrap/>
            <w:vAlign w:val="bottom"/>
            <w:hideMark/>
          </w:tcPr>
          <w:p w:rsidR="00670D4D" w:rsidRPr="009F0E09" w:rsidP="00E9507C" w14:paraId="0E3A8529" w14:textId="77777777">
            <w:pPr>
              <w:ind w:right="-604" w:firstLine="158"/>
              <w:rPr>
                <w:color w:val="000000"/>
                <w:kern w:val="0"/>
              </w:rPr>
            </w:pPr>
            <w:r w:rsidRPr="009F0E09">
              <w:rPr>
                <w:color w:val="000000"/>
                <w:kern w:val="0"/>
              </w:rPr>
              <w:t>B  </w:t>
            </w:r>
          </w:p>
        </w:tc>
      </w:tr>
      <w:tr w14:paraId="141BDE1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7F78551" w14:textId="77777777">
            <w:pPr>
              <w:ind w:hanging="378"/>
              <w:jc w:val="center"/>
              <w:rPr>
                <w:color w:val="000000"/>
                <w:kern w:val="0"/>
              </w:rPr>
            </w:pPr>
            <w:r w:rsidRPr="009F0E09">
              <w:rPr>
                <w:color w:val="000000"/>
                <w:kern w:val="0"/>
              </w:rPr>
              <w:t>WPQP866</w:t>
            </w:r>
          </w:p>
        </w:tc>
        <w:tc>
          <w:tcPr>
            <w:tcW w:w="1530" w:type="dxa"/>
            <w:tcBorders>
              <w:top w:val="nil"/>
              <w:left w:val="nil"/>
              <w:bottom w:val="nil"/>
              <w:right w:val="nil"/>
            </w:tcBorders>
            <w:shd w:val="clear" w:color="auto" w:fill="auto"/>
            <w:noWrap/>
            <w:vAlign w:val="bottom"/>
            <w:hideMark/>
          </w:tcPr>
          <w:p w:rsidR="00670D4D" w:rsidRPr="009F0E09" w:rsidP="00E9507C" w14:paraId="4DC2584E" w14:textId="77777777">
            <w:pPr>
              <w:rPr>
                <w:color w:val="000000"/>
                <w:kern w:val="0"/>
              </w:rPr>
            </w:pPr>
            <w:r w:rsidRPr="009F0E09">
              <w:rPr>
                <w:color w:val="000000"/>
                <w:kern w:val="0"/>
              </w:rPr>
              <w:t>BEA011 </w:t>
            </w:r>
          </w:p>
        </w:tc>
        <w:tc>
          <w:tcPr>
            <w:tcW w:w="4950" w:type="dxa"/>
            <w:tcBorders>
              <w:top w:val="nil"/>
              <w:left w:val="nil"/>
              <w:bottom w:val="nil"/>
              <w:right w:val="nil"/>
            </w:tcBorders>
            <w:shd w:val="clear" w:color="auto" w:fill="auto"/>
            <w:noWrap/>
            <w:vAlign w:val="bottom"/>
            <w:hideMark/>
          </w:tcPr>
          <w:p w:rsidR="00670D4D" w:rsidRPr="009F0E09" w:rsidP="00E9507C" w14:paraId="33C2870C" w14:textId="77777777">
            <w:pPr>
              <w:rPr>
                <w:color w:val="000000"/>
                <w:kern w:val="0"/>
              </w:rPr>
            </w:pPr>
            <w:r w:rsidRPr="009F0E09">
              <w:rPr>
                <w:color w:val="000000"/>
                <w:kern w:val="0"/>
              </w:rPr>
              <w:t>Harrisburg-Lebanon-Carlisle, PA</w:t>
            </w:r>
          </w:p>
        </w:tc>
        <w:tc>
          <w:tcPr>
            <w:tcW w:w="2024" w:type="dxa"/>
            <w:tcBorders>
              <w:top w:val="nil"/>
              <w:left w:val="nil"/>
              <w:bottom w:val="nil"/>
              <w:right w:val="nil"/>
            </w:tcBorders>
            <w:shd w:val="clear" w:color="auto" w:fill="auto"/>
            <w:noWrap/>
            <w:vAlign w:val="bottom"/>
            <w:hideMark/>
          </w:tcPr>
          <w:p w:rsidR="00670D4D" w:rsidRPr="009F0E09" w:rsidP="00E9507C" w14:paraId="48C3A19D" w14:textId="77777777">
            <w:pPr>
              <w:ind w:right="-604" w:firstLine="158"/>
              <w:rPr>
                <w:color w:val="000000"/>
                <w:kern w:val="0"/>
              </w:rPr>
            </w:pPr>
            <w:r w:rsidRPr="009F0E09">
              <w:rPr>
                <w:color w:val="000000"/>
                <w:kern w:val="0"/>
              </w:rPr>
              <w:t>C  </w:t>
            </w:r>
          </w:p>
        </w:tc>
      </w:tr>
      <w:tr w14:paraId="798BA61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C244BAA" w14:textId="77777777">
            <w:pPr>
              <w:ind w:hanging="378"/>
              <w:jc w:val="center"/>
              <w:rPr>
                <w:color w:val="000000"/>
                <w:kern w:val="0"/>
              </w:rPr>
            </w:pPr>
            <w:r w:rsidRPr="009F0E09">
              <w:rPr>
                <w:color w:val="000000"/>
                <w:kern w:val="0"/>
              </w:rPr>
              <w:t>WPQP871</w:t>
            </w:r>
          </w:p>
        </w:tc>
        <w:tc>
          <w:tcPr>
            <w:tcW w:w="1530" w:type="dxa"/>
            <w:tcBorders>
              <w:top w:val="nil"/>
              <w:left w:val="nil"/>
              <w:bottom w:val="nil"/>
              <w:right w:val="nil"/>
            </w:tcBorders>
            <w:shd w:val="clear" w:color="auto" w:fill="auto"/>
            <w:noWrap/>
            <w:vAlign w:val="bottom"/>
            <w:hideMark/>
          </w:tcPr>
          <w:p w:rsidR="00670D4D" w:rsidRPr="009F0E09" w:rsidP="00E9507C" w14:paraId="67775F6B" w14:textId="77777777">
            <w:pPr>
              <w:rPr>
                <w:color w:val="000000"/>
                <w:kern w:val="0"/>
              </w:rPr>
            </w:pPr>
            <w:r w:rsidRPr="009F0E09">
              <w:rPr>
                <w:color w:val="000000"/>
                <w:kern w:val="0"/>
              </w:rPr>
              <w:t>BEA015 </w:t>
            </w:r>
          </w:p>
        </w:tc>
        <w:tc>
          <w:tcPr>
            <w:tcW w:w="4950" w:type="dxa"/>
            <w:tcBorders>
              <w:top w:val="nil"/>
              <w:left w:val="nil"/>
              <w:bottom w:val="nil"/>
              <w:right w:val="nil"/>
            </w:tcBorders>
            <w:shd w:val="clear" w:color="auto" w:fill="auto"/>
            <w:noWrap/>
            <w:vAlign w:val="bottom"/>
            <w:hideMark/>
          </w:tcPr>
          <w:p w:rsidR="00670D4D" w:rsidRPr="009F0E09" w:rsidP="00E9507C" w14:paraId="69948195" w14:textId="77777777">
            <w:pPr>
              <w:rPr>
                <w:color w:val="000000"/>
                <w:kern w:val="0"/>
              </w:rPr>
            </w:pPr>
            <w:r w:rsidRPr="009F0E09">
              <w:rPr>
                <w:color w:val="000000"/>
                <w:kern w:val="0"/>
              </w:rPr>
              <w:t>Richmond-Petersburg, VA</w:t>
            </w:r>
          </w:p>
        </w:tc>
        <w:tc>
          <w:tcPr>
            <w:tcW w:w="2024" w:type="dxa"/>
            <w:tcBorders>
              <w:top w:val="nil"/>
              <w:left w:val="nil"/>
              <w:bottom w:val="nil"/>
              <w:right w:val="nil"/>
            </w:tcBorders>
            <w:shd w:val="clear" w:color="auto" w:fill="auto"/>
            <w:noWrap/>
            <w:vAlign w:val="bottom"/>
            <w:hideMark/>
          </w:tcPr>
          <w:p w:rsidR="00670D4D" w:rsidRPr="009F0E09" w:rsidP="00E9507C" w14:paraId="013C18AF" w14:textId="77777777">
            <w:pPr>
              <w:ind w:right="-604" w:firstLine="158"/>
              <w:rPr>
                <w:color w:val="000000"/>
                <w:kern w:val="0"/>
              </w:rPr>
            </w:pPr>
            <w:r w:rsidRPr="009F0E09">
              <w:rPr>
                <w:color w:val="000000"/>
                <w:kern w:val="0"/>
              </w:rPr>
              <w:t>B  </w:t>
            </w:r>
          </w:p>
        </w:tc>
      </w:tr>
      <w:tr w14:paraId="4C759FD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D6FF395" w14:textId="77777777">
            <w:pPr>
              <w:ind w:hanging="378"/>
              <w:jc w:val="center"/>
              <w:rPr>
                <w:color w:val="000000"/>
                <w:kern w:val="0"/>
              </w:rPr>
            </w:pPr>
            <w:r w:rsidRPr="009F0E09">
              <w:rPr>
                <w:color w:val="000000"/>
                <w:kern w:val="0"/>
              </w:rPr>
              <w:t>WPQP872</w:t>
            </w:r>
          </w:p>
        </w:tc>
        <w:tc>
          <w:tcPr>
            <w:tcW w:w="1530" w:type="dxa"/>
            <w:tcBorders>
              <w:top w:val="nil"/>
              <w:left w:val="nil"/>
              <w:bottom w:val="nil"/>
              <w:right w:val="nil"/>
            </w:tcBorders>
            <w:shd w:val="clear" w:color="auto" w:fill="auto"/>
            <w:noWrap/>
            <w:vAlign w:val="bottom"/>
            <w:hideMark/>
          </w:tcPr>
          <w:p w:rsidR="00670D4D" w:rsidRPr="009F0E09" w:rsidP="00E9507C" w14:paraId="4AE09317" w14:textId="77777777">
            <w:pPr>
              <w:rPr>
                <w:color w:val="000000"/>
                <w:kern w:val="0"/>
              </w:rPr>
            </w:pPr>
            <w:r w:rsidRPr="009F0E09">
              <w:rPr>
                <w:color w:val="000000"/>
                <w:kern w:val="0"/>
              </w:rPr>
              <w:t>BEA015 </w:t>
            </w:r>
          </w:p>
        </w:tc>
        <w:tc>
          <w:tcPr>
            <w:tcW w:w="4950" w:type="dxa"/>
            <w:tcBorders>
              <w:top w:val="nil"/>
              <w:left w:val="nil"/>
              <w:bottom w:val="nil"/>
              <w:right w:val="nil"/>
            </w:tcBorders>
            <w:shd w:val="clear" w:color="auto" w:fill="auto"/>
            <w:noWrap/>
            <w:vAlign w:val="bottom"/>
            <w:hideMark/>
          </w:tcPr>
          <w:p w:rsidR="00670D4D" w:rsidRPr="009F0E09" w:rsidP="00E9507C" w14:paraId="2477ABDB" w14:textId="77777777">
            <w:pPr>
              <w:rPr>
                <w:color w:val="000000"/>
                <w:kern w:val="0"/>
              </w:rPr>
            </w:pPr>
            <w:r w:rsidRPr="009F0E09">
              <w:rPr>
                <w:color w:val="000000"/>
                <w:kern w:val="0"/>
              </w:rPr>
              <w:t>Richmond-Petersburg, VA</w:t>
            </w:r>
          </w:p>
        </w:tc>
        <w:tc>
          <w:tcPr>
            <w:tcW w:w="2024" w:type="dxa"/>
            <w:tcBorders>
              <w:top w:val="nil"/>
              <w:left w:val="nil"/>
              <w:bottom w:val="nil"/>
              <w:right w:val="nil"/>
            </w:tcBorders>
            <w:shd w:val="clear" w:color="auto" w:fill="auto"/>
            <w:noWrap/>
            <w:vAlign w:val="bottom"/>
            <w:hideMark/>
          </w:tcPr>
          <w:p w:rsidR="00670D4D" w:rsidRPr="009F0E09" w:rsidP="00E9507C" w14:paraId="1E08A383" w14:textId="77777777">
            <w:pPr>
              <w:ind w:right="-604" w:firstLine="158"/>
              <w:rPr>
                <w:color w:val="000000"/>
                <w:kern w:val="0"/>
              </w:rPr>
            </w:pPr>
            <w:r w:rsidRPr="009F0E09">
              <w:rPr>
                <w:color w:val="000000"/>
                <w:kern w:val="0"/>
              </w:rPr>
              <w:t>C  </w:t>
            </w:r>
          </w:p>
        </w:tc>
      </w:tr>
      <w:tr w14:paraId="270E1C0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78217B4" w14:textId="77777777">
            <w:pPr>
              <w:ind w:hanging="378"/>
              <w:jc w:val="center"/>
              <w:rPr>
                <w:color w:val="000000"/>
                <w:kern w:val="0"/>
              </w:rPr>
            </w:pPr>
            <w:r w:rsidRPr="009F0E09">
              <w:rPr>
                <w:color w:val="000000"/>
                <w:kern w:val="0"/>
              </w:rPr>
              <w:t>WPQP873</w:t>
            </w:r>
          </w:p>
        </w:tc>
        <w:tc>
          <w:tcPr>
            <w:tcW w:w="1530" w:type="dxa"/>
            <w:tcBorders>
              <w:top w:val="nil"/>
              <w:left w:val="nil"/>
              <w:bottom w:val="nil"/>
              <w:right w:val="nil"/>
            </w:tcBorders>
            <w:shd w:val="clear" w:color="auto" w:fill="auto"/>
            <w:noWrap/>
            <w:vAlign w:val="bottom"/>
            <w:hideMark/>
          </w:tcPr>
          <w:p w:rsidR="00670D4D" w:rsidRPr="009F0E09" w:rsidP="00E9507C" w14:paraId="34D4465C" w14:textId="77777777">
            <w:pPr>
              <w:rPr>
                <w:color w:val="000000"/>
                <w:kern w:val="0"/>
              </w:rPr>
            </w:pPr>
            <w:r w:rsidRPr="009F0E09">
              <w:rPr>
                <w:color w:val="000000"/>
                <w:kern w:val="0"/>
              </w:rPr>
              <w:t>BEA017 </w:t>
            </w:r>
          </w:p>
        </w:tc>
        <w:tc>
          <w:tcPr>
            <w:tcW w:w="4950" w:type="dxa"/>
            <w:tcBorders>
              <w:top w:val="nil"/>
              <w:left w:val="nil"/>
              <w:bottom w:val="nil"/>
              <w:right w:val="nil"/>
            </w:tcBorders>
            <w:shd w:val="clear" w:color="auto" w:fill="auto"/>
            <w:noWrap/>
            <w:vAlign w:val="bottom"/>
            <w:hideMark/>
          </w:tcPr>
          <w:p w:rsidR="00670D4D" w:rsidRPr="009F0E09" w:rsidP="00E9507C" w14:paraId="4E9BF576" w14:textId="77777777">
            <w:pPr>
              <w:rPr>
                <w:color w:val="000000"/>
                <w:kern w:val="0"/>
              </w:rPr>
            </w:pPr>
            <w:r w:rsidRPr="009F0E09">
              <w:rPr>
                <w:color w:val="000000"/>
                <w:kern w:val="0"/>
              </w:rPr>
              <w:t>Roanoke, VA-NC-WV</w:t>
            </w:r>
          </w:p>
        </w:tc>
        <w:tc>
          <w:tcPr>
            <w:tcW w:w="2024" w:type="dxa"/>
            <w:tcBorders>
              <w:top w:val="nil"/>
              <w:left w:val="nil"/>
              <w:bottom w:val="nil"/>
              <w:right w:val="nil"/>
            </w:tcBorders>
            <w:shd w:val="clear" w:color="auto" w:fill="auto"/>
            <w:noWrap/>
            <w:vAlign w:val="bottom"/>
            <w:hideMark/>
          </w:tcPr>
          <w:p w:rsidR="00670D4D" w:rsidRPr="009F0E09" w:rsidP="00E9507C" w14:paraId="502498FE" w14:textId="77777777">
            <w:pPr>
              <w:ind w:right="-604" w:firstLine="158"/>
              <w:rPr>
                <w:color w:val="000000"/>
                <w:kern w:val="0"/>
              </w:rPr>
            </w:pPr>
            <w:r w:rsidRPr="009F0E09">
              <w:rPr>
                <w:color w:val="000000"/>
                <w:kern w:val="0"/>
              </w:rPr>
              <w:t>B  </w:t>
            </w:r>
          </w:p>
        </w:tc>
      </w:tr>
      <w:tr w14:paraId="0AD9AA6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356AEAE" w14:textId="77777777">
            <w:pPr>
              <w:ind w:hanging="378"/>
              <w:jc w:val="center"/>
              <w:rPr>
                <w:color w:val="000000"/>
                <w:kern w:val="0"/>
              </w:rPr>
            </w:pPr>
            <w:r w:rsidRPr="009F0E09">
              <w:rPr>
                <w:color w:val="000000"/>
                <w:kern w:val="0"/>
              </w:rPr>
              <w:t>WPQP874</w:t>
            </w:r>
          </w:p>
        </w:tc>
        <w:tc>
          <w:tcPr>
            <w:tcW w:w="1530" w:type="dxa"/>
            <w:tcBorders>
              <w:top w:val="nil"/>
              <w:left w:val="nil"/>
              <w:bottom w:val="nil"/>
              <w:right w:val="nil"/>
            </w:tcBorders>
            <w:shd w:val="clear" w:color="auto" w:fill="auto"/>
            <w:noWrap/>
            <w:vAlign w:val="bottom"/>
            <w:hideMark/>
          </w:tcPr>
          <w:p w:rsidR="00670D4D" w:rsidRPr="009F0E09" w:rsidP="00E9507C" w14:paraId="0F783D81" w14:textId="77777777">
            <w:pPr>
              <w:rPr>
                <w:color w:val="000000"/>
                <w:kern w:val="0"/>
              </w:rPr>
            </w:pPr>
            <w:r w:rsidRPr="009F0E09">
              <w:rPr>
                <w:color w:val="000000"/>
                <w:kern w:val="0"/>
              </w:rPr>
              <w:t>BEA017 </w:t>
            </w:r>
          </w:p>
        </w:tc>
        <w:tc>
          <w:tcPr>
            <w:tcW w:w="4950" w:type="dxa"/>
            <w:tcBorders>
              <w:top w:val="nil"/>
              <w:left w:val="nil"/>
              <w:bottom w:val="nil"/>
              <w:right w:val="nil"/>
            </w:tcBorders>
            <w:shd w:val="clear" w:color="auto" w:fill="auto"/>
            <w:noWrap/>
            <w:vAlign w:val="bottom"/>
            <w:hideMark/>
          </w:tcPr>
          <w:p w:rsidR="00670D4D" w:rsidRPr="009F0E09" w:rsidP="00E9507C" w14:paraId="12DC2DBF" w14:textId="77777777">
            <w:pPr>
              <w:rPr>
                <w:color w:val="000000"/>
                <w:kern w:val="0"/>
              </w:rPr>
            </w:pPr>
            <w:r w:rsidRPr="009F0E09">
              <w:rPr>
                <w:color w:val="000000"/>
                <w:kern w:val="0"/>
              </w:rPr>
              <w:t>Roanoke, VA-NC-WV</w:t>
            </w:r>
          </w:p>
        </w:tc>
        <w:tc>
          <w:tcPr>
            <w:tcW w:w="2024" w:type="dxa"/>
            <w:tcBorders>
              <w:top w:val="nil"/>
              <w:left w:val="nil"/>
              <w:bottom w:val="nil"/>
              <w:right w:val="nil"/>
            </w:tcBorders>
            <w:shd w:val="clear" w:color="auto" w:fill="auto"/>
            <w:noWrap/>
            <w:vAlign w:val="bottom"/>
            <w:hideMark/>
          </w:tcPr>
          <w:p w:rsidR="00670D4D" w:rsidRPr="009F0E09" w:rsidP="00E9507C" w14:paraId="23D3AE7D" w14:textId="77777777">
            <w:pPr>
              <w:ind w:right="-604" w:firstLine="158"/>
              <w:rPr>
                <w:color w:val="000000"/>
                <w:kern w:val="0"/>
              </w:rPr>
            </w:pPr>
            <w:r w:rsidRPr="009F0E09">
              <w:rPr>
                <w:color w:val="000000"/>
                <w:kern w:val="0"/>
              </w:rPr>
              <w:t>C  </w:t>
            </w:r>
          </w:p>
        </w:tc>
      </w:tr>
      <w:tr w14:paraId="60C9A63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B6C2091" w14:textId="77777777">
            <w:pPr>
              <w:ind w:hanging="378"/>
              <w:jc w:val="center"/>
              <w:rPr>
                <w:color w:val="000000"/>
                <w:kern w:val="0"/>
              </w:rPr>
            </w:pPr>
            <w:r w:rsidRPr="009F0E09">
              <w:rPr>
                <w:color w:val="000000"/>
                <w:kern w:val="0"/>
              </w:rPr>
              <w:t>WPQP875</w:t>
            </w:r>
          </w:p>
        </w:tc>
        <w:tc>
          <w:tcPr>
            <w:tcW w:w="1530" w:type="dxa"/>
            <w:tcBorders>
              <w:top w:val="nil"/>
              <w:left w:val="nil"/>
              <w:bottom w:val="nil"/>
              <w:right w:val="nil"/>
            </w:tcBorders>
            <w:shd w:val="clear" w:color="auto" w:fill="auto"/>
            <w:noWrap/>
            <w:vAlign w:val="bottom"/>
            <w:hideMark/>
          </w:tcPr>
          <w:p w:rsidR="00670D4D" w:rsidRPr="009F0E09" w:rsidP="00E9507C" w14:paraId="5E2A3603" w14:textId="77777777">
            <w:pPr>
              <w:rPr>
                <w:color w:val="000000"/>
                <w:kern w:val="0"/>
              </w:rPr>
            </w:pPr>
            <w:r w:rsidRPr="009F0E09">
              <w:rPr>
                <w:color w:val="000000"/>
                <w:kern w:val="0"/>
              </w:rPr>
              <w:t>BEA018 </w:t>
            </w:r>
          </w:p>
        </w:tc>
        <w:tc>
          <w:tcPr>
            <w:tcW w:w="4950" w:type="dxa"/>
            <w:tcBorders>
              <w:top w:val="nil"/>
              <w:left w:val="nil"/>
              <w:bottom w:val="nil"/>
              <w:right w:val="nil"/>
            </w:tcBorders>
            <w:shd w:val="clear" w:color="auto" w:fill="auto"/>
            <w:noWrap/>
            <w:vAlign w:val="bottom"/>
            <w:hideMark/>
          </w:tcPr>
          <w:p w:rsidR="00670D4D" w:rsidRPr="009F0E09" w:rsidP="00E9507C" w14:paraId="1466FB0B" w14:textId="77777777">
            <w:pPr>
              <w:rPr>
                <w:color w:val="000000"/>
                <w:kern w:val="0"/>
              </w:rPr>
            </w:pPr>
            <w:r w:rsidRPr="009F0E09">
              <w:rPr>
                <w:color w:val="000000"/>
                <w:kern w:val="0"/>
              </w:rPr>
              <w:t>Greensboro-Winston-Salem-High Point, NC-VA</w:t>
            </w:r>
          </w:p>
        </w:tc>
        <w:tc>
          <w:tcPr>
            <w:tcW w:w="2024" w:type="dxa"/>
            <w:tcBorders>
              <w:top w:val="nil"/>
              <w:left w:val="nil"/>
              <w:bottom w:val="nil"/>
              <w:right w:val="nil"/>
            </w:tcBorders>
            <w:shd w:val="clear" w:color="auto" w:fill="auto"/>
            <w:noWrap/>
            <w:vAlign w:val="bottom"/>
            <w:hideMark/>
          </w:tcPr>
          <w:p w:rsidR="00670D4D" w:rsidRPr="009F0E09" w:rsidP="00E9507C" w14:paraId="4DB98254" w14:textId="77777777">
            <w:pPr>
              <w:ind w:right="-604" w:firstLine="158"/>
              <w:rPr>
                <w:color w:val="000000"/>
                <w:kern w:val="0"/>
              </w:rPr>
            </w:pPr>
            <w:r w:rsidRPr="009F0E09">
              <w:rPr>
                <w:color w:val="000000"/>
                <w:kern w:val="0"/>
              </w:rPr>
              <w:t>B  </w:t>
            </w:r>
          </w:p>
        </w:tc>
      </w:tr>
      <w:tr w14:paraId="680B1F65"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2FB1DD8" w14:textId="77777777">
            <w:pPr>
              <w:ind w:hanging="378"/>
              <w:jc w:val="center"/>
              <w:rPr>
                <w:color w:val="000000"/>
                <w:kern w:val="0"/>
              </w:rPr>
            </w:pPr>
            <w:r w:rsidRPr="009F0E09">
              <w:rPr>
                <w:color w:val="000000"/>
                <w:kern w:val="0"/>
              </w:rPr>
              <w:t>WPQP876</w:t>
            </w:r>
          </w:p>
        </w:tc>
        <w:tc>
          <w:tcPr>
            <w:tcW w:w="1530" w:type="dxa"/>
            <w:tcBorders>
              <w:top w:val="nil"/>
              <w:left w:val="nil"/>
              <w:bottom w:val="nil"/>
              <w:right w:val="nil"/>
            </w:tcBorders>
            <w:shd w:val="clear" w:color="auto" w:fill="auto"/>
            <w:noWrap/>
            <w:vAlign w:val="bottom"/>
            <w:hideMark/>
          </w:tcPr>
          <w:p w:rsidR="00670D4D" w:rsidRPr="009F0E09" w:rsidP="00E9507C" w14:paraId="66B4BD56" w14:textId="77777777">
            <w:pPr>
              <w:rPr>
                <w:color w:val="000000"/>
                <w:kern w:val="0"/>
              </w:rPr>
            </w:pPr>
            <w:r w:rsidRPr="009F0E09">
              <w:rPr>
                <w:color w:val="000000"/>
                <w:kern w:val="0"/>
              </w:rPr>
              <w:t>BEA018 </w:t>
            </w:r>
          </w:p>
        </w:tc>
        <w:tc>
          <w:tcPr>
            <w:tcW w:w="4950" w:type="dxa"/>
            <w:tcBorders>
              <w:top w:val="nil"/>
              <w:left w:val="nil"/>
              <w:bottom w:val="nil"/>
              <w:right w:val="nil"/>
            </w:tcBorders>
            <w:shd w:val="clear" w:color="auto" w:fill="auto"/>
            <w:noWrap/>
            <w:vAlign w:val="bottom"/>
            <w:hideMark/>
          </w:tcPr>
          <w:p w:rsidR="00670D4D" w:rsidRPr="009F0E09" w:rsidP="00E9507C" w14:paraId="3ED06C3A" w14:textId="77777777">
            <w:pPr>
              <w:rPr>
                <w:color w:val="000000"/>
                <w:kern w:val="0"/>
              </w:rPr>
            </w:pPr>
            <w:r w:rsidRPr="009F0E09">
              <w:rPr>
                <w:color w:val="000000"/>
                <w:kern w:val="0"/>
              </w:rPr>
              <w:t>Greensboro-Winston-Salem-High Point, NC-VA</w:t>
            </w:r>
          </w:p>
        </w:tc>
        <w:tc>
          <w:tcPr>
            <w:tcW w:w="2024" w:type="dxa"/>
            <w:tcBorders>
              <w:top w:val="nil"/>
              <w:left w:val="nil"/>
              <w:bottom w:val="nil"/>
              <w:right w:val="nil"/>
            </w:tcBorders>
            <w:shd w:val="clear" w:color="auto" w:fill="auto"/>
            <w:noWrap/>
            <w:vAlign w:val="bottom"/>
            <w:hideMark/>
          </w:tcPr>
          <w:p w:rsidR="00670D4D" w:rsidRPr="009F0E09" w:rsidP="00E9507C" w14:paraId="5CD4BAB2" w14:textId="77777777">
            <w:pPr>
              <w:ind w:right="-604" w:firstLine="158"/>
              <w:rPr>
                <w:color w:val="000000"/>
                <w:kern w:val="0"/>
              </w:rPr>
            </w:pPr>
            <w:r w:rsidRPr="009F0E09">
              <w:rPr>
                <w:color w:val="000000"/>
                <w:kern w:val="0"/>
              </w:rPr>
              <w:t>C  </w:t>
            </w:r>
          </w:p>
        </w:tc>
      </w:tr>
      <w:tr w14:paraId="430E6BE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DC052A4" w14:textId="77777777">
            <w:pPr>
              <w:ind w:hanging="378"/>
              <w:jc w:val="center"/>
              <w:rPr>
                <w:color w:val="000000"/>
                <w:kern w:val="0"/>
              </w:rPr>
            </w:pPr>
            <w:r w:rsidRPr="009F0E09">
              <w:rPr>
                <w:color w:val="000000"/>
                <w:kern w:val="0"/>
              </w:rPr>
              <w:t>WPQP881</w:t>
            </w:r>
          </w:p>
        </w:tc>
        <w:tc>
          <w:tcPr>
            <w:tcW w:w="1530" w:type="dxa"/>
            <w:tcBorders>
              <w:top w:val="nil"/>
              <w:left w:val="nil"/>
              <w:bottom w:val="nil"/>
              <w:right w:val="nil"/>
            </w:tcBorders>
            <w:shd w:val="clear" w:color="auto" w:fill="auto"/>
            <w:noWrap/>
            <w:vAlign w:val="bottom"/>
            <w:hideMark/>
          </w:tcPr>
          <w:p w:rsidR="00670D4D" w:rsidRPr="009F0E09" w:rsidP="00E9507C" w14:paraId="262F151A" w14:textId="77777777">
            <w:pPr>
              <w:rPr>
                <w:color w:val="000000"/>
                <w:kern w:val="0"/>
              </w:rPr>
            </w:pPr>
            <w:r w:rsidRPr="009F0E09">
              <w:rPr>
                <w:color w:val="000000"/>
                <w:kern w:val="0"/>
              </w:rPr>
              <w:t>BEA021 </w:t>
            </w:r>
          </w:p>
        </w:tc>
        <w:tc>
          <w:tcPr>
            <w:tcW w:w="4950" w:type="dxa"/>
            <w:tcBorders>
              <w:top w:val="nil"/>
              <w:left w:val="nil"/>
              <w:bottom w:val="nil"/>
              <w:right w:val="nil"/>
            </w:tcBorders>
            <w:shd w:val="clear" w:color="auto" w:fill="auto"/>
            <w:noWrap/>
            <w:vAlign w:val="bottom"/>
            <w:hideMark/>
          </w:tcPr>
          <w:p w:rsidR="00670D4D" w:rsidRPr="009F0E09" w:rsidP="00E9507C" w14:paraId="774950C5" w14:textId="77777777">
            <w:pPr>
              <w:rPr>
                <w:color w:val="000000"/>
                <w:kern w:val="0"/>
              </w:rPr>
            </w:pPr>
            <w:r w:rsidRPr="009F0E09">
              <w:rPr>
                <w:color w:val="000000"/>
                <w:kern w:val="0"/>
              </w:rPr>
              <w:t>Greenville, NC</w:t>
            </w:r>
          </w:p>
        </w:tc>
        <w:tc>
          <w:tcPr>
            <w:tcW w:w="2024" w:type="dxa"/>
            <w:tcBorders>
              <w:top w:val="nil"/>
              <w:left w:val="nil"/>
              <w:bottom w:val="nil"/>
              <w:right w:val="nil"/>
            </w:tcBorders>
            <w:shd w:val="clear" w:color="auto" w:fill="auto"/>
            <w:noWrap/>
            <w:vAlign w:val="bottom"/>
            <w:hideMark/>
          </w:tcPr>
          <w:p w:rsidR="00670D4D" w:rsidRPr="009F0E09" w:rsidP="00E9507C" w14:paraId="52AC9CF6" w14:textId="77777777">
            <w:pPr>
              <w:ind w:right="-604" w:firstLine="158"/>
              <w:rPr>
                <w:color w:val="000000"/>
                <w:kern w:val="0"/>
              </w:rPr>
            </w:pPr>
            <w:r w:rsidRPr="009F0E09">
              <w:rPr>
                <w:color w:val="000000"/>
                <w:kern w:val="0"/>
              </w:rPr>
              <w:t>B  </w:t>
            </w:r>
          </w:p>
        </w:tc>
      </w:tr>
      <w:tr w14:paraId="33E50A3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B4E2AED" w14:textId="77777777">
            <w:pPr>
              <w:ind w:hanging="378"/>
              <w:jc w:val="center"/>
              <w:rPr>
                <w:color w:val="000000"/>
                <w:kern w:val="0"/>
              </w:rPr>
            </w:pPr>
            <w:r w:rsidRPr="009F0E09">
              <w:rPr>
                <w:color w:val="000000"/>
                <w:kern w:val="0"/>
              </w:rPr>
              <w:t>WPQP882</w:t>
            </w:r>
          </w:p>
        </w:tc>
        <w:tc>
          <w:tcPr>
            <w:tcW w:w="1530" w:type="dxa"/>
            <w:tcBorders>
              <w:top w:val="nil"/>
              <w:left w:val="nil"/>
              <w:bottom w:val="nil"/>
              <w:right w:val="nil"/>
            </w:tcBorders>
            <w:shd w:val="clear" w:color="auto" w:fill="auto"/>
            <w:noWrap/>
            <w:vAlign w:val="bottom"/>
            <w:hideMark/>
          </w:tcPr>
          <w:p w:rsidR="00670D4D" w:rsidRPr="009F0E09" w:rsidP="00E9507C" w14:paraId="20D18DCE" w14:textId="77777777">
            <w:pPr>
              <w:rPr>
                <w:color w:val="000000"/>
                <w:kern w:val="0"/>
              </w:rPr>
            </w:pPr>
            <w:r w:rsidRPr="009F0E09">
              <w:rPr>
                <w:color w:val="000000"/>
                <w:kern w:val="0"/>
              </w:rPr>
              <w:t>BEA021 </w:t>
            </w:r>
          </w:p>
        </w:tc>
        <w:tc>
          <w:tcPr>
            <w:tcW w:w="4950" w:type="dxa"/>
            <w:tcBorders>
              <w:top w:val="nil"/>
              <w:left w:val="nil"/>
              <w:bottom w:val="nil"/>
              <w:right w:val="nil"/>
            </w:tcBorders>
            <w:shd w:val="clear" w:color="auto" w:fill="auto"/>
            <w:noWrap/>
            <w:vAlign w:val="bottom"/>
            <w:hideMark/>
          </w:tcPr>
          <w:p w:rsidR="00670D4D" w:rsidRPr="009F0E09" w:rsidP="00E9507C" w14:paraId="2239EB29" w14:textId="77777777">
            <w:pPr>
              <w:rPr>
                <w:color w:val="000000"/>
                <w:kern w:val="0"/>
              </w:rPr>
            </w:pPr>
            <w:r w:rsidRPr="009F0E09">
              <w:rPr>
                <w:color w:val="000000"/>
                <w:kern w:val="0"/>
              </w:rPr>
              <w:t>Greenville, NC</w:t>
            </w:r>
          </w:p>
        </w:tc>
        <w:tc>
          <w:tcPr>
            <w:tcW w:w="2024" w:type="dxa"/>
            <w:tcBorders>
              <w:top w:val="nil"/>
              <w:left w:val="nil"/>
              <w:bottom w:val="nil"/>
              <w:right w:val="nil"/>
            </w:tcBorders>
            <w:shd w:val="clear" w:color="auto" w:fill="auto"/>
            <w:noWrap/>
            <w:vAlign w:val="bottom"/>
            <w:hideMark/>
          </w:tcPr>
          <w:p w:rsidR="00670D4D" w:rsidRPr="009F0E09" w:rsidP="00E9507C" w14:paraId="22FF36C6" w14:textId="77777777">
            <w:pPr>
              <w:ind w:right="-604" w:firstLine="158"/>
              <w:rPr>
                <w:color w:val="000000"/>
                <w:kern w:val="0"/>
              </w:rPr>
            </w:pPr>
            <w:r w:rsidRPr="009F0E09">
              <w:rPr>
                <w:color w:val="000000"/>
                <w:kern w:val="0"/>
              </w:rPr>
              <w:t>C  </w:t>
            </w:r>
          </w:p>
        </w:tc>
      </w:tr>
      <w:tr w14:paraId="13719F4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4C5DA56" w14:textId="77777777">
            <w:pPr>
              <w:ind w:hanging="378"/>
              <w:jc w:val="center"/>
              <w:rPr>
                <w:color w:val="000000"/>
                <w:kern w:val="0"/>
              </w:rPr>
            </w:pPr>
            <w:r w:rsidRPr="009F0E09">
              <w:rPr>
                <w:color w:val="000000"/>
                <w:kern w:val="0"/>
              </w:rPr>
              <w:t>WPQP885</w:t>
            </w:r>
          </w:p>
        </w:tc>
        <w:tc>
          <w:tcPr>
            <w:tcW w:w="1530" w:type="dxa"/>
            <w:tcBorders>
              <w:top w:val="nil"/>
              <w:left w:val="nil"/>
              <w:bottom w:val="nil"/>
              <w:right w:val="nil"/>
            </w:tcBorders>
            <w:shd w:val="clear" w:color="auto" w:fill="auto"/>
            <w:noWrap/>
            <w:vAlign w:val="bottom"/>
            <w:hideMark/>
          </w:tcPr>
          <w:p w:rsidR="00670D4D" w:rsidRPr="009F0E09" w:rsidP="00E9507C" w14:paraId="655606D5" w14:textId="77777777">
            <w:pPr>
              <w:rPr>
                <w:color w:val="000000"/>
                <w:kern w:val="0"/>
              </w:rPr>
            </w:pPr>
            <w:r w:rsidRPr="009F0E09">
              <w:rPr>
                <w:color w:val="000000"/>
                <w:kern w:val="0"/>
              </w:rPr>
              <w:t>BEA024 </w:t>
            </w:r>
          </w:p>
        </w:tc>
        <w:tc>
          <w:tcPr>
            <w:tcW w:w="4950" w:type="dxa"/>
            <w:tcBorders>
              <w:top w:val="nil"/>
              <w:left w:val="nil"/>
              <w:bottom w:val="nil"/>
              <w:right w:val="nil"/>
            </w:tcBorders>
            <w:shd w:val="clear" w:color="auto" w:fill="auto"/>
            <w:noWrap/>
            <w:vAlign w:val="bottom"/>
            <w:hideMark/>
          </w:tcPr>
          <w:p w:rsidR="00670D4D" w:rsidRPr="009F0E09" w:rsidP="00E9507C" w14:paraId="3051014E" w14:textId="77777777">
            <w:pPr>
              <w:rPr>
                <w:color w:val="000000"/>
                <w:kern w:val="0"/>
              </w:rPr>
            </w:pPr>
            <w:r w:rsidRPr="009F0E09">
              <w:rPr>
                <w:color w:val="000000"/>
                <w:kern w:val="0"/>
              </w:rPr>
              <w:t>Columbia, SC</w:t>
            </w:r>
          </w:p>
        </w:tc>
        <w:tc>
          <w:tcPr>
            <w:tcW w:w="2024" w:type="dxa"/>
            <w:tcBorders>
              <w:top w:val="nil"/>
              <w:left w:val="nil"/>
              <w:bottom w:val="nil"/>
              <w:right w:val="nil"/>
            </w:tcBorders>
            <w:shd w:val="clear" w:color="auto" w:fill="auto"/>
            <w:noWrap/>
            <w:vAlign w:val="bottom"/>
            <w:hideMark/>
          </w:tcPr>
          <w:p w:rsidR="00670D4D" w:rsidRPr="009F0E09" w:rsidP="00E9507C" w14:paraId="2EABE4B4" w14:textId="77777777">
            <w:pPr>
              <w:ind w:right="-604" w:firstLine="158"/>
              <w:rPr>
                <w:color w:val="000000"/>
                <w:kern w:val="0"/>
              </w:rPr>
            </w:pPr>
            <w:r w:rsidRPr="009F0E09">
              <w:rPr>
                <w:color w:val="000000"/>
                <w:kern w:val="0"/>
              </w:rPr>
              <w:t>B  </w:t>
            </w:r>
          </w:p>
        </w:tc>
      </w:tr>
      <w:tr w14:paraId="7F25668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8F8A1D1" w14:textId="77777777">
            <w:pPr>
              <w:ind w:hanging="378"/>
              <w:jc w:val="center"/>
              <w:rPr>
                <w:color w:val="000000"/>
                <w:kern w:val="0"/>
              </w:rPr>
            </w:pPr>
            <w:r w:rsidRPr="009F0E09">
              <w:rPr>
                <w:color w:val="000000"/>
                <w:kern w:val="0"/>
              </w:rPr>
              <w:t>WPQP886</w:t>
            </w:r>
          </w:p>
        </w:tc>
        <w:tc>
          <w:tcPr>
            <w:tcW w:w="1530" w:type="dxa"/>
            <w:tcBorders>
              <w:top w:val="nil"/>
              <w:left w:val="nil"/>
              <w:bottom w:val="nil"/>
              <w:right w:val="nil"/>
            </w:tcBorders>
            <w:shd w:val="clear" w:color="auto" w:fill="auto"/>
            <w:noWrap/>
            <w:vAlign w:val="bottom"/>
            <w:hideMark/>
          </w:tcPr>
          <w:p w:rsidR="00670D4D" w:rsidRPr="009F0E09" w:rsidP="00E9507C" w14:paraId="456490CA" w14:textId="77777777">
            <w:pPr>
              <w:rPr>
                <w:color w:val="000000"/>
                <w:kern w:val="0"/>
              </w:rPr>
            </w:pPr>
            <w:r w:rsidRPr="009F0E09">
              <w:rPr>
                <w:color w:val="000000"/>
                <w:kern w:val="0"/>
              </w:rPr>
              <w:t>BEA024 </w:t>
            </w:r>
          </w:p>
        </w:tc>
        <w:tc>
          <w:tcPr>
            <w:tcW w:w="4950" w:type="dxa"/>
            <w:tcBorders>
              <w:top w:val="nil"/>
              <w:left w:val="nil"/>
              <w:bottom w:val="nil"/>
              <w:right w:val="nil"/>
            </w:tcBorders>
            <w:shd w:val="clear" w:color="auto" w:fill="auto"/>
            <w:noWrap/>
            <w:vAlign w:val="bottom"/>
            <w:hideMark/>
          </w:tcPr>
          <w:p w:rsidR="00670D4D" w:rsidRPr="009F0E09" w:rsidP="00E9507C" w14:paraId="3E136242" w14:textId="77777777">
            <w:pPr>
              <w:rPr>
                <w:color w:val="000000"/>
                <w:kern w:val="0"/>
              </w:rPr>
            </w:pPr>
            <w:r w:rsidRPr="009F0E09">
              <w:rPr>
                <w:color w:val="000000"/>
                <w:kern w:val="0"/>
              </w:rPr>
              <w:t>Columbia, SC</w:t>
            </w:r>
          </w:p>
        </w:tc>
        <w:tc>
          <w:tcPr>
            <w:tcW w:w="2024" w:type="dxa"/>
            <w:tcBorders>
              <w:top w:val="nil"/>
              <w:left w:val="nil"/>
              <w:bottom w:val="nil"/>
              <w:right w:val="nil"/>
            </w:tcBorders>
            <w:shd w:val="clear" w:color="auto" w:fill="auto"/>
            <w:noWrap/>
            <w:vAlign w:val="bottom"/>
            <w:hideMark/>
          </w:tcPr>
          <w:p w:rsidR="00670D4D" w:rsidRPr="009F0E09" w:rsidP="00E9507C" w14:paraId="08AD65C2" w14:textId="77777777">
            <w:pPr>
              <w:ind w:right="-604" w:firstLine="158"/>
              <w:rPr>
                <w:color w:val="000000"/>
                <w:kern w:val="0"/>
              </w:rPr>
            </w:pPr>
            <w:r w:rsidRPr="009F0E09">
              <w:rPr>
                <w:color w:val="000000"/>
                <w:kern w:val="0"/>
              </w:rPr>
              <w:t>C  </w:t>
            </w:r>
          </w:p>
        </w:tc>
      </w:tr>
      <w:tr w14:paraId="780F640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8DBBCA2" w14:textId="77777777">
            <w:pPr>
              <w:ind w:hanging="378"/>
              <w:jc w:val="center"/>
              <w:rPr>
                <w:color w:val="000000"/>
                <w:kern w:val="0"/>
              </w:rPr>
            </w:pPr>
            <w:r w:rsidRPr="009F0E09">
              <w:rPr>
                <w:color w:val="000000"/>
                <w:kern w:val="0"/>
              </w:rPr>
              <w:t>WPQP887</w:t>
            </w:r>
          </w:p>
        </w:tc>
        <w:tc>
          <w:tcPr>
            <w:tcW w:w="1530" w:type="dxa"/>
            <w:tcBorders>
              <w:top w:val="nil"/>
              <w:left w:val="nil"/>
              <w:bottom w:val="nil"/>
              <w:right w:val="nil"/>
            </w:tcBorders>
            <w:shd w:val="clear" w:color="auto" w:fill="auto"/>
            <w:noWrap/>
            <w:vAlign w:val="bottom"/>
            <w:hideMark/>
          </w:tcPr>
          <w:p w:rsidR="00670D4D" w:rsidRPr="009F0E09" w:rsidP="00E9507C" w14:paraId="00E0807A" w14:textId="77777777">
            <w:pPr>
              <w:rPr>
                <w:color w:val="000000"/>
                <w:kern w:val="0"/>
              </w:rPr>
            </w:pPr>
            <w:r w:rsidRPr="009F0E09">
              <w:rPr>
                <w:color w:val="000000"/>
                <w:kern w:val="0"/>
              </w:rPr>
              <w:t>BEA025 </w:t>
            </w:r>
          </w:p>
        </w:tc>
        <w:tc>
          <w:tcPr>
            <w:tcW w:w="4950" w:type="dxa"/>
            <w:tcBorders>
              <w:top w:val="nil"/>
              <w:left w:val="nil"/>
              <w:bottom w:val="nil"/>
              <w:right w:val="nil"/>
            </w:tcBorders>
            <w:shd w:val="clear" w:color="auto" w:fill="auto"/>
            <w:noWrap/>
            <w:vAlign w:val="bottom"/>
            <w:hideMark/>
          </w:tcPr>
          <w:p w:rsidR="00670D4D" w:rsidRPr="009F0E09" w:rsidP="00E9507C" w14:paraId="3FAD71D5" w14:textId="77777777">
            <w:pPr>
              <w:rPr>
                <w:color w:val="000000"/>
                <w:kern w:val="0"/>
              </w:rPr>
            </w:pPr>
            <w:r w:rsidRPr="009F0E09">
              <w:rPr>
                <w:color w:val="000000"/>
                <w:kern w:val="0"/>
              </w:rPr>
              <w:t>Wilmington, NC-SC</w:t>
            </w:r>
          </w:p>
        </w:tc>
        <w:tc>
          <w:tcPr>
            <w:tcW w:w="2024" w:type="dxa"/>
            <w:tcBorders>
              <w:top w:val="nil"/>
              <w:left w:val="nil"/>
              <w:bottom w:val="nil"/>
              <w:right w:val="nil"/>
            </w:tcBorders>
            <w:shd w:val="clear" w:color="auto" w:fill="auto"/>
            <w:noWrap/>
            <w:vAlign w:val="bottom"/>
            <w:hideMark/>
          </w:tcPr>
          <w:p w:rsidR="00670D4D" w:rsidRPr="009F0E09" w:rsidP="00E9507C" w14:paraId="7BF4C3FB" w14:textId="77777777">
            <w:pPr>
              <w:ind w:right="-604" w:firstLine="158"/>
              <w:rPr>
                <w:color w:val="000000"/>
                <w:kern w:val="0"/>
              </w:rPr>
            </w:pPr>
            <w:r w:rsidRPr="009F0E09">
              <w:rPr>
                <w:color w:val="000000"/>
                <w:kern w:val="0"/>
              </w:rPr>
              <w:t>B  </w:t>
            </w:r>
          </w:p>
        </w:tc>
      </w:tr>
      <w:tr w14:paraId="7FFD62D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17E27E9" w14:textId="77777777">
            <w:pPr>
              <w:ind w:hanging="378"/>
              <w:jc w:val="center"/>
              <w:rPr>
                <w:color w:val="000000"/>
                <w:kern w:val="0"/>
              </w:rPr>
            </w:pPr>
            <w:r w:rsidRPr="009F0E09">
              <w:rPr>
                <w:color w:val="000000"/>
                <w:kern w:val="0"/>
              </w:rPr>
              <w:t>WPQP888</w:t>
            </w:r>
          </w:p>
        </w:tc>
        <w:tc>
          <w:tcPr>
            <w:tcW w:w="1530" w:type="dxa"/>
            <w:tcBorders>
              <w:top w:val="nil"/>
              <w:left w:val="nil"/>
              <w:bottom w:val="nil"/>
              <w:right w:val="nil"/>
            </w:tcBorders>
            <w:shd w:val="clear" w:color="auto" w:fill="auto"/>
            <w:noWrap/>
            <w:vAlign w:val="bottom"/>
            <w:hideMark/>
          </w:tcPr>
          <w:p w:rsidR="00670D4D" w:rsidRPr="009F0E09" w:rsidP="00E9507C" w14:paraId="5FCDB962" w14:textId="77777777">
            <w:pPr>
              <w:rPr>
                <w:color w:val="000000"/>
                <w:kern w:val="0"/>
              </w:rPr>
            </w:pPr>
            <w:r w:rsidRPr="009F0E09">
              <w:rPr>
                <w:color w:val="000000"/>
                <w:kern w:val="0"/>
              </w:rPr>
              <w:t>BEA025 </w:t>
            </w:r>
          </w:p>
        </w:tc>
        <w:tc>
          <w:tcPr>
            <w:tcW w:w="4950" w:type="dxa"/>
            <w:tcBorders>
              <w:top w:val="nil"/>
              <w:left w:val="nil"/>
              <w:bottom w:val="nil"/>
              <w:right w:val="nil"/>
            </w:tcBorders>
            <w:shd w:val="clear" w:color="auto" w:fill="auto"/>
            <w:noWrap/>
            <w:vAlign w:val="bottom"/>
            <w:hideMark/>
          </w:tcPr>
          <w:p w:rsidR="00670D4D" w:rsidRPr="009F0E09" w:rsidP="00E9507C" w14:paraId="724DD717" w14:textId="77777777">
            <w:pPr>
              <w:rPr>
                <w:color w:val="000000"/>
                <w:kern w:val="0"/>
              </w:rPr>
            </w:pPr>
            <w:r w:rsidRPr="009F0E09">
              <w:rPr>
                <w:color w:val="000000"/>
                <w:kern w:val="0"/>
              </w:rPr>
              <w:t>Wilmington, NC-SC</w:t>
            </w:r>
          </w:p>
        </w:tc>
        <w:tc>
          <w:tcPr>
            <w:tcW w:w="2024" w:type="dxa"/>
            <w:tcBorders>
              <w:top w:val="nil"/>
              <w:left w:val="nil"/>
              <w:bottom w:val="nil"/>
              <w:right w:val="nil"/>
            </w:tcBorders>
            <w:shd w:val="clear" w:color="auto" w:fill="auto"/>
            <w:noWrap/>
            <w:vAlign w:val="bottom"/>
            <w:hideMark/>
          </w:tcPr>
          <w:p w:rsidR="00670D4D" w:rsidRPr="009F0E09" w:rsidP="00E9507C" w14:paraId="2F4187A4" w14:textId="77777777">
            <w:pPr>
              <w:ind w:right="-604" w:firstLine="158"/>
              <w:rPr>
                <w:color w:val="000000"/>
                <w:kern w:val="0"/>
              </w:rPr>
            </w:pPr>
            <w:r w:rsidRPr="009F0E09">
              <w:rPr>
                <w:color w:val="000000"/>
                <w:kern w:val="0"/>
              </w:rPr>
              <w:t>C  </w:t>
            </w:r>
          </w:p>
        </w:tc>
      </w:tr>
      <w:tr w14:paraId="16BA5F6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6C597CA" w14:textId="77777777">
            <w:pPr>
              <w:ind w:hanging="378"/>
              <w:jc w:val="center"/>
              <w:rPr>
                <w:color w:val="000000"/>
                <w:kern w:val="0"/>
              </w:rPr>
            </w:pPr>
            <w:r w:rsidRPr="009F0E09">
              <w:rPr>
                <w:color w:val="000000"/>
                <w:kern w:val="0"/>
              </w:rPr>
              <w:t>WPQP889</w:t>
            </w:r>
          </w:p>
        </w:tc>
        <w:tc>
          <w:tcPr>
            <w:tcW w:w="1530" w:type="dxa"/>
            <w:tcBorders>
              <w:top w:val="nil"/>
              <w:left w:val="nil"/>
              <w:bottom w:val="nil"/>
              <w:right w:val="nil"/>
            </w:tcBorders>
            <w:shd w:val="clear" w:color="auto" w:fill="auto"/>
            <w:noWrap/>
            <w:vAlign w:val="bottom"/>
            <w:hideMark/>
          </w:tcPr>
          <w:p w:rsidR="00670D4D" w:rsidRPr="009F0E09" w:rsidP="00E9507C" w14:paraId="555CF786" w14:textId="77777777">
            <w:pPr>
              <w:rPr>
                <w:color w:val="000000"/>
                <w:kern w:val="0"/>
              </w:rPr>
            </w:pPr>
            <w:r w:rsidRPr="009F0E09">
              <w:rPr>
                <w:color w:val="000000"/>
                <w:kern w:val="0"/>
              </w:rPr>
              <w:t>BEA026 </w:t>
            </w:r>
          </w:p>
        </w:tc>
        <w:tc>
          <w:tcPr>
            <w:tcW w:w="4950" w:type="dxa"/>
            <w:tcBorders>
              <w:top w:val="nil"/>
              <w:left w:val="nil"/>
              <w:bottom w:val="nil"/>
              <w:right w:val="nil"/>
            </w:tcBorders>
            <w:shd w:val="clear" w:color="auto" w:fill="auto"/>
            <w:noWrap/>
            <w:vAlign w:val="bottom"/>
            <w:hideMark/>
          </w:tcPr>
          <w:p w:rsidR="00670D4D" w:rsidRPr="009F0E09" w:rsidP="00E9507C" w14:paraId="6A90B308" w14:textId="77777777">
            <w:pPr>
              <w:rPr>
                <w:color w:val="000000"/>
                <w:kern w:val="0"/>
              </w:rPr>
            </w:pPr>
            <w:r w:rsidRPr="009F0E09">
              <w:rPr>
                <w:color w:val="000000"/>
                <w:kern w:val="0"/>
              </w:rPr>
              <w:t>Charleston-North Charleston, SC</w:t>
            </w:r>
          </w:p>
        </w:tc>
        <w:tc>
          <w:tcPr>
            <w:tcW w:w="2024" w:type="dxa"/>
            <w:tcBorders>
              <w:top w:val="nil"/>
              <w:left w:val="nil"/>
              <w:bottom w:val="nil"/>
              <w:right w:val="nil"/>
            </w:tcBorders>
            <w:shd w:val="clear" w:color="auto" w:fill="auto"/>
            <w:noWrap/>
            <w:vAlign w:val="bottom"/>
            <w:hideMark/>
          </w:tcPr>
          <w:p w:rsidR="00670D4D" w:rsidRPr="009F0E09" w:rsidP="00E9507C" w14:paraId="4C313490" w14:textId="77777777">
            <w:pPr>
              <w:ind w:right="-604" w:firstLine="158"/>
              <w:rPr>
                <w:color w:val="000000"/>
                <w:kern w:val="0"/>
              </w:rPr>
            </w:pPr>
            <w:r w:rsidRPr="009F0E09">
              <w:rPr>
                <w:color w:val="000000"/>
                <w:kern w:val="0"/>
              </w:rPr>
              <w:t>B  </w:t>
            </w:r>
          </w:p>
        </w:tc>
      </w:tr>
      <w:tr w14:paraId="0864E98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6EB3CF4" w14:textId="77777777">
            <w:pPr>
              <w:ind w:hanging="378"/>
              <w:jc w:val="center"/>
              <w:rPr>
                <w:color w:val="000000"/>
                <w:kern w:val="0"/>
              </w:rPr>
            </w:pPr>
            <w:r w:rsidRPr="009F0E09">
              <w:rPr>
                <w:color w:val="000000"/>
                <w:kern w:val="0"/>
              </w:rPr>
              <w:t>WPQP890</w:t>
            </w:r>
          </w:p>
        </w:tc>
        <w:tc>
          <w:tcPr>
            <w:tcW w:w="1530" w:type="dxa"/>
            <w:tcBorders>
              <w:top w:val="nil"/>
              <w:left w:val="nil"/>
              <w:bottom w:val="nil"/>
              <w:right w:val="nil"/>
            </w:tcBorders>
            <w:shd w:val="clear" w:color="auto" w:fill="auto"/>
            <w:noWrap/>
            <w:vAlign w:val="bottom"/>
            <w:hideMark/>
          </w:tcPr>
          <w:p w:rsidR="00670D4D" w:rsidRPr="009F0E09" w:rsidP="00E9507C" w14:paraId="098E0F25" w14:textId="77777777">
            <w:pPr>
              <w:rPr>
                <w:color w:val="000000"/>
                <w:kern w:val="0"/>
              </w:rPr>
            </w:pPr>
            <w:r w:rsidRPr="009F0E09">
              <w:rPr>
                <w:color w:val="000000"/>
                <w:kern w:val="0"/>
              </w:rPr>
              <w:t>BEA026 </w:t>
            </w:r>
          </w:p>
        </w:tc>
        <w:tc>
          <w:tcPr>
            <w:tcW w:w="4950" w:type="dxa"/>
            <w:tcBorders>
              <w:top w:val="nil"/>
              <w:left w:val="nil"/>
              <w:bottom w:val="nil"/>
              <w:right w:val="nil"/>
            </w:tcBorders>
            <w:shd w:val="clear" w:color="auto" w:fill="auto"/>
            <w:noWrap/>
            <w:vAlign w:val="bottom"/>
            <w:hideMark/>
          </w:tcPr>
          <w:p w:rsidR="00670D4D" w:rsidRPr="009F0E09" w:rsidP="00E9507C" w14:paraId="29E7C241" w14:textId="77777777">
            <w:pPr>
              <w:rPr>
                <w:color w:val="000000"/>
                <w:kern w:val="0"/>
              </w:rPr>
            </w:pPr>
            <w:r w:rsidRPr="009F0E09">
              <w:rPr>
                <w:color w:val="000000"/>
                <w:kern w:val="0"/>
              </w:rPr>
              <w:t>Charleston-North Charleston, SC</w:t>
            </w:r>
          </w:p>
        </w:tc>
        <w:tc>
          <w:tcPr>
            <w:tcW w:w="2024" w:type="dxa"/>
            <w:tcBorders>
              <w:top w:val="nil"/>
              <w:left w:val="nil"/>
              <w:bottom w:val="nil"/>
              <w:right w:val="nil"/>
            </w:tcBorders>
            <w:shd w:val="clear" w:color="auto" w:fill="auto"/>
            <w:noWrap/>
            <w:vAlign w:val="bottom"/>
            <w:hideMark/>
          </w:tcPr>
          <w:p w:rsidR="00670D4D" w:rsidRPr="009F0E09" w:rsidP="00E9507C" w14:paraId="3B13F9DA" w14:textId="77777777">
            <w:pPr>
              <w:ind w:right="-604" w:firstLine="158"/>
              <w:rPr>
                <w:color w:val="000000"/>
                <w:kern w:val="0"/>
              </w:rPr>
            </w:pPr>
            <w:r w:rsidRPr="009F0E09">
              <w:rPr>
                <w:color w:val="000000"/>
                <w:kern w:val="0"/>
              </w:rPr>
              <w:t>C  </w:t>
            </w:r>
          </w:p>
        </w:tc>
      </w:tr>
      <w:tr w14:paraId="4DB28BE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2609965" w14:textId="77777777">
            <w:pPr>
              <w:ind w:hanging="378"/>
              <w:jc w:val="center"/>
              <w:rPr>
                <w:color w:val="000000"/>
                <w:kern w:val="0"/>
              </w:rPr>
            </w:pPr>
            <w:r w:rsidRPr="009F0E09">
              <w:rPr>
                <w:color w:val="000000"/>
                <w:kern w:val="0"/>
              </w:rPr>
              <w:t>WPQP891</w:t>
            </w:r>
          </w:p>
        </w:tc>
        <w:tc>
          <w:tcPr>
            <w:tcW w:w="1530" w:type="dxa"/>
            <w:tcBorders>
              <w:top w:val="nil"/>
              <w:left w:val="nil"/>
              <w:bottom w:val="nil"/>
              <w:right w:val="nil"/>
            </w:tcBorders>
            <w:shd w:val="clear" w:color="auto" w:fill="auto"/>
            <w:noWrap/>
            <w:vAlign w:val="bottom"/>
            <w:hideMark/>
          </w:tcPr>
          <w:p w:rsidR="00670D4D" w:rsidRPr="009F0E09" w:rsidP="00E9507C" w14:paraId="6EE982FE" w14:textId="77777777">
            <w:pPr>
              <w:rPr>
                <w:color w:val="000000"/>
                <w:kern w:val="0"/>
              </w:rPr>
            </w:pPr>
            <w:r w:rsidRPr="009F0E09">
              <w:rPr>
                <w:color w:val="000000"/>
                <w:kern w:val="0"/>
              </w:rPr>
              <w:t>BEA027 </w:t>
            </w:r>
          </w:p>
        </w:tc>
        <w:tc>
          <w:tcPr>
            <w:tcW w:w="4950" w:type="dxa"/>
            <w:tcBorders>
              <w:top w:val="nil"/>
              <w:left w:val="nil"/>
              <w:bottom w:val="nil"/>
              <w:right w:val="nil"/>
            </w:tcBorders>
            <w:shd w:val="clear" w:color="auto" w:fill="auto"/>
            <w:noWrap/>
            <w:vAlign w:val="bottom"/>
            <w:hideMark/>
          </w:tcPr>
          <w:p w:rsidR="00670D4D" w:rsidRPr="009F0E09" w:rsidP="00E9507C" w14:paraId="0F53392C" w14:textId="77777777">
            <w:pPr>
              <w:rPr>
                <w:color w:val="000000"/>
                <w:kern w:val="0"/>
              </w:rPr>
            </w:pPr>
            <w:r w:rsidRPr="009F0E09">
              <w:rPr>
                <w:color w:val="000000"/>
                <w:kern w:val="0"/>
              </w:rPr>
              <w:t>Augusta-Aiken, GA-SC</w:t>
            </w:r>
          </w:p>
        </w:tc>
        <w:tc>
          <w:tcPr>
            <w:tcW w:w="2024" w:type="dxa"/>
            <w:tcBorders>
              <w:top w:val="nil"/>
              <w:left w:val="nil"/>
              <w:bottom w:val="nil"/>
              <w:right w:val="nil"/>
            </w:tcBorders>
            <w:shd w:val="clear" w:color="auto" w:fill="auto"/>
            <w:noWrap/>
            <w:vAlign w:val="bottom"/>
            <w:hideMark/>
          </w:tcPr>
          <w:p w:rsidR="00670D4D" w:rsidRPr="009F0E09" w:rsidP="00E9507C" w14:paraId="06C4F9DF" w14:textId="77777777">
            <w:pPr>
              <w:ind w:right="-604" w:firstLine="158"/>
              <w:rPr>
                <w:color w:val="000000"/>
                <w:kern w:val="0"/>
              </w:rPr>
            </w:pPr>
            <w:r w:rsidRPr="009F0E09">
              <w:rPr>
                <w:color w:val="000000"/>
                <w:kern w:val="0"/>
              </w:rPr>
              <w:t>B  </w:t>
            </w:r>
          </w:p>
        </w:tc>
      </w:tr>
      <w:tr w14:paraId="5B9BE653"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5AEA125" w14:textId="77777777">
            <w:pPr>
              <w:ind w:hanging="378"/>
              <w:jc w:val="center"/>
              <w:rPr>
                <w:color w:val="000000"/>
                <w:kern w:val="0"/>
              </w:rPr>
            </w:pPr>
            <w:r w:rsidRPr="009F0E09">
              <w:rPr>
                <w:color w:val="000000"/>
                <w:kern w:val="0"/>
              </w:rPr>
              <w:t>WPQP892</w:t>
            </w:r>
          </w:p>
        </w:tc>
        <w:tc>
          <w:tcPr>
            <w:tcW w:w="1530" w:type="dxa"/>
            <w:tcBorders>
              <w:top w:val="nil"/>
              <w:left w:val="nil"/>
              <w:bottom w:val="nil"/>
              <w:right w:val="nil"/>
            </w:tcBorders>
            <w:shd w:val="clear" w:color="auto" w:fill="auto"/>
            <w:noWrap/>
            <w:vAlign w:val="bottom"/>
            <w:hideMark/>
          </w:tcPr>
          <w:p w:rsidR="00670D4D" w:rsidRPr="009F0E09" w:rsidP="00E9507C" w14:paraId="2768DC10" w14:textId="77777777">
            <w:pPr>
              <w:rPr>
                <w:color w:val="000000"/>
                <w:kern w:val="0"/>
              </w:rPr>
            </w:pPr>
            <w:r w:rsidRPr="009F0E09">
              <w:rPr>
                <w:color w:val="000000"/>
                <w:kern w:val="0"/>
              </w:rPr>
              <w:t>BEA027 </w:t>
            </w:r>
          </w:p>
        </w:tc>
        <w:tc>
          <w:tcPr>
            <w:tcW w:w="4950" w:type="dxa"/>
            <w:tcBorders>
              <w:top w:val="nil"/>
              <w:left w:val="nil"/>
              <w:bottom w:val="nil"/>
              <w:right w:val="nil"/>
            </w:tcBorders>
            <w:shd w:val="clear" w:color="auto" w:fill="auto"/>
            <w:noWrap/>
            <w:vAlign w:val="bottom"/>
            <w:hideMark/>
          </w:tcPr>
          <w:p w:rsidR="00670D4D" w:rsidRPr="009F0E09" w:rsidP="00E9507C" w14:paraId="7CCF208F" w14:textId="77777777">
            <w:pPr>
              <w:rPr>
                <w:color w:val="000000"/>
                <w:kern w:val="0"/>
              </w:rPr>
            </w:pPr>
            <w:r w:rsidRPr="009F0E09">
              <w:rPr>
                <w:color w:val="000000"/>
                <w:kern w:val="0"/>
              </w:rPr>
              <w:t>Augusta-Aiken, GA-SC</w:t>
            </w:r>
          </w:p>
        </w:tc>
        <w:tc>
          <w:tcPr>
            <w:tcW w:w="2024" w:type="dxa"/>
            <w:tcBorders>
              <w:top w:val="nil"/>
              <w:left w:val="nil"/>
              <w:bottom w:val="nil"/>
              <w:right w:val="nil"/>
            </w:tcBorders>
            <w:shd w:val="clear" w:color="auto" w:fill="auto"/>
            <w:noWrap/>
            <w:vAlign w:val="bottom"/>
            <w:hideMark/>
          </w:tcPr>
          <w:p w:rsidR="00670D4D" w:rsidRPr="009F0E09" w:rsidP="00E9507C" w14:paraId="31210A7B" w14:textId="77777777">
            <w:pPr>
              <w:ind w:right="-604" w:firstLine="158"/>
              <w:rPr>
                <w:color w:val="000000"/>
                <w:kern w:val="0"/>
              </w:rPr>
            </w:pPr>
            <w:r w:rsidRPr="009F0E09">
              <w:rPr>
                <w:color w:val="000000"/>
                <w:kern w:val="0"/>
              </w:rPr>
              <w:t>C  </w:t>
            </w:r>
          </w:p>
        </w:tc>
      </w:tr>
      <w:tr w14:paraId="43A3D84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6DFEF99" w14:textId="77777777">
            <w:pPr>
              <w:ind w:hanging="378"/>
              <w:jc w:val="center"/>
              <w:rPr>
                <w:color w:val="000000"/>
                <w:kern w:val="0"/>
              </w:rPr>
            </w:pPr>
            <w:r w:rsidRPr="009F0E09">
              <w:rPr>
                <w:color w:val="000000"/>
                <w:kern w:val="0"/>
              </w:rPr>
              <w:t>WPQP893</w:t>
            </w:r>
          </w:p>
        </w:tc>
        <w:tc>
          <w:tcPr>
            <w:tcW w:w="1530" w:type="dxa"/>
            <w:tcBorders>
              <w:top w:val="nil"/>
              <w:left w:val="nil"/>
              <w:bottom w:val="nil"/>
              <w:right w:val="nil"/>
            </w:tcBorders>
            <w:shd w:val="clear" w:color="auto" w:fill="auto"/>
            <w:noWrap/>
            <w:vAlign w:val="bottom"/>
            <w:hideMark/>
          </w:tcPr>
          <w:p w:rsidR="00670D4D" w:rsidRPr="009F0E09" w:rsidP="00E9507C" w14:paraId="57F77435" w14:textId="77777777">
            <w:pPr>
              <w:rPr>
                <w:color w:val="000000"/>
                <w:kern w:val="0"/>
              </w:rPr>
            </w:pPr>
            <w:r w:rsidRPr="009F0E09">
              <w:rPr>
                <w:color w:val="000000"/>
                <w:kern w:val="0"/>
              </w:rPr>
              <w:t>BEA028 </w:t>
            </w:r>
          </w:p>
        </w:tc>
        <w:tc>
          <w:tcPr>
            <w:tcW w:w="4950" w:type="dxa"/>
            <w:tcBorders>
              <w:top w:val="nil"/>
              <w:left w:val="nil"/>
              <w:bottom w:val="nil"/>
              <w:right w:val="nil"/>
            </w:tcBorders>
            <w:shd w:val="clear" w:color="auto" w:fill="auto"/>
            <w:noWrap/>
            <w:vAlign w:val="bottom"/>
            <w:hideMark/>
          </w:tcPr>
          <w:p w:rsidR="00670D4D" w:rsidRPr="009F0E09" w:rsidP="00E9507C" w14:paraId="4B31F4DD" w14:textId="77777777">
            <w:pPr>
              <w:rPr>
                <w:color w:val="000000"/>
                <w:kern w:val="0"/>
              </w:rPr>
            </w:pPr>
            <w:r w:rsidRPr="009F0E09">
              <w:rPr>
                <w:color w:val="000000"/>
                <w:kern w:val="0"/>
              </w:rPr>
              <w:t>Savannah, GA-SC</w:t>
            </w:r>
          </w:p>
        </w:tc>
        <w:tc>
          <w:tcPr>
            <w:tcW w:w="2024" w:type="dxa"/>
            <w:tcBorders>
              <w:top w:val="nil"/>
              <w:left w:val="nil"/>
              <w:bottom w:val="nil"/>
              <w:right w:val="nil"/>
            </w:tcBorders>
            <w:shd w:val="clear" w:color="auto" w:fill="auto"/>
            <w:noWrap/>
            <w:vAlign w:val="bottom"/>
            <w:hideMark/>
          </w:tcPr>
          <w:p w:rsidR="00670D4D" w:rsidRPr="009F0E09" w:rsidP="00E9507C" w14:paraId="568B936E" w14:textId="77777777">
            <w:pPr>
              <w:ind w:right="-604" w:firstLine="158"/>
              <w:rPr>
                <w:color w:val="000000"/>
                <w:kern w:val="0"/>
              </w:rPr>
            </w:pPr>
            <w:r w:rsidRPr="009F0E09">
              <w:rPr>
                <w:color w:val="000000"/>
                <w:kern w:val="0"/>
              </w:rPr>
              <w:t>B  </w:t>
            </w:r>
          </w:p>
        </w:tc>
      </w:tr>
      <w:tr w14:paraId="6588357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FADC6AE" w14:textId="77777777">
            <w:pPr>
              <w:ind w:hanging="378"/>
              <w:jc w:val="center"/>
              <w:rPr>
                <w:color w:val="000000"/>
                <w:kern w:val="0"/>
              </w:rPr>
            </w:pPr>
            <w:r w:rsidRPr="009F0E09">
              <w:rPr>
                <w:color w:val="000000"/>
                <w:kern w:val="0"/>
              </w:rPr>
              <w:t>WPQP894</w:t>
            </w:r>
          </w:p>
        </w:tc>
        <w:tc>
          <w:tcPr>
            <w:tcW w:w="1530" w:type="dxa"/>
            <w:tcBorders>
              <w:top w:val="nil"/>
              <w:left w:val="nil"/>
              <w:bottom w:val="nil"/>
              <w:right w:val="nil"/>
            </w:tcBorders>
            <w:shd w:val="clear" w:color="auto" w:fill="auto"/>
            <w:noWrap/>
            <w:vAlign w:val="bottom"/>
            <w:hideMark/>
          </w:tcPr>
          <w:p w:rsidR="00670D4D" w:rsidRPr="009F0E09" w:rsidP="00E9507C" w14:paraId="48ABF0B4" w14:textId="77777777">
            <w:pPr>
              <w:rPr>
                <w:color w:val="000000"/>
                <w:kern w:val="0"/>
              </w:rPr>
            </w:pPr>
            <w:r w:rsidRPr="009F0E09">
              <w:rPr>
                <w:color w:val="000000"/>
                <w:kern w:val="0"/>
              </w:rPr>
              <w:t>BEA028 </w:t>
            </w:r>
          </w:p>
        </w:tc>
        <w:tc>
          <w:tcPr>
            <w:tcW w:w="4950" w:type="dxa"/>
            <w:tcBorders>
              <w:top w:val="nil"/>
              <w:left w:val="nil"/>
              <w:bottom w:val="nil"/>
              <w:right w:val="nil"/>
            </w:tcBorders>
            <w:shd w:val="clear" w:color="auto" w:fill="auto"/>
            <w:noWrap/>
            <w:vAlign w:val="bottom"/>
            <w:hideMark/>
          </w:tcPr>
          <w:p w:rsidR="00670D4D" w:rsidRPr="009F0E09" w:rsidP="00E9507C" w14:paraId="073E0E06" w14:textId="77777777">
            <w:pPr>
              <w:rPr>
                <w:color w:val="000000"/>
                <w:kern w:val="0"/>
              </w:rPr>
            </w:pPr>
            <w:r w:rsidRPr="009F0E09">
              <w:rPr>
                <w:color w:val="000000"/>
                <w:kern w:val="0"/>
              </w:rPr>
              <w:t>Savannah, GA-SC</w:t>
            </w:r>
          </w:p>
        </w:tc>
        <w:tc>
          <w:tcPr>
            <w:tcW w:w="2024" w:type="dxa"/>
            <w:tcBorders>
              <w:top w:val="nil"/>
              <w:left w:val="nil"/>
              <w:bottom w:val="nil"/>
              <w:right w:val="nil"/>
            </w:tcBorders>
            <w:shd w:val="clear" w:color="auto" w:fill="auto"/>
            <w:noWrap/>
            <w:vAlign w:val="bottom"/>
            <w:hideMark/>
          </w:tcPr>
          <w:p w:rsidR="00670D4D" w:rsidRPr="009F0E09" w:rsidP="00E9507C" w14:paraId="72ACAD7B" w14:textId="77777777">
            <w:pPr>
              <w:ind w:right="-604" w:firstLine="158"/>
              <w:rPr>
                <w:color w:val="000000"/>
                <w:kern w:val="0"/>
              </w:rPr>
            </w:pPr>
            <w:r w:rsidRPr="009F0E09">
              <w:rPr>
                <w:color w:val="000000"/>
                <w:kern w:val="0"/>
              </w:rPr>
              <w:t>C  </w:t>
            </w:r>
          </w:p>
        </w:tc>
      </w:tr>
      <w:tr w14:paraId="64F7C2B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5778107" w14:textId="77777777">
            <w:pPr>
              <w:ind w:hanging="378"/>
              <w:jc w:val="center"/>
              <w:rPr>
                <w:color w:val="000000"/>
                <w:kern w:val="0"/>
              </w:rPr>
            </w:pPr>
            <w:r w:rsidRPr="009F0E09">
              <w:rPr>
                <w:color w:val="000000"/>
                <w:kern w:val="0"/>
              </w:rPr>
              <w:t>WPQP901</w:t>
            </w:r>
          </w:p>
        </w:tc>
        <w:tc>
          <w:tcPr>
            <w:tcW w:w="1530" w:type="dxa"/>
            <w:tcBorders>
              <w:top w:val="nil"/>
              <w:left w:val="nil"/>
              <w:bottom w:val="nil"/>
              <w:right w:val="nil"/>
            </w:tcBorders>
            <w:shd w:val="clear" w:color="auto" w:fill="auto"/>
            <w:noWrap/>
            <w:vAlign w:val="bottom"/>
            <w:hideMark/>
          </w:tcPr>
          <w:p w:rsidR="00670D4D" w:rsidRPr="009F0E09" w:rsidP="00E9507C" w14:paraId="449DB3DF" w14:textId="77777777">
            <w:pPr>
              <w:rPr>
                <w:color w:val="000000"/>
                <w:kern w:val="0"/>
              </w:rPr>
            </w:pPr>
            <w:r w:rsidRPr="009F0E09">
              <w:rPr>
                <w:color w:val="000000"/>
                <w:kern w:val="0"/>
              </w:rPr>
              <w:t>BEA032 </w:t>
            </w:r>
          </w:p>
        </w:tc>
        <w:tc>
          <w:tcPr>
            <w:tcW w:w="4950" w:type="dxa"/>
            <w:tcBorders>
              <w:top w:val="nil"/>
              <w:left w:val="nil"/>
              <w:bottom w:val="nil"/>
              <w:right w:val="nil"/>
            </w:tcBorders>
            <w:shd w:val="clear" w:color="auto" w:fill="auto"/>
            <w:noWrap/>
            <w:vAlign w:val="bottom"/>
            <w:hideMark/>
          </w:tcPr>
          <w:p w:rsidR="00670D4D" w:rsidRPr="009F0E09" w:rsidP="00E9507C" w14:paraId="710A530B" w14:textId="77777777">
            <w:pPr>
              <w:rPr>
                <w:color w:val="000000"/>
                <w:kern w:val="0"/>
              </w:rPr>
            </w:pPr>
            <w:r w:rsidRPr="009F0E09">
              <w:rPr>
                <w:color w:val="000000"/>
                <w:kern w:val="0"/>
              </w:rPr>
              <w:t>Fort Myers-Cape Coral, FL</w:t>
            </w:r>
          </w:p>
        </w:tc>
        <w:tc>
          <w:tcPr>
            <w:tcW w:w="2024" w:type="dxa"/>
            <w:tcBorders>
              <w:top w:val="nil"/>
              <w:left w:val="nil"/>
              <w:bottom w:val="nil"/>
              <w:right w:val="nil"/>
            </w:tcBorders>
            <w:shd w:val="clear" w:color="auto" w:fill="auto"/>
            <w:noWrap/>
            <w:vAlign w:val="bottom"/>
            <w:hideMark/>
          </w:tcPr>
          <w:p w:rsidR="00670D4D" w:rsidRPr="009F0E09" w:rsidP="00E9507C" w14:paraId="3420AF74" w14:textId="77777777">
            <w:pPr>
              <w:ind w:right="-604" w:firstLine="158"/>
              <w:rPr>
                <w:color w:val="000000"/>
                <w:kern w:val="0"/>
              </w:rPr>
            </w:pPr>
            <w:r w:rsidRPr="009F0E09">
              <w:rPr>
                <w:color w:val="000000"/>
                <w:kern w:val="0"/>
              </w:rPr>
              <w:t>B  </w:t>
            </w:r>
          </w:p>
        </w:tc>
      </w:tr>
      <w:tr w14:paraId="5ADE0AB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FF4DA11" w14:textId="77777777">
            <w:pPr>
              <w:ind w:hanging="378"/>
              <w:jc w:val="center"/>
              <w:rPr>
                <w:color w:val="000000"/>
                <w:kern w:val="0"/>
              </w:rPr>
            </w:pPr>
            <w:r w:rsidRPr="009F0E09">
              <w:rPr>
                <w:color w:val="000000"/>
                <w:kern w:val="0"/>
              </w:rPr>
              <w:t>WPQP902</w:t>
            </w:r>
          </w:p>
        </w:tc>
        <w:tc>
          <w:tcPr>
            <w:tcW w:w="1530" w:type="dxa"/>
            <w:tcBorders>
              <w:top w:val="nil"/>
              <w:left w:val="nil"/>
              <w:bottom w:val="nil"/>
              <w:right w:val="nil"/>
            </w:tcBorders>
            <w:shd w:val="clear" w:color="auto" w:fill="auto"/>
            <w:noWrap/>
            <w:vAlign w:val="bottom"/>
            <w:hideMark/>
          </w:tcPr>
          <w:p w:rsidR="00670D4D" w:rsidRPr="009F0E09" w:rsidP="00E9507C" w14:paraId="3F5E88E1" w14:textId="77777777">
            <w:pPr>
              <w:rPr>
                <w:color w:val="000000"/>
                <w:kern w:val="0"/>
              </w:rPr>
            </w:pPr>
            <w:r w:rsidRPr="009F0E09">
              <w:rPr>
                <w:color w:val="000000"/>
                <w:kern w:val="0"/>
              </w:rPr>
              <w:t>BEA032 </w:t>
            </w:r>
          </w:p>
        </w:tc>
        <w:tc>
          <w:tcPr>
            <w:tcW w:w="4950" w:type="dxa"/>
            <w:tcBorders>
              <w:top w:val="nil"/>
              <w:left w:val="nil"/>
              <w:bottom w:val="nil"/>
              <w:right w:val="nil"/>
            </w:tcBorders>
            <w:shd w:val="clear" w:color="auto" w:fill="auto"/>
            <w:noWrap/>
            <w:vAlign w:val="bottom"/>
            <w:hideMark/>
          </w:tcPr>
          <w:p w:rsidR="00670D4D" w:rsidRPr="009F0E09" w:rsidP="00E9507C" w14:paraId="28B5FD40" w14:textId="77777777">
            <w:pPr>
              <w:rPr>
                <w:color w:val="000000"/>
                <w:kern w:val="0"/>
              </w:rPr>
            </w:pPr>
            <w:r w:rsidRPr="009F0E09">
              <w:rPr>
                <w:color w:val="000000"/>
                <w:kern w:val="0"/>
              </w:rPr>
              <w:t>Fort Myers-Cape Coral, FL</w:t>
            </w:r>
          </w:p>
        </w:tc>
        <w:tc>
          <w:tcPr>
            <w:tcW w:w="2024" w:type="dxa"/>
            <w:tcBorders>
              <w:top w:val="nil"/>
              <w:left w:val="nil"/>
              <w:bottom w:val="nil"/>
              <w:right w:val="nil"/>
            </w:tcBorders>
            <w:shd w:val="clear" w:color="auto" w:fill="auto"/>
            <w:noWrap/>
            <w:vAlign w:val="bottom"/>
            <w:hideMark/>
          </w:tcPr>
          <w:p w:rsidR="00670D4D" w:rsidRPr="009F0E09" w:rsidP="00E9507C" w14:paraId="68C14E19" w14:textId="77777777">
            <w:pPr>
              <w:ind w:right="-604" w:firstLine="158"/>
              <w:rPr>
                <w:color w:val="000000"/>
                <w:kern w:val="0"/>
              </w:rPr>
            </w:pPr>
            <w:r w:rsidRPr="009F0E09">
              <w:rPr>
                <w:color w:val="000000"/>
                <w:kern w:val="0"/>
              </w:rPr>
              <w:t>C  </w:t>
            </w:r>
          </w:p>
        </w:tc>
      </w:tr>
      <w:tr w14:paraId="34E26BC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34E156E" w14:textId="77777777">
            <w:pPr>
              <w:ind w:hanging="378"/>
              <w:jc w:val="center"/>
              <w:rPr>
                <w:color w:val="000000"/>
                <w:kern w:val="0"/>
              </w:rPr>
            </w:pPr>
            <w:r w:rsidRPr="009F0E09">
              <w:rPr>
                <w:color w:val="000000"/>
                <w:kern w:val="0"/>
              </w:rPr>
              <w:t>WPQP903</w:t>
            </w:r>
          </w:p>
        </w:tc>
        <w:tc>
          <w:tcPr>
            <w:tcW w:w="1530" w:type="dxa"/>
            <w:tcBorders>
              <w:top w:val="nil"/>
              <w:left w:val="nil"/>
              <w:bottom w:val="nil"/>
              <w:right w:val="nil"/>
            </w:tcBorders>
            <w:shd w:val="clear" w:color="auto" w:fill="auto"/>
            <w:noWrap/>
            <w:vAlign w:val="bottom"/>
            <w:hideMark/>
          </w:tcPr>
          <w:p w:rsidR="00670D4D" w:rsidRPr="009F0E09" w:rsidP="00E9507C" w14:paraId="3598D59C" w14:textId="77777777">
            <w:pPr>
              <w:rPr>
                <w:color w:val="000000"/>
                <w:kern w:val="0"/>
              </w:rPr>
            </w:pPr>
            <w:r w:rsidRPr="009F0E09">
              <w:rPr>
                <w:color w:val="000000"/>
                <w:kern w:val="0"/>
              </w:rPr>
              <w:t>BEA033 </w:t>
            </w:r>
          </w:p>
        </w:tc>
        <w:tc>
          <w:tcPr>
            <w:tcW w:w="4950" w:type="dxa"/>
            <w:tcBorders>
              <w:top w:val="nil"/>
              <w:left w:val="nil"/>
              <w:bottom w:val="nil"/>
              <w:right w:val="nil"/>
            </w:tcBorders>
            <w:shd w:val="clear" w:color="auto" w:fill="auto"/>
            <w:noWrap/>
            <w:vAlign w:val="bottom"/>
            <w:hideMark/>
          </w:tcPr>
          <w:p w:rsidR="00670D4D" w:rsidRPr="009F0E09" w:rsidP="00E9507C" w14:paraId="43478170" w14:textId="77777777">
            <w:pPr>
              <w:rPr>
                <w:color w:val="000000"/>
                <w:kern w:val="0"/>
              </w:rPr>
            </w:pPr>
            <w:r w:rsidRPr="009F0E09">
              <w:rPr>
                <w:color w:val="000000"/>
                <w:kern w:val="0"/>
              </w:rPr>
              <w:t>Sarasota-Bradenton, FL </w:t>
            </w:r>
          </w:p>
        </w:tc>
        <w:tc>
          <w:tcPr>
            <w:tcW w:w="2024" w:type="dxa"/>
            <w:tcBorders>
              <w:top w:val="nil"/>
              <w:left w:val="nil"/>
              <w:bottom w:val="nil"/>
              <w:right w:val="nil"/>
            </w:tcBorders>
            <w:shd w:val="clear" w:color="auto" w:fill="auto"/>
            <w:noWrap/>
            <w:vAlign w:val="bottom"/>
            <w:hideMark/>
          </w:tcPr>
          <w:p w:rsidR="00670D4D" w:rsidRPr="009F0E09" w:rsidP="00E9507C" w14:paraId="293D6F45" w14:textId="77777777">
            <w:pPr>
              <w:ind w:right="-604" w:firstLine="158"/>
              <w:rPr>
                <w:color w:val="000000"/>
                <w:kern w:val="0"/>
              </w:rPr>
            </w:pPr>
            <w:r w:rsidRPr="009F0E09">
              <w:rPr>
                <w:color w:val="000000"/>
                <w:kern w:val="0"/>
              </w:rPr>
              <w:t>B  </w:t>
            </w:r>
          </w:p>
        </w:tc>
      </w:tr>
      <w:tr w14:paraId="1944B4C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D4D9698" w14:textId="77777777">
            <w:pPr>
              <w:ind w:hanging="378"/>
              <w:jc w:val="center"/>
              <w:rPr>
                <w:color w:val="000000"/>
                <w:kern w:val="0"/>
              </w:rPr>
            </w:pPr>
            <w:r w:rsidRPr="009F0E09">
              <w:rPr>
                <w:color w:val="000000"/>
                <w:kern w:val="0"/>
              </w:rPr>
              <w:t>WPQP904</w:t>
            </w:r>
          </w:p>
        </w:tc>
        <w:tc>
          <w:tcPr>
            <w:tcW w:w="1530" w:type="dxa"/>
            <w:tcBorders>
              <w:top w:val="nil"/>
              <w:left w:val="nil"/>
              <w:bottom w:val="nil"/>
              <w:right w:val="nil"/>
            </w:tcBorders>
            <w:shd w:val="clear" w:color="auto" w:fill="auto"/>
            <w:noWrap/>
            <w:vAlign w:val="bottom"/>
            <w:hideMark/>
          </w:tcPr>
          <w:p w:rsidR="00670D4D" w:rsidRPr="009F0E09" w:rsidP="00E9507C" w14:paraId="5497353C" w14:textId="77777777">
            <w:pPr>
              <w:rPr>
                <w:color w:val="000000"/>
                <w:kern w:val="0"/>
              </w:rPr>
            </w:pPr>
            <w:r w:rsidRPr="009F0E09">
              <w:rPr>
                <w:color w:val="000000"/>
                <w:kern w:val="0"/>
              </w:rPr>
              <w:t>BEA033 </w:t>
            </w:r>
          </w:p>
        </w:tc>
        <w:tc>
          <w:tcPr>
            <w:tcW w:w="4950" w:type="dxa"/>
            <w:tcBorders>
              <w:top w:val="nil"/>
              <w:left w:val="nil"/>
              <w:bottom w:val="nil"/>
              <w:right w:val="nil"/>
            </w:tcBorders>
            <w:shd w:val="clear" w:color="auto" w:fill="auto"/>
            <w:noWrap/>
            <w:vAlign w:val="bottom"/>
            <w:hideMark/>
          </w:tcPr>
          <w:p w:rsidR="00670D4D" w:rsidRPr="009F0E09" w:rsidP="00E9507C" w14:paraId="47E22DEA" w14:textId="77777777">
            <w:pPr>
              <w:rPr>
                <w:color w:val="000000"/>
                <w:kern w:val="0"/>
              </w:rPr>
            </w:pPr>
            <w:r w:rsidRPr="009F0E09">
              <w:rPr>
                <w:color w:val="000000"/>
                <w:kern w:val="0"/>
              </w:rPr>
              <w:t>Sarasota-Bradenton, FL </w:t>
            </w:r>
          </w:p>
        </w:tc>
        <w:tc>
          <w:tcPr>
            <w:tcW w:w="2024" w:type="dxa"/>
            <w:tcBorders>
              <w:top w:val="nil"/>
              <w:left w:val="nil"/>
              <w:bottom w:val="nil"/>
              <w:right w:val="nil"/>
            </w:tcBorders>
            <w:shd w:val="clear" w:color="auto" w:fill="auto"/>
            <w:noWrap/>
            <w:vAlign w:val="bottom"/>
            <w:hideMark/>
          </w:tcPr>
          <w:p w:rsidR="00670D4D" w:rsidRPr="009F0E09" w:rsidP="00E9507C" w14:paraId="4B085228" w14:textId="77777777">
            <w:pPr>
              <w:ind w:right="-604" w:firstLine="158"/>
              <w:rPr>
                <w:color w:val="000000"/>
                <w:kern w:val="0"/>
              </w:rPr>
            </w:pPr>
            <w:r w:rsidRPr="009F0E09">
              <w:rPr>
                <w:color w:val="000000"/>
                <w:kern w:val="0"/>
              </w:rPr>
              <w:t>C  </w:t>
            </w:r>
          </w:p>
        </w:tc>
      </w:tr>
      <w:tr w14:paraId="2540BFD5"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BD9085E" w14:textId="77777777">
            <w:pPr>
              <w:ind w:hanging="378"/>
              <w:jc w:val="center"/>
              <w:rPr>
                <w:color w:val="000000"/>
                <w:kern w:val="0"/>
              </w:rPr>
            </w:pPr>
            <w:r w:rsidRPr="009F0E09">
              <w:rPr>
                <w:color w:val="000000"/>
                <w:kern w:val="0"/>
              </w:rPr>
              <w:t>WPQP907</w:t>
            </w:r>
          </w:p>
        </w:tc>
        <w:tc>
          <w:tcPr>
            <w:tcW w:w="1530" w:type="dxa"/>
            <w:tcBorders>
              <w:top w:val="nil"/>
              <w:left w:val="nil"/>
              <w:bottom w:val="nil"/>
              <w:right w:val="nil"/>
            </w:tcBorders>
            <w:shd w:val="clear" w:color="auto" w:fill="auto"/>
            <w:noWrap/>
            <w:vAlign w:val="bottom"/>
            <w:hideMark/>
          </w:tcPr>
          <w:p w:rsidR="00670D4D" w:rsidRPr="009F0E09" w:rsidP="00E9507C" w14:paraId="5022ED91" w14:textId="77777777">
            <w:pPr>
              <w:rPr>
                <w:color w:val="000000"/>
                <w:kern w:val="0"/>
              </w:rPr>
            </w:pPr>
            <w:r w:rsidRPr="009F0E09">
              <w:rPr>
                <w:color w:val="000000"/>
                <w:kern w:val="0"/>
              </w:rPr>
              <w:t>BEA035 </w:t>
            </w:r>
          </w:p>
        </w:tc>
        <w:tc>
          <w:tcPr>
            <w:tcW w:w="4950" w:type="dxa"/>
            <w:tcBorders>
              <w:top w:val="nil"/>
              <w:left w:val="nil"/>
              <w:bottom w:val="nil"/>
              <w:right w:val="nil"/>
            </w:tcBorders>
            <w:shd w:val="clear" w:color="auto" w:fill="auto"/>
            <w:noWrap/>
            <w:vAlign w:val="bottom"/>
            <w:hideMark/>
          </w:tcPr>
          <w:p w:rsidR="00670D4D" w:rsidRPr="009F0E09" w:rsidP="00E9507C" w14:paraId="6700B169" w14:textId="77777777">
            <w:pPr>
              <w:rPr>
                <w:color w:val="000000"/>
                <w:kern w:val="0"/>
              </w:rPr>
            </w:pPr>
            <w:r w:rsidRPr="009F0E09">
              <w:rPr>
                <w:color w:val="000000"/>
                <w:kern w:val="0"/>
              </w:rPr>
              <w:t>Tallahassee, FL-GA</w:t>
            </w:r>
          </w:p>
        </w:tc>
        <w:tc>
          <w:tcPr>
            <w:tcW w:w="2024" w:type="dxa"/>
            <w:tcBorders>
              <w:top w:val="nil"/>
              <w:left w:val="nil"/>
              <w:bottom w:val="nil"/>
              <w:right w:val="nil"/>
            </w:tcBorders>
            <w:shd w:val="clear" w:color="auto" w:fill="auto"/>
            <w:noWrap/>
            <w:vAlign w:val="bottom"/>
            <w:hideMark/>
          </w:tcPr>
          <w:p w:rsidR="00670D4D" w:rsidRPr="009F0E09" w:rsidP="00E9507C" w14:paraId="20A2EBE7" w14:textId="77777777">
            <w:pPr>
              <w:ind w:right="-604" w:firstLine="158"/>
              <w:rPr>
                <w:color w:val="000000"/>
                <w:kern w:val="0"/>
              </w:rPr>
            </w:pPr>
            <w:r w:rsidRPr="009F0E09">
              <w:rPr>
                <w:color w:val="000000"/>
                <w:kern w:val="0"/>
              </w:rPr>
              <w:t>B  </w:t>
            </w:r>
          </w:p>
        </w:tc>
      </w:tr>
      <w:tr w14:paraId="27B9453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00C09B9" w14:textId="77777777">
            <w:pPr>
              <w:ind w:hanging="378"/>
              <w:jc w:val="center"/>
              <w:rPr>
                <w:color w:val="000000"/>
                <w:kern w:val="0"/>
              </w:rPr>
            </w:pPr>
            <w:r w:rsidRPr="009F0E09">
              <w:rPr>
                <w:color w:val="000000"/>
                <w:kern w:val="0"/>
              </w:rPr>
              <w:t>WPQP908</w:t>
            </w:r>
          </w:p>
        </w:tc>
        <w:tc>
          <w:tcPr>
            <w:tcW w:w="1530" w:type="dxa"/>
            <w:tcBorders>
              <w:top w:val="nil"/>
              <w:left w:val="nil"/>
              <w:bottom w:val="nil"/>
              <w:right w:val="nil"/>
            </w:tcBorders>
            <w:shd w:val="clear" w:color="auto" w:fill="auto"/>
            <w:noWrap/>
            <w:vAlign w:val="bottom"/>
            <w:hideMark/>
          </w:tcPr>
          <w:p w:rsidR="00670D4D" w:rsidRPr="009F0E09" w:rsidP="00E9507C" w14:paraId="28DDD2A7" w14:textId="77777777">
            <w:pPr>
              <w:rPr>
                <w:color w:val="000000"/>
                <w:kern w:val="0"/>
              </w:rPr>
            </w:pPr>
            <w:r w:rsidRPr="009F0E09">
              <w:rPr>
                <w:color w:val="000000"/>
                <w:kern w:val="0"/>
              </w:rPr>
              <w:t>BEA035 </w:t>
            </w:r>
          </w:p>
        </w:tc>
        <w:tc>
          <w:tcPr>
            <w:tcW w:w="4950" w:type="dxa"/>
            <w:tcBorders>
              <w:top w:val="nil"/>
              <w:left w:val="nil"/>
              <w:bottom w:val="nil"/>
              <w:right w:val="nil"/>
            </w:tcBorders>
            <w:shd w:val="clear" w:color="auto" w:fill="auto"/>
            <w:noWrap/>
            <w:vAlign w:val="bottom"/>
            <w:hideMark/>
          </w:tcPr>
          <w:p w:rsidR="00670D4D" w:rsidRPr="009F0E09" w:rsidP="00E9507C" w14:paraId="60E71F57" w14:textId="77777777">
            <w:pPr>
              <w:rPr>
                <w:color w:val="000000"/>
                <w:kern w:val="0"/>
              </w:rPr>
            </w:pPr>
            <w:r w:rsidRPr="009F0E09">
              <w:rPr>
                <w:color w:val="000000"/>
                <w:kern w:val="0"/>
              </w:rPr>
              <w:t>Tallahassee, FL-GA</w:t>
            </w:r>
          </w:p>
        </w:tc>
        <w:tc>
          <w:tcPr>
            <w:tcW w:w="2024" w:type="dxa"/>
            <w:tcBorders>
              <w:top w:val="nil"/>
              <w:left w:val="nil"/>
              <w:bottom w:val="nil"/>
              <w:right w:val="nil"/>
            </w:tcBorders>
            <w:shd w:val="clear" w:color="auto" w:fill="auto"/>
            <w:noWrap/>
            <w:vAlign w:val="bottom"/>
            <w:hideMark/>
          </w:tcPr>
          <w:p w:rsidR="00670D4D" w:rsidRPr="009F0E09" w:rsidP="00E9507C" w14:paraId="1DAA422C" w14:textId="77777777">
            <w:pPr>
              <w:ind w:right="-604" w:firstLine="158"/>
              <w:rPr>
                <w:color w:val="000000"/>
                <w:kern w:val="0"/>
              </w:rPr>
            </w:pPr>
            <w:r w:rsidRPr="009F0E09">
              <w:rPr>
                <w:color w:val="000000"/>
                <w:kern w:val="0"/>
              </w:rPr>
              <w:t>C  </w:t>
            </w:r>
          </w:p>
        </w:tc>
      </w:tr>
      <w:tr w14:paraId="05E5228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9A1F1EE" w14:textId="77777777">
            <w:pPr>
              <w:ind w:hanging="378"/>
              <w:jc w:val="center"/>
              <w:rPr>
                <w:color w:val="000000"/>
                <w:kern w:val="0"/>
              </w:rPr>
            </w:pPr>
            <w:r w:rsidRPr="009F0E09">
              <w:rPr>
                <w:color w:val="000000"/>
                <w:kern w:val="0"/>
              </w:rPr>
              <w:t>WPQP909</w:t>
            </w:r>
          </w:p>
        </w:tc>
        <w:tc>
          <w:tcPr>
            <w:tcW w:w="1530" w:type="dxa"/>
            <w:tcBorders>
              <w:top w:val="nil"/>
              <w:left w:val="nil"/>
              <w:bottom w:val="nil"/>
              <w:right w:val="nil"/>
            </w:tcBorders>
            <w:shd w:val="clear" w:color="auto" w:fill="auto"/>
            <w:noWrap/>
            <w:vAlign w:val="bottom"/>
            <w:hideMark/>
          </w:tcPr>
          <w:p w:rsidR="00670D4D" w:rsidRPr="009F0E09" w:rsidP="00E9507C" w14:paraId="24CAF6DA" w14:textId="77777777">
            <w:pPr>
              <w:rPr>
                <w:color w:val="000000"/>
                <w:kern w:val="0"/>
              </w:rPr>
            </w:pPr>
            <w:r w:rsidRPr="009F0E09">
              <w:rPr>
                <w:color w:val="000000"/>
                <w:kern w:val="0"/>
              </w:rPr>
              <w:t>BEA038 </w:t>
            </w:r>
          </w:p>
        </w:tc>
        <w:tc>
          <w:tcPr>
            <w:tcW w:w="4950" w:type="dxa"/>
            <w:tcBorders>
              <w:top w:val="nil"/>
              <w:left w:val="nil"/>
              <w:bottom w:val="nil"/>
              <w:right w:val="nil"/>
            </w:tcBorders>
            <w:shd w:val="clear" w:color="auto" w:fill="auto"/>
            <w:noWrap/>
            <w:vAlign w:val="bottom"/>
            <w:hideMark/>
          </w:tcPr>
          <w:p w:rsidR="00670D4D" w:rsidRPr="009F0E09" w:rsidP="00E9507C" w14:paraId="196CD64D" w14:textId="77777777">
            <w:pPr>
              <w:rPr>
                <w:color w:val="000000"/>
                <w:kern w:val="0"/>
              </w:rPr>
            </w:pPr>
            <w:r w:rsidRPr="009F0E09">
              <w:rPr>
                <w:color w:val="000000"/>
                <w:kern w:val="0"/>
              </w:rPr>
              <w:t>Macon, GA</w:t>
            </w:r>
          </w:p>
        </w:tc>
        <w:tc>
          <w:tcPr>
            <w:tcW w:w="2024" w:type="dxa"/>
            <w:tcBorders>
              <w:top w:val="nil"/>
              <w:left w:val="nil"/>
              <w:bottom w:val="nil"/>
              <w:right w:val="nil"/>
            </w:tcBorders>
            <w:shd w:val="clear" w:color="auto" w:fill="auto"/>
            <w:noWrap/>
            <w:vAlign w:val="bottom"/>
            <w:hideMark/>
          </w:tcPr>
          <w:p w:rsidR="00670D4D" w:rsidRPr="009F0E09" w:rsidP="00E9507C" w14:paraId="7F65F7EC" w14:textId="77777777">
            <w:pPr>
              <w:ind w:right="-604" w:firstLine="158"/>
              <w:rPr>
                <w:color w:val="000000"/>
                <w:kern w:val="0"/>
              </w:rPr>
            </w:pPr>
            <w:r w:rsidRPr="009F0E09">
              <w:rPr>
                <w:color w:val="000000"/>
                <w:kern w:val="0"/>
              </w:rPr>
              <w:t>B  </w:t>
            </w:r>
          </w:p>
        </w:tc>
      </w:tr>
      <w:tr w14:paraId="2DA6969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26A7061" w14:textId="77777777">
            <w:pPr>
              <w:ind w:hanging="378"/>
              <w:jc w:val="center"/>
              <w:rPr>
                <w:color w:val="000000"/>
                <w:kern w:val="0"/>
              </w:rPr>
            </w:pPr>
            <w:r w:rsidRPr="009F0E09">
              <w:rPr>
                <w:color w:val="000000"/>
                <w:kern w:val="0"/>
              </w:rPr>
              <w:t>WPQP910</w:t>
            </w:r>
          </w:p>
        </w:tc>
        <w:tc>
          <w:tcPr>
            <w:tcW w:w="1530" w:type="dxa"/>
            <w:tcBorders>
              <w:top w:val="nil"/>
              <w:left w:val="nil"/>
              <w:bottom w:val="nil"/>
              <w:right w:val="nil"/>
            </w:tcBorders>
            <w:shd w:val="clear" w:color="auto" w:fill="auto"/>
            <w:noWrap/>
            <w:vAlign w:val="bottom"/>
            <w:hideMark/>
          </w:tcPr>
          <w:p w:rsidR="00670D4D" w:rsidRPr="009F0E09" w:rsidP="00E9507C" w14:paraId="08662331" w14:textId="77777777">
            <w:pPr>
              <w:rPr>
                <w:color w:val="000000"/>
                <w:kern w:val="0"/>
              </w:rPr>
            </w:pPr>
            <w:r w:rsidRPr="009F0E09">
              <w:rPr>
                <w:color w:val="000000"/>
                <w:kern w:val="0"/>
              </w:rPr>
              <w:t>BEA038 </w:t>
            </w:r>
          </w:p>
        </w:tc>
        <w:tc>
          <w:tcPr>
            <w:tcW w:w="4950" w:type="dxa"/>
            <w:tcBorders>
              <w:top w:val="nil"/>
              <w:left w:val="nil"/>
              <w:bottom w:val="nil"/>
              <w:right w:val="nil"/>
            </w:tcBorders>
            <w:shd w:val="clear" w:color="auto" w:fill="auto"/>
            <w:noWrap/>
            <w:vAlign w:val="bottom"/>
            <w:hideMark/>
          </w:tcPr>
          <w:p w:rsidR="00670D4D" w:rsidRPr="009F0E09" w:rsidP="00E9507C" w14:paraId="5160BC22" w14:textId="77777777">
            <w:pPr>
              <w:rPr>
                <w:color w:val="000000"/>
                <w:kern w:val="0"/>
              </w:rPr>
            </w:pPr>
            <w:r w:rsidRPr="009F0E09">
              <w:rPr>
                <w:color w:val="000000"/>
                <w:kern w:val="0"/>
              </w:rPr>
              <w:t>Macon, GA</w:t>
            </w:r>
          </w:p>
        </w:tc>
        <w:tc>
          <w:tcPr>
            <w:tcW w:w="2024" w:type="dxa"/>
            <w:tcBorders>
              <w:top w:val="nil"/>
              <w:left w:val="nil"/>
              <w:bottom w:val="nil"/>
              <w:right w:val="nil"/>
            </w:tcBorders>
            <w:shd w:val="clear" w:color="auto" w:fill="auto"/>
            <w:noWrap/>
            <w:vAlign w:val="bottom"/>
            <w:hideMark/>
          </w:tcPr>
          <w:p w:rsidR="00670D4D" w:rsidRPr="009F0E09" w:rsidP="00E9507C" w14:paraId="071E3A13" w14:textId="77777777">
            <w:pPr>
              <w:ind w:right="-604" w:firstLine="158"/>
              <w:rPr>
                <w:color w:val="000000"/>
                <w:kern w:val="0"/>
              </w:rPr>
            </w:pPr>
            <w:r w:rsidRPr="009F0E09">
              <w:rPr>
                <w:color w:val="000000"/>
                <w:kern w:val="0"/>
              </w:rPr>
              <w:t>C  </w:t>
            </w:r>
          </w:p>
        </w:tc>
      </w:tr>
      <w:tr w14:paraId="4897EC4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AEBCE5C" w14:textId="77777777">
            <w:pPr>
              <w:ind w:hanging="378"/>
              <w:jc w:val="center"/>
              <w:rPr>
                <w:color w:val="000000"/>
                <w:kern w:val="0"/>
              </w:rPr>
            </w:pPr>
            <w:r w:rsidRPr="009F0E09">
              <w:rPr>
                <w:color w:val="000000"/>
                <w:kern w:val="0"/>
              </w:rPr>
              <w:t>WPQP913</w:t>
            </w:r>
          </w:p>
        </w:tc>
        <w:tc>
          <w:tcPr>
            <w:tcW w:w="1530" w:type="dxa"/>
            <w:tcBorders>
              <w:top w:val="nil"/>
              <w:left w:val="nil"/>
              <w:bottom w:val="nil"/>
              <w:right w:val="nil"/>
            </w:tcBorders>
            <w:shd w:val="clear" w:color="auto" w:fill="auto"/>
            <w:noWrap/>
            <w:vAlign w:val="bottom"/>
            <w:hideMark/>
          </w:tcPr>
          <w:p w:rsidR="00670D4D" w:rsidRPr="009F0E09" w:rsidP="00E9507C" w14:paraId="73587F67" w14:textId="77777777">
            <w:pPr>
              <w:rPr>
                <w:color w:val="000000"/>
                <w:kern w:val="0"/>
              </w:rPr>
            </w:pPr>
            <w:r w:rsidRPr="009F0E09">
              <w:rPr>
                <w:color w:val="000000"/>
                <w:kern w:val="0"/>
              </w:rPr>
              <w:t>BEA041 </w:t>
            </w:r>
          </w:p>
        </w:tc>
        <w:tc>
          <w:tcPr>
            <w:tcW w:w="4950" w:type="dxa"/>
            <w:tcBorders>
              <w:top w:val="nil"/>
              <w:left w:val="nil"/>
              <w:bottom w:val="nil"/>
              <w:right w:val="nil"/>
            </w:tcBorders>
            <w:shd w:val="clear" w:color="auto" w:fill="auto"/>
            <w:noWrap/>
            <w:vAlign w:val="bottom"/>
            <w:hideMark/>
          </w:tcPr>
          <w:p w:rsidR="00670D4D" w:rsidRPr="009F0E09" w:rsidP="00E9507C" w14:paraId="251C867C" w14:textId="77777777">
            <w:pPr>
              <w:rPr>
                <w:color w:val="000000"/>
                <w:kern w:val="0"/>
              </w:rPr>
            </w:pPr>
            <w:r w:rsidRPr="009F0E09">
              <w:rPr>
                <w:color w:val="000000"/>
                <w:kern w:val="0"/>
              </w:rPr>
              <w:t>Greenville-Spartanburg-Anderson, SC-NC</w:t>
            </w:r>
          </w:p>
        </w:tc>
        <w:tc>
          <w:tcPr>
            <w:tcW w:w="2024" w:type="dxa"/>
            <w:tcBorders>
              <w:top w:val="nil"/>
              <w:left w:val="nil"/>
              <w:bottom w:val="nil"/>
              <w:right w:val="nil"/>
            </w:tcBorders>
            <w:shd w:val="clear" w:color="auto" w:fill="auto"/>
            <w:noWrap/>
            <w:vAlign w:val="bottom"/>
            <w:hideMark/>
          </w:tcPr>
          <w:p w:rsidR="00670D4D" w:rsidRPr="009F0E09" w:rsidP="00E9507C" w14:paraId="52600475" w14:textId="77777777">
            <w:pPr>
              <w:ind w:right="-604" w:firstLine="158"/>
              <w:rPr>
                <w:color w:val="000000"/>
                <w:kern w:val="0"/>
              </w:rPr>
            </w:pPr>
            <w:r w:rsidRPr="009F0E09">
              <w:rPr>
                <w:color w:val="000000"/>
                <w:kern w:val="0"/>
              </w:rPr>
              <w:t>B  </w:t>
            </w:r>
          </w:p>
        </w:tc>
      </w:tr>
      <w:tr w14:paraId="7830980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750F9C0" w14:textId="77777777">
            <w:pPr>
              <w:ind w:hanging="378"/>
              <w:jc w:val="center"/>
              <w:rPr>
                <w:color w:val="000000"/>
                <w:kern w:val="0"/>
              </w:rPr>
            </w:pPr>
            <w:r w:rsidRPr="009F0E09">
              <w:rPr>
                <w:color w:val="000000"/>
                <w:kern w:val="0"/>
              </w:rPr>
              <w:t>WPQP914</w:t>
            </w:r>
          </w:p>
        </w:tc>
        <w:tc>
          <w:tcPr>
            <w:tcW w:w="1530" w:type="dxa"/>
            <w:tcBorders>
              <w:top w:val="nil"/>
              <w:left w:val="nil"/>
              <w:bottom w:val="nil"/>
              <w:right w:val="nil"/>
            </w:tcBorders>
            <w:shd w:val="clear" w:color="auto" w:fill="auto"/>
            <w:noWrap/>
            <w:vAlign w:val="bottom"/>
            <w:hideMark/>
          </w:tcPr>
          <w:p w:rsidR="00670D4D" w:rsidRPr="009F0E09" w:rsidP="00E9507C" w14:paraId="488A01EF" w14:textId="77777777">
            <w:pPr>
              <w:rPr>
                <w:color w:val="000000"/>
                <w:kern w:val="0"/>
              </w:rPr>
            </w:pPr>
            <w:r w:rsidRPr="009F0E09">
              <w:rPr>
                <w:color w:val="000000"/>
                <w:kern w:val="0"/>
              </w:rPr>
              <w:t>BEA041 </w:t>
            </w:r>
          </w:p>
        </w:tc>
        <w:tc>
          <w:tcPr>
            <w:tcW w:w="4950" w:type="dxa"/>
            <w:tcBorders>
              <w:top w:val="nil"/>
              <w:left w:val="nil"/>
              <w:bottom w:val="nil"/>
              <w:right w:val="nil"/>
            </w:tcBorders>
            <w:shd w:val="clear" w:color="auto" w:fill="auto"/>
            <w:noWrap/>
            <w:vAlign w:val="bottom"/>
            <w:hideMark/>
          </w:tcPr>
          <w:p w:rsidR="00670D4D" w:rsidRPr="009F0E09" w:rsidP="00E9507C" w14:paraId="7178F6BA" w14:textId="77777777">
            <w:pPr>
              <w:rPr>
                <w:color w:val="000000"/>
                <w:kern w:val="0"/>
              </w:rPr>
            </w:pPr>
            <w:r w:rsidRPr="009F0E09">
              <w:rPr>
                <w:color w:val="000000"/>
                <w:kern w:val="0"/>
              </w:rPr>
              <w:t>Greenville-Spartanburg-Anderson, SC-NC</w:t>
            </w:r>
          </w:p>
        </w:tc>
        <w:tc>
          <w:tcPr>
            <w:tcW w:w="2024" w:type="dxa"/>
            <w:tcBorders>
              <w:top w:val="nil"/>
              <w:left w:val="nil"/>
              <w:bottom w:val="nil"/>
              <w:right w:val="nil"/>
            </w:tcBorders>
            <w:shd w:val="clear" w:color="auto" w:fill="auto"/>
            <w:noWrap/>
            <w:vAlign w:val="bottom"/>
            <w:hideMark/>
          </w:tcPr>
          <w:p w:rsidR="00670D4D" w:rsidRPr="009F0E09" w:rsidP="00E9507C" w14:paraId="489E33A8" w14:textId="77777777">
            <w:pPr>
              <w:ind w:right="-604" w:firstLine="158"/>
              <w:rPr>
                <w:color w:val="000000"/>
                <w:kern w:val="0"/>
              </w:rPr>
            </w:pPr>
            <w:r w:rsidRPr="009F0E09">
              <w:rPr>
                <w:color w:val="000000"/>
                <w:kern w:val="0"/>
              </w:rPr>
              <w:t>C  </w:t>
            </w:r>
          </w:p>
        </w:tc>
      </w:tr>
      <w:tr w14:paraId="4243A607"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B466418" w14:textId="77777777">
            <w:pPr>
              <w:ind w:hanging="378"/>
              <w:jc w:val="center"/>
              <w:rPr>
                <w:color w:val="000000"/>
                <w:kern w:val="0"/>
              </w:rPr>
            </w:pPr>
            <w:r w:rsidRPr="009F0E09">
              <w:rPr>
                <w:color w:val="000000"/>
                <w:kern w:val="0"/>
              </w:rPr>
              <w:t>WPQP915</w:t>
            </w:r>
          </w:p>
        </w:tc>
        <w:tc>
          <w:tcPr>
            <w:tcW w:w="1530" w:type="dxa"/>
            <w:tcBorders>
              <w:top w:val="nil"/>
              <w:left w:val="nil"/>
              <w:bottom w:val="nil"/>
              <w:right w:val="nil"/>
            </w:tcBorders>
            <w:shd w:val="clear" w:color="auto" w:fill="auto"/>
            <w:noWrap/>
            <w:vAlign w:val="bottom"/>
            <w:hideMark/>
          </w:tcPr>
          <w:p w:rsidR="00670D4D" w:rsidRPr="009F0E09" w:rsidP="00E9507C" w14:paraId="567AD53E" w14:textId="77777777">
            <w:pPr>
              <w:rPr>
                <w:color w:val="000000"/>
                <w:kern w:val="0"/>
              </w:rPr>
            </w:pPr>
            <w:r w:rsidRPr="009F0E09">
              <w:rPr>
                <w:color w:val="000000"/>
                <w:kern w:val="0"/>
              </w:rPr>
              <w:t>BEA043 </w:t>
            </w:r>
          </w:p>
        </w:tc>
        <w:tc>
          <w:tcPr>
            <w:tcW w:w="4950" w:type="dxa"/>
            <w:tcBorders>
              <w:top w:val="nil"/>
              <w:left w:val="nil"/>
              <w:bottom w:val="nil"/>
              <w:right w:val="nil"/>
            </w:tcBorders>
            <w:shd w:val="clear" w:color="auto" w:fill="auto"/>
            <w:noWrap/>
            <w:vAlign w:val="bottom"/>
            <w:hideMark/>
          </w:tcPr>
          <w:p w:rsidR="00670D4D" w:rsidRPr="009F0E09" w:rsidP="00E9507C" w14:paraId="41539459" w14:textId="77777777">
            <w:pPr>
              <w:rPr>
                <w:color w:val="000000"/>
                <w:kern w:val="0"/>
              </w:rPr>
            </w:pPr>
            <w:r w:rsidRPr="009F0E09">
              <w:rPr>
                <w:color w:val="000000"/>
                <w:kern w:val="0"/>
              </w:rPr>
              <w:t>Chattanooga, TN-GA</w:t>
            </w:r>
          </w:p>
        </w:tc>
        <w:tc>
          <w:tcPr>
            <w:tcW w:w="2024" w:type="dxa"/>
            <w:tcBorders>
              <w:top w:val="nil"/>
              <w:left w:val="nil"/>
              <w:bottom w:val="nil"/>
              <w:right w:val="nil"/>
            </w:tcBorders>
            <w:shd w:val="clear" w:color="auto" w:fill="auto"/>
            <w:noWrap/>
            <w:vAlign w:val="bottom"/>
            <w:hideMark/>
          </w:tcPr>
          <w:p w:rsidR="00670D4D" w:rsidRPr="009F0E09" w:rsidP="00E9507C" w14:paraId="3E6EF898" w14:textId="77777777">
            <w:pPr>
              <w:ind w:right="-604" w:firstLine="158"/>
              <w:rPr>
                <w:color w:val="000000"/>
                <w:kern w:val="0"/>
              </w:rPr>
            </w:pPr>
            <w:r w:rsidRPr="009F0E09">
              <w:rPr>
                <w:color w:val="000000"/>
                <w:kern w:val="0"/>
              </w:rPr>
              <w:t>B  </w:t>
            </w:r>
          </w:p>
        </w:tc>
      </w:tr>
      <w:tr w14:paraId="33B0E9B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84526F8" w14:textId="77777777">
            <w:pPr>
              <w:ind w:hanging="378"/>
              <w:jc w:val="center"/>
              <w:rPr>
                <w:color w:val="000000"/>
                <w:kern w:val="0"/>
              </w:rPr>
            </w:pPr>
            <w:r w:rsidRPr="009F0E09">
              <w:rPr>
                <w:color w:val="000000"/>
                <w:kern w:val="0"/>
              </w:rPr>
              <w:t>WPQP916</w:t>
            </w:r>
          </w:p>
        </w:tc>
        <w:tc>
          <w:tcPr>
            <w:tcW w:w="1530" w:type="dxa"/>
            <w:tcBorders>
              <w:top w:val="nil"/>
              <w:left w:val="nil"/>
              <w:bottom w:val="nil"/>
              <w:right w:val="nil"/>
            </w:tcBorders>
            <w:shd w:val="clear" w:color="auto" w:fill="auto"/>
            <w:noWrap/>
            <w:vAlign w:val="bottom"/>
            <w:hideMark/>
          </w:tcPr>
          <w:p w:rsidR="00670D4D" w:rsidRPr="009F0E09" w:rsidP="00E9507C" w14:paraId="4FF4DC6C" w14:textId="77777777">
            <w:pPr>
              <w:rPr>
                <w:color w:val="000000"/>
                <w:kern w:val="0"/>
              </w:rPr>
            </w:pPr>
            <w:r w:rsidRPr="009F0E09">
              <w:rPr>
                <w:color w:val="000000"/>
                <w:kern w:val="0"/>
              </w:rPr>
              <w:t>BEA043 </w:t>
            </w:r>
          </w:p>
        </w:tc>
        <w:tc>
          <w:tcPr>
            <w:tcW w:w="4950" w:type="dxa"/>
            <w:tcBorders>
              <w:top w:val="nil"/>
              <w:left w:val="nil"/>
              <w:bottom w:val="nil"/>
              <w:right w:val="nil"/>
            </w:tcBorders>
            <w:shd w:val="clear" w:color="auto" w:fill="auto"/>
            <w:noWrap/>
            <w:vAlign w:val="bottom"/>
            <w:hideMark/>
          </w:tcPr>
          <w:p w:rsidR="00670D4D" w:rsidRPr="009F0E09" w:rsidP="00E9507C" w14:paraId="7FB8FD63" w14:textId="77777777">
            <w:pPr>
              <w:rPr>
                <w:color w:val="000000"/>
                <w:kern w:val="0"/>
              </w:rPr>
            </w:pPr>
            <w:r w:rsidRPr="009F0E09">
              <w:rPr>
                <w:color w:val="000000"/>
                <w:kern w:val="0"/>
              </w:rPr>
              <w:t>Chattanooga, TN-GA</w:t>
            </w:r>
          </w:p>
        </w:tc>
        <w:tc>
          <w:tcPr>
            <w:tcW w:w="2024" w:type="dxa"/>
            <w:tcBorders>
              <w:top w:val="nil"/>
              <w:left w:val="nil"/>
              <w:bottom w:val="nil"/>
              <w:right w:val="nil"/>
            </w:tcBorders>
            <w:shd w:val="clear" w:color="auto" w:fill="auto"/>
            <w:noWrap/>
            <w:vAlign w:val="bottom"/>
            <w:hideMark/>
          </w:tcPr>
          <w:p w:rsidR="00670D4D" w:rsidRPr="009F0E09" w:rsidP="00E9507C" w14:paraId="76DDBD37" w14:textId="77777777">
            <w:pPr>
              <w:ind w:right="-604" w:firstLine="158"/>
              <w:rPr>
                <w:color w:val="000000"/>
                <w:kern w:val="0"/>
              </w:rPr>
            </w:pPr>
            <w:r w:rsidRPr="009F0E09">
              <w:rPr>
                <w:color w:val="000000"/>
                <w:kern w:val="0"/>
              </w:rPr>
              <w:t>C  </w:t>
            </w:r>
          </w:p>
        </w:tc>
      </w:tr>
      <w:tr w14:paraId="571039B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503836D" w14:textId="77777777">
            <w:pPr>
              <w:ind w:hanging="378"/>
              <w:jc w:val="center"/>
              <w:rPr>
                <w:color w:val="000000"/>
                <w:kern w:val="0"/>
              </w:rPr>
            </w:pPr>
            <w:r w:rsidRPr="009F0E09">
              <w:rPr>
                <w:color w:val="000000"/>
                <w:kern w:val="0"/>
              </w:rPr>
              <w:t>WPQP917</w:t>
            </w:r>
          </w:p>
        </w:tc>
        <w:tc>
          <w:tcPr>
            <w:tcW w:w="1530" w:type="dxa"/>
            <w:tcBorders>
              <w:top w:val="nil"/>
              <w:left w:val="nil"/>
              <w:bottom w:val="nil"/>
              <w:right w:val="nil"/>
            </w:tcBorders>
            <w:shd w:val="clear" w:color="auto" w:fill="auto"/>
            <w:noWrap/>
            <w:vAlign w:val="bottom"/>
            <w:hideMark/>
          </w:tcPr>
          <w:p w:rsidR="00670D4D" w:rsidRPr="009F0E09" w:rsidP="00E9507C" w14:paraId="12D5B3EF" w14:textId="77777777">
            <w:pPr>
              <w:rPr>
                <w:color w:val="000000"/>
                <w:kern w:val="0"/>
              </w:rPr>
            </w:pPr>
            <w:r w:rsidRPr="009F0E09">
              <w:rPr>
                <w:color w:val="000000"/>
                <w:kern w:val="0"/>
              </w:rPr>
              <w:t>BEA044 </w:t>
            </w:r>
          </w:p>
        </w:tc>
        <w:tc>
          <w:tcPr>
            <w:tcW w:w="4950" w:type="dxa"/>
            <w:tcBorders>
              <w:top w:val="nil"/>
              <w:left w:val="nil"/>
              <w:bottom w:val="nil"/>
              <w:right w:val="nil"/>
            </w:tcBorders>
            <w:shd w:val="clear" w:color="auto" w:fill="auto"/>
            <w:noWrap/>
            <w:vAlign w:val="bottom"/>
            <w:hideMark/>
          </w:tcPr>
          <w:p w:rsidR="00670D4D" w:rsidRPr="009F0E09" w:rsidP="00E9507C" w14:paraId="2B64884E" w14:textId="77777777">
            <w:pPr>
              <w:rPr>
                <w:color w:val="000000"/>
                <w:kern w:val="0"/>
              </w:rPr>
            </w:pPr>
            <w:r w:rsidRPr="009F0E09">
              <w:rPr>
                <w:color w:val="000000"/>
                <w:kern w:val="0"/>
              </w:rPr>
              <w:t>Knoxville, TN</w:t>
            </w:r>
          </w:p>
        </w:tc>
        <w:tc>
          <w:tcPr>
            <w:tcW w:w="2024" w:type="dxa"/>
            <w:tcBorders>
              <w:top w:val="nil"/>
              <w:left w:val="nil"/>
              <w:bottom w:val="nil"/>
              <w:right w:val="nil"/>
            </w:tcBorders>
            <w:shd w:val="clear" w:color="auto" w:fill="auto"/>
            <w:noWrap/>
            <w:vAlign w:val="bottom"/>
            <w:hideMark/>
          </w:tcPr>
          <w:p w:rsidR="00670D4D" w:rsidRPr="009F0E09" w:rsidP="00E9507C" w14:paraId="4ACDDFD1" w14:textId="77777777">
            <w:pPr>
              <w:ind w:right="-604" w:firstLine="158"/>
              <w:rPr>
                <w:color w:val="000000"/>
                <w:kern w:val="0"/>
              </w:rPr>
            </w:pPr>
            <w:r w:rsidRPr="009F0E09">
              <w:rPr>
                <w:color w:val="000000"/>
                <w:kern w:val="0"/>
              </w:rPr>
              <w:t>B  </w:t>
            </w:r>
          </w:p>
        </w:tc>
      </w:tr>
      <w:tr w14:paraId="313958C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48293FF" w14:textId="77777777">
            <w:pPr>
              <w:ind w:hanging="378"/>
              <w:jc w:val="center"/>
              <w:rPr>
                <w:color w:val="000000"/>
                <w:kern w:val="0"/>
              </w:rPr>
            </w:pPr>
            <w:r w:rsidRPr="009F0E09">
              <w:rPr>
                <w:color w:val="000000"/>
                <w:kern w:val="0"/>
              </w:rPr>
              <w:t>WPQP918</w:t>
            </w:r>
          </w:p>
        </w:tc>
        <w:tc>
          <w:tcPr>
            <w:tcW w:w="1530" w:type="dxa"/>
            <w:tcBorders>
              <w:top w:val="nil"/>
              <w:left w:val="nil"/>
              <w:bottom w:val="nil"/>
              <w:right w:val="nil"/>
            </w:tcBorders>
            <w:shd w:val="clear" w:color="auto" w:fill="auto"/>
            <w:noWrap/>
            <w:vAlign w:val="bottom"/>
            <w:hideMark/>
          </w:tcPr>
          <w:p w:rsidR="00670D4D" w:rsidRPr="009F0E09" w:rsidP="00E9507C" w14:paraId="40745CCD" w14:textId="77777777">
            <w:pPr>
              <w:rPr>
                <w:color w:val="000000"/>
                <w:kern w:val="0"/>
              </w:rPr>
            </w:pPr>
            <w:r w:rsidRPr="009F0E09">
              <w:rPr>
                <w:color w:val="000000"/>
                <w:kern w:val="0"/>
              </w:rPr>
              <w:t>BEA044 </w:t>
            </w:r>
          </w:p>
        </w:tc>
        <w:tc>
          <w:tcPr>
            <w:tcW w:w="4950" w:type="dxa"/>
            <w:tcBorders>
              <w:top w:val="nil"/>
              <w:left w:val="nil"/>
              <w:bottom w:val="nil"/>
              <w:right w:val="nil"/>
            </w:tcBorders>
            <w:shd w:val="clear" w:color="auto" w:fill="auto"/>
            <w:noWrap/>
            <w:vAlign w:val="bottom"/>
            <w:hideMark/>
          </w:tcPr>
          <w:p w:rsidR="00670D4D" w:rsidRPr="009F0E09" w:rsidP="00E9507C" w14:paraId="4B190308" w14:textId="77777777">
            <w:pPr>
              <w:rPr>
                <w:color w:val="000000"/>
                <w:kern w:val="0"/>
              </w:rPr>
            </w:pPr>
            <w:r w:rsidRPr="009F0E09">
              <w:rPr>
                <w:color w:val="000000"/>
                <w:kern w:val="0"/>
              </w:rPr>
              <w:t>Knoxville, TN</w:t>
            </w:r>
          </w:p>
        </w:tc>
        <w:tc>
          <w:tcPr>
            <w:tcW w:w="2024" w:type="dxa"/>
            <w:tcBorders>
              <w:top w:val="nil"/>
              <w:left w:val="nil"/>
              <w:bottom w:val="nil"/>
              <w:right w:val="nil"/>
            </w:tcBorders>
            <w:shd w:val="clear" w:color="auto" w:fill="auto"/>
            <w:noWrap/>
            <w:vAlign w:val="bottom"/>
            <w:hideMark/>
          </w:tcPr>
          <w:p w:rsidR="00670D4D" w:rsidRPr="009F0E09" w:rsidP="00E9507C" w14:paraId="19962C97" w14:textId="77777777">
            <w:pPr>
              <w:ind w:right="-604" w:firstLine="158"/>
              <w:rPr>
                <w:color w:val="000000"/>
                <w:kern w:val="0"/>
              </w:rPr>
            </w:pPr>
            <w:r w:rsidRPr="009F0E09">
              <w:rPr>
                <w:color w:val="000000"/>
                <w:kern w:val="0"/>
              </w:rPr>
              <w:t>C  </w:t>
            </w:r>
          </w:p>
        </w:tc>
      </w:tr>
      <w:tr w14:paraId="2C5F288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0106FF1" w14:textId="77777777">
            <w:pPr>
              <w:ind w:hanging="378"/>
              <w:jc w:val="center"/>
              <w:rPr>
                <w:color w:val="000000"/>
                <w:kern w:val="0"/>
              </w:rPr>
            </w:pPr>
            <w:r w:rsidRPr="009F0E09">
              <w:rPr>
                <w:color w:val="000000"/>
                <w:kern w:val="0"/>
              </w:rPr>
              <w:t>WPQP919</w:t>
            </w:r>
          </w:p>
        </w:tc>
        <w:tc>
          <w:tcPr>
            <w:tcW w:w="1530" w:type="dxa"/>
            <w:tcBorders>
              <w:top w:val="nil"/>
              <w:left w:val="nil"/>
              <w:bottom w:val="nil"/>
              <w:right w:val="nil"/>
            </w:tcBorders>
            <w:shd w:val="clear" w:color="auto" w:fill="auto"/>
            <w:noWrap/>
            <w:vAlign w:val="bottom"/>
            <w:hideMark/>
          </w:tcPr>
          <w:p w:rsidR="00670D4D" w:rsidRPr="009F0E09" w:rsidP="00E9507C" w14:paraId="11A31E43" w14:textId="77777777">
            <w:pPr>
              <w:rPr>
                <w:color w:val="000000"/>
                <w:kern w:val="0"/>
              </w:rPr>
            </w:pPr>
            <w:r w:rsidRPr="009F0E09">
              <w:rPr>
                <w:color w:val="000000"/>
                <w:kern w:val="0"/>
              </w:rPr>
              <w:t>BEA045 </w:t>
            </w:r>
          </w:p>
        </w:tc>
        <w:tc>
          <w:tcPr>
            <w:tcW w:w="4950" w:type="dxa"/>
            <w:tcBorders>
              <w:top w:val="nil"/>
              <w:left w:val="nil"/>
              <w:bottom w:val="nil"/>
              <w:right w:val="nil"/>
            </w:tcBorders>
            <w:shd w:val="clear" w:color="auto" w:fill="auto"/>
            <w:noWrap/>
            <w:vAlign w:val="bottom"/>
            <w:hideMark/>
          </w:tcPr>
          <w:p w:rsidR="00670D4D" w:rsidRPr="009F0E09" w:rsidP="00E9507C" w14:paraId="39CC9C2D" w14:textId="77777777">
            <w:pPr>
              <w:rPr>
                <w:color w:val="000000"/>
                <w:kern w:val="0"/>
              </w:rPr>
            </w:pPr>
            <w:r w:rsidRPr="009F0E09">
              <w:rPr>
                <w:color w:val="000000"/>
                <w:kern w:val="0"/>
              </w:rPr>
              <w:t>Johnson City-Kingsport-Bristol, TN-VA</w:t>
            </w:r>
          </w:p>
        </w:tc>
        <w:tc>
          <w:tcPr>
            <w:tcW w:w="2024" w:type="dxa"/>
            <w:tcBorders>
              <w:top w:val="nil"/>
              <w:left w:val="nil"/>
              <w:bottom w:val="nil"/>
              <w:right w:val="nil"/>
            </w:tcBorders>
            <w:shd w:val="clear" w:color="auto" w:fill="auto"/>
            <w:noWrap/>
            <w:vAlign w:val="bottom"/>
            <w:hideMark/>
          </w:tcPr>
          <w:p w:rsidR="00670D4D" w:rsidRPr="009F0E09" w:rsidP="00E9507C" w14:paraId="79903571" w14:textId="77777777">
            <w:pPr>
              <w:ind w:right="-604" w:firstLine="158"/>
              <w:rPr>
                <w:color w:val="000000"/>
                <w:kern w:val="0"/>
              </w:rPr>
            </w:pPr>
            <w:r w:rsidRPr="009F0E09">
              <w:rPr>
                <w:color w:val="000000"/>
                <w:kern w:val="0"/>
              </w:rPr>
              <w:t>B  </w:t>
            </w:r>
          </w:p>
        </w:tc>
      </w:tr>
      <w:tr w14:paraId="04F471D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9A2EC9B" w14:textId="77777777">
            <w:pPr>
              <w:ind w:hanging="378"/>
              <w:jc w:val="center"/>
              <w:rPr>
                <w:color w:val="000000"/>
                <w:kern w:val="0"/>
              </w:rPr>
            </w:pPr>
            <w:r w:rsidRPr="009F0E09">
              <w:rPr>
                <w:color w:val="000000"/>
                <w:kern w:val="0"/>
              </w:rPr>
              <w:t>WPQP920</w:t>
            </w:r>
          </w:p>
        </w:tc>
        <w:tc>
          <w:tcPr>
            <w:tcW w:w="1530" w:type="dxa"/>
            <w:tcBorders>
              <w:top w:val="nil"/>
              <w:left w:val="nil"/>
              <w:bottom w:val="nil"/>
              <w:right w:val="nil"/>
            </w:tcBorders>
            <w:shd w:val="clear" w:color="auto" w:fill="auto"/>
            <w:noWrap/>
            <w:vAlign w:val="bottom"/>
            <w:hideMark/>
          </w:tcPr>
          <w:p w:rsidR="00670D4D" w:rsidRPr="009F0E09" w:rsidP="00E9507C" w14:paraId="5A5BD22B" w14:textId="77777777">
            <w:pPr>
              <w:rPr>
                <w:color w:val="000000"/>
                <w:kern w:val="0"/>
              </w:rPr>
            </w:pPr>
            <w:r w:rsidRPr="009F0E09">
              <w:rPr>
                <w:color w:val="000000"/>
                <w:kern w:val="0"/>
              </w:rPr>
              <w:t>BEA045 </w:t>
            </w:r>
          </w:p>
        </w:tc>
        <w:tc>
          <w:tcPr>
            <w:tcW w:w="4950" w:type="dxa"/>
            <w:tcBorders>
              <w:top w:val="nil"/>
              <w:left w:val="nil"/>
              <w:bottom w:val="nil"/>
              <w:right w:val="nil"/>
            </w:tcBorders>
            <w:shd w:val="clear" w:color="auto" w:fill="auto"/>
            <w:noWrap/>
            <w:vAlign w:val="bottom"/>
            <w:hideMark/>
          </w:tcPr>
          <w:p w:rsidR="00670D4D" w:rsidRPr="009F0E09" w:rsidP="00E9507C" w14:paraId="0F9AAFFD" w14:textId="77777777">
            <w:pPr>
              <w:rPr>
                <w:color w:val="000000"/>
                <w:kern w:val="0"/>
              </w:rPr>
            </w:pPr>
            <w:r w:rsidRPr="009F0E09">
              <w:rPr>
                <w:color w:val="000000"/>
                <w:kern w:val="0"/>
              </w:rPr>
              <w:t>Johnson City-Kingsport-Bristol, TN-VA</w:t>
            </w:r>
          </w:p>
        </w:tc>
        <w:tc>
          <w:tcPr>
            <w:tcW w:w="2024" w:type="dxa"/>
            <w:tcBorders>
              <w:top w:val="nil"/>
              <w:left w:val="nil"/>
              <w:bottom w:val="nil"/>
              <w:right w:val="nil"/>
            </w:tcBorders>
            <w:shd w:val="clear" w:color="auto" w:fill="auto"/>
            <w:noWrap/>
            <w:vAlign w:val="bottom"/>
            <w:hideMark/>
          </w:tcPr>
          <w:p w:rsidR="00670D4D" w:rsidRPr="009F0E09" w:rsidP="00E9507C" w14:paraId="3C5E33C2" w14:textId="77777777">
            <w:pPr>
              <w:ind w:right="-604" w:firstLine="158"/>
              <w:rPr>
                <w:color w:val="000000"/>
                <w:kern w:val="0"/>
              </w:rPr>
            </w:pPr>
            <w:r w:rsidRPr="009F0E09">
              <w:rPr>
                <w:color w:val="000000"/>
                <w:kern w:val="0"/>
              </w:rPr>
              <w:t>C  </w:t>
            </w:r>
          </w:p>
        </w:tc>
      </w:tr>
      <w:tr w14:paraId="426AF8F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0BF3EAF" w14:textId="77777777">
            <w:pPr>
              <w:ind w:hanging="378"/>
              <w:jc w:val="center"/>
              <w:rPr>
                <w:color w:val="000000"/>
                <w:kern w:val="0"/>
              </w:rPr>
            </w:pPr>
            <w:r w:rsidRPr="009F0E09">
              <w:rPr>
                <w:color w:val="000000"/>
                <w:kern w:val="0"/>
              </w:rPr>
              <w:t>WPQP921</w:t>
            </w:r>
          </w:p>
        </w:tc>
        <w:tc>
          <w:tcPr>
            <w:tcW w:w="1530" w:type="dxa"/>
            <w:tcBorders>
              <w:top w:val="nil"/>
              <w:left w:val="nil"/>
              <w:bottom w:val="nil"/>
              <w:right w:val="nil"/>
            </w:tcBorders>
            <w:shd w:val="clear" w:color="auto" w:fill="auto"/>
            <w:noWrap/>
            <w:vAlign w:val="bottom"/>
            <w:hideMark/>
          </w:tcPr>
          <w:p w:rsidR="00670D4D" w:rsidRPr="009F0E09" w:rsidP="00E9507C" w14:paraId="33D49EA9" w14:textId="77777777">
            <w:pPr>
              <w:rPr>
                <w:color w:val="000000"/>
                <w:kern w:val="0"/>
              </w:rPr>
            </w:pPr>
            <w:r w:rsidRPr="009F0E09">
              <w:rPr>
                <w:color w:val="000000"/>
                <w:kern w:val="0"/>
              </w:rPr>
              <w:t>BEA047 </w:t>
            </w:r>
          </w:p>
        </w:tc>
        <w:tc>
          <w:tcPr>
            <w:tcW w:w="4950" w:type="dxa"/>
            <w:tcBorders>
              <w:top w:val="nil"/>
              <w:left w:val="nil"/>
              <w:bottom w:val="nil"/>
              <w:right w:val="nil"/>
            </w:tcBorders>
            <w:shd w:val="clear" w:color="auto" w:fill="auto"/>
            <w:noWrap/>
            <w:vAlign w:val="bottom"/>
            <w:hideMark/>
          </w:tcPr>
          <w:p w:rsidR="00670D4D" w:rsidRPr="009F0E09" w:rsidP="00E9507C" w14:paraId="7ED78020" w14:textId="77777777">
            <w:pPr>
              <w:rPr>
                <w:color w:val="000000"/>
                <w:kern w:val="0"/>
              </w:rPr>
            </w:pPr>
            <w:r w:rsidRPr="009F0E09">
              <w:rPr>
                <w:color w:val="000000"/>
                <w:kern w:val="0"/>
              </w:rPr>
              <w:t>Lexington, KY-TN-VA-WV</w:t>
            </w:r>
          </w:p>
        </w:tc>
        <w:tc>
          <w:tcPr>
            <w:tcW w:w="2024" w:type="dxa"/>
            <w:tcBorders>
              <w:top w:val="nil"/>
              <w:left w:val="nil"/>
              <w:bottom w:val="nil"/>
              <w:right w:val="nil"/>
            </w:tcBorders>
            <w:shd w:val="clear" w:color="auto" w:fill="auto"/>
            <w:noWrap/>
            <w:vAlign w:val="bottom"/>
            <w:hideMark/>
          </w:tcPr>
          <w:p w:rsidR="00670D4D" w:rsidRPr="009F0E09" w:rsidP="00E9507C" w14:paraId="2C5B3773" w14:textId="77777777">
            <w:pPr>
              <w:ind w:right="-604" w:firstLine="158"/>
              <w:rPr>
                <w:color w:val="000000"/>
                <w:kern w:val="0"/>
              </w:rPr>
            </w:pPr>
            <w:r w:rsidRPr="009F0E09">
              <w:rPr>
                <w:color w:val="000000"/>
                <w:kern w:val="0"/>
              </w:rPr>
              <w:t>B  </w:t>
            </w:r>
          </w:p>
        </w:tc>
      </w:tr>
      <w:tr w14:paraId="05D7C8D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CDCF7F1" w14:textId="77777777">
            <w:pPr>
              <w:ind w:hanging="378"/>
              <w:jc w:val="center"/>
              <w:rPr>
                <w:color w:val="000000"/>
                <w:kern w:val="0"/>
              </w:rPr>
            </w:pPr>
            <w:r w:rsidRPr="009F0E09">
              <w:rPr>
                <w:color w:val="000000"/>
                <w:kern w:val="0"/>
              </w:rPr>
              <w:t>WPQP922</w:t>
            </w:r>
          </w:p>
        </w:tc>
        <w:tc>
          <w:tcPr>
            <w:tcW w:w="1530" w:type="dxa"/>
            <w:tcBorders>
              <w:top w:val="nil"/>
              <w:left w:val="nil"/>
              <w:bottom w:val="nil"/>
              <w:right w:val="nil"/>
            </w:tcBorders>
            <w:shd w:val="clear" w:color="auto" w:fill="auto"/>
            <w:noWrap/>
            <w:vAlign w:val="bottom"/>
            <w:hideMark/>
          </w:tcPr>
          <w:p w:rsidR="00670D4D" w:rsidRPr="009F0E09" w:rsidP="00E9507C" w14:paraId="6420897A" w14:textId="77777777">
            <w:pPr>
              <w:rPr>
                <w:color w:val="000000"/>
                <w:kern w:val="0"/>
              </w:rPr>
            </w:pPr>
            <w:r w:rsidRPr="009F0E09">
              <w:rPr>
                <w:color w:val="000000"/>
                <w:kern w:val="0"/>
              </w:rPr>
              <w:t>BEA047 </w:t>
            </w:r>
          </w:p>
        </w:tc>
        <w:tc>
          <w:tcPr>
            <w:tcW w:w="4950" w:type="dxa"/>
            <w:tcBorders>
              <w:top w:val="nil"/>
              <w:left w:val="nil"/>
              <w:bottom w:val="nil"/>
              <w:right w:val="nil"/>
            </w:tcBorders>
            <w:shd w:val="clear" w:color="auto" w:fill="auto"/>
            <w:noWrap/>
            <w:vAlign w:val="bottom"/>
            <w:hideMark/>
          </w:tcPr>
          <w:p w:rsidR="00670D4D" w:rsidRPr="009F0E09" w:rsidP="00E9507C" w14:paraId="4F46FE9C" w14:textId="77777777">
            <w:pPr>
              <w:rPr>
                <w:color w:val="000000"/>
                <w:kern w:val="0"/>
              </w:rPr>
            </w:pPr>
            <w:r w:rsidRPr="009F0E09">
              <w:rPr>
                <w:color w:val="000000"/>
                <w:kern w:val="0"/>
              </w:rPr>
              <w:t>Lexington, KY-TN-VA-WV</w:t>
            </w:r>
          </w:p>
        </w:tc>
        <w:tc>
          <w:tcPr>
            <w:tcW w:w="2024" w:type="dxa"/>
            <w:tcBorders>
              <w:top w:val="nil"/>
              <w:left w:val="nil"/>
              <w:bottom w:val="nil"/>
              <w:right w:val="nil"/>
            </w:tcBorders>
            <w:shd w:val="clear" w:color="auto" w:fill="auto"/>
            <w:noWrap/>
            <w:vAlign w:val="bottom"/>
            <w:hideMark/>
          </w:tcPr>
          <w:p w:rsidR="00670D4D" w:rsidRPr="009F0E09" w:rsidP="00E9507C" w14:paraId="71A29916" w14:textId="77777777">
            <w:pPr>
              <w:ind w:right="-604" w:firstLine="158"/>
              <w:rPr>
                <w:color w:val="000000"/>
                <w:kern w:val="0"/>
              </w:rPr>
            </w:pPr>
            <w:r w:rsidRPr="009F0E09">
              <w:rPr>
                <w:color w:val="000000"/>
                <w:kern w:val="0"/>
              </w:rPr>
              <w:t>C  </w:t>
            </w:r>
          </w:p>
        </w:tc>
      </w:tr>
      <w:tr w14:paraId="3502E67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240D704" w14:textId="77777777">
            <w:pPr>
              <w:ind w:hanging="378"/>
              <w:jc w:val="center"/>
              <w:rPr>
                <w:color w:val="000000"/>
                <w:kern w:val="0"/>
              </w:rPr>
            </w:pPr>
            <w:r w:rsidRPr="009F0E09">
              <w:rPr>
                <w:color w:val="000000"/>
                <w:kern w:val="0"/>
              </w:rPr>
              <w:t>WPQP923</w:t>
            </w:r>
          </w:p>
        </w:tc>
        <w:tc>
          <w:tcPr>
            <w:tcW w:w="1530" w:type="dxa"/>
            <w:tcBorders>
              <w:top w:val="nil"/>
              <w:left w:val="nil"/>
              <w:bottom w:val="nil"/>
              <w:right w:val="nil"/>
            </w:tcBorders>
            <w:shd w:val="clear" w:color="auto" w:fill="auto"/>
            <w:noWrap/>
            <w:vAlign w:val="bottom"/>
            <w:hideMark/>
          </w:tcPr>
          <w:p w:rsidR="00670D4D" w:rsidRPr="009F0E09" w:rsidP="00E9507C" w14:paraId="4C859868" w14:textId="77777777">
            <w:pPr>
              <w:rPr>
                <w:color w:val="000000"/>
                <w:kern w:val="0"/>
              </w:rPr>
            </w:pPr>
            <w:r w:rsidRPr="009F0E09">
              <w:rPr>
                <w:color w:val="000000"/>
                <w:kern w:val="0"/>
              </w:rPr>
              <w:t>BEA048 </w:t>
            </w:r>
          </w:p>
        </w:tc>
        <w:tc>
          <w:tcPr>
            <w:tcW w:w="4950" w:type="dxa"/>
            <w:tcBorders>
              <w:top w:val="nil"/>
              <w:left w:val="nil"/>
              <w:bottom w:val="nil"/>
              <w:right w:val="nil"/>
            </w:tcBorders>
            <w:shd w:val="clear" w:color="auto" w:fill="auto"/>
            <w:noWrap/>
            <w:vAlign w:val="bottom"/>
            <w:hideMark/>
          </w:tcPr>
          <w:p w:rsidR="00670D4D" w:rsidRPr="009F0E09" w:rsidP="00E9507C" w14:paraId="3C34B376" w14:textId="77777777">
            <w:pPr>
              <w:rPr>
                <w:color w:val="000000"/>
                <w:kern w:val="0"/>
              </w:rPr>
            </w:pPr>
            <w:r w:rsidRPr="009F0E09">
              <w:rPr>
                <w:color w:val="000000"/>
                <w:kern w:val="0"/>
              </w:rPr>
              <w:t>Charleston, WV-KY-OH</w:t>
            </w:r>
          </w:p>
        </w:tc>
        <w:tc>
          <w:tcPr>
            <w:tcW w:w="2024" w:type="dxa"/>
            <w:tcBorders>
              <w:top w:val="nil"/>
              <w:left w:val="nil"/>
              <w:bottom w:val="nil"/>
              <w:right w:val="nil"/>
            </w:tcBorders>
            <w:shd w:val="clear" w:color="auto" w:fill="auto"/>
            <w:noWrap/>
            <w:vAlign w:val="bottom"/>
            <w:hideMark/>
          </w:tcPr>
          <w:p w:rsidR="00670D4D" w:rsidRPr="009F0E09" w:rsidP="00E9507C" w14:paraId="4CD57C00" w14:textId="77777777">
            <w:pPr>
              <w:ind w:right="-604" w:firstLine="158"/>
              <w:rPr>
                <w:color w:val="000000"/>
                <w:kern w:val="0"/>
              </w:rPr>
            </w:pPr>
            <w:r w:rsidRPr="009F0E09">
              <w:rPr>
                <w:color w:val="000000"/>
                <w:kern w:val="0"/>
              </w:rPr>
              <w:t>B  </w:t>
            </w:r>
          </w:p>
        </w:tc>
      </w:tr>
      <w:tr w14:paraId="2428B84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B4F39BE" w14:textId="77777777">
            <w:pPr>
              <w:ind w:hanging="378"/>
              <w:jc w:val="center"/>
              <w:rPr>
                <w:color w:val="000000"/>
                <w:kern w:val="0"/>
              </w:rPr>
            </w:pPr>
            <w:r w:rsidRPr="009F0E09">
              <w:rPr>
                <w:color w:val="000000"/>
                <w:kern w:val="0"/>
              </w:rPr>
              <w:t>WPQP924</w:t>
            </w:r>
          </w:p>
        </w:tc>
        <w:tc>
          <w:tcPr>
            <w:tcW w:w="1530" w:type="dxa"/>
            <w:tcBorders>
              <w:top w:val="nil"/>
              <w:left w:val="nil"/>
              <w:bottom w:val="nil"/>
              <w:right w:val="nil"/>
            </w:tcBorders>
            <w:shd w:val="clear" w:color="auto" w:fill="auto"/>
            <w:noWrap/>
            <w:vAlign w:val="bottom"/>
            <w:hideMark/>
          </w:tcPr>
          <w:p w:rsidR="00670D4D" w:rsidRPr="009F0E09" w:rsidP="00E9507C" w14:paraId="39670CCF" w14:textId="77777777">
            <w:pPr>
              <w:rPr>
                <w:color w:val="000000"/>
                <w:kern w:val="0"/>
              </w:rPr>
            </w:pPr>
            <w:r w:rsidRPr="009F0E09">
              <w:rPr>
                <w:color w:val="000000"/>
                <w:kern w:val="0"/>
              </w:rPr>
              <w:t>BEA048 </w:t>
            </w:r>
          </w:p>
        </w:tc>
        <w:tc>
          <w:tcPr>
            <w:tcW w:w="4950" w:type="dxa"/>
            <w:tcBorders>
              <w:top w:val="nil"/>
              <w:left w:val="nil"/>
              <w:bottom w:val="nil"/>
              <w:right w:val="nil"/>
            </w:tcBorders>
            <w:shd w:val="clear" w:color="auto" w:fill="auto"/>
            <w:noWrap/>
            <w:vAlign w:val="bottom"/>
            <w:hideMark/>
          </w:tcPr>
          <w:p w:rsidR="00670D4D" w:rsidRPr="009F0E09" w:rsidP="00E9507C" w14:paraId="4163326C" w14:textId="77777777">
            <w:pPr>
              <w:rPr>
                <w:color w:val="000000"/>
                <w:kern w:val="0"/>
              </w:rPr>
            </w:pPr>
            <w:r w:rsidRPr="009F0E09">
              <w:rPr>
                <w:color w:val="000000"/>
                <w:kern w:val="0"/>
              </w:rPr>
              <w:t>Charleston, WV-KY-OH</w:t>
            </w:r>
          </w:p>
        </w:tc>
        <w:tc>
          <w:tcPr>
            <w:tcW w:w="2024" w:type="dxa"/>
            <w:tcBorders>
              <w:top w:val="nil"/>
              <w:left w:val="nil"/>
              <w:bottom w:val="nil"/>
              <w:right w:val="nil"/>
            </w:tcBorders>
            <w:shd w:val="clear" w:color="auto" w:fill="auto"/>
            <w:noWrap/>
            <w:vAlign w:val="bottom"/>
            <w:hideMark/>
          </w:tcPr>
          <w:p w:rsidR="00670D4D" w:rsidRPr="009F0E09" w:rsidP="00E9507C" w14:paraId="15922F2E" w14:textId="77777777">
            <w:pPr>
              <w:ind w:right="-604" w:firstLine="158"/>
              <w:rPr>
                <w:color w:val="000000"/>
                <w:kern w:val="0"/>
              </w:rPr>
            </w:pPr>
            <w:r w:rsidRPr="009F0E09">
              <w:rPr>
                <w:color w:val="000000"/>
                <w:kern w:val="0"/>
              </w:rPr>
              <w:t>C  </w:t>
            </w:r>
          </w:p>
        </w:tc>
      </w:tr>
      <w:tr w14:paraId="3D416D1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9332B7A" w14:textId="77777777">
            <w:pPr>
              <w:ind w:hanging="378"/>
              <w:jc w:val="center"/>
              <w:rPr>
                <w:color w:val="000000"/>
                <w:kern w:val="0"/>
              </w:rPr>
            </w:pPr>
            <w:r w:rsidRPr="009F0E09">
              <w:rPr>
                <w:color w:val="000000"/>
                <w:kern w:val="0"/>
              </w:rPr>
              <w:t>WPQP927</w:t>
            </w:r>
          </w:p>
        </w:tc>
        <w:tc>
          <w:tcPr>
            <w:tcW w:w="1530" w:type="dxa"/>
            <w:tcBorders>
              <w:top w:val="nil"/>
              <w:left w:val="nil"/>
              <w:bottom w:val="nil"/>
              <w:right w:val="nil"/>
            </w:tcBorders>
            <w:shd w:val="clear" w:color="auto" w:fill="auto"/>
            <w:noWrap/>
            <w:vAlign w:val="bottom"/>
            <w:hideMark/>
          </w:tcPr>
          <w:p w:rsidR="00670D4D" w:rsidRPr="009F0E09" w:rsidP="00E9507C" w14:paraId="4B17C86D" w14:textId="77777777">
            <w:pPr>
              <w:rPr>
                <w:color w:val="000000"/>
                <w:kern w:val="0"/>
              </w:rPr>
            </w:pPr>
            <w:r w:rsidRPr="009F0E09">
              <w:rPr>
                <w:color w:val="000000"/>
                <w:kern w:val="0"/>
              </w:rPr>
              <w:t>BEA050 </w:t>
            </w:r>
          </w:p>
        </w:tc>
        <w:tc>
          <w:tcPr>
            <w:tcW w:w="4950" w:type="dxa"/>
            <w:tcBorders>
              <w:top w:val="nil"/>
              <w:left w:val="nil"/>
              <w:bottom w:val="nil"/>
              <w:right w:val="nil"/>
            </w:tcBorders>
            <w:shd w:val="clear" w:color="auto" w:fill="auto"/>
            <w:noWrap/>
            <w:vAlign w:val="bottom"/>
            <w:hideMark/>
          </w:tcPr>
          <w:p w:rsidR="00670D4D" w:rsidRPr="009F0E09" w:rsidP="00E9507C" w14:paraId="6A70E705" w14:textId="77777777">
            <w:pPr>
              <w:rPr>
                <w:color w:val="000000"/>
                <w:kern w:val="0"/>
              </w:rPr>
            </w:pPr>
            <w:r w:rsidRPr="009F0E09">
              <w:rPr>
                <w:color w:val="000000"/>
                <w:kern w:val="0"/>
              </w:rPr>
              <w:t>Dayton-Springfield, OH</w:t>
            </w:r>
          </w:p>
        </w:tc>
        <w:tc>
          <w:tcPr>
            <w:tcW w:w="2024" w:type="dxa"/>
            <w:tcBorders>
              <w:top w:val="nil"/>
              <w:left w:val="nil"/>
              <w:bottom w:val="nil"/>
              <w:right w:val="nil"/>
            </w:tcBorders>
            <w:shd w:val="clear" w:color="auto" w:fill="auto"/>
            <w:noWrap/>
            <w:vAlign w:val="bottom"/>
            <w:hideMark/>
          </w:tcPr>
          <w:p w:rsidR="00670D4D" w:rsidRPr="009F0E09" w:rsidP="00E9507C" w14:paraId="085B9A77" w14:textId="77777777">
            <w:pPr>
              <w:ind w:right="-604" w:firstLine="158"/>
              <w:rPr>
                <w:color w:val="000000"/>
                <w:kern w:val="0"/>
              </w:rPr>
            </w:pPr>
            <w:r w:rsidRPr="009F0E09">
              <w:rPr>
                <w:color w:val="000000"/>
                <w:kern w:val="0"/>
              </w:rPr>
              <w:t>B  </w:t>
            </w:r>
          </w:p>
        </w:tc>
      </w:tr>
      <w:tr w14:paraId="0C6FA96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2021AF7" w14:textId="77777777">
            <w:pPr>
              <w:ind w:hanging="378"/>
              <w:jc w:val="center"/>
              <w:rPr>
                <w:color w:val="000000"/>
                <w:kern w:val="0"/>
              </w:rPr>
            </w:pPr>
            <w:r w:rsidRPr="009F0E09">
              <w:rPr>
                <w:color w:val="000000"/>
                <w:kern w:val="0"/>
              </w:rPr>
              <w:t>WPQP928</w:t>
            </w:r>
          </w:p>
        </w:tc>
        <w:tc>
          <w:tcPr>
            <w:tcW w:w="1530" w:type="dxa"/>
            <w:tcBorders>
              <w:top w:val="nil"/>
              <w:left w:val="nil"/>
              <w:bottom w:val="nil"/>
              <w:right w:val="nil"/>
            </w:tcBorders>
            <w:shd w:val="clear" w:color="auto" w:fill="auto"/>
            <w:noWrap/>
            <w:vAlign w:val="bottom"/>
            <w:hideMark/>
          </w:tcPr>
          <w:p w:rsidR="00670D4D" w:rsidRPr="009F0E09" w:rsidP="00E9507C" w14:paraId="75D13DE2" w14:textId="77777777">
            <w:pPr>
              <w:rPr>
                <w:color w:val="000000"/>
                <w:kern w:val="0"/>
              </w:rPr>
            </w:pPr>
            <w:r w:rsidRPr="009F0E09">
              <w:rPr>
                <w:color w:val="000000"/>
                <w:kern w:val="0"/>
              </w:rPr>
              <w:t>BEA050 </w:t>
            </w:r>
          </w:p>
        </w:tc>
        <w:tc>
          <w:tcPr>
            <w:tcW w:w="4950" w:type="dxa"/>
            <w:tcBorders>
              <w:top w:val="nil"/>
              <w:left w:val="nil"/>
              <w:bottom w:val="nil"/>
              <w:right w:val="nil"/>
            </w:tcBorders>
            <w:shd w:val="clear" w:color="auto" w:fill="auto"/>
            <w:noWrap/>
            <w:vAlign w:val="bottom"/>
            <w:hideMark/>
          </w:tcPr>
          <w:p w:rsidR="00670D4D" w:rsidRPr="009F0E09" w:rsidP="00E9507C" w14:paraId="7740043B" w14:textId="77777777">
            <w:pPr>
              <w:rPr>
                <w:color w:val="000000"/>
                <w:kern w:val="0"/>
              </w:rPr>
            </w:pPr>
            <w:r w:rsidRPr="009F0E09">
              <w:rPr>
                <w:color w:val="000000"/>
                <w:kern w:val="0"/>
              </w:rPr>
              <w:t>Dayton-Springfield, OH</w:t>
            </w:r>
          </w:p>
        </w:tc>
        <w:tc>
          <w:tcPr>
            <w:tcW w:w="2024" w:type="dxa"/>
            <w:tcBorders>
              <w:top w:val="nil"/>
              <w:left w:val="nil"/>
              <w:bottom w:val="nil"/>
              <w:right w:val="nil"/>
            </w:tcBorders>
            <w:shd w:val="clear" w:color="auto" w:fill="auto"/>
            <w:noWrap/>
            <w:vAlign w:val="bottom"/>
            <w:hideMark/>
          </w:tcPr>
          <w:p w:rsidR="00670D4D" w:rsidRPr="009F0E09" w:rsidP="00E9507C" w14:paraId="6DEF3275" w14:textId="77777777">
            <w:pPr>
              <w:ind w:right="-604" w:firstLine="158"/>
              <w:rPr>
                <w:color w:val="000000"/>
                <w:kern w:val="0"/>
              </w:rPr>
            </w:pPr>
            <w:r w:rsidRPr="009F0E09">
              <w:rPr>
                <w:color w:val="000000"/>
                <w:kern w:val="0"/>
              </w:rPr>
              <w:t>C  </w:t>
            </w:r>
          </w:p>
        </w:tc>
      </w:tr>
      <w:tr w14:paraId="491FC18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2C32B8A" w14:textId="77777777">
            <w:pPr>
              <w:ind w:hanging="378"/>
              <w:jc w:val="center"/>
              <w:rPr>
                <w:color w:val="000000"/>
                <w:kern w:val="0"/>
              </w:rPr>
            </w:pPr>
            <w:r w:rsidRPr="009F0E09">
              <w:rPr>
                <w:color w:val="000000"/>
                <w:kern w:val="0"/>
              </w:rPr>
              <w:t>WPQP933</w:t>
            </w:r>
          </w:p>
        </w:tc>
        <w:tc>
          <w:tcPr>
            <w:tcW w:w="1530" w:type="dxa"/>
            <w:tcBorders>
              <w:top w:val="nil"/>
              <w:left w:val="nil"/>
              <w:bottom w:val="nil"/>
              <w:right w:val="nil"/>
            </w:tcBorders>
            <w:shd w:val="clear" w:color="auto" w:fill="auto"/>
            <w:noWrap/>
            <w:vAlign w:val="bottom"/>
            <w:hideMark/>
          </w:tcPr>
          <w:p w:rsidR="00670D4D" w:rsidRPr="009F0E09" w:rsidP="00E9507C" w14:paraId="046A136B" w14:textId="77777777">
            <w:pPr>
              <w:rPr>
                <w:color w:val="000000"/>
                <w:kern w:val="0"/>
              </w:rPr>
            </w:pPr>
            <w:r w:rsidRPr="009F0E09">
              <w:rPr>
                <w:color w:val="000000"/>
                <w:kern w:val="0"/>
              </w:rPr>
              <w:t>BEA054 </w:t>
            </w:r>
          </w:p>
        </w:tc>
        <w:tc>
          <w:tcPr>
            <w:tcW w:w="4950" w:type="dxa"/>
            <w:tcBorders>
              <w:top w:val="nil"/>
              <w:left w:val="nil"/>
              <w:bottom w:val="nil"/>
              <w:right w:val="nil"/>
            </w:tcBorders>
            <w:shd w:val="clear" w:color="auto" w:fill="auto"/>
            <w:noWrap/>
            <w:vAlign w:val="bottom"/>
            <w:hideMark/>
          </w:tcPr>
          <w:p w:rsidR="00670D4D" w:rsidRPr="009F0E09" w:rsidP="00E9507C" w14:paraId="7477B1E1" w14:textId="77777777">
            <w:pPr>
              <w:rPr>
                <w:color w:val="000000"/>
                <w:kern w:val="0"/>
              </w:rPr>
            </w:pPr>
            <w:r w:rsidRPr="009F0E09">
              <w:rPr>
                <w:color w:val="000000"/>
                <w:kern w:val="0"/>
              </w:rPr>
              <w:t>Erie, PA</w:t>
            </w:r>
          </w:p>
        </w:tc>
        <w:tc>
          <w:tcPr>
            <w:tcW w:w="2024" w:type="dxa"/>
            <w:tcBorders>
              <w:top w:val="nil"/>
              <w:left w:val="nil"/>
              <w:bottom w:val="nil"/>
              <w:right w:val="nil"/>
            </w:tcBorders>
            <w:shd w:val="clear" w:color="auto" w:fill="auto"/>
            <w:noWrap/>
            <w:vAlign w:val="bottom"/>
            <w:hideMark/>
          </w:tcPr>
          <w:p w:rsidR="00670D4D" w:rsidRPr="009F0E09" w:rsidP="00E9507C" w14:paraId="2EF005EB" w14:textId="77777777">
            <w:pPr>
              <w:ind w:right="-604" w:firstLine="158"/>
              <w:rPr>
                <w:color w:val="000000"/>
                <w:kern w:val="0"/>
              </w:rPr>
            </w:pPr>
            <w:r w:rsidRPr="009F0E09">
              <w:rPr>
                <w:color w:val="000000"/>
                <w:kern w:val="0"/>
              </w:rPr>
              <w:t>B  </w:t>
            </w:r>
          </w:p>
        </w:tc>
      </w:tr>
      <w:tr w14:paraId="228A15C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250BBAC" w14:textId="77777777">
            <w:pPr>
              <w:ind w:hanging="378"/>
              <w:jc w:val="center"/>
              <w:rPr>
                <w:color w:val="000000"/>
                <w:kern w:val="0"/>
              </w:rPr>
            </w:pPr>
            <w:r w:rsidRPr="009F0E09">
              <w:rPr>
                <w:color w:val="000000"/>
                <w:kern w:val="0"/>
              </w:rPr>
              <w:t>WPQP934</w:t>
            </w:r>
          </w:p>
        </w:tc>
        <w:tc>
          <w:tcPr>
            <w:tcW w:w="1530" w:type="dxa"/>
            <w:tcBorders>
              <w:top w:val="nil"/>
              <w:left w:val="nil"/>
              <w:bottom w:val="nil"/>
              <w:right w:val="nil"/>
            </w:tcBorders>
            <w:shd w:val="clear" w:color="auto" w:fill="auto"/>
            <w:noWrap/>
            <w:vAlign w:val="bottom"/>
            <w:hideMark/>
          </w:tcPr>
          <w:p w:rsidR="00670D4D" w:rsidRPr="009F0E09" w:rsidP="00E9507C" w14:paraId="4E3CAEF1" w14:textId="77777777">
            <w:pPr>
              <w:rPr>
                <w:color w:val="000000"/>
                <w:kern w:val="0"/>
              </w:rPr>
            </w:pPr>
            <w:r w:rsidRPr="009F0E09">
              <w:rPr>
                <w:color w:val="000000"/>
                <w:kern w:val="0"/>
              </w:rPr>
              <w:t>BEA054 </w:t>
            </w:r>
          </w:p>
        </w:tc>
        <w:tc>
          <w:tcPr>
            <w:tcW w:w="4950" w:type="dxa"/>
            <w:tcBorders>
              <w:top w:val="nil"/>
              <w:left w:val="nil"/>
              <w:bottom w:val="nil"/>
              <w:right w:val="nil"/>
            </w:tcBorders>
            <w:shd w:val="clear" w:color="auto" w:fill="auto"/>
            <w:noWrap/>
            <w:vAlign w:val="bottom"/>
            <w:hideMark/>
          </w:tcPr>
          <w:p w:rsidR="00670D4D" w:rsidRPr="009F0E09" w:rsidP="00E9507C" w14:paraId="09103E41" w14:textId="77777777">
            <w:pPr>
              <w:rPr>
                <w:color w:val="000000"/>
                <w:kern w:val="0"/>
              </w:rPr>
            </w:pPr>
            <w:r w:rsidRPr="009F0E09">
              <w:rPr>
                <w:color w:val="000000"/>
                <w:kern w:val="0"/>
              </w:rPr>
              <w:t>Erie, PA</w:t>
            </w:r>
          </w:p>
        </w:tc>
        <w:tc>
          <w:tcPr>
            <w:tcW w:w="2024" w:type="dxa"/>
            <w:tcBorders>
              <w:top w:val="nil"/>
              <w:left w:val="nil"/>
              <w:bottom w:val="nil"/>
              <w:right w:val="nil"/>
            </w:tcBorders>
            <w:shd w:val="clear" w:color="auto" w:fill="auto"/>
            <w:noWrap/>
            <w:vAlign w:val="bottom"/>
            <w:hideMark/>
          </w:tcPr>
          <w:p w:rsidR="00670D4D" w:rsidRPr="009F0E09" w:rsidP="00E9507C" w14:paraId="4F30E9E7" w14:textId="77777777">
            <w:pPr>
              <w:ind w:right="-604" w:firstLine="158"/>
              <w:rPr>
                <w:color w:val="000000"/>
                <w:kern w:val="0"/>
              </w:rPr>
            </w:pPr>
            <w:r w:rsidRPr="009F0E09">
              <w:rPr>
                <w:color w:val="000000"/>
                <w:kern w:val="0"/>
              </w:rPr>
              <w:t>C  </w:t>
            </w:r>
          </w:p>
        </w:tc>
      </w:tr>
      <w:tr w14:paraId="450CBE4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672BC2D" w14:textId="77777777">
            <w:pPr>
              <w:ind w:hanging="378"/>
              <w:jc w:val="center"/>
              <w:rPr>
                <w:color w:val="000000"/>
                <w:kern w:val="0"/>
              </w:rPr>
            </w:pPr>
            <w:r w:rsidRPr="009F0E09">
              <w:rPr>
                <w:color w:val="000000"/>
                <w:kern w:val="0"/>
              </w:rPr>
              <w:t>WPQP937</w:t>
            </w:r>
          </w:p>
        </w:tc>
        <w:tc>
          <w:tcPr>
            <w:tcW w:w="1530" w:type="dxa"/>
            <w:tcBorders>
              <w:top w:val="nil"/>
              <w:left w:val="nil"/>
              <w:bottom w:val="nil"/>
              <w:right w:val="nil"/>
            </w:tcBorders>
            <w:shd w:val="clear" w:color="auto" w:fill="auto"/>
            <w:noWrap/>
            <w:vAlign w:val="bottom"/>
            <w:hideMark/>
          </w:tcPr>
          <w:p w:rsidR="00670D4D" w:rsidRPr="009F0E09" w:rsidP="00E9507C" w14:paraId="1AA9E35D" w14:textId="77777777">
            <w:pPr>
              <w:rPr>
                <w:color w:val="000000"/>
                <w:kern w:val="0"/>
              </w:rPr>
            </w:pPr>
            <w:r w:rsidRPr="009F0E09">
              <w:rPr>
                <w:color w:val="000000"/>
                <w:kern w:val="0"/>
              </w:rPr>
              <w:t>BEA056 </w:t>
            </w:r>
          </w:p>
        </w:tc>
        <w:tc>
          <w:tcPr>
            <w:tcW w:w="4950" w:type="dxa"/>
            <w:tcBorders>
              <w:top w:val="nil"/>
              <w:left w:val="nil"/>
              <w:bottom w:val="nil"/>
              <w:right w:val="nil"/>
            </w:tcBorders>
            <w:shd w:val="clear" w:color="auto" w:fill="auto"/>
            <w:noWrap/>
            <w:vAlign w:val="bottom"/>
            <w:hideMark/>
          </w:tcPr>
          <w:p w:rsidR="00670D4D" w:rsidRPr="009F0E09" w:rsidP="00E9507C" w14:paraId="02843889" w14:textId="77777777">
            <w:pPr>
              <w:rPr>
                <w:color w:val="000000"/>
                <w:kern w:val="0"/>
              </w:rPr>
            </w:pPr>
            <w:r w:rsidRPr="009F0E09">
              <w:rPr>
                <w:color w:val="000000"/>
                <w:kern w:val="0"/>
              </w:rPr>
              <w:t>Toledo, OH</w:t>
            </w:r>
          </w:p>
        </w:tc>
        <w:tc>
          <w:tcPr>
            <w:tcW w:w="2024" w:type="dxa"/>
            <w:tcBorders>
              <w:top w:val="nil"/>
              <w:left w:val="nil"/>
              <w:bottom w:val="nil"/>
              <w:right w:val="nil"/>
            </w:tcBorders>
            <w:shd w:val="clear" w:color="auto" w:fill="auto"/>
            <w:noWrap/>
            <w:vAlign w:val="bottom"/>
            <w:hideMark/>
          </w:tcPr>
          <w:p w:rsidR="00670D4D" w:rsidRPr="009F0E09" w:rsidP="00E9507C" w14:paraId="257999C4" w14:textId="77777777">
            <w:pPr>
              <w:ind w:right="-604" w:firstLine="158"/>
              <w:rPr>
                <w:color w:val="000000"/>
                <w:kern w:val="0"/>
              </w:rPr>
            </w:pPr>
            <w:r w:rsidRPr="009F0E09">
              <w:rPr>
                <w:color w:val="000000"/>
                <w:kern w:val="0"/>
              </w:rPr>
              <w:t>B  </w:t>
            </w:r>
          </w:p>
        </w:tc>
      </w:tr>
      <w:tr w14:paraId="17030CF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4EDBFD5" w14:textId="77777777">
            <w:pPr>
              <w:ind w:hanging="378"/>
              <w:jc w:val="center"/>
              <w:rPr>
                <w:color w:val="000000"/>
                <w:kern w:val="0"/>
              </w:rPr>
            </w:pPr>
            <w:r w:rsidRPr="009F0E09">
              <w:rPr>
                <w:color w:val="000000"/>
                <w:kern w:val="0"/>
              </w:rPr>
              <w:t>WPQP938</w:t>
            </w:r>
          </w:p>
        </w:tc>
        <w:tc>
          <w:tcPr>
            <w:tcW w:w="1530" w:type="dxa"/>
            <w:tcBorders>
              <w:top w:val="nil"/>
              <w:left w:val="nil"/>
              <w:bottom w:val="nil"/>
              <w:right w:val="nil"/>
            </w:tcBorders>
            <w:shd w:val="clear" w:color="auto" w:fill="auto"/>
            <w:noWrap/>
            <w:vAlign w:val="bottom"/>
            <w:hideMark/>
          </w:tcPr>
          <w:p w:rsidR="00670D4D" w:rsidRPr="009F0E09" w:rsidP="00E9507C" w14:paraId="7FE50DC4" w14:textId="77777777">
            <w:pPr>
              <w:rPr>
                <w:color w:val="000000"/>
                <w:kern w:val="0"/>
              </w:rPr>
            </w:pPr>
            <w:r w:rsidRPr="009F0E09">
              <w:rPr>
                <w:color w:val="000000"/>
                <w:kern w:val="0"/>
              </w:rPr>
              <w:t>BEA056 </w:t>
            </w:r>
          </w:p>
        </w:tc>
        <w:tc>
          <w:tcPr>
            <w:tcW w:w="4950" w:type="dxa"/>
            <w:tcBorders>
              <w:top w:val="nil"/>
              <w:left w:val="nil"/>
              <w:bottom w:val="nil"/>
              <w:right w:val="nil"/>
            </w:tcBorders>
            <w:shd w:val="clear" w:color="auto" w:fill="auto"/>
            <w:noWrap/>
            <w:vAlign w:val="bottom"/>
            <w:hideMark/>
          </w:tcPr>
          <w:p w:rsidR="00670D4D" w:rsidRPr="009F0E09" w:rsidP="00E9507C" w14:paraId="114E0BAC" w14:textId="77777777">
            <w:pPr>
              <w:rPr>
                <w:color w:val="000000"/>
                <w:kern w:val="0"/>
              </w:rPr>
            </w:pPr>
            <w:r w:rsidRPr="009F0E09">
              <w:rPr>
                <w:color w:val="000000"/>
                <w:kern w:val="0"/>
              </w:rPr>
              <w:t>Toledo, OH</w:t>
            </w:r>
          </w:p>
        </w:tc>
        <w:tc>
          <w:tcPr>
            <w:tcW w:w="2024" w:type="dxa"/>
            <w:tcBorders>
              <w:top w:val="nil"/>
              <w:left w:val="nil"/>
              <w:bottom w:val="nil"/>
              <w:right w:val="nil"/>
            </w:tcBorders>
            <w:shd w:val="clear" w:color="auto" w:fill="auto"/>
            <w:noWrap/>
            <w:vAlign w:val="bottom"/>
            <w:hideMark/>
          </w:tcPr>
          <w:p w:rsidR="00670D4D" w:rsidRPr="009F0E09" w:rsidP="00E9507C" w14:paraId="7A227583" w14:textId="77777777">
            <w:pPr>
              <w:ind w:right="-604" w:firstLine="158"/>
              <w:rPr>
                <w:color w:val="000000"/>
                <w:kern w:val="0"/>
              </w:rPr>
            </w:pPr>
            <w:r w:rsidRPr="009F0E09">
              <w:rPr>
                <w:color w:val="000000"/>
                <w:kern w:val="0"/>
              </w:rPr>
              <w:t>C  </w:t>
            </w:r>
          </w:p>
        </w:tc>
      </w:tr>
      <w:tr w14:paraId="3A1904F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B161D0D" w14:textId="77777777">
            <w:pPr>
              <w:ind w:hanging="378"/>
              <w:jc w:val="center"/>
              <w:rPr>
                <w:color w:val="000000"/>
                <w:kern w:val="0"/>
              </w:rPr>
            </w:pPr>
            <w:r w:rsidRPr="009F0E09">
              <w:rPr>
                <w:color w:val="000000"/>
                <w:kern w:val="0"/>
              </w:rPr>
              <w:t>WPQP941</w:t>
            </w:r>
          </w:p>
        </w:tc>
        <w:tc>
          <w:tcPr>
            <w:tcW w:w="1530" w:type="dxa"/>
            <w:tcBorders>
              <w:top w:val="nil"/>
              <w:left w:val="nil"/>
              <w:bottom w:val="nil"/>
              <w:right w:val="nil"/>
            </w:tcBorders>
            <w:shd w:val="clear" w:color="auto" w:fill="auto"/>
            <w:noWrap/>
            <w:vAlign w:val="bottom"/>
            <w:hideMark/>
          </w:tcPr>
          <w:p w:rsidR="00670D4D" w:rsidRPr="009F0E09" w:rsidP="00E9507C" w14:paraId="4A655F14" w14:textId="77777777">
            <w:pPr>
              <w:rPr>
                <w:color w:val="000000"/>
                <w:kern w:val="0"/>
              </w:rPr>
            </w:pPr>
            <w:r w:rsidRPr="009F0E09">
              <w:rPr>
                <w:color w:val="000000"/>
                <w:kern w:val="0"/>
              </w:rPr>
              <w:t>BEA059 </w:t>
            </w:r>
          </w:p>
        </w:tc>
        <w:tc>
          <w:tcPr>
            <w:tcW w:w="4950" w:type="dxa"/>
            <w:tcBorders>
              <w:top w:val="nil"/>
              <w:left w:val="nil"/>
              <w:bottom w:val="nil"/>
              <w:right w:val="nil"/>
            </w:tcBorders>
            <w:shd w:val="clear" w:color="auto" w:fill="auto"/>
            <w:noWrap/>
            <w:vAlign w:val="bottom"/>
            <w:hideMark/>
          </w:tcPr>
          <w:p w:rsidR="00670D4D" w:rsidRPr="009F0E09" w:rsidP="00E9507C" w14:paraId="2DFD56B6" w14:textId="77777777">
            <w:pPr>
              <w:rPr>
                <w:color w:val="000000"/>
                <w:kern w:val="0"/>
              </w:rPr>
            </w:pPr>
            <w:r w:rsidRPr="009F0E09">
              <w:rPr>
                <w:color w:val="000000"/>
                <w:kern w:val="0"/>
              </w:rPr>
              <w:t>Green Bay, WI-MI</w:t>
            </w:r>
          </w:p>
        </w:tc>
        <w:tc>
          <w:tcPr>
            <w:tcW w:w="2024" w:type="dxa"/>
            <w:tcBorders>
              <w:top w:val="nil"/>
              <w:left w:val="nil"/>
              <w:bottom w:val="nil"/>
              <w:right w:val="nil"/>
            </w:tcBorders>
            <w:shd w:val="clear" w:color="auto" w:fill="auto"/>
            <w:noWrap/>
            <w:vAlign w:val="bottom"/>
            <w:hideMark/>
          </w:tcPr>
          <w:p w:rsidR="00670D4D" w:rsidRPr="009F0E09" w:rsidP="00E9507C" w14:paraId="6AF452CA" w14:textId="77777777">
            <w:pPr>
              <w:ind w:right="-604" w:firstLine="158"/>
              <w:rPr>
                <w:color w:val="000000"/>
                <w:kern w:val="0"/>
              </w:rPr>
            </w:pPr>
            <w:r w:rsidRPr="009F0E09">
              <w:rPr>
                <w:color w:val="000000"/>
                <w:kern w:val="0"/>
              </w:rPr>
              <w:t>B  </w:t>
            </w:r>
          </w:p>
        </w:tc>
      </w:tr>
      <w:tr w14:paraId="19DD4587"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CDF919A" w14:textId="77777777">
            <w:pPr>
              <w:ind w:hanging="378"/>
              <w:jc w:val="center"/>
              <w:rPr>
                <w:color w:val="000000"/>
                <w:kern w:val="0"/>
              </w:rPr>
            </w:pPr>
            <w:r w:rsidRPr="009F0E09">
              <w:rPr>
                <w:color w:val="000000"/>
                <w:kern w:val="0"/>
              </w:rPr>
              <w:t>WPQP942</w:t>
            </w:r>
          </w:p>
        </w:tc>
        <w:tc>
          <w:tcPr>
            <w:tcW w:w="1530" w:type="dxa"/>
            <w:tcBorders>
              <w:top w:val="nil"/>
              <w:left w:val="nil"/>
              <w:bottom w:val="nil"/>
              <w:right w:val="nil"/>
            </w:tcBorders>
            <w:shd w:val="clear" w:color="auto" w:fill="auto"/>
            <w:noWrap/>
            <w:vAlign w:val="bottom"/>
            <w:hideMark/>
          </w:tcPr>
          <w:p w:rsidR="00670D4D" w:rsidRPr="009F0E09" w:rsidP="00E9507C" w14:paraId="57E1AB0B" w14:textId="77777777">
            <w:pPr>
              <w:rPr>
                <w:color w:val="000000"/>
                <w:kern w:val="0"/>
              </w:rPr>
            </w:pPr>
            <w:r w:rsidRPr="009F0E09">
              <w:rPr>
                <w:color w:val="000000"/>
                <w:kern w:val="0"/>
              </w:rPr>
              <w:t>BEA059 </w:t>
            </w:r>
          </w:p>
        </w:tc>
        <w:tc>
          <w:tcPr>
            <w:tcW w:w="4950" w:type="dxa"/>
            <w:tcBorders>
              <w:top w:val="nil"/>
              <w:left w:val="nil"/>
              <w:bottom w:val="nil"/>
              <w:right w:val="nil"/>
            </w:tcBorders>
            <w:shd w:val="clear" w:color="auto" w:fill="auto"/>
            <w:noWrap/>
            <w:vAlign w:val="bottom"/>
            <w:hideMark/>
          </w:tcPr>
          <w:p w:rsidR="00670D4D" w:rsidRPr="009F0E09" w:rsidP="00E9507C" w14:paraId="076BA6A2" w14:textId="77777777">
            <w:pPr>
              <w:rPr>
                <w:color w:val="000000"/>
                <w:kern w:val="0"/>
              </w:rPr>
            </w:pPr>
            <w:r w:rsidRPr="009F0E09">
              <w:rPr>
                <w:color w:val="000000"/>
                <w:kern w:val="0"/>
              </w:rPr>
              <w:t>Green Bay, WI-MI</w:t>
            </w:r>
          </w:p>
        </w:tc>
        <w:tc>
          <w:tcPr>
            <w:tcW w:w="2024" w:type="dxa"/>
            <w:tcBorders>
              <w:top w:val="nil"/>
              <w:left w:val="nil"/>
              <w:bottom w:val="nil"/>
              <w:right w:val="nil"/>
            </w:tcBorders>
            <w:shd w:val="clear" w:color="auto" w:fill="auto"/>
            <w:noWrap/>
            <w:vAlign w:val="bottom"/>
            <w:hideMark/>
          </w:tcPr>
          <w:p w:rsidR="00670D4D" w:rsidRPr="009F0E09" w:rsidP="00E9507C" w14:paraId="47E43BF7" w14:textId="77777777">
            <w:pPr>
              <w:ind w:right="-604" w:firstLine="158"/>
              <w:rPr>
                <w:color w:val="000000"/>
                <w:kern w:val="0"/>
              </w:rPr>
            </w:pPr>
            <w:r w:rsidRPr="009F0E09">
              <w:rPr>
                <w:color w:val="000000"/>
                <w:kern w:val="0"/>
              </w:rPr>
              <w:t>C  </w:t>
            </w:r>
          </w:p>
        </w:tc>
      </w:tr>
      <w:tr w14:paraId="5B2695F7"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8C11ADE" w14:textId="77777777">
            <w:pPr>
              <w:ind w:hanging="378"/>
              <w:jc w:val="center"/>
              <w:rPr>
                <w:color w:val="000000"/>
                <w:kern w:val="0"/>
              </w:rPr>
            </w:pPr>
            <w:r w:rsidRPr="009F0E09">
              <w:rPr>
                <w:color w:val="000000"/>
                <w:kern w:val="0"/>
              </w:rPr>
              <w:t>WPQP943</w:t>
            </w:r>
          </w:p>
        </w:tc>
        <w:tc>
          <w:tcPr>
            <w:tcW w:w="1530" w:type="dxa"/>
            <w:tcBorders>
              <w:top w:val="nil"/>
              <w:left w:val="nil"/>
              <w:bottom w:val="nil"/>
              <w:right w:val="nil"/>
            </w:tcBorders>
            <w:shd w:val="clear" w:color="auto" w:fill="auto"/>
            <w:noWrap/>
            <w:vAlign w:val="bottom"/>
            <w:hideMark/>
          </w:tcPr>
          <w:p w:rsidR="00670D4D" w:rsidRPr="009F0E09" w:rsidP="00E9507C" w14:paraId="033093CA" w14:textId="77777777">
            <w:pPr>
              <w:rPr>
                <w:color w:val="000000"/>
                <w:kern w:val="0"/>
              </w:rPr>
            </w:pPr>
            <w:r w:rsidRPr="009F0E09">
              <w:rPr>
                <w:color w:val="000000"/>
                <w:kern w:val="0"/>
              </w:rPr>
              <w:t>BEA062 </w:t>
            </w:r>
          </w:p>
        </w:tc>
        <w:tc>
          <w:tcPr>
            <w:tcW w:w="4950" w:type="dxa"/>
            <w:tcBorders>
              <w:top w:val="nil"/>
              <w:left w:val="nil"/>
              <w:bottom w:val="nil"/>
              <w:right w:val="nil"/>
            </w:tcBorders>
            <w:shd w:val="clear" w:color="auto" w:fill="auto"/>
            <w:noWrap/>
            <w:vAlign w:val="bottom"/>
            <w:hideMark/>
          </w:tcPr>
          <w:p w:rsidR="00670D4D" w:rsidRPr="009F0E09" w:rsidP="00E9507C" w14:paraId="79A25763" w14:textId="77777777">
            <w:pPr>
              <w:rPr>
                <w:color w:val="000000"/>
                <w:kern w:val="0"/>
              </w:rPr>
            </w:pPr>
            <w:r w:rsidRPr="009F0E09">
              <w:rPr>
                <w:color w:val="000000"/>
                <w:kern w:val="0"/>
              </w:rPr>
              <w:t>Grand Rapids-Muskegon-Holland, MI </w:t>
            </w:r>
          </w:p>
        </w:tc>
        <w:tc>
          <w:tcPr>
            <w:tcW w:w="2024" w:type="dxa"/>
            <w:tcBorders>
              <w:top w:val="nil"/>
              <w:left w:val="nil"/>
              <w:bottom w:val="nil"/>
              <w:right w:val="nil"/>
            </w:tcBorders>
            <w:shd w:val="clear" w:color="auto" w:fill="auto"/>
            <w:noWrap/>
            <w:vAlign w:val="bottom"/>
            <w:hideMark/>
          </w:tcPr>
          <w:p w:rsidR="00670D4D" w:rsidRPr="009F0E09" w:rsidP="00E9507C" w14:paraId="63FF7B35" w14:textId="77777777">
            <w:pPr>
              <w:ind w:right="-604" w:firstLine="158"/>
              <w:rPr>
                <w:color w:val="000000"/>
                <w:kern w:val="0"/>
              </w:rPr>
            </w:pPr>
            <w:r w:rsidRPr="009F0E09">
              <w:rPr>
                <w:color w:val="000000"/>
                <w:kern w:val="0"/>
              </w:rPr>
              <w:t>B  </w:t>
            </w:r>
          </w:p>
        </w:tc>
      </w:tr>
      <w:tr w14:paraId="38D4405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2540C47" w14:textId="77777777">
            <w:pPr>
              <w:ind w:hanging="378"/>
              <w:jc w:val="center"/>
              <w:rPr>
                <w:color w:val="000000"/>
                <w:kern w:val="0"/>
              </w:rPr>
            </w:pPr>
            <w:r w:rsidRPr="009F0E09">
              <w:rPr>
                <w:color w:val="000000"/>
                <w:kern w:val="0"/>
              </w:rPr>
              <w:t>WPQP944</w:t>
            </w:r>
          </w:p>
        </w:tc>
        <w:tc>
          <w:tcPr>
            <w:tcW w:w="1530" w:type="dxa"/>
            <w:tcBorders>
              <w:top w:val="nil"/>
              <w:left w:val="nil"/>
              <w:bottom w:val="nil"/>
              <w:right w:val="nil"/>
            </w:tcBorders>
            <w:shd w:val="clear" w:color="auto" w:fill="auto"/>
            <w:noWrap/>
            <w:vAlign w:val="bottom"/>
            <w:hideMark/>
          </w:tcPr>
          <w:p w:rsidR="00670D4D" w:rsidRPr="009F0E09" w:rsidP="00E9507C" w14:paraId="1D68010C" w14:textId="77777777">
            <w:pPr>
              <w:rPr>
                <w:color w:val="000000"/>
                <w:kern w:val="0"/>
              </w:rPr>
            </w:pPr>
            <w:r w:rsidRPr="009F0E09">
              <w:rPr>
                <w:color w:val="000000"/>
                <w:kern w:val="0"/>
              </w:rPr>
              <w:t>BEA062 </w:t>
            </w:r>
          </w:p>
        </w:tc>
        <w:tc>
          <w:tcPr>
            <w:tcW w:w="4950" w:type="dxa"/>
            <w:tcBorders>
              <w:top w:val="nil"/>
              <w:left w:val="nil"/>
              <w:bottom w:val="nil"/>
              <w:right w:val="nil"/>
            </w:tcBorders>
            <w:shd w:val="clear" w:color="auto" w:fill="auto"/>
            <w:noWrap/>
            <w:vAlign w:val="bottom"/>
            <w:hideMark/>
          </w:tcPr>
          <w:p w:rsidR="00670D4D" w:rsidRPr="009F0E09" w:rsidP="00E9507C" w14:paraId="39FCE993" w14:textId="77777777">
            <w:pPr>
              <w:rPr>
                <w:color w:val="000000"/>
                <w:kern w:val="0"/>
              </w:rPr>
            </w:pPr>
            <w:r w:rsidRPr="009F0E09">
              <w:rPr>
                <w:color w:val="000000"/>
                <w:kern w:val="0"/>
              </w:rPr>
              <w:t>Grand Rapids-Muskegon-Holland, MI </w:t>
            </w:r>
          </w:p>
        </w:tc>
        <w:tc>
          <w:tcPr>
            <w:tcW w:w="2024" w:type="dxa"/>
            <w:tcBorders>
              <w:top w:val="nil"/>
              <w:left w:val="nil"/>
              <w:bottom w:val="nil"/>
              <w:right w:val="nil"/>
            </w:tcBorders>
            <w:shd w:val="clear" w:color="auto" w:fill="auto"/>
            <w:noWrap/>
            <w:vAlign w:val="bottom"/>
            <w:hideMark/>
          </w:tcPr>
          <w:p w:rsidR="00670D4D" w:rsidRPr="009F0E09" w:rsidP="00E9507C" w14:paraId="3699796E" w14:textId="77777777">
            <w:pPr>
              <w:ind w:right="-604" w:firstLine="158"/>
              <w:rPr>
                <w:color w:val="000000"/>
                <w:kern w:val="0"/>
              </w:rPr>
            </w:pPr>
            <w:r w:rsidRPr="009F0E09">
              <w:rPr>
                <w:color w:val="000000"/>
                <w:kern w:val="0"/>
              </w:rPr>
              <w:t>C  </w:t>
            </w:r>
          </w:p>
        </w:tc>
      </w:tr>
      <w:tr w14:paraId="2D3D29E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1B3FE40" w14:textId="77777777">
            <w:pPr>
              <w:ind w:hanging="378"/>
              <w:jc w:val="center"/>
              <w:rPr>
                <w:color w:val="000000"/>
                <w:kern w:val="0"/>
              </w:rPr>
            </w:pPr>
            <w:r w:rsidRPr="009F0E09">
              <w:rPr>
                <w:color w:val="000000"/>
                <w:kern w:val="0"/>
              </w:rPr>
              <w:t>WPQP949</w:t>
            </w:r>
          </w:p>
        </w:tc>
        <w:tc>
          <w:tcPr>
            <w:tcW w:w="1530" w:type="dxa"/>
            <w:tcBorders>
              <w:top w:val="nil"/>
              <w:left w:val="nil"/>
              <w:bottom w:val="nil"/>
              <w:right w:val="nil"/>
            </w:tcBorders>
            <w:shd w:val="clear" w:color="auto" w:fill="auto"/>
            <w:noWrap/>
            <w:vAlign w:val="bottom"/>
            <w:hideMark/>
          </w:tcPr>
          <w:p w:rsidR="00670D4D" w:rsidRPr="009F0E09" w:rsidP="00E9507C" w14:paraId="312DB824" w14:textId="77777777">
            <w:pPr>
              <w:rPr>
                <w:color w:val="000000"/>
                <w:kern w:val="0"/>
              </w:rPr>
            </w:pPr>
            <w:r w:rsidRPr="009F0E09">
              <w:rPr>
                <w:color w:val="000000"/>
                <w:kern w:val="0"/>
              </w:rPr>
              <w:t>BEA065 </w:t>
            </w:r>
          </w:p>
        </w:tc>
        <w:tc>
          <w:tcPr>
            <w:tcW w:w="4950" w:type="dxa"/>
            <w:tcBorders>
              <w:top w:val="nil"/>
              <w:left w:val="nil"/>
              <w:bottom w:val="nil"/>
              <w:right w:val="nil"/>
            </w:tcBorders>
            <w:shd w:val="clear" w:color="auto" w:fill="auto"/>
            <w:noWrap/>
            <w:vAlign w:val="bottom"/>
            <w:hideMark/>
          </w:tcPr>
          <w:p w:rsidR="00670D4D" w:rsidRPr="009F0E09" w:rsidP="00E9507C" w14:paraId="41FDFD38" w14:textId="77777777">
            <w:pPr>
              <w:rPr>
                <w:color w:val="000000"/>
                <w:kern w:val="0"/>
              </w:rPr>
            </w:pPr>
            <w:r w:rsidRPr="009F0E09">
              <w:rPr>
                <w:color w:val="000000"/>
                <w:kern w:val="0"/>
              </w:rPr>
              <w:t>Elkhart-Goshen, IN-MI</w:t>
            </w:r>
          </w:p>
        </w:tc>
        <w:tc>
          <w:tcPr>
            <w:tcW w:w="2024" w:type="dxa"/>
            <w:tcBorders>
              <w:top w:val="nil"/>
              <w:left w:val="nil"/>
              <w:bottom w:val="nil"/>
              <w:right w:val="nil"/>
            </w:tcBorders>
            <w:shd w:val="clear" w:color="auto" w:fill="auto"/>
            <w:noWrap/>
            <w:vAlign w:val="bottom"/>
            <w:hideMark/>
          </w:tcPr>
          <w:p w:rsidR="00670D4D" w:rsidRPr="009F0E09" w:rsidP="00E9507C" w14:paraId="47E81367" w14:textId="77777777">
            <w:pPr>
              <w:ind w:right="-604" w:firstLine="158"/>
              <w:rPr>
                <w:color w:val="000000"/>
                <w:kern w:val="0"/>
              </w:rPr>
            </w:pPr>
            <w:r w:rsidRPr="009F0E09">
              <w:rPr>
                <w:color w:val="000000"/>
                <w:kern w:val="0"/>
              </w:rPr>
              <w:t>B  </w:t>
            </w:r>
          </w:p>
        </w:tc>
      </w:tr>
      <w:tr w14:paraId="3359E30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E7CD0A5" w14:textId="77777777">
            <w:pPr>
              <w:ind w:hanging="378"/>
              <w:jc w:val="center"/>
              <w:rPr>
                <w:color w:val="000000"/>
                <w:kern w:val="0"/>
              </w:rPr>
            </w:pPr>
            <w:r w:rsidRPr="009F0E09">
              <w:rPr>
                <w:color w:val="000000"/>
                <w:kern w:val="0"/>
              </w:rPr>
              <w:t>WPQP950</w:t>
            </w:r>
          </w:p>
        </w:tc>
        <w:tc>
          <w:tcPr>
            <w:tcW w:w="1530" w:type="dxa"/>
            <w:tcBorders>
              <w:top w:val="nil"/>
              <w:left w:val="nil"/>
              <w:bottom w:val="nil"/>
              <w:right w:val="nil"/>
            </w:tcBorders>
            <w:shd w:val="clear" w:color="auto" w:fill="auto"/>
            <w:noWrap/>
            <w:vAlign w:val="bottom"/>
            <w:hideMark/>
          </w:tcPr>
          <w:p w:rsidR="00670D4D" w:rsidRPr="009F0E09" w:rsidP="00E9507C" w14:paraId="355D01FD" w14:textId="77777777">
            <w:pPr>
              <w:rPr>
                <w:color w:val="000000"/>
                <w:kern w:val="0"/>
              </w:rPr>
            </w:pPr>
            <w:r w:rsidRPr="009F0E09">
              <w:rPr>
                <w:color w:val="000000"/>
                <w:kern w:val="0"/>
              </w:rPr>
              <w:t>BEA065 </w:t>
            </w:r>
          </w:p>
        </w:tc>
        <w:tc>
          <w:tcPr>
            <w:tcW w:w="4950" w:type="dxa"/>
            <w:tcBorders>
              <w:top w:val="nil"/>
              <w:left w:val="nil"/>
              <w:bottom w:val="nil"/>
              <w:right w:val="nil"/>
            </w:tcBorders>
            <w:shd w:val="clear" w:color="auto" w:fill="auto"/>
            <w:noWrap/>
            <w:vAlign w:val="bottom"/>
            <w:hideMark/>
          </w:tcPr>
          <w:p w:rsidR="00670D4D" w:rsidRPr="009F0E09" w:rsidP="00E9507C" w14:paraId="4C221BA7" w14:textId="77777777">
            <w:pPr>
              <w:rPr>
                <w:color w:val="000000"/>
                <w:kern w:val="0"/>
              </w:rPr>
            </w:pPr>
            <w:r w:rsidRPr="009F0E09">
              <w:rPr>
                <w:color w:val="000000"/>
                <w:kern w:val="0"/>
              </w:rPr>
              <w:t>Elkhart-Goshen, IN-MI</w:t>
            </w:r>
          </w:p>
        </w:tc>
        <w:tc>
          <w:tcPr>
            <w:tcW w:w="2024" w:type="dxa"/>
            <w:tcBorders>
              <w:top w:val="nil"/>
              <w:left w:val="nil"/>
              <w:bottom w:val="nil"/>
              <w:right w:val="nil"/>
            </w:tcBorders>
            <w:shd w:val="clear" w:color="auto" w:fill="auto"/>
            <w:noWrap/>
            <w:vAlign w:val="bottom"/>
            <w:hideMark/>
          </w:tcPr>
          <w:p w:rsidR="00670D4D" w:rsidRPr="009F0E09" w:rsidP="00E9507C" w14:paraId="538BC037" w14:textId="77777777">
            <w:pPr>
              <w:ind w:right="-604" w:firstLine="158"/>
              <w:rPr>
                <w:color w:val="000000"/>
                <w:kern w:val="0"/>
              </w:rPr>
            </w:pPr>
            <w:r w:rsidRPr="009F0E09">
              <w:rPr>
                <w:color w:val="000000"/>
                <w:kern w:val="0"/>
              </w:rPr>
              <w:t>C  </w:t>
            </w:r>
          </w:p>
        </w:tc>
      </w:tr>
      <w:tr w14:paraId="50AE2E6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A689191" w14:textId="77777777">
            <w:pPr>
              <w:ind w:hanging="378"/>
              <w:jc w:val="center"/>
              <w:rPr>
                <w:color w:val="000000"/>
                <w:kern w:val="0"/>
              </w:rPr>
            </w:pPr>
            <w:r w:rsidRPr="009F0E09">
              <w:rPr>
                <w:color w:val="000000"/>
                <w:kern w:val="0"/>
              </w:rPr>
              <w:t>WPQP951</w:t>
            </w:r>
          </w:p>
        </w:tc>
        <w:tc>
          <w:tcPr>
            <w:tcW w:w="1530" w:type="dxa"/>
            <w:tcBorders>
              <w:top w:val="nil"/>
              <w:left w:val="nil"/>
              <w:bottom w:val="nil"/>
              <w:right w:val="nil"/>
            </w:tcBorders>
            <w:shd w:val="clear" w:color="auto" w:fill="auto"/>
            <w:noWrap/>
            <w:vAlign w:val="bottom"/>
            <w:hideMark/>
          </w:tcPr>
          <w:p w:rsidR="00670D4D" w:rsidRPr="009F0E09" w:rsidP="00E9507C" w14:paraId="38A5165B" w14:textId="77777777">
            <w:pPr>
              <w:rPr>
                <w:color w:val="000000"/>
                <w:kern w:val="0"/>
              </w:rPr>
            </w:pPr>
            <w:r w:rsidRPr="009F0E09">
              <w:rPr>
                <w:color w:val="000000"/>
                <w:kern w:val="0"/>
              </w:rPr>
              <w:t>BEA066 </w:t>
            </w:r>
          </w:p>
        </w:tc>
        <w:tc>
          <w:tcPr>
            <w:tcW w:w="4950" w:type="dxa"/>
            <w:tcBorders>
              <w:top w:val="nil"/>
              <w:left w:val="nil"/>
              <w:bottom w:val="nil"/>
              <w:right w:val="nil"/>
            </w:tcBorders>
            <w:shd w:val="clear" w:color="auto" w:fill="auto"/>
            <w:noWrap/>
            <w:vAlign w:val="bottom"/>
            <w:hideMark/>
          </w:tcPr>
          <w:p w:rsidR="00670D4D" w:rsidRPr="009F0E09" w:rsidP="00E9507C" w14:paraId="3057811E" w14:textId="77777777">
            <w:pPr>
              <w:rPr>
                <w:color w:val="000000"/>
                <w:kern w:val="0"/>
              </w:rPr>
            </w:pPr>
            <w:r w:rsidRPr="009F0E09">
              <w:rPr>
                <w:color w:val="000000"/>
                <w:kern w:val="0"/>
              </w:rPr>
              <w:t>Fort Wayne, IN</w:t>
            </w:r>
          </w:p>
        </w:tc>
        <w:tc>
          <w:tcPr>
            <w:tcW w:w="2024" w:type="dxa"/>
            <w:tcBorders>
              <w:top w:val="nil"/>
              <w:left w:val="nil"/>
              <w:bottom w:val="nil"/>
              <w:right w:val="nil"/>
            </w:tcBorders>
            <w:shd w:val="clear" w:color="auto" w:fill="auto"/>
            <w:noWrap/>
            <w:vAlign w:val="bottom"/>
            <w:hideMark/>
          </w:tcPr>
          <w:p w:rsidR="00670D4D" w:rsidRPr="009F0E09" w:rsidP="00E9507C" w14:paraId="2801307F" w14:textId="77777777">
            <w:pPr>
              <w:ind w:right="-604" w:firstLine="158"/>
              <w:rPr>
                <w:color w:val="000000"/>
                <w:kern w:val="0"/>
              </w:rPr>
            </w:pPr>
            <w:r w:rsidRPr="009F0E09">
              <w:rPr>
                <w:color w:val="000000"/>
                <w:kern w:val="0"/>
              </w:rPr>
              <w:t>B  </w:t>
            </w:r>
          </w:p>
        </w:tc>
      </w:tr>
      <w:tr w14:paraId="6F1F4CE3"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53652EC" w14:textId="77777777">
            <w:pPr>
              <w:ind w:hanging="378"/>
              <w:jc w:val="center"/>
              <w:rPr>
                <w:color w:val="000000"/>
                <w:kern w:val="0"/>
              </w:rPr>
            </w:pPr>
            <w:r w:rsidRPr="009F0E09">
              <w:rPr>
                <w:color w:val="000000"/>
                <w:kern w:val="0"/>
              </w:rPr>
              <w:t>WPQP952</w:t>
            </w:r>
          </w:p>
        </w:tc>
        <w:tc>
          <w:tcPr>
            <w:tcW w:w="1530" w:type="dxa"/>
            <w:tcBorders>
              <w:top w:val="nil"/>
              <w:left w:val="nil"/>
              <w:bottom w:val="nil"/>
              <w:right w:val="nil"/>
            </w:tcBorders>
            <w:shd w:val="clear" w:color="auto" w:fill="auto"/>
            <w:noWrap/>
            <w:vAlign w:val="bottom"/>
            <w:hideMark/>
          </w:tcPr>
          <w:p w:rsidR="00670D4D" w:rsidRPr="009F0E09" w:rsidP="00E9507C" w14:paraId="50180219" w14:textId="77777777">
            <w:pPr>
              <w:rPr>
                <w:color w:val="000000"/>
                <w:kern w:val="0"/>
              </w:rPr>
            </w:pPr>
            <w:r w:rsidRPr="009F0E09">
              <w:rPr>
                <w:color w:val="000000"/>
                <w:kern w:val="0"/>
              </w:rPr>
              <w:t>BEA066 </w:t>
            </w:r>
          </w:p>
        </w:tc>
        <w:tc>
          <w:tcPr>
            <w:tcW w:w="4950" w:type="dxa"/>
            <w:tcBorders>
              <w:top w:val="nil"/>
              <w:left w:val="nil"/>
              <w:bottom w:val="nil"/>
              <w:right w:val="nil"/>
            </w:tcBorders>
            <w:shd w:val="clear" w:color="auto" w:fill="auto"/>
            <w:noWrap/>
            <w:vAlign w:val="bottom"/>
            <w:hideMark/>
          </w:tcPr>
          <w:p w:rsidR="00670D4D" w:rsidRPr="009F0E09" w:rsidP="00E9507C" w14:paraId="4415552B" w14:textId="77777777">
            <w:pPr>
              <w:rPr>
                <w:color w:val="000000"/>
                <w:kern w:val="0"/>
              </w:rPr>
            </w:pPr>
            <w:r w:rsidRPr="009F0E09">
              <w:rPr>
                <w:color w:val="000000"/>
                <w:kern w:val="0"/>
              </w:rPr>
              <w:t>Fort Wayne, IN</w:t>
            </w:r>
          </w:p>
        </w:tc>
        <w:tc>
          <w:tcPr>
            <w:tcW w:w="2024" w:type="dxa"/>
            <w:tcBorders>
              <w:top w:val="nil"/>
              <w:left w:val="nil"/>
              <w:bottom w:val="nil"/>
              <w:right w:val="nil"/>
            </w:tcBorders>
            <w:shd w:val="clear" w:color="auto" w:fill="auto"/>
            <w:noWrap/>
            <w:vAlign w:val="bottom"/>
            <w:hideMark/>
          </w:tcPr>
          <w:p w:rsidR="00670D4D" w:rsidRPr="009F0E09" w:rsidP="00E9507C" w14:paraId="01713588" w14:textId="77777777">
            <w:pPr>
              <w:ind w:right="-604" w:firstLine="158"/>
              <w:rPr>
                <w:color w:val="000000"/>
                <w:kern w:val="0"/>
              </w:rPr>
            </w:pPr>
            <w:r w:rsidRPr="009F0E09">
              <w:rPr>
                <w:color w:val="000000"/>
                <w:kern w:val="0"/>
              </w:rPr>
              <w:t>C  </w:t>
            </w:r>
          </w:p>
        </w:tc>
      </w:tr>
      <w:tr w14:paraId="0E0551B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ED5A04C" w14:textId="77777777">
            <w:pPr>
              <w:ind w:hanging="378"/>
              <w:jc w:val="center"/>
              <w:rPr>
                <w:color w:val="000000"/>
                <w:kern w:val="0"/>
              </w:rPr>
            </w:pPr>
            <w:r w:rsidRPr="009F0E09">
              <w:rPr>
                <w:color w:val="000000"/>
                <w:kern w:val="0"/>
              </w:rPr>
              <w:t>WPQP955</w:t>
            </w:r>
          </w:p>
        </w:tc>
        <w:tc>
          <w:tcPr>
            <w:tcW w:w="1530" w:type="dxa"/>
            <w:tcBorders>
              <w:top w:val="nil"/>
              <w:left w:val="nil"/>
              <w:bottom w:val="nil"/>
              <w:right w:val="nil"/>
            </w:tcBorders>
            <w:shd w:val="clear" w:color="auto" w:fill="auto"/>
            <w:noWrap/>
            <w:vAlign w:val="bottom"/>
            <w:hideMark/>
          </w:tcPr>
          <w:p w:rsidR="00670D4D" w:rsidRPr="009F0E09" w:rsidP="00E9507C" w14:paraId="04733DFC" w14:textId="77777777">
            <w:pPr>
              <w:rPr>
                <w:color w:val="000000"/>
                <w:kern w:val="0"/>
              </w:rPr>
            </w:pPr>
            <w:r w:rsidRPr="009F0E09">
              <w:rPr>
                <w:color w:val="000000"/>
                <w:kern w:val="0"/>
              </w:rPr>
              <w:t>BEA068 </w:t>
            </w:r>
          </w:p>
        </w:tc>
        <w:tc>
          <w:tcPr>
            <w:tcW w:w="4950" w:type="dxa"/>
            <w:tcBorders>
              <w:top w:val="nil"/>
              <w:left w:val="nil"/>
              <w:bottom w:val="nil"/>
              <w:right w:val="nil"/>
            </w:tcBorders>
            <w:shd w:val="clear" w:color="auto" w:fill="auto"/>
            <w:noWrap/>
            <w:vAlign w:val="bottom"/>
            <w:hideMark/>
          </w:tcPr>
          <w:p w:rsidR="00670D4D" w:rsidRPr="009F0E09" w:rsidP="00E9507C" w14:paraId="541D8CC4" w14:textId="77777777">
            <w:pPr>
              <w:rPr>
                <w:color w:val="000000"/>
                <w:kern w:val="0"/>
              </w:rPr>
            </w:pPr>
            <w:r w:rsidRPr="009F0E09">
              <w:rPr>
                <w:color w:val="000000"/>
                <w:kern w:val="0"/>
              </w:rPr>
              <w:t>Champaign-Urbana, IL</w:t>
            </w:r>
          </w:p>
        </w:tc>
        <w:tc>
          <w:tcPr>
            <w:tcW w:w="2024" w:type="dxa"/>
            <w:tcBorders>
              <w:top w:val="nil"/>
              <w:left w:val="nil"/>
              <w:bottom w:val="nil"/>
              <w:right w:val="nil"/>
            </w:tcBorders>
            <w:shd w:val="clear" w:color="auto" w:fill="auto"/>
            <w:noWrap/>
            <w:vAlign w:val="bottom"/>
            <w:hideMark/>
          </w:tcPr>
          <w:p w:rsidR="00670D4D" w:rsidRPr="009F0E09" w:rsidP="00E9507C" w14:paraId="0CAE1917" w14:textId="77777777">
            <w:pPr>
              <w:ind w:right="-604" w:firstLine="158"/>
              <w:rPr>
                <w:color w:val="000000"/>
                <w:kern w:val="0"/>
              </w:rPr>
            </w:pPr>
            <w:r w:rsidRPr="009F0E09">
              <w:rPr>
                <w:color w:val="000000"/>
                <w:kern w:val="0"/>
              </w:rPr>
              <w:t>B  </w:t>
            </w:r>
          </w:p>
        </w:tc>
      </w:tr>
      <w:tr w14:paraId="5F90627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D1B879A" w14:textId="77777777">
            <w:pPr>
              <w:ind w:hanging="378"/>
              <w:jc w:val="center"/>
              <w:rPr>
                <w:color w:val="000000"/>
                <w:kern w:val="0"/>
              </w:rPr>
            </w:pPr>
            <w:r w:rsidRPr="009F0E09">
              <w:rPr>
                <w:color w:val="000000"/>
                <w:kern w:val="0"/>
              </w:rPr>
              <w:t>WPQP956</w:t>
            </w:r>
          </w:p>
        </w:tc>
        <w:tc>
          <w:tcPr>
            <w:tcW w:w="1530" w:type="dxa"/>
            <w:tcBorders>
              <w:top w:val="nil"/>
              <w:left w:val="nil"/>
              <w:bottom w:val="nil"/>
              <w:right w:val="nil"/>
            </w:tcBorders>
            <w:shd w:val="clear" w:color="auto" w:fill="auto"/>
            <w:noWrap/>
            <w:vAlign w:val="bottom"/>
            <w:hideMark/>
          </w:tcPr>
          <w:p w:rsidR="00670D4D" w:rsidRPr="009F0E09" w:rsidP="00E9507C" w14:paraId="242E27C4" w14:textId="77777777">
            <w:pPr>
              <w:rPr>
                <w:color w:val="000000"/>
                <w:kern w:val="0"/>
              </w:rPr>
            </w:pPr>
            <w:r w:rsidRPr="009F0E09">
              <w:rPr>
                <w:color w:val="000000"/>
                <w:kern w:val="0"/>
              </w:rPr>
              <w:t>BEA068 </w:t>
            </w:r>
          </w:p>
        </w:tc>
        <w:tc>
          <w:tcPr>
            <w:tcW w:w="4950" w:type="dxa"/>
            <w:tcBorders>
              <w:top w:val="nil"/>
              <w:left w:val="nil"/>
              <w:bottom w:val="nil"/>
              <w:right w:val="nil"/>
            </w:tcBorders>
            <w:shd w:val="clear" w:color="auto" w:fill="auto"/>
            <w:noWrap/>
            <w:vAlign w:val="bottom"/>
            <w:hideMark/>
          </w:tcPr>
          <w:p w:rsidR="00670D4D" w:rsidRPr="009F0E09" w:rsidP="00E9507C" w14:paraId="19B857C2" w14:textId="77777777">
            <w:pPr>
              <w:rPr>
                <w:color w:val="000000"/>
                <w:kern w:val="0"/>
              </w:rPr>
            </w:pPr>
            <w:r w:rsidRPr="009F0E09">
              <w:rPr>
                <w:color w:val="000000"/>
                <w:kern w:val="0"/>
              </w:rPr>
              <w:t>Champaign-Urbana, IL</w:t>
            </w:r>
          </w:p>
        </w:tc>
        <w:tc>
          <w:tcPr>
            <w:tcW w:w="2024" w:type="dxa"/>
            <w:tcBorders>
              <w:top w:val="nil"/>
              <w:left w:val="nil"/>
              <w:bottom w:val="nil"/>
              <w:right w:val="nil"/>
            </w:tcBorders>
            <w:shd w:val="clear" w:color="auto" w:fill="auto"/>
            <w:noWrap/>
            <w:vAlign w:val="bottom"/>
            <w:hideMark/>
          </w:tcPr>
          <w:p w:rsidR="00670D4D" w:rsidRPr="009F0E09" w:rsidP="00E9507C" w14:paraId="500B60E0" w14:textId="77777777">
            <w:pPr>
              <w:ind w:right="-604" w:firstLine="158"/>
              <w:rPr>
                <w:color w:val="000000"/>
                <w:kern w:val="0"/>
              </w:rPr>
            </w:pPr>
            <w:r w:rsidRPr="009F0E09">
              <w:rPr>
                <w:color w:val="000000"/>
                <w:kern w:val="0"/>
              </w:rPr>
              <w:t>C  </w:t>
            </w:r>
          </w:p>
        </w:tc>
      </w:tr>
      <w:tr w14:paraId="0F64FFF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11D6690" w14:textId="77777777">
            <w:pPr>
              <w:ind w:hanging="378"/>
              <w:jc w:val="center"/>
              <w:rPr>
                <w:color w:val="000000"/>
                <w:kern w:val="0"/>
              </w:rPr>
            </w:pPr>
            <w:r w:rsidRPr="009F0E09">
              <w:rPr>
                <w:color w:val="000000"/>
                <w:kern w:val="0"/>
              </w:rPr>
              <w:t>WPQP957</w:t>
            </w:r>
          </w:p>
        </w:tc>
        <w:tc>
          <w:tcPr>
            <w:tcW w:w="1530" w:type="dxa"/>
            <w:tcBorders>
              <w:top w:val="nil"/>
              <w:left w:val="nil"/>
              <w:bottom w:val="nil"/>
              <w:right w:val="nil"/>
            </w:tcBorders>
            <w:shd w:val="clear" w:color="auto" w:fill="auto"/>
            <w:noWrap/>
            <w:vAlign w:val="bottom"/>
            <w:hideMark/>
          </w:tcPr>
          <w:p w:rsidR="00670D4D" w:rsidRPr="009F0E09" w:rsidP="00E9507C" w14:paraId="1FF4702A" w14:textId="77777777">
            <w:pPr>
              <w:rPr>
                <w:color w:val="000000"/>
                <w:kern w:val="0"/>
              </w:rPr>
            </w:pPr>
            <w:r w:rsidRPr="009F0E09">
              <w:rPr>
                <w:color w:val="000000"/>
                <w:kern w:val="0"/>
              </w:rPr>
              <w:t>BEA069 </w:t>
            </w:r>
          </w:p>
        </w:tc>
        <w:tc>
          <w:tcPr>
            <w:tcW w:w="4950" w:type="dxa"/>
            <w:tcBorders>
              <w:top w:val="nil"/>
              <w:left w:val="nil"/>
              <w:bottom w:val="nil"/>
              <w:right w:val="nil"/>
            </w:tcBorders>
            <w:shd w:val="clear" w:color="auto" w:fill="auto"/>
            <w:noWrap/>
            <w:vAlign w:val="bottom"/>
            <w:hideMark/>
          </w:tcPr>
          <w:p w:rsidR="00670D4D" w:rsidRPr="009F0E09" w:rsidP="00E9507C" w14:paraId="7F7FCA87" w14:textId="77777777">
            <w:pPr>
              <w:rPr>
                <w:color w:val="000000"/>
                <w:kern w:val="0"/>
              </w:rPr>
            </w:pPr>
            <w:r w:rsidRPr="009F0E09">
              <w:rPr>
                <w:color w:val="000000"/>
                <w:kern w:val="0"/>
              </w:rPr>
              <w:t>Evansville-Henderson, IN-KY-IL</w:t>
            </w:r>
          </w:p>
        </w:tc>
        <w:tc>
          <w:tcPr>
            <w:tcW w:w="2024" w:type="dxa"/>
            <w:tcBorders>
              <w:top w:val="nil"/>
              <w:left w:val="nil"/>
              <w:bottom w:val="nil"/>
              <w:right w:val="nil"/>
            </w:tcBorders>
            <w:shd w:val="clear" w:color="auto" w:fill="auto"/>
            <w:noWrap/>
            <w:vAlign w:val="bottom"/>
            <w:hideMark/>
          </w:tcPr>
          <w:p w:rsidR="00670D4D" w:rsidRPr="009F0E09" w:rsidP="00E9507C" w14:paraId="6489A3FD" w14:textId="77777777">
            <w:pPr>
              <w:ind w:right="-604" w:firstLine="158"/>
              <w:rPr>
                <w:color w:val="000000"/>
                <w:kern w:val="0"/>
              </w:rPr>
            </w:pPr>
            <w:r w:rsidRPr="009F0E09">
              <w:rPr>
                <w:color w:val="000000"/>
                <w:kern w:val="0"/>
              </w:rPr>
              <w:t>B  </w:t>
            </w:r>
          </w:p>
        </w:tc>
      </w:tr>
      <w:tr w14:paraId="407923F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0BDA05F" w14:textId="77777777">
            <w:pPr>
              <w:ind w:hanging="378"/>
              <w:jc w:val="center"/>
              <w:rPr>
                <w:color w:val="000000"/>
                <w:kern w:val="0"/>
              </w:rPr>
            </w:pPr>
            <w:r w:rsidRPr="009F0E09">
              <w:rPr>
                <w:color w:val="000000"/>
                <w:kern w:val="0"/>
              </w:rPr>
              <w:t>WPQP958</w:t>
            </w:r>
          </w:p>
        </w:tc>
        <w:tc>
          <w:tcPr>
            <w:tcW w:w="1530" w:type="dxa"/>
            <w:tcBorders>
              <w:top w:val="nil"/>
              <w:left w:val="nil"/>
              <w:bottom w:val="nil"/>
              <w:right w:val="nil"/>
            </w:tcBorders>
            <w:shd w:val="clear" w:color="auto" w:fill="auto"/>
            <w:noWrap/>
            <w:vAlign w:val="bottom"/>
            <w:hideMark/>
          </w:tcPr>
          <w:p w:rsidR="00670D4D" w:rsidRPr="009F0E09" w:rsidP="00E9507C" w14:paraId="75BE21F8" w14:textId="77777777">
            <w:pPr>
              <w:rPr>
                <w:color w:val="000000"/>
                <w:kern w:val="0"/>
              </w:rPr>
            </w:pPr>
            <w:r w:rsidRPr="009F0E09">
              <w:rPr>
                <w:color w:val="000000"/>
                <w:kern w:val="0"/>
              </w:rPr>
              <w:t>BEA069 </w:t>
            </w:r>
          </w:p>
        </w:tc>
        <w:tc>
          <w:tcPr>
            <w:tcW w:w="4950" w:type="dxa"/>
            <w:tcBorders>
              <w:top w:val="nil"/>
              <w:left w:val="nil"/>
              <w:bottom w:val="nil"/>
              <w:right w:val="nil"/>
            </w:tcBorders>
            <w:shd w:val="clear" w:color="auto" w:fill="auto"/>
            <w:noWrap/>
            <w:vAlign w:val="bottom"/>
            <w:hideMark/>
          </w:tcPr>
          <w:p w:rsidR="00670D4D" w:rsidRPr="009F0E09" w:rsidP="00E9507C" w14:paraId="1A2A0F8C" w14:textId="77777777">
            <w:pPr>
              <w:rPr>
                <w:color w:val="000000"/>
                <w:kern w:val="0"/>
              </w:rPr>
            </w:pPr>
            <w:r w:rsidRPr="009F0E09">
              <w:rPr>
                <w:color w:val="000000"/>
                <w:kern w:val="0"/>
              </w:rPr>
              <w:t>Evansville-Henderson, IN-KY-IL</w:t>
            </w:r>
          </w:p>
        </w:tc>
        <w:tc>
          <w:tcPr>
            <w:tcW w:w="2024" w:type="dxa"/>
            <w:tcBorders>
              <w:top w:val="nil"/>
              <w:left w:val="nil"/>
              <w:bottom w:val="nil"/>
              <w:right w:val="nil"/>
            </w:tcBorders>
            <w:shd w:val="clear" w:color="auto" w:fill="auto"/>
            <w:noWrap/>
            <w:vAlign w:val="bottom"/>
            <w:hideMark/>
          </w:tcPr>
          <w:p w:rsidR="00670D4D" w:rsidRPr="009F0E09" w:rsidP="00E9507C" w14:paraId="5AA3296D" w14:textId="77777777">
            <w:pPr>
              <w:ind w:right="-604" w:firstLine="158"/>
              <w:rPr>
                <w:color w:val="000000"/>
                <w:kern w:val="0"/>
              </w:rPr>
            </w:pPr>
            <w:r w:rsidRPr="009F0E09">
              <w:rPr>
                <w:color w:val="000000"/>
                <w:kern w:val="0"/>
              </w:rPr>
              <w:t>C  </w:t>
            </w:r>
          </w:p>
        </w:tc>
      </w:tr>
      <w:tr w14:paraId="5AB8B2B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264E398" w14:textId="77777777">
            <w:pPr>
              <w:ind w:hanging="378"/>
              <w:jc w:val="center"/>
              <w:rPr>
                <w:color w:val="000000"/>
                <w:kern w:val="0"/>
              </w:rPr>
            </w:pPr>
            <w:r w:rsidRPr="009F0E09">
              <w:rPr>
                <w:color w:val="000000"/>
                <w:kern w:val="0"/>
              </w:rPr>
              <w:t>WPQP965</w:t>
            </w:r>
          </w:p>
        </w:tc>
        <w:tc>
          <w:tcPr>
            <w:tcW w:w="1530" w:type="dxa"/>
            <w:tcBorders>
              <w:top w:val="nil"/>
              <w:left w:val="nil"/>
              <w:bottom w:val="nil"/>
              <w:right w:val="nil"/>
            </w:tcBorders>
            <w:shd w:val="clear" w:color="auto" w:fill="auto"/>
            <w:noWrap/>
            <w:vAlign w:val="bottom"/>
            <w:hideMark/>
          </w:tcPr>
          <w:p w:rsidR="00670D4D" w:rsidRPr="009F0E09" w:rsidP="00E9507C" w14:paraId="737BE82D" w14:textId="77777777">
            <w:pPr>
              <w:rPr>
                <w:color w:val="000000"/>
                <w:kern w:val="0"/>
              </w:rPr>
            </w:pPr>
            <w:r w:rsidRPr="009F0E09">
              <w:rPr>
                <w:color w:val="000000"/>
                <w:kern w:val="0"/>
              </w:rPr>
              <w:t>BEA074 </w:t>
            </w:r>
          </w:p>
        </w:tc>
        <w:tc>
          <w:tcPr>
            <w:tcW w:w="4950" w:type="dxa"/>
            <w:tcBorders>
              <w:top w:val="nil"/>
              <w:left w:val="nil"/>
              <w:bottom w:val="nil"/>
              <w:right w:val="nil"/>
            </w:tcBorders>
            <w:shd w:val="clear" w:color="auto" w:fill="auto"/>
            <w:noWrap/>
            <w:vAlign w:val="bottom"/>
            <w:hideMark/>
          </w:tcPr>
          <w:p w:rsidR="00670D4D" w:rsidRPr="009F0E09" w:rsidP="00E9507C" w14:paraId="7386FBC3" w14:textId="77777777">
            <w:pPr>
              <w:rPr>
                <w:color w:val="000000"/>
                <w:kern w:val="0"/>
              </w:rPr>
            </w:pPr>
            <w:r w:rsidRPr="009F0E09">
              <w:rPr>
                <w:color w:val="000000"/>
                <w:kern w:val="0"/>
              </w:rPr>
              <w:t>Huntsville, AL-TN</w:t>
            </w:r>
          </w:p>
        </w:tc>
        <w:tc>
          <w:tcPr>
            <w:tcW w:w="2024" w:type="dxa"/>
            <w:tcBorders>
              <w:top w:val="nil"/>
              <w:left w:val="nil"/>
              <w:bottom w:val="nil"/>
              <w:right w:val="nil"/>
            </w:tcBorders>
            <w:shd w:val="clear" w:color="auto" w:fill="auto"/>
            <w:noWrap/>
            <w:vAlign w:val="bottom"/>
            <w:hideMark/>
          </w:tcPr>
          <w:p w:rsidR="00670D4D" w:rsidRPr="009F0E09" w:rsidP="00E9507C" w14:paraId="1C754A86" w14:textId="77777777">
            <w:pPr>
              <w:ind w:right="-604" w:firstLine="158"/>
              <w:rPr>
                <w:color w:val="000000"/>
                <w:kern w:val="0"/>
              </w:rPr>
            </w:pPr>
            <w:r w:rsidRPr="009F0E09">
              <w:rPr>
                <w:color w:val="000000"/>
                <w:kern w:val="0"/>
              </w:rPr>
              <w:t>B  </w:t>
            </w:r>
          </w:p>
        </w:tc>
      </w:tr>
      <w:tr w14:paraId="7247116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AAC4375" w14:textId="77777777">
            <w:pPr>
              <w:ind w:hanging="378"/>
              <w:jc w:val="center"/>
              <w:rPr>
                <w:color w:val="000000"/>
                <w:kern w:val="0"/>
              </w:rPr>
            </w:pPr>
            <w:r w:rsidRPr="009F0E09">
              <w:rPr>
                <w:color w:val="000000"/>
                <w:kern w:val="0"/>
              </w:rPr>
              <w:t>WPQP966</w:t>
            </w:r>
          </w:p>
        </w:tc>
        <w:tc>
          <w:tcPr>
            <w:tcW w:w="1530" w:type="dxa"/>
            <w:tcBorders>
              <w:top w:val="nil"/>
              <w:left w:val="nil"/>
              <w:bottom w:val="nil"/>
              <w:right w:val="nil"/>
            </w:tcBorders>
            <w:shd w:val="clear" w:color="auto" w:fill="auto"/>
            <w:noWrap/>
            <w:vAlign w:val="bottom"/>
            <w:hideMark/>
          </w:tcPr>
          <w:p w:rsidR="00670D4D" w:rsidRPr="009F0E09" w:rsidP="00E9507C" w14:paraId="3DA4D5D1" w14:textId="77777777">
            <w:pPr>
              <w:rPr>
                <w:color w:val="000000"/>
                <w:kern w:val="0"/>
              </w:rPr>
            </w:pPr>
            <w:r w:rsidRPr="009F0E09">
              <w:rPr>
                <w:color w:val="000000"/>
                <w:kern w:val="0"/>
              </w:rPr>
              <w:t>BEA074 </w:t>
            </w:r>
          </w:p>
        </w:tc>
        <w:tc>
          <w:tcPr>
            <w:tcW w:w="4950" w:type="dxa"/>
            <w:tcBorders>
              <w:top w:val="nil"/>
              <w:left w:val="nil"/>
              <w:bottom w:val="nil"/>
              <w:right w:val="nil"/>
            </w:tcBorders>
            <w:shd w:val="clear" w:color="auto" w:fill="auto"/>
            <w:noWrap/>
            <w:vAlign w:val="bottom"/>
            <w:hideMark/>
          </w:tcPr>
          <w:p w:rsidR="00670D4D" w:rsidRPr="009F0E09" w:rsidP="00E9507C" w14:paraId="77AB8592" w14:textId="77777777">
            <w:pPr>
              <w:rPr>
                <w:color w:val="000000"/>
                <w:kern w:val="0"/>
              </w:rPr>
            </w:pPr>
            <w:r w:rsidRPr="009F0E09">
              <w:rPr>
                <w:color w:val="000000"/>
                <w:kern w:val="0"/>
              </w:rPr>
              <w:t>Huntsville, AL-TN</w:t>
            </w:r>
          </w:p>
        </w:tc>
        <w:tc>
          <w:tcPr>
            <w:tcW w:w="2024" w:type="dxa"/>
            <w:tcBorders>
              <w:top w:val="nil"/>
              <w:left w:val="nil"/>
              <w:bottom w:val="nil"/>
              <w:right w:val="nil"/>
            </w:tcBorders>
            <w:shd w:val="clear" w:color="auto" w:fill="auto"/>
            <w:noWrap/>
            <w:vAlign w:val="bottom"/>
            <w:hideMark/>
          </w:tcPr>
          <w:p w:rsidR="00670D4D" w:rsidRPr="009F0E09" w:rsidP="00E9507C" w14:paraId="0A30194B" w14:textId="77777777">
            <w:pPr>
              <w:ind w:right="-604" w:firstLine="158"/>
              <w:rPr>
                <w:color w:val="000000"/>
                <w:kern w:val="0"/>
              </w:rPr>
            </w:pPr>
            <w:r w:rsidRPr="009F0E09">
              <w:rPr>
                <w:color w:val="000000"/>
                <w:kern w:val="0"/>
              </w:rPr>
              <w:t>C  </w:t>
            </w:r>
          </w:p>
        </w:tc>
      </w:tr>
      <w:tr w14:paraId="52F7832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B73C7B5" w14:textId="77777777">
            <w:pPr>
              <w:ind w:hanging="378"/>
              <w:jc w:val="center"/>
              <w:rPr>
                <w:color w:val="000000"/>
                <w:kern w:val="0"/>
              </w:rPr>
            </w:pPr>
            <w:r w:rsidRPr="009F0E09">
              <w:rPr>
                <w:color w:val="000000"/>
                <w:kern w:val="0"/>
              </w:rPr>
              <w:t>WPQP967</w:t>
            </w:r>
          </w:p>
        </w:tc>
        <w:tc>
          <w:tcPr>
            <w:tcW w:w="1530" w:type="dxa"/>
            <w:tcBorders>
              <w:top w:val="nil"/>
              <w:left w:val="nil"/>
              <w:bottom w:val="nil"/>
              <w:right w:val="nil"/>
            </w:tcBorders>
            <w:shd w:val="clear" w:color="auto" w:fill="auto"/>
            <w:noWrap/>
            <w:vAlign w:val="bottom"/>
            <w:hideMark/>
          </w:tcPr>
          <w:p w:rsidR="00670D4D" w:rsidRPr="009F0E09" w:rsidP="00E9507C" w14:paraId="13C12739" w14:textId="77777777">
            <w:pPr>
              <w:rPr>
                <w:color w:val="000000"/>
                <w:kern w:val="0"/>
              </w:rPr>
            </w:pPr>
            <w:r w:rsidRPr="009F0E09">
              <w:rPr>
                <w:color w:val="000000"/>
                <w:kern w:val="0"/>
              </w:rPr>
              <w:t>BEA075 </w:t>
            </w:r>
          </w:p>
        </w:tc>
        <w:tc>
          <w:tcPr>
            <w:tcW w:w="4950" w:type="dxa"/>
            <w:tcBorders>
              <w:top w:val="nil"/>
              <w:left w:val="nil"/>
              <w:bottom w:val="nil"/>
              <w:right w:val="nil"/>
            </w:tcBorders>
            <w:shd w:val="clear" w:color="auto" w:fill="auto"/>
            <w:noWrap/>
            <w:vAlign w:val="bottom"/>
            <w:hideMark/>
          </w:tcPr>
          <w:p w:rsidR="00670D4D" w:rsidRPr="009F0E09" w:rsidP="00E9507C" w14:paraId="740A7F95" w14:textId="77777777">
            <w:pPr>
              <w:rPr>
                <w:color w:val="000000"/>
                <w:kern w:val="0"/>
              </w:rPr>
            </w:pPr>
            <w:r w:rsidRPr="009F0E09">
              <w:rPr>
                <w:color w:val="000000"/>
                <w:kern w:val="0"/>
              </w:rPr>
              <w:t>Tupelo, MS-AL-TN</w:t>
            </w:r>
          </w:p>
        </w:tc>
        <w:tc>
          <w:tcPr>
            <w:tcW w:w="2024" w:type="dxa"/>
            <w:tcBorders>
              <w:top w:val="nil"/>
              <w:left w:val="nil"/>
              <w:bottom w:val="nil"/>
              <w:right w:val="nil"/>
            </w:tcBorders>
            <w:shd w:val="clear" w:color="auto" w:fill="auto"/>
            <w:noWrap/>
            <w:vAlign w:val="bottom"/>
            <w:hideMark/>
          </w:tcPr>
          <w:p w:rsidR="00670D4D" w:rsidRPr="009F0E09" w:rsidP="00E9507C" w14:paraId="51CD7B14" w14:textId="77777777">
            <w:pPr>
              <w:ind w:right="-604" w:firstLine="158"/>
              <w:rPr>
                <w:color w:val="000000"/>
                <w:kern w:val="0"/>
              </w:rPr>
            </w:pPr>
            <w:r w:rsidRPr="009F0E09">
              <w:rPr>
                <w:color w:val="000000"/>
                <w:kern w:val="0"/>
              </w:rPr>
              <w:t>B  </w:t>
            </w:r>
          </w:p>
        </w:tc>
      </w:tr>
      <w:tr w14:paraId="15BBF43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C6F8E03" w14:textId="77777777">
            <w:pPr>
              <w:ind w:hanging="378"/>
              <w:jc w:val="center"/>
              <w:rPr>
                <w:color w:val="000000"/>
                <w:kern w:val="0"/>
              </w:rPr>
            </w:pPr>
            <w:r w:rsidRPr="009F0E09">
              <w:rPr>
                <w:color w:val="000000"/>
                <w:kern w:val="0"/>
              </w:rPr>
              <w:t>WPQP968</w:t>
            </w:r>
          </w:p>
        </w:tc>
        <w:tc>
          <w:tcPr>
            <w:tcW w:w="1530" w:type="dxa"/>
            <w:tcBorders>
              <w:top w:val="nil"/>
              <w:left w:val="nil"/>
              <w:bottom w:val="nil"/>
              <w:right w:val="nil"/>
            </w:tcBorders>
            <w:shd w:val="clear" w:color="auto" w:fill="auto"/>
            <w:noWrap/>
            <w:vAlign w:val="bottom"/>
            <w:hideMark/>
          </w:tcPr>
          <w:p w:rsidR="00670D4D" w:rsidRPr="009F0E09" w:rsidP="00E9507C" w14:paraId="5EA80C4A" w14:textId="77777777">
            <w:pPr>
              <w:rPr>
                <w:color w:val="000000"/>
                <w:kern w:val="0"/>
              </w:rPr>
            </w:pPr>
            <w:r w:rsidRPr="009F0E09">
              <w:rPr>
                <w:color w:val="000000"/>
                <w:kern w:val="0"/>
              </w:rPr>
              <w:t>BEA075 </w:t>
            </w:r>
          </w:p>
        </w:tc>
        <w:tc>
          <w:tcPr>
            <w:tcW w:w="4950" w:type="dxa"/>
            <w:tcBorders>
              <w:top w:val="nil"/>
              <w:left w:val="nil"/>
              <w:bottom w:val="nil"/>
              <w:right w:val="nil"/>
            </w:tcBorders>
            <w:shd w:val="clear" w:color="auto" w:fill="auto"/>
            <w:noWrap/>
            <w:vAlign w:val="bottom"/>
            <w:hideMark/>
          </w:tcPr>
          <w:p w:rsidR="00670D4D" w:rsidRPr="009F0E09" w:rsidP="00E9507C" w14:paraId="6FEC4ED1" w14:textId="77777777">
            <w:pPr>
              <w:rPr>
                <w:color w:val="000000"/>
                <w:kern w:val="0"/>
              </w:rPr>
            </w:pPr>
            <w:r w:rsidRPr="009F0E09">
              <w:rPr>
                <w:color w:val="000000"/>
                <w:kern w:val="0"/>
              </w:rPr>
              <w:t>Tupelo, MS-AL-TN</w:t>
            </w:r>
          </w:p>
        </w:tc>
        <w:tc>
          <w:tcPr>
            <w:tcW w:w="2024" w:type="dxa"/>
            <w:tcBorders>
              <w:top w:val="nil"/>
              <w:left w:val="nil"/>
              <w:bottom w:val="nil"/>
              <w:right w:val="nil"/>
            </w:tcBorders>
            <w:shd w:val="clear" w:color="auto" w:fill="auto"/>
            <w:noWrap/>
            <w:vAlign w:val="bottom"/>
            <w:hideMark/>
          </w:tcPr>
          <w:p w:rsidR="00670D4D" w:rsidRPr="009F0E09" w:rsidP="00E9507C" w14:paraId="5798A342" w14:textId="77777777">
            <w:pPr>
              <w:ind w:right="-604" w:firstLine="158"/>
              <w:rPr>
                <w:color w:val="000000"/>
                <w:kern w:val="0"/>
              </w:rPr>
            </w:pPr>
            <w:r w:rsidRPr="009F0E09">
              <w:rPr>
                <w:color w:val="000000"/>
                <w:kern w:val="0"/>
              </w:rPr>
              <w:t>C  </w:t>
            </w:r>
          </w:p>
        </w:tc>
      </w:tr>
      <w:tr w14:paraId="3802FF3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694C8A1" w14:textId="77777777">
            <w:pPr>
              <w:ind w:hanging="378"/>
              <w:jc w:val="center"/>
              <w:rPr>
                <w:color w:val="000000"/>
                <w:kern w:val="0"/>
              </w:rPr>
            </w:pPr>
            <w:r w:rsidRPr="009F0E09">
              <w:rPr>
                <w:color w:val="000000"/>
                <w:kern w:val="0"/>
              </w:rPr>
              <w:t>WPQP969</w:t>
            </w:r>
          </w:p>
        </w:tc>
        <w:tc>
          <w:tcPr>
            <w:tcW w:w="1530" w:type="dxa"/>
            <w:tcBorders>
              <w:top w:val="nil"/>
              <w:left w:val="nil"/>
              <w:bottom w:val="nil"/>
              <w:right w:val="nil"/>
            </w:tcBorders>
            <w:shd w:val="clear" w:color="auto" w:fill="auto"/>
            <w:noWrap/>
            <w:vAlign w:val="bottom"/>
            <w:hideMark/>
          </w:tcPr>
          <w:p w:rsidR="00670D4D" w:rsidRPr="009F0E09" w:rsidP="00E9507C" w14:paraId="74E1C2D8" w14:textId="77777777">
            <w:pPr>
              <w:rPr>
                <w:color w:val="000000"/>
                <w:kern w:val="0"/>
              </w:rPr>
            </w:pPr>
            <w:r w:rsidRPr="009F0E09">
              <w:rPr>
                <w:color w:val="000000"/>
                <w:kern w:val="0"/>
              </w:rPr>
              <w:t>BEA077 </w:t>
            </w:r>
          </w:p>
        </w:tc>
        <w:tc>
          <w:tcPr>
            <w:tcW w:w="4950" w:type="dxa"/>
            <w:tcBorders>
              <w:top w:val="nil"/>
              <w:left w:val="nil"/>
              <w:bottom w:val="nil"/>
              <w:right w:val="nil"/>
            </w:tcBorders>
            <w:shd w:val="clear" w:color="auto" w:fill="auto"/>
            <w:noWrap/>
            <w:vAlign w:val="bottom"/>
            <w:hideMark/>
          </w:tcPr>
          <w:p w:rsidR="00670D4D" w:rsidRPr="009F0E09" w:rsidP="00E9507C" w14:paraId="13FCCA10" w14:textId="77777777">
            <w:pPr>
              <w:rPr>
                <w:color w:val="000000"/>
                <w:kern w:val="0"/>
              </w:rPr>
            </w:pPr>
            <w:r w:rsidRPr="009F0E09">
              <w:rPr>
                <w:color w:val="000000"/>
                <w:kern w:val="0"/>
              </w:rPr>
              <w:t>Jackson, MS-AL-LA</w:t>
            </w:r>
          </w:p>
        </w:tc>
        <w:tc>
          <w:tcPr>
            <w:tcW w:w="2024" w:type="dxa"/>
            <w:tcBorders>
              <w:top w:val="nil"/>
              <w:left w:val="nil"/>
              <w:bottom w:val="nil"/>
              <w:right w:val="nil"/>
            </w:tcBorders>
            <w:shd w:val="clear" w:color="auto" w:fill="auto"/>
            <w:noWrap/>
            <w:vAlign w:val="bottom"/>
            <w:hideMark/>
          </w:tcPr>
          <w:p w:rsidR="00670D4D" w:rsidRPr="009F0E09" w:rsidP="00E9507C" w14:paraId="63E0895F" w14:textId="77777777">
            <w:pPr>
              <w:ind w:right="-604" w:firstLine="158"/>
              <w:rPr>
                <w:color w:val="000000"/>
                <w:kern w:val="0"/>
              </w:rPr>
            </w:pPr>
            <w:r w:rsidRPr="009F0E09">
              <w:rPr>
                <w:color w:val="000000"/>
                <w:kern w:val="0"/>
              </w:rPr>
              <w:t>B  </w:t>
            </w:r>
          </w:p>
        </w:tc>
      </w:tr>
      <w:tr w14:paraId="399A4F83"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606BF6B" w14:textId="77777777">
            <w:pPr>
              <w:ind w:hanging="378"/>
              <w:jc w:val="center"/>
              <w:rPr>
                <w:color w:val="000000"/>
                <w:kern w:val="0"/>
              </w:rPr>
            </w:pPr>
            <w:r w:rsidRPr="009F0E09">
              <w:rPr>
                <w:color w:val="000000"/>
                <w:kern w:val="0"/>
              </w:rPr>
              <w:t>WPQP970</w:t>
            </w:r>
          </w:p>
        </w:tc>
        <w:tc>
          <w:tcPr>
            <w:tcW w:w="1530" w:type="dxa"/>
            <w:tcBorders>
              <w:top w:val="nil"/>
              <w:left w:val="nil"/>
              <w:bottom w:val="nil"/>
              <w:right w:val="nil"/>
            </w:tcBorders>
            <w:shd w:val="clear" w:color="auto" w:fill="auto"/>
            <w:noWrap/>
            <w:vAlign w:val="bottom"/>
            <w:hideMark/>
          </w:tcPr>
          <w:p w:rsidR="00670D4D" w:rsidRPr="009F0E09" w:rsidP="00E9507C" w14:paraId="2BEA5A2B" w14:textId="77777777">
            <w:pPr>
              <w:rPr>
                <w:color w:val="000000"/>
                <w:kern w:val="0"/>
              </w:rPr>
            </w:pPr>
            <w:r w:rsidRPr="009F0E09">
              <w:rPr>
                <w:color w:val="000000"/>
                <w:kern w:val="0"/>
              </w:rPr>
              <w:t>BEA077 </w:t>
            </w:r>
          </w:p>
        </w:tc>
        <w:tc>
          <w:tcPr>
            <w:tcW w:w="4950" w:type="dxa"/>
            <w:tcBorders>
              <w:top w:val="nil"/>
              <w:left w:val="nil"/>
              <w:bottom w:val="nil"/>
              <w:right w:val="nil"/>
            </w:tcBorders>
            <w:shd w:val="clear" w:color="auto" w:fill="auto"/>
            <w:noWrap/>
            <w:vAlign w:val="bottom"/>
            <w:hideMark/>
          </w:tcPr>
          <w:p w:rsidR="00670D4D" w:rsidRPr="009F0E09" w:rsidP="00E9507C" w14:paraId="5891E57B" w14:textId="77777777">
            <w:pPr>
              <w:rPr>
                <w:color w:val="000000"/>
                <w:kern w:val="0"/>
              </w:rPr>
            </w:pPr>
            <w:r w:rsidRPr="009F0E09">
              <w:rPr>
                <w:color w:val="000000"/>
                <w:kern w:val="0"/>
              </w:rPr>
              <w:t>Jackson, MS-AL-LA</w:t>
            </w:r>
          </w:p>
        </w:tc>
        <w:tc>
          <w:tcPr>
            <w:tcW w:w="2024" w:type="dxa"/>
            <w:tcBorders>
              <w:top w:val="nil"/>
              <w:left w:val="nil"/>
              <w:bottom w:val="nil"/>
              <w:right w:val="nil"/>
            </w:tcBorders>
            <w:shd w:val="clear" w:color="auto" w:fill="auto"/>
            <w:noWrap/>
            <w:vAlign w:val="bottom"/>
            <w:hideMark/>
          </w:tcPr>
          <w:p w:rsidR="00670D4D" w:rsidRPr="009F0E09" w:rsidP="00E9507C" w14:paraId="701D92EC" w14:textId="77777777">
            <w:pPr>
              <w:ind w:right="-604" w:firstLine="158"/>
              <w:rPr>
                <w:color w:val="000000"/>
                <w:kern w:val="0"/>
              </w:rPr>
            </w:pPr>
            <w:r w:rsidRPr="009F0E09">
              <w:rPr>
                <w:color w:val="000000"/>
                <w:kern w:val="0"/>
              </w:rPr>
              <w:t>C  </w:t>
            </w:r>
          </w:p>
        </w:tc>
      </w:tr>
      <w:tr w14:paraId="7F2A120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FE91E18" w14:textId="77777777">
            <w:pPr>
              <w:ind w:hanging="378"/>
              <w:jc w:val="center"/>
              <w:rPr>
                <w:color w:val="000000"/>
                <w:kern w:val="0"/>
              </w:rPr>
            </w:pPr>
            <w:r w:rsidRPr="009F0E09">
              <w:rPr>
                <w:color w:val="000000"/>
                <w:kern w:val="0"/>
              </w:rPr>
              <w:t>WPQP971</w:t>
            </w:r>
          </w:p>
        </w:tc>
        <w:tc>
          <w:tcPr>
            <w:tcW w:w="1530" w:type="dxa"/>
            <w:tcBorders>
              <w:top w:val="nil"/>
              <w:left w:val="nil"/>
              <w:bottom w:val="nil"/>
              <w:right w:val="nil"/>
            </w:tcBorders>
            <w:shd w:val="clear" w:color="auto" w:fill="auto"/>
            <w:noWrap/>
            <w:vAlign w:val="bottom"/>
            <w:hideMark/>
          </w:tcPr>
          <w:p w:rsidR="00670D4D" w:rsidRPr="009F0E09" w:rsidP="00E9507C" w14:paraId="5D345FD3" w14:textId="77777777">
            <w:pPr>
              <w:rPr>
                <w:color w:val="000000"/>
                <w:kern w:val="0"/>
              </w:rPr>
            </w:pPr>
            <w:r w:rsidRPr="009F0E09">
              <w:rPr>
                <w:color w:val="000000"/>
                <w:kern w:val="0"/>
              </w:rPr>
              <w:t>BEA078 </w:t>
            </w:r>
          </w:p>
        </w:tc>
        <w:tc>
          <w:tcPr>
            <w:tcW w:w="4950" w:type="dxa"/>
            <w:tcBorders>
              <w:top w:val="nil"/>
              <w:left w:val="nil"/>
              <w:bottom w:val="nil"/>
              <w:right w:val="nil"/>
            </w:tcBorders>
            <w:shd w:val="clear" w:color="auto" w:fill="auto"/>
            <w:noWrap/>
            <w:vAlign w:val="bottom"/>
            <w:hideMark/>
          </w:tcPr>
          <w:p w:rsidR="00670D4D" w:rsidRPr="009F0E09" w:rsidP="00E9507C" w14:paraId="3D4D0B14" w14:textId="77777777">
            <w:pPr>
              <w:rPr>
                <w:color w:val="000000"/>
                <w:kern w:val="0"/>
              </w:rPr>
            </w:pPr>
            <w:r w:rsidRPr="009F0E09">
              <w:rPr>
                <w:color w:val="000000"/>
                <w:kern w:val="0"/>
              </w:rPr>
              <w:t>Birmingham, AL</w:t>
            </w:r>
          </w:p>
        </w:tc>
        <w:tc>
          <w:tcPr>
            <w:tcW w:w="2024" w:type="dxa"/>
            <w:tcBorders>
              <w:top w:val="nil"/>
              <w:left w:val="nil"/>
              <w:bottom w:val="nil"/>
              <w:right w:val="nil"/>
            </w:tcBorders>
            <w:shd w:val="clear" w:color="auto" w:fill="auto"/>
            <w:noWrap/>
            <w:vAlign w:val="bottom"/>
            <w:hideMark/>
          </w:tcPr>
          <w:p w:rsidR="00670D4D" w:rsidRPr="009F0E09" w:rsidP="00E9507C" w14:paraId="4FAEC78B" w14:textId="77777777">
            <w:pPr>
              <w:ind w:right="-604" w:firstLine="158"/>
              <w:rPr>
                <w:color w:val="000000"/>
                <w:kern w:val="0"/>
              </w:rPr>
            </w:pPr>
            <w:r w:rsidRPr="009F0E09">
              <w:rPr>
                <w:color w:val="000000"/>
                <w:kern w:val="0"/>
              </w:rPr>
              <w:t>B  </w:t>
            </w:r>
          </w:p>
        </w:tc>
      </w:tr>
      <w:tr w14:paraId="0C9930C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C03BF3D" w14:textId="77777777">
            <w:pPr>
              <w:ind w:hanging="378"/>
              <w:jc w:val="center"/>
              <w:rPr>
                <w:color w:val="000000"/>
                <w:kern w:val="0"/>
              </w:rPr>
            </w:pPr>
            <w:r w:rsidRPr="009F0E09">
              <w:rPr>
                <w:color w:val="000000"/>
                <w:kern w:val="0"/>
              </w:rPr>
              <w:t>WPQP972</w:t>
            </w:r>
          </w:p>
        </w:tc>
        <w:tc>
          <w:tcPr>
            <w:tcW w:w="1530" w:type="dxa"/>
            <w:tcBorders>
              <w:top w:val="nil"/>
              <w:left w:val="nil"/>
              <w:bottom w:val="nil"/>
              <w:right w:val="nil"/>
            </w:tcBorders>
            <w:shd w:val="clear" w:color="auto" w:fill="auto"/>
            <w:noWrap/>
            <w:vAlign w:val="bottom"/>
            <w:hideMark/>
          </w:tcPr>
          <w:p w:rsidR="00670D4D" w:rsidRPr="009F0E09" w:rsidP="00E9507C" w14:paraId="06CC4F52" w14:textId="77777777">
            <w:pPr>
              <w:rPr>
                <w:color w:val="000000"/>
                <w:kern w:val="0"/>
              </w:rPr>
            </w:pPr>
            <w:r w:rsidRPr="009F0E09">
              <w:rPr>
                <w:color w:val="000000"/>
                <w:kern w:val="0"/>
              </w:rPr>
              <w:t>BEA078 </w:t>
            </w:r>
          </w:p>
        </w:tc>
        <w:tc>
          <w:tcPr>
            <w:tcW w:w="4950" w:type="dxa"/>
            <w:tcBorders>
              <w:top w:val="nil"/>
              <w:left w:val="nil"/>
              <w:bottom w:val="nil"/>
              <w:right w:val="nil"/>
            </w:tcBorders>
            <w:shd w:val="clear" w:color="auto" w:fill="auto"/>
            <w:noWrap/>
            <w:vAlign w:val="bottom"/>
            <w:hideMark/>
          </w:tcPr>
          <w:p w:rsidR="00670D4D" w:rsidRPr="009F0E09" w:rsidP="00E9507C" w14:paraId="670BAD31" w14:textId="77777777">
            <w:pPr>
              <w:rPr>
                <w:color w:val="000000"/>
                <w:kern w:val="0"/>
              </w:rPr>
            </w:pPr>
            <w:r w:rsidRPr="009F0E09">
              <w:rPr>
                <w:color w:val="000000"/>
                <w:kern w:val="0"/>
              </w:rPr>
              <w:t>Birmingham, AL</w:t>
            </w:r>
          </w:p>
        </w:tc>
        <w:tc>
          <w:tcPr>
            <w:tcW w:w="2024" w:type="dxa"/>
            <w:tcBorders>
              <w:top w:val="nil"/>
              <w:left w:val="nil"/>
              <w:bottom w:val="nil"/>
              <w:right w:val="nil"/>
            </w:tcBorders>
            <w:shd w:val="clear" w:color="auto" w:fill="auto"/>
            <w:noWrap/>
            <w:vAlign w:val="bottom"/>
            <w:hideMark/>
          </w:tcPr>
          <w:p w:rsidR="00670D4D" w:rsidRPr="009F0E09" w:rsidP="00E9507C" w14:paraId="460017AD" w14:textId="77777777">
            <w:pPr>
              <w:ind w:right="-604" w:firstLine="158"/>
              <w:rPr>
                <w:color w:val="000000"/>
                <w:kern w:val="0"/>
              </w:rPr>
            </w:pPr>
            <w:r w:rsidRPr="009F0E09">
              <w:rPr>
                <w:color w:val="000000"/>
                <w:kern w:val="0"/>
              </w:rPr>
              <w:t>C  </w:t>
            </w:r>
          </w:p>
        </w:tc>
      </w:tr>
      <w:tr w14:paraId="4657A0C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BEFF49D" w14:textId="77777777">
            <w:pPr>
              <w:ind w:hanging="378"/>
              <w:jc w:val="center"/>
              <w:rPr>
                <w:color w:val="000000"/>
                <w:kern w:val="0"/>
              </w:rPr>
            </w:pPr>
            <w:r w:rsidRPr="009F0E09">
              <w:rPr>
                <w:color w:val="000000"/>
                <w:kern w:val="0"/>
              </w:rPr>
              <w:t>WPQP973</w:t>
            </w:r>
          </w:p>
        </w:tc>
        <w:tc>
          <w:tcPr>
            <w:tcW w:w="1530" w:type="dxa"/>
            <w:tcBorders>
              <w:top w:val="nil"/>
              <w:left w:val="nil"/>
              <w:bottom w:val="nil"/>
              <w:right w:val="nil"/>
            </w:tcBorders>
            <w:shd w:val="clear" w:color="auto" w:fill="auto"/>
            <w:noWrap/>
            <w:vAlign w:val="bottom"/>
            <w:hideMark/>
          </w:tcPr>
          <w:p w:rsidR="00670D4D" w:rsidRPr="009F0E09" w:rsidP="00E9507C" w14:paraId="6F881415" w14:textId="77777777">
            <w:pPr>
              <w:rPr>
                <w:color w:val="000000"/>
                <w:kern w:val="0"/>
              </w:rPr>
            </w:pPr>
            <w:r w:rsidRPr="009F0E09">
              <w:rPr>
                <w:color w:val="000000"/>
                <w:kern w:val="0"/>
              </w:rPr>
              <w:t>BEA080 </w:t>
            </w:r>
          </w:p>
        </w:tc>
        <w:tc>
          <w:tcPr>
            <w:tcW w:w="4950" w:type="dxa"/>
            <w:tcBorders>
              <w:top w:val="nil"/>
              <w:left w:val="nil"/>
              <w:bottom w:val="nil"/>
              <w:right w:val="nil"/>
            </w:tcBorders>
            <w:shd w:val="clear" w:color="auto" w:fill="auto"/>
            <w:noWrap/>
            <w:vAlign w:val="bottom"/>
            <w:hideMark/>
          </w:tcPr>
          <w:p w:rsidR="00670D4D" w:rsidRPr="009F0E09" w:rsidP="00E9507C" w14:paraId="52775CF1" w14:textId="77777777">
            <w:pPr>
              <w:rPr>
                <w:color w:val="000000"/>
                <w:kern w:val="0"/>
              </w:rPr>
            </w:pPr>
            <w:r w:rsidRPr="009F0E09">
              <w:rPr>
                <w:color w:val="000000"/>
                <w:kern w:val="0"/>
              </w:rPr>
              <w:t>Mobile, AL</w:t>
            </w:r>
          </w:p>
        </w:tc>
        <w:tc>
          <w:tcPr>
            <w:tcW w:w="2024" w:type="dxa"/>
            <w:tcBorders>
              <w:top w:val="nil"/>
              <w:left w:val="nil"/>
              <w:bottom w:val="nil"/>
              <w:right w:val="nil"/>
            </w:tcBorders>
            <w:shd w:val="clear" w:color="auto" w:fill="auto"/>
            <w:noWrap/>
            <w:vAlign w:val="bottom"/>
            <w:hideMark/>
          </w:tcPr>
          <w:p w:rsidR="00670D4D" w:rsidRPr="009F0E09" w:rsidP="00E9507C" w14:paraId="4835785F" w14:textId="77777777">
            <w:pPr>
              <w:ind w:right="-604" w:firstLine="158"/>
              <w:rPr>
                <w:color w:val="000000"/>
                <w:kern w:val="0"/>
              </w:rPr>
            </w:pPr>
            <w:r w:rsidRPr="009F0E09">
              <w:rPr>
                <w:color w:val="000000"/>
                <w:kern w:val="0"/>
              </w:rPr>
              <w:t>B  </w:t>
            </w:r>
          </w:p>
        </w:tc>
      </w:tr>
      <w:tr w14:paraId="0B712843"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AC03BC7" w14:textId="77777777">
            <w:pPr>
              <w:ind w:hanging="378"/>
              <w:jc w:val="center"/>
              <w:rPr>
                <w:color w:val="000000"/>
                <w:kern w:val="0"/>
              </w:rPr>
            </w:pPr>
            <w:r w:rsidRPr="009F0E09">
              <w:rPr>
                <w:color w:val="000000"/>
                <w:kern w:val="0"/>
              </w:rPr>
              <w:t>WPQP974</w:t>
            </w:r>
          </w:p>
        </w:tc>
        <w:tc>
          <w:tcPr>
            <w:tcW w:w="1530" w:type="dxa"/>
            <w:tcBorders>
              <w:top w:val="nil"/>
              <w:left w:val="nil"/>
              <w:bottom w:val="nil"/>
              <w:right w:val="nil"/>
            </w:tcBorders>
            <w:shd w:val="clear" w:color="auto" w:fill="auto"/>
            <w:noWrap/>
            <w:vAlign w:val="bottom"/>
            <w:hideMark/>
          </w:tcPr>
          <w:p w:rsidR="00670D4D" w:rsidRPr="009F0E09" w:rsidP="00E9507C" w14:paraId="2BC20554" w14:textId="77777777">
            <w:pPr>
              <w:rPr>
                <w:color w:val="000000"/>
                <w:kern w:val="0"/>
              </w:rPr>
            </w:pPr>
            <w:r w:rsidRPr="009F0E09">
              <w:rPr>
                <w:color w:val="000000"/>
                <w:kern w:val="0"/>
              </w:rPr>
              <w:t>BEA080 </w:t>
            </w:r>
          </w:p>
        </w:tc>
        <w:tc>
          <w:tcPr>
            <w:tcW w:w="4950" w:type="dxa"/>
            <w:tcBorders>
              <w:top w:val="nil"/>
              <w:left w:val="nil"/>
              <w:bottom w:val="nil"/>
              <w:right w:val="nil"/>
            </w:tcBorders>
            <w:shd w:val="clear" w:color="auto" w:fill="auto"/>
            <w:noWrap/>
            <w:vAlign w:val="bottom"/>
            <w:hideMark/>
          </w:tcPr>
          <w:p w:rsidR="00670D4D" w:rsidRPr="009F0E09" w:rsidP="00E9507C" w14:paraId="4D533EA8" w14:textId="77777777">
            <w:pPr>
              <w:rPr>
                <w:color w:val="000000"/>
                <w:kern w:val="0"/>
              </w:rPr>
            </w:pPr>
            <w:r w:rsidRPr="009F0E09">
              <w:rPr>
                <w:color w:val="000000"/>
                <w:kern w:val="0"/>
              </w:rPr>
              <w:t>Mobile, AL</w:t>
            </w:r>
          </w:p>
        </w:tc>
        <w:tc>
          <w:tcPr>
            <w:tcW w:w="2024" w:type="dxa"/>
            <w:tcBorders>
              <w:top w:val="nil"/>
              <w:left w:val="nil"/>
              <w:bottom w:val="nil"/>
              <w:right w:val="nil"/>
            </w:tcBorders>
            <w:shd w:val="clear" w:color="auto" w:fill="auto"/>
            <w:noWrap/>
            <w:vAlign w:val="bottom"/>
            <w:hideMark/>
          </w:tcPr>
          <w:p w:rsidR="00670D4D" w:rsidRPr="009F0E09" w:rsidP="00E9507C" w14:paraId="0D979664" w14:textId="77777777">
            <w:pPr>
              <w:ind w:right="-604" w:firstLine="158"/>
              <w:rPr>
                <w:color w:val="000000"/>
                <w:kern w:val="0"/>
              </w:rPr>
            </w:pPr>
            <w:r w:rsidRPr="009F0E09">
              <w:rPr>
                <w:color w:val="000000"/>
                <w:kern w:val="0"/>
              </w:rPr>
              <w:t>C  </w:t>
            </w:r>
          </w:p>
        </w:tc>
      </w:tr>
      <w:tr w14:paraId="153B4DB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F225315" w14:textId="77777777">
            <w:pPr>
              <w:ind w:hanging="378"/>
              <w:jc w:val="center"/>
              <w:rPr>
                <w:color w:val="000000"/>
                <w:kern w:val="0"/>
              </w:rPr>
            </w:pPr>
            <w:r w:rsidRPr="009F0E09">
              <w:rPr>
                <w:color w:val="000000"/>
                <w:kern w:val="0"/>
              </w:rPr>
              <w:t>WPQP975</w:t>
            </w:r>
          </w:p>
        </w:tc>
        <w:tc>
          <w:tcPr>
            <w:tcW w:w="1530" w:type="dxa"/>
            <w:tcBorders>
              <w:top w:val="nil"/>
              <w:left w:val="nil"/>
              <w:bottom w:val="nil"/>
              <w:right w:val="nil"/>
            </w:tcBorders>
            <w:shd w:val="clear" w:color="auto" w:fill="auto"/>
            <w:noWrap/>
            <w:vAlign w:val="bottom"/>
            <w:hideMark/>
          </w:tcPr>
          <w:p w:rsidR="00670D4D" w:rsidRPr="009F0E09" w:rsidP="00E9507C" w14:paraId="32D9FDB5" w14:textId="77777777">
            <w:pPr>
              <w:rPr>
                <w:color w:val="000000"/>
                <w:kern w:val="0"/>
              </w:rPr>
            </w:pPr>
            <w:r w:rsidRPr="009F0E09">
              <w:rPr>
                <w:color w:val="000000"/>
                <w:kern w:val="0"/>
              </w:rPr>
              <w:t>BEA081 </w:t>
            </w:r>
          </w:p>
        </w:tc>
        <w:tc>
          <w:tcPr>
            <w:tcW w:w="4950" w:type="dxa"/>
            <w:tcBorders>
              <w:top w:val="nil"/>
              <w:left w:val="nil"/>
              <w:bottom w:val="nil"/>
              <w:right w:val="nil"/>
            </w:tcBorders>
            <w:shd w:val="clear" w:color="auto" w:fill="auto"/>
            <w:noWrap/>
            <w:vAlign w:val="bottom"/>
            <w:hideMark/>
          </w:tcPr>
          <w:p w:rsidR="00670D4D" w:rsidRPr="009F0E09" w:rsidP="00E9507C" w14:paraId="6FE6E19E" w14:textId="77777777">
            <w:pPr>
              <w:rPr>
                <w:color w:val="000000"/>
                <w:kern w:val="0"/>
              </w:rPr>
            </w:pPr>
            <w:r w:rsidRPr="009F0E09">
              <w:rPr>
                <w:color w:val="000000"/>
                <w:kern w:val="0"/>
              </w:rPr>
              <w:t>Pensacola, FL </w:t>
            </w:r>
          </w:p>
        </w:tc>
        <w:tc>
          <w:tcPr>
            <w:tcW w:w="2024" w:type="dxa"/>
            <w:tcBorders>
              <w:top w:val="nil"/>
              <w:left w:val="nil"/>
              <w:bottom w:val="nil"/>
              <w:right w:val="nil"/>
            </w:tcBorders>
            <w:shd w:val="clear" w:color="auto" w:fill="auto"/>
            <w:noWrap/>
            <w:vAlign w:val="bottom"/>
            <w:hideMark/>
          </w:tcPr>
          <w:p w:rsidR="00670D4D" w:rsidRPr="009F0E09" w:rsidP="00E9507C" w14:paraId="076A5493" w14:textId="77777777">
            <w:pPr>
              <w:ind w:right="-604" w:firstLine="158"/>
              <w:rPr>
                <w:color w:val="000000"/>
                <w:kern w:val="0"/>
              </w:rPr>
            </w:pPr>
            <w:r w:rsidRPr="009F0E09">
              <w:rPr>
                <w:color w:val="000000"/>
                <w:kern w:val="0"/>
              </w:rPr>
              <w:t>B  </w:t>
            </w:r>
          </w:p>
        </w:tc>
      </w:tr>
      <w:tr w14:paraId="646826D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F2135CE" w14:textId="77777777">
            <w:pPr>
              <w:ind w:hanging="378"/>
              <w:jc w:val="center"/>
              <w:rPr>
                <w:color w:val="000000"/>
                <w:kern w:val="0"/>
              </w:rPr>
            </w:pPr>
            <w:r w:rsidRPr="009F0E09">
              <w:rPr>
                <w:color w:val="000000"/>
                <w:kern w:val="0"/>
              </w:rPr>
              <w:t>WPQP976</w:t>
            </w:r>
          </w:p>
        </w:tc>
        <w:tc>
          <w:tcPr>
            <w:tcW w:w="1530" w:type="dxa"/>
            <w:tcBorders>
              <w:top w:val="nil"/>
              <w:left w:val="nil"/>
              <w:bottom w:val="nil"/>
              <w:right w:val="nil"/>
            </w:tcBorders>
            <w:shd w:val="clear" w:color="auto" w:fill="auto"/>
            <w:noWrap/>
            <w:vAlign w:val="bottom"/>
            <w:hideMark/>
          </w:tcPr>
          <w:p w:rsidR="00670D4D" w:rsidRPr="009F0E09" w:rsidP="00E9507C" w14:paraId="5819EEE2" w14:textId="77777777">
            <w:pPr>
              <w:rPr>
                <w:color w:val="000000"/>
                <w:kern w:val="0"/>
              </w:rPr>
            </w:pPr>
            <w:r w:rsidRPr="009F0E09">
              <w:rPr>
                <w:color w:val="000000"/>
                <w:kern w:val="0"/>
              </w:rPr>
              <w:t>BEA081 </w:t>
            </w:r>
          </w:p>
        </w:tc>
        <w:tc>
          <w:tcPr>
            <w:tcW w:w="4950" w:type="dxa"/>
            <w:tcBorders>
              <w:top w:val="nil"/>
              <w:left w:val="nil"/>
              <w:bottom w:val="nil"/>
              <w:right w:val="nil"/>
            </w:tcBorders>
            <w:shd w:val="clear" w:color="auto" w:fill="auto"/>
            <w:noWrap/>
            <w:vAlign w:val="bottom"/>
            <w:hideMark/>
          </w:tcPr>
          <w:p w:rsidR="00670D4D" w:rsidRPr="009F0E09" w:rsidP="00E9507C" w14:paraId="75EE4624" w14:textId="77777777">
            <w:pPr>
              <w:rPr>
                <w:color w:val="000000"/>
                <w:kern w:val="0"/>
              </w:rPr>
            </w:pPr>
            <w:r w:rsidRPr="009F0E09">
              <w:rPr>
                <w:color w:val="000000"/>
                <w:kern w:val="0"/>
              </w:rPr>
              <w:t>Pensacola, FL </w:t>
            </w:r>
          </w:p>
        </w:tc>
        <w:tc>
          <w:tcPr>
            <w:tcW w:w="2024" w:type="dxa"/>
            <w:tcBorders>
              <w:top w:val="nil"/>
              <w:left w:val="nil"/>
              <w:bottom w:val="nil"/>
              <w:right w:val="nil"/>
            </w:tcBorders>
            <w:shd w:val="clear" w:color="auto" w:fill="auto"/>
            <w:noWrap/>
            <w:vAlign w:val="bottom"/>
            <w:hideMark/>
          </w:tcPr>
          <w:p w:rsidR="00670D4D" w:rsidRPr="009F0E09" w:rsidP="00E9507C" w14:paraId="5105BE73" w14:textId="77777777">
            <w:pPr>
              <w:ind w:right="-604" w:firstLine="158"/>
              <w:rPr>
                <w:color w:val="000000"/>
                <w:kern w:val="0"/>
              </w:rPr>
            </w:pPr>
            <w:r w:rsidRPr="009F0E09">
              <w:rPr>
                <w:color w:val="000000"/>
                <w:kern w:val="0"/>
              </w:rPr>
              <w:t>C  </w:t>
            </w:r>
          </w:p>
        </w:tc>
      </w:tr>
      <w:tr w14:paraId="1554C23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AA77AAD" w14:textId="77777777">
            <w:pPr>
              <w:ind w:hanging="378"/>
              <w:jc w:val="center"/>
              <w:rPr>
                <w:color w:val="000000"/>
                <w:kern w:val="0"/>
              </w:rPr>
            </w:pPr>
            <w:r w:rsidRPr="009F0E09">
              <w:rPr>
                <w:color w:val="000000"/>
                <w:kern w:val="0"/>
              </w:rPr>
              <w:t>WPQP979</w:t>
            </w:r>
          </w:p>
        </w:tc>
        <w:tc>
          <w:tcPr>
            <w:tcW w:w="1530" w:type="dxa"/>
            <w:tcBorders>
              <w:top w:val="nil"/>
              <w:left w:val="nil"/>
              <w:bottom w:val="nil"/>
              <w:right w:val="nil"/>
            </w:tcBorders>
            <w:shd w:val="clear" w:color="auto" w:fill="auto"/>
            <w:noWrap/>
            <w:vAlign w:val="bottom"/>
            <w:hideMark/>
          </w:tcPr>
          <w:p w:rsidR="00670D4D" w:rsidRPr="009F0E09" w:rsidP="00E9507C" w14:paraId="5619ED87" w14:textId="77777777">
            <w:pPr>
              <w:rPr>
                <w:color w:val="000000"/>
                <w:kern w:val="0"/>
              </w:rPr>
            </w:pPr>
            <w:r w:rsidRPr="009F0E09">
              <w:rPr>
                <w:color w:val="000000"/>
                <w:kern w:val="0"/>
              </w:rPr>
              <w:t>BEA084 </w:t>
            </w:r>
          </w:p>
        </w:tc>
        <w:tc>
          <w:tcPr>
            <w:tcW w:w="4950" w:type="dxa"/>
            <w:tcBorders>
              <w:top w:val="nil"/>
              <w:left w:val="nil"/>
              <w:bottom w:val="nil"/>
              <w:right w:val="nil"/>
            </w:tcBorders>
            <w:shd w:val="clear" w:color="auto" w:fill="auto"/>
            <w:noWrap/>
            <w:vAlign w:val="bottom"/>
            <w:hideMark/>
          </w:tcPr>
          <w:p w:rsidR="00670D4D" w:rsidRPr="009F0E09" w:rsidP="00E9507C" w14:paraId="3BBA341A" w14:textId="77777777">
            <w:pPr>
              <w:rPr>
                <w:color w:val="000000"/>
                <w:kern w:val="0"/>
              </w:rPr>
            </w:pPr>
            <w:r w:rsidRPr="009F0E09">
              <w:rPr>
                <w:color w:val="000000"/>
                <w:kern w:val="0"/>
              </w:rPr>
              <w:t>Baton Rouge, LA-MS</w:t>
            </w:r>
          </w:p>
        </w:tc>
        <w:tc>
          <w:tcPr>
            <w:tcW w:w="2024" w:type="dxa"/>
            <w:tcBorders>
              <w:top w:val="nil"/>
              <w:left w:val="nil"/>
              <w:bottom w:val="nil"/>
              <w:right w:val="nil"/>
            </w:tcBorders>
            <w:shd w:val="clear" w:color="auto" w:fill="auto"/>
            <w:noWrap/>
            <w:vAlign w:val="bottom"/>
            <w:hideMark/>
          </w:tcPr>
          <w:p w:rsidR="00670D4D" w:rsidRPr="009F0E09" w:rsidP="00E9507C" w14:paraId="716D9E09" w14:textId="77777777">
            <w:pPr>
              <w:ind w:right="-604" w:firstLine="158"/>
              <w:rPr>
                <w:color w:val="000000"/>
                <w:kern w:val="0"/>
              </w:rPr>
            </w:pPr>
            <w:r w:rsidRPr="009F0E09">
              <w:rPr>
                <w:color w:val="000000"/>
                <w:kern w:val="0"/>
              </w:rPr>
              <w:t>B  </w:t>
            </w:r>
          </w:p>
        </w:tc>
      </w:tr>
      <w:tr w14:paraId="0A00937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FACB1D7" w14:textId="77777777">
            <w:pPr>
              <w:ind w:hanging="378"/>
              <w:jc w:val="center"/>
              <w:rPr>
                <w:color w:val="000000"/>
                <w:kern w:val="0"/>
              </w:rPr>
            </w:pPr>
            <w:r w:rsidRPr="009F0E09">
              <w:rPr>
                <w:color w:val="000000"/>
                <w:kern w:val="0"/>
              </w:rPr>
              <w:t>WPQP980</w:t>
            </w:r>
          </w:p>
        </w:tc>
        <w:tc>
          <w:tcPr>
            <w:tcW w:w="1530" w:type="dxa"/>
            <w:tcBorders>
              <w:top w:val="nil"/>
              <w:left w:val="nil"/>
              <w:bottom w:val="nil"/>
              <w:right w:val="nil"/>
            </w:tcBorders>
            <w:shd w:val="clear" w:color="auto" w:fill="auto"/>
            <w:noWrap/>
            <w:vAlign w:val="bottom"/>
            <w:hideMark/>
          </w:tcPr>
          <w:p w:rsidR="00670D4D" w:rsidRPr="009F0E09" w:rsidP="00E9507C" w14:paraId="4F2F85D5" w14:textId="77777777">
            <w:pPr>
              <w:rPr>
                <w:color w:val="000000"/>
                <w:kern w:val="0"/>
              </w:rPr>
            </w:pPr>
            <w:r w:rsidRPr="009F0E09">
              <w:rPr>
                <w:color w:val="000000"/>
                <w:kern w:val="0"/>
              </w:rPr>
              <w:t>BEA084 </w:t>
            </w:r>
          </w:p>
        </w:tc>
        <w:tc>
          <w:tcPr>
            <w:tcW w:w="4950" w:type="dxa"/>
            <w:tcBorders>
              <w:top w:val="nil"/>
              <w:left w:val="nil"/>
              <w:bottom w:val="nil"/>
              <w:right w:val="nil"/>
            </w:tcBorders>
            <w:shd w:val="clear" w:color="auto" w:fill="auto"/>
            <w:noWrap/>
            <w:vAlign w:val="bottom"/>
            <w:hideMark/>
          </w:tcPr>
          <w:p w:rsidR="00670D4D" w:rsidRPr="009F0E09" w:rsidP="00E9507C" w14:paraId="6D2E189D" w14:textId="77777777">
            <w:pPr>
              <w:rPr>
                <w:color w:val="000000"/>
                <w:kern w:val="0"/>
              </w:rPr>
            </w:pPr>
            <w:r w:rsidRPr="009F0E09">
              <w:rPr>
                <w:color w:val="000000"/>
                <w:kern w:val="0"/>
              </w:rPr>
              <w:t>Baton Rouge, LA-MS</w:t>
            </w:r>
          </w:p>
        </w:tc>
        <w:tc>
          <w:tcPr>
            <w:tcW w:w="2024" w:type="dxa"/>
            <w:tcBorders>
              <w:top w:val="nil"/>
              <w:left w:val="nil"/>
              <w:bottom w:val="nil"/>
              <w:right w:val="nil"/>
            </w:tcBorders>
            <w:shd w:val="clear" w:color="auto" w:fill="auto"/>
            <w:noWrap/>
            <w:vAlign w:val="bottom"/>
            <w:hideMark/>
          </w:tcPr>
          <w:p w:rsidR="00670D4D" w:rsidRPr="009F0E09" w:rsidP="00E9507C" w14:paraId="1C732FE1" w14:textId="77777777">
            <w:pPr>
              <w:ind w:right="-604" w:firstLine="158"/>
              <w:rPr>
                <w:color w:val="000000"/>
                <w:kern w:val="0"/>
              </w:rPr>
            </w:pPr>
            <w:r w:rsidRPr="009F0E09">
              <w:rPr>
                <w:color w:val="000000"/>
                <w:kern w:val="0"/>
              </w:rPr>
              <w:t>C  </w:t>
            </w:r>
          </w:p>
        </w:tc>
      </w:tr>
      <w:tr w14:paraId="0E556B5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32730EC" w14:textId="77777777">
            <w:pPr>
              <w:ind w:hanging="378"/>
              <w:jc w:val="center"/>
              <w:rPr>
                <w:color w:val="000000"/>
                <w:kern w:val="0"/>
              </w:rPr>
            </w:pPr>
            <w:r w:rsidRPr="009F0E09">
              <w:rPr>
                <w:color w:val="000000"/>
                <w:kern w:val="0"/>
              </w:rPr>
              <w:t>WPQP981</w:t>
            </w:r>
          </w:p>
        </w:tc>
        <w:tc>
          <w:tcPr>
            <w:tcW w:w="1530" w:type="dxa"/>
            <w:tcBorders>
              <w:top w:val="nil"/>
              <w:left w:val="nil"/>
              <w:bottom w:val="nil"/>
              <w:right w:val="nil"/>
            </w:tcBorders>
            <w:shd w:val="clear" w:color="auto" w:fill="auto"/>
            <w:noWrap/>
            <w:vAlign w:val="bottom"/>
            <w:hideMark/>
          </w:tcPr>
          <w:p w:rsidR="00670D4D" w:rsidRPr="009F0E09" w:rsidP="00E9507C" w14:paraId="218CBA02" w14:textId="77777777">
            <w:pPr>
              <w:rPr>
                <w:color w:val="000000"/>
                <w:kern w:val="0"/>
              </w:rPr>
            </w:pPr>
            <w:r w:rsidRPr="009F0E09">
              <w:rPr>
                <w:color w:val="000000"/>
                <w:kern w:val="0"/>
              </w:rPr>
              <w:t>BEA085 </w:t>
            </w:r>
          </w:p>
        </w:tc>
        <w:tc>
          <w:tcPr>
            <w:tcW w:w="4950" w:type="dxa"/>
            <w:tcBorders>
              <w:top w:val="nil"/>
              <w:left w:val="nil"/>
              <w:bottom w:val="nil"/>
              <w:right w:val="nil"/>
            </w:tcBorders>
            <w:shd w:val="clear" w:color="auto" w:fill="auto"/>
            <w:noWrap/>
            <w:vAlign w:val="bottom"/>
            <w:hideMark/>
          </w:tcPr>
          <w:p w:rsidR="00670D4D" w:rsidRPr="009F0E09" w:rsidP="00E9507C" w14:paraId="2EC8A443" w14:textId="77777777">
            <w:pPr>
              <w:rPr>
                <w:color w:val="000000"/>
                <w:kern w:val="0"/>
              </w:rPr>
            </w:pPr>
            <w:r w:rsidRPr="009F0E09">
              <w:rPr>
                <w:color w:val="000000"/>
                <w:kern w:val="0"/>
              </w:rPr>
              <w:t>Lafayette, LA</w:t>
            </w:r>
          </w:p>
        </w:tc>
        <w:tc>
          <w:tcPr>
            <w:tcW w:w="2024" w:type="dxa"/>
            <w:tcBorders>
              <w:top w:val="nil"/>
              <w:left w:val="nil"/>
              <w:bottom w:val="nil"/>
              <w:right w:val="nil"/>
            </w:tcBorders>
            <w:shd w:val="clear" w:color="auto" w:fill="auto"/>
            <w:noWrap/>
            <w:vAlign w:val="bottom"/>
            <w:hideMark/>
          </w:tcPr>
          <w:p w:rsidR="00670D4D" w:rsidRPr="009F0E09" w:rsidP="00E9507C" w14:paraId="62526765" w14:textId="77777777">
            <w:pPr>
              <w:ind w:right="-604" w:firstLine="158"/>
              <w:rPr>
                <w:color w:val="000000"/>
                <w:kern w:val="0"/>
              </w:rPr>
            </w:pPr>
            <w:r w:rsidRPr="009F0E09">
              <w:rPr>
                <w:color w:val="000000"/>
                <w:kern w:val="0"/>
              </w:rPr>
              <w:t>B  </w:t>
            </w:r>
          </w:p>
        </w:tc>
      </w:tr>
      <w:tr w14:paraId="2D441925"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E04377B" w14:textId="77777777">
            <w:pPr>
              <w:ind w:hanging="378"/>
              <w:jc w:val="center"/>
              <w:rPr>
                <w:color w:val="000000"/>
                <w:kern w:val="0"/>
              </w:rPr>
            </w:pPr>
            <w:r w:rsidRPr="009F0E09">
              <w:rPr>
                <w:color w:val="000000"/>
                <w:kern w:val="0"/>
              </w:rPr>
              <w:t>WPQP982</w:t>
            </w:r>
          </w:p>
        </w:tc>
        <w:tc>
          <w:tcPr>
            <w:tcW w:w="1530" w:type="dxa"/>
            <w:tcBorders>
              <w:top w:val="nil"/>
              <w:left w:val="nil"/>
              <w:bottom w:val="nil"/>
              <w:right w:val="nil"/>
            </w:tcBorders>
            <w:shd w:val="clear" w:color="auto" w:fill="auto"/>
            <w:noWrap/>
            <w:vAlign w:val="bottom"/>
            <w:hideMark/>
          </w:tcPr>
          <w:p w:rsidR="00670D4D" w:rsidRPr="009F0E09" w:rsidP="00E9507C" w14:paraId="02D15715" w14:textId="77777777">
            <w:pPr>
              <w:rPr>
                <w:color w:val="000000"/>
                <w:kern w:val="0"/>
              </w:rPr>
            </w:pPr>
            <w:r w:rsidRPr="009F0E09">
              <w:rPr>
                <w:color w:val="000000"/>
                <w:kern w:val="0"/>
              </w:rPr>
              <w:t>BEA085 </w:t>
            </w:r>
          </w:p>
        </w:tc>
        <w:tc>
          <w:tcPr>
            <w:tcW w:w="4950" w:type="dxa"/>
            <w:tcBorders>
              <w:top w:val="nil"/>
              <w:left w:val="nil"/>
              <w:bottom w:val="nil"/>
              <w:right w:val="nil"/>
            </w:tcBorders>
            <w:shd w:val="clear" w:color="auto" w:fill="auto"/>
            <w:noWrap/>
            <w:vAlign w:val="bottom"/>
            <w:hideMark/>
          </w:tcPr>
          <w:p w:rsidR="00670D4D" w:rsidRPr="009F0E09" w:rsidP="00E9507C" w14:paraId="34067B99" w14:textId="77777777">
            <w:pPr>
              <w:rPr>
                <w:color w:val="000000"/>
                <w:kern w:val="0"/>
              </w:rPr>
            </w:pPr>
            <w:r w:rsidRPr="009F0E09">
              <w:rPr>
                <w:color w:val="000000"/>
                <w:kern w:val="0"/>
              </w:rPr>
              <w:t>Lafayette, LA</w:t>
            </w:r>
          </w:p>
        </w:tc>
        <w:tc>
          <w:tcPr>
            <w:tcW w:w="2024" w:type="dxa"/>
            <w:tcBorders>
              <w:top w:val="nil"/>
              <w:left w:val="nil"/>
              <w:bottom w:val="nil"/>
              <w:right w:val="nil"/>
            </w:tcBorders>
            <w:shd w:val="clear" w:color="auto" w:fill="auto"/>
            <w:noWrap/>
            <w:vAlign w:val="bottom"/>
            <w:hideMark/>
          </w:tcPr>
          <w:p w:rsidR="00670D4D" w:rsidRPr="009F0E09" w:rsidP="00E9507C" w14:paraId="77C0748C" w14:textId="77777777">
            <w:pPr>
              <w:ind w:right="-604" w:firstLine="158"/>
              <w:rPr>
                <w:color w:val="000000"/>
                <w:kern w:val="0"/>
              </w:rPr>
            </w:pPr>
            <w:r w:rsidRPr="009F0E09">
              <w:rPr>
                <w:color w:val="000000"/>
                <w:kern w:val="0"/>
              </w:rPr>
              <w:t>C  </w:t>
            </w:r>
          </w:p>
        </w:tc>
      </w:tr>
      <w:tr w14:paraId="218DD13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88564B4" w14:textId="77777777">
            <w:pPr>
              <w:ind w:hanging="378"/>
              <w:jc w:val="center"/>
              <w:rPr>
                <w:color w:val="000000"/>
                <w:kern w:val="0"/>
              </w:rPr>
            </w:pPr>
            <w:r w:rsidRPr="009F0E09">
              <w:rPr>
                <w:color w:val="000000"/>
                <w:kern w:val="0"/>
              </w:rPr>
              <w:t>WPQP983</w:t>
            </w:r>
          </w:p>
        </w:tc>
        <w:tc>
          <w:tcPr>
            <w:tcW w:w="1530" w:type="dxa"/>
            <w:tcBorders>
              <w:top w:val="nil"/>
              <w:left w:val="nil"/>
              <w:bottom w:val="nil"/>
              <w:right w:val="nil"/>
            </w:tcBorders>
            <w:shd w:val="clear" w:color="auto" w:fill="auto"/>
            <w:noWrap/>
            <w:vAlign w:val="bottom"/>
            <w:hideMark/>
          </w:tcPr>
          <w:p w:rsidR="00670D4D" w:rsidRPr="009F0E09" w:rsidP="00E9507C" w14:paraId="20751314" w14:textId="77777777">
            <w:pPr>
              <w:rPr>
                <w:color w:val="000000"/>
                <w:kern w:val="0"/>
              </w:rPr>
            </w:pPr>
            <w:r w:rsidRPr="009F0E09">
              <w:rPr>
                <w:color w:val="000000"/>
                <w:kern w:val="0"/>
              </w:rPr>
              <w:t>BEA086 </w:t>
            </w:r>
          </w:p>
        </w:tc>
        <w:tc>
          <w:tcPr>
            <w:tcW w:w="4950" w:type="dxa"/>
            <w:tcBorders>
              <w:top w:val="nil"/>
              <w:left w:val="nil"/>
              <w:bottom w:val="nil"/>
              <w:right w:val="nil"/>
            </w:tcBorders>
            <w:shd w:val="clear" w:color="auto" w:fill="auto"/>
            <w:noWrap/>
            <w:vAlign w:val="bottom"/>
            <w:hideMark/>
          </w:tcPr>
          <w:p w:rsidR="00670D4D" w:rsidRPr="009F0E09" w:rsidP="00E9507C" w14:paraId="466996E5" w14:textId="77777777">
            <w:pPr>
              <w:rPr>
                <w:color w:val="000000"/>
                <w:kern w:val="0"/>
              </w:rPr>
            </w:pPr>
            <w:r w:rsidRPr="009F0E09">
              <w:rPr>
                <w:color w:val="000000"/>
                <w:kern w:val="0"/>
              </w:rPr>
              <w:t>Lake Charles, LA</w:t>
            </w:r>
          </w:p>
        </w:tc>
        <w:tc>
          <w:tcPr>
            <w:tcW w:w="2024" w:type="dxa"/>
            <w:tcBorders>
              <w:top w:val="nil"/>
              <w:left w:val="nil"/>
              <w:bottom w:val="nil"/>
              <w:right w:val="nil"/>
            </w:tcBorders>
            <w:shd w:val="clear" w:color="auto" w:fill="auto"/>
            <w:noWrap/>
            <w:vAlign w:val="bottom"/>
            <w:hideMark/>
          </w:tcPr>
          <w:p w:rsidR="00670D4D" w:rsidRPr="009F0E09" w:rsidP="00E9507C" w14:paraId="5BCEA49C" w14:textId="77777777">
            <w:pPr>
              <w:ind w:right="-604" w:firstLine="158"/>
              <w:rPr>
                <w:color w:val="000000"/>
                <w:kern w:val="0"/>
              </w:rPr>
            </w:pPr>
            <w:r w:rsidRPr="009F0E09">
              <w:rPr>
                <w:color w:val="000000"/>
                <w:kern w:val="0"/>
              </w:rPr>
              <w:t>B  </w:t>
            </w:r>
          </w:p>
        </w:tc>
      </w:tr>
      <w:tr w14:paraId="5FB7C0E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89FC49B" w14:textId="77777777">
            <w:pPr>
              <w:ind w:hanging="378"/>
              <w:jc w:val="center"/>
              <w:rPr>
                <w:color w:val="000000"/>
                <w:kern w:val="0"/>
              </w:rPr>
            </w:pPr>
            <w:r w:rsidRPr="009F0E09">
              <w:rPr>
                <w:color w:val="000000"/>
                <w:kern w:val="0"/>
              </w:rPr>
              <w:t>WPQP984</w:t>
            </w:r>
          </w:p>
        </w:tc>
        <w:tc>
          <w:tcPr>
            <w:tcW w:w="1530" w:type="dxa"/>
            <w:tcBorders>
              <w:top w:val="nil"/>
              <w:left w:val="nil"/>
              <w:bottom w:val="nil"/>
              <w:right w:val="nil"/>
            </w:tcBorders>
            <w:shd w:val="clear" w:color="auto" w:fill="auto"/>
            <w:noWrap/>
            <w:vAlign w:val="bottom"/>
            <w:hideMark/>
          </w:tcPr>
          <w:p w:rsidR="00670D4D" w:rsidRPr="009F0E09" w:rsidP="00E9507C" w14:paraId="04464CCC" w14:textId="77777777">
            <w:pPr>
              <w:rPr>
                <w:color w:val="000000"/>
                <w:kern w:val="0"/>
              </w:rPr>
            </w:pPr>
            <w:r w:rsidRPr="009F0E09">
              <w:rPr>
                <w:color w:val="000000"/>
                <w:kern w:val="0"/>
              </w:rPr>
              <w:t>BEA086 </w:t>
            </w:r>
          </w:p>
        </w:tc>
        <w:tc>
          <w:tcPr>
            <w:tcW w:w="4950" w:type="dxa"/>
            <w:tcBorders>
              <w:top w:val="nil"/>
              <w:left w:val="nil"/>
              <w:bottom w:val="nil"/>
              <w:right w:val="nil"/>
            </w:tcBorders>
            <w:shd w:val="clear" w:color="auto" w:fill="auto"/>
            <w:noWrap/>
            <w:vAlign w:val="bottom"/>
            <w:hideMark/>
          </w:tcPr>
          <w:p w:rsidR="00670D4D" w:rsidRPr="009F0E09" w:rsidP="00E9507C" w14:paraId="17FCE376" w14:textId="77777777">
            <w:pPr>
              <w:rPr>
                <w:color w:val="000000"/>
                <w:kern w:val="0"/>
              </w:rPr>
            </w:pPr>
            <w:r w:rsidRPr="009F0E09">
              <w:rPr>
                <w:color w:val="000000"/>
                <w:kern w:val="0"/>
              </w:rPr>
              <w:t>Lake Charles, LA</w:t>
            </w:r>
          </w:p>
        </w:tc>
        <w:tc>
          <w:tcPr>
            <w:tcW w:w="2024" w:type="dxa"/>
            <w:tcBorders>
              <w:top w:val="nil"/>
              <w:left w:val="nil"/>
              <w:bottom w:val="nil"/>
              <w:right w:val="nil"/>
            </w:tcBorders>
            <w:shd w:val="clear" w:color="auto" w:fill="auto"/>
            <w:noWrap/>
            <w:vAlign w:val="bottom"/>
            <w:hideMark/>
          </w:tcPr>
          <w:p w:rsidR="00670D4D" w:rsidRPr="009F0E09" w:rsidP="00E9507C" w14:paraId="5BAEE5EE" w14:textId="77777777">
            <w:pPr>
              <w:ind w:right="-604" w:firstLine="158"/>
              <w:rPr>
                <w:color w:val="000000"/>
                <w:kern w:val="0"/>
              </w:rPr>
            </w:pPr>
            <w:r w:rsidRPr="009F0E09">
              <w:rPr>
                <w:color w:val="000000"/>
                <w:kern w:val="0"/>
              </w:rPr>
              <w:t>C  </w:t>
            </w:r>
          </w:p>
        </w:tc>
      </w:tr>
      <w:tr w14:paraId="00D3DBC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770A89A" w14:textId="77777777">
            <w:pPr>
              <w:ind w:hanging="378"/>
              <w:jc w:val="center"/>
              <w:rPr>
                <w:color w:val="000000"/>
                <w:kern w:val="0"/>
              </w:rPr>
            </w:pPr>
            <w:r w:rsidRPr="009F0E09">
              <w:rPr>
                <w:color w:val="000000"/>
                <w:kern w:val="0"/>
              </w:rPr>
              <w:t>WPQP985</w:t>
            </w:r>
          </w:p>
        </w:tc>
        <w:tc>
          <w:tcPr>
            <w:tcW w:w="1530" w:type="dxa"/>
            <w:tcBorders>
              <w:top w:val="nil"/>
              <w:left w:val="nil"/>
              <w:bottom w:val="nil"/>
              <w:right w:val="nil"/>
            </w:tcBorders>
            <w:shd w:val="clear" w:color="auto" w:fill="auto"/>
            <w:noWrap/>
            <w:vAlign w:val="bottom"/>
            <w:hideMark/>
          </w:tcPr>
          <w:p w:rsidR="00670D4D" w:rsidRPr="009F0E09" w:rsidP="00E9507C" w14:paraId="2800DC63" w14:textId="77777777">
            <w:pPr>
              <w:rPr>
                <w:color w:val="000000"/>
                <w:kern w:val="0"/>
              </w:rPr>
            </w:pPr>
            <w:r w:rsidRPr="009F0E09">
              <w:rPr>
                <w:color w:val="000000"/>
                <w:kern w:val="0"/>
              </w:rPr>
              <w:t>BEA088 </w:t>
            </w:r>
          </w:p>
        </w:tc>
        <w:tc>
          <w:tcPr>
            <w:tcW w:w="4950" w:type="dxa"/>
            <w:tcBorders>
              <w:top w:val="nil"/>
              <w:left w:val="nil"/>
              <w:bottom w:val="nil"/>
              <w:right w:val="nil"/>
            </w:tcBorders>
            <w:shd w:val="clear" w:color="auto" w:fill="auto"/>
            <w:noWrap/>
            <w:vAlign w:val="bottom"/>
            <w:hideMark/>
          </w:tcPr>
          <w:p w:rsidR="00670D4D" w:rsidRPr="009F0E09" w:rsidP="00E9507C" w14:paraId="44137D88" w14:textId="77777777">
            <w:pPr>
              <w:rPr>
                <w:color w:val="000000"/>
                <w:kern w:val="0"/>
              </w:rPr>
            </w:pPr>
            <w:r w:rsidRPr="009F0E09">
              <w:rPr>
                <w:color w:val="000000"/>
                <w:kern w:val="0"/>
              </w:rPr>
              <w:t>Shreveport-Bossier City, LA-AR</w:t>
            </w:r>
          </w:p>
        </w:tc>
        <w:tc>
          <w:tcPr>
            <w:tcW w:w="2024" w:type="dxa"/>
            <w:tcBorders>
              <w:top w:val="nil"/>
              <w:left w:val="nil"/>
              <w:bottom w:val="nil"/>
              <w:right w:val="nil"/>
            </w:tcBorders>
            <w:shd w:val="clear" w:color="auto" w:fill="auto"/>
            <w:noWrap/>
            <w:vAlign w:val="bottom"/>
            <w:hideMark/>
          </w:tcPr>
          <w:p w:rsidR="00670D4D" w:rsidRPr="009F0E09" w:rsidP="00E9507C" w14:paraId="3AC3B3C2" w14:textId="77777777">
            <w:pPr>
              <w:ind w:right="-604" w:firstLine="158"/>
              <w:rPr>
                <w:color w:val="000000"/>
                <w:kern w:val="0"/>
              </w:rPr>
            </w:pPr>
            <w:r w:rsidRPr="009F0E09">
              <w:rPr>
                <w:color w:val="000000"/>
                <w:kern w:val="0"/>
              </w:rPr>
              <w:t>B  </w:t>
            </w:r>
          </w:p>
        </w:tc>
      </w:tr>
      <w:tr w14:paraId="54F8EBA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AA3A4B4" w14:textId="77777777">
            <w:pPr>
              <w:ind w:hanging="378"/>
              <w:jc w:val="center"/>
              <w:rPr>
                <w:color w:val="000000"/>
                <w:kern w:val="0"/>
              </w:rPr>
            </w:pPr>
            <w:r w:rsidRPr="009F0E09">
              <w:rPr>
                <w:color w:val="000000"/>
                <w:kern w:val="0"/>
              </w:rPr>
              <w:t>WPQP986</w:t>
            </w:r>
          </w:p>
        </w:tc>
        <w:tc>
          <w:tcPr>
            <w:tcW w:w="1530" w:type="dxa"/>
            <w:tcBorders>
              <w:top w:val="nil"/>
              <w:left w:val="nil"/>
              <w:bottom w:val="nil"/>
              <w:right w:val="nil"/>
            </w:tcBorders>
            <w:shd w:val="clear" w:color="auto" w:fill="auto"/>
            <w:noWrap/>
            <w:vAlign w:val="bottom"/>
            <w:hideMark/>
          </w:tcPr>
          <w:p w:rsidR="00670D4D" w:rsidRPr="009F0E09" w:rsidP="00E9507C" w14:paraId="52F282CE" w14:textId="77777777">
            <w:pPr>
              <w:rPr>
                <w:color w:val="000000"/>
                <w:kern w:val="0"/>
              </w:rPr>
            </w:pPr>
            <w:r w:rsidRPr="009F0E09">
              <w:rPr>
                <w:color w:val="000000"/>
                <w:kern w:val="0"/>
              </w:rPr>
              <w:t>BEA088 </w:t>
            </w:r>
          </w:p>
        </w:tc>
        <w:tc>
          <w:tcPr>
            <w:tcW w:w="4950" w:type="dxa"/>
            <w:tcBorders>
              <w:top w:val="nil"/>
              <w:left w:val="nil"/>
              <w:bottom w:val="nil"/>
              <w:right w:val="nil"/>
            </w:tcBorders>
            <w:shd w:val="clear" w:color="auto" w:fill="auto"/>
            <w:noWrap/>
            <w:vAlign w:val="bottom"/>
            <w:hideMark/>
          </w:tcPr>
          <w:p w:rsidR="00670D4D" w:rsidRPr="009F0E09" w:rsidP="00E9507C" w14:paraId="3C90EFFA" w14:textId="77777777">
            <w:pPr>
              <w:rPr>
                <w:color w:val="000000"/>
                <w:kern w:val="0"/>
              </w:rPr>
            </w:pPr>
            <w:r w:rsidRPr="009F0E09">
              <w:rPr>
                <w:color w:val="000000"/>
                <w:kern w:val="0"/>
              </w:rPr>
              <w:t>Shreveport-Bossier City, LA-AR</w:t>
            </w:r>
          </w:p>
        </w:tc>
        <w:tc>
          <w:tcPr>
            <w:tcW w:w="2024" w:type="dxa"/>
            <w:tcBorders>
              <w:top w:val="nil"/>
              <w:left w:val="nil"/>
              <w:bottom w:val="nil"/>
              <w:right w:val="nil"/>
            </w:tcBorders>
            <w:shd w:val="clear" w:color="auto" w:fill="auto"/>
            <w:noWrap/>
            <w:vAlign w:val="bottom"/>
            <w:hideMark/>
          </w:tcPr>
          <w:p w:rsidR="00670D4D" w:rsidRPr="009F0E09" w:rsidP="00E9507C" w14:paraId="1F532D2D" w14:textId="77777777">
            <w:pPr>
              <w:ind w:right="-604" w:firstLine="158"/>
              <w:rPr>
                <w:color w:val="000000"/>
                <w:kern w:val="0"/>
              </w:rPr>
            </w:pPr>
            <w:r w:rsidRPr="009F0E09">
              <w:rPr>
                <w:color w:val="000000"/>
                <w:kern w:val="0"/>
              </w:rPr>
              <w:t>C  </w:t>
            </w:r>
          </w:p>
        </w:tc>
      </w:tr>
      <w:tr w14:paraId="7849914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C74D9AD" w14:textId="77777777">
            <w:pPr>
              <w:ind w:hanging="378"/>
              <w:jc w:val="center"/>
              <w:rPr>
                <w:color w:val="000000"/>
                <w:kern w:val="0"/>
              </w:rPr>
            </w:pPr>
            <w:r w:rsidRPr="009F0E09">
              <w:rPr>
                <w:color w:val="000000"/>
                <w:kern w:val="0"/>
              </w:rPr>
              <w:t>WPQP987</w:t>
            </w:r>
          </w:p>
        </w:tc>
        <w:tc>
          <w:tcPr>
            <w:tcW w:w="1530" w:type="dxa"/>
            <w:tcBorders>
              <w:top w:val="nil"/>
              <w:left w:val="nil"/>
              <w:bottom w:val="nil"/>
              <w:right w:val="nil"/>
            </w:tcBorders>
            <w:shd w:val="clear" w:color="auto" w:fill="auto"/>
            <w:noWrap/>
            <w:vAlign w:val="bottom"/>
            <w:hideMark/>
          </w:tcPr>
          <w:p w:rsidR="00670D4D" w:rsidRPr="009F0E09" w:rsidP="00E9507C" w14:paraId="59CFBFA7" w14:textId="77777777">
            <w:pPr>
              <w:rPr>
                <w:color w:val="000000"/>
                <w:kern w:val="0"/>
              </w:rPr>
            </w:pPr>
            <w:r w:rsidRPr="009F0E09">
              <w:rPr>
                <w:color w:val="000000"/>
                <w:kern w:val="0"/>
              </w:rPr>
              <w:t>BEA090 </w:t>
            </w:r>
          </w:p>
        </w:tc>
        <w:tc>
          <w:tcPr>
            <w:tcW w:w="4950" w:type="dxa"/>
            <w:tcBorders>
              <w:top w:val="nil"/>
              <w:left w:val="nil"/>
              <w:bottom w:val="nil"/>
              <w:right w:val="nil"/>
            </w:tcBorders>
            <w:shd w:val="clear" w:color="auto" w:fill="auto"/>
            <w:noWrap/>
            <w:vAlign w:val="bottom"/>
            <w:hideMark/>
          </w:tcPr>
          <w:p w:rsidR="00670D4D" w:rsidRPr="009F0E09" w:rsidP="00E9507C" w14:paraId="11F8429C" w14:textId="77777777">
            <w:pPr>
              <w:rPr>
                <w:color w:val="000000"/>
                <w:kern w:val="0"/>
              </w:rPr>
            </w:pPr>
            <w:r w:rsidRPr="009F0E09">
              <w:rPr>
                <w:color w:val="000000"/>
                <w:kern w:val="0"/>
              </w:rPr>
              <w:t>Little Rock-North Little Rock, AR</w:t>
            </w:r>
          </w:p>
        </w:tc>
        <w:tc>
          <w:tcPr>
            <w:tcW w:w="2024" w:type="dxa"/>
            <w:tcBorders>
              <w:top w:val="nil"/>
              <w:left w:val="nil"/>
              <w:bottom w:val="nil"/>
              <w:right w:val="nil"/>
            </w:tcBorders>
            <w:shd w:val="clear" w:color="auto" w:fill="auto"/>
            <w:noWrap/>
            <w:vAlign w:val="bottom"/>
            <w:hideMark/>
          </w:tcPr>
          <w:p w:rsidR="00670D4D" w:rsidRPr="009F0E09" w:rsidP="00E9507C" w14:paraId="7C202572" w14:textId="77777777">
            <w:pPr>
              <w:ind w:right="-604" w:firstLine="158"/>
              <w:rPr>
                <w:color w:val="000000"/>
                <w:kern w:val="0"/>
              </w:rPr>
            </w:pPr>
            <w:r w:rsidRPr="009F0E09">
              <w:rPr>
                <w:color w:val="000000"/>
                <w:kern w:val="0"/>
              </w:rPr>
              <w:t>B  </w:t>
            </w:r>
          </w:p>
        </w:tc>
      </w:tr>
      <w:tr w14:paraId="0853E19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9565AC8" w14:textId="77777777">
            <w:pPr>
              <w:ind w:hanging="378"/>
              <w:jc w:val="center"/>
              <w:rPr>
                <w:color w:val="000000"/>
                <w:kern w:val="0"/>
              </w:rPr>
            </w:pPr>
            <w:r w:rsidRPr="009F0E09">
              <w:rPr>
                <w:color w:val="000000"/>
                <w:kern w:val="0"/>
              </w:rPr>
              <w:t>WPQP988</w:t>
            </w:r>
          </w:p>
        </w:tc>
        <w:tc>
          <w:tcPr>
            <w:tcW w:w="1530" w:type="dxa"/>
            <w:tcBorders>
              <w:top w:val="nil"/>
              <w:left w:val="nil"/>
              <w:bottom w:val="nil"/>
              <w:right w:val="nil"/>
            </w:tcBorders>
            <w:shd w:val="clear" w:color="auto" w:fill="auto"/>
            <w:noWrap/>
            <w:vAlign w:val="bottom"/>
            <w:hideMark/>
          </w:tcPr>
          <w:p w:rsidR="00670D4D" w:rsidRPr="009F0E09" w:rsidP="00E9507C" w14:paraId="40E58159" w14:textId="77777777">
            <w:pPr>
              <w:rPr>
                <w:color w:val="000000"/>
                <w:kern w:val="0"/>
              </w:rPr>
            </w:pPr>
            <w:r w:rsidRPr="009F0E09">
              <w:rPr>
                <w:color w:val="000000"/>
                <w:kern w:val="0"/>
              </w:rPr>
              <w:t>BEA090 </w:t>
            </w:r>
          </w:p>
        </w:tc>
        <w:tc>
          <w:tcPr>
            <w:tcW w:w="4950" w:type="dxa"/>
            <w:tcBorders>
              <w:top w:val="nil"/>
              <w:left w:val="nil"/>
              <w:bottom w:val="nil"/>
              <w:right w:val="nil"/>
            </w:tcBorders>
            <w:shd w:val="clear" w:color="auto" w:fill="auto"/>
            <w:noWrap/>
            <w:vAlign w:val="bottom"/>
            <w:hideMark/>
          </w:tcPr>
          <w:p w:rsidR="00670D4D" w:rsidRPr="009F0E09" w:rsidP="00E9507C" w14:paraId="3FA0133E" w14:textId="77777777">
            <w:pPr>
              <w:rPr>
                <w:color w:val="000000"/>
                <w:kern w:val="0"/>
              </w:rPr>
            </w:pPr>
            <w:r w:rsidRPr="009F0E09">
              <w:rPr>
                <w:color w:val="000000"/>
                <w:kern w:val="0"/>
              </w:rPr>
              <w:t>Little Rock-North Little Rock, AR</w:t>
            </w:r>
          </w:p>
        </w:tc>
        <w:tc>
          <w:tcPr>
            <w:tcW w:w="2024" w:type="dxa"/>
            <w:tcBorders>
              <w:top w:val="nil"/>
              <w:left w:val="nil"/>
              <w:bottom w:val="nil"/>
              <w:right w:val="nil"/>
            </w:tcBorders>
            <w:shd w:val="clear" w:color="auto" w:fill="auto"/>
            <w:noWrap/>
            <w:vAlign w:val="bottom"/>
            <w:hideMark/>
          </w:tcPr>
          <w:p w:rsidR="00670D4D" w:rsidRPr="009F0E09" w:rsidP="00E9507C" w14:paraId="7B0EF82D" w14:textId="77777777">
            <w:pPr>
              <w:ind w:right="-604" w:firstLine="158"/>
              <w:rPr>
                <w:color w:val="000000"/>
                <w:kern w:val="0"/>
              </w:rPr>
            </w:pPr>
            <w:r w:rsidRPr="009F0E09">
              <w:rPr>
                <w:color w:val="000000"/>
                <w:kern w:val="0"/>
              </w:rPr>
              <w:t>C  </w:t>
            </w:r>
          </w:p>
        </w:tc>
      </w:tr>
      <w:tr w14:paraId="655C1B65"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5013E09" w14:textId="77777777">
            <w:pPr>
              <w:ind w:hanging="378"/>
              <w:jc w:val="center"/>
              <w:rPr>
                <w:color w:val="000000"/>
                <w:kern w:val="0"/>
              </w:rPr>
            </w:pPr>
            <w:r w:rsidRPr="009F0E09">
              <w:rPr>
                <w:color w:val="000000"/>
                <w:kern w:val="0"/>
              </w:rPr>
              <w:t>WPQP989</w:t>
            </w:r>
          </w:p>
        </w:tc>
        <w:tc>
          <w:tcPr>
            <w:tcW w:w="1530" w:type="dxa"/>
            <w:tcBorders>
              <w:top w:val="nil"/>
              <w:left w:val="nil"/>
              <w:bottom w:val="nil"/>
              <w:right w:val="nil"/>
            </w:tcBorders>
            <w:shd w:val="clear" w:color="auto" w:fill="auto"/>
            <w:noWrap/>
            <w:vAlign w:val="bottom"/>
            <w:hideMark/>
          </w:tcPr>
          <w:p w:rsidR="00670D4D" w:rsidRPr="009F0E09" w:rsidP="00E9507C" w14:paraId="6BB5A83F" w14:textId="77777777">
            <w:pPr>
              <w:rPr>
                <w:color w:val="000000"/>
                <w:kern w:val="0"/>
              </w:rPr>
            </w:pPr>
            <w:r w:rsidRPr="009F0E09">
              <w:rPr>
                <w:color w:val="000000"/>
                <w:kern w:val="0"/>
              </w:rPr>
              <w:t>BEA094 </w:t>
            </w:r>
          </w:p>
        </w:tc>
        <w:tc>
          <w:tcPr>
            <w:tcW w:w="4950" w:type="dxa"/>
            <w:tcBorders>
              <w:top w:val="nil"/>
              <w:left w:val="nil"/>
              <w:bottom w:val="nil"/>
              <w:right w:val="nil"/>
            </w:tcBorders>
            <w:shd w:val="clear" w:color="auto" w:fill="auto"/>
            <w:noWrap/>
            <w:vAlign w:val="bottom"/>
            <w:hideMark/>
          </w:tcPr>
          <w:p w:rsidR="00670D4D" w:rsidRPr="009F0E09" w:rsidP="00E9507C" w14:paraId="330475F1" w14:textId="77777777">
            <w:pPr>
              <w:rPr>
                <w:color w:val="000000"/>
                <w:kern w:val="0"/>
              </w:rPr>
            </w:pPr>
            <w:r w:rsidRPr="009F0E09">
              <w:rPr>
                <w:color w:val="000000"/>
                <w:kern w:val="0"/>
              </w:rPr>
              <w:t>Springfield, MO</w:t>
            </w:r>
          </w:p>
        </w:tc>
        <w:tc>
          <w:tcPr>
            <w:tcW w:w="2024" w:type="dxa"/>
            <w:tcBorders>
              <w:top w:val="nil"/>
              <w:left w:val="nil"/>
              <w:bottom w:val="nil"/>
              <w:right w:val="nil"/>
            </w:tcBorders>
            <w:shd w:val="clear" w:color="auto" w:fill="auto"/>
            <w:noWrap/>
            <w:vAlign w:val="bottom"/>
            <w:hideMark/>
          </w:tcPr>
          <w:p w:rsidR="00670D4D" w:rsidRPr="009F0E09" w:rsidP="00E9507C" w14:paraId="4D2D7E89" w14:textId="77777777">
            <w:pPr>
              <w:ind w:right="-604" w:firstLine="158"/>
              <w:rPr>
                <w:color w:val="000000"/>
                <w:kern w:val="0"/>
              </w:rPr>
            </w:pPr>
            <w:r w:rsidRPr="009F0E09">
              <w:rPr>
                <w:color w:val="000000"/>
                <w:kern w:val="0"/>
              </w:rPr>
              <w:t>B  </w:t>
            </w:r>
          </w:p>
        </w:tc>
      </w:tr>
      <w:tr w14:paraId="4FAE96A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993D26D" w14:textId="77777777">
            <w:pPr>
              <w:ind w:hanging="378"/>
              <w:jc w:val="center"/>
              <w:rPr>
                <w:color w:val="000000"/>
                <w:kern w:val="0"/>
              </w:rPr>
            </w:pPr>
            <w:r w:rsidRPr="009F0E09">
              <w:rPr>
                <w:color w:val="000000"/>
                <w:kern w:val="0"/>
              </w:rPr>
              <w:t>WPQP990</w:t>
            </w:r>
          </w:p>
        </w:tc>
        <w:tc>
          <w:tcPr>
            <w:tcW w:w="1530" w:type="dxa"/>
            <w:tcBorders>
              <w:top w:val="nil"/>
              <w:left w:val="nil"/>
              <w:bottom w:val="nil"/>
              <w:right w:val="nil"/>
            </w:tcBorders>
            <w:shd w:val="clear" w:color="auto" w:fill="auto"/>
            <w:noWrap/>
            <w:vAlign w:val="bottom"/>
            <w:hideMark/>
          </w:tcPr>
          <w:p w:rsidR="00670D4D" w:rsidRPr="009F0E09" w:rsidP="00E9507C" w14:paraId="56FC662E" w14:textId="77777777">
            <w:pPr>
              <w:rPr>
                <w:color w:val="000000"/>
                <w:kern w:val="0"/>
              </w:rPr>
            </w:pPr>
            <w:r w:rsidRPr="009F0E09">
              <w:rPr>
                <w:color w:val="000000"/>
                <w:kern w:val="0"/>
              </w:rPr>
              <w:t>BEA094 </w:t>
            </w:r>
          </w:p>
        </w:tc>
        <w:tc>
          <w:tcPr>
            <w:tcW w:w="4950" w:type="dxa"/>
            <w:tcBorders>
              <w:top w:val="nil"/>
              <w:left w:val="nil"/>
              <w:bottom w:val="nil"/>
              <w:right w:val="nil"/>
            </w:tcBorders>
            <w:shd w:val="clear" w:color="auto" w:fill="auto"/>
            <w:noWrap/>
            <w:vAlign w:val="bottom"/>
            <w:hideMark/>
          </w:tcPr>
          <w:p w:rsidR="00670D4D" w:rsidRPr="009F0E09" w:rsidP="00E9507C" w14:paraId="2BE8D099" w14:textId="77777777">
            <w:pPr>
              <w:rPr>
                <w:color w:val="000000"/>
                <w:kern w:val="0"/>
              </w:rPr>
            </w:pPr>
            <w:r w:rsidRPr="009F0E09">
              <w:rPr>
                <w:color w:val="000000"/>
                <w:kern w:val="0"/>
              </w:rPr>
              <w:t>Springfield, MO</w:t>
            </w:r>
          </w:p>
        </w:tc>
        <w:tc>
          <w:tcPr>
            <w:tcW w:w="2024" w:type="dxa"/>
            <w:tcBorders>
              <w:top w:val="nil"/>
              <w:left w:val="nil"/>
              <w:bottom w:val="nil"/>
              <w:right w:val="nil"/>
            </w:tcBorders>
            <w:shd w:val="clear" w:color="auto" w:fill="auto"/>
            <w:noWrap/>
            <w:vAlign w:val="bottom"/>
            <w:hideMark/>
          </w:tcPr>
          <w:p w:rsidR="00670D4D" w:rsidRPr="009F0E09" w:rsidP="00E9507C" w14:paraId="1D9747EA" w14:textId="77777777">
            <w:pPr>
              <w:ind w:right="-604" w:firstLine="158"/>
              <w:rPr>
                <w:color w:val="000000"/>
                <w:kern w:val="0"/>
              </w:rPr>
            </w:pPr>
            <w:r w:rsidRPr="009F0E09">
              <w:rPr>
                <w:color w:val="000000"/>
                <w:kern w:val="0"/>
              </w:rPr>
              <w:t>C  </w:t>
            </w:r>
          </w:p>
        </w:tc>
      </w:tr>
      <w:tr w14:paraId="6A3D5BB5"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7D74D4D" w14:textId="77777777">
            <w:pPr>
              <w:ind w:hanging="378"/>
              <w:jc w:val="center"/>
              <w:rPr>
                <w:color w:val="000000"/>
                <w:kern w:val="0"/>
              </w:rPr>
            </w:pPr>
            <w:r w:rsidRPr="009F0E09">
              <w:rPr>
                <w:color w:val="000000"/>
                <w:kern w:val="0"/>
              </w:rPr>
              <w:t>WPQP995</w:t>
            </w:r>
          </w:p>
        </w:tc>
        <w:tc>
          <w:tcPr>
            <w:tcW w:w="1530" w:type="dxa"/>
            <w:tcBorders>
              <w:top w:val="nil"/>
              <w:left w:val="nil"/>
              <w:bottom w:val="nil"/>
              <w:right w:val="nil"/>
            </w:tcBorders>
            <w:shd w:val="clear" w:color="auto" w:fill="auto"/>
            <w:noWrap/>
            <w:vAlign w:val="bottom"/>
            <w:hideMark/>
          </w:tcPr>
          <w:p w:rsidR="00670D4D" w:rsidRPr="009F0E09" w:rsidP="00E9507C" w14:paraId="19BD76BD" w14:textId="77777777">
            <w:pPr>
              <w:rPr>
                <w:color w:val="000000"/>
                <w:kern w:val="0"/>
              </w:rPr>
            </w:pPr>
            <w:r w:rsidRPr="009F0E09">
              <w:rPr>
                <w:color w:val="000000"/>
                <w:kern w:val="0"/>
              </w:rPr>
              <w:t>BEA100 </w:t>
            </w:r>
          </w:p>
        </w:tc>
        <w:tc>
          <w:tcPr>
            <w:tcW w:w="4950" w:type="dxa"/>
            <w:tcBorders>
              <w:top w:val="nil"/>
              <w:left w:val="nil"/>
              <w:bottom w:val="nil"/>
              <w:right w:val="nil"/>
            </w:tcBorders>
            <w:shd w:val="clear" w:color="auto" w:fill="auto"/>
            <w:noWrap/>
            <w:vAlign w:val="bottom"/>
            <w:hideMark/>
          </w:tcPr>
          <w:p w:rsidR="00670D4D" w:rsidRPr="009F0E09" w:rsidP="00E9507C" w14:paraId="1480FC91" w14:textId="77777777">
            <w:pPr>
              <w:rPr>
                <w:color w:val="000000"/>
                <w:kern w:val="0"/>
              </w:rPr>
            </w:pPr>
            <w:r w:rsidRPr="009F0E09">
              <w:rPr>
                <w:color w:val="000000"/>
                <w:kern w:val="0"/>
              </w:rPr>
              <w:t>Des Moines, IA-IL-MO</w:t>
            </w:r>
          </w:p>
        </w:tc>
        <w:tc>
          <w:tcPr>
            <w:tcW w:w="2024" w:type="dxa"/>
            <w:tcBorders>
              <w:top w:val="nil"/>
              <w:left w:val="nil"/>
              <w:bottom w:val="nil"/>
              <w:right w:val="nil"/>
            </w:tcBorders>
            <w:shd w:val="clear" w:color="auto" w:fill="auto"/>
            <w:noWrap/>
            <w:vAlign w:val="bottom"/>
            <w:hideMark/>
          </w:tcPr>
          <w:p w:rsidR="00670D4D" w:rsidRPr="009F0E09" w:rsidP="00E9507C" w14:paraId="3365FA3A" w14:textId="77777777">
            <w:pPr>
              <w:ind w:right="-604" w:firstLine="158"/>
              <w:rPr>
                <w:color w:val="000000"/>
                <w:kern w:val="0"/>
              </w:rPr>
            </w:pPr>
            <w:r w:rsidRPr="009F0E09">
              <w:rPr>
                <w:color w:val="000000"/>
                <w:kern w:val="0"/>
              </w:rPr>
              <w:t>B  </w:t>
            </w:r>
          </w:p>
        </w:tc>
      </w:tr>
      <w:tr w14:paraId="115FE63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EF42A63" w14:textId="77777777">
            <w:pPr>
              <w:ind w:hanging="378"/>
              <w:jc w:val="center"/>
              <w:rPr>
                <w:color w:val="000000"/>
                <w:kern w:val="0"/>
              </w:rPr>
            </w:pPr>
            <w:r w:rsidRPr="009F0E09">
              <w:rPr>
                <w:color w:val="000000"/>
                <w:kern w:val="0"/>
              </w:rPr>
              <w:t>WPQP996</w:t>
            </w:r>
          </w:p>
        </w:tc>
        <w:tc>
          <w:tcPr>
            <w:tcW w:w="1530" w:type="dxa"/>
            <w:tcBorders>
              <w:top w:val="nil"/>
              <w:left w:val="nil"/>
              <w:bottom w:val="nil"/>
              <w:right w:val="nil"/>
            </w:tcBorders>
            <w:shd w:val="clear" w:color="auto" w:fill="auto"/>
            <w:noWrap/>
            <w:vAlign w:val="bottom"/>
            <w:hideMark/>
          </w:tcPr>
          <w:p w:rsidR="00670D4D" w:rsidRPr="009F0E09" w:rsidP="00E9507C" w14:paraId="080AE692" w14:textId="77777777">
            <w:pPr>
              <w:rPr>
                <w:color w:val="000000"/>
                <w:kern w:val="0"/>
              </w:rPr>
            </w:pPr>
            <w:r w:rsidRPr="009F0E09">
              <w:rPr>
                <w:color w:val="000000"/>
                <w:kern w:val="0"/>
              </w:rPr>
              <w:t>BEA100 </w:t>
            </w:r>
          </w:p>
        </w:tc>
        <w:tc>
          <w:tcPr>
            <w:tcW w:w="4950" w:type="dxa"/>
            <w:tcBorders>
              <w:top w:val="nil"/>
              <w:left w:val="nil"/>
              <w:bottom w:val="nil"/>
              <w:right w:val="nil"/>
            </w:tcBorders>
            <w:shd w:val="clear" w:color="auto" w:fill="auto"/>
            <w:noWrap/>
            <w:vAlign w:val="bottom"/>
            <w:hideMark/>
          </w:tcPr>
          <w:p w:rsidR="00670D4D" w:rsidRPr="009F0E09" w:rsidP="00E9507C" w14:paraId="253C10E9" w14:textId="77777777">
            <w:pPr>
              <w:rPr>
                <w:color w:val="000000"/>
                <w:kern w:val="0"/>
              </w:rPr>
            </w:pPr>
            <w:r w:rsidRPr="009F0E09">
              <w:rPr>
                <w:color w:val="000000"/>
                <w:kern w:val="0"/>
              </w:rPr>
              <w:t>Des Moines, IA-IL-MO</w:t>
            </w:r>
          </w:p>
        </w:tc>
        <w:tc>
          <w:tcPr>
            <w:tcW w:w="2024" w:type="dxa"/>
            <w:tcBorders>
              <w:top w:val="nil"/>
              <w:left w:val="nil"/>
              <w:bottom w:val="nil"/>
              <w:right w:val="nil"/>
            </w:tcBorders>
            <w:shd w:val="clear" w:color="auto" w:fill="auto"/>
            <w:noWrap/>
            <w:vAlign w:val="bottom"/>
            <w:hideMark/>
          </w:tcPr>
          <w:p w:rsidR="00670D4D" w:rsidRPr="009F0E09" w:rsidP="00E9507C" w14:paraId="0C617205" w14:textId="77777777">
            <w:pPr>
              <w:ind w:right="-604" w:firstLine="158"/>
              <w:rPr>
                <w:color w:val="000000"/>
                <w:kern w:val="0"/>
              </w:rPr>
            </w:pPr>
            <w:r w:rsidRPr="009F0E09">
              <w:rPr>
                <w:color w:val="000000"/>
                <w:kern w:val="0"/>
              </w:rPr>
              <w:t>C  </w:t>
            </w:r>
          </w:p>
        </w:tc>
      </w:tr>
      <w:tr w14:paraId="7522014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70F6888" w14:textId="77777777">
            <w:pPr>
              <w:ind w:hanging="378"/>
              <w:jc w:val="center"/>
              <w:rPr>
                <w:color w:val="000000"/>
                <w:kern w:val="0"/>
              </w:rPr>
            </w:pPr>
            <w:r w:rsidRPr="009F0E09">
              <w:rPr>
                <w:color w:val="000000"/>
                <w:kern w:val="0"/>
              </w:rPr>
              <w:t>WPQP997</w:t>
            </w:r>
          </w:p>
        </w:tc>
        <w:tc>
          <w:tcPr>
            <w:tcW w:w="1530" w:type="dxa"/>
            <w:tcBorders>
              <w:top w:val="nil"/>
              <w:left w:val="nil"/>
              <w:bottom w:val="nil"/>
              <w:right w:val="nil"/>
            </w:tcBorders>
            <w:shd w:val="clear" w:color="auto" w:fill="auto"/>
            <w:noWrap/>
            <w:vAlign w:val="bottom"/>
            <w:hideMark/>
          </w:tcPr>
          <w:p w:rsidR="00670D4D" w:rsidRPr="009F0E09" w:rsidP="00E9507C" w14:paraId="1529E4C1" w14:textId="77777777">
            <w:pPr>
              <w:rPr>
                <w:color w:val="000000"/>
                <w:kern w:val="0"/>
              </w:rPr>
            </w:pPr>
            <w:r w:rsidRPr="009F0E09">
              <w:rPr>
                <w:color w:val="000000"/>
                <w:kern w:val="0"/>
              </w:rPr>
              <w:t>BEA101 </w:t>
            </w:r>
          </w:p>
        </w:tc>
        <w:tc>
          <w:tcPr>
            <w:tcW w:w="4950" w:type="dxa"/>
            <w:tcBorders>
              <w:top w:val="nil"/>
              <w:left w:val="nil"/>
              <w:bottom w:val="nil"/>
              <w:right w:val="nil"/>
            </w:tcBorders>
            <w:shd w:val="clear" w:color="auto" w:fill="auto"/>
            <w:noWrap/>
            <w:vAlign w:val="bottom"/>
            <w:hideMark/>
          </w:tcPr>
          <w:p w:rsidR="00670D4D" w:rsidRPr="009F0E09" w:rsidP="00E9507C" w14:paraId="03396E33" w14:textId="77777777">
            <w:pPr>
              <w:rPr>
                <w:color w:val="000000"/>
                <w:kern w:val="0"/>
              </w:rPr>
            </w:pPr>
            <w:r w:rsidRPr="009F0E09">
              <w:rPr>
                <w:color w:val="000000"/>
                <w:kern w:val="0"/>
              </w:rPr>
              <w:t>Peoria-Pekin, IL</w:t>
            </w:r>
          </w:p>
        </w:tc>
        <w:tc>
          <w:tcPr>
            <w:tcW w:w="2024" w:type="dxa"/>
            <w:tcBorders>
              <w:top w:val="nil"/>
              <w:left w:val="nil"/>
              <w:bottom w:val="nil"/>
              <w:right w:val="nil"/>
            </w:tcBorders>
            <w:shd w:val="clear" w:color="auto" w:fill="auto"/>
            <w:noWrap/>
            <w:vAlign w:val="bottom"/>
            <w:hideMark/>
          </w:tcPr>
          <w:p w:rsidR="00670D4D" w:rsidRPr="009F0E09" w:rsidP="00E9507C" w14:paraId="4D4542D7" w14:textId="77777777">
            <w:pPr>
              <w:ind w:right="-604" w:firstLine="158"/>
              <w:rPr>
                <w:color w:val="000000"/>
                <w:kern w:val="0"/>
              </w:rPr>
            </w:pPr>
            <w:r w:rsidRPr="009F0E09">
              <w:rPr>
                <w:color w:val="000000"/>
                <w:kern w:val="0"/>
              </w:rPr>
              <w:t>B  </w:t>
            </w:r>
          </w:p>
        </w:tc>
      </w:tr>
      <w:tr w14:paraId="2C9DF58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498FDF4" w14:textId="77777777">
            <w:pPr>
              <w:ind w:hanging="378"/>
              <w:jc w:val="center"/>
              <w:rPr>
                <w:color w:val="000000"/>
                <w:kern w:val="0"/>
              </w:rPr>
            </w:pPr>
            <w:r w:rsidRPr="009F0E09">
              <w:rPr>
                <w:color w:val="000000"/>
                <w:kern w:val="0"/>
              </w:rPr>
              <w:t>WPQP998</w:t>
            </w:r>
          </w:p>
        </w:tc>
        <w:tc>
          <w:tcPr>
            <w:tcW w:w="1530" w:type="dxa"/>
            <w:tcBorders>
              <w:top w:val="nil"/>
              <w:left w:val="nil"/>
              <w:bottom w:val="nil"/>
              <w:right w:val="nil"/>
            </w:tcBorders>
            <w:shd w:val="clear" w:color="auto" w:fill="auto"/>
            <w:noWrap/>
            <w:vAlign w:val="bottom"/>
            <w:hideMark/>
          </w:tcPr>
          <w:p w:rsidR="00670D4D" w:rsidRPr="009F0E09" w:rsidP="00E9507C" w14:paraId="6C5353C7" w14:textId="77777777">
            <w:pPr>
              <w:rPr>
                <w:color w:val="000000"/>
                <w:kern w:val="0"/>
              </w:rPr>
            </w:pPr>
            <w:r w:rsidRPr="009F0E09">
              <w:rPr>
                <w:color w:val="000000"/>
                <w:kern w:val="0"/>
              </w:rPr>
              <w:t>BEA101 </w:t>
            </w:r>
          </w:p>
        </w:tc>
        <w:tc>
          <w:tcPr>
            <w:tcW w:w="4950" w:type="dxa"/>
            <w:tcBorders>
              <w:top w:val="nil"/>
              <w:left w:val="nil"/>
              <w:bottom w:val="nil"/>
              <w:right w:val="nil"/>
            </w:tcBorders>
            <w:shd w:val="clear" w:color="auto" w:fill="auto"/>
            <w:noWrap/>
            <w:vAlign w:val="bottom"/>
            <w:hideMark/>
          </w:tcPr>
          <w:p w:rsidR="00670D4D" w:rsidRPr="009F0E09" w:rsidP="00E9507C" w14:paraId="53C1E6D6" w14:textId="77777777">
            <w:pPr>
              <w:rPr>
                <w:color w:val="000000"/>
                <w:kern w:val="0"/>
              </w:rPr>
            </w:pPr>
            <w:r w:rsidRPr="009F0E09">
              <w:rPr>
                <w:color w:val="000000"/>
                <w:kern w:val="0"/>
              </w:rPr>
              <w:t>Peoria-Pekin, IL</w:t>
            </w:r>
          </w:p>
        </w:tc>
        <w:tc>
          <w:tcPr>
            <w:tcW w:w="2024" w:type="dxa"/>
            <w:tcBorders>
              <w:top w:val="nil"/>
              <w:left w:val="nil"/>
              <w:bottom w:val="nil"/>
              <w:right w:val="nil"/>
            </w:tcBorders>
            <w:shd w:val="clear" w:color="auto" w:fill="auto"/>
            <w:noWrap/>
            <w:vAlign w:val="bottom"/>
            <w:hideMark/>
          </w:tcPr>
          <w:p w:rsidR="00670D4D" w:rsidRPr="009F0E09" w:rsidP="00E9507C" w14:paraId="50C18F29" w14:textId="77777777">
            <w:pPr>
              <w:ind w:right="-604" w:firstLine="158"/>
              <w:rPr>
                <w:color w:val="000000"/>
                <w:kern w:val="0"/>
              </w:rPr>
            </w:pPr>
            <w:r w:rsidRPr="009F0E09">
              <w:rPr>
                <w:color w:val="000000"/>
                <w:kern w:val="0"/>
              </w:rPr>
              <w:t>C  </w:t>
            </w:r>
          </w:p>
        </w:tc>
      </w:tr>
      <w:tr w14:paraId="1F450427"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2E22460" w14:textId="77777777">
            <w:pPr>
              <w:ind w:hanging="378"/>
              <w:jc w:val="center"/>
              <w:rPr>
                <w:color w:val="000000"/>
                <w:kern w:val="0"/>
              </w:rPr>
            </w:pPr>
            <w:r w:rsidRPr="009F0E09">
              <w:rPr>
                <w:color w:val="000000"/>
                <w:kern w:val="0"/>
              </w:rPr>
              <w:t>WPQP999</w:t>
            </w:r>
          </w:p>
        </w:tc>
        <w:tc>
          <w:tcPr>
            <w:tcW w:w="1530" w:type="dxa"/>
            <w:tcBorders>
              <w:top w:val="nil"/>
              <w:left w:val="nil"/>
              <w:bottom w:val="nil"/>
              <w:right w:val="nil"/>
            </w:tcBorders>
            <w:shd w:val="clear" w:color="auto" w:fill="auto"/>
            <w:noWrap/>
            <w:vAlign w:val="bottom"/>
            <w:hideMark/>
          </w:tcPr>
          <w:p w:rsidR="00670D4D" w:rsidRPr="009F0E09" w:rsidP="00E9507C" w14:paraId="789A3DE7" w14:textId="77777777">
            <w:pPr>
              <w:rPr>
                <w:color w:val="000000"/>
                <w:kern w:val="0"/>
              </w:rPr>
            </w:pPr>
            <w:r w:rsidRPr="009F0E09">
              <w:rPr>
                <w:color w:val="000000"/>
                <w:kern w:val="0"/>
              </w:rPr>
              <w:t>BEA102 </w:t>
            </w:r>
          </w:p>
        </w:tc>
        <w:tc>
          <w:tcPr>
            <w:tcW w:w="4950" w:type="dxa"/>
            <w:tcBorders>
              <w:top w:val="nil"/>
              <w:left w:val="nil"/>
              <w:bottom w:val="nil"/>
              <w:right w:val="nil"/>
            </w:tcBorders>
            <w:shd w:val="clear" w:color="auto" w:fill="auto"/>
            <w:noWrap/>
            <w:vAlign w:val="bottom"/>
            <w:hideMark/>
          </w:tcPr>
          <w:p w:rsidR="00670D4D" w:rsidRPr="009F0E09" w:rsidP="00E9507C" w14:paraId="5045CE9D" w14:textId="77777777">
            <w:pPr>
              <w:rPr>
                <w:color w:val="000000"/>
                <w:kern w:val="0"/>
              </w:rPr>
            </w:pPr>
            <w:r w:rsidRPr="009F0E09">
              <w:rPr>
                <w:color w:val="000000"/>
                <w:kern w:val="0"/>
              </w:rPr>
              <w:t>Davenport-Moline-Rock Island, IA-IL</w:t>
            </w:r>
          </w:p>
        </w:tc>
        <w:tc>
          <w:tcPr>
            <w:tcW w:w="2024" w:type="dxa"/>
            <w:tcBorders>
              <w:top w:val="nil"/>
              <w:left w:val="nil"/>
              <w:bottom w:val="nil"/>
              <w:right w:val="nil"/>
            </w:tcBorders>
            <w:shd w:val="clear" w:color="auto" w:fill="auto"/>
            <w:noWrap/>
            <w:vAlign w:val="bottom"/>
            <w:hideMark/>
          </w:tcPr>
          <w:p w:rsidR="00670D4D" w:rsidRPr="009F0E09" w:rsidP="00E9507C" w14:paraId="21143514" w14:textId="77777777">
            <w:pPr>
              <w:ind w:right="-604" w:firstLine="158"/>
              <w:rPr>
                <w:color w:val="000000"/>
                <w:kern w:val="0"/>
              </w:rPr>
            </w:pPr>
            <w:r w:rsidRPr="009F0E09">
              <w:rPr>
                <w:color w:val="000000"/>
                <w:kern w:val="0"/>
              </w:rPr>
              <w:t>B  </w:t>
            </w:r>
          </w:p>
        </w:tc>
      </w:tr>
      <w:tr w14:paraId="4BD0609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5BD1560" w14:textId="77777777">
            <w:pPr>
              <w:ind w:hanging="378"/>
              <w:jc w:val="center"/>
              <w:rPr>
                <w:color w:val="000000"/>
                <w:kern w:val="0"/>
              </w:rPr>
            </w:pPr>
            <w:r w:rsidRPr="009F0E09">
              <w:rPr>
                <w:color w:val="000000"/>
                <w:kern w:val="0"/>
              </w:rPr>
              <w:t>WPQQ200</w:t>
            </w:r>
          </w:p>
        </w:tc>
        <w:tc>
          <w:tcPr>
            <w:tcW w:w="1530" w:type="dxa"/>
            <w:tcBorders>
              <w:top w:val="nil"/>
              <w:left w:val="nil"/>
              <w:bottom w:val="nil"/>
              <w:right w:val="nil"/>
            </w:tcBorders>
            <w:shd w:val="clear" w:color="auto" w:fill="auto"/>
            <w:noWrap/>
            <w:vAlign w:val="bottom"/>
            <w:hideMark/>
          </w:tcPr>
          <w:p w:rsidR="00670D4D" w:rsidRPr="009F0E09" w:rsidP="00E9507C" w14:paraId="31E9C91C" w14:textId="77777777">
            <w:pPr>
              <w:rPr>
                <w:color w:val="000000"/>
                <w:kern w:val="0"/>
              </w:rPr>
            </w:pPr>
            <w:r w:rsidRPr="009F0E09">
              <w:rPr>
                <w:color w:val="000000"/>
                <w:kern w:val="0"/>
              </w:rPr>
              <w:t>BEA102 </w:t>
            </w:r>
          </w:p>
        </w:tc>
        <w:tc>
          <w:tcPr>
            <w:tcW w:w="4950" w:type="dxa"/>
            <w:tcBorders>
              <w:top w:val="nil"/>
              <w:left w:val="nil"/>
              <w:bottom w:val="nil"/>
              <w:right w:val="nil"/>
            </w:tcBorders>
            <w:shd w:val="clear" w:color="auto" w:fill="auto"/>
            <w:noWrap/>
            <w:vAlign w:val="bottom"/>
            <w:hideMark/>
          </w:tcPr>
          <w:p w:rsidR="00670D4D" w:rsidRPr="009F0E09" w:rsidP="00E9507C" w14:paraId="70D50AB7" w14:textId="77777777">
            <w:pPr>
              <w:rPr>
                <w:color w:val="000000"/>
                <w:kern w:val="0"/>
              </w:rPr>
            </w:pPr>
            <w:r w:rsidRPr="009F0E09">
              <w:rPr>
                <w:color w:val="000000"/>
                <w:kern w:val="0"/>
              </w:rPr>
              <w:t>Davenport-Moline-Rock Island, IA-IL</w:t>
            </w:r>
          </w:p>
        </w:tc>
        <w:tc>
          <w:tcPr>
            <w:tcW w:w="2024" w:type="dxa"/>
            <w:tcBorders>
              <w:top w:val="nil"/>
              <w:left w:val="nil"/>
              <w:bottom w:val="nil"/>
              <w:right w:val="nil"/>
            </w:tcBorders>
            <w:shd w:val="clear" w:color="auto" w:fill="auto"/>
            <w:noWrap/>
            <w:vAlign w:val="bottom"/>
            <w:hideMark/>
          </w:tcPr>
          <w:p w:rsidR="00670D4D" w:rsidRPr="009F0E09" w:rsidP="00E9507C" w14:paraId="3808FCA0" w14:textId="77777777">
            <w:pPr>
              <w:ind w:right="-604" w:firstLine="158"/>
              <w:rPr>
                <w:color w:val="000000"/>
                <w:kern w:val="0"/>
              </w:rPr>
            </w:pPr>
            <w:r w:rsidRPr="009F0E09">
              <w:rPr>
                <w:color w:val="000000"/>
                <w:kern w:val="0"/>
              </w:rPr>
              <w:t>C  </w:t>
            </w:r>
          </w:p>
        </w:tc>
      </w:tr>
      <w:tr w14:paraId="47D247E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415575F" w14:textId="77777777">
            <w:pPr>
              <w:ind w:hanging="378"/>
              <w:jc w:val="center"/>
              <w:rPr>
                <w:color w:val="000000"/>
                <w:kern w:val="0"/>
              </w:rPr>
            </w:pPr>
            <w:r w:rsidRPr="009F0E09">
              <w:rPr>
                <w:color w:val="000000"/>
                <w:kern w:val="0"/>
              </w:rPr>
              <w:t>WPQQ201</w:t>
            </w:r>
          </w:p>
        </w:tc>
        <w:tc>
          <w:tcPr>
            <w:tcW w:w="1530" w:type="dxa"/>
            <w:tcBorders>
              <w:top w:val="nil"/>
              <w:left w:val="nil"/>
              <w:bottom w:val="nil"/>
              <w:right w:val="nil"/>
            </w:tcBorders>
            <w:shd w:val="clear" w:color="auto" w:fill="auto"/>
            <w:noWrap/>
            <w:vAlign w:val="bottom"/>
            <w:hideMark/>
          </w:tcPr>
          <w:p w:rsidR="00670D4D" w:rsidRPr="009F0E09" w:rsidP="00E9507C" w14:paraId="11C58FF0" w14:textId="77777777">
            <w:pPr>
              <w:rPr>
                <w:color w:val="000000"/>
                <w:kern w:val="0"/>
              </w:rPr>
            </w:pPr>
            <w:r w:rsidRPr="009F0E09">
              <w:rPr>
                <w:color w:val="000000"/>
                <w:kern w:val="0"/>
              </w:rPr>
              <w:t>BEA104 </w:t>
            </w:r>
          </w:p>
        </w:tc>
        <w:tc>
          <w:tcPr>
            <w:tcW w:w="4950" w:type="dxa"/>
            <w:tcBorders>
              <w:top w:val="nil"/>
              <w:left w:val="nil"/>
              <w:bottom w:val="nil"/>
              <w:right w:val="nil"/>
            </w:tcBorders>
            <w:shd w:val="clear" w:color="auto" w:fill="auto"/>
            <w:noWrap/>
            <w:vAlign w:val="bottom"/>
            <w:hideMark/>
          </w:tcPr>
          <w:p w:rsidR="00670D4D" w:rsidRPr="009F0E09" w:rsidP="00E9507C" w14:paraId="632F950B" w14:textId="77777777">
            <w:pPr>
              <w:rPr>
                <w:color w:val="000000"/>
                <w:kern w:val="0"/>
              </w:rPr>
            </w:pPr>
            <w:r w:rsidRPr="009F0E09">
              <w:rPr>
                <w:color w:val="000000"/>
                <w:kern w:val="0"/>
              </w:rPr>
              <w:t>Madison, WI-IA-IL</w:t>
            </w:r>
          </w:p>
        </w:tc>
        <w:tc>
          <w:tcPr>
            <w:tcW w:w="2024" w:type="dxa"/>
            <w:tcBorders>
              <w:top w:val="nil"/>
              <w:left w:val="nil"/>
              <w:bottom w:val="nil"/>
              <w:right w:val="nil"/>
            </w:tcBorders>
            <w:shd w:val="clear" w:color="auto" w:fill="auto"/>
            <w:noWrap/>
            <w:vAlign w:val="bottom"/>
            <w:hideMark/>
          </w:tcPr>
          <w:p w:rsidR="00670D4D" w:rsidRPr="009F0E09" w:rsidP="00E9507C" w14:paraId="3375C34E" w14:textId="77777777">
            <w:pPr>
              <w:ind w:right="-604" w:firstLine="158"/>
              <w:rPr>
                <w:color w:val="000000"/>
                <w:kern w:val="0"/>
              </w:rPr>
            </w:pPr>
            <w:r w:rsidRPr="009F0E09">
              <w:rPr>
                <w:color w:val="000000"/>
                <w:kern w:val="0"/>
              </w:rPr>
              <w:t>B  </w:t>
            </w:r>
          </w:p>
        </w:tc>
      </w:tr>
      <w:tr w14:paraId="0574E45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91E189A" w14:textId="77777777">
            <w:pPr>
              <w:ind w:hanging="378"/>
              <w:jc w:val="center"/>
              <w:rPr>
                <w:color w:val="000000"/>
                <w:kern w:val="0"/>
              </w:rPr>
            </w:pPr>
            <w:r w:rsidRPr="009F0E09">
              <w:rPr>
                <w:color w:val="000000"/>
                <w:kern w:val="0"/>
              </w:rPr>
              <w:t>WPQQ202</w:t>
            </w:r>
          </w:p>
        </w:tc>
        <w:tc>
          <w:tcPr>
            <w:tcW w:w="1530" w:type="dxa"/>
            <w:tcBorders>
              <w:top w:val="nil"/>
              <w:left w:val="nil"/>
              <w:bottom w:val="nil"/>
              <w:right w:val="nil"/>
            </w:tcBorders>
            <w:shd w:val="clear" w:color="auto" w:fill="auto"/>
            <w:noWrap/>
            <w:vAlign w:val="bottom"/>
            <w:hideMark/>
          </w:tcPr>
          <w:p w:rsidR="00670D4D" w:rsidRPr="009F0E09" w:rsidP="00E9507C" w14:paraId="42A2AD0D" w14:textId="77777777">
            <w:pPr>
              <w:rPr>
                <w:color w:val="000000"/>
                <w:kern w:val="0"/>
              </w:rPr>
            </w:pPr>
            <w:r w:rsidRPr="009F0E09">
              <w:rPr>
                <w:color w:val="000000"/>
                <w:kern w:val="0"/>
              </w:rPr>
              <w:t>BEA104 </w:t>
            </w:r>
          </w:p>
        </w:tc>
        <w:tc>
          <w:tcPr>
            <w:tcW w:w="4950" w:type="dxa"/>
            <w:tcBorders>
              <w:top w:val="nil"/>
              <w:left w:val="nil"/>
              <w:bottom w:val="nil"/>
              <w:right w:val="nil"/>
            </w:tcBorders>
            <w:shd w:val="clear" w:color="auto" w:fill="auto"/>
            <w:noWrap/>
            <w:vAlign w:val="bottom"/>
            <w:hideMark/>
          </w:tcPr>
          <w:p w:rsidR="00670D4D" w:rsidRPr="009F0E09" w:rsidP="00E9507C" w14:paraId="75D5B525" w14:textId="77777777">
            <w:pPr>
              <w:rPr>
                <w:color w:val="000000"/>
                <w:kern w:val="0"/>
              </w:rPr>
            </w:pPr>
            <w:r w:rsidRPr="009F0E09">
              <w:rPr>
                <w:color w:val="000000"/>
                <w:kern w:val="0"/>
              </w:rPr>
              <w:t>Madison, WI-IA-IL</w:t>
            </w:r>
          </w:p>
        </w:tc>
        <w:tc>
          <w:tcPr>
            <w:tcW w:w="2024" w:type="dxa"/>
            <w:tcBorders>
              <w:top w:val="nil"/>
              <w:left w:val="nil"/>
              <w:bottom w:val="nil"/>
              <w:right w:val="nil"/>
            </w:tcBorders>
            <w:shd w:val="clear" w:color="auto" w:fill="auto"/>
            <w:noWrap/>
            <w:vAlign w:val="bottom"/>
            <w:hideMark/>
          </w:tcPr>
          <w:p w:rsidR="00670D4D" w:rsidRPr="009F0E09" w:rsidP="00E9507C" w14:paraId="22933C16" w14:textId="77777777">
            <w:pPr>
              <w:ind w:right="-604" w:firstLine="158"/>
              <w:rPr>
                <w:color w:val="000000"/>
                <w:kern w:val="0"/>
              </w:rPr>
            </w:pPr>
            <w:r w:rsidRPr="009F0E09">
              <w:rPr>
                <w:color w:val="000000"/>
                <w:kern w:val="0"/>
              </w:rPr>
              <w:t>C  </w:t>
            </w:r>
          </w:p>
        </w:tc>
      </w:tr>
      <w:tr w14:paraId="465DB8E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068E154" w14:textId="77777777">
            <w:pPr>
              <w:ind w:hanging="378"/>
              <w:jc w:val="center"/>
              <w:rPr>
                <w:color w:val="000000"/>
                <w:kern w:val="0"/>
              </w:rPr>
            </w:pPr>
            <w:r w:rsidRPr="009F0E09">
              <w:rPr>
                <w:color w:val="000000"/>
                <w:kern w:val="0"/>
              </w:rPr>
              <w:t>WPQQ204</w:t>
            </w:r>
          </w:p>
        </w:tc>
        <w:tc>
          <w:tcPr>
            <w:tcW w:w="1530" w:type="dxa"/>
            <w:tcBorders>
              <w:top w:val="nil"/>
              <w:left w:val="nil"/>
              <w:bottom w:val="nil"/>
              <w:right w:val="nil"/>
            </w:tcBorders>
            <w:shd w:val="clear" w:color="auto" w:fill="auto"/>
            <w:noWrap/>
            <w:vAlign w:val="bottom"/>
            <w:hideMark/>
          </w:tcPr>
          <w:p w:rsidR="00670D4D" w:rsidRPr="009F0E09" w:rsidP="00E9507C" w14:paraId="029939CC" w14:textId="77777777">
            <w:pPr>
              <w:rPr>
                <w:color w:val="000000"/>
                <w:kern w:val="0"/>
              </w:rPr>
            </w:pPr>
            <w:r w:rsidRPr="009F0E09">
              <w:rPr>
                <w:color w:val="000000"/>
                <w:kern w:val="0"/>
              </w:rPr>
              <w:t>BEA116 </w:t>
            </w:r>
          </w:p>
        </w:tc>
        <w:tc>
          <w:tcPr>
            <w:tcW w:w="4950" w:type="dxa"/>
            <w:tcBorders>
              <w:top w:val="nil"/>
              <w:left w:val="nil"/>
              <w:bottom w:val="nil"/>
              <w:right w:val="nil"/>
            </w:tcBorders>
            <w:shd w:val="clear" w:color="auto" w:fill="auto"/>
            <w:noWrap/>
            <w:vAlign w:val="bottom"/>
            <w:hideMark/>
          </w:tcPr>
          <w:p w:rsidR="00670D4D" w:rsidRPr="009F0E09" w:rsidP="00E9507C" w14:paraId="4B4AF856" w14:textId="77777777">
            <w:pPr>
              <w:rPr>
                <w:color w:val="000000"/>
                <w:kern w:val="0"/>
              </w:rPr>
            </w:pPr>
            <w:r w:rsidRPr="009F0E09">
              <w:rPr>
                <w:color w:val="000000"/>
                <w:kern w:val="0"/>
              </w:rPr>
              <w:t>Sioux Falls, SD-IA-MN-NE</w:t>
            </w:r>
          </w:p>
        </w:tc>
        <w:tc>
          <w:tcPr>
            <w:tcW w:w="2024" w:type="dxa"/>
            <w:tcBorders>
              <w:top w:val="nil"/>
              <w:left w:val="nil"/>
              <w:bottom w:val="nil"/>
              <w:right w:val="nil"/>
            </w:tcBorders>
            <w:shd w:val="clear" w:color="auto" w:fill="auto"/>
            <w:noWrap/>
            <w:vAlign w:val="bottom"/>
            <w:hideMark/>
          </w:tcPr>
          <w:p w:rsidR="00670D4D" w:rsidRPr="009F0E09" w:rsidP="00E9507C" w14:paraId="1625E20D" w14:textId="77777777">
            <w:pPr>
              <w:ind w:right="-604" w:firstLine="158"/>
              <w:rPr>
                <w:color w:val="000000"/>
                <w:kern w:val="0"/>
              </w:rPr>
            </w:pPr>
            <w:r w:rsidRPr="009F0E09">
              <w:rPr>
                <w:color w:val="000000"/>
                <w:kern w:val="0"/>
              </w:rPr>
              <w:t>B  </w:t>
            </w:r>
          </w:p>
        </w:tc>
      </w:tr>
      <w:tr w14:paraId="0236FE4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48C62BF" w14:textId="77777777">
            <w:pPr>
              <w:ind w:hanging="378"/>
              <w:jc w:val="center"/>
              <w:rPr>
                <w:color w:val="000000"/>
                <w:kern w:val="0"/>
              </w:rPr>
            </w:pPr>
            <w:r w:rsidRPr="009F0E09">
              <w:rPr>
                <w:color w:val="000000"/>
                <w:kern w:val="0"/>
              </w:rPr>
              <w:t>WPQQ205</w:t>
            </w:r>
          </w:p>
        </w:tc>
        <w:tc>
          <w:tcPr>
            <w:tcW w:w="1530" w:type="dxa"/>
            <w:tcBorders>
              <w:top w:val="nil"/>
              <w:left w:val="nil"/>
              <w:bottom w:val="nil"/>
              <w:right w:val="nil"/>
            </w:tcBorders>
            <w:shd w:val="clear" w:color="auto" w:fill="auto"/>
            <w:noWrap/>
            <w:vAlign w:val="bottom"/>
            <w:hideMark/>
          </w:tcPr>
          <w:p w:rsidR="00670D4D" w:rsidRPr="009F0E09" w:rsidP="00E9507C" w14:paraId="68B4FC85" w14:textId="77777777">
            <w:pPr>
              <w:rPr>
                <w:color w:val="000000"/>
                <w:kern w:val="0"/>
              </w:rPr>
            </w:pPr>
            <w:r w:rsidRPr="009F0E09">
              <w:rPr>
                <w:color w:val="000000"/>
                <w:kern w:val="0"/>
              </w:rPr>
              <w:t>BEA116 </w:t>
            </w:r>
          </w:p>
        </w:tc>
        <w:tc>
          <w:tcPr>
            <w:tcW w:w="4950" w:type="dxa"/>
            <w:tcBorders>
              <w:top w:val="nil"/>
              <w:left w:val="nil"/>
              <w:bottom w:val="nil"/>
              <w:right w:val="nil"/>
            </w:tcBorders>
            <w:shd w:val="clear" w:color="auto" w:fill="auto"/>
            <w:noWrap/>
            <w:vAlign w:val="bottom"/>
            <w:hideMark/>
          </w:tcPr>
          <w:p w:rsidR="00670D4D" w:rsidRPr="009F0E09" w:rsidP="00E9507C" w14:paraId="024870EF" w14:textId="77777777">
            <w:pPr>
              <w:rPr>
                <w:color w:val="000000"/>
                <w:kern w:val="0"/>
              </w:rPr>
            </w:pPr>
            <w:r w:rsidRPr="009F0E09">
              <w:rPr>
                <w:color w:val="000000"/>
                <w:kern w:val="0"/>
              </w:rPr>
              <w:t>Sioux Falls, SD-IA-MN-NE</w:t>
            </w:r>
          </w:p>
        </w:tc>
        <w:tc>
          <w:tcPr>
            <w:tcW w:w="2024" w:type="dxa"/>
            <w:tcBorders>
              <w:top w:val="nil"/>
              <w:left w:val="nil"/>
              <w:bottom w:val="nil"/>
              <w:right w:val="nil"/>
            </w:tcBorders>
            <w:shd w:val="clear" w:color="auto" w:fill="auto"/>
            <w:noWrap/>
            <w:vAlign w:val="bottom"/>
            <w:hideMark/>
          </w:tcPr>
          <w:p w:rsidR="00670D4D" w:rsidRPr="009F0E09" w:rsidP="00E9507C" w14:paraId="3021228B" w14:textId="77777777">
            <w:pPr>
              <w:ind w:right="-604" w:firstLine="158"/>
              <w:rPr>
                <w:color w:val="000000"/>
                <w:kern w:val="0"/>
              </w:rPr>
            </w:pPr>
            <w:r w:rsidRPr="009F0E09">
              <w:rPr>
                <w:color w:val="000000"/>
                <w:kern w:val="0"/>
              </w:rPr>
              <w:t>C  </w:t>
            </w:r>
          </w:p>
        </w:tc>
      </w:tr>
      <w:tr w14:paraId="20AE11E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2C68540" w14:textId="77777777">
            <w:pPr>
              <w:ind w:hanging="378"/>
              <w:jc w:val="center"/>
              <w:rPr>
                <w:color w:val="000000"/>
                <w:kern w:val="0"/>
              </w:rPr>
            </w:pPr>
            <w:r w:rsidRPr="009F0E09">
              <w:rPr>
                <w:color w:val="000000"/>
                <w:kern w:val="0"/>
              </w:rPr>
              <w:t>WPQQ206</w:t>
            </w:r>
          </w:p>
        </w:tc>
        <w:tc>
          <w:tcPr>
            <w:tcW w:w="1530" w:type="dxa"/>
            <w:tcBorders>
              <w:top w:val="nil"/>
              <w:left w:val="nil"/>
              <w:bottom w:val="nil"/>
              <w:right w:val="nil"/>
            </w:tcBorders>
            <w:shd w:val="clear" w:color="auto" w:fill="auto"/>
            <w:noWrap/>
            <w:vAlign w:val="bottom"/>
            <w:hideMark/>
          </w:tcPr>
          <w:p w:rsidR="00670D4D" w:rsidRPr="009F0E09" w:rsidP="00E9507C" w14:paraId="64F2A159" w14:textId="77777777">
            <w:pPr>
              <w:rPr>
                <w:color w:val="000000"/>
                <w:kern w:val="0"/>
              </w:rPr>
            </w:pPr>
            <w:r w:rsidRPr="009F0E09">
              <w:rPr>
                <w:color w:val="000000"/>
                <w:kern w:val="0"/>
              </w:rPr>
              <w:t>BEA118 </w:t>
            </w:r>
          </w:p>
        </w:tc>
        <w:tc>
          <w:tcPr>
            <w:tcW w:w="4950" w:type="dxa"/>
            <w:tcBorders>
              <w:top w:val="nil"/>
              <w:left w:val="nil"/>
              <w:bottom w:val="nil"/>
              <w:right w:val="nil"/>
            </w:tcBorders>
            <w:shd w:val="clear" w:color="auto" w:fill="auto"/>
            <w:noWrap/>
            <w:vAlign w:val="bottom"/>
            <w:hideMark/>
          </w:tcPr>
          <w:p w:rsidR="00670D4D" w:rsidRPr="009F0E09" w:rsidP="00E9507C" w14:paraId="4B24AD8C" w14:textId="77777777">
            <w:pPr>
              <w:rPr>
                <w:color w:val="000000"/>
                <w:kern w:val="0"/>
              </w:rPr>
            </w:pPr>
            <w:r w:rsidRPr="009F0E09">
              <w:rPr>
                <w:color w:val="000000"/>
                <w:kern w:val="0"/>
              </w:rPr>
              <w:t>Omaha, NE-IA-MO</w:t>
            </w:r>
          </w:p>
        </w:tc>
        <w:tc>
          <w:tcPr>
            <w:tcW w:w="2024" w:type="dxa"/>
            <w:tcBorders>
              <w:top w:val="nil"/>
              <w:left w:val="nil"/>
              <w:bottom w:val="nil"/>
              <w:right w:val="nil"/>
            </w:tcBorders>
            <w:shd w:val="clear" w:color="auto" w:fill="auto"/>
            <w:noWrap/>
            <w:vAlign w:val="bottom"/>
            <w:hideMark/>
          </w:tcPr>
          <w:p w:rsidR="00670D4D" w:rsidRPr="009F0E09" w:rsidP="00E9507C" w14:paraId="5922A202" w14:textId="77777777">
            <w:pPr>
              <w:ind w:right="-604" w:firstLine="158"/>
              <w:rPr>
                <w:color w:val="000000"/>
                <w:kern w:val="0"/>
              </w:rPr>
            </w:pPr>
            <w:r w:rsidRPr="009F0E09">
              <w:rPr>
                <w:color w:val="000000"/>
                <w:kern w:val="0"/>
              </w:rPr>
              <w:t>B  </w:t>
            </w:r>
          </w:p>
        </w:tc>
      </w:tr>
      <w:tr w14:paraId="6EB156A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0F08E79" w14:textId="77777777">
            <w:pPr>
              <w:ind w:hanging="378"/>
              <w:jc w:val="center"/>
              <w:rPr>
                <w:color w:val="000000"/>
                <w:kern w:val="0"/>
              </w:rPr>
            </w:pPr>
            <w:r w:rsidRPr="009F0E09">
              <w:rPr>
                <w:color w:val="000000"/>
                <w:kern w:val="0"/>
              </w:rPr>
              <w:t>WPQQ207</w:t>
            </w:r>
          </w:p>
        </w:tc>
        <w:tc>
          <w:tcPr>
            <w:tcW w:w="1530" w:type="dxa"/>
            <w:tcBorders>
              <w:top w:val="nil"/>
              <w:left w:val="nil"/>
              <w:bottom w:val="nil"/>
              <w:right w:val="nil"/>
            </w:tcBorders>
            <w:shd w:val="clear" w:color="auto" w:fill="auto"/>
            <w:noWrap/>
            <w:vAlign w:val="bottom"/>
            <w:hideMark/>
          </w:tcPr>
          <w:p w:rsidR="00670D4D" w:rsidRPr="009F0E09" w:rsidP="00E9507C" w14:paraId="37969877" w14:textId="77777777">
            <w:pPr>
              <w:rPr>
                <w:color w:val="000000"/>
                <w:kern w:val="0"/>
              </w:rPr>
            </w:pPr>
            <w:r w:rsidRPr="009F0E09">
              <w:rPr>
                <w:color w:val="000000"/>
                <w:kern w:val="0"/>
              </w:rPr>
              <w:t>BEA118 </w:t>
            </w:r>
          </w:p>
        </w:tc>
        <w:tc>
          <w:tcPr>
            <w:tcW w:w="4950" w:type="dxa"/>
            <w:tcBorders>
              <w:top w:val="nil"/>
              <w:left w:val="nil"/>
              <w:bottom w:val="nil"/>
              <w:right w:val="nil"/>
            </w:tcBorders>
            <w:shd w:val="clear" w:color="auto" w:fill="auto"/>
            <w:noWrap/>
            <w:vAlign w:val="bottom"/>
            <w:hideMark/>
          </w:tcPr>
          <w:p w:rsidR="00670D4D" w:rsidRPr="009F0E09" w:rsidP="00E9507C" w14:paraId="2763E546" w14:textId="77777777">
            <w:pPr>
              <w:rPr>
                <w:color w:val="000000"/>
                <w:kern w:val="0"/>
              </w:rPr>
            </w:pPr>
            <w:r w:rsidRPr="009F0E09">
              <w:rPr>
                <w:color w:val="000000"/>
                <w:kern w:val="0"/>
              </w:rPr>
              <w:t>Omaha, NE-IA-MO</w:t>
            </w:r>
          </w:p>
        </w:tc>
        <w:tc>
          <w:tcPr>
            <w:tcW w:w="2024" w:type="dxa"/>
            <w:tcBorders>
              <w:top w:val="nil"/>
              <w:left w:val="nil"/>
              <w:bottom w:val="nil"/>
              <w:right w:val="nil"/>
            </w:tcBorders>
            <w:shd w:val="clear" w:color="auto" w:fill="auto"/>
            <w:noWrap/>
            <w:vAlign w:val="bottom"/>
            <w:hideMark/>
          </w:tcPr>
          <w:p w:rsidR="00670D4D" w:rsidRPr="009F0E09" w:rsidP="00E9507C" w14:paraId="3E5F7251" w14:textId="77777777">
            <w:pPr>
              <w:ind w:right="-604" w:firstLine="158"/>
              <w:rPr>
                <w:color w:val="000000"/>
                <w:kern w:val="0"/>
              </w:rPr>
            </w:pPr>
            <w:r w:rsidRPr="009F0E09">
              <w:rPr>
                <w:color w:val="000000"/>
                <w:kern w:val="0"/>
              </w:rPr>
              <w:t>C  </w:t>
            </w:r>
          </w:p>
        </w:tc>
      </w:tr>
      <w:tr w14:paraId="4AFE397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4554A16" w14:textId="77777777">
            <w:pPr>
              <w:ind w:hanging="378"/>
              <w:jc w:val="center"/>
              <w:rPr>
                <w:color w:val="000000"/>
                <w:kern w:val="0"/>
              </w:rPr>
            </w:pPr>
            <w:r w:rsidRPr="009F0E09">
              <w:rPr>
                <w:color w:val="000000"/>
                <w:kern w:val="0"/>
              </w:rPr>
              <w:t>WPQQ208</w:t>
            </w:r>
          </w:p>
        </w:tc>
        <w:tc>
          <w:tcPr>
            <w:tcW w:w="1530" w:type="dxa"/>
            <w:tcBorders>
              <w:top w:val="nil"/>
              <w:left w:val="nil"/>
              <w:bottom w:val="nil"/>
              <w:right w:val="nil"/>
            </w:tcBorders>
            <w:shd w:val="clear" w:color="auto" w:fill="auto"/>
            <w:noWrap/>
            <w:vAlign w:val="bottom"/>
            <w:hideMark/>
          </w:tcPr>
          <w:p w:rsidR="00670D4D" w:rsidRPr="009F0E09" w:rsidP="00E9507C" w14:paraId="77080189" w14:textId="77777777">
            <w:pPr>
              <w:rPr>
                <w:color w:val="000000"/>
                <w:kern w:val="0"/>
              </w:rPr>
            </w:pPr>
            <w:r w:rsidRPr="009F0E09">
              <w:rPr>
                <w:color w:val="000000"/>
                <w:kern w:val="0"/>
              </w:rPr>
              <w:t>BEA122 </w:t>
            </w:r>
          </w:p>
        </w:tc>
        <w:tc>
          <w:tcPr>
            <w:tcW w:w="4950" w:type="dxa"/>
            <w:tcBorders>
              <w:top w:val="nil"/>
              <w:left w:val="nil"/>
              <w:bottom w:val="nil"/>
              <w:right w:val="nil"/>
            </w:tcBorders>
            <w:shd w:val="clear" w:color="auto" w:fill="auto"/>
            <w:noWrap/>
            <w:vAlign w:val="bottom"/>
            <w:hideMark/>
          </w:tcPr>
          <w:p w:rsidR="00670D4D" w:rsidRPr="009F0E09" w:rsidP="00E9507C" w14:paraId="092FD2EB" w14:textId="77777777">
            <w:pPr>
              <w:rPr>
                <w:color w:val="000000"/>
                <w:kern w:val="0"/>
              </w:rPr>
            </w:pPr>
            <w:r w:rsidRPr="009F0E09">
              <w:rPr>
                <w:color w:val="000000"/>
                <w:kern w:val="0"/>
              </w:rPr>
              <w:t>Wichita, KS-OK</w:t>
            </w:r>
          </w:p>
        </w:tc>
        <w:tc>
          <w:tcPr>
            <w:tcW w:w="2024" w:type="dxa"/>
            <w:tcBorders>
              <w:top w:val="nil"/>
              <w:left w:val="nil"/>
              <w:bottom w:val="nil"/>
              <w:right w:val="nil"/>
            </w:tcBorders>
            <w:shd w:val="clear" w:color="auto" w:fill="auto"/>
            <w:noWrap/>
            <w:vAlign w:val="bottom"/>
            <w:hideMark/>
          </w:tcPr>
          <w:p w:rsidR="00670D4D" w:rsidRPr="009F0E09" w:rsidP="00E9507C" w14:paraId="0ABB3573" w14:textId="77777777">
            <w:pPr>
              <w:ind w:right="-604" w:firstLine="158"/>
              <w:rPr>
                <w:color w:val="000000"/>
                <w:kern w:val="0"/>
              </w:rPr>
            </w:pPr>
            <w:r w:rsidRPr="009F0E09">
              <w:rPr>
                <w:color w:val="000000"/>
                <w:kern w:val="0"/>
              </w:rPr>
              <w:t>B  </w:t>
            </w:r>
          </w:p>
        </w:tc>
      </w:tr>
      <w:tr w14:paraId="0C6E82A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5EF8F62" w14:textId="77777777">
            <w:pPr>
              <w:ind w:hanging="378"/>
              <w:jc w:val="center"/>
              <w:rPr>
                <w:color w:val="000000"/>
                <w:kern w:val="0"/>
              </w:rPr>
            </w:pPr>
            <w:r w:rsidRPr="009F0E09">
              <w:rPr>
                <w:color w:val="000000"/>
                <w:kern w:val="0"/>
              </w:rPr>
              <w:t>WPQQ209</w:t>
            </w:r>
          </w:p>
        </w:tc>
        <w:tc>
          <w:tcPr>
            <w:tcW w:w="1530" w:type="dxa"/>
            <w:tcBorders>
              <w:top w:val="nil"/>
              <w:left w:val="nil"/>
              <w:bottom w:val="nil"/>
              <w:right w:val="nil"/>
            </w:tcBorders>
            <w:shd w:val="clear" w:color="auto" w:fill="auto"/>
            <w:noWrap/>
            <w:vAlign w:val="bottom"/>
            <w:hideMark/>
          </w:tcPr>
          <w:p w:rsidR="00670D4D" w:rsidRPr="009F0E09" w:rsidP="00E9507C" w14:paraId="225C4D76" w14:textId="77777777">
            <w:pPr>
              <w:rPr>
                <w:color w:val="000000"/>
                <w:kern w:val="0"/>
              </w:rPr>
            </w:pPr>
            <w:r w:rsidRPr="009F0E09">
              <w:rPr>
                <w:color w:val="000000"/>
                <w:kern w:val="0"/>
              </w:rPr>
              <w:t>BEA122 </w:t>
            </w:r>
          </w:p>
        </w:tc>
        <w:tc>
          <w:tcPr>
            <w:tcW w:w="4950" w:type="dxa"/>
            <w:tcBorders>
              <w:top w:val="nil"/>
              <w:left w:val="nil"/>
              <w:bottom w:val="nil"/>
              <w:right w:val="nil"/>
            </w:tcBorders>
            <w:shd w:val="clear" w:color="auto" w:fill="auto"/>
            <w:noWrap/>
            <w:vAlign w:val="bottom"/>
            <w:hideMark/>
          </w:tcPr>
          <w:p w:rsidR="00670D4D" w:rsidRPr="009F0E09" w:rsidP="00E9507C" w14:paraId="4A147DCF" w14:textId="77777777">
            <w:pPr>
              <w:rPr>
                <w:color w:val="000000"/>
                <w:kern w:val="0"/>
              </w:rPr>
            </w:pPr>
            <w:r w:rsidRPr="009F0E09">
              <w:rPr>
                <w:color w:val="000000"/>
                <w:kern w:val="0"/>
              </w:rPr>
              <w:t>Wichita, KS-OK</w:t>
            </w:r>
          </w:p>
        </w:tc>
        <w:tc>
          <w:tcPr>
            <w:tcW w:w="2024" w:type="dxa"/>
            <w:tcBorders>
              <w:top w:val="nil"/>
              <w:left w:val="nil"/>
              <w:bottom w:val="nil"/>
              <w:right w:val="nil"/>
            </w:tcBorders>
            <w:shd w:val="clear" w:color="auto" w:fill="auto"/>
            <w:noWrap/>
            <w:vAlign w:val="bottom"/>
            <w:hideMark/>
          </w:tcPr>
          <w:p w:rsidR="00670D4D" w:rsidRPr="009F0E09" w:rsidP="00E9507C" w14:paraId="0F2B5527" w14:textId="77777777">
            <w:pPr>
              <w:ind w:right="-604" w:firstLine="158"/>
              <w:rPr>
                <w:color w:val="000000"/>
                <w:kern w:val="0"/>
              </w:rPr>
            </w:pPr>
            <w:r w:rsidRPr="009F0E09">
              <w:rPr>
                <w:color w:val="000000"/>
                <w:kern w:val="0"/>
              </w:rPr>
              <w:t>C  </w:t>
            </w:r>
          </w:p>
        </w:tc>
      </w:tr>
      <w:tr w14:paraId="59F68C53"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697E198" w14:textId="77777777">
            <w:pPr>
              <w:ind w:hanging="378"/>
              <w:jc w:val="center"/>
              <w:rPr>
                <w:color w:val="000000"/>
                <w:kern w:val="0"/>
              </w:rPr>
            </w:pPr>
            <w:r w:rsidRPr="009F0E09">
              <w:rPr>
                <w:color w:val="000000"/>
                <w:kern w:val="0"/>
              </w:rPr>
              <w:t>WPQQ210</w:t>
            </w:r>
          </w:p>
        </w:tc>
        <w:tc>
          <w:tcPr>
            <w:tcW w:w="1530" w:type="dxa"/>
            <w:tcBorders>
              <w:top w:val="nil"/>
              <w:left w:val="nil"/>
              <w:bottom w:val="nil"/>
              <w:right w:val="nil"/>
            </w:tcBorders>
            <w:shd w:val="clear" w:color="auto" w:fill="auto"/>
            <w:noWrap/>
            <w:vAlign w:val="bottom"/>
            <w:hideMark/>
          </w:tcPr>
          <w:p w:rsidR="00670D4D" w:rsidRPr="009F0E09" w:rsidP="00E9507C" w14:paraId="0BB64748" w14:textId="77777777">
            <w:pPr>
              <w:rPr>
                <w:color w:val="000000"/>
                <w:kern w:val="0"/>
              </w:rPr>
            </w:pPr>
            <w:r w:rsidRPr="009F0E09">
              <w:rPr>
                <w:color w:val="000000"/>
                <w:kern w:val="0"/>
              </w:rPr>
              <w:t>BEA124 </w:t>
            </w:r>
          </w:p>
        </w:tc>
        <w:tc>
          <w:tcPr>
            <w:tcW w:w="4950" w:type="dxa"/>
            <w:tcBorders>
              <w:top w:val="nil"/>
              <w:left w:val="nil"/>
              <w:bottom w:val="nil"/>
              <w:right w:val="nil"/>
            </w:tcBorders>
            <w:shd w:val="clear" w:color="auto" w:fill="auto"/>
            <w:noWrap/>
            <w:vAlign w:val="bottom"/>
            <w:hideMark/>
          </w:tcPr>
          <w:p w:rsidR="00670D4D" w:rsidRPr="009F0E09" w:rsidP="00E9507C" w14:paraId="6AD95E6F" w14:textId="77777777">
            <w:pPr>
              <w:rPr>
                <w:color w:val="000000"/>
                <w:kern w:val="0"/>
              </w:rPr>
            </w:pPr>
            <w:r w:rsidRPr="009F0E09">
              <w:rPr>
                <w:color w:val="000000"/>
                <w:kern w:val="0"/>
              </w:rPr>
              <w:t>Tulsa, OK-KS</w:t>
            </w:r>
          </w:p>
        </w:tc>
        <w:tc>
          <w:tcPr>
            <w:tcW w:w="2024" w:type="dxa"/>
            <w:tcBorders>
              <w:top w:val="nil"/>
              <w:left w:val="nil"/>
              <w:bottom w:val="nil"/>
              <w:right w:val="nil"/>
            </w:tcBorders>
            <w:shd w:val="clear" w:color="auto" w:fill="auto"/>
            <w:noWrap/>
            <w:vAlign w:val="bottom"/>
            <w:hideMark/>
          </w:tcPr>
          <w:p w:rsidR="00670D4D" w:rsidRPr="009F0E09" w:rsidP="00E9507C" w14:paraId="3008BAE4" w14:textId="77777777">
            <w:pPr>
              <w:ind w:right="-604" w:firstLine="158"/>
              <w:rPr>
                <w:color w:val="000000"/>
                <w:kern w:val="0"/>
              </w:rPr>
            </w:pPr>
            <w:r w:rsidRPr="009F0E09">
              <w:rPr>
                <w:color w:val="000000"/>
                <w:kern w:val="0"/>
              </w:rPr>
              <w:t>B  </w:t>
            </w:r>
          </w:p>
        </w:tc>
      </w:tr>
      <w:tr w14:paraId="0964F43A"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27241A3" w14:textId="77777777">
            <w:pPr>
              <w:ind w:hanging="378"/>
              <w:jc w:val="center"/>
              <w:rPr>
                <w:color w:val="000000"/>
                <w:kern w:val="0"/>
              </w:rPr>
            </w:pPr>
            <w:r w:rsidRPr="009F0E09">
              <w:rPr>
                <w:color w:val="000000"/>
                <w:kern w:val="0"/>
              </w:rPr>
              <w:t>WPQQ211</w:t>
            </w:r>
          </w:p>
        </w:tc>
        <w:tc>
          <w:tcPr>
            <w:tcW w:w="1530" w:type="dxa"/>
            <w:tcBorders>
              <w:top w:val="nil"/>
              <w:left w:val="nil"/>
              <w:bottom w:val="nil"/>
              <w:right w:val="nil"/>
            </w:tcBorders>
            <w:shd w:val="clear" w:color="auto" w:fill="auto"/>
            <w:noWrap/>
            <w:vAlign w:val="bottom"/>
            <w:hideMark/>
          </w:tcPr>
          <w:p w:rsidR="00670D4D" w:rsidRPr="009F0E09" w:rsidP="00E9507C" w14:paraId="544D0339" w14:textId="77777777">
            <w:pPr>
              <w:rPr>
                <w:color w:val="000000"/>
                <w:kern w:val="0"/>
              </w:rPr>
            </w:pPr>
            <w:r w:rsidRPr="009F0E09">
              <w:rPr>
                <w:color w:val="000000"/>
                <w:kern w:val="0"/>
              </w:rPr>
              <w:t>BEA124 </w:t>
            </w:r>
          </w:p>
        </w:tc>
        <w:tc>
          <w:tcPr>
            <w:tcW w:w="4950" w:type="dxa"/>
            <w:tcBorders>
              <w:top w:val="nil"/>
              <w:left w:val="nil"/>
              <w:bottom w:val="nil"/>
              <w:right w:val="nil"/>
            </w:tcBorders>
            <w:shd w:val="clear" w:color="auto" w:fill="auto"/>
            <w:noWrap/>
            <w:vAlign w:val="bottom"/>
            <w:hideMark/>
          </w:tcPr>
          <w:p w:rsidR="00670D4D" w:rsidRPr="009F0E09" w:rsidP="00E9507C" w14:paraId="298188F6" w14:textId="77777777">
            <w:pPr>
              <w:rPr>
                <w:color w:val="000000"/>
                <w:kern w:val="0"/>
              </w:rPr>
            </w:pPr>
            <w:r w:rsidRPr="009F0E09">
              <w:rPr>
                <w:color w:val="000000"/>
                <w:kern w:val="0"/>
              </w:rPr>
              <w:t>Tulsa, OK-KS</w:t>
            </w:r>
          </w:p>
        </w:tc>
        <w:tc>
          <w:tcPr>
            <w:tcW w:w="2024" w:type="dxa"/>
            <w:tcBorders>
              <w:top w:val="nil"/>
              <w:left w:val="nil"/>
              <w:bottom w:val="nil"/>
              <w:right w:val="nil"/>
            </w:tcBorders>
            <w:shd w:val="clear" w:color="auto" w:fill="auto"/>
            <w:noWrap/>
            <w:vAlign w:val="bottom"/>
            <w:hideMark/>
          </w:tcPr>
          <w:p w:rsidR="00670D4D" w:rsidRPr="009F0E09" w:rsidP="00E9507C" w14:paraId="69700461" w14:textId="77777777">
            <w:pPr>
              <w:ind w:right="-604" w:firstLine="158"/>
              <w:rPr>
                <w:color w:val="000000"/>
                <w:kern w:val="0"/>
              </w:rPr>
            </w:pPr>
            <w:r w:rsidRPr="009F0E09">
              <w:rPr>
                <w:color w:val="000000"/>
                <w:kern w:val="0"/>
              </w:rPr>
              <w:t>C  </w:t>
            </w:r>
          </w:p>
        </w:tc>
      </w:tr>
      <w:tr w14:paraId="665EA94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0FA19A2" w14:textId="77777777">
            <w:pPr>
              <w:ind w:hanging="378"/>
              <w:jc w:val="center"/>
              <w:rPr>
                <w:color w:val="000000"/>
                <w:kern w:val="0"/>
              </w:rPr>
            </w:pPr>
            <w:r w:rsidRPr="009F0E09">
              <w:rPr>
                <w:color w:val="000000"/>
                <w:kern w:val="0"/>
              </w:rPr>
              <w:t>WPQQ220</w:t>
            </w:r>
          </w:p>
        </w:tc>
        <w:tc>
          <w:tcPr>
            <w:tcW w:w="1530" w:type="dxa"/>
            <w:tcBorders>
              <w:top w:val="nil"/>
              <w:left w:val="nil"/>
              <w:bottom w:val="nil"/>
              <w:right w:val="nil"/>
            </w:tcBorders>
            <w:shd w:val="clear" w:color="auto" w:fill="auto"/>
            <w:noWrap/>
            <w:vAlign w:val="bottom"/>
            <w:hideMark/>
          </w:tcPr>
          <w:p w:rsidR="00670D4D" w:rsidRPr="009F0E09" w:rsidP="00E9507C" w14:paraId="15B6170C" w14:textId="77777777">
            <w:pPr>
              <w:rPr>
                <w:color w:val="000000"/>
                <w:kern w:val="0"/>
              </w:rPr>
            </w:pPr>
            <w:r w:rsidRPr="009F0E09">
              <w:rPr>
                <w:color w:val="000000"/>
                <w:kern w:val="0"/>
              </w:rPr>
              <w:t>BEA132 </w:t>
            </w:r>
          </w:p>
        </w:tc>
        <w:tc>
          <w:tcPr>
            <w:tcW w:w="4950" w:type="dxa"/>
            <w:tcBorders>
              <w:top w:val="nil"/>
              <w:left w:val="nil"/>
              <w:bottom w:val="nil"/>
              <w:right w:val="nil"/>
            </w:tcBorders>
            <w:shd w:val="clear" w:color="auto" w:fill="auto"/>
            <w:noWrap/>
            <w:vAlign w:val="bottom"/>
            <w:hideMark/>
          </w:tcPr>
          <w:p w:rsidR="00670D4D" w:rsidRPr="009F0E09" w:rsidP="00E9507C" w14:paraId="059EEDDF" w14:textId="77777777">
            <w:pPr>
              <w:rPr>
                <w:color w:val="000000"/>
                <w:kern w:val="0"/>
              </w:rPr>
            </w:pPr>
            <w:r w:rsidRPr="009F0E09">
              <w:rPr>
                <w:color w:val="000000"/>
                <w:kern w:val="0"/>
              </w:rPr>
              <w:t>Corpus Christi, TX</w:t>
            </w:r>
          </w:p>
        </w:tc>
        <w:tc>
          <w:tcPr>
            <w:tcW w:w="2024" w:type="dxa"/>
            <w:tcBorders>
              <w:top w:val="nil"/>
              <w:left w:val="nil"/>
              <w:bottom w:val="nil"/>
              <w:right w:val="nil"/>
            </w:tcBorders>
            <w:shd w:val="clear" w:color="auto" w:fill="auto"/>
            <w:noWrap/>
            <w:vAlign w:val="bottom"/>
            <w:hideMark/>
          </w:tcPr>
          <w:p w:rsidR="00670D4D" w:rsidRPr="009F0E09" w:rsidP="00E9507C" w14:paraId="3D184011" w14:textId="77777777">
            <w:pPr>
              <w:ind w:right="-604" w:firstLine="158"/>
              <w:rPr>
                <w:color w:val="000000"/>
                <w:kern w:val="0"/>
              </w:rPr>
            </w:pPr>
            <w:r w:rsidRPr="009F0E09">
              <w:rPr>
                <w:color w:val="000000"/>
                <w:kern w:val="0"/>
              </w:rPr>
              <w:t>B  </w:t>
            </w:r>
          </w:p>
        </w:tc>
      </w:tr>
      <w:tr w14:paraId="504F60D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890C389" w14:textId="77777777">
            <w:pPr>
              <w:ind w:hanging="378"/>
              <w:jc w:val="center"/>
              <w:rPr>
                <w:color w:val="000000"/>
                <w:kern w:val="0"/>
              </w:rPr>
            </w:pPr>
            <w:r w:rsidRPr="009F0E09">
              <w:rPr>
                <w:color w:val="000000"/>
                <w:kern w:val="0"/>
              </w:rPr>
              <w:t>WPQQ221</w:t>
            </w:r>
          </w:p>
        </w:tc>
        <w:tc>
          <w:tcPr>
            <w:tcW w:w="1530" w:type="dxa"/>
            <w:tcBorders>
              <w:top w:val="nil"/>
              <w:left w:val="nil"/>
              <w:bottom w:val="nil"/>
              <w:right w:val="nil"/>
            </w:tcBorders>
            <w:shd w:val="clear" w:color="auto" w:fill="auto"/>
            <w:noWrap/>
            <w:vAlign w:val="bottom"/>
            <w:hideMark/>
          </w:tcPr>
          <w:p w:rsidR="00670D4D" w:rsidRPr="009F0E09" w:rsidP="00E9507C" w14:paraId="44AA4832" w14:textId="77777777">
            <w:pPr>
              <w:rPr>
                <w:color w:val="000000"/>
                <w:kern w:val="0"/>
              </w:rPr>
            </w:pPr>
            <w:r w:rsidRPr="009F0E09">
              <w:rPr>
                <w:color w:val="000000"/>
                <w:kern w:val="0"/>
              </w:rPr>
              <w:t>BEA132 </w:t>
            </w:r>
          </w:p>
        </w:tc>
        <w:tc>
          <w:tcPr>
            <w:tcW w:w="4950" w:type="dxa"/>
            <w:tcBorders>
              <w:top w:val="nil"/>
              <w:left w:val="nil"/>
              <w:bottom w:val="nil"/>
              <w:right w:val="nil"/>
            </w:tcBorders>
            <w:shd w:val="clear" w:color="auto" w:fill="auto"/>
            <w:noWrap/>
            <w:vAlign w:val="bottom"/>
            <w:hideMark/>
          </w:tcPr>
          <w:p w:rsidR="00670D4D" w:rsidRPr="009F0E09" w:rsidP="00E9507C" w14:paraId="53A06F71" w14:textId="77777777">
            <w:pPr>
              <w:rPr>
                <w:color w:val="000000"/>
                <w:kern w:val="0"/>
              </w:rPr>
            </w:pPr>
            <w:r w:rsidRPr="009F0E09">
              <w:rPr>
                <w:color w:val="000000"/>
                <w:kern w:val="0"/>
              </w:rPr>
              <w:t>Corpus Christi, TX</w:t>
            </w:r>
          </w:p>
        </w:tc>
        <w:tc>
          <w:tcPr>
            <w:tcW w:w="2024" w:type="dxa"/>
            <w:tcBorders>
              <w:top w:val="nil"/>
              <w:left w:val="nil"/>
              <w:bottom w:val="nil"/>
              <w:right w:val="nil"/>
            </w:tcBorders>
            <w:shd w:val="clear" w:color="auto" w:fill="auto"/>
            <w:noWrap/>
            <w:vAlign w:val="bottom"/>
            <w:hideMark/>
          </w:tcPr>
          <w:p w:rsidR="00670D4D" w:rsidRPr="009F0E09" w:rsidP="00E9507C" w14:paraId="4CE0349E" w14:textId="77777777">
            <w:pPr>
              <w:ind w:right="-604" w:firstLine="158"/>
              <w:rPr>
                <w:color w:val="000000"/>
                <w:kern w:val="0"/>
              </w:rPr>
            </w:pPr>
            <w:r w:rsidRPr="009F0E09">
              <w:rPr>
                <w:color w:val="000000"/>
                <w:kern w:val="0"/>
              </w:rPr>
              <w:t>C  </w:t>
            </w:r>
          </w:p>
        </w:tc>
      </w:tr>
      <w:tr w14:paraId="1A92B47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04246D0" w14:textId="77777777">
            <w:pPr>
              <w:ind w:hanging="378"/>
              <w:jc w:val="center"/>
              <w:rPr>
                <w:color w:val="000000"/>
                <w:kern w:val="0"/>
              </w:rPr>
            </w:pPr>
            <w:r w:rsidRPr="009F0E09">
              <w:rPr>
                <w:color w:val="000000"/>
                <w:kern w:val="0"/>
              </w:rPr>
              <w:t>WPQQ222</w:t>
            </w:r>
          </w:p>
        </w:tc>
        <w:tc>
          <w:tcPr>
            <w:tcW w:w="1530" w:type="dxa"/>
            <w:tcBorders>
              <w:top w:val="nil"/>
              <w:left w:val="nil"/>
              <w:bottom w:val="nil"/>
              <w:right w:val="nil"/>
            </w:tcBorders>
            <w:shd w:val="clear" w:color="auto" w:fill="auto"/>
            <w:noWrap/>
            <w:vAlign w:val="bottom"/>
            <w:hideMark/>
          </w:tcPr>
          <w:p w:rsidR="00670D4D" w:rsidRPr="009F0E09" w:rsidP="00E9507C" w14:paraId="59A349F7" w14:textId="77777777">
            <w:pPr>
              <w:rPr>
                <w:color w:val="000000"/>
                <w:kern w:val="0"/>
              </w:rPr>
            </w:pPr>
            <w:r w:rsidRPr="009F0E09">
              <w:rPr>
                <w:color w:val="000000"/>
                <w:kern w:val="0"/>
              </w:rPr>
              <w:t>BEA133 </w:t>
            </w:r>
          </w:p>
        </w:tc>
        <w:tc>
          <w:tcPr>
            <w:tcW w:w="4950" w:type="dxa"/>
            <w:tcBorders>
              <w:top w:val="nil"/>
              <w:left w:val="nil"/>
              <w:bottom w:val="nil"/>
              <w:right w:val="nil"/>
            </w:tcBorders>
            <w:shd w:val="clear" w:color="auto" w:fill="auto"/>
            <w:noWrap/>
            <w:vAlign w:val="bottom"/>
            <w:hideMark/>
          </w:tcPr>
          <w:p w:rsidR="00670D4D" w:rsidRPr="009F0E09" w:rsidP="00E9507C" w14:paraId="68596F9B" w14:textId="77777777">
            <w:pPr>
              <w:rPr>
                <w:color w:val="000000"/>
                <w:kern w:val="0"/>
              </w:rPr>
            </w:pPr>
            <w:r w:rsidRPr="009F0E09">
              <w:rPr>
                <w:color w:val="000000"/>
                <w:kern w:val="0"/>
              </w:rPr>
              <w:t>McAllen-Edinburg-Mission, TX</w:t>
            </w:r>
          </w:p>
        </w:tc>
        <w:tc>
          <w:tcPr>
            <w:tcW w:w="2024" w:type="dxa"/>
            <w:tcBorders>
              <w:top w:val="nil"/>
              <w:left w:val="nil"/>
              <w:bottom w:val="nil"/>
              <w:right w:val="nil"/>
            </w:tcBorders>
            <w:shd w:val="clear" w:color="auto" w:fill="auto"/>
            <w:noWrap/>
            <w:vAlign w:val="bottom"/>
            <w:hideMark/>
          </w:tcPr>
          <w:p w:rsidR="00670D4D" w:rsidRPr="009F0E09" w:rsidP="00E9507C" w14:paraId="4A1B7635" w14:textId="77777777">
            <w:pPr>
              <w:ind w:right="-604" w:firstLine="158"/>
              <w:rPr>
                <w:color w:val="000000"/>
                <w:kern w:val="0"/>
              </w:rPr>
            </w:pPr>
            <w:r w:rsidRPr="009F0E09">
              <w:rPr>
                <w:color w:val="000000"/>
                <w:kern w:val="0"/>
              </w:rPr>
              <w:t>B  </w:t>
            </w:r>
          </w:p>
        </w:tc>
      </w:tr>
      <w:tr w14:paraId="2E57DA0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922BBBD" w14:textId="77777777">
            <w:pPr>
              <w:ind w:hanging="378"/>
              <w:jc w:val="center"/>
              <w:rPr>
                <w:color w:val="000000"/>
                <w:kern w:val="0"/>
              </w:rPr>
            </w:pPr>
            <w:r w:rsidRPr="009F0E09">
              <w:rPr>
                <w:color w:val="000000"/>
                <w:kern w:val="0"/>
              </w:rPr>
              <w:t>WPQQ223</w:t>
            </w:r>
          </w:p>
        </w:tc>
        <w:tc>
          <w:tcPr>
            <w:tcW w:w="1530" w:type="dxa"/>
            <w:tcBorders>
              <w:top w:val="nil"/>
              <w:left w:val="nil"/>
              <w:bottom w:val="nil"/>
              <w:right w:val="nil"/>
            </w:tcBorders>
            <w:shd w:val="clear" w:color="auto" w:fill="auto"/>
            <w:noWrap/>
            <w:vAlign w:val="bottom"/>
            <w:hideMark/>
          </w:tcPr>
          <w:p w:rsidR="00670D4D" w:rsidRPr="009F0E09" w:rsidP="00E9507C" w14:paraId="1488E81A" w14:textId="77777777">
            <w:pPr>
              <w:rPr>
                <w:color w:val="000000"/>
                <w:kern w:val="0"/>
              </w:rPr>
            </w:pPr>
            <w:r w:rsidRPr="009F0E09">
              <w:rPr>
                <w:color w:val="000000"/>
                <w:kern w:val="0"/>
              </w:rPr>
              <w:t>BEA133 </w:t>
            </w:r>
          </w:p>
        </w:tc>
        <w:tc>
          <w:tcPr>
            <w:tcW w:w="4950" w:type="dxa"/>
            <w:tcBorders>
              <w:top w:val="nil"/>
              <w:left w:val="nil"/>
              <w:bottom w:val="nil"/>
              <w:right w:val="nil"/>
            </w:tcBorders>
            <w:shd w:val="clear" w:color="auto" w:fill="auto"/>
            <w:noWrap/>
            <w:vAlign w:val="bottom"/>
            <w:hideMark/>
          </w:tcPr>
          <w:p w:rsidR="00670D4D" w:rsidRPr="009F0E09" w:rsidP="00E9507C" w14:paraId="633CE7E3" w14:textId="77777777">
            <w:pPr>
              <w:rPr>
                <w:color w:val="000000"/>
                <w:kern w:val="0"/>
              </w:rPr>
            </w:pPr>
            <w:r w:rsidRPr="009F0E09">
              <w:rPr>
                <w:color w:val="000000"/>
                <w:kern w:val="0"/>
              </w:rPr>
              <w:t>McAllen-Edinburg-Mission, TX</w:t>
            </w:r>
          </w:p>
        </w:tc>
        <w:tc>
          <w:tcPr>
            <w:tcW w:w="2024" w:type="dxa"/>
            <w:tcBorders>
              <w:top w:val="nil"/>
              <w:left w:val="nil"/>
              <w:bottom w:val="nil"/>
              <w:right w:val="nil"/>
            </w:tcBorders>
            <w:shd w:val="clear" w:color="auto" w:fill="auto"/>
            <w:noWrap/>
            <w:vAlign w:val="bottom"/>
            <w:hideMark/>
          </w:tcPr>
          <w:p w:rsidR="00670D4D" w:rsidRPr="009F0E09" w:rsidP="00E9507C" w14:paraId="3298E361" w14:textId="77777777">
            <w:pPr>
              <w:ind w:right="-604" w:firstLine="158"/>
              <w:rPr>
                <w:color w:val="000000"/>
                <w:kern w:val="0"/>
              </w:rPr>
            </w:pPr>
            <w:r w:rsidRPr="009F0E09">
              <w:rPr>
                <w:color w:val="000000"/>
                <w:kern w:val="0"/>
              </w:rPr>
              <w:t>C  </w:t>
            </w:r>
          </w:p>
        </w:tc>
      </w:tr>
      <w:tr w14:paraId="4E09469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B532310" w14:textId="77777777">
            <w:pPr>
              <w:ind w:hanging="378"/>
              <w:jc w:val="center"/>
              <w:rPr>
                <w:color w:val="000000"/>
                <w:kern w:val="0"/>
              </w:rPr>
            </w:pPr>
            <w:r w:rsidRPr="009F0E09">
              <w:rPr>
                <w:color w:val="000000"/>
                <w:kern w:val="0"/>
              </w:rPr>
              <w:t>WPQQ228</w:t>
            </w:r>
          </w:p>
        </w:tc>
        <w:tc>
          <w:tcPr>
            <w:tcW w:w="1530" w:type="dxa"/>
            <w:tcBorders>
              <w:top w:val="nil"/>
              <w:left w:val="nil"/>
              <w:bottom w:val="nil"/>
              <w:right w:val="nil"/>
            </w:tcBorders>
            <w:shd w:val="clear" w:color="auto" w:fill="auto"/>
            <w:noWrap/>
            <w:vAlign w:val="bottom"/>
            <w:hideMark/>
          </w:tcPr>
          <w:p w:rsidR="00670D4D" w:rsidRPr="009F0E09" w:rsidP="00E9507C" w14:paraId="3F7520B0" w14:textId="77777777">
            <w:pPr>
              <w:rPr>
                <w:color w:val="000000"/>
                <w:kern w:val="0"/>
              </w:rPr>
            </w:pPr>
            <w:r w:rsidRPr="009F0E09">
              <w:rPr>
                <w:color w:val="000000"/>
                <w:kern w:val="0"/>
              </w:rPr>
              <w:t>BEA147 </w:t>
            </w:r>
          </w:p>
        </w:tc>
        <w:tc>
          <w:tcPr>
            <w:tcW w:w="4950" w:type="dxa"/>
            <w:tcBorders>
              <w:top w:val="nil"/>
              <w:left w:val="nil"/>
              <w:bottom w:val="nil"/>
              <w:right w:val="nil"/>
            </w:tcBorders>
            <w:shd w:val="clear" w:color="auto" w:fill="auto"/>
            <w:noWrap/>
            <w:vAlign w:val="bottom"/>
            <w:hideMark/>
          </w:tcPr>
          <w:p w:rsidR="00670D4D" w:rsidRPr="009F0E09" w:rsidP="00E9507C" w14:paraId="0B73CDCB" w14:textId="77777777">
            <w:pPr>
              <w:rPr>
                <w:color w:val="000000"/>
                <w:kern w:val="0"/>
              </w:rPr>
            </w:pPr>
            <w:r w:rsidRPr="009F0E09">
              <w:rPr>
                <w:color w:val="000000"/>
                <w:kern w:val="0"/>
              </w:rPr>
              <w:t>Spokane, WA-ID</w:t>
            </w:r>
          </w:p>
        </w:tc>
        <w:tc>
          <w:tcPr>
            <w:tcW w:w="2024" w:type="dxa"/>
            <w:tcBorders>
              <w:top w:val="nil"/>
              <w:left w:val="nil"/>
              <w:bottom w:val="nil"/>
              <w:right w:val="nil"/>
            </w:tcBorders>
            <w:shd w:val="clear" w:color="auto" w:fill="auto"/>
            <w:noWrap/>
            <w:vAlign w:val="bottom"/>
            <w:hideMark/>
          </w:tcPr>
          <w:p w:rsidR="00670D4D" w:rsidRPr="009F0E09" w:rsidP="00E9507C" w14:paraId="74AA8DA7" w14:textId="77777777">
            <w:pPr>
              <w:ind w:right="-604" w:firstLine="158"/>
              <w:rPr>
                <w:color w:val="000000"/>
                <w:kern w:val="0"/>
              </w:rPr>
            </w:pPr>
            <w:r w:rsidRPr="009F0E09">
              <w:rPr>
                <w:color w:val="000000"/>
                <w:kern w:val="0"/>
              </w:rPr>
              <w:t>B  </w:t>
            </w:r>
          </w:p>
        </w:tc>
      </w:tr>
      <w:tr w14:paraId="69FA376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4E6D41E" w14:textId="77777777">
            <w:pPr>
              <w:ind w:hanging="378"/>
              <w:jc w:val="center"/>
              <w:rPr>
                <w:color w:val="000000"/>
                <w:kern w:val="0"/>
              </w:rPr>
            </w:pPr>
            <w:r w:rsidRPr="009F0E09">
              <w:rPr>
                <w:color w:val="000000"/>
                <w:kern w:val="0"/>
              </w:rPr>
              <w:t>WPQQ229</w:t>
            </w:r>
          </w:p>
        </w:tc>
        <w:tc>
          <w:tcPr>
            <w:tcW w:w="1530" w:type="dxa"/>
            <w:tcBorders>
              <w:top w:val="nil"/>
              <w:left w:val="nil"/>
              <w:bottom w:val="nil"/>
              <w:right w:val="nil"/>
            </w:tcBorders>
            <w:shd w:val="clear" w:color="auto" w:fill="auto"/>
            <w:noWrap/>
            <w:vAlign w:val="bottom"/>
            <w:hideMark/>
          </w:tcPr>
          <w:p w:rsidR="00670D4D" w:rsidRPr="009F0E09" w:rsidP="00E9507C" w14:paraId="36646FFF" w14:textId="77777777">
            <w:pPr>
              <w:rPr>
                <w:color w:val="000000"/>
                <w:kern w:val="0"/>
              </w:rPr>
            </w:pPr>
            <w:r w:rsidRPr="009F0E09">
              <w:rPr>
                <w:color w:val="000000"/>
                <w:kern w:val="0"/>
              </w:rPr>
              <w:t>BEA147 </w:t>
            </w:r>
          </w:p>
        </w:tc>
        <w:tc>
          <w:tcPr>
            <w:tcW w:w="4950" w:type="dxa"/>
            <w:tcBorders>
              <w:top w:val="nil"/>
              <w:left w:val="nil"/>
              <w:bottom w:val="nil"/>
              <w:right w:val="nil"/>
            </w:tcBorders>
            <w:shd w:val="clear" w:color="auto" w:fill="auto"/>
            <w:noWrap/>
            <w:vAlign w:val="bottom"/>
            <w:hideMark/>
          </w:tcPr>
          <w:p w:rsidR="00670D4D" w:rsidRPr="009F0E09" w:rsidP="00E9507C" w14:paraId="46294F18" w14:textId="77777777">
            <w:pPr>
              <w:rPr>
                <w:color w:val="000000"/>
                <w:kern w:val="0"/>
              </w:rPr>
            </w:pPr>
            <w:r w:rsidRPr="009F0E09">
              <w:rPr>
                <w:color w:val="000000"/>
                <w:kern w:val="0"/>
              </w:rPr>
              <w:t>Spokane, WA-ID</w:t>
            </w:r>
          </w:p>
        </w:tc>
        <w:tc>
          <w:tcPr>
            <w:tcW w:w="2024" w:type="dxa"/>
            <w:tcBorders>
              <w:top w:val="nil"/>
              <w:left w:val="nil"/>
              <w:bottom w:val="nil"/>
              <w:right w:val="nil"/>
            </w:tcBorders>
            <w:shd w:val="clear" w:color="auto" w:fill="auto"/>
            <w:noWrap/>
            <w:vAlign w:val="bottom"/>
            <w:hideMark/>
          </w:tcPr>
          <w:p w:rsidR="00670D4D" w:rsidRPr="009F0E09" w:rsidP="00E9507C" w14:paraId="39CC342B" w14:textId="77777777">
            <w:pPr>
              <w:ind w:right="-604" w:firstLine="158"/>
              <w:rPr>
                <w:color w:val="000000"/>
                <w:kern w:val="0"/>
              </w:rPr>
            </w:pPr>
            <w:r w:rsidRPr="009F0E09">
              <w:rPr>
                <w:color w:val="000000"/>
                <w:kern w:val="0"/>
              </w:rPr>
              <w:t>C  </w:t>
            </w:r>
          </w:p>
        </w:tc>
      </w:tr>
      <w:tr w14:paraId="6760415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F2C45D5" w14:textId="77777777">
            <w:pPr>
              <w:ind w:hanging="378"/>
              <w:jc w:val="center"/>
              <w:rPr>
                <w:color w:val="000000"/>
                <w:kern w:val="0"/>
              </w:rPr>
            </w:pPr>
            <w:r w:rsidRPr="009F0E09">
              <w:rPr>
                <w:color w:val="000000"/>
                <w:kern w:val="0"/>
              </w:rPr>
              <w:t>WPQQ230</w:t>
            </w:r>
          </w:p>
        </w:tc>
        <w:tc>
          <w:tcPr>
            <w:tcW w:w="1530" w:type="dxa"/>
            <w:tcBorders>
              <w:top w:val="nil"/>
              <w:left w:val="nil"/>
              <w:bottom w:val="nil"/>
              <w:right w:val="nil"/>
            </w:tcBorders>
            <w:shd w:val="clear" w:color="auto" w:fill="auto"/>
            <w:noWrap/>
            <w:vAlign w:val="bottom"/>
            <w:hideMark/>
          </w:tcPr>
          <w:p w:rsidR="00670D4D" w:rsidRPr="009F0E09" w:rsidP="00E9507C" w14:paraId="207FC6EF" w14:textId="77777777">
            <w:pPr>
              <w:rPr>
                <w:color w:val="000000"/>
                <w:kern w:val="0"/>
              </w:rPr>
            </w:pPr>
            <w:r w:rsidRPr="009F0E09">
              <w:rPr>
                <w:color w:val="000000"/>
                <w:kern w:val="0"/>
              </w:rPr>
              <w:t>BEA150 </w:t>
            </w:r>
          </w:p>
        </w:tc>
        <w:tc>
          <w:tcPr>
            <w:tcW w:w="4950" w:type="dxa"/>
            <w:tcBorders>
              <w:top w:val="nil"/>
              <w:left w:val="nil"/>
              <w:bottom w:val="nil"/>
              <w:right w:val="nil"/>
            </w:tcBorders>
            <w:shd w:val="clear" w:color="auto" w:fill="auto"/>
            <w:noWrap/>
            <w:vAlign w:val="bottom"/>
            <w:hideMark/>
          </w:tcPr>
          <w:p w:rsidR="00670D4D" w:rsidRPr="009F0E09" w:rsidP="00E9507C" w14:paraId="60FF8E65" w14:textId="77777777">
            <w:pPr>
              <w:rPr>
                <w:color w:val="000000"/>
                <w:kern w:val="0"/>
              </w:rPr>
            </w:pPr>
            <w:r w:rsidRPr="009F0E09">
              <w:rPr>
                <w:color w:val="000000"/>
                <w:kern w:val="0"/>
              </w:rPr>
              <w:t>Boise City, ID-OR</w:t>
            </w:r>
          </w:p>
        </w:tc>
        <w:tc>
          <w:tcPr>
            <w:tcW w:w="2024" w:type="dxa"/>
            <w:tcBorders>
              <w:top w:val="nil"/>
              <w:left w:val="nil"/>
              <w:bottom w:val="nil"/>
              <w:right w:val="nil"/>
            </w:tcBorders>
            <w:shd w:val="clear" w:color="auto" w:fill="auto"/>
            <w:noWrap/>
            <w:vAlign w:val="bottom"/>
            <w:hideMark/>
          </w:tcPr>
          <w:p w:rsidR="00670D4D" w:rsidRPr="009F0E09" w:rsidP="00E9507C" w14:paraId="4706B526" w14:textId="77777777">
            <w:pPr>
              <w:ind w:right="-604" w:firstLine="158"/>
              <w:rPr>
                <w:color w:val="000000"/>
                <w:kern w:val="0"/>
              </w:rPr>
            </w:pPr>
            <w:r w:rsidRPr="009F0E09">
              <w:rPr>
                <w:color w:val="000000"/>
                <w:kern w:val="0"/>
              </w:rPr>
              <w:t>B  </w:t>
            </w:r>
          </w:p>
        </w:tc>
      </w:tr>
      <w:tr w14:paraId="6F305289"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2B71B24" w14:textId="77777777">
            <w:pPr>
              <w:ind w:hanging="378"/>
              <w:jc w:val="center"/>
              <w:rPr>
                <w:color w:val="000000"/>
                <w:kern w:val="0"/>
              </w:rPr>
            </w:pPr>
            <w:r w:rsidRPr="009F0E09">
              <w:rPr>
                <w:color w:val="000000"/>
                <w:kern w:val="0"/>
              </w:rPr>
              <w:t>WPQQ231</w:t>
            </w:r>
          </w:p>
        </w:tc>
        <w:tc>
          <w:tcPr>
            <w:tcW w:w="1530" w:type="dxa"/>
            <w:tcBorders>
              <w:top w:val="nil"/>
              <w:left w:val="nil"/>
              <w:bottom w:val="nil"/>
              <w:right w:val="nil"/>
            </w:tcBorders>
            <w:shd w:val="clear" w:color="auto" w:fill="auto"/>
            <w:noWrap/>
            <w:vAlign w:val="bottom"/>
            <w:hideMark/>
          </w:tcPr>
          <w:p w:rsidR="00670D4D" w:rsidRPr="009F0E09" w:rsidP="00E9507C" w14:paraId="759915EE" w14:textId="77777777">
            <w:pPr>
              <w:rPr>
                <w:color w:val="000000"/>
                <w:kern w:val="0"/>
              </w:rPr>
            </w:pPr>
            <w:r w:rsidRPr="009F0E09">
              <w:rPr>
                <w:color w:val="000000"/>
                <w:kern w:val="0"/>
              </w:rPr>
              <w:t>BEA150 </w:t>
            </w:r>
          </w:p>
        </w:tc>
        <w:tc>
          <w:tcPr>
            <w:tcW w:w="4950" w:type="dxa"/>
            <w:tcBorders>
              <w:top w:val="nil"/>
              <w:left w:val="nil"/>
              <w:bottom w:val="nil"/>
              <w:right w:val="nil"/>
            </w:tcBorders>
            <w:shd w:val="clear" w:color="auto" w:fill="auto"/>
            <w:noWrap/>
            <w:vAlign w:val="bottom"/>
            <w:hideMark/>
          </w:tcPr>
          <w:p w:rsidR="00670D4D" w:rsidRPr="009F0E09" w:rsidP="00E9507C" w14:paraId="0CEB545C" w14:textId="77777777">
            <w:pPr>
              <w:rPr>
                <w:color w:val="000000"/>
                <w:kern w:val="0"/>
              </w:rPr>
            </w:pPr>
            <w:r w:rsidRPr="009F0E09">
              <w:rPr>
                <w:color w:val="000000"/>
                <w:kern w:val="0"/>
              </w:rPr>
              <w:t>Boise City, ID-OR</w:t>
            </w:r>
          </w:p>
        </w:tc>
        <w:tc>
          <w:tcPr>
            <w:tcW w:w="2024" w:type="dxa"/>
            <w:tcBorders>
              <w:top w:val="nil"/>
              <w:left w:val="nil"/>
              <w:bottom w:val="nil"/>
              <w:right w:val="nil"/>
            </w:tcBorders>
            <w:shd w:val="clear" w:color="auto" w:fill="auto"/>
            <w:noWrap/>
            <w:vAlign w:val="bottom"/>
            <w:hideMark/>
          </w:tcPr>
          <w:p w:rsidR="00670D4D" w:rsidRPr="009F0E09" w:rsidP="00E9507C" w14:paraId="3B0FFB81" w14:textId="77777777">
            <w:pPr>
              <w:ind w:right="-604" w:firstLine="158"/>
              <w:rPr>
                <w:color w:val="000000"/>
                <w:kern w:val="0"/>
              </w:rPr>
            </w:pPr>
            <w:r w:rsidRPr="009F0E09">
              <w:rPr>
                <w:color w:val="000000"/>
                <w:kern w:val="0"/>
              </w:rPr>
              <w:t>C  </w:t>
            </w:r>
          </w:p>
        </w:tc>
      </w:tr>
      <w:tr w14:paraId="161243C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BDB4755" w14:textId="77777777">
            <w:pPr>
              <w:ind w:hanging="378"/>
              <w:jc w:val="center"/>
              <w:rPr>
                <w:color w:val="000000"/>
                <w:kern w:val="0"/>
              </w:rPr>
            </w:pPr>
            <w:r w:rsidRPr="009F0E09">
              <w:rPr>
                <w:color w:val="000000"/>
                <w:kern w:val="0"/>
              </w:rPr>
              <w:t>WPQQ232</w:t>
            </w:r>
          </w:p>
        </w:tc>
        <w:tc>
          <w:tcPr>
            <w:tcW w:w="1530" w:type="dxa"/>
            <w:tcBorders>
              <w:top w:val="nil"/>
              <w:left w:val="nil"/>
              <w:bottom w:val="nil"/>
              <w:right w:val="nil"/>
            </w:tcBorders>
            <w:shd w:val="clear" w:color="auto" w:fill="auto"/>
            <w:noWrap/>
            <w:vAlign w:val="bottom"/>
            <w:hideMark/>
          </w:tcPr>
          <w:p w:rsidR="00670D4D" w:rsidRPr="009F0E09" w:rsidP="00E9507C" w14:paraId="164C6192" w14:textId="77777777">
            <w:pPr>
              <w:rPr>
                <w:color w:val="000000"/>
                <w:kern w:val="0"/>
              </w:rPr>
            </w:pPr>
            <w:r w:rsidRPr="009F0E09">
              <w:rPr>
                <w:color w:val="000000"/>
                <w:kern w:val="0"/>
              </w:rPr>
              <w:t>BEA151 </w:t>
            </w:r>
          </w:p>
        </w:tc>
        <w:tc>
          <w:tcPr>
            <w:tcW w:w="4950" w:type="dxa"/>
            <w:tcBorders>
              <w:top w:val="nil"/>
              <w:left w:val="nil"/>
              <w:bottom w:val="nil"/>
              <w:right w:val="nil"/>
            </w:tcBorders>
            <w:shd w:val="clear" w:color="auto" w:fill="auto"/>
            <w:noWrap/>
            <w:vAlign w:val="bottom"/>
            <w:hideMark/>
          </w:tcPr>
          <w:p w:rsidR="00670D4D" w:rsidRPr="009F0E09" w:rsidP="00E9507C" w14:paraId="0B47E1C7" w14:textId="77777777">
            <w:pPr>
              <w:rPr>
                <w:color w:val="000000"/>
                <w:kern w:val="0"/>
              </w:rPr>
            </w:pPr>
            <w:r w:rsidRPr="009F0E09">
              <w:rPr>
                <w:color w:val="000000"/>
                <w:kern w:val="0"/>
              </w:rPr>
              <w:t>Reno, NV-CA</w:t>
            </w:r>
          </w:p>
        </w:tc>
        <w:tc>
          <w:tcPr>
            <w:tcW w:w="2024" w:type="dxa"/>
            <w:tcBorders>
              <w:top w:val="nil"/>
              <w:left w:val="nil"/>
              <w:bottom w:val="nil"/>
              <w:right w:val="nil"/>
            </w:tcBorders>
            <w:shd w:val="clear" w:color="auto" w:fill="auto"/>
            <w:noWrap/>
            <w:vAlign w:val="bottom"/>
            <w:hideMark/>
          </w:tcPr>
          <w:p w:rsidR="00670D4D" w:rsidRPr="009F0E09" w:rsidP="00E9507C" w14:paraId="5FAD4A8F" w14:textId="77777777">
            <w:pPr>
              <w:ind w:right="-604" w:firstLine="158"/>
              <w:rPr>
                <w:color w:val="000000"/>
                <w:kern w:val="0"/>
              </w:rPr>
            </w:pPr>
            <w:r w:rsidRPr="009F0E09">
              <w:rPr>
                <w:color w:val="000000"/>
                <w:kern w:val="0"/>
              </w:rPr>
              <w:t>B  </w:t>
            </w:r>
          </w:p>
        </w:tc>
      </w:tr>
      <w:tr w14:paraId="76C5AD8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5BF6F2D" w14:textId="77777777">
            <w:pPr>
              <w:ind w:hanging="378"/>
              <w:jc w:val="center"/>
              <w:rPr>
                <w:color w:val="000000"/>
                <w:kern w:val="0"/>
              </w:rPr>
            </w:pPr>
            <w:r w:rsidRPr="009F0E09">
              <w:rPr>
                <w:color w:val="000000"/>
                <w:kern w:val="0"/>
              </w:rPr>
              <w:t>WPQQ233</w:t>
            </w:r>
          </w:p>
        </w:tc>
        <w:tc>
          <w:tcPr>
            <w:tcW w:w="1530" w:type="dxa"/>
            <w:tcBorders>
              <w:top w:val="nil"/>
              <w:left w:val="nil"/>
              <w:bottom w:val="nil"/>
              <w:right w:val="nil"/>
            </w:tcBorders>
            <w:shd w:val="clear" w:color="auto" w:fill="auto"/>
            <w:noWrap/>
            <w:vAlign w:val="bottom"/>
            <w:hideMark/>
          </w:tcPr>
          <w:p w:rsidR="00670D4D" w:rsidRPr="009F0E09" w:rsidP="00E9507C" w14:paraId="2C190689" w14:textId="77777777">
            <w:pPr>
              <w:rPr>
                <w:color w:val="000000"/>
                <w:kern w:val="0"/>
              </w:rPr>
            </w:pPr>
            <w:r w:rsidRPr="009F0E09">
              <w:rPr>
                <w:color w:val="000000"/>
                <w:kern w:val="0"/>
              </w:rPr>
              <w:t>BEA151 </w:t>
            </w:r>
          </w:p>
        </w:tc>
        <w:tc>
          <w:tcPr>
            <w:tcW w:w="4950" w:type="dxa"/>
            <w:tcBorders>
              <w:top w:val="nil"/>
              <w:left w:val="nil"/>
              <w:bottom w:val="nil"/>
              <w:right w:val="nil"/>
            </w:tcBorders>
            <w:shd w:val="clear" w:color="auto" w:fill="auto"/>
            <w:noWrap/>
            <w:vAlign w:val="bottom"/>
            <w:hideMark/>
          </w:tcPr>
          <w:p w:rsidR="00670D4D" w:rsidRPr="009F0E09" w:rsidP="00E9507C" w14:paraId="571C92E8" w14:textId="77777777">
            <w:pPr>
              <w:rPr>
                <w:color w:val="000000"/>
                <w:kern w:val="0"/>
              </w:rPr>
            </w:pPr>
            <w:r w:rsidRPr="009F0E09">
              <w:rPr>
                <w:color w:val="000000"/>
                <w:kern w:val="0"/>
              </w:rPr>
              <w:t>Reno, NV-CA</w:t>
            </w:r>
          </w:p>
        </w:tc>
        <w:tc>
          <w:tcPr>
            <w:tcW w:w="2024" w:type="dxa"/>
            <w:tcBorders>
              <w:top w:val="nil"/>
              <w:left w:val="nil"/>
              <w:bottom w:val="nil"/>
              <w:right w:val="nil"/>
            </w:tcBorders>
            <w:shd w:val="clear" w:color="auto" w:fill="auto"/>
            <w:noWrap/>
            <w:vAlign w:val="bottom"/>
            <w:hideMark/>
          </w:tcPr>
          <w:p w:rsidR="00670D4D" w:rsidRPr="009F0E09" w:rsidP="00E9507C" w14:paraId="7E3C9FA6" w14:textId="77777777">
            <w:pPr>
              <w:ind w:right="-604" w:firstLine="158"/>
              <w:rPr>
                <w:color w:val="000000"/>
                <w:kern w:val="0"/>
              </w:rPr>
            </w:pPr>
            <w:r w:rsidRPr="009F0E09">
              <w:rPr>
                <w:color w:val="000000"/>
                <w:kern w:val="0"/>
              </w:rPr>
              <w:t>C  </w:t>
            </w:r>
          </w:p>
        </w:tc>
      </w:tr>
      <w:tr w14:paraId="0A37F965"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89FB2A5" w14:textId="77777777">
            <w:pPr>
              <w:ind w:hanging="378"/>
              <w:jc w:val="center"/>
              <w:rPr>
                <w:color w:val="000000"/>
                <w:kern w:val="0"/>
              </w:rPr>
            </w:pPr>
            <w:r w:rsidRPr="009F0E09">
              <w:rPr>
                <w:color w:val="000000"/>
                <w:kern w:val="0"/>
              </w:rPr>
              <w:t>WPQQ238</w:t>
            </w:r>
          </w:p>
        </w:tc>
        <w:tc>
          <w:tcPr>
            <w:tcW w:w="1530" w:type="dxa"/>
            <w:tcBorders>
              <w:top w:val="nil"/>
              <w:left w:val="nil"/>
              <w:bottom w:val="nil"/>
              <w:right w:val="nil"/>
            </w:tcBorders>
            <w:shd w:val="clear" w:color="auto" w:fill="auto"/>
            <w:noWrap/>
            <w:vAlign w:val="bottom"/>
            <w:hideMark/>
          </w:tcPr>
          <w:p w:rsidR="00670D4D" w:rsidRPr="009F0E09" w:rsidP="00E9507C" w14:paraId="4195353D" w14:textId="77777777">
            <w:pPr>
              <w:rPr>
                <w:color w:val="000000"/>
                <w:kern w:val="0"/>
              </w:rPr>
            </w:pPr>
            <w:r w:rsidRPr="009F0E09">
              <w:rPr>
                <w:color w:val="000000"/>
                <w:kern w:val="0"/>
              </w:rPr>
              <w:t>BEA156 </w:t>
            </w:r>
          </w:p>
        </w:tc>
        <w:tc>
          <w:tcPr>
            <w:tcW w:w="4950" w:type="dxa"/>
            <w:tcBorders>
              <w:top w:val="nil"/>
              <w:left w:val="nil"/>
              <w:bottom w:val="nil"/>
              <w:right w:val="nil"/>
            </w:tcBorders>
            <w:shd w:val="clear" w:color="auto" w:fill="auto"/>
            <w:noWrap/>
            <w:vAlign w:val="bottom"/>
            <w:hideMark/>
          </w:tcPr>
          <w:p w:rsidR="00670D4D" w:rsidRPr="009F0E09" w:rsidP="00E9507C" w14:paraId="14284213" w14:textId="77777777">
            <w:pPr>
              <w:rPr>
                <w:color w:val="000000"/>
                <w:kern w:val="0"/>
              </w:rPr>
            </w:pPr>
            <w:r w:rsidRPr="009F0E09">
              <w:rPr>
                <w:color w:val="000000"/>
                <w:kern w:val="0"/>
              </w:rPr>
              <w:t>Albuquerque, NM-AZ</w:t>
            </w:r>
          </w:p>
        </w:tc>
        <w:tc>
          <w:tcPr>
            <w:tcW w:w="2024" w:type="dxa"/>
            <w:tcBorders>
              <w:top w:val="nil"/>
              <w:left w:val="nil"/>
              <w:bottom w:val="nil"/>
              <w:right w:val="nil"/>
            </w:tcBorders>
            <w:shd w:val="clear" w:color="auto" w:fill="auto"/>
            <w:noWrap/>
            <w:vAlign w:val="bottom"/>
            <w:hideMark/>
          </w:tcPr>
          <w:p w:rsidR="00670D4D" w:rsidRPr="009F0E09" w:rsidP="00E9507C" w14:paraId="677B8F5E" w14:textId="77777777">
            <w:pPr>
              <w:ind w:right="-604" w:firstLine="158"/>
              <w:rPr>
                <w:color w:val="000000"/>
                <w:kern w:val="0"/>
              </w:rPr>
            </w:pPr>
            <w:r w:rsidRPr="009F0E09">
              <w:rPr>
                <w:color w:val="000000"/>
                <w:kern w:val="0"/>
              </w:rPr>
              <w:t>B  </w:t>
            </w:r>
          </w:p>
        </w:tc>
      </w:tr>
      <w:tr w14:paraId="72310A66"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0674EEA" w14:textId="77777777">
            <w:pPr>
              <w:ind w:hanging="378"/>
              <w:jc w:val="center"/>
              <w:rPr>
                <w:color w:val="000000"/>
                <w:kern w:val="0"/>
              </w:rPr>
            </w:pPr>
            <w:r w:rsidRPr="009F0E09">
              <w:rPr>
                <w:color w:val="000000"/>
                <w:kern w:val="0"/>
              </w:rPr>
              <w:t>WPQQ239</w:t>
            </w:r>
          </w:p>
        </w:tc>
        <w:tc>
          <w:tcPr>
            <w:tcW w:w="1530" w:type="dxa"/>
            <w:tcBorders>
              <w:top w:val="nil"/>
              <w:left w:val="nil"/>
              <w:bottom w:val="nil"/>
              <w:right w:val="nil"/>
            </w:tcBorders>
            <w:shd w:val="clear" w:color="auto" w:fill="auto"/>
            <w:noWrap/>
            <w:vAlign w:val="bottom"/>
            <w:hideMark/>
          </w:tcPr>
          <w:p w:rsidR="00670D4D" w:rsidRPr="009F0E09" w:rsidP="00E9507C" w14:paraId="364B3BD4" w14:textId="77777777">
            <w:pPr>
              <w:rPr>
                <w:color w:val="000000"/>
                <w:kern w:val="0"/>
              </w:rPr>
            </w:pPr>
            <w:r w:rsidRPr="009F0E09">
              <w:rPr>
                <w:color w:val="000000"/>
                <w:kern w:val="0"/>
              </w:rPr>
              <w:t>BEA156 </w:t>
            </w:r>
          </w:p>
        </w:tc>
        <w:tc>
          <w:tcPr>
            <w:tcW w:w="4950" w:type="dxa"/>
            <w:tcBorders>
              <w:top w:val="nil"/>
              <w:left w:val="nil"/>
              <w:bottom w:val="nil"/>
              <w:right w:val="nil"/>
            </w:tcBorders>
            <w:shd w:val="clear" w:color="auto" w:fill="auto"/>
            <w:noWrap/>
            <w:vAlign w:val="bottom"/>
            <w:hideMark/>
          </w:tcPr>
          <w:p w:rsidR="00670D4D" w:rsidRPr="009F0E09" w:rsidP="00E9507C" w14:paraId="7F42FF2A" w14:textId="77777777">
            <w:pPr>
              <w:rPr>
                <w:color w:val="000000"/>
                <w:kern w:val="0"/>
              </w:rPr>
            </w:pPr>
            <w:r w:rsidRPr="009F0E09">
              <w:rPr>
                <w:color w:val="000000"/>
                <w:kern w:val="0"/>
              </w:rPr>
              <w:t>Albuquerque, NM-AZ</w:t>
            </w:r>
          </w:p>
        </w:tc>
        <w:tc>
          <w:tcPr>
            <w:tcW w:w="2024" w:type="dxa"/>
            <w:tcBorders>
              <w:top w:val="nil"/>
              <w:left w:val="nil"/>
              <w:bottom w:val="nil"/>
              <w:right w:val="nil"/>
            </w:tcBorders>
            <w:shd w:val="clear" w:color="auto" w:fill="auto"/>
            <w:noWrap/>
            <w:vAlign w:val="bottom"/>
            <w:hideMark/>
          </w:tcPr>
          <w:p w:rsidR="00670D4D" w:rsidRPr="009F0E09" w:rsidP="00E9507C" w14:paraId="4843F594" w14:textId="77777777">
            <w:pPr>
              <w:ind w:right="-604" w:firstLine="158"/>
              <w:rPr>
                <w:color w:val="000000"/>
                <w:kern w:val="0"/>
              </w:rPr>
            </w:pPr>
            <w:r w:rsidRPr="009F0E09">
              <w:rPr>
                <w:color w:val="000000"/>
                <w:kern w:val="0"/>
              </w:rPr>
              <w:t>C  </w:t>
            </w:r>
          </w:p>
        </w:tc>
      </w:tr>
      <w:tr w14:paraId="1BA1666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E68F0E0" w14:textId="77777777">
            <w:pPr>
              <w:ind w:hanging="378"/>
              <w:jc w:val="center"/>
              <w:rPr>
                <w:color w:val="000000"/>
                <w:kern w:val="0"/>
              </w:rPr>
            </w:pPr>
            <w:r w:rsidRPr="009F0E09">
              <w:rPr>
                <w:color w:val="000000"/>
                <w:kern w:val="0"/>
              </w:rPr>
              <w:t>WPQQ240</w:t>
            </w:r>
          </w:p>
        </w:tc>
        <w:tc>
          <w:tcPr>
            <w:tcW w:w="1530" w:type="dxa"/>
            <w:tcBorders>
              <w:top w:val="nil"/>
              <w:left w:val="nil"/>
              <w:bottom w:val="nil"/>
              <w:right w:val="nil"/>
            </w:tcBorders>
            <w:shd w:val="clear" w:color="auto" w:fill="auto"/>
            <w:noWrap/>
            <w:vAlign w:val="bottom"/>
            <w:hideMark/>
          </w:tcPr>
          <w:p w:rsidR="00670D4D" w:rsidRPr="009F0E09" w:rsidP="00E9507C" w14:paraId="7AEDAB18" w14:textId="77777777">
            <w:pPr>
              <w:rPr>
                <w:color w:val="000000"/>
                <w:kern w:val="0"/>
              </w:rPr>
            </w:pPr>
            <w:r w:rsidRPr="009F0E09">
              <w:rPr>
                <w:color w:val="000000"/>
                <w:kern w:val="0"/>
              </w:rPr>
              <w:t>BEA157 </w:t>
            </w:r>
          </w:p>
        </w:tc>
        <w:tc>
          <w:tcPr>
            <w:tcW w:w="4950" w:type="dxa"/>
            <w:tcBorders>
              <w:top w:val="nil"/>
              <w:left w:val="nil"/>
              <w:bottom w:val="nil"/>
              <w:right w:val="nil"/>
            </w:tcBorders>
            <w:shd w:val="clear" w:color="auto" w:fill="auto"/>
            <w:noWrap/>
            <w:vAlign w:val="bottom"/>
            <w:hideMark/>
          </w:tcPr>
          <w:p w:rsidR="00670D4D" w:rsidRPr="009F0E09" w:rsidP="00E9507C" w14:paraId="0AC9C33D" w14:textId="77777777">
            <w:pPr>
              <w:rPr>
                <w:color w:val="000000"/>
                <w:kern w:val="0"/>
              </w:rPr>
            </w:pPr>
            <w:r w:rsidRPr="009F0E09">
              <w:rPr>
                <w:color w:val="000000"/>
                <w:kern w:val="0"/>
              </w:rPr>
              <w:t>El Paso, TX-NM</w:t>
            </w:r>
          </w:p>
        </w:tc>
        <w:tc>
          <w:tcPr>
            <w:tcW w:w="2024" w:type="dxa"/>
            <w:tcBorders>
              <w:top w:val="nil"/>
              <w:left w:val="nil"/>
              <w:bottom w:val="nil"/>
              <w:right w:val="nil"/>
            </w:tcBorders>
            <w:shd w:val="clear" w:color="auto" w:fill="auto"/>
            <w:noWrap/>
            <w:vAlign w:val="bottom"/>
            <w:hideMark/>
          </w:tcPr>
          <w:p w:rsidR="00670D4D" w:rsidRPr="009F0E09" w:rsidP="00E9507C" w14:paraId="7953B706" w14:textId="77777777">
            <w:pPr>
              <w:ind w:right="-604" w:firstLine="158"/>
              <w:rPr>
                <w:color w:val="000000"/>
                <w:kern w:val="0"/>
              </w:rPr>
            </w:pPr>
            <w:r w:rsidRPr="009F0E09">
              <w:rPr>
                <w:color w:val="000000"/>
                <w:kern w:val="0"/>
              </w:rPr>
              <w:t>B  </w:t>
            </w:r>
          </w:p>
        </w:tc>
      </w:tr>
      <w:tr w14:paraId="07E8463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9E255C3" w14:textId="77777777">
            <w:pPr>
              <w:ind w:hanging="378"/>
              <w:jc w:val="center"/>
              <w:rPr>
                <w:color w:val="000000"/>
                <w:kern w:val="0"/>
              </w:rPr>
            </w:pPr>
            <w:r w:rsidRPr="009F0E09">
              <w:rPr>
                <w:color w:val="000000"/>
                <w:kern w:val="0"/>
              </w:rPr>
              <w:t>WPQQ241</w:t>
            </w:r>
          </w:p>
        </w:tc>
        <w:tc>
          <w:tcPr>
            <w:tcW w:w="1530" w:type="dxa"/>
            <w:tcBorders>
              <w:top w:val="nil"/>
              <w:left w:val="nil"/>
              <w:bottom w:val="nil"/>
              <w:right w:val="nil"/>
            </w:tcBorders>
            <w:shd w:val="clear" w:color="auto" w:fill="auto"/>
            <w:noWrap/>
            <w:vAlign w:val="bottom"/>
            <w:hideMark/>
          </w:tcPr>
          <w:p w:rsidR="00670D4D" w:rsidRPr="009F0E09" w:rsidP="00E9507C" w14:paraId="1B00D33D" w14:textId="77777777">
            <w:pPr>
              <w:rPr>
                <w:color w:val="000000"/>
                <w:kern w:val="0"/>
              </w:rPr>
            </w:pPr>
            <w:r w:rsidRPr="009F0E09">
              <w:rPr>
                <w:color w:val="000000"/>
                <w:kern w:val="0"/>
              </w:rPr>
              <w:t>BEA157 </w:t>
            </w:r>
          </w:p>
        </w:tc>
        <w:tc>
          <w:tcPr>
            <w:tcW w:w="4950" w:type="dxa"/>
            <w:tcBorders>
              <w:top w:val="nil"/>
              <w:left w:val="nil"/>
              <w:bottom w:val="nil"/>
              <w:right w:val="nil"/>
            </w:tcBorders>
            <w:shd w:val="clear" w:color="auto" w:fill="auto"/>
            <w:noWrap/>
            <w:vAlign w:val="bottom"/>
            <w:hideMark/>
          </w:tcPr>
          <w:p w:rsidR="00670D4D" w:rsidRPr="009F0E09" w:rsidP="00E9507C" w14:paraId="09B483E2" w14:textId="77777777">
            <w:pPr>
              <w:rPr>
                <w:color w:val="000000"/>
                <w:kern w:val="0"/>
              </w:rPr>
            </w:pPr>
            <w:r w:rsidRPr="009F0E09">
              <w:rPr>
                <w:color w:val="000000"/>
                <w:kern w:val="0"/>
              </w:rPr>
              <w:t>El Paso, TX-NM</w:t>
            </w:r>
          </w:p>
        </w:tc>
        <w:tc>
          <w:tcPr>
            <w:tcW w:w="2024" w:type="dxa"/>
            <w:tcBorders>
              <w:top w:val="nil"/>
              <w:left w:val="nil"/>
              <w:bottom w:val="nil"/>
              <w:right w:val="nil"/>
            </w:tcBorders>
            <w:shd w:val="clear" w:color="auto" w:fill="auto"/>
            <w:noWrap/>
            <w:vAlign w:val="bottom"/>
            <w:hideMark/>
          </w:tcPr>
          <w:p w:rsidR="00670D4D" w:rsidRPr="009F0E09" w:rsidP="00E9507C" w14:paraId="6D343BD5" w14:textId="77777777">
            <w:pPr>
              <w:ind w:right="-604" w:firstLine="158"/>
              <w:rPr>
                <w:color w:val="000000"/>
                <w:kern w:val="0"/>
              </w:rPr>
            </w:pPr>
            <w:r w:rsidRPr="009F0E09">
              <w:rPr>
                <w:color w:val="000000"/>
                <w:kern w:val="0"/>
              </w:rPr>
              <w:t>C  </w:t>
            </w:r>
          </w:p>
        </w:tc>
      </w:tr>
      <w:tr w14:paraId="2EC9D18C"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4D9FB0D" w14:textId="77777777">
            <w:pPr>
              <w:ind w:hanging="378"/>
              <w:jc w:val="center"/>
              <w:rPr>
                <w:color w:val="000000"/>
                <w:kern w:val="0"/>
              </w:rPr>
            </w:pPr>
            <w:r w:rsidRPr="009F0E09">
              <w:rPr>
                <w:color w:val="000000"/>
                <w:kern w:val="0"/>
              </w:rPr>
              <w:t>WPQQ244</w:t>
            </w:r>
          </w:p>
        </w:tc>
        <w:tc>
          <w:tcPr>
            <w:tcW w:w="1530" w:type="dxa"/>
            <w:tcBorders>
              <w:top w:val="nil"/>
              <w:left w:val="nil"/>
              <w:bottom w:val="nil"/>
              <w:right w:val="nil"/>
            </w:tcBorders>
            <w:shd w:val="clear" w:color="auto" w:fill="auto"/>
            <w:noWrap/>
            <w:vAlign w:val="bottom"/>
            <w:hideMark/>
          </w:tcPr>
          <w:p w:rsidR="00670D4D" w:rsidRPr="009F0E09" w:rsidP="00E9507C" w14:paraId="69810A78" w14:textId="77777777">
            <w:pPr>
              <w:rPr>
                <w:color w:val="000000"/>
                <w:kern w:val="0"/>
              </w:rPr>
            </w:pPr>
            <w:r w:rsidRPr="009F0E09">
              <w:rPr>
                <w:color w:val="000000"/>
                <w:kern w:val="0"/>
              </w:rPr>
              <w:t>BEA159 </w:t>
            </w:r>
          </w:p>
        </w:tc>
        <w:tc>
          <w:tcPr>
            <w:tcW w:w="4950" w:type="dxa"/>
            <w:tcBorders>
              <w:top w:val="nil"/>
              <w:left w:val="nil"/>
              <w:bottom w:val="nil"/>
              <w:right w:val="nil"/>
            </w:tcBorders>
            <w:shd w:val="clear" w:color="auto" w:fill="auto"/>
            <w:noWrap/>
            <w:vAlign w:val="bottom"/>
            <w:hideMark/>
          </w:tcPr>
          <w:p w:rsidR="00670D4D" w:rsidRPr="009F0E09" w:rsidP="00E9507C" w14:paraId="167B9B67" w14:textId="77777777">
            <w:pPr>
              <w:rPr>
                <w:color w:val="000000"/>
                <w:kern w:val="0"/>
              </w:rPr>
            </w:pPr>
            <w:r w:rsidRPr="009F0E09">
              <w:rPr>
                <w:color w:val="000000"/>
                <w:kern w:val="0"/>
              </w:rPr>
              <w:t>Tucson, AZ</w:t>
            </w:r>
          </w:p>
        </w:tc>
        <w:tc>
          <w:tcPr>
            <w:tcW w:w="2024" w:type="dxa"/>
            <w:tcBorders>
              <w:top w:val="nil"/>
              <w:left w:val="nil"/>
              <w:bottom w:val="nil"/>
              <w:right w:val="nil"/>
            </w:tcBorders>
            <w:shd w:val="clear" w:color="auto" w:fill="auto"/>
            <w:noWrap/>
            <w:vAlign w:val="bottom"/>
            <w:hideMark/>
          </w:tcPr>
          <w:p w:rsidR="00670D4D" w:rsidRPr="009F0E09" w:rsidP="00E9507C" w14:paraId="1F0570EC" w14:textId="77777777">
            <w:pPr>
              <w:ind w:right="-604" w:firstLine="158"/>
              <w:rPr>
                <w:color w:val="000000"/>
                <w:kern w:val="0"/>
              </w:rPr>
            </w:pPr>
            <w:r w:rsidRPr="009F0E09">
              <w:rPr>
                <w:color w:val="000000"/>
                <w:kern w:val="0"/>
              </w:rPr>
              <w:t>B  </w:t>
            </w:r>
          </w:p>
        </w:tc>
      </w:tr>
      <w:tr w14:paraId="07D075A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F78AA19" w14:textId="77777777">
            <w:pPr>
              <w:ind w:hanging="378"/>
              <w:jc w:val="center"/>
              <w:rPr>
                <w:color w:val="000000"/>
                <w:kern w:val="0"/>
              </w:rPr>
            </w:pPr>
            <w:r w:rsidRPr="009F0E09">
              <w:rPr>
                <w:color w:val="000000"/>
                <w:kern w:val="0"/>
              </w:rPr>
              <w:t>WPQQ245</w:t>
            </w:r>
          </w:p>
        </w:tc>
        <w:tc>
          <w:tcPr>
            <w:tcW w:w="1530" w:type="dxa"/>
            <w:tcBorders>
              <w:top w:val="nil"/>
              <w:left w:val="nil"/>
              <w:bottom w:val="nil"/>
              <w:right w:val="nil"/>
            </w:tcBorders>
            <w:shd w:val="clear" w:color="auto" w:fill="auto"/>
            <w:noWrap/>
            <w:vAlign w:val="bottom"/>
            <w:hideMark/>
          </w:tcPr>
          <w:p w:rsidR="00670D4D" w:rsidRPr="009F0E09" w:rsidP="00E9507C" w14:paraId="23224A70" w14:textId="77777777">
            <w:pPr>
              <w:rPr>
                <w:color w:val="000000"/>
                <w:kern w:val="0"/>
              </w:rPr>
            </w:pPr>
            <w:r w:rsidRPr="009F0E09">
              <w:rPr>
                <w:color w:val="000000"/>
                <w:kern w:val="0"/>
              </w:rPr>
              <w:t>BEA159 </w:t>
            </w:r>
          </w:p>
        </w:tc>
        <w:tc>
          <w:tcPr>
            <w:tcW w:w="4950" w:type="dxa"/>
            <w:tcBorders>
              <w:top w:val="nil"/>
              <w:left w:val="nil"/>
              <w:bottom w:val="nil"/>
              <w:right w:val="nil"/>
            </w:tcBorders>
            <w:shd w:val="clear" w:color="auto" w:fill="auto"/>
            <w:noWrap/>
            <w:vAlign w:val="bottom"/>
            <w:hideMark/>
          </w:tcPr>
          <w:p w:rsidR="00670D4D" w:rsidRPr="009F0E09" w:rsidP="00E9507C" w14:paraId="758E7DDB" w14:textId="77777777">
            <w:pPr>
              <w:rPr>
                <w:color w:val="000000"/>
                <w:kern w:val="0"/>
              </w:rPr>
            </w:pPr>
            <w:r w:rsidRPr="009F0E09">
              <w:rPr>
                <w:color w:val="000000"/>
                <w:kern w:val="0"/>
              </w:rPr>
              <w:t>Tucson, AZ</w:t>
            </w:r>
          </w:p>
        </w:tc>
        <w:tc>
          <w:tcPr>
            <w:tcW w:w="2024" w:type="dxa"/>
            <w:tcBorders>
              <w:top w:val="nil"/>
              <w:left w:val="nil"/>
              <w:bottom w:val="nil"/>
              <w:right w:val="nil"/>
            </w:tcBorders>
            <w:shd w:val="clear" w:color="auto" w:fill="auto"/>
            <w:noWrap/>
            <w:vAlign w:val="bottom"/>
            <w:hideMark/>
          </w:tcPr>
          <w:p w:rsidR="00670D4D" w:rsidRPr="009F0E09" w:rsidP="00E9507C" w14:paraId="767F2C39" w14:textId="77777777">
            <w:pPr>
              <w:ind w:right="-604" w:firstLine="158"/>
              <w:rPr>
                <w:color w:val="000000"/>
                <w:kern w:val="0"/>
              </w:rPr>
            </w:pPr>
            <w:r w:rsidRPr="009F0E09">
              <w:rPr>
                <w:color w:val="000000"/>
                <w:kern w:val="0"/>
              </w:rPr>
              <w:t>C  </w:t>
            </w:r>
          </w:p>
        </w:tc>
      </w:tr>
      <w:tr w14:paraId="129AB1C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33F4822" w14:textId="77777777">
            <w:pPr>
              <w:ind w:hanging="378"/>
              <w:jc w:val="center"/>
              <w:rPr>
                <w:color w:val="000000"/>
                <w:kern w:val="0"/>
              </w:rPr>
            </w:pPr>
            <w:r w:rsidRPr="009F0E09">
              <w:rPr>
                <w:color w:val="000000"/>
                <w:kern w:val="0"/>
              </w:rPr>
              <w:t>WPQQ250</w:t>
            </w:r>
          </w:p>
        </w:tc>
        <w:tc>
          <w:tcPr>
            <w:tcW w:w="1530" w:type="dxa"/>
            <w:tcBorders>
              <w:top w:val="nil"/>
              <w:left w:val="nil"/>
              <w:bottom w:val="nil"/>
              <w:right w:val="nil"/>
            </w:tcBorders>
            <w:shd w:val="clear" w:color="auto" w:fill="auto"/>
            <w:noWrap/>
            <w:vAlign w:val="bottom"/>
            <w:hideMark/>
          </w:tcPr>
          <w:p w:rsidR="00670D4D" w:rsidRPr="009F0E09" w:rsidP="00E9507C" w14:paraId="0DBF3BD6" w14:textId="77777777">
            <w:pPr>
              <w:rPr>
                <w:color w:val="000000"/>
                <w:kern w:val="0"/>
              </w:rPr>
            </w:pPr>
            <w:r w:rsidRPr="009F0E09">
              <w:rPr>
                <w:color w:val="000000"/>
                <w:kern w:val="0"/>
              </w:rPr>
              <w:t>BEA162 </w:t>
            </w:r>
          </w:p>
        </w:tc>
        <w:tc>
          <w:tcPr>
            <w:tcW w:w="4950" w:type="dxa"/>
            <w:tcBorders>
              <w:top w:val="nil"/>
              <w:left w:val="nil"/>
              <w:bottom w:val="nil"/>
              <w:right w:val="nil"/>
            </w:tcBorders>
            <w:shd w:val="clear" w:color="auto" w:fill="auto"/>
            <w:noWrap/>
            <w:vAlign w:val="bottom"/>
            <w:hideMark/>
          </w:tcPr>
          <w:p w:rsidR="00670D4D" w:rsidRPr="009F0E09" w:rsidP="00E9507C" w14:paraId="7C674167" w14:textId="77777777">
            <w:pPr>
              <w:rPr>
                <w:color w:val="000000"/>
                <w:kern w:val="0"/>
              </w:rPr>
            </w:pPr>
            <w:r w:rsidRPr="009F0E09">
              <w:rPr>
                <w:color w:val="000000"/>
                <w:kern w:val="0"/>
              </w:rPr>
              <w:t>Fresno, CA</w:t>
            </w:r>
          </w:p>
        </w:tc>
        <w:tc>
          <w:tcPr>
            <w:tcW w:w="2024" w:type="dxa"/>
            <w:tcBorders>
              <w:top w:val="nil"/>
              <w:left w:val="nil"/>
              <w:bottom w:val="nil"/>
              <w:right w:val="nil"/>
            </w:tcBorders>
            <w:shd w:val="clear" w:color="auto" w:fill="auto"/>
            <w:noWrap/>
            <w:vAlign w:val="bottom"/>
            <w:hideMark/>
          </w:tcPr>
          <w:p w:rsidR="00670D4D" w:rsidRPr="009F0E09" w:rsidP="00E9507C" w14:paraId="20450342" w14:textId="77777777">
            <w:pPr>
              <w:ind w:right="-604" w:firstLine="158"/>
              <w:rPr>
                <w:color w:val="000000"/>
                <w:kern w:val="0"/>
              </w:rPr>
            </w:pPr>
            <w:r w:rsidRPr="009F0E09">
              <w:rPr>
                <w:color w:val="000000"/>
                <w:kern w:val="0"/>
              </w:rPr>
              <w:t>B  </w:t>
            </w:r>
          </w:p>
        </w:tc>
      </w:tr>
      <w:tr w14:paraId="2718264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3A1E41F" w14:textId="77777777">
            <w:pPr>
              <w:ind w:hanging="378"/>
              <w:jc w:val="center"/>
              <w:rPr>
                <w:color w:val="000000"/>
                <w:kern w:val="0"/>
              </w:rPr>
            </w:pPr>
            <w:r w:rsidRPr="009F0E09">
              <w:rPr>
                <w:color w:val="000000"/>
                <w:kern w:val="0"/>
              </w:rPr>
              <w:t>WPQQ251</w:t>
            </w:r>
          </w:p>
        </w:tc>
        <w:tc>
          <w:tcPr>
            <w:tcW w:w="1530" w:type="dxa"/>
            <w:tcBorders>
              <w:top w:val="nil"/>
              <w:left w:val="nil"/>
              <w:bottom w:val="nil"/>
              <w:right w:val="nil"/>
            </w:tcBorders>
            <w:shd w:val="clear" w:color="auto" w:fill="auto"/>
            <w:noWrap/>
            <w:vAlign w:val="bottom"/>
            <w:hideMark/>
          </w:tcPr>
          <w:p w:rsidR="00670D4D" w:rsidRPr="009F0E09" w:rsidP="00E9507C" w14:paraId="04B95D25" w14:textId="77777777">
            <w:pPr>
              <w:rPr>
                <w:color w:val="000000"/>
                <w:kern w:val="0"/>
              </w:rPr>
            </w:pPr>
            <w:r w:rsidRPr="009F0E09">
              <w:rPr>
                <w:color w:val="000000"/>
                <w:kern w:val="0"/>
              </w:rPr>
              <w:t>BEA162 </w:t>
            </w:r>
          </w:p>
        </w:tc>
        <w:tc>
          <w:tcPr>
            <w:tcW w:w="4950" w:type="dxa"/>
            <w:tcBorders>
              <w:top w:val="nil"/>
              <w:left w:val="nil"/>
              <w:bottom w:val="nil"/>
              <w:right w:val="nil"/>
            </w:tcBorders>
            <w:shd w:val="clear" w:color="auto" w:fill="auto"/>
            <w:noWrap/>
            <w:vAlign w:val="bottom"/>
            <w:hideMark/>
          </w:tcPr>
          <w:p w:rsidR="00670D4D" w:rsidRPr="009F0E09" w:rsidP="00E9507C" w14:paraId="56370CC9" w14:textId="77777777">
            <w:pPr>
              <w:rPr>
                <w:color w:val="000000"/>
                <w:kern w:val="0"/>
              </w:rPr>
            </w:pPr>
            <w:r w:rsidRPr="009F0E09">
              <w:rPr>
                <w:color w:val="000000"/>
                <w:kern w:val="0"/>
              </w:rPr>
              <w:t>Fresno, CA</w:t>
            </w:r>
          </w:p>
        </w:tc>
        <w:tc>
          <w:tcPr>
            <w:tcW w:w="2024" w:type="dxa"/>
            <w:tcBorders>
              <w:top w:val="nil"/>
              <w:left w:val="nil"/>
              <w:bottom w:val="nil"/>
              <w:right w:val="nil"/>
            </w:tcBorders>
            <w:shd w:val="clear" w:color="auto" w:fill="auto"/>
            <w:noWrap/>
            <w:vAlign w:val="bottom"/>
            <w:hideMark/>
          </w:tcPr>
          <w:p w:rsidR="00670D4D" w:rsidRPr="009F0E09" w:rsidP="00E9507C" w14:paraId="18F26BA4" w14:textId="77777777">
            <w:pPr>
              <w:ind w:right="-604" w:firstLine="158"/>
              <w:rPr>
                <w:color w:val="000000"/>
                <w:kern w:val="0"/>
              </w:rPr>
            </w:pPr>
            <w:r w:rsidRPr="009F0E09">
              <w:rPr>
                <w:color w:val="000000"/>
                <w:kern w:val="0"/>
              </w:rPr>
              <w:t>C  </w:t>
            </w:r>
          </w:p>
        </w:tc>
      </w:tr>
      <w:tr w14:paraId="0F6040B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6481585E" w14:textId="77777777">
            <w:pPr>
              <w:ind w:hanging="378"/>
              <w:jc w:val="center"/>
              <w:rPr>
                <w:color w:val="000000"/>
                <w:kern w:val="0"/>
              </w:rPr>
            </w:pPr>
            <w:r w:rsidRPr="009F0E09">
              <w:rPr>
                <w:color w:val="000000"/>
                <w:kern w:val="0"/>
              </w:rPr>
              <w:t>WPQQ255</w:t>
            </w:r>
          </w:p>
        </w:tc>
        <w:tc>
          <w:tcPr>
            <w:tcW w:w="1530" w:type="dxa"/>
            <w:tcBorders>
              <w:top w:val="nil"/>
              <w:left w:val="nil"/>
              <w:bottom w:val="nil"/>
              <w:right w:val="nil"/>
            </w:tcBorders>
            <w:shd w:val="clear" w:color="auto" w:fill="auto"/>
            <w:noWrap/>
            <w:vAlign w:val="bottom"/>
            <w:hideMark/>
          </w:tcPr>
          <w:p w:rsidR="00670D4D" w:rsidRPr="009F0E09" w:rsidP="00E9507C" w14:paraId="5128018A" w14:textId="77777777">
            <w:pPr>
              <w:rPr>
                <w:color w:val="000000"/>
                <w:kern w:val="0"/>
              </w:rPr>
            </w:pPr>
            <w:r w:rsidRPr="009F0E09">
              <w:rPr>
                <w:color w:val="000000"/>
                <w:kern w:val="0"/>
              </w:rPr>
              <w:t>BEA166 </w:t>
            </w:r>
          </w:p>
        </w:tc>
        <w:tc>
          <w:tcPr>
            <w:tcW w:w="4950" w:type="dxa"/>
            <w:tcBorders>
              <w:top w:val="nil"/>
              <w:left w:val="nil"/>
              <w:bottom w:val="nil"/>
              <w:right w:val="nil"/>
            </w:tcBorders>
            <w:shd w:val="clear" w:color="auto" w:fill="auto"/>
            <w:noWrap/>
            <w:vAlign w:val="bottom"/>
            <w:hideMark/>
          </w:tcPr>
          <w:p w:rsidR="00670D4D" w:rsidRPr="009F0E09" w:rsidP="00E9507C" w14:paraId="06CFDA7C" w14:textId="77777777">
            <w:pPr>
              <w:rPr>
                <w:color w:val="000000"/>
                <w:kern w:val="0"/>
              </w:rPr>
            </w:pPr>
            <w:r w:rsidRPr="009F0E09">
              <w:rPr>
                <w:color w:val="000000"/>
                <w:kern w:val="0"/>
              </w:rPr>
              <w:t>Eugene-Springfield, OR-CA</w:t>
            </w:r>
          </w:p>
        </w:tc>
        <w:tc>
          <w:tcPr>
            <w:tcW w:w="2024" w:type="dxa"/>
            <w:tcBorders>
              <w:top w:val="nil"/>
              <w:left w:val="nil"/>
              <w:bottom w:val="nil"/>
              <w:right w:val="nil"/>
            </w:tcBorders>
            <w:shd w:val="clear" w:color="auto" w:fill="auto"/>
            <w:noWrap/>
            <w:vAlign w:val="bottom"/>
            <w:hideMark/>
          </w:tcPr>
          <w:p w:rsidR="00670D4D" w:rsidRPr="009F0E09" w:rsidP="00E9507C" w14:paraId="6EFD883B" w14:textId="77777777">
            <w:pPr>
              <w:ind w:right="-604" w:firstLine="158"/>
              <w:rPr>
                <w:color w:val="000000"/>
                <w:kern w:val="0"/>
              </w:rPr>
            </w:pPr>
            <w:r w:rsidRPr="009F0E09">
              <w:rPr>
                <w:color w:val="000000"/>
                <w:kern w:val="0"/>
              </w:rPr>
              <w:t>B  </w:t>
            </w:r>
          </w:p>
        </w:tc>
      </w:tr>
      <w:tr w14:paraId="683512F7"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A9E6026" w14:textId="77777777">
            <w:pPr>
              <w:ind w:hanging="378"/>
              <w:jc w:val="center"/>
              <w:rPr>
                <w:color w:val="000000"/>
                <w:kern w:val="0"/>
              </w:rPr>
            </w:pPr>
            <w:r w:rsidRPr="009F0E09">
              <w:rPr>
                <w:color w:val="000000"/>
                <w:kern w:val="0"/>
              </w:rPr>
              <w:t>WPQQ256</w:t>
            </w:r>
          </w:p>
        </w:tc>
        <w:tc>
          <w:tcPr>
            <w:tcW w:w="1530" w:type="dxa"/>
            <w:tcBorders>
              <w:top w:val="nil"/>
              <w:left w:val="nil"/>
              <w:bottom w:val="nil"/>
              <w:right w:val="nil"/>
            </w:tcBorders>
            <w:shd w:val="clear" w:color="auto" w:fill="auto"/>
            <w:noWrap/>
            <w:vAlign w:val="bottom"/>
            <w:hideMark/>
          </w:tcPr>
          <w:p w:rsidR="00670D4D" w:rsidRPr="009F0E09" w:rsidP="00E9507C" w14:paraId="28DB8532" w14:textId="77777777">
            <w:pPr>
              <w:rPr>
                <w:color w:val="000000"/>
                <w:kern w:val="0"/>
              </w:rPr>
            </w:pPr>
            <w:r w:rsidRPr="009F0E09">
              <w:rPr>
                <w:color w:val="000000"/>
                <w:kern w:val="0"/>
              </w:rPr>
              <w:t>BEA166 </w:t>
            </w:r>
          </w:p>
        </w:tc>
        <w:tc>
          <w:tcPr>
            <w:tcW w:w="4950" w:type="dxa"/>
            <w:tcBorders>
              <w:top w:val="nil"/>
              <w:left w:val="nil"/>
              <w:bottom w:val="nil"/>
              <w:right w:val="nil"/>
            </w:tcBorders>
            <w:shd w:val="clear" w:color="auto" w:fill="auto"/>
            <w:noWrap/>
            <w:vAlign w:val="bottom"/>
            <w:hideMark/>
          </w:tcPr>
          <w:p w:rsidR="00670D4D" w:rsidRPr="009F0E09" w:rsidP="00E9507C" w14:paraId="08919E84" w14:textId="77777777">
            <w:pPr>
              <w:rPr>
                <w:color w:val="000000"/>
                <w:kern w:val="0"/>
              </w:rPr>
            </w:pPr>
            <w:r w:rsidRPr="009F0E09">
              <w:rPr>
                <w:color w:val="000000"/>
                <w:kern w:val="0"/>
              </w:rPr>
              <w:t>Eugene-Springfield, OR-CA</w:t>
            </w:r>
          </w:p>
        </w:tc>
        <w:tc>
          <w:tcPr>
            <w:tcW w:w="2024" w:type="dxa"/>
            <w:tcBorders>
              <w:top w:val="nil"/>
              <w:left w:val="nil"/>
              <w:bottom w:val="nil"/>
              <w:right w:val="nil"/>
            </w:tcBorders>
            <w:shd w:val="clear" w:color="auto" w:fill="auto"/>
            <w:noWrap/>
            <w:vAlign w:val="bottom"/>
            <w:hideMark/>
          </w:tcPr>
          <w:p w:rsidR="00670D4D" w:rsidRPr="009F0E09" w:rsidP="00E9507C" w14:paraId="557AEF24" w14:textId="77777777">
            <w:pPr>
              <w:ind w:right="-604" w:firstLine="158"/>
              <w:rPr>
                <w:color w:val="000000"/>
                <w:kern w:val="0"/>
              </w:rPr>
            </w:pPr>
            <w:r w:rsidRPr="009F0E09">
              <w:rPr>
                <w:color w:val="000000"/>
                <w:kern w:val="0"/>
              </w:rPr>
              <w:t>C  </w:t>
            </w:r>
          </w:p>
        </w:tc>
      </w:tr>
      <w:tr w14:paraId="1DF7C84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725743B" w14:textId="77777777">
            <w:pPr>
              <w:ind w:hanging="378"/>
              <w:jc w:val="center"/>
              <w:rPr>
                <w:color w:val="000000"/>
                <w:kern w:val="0"/>
              </w:rPr>
            </w:pPr>
            <w:r w:rsidRPr="009F0E09">
              <w:rPr>
                <w:color w:val="000000"/>
                <w:kern w:val="0"/>
              </w:rPr>
              <w:t>WPQQ259</w:t>
            </w:r>
          </w:p>
        </w:tc>
        <w:tc>
          <w:tcPr>
            <w:tcW w:w="1530" w:type="dxa"/>
            <w:tcBorders>
              <w:top w:val="nil"/>
              <w:left w:val="nil"/>
              <w:bottom w:val="nil"/>
              <w:right w:val="nil"/>
            </w:tcBorders>
            <w:shd w:val="clear" w:color="auto" w:fill="auto"/>
            <w:noWrap/>
            <w:vAlign w:val="bottom"/>
            <w:hideMark/>
          </w:tcPr>
          <w:p w:rsidR="00670D4D" w:rsidRPr="009F0E09" w:rsidP="00E9507C" w14:paraId="52E8E7DB" w14:textId="77777777">
            <w:pPr>
              <w:rPr>
                <w:color w:val="000000"/>
                <w:kern w:val="0"/>
              </w:rPr>
            </w:pPr>
            <w:r w:rsidRPr="009F0E09">
              <w:rPr>
                <w:color w:val="000000"/>
                <w:kern w:val="0"/>
              </w:rPr>
              <w:t>BEA169 </w:t>
            </w:r>
          </w:p>
        </w:tc>
        <w:tc>
          <w:tcPr>
            <w:tcW w:w="4950" w:type="dxa"/>
            <w:tcBorders>
              <w:top w:val="nil"/>
              <w:left w:val="nil"/>
              <w:bottom w:val="nil"/>
              <w:right w:val="nil"/>
            </w:tcBorders>
            <w:shd w:val="clear" w:color="auto" w:fill="auto"/>
            <w:noWrap/>
            <w:vAlign w:val="bottom"/>
            <w:hideMark/>
          </w:tcPr>
          <w:p w:rsidR="00670D4D" w:rsidRPr="009F0E09" w:rsidP="00E9507C" w14:paraId="4C139007" w14:textId="77777777">
            <w:pPr>
              <w:rPr>
                <w:color w:val="000000"/>
                <w:kern w:val="0"/>
              </w:rPr>
            </w:pPr>
            <w:r w:rsidRPr="009F0E09">
              <w:rPr>
                <w:color w:val="000000"/>
                <w:kern w:val="0"/>
              </w:rPr>
              <w:t>Richland-Kennewick-Pasco, WA</w:t>
            </w:r>
          </w:p>
        </w:tc>
        <w:tc>
          <w:tcPr>
            <w:tcW w:w="2024" w:type="dxa"/>
            <w:tcBorders>
              <w:top w:val="nil"/>
              <w:left w:val="nil"/>
              <w:bottom w:val="nil"/>
              <w:right w:val="nil"/>
            </w:tcBorders>
            <w:shd w:val="clear" w:color="auto" w:fill="auto"/>
            <w:noWrap/>
            <w:vAlign w:val="bottom"/>
            <w:hideMark/>
          </w:tcPr>
          <w:p w:rsidR="00670D4D" w:rsidRPr="009F0E09" w:rsidP="00E9507C" w14:paraId="258943B9" w14:textId="77777777">
            <w:pPr>
              <w:ind w:right="-604" w:firstLine="158"/>
              <w:rPr>
                <w:color w:val="000000"/>
                <w:kern w:val="0"/>
              </w:rPr>
            </w:pPr>
            <w:r w:rsidRPr="009F0E09">
              <w:rPr>
                <w:color w:val="000000"/>
                <w:kern w:val="0"/>
              </w:rPr>
              <w:t>B  </w:t>
            </w:r>
          </w:p>
        </w:tc>
      </w:tr>
      <w:tr w14:paraId="3FC3732E"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5CA3A5B" w14:textId="77777777">
            <w:pPr>
              <w:ind w:hanging="378"/>
              <w:jc w:val="center"/>
              <w:rPr>
                <w:color w:val="000000"/>
                <w:kern w:val="0"/>
              </w:rPr>
            </w:pPr>
            <w:r w:rsidRPr="009F0E09">
              <w:rPr>
                <w:color w:val="000000"/>
                <w:kern w:val="0"/>
              </w:rPr>
              <w:t>WPQQ260</w:t>
            </w:r>
          </w:p>
        </w:tc>
        <w:tc>
          <w:tcPr>
            <w:tcW w:w="1530" w:type="dxa"/>
            <w:tcBorders>
              <w:top w:val="nil"/>
              <w:left w:val="nil"/>
              <w:bottom w:val="nil"/>
              <w:right w:val="nil"/>
            </w:tcBorders>
            <w:shd w:val="clear" w:color="auto" w:fill="auto"/>
            <w:noWrap/>
            <w:vAlign w:val="bottom"/>
            <w:hideMark/>
          </w:tcPr>
          <w:p w:rsidR="00670D4D" w:rsidRPr="009F0E09" w:rsidP="00E9507C" w14:paraId="7A2D9F9A" w14:textId="77777777">
            <w:pPr>
              <w:rPr>
                <w:color w:val="000000"/>
                <w:kern w:val="0"/>
              </w:rPr>
            </w:pPr>
            <w:r w:rsidRPr="009F0E09">
              <w:rPr>
                <w:color w:val="000000"/>
                <w:kern w:val="0"/>
              </w:rPr>
              <w:t>BEA169 </w:t>
            </w:r>
          </w:p>
        </w:tc>
        <w:tc>
          <w:tcPr>
            <w:tcW w:w="4950" w:type="dxa"/>
            <w:tcBorders>
              <w:top w:val="nil"/>
              <w:left w:val="nil"/>
              <w:bottom w:val="nil"/>
              <w:right w:val="nil"/>
            </w:tcBorders>
            <w:shd w:val="clear" w:color="auto" w:fill="auto"/>
            <w:noWrap/>
            <w:vAlign w:val="bottom"/>
            <w:hideMark/>
          </w:tcPr>
          <w:p w:rsidR="00670D4D" w:rsidRPr="009F0E09" w:rsidP="00E9507C" w14:paraId="4350E263" w14:textId="77777777">
            <w:pPr>
              <w:rPr>
                <w:color w:val="000000"/>
                <w:kern w:val="0"/>
              </w:rPr>
            </w:pPr>
            <w:r w:rsidRPr="009F0E09">
              <w:rPr>
                <w:color w:val="000000"/>
                <w:kern w:val="0"/>
              </w:rPr>
              <w:t>Richland-Kennewick-Pasco, WA</w:t>
            </w:r>
          </w:p>
        </w:tc>
        <w:tc>
          <w:tcPr>
            <w:tcW w:w="2024" w:type="dxa"/>
            <w:tcBorders>
              <w:top w:val="nil"/>
              <w:left w:val="nil"/>
              <w:bottom w:val="nil"/>
              <w:right w:val="nil"/>
            </w:tcBorders>
            <w:shd w:val="clear" w:color="auto" w:fill="auto"/>
            <w:noWrap/>
            <w:vAlign w:val="bottom"/>
            <w:hideMark/>
          </w:tcPr>
          <w:p w:rsidR="00670D4D" w:rsidRPr="009F0E09" w:rsidP="00E9507C" w14:paraId="1109CB28" w14:textId="77777777">
            <w:pPr>
              <w:ind w:right="-604" w:firstLine="158"/>
              <w:rPr>
                <w:color w:val="000000"/>
                <w:kern w:val="0"/>
              </w:rPr>
            </w:pPr>
            <w:r w:rsidRPr="009F0E09">
              <w:rPr>
                <w:color w:val="000000"/>
                <w:kern w:val="0"/>
              </w:rPr>
              <w:t>C  </w:t>
            </w:r>
          </w:p>
        </w:tc>
      </w:tr>
      <w:tr w14:paraId="713AA02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482687A6" w14:textId="77777777">
            <w:pPr>
              <w:ind w:hanging="378"/>
              <w:jc w:val="center"/>
              <w:rPr>
                <w:color w:val="000000"/>
                <w:kern w:val="0"/>
              </w:rPr>
            </w:pPr>
            <w:r w:rsidRPr="009F0E09">
              <w:rPr>
                <w:color w:val="000000"/>
                <w:kern w:val="0"/>
              </w:rPr>
              <w:t>WPQQ263</w:t>
            </w:r>
          </w:p>
        </w:tc>
        <w:tc>
          <w:tcPr>
            <w:tcW w:w="1530" w:type="dxa"/>
            <w:tcBorders>
              <w:top w:val="nil"/>
              <w:left w:val="nil"/>
              <w:bottom w:val="nil"/>
              <w:right w:val="nil"/>
            </w:tcBorders>
            <w:shd w:val="clear" w:color="auto" w:fill="auto"/>
            <w:noWrap/>
            <w:vAlign w:val="bottom"/>
            <w:hideMark/>
          </w:tcPr>
          <w:p w:rsidR="00670D4D" w:rsidRPr="009F0E09" w:rsidP="00E9507C" w14:paraId="092EC047" w14:textId="77777777">
            <w:pPr>
              <w:rPr>
                <w:color w:val="000000"/>
                <w:kern w:val="0"/>
              </w:rPr>
            </w:pPr>
            <w:r w:rsidRPr="009F0E09">
              <w:rPr>
                <w:color w:val="000000"/>
                <w:kern w:val="0"/>
              </w:rPr>
              <w:t>BEA171 </w:t>
            </w:r>
          </w:p>
        </w:tc>
        <w:tc>
          <w:tcPr>
            <w:tcW w:w="4950" w:type="dxa"/>
            <w:tcBorders>
              <w:top w:val="nil"/>
              <w:left w:val="nil"/>
              <w:bottom w:val="nil"/>
              <w:right w:val="nil"/>
            </w:tcBorders>
            <w:shd w:val="clear" w:color="auto" w:fill="auto"/>
            <w:noWrap/>
            <w:vAlign w:val="bottom"/>
            <w:hideMark/>
          </w:tcPr>
          <w:p w:rsidR="00670D4D" w:rsidRPr="009F0E09" w:rsidP="00E9507C" w14:paraId="61931685" w14:textId="77777777">
            <w:pPr>
              <w:rPr>
                <w:color w:val="000000"/>
                <w:kern w:val="0"/>
              </w:rPr>
            </w:pPr>
            <w:r w:rsidRPr="009F0E09">
              <w:rPr>
                <w:color w:val="000000"/>
                <w:kern w:val="0"/>
              </w:rPr>
              <w:t>Anchorage, AK</w:t>
            </w:r>
          </w:p>
        </w:tc>
        <w:tc>
          <w:tcPr>
            <w:tcW w:w="2024" w:type="dxa"/>
            <w:tcBorders>
              <w:top w:val="nil"/>
              <w:left w:val="nil"/>
              <w:bottom w:val="nil"/>
              <w:right w:val="nil"/>
            </w:tcBorders>
            <w:shd w:val="clear" w:color="auto" w:fill="auto"/>
            <w:noWrap/>
            <w:vAlign w:val="bottom"/>
            <w:hideMark/>
          </w:tcPr>
          <w:p w:rsidR="00670D4D" w:rsidRPr="009F0E09" w:rsidP="00E9507C" w14:paraId="62D3C508" w14:textId="77777777">
            <w:pPr>
              <w:ind w:right="-604" w:firstLine="158"/>
              <w:rPr>
                <w:color w:val="000000"/>
                <w:kern w:val="0"/>
              </w:rPr>
            </w:pPr>
            <w:r w:rsidRPr="009F0E09">
              <w:rPr>
                <w:color w:val="000000"/>
                <w:kern w:val="0"/>
              </w:rPr>
              <w:t>B  </w:t>
            </w:r>
          </w:p>
        </w:tc>
      </w:tr>
      <w:tr w14:paraId="74F1AA21"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11E75EB" w14:textId="77777777">
            <w:pPr>
              <w:ind w:hanging="378"/>
              <w:jc w:val="center"/>
              <w:rPr>
                <w:color w:val="000000"/>
                <w:kern w:val="0"/>
              </w:rPr>
            </w:pPr>
            <w:r w:rsidRPr="009F0E09">
              <w:rPr>
                <w:color w:val="000000"/>
                <w:kern w:val="0"/>
              </w:rPr>
              <w:t>WPQQ264</w:t>
            </w:r>
          </w:p>
        </w:tc>
        <w:tc>
          <w:tcPr>
            <w:tcW w:w="1530" w:type="dxa"/>
            <w:tcBorders>
              <w:top w:val="nil"/>
              <w:left w:val="nil"/>
              <w:bottom w:val="nil"/>
              <w:right w:val="nil"/>
            </w:tcBorders>
            <w:shd w:val="clear" w:color="auto" w:fill="auto"/>
            <w:noWrap/>
            <w:vAlign w:val="bottom"/>
            <w:hideMark/>
          </w:tcPr>
          <w:p w:rsidR="00670D4D" w:rsidRPr="009F0E09" w:rsidP="00E9507C" w14:paraId="389EA77E" w14:textId="77777777">
            <w:pPr>
              <w:rPr>
                <w:color w:val="000000"/>
                <w:kern w:val="0"/>
              </w:rPr>
            </w:pPr>
            <w:r w:rsidRPr="009F0E09">
              <w:rPr>
                <w:color w:val="000000"/>
                <w:kern w:val="0"/>
              </w:rPr>
              <w:t>BEA171 </w:t>
            </w:r>
          </w:p>
        </w:tc>
        <w:tc>
          <w:tcPr>
            <w:tcW w:w="4950" w:type="dxa"/>
            <w:tcBorders>
              <w:top w:val="nil"/>
              <w:left w:val="nil"/>
              <w:bottom w:val="nil"/>
              <w:right w:val="nil"/>
            </w:tcBorders>
            <w:shd w:val="clear" w:color="auto" w:fill="auto"/>
            <w:noWrap/>
            <w:vAlign w:val="bottom"/>
            <w:hideMark/>
          </w:tcPr>
          <w:p w:rsidR="00670D4D" w:rsidRPr="009F0E09" w:rsidP="00E9507C" w14:paraId="398C4EA3" w14:textId="77777777">
            <w:pPr>
              <w:rPr>
                <w:color w:val="000000"/>
                <w:kern w:val="0"/>
              </w:rPr>
            </w:pPr>
            <w:r w:rsidRPr="009F0E09">
              <w:rPr>
                <w:color w:val="000000"/>
                <w:kern w:val="0"/>
              </w:rPr>
              <w:t>Anchorage, AK</w:t>
            </w:r>
          </w:p>
        </w:tc>
        <w:tc>
          <w:tcPr>
            <w:tcW w:w="2024" w:type="dxa"/>
            <w:tcBorders>
              <w:top w:val="nil"/>
              <w:left w:val="nil"/>
              <w:bottom w:val="nil"/>
              <w:right w:val="nil"/>
            </w:tcBorders>
            <w:shd w:val="clear" w:color="auto" w:fill="auto"/>
            <w:noWrap/>
            <w:vAlign w:val="bottom"/>
            <w:hideMark/>
          </w:tcPr>
          <w:p w:rsidR="00670D4D" w:rsidRPr="009F0E09" w:rsidP="00E9507C" w14:paraId="56B19017" w14:textId="77777777">
            <w:pPr>
              <w:ind w:right="-604" w:firstLine="158"/>
              <w:rPr>
                <w:color w:val="000000"/>
                <w:kern w:val="0"/>
              </w:rPr>
            </w:pPr>
            <w:r w:rsidRPr="009F0E09">
              <w:rPr>
                <w:color w:val="000000"/>
                <w:kern w:val="0"/>
              </w:rPr>
              <w:t>C  </w:t>
            </w:r>
          </w:p>
        </w:tc>
      </w:tr>
      <w:tr w14:paraId="744D4DC8"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7618A3C7" w14:textId="77777777">
            <w:pPr>
              <w:ind w:hanging="378"/>
              <w:jc w:val="center"/>
              <w:rPr>
                <w:color w:val="000000"/>
                <w:kern w:val="0"/>
              </w:rPr>
            </w:pPr>
            <w:r w:rsidRPr="009F0E09">
              <w:rPr>
                <w:color w:val="000000"/>
                <w:kern w:val="0"/>
              </w:rPr>
              <w:t>WPQQ265</w:t>
            </w:r>
          </w:p>
        </w:tc>
        <w:tc>
          <w:tcPr>
            <w:tcW w:w="1530" w:type="dxa"/>
            <w:tcBorders>
              <w:top w:val="nil"/>
              <w:left w:val="nil"/>
              <w:bottom w:val="nil"/>
              <w:right w:val="nil"/>
            </w:tcBorders>
            <w:shd w:val="clear" w:color="auto" w:fill="auto"/>
            <w:noWrap/>
            <w:vAlign w:val="bottom"/>
            <w:hideMark/>
          </w:tcPr>
          <w:p w:rsidR="00670D4D" w:rsidRPr="009F0E09" w:rsidP="00E9507C" w14:paraId="2A5009CC" w14:textId="77777777">
            <w:pPr>
              <w:rPr>
                <w:color w:val="000000"/>
                <w:kern w:val="0"/>
              </w:rPr>
            </w:pPr>
            <w:r w:rsidRPr="009F0E09">
              <w:rPr>
                <w:color w:val="000000"/>
                <w:kern w:val="0"/>
              </w:rPr>
              <w:t>BEA172 </w:t>
            </w:r>
          </w:p>
        </w:tc>
        <w:tc>
          <w:tcPr>
            <w:tcW w:w="4950" w:type="dxa"/>
            <w:tcBorders>
              <w:top w:val="nil"/>
              <w:left w:val="nil"/>
              <w:bottom w:val="nil"/>
              <w:right w:val="nil"/>
            </w:tcBorders>
            <w:shd w:val="clear" w:color="auto" w:fill="auto"/>
            <w:noWrap/>
            <w:vAlign w:val="bottom"/>
            <w:hideMark/>
          </w:tcPr>
          <w:p w:rsidR="00670D4D" w:rsidRPr="009F0E09" w:rsidP="00E9507C" w14:paraId="5B949E5D" w14:textId="77777777">
            <w:pPr>
              <w:rPr>
                <w:color w:val="000000"/>
                <w:kern w:val="0"/>
              </w:rPr>
            </w:pPr>
            <w:r w:rsidRPr="009F0E09">
              <w:rPr>
                <w:color w:val="000000"/>
                <w:kern w:val="0"/>
              </w:rPr>
              <w:t>Honolulu, HI</w:t>
            </w:r>
          </w:p>
        </w:tc>
        <w:tc>
          <w:tcPr>
            <w:tcW w:w="2024" w:type="dxa"/>
            <w:tcBorders>
              <w:top w:val="nil"/>
              <w:left w:val="nil"/>
              <w:bottom w:val="nil"/>
              <w:right w:val="nil"/>
            </w:tcBorders>
            <w:shd w:val="clear" w:color="auto" w:fill="auto"/>
            <w:noWrap/>
            <w:vAlign w:val="bottom"/>
            <w:hideMark/>
          </w:tcPr>
          <w:p w:rsidR="00670D4D" w:rsidRPr="009F0E09" w:rsidP="00E9507C" w14:paraId="6F8C4C05" w14:textId="77777777">
            <w:pPr>
              <w:ind w:right="-604" w:firstLine="158"/>
              <w:rPr>
                <w:color w:val="000000"/>
                <w:kern w:val="0"/>
              </w:rPr>
            </w:pPr>
            <w:r w:rsidRPr="009F0E09">
              <w:rPr>
                <w:color w:val="000000"/>
                <w:kern w:val="0"/>
              </w:rPr>
              <w:t>B  </w:t>
            </w:r>
          </w:p>
        </w:tc>
      </w:tr>
      <w:tr w14:paraId="76FB50FB"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54ADD622" w14:textId="77777777">
            <w:pPr>
              <w:ind w:hanging="378"/>
              <w:jc w:val="center"/>
              <w:rPr>
                <w:color w:val="000000"/>
                <w:kern w:val="0"/>
              </w:rPr>
            </w:pPr>
            <w:r w:rsidRPr="009F0E09">
              <w:rPr>
                <w:color w:val="000000"/>
                <w:kern w:val="0"/>
              </w:rPr>
              <w:t>WPQQ266</w:t>
            </w:r>
          </w:p>
        </w:tc>
        <w:tc>
          <w:tcPr>
            <w:tcW w:w="1530" w:type="dxa"/>
            <w:tcBorders>
              <w:top w:val="nil"/>
              <w:left w:val="nil"/>
              <w:bottom w:val="nil"/>
              <w:right w:val="nil"/>
            </w:tcBorders>
            <w:shd w:val="clear" w:color="auto" w:fill="auto"/>
            <w:noWrap/>
            <w:vAlign w:val="bottom"/>
            <w:hideMark/>
          </w:tcPr>
          <w:p w:rsidR="00670D4D" w:rsidRPr="009F0E09" w:rsidP="00E9507C" w14:paraId="2BFCC685" w14:textId="77777777">
            <w:pPr>
              <w:rPr>
                <w:color w:val="000000"/>
                <w:kern w:val="0"/>
              </w:rPr>
            </w:pPr>
            <w:r w:rsidRPr="009F0E09">
              <w:rPr>
                <w:color w:val="000000"/>
                <w:kern w:val="0"/>
              </w:rPr>
              <w:t>BEA172 </w:t>
            </w:r>
          </w:p>
        </w:tc>
        <w:tc>
          <w:tcPr>
            <w:tcW w:w="4950" w:type="dxa"/>
            <w:tcBorders>
              <w:top w:val="nil"/>
              <w:left w:val="nil"/>
              <w:bottom w:val="nil"/>
              <w:right w:val="nil"/>
            </w:tcBorders>
            <w:shd w:val="clear" w:color="auto" w:fill="auto"/>
            <w:noWrap/>
            <w:vAlign w:val="bottom"/>
            <w:hideMark/>
          </w:tcPr>
          <w:p w:rsidR="00670D4D" w:rsidRPr="009F0E09" w:rsidP="00E9507C" w14:paraId="1B58B2F0" w14:textId="77777777">
            <w:pPr>
              <w:rPr>
                <w:color w:val="000000"/>
                <w:kern w:val="0"/>
              </w:rPr>
            </w:pPr>
            <w:r w:rsidRPr="009F0E09">
              <w:rPr>
                <w:color w:val="000000"/>
                <w:kern w:val="0"/>
              </w:rPr>
              <w:t>Honolulu, HI</w:t>
            </w:r>
          </w:p>
        </w:tc>
        <w:tc>
          <w:tcPr>
            <w:tcW w:w="2024" w:type="dxa"/>
            <w:tcBorders>
              <w:top w:val="nil"/>
              <w:left w:val="nil"/>
              <w:bottom w:val="nil"/>
              <w:right w:val="nil"/>
            </w:tcBorders>
            <w:shd w:val="clear" w:color="auto" w:fill="auto"/>
            <w:noWrap/>
            <w:vAlign w:val="bottom"/>
            <w:hideMark/>
          </w:tcPr>
          <w:p w:rsidR="00670D4D" w:rsidRPr="009F0E09" w:rsidP="00E9507C" w14:paraId="34D553C4" w14:textId="77777777">
            <w:pPr>
              <w:ind w:right="-604" w:firstLine="158"/>
              <w:rPr>
                <w:color w:val="000000"/>
                <w:kern w:val="0"/>
              </w:rPr>
            </w:pPr>
            <w:r w:rsidRPr="009F0E09">
              <w:rPr>
                <w:color w:val="000000"/>
                <w:kern w:val="0"/>
              </w:rPr>
              <w:t>C  </w:t>
            </w:r>
          </w:p>
        </w:tc>
      </w:tr>
      <w:tr w14:paraId="5C17BB32"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225E91AA" w14:textId="77777777">
            <w:pPr>
              <w:ind w:hanging="378"/>
              <w:jc w:val="center"/>
              <w:rPr>
                <w:color w:val="000000"/>
                <w:kern w:val="0"/>
              </w:rPr>
            </w:pPr>
            <w:r w:rsidRPr="009F0E09">
              <w:rPr>
                <w:color w:val="000000"/>
                <w:kern w:val="0"/>
              </w:rPr>
              <w:t>WPQQ267</w:t>
            </w:r>
          </w:p>
        </w:tc>
        <w:tc>
          <w:tcPr>
            <w:tcW w:w="1530" w:type="dxa"/>
            <w:tcBorders>
              <w:top w:val="nil"/>
              <w:left w:val="nil"/>
              <w:bottom w:val="nil"/>
              <w:right w:val="nil"/>
            </w:tcBorders>
            <w:shd w:val="clear" w:color="auto" w:fill="auto"/>
            <w:noWrap/>
            <w:vAlign w:val="bottom"/>
            <w:hideMark/>
          </w:tcPr>
          <w:p w:rsidR="00670D4D" w:rsidRPr="009F0E09" w:rsidP="00E9507C" w14:paraId="2106F090" w14:textId="77777777">
            <w:pPr>
              <w:rPr>
                <w:color w:val="000000"/>
                <w:kern w:val="0"/>
              </w:rPr>
            </w:pPr>
            <w:r w:rsidRPr="009F0E09">
              <w:rPr>
                <w:color w:val="000000"/>
                <w:kern w:val="0"/>
              </w:rPr>
              <w:t>BEA173 </w:t>
            </w:r>
          </w:p>
        </w:tc>
        <w:tc>
          <w:tcPr>
            <w:tcW w:w="4950" w:type="dxa"/>
            <w:tcBorders>
              <w:top w:val="nil"/>
              <w:left w:val="nil"/>
              <w:bottom w:val="nil"/>
              <w:right w:val="nil"/>
            </w:tcBorders>
            <w:shd w:val="clear" w:color="auto" w:fill="auto"/>
            <w:noWrap/>
            <w:vAlign w:val="bottom"/>
            <w:hideMark/>
          </w:tcPr>
          <w:p w:rsidR="00670D4D" w:rsidRPr="009F0E09" w:rsidP="00E9507C" w14:paraId="22479AEF" w14:textId="77777777">
            <w:pPr>
              <w:rPr>
                <w:color w:val="000000"/>
                <w:kern w:val="0"/>
              </w:rPr>
            </w:pPr>
            <w:r w:rsidRPr="009F0E09">
              <w:rPr>
                <w:color w:val="000000"/>
                <w:kern w:val="0"/>
              </w:rPr>
              <w:t>Guam and Northern Mariana Islands</w:t>
            </w:r>
          </w:p>
        </w:tc>
        <w:tc>
          <w:tcPr>
            <w:tcW w:w="2024" w:type="dxa"/>
            <w:tcBorders>
              <w:top w:val="nil"/>
              <w:left w:val="nil"/>
              <w:bottom w:val="nil"/>
              <w:right w:val="nil"/>
            </w:tcBorders>
            <w:shd w:val="clear" w:color="auto" w:fill="auto"/>
            <w:noWrap/>
            <w:vAlign w:val="bottom"/>
            <w:hideMark/>
          </w:tcPr>
          <w:p w:rsidR="00670D4D" w:rsidRPr="009F0E09" w:rsidP="00E9507C" w14:paraId="300F7567" w14:textId="77777777">
            <w:pPr>
              <w:ind w:right="-604" w:firstLine="158"/>
              <w:rPr>
                <w:color w:val="000000"/>
                <w:kern w:val="0"/>
              </w:rPr>
            </w:pPr>
            <w:r w:rsidRPr="009F0E09">
              <w:rPr>
                <w:color w:val="000000"/>
                <w:kern w:val="0"/>
              </w:rPr>
              <w:t>B  </w:t>
            </w:r>
          </w:p>
        </w:tc>
      </w:tr>
      <w:tr w14:paraId="7A7C240F"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57551A5" w14:textId="77777777">
            <w:pPr>
              <w:ind w:hanging="378"/>
              <w:jc w:val="center"/>
              <w:rPr>
                <w:color w:val="000000"/>
                <w:kern w:val="0"/>
              </w:rPr>
            </w:pPr>
            <w:r w:rsidRPr="009F0E09">
              <w:rPr>
                <w:color w:val="000000"/>
                <w:kern w:val="0"/>
              </w:rPr>
              <w:t>WPQQ268</w:t>
            </w:r>
          </w:p>
        </w:tc>
        <w:tc>
          <w:tcPr>
            <w:tcW w:w="1530" w:type="dxa"/>
            <w:tcBorders>
              <w:top w:val="nil"/>
              <w:left w:val="nil"/>
              <w:bottom w:val="nil"/>
              <w:right w:val="nil"/>
            </w:tcBorders>
            <w:shd w:val="clear" w:color="auto" w:fill="auto"/>
            <w:noWrap/>
            <w:vAlign w:val="bottom"/>
            <w:hideMark/>
          </w:tcPr>
          <w:p w:rsidR="00670D4D" w:rsidRPr="009F0E09" w:rsidP="00E9507C" w14:paraId="50C9F0AC" w14:textId="77777777">
            <w:pPr>
              <w:rPr>
                <w:color w:val="000000"/>
                <w:kern w:val="0"/>
              </w:rPr>
            </w:pPr>
            <w:r w:rsidRPr="009F0E09">
              <w:rPr>
                <w:color w:val="000000"/>
                <w:kern w:val="0"/>
              </w:rPr>
              <w:t>BEA173 </w:t>
            </w:r>
          </w:p>
        </w:tc>
        <w:tc>
          <w:tcPr>
            <w:tcW w:w="4950" w:type="dxa"/>
            <w:tcBorders>
              <w:top w:val="nil"/>
              <w:left w:val="nil"/>
              <w:bottom w:val="nil"/>
              <w:right w:val="nil"/>
            </w:tcBorders>
            <w:shd w:val="clear" w:color="auto" w:fill="auto"/>
            <w:noWrap/>
            <w:vAlign w:val="bottom"/>
            <w:hideMark/>
          </w:tcPr>
          <w:p w:rsidR="00670D4D" w:rsidRPr="009F0E09" w:rsidP="00E9507C" w14:paraId="6E22C621" w14:textId="77777777">
            <w:pPr>
              <w:rPr>
                <w:color w:val="000000"/>
                <w:kern w:val="0"/>
              </w:rPr>
            </w:pPr>
            <w:r w:rsidRPr="009F0E09">
              <w:rPr>
                <w:color w:val="000000"/>
                <w:kern w:val="0"/>
              </w:rPr>
              <w:t>Guam and Northern Mariana Islands</w:t>
            </w:r>
          </w:p>
        </w:tc>
        <w:tc>
          <w:tcPr>
            <w:tcW w:w="2024" w:type="dxa"/>
            <w:tcBorders>
              <w:top w:val="nil"/>
              <w:left w:val="nil"/>
              <w:bottom w:val="nil"/>
              <w:right w:val="nil"/>
            </w:tcBorders>
            <w:shd w:val="clear" w:color="auto" w:fill="auto"/>
            <w:noWrap/>
            <w:vAlign w:val="bottom"/>
            <w:hideMark/>
          </w:tcPr>
          <w:p w:rsidR="00670D4D" w:rsidRPr="009F0E09" w:rsidP="00E9507C" w14:paraId="4717E36A" w14:textId="77777777">
            <w:pPr>
              <w:ind w:right="-604" w:firstLine="158"/>
              <w:rPr>
                <w:color w:val="000000"/>
                <w:kern w:val="0"/>
              </w:rPr>
            </w:pPr>
            <w:r w:rsidRPr="009F0E09">
              <w:rPr>
                <w:color w:val="000000"/>
                <w:kern w:val="0"/>
              </w:rPr>
              <w:t>C  </w:t>
            </w:r>
          </w:p>
        </w:tc>
      </w:tr>
      <w:tr w14:paraId="4CA629E4"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07804964" w14:textId="77777777">
            <w:pPr>
              <w:ind w:hanging="378"/>
              <w:jc w:val="center"/>
              <w:rPr>
                <w:color w:val="000000"/>
                <w:kern w:val="0"/>
              </w:rPr>
            </w:pPr>
            <w:r w:rsidRPr="009F0E09">
              <w:rPr>
                <w:color w:val="000000"/>
                <w:kern w:val="0"/>
              </w:rPr>
              <w:t>WPQQ269</w:t>
            </w:r>
          </w:p>
        </w:tc>
        <w:tc>
          <w:tcPr>
            <w:tcW w:w="1530" w:type="dxa"/>
            <w:tcBorders>
              <w:top w:val="nil"/>
              <w:left w:val="nil"/>
              <w:bottom w:val="nil"/>
              <w:right w:val="nil"/>
            </w:tcBorders>
            <w:shd w:val="clear" w:color="auto" w:fill="auto"/>
            <w:noWrap/>
            <w:vAlign w:val="bottom"/>
            <w:hideMark/>
          </w:tcPr>
          <w:p w:rsidR="00670D4D" w:rsidRPr="009F0E09" w:rsidP="00E9507C" w14:paraId="5F8C3135" w14:textId="77777777">
            <w:pPr>
              <w:rPr>
                <w:color w:val="000000"/>
                <w:kern w:val="0"/>
              </w:rPr>
            </w:pPr>
            <w:r w:rsidRPr="009F0E09">
              <w:rPr>
                <w:color w:val="000000"/>
                <w:kern w:val="0"/>
              </w:rPr>
              <w:t>BEA174 </w:t>
            </w:r>
          </w:p>
        </w:tc>
        <w:tc>
          <w:tcPr>
            <w:tcW w:w="4950" w:type="dxa"/>
            <w:tcBorders>
              <w:top w:val="nil"/>
              <w:left w:val="nil"/>
              <w:bottom w:val="nil"/>
              <w:right w:val="nil"/>
            </w:tcBorders>
            <w:shd w:val="clear" w:color="auto" w:fill="auto"/>
            <w:noWrap/>
            <w:vAlign w:val="bottom"/>
            <w:hideMark/>
          </w:tcPr>
          <w:p w:rsidR="00670D4D" w:rsidRPr="009F0E09" w:rsidP="00E9507C" w14:paraId="20489AB8" w14:textId="77777777">
            <w:pPr>
              <w:rPr>
                <w:color w:val="000000"/>
                <w:kern w:val="0"/>
              </w:rPr>
            </w:pPr>
            <w:r w:rsidRPr="009F0E09">
              <w:rPr>
                <w:color w:val="000000"/>
                <w:kern w:val="0"/>
              </w:rPr>
              <w:t>Puerto Rico and the U.S. Virgin Islands</w:t>
            </w:r>
          </w:p>
        </w:tc>
        <w:tc>
          <w:tcPr>
            <w:tcW w:w="2024" w:type="dxa"/>
            <w:tcBorders>
              <w:top w:val="nil"/>
              <w:left w:val="nil"/>
              <w:bottom w:val="nil"/>
              <w:right w:val="nil"/>
            </w:tcBorders>
            <w:shd w:val="clear" w:color="auto" w:fill="auto"/>
            <w:noWrap/>
            <w:vAlign w:val="bottom"/>
            <w:hideMark/>
          </w:tcPr>
          <w:p w:rsidR="00670D4D" w:rsidRPr="009F0E09" w:rsidP="00E9507C" w14:paraId="1C643DDE" w14:textId="77777777">
            <w:pPr>
              <w:ind w:right="-604" w:firstLine="158"/>
              <w:rPr>
                <w:color w:val="000000"/>
                <w:kern w:val="0"/>
              </w:rPr>
            </w:pPr>
            <w:r w:rsidRPr="009F0E09">
              <w:rPr>
                <w:color w:val="000000"/>
                <w:kern w:val="0"/>
              </w:rPr>
              <w:t>B  </w:t>
            </w:r>
          </w:p>
        </w:tc>
      </w:tr>
      <w:tr w14:paraId="0DF8B3B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DA1EB2B" w14:textId="77777777">
            <w:pPr>
              <w:ind w:hanging="378"/>
              <w:jc w:val="center"/>
              <w:rPr>
                <w:color w:val="000000"/>
                <w:kern w:val="0"/>
              </w:rPr>
            </w:pPr>
            <w:r w:rsidRPr="009F0E09">
              <w:rPr>
                <w:color w:val="000000"/>
                <w:kern w:val="0"/>
              </w:rPr>
              <w:t>WPQQ270</w:t>
            </w:r>
          </w:p>
        </w:tc>
        <w:tc>
          <w:tcPr>
            <w:tcW w:w="1530" w:type="dxa"/>
            <w:tcBorders>
              <w:top w:val="nil"/>
              <w:left w:val="nil"/>
              <w:bottom w:val="nil"/>
              <w:right w:val="nil"/>
            </w:tcBorders>
            <w:shd w:val="clear" w:color="auto" w:fill="auto"/>
            <w:noWrap/>
            <w:vAlign w:val="bottom"/>
            <w:hideMark/>
          </w:tcPr>
          <w:p w:rsidR="00670D4D" w:rsidRPr="009F0E09" w:rsidP="00E9507C" w14:paraId="67C79434" w14:textId="77777777">
            <w:pPr>
              <w:rPr>
                <w:color w:val="000000"/>
                <w:kern w:val="0"/>
              </w:rPr>
            </w:pPr>
            <w:r w:rsidRPr="009F0E09">
              <w:rPr>
                <w:color w:val="000000"/>
                <w:kern w:val="0"/>
              </w:rPr>
              <w:t>BEA174 </w:t>
            </w:r>
          </w:p>
        </w:tc>
        <w:tc>
          <w:tcPr>
            <w:tcW w:w="4950" w:type="dxa"/>
            <w:tcBorders>
              <w:top w:val="nil"/>
              <w:left w:val="nil"/>
              <w:bottom w:val="nil"/>
              <w:right w:val="nil"/>
            </w:tcBorders>
            <w:shd w:val="clear" w:color="auto" w:fill="auto"/>
            <w:noWrap/>
            <w:vAlign w:val="bottom"/>
            <w:hideMark/>
          </w:tcPr>
          <w:p w:rsidR="00670D4D" w:rsidRPr="009F0E09" w:rsidP="00E9507C" w14:paraId="6E8D88F2" w14:textId="77777777">
            <w:pPr>
              <w:rPr>
                <w:color w:val="000000"/>
                <w:kern w:val="0"/>
              </w:rPr>
            </w:pPr>
            <w:r w:rsidRPr="009F0E09">
              <w:rPr>
                <w:color w:val="000000"/>
                <w:kern w:val="0"/>
              </w:rPr>
              <w:t>Puerto Rico and the U.S. Virgin Islands</w:t>
            </w:r>
          </w:p>
        </w:tc>
        <w:tc>
          <w:tcPr>
            <w:tcW w:w="2024" w:type="dxa"/>
            <w:tcBorders>
              <w:top w:val="nil"/>
              <w:left w:val="nil"/>
              <w:bottom w:val="nil"/>
              <w:right w:val="nil"/>
            </w:tcBorders>
            <w:shd w:val="clear" w:color="auto" w:fill="auto"/>
            <w:noWrap/>
            <w:vAlign w:val="bottom"/>
            <w:hideMark/>
          </w:tcPr>
          <w:p w:rsidR="00670D4D" w:rsidRPr="009F0E09" w:rsidP="00E9507C" w14:paraId="46CBA7FF" w14:textId="77777777">
            <w:pPr>
              <w:ind w:right="-604" w:firstLine="158"/>
              <w:rPr>
                <w:color w:val="000000"/>
                <w:kern w:val="0"/>
              </w:rPr>
            </w:pPr>
            <w:r w:rsidRPr="009F0E09">
              <w:rPr>
                <w:color w:val="000000"/>
                <w:kern w:val="0"/>
              </w:rPr>
              <w:t>C  </w:t>
            </w:r>
          </w:p>
        </w:tc>
      </w:tr>
      <w:tr w14:paraId="73AFEEAD"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19121672" w14:textId="77777777">
            <w:pPr>
              <w:ind w:hanging="378"/>
              <w:jc w:val="center"/>
              <w:rPr>
                <w:color w:val="000000"/>
                <w:kern w:val="0"/>
              </w:rPr>
            </w:pPr>
            <w:r w:rsidRPr="009F0E09">
              <w:rPr>
                <w:color w:val="000000"/>
                <w:kern w:val="0"/>
              </w:rPr>
              <w:t>WPQQ271</w:t>
            </w:r>
          </w:p>
        </w:tc>
        <w:tc>
          <w:tcPr>
            <w:tcW w:w="1530" w:type="dxa"/>
            <w:tcBorders>
              <w:top w:val="nil"/>
              <w:left w:val="nil"/>
              <w:bottom w:val="nil"/>
              <w:right w:val="nil"/>
            </w:tcBorders>
            <w:shd w:val="clear" w:color="auto" w:fill="auto"/>
            <w:noWrap/>
            <w:vAlign w:val="bottom"/>
            <w:hideMark/>
          </w:tcPr>
          <w:p w:rsidR="00670D4D" w:rsidRPr="009F0E09" w:rsidP="00E9507C" w14:paraId="65F3CD08" w14:textId="77777777">
            <w:pPr>
              <w:rPr>
                <w:color w:val="000000"/>
                <w:kern w:val="0"/>
              </w:rPr>
            </w:pPr>
            <w:r w:rsidRPr="009F0E09">
              <w:rPr>
                <w:color w:val="000000"/>
                <w:kern w:val="0"/>
              </w:rPr>
              <w:t>BEA176 </w:t>
            </w:r>
          </w:p>
        </w:tc>
        <w:tc>
          <w:tcPr>
            <w:tcW w:w="4950" w:type="dxa"/>
            <w:tcBorders>
              <w:top w:val="nil"/>
              <w:left w:val="nil"/>
              <w:bottom w:val="nil"/>
              <w:right w:val="nil"/>
            </w:tcBorders>
            <w:shd w:val="clear" w:color="auto" w:fill="auto"/>
            <w:noWrap/>
            <w:vAlign w:val="bottom"/>
            <w:hideMark/>
          </w:tcPr>
          <w:p w:rsidR="00670D4D" w:rsidRPr="009F0E09" w:rsidP="00E9507C" w14:paraId="550D9FE5" w14:textId="77777777">
            <w:pPr>
              <w:rPr>
                <w:color w:val="000000"/>
                <w:kern w:val="0"/>
              </w:rPr>
            </w:pPr>
            <w:r w:rsidRPr="009F0E09">
              <w:rPr>
                <w:color w:val="000000"/>
                <w:kern w:val="0"/>
              </w:rPr>
              <w:t>Gulf of Mexico</w:t>
            </w:r>
          </w:p>
        </w:tc>
        <w:tc>
          <w:tcPr>
            <w:tcW w:w="2024" w:type="dxa"/>
            <w:tcBorders>
              <w:top w:val="nil"/>
              <w:left w:val="nil"/>
              <w:bottom w:val="nil"/>
              <w:right w:val="nil"/>
            </w:tcBorders>
            <w:shd w:val="clear" w:color="auto" w:fill="auto"/>
            <w:noWrap/>
            <w:vAlign w:val="bottom"/>
            <w:hideMark/>
          </w:tcPr>
          <w:p w:rsidR="00670D4D" w:rsidRPr="009F0E09" w:rsidP="00E9507C" w14:paraId="06BBF4ED" w14:textId="77777777">
            <w:pPr>
              <w:ind w:right="-604" w:firstLine="158"/>
              <w:rPr>
                <w:color w:val="000000"/>
                <w:kern w:val="0"/>
              </w:rPr>
            </w:pPr>
            <w:r w:rsidRPr="009F0E09">
              <w:rPr>
                <w:color w:val="000000"/>
                <w:kern w:val="0"/>
              </w:rPr>
              <w:t>B  </w:t>
            </w:r>
          </w:p>
        </w:tc>
      </w:tr>
      <w:tr w14:paraId="4E7D2570" w14:textId="77777777">
        <w:tblPrEx>
          <w:tblW w:w="10484" w:type="dxa"/>
          <w:jc w:val="center"/>
          <w:tblLook w:val="04A0"/>
        </w:tblPrEx>
        <w:trPr>
          <w:trHeight w:val="300"/>
          <w:jc w:val="center"/>
        </w:trPr>
        <w:tc>
          <w:tcPr>
            <w:tcW w:w="1980" w:type="dxa"/>
            <w:tcBorders>
              <w:top w:val="nil"/>
              <w:left w:val="nil"/>
              <w:bottom w:val="nil"/>
              <w:right w:val="nil"/>
            </w:tcBorders>
            <w:shd w:val="clear" w:color="auto" w:fill="auto"/>
            <w:noWrap/>
            <w:vAlign w:val="bottom"/>
            <w:hideMark/>
          </w:tcPr>
          <w:p w:rsidR="00670D4D" w:rsidRPr="009F0E09" w:rsidP="00E9507C" w14:paraId="3F646719" w14:textId="77777777">
            <w:pPr>
              <w:ind w:hanging="378"/>
              <w:jc w:val="center"/>
              <w:rPr>
                <w:color w:val="000000"/>
                <w:kern w:val="0"/>
              </w:rPr>
            </w:pPr>
            <w:r w:rsidRPr="009F0E09">
              <w:rPr>
                <w:color w:val="000000"/>
                <w:kern w:val="0"/>
              </w:rPr>
              <w:t>WPQQ272</w:t>
            </w:r>
          </w:p>
        </w:tc>
        <w:tc>
          <w:tcPr>
            <w:tcW w:w="1530" w:type="dxa"/>
            <w:tcBorders>
              <w:top w:val="nil"/>
              <w:left w:val="nil"/>
              <w:bottom w:val="nil"/>
              <w:right w:val="nil"/>
            </w:tcBorders>
            <w:shd w:val="clear" w:color="auto" w:fill="auto"/>
            <w:noWrap/>
            <w:vAlign w:val="bottom"/>
            <w:hideMark/>
          </w:tcPr>
          <w:p w:rsidR="00670D4D" w:rsidRPr="009F0E09" w:rsidP="00E9507C" w14:paraId="09D3F47D" w14:textId="77777777">
            <w:pPr>
              <w:rPr>
                <w:color w:val="000000"/>
                <w:kern w:val="0"/>
              </w:rPr>
            </w:pPr>
            <w:r w:rsidRPr="009F0E09">
              <w:rPr>
                <w:color w:val="000000"/>
                <w:kern w:val="0"/>
              </w:rPr>
              <w:t>BEA176 </w:t>
            </w:r>
          </w:p>
        </w:tc>
        <w:tc>
          <w:tcPr>
            <w:tcW w:w="4950" w:type="dxa"/>
            <w:tcBorders>
              <w:top w:val="nil"/>
              <w:left w:val="nil"/>
              <w:bottom w:val="nil"/>
              <w:right w:val="nil"/>
            </w:tcBorders>
            <w:shd w:val="clear" w:color="auto" w:fill="auto"/>
            <w:noWrap/>
            <w:vAlign w:val="bottom"/>
            <w:hideMark/>
          </w:tcPr>
          <w:p w:rsidR="00670D4D" w:rsidRPr="009F0E09" w:rsidP="00E9507C" w14:paraId="2357210D" w14:textId="77777777">
            <w:pPr>
              <w:rPr>
                <w:color w:val="000000"/>
                <w:kern w:val="0"/>
              </w:rPr>
            </w:pPr>
            <w:r w:rsidRPr="009F0E09">
              <w:rPr>
                <w:color w:val="000000"/>
                <w:kern w:val="0"/>
              </w:rPr>
              <w:t>Gulf of Mexico</w:t>
            </w:r>
          </w:p>
        </w:tc>
        <w:tc>
          <w:tcPr>
            <w:tcW w:w="2024" w:type="dxa"/>
            <w:tcBorders>
              <w:top w:val="nil"/>
              <w:left w:val="nil"/>
              <w:bottom w:val="nil"/>
              <w:right w:val="nil"/>
            </w:tcBorders>
            <w:shd w:val="clear" w:color="auto" w:fill="auto"/>
            <w:noWrap/>
            <w:vAlign w:val="bottom"/>
            <w:hideMark/>
          </w:tcPr>
          <w:p w:rsidR="00670D4D" w:rsidRPr="009F0E09" w:rsidP="00E9507C" w14:paraId="609BA7B1" w14:textId="77777777">
            <w:pPr>
              <w:ind w:right="-604" w:firstLine="158"/>
              <w:rPr>
                <w:color w:val="000000"/>
                <w:kern w:val="0"/>
              </w:rPr>
            </w:pPr>
            <w:r w:rsidRPr="009F0E09">
              <w:rPr>
                <w:color w:val="000000"/>
                <w:kern w:val="0"/>
              </w:rPr>
              <w:t>C  </w:t>
            </w:r>
          </w:p>
        </w:tc>
      </w:tr>
    </w:tbl>
    <w:p w:rsidR="00670D4D" w:rsidP="00670D4D" w14:paraId="3212285C" w14:textId="77777777">
      <w:pPr>
        <w:jc w:val="center"/>
        <w:rPr>
          <w:b/>
          <w:bCs/>
        </w:rPr>
      </w:pPr>
    </w:p>
    <w:p w:rsidR="0051046E" w:rsidP="00670D4D" w14:paraId="7DA30FC2" w14:textId="06E468CE">
      <w:pPr>
        <w:rPr>
          <w:b/>
          <w:bCs/>
        </w:rPr>
      </w:pPr>
      <w:r>
        <w:rPr>
          <w:b/>
          <w:bCs/>
        </w:rPr>
        <w:br w:type="page"/>
      </w:r>
    </w:p>
    <w:p w:rsidR="0051046E" w:rsidRPr="000A11C9" w:rsidP="0051046E" w14:paraId="14A7F5E0" w14:textId="77777777">
      <w:pPr>
        <w:jc w:val="center"/>
        <w:rPr>
          <w:b/>
          <w:bCs/>
        </w:rPr>
      </w:pPr>
      <w:r>
        <w:rPr>
          <w:b/>
          <w:bCs/>
        </w:rPr>
        <w:t>ATTACHMENT</w:t>
      </w:r>
      <w:r w:rsidRPr="000A11C9">
        <w:rPr>
          <w:b/>
          <w:bCs/>
        </w:rPr>
        <w:t xml:space="preserve"> </w:t>
      </w:r>
      <w:r>
        <w:rPr>
          <w:b/>
          <w:bCs/>
        </w:rPr>
        <w:t>D</w:t>
      </w:r>
      <w:r w:rsidRPr="000A11C9">
        <w:rPr>
          <w:b/>
          <w:bCs/>
        </w:rPr>
        <w:t xml:space="preserve"> </w:t>
      </w:r>
    </w:p>
    <w:p w:rsidR="0051046E" w:rsidP="0051046E" w14:paraId="0A904481" w14:textId="0BD8C224">
      <w:pPr>
        <w:jc w:val="center"/>
        <w:rPr>
          <w:b/>
          <w:bCs/>
        </w:rPr>
      </w:pPr>
      <w:r>
        <w:rPr>
          <w:b/>
          <w:bCs/>
        </w:rPr>
        <w:t>42 Licenses</w:t>
      </w:r>
      <w:r w:rsidRPr="000A11C9">
        <w:rPr>
          <w:b/>
          <w:bCs/>
        </w:rPr>
        <w:t xml:space="preserve"> in </w:t>
      </w:r>
      <w:r>
        <w:rPr>
          <w:b/>
          <w:bCs/>
        </w:rPr>
        <w:t>21</w:t>
      </w:r>
      <w:r w:rsidRPr="000A11C9">
        <w:rPr>
          <w:b/>
          <w:bCs/>
        </w:rPr>
        <w:t xml:space="preserve"> EAs </w:t>
      </w:r>
    </w:p>
    <w:p w:rsidR="0051046E" w:rsidP="0051046E" w14:paraId="5BA0D032" w14:textId="77777777">
      <w:pPr>
        <w:jc w:val="center"/>
        <w:rPr>
          <w:b/>
          <w:bCs/>
        </w:rPr>
      </w:pPr>
      <w:r>
        <w:rPr>
          <w:b/>
          <w:bCs/>
        </w:rPr>
        <w:t>Duplicative Construction Filings</w:t>
      </w:r>
    </w:p>
    <w:p w:rsidR="0051046E" w:rsidP="0051046E" w14:paraId="435FE502" w14:textId="77777777">
      <w:pPr>
        <w:jc w:val="center"/>
        <w:rPr>
          <w:b/>
          <w:bCs/>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304"/>
        <w:gridCol w:w="1482"/>
        <w:gridCol w:w="5656"/>
        <w:gridCol w:w="1682"/>
      </w:tblGrid>
      <w:tr w14:paraId="68737F90" w14:textId="77777777" w:rsidTr="006C27C7">
        <w:tblPrEx>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1440" w:type="dxa"/>
            <w:noWrap/>
          </w:tcPr>
          <w:p w:rsidR="0051046E" w:rsidRPr="009F0E09" w:rsidP="006C27C7" w14:paraId="50E14535" w14:textId="77777777">
            <w:pPr>
              <w:jc w:val="center"/>
              <w:rPr>
                <w:rFonts w:ascii="Times New Roman" w:eastAsia="Times New Roman" w:hAnsi="Times New Roman" w:cs="Times New Roman"/>
                <w:b/>
                <w:bCs/>
                <w:color w:val="000000"/>
                <w:kern w:val="0"/>
                <w14:ligatures w14:val="none"/>
              </w:rPr>
            </w:pPr>
          </w:p>
          <w:p w:rsidR="0051046E" w:rsidRPr="009F0E09" w:rsidP="006C27C7" w14:paraId="6D28E708" w14:textId="77777777">
            <w:pPr>
              <w:jc w:val="center"/>
              <w:rPr>
                <w:rFonts w:ascii="Times New Roman" w:hAnsi="Times New Roman" w:cs="Times New Roman"/>
              </w:rPr>
            </w:pPr>
            <w:r w:rsidRPr="009F0E09">
              <w:rPr>
                <w:rFonts w:ascii="Times New Roman" w:eastAsia="Times New Roman" w:hAnsi="Times New Roman" w:cs="Times New Roman"/>
                <w:b/>
                <w:bCs/>
                <w:color w:val="000000"/>
                <w:kern w:val="0"/>
                <w14:ligatures w14:val="none"/>
              </w:rPr>
              <w:t>File Number</w:t>
            </w:r>
          </w:p>
        </w:tc>
        <w:tc>
          <w:tcPr>
            <w:tcW w:w="990" w:type="dxa"/>
            <w:noWrap/>
            <w:vAlign w:val="bottom"/>
          </w:tcPr>
          <w:p w:rsidR="0051046E" w:rsidRPr="009F0E09" w:rsidP="006C27C7" w14:paraId="55340382" w14:textId="77777777">
            <w:pPr>
              <w:jc w:val="center"/>
              <w:rPr>
                <w:rFonts w:ascii="Times New Roman" w:hAnsi="Times New Roman" w:cs="Times New Roman"/>
              </w:rPr>
            </w:pPr>
            <w:r w:rsidRPr="009F0E09">
              <w:rPr>
                <w:rFonts w:ascii="Times New Roman" w:eastAsia="Times New Roman" w:hAnsi="Times New Roman" w:cs="Times New Roman"/>
                <w:b/>
                <w:bCs/>
                <w:color w:val="000000"/>
                <w:kern w:val="0"/>
                <w14:ligatures w14:val="none"/>
              </w:rPr>
              <w:t>Call Sign</w:t>
            </w:r>
          </w:p>
        </w:tc>
        <w:tc>
          <w:tcPr>
            <w:tcW w:w="1482" w:type="dxa"/>
            <w:noWrap/>
            <w:vAlign w:val="bottom"/>
          </w:tcPr>
          <w:p w:rsidR="0051046E" w:rsidRPr="009F0E09" w:rsidP="006C27C7" w14:paraId="477777C1" w14:textId="77777777">
            <w:pPr>
              <w:jc w:val="center"/>
              <w:rPr>
                <w:rFonts w:ascii="Times New Roman" w:hAnsi="Times New Roman" w:cs="Times New Roman"/>
              </w:rPr>
            </w:pPr>
            <w:r w:rsidRPr="009F0E09">
              <w:rPr>
                <w:rFonts w:ascii="Times New Roman" w:eastAsia="Times New Roman" w:hAnsi="Times New Roman" w:cs="Times New Roman"/>
                <w:b/>
                <w:bCs/>
                <w:color w:val="000000"/>
                <w:kern w:val="0"/>
                <w14:ligatures w14:val="none"/>
              </w:rPr>
              <w:t>Market Code</w:t>
            </w:r>
          </w:p>
        </w:tc>
        <w:tc>
          <w:tcPr>
            <w:tcW w:w="5656" w:type="dxa"/>
            <w:noWrap/>
            <w:vAlign w:val="bottom"/>
          </w:tcPr>
          <w:p w:rsidR="0051046E" w:rsidRPr="009F0E09" w:rsidP="006C27C7" w14:paraId="4D3A05AC" w14:textId="77777777">
            <w:pPr>
              <w:jc w:val="center"/>
              <w:rPr>
                <w:rFonts w:ascii="Times New Roman" w:hAnsi="Times New Roman" w:cs="Times New Roman"/>
              </w:rPr>
            </w:pPr>
            <w:r w:rsidRPr="009F0E09">
              <w:rPr>
                <w:rFonts w:ascii="Times New Roman" w:eastAsia="Times New Roman" w:hAnsi="Times New Roman" w:cs="Times New Roman"/>
                <w:b/>
                <w:bCs/>
                <w:color w:val="000000"/>
                <w:kern w:val="0"/>
                <w14:ligatures w14:val="none"/>
              </w:rPr>
              <w:t>Market Description</w:t>
            </w:r>
          </w:p>
        </w:tc>
        <w:tc>
          <w:tcPr>
            <w:tcW w:w="1682" w:type="dxa"/>
            <w:noWrap/>
            <w:vAlign w:val="bottom"/>
          </w:tcPr>
          <w:p w:rsidR="0051046E" w:rsidRPr="009F0E09" w:rsidP="006C27C7" w14:paraId="45F87A2A" w14:textId="77777777">
            <w:pPr>
              <w:jc w:val="center"/>
              <w:rPr>
                <w:rFonts w:ascii="Times New Roman" w:hAnsi="Times New Roman" w:cs="Times New Roman"/>
              </w:rPr>
            </w:pPr>
            <w:r w:rsidRPr="009F0E09">
              <w:rPr>
                <w:rFonts w:ascii="Times New Roman" w:eastAsia="Times New Roman" w:hAnsi="Times New Roman" w:cs="Times New Roman"/>
                <w:b/>
                <w:bCs/>
                <w:color w:val="000000"/>
                <w:kern w:val="0"/>
                <w14:ligatures w14:val="none"/>
              </w:rPr>
              <w:t>Channel Block</w:t>
            </w:r>
          </w:p>
        </w:tc>
      </w:tr>
      <w:tr w14:paraId="5003CB24" w14:textId="77777777" w:rsidTr="006C27C7">
        <w:tblPrEx>
          <w:tblW w:w="11250" w:type="dxa"/>
          <w:jc w:val="center"/>
          <w:tblLook w:val="04A0"/>
        </w:tblPrEx>
        <w:trPr>
          <w:trHeight w:val="300"/>
          <w:jc w:val="center"/>
        </w:trPr>
        <w:tc>
          <w:tcPr>
            <w:tcW w:w="1440" w:type="dxa"/>
            <w:noWrap/>
            <w:hideMark/>
          </w:tcPr>
          <w:p w:rsidR="0051046E" w:rsidRPr="009F0E09" w:rsidP="006C27C7" w14:paraId="31F19D24" w14:textId="77777777">
            <w:pPr>
              <w:jc w:val="center"/>
              <w:rPr>
                <w:rFonts w:ascii="Times New Roman" w:hAnsi="Times New Roman" w:cs="Times New Roman"/>
              </w:rPr>
            </w:pPr>
            <w:r w:rsidRPr="009F0E09">
              <w:rPr>
                <w:rFonts w:ascii="Times New Roman" w:hAnsi="Times New Roman" w:cs="Times New Roman"/>
              </w:rPr>
              <w:t>0009048443  </w:t>
            </w:r>
          </w:p>
        </w:tc>
        <w:tc>
          <w:tcPr>
            <w:tcW w:w="990" w:type="dxa"/>
            <w:noWrap/>
            <w:hideMark/>
          </w:tcPr>
          <w:p w:rsidR="0051046E" w:rsidRPr="009F0E09" w:rsidP="006C27C7" w14:paraId="1D264226" w14:textId="77777777">
            <w:pPr>
              <w:jc w:val="center"/>
              <w:rPr>
                <w:rFonts w:ascii="Times New Roman" w:hAnsi="Times New Roman" w:cs="Times New Roman"/>
              </w:rPr>
            </w:pPr>
            <w:r w:rsidRPr="009F0E09">
              <w:rPr>
                <w:rFonts w:ascii="Times New Roman" w:hAnsi="Times New Roman" w:cs="Times New Roman"/>
              </w:rPr>
              <w:t>WPQP849  </w:t>
            </w:r>
          </w:p>
        </w:tc>
        <w:tc>
          <w:tcPr>
            <w:tcW w:w="1482" w:type="dxa"/>
            <w:noWrap/>
            <w:hideMark/>
          </w:tcPr>
          <w:p w:rsidR="0051046E" w:rsidRPr="009F0E09" w:rsidP="006C27C7" w14:paraId="5FC47E00" w14:textId="77777777">
            <w:pPr>
              <w:jc w:val="center"/>
              <w:rPr>
                <w:rFonts w:ascii="Times New Roman" w:hAnsi="Times New Roman" w:cs="Times New Roman"/>
              </w:rPr>
            </w:pPr>
            <w:r w:rsidRPr="009F0E09">
              <w:rPr>
                <w:rFonts w:ascii="Times New Roman" w:hAnsi="Times New Roman" w:cs="Times New Roman"/>
              </w:rPr>
              <w:t>BEA003 </w:t>
            </w:r>
          </w:p>
        </w:tc>
        <w:tc>
          <w:tcPr>
            <w:tcW w:w="5656" w:type="dxa"/>
            <w:noWrap/>
            <w:hideMark/>
          </w:tcPr>
          <w:p w:rsidR="0051046E" w:rsidRPr="009F0E09" w:rsidP="006C27C7" w14:paraId="1022A9CF" w14:textId="77777777">
            <w:pPr>
              <w:rPr>
                <w:rFonts w:ascii="Times New Roman" w:hAnsi="Times New Roman" w:cs="Times New Roman"/>
              </w:rPr>
            </w:pPr>
            <w:r w:rsidRPr="009F0E09">
              <w:rPr>
                <w:rFonts w:ascii="Times New Roman" w:hAnsi="Times New Roman" w:cs="Times New Roman"/>
              </w:rPr>
              <w:t xml:space="preserve">Boston-Worcester-Lawrence-Lowell-Brockton, MA-NH-RI-VT </w:t>
            </w:r>
          </w:p>
        </w:tc>
        <w:tc>
          <w:tcPr>
            <w:tcW w:w="1682" w:type="dxa"/>
            <w:noWrap/>
            <w:hideMark/>
          </w:tcPr>
          <w:p w:rsidR="0051046E" w:rsidRPr="009F0E09" w:rsidP="006C27C7" w14:paraId="1CD91B94" w14:textId="77777777">
            <w:pPr>
              <w:jc w:val="center"/>
              <w:rPr>
                <w:rFonts w:ascii="Times New Roman" w:hAnsi="Times New Roman" w:cs="Times New Roman"/>
              </w:rPr>
            </w:pPr>
            <w:r w:rsidRPr="009F0E09">
              <w:rPr>
                <w:rFonts w:ascii="Times New Roman" w:hAnsi="Times New Roman" w:cs="Times New Roman"/>
              </w:rPr>
              <w:t>B  </w:t>
            </w:r>
          </w:p>
        </w:tc>
      </w:tr>
      <w:tr w14:paraId="0DB115C1" w14:textId="77777777" w:rsidTr="006C27C7">
        <w:tblPrEx>
          <w:tblW w:w="11250" w:type="dxa"/>
          <w:jc w:val="center"/>
          <w:tblLook w:val="04A0"/>
        </w:tblPrEx>
        <w:trPr>
          <w:trHeight w:val="300"/>
          <w:jc w:val="center"/>
        </w:trPr>
        <w:tc>
          <w:tcPr>
            <w:tcW w:w="1440" w:type="dxa"/>
            <w:noWrap/>
            <w:hideMark/>
          </w:tcPr>
          <w:p w:rsidR="0051046E" w:rsidRPr="009F0E09" w:rsidP="006C27C7" w14:paraId="3C94FDC5" w14:textId="77777777">
            <w:pPr>
              <w:jc w:val="center"/>
              <w:rPr>
                <w:rFonts w:ascii="Times New Roman" w:hAnsi="Times New Roman" w:cs="Times New Roman"/>
              </w:rPr>
            </w:pPr>
            <w:r w:rsidRPr="009F0E09">
              <w:rPr>
                <w:rFonts w:ascii="Times New Roman" w:hAnsi="Times New Roman" w:cs="Times New Roman"/>
              </w:rPr>
              <w:t>0009048444  </w:t>
            </w:r>
          </w:p>
        </w:tc>
        <w:tc>
          <w:tcPr>
            <w:tcW w:w="990" w:type="dxa"/>
            <w:noWrap/>
            <w:hideMark/>
          </w:tcPr>
          <w:p w:rsidR="0051046E" w:rsidRPr="009F0E09" w:rsidP="006C27C7" w14:paraId="3AD8324D" w14:textId="77777777">
            <w:pPr>
              <w:jc w:val="center"/>
              <w:rPr>
                <w:rFonts w:ascii="Times New Roman" w:hAnsi="Times New Roman" w:cs="Times New Roman"/>
              </w:rPr>
            </w:pPr>
            <w:r w:rsidRPr="009F0E09">
              <w:rPr>
                <w:rFonts w:ascii="Times New Roman" w:hAnsi="Times New Roman" w:cs="Times New Roman"/>
              </w:rPr>
              <w:t>WPQP850  </w:t>
            </w:r>
          </w:p>
        </w:tc>
        <w:tc>
          <w:tcPr>
            <w:tcW w:w="1482" w:type="dxa"/>
            <w:noWrap/>
            <w:hideMark/>
          </w:tcPr>
          <w:p w:rsidR="0051046E" w:rsidRPr="009F0E09" w:rsidP="006C27C7" w14:paraId="130E959B" w14:textId="77777777">
            <w:pPr>
              <w:jc w:val="center"/>
              <w:rPr>
                <w:rFonts w:ascii="Times New Roman" w:hAnsi="Times New Roman" w:cs="Times New Roman"/>
              </w:rPr>
            </w:pPr>
            <w:r w:rsidRPr="009F0E09">
              <w:rPr>
                <w:rFonts w:ascii="Times New Roman" w:hAnsi="Times New Roman" w:cs="Times New Roman"/>
              </w:rPr>
              <w:t>BEA003 </w:t>
            </w:r>
          </w:p>
        </w:tc>
        <w:tc>
          <w:tcPr>
            <w:tcW w:w="5656" w:type="dxa"/>
            <w:noWrap/>
            <w:hideMark/>
          </w:tcPr>
          <w:p w:rsidR="0051046E" w:rsidRPr="009F0E09" w:rsidP="006C27C7" w14:paraId="318E28C9" w14:textId="77777777">
            <w:pPr>
              <w:rPr>
                <w:rFonts w:ascii="Times New Roman" w:hAnsi="Times New Roman" w:cs="Times New Roman"/>
              </w:rPr>
            </w:pPr>
            <w:r w:rsidRPr="009F0E09">
              <w:rPr>
                <w:rFonts w:ascii="Times New Roman" w:hAnsi="Times New Roman" w:cs="Times New Roman"/>
              </w:rPr>
              <w:t xml:space="preserve">Boston-Worcester-Lawrence-Lowell-Brockton, MA-NH-RI-VT </w:t>
            </w:r>
          </w:p>
        </w:tc>
        <w:tc>
          <w:tcPr>
            <w:tcW w:w="1682" w:type="dxa"/>
            <w:noWrap/>
            <w:hideMark/>
          </w:tcPr>
          <w:p w:rsidR="0051046E" w:rsidRPr="009F0E09" w:rsidP="006C27C7" w14:paraId="35BF79D1" w14:textId="77777777">
            <w:pPr>
              <w:jc w:val="center"/>
              <w:rPr>
                <w:rFonts w:ascii="Times New Roman" w:hAnsi="Times New Roman" w:cs="Times New Roman"/>
              </w:rPr>
            </w:pPr>
            <w:r w:rsidRPr="009F0E09">
              <w:rPr>
                <w:rFonts w:ascii="Times New Roman" w:hAnsi="Times New Roman" w:cs="Times New Roman"/>
              </w:rPr>
              <w:t>C  </w:t>
            </w:r>
          </w:p>
        </w:tc>
      </w:tr>
      <w:tr w14:paraId="75A824AE" w14:textId="77777777" w:rsidTr="006C27C7">
        <w:tblPrEx>
          <w:tblW w:w="11250" w:type="dxa"/>
          <w:jc w:val="center"/>
          <w:tblLook w:val="04A0"/>
        </w:tblPrEx>
        <w:trPr>
          <w:trHeight w:val="300"/>
          <w:jc w:val="center"/>
        </w:trPr>
        <w:tc>
          <w:tcPr>
            <w:tcW w:w="1440" w:type="dxa"/>
            <w:noWrap/>
            <w:hideMark/>
          </w:tcPr>
          <w:p w:rsidR="0051046E" w:rsidRPr="009F0E09" w:rsidP="006C27C7" w14:paraId="5D9C43E2" w14:textId="77777777">
            <w:pPr>
              <w:jc w:val="center"/>
              <w:rPr>
                <w:rFonts w:ascii="Times New Roman" w:hAnsi="Times New Roman" w:cs="Times New Roman"/>
              </w:rPr>
            </w:pPr>
            <w:r w:rsidRPr="009F0E09">
              <w:rPr>
                <w:rFonts w:ascii="Times New Roman" w:hAnsi="Times New Roman" w:cs="Times New Roman"/>
              </w:rPr>
              <w:t>0009048447  </w:t>
            </w:r>
          </w:p>
        </w:tc>
        <w:tc>
          <w:tcPr>
            <w:tcW w:w="990" w:type="dxa"/>
            <w:noWrap/>
            <w:hideMark/>
          </w:tcPr>
          <w:p w:rsidR="0051046E" w:rsidRPr="009F0E09" w:rsidP="006C27C7" w14:paraId="4EE52CD6" w14:textId="77777777">
            <w:pPr>
              <w:jc w:val="center"/>
              <w:rPr>
                <w:rFonts w:ascii="Times New Roman" w:hAnsi="Times New Roman" w:cs="Times New Roman"/>
              </w:rPr>
            </w:pPr>
            <w:r w:rsidRPr="009F0E09">
              <w:rPr>
                <w:rFonts w:ascii="Times New Roman" w:hAnsi="Times New Roman" w:cs="Times New Roman"/>
              </w:rPr>
              <w:t>WPQP863  </w:t>
            </w:r>
          </w:p>
        </w:tc>
        <w:tc>
          <w:tcPr>
            <w:tcW w:w="1482" w:type="dxa"/>
            <w:noWrap/>
            <w:hideMark/>
          </w:tcPr>
          <w:p w:rsidR="0051046E" w:rsidRPr="009F0E09" w:rsidP="006C27C7" w14:paraId="48F5F19F" w14:textId="77777777">
            <w:pPr>
              <w:jc w:val="center"/>
              <w:rPr>
                <w:rFonts w:ascii="Times New Roman" w:hAnsi="Times New Roman" w:cs="Times New Roman"/>
              </w:rPr>
            </w:pPr>
            <w:r w:rsidRPr="009F0E09">
              <w:rPr>
                <w:rFonts w:ascii="Times New Roman" w:hAnsi="Times New Roman" w:cs="Times New Roman"/>
              </w:rPr>
              <w:t>BEA010 </w:t>
            </w:r>
          </w:p>
        </w:tc>
        <w:tc>
          <w:tcPr>
            <w:tcW w:w="5656" w:type="dxa"/>
            <w:noWrap/>
            <w:hideMark/>
          </w:tcPr>
          <w:p w:rsidR="0051046E" w:rsidRPr="009F0E09" w:rsidP="006C27C7" w14:paraId="1E433F79" w14:textId="77777777">
            <w:pPr>
              <w:rPr>
                <w:rFonts w:ascii="Times New Roman" w:hAnsi="Times New Roman" w:cs="Times New Roman"/>
              </w:rPr>
            </w:pPr>
            <w:r w:rsidRPr="009F0E09">
              <w:rPr>
                <w:rFonts w:ascii="Times New Roman" w:hAnsi="Times New Roman" w:cs="Times New Roman"/>
              </w:rPr>
              <w:t>New York-North New Jersey-Long Island, NY-NJ-CT-PA-MA-VT</w:t>
            </w:r>
          </w:p>
        </w:tc>
        <w:tc>
          <w:tcPr>
            <w:tcW w:w="1682" w:type="dxa"/>
            <w:noWrap/>
            <w:hideMark/>
          </w:tcPr>
          <w:p w:rsidR="0051046E" w:rsidRPr="009F0E09" w:rsidP="006C27C7" w14:paraId="14E6CF37" w14:textId="77777777">
            <w:pPr>
              <w:jc w:val="center"/>
              <w:rPr>
                <w:rFonts w:ascii="Times New Roman" w:hAnsi="Times New Roman" w:cs="Times New Roman"/>
              </w:rPr>
            </w:pPr>
            <w:r w:rsidRPr="009F0E09">
              <w:rPr>
                <w:rFonts w:ascii="Times New Roman" w:hAnsi="Times New Roman" w:cs="Times New Roman"/>
              </w:rPr>
              <w:t>B  </w:t>
            </w:r>
          </w:p>
        </w:tc>
      </w:tr>
      <w:tr w14:paraId="6B85BF80" w14:textId="77777777" w:rsidTr="006C27C7">
        <w:tblPrEx>
          <w:tblW w:w="11250" w:type="dxa"/>
          <w:jc w:val="center"/>
          <w:tblLook w:val="04A0"/>
        </w:tblPrEx>
        <w:trPr>
          <w:trHeight w:val="300"/>
          <w:jc w:val="center"/>
        </w:trPr>
        <w:tc>
          <w:tcPr>
            <w:tcW w:w="1440" w:type="dxa"/>
            <w:noWrap/>
            <w:hideMark/>
          </w:tcPr>
          <w:p w:rsidR="0051046E" w:rsidRPr="009F0E09" w:rsidP="006C27C7" w14:paraId="4E940DCA" w14:textId="77777777">
            <w:pPr>
              <w:jc w:val="center"/>
              <w:rPr>
                <w:rFonts w:ascii="Times New Roman" w:hAnsi="Times New Roman" w:cs="Times New Roman"/>
              </w:rPr>
            </w:pPr>
            <w:r w:rsidRPr="009F0E09">
              <w:rPr>
                <w:rFonts w:ascii="Times New Roman" w:hAnsi="Times New Roman" w:cs="Times New Roman"/>
              </w:rPr>
              <w:t>0009048448  </w:t>
            </w:r>
          </w:p>
        </w:tc>
        <w:tc>
          <w:tcPr>
            <w:tcW w:w="990" w:type="dxa"/>
            <w:noWrap/>
            <w:hideMark/>
          </w:tcPr>
          <w:p w:rsidR="0051046E" w:rsidRPr="009F0E09" w:rsidP="006C27C7" w14:paraId="20E1CB7C" w14:textId="77777777">
            <w:pPr>
              <w:jc w:val="center"/>
              <w:rPr>
                <w:rFonts w:ascii="Times New Roman" w:hAnsi="Times New Roman" w:cs="Times New Roman"/>
              </w:rPr>
            </w:pPr>
            <w:r w:rsidRPr="009F0E09">
              <w:rPr>
                <w:rFonts w:ascii="Times New Roman" w:hAnsi="Times New Roman" w:cs="Times New Roman"/>
              </w:rPr>
              <w:t>WPQP864  </w:t>
            </w:r>
          </w:p>
        </w:tc>
        <w:tc>
          <w:tcPr>
            <w:tcW w:w="1482" w:type="dxa"/>
            <w:noWrap/>
            <w:hideMark/>
          </w:tcPr>
          <w:p w:rsidR="0051046E" w:rsidRPr="009F0E09" w:rsidP="006C27C7" w14:paraId="11482A5E" w14:textId="77777777">
            <w:pPr>
              <w:jc w:val="center"/>
              <w:rPr>
                <w:rFonts w:ascii="Times New Roman" w:hAnsi="Times New Roman" w:cs="Times New Roman"/>
              </w:rPr>
            </w:pPr>
            <w:r w:rsidRPr="009F0E09">
              <w:rPr>
                <w:rFonts w:ascii="Times New Roman" w:hAnsi="Times New Roman" w:cs="Times New Roman"/>
              </w:rPr>
              <w:t>BEA010 </w:t>
            </w:r>
          </w:p>
        </w:tc>
        <w:tc>
          <w:tcPr>
            <w:tcW w:w="5656" w:type="dxa"/>
            <w:noWrap/>
            <w:hideMark/>
          </w:tcPr>
          <w:p w:rsidR="0051046E" w:rsidRPr="009F0E09" w:rsidP="006C27C7" w14:paraId="188E1538" w14:textId="77777777">
            <w:pPr>
              <w:rPr>
                <w:rFonts w:ascii="Times New Roman" w:hAnsi="Times New Roman" w:cs="Times New Roman"/>
              </w:rPr>
            </w:pPr>
            <w:r w:rsidRPr="009F0E09">
              <w:rPr>
                <w:rFonts w:ascii="Times New Roman" w:hAnsi="Times New Roman" w:cs="Times New Roman"/>
              </w:rPr>
              <w:t>New York-North New Jersey-Long Island, NY-NJ-CT-PA-MA-VT</w:t>
            </w:r>
          </w:p>
        </w:tc>
        <w:tc>
          <w:tcPr>
            <w:tcW w:w="1682" w:type="dxa"/>
            <w:noWrap/>
            <w:hideMark/>
          </w:tcPr>
          <w:p w:rsidR="0051046E" w:rsidRPr="009F0E09" w:rsidP="006C27C7" w14:paraId="1DD0BA3F" w14:textId="77777777">
            <w:pPr>
              <w:jc w:val="center"/>
              <w:rPr>
                <w:rFonts w:ascii="Times New Roman" w:hAnsi="Times New Roman" w:cs="Times New Roman"/>
              </w:rPr>
            </w:pPr>
            <w:r w:rsidRPr="009F0E09">
              <w:rPr>
                <w:rFonts w:ascii="Times New Roman" w:hAnsi="Times New Roman" w:cs="Times New Roman"/>
              </w:rPr>
              <w:t>C  </w:t>
            </w:r>
          </w:p>
        </w:tc>
      </w:tr>
      <w:tr w14:paraId="5241FA2C" w14:textId="77777777" w:rsidTr="006C27C7">
        <w:tblPrEx>
          <w:tblW w:w="11250" w:type="dxa"/>
          <w:jc w:val="center"/>
          <w:tblLook w:val="04A0"/>
        </w:tblPrEx>
        <w:trPr>
          <w:trHeight w:val="300"/>
          <w:jc w:val="center"/>
        </w:trPr>
        <w:tc>
          <w:tcPr>
            <w:tcW w:w="1440" w:type="dxa"/>
            <w:noWrap/>
            <w:hideMark/>
          </w:tcPr>
          <w:p w:rsidR="0051046E" w:rsidRPr="009F0E09" w:rsidP="006C27C7" w14:paraId="05108FAF" w14:textId="77777777">
            <w:pPr>
              <w:jc w:val="center"/>
              <w:rPr>
                <w:rFonts w:ascii="Times New Roman" w:hAnsi="Times New Roman" w:cs="Times New Roman"/>
              </w:rPr>
            </w:pPr>
            <w:r w:rsidRPr="009F0E09">
              <w:rPr>
                <w:rFonts w:ascii="Times New Roman" w:hAnsi="Times New Roman" w:cs="Times New Roman"/>
              </w:rPr>
              <w:t>0009048428  </w:t>
            </w:r>
          </w:p>
        </w:tc>
        <w:tc>
          <w:tcPr>
            <w:tcW w:w="990" w:type="dxa"/>
            <w:noWrap/>
            <w:hideMark/>
          </w:tcPr>
          <w:p w:rsidR="0051046E" w:rsidRPr="009F0E09" w:rsidP="006C27C7" w14:paraId="6764DB8D" w14:textId="77777777">
            <w:pPr>
              <w:jc w:val="center"/>
              <w:rPr>
                <w:rFonts w:ascii="Times New Roman" w:hAnsi="Times New Roman" w:cs="Times New Roman"/>
              </w:rPr>
            </w:pPr>
            <w:r w:rsidRPr="009F0E09">
              <w:rPr>
                <w:rFonts w:ascii="Times New Roman" w:hAnsi="Times New Roman" w:cs="Times New Roman"/>
              </w:rPr>
              <w:t>WPQP867  </w:t>
            </w:r>
          </w:p>
        </w:tc>
        <w:tc>
          <w:tcPr>
            <w:tcW w:w="1482" w:type="dxa"/>
            <w:noWrap/>
            <w:hideMark/>
          </w:tcPr>
          <w:p w:rsidR="0051046E" w:rsidRPr="009F0E09" w:rsidP="006C27C7" w14:paraId="2347AC28" w14:textId="77777777">
            <w:pPr>
              <w:jc w:val="center"/>
              <w:rPr>
                <w:rFonts w:ascii="Times New Roman" w:hAnsi="Times New Roman" w:cs="Times New Roman"/>
              </w:rPr>
            </w:pPr>
            <w:r w:rsidRPr="009F0E09">
              <w:rPr>
                <w:rFonts w:ascii="Times New Roman" w:hAnsi="Times New Roman" w:cs="Times New Roman"/>
              </w:rPr>
              <w:t>BEA012 </w:t>
            </w:r>
          </w:p>
        </w:tc>
        <w:tc>
          <w:tcPr>
            <w:tcW w:w="5656" w:type="dxa"/>
            <w:noWrap/>
            <w:hideMark/>
          </w:tcPr>
          <w:p w:rsidR="0051046E" w:rsidRPr="009F0E09" w:rsidP="006C27C7" w14:paraId="0FA43EA5" w14:textId="77777777">
            <w:pPr>
              <w:rPr>
                <w:rFonts w:ascii="Times New Roman" w:hAnsi="Times New Roman" w:cs="Times New Roman"/>
              </w:rPr>
            </w:pPr>
            <w:r w:rsidRPr="009F0E09">
              <w:rPr>
                <w:rFonts w:ascii="Times New Roman" w:hAnsi="Times New Roman" w:cs="Times New Roman"/>
              </w:rPr>
              <w:t>Philadelphia-Wilmington-Atlantic City, PA-NJ-DE-MD</w:t>
            </w:r>
          </w:p>
        </w:tc>
        <w:tc>
          <w:tcPr>
            <w:tcW w:w="1682" w:type="dxa"/>
            <w:noWrap/>
            <w:hideMark/>
          </w:tcPr>
          <w:p w:rsidR="0051046E" w:rsidRPr="009F0E09" w:rsidP="006C27C7" w14:paraId="2B03F7B1" w14:textId="77777777">
            <w:pPr>
              <w:jc w:val="center"/>
              <w:rPr>
                <w:rFonts w:ascii="Times New Roman" w:hAnsi="Times New Roman" w:cs="Times New Roman"/>
              </w:rPr>
            </w:pPr>
            <w:r w:rsidRPr="009F0E09">
              <w:rPr>
                <w:rFonts w:ascii="Times New Roman" w:hAnsi="Times New Roman" w:cs="Times New Roman"/>
              </w:rPr>
              <w:t>B  </w:t>
            </w:r>
          </w:p>
        </w:tc>
      </w:tr>
      <w:tr w14:paraId="28618AAC" w14:textId="77777777" w:rsidTr="006C27C7">
        <w:tblPrEx>
          <w:tblW w:w="11250" w:type="dxa"/>
          <w:jc w:val="center"/>
          <w:tblLook w:val="04A0"/>
        </w:tblPrEx>
        <w:trPr>
          <w:trHeight w:val="300"/>
          <w:jc w:val="center"/>
        </w:trPr>
        <w:tc>
          <w:tcPr>
            <w:tcW w:w="1440" w:type="dxa"/>
            <w:noWrap/>
            <w:hideMark/>
          </w:tcPr>
          <w:p w:rsidR="0051046E" w:rsidRPr="009F0E09" w:rsidP="006C27C7" w14:paraId="48273EA7" w14:textId="77777777">
            <w:pPr>
              <w:jc w:val="center"/>
              <w:rPr>
                <w:rFonts w:ascii="Times New Roman" w:hAnsi="Times New Roman" w:cs="Times New Roman"/>
              </w:rPr>
            </w:pPr>
            <w:r w:rsidRPr="009F0E09">
              <w:rPr>
                <w:rFonts w:ascii="Times New Roman" w:hAnsi="Times New Roman" w:cs="Times New Roman"/>
              </w:rPr>
              <w:t>0009048429  </w:t>
            </w:r>
          </w:p>
        </w:tc>
        <w:tc>
          <w:tcPr>
            <w:tcW w:w="990" w:type="dxa"/>
            <w:noWrap/>
            <w:hideMark/>
          </w:tcPr>
          <w:p w:rsidR="0051046E" w:rsidRPr="009F0E09" w:rsidP="006C27C7" w14:paraId="249B7040" w14:textId="77777777">
            <w:pPr>
              <w:jc w:val="center"/>
              <w:rPr>
                <w:rFonts w:ascii="Times New Roman" w:hAnsi="Times New Roman" w:cs="Times New Roman"/>
              </w:rPr>
            </w:pPr>
            <w:r w:rsidRPr="009F0E09">
              <w:rPr>
                <w:rFonts w:ascii="Times New Roman" w:hAnsi="Times New Roman" w:cs="Times New Roman"/>
              </w:rPr>
              <w:t>WPQP868  </w:t>
            </w:r>
          </w:p>
        </w:tc>
        <w:tc>
          <w:tcPr>
            <w:tcW w:w="1482" w:type="dxa"/>
            <w:noWrap/>
            <w:hideMark/>
          </w:tcPr>
          <w:p w:rsidR="0051046E" w:rsidRPr="009F0E09" w:rsidP="006C27C7" w14:paraId="7A2E0A15" w14:textId="77777777">
            <w:pPr>
              <w:jc w:val="center"/>
              <w:rPr>
                <w:rFonts w:ascii="Times New Roman" w:hAnsi="Times New Roman" w:cs="Times New Roman"/>
              </w:rPr>
            </w:pPr>
            <w:r w:rsidRPr="009F0E09">
              <w:rPr>
                <w:rFonts w:ascii="Times New Roman" w:hAnsi="Times New Roman" w:cs="Times New Roman"/>
              </w:rPr>
              <w:t>BEA012 </w:t>
            </w:r>
          </w:p>
        </w:tc>
        <w:tc>
          <w:tcPr>
            <w:tcW w:w="5656" w:type="dxa"/>
            <w:noWrap/>
            <w:hideMark/>
          </w:tcPr>
          <w:p w:rsidR="0051046E" w:rsidRPr="009F0E09" w:rsidP="006C27C7" w14:paraId="5345C8BB" w14:textId="77777777">
            <w:pPr>
              <w:rPr>
                <w:rFonts w:ascii="Times New Roman" w:hAnsi="Times New Roman" w:cs="Times New Roman"/>
              </w:rPr>
            </w:pPr>
            <w:r w:rsidRPr="009F0E09">
              <w:rPr>
                <w:rFonts w:ascii="Times New Roman" w:hAnsi="Times New Roman" w:cs="Times New Roman"/>
              </w:rPr>
              <w:t>Philadelphia-Wilmington-Atlantic City, PA-NJ-DE-MD</w:t>
            </w:r>
          </w:p>
        </w:tc>
        <w:tc>
          <w:tcPr>
            <w:tcW w:w="1682" w:type="dxa"/>
            <w:noWrap/>
            <w:hideMark/>
          </w:tcPr>
          <w:p w:rsidR="0051046E" w:rsidRPr="009F0E09" w:rsidP="006C27C7" w14:paraId="37328693" w14:textId="77777777">
            <w:pPr>
              <w:jc w:val="center"/>
              <w:rPr>
                <w:rFonts w:ascii="Times New Roman" w:hAnsi="Times New Roman" w:cs="Times New Roman"/>
              </w:rPr>
            </w:pPr>
            <w:r w:rsidRPr="009F0E09">
              <w:rPr>
                <w:rFonts w:ascii="Times New Roman" w:hAnsi="Times New Roman" w:cs="Times New Roman"/>
              </w:rPr>
              <w:t>C  </w:t>
            </w:r>
          </w:p>
        </w:tc>
      </w:tr>
      <w:tr w14:paraId="61009BE0" w14:textId="77777777" w:rsidTr="006C27C7">
        <w:tblPrEx>
          <w:tblW w:w="11250" w:type="dxa"/>
          <w:jc w:val="center"/>
          <w:tblLook w:val="04A0"/>
        </w:tblPrEx>
        <w:trPr>
          <w:trHeight w:val="300"/>
          <w:jc w:val="center"/>
        </w:trPr>
        <w:tc>
          <w:tcPr>
            <w:tcW w:w="1440" w:type="dxa"/>
            <w:noWrap/>
            <w:hideMark/>
          </w:tcPr>
          <w:p w:rsidR="0051046E" w:rsidRPr="009F0E09" w:rsidP="006C27C7" w14:paraId="4111B716" w14:textId="77777777">
            <w:pPr>
              <w:jc w:val="center"/>
              <w:rPr>
                <w:rFonts w:ascii="Times New Roman" w:hAnsi="Times New Roman" w:cs="Times New Roman"/>
              </w:rPr>
            </w:pPr>
            <w:r w:rsidRPr="009F0E09">
              <w:rPr>
                <w:rFonts w:ascii="Times New Roman" w:hAnsi="Times New Roman" w:cs="Times New Roman"/>
              </w:rPr>
              <w:t>0009048452  </w:t>
            </w:r>
          </w:p>
        </w:tc>
        <w:tc>
          <w:tcPr>
            <w:tcW w:w="990" w:type="dxa"/>
            <w:noWrap/>
            <w:hideMark/>
          </w:tcPr>
          <w:p w:rsidR="0051046E" w:rsidRPr="009F0E09" w:rsidP="006C27C7" w14:paraId="5FA98F39" w14:textId="77777777">
            <w:pPr>
              <w:jc w:val="center"/>
              <w:rPr>
                <w:rFonts w:ascii="Times New Roman" w:hAnsi="Times New Roman" w:cs="Times New Roman"/>
              </w:rPr>
            </w:pPr>
            <w:r w:rsidRPr="009F0E09">
              <w:rPr>
                <w:rFonts w:ascii="Times New Roman" w:hAnsi="Times New Roman" w:cs="Times New Roman"/>
              </w:rPr>
              <w:t>WPQP869  </w:t>
            </w:r>
          </w:p>
        </w:tc>
        <w:tc>
          <w:tcPr>
            <w:tcW w:w="1482" w:type="dxa"/>
            <w:noWrap/>
            <w:hideMark/>
          </w:tcPr>
          <w:p w:rsidR="0051046E" w:rsidRPr="009F0E09" w:rsidP="006C27C7" w14:paraId="06E85B72" w14:textId="77777777">
            <w:pPr>
              <w:jc w:val="center"/>
              <w:rPr>
                <w:rFonts w:ascii="Times New Roman" w:hAnsi="Times New Roman" w:cs="Times New Roman"/>
              </w:rPr>
            </w:pPr>
            <w:r w:rsidRPr="009F0E09">
              <w:rPr>
                <w:rFonts w:ascii="Times New Roman" w:hAnsi="Times New Roman" w:cs="Times New Roman"/>
              </w:rPr>
              <w:t>BEA013 </w:t>
            </w:r>
          </w:p>
        </w:tc>
        <w:tc>
          <w:tcPr>
            <w:tcW w:w="5656" w:type="dxa"/>
            <w:noWrap/>
            <w:hideMark/>
          </w:tcPr>
          <w:p w:rsidR="0051046E" w:rsidRPr="009F0E09" w:rsidP="006C27C7" w14:paraId="1B08E0CF" w14:textId="77777777">
            <w:pPr>
              <w:rPr>
                <w:rFonts w:ascii="Times New Roman" w:hAnsi="Times New Roman" w:cs="Times New Roman"/>
              </w:rPr>
            </w:pPr>
            <w:r w:rsidRPr="009F0E09">
              <w:rPr>
                <w:rFonts w:ascii="Times New Roman" w:hAnsi="Times New Roman" w:cs="Times New Roman"/>
              </w:rPr>
              <w:t>Washington-Baltimore, DC-MD-VA-WV-PA </w:t>
            </w:r>
          </w:p>
        </w:tc>
        <w:tc>
          <w:tcPr>
            <w:tcW w:w="1682" w:type="dxa"/>
            <w:noWrap/>
            <w:hideMark/>
          </w:tcPr>
          <w:p w:rsidR="0051046E" w:rsidRPr="009F0E09" w:rsidP="006C27C7" w14:paraId="3EA5281C" w14:textId="77777777">
            <w:pPr>
              <w:jc w:val="center"/>
              <w:rPr>
                <w:rFonts w:ascii="Times New Roman" w:hAnsi="Times New Roman" w:cs="Times New Roman"/>
              </w:rPr>
            </w:pPr>
            <w:r w:rsidRPr="009F0E09">
              <w:rPr>
                <w:rFonts w:ascii="Times New Roman" w:hAnsi="Times New Roman" w:cs="Times New Roman"/>
              </w:rPr>
              <w:t>B  </w:t>
            </w:r>
          </w:p>
        </w:tc>
      </w:tr>
      <w:tr w14:paraId="68CE5D29" w14:textId="77777777" w:rsidTr="006C27C7">
        <w:tblPrEx>
          <w:tblW w:w="11250" w:type="dxa"/>
          <w:jc w:val="center"/>
          <w:tblLook w:val="04A0"/>
        </w:tblPrEx>
        <w:trPr>
          <w:trHeight w:val="300"/>
          <w:jc w:val="center"/>
        </w:trPr>
        <w:tc>
          <w:tcPr>
            <w:tcW w:w="1440" w:type="dxa"/>
            <w:noWrap/>
            <w:hideMark/>
          </w:tcPr>
          <w:p w:rsidR="0051046E" w:rsidRPr="009F0E09" w:rsidP="006C27C7" w14:paraId="6F68DB2E" w14:textId="77777777">
            <w:pPr>
              <w:jc w:val="center"/>
              <w:rPr>
                <w:rFonts w:ascii="Times New Roman" w:hAnsi="Times New Roman" w:cs="Times New Roman"/>
              </w:rPr>
            </w:pPr>
            <w:r w:rsidRPr="009F0E09">
              <w:rPr>
                <w:rFonts w:ascii="Times New Roman" w:hAnsi="Times New Roman" w:cs="Times New Roman"/>
              </w:rPr>
              <w:t>0009048453  </w:t>
            </w:r>
          </w:p>
        </w:tc>
        <w:tc>
          <w:tcPr>
            <w:tcW w:w="990" w:type="dxa"/>
            <w:noWrap/>
            <w:hideMark/>
          </w:tcPr>
          <w:p w:rsidR="0051046E" w:rsidRPr="009F0E09" w:rsidP="006C27C7" w14:paraId="24AD68C0" w14:textId="77777777">
            <w:pPr>
              <w:jc w:val="center"/>
              <w:rPr>
                <w:rFonts w:ascii="Times New Roman" w:hAnsi="Times New Roman" w:cs="Times New Roman"/>
              </w:rPr>
            </w:pPr>
            <w:r w:rsidRPr="009F0E09">
              <w:rPr>
                <w:rFonts w:ascii="Times New Roman" w:hAnsi="Times New Roman" w:cs="Times New Roman"/>
              </w:rPr>
              <w:t>WPQP870  </w:t>
            </w:r>
          </w:p>
        </w:tc>
        <w:tc>
          <w:tcPr>
            <w:tcW w:w="1482" w:type="dxa"/>
            <w:noWrap/>
            <w:hideMark/>
          </w:tcPr>
          <w:p w:rsidR="0051046E" w:rsidRPr="009F0E09" w:rsidP="006C27C7" w14:paraId="2B985D1A" w14:textId="77777777">
            <w:pPr>
              <w:jc w:val="center"/>
              <w:rPr>
                <w:rFonts w:ascii="Times New Roman" w:hAnsi="Times New Roman" w:cs="Times New Roman"/>
              </w:rPr>
            </w:pPr>
            <w:r w:rsidRPr="009F0E09">
              <w:rPr>
                <w:rFonts w:ascii="Times New Roman" w:hAnsi="Times New Roman" w:cs="Times New Roman"/>
              </w:rPr>
              <w:t>BEA013 </w:t>
            </w:r>
          </w:p>
        </w:tc>
        <w:tc>
          <w:tcPr>
            <w:tcW w:w="5656" w:type="dxa"/>
            <w:noWrap/>
            <w:hideMark/>
          </w:tcPr>
          <w:p w:rsidR="0051046E" w:rsidRPr="009F0E09" w:rsidP="006C27C7" w14:paraId="0F386FA3" w14:textId="77777777">
            <w:pPr>
              <w:rPr>
                <w:rFonts w:ascii="Times New Roman" w:hAnsi="Times New Roman" w:cs="Times New Roman"/>
              </w:rPr>
            </w:pPr>
            <w:r w:rsidRPr="009F0E09">
              <w:rPr>
                <w:rFonts w:ascii="Times New Roman" w:hAnsi="Times New Roman" w:cs="Times New Roman"/>
              </w:rPr>
              <w:t>Washington-Baltimore, DC-MD-VA-WV-PA </w:t>
            </w:r>
          </w:p>
        </w:tc>
        <w:tc>
          <w:tcPr>
            <w:tcW w:w="1682" w:type="dxa"/>
            <w:noWrap/>
            <w:hideMark/>
          </w:tcPr>
          <w:p w:rsidR="0051046E" w:rsidRPr="009F0E09" w:rsidP="006C27C7" w14:paraId="031F74BE" w14:textId="77777777">
            <w:pPr>
              <w:jc w:val="center"/>
              <w:rPr>
                <w:rFonts w:ascii="Times New Roman" w:hAnsi="Times New Roman" w:cs="Times New Roman"/>
              </w:rPr>
            </w:pPr>
            <w:r w:rsidRPr="009F0E09">
              <w:rPr>
                <w:rFonts w:ascii="Times New Roman" w:hAnsi="Times New Roman" w:cs="Times New Roman"/>
              </w:rPr>
              <w:t>C  </w:t>
            </w:r>
          </w:p>
        </w:tc>
      </w:tr>
      <w:tr w14:paraId="0F760522" w14:textId="77777777" w:rsidTr="006C27C7">
        <w:tblPrEx>
          <w:tblW w:w="11250" w:type="dxa"/>
          <w:jc w:val="center"/>
          <w:tblLook w:val="04A0"/>
        </w:tblPrEx>
        <w:trPr>
          <w:trHeight w:val="300"/>
          <w:jc w:val="center"/>
        </w:trPr>
        <w:tc>
          <w:tcPr>
            <w:tcW w:w="1440" w:type="dxa"/>
            <w:noWrap/>
            <w:hideMark/>
          </w:tcPr>
          <w:p w:rsidR="0051046E" w:rsidRPr="009F0E09" w:rsidP="006C27C7" w14:paraId="4FD8DA51" w14:textId="77777777">
            <w:pPr>
              <w:jc w:val="center"/>
              <w:rPr>
                <w:rFonts w:ascii="Times New Roman" w:hAnsi="Times New Roman" w:cs="Times New Roman"/>
              </w:rPr>
            </w:pPr>
            <w:r w:rsidRPr="009F0E09">
              <w:rPr>
                <w:rFonts w:ascii="Times New Roman" w:hAnsi="Times New Roman" w:cs="Times New Roman"/>
              </w:rPr>
              <w:t>0009048456  </w:t>
            </w:r>
          </w:p>
        </w:tc>
        <w:tc>
          <w:tcPr>
            <w:tcW w:w="990" w:type="dxa"/>
            <w:noWrap/>
            <w:hideMark/>
          </w:tcPr>
          <w:p w:rsidR="0051046E" w:rsidRPr="009F0E09" w:rsidP="006C27C7" w14:paraId="4D3C3FE6" w14:textId="77777777">
            <w:pPr>
              <w:jc w:val="center"/>
              <w:rPr>
                <w:rFonts w:ascii="Times New Roman" w:hAnsi="Times New Roman" w:cs="Times New Roman"/>
              </w:rPr>
            </w:pPr>
            <w:r w:rsidRPr="009F0E09">
              <w:rPr>
                <w:rFonts w:ascii="Times New Roman" w:hAnsi="Times New Roman" w:cs="Times New Roman"/>
              </w:rPr>
              <w:t>WPQP899  </w:t>
            </w:r>
          </w:p>
        </w:tc>
        <w:tc>
          <w:tcPr>
            <w:tcW w:w="1482" w:type="dxa"/>
            <w:noWrap/>
            <w:hideMark/>
          </w:tcPr>
          <w:p w:rsidR="0051046E" w:rsidRPr="009F0E09" w:rsidP="006C27C7" w14:paraId="1B6C38AB" w14:textId="77777777">
            <w:pPr>
              <w:jc w:val="center"/>
              <w:rPr>
                <w:rFonts w:ascii="Times New Roman" w:hAnsi="Times New Roman" w:cs="Times New Roman"/>
              </w:rPr>
            </w:pPr>
            <w:r w:rsidRPr="009F0E09">
              <w:rPr>
                <w:rFonts w:ascii="Times New Roman" w:hAnsi="Times New Roman" w:cs="Times New Roman"/>
              </w:rPr>
              <w:t>BEA031 </w:t>
            </w:r>
          </w:p>
        </w:tc>
        <w:tc>
          <w:tcPr>
            <w:tcW w:w="5656" w:type="dxa"/>
            <w:noWrap/>
            <w:hideMark/>
          </w:tcPr>
          <w:p w:rsidR="0051046E" w:rsidRPr="009F0E09" w:rsidP="006C27C7" w14:paraId="21C6B0FE" w14:textId="77777777">
            <w:pPr>
              <w:rPr>
                <w:rFonts w:ascii="Times New Roman" w:hAnsi="Times New Roman" w:cs="Times New Roman"/>
              </w:rPr>
            </w:pPr>
            <w:r w:rsidRPr="009F0E09">
              <w:rPr>
                <w:rFonts w:ascii="Times New Roman" w:hAnsi="Times New Roman" w:cs="Times New Roman"/>
              </w:rPr>
              <w:t>Miami-Fort Lauderdale, FL</w:t>
            </w:r>
          </w:p>
        </w:tc>
        <w:tc>
          <w:tcPr>
            <w:tcW w:w="1682" w:type="dxa"/>
            <w:noWrap/>
            <w:hideMark/>
          </w:tcPr>
          <w:p w:rsidR="0051046E" w:rsidRPr="009F0E09" w:rsidP="006C27C7" w14:paraId="5E80D4F1" w14:textId="77777777">
            <w:pPr>
              <w:jc w:val="center"/>
              <w:rPr>
                <w:rFonts w:ascii="Times New Roman" w:hAnsi="Times New Roman" w:cs="Times New Roman"/>
              </w:rPr>
            </w:pPr>
            <w:r w:rsidRPr="009F0E09">
              <w:rPr>
                <w:rFonts w:ascii="Times New Roman" w:hAnsi="Times New Roman" w:cs="Times New Roman"/>
              </w:rPr>
              <w:t>B  </w:t>
            </w:r>
          </w:p>
        </w:tc>
      </w:tr>
      <w:tr w14:paraId="56176917" w14:textId="77777777" w:rsidTr="006C27C7">
        <w:tblPrEx>
          <w:tblW w:w="11250" w:type="dxa"/>
          <w:jc w:val="center"/>
          <w:tblLook w:val="04A0"/>
        </w:tblPrEx>
        <w:trPr>
          <w:trHeight w:val="300"/>
          <w:jc w:val="center"/>
        </w:trPr>
        <w:tc>
          <w:tcPr>
            <w:tcW w:w="1440" w:type="dxa"/>
            <w:noWrap/>
            <w:hideMark/>
          </w:tcPr>
          <w:p w:rsidR="0051046E" w:rsidRPr="009F0E09" w:rsidP="006C27C7" w14:paraId="3DAFAC30" w14:textId="77777777">
            <w:pPr>
              <w:jc w:val="center"/>
              <w:rPr>
                <w:rFonts w:ascii="Times New Roman" w:hAnsi="Times New Roman" w:cs="Times New Roman"/>
              </w:rPr>
            </w:pPr>
            <w:r w:rsidRPr="009F0E09">
              <w:rPr>
                <w:rFonts w:ascii="Times New Roman" w:hAnsi="Times New Roman" w:cs="Times New Roman"/>
              </w:rPr>
              <w:t>0009048457  </w:t>
            </w:r>
          </w:p>
        </w:tc>
        <w:tc>
          <w:tcPr>
            <w:tcW w:w="990" w:type="dxa"/>
            <w:noWrap/>
            <w:hideMark/>
          </w:tcPr>
          <w:p w:rsidR="0051046E" w:rsidRPr="009F0E09" w:rsidP="006C27C7" w14:paraId="176D882E" w14:textId="77777777">
            <w:pPr>
              <w:jc w:val="center"/>
              <w:rPr>
                <w:rFonts w:ascii="Times New Roman" w:hAnsi="Times New Roman" w:cs="Times New Roman"/>
              </w:rPr>
            </w:pPr>
            <w:r w:rsidRPr="009F0E09">
              <w:rPr>
                <w:rFonts w:ascii="Times New Roman" w:hAnsi="Times New Roman" w:cs="Times New Roman"/>
              </w:rPr>
              <w:t>WPQP900  </w:t>
            </w:r>
          </w:p>
        </w:tc>
        <w:tc>
          <w:tcPr>
            <w:tcW w:w="1482" w:type="dxa"/>
            <w:noWrap/>
            <w:hideMark/>
          </w:tcPr>
          <w:p w:rsidR="0051046E" w:rsidRPr="009F0E09" w:rsidP="006C27C7" w14:paraId="600DFEE9" w14:textId="77777777">
            <w:pPr>
              <w:jc w:val="center"/>
              <w:rPr>
                <w:rFonts w:ascii="Times New Roman" w:hAnsi="Times New Roman" w:cs="Times New Roman"/>
              </w:rPr>
            </w:pPr>
            <w:r w:rsidRPr="009F0E09">
              <w:rPr>
                <w:rFonts w:ascii="Times New Roman" w:hAnsi="Times New Roman" w:cs="Times New Roman"/>
              </w:rPr>
              <w:t>BEA031 </w:t>
            </w:r>
          </w:p>
        </w:tc>
        <w:tc>
          <w:tcPr>
            <w:tcW w:w="5656" w:type="dxa"/>
            <w:noWrap/>
            <w:hideMark/>
          </w:tcPr>
          <w:p w:rsidR="0051046E" w:rsidRPr="009F0E09" w:rsidP="006C27C7" w14:paraId="13F92550" w14:textId="77777777">
            <w:pPr>
              <w:rPr>
                <w:rFonts w:ascii="Times New Roman" w:hAnsi="Times New Roman" w:cs="Times New Roman"/>
              </w:rPr>
            </w:pPr>
            <w:r w:rsidRPr="009F0E09">
              <w:rPr>
                <w:rFonts w:ascii="Times New Roman" w:hAnsi="Times New Roman" w:cs="Times New Roman"/>
              </w:rPr>
              <w:t>Miami-Fort Lauderdale, FL</w:t>
            </w:r>
          </w:p>
        </w:tc>
        <w:tc>
          <w:tcPr>
            <w:tcW w:w="1682" w:type="dxa"/>
            <w:noWrap/>
            <w:hideMark/>
          </w:tcPr>
          <w:p w:rsidR="0051046E" w:rsidRPr="009F0E09" w:rsidP="006C27C7" w14:paraId="58191A6B" w14:textId="77777777">
            <w:pPr>
              <w:jc w:val="center"/>
              <w:rPr>
                <w:rFonts w:ascii="Times New Roman" w:hAnsi="Times New Roman" w:cs="Times New Roman"/>
              </w:rPr>
            </w:pPr>
            <w:r w:rsidRPr="009F0E09">
              <w:rPr>
                <w:rFonts w:ascii="Times New Roman" w:hAnsi="Times New Roman" w:cs="Times New Roman"/>
              </w:rPr>
              <w:t>C  </w:t>
            </w:r>
          </w:p>
        </w:tc>
      </w:tr>
      <w:tr w14:paraId="59885808" w14:textId="77777777" w:rsidTr="006C27C7">
        <w:tblPrEx>
          <w:tblW w:w="11250" w:type="dxa"/>
          <w:jc w:val="center"/>
          <w:tblLook w:val="04A0"/>
        </w:tblPrEx>
        <w:trPr>
          <w:trHeight w:val="300"/>
          <w:jc w:val="center"/>
        </w:trPr>
        <w:tc>
          <w:tcPr>
            <w:tcW w:w="1440" w:type="dxa"/>
            <w:noWrap/>
            <w:hideMark/>
          </w:tcPr>
          <w:p w:rsidR="0051046E" w:rsidRPr="009F0E09" w:rsidP="006C27C7" w14:paraId="5B27789C" w14:textId="77777777">
            <w:pPr>
              <w:jc w:val="center"/>
              <w:rPr>
                <w:rFonts w:ascii="Times New Roman" w:hAnsi="Times New Roman" w:cs="Times New Roman"/>
              </w:rPr>
            </w:pPr>
            <w:r w:rsidRPr="009F0E09">
              <w:rPr>
                <w:rFonts w:ascii="Times New Roman" w:hAnsi="Times New Roman" w:cs="Times New Roman"/>
              </w:rPr>
              <w:t>0009048461  </w:t>
            </w:r>
          </w:p>
        </w:tc>
        <w:tc>
          <w:tcPr>
            <w:tcW w:w="990" w:type="dxa"/>
            <w:noWrap/>
            <w:hideMark/>
          </w:tcPr>
          <w:p w:rsidR="0051046E" w:rsidRPr="009F0E09" w:rsidP="006C27C7" w14:paraId="144AF009" w14:textId="77777777">
            <w:pPr>
              <w:jc w:val="center"/>
              <w:rPr>
                <w:rFonts w:ascii="Times New Roman" w:hAnsi="Times New Roman" w:cs="Times New Roman"/>
              </w:rPr>
            </w:pPr>
            <w:r w:rsidRPr="009F0E09">
              <w:rPr>
                <w:rFonts w:ascii="Times New Roman" w:hAnsi="Times New Roman" w:cs="Times New Roman"/>
              </w:rPr>
              <w:t>WPQP905  </w:t>
            </w:r>
          </w:p>
        </w:tc>
        <w:tc>
          <w:tcPr>
            <w:tcW w:w="1482" w:type="dxa"/>
            <w:noWrap/>
            <w:hideMark/>
          </w:tcPr>
          <w:p w:rsidR="0051046E" w:rsidRPr="009F0E09" w:rsidP="006C27C7" w14:paraId="19E74A4F" w14:textId="77777777">
            <w:pPr>
              <w:jc w:val="center"/>
              <w:rPr>
                <w:rFonts w:ascii="Times New Roman" w:hAnsi="Times New Roman" w:cs="Times New Roman"/>
              </w:rPr>
            </w:pPr>
            <w:r w:rsidRPr="009F0E09">
              <w:rPr>
                <w:rFonts w:ascii="Times New Roman" w:hAnsi="Times New Roman" w:cs="Times New Roman"/>
              </w:rPr>
              <w:t>BEA034 </w:t>
            </w:r>
          </w:p>
        </w:tc>
        <w:tc>
          <w:tcPr>
            <w:tcW w:w="5656" w:type="dxa"/>
            <w:noWrap/>
            <w:hideMark/>
          </w:tcPr>
          <w:p w:rsidR="0051046E" w:rsidRPr="009F0E09" w:rsidP="006C27C7" w14:paraId="591A85A6" w14:textId="77777777">
            <w:pPr>
              <w:rPr>
                <w:rFonts w:ascii="Times New Roman" w:hAnsi="Times New Roman" w:cs="Times New Roman"/>
              </w:rPr>
            </w:pPr>
            <w:r w:rsidRPr="009F0E09">
              <w:rPr>
                <w:rFonts w:ascii="Times New Roman" w:hAnsi="Times New Roman" w:cs="Times New Roman"/>
              </w:rPr>
              <w:t>Tampa-St. Petersburg-Clearwater, FL</w:t>
            </w:r>
          </w:p>
        </w:tc>
        <w:tc>
          <w:tcPr>
            <w:tcW w:w="1682" w:type="dxa"/>
            <w:noWrap/>
            <w:hideMark/>
          </w:tcPr>
          <w:p w:rsidR="0051046E" w:rsidRPr="009F0E09" w:rsidP="006C27C7" w14:paraId="6986200C" w14:textId="77777777">
            <w:pPr>
              <w:jc w:val="center"/>
              <w:rPr>
                <w:rFonts w:ascii="Times New Roman" w:hAnsi="Times New Roman" w:cs="Times New Roman"/>
              </w:rPr>
            </w:pPr>
            <w:r w:rsidRPr="009F0E09">
              <w:rPr>
                <w:rFonts w:ascii="Times New Roman" w:hAnsi="Times New Roman" w:cs="Times New Roman"/>
              </w:rPr>
              <w:t>B  </w:t>
            </w:r>
          </w:p>
        </w:tc>
      </w:tr>
      <w:tr w14:paraId="2CF4F7FD" w14:textId="77777777" w:rsidTr="006C27C7">
        <w:tblPrEx>
          <w:tblW w:w="11250" w:type="dxa"/>
          <w:jc w:val="center"/>
          <w:tblLook w:val="04A0"/>
        </w:tblPrEx>
        <w:trPr>
          <w:trHeight w:val="300"/>
          <w:jc w:val="center"/>
        </w:trPr>
        <w:tc>
          <w:tcPr>
            <w:tcW w:w="1440" w:type="dxa"/>
            <w:noWrap/>
            <w:hideMark/>
          </w:tcPr>
          <w:p w:rsidR="0051046E" w:rsidRPr="009F0E09" w:rsidP="006C27C7" w14:paraId="5EA6056B" w14:textId="77777777">
            <w:pPr>
              <w:jc w:val="center"/>
              <w:rPr>
                <w:rFonts w:ascii="Times New Roman" w:hAnsi="Times New Roman" w:cs="Times New Roman"/>
              </w:rPr>
            </w:pPr>
            <w:r w:rsidRPr="009F0E09">
              <w:rPr>
                <w:rFonts w:ascii="Times New Roman" w:hAnsi="Times New Roman" w:cs="Times New Roman"/>
              </w:rPr>
              <w:t>0009048462  </w:t>
            </w:r>
          </w:p>
        </w:tc>
        <w:tc>
          <w:tcPr>
            <w:tcW w:w="990" w:type="dxa"/>
            <w:noWrap/>
            <w:hideMark/>
          </w:tcPr>
          <w:p w:rsidR="0051046E" w:rsidRPr="009F0E09" w:rsidP="006C27C7" w14:paraId="222AC3E6" w14:textId="77777777">
            <w:pPr>
              <w:jc w:val="center"/>
              <w:rPr>
                <w:rFonts w:ascii="Times New Roman" w:hAnsi="Times New Roman" w:cs="Times New Roman"/>
              </w:rPr>
            </w:pPr>
            <w:r w:rsidRPr="009F0E09">
              <w:rPr>
                <w:rFonts w:ascii="Times New Roman" w:hAnsi="Times New Roman" w:cs="Times New Roman"/>
              </w:rPr>
              <w:t>WPQP906  </w:t>
            </w:r>
          </w:p>
        </w:tc>
        <w:tc>
          <w:tcPr>
            <w:tcW w:w="1482" w:type="dxa"/>
            <w:noWrap/>
            <w:hideMark/>
          </w:tcPr>
          <w:p w:rsidR="0051046E" w:rsidRPr="009F0E09" w:rsidP="006C27C7" w14:paraId="5DAA02DA" w14:textId="77777777">
            <w:pPr>
              <w:jc w:val="center"/>
              <w:rPr>
                <w:rFonts w:ascii="Times New Roman" w:hAnsi="Times New Roman" w:cs="Times New Roman"/>
              </w:rPr>
            </w:pPr>
            <w:r w:rsidRPr="009F0E09">
              <w:rPr>
                <w:rFonts w:ascii="Times New Roman" w:hAnsi="Times New Roman" w:cs="Times New Roman"/>
              </w:rPr>
              <w:t>BEA034 </w:t>
            </w:r>
          </w:p>
        </w:tc>
        <w:tc>
          <w:tcPr>
            <w:tcW w:w="5656" w:type="dxa"/>
            <w:noWrap/>
            <w:hideMark/>
          </w:tcPr>
          <w:p w:rsidR="0051046E" w:rsidRPr="009F0E09" w:rsidP="006C27C7" w14:paraId="5E3C5D27" w14:textId="77777777">
            <w:pPr>
              <w:rPr>
                <w:rFonts w:ascii="Times New Roman" w:hAnsi="Times New Roman" w:cs="Times New Roman"/>
              </w:rPr>
            </w:pPr>
            <w:r w:rsidRPr="009F0E09">
              <w:rPr>
                <w:rFonts w:ascii="Times New Roman" w:hAnsi="Times New Roman" w:cs="Times New Roman"/>
              </w:rPr>
              <w:t>Tampa-St. Petersburg-Clearwater, FL</w:t>
            </w:r>
          </w:p>
        </w:tc>
        <w:tc>
          <w:tcPr>
            <w:tcW w:w="1682" w:type="dxa"/>
            <w:noWrap/>
            <w:hideMark/>
          </w:tcPr>
          <w:p w:rsidR="0051046E" w:rsidRPr="009F0E09" w:rsidP="006C27C7" w14:paraId="4CCE99F4" w14:textId="77777777">
            <w:pPr>
              <w:jc w:val="center"/>
              <w:rPr>
                <w:rFonts w:ascii="Times New Roman" w:hAnsi="Times New Roman" w:cs="Times New Roman"/>
              </w:rPr>
            </w:pPr>
            <w:r w:rsidRPr="009F0E09">
              <w:rPr>
                <w:rFonts w:ascii="Times New Roman" w:hAnsi="Times New Roman" w:cs="Times New Roman"/>
              </w:rPr>
              <w:t>C  </w:t>
            </w:r>
          </w:p>
        </w:tc>
      </w:tr>
      <w:tr w14:paraId="4A1FDBD0" w14:textId="77777777" w:rsidTr="006C27C7">
        <w:tblPrEx>
          <w:tblW w:w="11250" w:type="dxa"/>
          <w:jc w:val="center"/>
          <w:tblLook w:val="04A0"/>
        </w:tblPrEx>
        <w:trPr>
          <w:trHeight w:val="300"/>
          <w:jc w:val="center"/>
        </w:trPr>
        <w:tc>
          <w:tcPr>
            <w:tcW w:w="1440" w:type="dxa"/>
            <w:noWrap/>
            <w:hideMark/>
          </w:tcPr>
          <w:p w:rsidR="0051046E" w:rsidRPr="009F0E09" w:rsidP="006C27C7" w14:paraId="4CDA704A" w14:textId="77777777">
            <w:pPr>
              <w:jc w:val="center"/>
              <w:rPr>
                <w:rFonts w:ascii="Times New Roman" w:hAnsi="Times New Roman" w:cs="Times New Roman"/>
              </w:rPr>
            </w:pPr>
            <w:r w:rsidRPr="009F0E09">
              <w:rPr>
                <w:rFonts w:ascii="Times New Roman" w:hAnsi="Times New Roman" w:cs="Times New Roman"/>
              </w:rPr>
              <w:t>0009048468  </w:t>
            </w:r>
          </w:p>
        </w:tc>
        <w:tc>
          <w:tcPr>
            <w:tcW w:w="990" w:type="dxa"/>
            <w:noWrap/>
            <w:hideMark/>
          </w:tcPr>
          <w:p w:rsidR="0051046E" w:rsidRPr="009F0E09" w:rsidP="006C27C7" w14:paraId="73129661" w14:textId="77777777">
            <w:pPr>
              <w:jc w:val="center"/>
              <w:rPr>
                <w:rFonts w:ascii="Times New Roman" w:hAnsi="Times New Roman" w:cs="Times New Roman"/>
              </w:rPr>
            </w:pPr>
            <w:r w:rsidRPr="009F0E09">
              <w:rPr>
                <w:rFonts w:ascii="Times New Roman" w:hAnsi="Times New Roman" w:cs="Times New Roman"/>
              </w:rPr>
              <w:t>WPQP911  </w:t>
            </w:r>
          </w:p>
        </w:tc>
        <w:tc>
          <w:tcPr>
            <w:tcW w:w="1482" w:type="dxa"/>
            <w:noWrap/>
            <w:hideMark/>
          </w:tcPr>
          <w:p w:rsidR="0051046E" w:rsidRPr="009F0E09" w:rsidP="006C27C7" w14:paraId="2B1FFCBA" w14:textId="77777777">
            <w:pPr>
              <w:jc w:val="center"/>
              <w:rPr>
                <w:rFonts w:ascii="Times New Roman" w:hAnsi="Times New Roman" w:cs="Times New Roman"/>
              </w:rPr>
            </w:pPr>
            <w:r w:rsidRPr="009F0E09">
              <w:rPr>
                <w:rFonts w:ascii="Times New Roman" w:hAnsi="Times New Roman" w:cs="Times New Roman"/>
              </w:rPr>
              <w:t>BEA040 </w:t>
            </w:r>
          </w:p>
        </w:tc>
        <w:tc>
          <w:tcPr>
            <w:tcW w:w="5656" w:type="dxa"/>
            <w:noWrap/>
            <w:hideMark/>
          </w:tcPr>
          <w:p w:rsidR="0051046E" w:rsidRPr="009F0E09" w:rsidP="006C27C7" w14:paraId="052F3E38" w14:textId="77777777">
            <w:pPr>
              <w:rPr>
                <w:rFonts w:ascii="Times New Roman" w:hAnsi="Times New Roman" w:cs="Times New Roman"/>
              </w:rPr>
            </w:pPr>
            <w:r w:rsidRPr="009F0E09">
              <w:rPr>
                <w:rFonts w:ascii="Times New Roman" w:hAnsi="Times New Roman" w:cs="Times New Roman"/>
              </w:rPr>
              <w:t>Atlanta, GA-AL-NC</w:t>
            </w:r>
          </w:p>
        </w:tc>
        <w:tc>
          <w:tcPr>
            <w:tcW w:w="1682" w:type="dxa"/>
            <w:noWrap/>
            <w:hideMark/>
          </w:tcPr>
          <w:p w:rsidR="0051046E" w:rsidRPr="009F0E09" w:rsidP="006C27C7" w14:paraId="0072AB3C" w14:textId="77777777">
            <w:pPr>
              <w:jc w:val="center"/>
              <w:rPr>
                <w:rFonts w:ascii="Times New Roman" w:hAnsi="Times New Roman" w:cs="Times New Roman"/>
              </w:rPr>
            </w:pPr>
            <w:r w:rsidRPr="009F0E09">
              <w:rPr>
                <w:rFonts w:ascii="Times New Roman" w:hAnsi="Times New Roman" w:cs="Times New Roman"/>
              </w:rPr>
              <w:t>B  </w:t>
            </w:r>
          </w:p>
        </w:tc>
      </w:tr>
      <w:tr w14:paraId="3F218E53" w14:textId="77777777" w:rsidTr="006C27C7">
        <w:tblPrEx>
          <w:tblW w:w="11250" w:type="dxa"/>
          <w:jc w:val="center"/>
          <w:tblLook w:val="04A0"/>
        </w:tblPrEx>
        <w:trPr>
          <w:trHeight w:val="300"/>
          <w:jc w:val="center"/>
        </w:trPr>
        <w:tc>
          <w:tcPr>
            <w:tcW w:w="1440" w:type="dxa"/>
            <w:noWrap/>
            <w:hideMark/>
          </w:tcPr>
          <w:p w:rsidR="0051046E" w:rsidRPr="009F0E09" w:rsidP="006C27C7" w14:paraId="43408B30" w14:textId="77777777">
            <w:pPr>
              <w:jc w:val="center"/>
              <w:rPr>
                <w:rFonts w:ascii="Times New Roman" w:hAnsi="Times New Roman" w:cs="Times New Roman"/>
              </w:rPr>
            </w:pPr>
            <w:r w:rsidRPr="009F0E09">
              <w:rPr>
                <w:rFonts w:ascii="Times New Roman" w:hAnsi="Times New Roman" w:cs="Times New Roman"/>
              </w:rPr>
              <w:t>0009048469  </w:t>
            </w:r>
          </w:p>
        </w:tc>
        <w:tc>
          <w:tcPr>
            <w:tcW w:w="990" w:type="dxa"/>
            <w:noWrap/>
            <w:hideMark/>
          </w:tcPr>
          <w:p w:rsidR="0051046E" w:rsidRPr="009F0E09" w:rsidP="006C27C7" w14:paraId="1E288077" w14:textId="77777777">
            <w:pPr>
              <w:jc w:val="center"/>
              <w:rPr>
                <w:rFonts w:ascii="Times New Roman" w:hAnsi="Times New Roman" w:cs="Times New Roman"/>
              </w:rPr>
            </w:pPr>
            <w:r w:rsidRPr="009F0E09">
              <w:rPr>
                <w:rFonts w:ascii="Times New Roman" w:hAnsi="Times New Roman" w:cs="Times New Roman"/>
              </w:rPr>
              <w:t>WPQP912  </w:t>
            </w:r>
          </w:p>
        </w:tc>
        <w:tc>
          <w:tcPr>
            <w:tcW w:w="1482" w:type="dxa"/>
            <w:noWrap/>
            <w:hideMark/>
          </w:tcPr>
          <w:p w:rsidR="0051046E" w:rsidRPr="009F0E09" w:rsidP="006C27C7" w14:paraId="12D50869" w14:textId="77777777">
            <w:pPr>
              <w:jc w:val="center"/>
              <w:rPr>
                <w:rFonts w:ascii="Times New Roman" w:hAnsi="Times New Roman" w:cs="Times New Roman"/>
              </w:rPr>
            </w:pPr>
            <w:r w:rsidRPr="009F0E09">
              <w:rPr>
                <w:rFonts w:ascii="Times New Roman" w:hAnsi="Times New Roman" w:cs="Times New Roman"/>
              </w:rPr>
              <w:t>BEA040 </w:t>
            </w:r>
          </w:p>
        </w:tc>
        <w:tc>
          <w:tcPr>
            <w:tcW w:w="5656" w:type="dxa"/>
            <w:noWrap/>
            <w:hideMark/>
          </w:tcPr>
          <w:p w:rsidR="0051046E" w:rsidRPr="009F0E09" w:rsidP="006C27C7" w14:paraId="11B059F2" w14:textId="77777777">
            <w:pPr>
              <w:rPr>
                <w:rFonts w:ascii="Times New Roman" w:hAnsi="Times New Roman" w:cs="Times New Roman"/>
              </w:rPr>
            </w:pPr>
            <w:r w:rsidRPr="009F0E09">
              <w:rPr>
                <w:rFonts w:ascii="Times New Roman" w:hAnsi="Times New Roman" w:cs="Times New Roman"/>
              </w:rPr>
              <w:t>Atlanta, GA-AL-NC</w:t>
            </w:r>
          </w:p>
        </w:tc>
        <w:tc>
          <w:tcPr>
            <w:tcW w:w="1682" w:type="dxa"/>
            <w:noWrap/>
            <w:hideMark/>
          </w:tcPr>
          <w:p w:rsidR="0051046E" w:rsidRPr="009F0E09" w:rsidP="006C27C7" w14:paraId="35775C6D" w14:textId="77777777">
            <w:pPr>
              <w:jc w:val="center"/>
              <w:rPr>
                <w:rFonts w:ascii="Times New Roman" w:hAnsi="Times New Roman" w:cs="Times New Roman"/>
              </w:rPr>
            </w:pPr>
            <w:r w:rsidRPr="009F0E09">
              <w:rPr>
                <w:rFonts w:ascii="Times New Roman" w:hAnsi="Times New Roman" w:cs="Times New Roman"/>
              </w:rPr>
              <w:t>C  </w:t>
            </w:r>
          </w:p>
        </w:tc>
      </w:tr>
      <w:tr w14:paraId="70B024E9" w14:textId="77777777" w:rsidTr="006C27C7">
        <w:tblPrEx>
          <w:tblW w:w="11250" w:type="dxa"/>
          <w:jc w:val="center"/>
          <w:tblLook w:val="04A0"/>
        </w:tblPrEx>
        <w:trPr>
          <w:trHeight w:val="300"/>
          <w:jc w:val="center"/>
        </w:trPr>
        <w:tc>
          <w:tcPr>
            <w:tcW w:w="1440" w:type="dxa"/>
            <w:noWrap/>
            <w:hideMark/>
          </w:tcPr>
          <w:p w:rsidR="0051046E" w:rsidRPr="009F0E09" w:rsidP="006C27C7" w14:paraId="055DDFFF" w14:textId="77777777">
            <w:pPr>
              <w:jc w:val="center"/>
              <w:rPr>
                <w:rFonts w:ascii="Times New Roman" w:hAnsi="Times New Roman" w:cs="Times New Roman"/>
              </w:rPr>
            </w:pPr>
            <w:r w:rsidRPr="009F0E09">
              <w:rPr>
                <w:rFonts w:ascii="Times New Roman" w:hAnsi="Times New Roman" w:cs="Times New Roman"/>
              </w:rPr>
              <w:t>0009048473  </w:t>
            </w:r>
          </w:p>
        </w:tc>
        <w:tc>
          <w:tcPr>
            <w:tcW w:w="990" w:type="dxa"/>
            <w:noWrap/>
            <w:hideMark/>
          </w:tcPr>
          <w:p w:rsidR="0051046E" w:rsidRPr="009F0E09" w:rsidP="006C27C7" w14:paraId="7D66E4F1" w14:textId="77777777">
            <w:pPr>
              <w:jc w:val="center"/>
              <w:rPr>
                <w:rFonts w:ascii="Times New Roman" w:hAnsi="Times New Roman" w:cs="Times New Roman"/>
              </w:rPr>
            </w:pPr>
            <w:r w:rsidRPr="009F0E09">
              <w:rPr>
                <w:rFonts w:ascii="Times New Roman" w:hAnsi="Times New Roman" w:cs="Times New Roman"/>
              </w:rPr>
              <w:t>WPQP931  </w:t>
            </w:r>
          </w:p>
        </w:tc>
        <w:tc>
          <w:tcPr>
            <w:tcW w:w="1482" w:type="dxa"/>
            <w:noWrap/>
            <w:hideMark/>
          </w:tcPr>
          <w:p w:rsidR="0051046E" w:rsidRPr="009F0E09" w:rsidP="006C27C7" w14:paraId="6F69F14D" w14:textId="77777777">
            <w:pPr>
              <w:jc w:val="center"/>
              <w:rPr>
                <w:rFonts w:ascii="Times New Roman" w:hAnsi="Times New Roman" w:cs="Times New Roman"/>
              </w:rPr>
            </w:pPr>
            <w:r w:rsidRPr="009F0E09">
              <w:rPr>
                <w:rFonts w:ascii="Times New Roman" w:hAnsi="Times New Roman" w:cs="Times New Roman"/>
              </w:rPr>
              <w:t>BEA053 </w:t>
            </w:r>
          </w:p>
        </w:tc>
        <w:tc>
          <w:tcPr>
            <w:tcW w:w="5656" w:type="dxa"/>
            <w:noWrap/>
            <w:hideMark/>
          </w:tcPr>
          <w:p w:rsidR="0051046E" w:rsidRPr="009F0E09" w:rsidP="006C27C7" w14:paraId="4E5B0BA3" w14:textId="77777777">
            <w:pPr>
              <w:rPr>
                <w:rFonts w:ascii="Times New Roman" w:hAnsi="Times New Roman" w:cs="Times New Roman"/>
              </w:rPr>
            </w:pPr>
            <w:r w:rsidRPr="009F0E09">
              <w:rPr>
                <w:rFonts w:ascii="Times New Roman" w:hAnsi="Times New Roman" w:cs="Times New Roman"/>
              </w:rPr>
              <w:t>Pittsburgh, PA-WV</w:t>
            </w:r>
          </w:p>
        </w:tc>
        <w:tc>
          <w:tcPr>
            <w:tcW w:w="1682" w:type="dxa"/>
            <w:noWrap/>
            <w:hideMark/>
          </w:tcPr>
          <w:p w:rsidR="0051046E" w:rsidRPr="009F0E09" w:rsidP="006C27C7" w14:paraId="15DA3F03" w14:textId="77777777">
            <w:pPr>
              <w:jc w:val="center"/>
              <w:rPr>
                <w:rFonts w:ascii="Times New Roman" w:hAnsi="Times New Roman" w:cs="Times New Roman"/>
              </w:rPr>
            </w:pPr>
            <w:r w:rsidRPr="009F0E09">
              <w:rPr>
                <w:rFonts w:ascii="Times New Roman" w:hAnsi="Times New Roman" w:cs="Times New Roman"/>
              </w:rPr>
              <w:t>B  </w:t>
            </w:r>
          </w:p>
        </w:tc>
      </w:tr>
      <w:tr w14:paraId="18E54ACE" w14:textId="77777777" w:rsidTr="006C27C7">
        <w:tblPrEx>
          <w:tblW w:w="11250" w:type="dxa"/>
          <w:jc w:val="center"/>
          <w:tblLook w:val="04A0"/>
        </w:tblPrEx>
        <w:trPr>
          <w:trHeight w:val="300"/>
          <w:jc w:val="center"/>
        </w:trPr>
        <w:tc>
          <w:tcPr>
            <w:tcW w:w="1440" w:type="dxa"/>
            <w:noWrap/>
            <w:hideMark/>
          </w:tcPr>
          <w:p w:rsidR="0051046E" w:rsidRPr="009F0E09" w:rsidP="006C27C7" w14:paraId="30850225" w14:textId="77777777">
            <w:pPr>
              <w:jc w:val="center"/>
              <w:rPr>
                <w:rFonts w:ascii="Times New Roman" w:hAnsi="Times New Roman" w:cs="Times New Roman"/>
              </w:rPr>
            </w:pPr>
            <w:r w:rsidRPr="009F0E09">
              <w:rPr>
                <w:rFonts w:ascii="Times New Roman" w:hAnsi="Times New Roman" w:cs="Times New Roman"/>
              </w:rPr>
              <w:t>0009048474  </w:t>
            </w:r>
          </w:p>
        </w:tc>
        <w:tc>
          <w:tcPr>
            <w:tcW w:w="990" w:type="dxa"/>
            <w:noWrap/>
            <w:hideMark/>
          </w:tcPr>
          <w:p w:rsidR="0051046E" w:rsidRPr="009F0E09" w:rsidP="006C27C7" w14:paraId="79B016E3" w14:textId="77777777">
            <w:pPr>
              <w:jc w:val="center"/>
              <w:rPr>
                <w:rFonts w:ascii="Times New Roman" w:hAnsi="Times New Roman" w:cs="Times New Roman"/>
              </w:rPr>
            </w:pPr>
            <w:r w:rsidRPr="009F0E09">
              <w:rPr>
                <w:rFonts w:ascii="Times New Roman" w:hAnsi="Times New Roman" w:cs="Times New Roman"/>
              </w:rPr>
              <w:t>WPQP932  </w:t>
            </w:r>
          </w:p>
        </w:tc>
        <w:tc>
          <w:tcPr>
            <w:tcW w:w="1482" w:type="dxa"/>
            <w:noWrap/>
            <w:hideMark/>
          </w:tcPr>
          <w:p w:rsidR="0051046E" w:rsidRPr="009F0E09" w:rsidP="006C27C7" w14:paraId="736AED4F" w14:textId="77777777">
            <w:pPr>
              <w:jc w:val="center"/>
              <w:rPr>
                <w:rFonts w:ascii="Times New Roman" w:hAnsi="Times New Roman" w:cs="Times New Roman"/>
              </w:rPr>
            </w:pPr>
            <w:r w:rsidRPr="009F0E09">
              <w:rPr>
                <w:rFonts w:ascii="Times New Roman" w:hAnsi="Times New Roman" w:cs="Times New Roman"/>
              </w:rPr>
              <w:t>BEA053 </w:t>
            </w:r>
          </w:p>
        </w:tc>
        <w:tc>
          <w:tcPr>
            <w:tcW w:w="5656" w:type="dxa"/>
            <w:noWrap/>
            <w:hideMark/>
          </w:tcPr>
          <w:p w:rsidR="0051046E" w:rsidRPr="009F0E09" w:rsidP="006C27C7" w14:paraId="681EF0CC" w14:textId="77777777">
            <w:pPr>
              <w:rPr>
                <w:rFonts w:ascii="Times New Roman" w:hAnsi="Times New Roman" w:cs="Times New Roman"/>
              </w:rPr>
            </w:pPr>
            <w:r w:rsidRPr="009F0E09">
              <w:rPr>
                <w:rFonts w:ascii="Times New Roman" w:hAnsi="Times New Roman" w:cs="Times New Roman"/>
              </w:rPr>
              <w:t>Pittsburgh, PA-WV</w:t>
            </w:r>
          </w:p>
        </w:tc>
        <w:tc>
          <w:tcPr>
            <w:tcW w:w="1682" w:type="dxa"/>
            <w:noWrap/>
            <w:hideMark/>
          </w:tcPr>
          <w:p w:rsidR="0051046E" w:rsidRPr="009F0E09" w:rsidP="006C27C7" w14:paraId="0608C11E" w14:textId="77777777">
            <w:pPr>
              <w:jc w:val="center"/>
              <w:rPr>
                <w:rFonts w:ascii="Times New Roman" w:hAnsi="Times New Roman" w:cs="Times New Roman"/>
              </w:rPr>
            </w:pPr>
            <w:r w:rsidRPr="009F0E09">
              <w:rPr>
                <w:rFonts w:ascii="Times New Roman" w:hAnsi="Times New Roman" w:cs="Times New Roman"/>
              </w:rPr>
              <w:t>C  </w:t>
            </w:r>
          </w:p>
        </w:tc>
      </w:tr>
      <w:tr w14:paraId="41EA6917" w14:textId="77777777" w:rsidTr="006C27C7">
        <w:tblPrEx>
          <w:tblW w:w="11250" w:type="dxa"/>
          <w:jc w:val="center"/>
          <w:tblLook w:val="04A0"/>
        </w:tblPrEx>
        <w:trPr>
          <w:trHeight w:val="300"/>
          <w:jc w:val="center"/>
        </w:trPr>
        <w:tc>
          <w:tcPr>
            <w:tcW w:w="1440" w:type="dxa"/>
            <w:noWrap/>
            <w:hideMark/>
          </w:tcPr>
          <w:p w:rsidR="0051046E" w:rsidRPr="009F0E09" w:rsidP="006C27C7" w14:paraId="2F738F70" w14:textId="77777777">
            <w:pPr>
              <w:jc w:val="center"/>
              <w:rPr>
                <w:rFonts w:ascii="Times New Roman" w:hAnsi="Times New Roman" w:cs="Times New Roman"/>
              </w:rPr>
            </w:pPr>
            <w:r w:rsidRPr="009F0E09">
              <w:rPr>
                <w:rFonts w:ascii="Times New Roman" w:hAnsi="Times New Roman" w:cs="Times New Roman"/>
              </w:rPr>
              <w:t>0009048480  </w:t>
            </w:r>
          </w:p>
        </w:tc>
        <w:tc>
          <w:tcPr>
            <w:tcW w:w="990" w:type="dxa"/>
            <w:noWrap/>
            <w:hideMark/>
          </w:tcPr>
          <w:p w:rsidR="0051046E" w:rsidRPr="009F0E09" w:rsidP="006C27C7" w14:paraId="7F5283EA" w14:textId="77777777">
            <w:pPr>
              <w:jc w:val="center"/>
              <w:rPr>
                <w:rFonts w:ascii="Times New Roman" w:hAnsi="Times New Roman" w:cs="Times New Roman"/>
              </w:rPr>
            </w:pPr>
            <w:r w:rsidRPr="009F0E09">
              <w:rPr>
                <w:rFonts w:ascii="Times New Roman" w:hAnsi="Times New Roman" w:cs="Times New Roman"/>
              </w:rPr>
              <w:t>WPQP939  </w:t>
            </w:r>
          </w:p>
        </w:tc>
        <w:tc>
          <w:tcPr>
            <w:tcW w:w="1482" w:type="dxa"/>
            <w:noWrap/>
            <w:hideMark/>
          </w:tcPr>
          <w:p w:rsidR="0051046E" w:rsidRPr="009F0E09" w:rsidP="006C27C7" w14:paraId="1B9BAC1C" w14:textId="77777777">
            <w:pPr>
              <w:jc w:val="center"/>
              <w:rPr>
                <w:rFonts w:ascii="Times New Roman" w:hAnsi="Times New Roman" w:cs="Times New Roman"/>
              </w:rPr>
            </w:pPr>
            <w:r w:rsidRPr="009F0E09">
              <w:rPr>
                <w:rFonts w:ascii="Times New Roman" w:hAnsi="Times New Roman" w:cs="Times New Roman"/>
              </w:rPr>
              <w:t>BEA057 </w:t>
            </w:r>
          </w:p>
        </w:tc>
        <w:tc>
          <w:tcPr>
            <w:tcW w:w="5656" w:type="dxa"/>
            <w:noWrap/>
            <w:hideMark/>
          </w:tcPr>
          <w:p w:rsidR="0051046E" w:rsidRPr="009F0E09" w:rsidP="006C27C7" w14:paraId="3E266AA4" w14:textId="77777777">
            <w:pPr>
              <w:rPr>
                <w:rFonts w:ascii="Times New Roman" w:hAnsi="Times New Roman" w:cs="Times New Roman"/>
              </w:rPr>
            </w:pPr>
            <w:r w:rsidRPr="009F0E09">
              <w:rPr>
                <w:rFonts w:ascii="Times New Roman" w:hAnsi="Times New Roman" w:cs="Times New Roman"/>
              </w:rPr>
              <w:t>Detroit-Ann Arbor-Flint, MI</w:t>
            </w:r>
          </w:p>
        </w:tc>
        <w:tc>
          <w:tcPr>
            <w:tcW w:w="1682" w:type="dxa"/>
            <w:noWrap/>
            <w:hideMark/>
          </w:tcPr>
          <w:p w:rsidR="0051046E" w:rsidRPr="009F0E09" w:rsidP="006C27C7" w14:paraId="62D5DF75" w14:textId="77777777">
            <w:pPr>
              <w:jc w:val="center"/>
              <w:rPr>
                <w:rFonts w:ascii="Times New Roman" w:hAnsi="Times New Roman" w:cs="Times New Roman"/>
              </w:rPr>
            </w:pPr>
            <w:r w:rsidRPr="009F0E09">
              <w:rPr>
                <w:rFonts w:ascii="Times New Roman" w:hAnsi="Times New Roman" w:cs="Times New Roman"/>
              </w:rPr>
              <w:t>B  </w:t>
            </w:r>
          </w:p>
        </w:tc>
      </w:tr>
      <w:tr w14:paraId="624611E2" w14:textId="77777777" w:rsidTr="006C27C7">
        <w:tblPrEx>
          <w:tblW w:w="11250" w:type="dxa"/>
          <w:jc w:val="center"/>
          <w:tblLook w:val="04A0"/>
        </w:tblPrEx>
        <w:trPr>
          <w:trHeight w:val="300"/>
          <w:jc w:val="center"/>
        </w:trPr>
        <w:tc>
          <w:tcPr>
            <w:tcW w:w="1440" w:type="dxa"/>
            <w:noWrap/>
            <w:hideMark/>
          </w:tcPr>
          <w:p w:rsidR="0051046E" w:rsidRPr="009F0E09" w:rsidP="006C27C7" w14:paraId="58CE6C2C" w14:textId="77777777">
            <w:pPr>
              <w:jc w:val="center"/>
              <w:rPr>
                <w:rFonts w:ascii="Times New Roman" w:hAnsi="Times New Roman" w:cs="Times New Roman"/>
              </w:rPr>
            </w:pPr>
            <w:r w:rsidRPr="009F0E09">
              <w:rPr>
                <w:rFonts w:ascii="Times New Roman" w:hAnsi="Times New Roman" w:cs="Times New Roman"/>
              </w:rPr>
              <w:t>0009048481  </w:t>
            </w:r>
          </w:p>
        </w:tc>
        <w:tc>
          <w:tcPr>
            <w:tcW w:w="990" w:type="dxa"/>
            <w:noWrap/>
            <w:hideMark/>
          </w:tcPr>
          <w:p w:rsidR="0051046E" w:rsidRPr="009F0E09" w:rsidP="006C27C7" w14:paraId="0218C581" w14:textId="77777777">
            <w:pPr>
              <w:jc w:val="center"/>
              <w:rPr>
                <w:rFonts w:ascii="Times New Roman" w:hAnsi="Times New Roman" w:cs="Times New Roman"/>
              </w:rPr>
            </w:pPr>
            <w:r w:rsidRPr="009F0E09">
              <w:rPr>
                <w:rFonts w:ascii="Times New Roman" w:hAnsi="Times New Roman" w:cs="Times New Roman"/>
              </w:rPr>
              <w:t>WPQP940  </w:t>
            </w:r>
          </w:p>
        </w:tc>
        <w:tc>
          <w:tcPr>
            <w:tcW w:w="1482" w:type="dxa"/>
            <w:noWrap/>
            <w:hideMark/>
          </w:tcPr>
          <w:p w:rsidR="0051046E" w:rsidRPr="009F0E09" w:rsidP="006C27C7" w14:paraId="0B5DA076" w14:textId="77777777">
            <w:pPr>
              <w:jc w:val="center"/>
              <w:rPr>
                <w:rFonts w:ascii="Times New Roman" w:hAnsi="Times New Roman" w:cs="Times New Roman"/>
              </w:rPr>
            </w:pPr>
            <w:r w:rsidRPr="009F0E09">
              <w:rPr>
                <w:rFonts w:ascii="Times New Roman" w:hAnsi="Times New Roman" w:cs="Times New Roman"/>
              </w:rPr>
              <w:t>BEA057 </w:t>
            </w:r>
          </w:p>
        </w:tc>
        <w:tc>
          <w:tcPr>
            <w:tcW w:w="5656" w:type="dxa"/>
            <w:noWrap/>
            <w:hideMark/>
          </w:tcPr>
          <w:p w:rsidR="0051046E" w:rsidRPr="009F0E09" w:rsidP="006C27C7" w14:paraId="21E183FF" w14:textId="77777777">
            <w:pPr>
              <w:rPr>
                <w:rFonts w:ascii="Times New Roman" w:hAnsi="Times New Roman" w:cs="Times New Roman"/>
              </w:rPr>
            </w:pPr>
            <w:r w:rsidRPr="009F0E09">
              <w:rPr>
                <w:rFonts w:ascii="Times New Roman" w:hAnsi="Times New Roman" w:cs="Times New Roman"/>
              </w:rPr>
              <w:t>Detroit-Ann Arbor-Flint, MI</w:t>
            </w:r>
          </w:p>
        </w:tc>
        <w:tc>
          <w:tcPr>
            <w:tcW w:w="1682" w:type="dxa"/>
            <w:noWrap/>
            <w:hideMark/>
          </w:tcPr>
          <w:p w:rsidR="0051046E" w:rsidRPr="009F0E09" w:rsidP="006C27C7" w14:paraId="63918FCA" w14:textId="77777777">
            <w:pPr>
              <w:jc w:val="center"/>
              <w:rPr>
                <w:rFonts w:ascii="Times New Roman" w:hAnsi="Times New Roman" w:cs="Times New Roman"/>
              </w:rPr>
            </w:pPr>
            <w:r w:rsidRPr="009F0E09">
              <w:rPr>
                <w:rFonts w:ascii="Times New Roman" w:hAnsi="Times New Roman" w:cs="Times New Roman"/>
              </w:rPr>
              <w:t>C  </w:t>
            </w:r>
          </w:p>
        </w:tc>
      </w:tr>
      <w:tr w14:paraId="6DF8B480" w14:textId="77777777" w:rsidTr="006C27C7">
        <w:tblPrEx>
          <w:tblW w:w="11250" w:type="dxa"/>
          <w:jc w:val="center"/>
          <w:tblLook w:val="04A0"/>
        </w:tblPrEx>
        <w:trPr>
          <w:trHeight w:val="300"/>
          <w:jc w:val="center"/>
        </w:trPr>
        <w:tc>
          <w:tcPr>
            <w:tcW w:w="1440" w:type="dxa"/>
            <w:noWrap/>
            <w:hideMark/>
          </w:tcPr>
          <w:p w:rsidR="0051046E" w:rsidRPr="009F0E09" w:rsidP="006C27C7" w14:paraId="3528F700" w14:textId="77777777">
            <w:pPr>
              <w:jc w:val="center"/>
              <w:rPr>
                <w:rFonts w:ascii="Times New Roman" w:hAnsi="Times New Roman" w:cs="Times New Roman"/>
              </w:rPr>
            </w:pPr>
            <w:r w:rsidRPr="009F0E09">
              <w:rPr>
                <w:rFonts w:ascii="Times New Roman" w:hAnsi="Times New Roman" w:cs="Times New Roman"/>
              </w:rPr>
              <w:t>0009048484  </w:t>
            </w:r>
          </w:p>
        </w:tc>
        <w:tc>
          <w:tcPr>
            <w:tcW w:w="990" w:type="dxa"/>
            <w:noWrap/>
            <w:hideMark/>
          </w:tcPr>
          <w:p w:rsidR="0051046E" w:rsidRPr="009F0E09" w:rsidP="006C27C7" w14:paraId="7F98840D" w14:textId="77777777">
            <w:pPr>
              <w:jc w:val="center"/>
              <w:rPr>
                <w:rFonts w:ascii="Times New Roman" w:hAnsi="Times New Roman" w:cs="Times New Roman"/>
              </w:rPr>
            </w:pPr>
            <w:r w:rsidRPr="009F0E09">
              <w:rPr>
                <w:rFonts w:ascii="Times New Roman" w:hAnsi="Times New Roman" w:cs="Times New Roman"/>
              </w:rPr>
              <w:t>WPQP947  </w:t>
            </w:r>
          </w:p>
        </w:tc>
        <w:tc>
          <w:tcPr>
            <w:tcW w:w="1482" w:type="dxa"/>
            <w:noWrap/>
            <w:hideMark/>
          </w:tcPr>
          <w:p w:rsidR="0051046E" w:rsidRPr="009F0E09" w:rsidP="006C27C7" w14:paraId="190EEAC0" w14:textId="77777777">
            <w:pPr>
              <w:jc w:val="center"/>
              <w:rPr>
                <w:rFonts w:ascii="Times New Roman" w:hAnsi="Times New Roman" w:cs="Times New Roman"/>
              </w:rPr>
            </w:pPr>
            <w:r w:rsidRPr="009F0E09">
              <w:rPr>
                <w:rFonts w:ascii="Times New Roman" w:hAnsi="Times New Roman" w:cs="Times New Roman"/>
              </w:rPr>
              <w:t>BEA064 </w:t>
            </w:r>
          </w:p>
        </w:tc>
        <w:tc>
          <w:tcPr>
            <w:tcW w:w="5656" w:type="dxa"/>
            <w:noWrap/>
            <w:hideMark/>
          </w:tcPr>
          <w:p w:rsidR="0051046E" w:rsidRPr="009F0E09" w:rsidP="006C27C7" w14:paraId="6C507D52" w14:textId="77777777">
            <w:pPr>
              <w:rPr>
                <w:rFonts w:ascii="Times New Roman" w:hAnsi="Times New Roman" w:cs="Times New Roman"/>
              </w:rPr>
            </w:pPr>
            <w:r w:rsidRPr="009F0E09">
              <w:rPr>
                <w:rFonts w:ascii="Times New Roman" w:hAnsi="Times New Roman" w:cs="Times New Roman"/>
              </w:rPr>
              <w:t>Chicago-Gary-Kenosha, IL-IN-WI</w:t>
            </w:r>
          </w:p>
        </w:tc>
        <w:tc>
          <w:tcPr>
            <w:tcW w:w="1682" w:type="dxa"/>
            <w:noWrap/>
            <w:hideMark/>
          </w:tcPr>
          <w:p w:rsidR="0051046E" w:rsidRPr="009F0E09" w:rsidP="006C27C7" w14:paraId="66E4AE1E" w14:textId="77777777">
            <w:pPr>
              <w:jc w:val="center"/>
              <w:rPr>
                <w:rFonts w:ascii="Times New Roman" w:hAnsi="Times New Roman" w:cs="Times New Roman"/>
              </w:rPr>
            </w:pPr>
            <w:r w:rsidRPr="009F0E09">
              <w:rPr>
                <w:rFonts w:ascii="Times New Roman" w:hAnsi="Times New Roman" w:cs="Times New Roman"/>
              </w:rPr>
              <w:t>B  </w:t>
            </w:r>
          </w:p>
        </w:tc>
      </w:tr>
      <w:tr w14:paraId="70F23F61" w14:textId="77777777" w:rsidTr="006C27C7">
        <w:tblPrEx>
          <w:tblW w:w="11250" w:type="dxa"/>
          <w:jc w:val="center"/>
          <w:tblLook w:val="04A0"/>
        </w:tblPrEx>
        <w:trPr>
          <w:trHeight w:val="300"/>
          <w:jc w:val="center"/>
        </w:trPr>
        <w:tc>
          <w:tcPr>
            <w:tcW w:w="1440" w:type="dxa"/>
            <w:noWrap/>
            <w:hideMark/>
          </w:tcPr>
          <w:p w:rsidR="0051046E" w:rsidRPr="009F0E09" w:rsidP="006C27C7" w14:paraId="79317926" w14:textId="77777777">
            <w:pPr>
              <w:jc w:val="center"/>
              <w:rPr>
                <w:rFonts w:ascii="Times New Roman" w:hAnsi="Times New Roman" w:cs="Times New Roman"/>
              </w:rPr>
            </w:pPr>
            <w:r w:rsidRPr="009F0E09">
              <w:rPr>
                <w:rFonts w:ascii="Times New Roman" w:hAnsi="Times New Roman" w:cs="Times New Roman"/>
              </w:rPr>
              <w:t>0009048485  </w:t>
            </w:r>
          </w:p>
        </w:tc>
        <w:tc>
          <w:tcPr>
            <w:tcW w:w="990" w:type="dxa"/>
            <w:noWrap/>
            <w:hideMark/>
          </w:tcPr>
          <w:p w:rsidR="0051046E" w:rsidRPr="009F0E09" w:rsidP="006C27C7" w14:paraId="7A01A14F" w14:textId="77777777">
            <w:pPr>
              <w:jc w:val="center"/>
              <w:rPr>
                <w:rFonts w:ascii="Times New Roman" w:hAnsi="Times New Roman" w:cs="Times New Roman"/>
              </w:rPr>
            </w:pPr>
            <w:r w:rsidRPr="009F0E09">
              <w:rPr>
                <w:rFonts w:ascii="Times New Roman" w:hAnsi="Times New Roman" w:cs="Times New Roman"/>
              </w:rPr>
              <w:t>WPQP948  </w:t>
            </w:r>
          </w:p>
        </w:tc>
        <w:tc>
          <w:tcPr>
            <w:tcW w:w="1482" w:type="dxa"/>
            <w:noWrap/>
            <w:hideMark/>
          </w:tcPr>
          <w:p w:rsidR="0051046E" w:rsidRPr="009F0E09" w:rsidP="006C27C7" w14:paraId="2B96534E" w14:textId="77777777">
            <w:pPr>
              <w:jc w:val="center"/>
              <w:rPr>
                <w:rFonts w:ascii="Times New Roman" w:hAnsi="Times New Roman" w:cs="Times New Roman"/>
              </w:rPr>
            </w:pPr>
            <w:r w:rsidRPr="009F0E09">
              <w:rPr>
                <w:rFonts w:ascii="Times New Roman" w:hAnsi="Times New Roman" w:cs="Times New Roman"/>
              </w:rPr>
              <w:t>BEA064 </w:t>
            </w:r>
          </w:p>
        </w:tc>
        <w:tc>
          <w:tcPr>
            <w:tcW w:w="5656" w:type="dxa"/>
            <w:noWrap/>
            <w:hideMark/>
          </w:tcPr>
          <w:p w:rsidR="0051046E" w:rsidRPr="009F0E09" w:rsidP="006C27C7" w14:paraId="410697B3" w14:textId="77777777">
            <w:pPr>
              <w:rPr>
                <w:rFonts w:ascii="Times New Roman" w:hAnsi="Times New Roman" w:cs="Times New Roman"/>
              </w:rPr>
            </w:pPr>
            <w:r w:rsidRPr="009F0E09">
              <w:rPr>
                <w:rFonts w:ascii="Times New Roman" w:hAnsi="Times New Roman" w:cs="Times New Roman"/>
              </w:rPr>
              <w:t>Chicago-Gary-Kenosha, IL-IN-WI</w:t>
            </w:r>
          </w:p>
        </w:tc>
        <w:tc>
          <w:tcPr>
            <w:tcW w:w="1682" w:type="dxa"/>
            <w:noWrap/>
            <w:hideMark/>
          </w:tcPr>
          <w:p w:rsidR="0051046E" w:rsidRPr="009F0E09" w:rsidP="006C27C7" w14:paraId="34F688FE" w14:textId="77777777">
            <w:pPr>
              <w:jc w:val="center"/>
              <w:rPr>
                <w:rFonts w:ascii="Times New Roman" w:hAnsi="Times New Roman" w:cs="Times New Roman"/>
              </w:rPr>
            </w:pPr>
            <w:r w:rsidRPr="009F0E09">
              <w:rPr>
                <w:rFonts w:ascii="Times New Roman" w:hAnsi="Times New Roman" w:cs="Times New Roman"/>
              </w:rPr>
              <w:t>C  </w:t>
            </w:r>
          </w:p>
        </w:tc>
      </w:tr>
      <w:tr w14:paraId="2901F677" w14:textId="77777777" w:rsidTr="006C27C7">
        <w:tblPrEx>
          <w:tblW w:w="11250" w:type="dxa"/>
          <w:jc w:val="center"/>
          <w:tblLook w:val="04A0"/>
        </w:tblPrEx>
        <w:trPr>
          <w:trHeight w:val="300"/>
          <w:jc w:val="center"/>
        </w:trPr>
        <w:tc>
          <w:tcPr>
            <w:tcW w:w="1440" w:type="dxa"/>
            <w:noWrap/>
            <w:hideMark/>
          </w:tcPr>
          <w:p w:rsidR="0051046E" w:rsidRPr="009F0E09" w:rsidP="006C27C7" w14:paraId="1876548B" w14:textId="77777777">
            <w:pPr>
              <w:jc w:val="center"/>
              <w:rPr>
                <w:rFonts w:ascii="Times New Roman" w:hAnsi="Times New Roman" w:cs="Times New Roman"/>
              </w:rPr>
            </w:pPr>
            <w:r w:rsidRPr="009F0E09">
              <w:rPr>
                <w:rFonts w:ascii="Times New Roman" w:hAnsi="Times New Roman" w:cs="Times New Roman"/>
              </w:rPr>
              <w:t>0009048488  </w:t>
            </w:r>
          </w:p>
        </w:tc>
        <w:tc>
          <w:tcPr>
            <w:tcW w:w="990" w:type="dxa"/>
            <w:noWrap/>
            <w:hideMark/>
          </w:tcPr>
          <w:p w:rsidR="0051046E" w:rsidRPr="009F0E09" w:rsidP="006C27C7" w14:paraId="0E9605FB" w14:textId="77777777">
            <w:pPr>
              <w:jc w:val="center"/>
              <w:rPr>
                <w:rFonts w:ascii="Times New Roman" w:hAnsi="Times New Roman" w:cs="Times New Roman"/>
              </w:rPr>
            </w:pPr>
            <w:r w:rsidRPr="009F0E09">
              <w:rPr>
                <w:rFonts w:ascii="Times New Roman" w:hAnsi="Times New Roman" w:cs="Times New Roman"/>
              </w:rPr>
              <w:t>WPQP991  </w:t>
            </w:r>
          </w:p>
        </w:tc>
        <w:tc>
          <w:tcPr>
            <w:tcW w:w="1482" w:type="dxa"/>
            <w:noWrap/>
            <w:hideMark/>
          </w:tcPr>
          <w:p w:rsidR="0051046E" w:rsidRPr="009F0E09" w:rsidP="006C27C7" w14:paraId="2C702B7A" w14:textId="77777777">
            <w:pPr>
              <w:jc w:val="center"/>
              <w:rPr>
                <w:rFonts w:ascii="Times New Roman" w:hAnsi="Times New Roman" w:cs="Times New Roman"/>
              </w:rPr>
            </w:pPr>
            <w:r w:rsidRPr="009F0E09">
              <w:rPr>
                <w:rFonts w:ascii="Times New Roman" w:hAnsi="Times New Roman" w:cs="Times New Roman"/>
              </w:rPr>
              <w:t>BEA096 </w:t>
            </w:r>
          </w:p>
        </w:tc>
        <w:tc>
          <w:tcPr>
            <w:tcW w:w="5656" w:type="dxa"/>
            <w:noWrap/>
            <w:hideMark/>
          </w:tcPr>
          <w:p w:rsidR="0051046E" w:rsidRPr="009F0E09" w:rsidP="006C27C7" w14:paraId="6640B11F" w14:textId="77777777">
            <w:pPr>
              <w:rPr>
                <w:rFonts w:ascii="Times New Roman" w:hAnsi="Times New Roman" w:cs="Times New Roman"/>
              </w:rPr>
            </w:pPr>
            <w:r w:rsidRPr="009F0E09">
              <w:rPr>
                <w:rFonts w:ascii="Times New Roman" w:hAnsi="Times New Roman" w:cs="Times New Roman"/>
              </w:rPr>
              <w:t>St. Louis, MO-IL</w:t>
            </w:r>
          </w:p>
        </w:tc>
        <w:tc>
          <w:tcPr>
            <w:tcW w:w="1682" w:type="dxa"/>
            <w:noWrap/>
            <w:hideMark/>
          </w:tcPr>
          <w:p w:rsidR="0051046E" w:rsidRPr="009F0E09" w:rsidP="006C27C7" w14:paraId="5AD7EF3E" w14:textId="77777777">
            <w:pPr>
              <w:jc w:val="center"/>
              <w:rPr>
                <w:rFonts w:ascii="Times New Roman" w:hAnsi="Times New Roman" w:cs="Times New Roman"/>
              </w:rPr>
            </w:pPr>
            <w:r w:rsidRPr="009F0E09">
              <w:rPr>
                <w:rFonts w:ascii="Times New Roman" w:hAnsi="Times New Roman" w:cs="Times New Roman"/>
              </w:rPr>
              <w:t>B  </w:t>
            </w:r>
          </w:p>
        </w:tc>
      </w:tr>
      <w:tr w14:paraId="2057BE7A" w14:textId="77777777" w:rsidTr="006C27C7">
        <w:tblPrEx>
          <w:tblW w:w="11250" w:type="dxa"/>
          <w:jc w:val="center"/>
          <w:tblLook w:val="04A0"/>
        </w:tblPrEx>
        <w:trPr>
          <w:trHeight w:val="300"/>
          <w:jc w:val="center"/>
        </w:trPr>
        <w:tc>
          <w:tcPr>
            <w:tcW w:w="1440" w:type="dxa"/>
            <w:noWrap/>
            <w:hideMark/>
          </w:tcPr>
          <w:p w:rsidR="0051046E" w:rsidRPr="009F0E09" w:rsidP="006C27C7" w14:paraId="4B58FE02" w14:textId="77777777">
            <w:pPr>
              <w:jc w:val="center"/>
              <w:rPr>
                <w:rFonts w:ascii="Times New Roman" w:hAnsi="Times New Roman" w:cs="Times New Roman"/>
              </w:rPr>
            </w:pPr>
            <w:r w:rsidRPr="009F0E09">
              <w:rPr>
                <w:rFonts w:ascii="Times New Roman" w:hAnsi="Times New Roman" w:cs="Times New Roman"/>
              </w:rPr>
              <w:t>0009048489  </w:t>
            </w:r>
          </w:p>
        </w:tc>
        <w:tc>
          <w:tcPr>
            <w:tcW w:w="990" w:type="dxa"/>
            <w:noWrap/>
            <w:hideMark/>
          </w:tcPr>
          <w:p w:rsidR="0051046E" w:rsidRPr="009F0E09" w:rsidP="006C27C7" w14:paraId="30157735" w14:textId="77777777">
            <w:pPr>
              <w:jc w:val="center"/>
              <w:rPr>
                <w:rFonts w:ascii="Times New Roman" w:hAnsi="Times New Roman" w:cs="Times New Roman"/>
              </w:rPr>
            </w:pPr>
            <w:r w:rsidRPr="009F0E09">
              <w:rPr>
                <w:rFonts w:ascii="Times New Roman" w:hAnsi="Times New Roman" w:cs="Times New Roman"/>
              </w:rPr>
              <w:t>WPQP992  </w:t>
            </w:r>
          </w:p>
        </w:tc>
        <w:tc>
          <w:tcPr>
            <w:tcW w:w="1482" w:type="dxa"/>
            <w:noWrap/>
            <w:hideMark/>
          </w:tcPr>
          <w:p w:rsidR="0051046E" w:rsidRPr="009F0E09" w:rsidP="006C27C7" w14:paraId="428AF5FC" w14:textId="77777777">
            <w:pPr>
              <w:jc w:val="center"/>
              <w:rPr>
                <w:rFonts w:ascii="Times New Roman" w:hAnsi="Times New Roman" w:cs="Times New Roman"/>
              </w:rPr>
            </w:pPr>
            <w:r w:rsidRPr="009F0E09">
              <w:rPr>
                <w:rFonts w:ascii="Times New Roman" w:hAnsi="Times New Roman" w:cs="Times New Roman"/>
              </w:rPr>
              <w:t>BEA096 </w:t>
            </w:r>
          </w:p>
        </w:tc>
        <w:tc>
          <w:tcPr>
            <w:tcW w:w="5656" w:type="dxa"/>
            <w:noWrap/>
            <w:hideMark/>
          </w:tcPr>
          <w:p w:rsidR="0051046E" w:rsidRPr="009F0E09" w:rsidP="006C27C7" w14:paraId="680B9432" w14:textId="77777777">
            <w:pPr>
              <w:rPr>
                <w:rFonts w:ascii="Times New Roman" w:hAnsi="Times New Roman" w:cs="Times New Roman"/>
              </w:rPr>
            </w:pPr>
            <w:r w:rsidRPr="009F0E09">
              <w:rPr>
                <w:rFonts w:ascii="Times New Roman" w:hAnsi="Times New Roman" w:cs="Times New Roman"/>
              </w:rPr>
              <w:t>St. Louis, MO-IL</w:t>
            </w:r>
          </w:p>
        </w:tc>
        <w:tc>
          <w:tcPr>
            <w:tcW w:w="1682" w:type="dxa"/>
            <w:noWrap/>
            <w:hideMark/>
          </w:tcPr>
          <w:p w:rsidR="0051046E" w:rsidRPr="009F0E09" w:rsidP="006C27C7" w14:paraId="1F411F3A" w14:textId="77777777">
            <w:pPr>
              <w:jc w:val="center"/>
              <w:rPr>
                <w:rFonts w:ascii="Times New Roman" w:hAnsi="Times New Roman" w:cs="Times New Roman"/>
              </w:rPr>
            </w:pPr>
            <w:r w:rsidRPr="009F0E09">
              <w:rPr>
                <w:rFonts w:ascii="Times New Roman" w:hAnsi="Times New Roman" w:cs="Times New Roman"/>
              </w:rPr>
              <w:t>C  </w:t>
            </w:r>
          </w:p>
        </w:tc>
      </w:tr>
      <w:tr w14:paraId="239AA7F7" w14:textId="77777777" w:rsidTr="006C27C7">
        <w:tblPrEx>
          <w:tblW w:w="11250" w:type="dxa"/>
          <w:jc w:val="center"/>
          <w:tblLook w:val="04A0"/>
        </w:tblPrEx>
        <w:trPr>
          <w:trHeight w:val="300"/>
          <w:jc w:val="center"/>
        </w:trPr>
        <w:tc>
          <w:tcPr>
            <w:tcW w:w="1440" w:type="dxa"/>
            <w:noWrap/>
            <w:hideMark/>
          </w:tcPr>
          <w:p w:rsidR="0051046E" w:rsidRPr="009F0E09" w:rsidP="006C27C7" w14:paraId="61330FF5" w14:textId="77777777">
            <w:pPr>
              <w:jc w:val="center"/>
              <w:rPr>
                <w:rFonts w:ascii="Times New Roman" w:hAnsi="Times New Roman" w:cs="Times New Roman"/>
              </w:rPr>
            </w:pPr>
            <w:r w:rsidRPr="009F0E09">
              <w:rPr>
                <w:rFonts w:ascii="Times New Roman" w:hAnsi="Times New Roman" w:cs="Times New Roman"/>
              </w:rPr>
              <w:t>0009048493  </w:t>
            </w:r>
          </w:p>
        </w:tc>
        <w:tc>
          <w:tcPr>
            <w:tcW w:w="990" w:type="dxa"/>
            <w:noWrap/>
            <w:hideMark/>
          </w:tcPr>
          <w:p w:rsidR="0051046E" w:rsidRPr="009F0E09" w:rsidP="006C27C7" w14:paraId="7EF80856" w14:textId="77777777">
            <w:pPr>
              <w:jc w:val="center"/>
              <w:rPr>
                <w:rFonts w:ascii="Times New Roman" w:hAnsi="Times New Roman" w:cs="Times New Roman"/>
              </w:rPr>
            </w:pPr>
            <w:r w:rsidRPr="009F0E09">
              <w:rPr>
                <w:rFonts w:ascii="Times New Roman" w:hAnsi="Times New Roman" w:cs="Times New Roman"/>
              </w:rPr>
              <w:t>WPQQ214  </w:t>
            </w:r>
          </w:p>
        </w:tc>
        <w:tc>
          <w:tcPr>
            <w:tcW w:w="1482" w:type="dxa"/>
            <w:noWrap/>
            <w:hideMark/>
          </w:tcPr>
          <w:p w:rsidR="0051046E" w:rsidRPr="009F0E09" w:rsidP="006C27C7" w14:paraId="0C64BF62" w14:textId="77777777">
            <w:pPr>
              <w:jc w:val="center"/>
              <w:rPr>
                <w:rFonts w:ascii="Times New Roman" w:hAnsi="Times New Roman" w:cs="Times New Roman"/>
              </w:rPr>
            </w:pPr>
            <w:r w:rsidRPr="009F0E09">
              <w:rPr>
                <w:rFonts w:ascii="Times New Roman" w:hAnsi="Times New Roman" w:cs="Times New Roman"/>
              </w:rPr>
              <w:t>BEA127 </w:t>
            </w:r>
          </w:p>
        </w:tc>
        <w:tc>
          <w:tcPr>
            <w:tcW w:w="5656" w:type="dxa"/>
            <w:noWrap/>
            <w:hideMark/>
          </w:tcPr>
          <w:p w:rsidR="0051046E" w:rsidRPr="009F0E09" w:rsidP="006C27C7" w14:paraId="100EDB0F" w14:textId="77777777">
            <w:pPr>
              <w:rPr>
                <w:rFonts w:ascii="Times New Roman" w:hAnsi="Times New Roman" w:cs="Times New Roman"/>
              </w:rPr>
            </w:pPr>
            <w:r w:rsidRPr="009F0E09">
              <w:rPr>
                <w:rFonts w:ascii="Times New Roman" w:hAnsi="Times New Roman" w:cs="Times New Roman"/>
              </w:rPr>
              <w:t>Dallas-Fort Worth, TX-AR-OK</w:t>
            </w:r>
          </w:p>
        </w:tc>
        <w:tc>
          <w:tcPr>
            <w:tcW w:w="1682" w:type="dxa"/>
            <w:noWrap/>
            <w:hideMark/>
          </w:tcPr>
          <w:p w:rsidR="0051046E" w:rsidRPr="009F0E09" w:rsidP="006C27C7" w14:paraId="24F69ABA" w14:textId="77777777">
            <w:pPr>
              <w:jc w:val="center"/>
              <w:rPr>
                <w:rFonts w:ascii="Times New Roman" w:hAnsi="Times New Roman" w:cs="Times New Roman"/>
              </w:rPr>
            </w:pPr>
            <w:r w:rsidRPr="009F0E09">
              <w:rPr>
                <w:rFonts w:ascii="Times New Roman" w:hAnsi="Times New Roman" w:cs="Times New Roman"/>
              </w:rPr>
              <w:t>B  </w:t>
            </w:r>
          </w:p>
        </w:tc>
      </w:tr>
      <w:tr w14:paraId="70579E56" w14:textId="77777777" w:rsidTr="006C27C7">
        <w:tblPrEx>
          <w:tblW w:w="11250" w:type="dxa"/>
          <w:jc w:val="center"/>
          <w:tblLook w:val="04A0"/>
        </w:tblPrEx>
        <w:trPr>
          <w:trHeight w:val="300"/>
          <w:jc w:val="center"/>
        </w:trPr>
        <w:tc>
          <w:tcPr>
            <w:tcW w:w="1440" w:type="dxa"/>
            <w:noWrap/>
            <w:hideMark/>
          </w:tcPr>
          <w:p w:rsidR="0051046E" w:rsidRPr="009F0E09" w:rsidP="006C27C7" w14:paraId="7F2A72C3" w14:textId="77777777">
            <w:pPr>
              <w:jc w:val="center"/>
              <w:rPr>
                <w:rFonts w:ascii="Times New Roman" w:hAnsi="Times New Roman" w:cs="Times New Roman"/>
              </w:rPr>
            </w:pPr>
            <w:r w:rsidRPr="009F0E09">
              <w:rPr>
                <w:rFonts w:ascii="Times New Roman" w:hAnsi="Times New Roman" w:cs="Times New Roman"/>
              </w:rPr>
              <w:t>0009048494  </w:t>
            </w:r>
          </w:p>
        </w:tc>
        <w:tc>
          <w:tcPr>
            <w:tcW w:w="990" w:type="dxa"/>
            <w:noWrap/>
            <w:hideMark/>
          </w:tcPr>
          <w:p w:rsidR="0051046E" w:rsidRPr="009F0E09" w:rsidP="006C27C7" w14:paraId="1A81A059" w14:textId="77777777">
            <w:pPr>
              <w:jc w:val="center"/>
              <w:rPr>
                <w:rFonts w:ascii="Times New Roman" w:hAnsi="Times New Roman" w:cs="Times New Roman"/>
              </w:rPr>
            </w:pPr>
            <w:r w:rsidRPr="009F0E09">
              <w:rPr>
                <w:rFonts w:ascii="Times New Roman" w:hAnsi="Times New Roman" w:cs="Times New Roman"/>
              </w:rPr>
              <w:t>WPQQ215  </w:t>
            </w:r>
          </w:p>
        </w:tc>
        <w:tc>
          <w:tcPr>
            <w:tcW w:w="1482" w:type="dxa"/>
            <w:noWrap/>
            <w:hideMark/>
          </w:tcPr>
          <w:p w:rsidR="0051046E" w:rsidRPr="009F0E09" w:rsidP="006C27C7" w14:paraId="79F13365" w14:textId="77777777">
            <w:pPr>
              <w:jc w:val="center"/>
              <w:rPr>
                <w:rFonts w:ascii="Times New Roman" w:hAnsi="Times New Roman" w:cs="Times New Roman"/>
              </w:rPr>
            </w:pPr>
            <w:r w:rsidRPr="009F0E09">
              <w:rPr>
                <w:rFonts w:ascii="Times New Roman" w:hAnsi="Times New Roman" w:cs="Times New Roman"/>
              </w:rPr>
              <w:t>BEA127 </w:t>
            </w:r>
          </w:p>
        </w:tc>
        <w:tc>
          <w:tcPr>
            <w:tcW w:w="5656" w:type="dxa"/>
            <w:noWrap/>
            <w:hideMark/>
          </w:tcPr>
          <w:p w:rsidR="0051046E" w:rsidRPr="009F0E09" w:rsidP="006C27C7" w14:paraId="354DAB51" w14:textId="77777777">
            <w:pPr>
              <w:rPr>
                <w:rFonts w:ascii="Times New Roman" w:hAnsi="Times New Roman" w:cs="Times New Roman"/>
              </w:rPr>
            </w:pPr>
            <w:r w:rsidRPr="009F0E09">
              <w:rPr>
                <w:rFonts w:ascii="Times New Roman" w:hAnsi="Times New Roman" w:cs="Times New Roman"/>
              </w:rPr>
              <w:t>Dallas-Fort Worth, TX-AR-OK</w:t>
            </w:r>
          </w:p>
        </w:tc>
        <w:tc>
          <w:tcPr>
            <w:tcW w:w="1682" w:type="dxa"/>
            <w:noWrap/>
            <w:hideMark/>
          </w:tcPr>
          <w:p w:rsidR="0051046E" w:rsidRPr="009F0E09" w:rsidP="006C27C7" w14:paraId="7FB2258D" w14:textId="77777777">
            <w:pPr>
              <w:jc w:val="center"/>
              <w:rPr>
                <w:rFonts w:ascii="Times New Roman" w:hAnsi="Times New Roman" w:cs="Times New Roman"/>
              </w:rPr>
            </w:pPr>
            <w:r w:rsidRPr="009F0E09">
              <w:rPr>
                <w:rFonts w:ascii="Times New Roman" w:hAnsi="Times New Roman" w:cs="Times New Roman"/>
              </w:rPr>
              <w:t>C  </w:t>
            </w:r>
          </w:p>
        </w:tc>
      </w:tr>
      <w:tr w14:paraId="4696EAD5" w14:textId="77777777" w:rsidTr="006C27C7">
        <w:tblPrEx>
          <w:tblW w:w="11250" w:type="dxa"/>
          <w:jc w:val="center"/>
          <w:tblLook w:val="04A0"/>
        </w:tblPrEx>
        <w:trPr>
          <w:trHeight w:val="300"/>
          <w:jc w:val="center"/>
        </w:trPr>
        <w:tc>
          <w:tcPr>
            <w:tcW w:w="1440" w:type="dxa"/>
            <w:noWrap/>
            <w:hideMark/>
          </w:tcPr>
          <w:p w:rsidR="0051046E" w:rsidRPr="009F0E09" w:rsidP="006C27C7" w14:paraId="6C623CDB" w14:textId="77777777">
            <w:pPr>
              <w:jc w:val="center"/>
              <w:rPr>
                <w:rFonts w:ascii="Times New Roman" w:hAnsi="Times New Roman" w:cs="Times New Roman"/>
              </w:rPr>
            </w:pPr>
            <w:r w:rsidRPr="009F0E09">
              <w:rPr>
                <w:rFonts w:ascii="Times New Roman" w:hAnsi="Times New Roman" w:cs="Times New Roman"/>
              </w:rPr>
              <w:t>0009048497  </w:t>
            </w:r>
          </w:p>
        </w:tc>
        <w:tc>
          <w:tcPr>
            <w:tcW w:w="990" w:type="dxa"/>
            <w:noWrap/>
            <w:hideMark/>
          </w:tcPr>
          <w:p w:rsidR="0051046E" w:rsidRPr="009F0E09" w:rsidP="006C27C7" w14:paraId="0FC581E4" w14:textId="77777777">
            <w:pPr>
              <w:jc w:val="center"/>
              <w:rPr>
                <w:rFonts w:ascii="Times New Roman" w:hAnsi="Times New Roman" w:cs="Times New Roman"/>
              </w:rPr>
            </w:pPr>
            <w:r w:rsidRPr="009F0E09">
              <w:rPr>
                <w:rFonts w:ascii="Times New Roman" w:hAnsi="Times New Roman" w:cs="Times New Roman"/>
              </w:rPr>
              <w:t>WPQQ218  </w:t>
            </w:r>
          </w:p>
        </w:tc>
        <w:tc>
          <w:tcPr>
            <w:tcW w:w="1482" w:type="dxa"/>
            <w:noWrap/>
            <w:hideMark/>
          </w:tcPr>
          <w:p w:rsidR="0051046E" w:rsidRPr="009F0E09" w:rsidP="006C27C7" w14:paraId="2714C3B3" w14:textId="77777777">
            <w:pPr>
              <w:jc w:val="center"/>
              <w:rPr>
                <w:rFonts w:ascii="Times New Roman" w:hAnsi="Times New Roman" w:cs="Times New Roman"/>
              </w:rPr>
            </w:pPr>
            <w:r w:rsidRPr="009F0E09">
              <w:rPr>
                <w:rFonts w:ascii="Times New Roman" w:hAnsi="Times New Roman" w:cs="Times New Roman"/>
              </w:rPr>
              <w:t>BEA131 </w:t>
            </w:r>
          </w:p>
        </w:tc>
        <w:tc>
          <w:tcPr>
            <w:tcW w:w="5656" w:type="dxa"/>
            <w:noWrap/>
            <w:hideMark/>
          </w:tcPr>
          <w:p w:rsidR="0051046E" w:rsidRPr="009F0E09" w:rsidP="006C27C7" w14:paraId="62A46286" w14:textId="77777777">
            <w:pPr>
              <w:rPr>
                <w:rFonts w:ascii="Times New Roman" w:hAnsi="Times New Roman" w:cs="Times New Roman"/>
              </w:rPr>
            </w:pPr>
            <w:r w:rsidRPr="009F0E09">
              <w:rPr>
                <w:rFonts w:ascii="Times New Roman" w:hAnsi="Times New Roman" w:cs="Times New Roman"/>
              </w:rPr>
              <w:t>Houston-Galveston-Brazoria, TX</w:t>
            </w:r>
          </w:p>
        </w:tc>
        <w:tc>
          <w:tcPr>
            <w:tcW w:w="1682" w:type="dxa"/>
            <w:noWrap/>
            <w:hideMark/>
          </w:tcPr>
          <w:p w:rsidR="0051046E" w:rsidRPr="009F0E09" w:rsidP="006C27C7" w14:paraId="576486DF" w14:textId="77777777">
            <w:pPr>
              <w:jc w:val="center"/>
              <w:rPr>
                <w:rFonts w:ascii="Times New Roman" w:hAnsi="Times New Roman" w:cs="Times New Roman"/>
              </w:rPr>
            </w:pPr>
            <w:r w:rsidRPr="009F0E09">
              <w:rPr>
                <w:rFonts w:ascii="Times New Roman" w:hAnsi="Times New Roman" w:cs="Times New Roman"/>
              </w:rPr>
              <w:t>B  </w:t>
            </w:r>
          </w:p>
        </w:tc>
      </w:tr>
      <w:tr w14:paraId="27778F16" w14:textId="77777777" w:rsidTr="006C27C7">
        <w:tblPrEx>
          <w:tblW w:w="11250" w:type="dxa"/>
          <w:jc w:val="center"/>
          <w:tblLook w:val="04A0"/>
        </w:tblPrEx>
        <w:trPr>
          <w:trHeight w:val="300"/>
          <w:jc w:val="center"/>
        </w:trPr>
        <w:tc>
          <w:tcPr>
            <w:tcW w:w="1440" w:type="dxa"/>
            <w:noWrap/>
            <w:hideMark/>
          </w:tcPr>
          <w:p w:rsidR="0051046E" w:rsidRPr="009F0E09" w:rsidP="006C27C7" w14:paraId="26BBD4B5" w14:textId="77777777">
            <w:pPr>
              <w:jc w:val="center"/>
              <w:rPr>
                <w:rFonts w:ascii="Times New Roman" w:hAnsi="Times New Roman" w:cs="Times New Roman"/>
              </w:rPr>
            </w:pPr>
            <w:r w:rsidRPr="009F0E09">
              <w:rPr>
                <w:rFonts w:ascii="Times New Roman" w:hAnsi="Times New Roman" w:cs="Times New Roman"/>
              </w:rPr>
              <w:t>0009048498  </w:t>
            </w:r>
          </w:p>
        </w:tc>
        <w:tc>
          <w:tcPr>
            <w:tcW w:w="990" w:type="dxa"/>
            <w:noWrap/>
            <w:hideMark/>
          </w:tcPr>
          <w:p w:rsidR="0051046E" w:rsidRPr="009F0E09" w:rsidP="006C27C7" w14:paraId="0EDBE9BE" w14:textId="77777777">
            <w:pPr>
              <w:jc w:val="center"/>
              <w:rPr>
                <w:rFonts w:ascii="Times New Roman" w:hAnsi="Times New Roman" w:cs="Times New Roman"/>
              </w:rPr>
            </w:pPr>
            <w:r w:rsidRPr="009F0E09">
              <w:rPr>
                <w:rFonts w:ascii="Times New Roman" w:hAnsi="Times New Roman" w:cs="Times New Roman"/>
              </w:rPr>
              <w:t>WPQQ219  </w:t>
            </w:r>
          </w:p>
        </w:tc>
        <w:tc>
          <w:tcPr>
            <w:tcW w:w="1482" w:type="dxa"/>
            <w:noWrap/>
            <w:hideMark/>
          </w:tcPr>
          <w:p w:rsidR="0051046E" w:rsidRPr="009F0E09" w:rsidP="006C27C7" w14:paraId="25A2C42A" w14:textId="77777777">
            <w:pPr>
              <w:jc w:val="center"/>
              <w:rPr>
                <w:rFonts w:ascii="Times New Roman" w:hAnsi="Times New Roman" w:cs="Times New Roman"/>
              </w:rPr>
            </w:pPr>
            <w:r w:rsidRPr="009F0E09">
              <w:rPr>
                <w:rFonts w:ascii="Times New Roman" w:hAnsi="Times New Roman" w:cs="Times New Roman"/>
              </w:rPr>
              <w:t>BEA131 </w:t>
            </w:r>
          </w:p>
        </w:tc>
        <w:tc>
          <w:tcPr>
            <w:tcW w:w="5656" w:type="dxa"/>
            <w:noWrap/>
            <w:hideMark/>
          </w:tcPr>
          <w:p w:rsidR="0051046E" w:rsidRPr="009F0E09" w:rsidP="006C27C7" w14:paraId="704C4430" w14:textId="77777777">
            <w:pPr>
              <w:rPr>
                <w:rFonts w:ascii="Times New Roman" w:hAnsi="Times New Roman" w:cs="Times New Roman"/>
              </w:rPr>
            </w:pPr>
            <w:r w:rsidRPr="009F0E09">
              <w:rPr>
                <w:rFonts w:ascii="Times New Roman" w:hAnsi="Times New Roman" w:cs="Times New Roman"/>
              </w:rPr>
              <w:t>Houston-Galveston-Brazoria, TX</w:t>
            </w:r>
          </w:p>
        </w:tc>
        <w:tc>
          <w:tcPr>
            <w:tcW w:w="1682" w:type="dxa"/>
            <w:noWrap/>
            <w:hideMark/>
          </w:tcPr>
          <w:p w:rsidR="0051046E" w:rsidRPr="009F0E09" w:rsidP="006C27C7" w14:paraId="38E0E9D6" w14:textId="77777777">
            <w:pPr>
              <w:jc w:val="center"/>
              <w:rPr>
                <w:rFonts w:ascii="Times New Roman" w:hAnsi="Times New Roman" w:cs="Times New Roman"/>
              </w:rPr>
            </w:pPr>
            <w:r w:rsidRPr="009F0E09">
              <w:rPr>
                <w:rFonts w:ascii="Times New Roman" w:hAnsi="Times New Roman" w:cs="Times New Roman"/>
              </w:rPr>
              <w:t>C  </w:t>
            </w:r>
          </w:p>
        </w:tc>
      </w:tr>
      <w:tr w14:paraId="67C333B5" w14:textId="77777777" w:rsidTr="006C27C7">
        <w:tblPrEx>
          <w:tblW w:w="11250" w:type="dxa"/>
          <w:jc w:val="center"/>
          <w:tblLook w:val="04A0"/>
        </w:tblPrEx>
        <w:trPr>
          <w:trHeight w:val="300"/>
          <w:jc w:val="center"/>
        </w:trPr>
        <w:tc>
          <w:tcPr>
            <w:tcW w:w="1440" w:type="dxa"/>
            <w:noWrap/>
            <w:hideMark/>
          </w:tcPr>
          <w:p w:rsidR="0051046E" w:rsidRPr="009F0E09" w:rsidP="006C27C7" w14:paraId="30B8F863" w14:textId="77777777">
            <w:pPr>
              <w:jc w:val="center"/>
              <w:rPr>
                <w:rFonts w:ascii="Times New Roman" w:hAnsi="Times New Roman" w:cs="Times New Roman"/>
              </w:rPr>
            </w:pPr>
            <w:r w:rsidRPr="009F0E09">
              <w:rPr>
                <w:rFonts w:ascii="Times New Roman" w:hAnsi="Times New Roman" w:cs="Times New Roman"/>
              </w:rPr>
              <w:t>0009048502  </w:t>
            </w:r>
          </w:p>
        </w:tc>
        <w:tc>
          <w:tcPr>
            <w:tcW w:w="990" w:type="dxa"/>
            <w:noWrap/>
            <w:hideMark/>
          </w:tcPr>
          <w:p w:rsidR="0051046E" w:rsidRPr="009F0E09" w:rsidP="006C27C7" w14:paraId="431DCD0D" w14:textId="77777777">
            <w:pPr>
              <w:jc w:val="center"/>
              <w:rPr>
                <w:rFonts w:ascii="Times New Roman" w:hAnsi="Times New Roman" w:cs="Times New Roman"/>
              </w:rPr>
            </w:pPr>
            <w:r w:rsidRPr="009F0E09">
              <w:rPr>
                <w:rFonts w:ascii="Times New Roman" w:hAnsi="Times New Roman" w:cs="Times New Roman"/>
              </w:rPr>
              <w:t>WPQQ224  </w:t>
            </w:r>
          </w:p>
        </w:tc>
        <w:tc>
          <w:tcPr>
            <w:tcW w:w="1482" w:type="dxa"/>
            <w:noWrap/>
            <w:hideMark/>
          </w:tcPr>
          <w:p w:rsidR="0051046E" w:rsidRPr="009F0E09" w:rsidP="006C27C7" w14:paraId="69503274" w14:textId="77777777">
            <w:pPr>
              <w:jc w:val="center"/>
              <w:rPr>
                <w:rFonts w:ascii="Times New Roman" w:hAnsi="Times New Roman" w:cs="Times New Roman"/>
              </w:rPr>
            </w:pPr>
            <w:r w:rsidRPr="009F0E09">
              <w:rPr>
                <w:rFonts w:ascii="Times New Roman" w:hAnsi="Times New Roman" w:cs="Times New Roman"/>
              </w:rPr>
              <w:t>BEA134 </w:t>
            </w:r>
          </w:p>
        </w:tc>
        <w:tc>
          <w:tcPr>
            <w:tcW w:w="5656" w:type="dxa"/>
            <w:noWrap/>
            <w:hideMark/>
          </w:tcPr>
          <w:p w:rsidR="0051046E" w:rsidRPr="009F0E09" w:rsidP="006C27C7" w14:paraId="44AC77F6" w14:textId="77777777">
            <w:pPr>
              <w:rPr>
                <w:rFonts w:ascii="Times New Roman" w:hAnsi="Times New Roman" w:cs="Times New Roman"/>
              </w:rPr>
            </w:pPr>
            <w:r w:rsidRPr="009F0E09">
              <w:rPr>
                <w:rFonts w:ascii="Times New Roman" w:hAnsi="Times New Roman" w:cs="Times New Roman"/>
              </w:rPr>
              <w:t>San Antonio, TX</w:t>
            </w:r>
          </w:p>
        </w:tc>
        <w:tc>
          <w:tcPr>
            <w:tcW w:w="1682" w:type="dxa"/>
            <w:noWrap/>
            <w:hideMark/>
          </w:tcPr>
          <w:p w:rsidR="0051046E" w:rsidRPr="009F0E09" w:rsidP="006C27C7" w14:paraId="278300D2" w14:textId="77777777">
            <w:pPr>
              <w:jc w:val="center"/>
              <w:rPr>
                <w:rFonts w:ascii="Times New Roman" w:hAnsi="Times New Roman" w:cs="Times New Roman"/>
              </w:rPr>
            </w:pPr>
            <w:r w:rsidRPr="009F0E09">
              <w:rPr>
                <w:rFonts w:ascii="Times New Roman" w:hAnsi="Times New Roman" w:cs="Times New Roman"/>
              </w:rPr>
              <w:t>B  </w:t>
            </w:r>
          </w:p>
        </w:tc>
      </w:tr>
      <w:tr w14:paraId="44DFFEA1" w14:textId="77777777" w:rsidTr="006C27C7">
        <w:tblPrEx>
          <w:tblW w:w="11250" w:type="dxa"/>
          <w:jc w:val="center"/>
          <w:tblLook w:val="04A0"/>
        </w:tblPrEx>
        <w:trPr>
          <w:trHeight w:val="300"/>
          <w:jc w:val="center"/>
        </w:trPr>
        <w:tc>
          <w:tcPr>
            <w:tcW w:w="1440" w:type="dxa"/>
            <w:noWrap/>
            <w:hideMark/>
          </w:tcPr>
          <w:p w:rsidR="0051046E" w:rsidRPr="009F0E09" w:rsidP="006C27C7" w14:paraId="46A3822B" w14:textId="77777777">
            <w:pPr>
              <w:jc w:val="center"/>
              <w:rPr>
                <w:rFonts w:ascii="Times New Roman" w:hAnsi="Times New Roman" w:cs="Times New Roman"/>
              </w:rPr>
            </w:pPr>
            <w:r w:rsidRPr="009F0E09">
              <w:rPr>
                <w:rFonts w:ascii="Times New Roman" w:hAnsi="Times New Roman" w:cs="Times New Roman"/>
              </w:rPr>
              <w:t>0009048503  </w:t>
            </w:r>
          </w:p>
        </w:tc>
        <w:tc>
          <w:tcPr>
            <w:tcW w:w="990" w:type="dxa"/>
            <w:noWrap/>
            <w:hideMark/>
          </w:tcPr>
          <w:p w:rsidR="0051046E" w:rsidRPr="009F0E09" w:rsidP="006C27C7" w14:paraId="09C5762E" w14:textId="77777777">
            <w:pPr>
              <w:jc w:val="center"/>
              <w:rPr>
                <w:rFonts w:ascii="Times New Roman" w:hAnsi="Times New Roman" w:cs="Times New Roman"/>
              </w:rPr>
            </w:pPr>
            <w:r w:rsidRPr="009F0E09">
              <w:rPr>
                <w:rFonts w:ascii="Times New Roman" w:hAnsi="Times New Roman" w:cs="Times New Roman"/>
              </w:rPr>
              <w:t>WPQQ225  </w:t>
            </w:r>
          </w:p>
        </w:tc>
        <w:tc>
          <w:tcPr>
            <w:tcW w:w="1482" w:type="dxa"/>
            <w:noWrap/>
            <w:hideMark/>
          </w:tcPr>
          <w:p w:rsidR="0051046E" w:rsidRPr="009F0E09" w:rsidP="006C27C7" w14:paraId="77536BEB" w14:textId="77777777">
            <w:pPr>
              <w:jc w:val="center"/>
              <w:rPr>
                <w:rFonts w:ascii="Times New Roman" w:hAnsi="Times New Roman" w:cs="Times New Roman"/>
              </w:rPr>
            </w:pPr>
            <w:r w:rsidRPr="009F0E09">
              <w:rPr>
                <w:rFonts w:ascii="Times New Roman" w:hAnsi="Times New Roman" w:cs="Times New Roman"/>
              </w:rPr>
              <w:t>BEA134 </w:t>
            </w:r>
          </w:p>
        </w:tc>
        <w:tc>
          <w:tcPr>
            <w:tcW w:w="5656" w:type="dxa"/>
            <w:noWrap/>
            <w:hideMark/>
          </w:tcPr>
          <w:p w:rsidR="0051046E" w:rsidRPr="009F0E09" w:rsidP="006C27C7" w14:paraId="566012D3" w14:textId="77777777">
            <w:pPr>
              <w:rPr>
                <w:rFonts w:ascii="Times New Roman" w:hAnsi="Times New Roman" w:cs="Times New Roman"/>
              </w:rPr>
            </w:pPr>
            <w:r w:rsidRPr="009F0E09">
              <w:rPr>
                <w:rFonts w:ascii="Times New Roman" w:hAnsi="Times New Roman" w:cs="Times New Roman"/>
              </w:rPr>
              <w:t>San Antonio, TX</w:t>
            </w:r>
          </w:p>
        </w:tc>
        <w:tc>
          <w:tcPr>
            <w:tcW w:w="1682" w:type="dxa"/>
            <w:noWrap/>
            <w:hideMark/>
          </w:tcPr>
          <w:p w:rsidR="0051046E" w:rsidRPr="009F0E09" w:rsidP="006C27C7" w14:paraId="3EBF1D9E" w14:textId="77777777">
            <w:pPr>
              <w:jc w:val="center"/>
              <w:rPr>
                <w:rFonts w:ascii="Times New Roman" w:hAnsi="Times New Roman" w:cs="Times New Roman"/>
              </w:rPr>
            </w:pPr>
            <w:r w:rsidRPr="009F0E09">
              <w:rPr>
                <w:rFonts w:ascii="Times New Roman" w:hAnsi="Times New Roman" w:cs="Times New Roman"/>
              </w:rPr>
              <w:t>C  </w:t>
            </w:r>
          </w:p>
        </w:tc>
      </w:tr>
      <w:tr w14:paraId="028AC9E9" w14:textId="77777777" w:rsidTr="006C27C7">
        <w:tblPrEx>
          <w:tblW w:w="11250" w:type="dxa"/>
          <w:jc w:val="center"/>
          <w:tblLook w:val="04A0"/>
        </w:tblPrEx>
        <w:trPr>
          <w:trHeight w:val="300"/>
          <w:jc w:val="center"/>
        </w:trPr>
        <w:tc>
          <w:tcPr>
            <w:tcW w:w="1440" w:type="dxa"/>
            <w:noWrap/>
            <w:hideMark/>
          </w:tcPr>
          <w:p w:rsidR="0051046E" w:rsidRPr="009F0E09" w:rsidP="006C27C7" w14:paraId="60384439" w14:textId="77777777">
            <w:pPr>
              <w:jc w:val="center"/>
              <w:rPr>
                <w:rFonts w:ascii="Times New Roman" w:hAnsi="Times New Roman" w:cs="Times New Roman"/>
              </w:rPr>
            </w:pPr>
            <w:r w:rsidRPr="009F0E09">
              <w:rPr>
                <w:rFonts w:ascii="Times New Roman" w:hAnsi="Times New Roman" w:cs="Times New Roman"/>
              </w:rPr>
              <w:t>0009048505  </w:t>
            </w:r>
          </w:p>
        </w:tc>
        <w:tc>
          <w:tcPr>
            <w:tcW w:w="990" w:type="dxa"/>
            <w:noWrap/>
            <w:hideMark/>
          </w:tcPr>
          <w:p w:rsidR="0051046E" w:rsidRPr="009F0E09" w:rsidP="006C27C7" w14:paraId="699E2176" w14:textId="77777777">
            <w:pPr>
              <w:jc w:val="center"/>
              <w:rPr>
                <w:rFonts w:ascii="Times New Roman" w:hAnsi="Times New Roman" w:cs="Times New Roman"/>
              </w:rPr>
            </w:pPr>
            <w:r w:rsidRPr="009F0E09">
              <w:rPr>
                <w:rFonts w:ascii="Times New Roman" w:hAnsi="Times New Roman" w:cs="Times New Roman"/>
              </w:rPr>
              <w:t>WPQQ226  </w:t>
            </w:r>
          </w:p>
        </w:tc>
        <w:tc>
          <w:tcPr>
            <w:tcW w:w="1482" w:type="dxa"/>
            <w:noWrap/>
            <w:hideMark/>
          </w:tcPr>
          <w:p w:rsidR="0051046E" w:rsidRPr="009F0E09" w:rsidP="006C27C7" w14:paraId="72769524" w14:textId="77777777">
            <w:pPr>
              <w:jc w:val="center"/>
              <w:rPr>
                <w:rFonts w:ascii="Times New Roman" w:hAnsi="Times New Roman" w:cs="Times New Roman"/>
              </w:rPr>
            </w:pPr>
            <w:r w:rsidRPr="009F0E09">
              <w:rPr>
                <w:rFonts w:ascii="Times New Roman" w:hAnsi="Times New Roman" w:cs="Times New Roman"/>
              </w:rPr>
              <w:t>BEA141 </w:t>
            </w:r>
          </w:p>
        </w:tc>
        <w:tc>
          <w:tcPr>
            <w:tcW w:w="5656" w:type="dxa"/>
            <w:noWrap/>
            <w:hideMark/>
          </w:tcPr>
          <w:p w:rsidR="0051046E" w:rsidRPr="009F0E09" w:rsidP="006C27C7" w14:paraId="4A4467C9" w14:textId="77777777">
            <w:pPr>
              <w:rPr>
                <w:rFonts w:ascii="Times New Roman" w:hAnsi="Times New Roman" w:cs="Times New Roman"/>
              </w:rPr>
            </w:pPr>
            <w:r w:rsidRPr="009F0E09">
              <w:rPr>
                <w:rFonts w:ascii="Times New Roman" w:hAnsi="Times New Roman" w:cs="Times New Roman"/>
              </w:rPr>
              <w:t>Denver-Boulder-Greeley, CO-KS-NE</w:t>
            </w:r>
          </w:p>
        </w:tc>
        <w:tc>
          <w:tcPr>
            <w:tcW w:w="1682" w:type="dxa"/>
            <w:noWrap/>
            <w:hideMark/>
          </w:tcPr>
          <w:p w:rsidR="0051046E" w:rsidRPr="009F0E09" w:rsidP="006C27C7" w14:paraId="3D4E5E77" w14:textId="77777777">
            <w:pPr>
              <w:jc w:val="center"/>
              <w:rPr>
                <w:rFonts w:ascii="Times New Roman" w:hAnsi="Times New Roman" w:cs="Times New Roman"/>
              </w:rPr>
            </w:pPr>
            <w:r w:rsidRPr="009F0E09">
              <w:rPr>
                <w:rFonts w:ascii="Times New Roman" w:hAnsi="Times New Roman" w:cs="Times New Roman"/>
              </w:rPr>
              <w:t>B  </w:t>
            </w:r>
          </w:p>
        </w:tc>
      </w:tr>
      <w:tr w14:paraId="70D7A204" w14:textId="77777777" w:rsidTr="006C27C7">
        <w:tblPrEx>
          <w:tblW w:w="11250" w:type="dxa"/>
          <w:jc w:val="center"/>
          <w:tblLook w:val="04A0"/>
        </w:tblPrEx>
        <w:trPr>
          <w:trHeight w:val="300"/>
          <w:jc w:val="center"/>
        </w:trPr>
        <w:tc>
          <w:tcPr>
            <w:tcW w:w="1440" w:type="dxa"/>
            <w:noWrap/>
            <w:hideMark/>
          </w:tcPr>
          <w:p w:rsidR="0051046E" w:rsidRPr="009F0E09" w:rsidP="006C27C7" w14:paraId="2170987C" w14:textId="77777777">
            <w:pPr>
              <w:jc w:val="center"/>
              <w:rPr>
                <w:rFonts w:ascii="Times New Roman" w:hAnsi="Times New Roman" w:cs="Times New Roman"/>
              </w:rPr>
            </w:pPr>
            <w:r w:rsidRPr="009F0E09">
              <w:rPr>
                <w:rFonts w:ascii="Times New Roman" w:hAnsi="Times New Roman" w:cs="Times New Roman"/>
              </w:rPr>
              <w:t>0009048506  </w:t>
            </w:r>
          </w:p>
        </w:tc>
        <w:tc>
          <w:tcPr>
            <w:tcW w:w="990" w:type="dxa"/>
            <w:noWrap/>
            <w:hideMark/>
          </w:tcPr>
          <w:p w:rsidR="0051046E" w:rsidRPr="009F0E09" w:rsidP="006C27C7" w14:paraId="7796804C" w14:textId="77777777">
            <w:pPr>
              <w:jc w:val="center"/>
              <w:rPr>
                <w:rFonts w:ascii="Times New Roman" w:hAnsi="Times New Roman" w:cs="Times New Roman"/>
              </w:rPr>
            </w:pPr>
            <w:r w:rsidRPr="009F0E09">
              <w:rPr>
                <w:rFonts w:ascii="Times New Roman" w:hAnsi="Times New Roman" w:cs="Times New Roman"/>
              </w:rPr>
              <w:t>WPQQ227  </w:t>
            </w:r>
          </w:p>
        </w:tc>
        <w:tc>
          <w:tcPr>
            <w:tcW w:w="1482" w:type="dxa"/>
            <w:noWrap/>
            <w:hideMark/>
          </w:tcPr>
          <w:p w:rsidR="0051046E" w:rsidRPr="009F0E09" w:rsidP="006C27C7" w14:paraId="63C4DDBE" w14:textId="77777777">
            <w:pPr>
              <w:jc w:val="center"/>
              <w:rPr>
                <w:rFonts w:ascii="Times New Roman" w:hAnsi="Times New Roman" w:cs="Times New Roman"/>
              </w:rPr>
            </w:pPr>
            <w:r w:rsidRPr="009F0E09">
              <w:rPr>
                <w:rFonts w:ascii="Times New Roman" w:hAnsi="Times New Roman" w:cs="Times New Roman"/>
              </w:rPr>
              <w:t>BEA141 </w:t>
            </w:r>
          </w:p>
        </w:tc>
        <w:tc>
          <w:tcPr>
            <w:tcW w:w="5656" w:type="dxa"/>
            <w:noWrap/>
            <w:hideMark/>
          </w:tcPr>
          <w:p w:rsidR="0051046E" w:rsidRPr="009F0E09" w:rsidP="006C27C7" w14:paraId="127B9EDD" w14:textId="77777777">
            <w:pPr>
              <w:rPr>
                <w:rFonts w:ascii="Times New Roman" w:hAnsi="Times New Roman" w:cs="Times New Roman"/>
              </w:rPr>
            </w:pPr>
            <w:r w:rsidRPr="009F0E09">
              <w:rPr>
                <w:rFonts w:ascii="Times New Roman" w:hAnsi="Times New Roman" w:cs="Times New Roman"/>
              </w:rPr>
              <w:t>Denver-Boulder-Greeley, CO-KS-NE</w:t>
            </w:r>
          </w:p>
        </w:tc>
        <w:tc>
          <w:tcPr>
            <w:tcW w:w="1682" w:type="dxa"/>
            <w:noWrap/>
            <w:hideMark/>
          </w:tcPr>
          <w:p w:rsidR="0051046E" w:rsidRPr="009F0E09" w:rsidP="006C27C7" w14:paraId="2B8A39C9" w14:textId="77777777">
            <w:pPr>
              <w:jc w:val="center"/>
              <w:rPr>
                <w:rFonts w:ascii="Times New Roman" w:hAnsi="Times New Roman" w:cs="Times New Roman"/>
              </w:rPr>
            </w:pPr>
            <w:r w:rsidRPr="009F0E09">
              <w:rPr>
                <w:rFonts w:ascii="Times New Roman" w:hAnsi="Times New Roman" w:cs="Times New Roman"/>
              </w:rPr>
              <w:t>C  </w:t>
            </w:r>
          </w:p>
        </w:tc>
      </w:tr>
      <w:tr w14:paraId="1AA32A54" w14:textId="77777777" w:rsidTr="006C27C7">
        <w:tblPrEx>
          <w:tblW w:w="11250" w:type="dxa"/>
          <w:jc w:val="center"/>
          <w:tblLook w:val="04A0"/>
        </w:tblPrEx>
        <w:trPr>
          <w:trHeight w:val="300"/>
          <w:jc w:val="center"/>
        </w:trPr>
        <w:tc>
          <w:tcPr>
            <w:tcW w:w="1440" w:type="dxa"/>
            <w:noWrap/>
            <w:hideMark/>
          </w:tcPr>
          <w:p w:rsidR="0051046E" w:rsidRPr="009F0E09" w:rsidP="006C27C7" w14:paraId="1B6F7708" w14:textId="77777777">
            <w:pPr>
              <w:jc w:val="center"/>
              <w:rPr>
                <w:rFonts w:ascii="Times New Roman" w:hAnsi="Times New Roman" w:cs="Times New Roman"/>
              </w:rPr>
            </w:pPr>
            <w:r w:rsidRPr="009F0E09">
              <w:rPr>
                <w:rFonts w:ascii="Times New Roman" w:hAnsi="Times New Roman" w:cs="Times New Roman"/>
              </w:rPr>
              <w:t>0009048510  </w:t>
            </w:r>
          </w:p>
        </w:tc>
        <w:tc>
          <w:tcPr>
            <w:tcW w:w="990" w:type="dxa"/>
            <w:noWrap/>
            <w:hideMark/>
          </w:tcPr>
          <w:p w:rsidR="0051046E" w:rsidRPr="009F0E09" w:rsidP="006C27C7" w14:paraId="1E361FE3" w14:textId="77777777">
            <w:pPr>
              <w:jc w:val="center"/>
              <w:rPr>
                <w:rFonts w:ascii="Times New Roman" w:hAnsi="Times New Roman" w:cs="Times New Roman"/>
              </w:rPr>
            </w:pPr>
            <w:r w:rsidRPr="009F0E09">
              <w:rPr>
                <w:rFonts w:ascii="Times New Roman" w:hAnsi="Times New Roman" w:cs="Times New Roman"/>
              </w:rPr>
              <w:t>WPQQ242  </w:t>
            </w:r>
          </w:p>
        </w:tc>
        <w:tc>
          <w:tcPr>
            <w:tcW w:w="1482" w:type="dxa"/>
            <w:noWrap/>
            <w:hideMark/>
          </w:tcPr>
          <w:p w:rsidR="0051046E" w:rsidRPr="009F0E09" w:rsidP="006C27C7" w14:paraId="1D7200DD" w14:textId="77777777">
            <w:pPr>
              <w:jc w:val="center"/>
              <w:rPr>
                <w:rFonts w:ascii="Times New Roman" w:hAnsi="Times New Roman" w:cs="Times New Roman"/>
              </w:rPr>
            </w:pPr>
            <w:r w:rsidRPr="009F0E09">
              <w:rPr>
                <w:rFonts w:ascii="Times New Roman" w:hAnsi="Times New Roman" w:cs="Times New Roman"/>
              </w:rPr>
              <w:t>BEA158 </w:t>
            </w:r>
          </w:p>
        </w:tc>
        <w:tc>
          <w:tcPr>
            <w:tcW w:w="5656" w:type="dxa"/>
            <w:noWrap/>
            <w:hideMark/>
          </w:tcPr>
          <w:p w:rsidR="0051046E" w:rsidRPr="009F0E09" w:rsidP="006C27C7" w14:paraId="3997D702" w14:textId="77777777">
            <w:pPr>
              <w:rPr>
                <w:rFonts w:ascii="Times New Roman" w:hAnsi="Times New Roman" w:cs="Times New Roman"/>
              </w:rPr>
            </w:pPr>
            <w:r w:rsidRPr="009F0E09">
              <w:rPr>
                <w:rFonts w:ascii="Times New Roman" w:hAnsi="Times New Roman" w:cs="Times New Roman"/>
              </w:rPr>
              <w:t>Phoenix-Mesa, AZ-NM</w:t>
            </w:r>
          </w:p>
        </w:tc>
        <w:tc>
          <w:tcPr>
            <w:tcW w:w="1682" w:type="dxa"/>
            <w:noWrap/>
            <w:hideMark/>
          </w:tcPr>
          <w:p w:rsidR="0051046E" w:rsidRPr="009F0E09" w:rsidP="006C27C7" w14:paraId="11202E76" w14:textId="77777777">
            <w:pPr>
              <w:jc w:val="center"/>
              <w:rPr>
                <w:rFonts w:ascii="Times New Roman" w:hAnsi="Times New Roman" w:cs="Times New Roman"/>
              </w:rPr>
            </w:pPr>
            <w:r w:rsidRPr="009F0E09">
              <w:rPr>
                <w:rFonts w:ascii="Times New Roman" w:hAnsi="Times New Roman" w:cs="Times New Roman"/>
              </w:rPr>
              <w:t>B  </w:t>
            </w:r>
          </w:p>
        </w:tc>
      </w:tr>
      <w:tr w14:paraId="490FC112" w14:textId="77777777" w:rsidTr="006C27C7">
        <w:tblPrEx>
          <w:tblW w:w="11250" w:type="dxa"/>
          <w:jc w:val="center"/>
          <w:tblLook w:val="04A0"/>
        </w:tblPrEx>
        <w:trPr>
          <w:trHeight w:val="300"/>
          <w:jc w:val="center"/>
        </w:trPr>
        <w:tc>
          <w:tcPr>
            <w:tcW w:w="1440" w:type="dxa"/>
            <w:noWrap/>
            <w:hideMark/>
          </w:tcPr>
          <w:p w:rsidR="0051046E" w:rsidRPr="009F0E09" w:rsidP="006C27C7" w14:paraId="009B9A9B" w14:textId="77777777">
            <w:pPr>
              <w:jc w:val="center"/>
              <w:rPr>
                <w:rFonts w:ascii="Times New Roman" w:hAnsi="Times New Roman" w:cs="Times New Roman"/>
              </w:rPr>
            </w:pPr>
            <w:r w:rsidRPr="009F0E09">
              <w:rPr>
                <w:rFonts w:ascii="Times New Roman" w:hAnsi="Times New Roman" w:cs="Times New Roman"/>
              </w:rPr>
              <w:t>0009048511  </w:t>
            </w:r>
          </w:p>
        </w:tc>
        <w:tc>
          <w:tcPr>
            <w:tcW w:w="990" w:type="dxa"/>
            <w:noWrap/>
            <w:hideMark/>
          </w:tcPr>
          <w:p w:rsidR="0051046E" w:rsidRPr="009F0E09" w:rsidP="006C27C7" w14:paraId="6C86E7B9" w14:textId="77777777">
            <w:pPr>
              <w:jc w:val="center"/>
              <w:rPr>
                <w:rFonts w:ascii="Times New Roman" w:hAnsi="Times New Roman" w:cs="Times New Roman"/>
              </w:rPr>
            </w:pPr>
            <w:r w:rsidRPr="009F0E09">
              <w:rPr>
                <w:rFonts w:ascii="Times New Roman" w:hAnsi="Times New Roman" w:cs="Times New Roman"/>
              </w:rPr>
              <w:t>WPQQ243  </w:t>
            </w:r>
          </w:p>
        </w:tc>
        <w:tc>
          <w:tcPr>
            <w:tcW w:w="1482" w:type="dxa"/>
            <w:noWrap/>
            <w:hideMark/>
          </w:tcPr>
          <w:p w:rsidR="0051046E" w:rsidRPr="009F0E09" w:rsidP="006C27C7" w14:paraId="0E74A5FD" w14:textId="77777777">
            <w:pPr>
              <w:jc w:val="center"/>
              <w:rPr>
                <w:rFonts w:ascii="Times New Roman" w:hAnsi="Times New Roman" w:cs="Times New Roman"/>
              </w:rPr>
            </w:pPr>
            <w:r w:rsidRPr="009F0E09">
              <w:rPr>
                <w:rFonts w:ascii="Times New Roman" w:hAnsi="Times New Roman" w:cs="Times New Roman"/>
              </w:rPr>
              <w:t>BEA158 </w:t>
            </w:r>
          </w:p>
        </w:tc>
        <w:tc>
          <w:tcPr>
            <w:tcW w:w="5656" w:type="dxa"/>
            <w:noWrap/>
            <w:hideMark/>
          </w:tcPr>
          <w:p w:rsidR="0051046E" w:rsidRPr="009F0E09" w:rsidP="006C27C7" w14:paraId="2C108AA4" w14:textId="77777777">
            <w:pPr>
              <w:rPr>
                <w:rFonts w:ascii="Times New Roman" w:hAnsi="Times New Roman" w:cs="Times New Roman"/>
              </w:rPr>
            </w:pPr>
            <w:r w:rsidRPr="009F0E09">
              <w:rPr>
                <w:rFonts w:ascii="Times New Roman" w:hAnsi="Times New Roman" w:cs="Times New Roman"/>
              </w:rPr>
              <w:t>Phoenix-Mesa, AZ-NM</w:t>
            </w:r>
          </w:p>
        </w:tc>
        <w:tc>
          <w:tcPr>
            <w:tcW w:w="1682" w:type="dxa"/>
            <w:noWrap/>
            <w:hideMark/>
          </w:tcPr>
          <w:p w:rsidR="0051046E" w:rsidRPr="009F0E09" w:rsidP="006C27C7" w14:paraId="11A3841B" w14:textId="77777777">
            <w:pPr>
              <w:jc w:val="center"/>
              <w:rPr>
                <w:rFonts w:ascii="Times New Roman" w:hAnsi="Times New Roman" w:cs="Times New Roman"/>
              </w:rPr>
            </w:pPr>
            <w:r w:rsidRPr="009F0E09">
              <w:rPr>
                <w:rFonts w:ascii="Times New Roman" w:hAnsi="Times New Roman" w:cs="Times New Roman"/>
              </w:rPr>
              <w:t>C  </w:t>
            </w:r>
          </w:p>
        </w:tc>
      </w:tr>
      <w:tr w14:paraId="5B2A46FF" w14:textId="77777777" w:rsidTr="006C27C7">
        <w:tblPrEx>
          <w:tblW w:w="11250" w:type="dxa"/>
          <w:jc w:val="center"/>
          <w:tblLook w:val="04A0"/>
        </w:tblPrEx>
        <w:trPr>
          <w:trHeight w:val="300"/>
          <w:jc w:val="center"/>
        </w:trPr>
        <w:tc>
          <w:tcPr>
            <w:tcW w:w="1440" w:type="dxa"/>
            <w:noWrap/>
            <w:hideMark/>
          </w:tcPr>
          <w:p w:rsidR="0051046E" w:rsidRPr="009F0E09" w:rsidP="006C27C7" w14:paraId="7C6EB164" w14:textId="77777777">
            <w:pPr>
              <w:jc w:val="center"/>
              <w:rPr>
                <w:rFonts w:ascii="Times New Roman" w:hAnsi="Times New Roman" w:cs="Times New Roman"/>
              </w:rPr>
            </w:pPr>
            <w:r w:rsidRPr="009F0E09">
              <w:rPr>
                <w:rFonts w:ascii="Times New Roman" w:hAnsi="Times New Roman" w:cs="Times New Roman"/>
              </w:rPr>
              <w:t>0009048516  </w:t>
            </w:r>
          </w:p>
        </w:tc>
        <w:tc>
          <w:tcPr>
            <w:tcW w:w="990" w:type="dxa"/>
            <w:noWrap/>
            <w:hideMark/>
          </w:tcPr>
          <w:p w:rsidR="0051046E" w:rsidRPr="009F0E09" w:rsidP="006C27C7" w14:paraId="3D985213" w14:textId="77777777">
            <w:pPr>
              <w:jc w:val="center"/>
              <w:rPr>
                <w:rFonts w:ascii="Times New Roman" w:hAnsi="Times New Roman" w:cs="Times New Roman"/>
              </w:rPr>
            </w:pPr>
            <w:r w:rsidRPr="009F0E09">
              <w:rPr>
                <w:rFonts w:ascii="Times New Roman" w:hAnsi="Times New Roman" w:cs="Times New Roman"/>
              </w:rPr>
              <w:t>WPQQ246  </w:t>
            </w:r>
          </w:p>
        </w:tc>
        <w:tc>
          <w:tcPr>
            <w:tcW w:w="1482" w:type="dxa"/>
            <w:noWrap/>
            <w:hideMark/>
          </w:tcPr>
          <w:p w:rsidR="0051046E" w:rsidRPr="009F0E09" w:rsidP="006C27C7" w14:paraId="1791696A" w14:textId="77777777">
            <w:pPr>
              <w:jc w:val="center"/>
              <w:rPr>
                <w:rFonts w:ascii="Times New Roman" w:hAnsi="Times New Roman" w:cs="Times New Roman"/>
              </w:rPr>
            </w:pPr>
            <w:r w:rsidRPr="009F0E09">
              <w:rPr>
                <w:rFonts w:ascii="Times New Roman" w:hAnsi="Times New Roman" w:cs="Times New Roman"/>
              </w:rPr>
              <w:t>BEA160 </w:t>
            </w:r>
          </w:p>
        </w:tc>
        <w:tc>
          <w:tcPr>
            <w:tcW w:w="5656" w:type="dxa"/>
            <w:noWrap/>
            <w:hideMark/>
          </w:tcPr>
          <w:p w:rsidR="0051046E" w:rsidRPr="009F0E09" w:rsidP="006C27C7" w14:paraId="4085B810" w14:textId="77777777">
            <w:pPr>
              <w:rPr>
                <w:rFonts w:ascii="Times New Roman" w:hAnsi="Times New Roman" w:cs="Times New Roman"/>
              </w:rPr>
            </w:pPr>
            <w:r w:rsidRPr="009F0E09">
              <w:rPr>
                <w:rFonts w:ascii="Times New Roman" w:hAnsi="Times New Roman" w:cs="Times New Roman"/>
              </w:rPr>
              <w:t>Los Angeles-Riverside-Orange County, CA-AZ </w:t>
            </w:r>
          </w:p>
        </w:tc>
        <w:tc>
          <w:tcPr>
            <w:tcW w:w="1682" w:type="dxa"/>
            <w:noWrap/>
            <w:hideMark/>
          </w:tcPr>
          <w:p w:rsidR="0051046E" w:rsidRPr="009F0E09" w:rsidP="006C27C7" w14:paraId="64F30C43" w14:textId="77777777">
            <w:pPr>
              <w:jc w:val="center"/>
              <w:rPr>
                <w:rFonts w:ascii="Times New Roman" w:hAnsi="Times New Roman" w:cs="Times New Roman"/>
              </w:rPr>
            </w:pPr>
            <w:r w:rsidRPr="009F0E09">
              <w:rPr>
                <w:rFonts w:ascii="Times New Roman" w:hAnsi="Times New Roman" w:cs="Times New Roman"/>
              </w:rPr>
              <w:t>B  </w:t>
            </w:r>
          </w:p>
        </w:tc>
      </w:tr>
      <w:tr w14:paraId="275EFACC" w14:textId="77777777" w:rsidTr="006C27C7">
        <w:tblPrEx>
          <w:tblW w:w="11250" w:type="dxa"/>
          <w:jc w:val="center"/>
          <w:tblLook w:val="04A0"/>
        </w:tblPrEx>
        <w:trPr>
          <w:trHeight w:val="300"/>
          <w:jc w:val="center"/>
        </w:trPr>
        <w:tc>
          <w:tcPr>
            <w:tcW w:w="1440" w:type="dxa"/>
            <w:noWrap/>
            <w:hideMark/>
          </w:tcPr>
          <w:p w:rsidR="0051046E" w:rsidRPr="009F0E09" w:rsidP="006C27C7" w14:paraId="7FF28A9C" w14:textId="77777777">
            <w:pPr>
              <w:jc w:val="center"/>
              <w:rPr>
                <w:rFonts w:ascii="Times New Roman" w:hAnsi="Times New Roman" w:cs="Times New Roman"/>
              </w:rPr>
            </w:pPr>
            <w:r w:rsidRPr="009F0E09">
              <w:rPr>
                <w:rFonts w:ascii="Times New Roman" w:hAnsi="Times New Roman" w:cs="Times New Roman"/>
              </w:rPr>
              <w:t>0009048517  </w:t>
            </w:r>
          </w:p>
        </w:tc>
        <w:tc>
          <w:tcPr>
            <w:tcW w:w="990" w:type="dxa"/>
            <w:noWrap/>
            <w:hideMark/>
          </w:tcPr>
          <w:p w:rsidR="0051046E" w:rsidRPr="009F0E09" w:rsidP="006C27C7" w14:paraId="16BC8B0B" w14:textId="77777777">
            <w:pPr>
              <w:jc w:val="center"/>
              <w:rPr>
                <w:rFonts w:ascii="Times New Roman" w:hAnsi="Times New Roman" w:cs="Times New Roman"/>
              </w:rPr>
            </w:pPr>
            <w:r w:rsidRPr="009F0E09">
              <w:rPr>
                <w:rFonts w:ascii="Times New Roman" w:hAnsi="Times New Roman" w:cs="Times New Roman"/>
              </w:rPr>
              <w:t>WPQQ247  </w:t>
            </w:r>
          </w:p>
        </w:tc>
        <w:tc>
          <w:tcPr>
            <w:tcW w:w="1482" w:type="dxa"/>
            <w:noWrap/>
            <w:hideMark/>
          </w:tcPr>
          <w:p w:rsidR="0051046E" w:rsidRPr="009F0E09" w:rsidP="006C27C7" w14:paraId="5A2EEEF3" w14:textId="77777777">
            <w:pPr>
              <w:jc w:val="center"/>
              <w:rPr>
                <w:rFonts w:ascii="Times New Roman" w:hAnsi="Times New Roman" w:cs="Times New Roman"/>
              </w:rPr>
            </w:pPr>
            <w:r w:rsidRPr="009F0E09">
              <w:rPr>
                <w:rFonts w:ascii="Times New Roman" w:hAnsi="Times New Roman" w:cs="Times New Roman"/>
              </w:rPr>
              <w:t>BEA160 </w:t>
            </w:r>
          </w:p>
        </w:tc>
        <w:tc>
          <w:tcPr>
            <w:tcW w:w="5656" w:type="dxa"/>
            <w:noWrap/>
            <w:hideMark/>
          </w:tcPr>
          <w:p w:rsidR="0051046E" w:rsidRPr="009F0E09" w:rsidP="006C27C7" w14:paraId="5591C4D5" w14:textId="77777777">
            <w:pPr>
              <w:rPr>
                <w:rFonts w:ascii="Times New Roman" w:hAnsi="Times New Roman" w:cs="Times New Roman"/>
              </w:rPr>
            </w:pPr>
            <w:r w:rsidRPr="009F0E09">
              <w:rPr>
                <w:rFonts w:ascii="Times New Roman" w:hAnsi="Times New Roman" w:cs="Times New Roman"/>
              </w:rPr>
              <w:t>Los Angeles-Riverside-Orange County, CA-AZ </w:t>
            </w:r>
          </w:p>
        </w:tc>
        <w:tc>
          <w:tcPr>
            <w:tcW w:w="1682" w:type="dxa"/>
            <w:noWrap/>
            <w:hideMark/>
          </w:tcPr>
          <w:p w:rsidR="0051046E" w:rsidRPr="009F0E09" w:rsidP="006C27C7" w14:paraId="5438F013" w14:textId="77777777">
            <w:pPr>
              <w:jc w:val="center"/>
              <w:rPr>
                <w:rFonts w:ascii="Times New Roman" w:hAnsi="Times New Roman" w:cs="Times New Roman"/>
              </w:rPr>
            </w:pPr>
            <w:r w:rsidRPr="009F0E09">
              <w:rPr>
                <w:rFonts w:ascii="Times New Roman" w:hAnsi="Times New Roman" w:cs="Times New Roman"/>
              </w:rPr>
              <w:t>C  </w:t>
            </w:r>
          </w:p>
        </w:tc>
      </w:tr>
      <w:tr w14:paraId="647D7AD0" w14:textId="77777777" w:rsidTr="006C27C7">
        <w:tblPrEx>
          <w:tblW w:w="11250" w:type="dxa"/>
          <w:jc w:val="center"/>
          <w:tblLook w:val="04A0"/>
        </w:tblPrEx>
        <w:trPr>
          <w:trHeight w:val="300"/>
          <w:jc w:val="center"/>
        </w:trPr>
        <w:tc>
          <w:tcPr>
            <w:tcW w:w="1440" w:type="dxa"/>
            <w:noWrap/>
            <w:hideMark/>
          </w:tcPr>
          <w:p w:rsidR="0051046E" w:rsidRPr="009F0E09" w:rsidP="006C27C7" w14:paraId="01C81B30" w14:textId="77777777">
            <w:pPr>
              <w:jc w:val="center"/>
              <w:rPr>
                <w:rFonts w:ascii="Times New Roman" w:hAnsi="Times New Roman" w:cs="Times New Roman"/>
              </w:rPr>
            </w:pPr>
            <w:r w:rsidRPr="009F0E09">
              <w:rPr>
                <w:rFonts w:ascii="Times New Roman" w:hAnsi="Times New Roman" w:cs="Times New Roman"/>
              </w:rPr>
              <w:t>0009048522  </w:t>
            </w:r>
          </w:p>
        </w:tc>
        <w:tc>
          <w:tcPr>
            <w:tcW w:w="990" w:type="dxa"/>
            <w:noWrap/>
            <w:hideMark/>
          </w:tcPr>
          <w:p w:rsidR="0051046E" w:rsidRPr="009F0E09" w:rsidP="006C27C7" w14:paraId="74C7A0F4" w14:textId="77777777">
            <w:pPr>
              <w:jc w:val="center"/>
              <w:rPr>
                <w:rFonts w:ascii="Times New Roman" w:hAnsi="Times New Roman" w:cs="Times New Roman"/>
              </w:rPr>
            </w:pPr>
            <w:r w:rsidRPr="009F0E09">
              <w:rPr>
                <w:rFonts w:ascii="Times New Roman" w:hAnsi="Times New Roman" w:cs="Times New Roman"/>
              </w:rPr>
              <w:t>WPQQ248  </w:t>
            </w:r>
          </w:p>
        </w:tc>
        <w:tc>
          <w:tcPr>
            <w:tcW w:w="1482" w:type="dxa"/>
            <w:noWrap/>
            <w:hideMark/>
          </w:tcPr>
          <w:p w:rsidR="0051046E" w:rsidRPr="009F0E09" w:rsidP="006C27C7" w14:paraId="2976AA67" w14:textId="77777777">
            <w:pPr>
              <w:jc w:val="center"/>
              <w:rPr>
                <w:rFonts w:ascii="Times New Roman" w:hAnsi="Times New Roman" w:cs="Times New Roman"/>
              </w:rPr>
            </w:pPr>
            <w:r w:rsidRPr="009F0E09">
              <w:rPr>
                <w:rFonts w:ascii="Times New Roman" w:hAnsi="Times New Roman" w:cs="Times New Roman"/>
              </w:rPr>
              <w:t>BEA161 </w:t>
            </w:r>
          </w:p>
        </w:tc>
        <w:tc>
          <w:tcPr>
            <w:tcW w:w="5656" w:type="dxa"/>
            <w:noWrap/>
            <w:hideMark/>
          </w:tcPr>
          <w:p w:rsidR="0051046E" w:rsidRPr="009F0E09" w:rsidP="006C27C7" w14:paraId="48740244" w14:textId="77777777">
            <w:pPr>
              <w:rPr>
                <w:rFonts w:ascii="Times New Roman" w:hAnsi="Times New Roman" w:cs="Times New Roman"/>
              </w:rPr>
            </w:pPr>
            <w:r w:rsidRPr="009F0E09">
              <w:rPr>
                <w:rFonts w:ascii="Times New Roman" w:hAnsi="Times New Roman" w:cs="Times New Roman"/>
              </w:rPr>
              <w:t>San Diego, CA</w:t>
            </w:r>
          </w:p>
        </w:tc>
        <w:tc>
          <w:tcPr>
            <w:tcW w:w="1682" w:type="dxa"/>
            <w:noWrap/>
            <w:hideMark/>
          </w:tcPr>
          <w:p w:rsidR="0051046E" w:rsidRPr="009F0E09" w:rsidP="006C27C7" w14:paraId="2587C42B" w14:textId="77777777">
            <w:pPr>
              <w:jc w:val="center"/>
              <w:rPr>
                <w:rFonts w:ascii="Times New Roman" w:hAnsi="Times New Roman" w:cs="Times New Roman"/>
              </w:rPr>
            </w:pPr>
            <w:r w:rsidRPr="009F0E09">
              <w:rPr>
                <w:rFonts w:ascii="Times New Roman" w:hAnsi="Times New Roman" w:cs="Times New Roman"/>
              </w:rPr>
              <w:t>B  </w:t>
            </w:r>
          </w:p>
        </w:tc>
      </w:tr>
      <w:tr w14:paraId="64EBD131" w14:textId="77777777" w:rsidTr="006C27C7">
        <w:tblPrEx>
          <w:tblW w:w="11250" w:type="dxa"/>
          <w:jc w:val="center"/>
          <w:tblLook w:val="04A0"/>
        </w:tblPrEx>
        <w:trPr>
          <w:trHeight w:val="300"/>
          <w:jc w:val="center"/>
        </w:trPr>
        <w:tc>
          <w:tcPr>
            <w:tcW w:w="1440" w:type="dxa"/>
            <w:noWrap/>
            <w:hideMark/>
          </w:tcPr>
          <w:p w:rsidR="0051046E" w:rsidRPr="009F0E09" w:rsidP="006C27C7" w14:paraId="3CDD6B8F" w14:textId="77777777">
            <w:pPr>
              <w:jc w:val="center"/>
              <w:rPr>
                <w:rFonts w:ascii="Times New Roman" w:hAnsi="Times New Roman" w:cs="Times New Roman"/>
              </w:rPr>
            </w:pPr>
            <w:r w:rsidRPr="009F0E09">
              <w:rPr>
                <w:rFonts w:ascii="Times New Roman" w:hAnsi="Times New Roman" w:cs="Times New Roman"/>
              </w:rPr>
              <w:t>0009048523  </w:t>
            </w:r>
          </w:p>
        </w:tc>
        <w:tc>
          <w:tcPr>
            <w:tcW w:w="990" w:type="dxa"/>
            <w:noWrap/>
            <w:hideMark/>
          </w:tcPr>
          <w:p w:rsidR="0051046E" w:rsidRPr="009F0E09" w:rsidP="006C27C7" w14:paraId="1574194E" w14:textId="77777777">
            <w:pPr>
              <w:jc w:val="center"/>
              <w:rPr>
                <w:rFonts w:ascii="Times New Roman" w:hAnsi="Times New Roman" w:cs="Times New Roman"/>
              </w:rPr>
            </w:pPr>
            <w:r w:rsidRPr="009F0E09">
              <w:rPr>
                <w:rFonts w:ascii="Times New Roman" w:hAnsi="Times New Roman" w:cs="Times New Roman"/>
              </w:rPr>
              <w:t>WPQQ249  </w:t>
            </w:r>
          </w:p>
        </w:tc>
        <w:tc>
          <w:tcPr>
            <w:tcW w:w="1482" w:type="dxa"/>
            <w:noWrap/>
            <w:hideMark/>
          </w:tcPr>
          <w:p w:rsidR="0051046E" w:rsidRPr="009F0E09" w:rsidP="006C27C7" w14:paraId="21FB7C56" w14:textId="77777777">
            <w:pPr>
              <w:jc w:val="center"/>
              <w:rPr>
                <w:rFonts w:ascii="Times New Roman" w:hAnsi="Times New Roman" w:cs="Times New Roman"/>
              </w:rPr>
            </w:pPr>
            <w:r w:rsidRPr="009F0E09">
              <w:rPr>
                <w:rFonts w:ascii="Times New Roman" w:hAnsi="Times New Roman" w:cs="Times New Roman"/>
              </w:rPr>
              <w:t>BEA161 </w:t>
            </w:r>
          </w:p>
        </w:tc>
        <w:tc>
          <w:tcPr>
            <w:tcW w:w="5656" w:type="dxa"/>
            <w:noWrap/>
            <w:hideMark/>
          </w:tcPr>
          <w:p w:rsidR="0051046E" w:rsidRPr="009F0E09" w:rsidP="006C27C7" w14:paraId="47DDAF28" w14:textId="77777777">
            <w:pPr>
              <w:rPr>
                <w:rFonts w:ascii="Times New Roman" w:hAnsi="Times New Roman" w:cs="Times New Roman"/>
              </w:rPr>
            </w:pPr>
            <w:r w:rsidRPr="009F0E09">
              <w:rPr>
                <w:rFonts w:ascii="Times New Roman" w:hAnsi="Times New Roman" w:cs="Times New Roman"/>
              </w:rPr>
              <w:t>San Diego, CA</w:t>
            </w:r>
          </w:p>
        </w:tc>
        <w:tc>
          <w:tcPr>
            <w:tcW w:w="1682" w:type="dxa"/>
            <w:noWrap/>
            <w:hideMark/>
          </w:tcPr>
          <w:p w:rsidR="0051046E" w:rsidRPr="009F0E09" w:rsidP="006C27C7" w14:paraId="1E95690D" w14:textId="77777777">
            <w:pPr>
              <w:jc w:val="center"/>
              <w:rPr>
                <w:rFonts w:ascii="Times New Roman" w:hAnsi="Times New Roman" w:cs="Times New Roman"/>
              </w:rPr>
            </w:pPr>
            <w:r w:rsidRPr="009F0E09">
              <w:rPr>
                <w:rFonts w:ascii="Times New Roman" w:hAnsi="Times New Roman" w:cs="Times New Roman"/>
              </w:rPr>
              <w:t>C  </w:t>
            </w:r>
          </w:p>
        </w:tc>
      </w:tr>
      <w:tr w14:paraId="47F13C74" w14:textId="77777777" w:rsidTr="006C27C7">
        <w:tblPrEx>
          <w:tblW w:w="11250" w:type="dxa"/>
          <w:jc w:val="center"/>
          <w:tblLook w:val="04A0"/>
        </w:tblPrEx>
        <w:trPr>
          <w:trHeight w:val="300"/>
          <w:jc w:val="center"/>
        </w:trPr>
        <w:tc>
          <w:tcPr>
            <w:tcW w:w="1440" w:type="dxa"/>
            <w:noWrap/>
            <w:hideMark/>
          </w:tcPr>
          <w:p w:rsidR="0051046E" w:rsidRPr="009F0E09" w:rsidP="006C27C7" w14:paraId="45C52ADA" w14:textId="77777777">
            <w:pPr>
              <w:jc w:val="center"/>
              <w:rPr>
                <w:rFonts w:ascii="Times New Roman" w:hAnsi="Times New Roman" w:cs="Times New Roman"/>
              </w:rPr>
            </w:pPr>
            <w:r w:rsidRPr="009F0E09">
              <w:rPr>
                <w:rFonts w:ascii="Times New Roman" w:hAnsi="Times New Roman" w:cs="Times New Roman"/>
              </w:rPr>
              <w:t>0009048526  </w:t>
            </w:r>
          </w:p>
        </w:tc>
        <w:tc>
          <w:tcPr>
            <w:tcW w:w="990" w:type="dxa"/>
            <w:noWrap/>
            <w:hideMark/>
          </w:tcPr>
          <w:p w:rsidR="0051046E" w:rsidRPr="009F0E09" w:rsidP="006C27C7" w14:paraId="3809D62C" w14:textId="77777777">
            <w:pPr>
              <w:jc w:val="center"/>
              <w:rPr>
                <w:rFonts w:ascii="Times New Roman" w:hAnsi="Times New Roman" w:cs="Times New Roman"/>
              </w:rPr>
            </w:pPr>
            <w:r w:rsidRPr="009F0E09">
              <w:rPr>
                <w:rFonts w:ascii="Times New Roman" w:hAnsi="Times New Roman" w:cs="Times New Roman"/>
              </w:rPr>
              <w:t>WPQQ252  </w:t>
            </w:r>
          </w:p>
        </w:tc>
        <w:tc>
          <w:tcPr>
            <w:tcW w:w="1482" w:type="dxa"/>
            <w:noWrap/>
            <w:hideMark/>
          </w:tcPr>
          <w:p w:rsidR="0051046E" w:rsidRPr="009F0E09" w:rsidP="006C27C7" w14:paraId="6C6A1BD1" w14:textId="77777777">
            <w:pPr>
              <w:jc w:val="center"/>
              <w:rPr>
                <w:rFonts w:ascii="Times New Roman" w:hAnsi="Times New Roman" w:cs="Times New Roman"/>
              </w:rPr>
            </w:pPr>
            <w:r w:rsidRPr="009F0E09">
              <w:rPr>
                <w:rFonts w:ascii="Times New Roman" w:hAnsi="Times New Roman" w:cs="Times New Roman"/>
              </w:rPr>
              <w:t>BEA163 </w:t>
            </w:r>
          </w:p>
        </w:tc>
        <w:tc>
          <w:tcPr>
            <w:tcW w:w="5656" w:type="dxa"/>
            <w:noWrap/>
            <w:hideMark/>
          </w:tcPr>
          <w:p w:rsidR="0051046E" w:rsidRPr="009F0E09" w:rsidP="006C27C7" w14:paraId="3DBA05DB" w14:textId="77777777">
            <w:pPr>
              <w:rPr>
                <w:rFonts w:ascii="Times New Roman" w:hAnsi="Times New Roman" w:cs="Times New Roman"/>
              </w:rPr>
            </w:pPr>
            <w:r w:rsidRPr="009F0E09">
              <w:rPr>
                <w:rFonts w:ascii="Times New Roman" w:hAnsi="Times New Roman" w:cs="Times New Roman"/>
              </w:rPr>
              <w:t>San Francisco-Oakland-San Jose, CA</w:t>
            </w:r>
          </w:p>
        </w:tc>
        <w:tc>
          <w:tcPr>
            <w:tcW w:w="1682" w:type="dxa"/>
            <w:noWrap/>
            <w:hideMark/>
          </w:tcPr>
          <w:p w:rsidR="0051046E" w:rsidRPr="009F0E09" w:rsidP="006C27C7" w14:paraId="247F6FD0" w14:textId="77777777">
            <w:pPr>
              <w:jc w:val="center"/>
              <w:rPr>
                <w:rFonts w:ascii="Times New Roman" w:hAnsi="Times New Roman" w:cs="Times New Roman"/>
              </w:rPr>
            </w:pPr>
            <w:r w:rsidRPr="009F0E09">
              <w:rPr>
                <w:rFonts w:ascii="Times New Roman" w:hAnsi="Times New Roman" w:cs="Times New Roman"/>
              </w:rPr>
              <w:t>B  </w:t>
            </w:r>
          </w:p>
        </w:tc>
      </w:tr>
      <w:tr w14:paraId="767F60B0" w14:textId="77777777" w:rsidTr="006C27C7">
        <w:tblPrEx>
          <w:tblW w:w="11250" w:type="dxa"/>
          <w:jc w:val="center"/>
          <w:tblLook w:val="04A0"/>
        </w:tblPrEx>
        <w:trPr>
          <w:trHeight w:val="300"/>
          <w:jc w:val="center"/>
        </w:trPr>
        <w:tc>
          <w:tcPr>
            <w:tcW w:w="1440" w:type="dxa"/>
            <w:noWrap/>
            <w:hideMark/>
          </w:tcPr>
          <w:p w:rsidR="0051046E" w:rsidRPr="009F0E09" w:rsidP="006C27C7" w14:paraId="0CA90955" w14:textId="77777777">
            <w:pPr>
              <w:jc w:val="center"/>
              <w:rPr>
                <w:rFonts w:ascii="Times New Roman" w:hAnsi="Times New Roman" w:cs="Times New Roman"/>
              </w:rPr>
            </w:pPr>
            <w:r w:rsidRPr="009F0E09">
              <w:rPr>
                <w:rFonts w:ascii="Times New Roman" w:hAnsi="Times New Roman" w:cs="Times New Roman"/>
              </w:rPr>
              <w:t>0009048527  </w:t>
            </w:r>
          </w:p>
        </w:tc>
        <w:tc>
          <w:tcPr>
            <w:tcW w:w="990" w:type="dxa"/>
            <w:noWrap/>
            <w:hideMark/>
          </w:tcPr>
          <w:p w:rsidR="0051046E" w:rsidRPr="009F0E09" w:rsidP="006C27C7" w14:paraId="4BD7B787" w14:textId="77777777">
            <w:pPr>
              <w:jc w:val="center"/>
              <w:rPr>
                <w:rFonts w:ascii="Times New Roman" w:hAnsi="Times New Roman" w:cs="Times New Roman"/>
              </w:rPr>
            </w:pPr>
            <w:r w:rsidRPr="009F0E09">
              <w:rPr>
                <w:rFonts w:ascii="Times New Roman" w:hAnsi="Times New Roman" w:cs="Times New Roman"/>
              </w:rPr>
              <w:t>WPQQ253  </w:t>
            </w:r>
          </w:p>
        </w:tc>
        <w:tc>
          <w:tcPr>
            <w:tcW w:w="1482" w:type="dxa"/>
            <w:noWrap/>
            <w:hideMark/>
          </w:tcPr>
          <w:p w:rsidR="0051046E" w:rsidRPr="009F0E09" w:rsidP="006C27C7" w14:paraId="2DA891FB" w14:textId="77777777">
            <w:pPr>
              <w:jc w:val="center"/>
              <w:rPr>
                <w:rFonts w:ascii="Times New Roman" w:hAnsi="Times New Roman" w:cs="Times New Roman"/>
              </w:rPr>
            </w:pPr>
            <w:r w:rsidRPr="009F0E09">
              <w:rPr>
                <w:rFonts w:ascii="Times New Roman" w:hAnsi="Times New Roman" w:cs="Times New Roman"/>
              </w:rPr>
              <w:t>BEA163 </w:t>
            </w:r>
          </w:p>
        </w:tc>
        <w:tc>
          <w:tcPr>
            <w:tcW w:w="5656" w:type="dxa"/>
            <w:noWrap/>
            <w:hideMark/>
          </w:tcPr>
          <w:p w:rsidR="0051046E" w:rsidRPr="009F0E09" w:rsidP="006C27C7" w14:paraId="36F51F27" w14:textId="77777777">
            <w:pPr>
              <w:rPr>
                <w:rFonts w:ascii="Times New Roman" w:hAnsi="Times New Roman" w:cs="Times New Roman"/>
              </w:rPr>
            </w:pPr>
            <w:r w:rsidRPr="009F0E09">
              <w:rPr>
                <w:rFonts w:ascii="Times New Roman" w:hAnsi="Times New Roman" w:cs="Times New Roman"/>
              </w:rPr>
              <w:t>San Francisco-Oakland-San Jose, CA</w:t>
            </w:r>
          </w:p>
        </w:tc>
        <w:tc>
          <w:tcPr>
            <w:tcW w:w="1682" w:type="dxa"/>
            <w:noWrap/>
            <w:hideMark/>
          </w:tcPr>
          <w:p w:rsidR="0051046E" w:rsidRPr="009F0E09" w:rsidP="006C27C7" w14:paraId="74B8F441" w14:textId="77777777">
            <w:pPr>
              <w:jc w:val="center"/>
              <w:rPr>
                <w:rFonts w:ascii="Times New Roman" w:hAnsi="Times New Roman" w:cs="Times New Roman"/>
              </w:rPr>
            </w:pPr>
            <w:r w:rsidRPr="009F0E09">
              <w:rPr>
                <w:rFonts w:ascii="Times New Roman" w:hAnsi="Times New Roman" w:cs="Times New Roman"/>
              </w:rPr>
              <w:t>C  </w:t>
            </w:r>
          </w:p>
        </w:tc>
      </w:tr>
      <w:tr w14:paraId="6BBBFAB5" w14:textId="77777777" w:rsidTr="006C27C7">
        <w:tblPrEx>
          <w:tblW w:w="11250" w:type="dxa"/>
          <w:jc w:val="center"/>
          <w:tblLook w:val="04A0"/>
        </w:tblPrEx>
        <w:trPr>
          <w:trHeight w:val="300"/>
          <w:jc w:val="center"/>
        </w:trPr>
        <w:tc>
          <w:tcPr>
            <w:tcW w:w="1440" w:type="dxa"/>
            <w:noWrap/>
            <w:hideMark/>
          </w:tcPr>
          <w:p w:rsidR="0051046E" w:rsidRPr="009F0E09" w:rsidP="006C27C7" w14:paraId="0FAD428A" w14:textId="77777777">
            <w:pPr>
              <w:jc w:val="center"/>
              <w:rPr>
                <w:rFonts w:ascii="Times New Roman" w:hAnsi="Times New Roman" w:cs="Times New Roman"/>
              </w:rPr>
            </w:pPr>
            <w:r w:rsidRPr="009F0E09">
              <w:rPr>
                <w:rFonts w:ascii="Times New Roman" w:hAnsi="Times New Roman" w:cs="Times New Roman"/>
              </w:rPr>
              <w:t>0009048533  </w:t>
            </w:r>
          </w:p>
        </w:tc>
        <w:tc>
          <w:tcPr>
            <w:tcW w:w="990" w:type="dxa"/>
            <w:noWrap/>
            <w:hideMark/>
          </w:tcPr>
          <w:p w:rsidR="0051046E" w:rsidRPr="009F0E09" w:rsidP="006C27C7" w14:paraId="04DE72B1" w14:textId="77777777">
            <w:pPr>
              <w:jc w:val="center"/>
              <w:rPr>
                <w:rFonts w:ascii="Times New Roman" w:hAnsi="Times New Roman" w:cs="Times New Roman"/>
              </w:rPr>
            </w:pPr>
            <w:r w:rsidRPr="009F0E09">
              <w:rPr>
                <w:rFonts w:ascii="Times New Roman" w:hAnsi="Times New Roman" w:cs="Times New Roman"/>
              </w:rPr>
              <w:t>WPQQ257  </w:t>
            </w:r>
          </w:p>
        </w:tc>
        <w:tc>
          <w:tcPr>
            <w:tcW w:w="1482" w:type="dxa"/>
            <w:noWrap/>
            <w:hideMark/>
          </w:tcPr>
          <w:p w:rsidR="0051046E" w:rsidRPr="009F0E09" w:rsidP="006C27C7" w14:paraId="64E29982" w14:textId="77777777">
            <w:pPr>
              <w:jc w:val="center"/>
              <w:rPr>
                <w:rFonts w:ascii="Times New Roman" w:hAnsi="Times New Roman" w:cs="Times New Roman"/>
              </w:rPr>
            </w:pPr>
            <w:r w:rsidRPr="009F0E09">
              <w:rPr>
                <w:rFonts w:ascii="Times New Roman" w:hAnsi="Times New Roman" w:cs="Times New Roman"/>
              </w:rPr>
              <w:t>BEA167 </w:t>
            </w:r>
          </w:p>
        </w:tc>
        <w:tc>
          <w:tcPr>
            <w:tcW w:w="5656" w:type="dxa"/>
            <w:noWrap/>
            <w:hideMark/>
          </w:tcPr>
          <w:p w:rsidR="0051046E" w:rsidRPr="009F0E09" w:rsidP="006C27C7" w14:paraId="64280CAE" w14:textId="77777777">
            <w:pPr>
              <w:rPr>
                <w:rFonts w:ascii="Times New Roman" w:hAnsi="Times New Roman" w:cs="Times New Roman"/>
              </w:rPr>
            </w:pPr>
            <w:r w:rsidRPr="009F0E09">
              <w:rPr>
                <w:rFonts w:ascii="Times New Roman" w:hAnsi="Times New Roman" w:cs="Times New Roman"/>
              </w:rPr>
              <w:t>Portland-Salem, OR-WA</w:t>
            </w:r>
          </w:p>
        </w:tc>
        <w:tc>
          <w:tcPr>
            <w:tcW w:w="1682" w:type="dxa"/>
            <w:noWrap/>
            <w:hideMark/>
          </w:tcPr>
          <w:p w:rsidR="0051046E" w:rsidRPr="009F0E09" w:rsidP="006C27C7" w14:paraId="6F7B6419" w14:textId="77777777">
            <w:pPr>
              <w:jc w:val="center"/>
              <w:rPr>
                <w:rFonts w:ascii="Times New Roman" w:hAnsi="Times New Roman" w:cs="Times New Roman"/>
              </w:rPr>
            </w:pPr>
            <w:r w:rsidRPr="009F0E09">
              <w:rPr>
                <w:rFonts w:ascii="Times New Roman" w:hAnsi="Times New Roman" w:cs="Times New Roman"/>
              </w:rPr>
              <w:t>B  </w:t>
            </w:r>
          </w:p>
        </w:tc>
      </w:tr>
      <w:tr w14:paraId="4E3A21FD" w14:textId="77777777" w:rsidTr="006C27C7">
        <w:tblPrEx>
          <w:tblW w:w="11250" w:type="dxa"/>
          <w:jc w:val="center"/>
          <w:tblLook w:val="04A0"/>
        </w:tblPrEx>
        <w:trPr>
          <w:trHeight w:val="300"/>
          <w:jc w:val="center"/>
        </w:trPr>
        <w:tc>
          <w:tcPr>
            <w:tcW w:w="1440" w:type="dxa"/>
            <w:noWrap/>
            <w:hideMark/>
          </w:tcPr>
          <w:p w:rsidR="0051046E" w:rsidRPr="009F0E09" w:rsidP="006C27C7" w14:paraId="258DD3B0" w14:textId="77777777">
            <w:pPr>
              <w:jc w:val="center"/>
              <w:rPr>
                <w:rFonts w:ascii="Times New Roman" w:hAnsi="Times New Roman" w:cs="Times New Roman"/>
              </w:rPr>
            </w:pPr>
            <w:r w:rsidRPr="009F0E09">
              <w:rPr>
                <w:rFonts w:ascii="Times New Roman" w:hAnsi="Times New Roman" w:cs="Times New Roman"/>
              </w:rPr>
              <w:t>0009048534  </w:t>
            </w:r>
          </w:p>
        </w:tc>
        <w:tc>
          <w:tcPr>
            <w:tcW w:w="990" w:type="dxa"/>
            <w:noWrap/>
            <w:hideMark/>
          </w:tcPr>
          <w:p w:rsidR="0051046E" w:rsidRPr="009F0E09" w:rsidP="006C27C7" w14:paraId="4CFEC9FF" w14:textId="77777777">
            <w:pPr>
              <w:jc w:val="center"/>
              <w:rPr>
                <w:rFonts w:ascii="Times New Roman" w:hAnsi="Times New Roman" w:cs="Times New Roman"/>
              </w:rPr>
            </w:pPr>
            <w:r w:rsidRPr="009F0E09">
              <w:rPr>
                <w:rFonts w:ascii="Times New Roman" w:hAnsi="Times New Roman" w:cs="Times New Roman"/>
              </w:rPr>
              <w:t>WPQQ258  </w:t>
            </w:r>
          </w:p>
        </w:tc>
        <w:tc>
          <w:tcPr>
            <w:tcW w:w="1482" w:type="dxa"/>
            <w:noWrap/>
            <w:hideMark/>
          </w:tcPr>
          <w:p w:rsidR="0051046E" w:rsidRPr="009F0E09" w:rsidP="006C27C7" w14:paraId="65982B47" w14:textId="77777777">
            <w:pPr>
              <w:jc w:val="center"/>
              <w:rPr>
                <w:rFonts w:ascii="Times New Roman" w:hAnsi="Times New Roman" w:cs="Times New Roman"/>
              </w:rPr>
            </w:pPr>
            <w:r w:rsidRPr="009F0E09">
              <w:rPr>
                <w:rFonts w:ascii="Times New Roman" w:hAnsi="Times New Roman" w:cs="Times New Roman"/>
              </w:rPr>
              <w:t>BEA167 </w:t>
            </w:r>
          </w:p>
        </w:tc>
        <w:tc>
          <w:tcPr>
            <w:tcW w:w="5656" w:type="dxa"/>
            <w:noWrap/>
            <w:hideMark/>
          </w:tcPr>
          <w:p w:rsidR="0051046E" w:rsidRPr="009F0E09" w:rsidP="006C27C7" w14:paraId="19C1355C" w14:textId="77777777">
            <w:pPr>
              <w:rPr>
                <w:rFonts w:ascii="Times New Roman" w:hAnsi="Times New Roman" w:cs="Times New Roman"/>
              </w:rPr>
            </w:pPr>
            <w:r w:rsidRPr="009F0E09">
              <w:rPr>
                <w:rFonts w:ascii="Times New Roman" w:hAnsi="Times New Roman" w:cs="Times New Roman"/>
              </w:rPr>
              <w:t>Portland-Salem, OR-WA</w:t>
            </w:r>
          </w:p>
        </w:tc>
        <w:tc>
          <w:tcPr>
            <w:tcW w:w="1682" w:type="dxa"/>
            <w:noWrap/>
            <w:hideMark/>
          </w:tcPr>
          <w:p w:rsidR="0051046E" w:rsidRPr="009F0E09" w:rsidP="006C27C7" w14:paraId="2428D9D9" w14:textId="77777777">
            <w:pPr>
              <w:jc w:val="center"/>
              <w:rPr>
                <w:rFonts w:ascii="Times New Roman" w:hAnsi="Times New Roman" w:cs="Times New Roman"/>
              </w:rPr>
            </w:pPr>
            <w:r w:rsidRPr="009F0E09">
              <w:rPr>
                <w:rFonts w:ascii="Times New Roman" w:hAnsi="Times New Roman" w:cs="Times New Roman"/>
              </w:rPr>
              <w:t>C  </w:t>
            </w:r>
          </w:p>
        </w:tc>
      </w:tr>
      <w:tr w14:paraId="0ABB8F77" w14:textId="77777777" w:rsidTr="006C27C7">
        <w:tblPrEx>
          <w:tblW w:w="11250" w:type="dxa"/>
          <w:jc w:val="center"/>
          <w:tblLook w:val="04A0"/>
        </w:tblPrEx>
        <w:trPr>
          <w:trHeight w:val="300"/>
          <w:jc w:val="center"/>
        </w:trPr>
        <w:tc>
          <w:tcPr>
            <w:tcW w:w="1440" w:type="dxa"/>
            <w:noWrap/>
            <w:hideMark/>
          </w:tcPr>
          <w:p w:rsidR="0051046E" w:rsidRPr="009F0E09" w:rsidP="006C27C7" w14:paraId="2736BDAE" w14:textId="77777777">
            <w:pPr>
              <w:jc w:val="center"/>
              <w:rPr>
                <w:rFonts w:ascii="Times New Roman" w:hAnsi="Times New Roman" w:cs="Times New Roman"/>
              </w:rPr>
            </w:pPr>
            <w:r w:rsidRPr="009F0E09">
              <w:rPr>
                <w:rFonts w:ascii="Times New Roman" w:hAnsi="Times New Roman" w:cs="Times New Roman"/>
              </w:rPr>
              <w:t>0009048538  </w:t>
            </w:r>
          </w:p>
        </w:tc>
        <w:tc>
          <w:tcPr>
            <w:tcW w:w="990" w:type="dxa"/>
            <w:noWrap/>
            <w:hideMark/>
          </w:tcPr>
          <w:p w:rsidR="0051046E" w:rsidRPr="009F0E09" w:rsidP="006C27C7" w14:paraId="7A177CB9" w14:textId="77777777">
            <w:pPr>
              <w:jc w:val="center"/>
              <w:rPr>
                <w:rFonts w:ascii="Times New Roman" w:hAnsi="Times New Roman" w:cs="Times New Roman"/>
              </w:rPr>
            </w:pPr>
            <w:r w:rsidRPr="009F0E09">
              <w:rPr>
                <w:rFonts w:ascii="Times New Roman" w:hAnsi="Times New Roman" w:cs="Times New Roman"/>
              </w:rPr>
              <w:t>WPQQ261  </w:t>
            </w:r>
          </w:p>
        </w:tc>
        <w:tc>
          <w:tcPr>
            <w:tcW w:w="1482" w:type="dxa"/>
            <w:noWrap/>
            <w:hideMark/>
          </w:tcPr>
          <w:p w:rsidR="0051046E" w:rsidRPr="009F0E09" w:rsidP="006C27C7" w14:paraId="7218AE1B" w14:textId="77777777">
            <w:pPr>
              <w:jc w:val="center"/>
              <w:rPr>
                <w:rFonts w:ascii="Times New Roman" w:hAnsi="Times New Roman" w:cs="Times New Roman"/>
              </w:rPr>
            </w:pPr>
            <w:r w:rsidRPr="009F0E09">
              <w:rPr>
                <w:rFonts w:ascii="Times New Roman" w:hAnsi="Times New Roman" w:cs="Times New Roman"/>
              </w:rPr>
              <w:t>BEA170 </w:t>
            </w:r>
          </w:p>
        </w:tc>
        <w:tc>
          <w:tcPr>
            <w:tcW w:w="5656" w:type="dxa"/>
            <w:noWrap/>
            <w:hideMark/>
          </w:tcPr>
          <w:p w:rsidR="0051046E" w:rsidRPr="009F0E09" w:rsidP="006C27C7" w14:paraId="37DC270A" w14:textId="77777777">
            <w:pPr>
              <w:rPr>
                <w:rFonts w:ascii="Times New Roman" w:hAnsi="Times New Roman" w:cs="Times New Roman"/>
              </w:rPr>
            </w:pPr>
            <w:r w:rsidRPr="009F0E09">
              <w:rPr>
                <w:rFonts w:ascii="Times New Roman" w:hAnsi="Times New Roman" w:cs="Times New Roman"/>
              </w:rPr>
              <w:t>Seattle-Tacoma-Bremerton, WA</w:t>
            </w:r>
          </w:p>
        </w:tc>
        <w:tc>
          <w:tcPr>
            <w:tcW w:w="1682" w:type="dxa"/>
            <w:noWrap/>
            <w:hideMark/>
          </w:tcPr>
          <w:p w:rsidR="0051046E" w:rsidRPr="009F0E09" w:rsidP="006C27C7" w14:paraId="13D26D66" w14:textId="77777777">
            <w:pPr>
              <w:jc w:val="center"/>
              <w:rPr>
                <w:rFonts w:ascii="Times New Roman" w:hAnsi="Times New Roman" w:cs="Times New Roman"/>
              </w:rPr>
            </w:pPr>
            <w:r w:rsidRPr="009F0E09">
              <w:rPr>
                <w:rFonts w:ascii="Times New Roman" w:hAnsi="Times New Roman" w:cs="Times New Roman"/>
              </w:rPr>
              <w:t>B  </w:t>
            </w:r>
          </w:p>
        </w:tc>
      </w:tr>
      <w:tr w14:paraId="3FBA5617" w14:textId="77777777" w:rsidTr="006C27C7">
        <w:tblPrEx>
          <w:tblW w:w="11250" w:type="dxa"/>
          <w:jc w:val="center"/>
          <w:tblLook w:val="04A0"/>
        </w:tblPrEx>
        <w:trPr>
          <w:trHeight w:val="300"/>
          <w:jc w:val="center"/>
        </w:trPr>
        <w:tc>
          <w:tcPr>
            <w:tcW w:w="1440" w:type="dxa"/>
            <w:noWrap/>
            <w:hideMark/>
          </w:tcPr>
          <w:p w:rsidR="0051046E" w:rsidRPr="009F0E09" w:rsidP="006C27C7" w14:paraId="587B7E8D" w14:textId="77777777">
            <w:pPr>
              <w:jc w:val="center"/>
              <w:rPr>
                <w:rFonts w:ascii="Times New Roman" w:hAnsi="Times New Roman" w:cs="Times New Roman"/>
              </w:rPr>
            </w:pPr>
            <w:r w:rsidRPr="009F0E09">
              <w:rPr>
                <w:rFonts w:ascii="Times New Roman" w:hAnsi="Times New Roman" w:cs="Times New Roman"/>
              </w:rPr>
              <w:t>0009048539  </w:t>
            </w:r>
          </w:p>
        </w:tc>
        <w:tc>
          <w:tcPr>
            <w:tcW w:w="990" w:type="dxa"/>
            <w:noWrap/>
            <w:hideMark/>
          </w:tcPr>
          <w:p w:rsidR="0051046E" w:rsidRPr="009F0E09" w:rsidP="006C27C7" w14:paraId="14B2DB84" w14:textId="77777777">
            <w:pPr>
              <w:jc w:val="center"/>
              <w:rPr>
                <w:rFonts w:ascii="Times New Roman" w:hAnsi="Times New Roman" w:cs="Times New Roman"/>
              </w:rPr>
            </w:pPr>
            <w:r w:rsidRPr="009F0E09">
              <w:rPr>
                <w:rFonts w:ascii="Times New Roman" w:hAnsi="Times New Roman" w:cs="Times New Roman"/>
              </w:rPr>
              <w:t>WPQQ262  </w:t>
            </w:r>
          </w:p>
        </w:tc>
        <w:tc>
          <w:tcPr>
            <w:tcW w:w="1482" w:type="dxa"/>
            <w:noWrap/>
            <w:hideMark/>
          </w:tcPr>
          <w:p w:rsidR="0051046E" w:rsidRPr="009F0E09" w:rsidP="006C27C7" w14:paraId="2C9C06D5" w14:textId="77777777">
            <w:pPr>
              <w:jc w:val="center"/>
              <w:rPr>
                <w:rFonts w:ascii="Times New Roman" w:hAnsi="Times New Roman" w:cs="Times New Roman"/>
              </w:rPr>
            </w:pPr>
            <w:r w:rsidRPr="009F0E09">
              <w:rPr>
                <w:rFonts w:ascii="Times New Roman" w:hAnsi="Times New Roman" w:cs="Times New Roman"/>
              </w:rPr>
              <w:t>BEA170 </w:t>
            </w:r>
          </w:p>
        </w:tc>
        <w:tc>
          <w:tcPr>
            <w:tcW w:w="5656" w:type="dxa"/>
            <w:noWrap/>
            <w:hideMark/>
          </w:tcPr>
          <w:p w:rsidR="0051046E" w:rsidRPr="009F0E09" w:rsidP="006C27C7" w14:paraId="78BEF5D6" w14:textId="77777777">
            <w:pPr>
              <w:rPr>
                <w:rFonts w:ascii="Times New Roman" w:hAnsi="Times New Roman" w:cs="Times New Roman"/>
              </w:rPr>
            </w:pPr>
            <w:r w:rsidRPr="009F0E09">
              <w:rPr>
                <w:rFonts w:ascii="Times New Roman" w:hAnsi="Times New Roman" w:cs="Times New Roman"/>
              </w:rPr>
              <w:t>Seattle-Tacoma-Bremerton, WA</w:t>
            </w:r>
          </w:p>
        </w:tc>
        <w:tc>
          <w:tcPr>
            <w:tcW w:w="1682" w:type="dxa"/>
            <w:noWrap/>
            <w:hideMark/>
          </w:tcPr>
          <w:p w:rsidR="0051046E" w:rsidRPr="009F0E09" w:rsidP="006C27C7" w14:paraId="50EA187D" w14:textId="77777777">
            <w:pPr>
              <w:jc w:val="center"/>
              <w:rPr>
                <w:rFonts w:ascii="Times New Roman" w:hAnsi="Times New Roman" w:cs="Times New Roman"/>
              </w:rPr>
            </w:pPr>
            <w:r w:rsidRPr="009F0E09">
              <w:rPr>
                <w:rFonts w:ascii="Times New Roman" w:hAnsi="Times New Roman" w:cs="Times New Roman"/>
              </w:rPr>
              <w:t>C  </w:t>
            </w:r>
          </w:p>
        </w:tc>
      </w:tr>
    </w:tbl>
    <w:p w:rsidR="0051046E" w:rsidRPr="00C4143C" w:rsidP="0051046E" w14:paraId="6A8592A9" w14:textId="77777777">
      <w:pPr>
        <w:jc w:val="center"/>
      </w:pPr>
    </w:p>
    <w:p w:rsidR="0051046E" w:rsidP="0051046E" w14:paraId="21584339" w14:textId="77777777">
      <w:pPr>
        <w:jc w:val="center"/>
        <w:rPr>
          <w:b/>
          <w:bCs/>
        </w:rPr>
      </w:pPr>
    </w:p>
    <w:p w:rsidR="0051046E" w:rsidP="0051046E" w14:paraId="5217B5C7" w14:textId="77777777">
      <w:pPr>
        <w:jc w:val="center"/>
        <w:rPr>
          <w:b/>
          <w:bCs/>
        </w:rPr>
      </w:pPr>
    </w:p>
    <w:p w:rsidR="0051046E" w:rsidRPr="000A11C9" w:rsidP="0051046E" w14:paraId="72A5657D" w14:textId="77777777">
      <w:pPr>
        <w:jc w:val="center"/>
        <w:rPr>
          <w:b/>
          <w:bCs/>
        </w:rPr>
      </w:pPr>
    </w:p>
    <w:p w:rsidR="0051046E" w:rsidRPr="00131E73" w:rsidP="0051046E" w14:paraId="4E335037" w14:textId="77777777">
      <w:pPr>
        <w:pStyle w:val="ParaNum"/>
        <w:numPr>
          <w:ilvl w:val="0"/>
          <w:numId w:val="0"/>
        </w:numPr>
        <w:ind w:left="720"/>
      </w:pPr>
    </w:p>
    <w:p w:rsidR="00670D4D" w:rsidP="00670D4D" w14:paraId="0395609C" w14:textId="77777777">
      <w:pPr>
        <w:rPr>
          <w:b/>
          <w:bCs/>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F30D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4CB3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07944" w14:paraId="5D12C752" w14:textId="493CD4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9FC9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0929" w14:paraId="3615EED4" w14:textId="77777777">
      <w:r>
        <w:separator/>
      </w:r>
    </w:p>
  </w:footnote>
  <w:footnote w:type="continuationSeparator" w:id="1">
    <w:p w:rsidR="00470929" w:rsidP="00C721AC" w14:paraId="5257D7A7" w14:textId="77777777">
      <w:pPr>
        <w:spacing w:before="120"/>
        <w:rPr>
          <w:sz w:val="20"/>
        </w:rPr>
      </w:pPr>
      <w:r>
        <w:rPr>
          <w:sz w:val="20"/>
        </w:rPr>
        <w:t xml:space="preserve">(Continued from previous page)  </w:t>
      </w:r>
      <w:r>
        <w:rPr>
          <w:sz w:val="20"/>
        </w:rPr>
        <w:separator/>
      </w:r>
    </w:p>
  </w:footnote>
  <w:footnote w:type="continuationNotice" w:id="2">
    <w:p w:rsidR="00470929" w:rsidP="00C721AC" w14:paraId="04760922" w14:textId="77777777">
      <w:pPr>
        <w:jc w:val="right"/>
        <w:rPr>
          <w:sz w:val="20"/>
        </w:rPr>
      </w:pPr>
      <w:r>
        <w:rPr>
          <w:sz w:val="20"/>
        </w:rPr>
        <w:t>(continued….)</w:t>
      </w:r>
    </w:p>
  </w:footnote>
  <w:footnote w:id="3">
    <w:p w:rsidR="00CF2D00" w14:paraId="4063B2E3" w14:textId="3DB18E7D">
      <w:pPr>
        <w:pStyle w:val="FootnoteText"/>
      </w:pPr>
      <w:r>
        <w:rPr>
          <w:rStyle w:val="FootnoteReference"/>
        </w:rPr>
        <w:footnoteRef/>
      </w:r>
      <w:r>
        <w:t xml:space="preserve"> </w:t>
      </w:r>
      <w:r w:rsidRPr="001E0CEE" w:rsidR="00237078">
        <w:t xml:space="preserve">Progeny and </w:t>
      </w:r>
      <w:r w:rsidRPr="001E0CEE" w:rsidR="00237078">
        <w:t>NextNav</w:t>
      </w:r>
      <w:r w:rsidRPr="001E0CEE" w:rsidR="00237078">
        <w:t xml:space="preserve"> LLC are wholly</w:t>
      </w:r>
      <w:r w:rsidR="00B74BDC">
        <w:t xml:space="preserve"> </w:t>
      </w:r>
      <w:r w:rsidRPr="001E0CEE" w:rsidR="00237078">
        <w:t xml:space="preserve">owned subsidiaries of </w:t>
      </w:r>
      <w:r w:rsidRPr="001E0CEE" w:rsidR="00237078">
        <w:t>NextNav</w:t>
      </w:r>
      <w:r w:rsidRPr="001E0CEE" w:rsidR="00237078">
        <w:t xml:space="preserve"> Holdings LLC, previously named Progeny Holdings LLC.</w:t>
      </w:r>
    </w:p>
  </w:footnote>
  <w:footnote w:id="4">
    <w:p w:rsidR="00965AA8" w:rsidRPr="001E0CEE" w:rsidP="00965AA8" w14:paraId="0A655216" w14:textId="5EFBADE2">
      <w:pPr>
        <w:pStyle w:val="FootnoteText"/>
      </w:pPr>
      <w:r w:rsidRPr="001E0CEE">
        <w:rPr>
          <w:rStyle w:val="FootnoteReference"/>
        </w:rPr>
        <w:footnoteRef/>
      </w:r>
      <w:r w:rsidRPr="001E0CEE">
        <w:t xml:space="preserve"> 47 CFR § 90.155(d).  Pursuant to this rule, M-LMS licensees must construct and operate a sufficient number of base stations to serve one-third and two-thirds of an </w:t>
      </w:r>
      <w:r w:rsidR="006E346A">
        <w:t>Economic Area’s (</w:t>
      </w:r>
      <w:r w:rsidRPr="001E0CEE">
        <w:t>EA’s</w:t>
      </w:r>
      <w:r w:rsidR="006E346A">
        <w:t>)</w:t>
      </w:r>
      <w:r w:rsidRPr="001E0CEE">
        <w:t xml:space="preserve"> population within five and ten years of the initial license grant, respectively.  </w:t>
      </w:r>
      <w:r w:rsidRPr="001E0CEE">
        <w:rPr>
          <w:i/>
          <w:iCs/>
        </w:rPr>
        <w:t>Id</w:t>
      </w:r>
      <w:r w:rsidRPr="001E0CEE">
        <w:t xml:space="preserve">.  Alternatively, an M-LMS licensee may make a showing of substantial service for its license at the five- and ten-year benchmarks.  </w:t>
      </w:r>
      <w:r w:rsidRPr="001E0CEE">
        <w:rPr>
          <w:i/>
          <w:iCs/>
        </w:rPr>
        <w:t>Id.</w:t>
      </w:r>
      <w:r w:rsidRPr="001E0CEE">
        <w:t xml:space="preserve">  </w:t>
      </w:r>
      <w:r w:rsidR="00E95FC2">
        <w:t xml:space="preserve">An </w:t>
      </w:r>
      <w:r w:rsidRPr="001E0CEE">
        <w:t xml:space="preserve">M-LMS license will automatically terminate as of the construction deadline if the licensee fails to meet the construction requirement.  </w:t>
      </w:r>
      <w:r w:rsidRPr="001E0CEE">
        <w:rPr>
          <w:i/>
          <w:iCs/>
        </w:rPr>
        <w:t>See</w:t>
      </w:r>
      <w:r w:rsidRPr="001E0CEE">
        <w:t xml:space="preserve"> 47 CFR §§ 1.946(c), 1.955(a)(2).</w:t>
      </w:r>
    </w:p>
  </w:footnote>
  <w:footnote w:id="5">
    <w:p w:rsidR="00965AA8" w:rsidRPr="00E40765" w:rsidP="00036CA8" w14:paraId="6C0ABC94" w14:textId="3F2C52F5">
      <w:pPr>
        <w:spacing w:after="120"/>
        <w:rPr>
          <w:sz w:val="20"/>
        </w:rPr>
      </w:pPr>
      <w:r w:rsidRPr="00036CA8">
        <w:rPr>
          <w:rStyle w:val="FootnoteReference"/>
        </w:rPr>
        <w:footnoteRef/>
      </w:r>
      <w:r w:rsidRPr="00036CA8">
        <w:rPr>
          <w:sz w:val="20"/>
        </w:rPr>
        <w:t xml:space="preserve"> </w:t>
      </w:r>
      <w:r w:rsidRPr="00036CA8">
        <w:rPr>
          <w:i/>
          <w:iCs/>
          <w:color w:val="000000"/>
          <w:sz w:val="20"/>
        </w:rPr>
        <w:t>See</w:t>
      </w:r>
      <w:r w:rsidRPr="00036CA8">
        <w:rPr>
          <w:color w:val="000000"/>
          <w:sz w:val="20"/>
        </w:rPr>
        <w:t xml:space="preserve"> </w:t>
      </w:r>
      <w:r w:rsidRPr="00036CA8" w:rsidR="00036CA8">
        <w:rPr>
          <w:sz w:val="20"/>
        </w:rPr>
        <w:t>Progeny LMS, LLC’s Request for Waiver and Extension of Time, WT Docket No. 12-202 (filed Apr. 2, 2019) (</w:t>
      </w:r>
      <w:r w:rsidRPr="00CF6C1F" w:rsidR="00036CA8">
        <w:rPr>
          <w:sz w:val="20"/>
        </w:rPr>
        <w:t>Handset Waiver Request</w:t>
      </w:r>
      <w:r w:rsidRPr="00036CA8" w:rsidR="00036CA8">
        <w:rPr>
          <w:sz w:val="20"/>
        </w:rPr>
        <w:t>); Progeny LMS, LLC’s Further Request for Waiver and Extension of Time, WT Docket No. 12-202 (filed Sept. 17, 2020) (Second Construction Deadline Request); Progeny LMS, LLC’s Further Waiver Request, WT Docket No. 12-202 (filed Feb. 2, 2021) (Coverage Waiver Request); Progeny LMS, LLC’s Request for Waiver and Extension of Time, WT Docket No. 12-202 (filed Mar. 31, 2021) (Third Construction Deadline Request).</w:t>
      </w:r>
      <w:r w:rsidR="00E40765">
        <w:rPr>
          <w:sz w:val="20"/>
        </w:rPr>
        <w:t xml:space="preserve">  This Order </w:t>
      </w:r>
      <w:r w:rsidR="008859E7">
        <w:rPr>
          <w:sz w:val="20"/>
        </w:rPr>
        <w:t xml:space="preserve">does </w:t>
      </w:r>
      <w:r w:rsidR="00E40765">
        <w:rPr>
          <w:sz w:val="20"/>
        </w:rPr>
        <w:t xml:space="preserve">not address Progeny’s pending requests related to the two A-Block licenses that the Division declined to renew in its </w:t>
      </w:r>
      <w:r w:rsidR="00B96FDD">
        <w:rPr>
          <w:i/>
          <w:iCs/>
          <w:sz w:val="20"/>
        </w:rPr>
        <w:t>2017 Progeny</w:t>
      </w:r>
      <w:r w:rsidR="00E40765">
        <w:rPr>
          <w:i/>
          <w:iCs/>
          <w:sz w:val="20"/>
        </w:rPr>
        <w:t xml:space="preserve"> Order</w:t>
      </w:r>
      <w:r w:rsidR="00E40765">
        <w:rPr>
          <w:sz w:val="20"/>
        </w:rPr>
        <w:t>.  Progeny LMS, LLC</w:t>
      </w:r>
      <w:r w:rsidR="003A70CD">
        <w:rPr>
          <w:sz w:val="20"/>
        </w:rPr>
        <w:t>’s Petition for Reconsideration</w:t>
      </w:r>
      <w:r w:rsidR="00E40765">
        <w:rPr>
          <w:sz w:val="20"/>
        </w:rPr>
        <w:t xml:space="preserve">, WT Docket No. 12-202 (filed Feb. 16, 2017); Progeny LMS, LLC’s Petition for Modification of A Block M-LMS Licenses, WT Docket No. 12-202 (filed Apr. 4, 2018). </w:t>
      </w:r>
    </w:p>
  </w:footnote>
  <w:footnote w:id="6">
    <w:p w:rsidR="00965AA8" w:rsidRPr="00315F5B" w:rsidP="00965AA8" w14:paraId="72F16882" w14:textId="58A5E4EB">
      <w:pPr>
        <w:pStyle w:val="FootnoteText"/>
      </w:pPr>
      <w:r w:rsidRPr="00DE31EF">
        <w:rPr>
          <w:rStyle w:val="FootnoteReference"/>
        </w:rPr>
        <w:footnoteRef/>
      </w:r>
      <w:r w:rsidRPr="00DE31EF">
        <w:t xml:space="preserve"> </w:t>
      </w:r>
      <w:r w:rsidR="00315F5B">
        <w:t>Today</w:t>
      </w:r>
      <w:r w:rsidRPr="00DE31EF">
        <w:t xml:space="preserve">, we provide certain conditional relief </w:t>
      </w:r>
      <w:r w:rsidR="00315F5B">
        <w:t xml:space="preserve">for </w:t>
      </w:r>
      <w:r w:rsidR="00203676">
        <w:t xml:space="preserve">226 </w:t>
      </w:r>
      <w:r w:rsidR="00315F5B">
        <w:t>of</w:t>
      </w:r>
      <w:r w:rsidRPr="00DE31EF">
        <w:t xml:space="preserve"> Progeny’s B and C Block licenses previously authorized to commence commercial services.  </w:t>
      </w:r>
      <w:r w:rsidRPr="00315F5B">
        <w:rPr>
          <w:i/>
          <w:iCs/>
        </w:rPr>
        <w:t xml:space="preserve">See </w:t>
      </w:r>
      <w:r w:rsidR="00315F5B">
        <w:rPr>
          <w:i/>
          <w:iCs/>
        </w:rPr>
        <w:t xml:space="preserve">Request of Progeny LMS, LLC for Waiver and Limited Extension </w:t>
      </w:r>
      <w:r w:rsidRPr="00605071" w:rsidR="00315F5B">
        <w:rPr>
          <w:i/>
          <w:iCs/>
        </w:rPr>
        <w:t>of Time</w:t>
      </w:r>
      <w:r w:rsidR="00315F5B">
        <w:t xml:space="preserve">, WT Docket No. 12-202, Order, 32 FCC </w:t>
      </w:r>
      <w:r w:rsidR="00315F5B">
        <w:t>Rcd</w:t>
      </w:r>
      <w:r w:rsidR="00315F5B">
        <w:t xml:space="preserve"> 122, at </w:t>
      </w:r>
      <w:r w:rsidR="00315F5B">
        <w:t>Attachs</w:t>
      </w:r>
      <w:r w:rsidR="00315F5B">
        <w:t>. C, D, E (</w:t>
      </w:r>
      <w:r w:rsidR="0064447A">
        <w:t xml:space="preserve">WTB </w:t>
      </w:r>
      <w:r w:rsidR="00315F5B">
        <w:t>2017) (</w:t>
      </w:r>
      <w:r w:rsidRPr="00315F5B" w:rsidR="00315F5B">
        <w:rPr>
          <w:i/>
          <w:iCs/>
        </w:rPr>
        <w:t>2017</w:t>
      </w:r>
      <w:r w:rsidR="00315F5B">
        <w:rPr>
          <w:i/>
          <w:iCs/>
        </w:rPr>
        <w:t xml:space="preserve"> Progeny Order</w:t>
      </w:r>
      <w:r w:rsidR="00315F5B">
        <w:t xml:space="preserve">); </w:t>
      </w:r>
      <w:r w:rsidR="00315F5B">
        <w:rPr>
          <w:i/>
          <w:iCs/>
        </w:rPr>
        <w:t xml:space="preserve">see also </w:t>
      </w:r>
      <w:r w:rsidR="009D64FB">
        <w:rPr>
          <w:i/>
          <w:iCs/>
        </w:rPr>
        <w:t xml:space="preserve">infra </w:t>
      </w:r>
      <w:r w:rsidR="009D64FB">
        <w:t xml:space="preserve">at </w:t>
      </w:r>
      <w:r w:rsidR="00315F5B">
        <w:t>Attachs</w:t>
      </w:r>
      <w:r w:rsidR="00315F5B">
        <w:t>. A, B, C.</w:t>
      </w:r>
      <w:r w:rsidR="006C44D7">
        <w:t xml:space="preserve">  As discussed</w:t>
      </w:r>
      <w:r w:rsidR="006C44D7">
        <w:t xml:space="preserve"> </w:t>
      </w:r>
      <w:r w:rsidR="006C44D7">
        <w:t>below,</w:t>
      </w:r>
      <w:r w:rsidR="00A877E5">
        <w:t xml:space="preserve"> we categorize each group of licenses into</w:t>
      </w:r>
      <w:r w:rsidR="00AF5676">
        <w:t xml:space="preserve"> Group 1, 2, </w:t>
      </w:r>
      <w:r w:rsidR="001D534D">
        <w:t>or</w:t>
      </w:r>
      <w:r w:rsidR="00AF5676">
        <w:t xml:space="preserve"> 3</w:t>
      </w:r>
      <w:r w:rsidR="00A877E5">
        <w:t xml:space="preserve">:  (1) </w:t>
      </w:r>
      <w:r w:rsidR="005E7682">
        <w:t xml:space="preserve">42 </w:t>
      </w:r>
      <w:r w:rsidR="003C7E49">
        <w:t xml:space="preserve">EA licenses set forth in </w:t>
      </w:r>
      <w:r w:rsidRPr="008058CB" w:rsidR="003C7E49">
        <w:t xml:space="preserve">Attachment </w:t>
      </w:r>
      <w:r w:rsidR="003C7E49">
        <w:t>A</w:t>
      </w:r>
      <w:r w:rsidRPr="009707A5" w:rsidR="003C7E49">
        <w:t>,</w:t>
      </w:r>
      <w:r w:rsidR="003C7E49">
        <w:t xml:space="preserve"> corresponding to the top 25 most populous CMAs; (2) </w:t>
      </w:r>
      <w:r w:rsidR="005E7682">
        <w:t xml:space="preserve">40 </w:t>
      </w:r>
      <w:r w:rsidR="003C7E49">
        <w:t xml:space="preserve">EA licenses set forth </w:t>
      </w:r>
      <w:r w:rsidRPr="009707A5" w:rsidR="003C7E49">
        <w:t xml:space="preserve">in </w:t>
      </w:r>
      <w:r w:rsidRPr="008058CB" w:rsidR="003C7E49">
        <w:t xml:space="preserve">Attachment </w:t>
      </w:r>
      <w:r w:rsidR="0064209C">
        <w:t>B</w:t>
      </w:r>
      <w:r w:rsidRPr="009707A5" w:rsidR="003C7E49">
        <w:t>, corresponding</w:t>
      </w:r>
      <w:r w:rsidR="003C7E49">
        <w:t xml:space="preserve"> to the next 26-50 most populous CMAs; and (3) </w:t>
      </w:r>
      <w:r w:rsidR="005E7682">
        <w:t xml:space="preserve">144 </w:t>
      </w:r>
      <w:r w:rsidR="003C7E49">
        <w:t xml:space="preserve">EA licenses set forth in </w:t>
      </w:r>
      <w:r w:rsidRPr="008058CB" w:rsidR="003C7E49">
        <w:t xml:space="preserve">Attachment </w:t>
      </w:r>
      <w:r w:rsidR="00AE601A">
        <w:t>C</w:t>
      </w:r>
      <w:r w:rsidR="004D6B59">
        <w:t>,</w:t>
      </w:r>
      <w:r w:rsidRPr="00FA2388" w:rsidR="003C7E49">
        <w:t xml:space="preserve"> outside</w:t>
      </w:r>
      <w:r w:rsidR="003C7E49">
        <w:t xml:space="preserve"> of the top 50 CMAs.</w:t>
      </w:r>
    </w:p>
  </w:footnote>
  <w:footnote w:id="7">
    <w:p w:rsidR="00965AA8" w:rsidRPr="00DE31EF" w:rsidP="00DE31EF" w14:paraId="32432F0D" w14:textId="04525F5F">
      <w:pPr>
        <w:spacing w:after="120"/>
        <w:rPr>
          <w:sz w:val="20"/>
        </w:rPr>
      </w:pPr>
      <w:r w:rsidRPr="00DE31EF">
        <w:rPr>
          <w:rStyle w:val="FootnoteReference"/>
        </w:rPr>
        <w:footnoteRef/>
      </w:r>
      <w:r w:rsidRPr="00DE31EF">
        <w:rPr>
          <w:sz w:val="20"/>
        </w:rPr>
        <w:t xml:space="preserve"> </w:t>
      </w:r>
      <w:r w:rsidRPr="00DE31EF">
        <w:rPr>
          <w:i/>
          <w:iCs/>
          <w:sz w:val="20"/>
        </w:rPr>
        <w:t>See</w:t>
      </w:r>
      <w:r w:rsidRPr="00DE31EF">
        <w:rPr>
          <w:sz w:val="20"/>
        </w:rPr>
        <w:t xml:space="preserve"> </w:t>
      </w:r>
      <w:r w:rsidRPr="00DE31EF">
        <w:rPr>
          <w:i/>
          <w:sz w:val="20"/>
        </w:rPr>
        <w:t>Wireless E911 Location Accuracy Requirements</w:t>
      </w:r>
      <w:r w:rsidRPr="00DE31EF">
        <w:rPr>
          <w:sz w:val="20"/>
        </w:rPr>
        <w:t xml:space="preserve">, </w:t>
      </w:r>
      <w:r w:rsidRPr="00DE31EF" w:rsidR="000F7C4F">
        <w:rPr>
          <w:sz w:val="20"/>
        </w:rPr>
        <w:t xml:space="preserve">PS Docket No. 07-114, </w:t>
      </w:r>
      <w:r w:rsidRPr="00DE31EF">
        <w:rPr>
          <w:iCs/>
          <w:sz w:val="20"/>
        </w:rPr>
        <w:t>Fourth Report and Order</w:t>
      </w:r>
      <w:r w:rsidRPr="00DE31EF">
        <w:rPr>
          <w:sz w:val="20"/>
        </w:rPr>
        <w:t xml:space="preserve">, 30 FCC </w:t>
      </w:r>
      <w:r w:rsidRPr="00DE31EF">
        <w:rPr>
          <w:sz w:val="20"/>
        </w:rPr>
        <w:t>Rcd</w:t>
      </w:r>
      <w:r w:rsidRPr="00DE31EF">
        <w:rPr>
          <w:sz w:val="20"/>
        </w:rPr>
        <w:t xml:space="preserve"> 1259 (2015) (</w:t>
      </w:r>
      <w:r w:rsidRPr="00DE31EF" w:rsidR="005114EF">
        <w:rPr>
          <w:i/>
          <w:iCs/>
          <w:sz w:val="20"/>
        </w:rPr>
        <w:t>2015</w:t>
      </w:r>
      <w:r w:rsidR="0008638F">
        <w:rPr>
          <w:i/>
          <w:iCs/>
          <w:sz w:val="20"/>
        </w:rPr>
        <w:t xml:space="preserve"> Indoor </w:t>
      </w:r>
      <w:r w:rsidRPr="00DE31EF">
        <w:rPr>
          <w:i/>
          <w:iCs/>
          <w:sz w:val="20"/>
        </w:rPr>
        <w:t>Location Accuracy Order</w:t>
      </w:r>
      <w:r w:rsidRPr="00DE31EF">
        <w:rPr>
          <w:sz w:val="20"/>
        </w:rPr>
        <w:t>)</w:t>
      </w:r>
      <w:r w:rsidRPr="00DE31EF" w:rsidR="00DE31EF">
        <w:rPr>
          <w:sz w:val="20"/>
        </w:rPr>
        <w:t xml:space="preserve">; </w:t>
      </w:r>
      <w:r w:rsidRPr="00DE31EF" w:rsidR="00DE31EF">
        <w:rPr>
          <w:i/>
          <w:iCs/>
          <w:sz w:val="20"/>
        </w:rPr>
        <w:t>see also Wireless E911 Location Accuracy Requirements</w:t>
      </w:r>
      <w:r w:rsidRPr="00DE31EF" w:rsidR="00DE31EF">
        <w:rPr>
          <w:sz w:val="20"/>
        </w:rPr>
        <w:t xml:space="preserve">, PS Docket No. 07-114, Report and Order and Order on Reconsideration, 35 FCC </w:t>
      </w:r>
      <w:r w:rsidRPr="00DE31EF" w:rsidR="00DE31EF">
        <w:rPr>
          <w:sz w:val="20"/>
        </w:rPr>
        <w:t>Rcd</w:t>
      </w:r>
      <w:r w:rsidRPr="00DE31EF" w:rsidR="00DE31EF">
        <w:rPr>
          <w:sz w:val="20"/>
        </w:rPr>
        <w:t xml:space="preserve"> 7752 (2020) (</w:t>
      </w:r>
      <w:r w:rsidRPr="00DE31EF" w:rsidR="00DE31EF">
        <w:rPr>
          <w:i/>
          <w:iCs/>
          <w:sz w:val="20"/>
        </w:rPr>
        <w:t xml:space="preserve">2020 </w:t>
      </w:r>
      <w:r w:rsidR="0008638F">
        <w:rPr>
          <w:i/>
          <w:iCs/>
          <w:sz w:val="20"/>
        </w:rPr>
        <w:t xml:space="preserve">Indoor </w:t>
      </w:r>
      <w:r w:rsidRPr="00DE31EF" w:rsidR="00DE31EF">
        <w:rPr>
          <w:i/>
          <w:iCs/>
          <w:sz w:val="20"/>
        </w:rPr>
        <w:t>Location Accuracy Order</w:t>
      </w:r>
      <w:r w:rsidRPr="00DE31EF" w:rsidR="00DE31EF">
        <w:rPr>
          <w:sz w:val="20"/>
        </w:rPr>
        <w:t>).</w:t>
      </w:r>
    </w:p>
  </w:footnote>
  <w:footnote w:id="8">
    <w:p w:rsidR="00C138B3" w:rsidRPr="001E0CEE" w:rsidP="00C138B3" w14:paraId="349E6E45" w14:textId="74EDC3CF">
      <w:pPr>
        <w:pStyle w:val="FootnoteText"/>
        <w:rPr>
          <w:i/>
          <w:color w:val="000000"/>
        </w:rPr>
      </w:pPr>
      <w:r w:rsidRPr="001E0CEE">
        <w:rPr>
          <w:rStyle w:val="FootnoteReference"/>
          <w:color w:val="000000"/>
        </w:rPr>
        <w:footnoteRef/>
      </w:r>
      <w:r w:rsidRPr="001E0CEE">
        <w:rPr>
          <w:color w:val="000000"/>
        </w:rPr>
        <w:t xml:space="preserve"> </w:t>
      </w:r>
      <w:r w:rsidRPr="001E0CEE">
        <w:rPr>
          <w:i/>
          <w:color w:val="000000"/>
        </w:rPr>
        <w:t>Amendme</w:t>
      </w:r>
      <w:r>
        <w:rPr>
          <w:i/>
          <w:color w:val="000000"/>
        </w:rPr>
        <w:t>nt of Part 90 of the Commission’</w:t>
      </w:r>
      <w:r w:rsidRPr="001E0CEE">
        <w:rPr>
          <w:i/>
          <w:color w:val="000000"/>
        </w:rPr>
        <w:t>s Rules to Adopt Regulations for Automatic Vehicle Monitoring Systems</w:t>
      </w:r>
      <w:r w:rsidRPr="001E0CEE">
        <w:rPr>
          <w:color w:val="000000"/>
        </w:rPr>
        <w:t xml:space="preserve">, </w:t>
      </w:r>
      <w:r w:rsidRPr="001E0CEE">
        <w:rPr>
          <w:iCs/>
          <w:color w:val="000000"/>
        </w:rPr>
        <w:t>Report and Order</w:t>
      </w:r>
      <w:r w:rsidRPr="001E0CEE">
        <w:rPr>
          <w:color w:val="000000"/>
        </w:rPr>
        <w:t xml:space="preserve">, 10 FCC </w:t>
      </w:r>
      <w:r w:rsidRPr="001E0CEE">
        <w:rPr>
          <w:color w:val="000000"/>
        </w:rPr>
        <w:t>Rcd</w:t>
      </w:r>
      <w:r w:rsidRPr="001E0CEE">
        <w:rPr>
          <w:color w:val="000000"/>
        </w:rPr>
        <w:t xml:space="preserve"> 4695 (1995) (adopting rules encompassing the Automatic Vehicle Monitoring (AVM) service for which the Commission had adopted “interim” rules in 1974</w:t>
      </w:r>
      <w:r w:rsidR="0074632F">
        <w:rPr>
          <w:color w:val="000000"/>
        </w:rPr>
        <w:t xml:space="preserve">, and </w:t>
      </w:r>
      <w:r w:rsidR="0071427A">
        <w:rPr>
          <w:color w:val="000000"/>
        </w:rPr>
        <w:t xml:space="preserve">changing the name of the </w:t>
      </w:r>
      <w:r w:rsidR="00BC26F3">
        <w:rPr>
          <w:color w:val="000000"/>
        </w:rPr>
        <w:t>service from AVM to LMS</w:t>
      </w:r>
      <w:r w:rsidRPr="001E0CEE">
        <w:rPr>
          <w:color w:val="000000"/>
        </w:rPr>
        <w:t xml:space="preserve">).  M-LMS licensees are regulated under Part 90 of the Commission’s rules, which generally governs radio communications systems licensed and used in the Public Safety, Industrial/Business Radio Pool, and Radiolocation Radio Services, and </w:t>
      </w:r>
      <w:r w:rsidR="00236DDE">
        <w:rPr>
          <w:color w:val="000000"/>
        </w:rPr>
        <w:t xml:space="preserve">M-LMS licensees </w:t>
      </w:r>
      <w:r w:rsidRPr="001E0CEE">
        <w:rPr>
          <w:color w:val="000000"/>
        </w:rPr>
        <w:t xml:space="preserve">may provide any service consistent with the Commission’s rules and the licensee’s regulatory status.  </w:t>
      </w:r>
      <w:r w:rsidRPr="001E0CEE">
        <w:rPr>
          <w:i/>
          <w:iCs/>
          <w:color w:val="000000"/>
        </w:rPr>
        <w:t xml:space="preserve">See </w:t>
      </w:r>
      <w:r w:rsidRPr="001E0CEE">
        <w:rPr>
          <w:color w:val="000000"/>
        </w:rPr>
        <w:t xml:space="preserve">47 CFR § 90.1 </w:t>
      </w:r>
      <w:r w:rsidRPr="001E0CEE">
        <w:rPr>
          <w:i/>
          <w:iCs/>
          <w:color w:val="000000"/>
        </w:rPr>
        <w:t>et seq.</w:t>
      </w:r>
    </w:p>
  </w:footnote>
  <w:footnote w:id="9">
    <w:p w:rsidR="00C138B3" w:rsidRPr="001E0CEE" w:rsidP="00C138B3" w14:paraId="3CF926E8" w14:textId="77777777">
      <w:pPr>
        <w:pStyle w:val="FootnoteText"/>
        <w:rPr>
          <w:color w:val="000000"/>
        </w:rPr>
      </w:pPr>
      <w:r w:rsidRPr="001E0CEE">
        <w:rPr>
          <w:rStyle w:val="FootnoteReference"/>
          <w:color w:val="000000"/>
        </w:rPr>
        <w:footnoteRef/>
      </w:r>
      <w:r w:rsidRPr="001E0CEE">
        <w:rPr>
          <w:color w:val="000000"/>
        </w:rPr>
        <w:t xml:space="preserve"> 47 CFR §§ 2.106, 18.301, 18.11(c).</w:t>
      </w:r>
    </w:p>
  </w:footnote>
  <w:footnote w:id="10">
    <w:p w:rsidR="00C138B3" w:rsidRPr="001E0CEE" w:rsidP="00C138B3" w14:paraId="3D5663F4" w14:textId="77777777">
      <w:pPr>
        <w:pStyle w:val="FootnoteText"/>
        <w:rPr>
          <w:color w:val="000000"/>
        </w:rPr>
      </w:pPr>
      <w:r w:rsidRPr="001E0CEE">
        <w:rPr>
          <w:rStyle w:val="FootnoteReference"/>
          <w:color w:val="000000"/>
        </w:rPr>
        <w:footnoteRef/>
      </w:r>
      <w:r w:rsidRPr="001E0CEE">
        <w:rPr>
          <w:color w:val="000000"/>
        </w:rPr>
        <w:t xml:space="preserve"> 47 CFR § 90.353(a).</w:t>
      </w:r>
    </w:p>
  </w:footnote>
  <w:footnote w:id="11">
    <w:p w:rsidR="00AC631B" w:rsidRPr="001E0CEE" w:rsidP="00AC631B" w14:paraId="4D25A9BD" w14:textId="7D7233CA">
      <w:pPr>
        <w:pStyle w:val="FootnoteText"/>
      </w:pPr>
      <w:r w:rsidRPr="001E0CEE">
        <w:rPr>
          <w:rStyle w:val="FootnoteReference"/>
        </w:rPr>
        <w:footnoteRef/>
      </w:r>
      <w:r w:rsidRPr="001E0CEE">
        <w:t xml:space="preserve"> </w:t>
      </w:r>
      <w:r w:rsidRPr="001E0CEE">
        <w:rPr>
          <w:i/>
          <w:iCs/>
        </w:rPr>
        <w:t>See, e.g</w:t>
      </w:r>
      <w:r w:rsidRPr="001E0CEE">
        <w:t xml:space="preserve">., ULS File No. 0000006894 (lead call sign WPQP847); </w:t>
      </w:r>
      <w:r w:rsidRPr="001E0CEE">
        <w:rPr>
          <w:i/>
        </w:rPr>
        <w:t>see also</w:t>
      </w:r>
      <w:r w:rsidRPr="001E0CEE">
        <w:t xml:space="preserve"> </w:t>
      </w:r>
      <w:r w:rsidRPr="001E0CEE">
        <w:rPr>
          <w:i/>
        </w:rPr>
        <w:t>Wireless Telecommunications Bureau Grants 228 Location and Monitoring Service Licenses to Progeny LMS</w:t>
      </w:r>
      <w:r w:rsidRPr="001E0CEE">
        <w:t xml:space="preserve">, Public Notice, 15 FCC </w:t>
      </w:r>
      <w:r w:rsidRPr="001E0CEE">
        <w:t>Rcd</w:t>
      </w:r>
      <w:r w:rsidRPr="001E0CEE">
        <w:t xml:space="preserve"> 12807 (WTB 2000)</w:t>
      </w:r>
      <w:r w:rsidR="00C138B3">
        <w:t>.  T</w:t>
      </w:r>
      <w:r w:rsidRPr="001E0CEE" w:rsidR="00C138B3">
        <w:rPr>
          <w:color w:val="000000"/>
        </w:rPr>
        <w:t xml:space="preserve">he Commission auctioned M-LMS licenses in 1999 and 2001 in Auctions 21 and 39.  </w:t>
      </w:r>
      <w:r w:rsidRPr="001E0CEE" w:rsidR="00C138B3">
        <w:rPr>
          <w:i/>
          <w:iCs/>
          <w:color w:val="000000"/>
        </w:rPr>
        <w:t>See</w:t>
      </w:r>
      <w:r w:rsidRPr="001E0CEE" w:rsidR="00C138B3">
        <w:rPr>
          <w:color w:val="000000"/>
        </w:rPr>
        <w:t xml:space="preserve"> </w:t>
      </w:r>
      <w:r w:rsidRPr="001E0CEE" w:rsidR="00C138B3">
        <w:rPr>
          <w:i/>
          <w:color w:val="000000"/>
        </w:rPr>
        <w:t xml:space="preserve">Location and Monitoring Service Auction Closes, Winning Bidders in the Auction of 528 </w:t>
      </w:r>
      <w:r w:rsidRPr="001E0CEE" w:rsidR="00C138B3">
        <w:rPr>
          <w:i/>
          <w:color w:val="000000"/>
        </w:rPr>
        <w:t>Multilateration</w:t>
      </w:r>
      <w:r w:rsidRPr="001E0CEE" w:rsidR="00C138B3">
        <w:rPr>
          <w:i/>
          <w:color w:val="000000"/>
        </w:rPr>
        <w:t xml:space="preserve"> Licenses in the </w:t>
      </w:r>
      <w:hyperlink r:id="rId1" w:history="1">
        <w:r w:rsidRPr="001E0CEE" w:rsidR="00C138B3">
          <w:rPr>
            <w:i/>
            <w:color w:val="000000"/>
          </w:rPr>
          <w:t>Location</w:t>
        </w:r>
        <w:r w:rsidRPr="001E0CEE" w:rsidR="00C138B3">
          <w:rPr>
            <w:color w:val="000000"/>
          </w:rPr>
          <w:t xml:space="preserve"> </w:t>
        </w:r>
        <w:r w:rsidRPr="001E0CEE" w:rsidR="00C138B3">
          <w:rPr>
            <w:i/>
            <w:color w:val="000000"/>
          </w:rPr>
          <w:t>and Monitoring Service</w:t>
        </w:r>
        <w:r w:rsidRPr="001E0CEE" w:rsidR="00C138B3">
          <w:rPr>
            <w:color w:val="000000"/>
          </w:rPr>
          <w:t xml:space="preserve">, </w:t>
        </w:r>
        <w:r w:rsidRPr="001E0CEE" w:rsidR="00C138B3">
          <w:rPr>
            <w:iCs/>
            <w:color w:val="000000"/>
          </w:rPr>
          <w:t>Public Notice</w:t>
        </w:r>
        <w:r w:rsidRPr="001E0CEE" w:rsidR="00C138B3">
          <w:rPr>
            <w:i/>
            <w:iCs/>
            <w:color w:val="000000"/>
          </w:rPr>
          <w:t>,</w:t>
        </w:r>
        <w:r w:rsidRPr="001E0CEE" w:rsidR="00C138B3">
          <w:rPr>
            <w:color w:val="000000"/>
          </w:rPr>
          <w:t xml:space="preserve"> 14 FCC </w:t>
        </w:r>
        <w:r w:rsidRPr="001E0CEE" w:rsidR="00C138B3">
          <w:rPr>
            <w:color w:val="000000"/>
          </w:rPr>
          <w:t>Rcd</w:t>
        </w:r>
        <w:r w:rsidRPr="001E0CEE" w:rsidR="00C138B3">
          <w:rPr>
            <w:color w:val="000000"/>
          </w:rPr>
          <w:t xml:space="preserve"> 3754 (1999)</w:t>
        </w:r>
      </w:hyperlink>
      <w:r w:rsidRPr="001E0CEE" w:rsidR="00C138B3">
        <w:rPr>
          <w:color w:val="000000"/>
        </w:rPr>
        <w:t xml:space="preserve">; </w:t>
      </w:r>
      <w:r w:rsidRPr="001E0CEE" w:rsidR="00C138B3">
        <w:rPr>
          <w:i/>
          <w:color w:val="000000"/>
        </w:rPr>
        <w:t>Public Coast and Location and Monitoring Service Spectrum Auction Closes, Winning Bidders Announced</w:t>
      </w:r>
      <w:r w:rsidRPr="001E0CEE" w:rsidR="00C138B3">
        <w:rPr>
          <w:color w:val="000000"/>
        </w:rPr>
        <w:t xml:space="preserve">, </w:t>
      </w:r>
      <w:hyperlink r:id="rId2" w:history="1">
        <w:r w:rsidRPr="001E0CEE" w:rsidR="00C138B3">
          <w:rPr>
            <w:iCs/>
            <w:color w:val="000000"/>
          </w:rPr>
          <w:t>Public Notice</w:t>
        </w:r>
        <w:r w:rsidRPr="001E0CEE" w:rsidR="00C138B3">
          <w:rPr>
            <w:color w:val="000000"/>
          </w:rPr>
          <w:t xml:space="preserve">, 16 FCC </w:t>
        </w:r>
        <w:r w:rsidRPr="001E0CEE" w:rsidR="00C138B3">
          <w:rPr>
            <w:color w:val="000000"/>
          </w:rPr>
          <w:t>Rcd</w:t>
        </w:r>
        <w:r w:rsidRPr="001E0CEE" w:rsidR="00C138B3">
          <w:rPr>
            <w:color w:val="000000"/>
          </w:rPr>
          <w:t xml:space="preserve"> 12509 (2001)</w:t>
        </w:r>
      </w:hyperlink>
      <w:r w:rsidRPr="001E0CEE" w:rsidR="00C138B3">
        <w:rPr>
          <w:color w:val="000000"/>
        </w:rPr>
        <w:t xml:space="preserve">.  </w:t>
      </w:r>
    </w:p>
  </w:footnote>
  <w:footnote w:id="12">
    <w:p w:rsidR="00AC631B" w:rsidRPr="001E0CEE" w:rsidP="00AC631B" w14:paraId="0CF68D0C" w14:textId="42EA1C24">
      <w:pPr>
        <w:pStyle w:val="FootnoteText"/>
      </w:pPr>
      <w:r w:rsidRPr="001E0CEE">
        <w:rPr>
          <w:rStyle w:val="FootnoteReference"/>
        </w:rPr>
        <w:footnoteRef/>
      </w:r>
      <w:r w:rsidRPr="001E0CEE">
        <w:t xml:space="preserve"> </w:t>
      </w:r>
      <w:r w:rsidRPr="001E0CEE">
        <w:rPr>
          <w:i/>
        </w:rPr>
        <w:t xml:space="preserve">Request of Progeny LMS, LLC for a Three-Year Extension of the Five-Year Construction Requirement for its </w:t>
      </w:r>
      <w:r w:rsidRPr="001E0CEE">
        <w:rPr>
          <w:i/>
        </w:rPr>
        <w:t>Multilateration</w:t>
      </w:r>
      <w:r w:rsidRPr="001E0CEE">
        <w:rPr>
          <w:i/>
        </w:rPr>
        <w:t xml:space="preserve"> Location and Monitoring Services Economic Area Licenses</w:t>
      </w:r>
      <w:r w:rsidRPr="001E0CEE">
        <w:t xml:space="preserve">, </w:t>
      </w:r>
      <w:r w:rsidRPr="001E0CEE">
        <w:rPr>
          <w:iCs/>
        </w:rPr>
        <w:t>Memorandum Opinion and Order</w:t>
      </w:r>
      <w:r w:rsidRPr="00DC5A97">
        <w:t>,</w:t>
      </w:r>
      <w:r w:rsidRPr="001E0CEE">
        <w:rPr>
          <w:i/>
          <w:iCs/>
        </w:rPr>
        <w:t xml:space="preserve"> </w:t>
      </w:r>
      <w:r w:rsidRPr="001E0CEE">
        <w:t xml:space="preserve">21 FCC </w:t>
      </w:r>
      <w:r w:rsidRPr="001E0CEE">
        <w:t>Rcd</w:t>
      </w:r>
      <w:r w:rsidRPr="001E0CEE">
        <w:t xml:space="preserve"> 5928, 5931-32, paras. 12-13 (WTB 2006)</w:t>
      </w:r>
      <w:r w:rsidR="00844069">
        <w:t xml:space="preserve">; </w:t>
      </w:r>
      <w:r w:rsidR="00844069">
        <w:rPr>
          <w:i/>
          <w:iCs/>
        </w:rPr>
        <w:t>s</w:t>
      </w:r>
      <w:r w:rsidRPr="001E0CEE" w:rsidR="00844069">
        <w:rPr>
          <w:i/>
          <w:iCs/>
        </w:rPr>
        <w:t>ee</w:t>
      </w:r>
      <w:r w:rsidR="00844069">
        <w:rPr>
          <w:i/>
          <w:iCs/>
        </w:rPr>
        <w:t xml:space="preserve"> also</w:t>
      </w:r>
      <w:r w:rsidRPr="001E0CEE" w:rsidR="00844069">
        <w:rPr>
          <w:i/>
          <w:iCs/>
        </w:rPr>
        <w:t xml:space="preserve"> </w:t>
      </w:r>
      <w:r w:rsidRPr="001E0CEE" w:rsidR="00844069">
        <w:t>Request of Progeny LMS, LLC for Limited Waiver of Construction Requirements, ULS File Nos. 0002049041-0002094297 (filed Feb. 15, 2005).</w:t>
      </w:r>
    </w:p>
  </w:footnote>
  <w:footnote w:id="13">
    <w:p w:rsidR="00AC631B" w:rsidRPr="001E0CEE" w:rsidP="00AC631B" w14:paraId="7C49634D" w14:textId="59AD47F1">
      <w:pPr>
        <w:pStyle w:val="FootnoteText"/>
      </w:pPr>
      <w:r w:rsidRPr="001E0CEE">
        <w:rPr>
          <w:rStyle w:val="FootnoteReference"/>
        </w:rPr>
        <w:footnoteRef/>
      </w:r>
      <w:r w:rsidRPr="001E0CEE">
        <w:rPr>
          <w:i/>
          <w:iCs/>
        </w:rPr>
        <w:t xml:space="preserve"> </w:t>
      </w:r>
      <w:r w:rsidRPr="001E0CEE">
        <w:t xml:space="preserve">The Bureau afforded the same relief to all other M-LMS licensees.  </w:t>
      </w:r>
      <w:r w:rsidRPr="001E0CEE">
        <w:rPr>
          <w:i/>
          <w:iCs/>
        </w:rPr>
        <w:t xml:space="preserve">See </w:t>
      </w:r>
      <w:r w:rsidRPr="001E0CEE">
        <w:rPr>
          <w:i/>
        </w:rPr>
        <w:t xml:space="preserve">Requests of Progeny LMS, LLC and PCS Partners, L.P. for Waiver of </w:t>
      </w:r>
      <w:r w:rsidRPr="001E0CEE">
        <w:rPr>
          <w:i/>
        </w:rPr>
        <w:t>Multilateration</w:t>
      </w:r>
      <w:r w:rsidRPr="001E0CEE">
        <w:rPr>
          <w:i/>
        </w:rPr>
        <w:t xml:space="preserve"> Location and Monitoring Service Construction Rules</w:t>
      </w:r>
      <w:r w:rsidRPr="001E0CEE">
        <w:t xml:space="preserve">, </w:t>
      </w:r>
      <w:r w:rsidR="00F717BC">
        <w:t xml:space="preserve">WT Docket No. 08-60, </w:t>
      </w:r>
      <w:r w:rsidRPr="001E0CEE">
        <w:rPr>
          <w:iCs/>
        </w:rPr>
        <w:t>Order</w:t>
      </w:r>
      <w:r w:rsidRPr="001E0CEE">
        <w:rPr>
          <w:i/>
          <w:iCs/>
        </w:rPr>
        <w:t xml:space="preserve">, </w:t>
      </w:r>
      <w:r w:rsidRPr="001E0CEE">
        <w:rPr>
          <w:color w:val="000000"/>
        </w:rPr>
        <w:t xml:space="preserve">23 FCC </w:t>
      </w:r>
      <w:r w:rsidRPr="001E0CEE">
        <w:rPr>
          <w:color w:val="000000"/>
        </w:rPr>
        <w:t>Rcd</w:t>
      </w:r>
      <w:r w:rsidRPr="001E0CEE">
        <w:rPr>
          <w:color w:val="000000"/>
        </w:rPr>
        <w:t xml:space="preserve"> 17250 (WTB 2008) (</w:t>
      </w:r>
      <w:r w:rsidRPr="001E0CEE">
        <w:rPr>
          <w:i/>
          <w:iCs/>
          <w:color w:val="000000"/>
        </w:rPr>
        <w:t>LMS Extension Order</w:t>
      </w:r>
      <w:r w:rsidRPr="001E0CEE">
        <w:rPr>
          <w:color w:val="000000"/>
        </w:rPr>
        <w:t>)</w:t>
      </w:r>
      <w:r w:rsidR="000F4843">
        <w:rPr>
          <w:color w:val="000000"/>
        </w:rPr>
        <w:t xml:space="preserve">; </w:t>
      </w:r>
      <w:r w:rsidR="000F4843">
        <w:rPr>
          <w:i/>
          <w:iCs/>
        </w:rPr>
        <w:t>s</w:t>
      </w:r>
      <w:r w:rsidRPr="001E0CEE" w:rsidR="000F4843">
        <w:rPr>
          <w:i/>
          <w:iCs/>
        </w:rPr>
        <w:t xml:space="preserve">ee </w:t>
      </w:r>
      <w:r w:rsidRPr="001E0CEE" w:rsidR="000F4843">
        <w:t>Request of Progeny LMS, LLC for Waiver and Limited Extension of Time, ULS File Nos. 0003422772-0003423231 (filed May 1, 2008).</w:t>
      </w:r>
    </w:p>
  </w:footnote>
  <w:footnote w:id="14">
    <w:p w:rsidR="00AC631B" w:rsidRPr="001E0CEE" w:rsidP="00AC631B" w14:paraId="26736F92" w14:textId="1FA0F444">
      <w:pPr>
        <w:pStyle w:val="FootnoteText"/>
      </w:pPr>
      <w:r w:rsidRPr="001E0CEE">
        <w:rPr>
          <w:rStyle w:val="FootnoteReference"/>
        </w:rPr>
        <w:footnoteRef/>
      </w:r>
      <w:r w:rsidRPr="001E0CEE">
        <w:t xml:space="preserve"> </w:t>
      </w:r>
      <w:r w:rsidRPr="001E0CEE">
        <w:rPr>
          <w:i/>
          <w:iCs/>
        </w:rPr>
        <w:t>LMS Extension Order</w:t>
      </w:r>
      <w:r w:rsidRPr="001E0CEE">
        <w:rPr>
          <w:iCs/>
        </w:rPr>
        <w:t xml:space="preserve">, 23 FCC </w:t>
      </w:r>
      <w:r w:rsidRPr="001E0CEE">
        <w:rPr>
          <w:iCs/>
        </w:rPr>
        <w:t>Rcd</w:t>
      </w:r>
      <w:r w:rsidRPr="001E0CEE">
        <w:rPr>
          <w:i/>
          <w:iCs/>
        </w:rPr>
        <w:t xml:space="preserve"> </w:t>
      </w:r>
      <w:r w:rsidRPr="001E0CEE">
        <w:t>at 17257-58, para. 22.</w:t>
      </w:r>
      <w:r w:rsidR="007B500A">
        <w:t xml:space="preserve">  The Bureau acknowledged that the pending M-LMS rulemaking, initiated in 2006, created regulatory uncertainty for M-LMS licensees that may have contributed to a lack of M-LMS equipment development and service</w:t>
      </w:r>
      <w:r w:rsidRPr="2B6A6910" w:rsidR="007B500A">
        <w:t xml:space="preserve"> </w:t>
      </w:r>
      <w:r w:rsidR="007B500A">
        <w:t xml:space="preserve">deployment.  </w:t>
      </w:r>
      <w:r w:rsidRPr="001E0CEE" w:rsidR="007B500A">
        <w:rPr>
          <w:i/>
          <w:iCs/>
        </w:rPr>
        <w:t>Id.</w:t>
      </w:r>
      <w:r w:rsidR="006A64B1">
        <w:t xml:space="preserve">; </w:t>
      </w:r>
      <w:r w:rsidR="006A64B1">
        <w:rPr>
          <w:i/>
          <w:iCs/>
        </w:rPr>
        <w:t>s</w:t>
      </w:r>
      <w:r w:rsidRPr="001E0CEE" w:rsidR="007B500A">
        <w:rPr>
          <w:i/>
          <w:iCs/>
        </w:rPr>
        <w:t xml:space="preserve">ee also </w:t>
      </w:r>
      <w:r w:rsidRPr="001E0CEE" w:rsidR="007B500A">
        <w:rPr>
          <w:i/>
        </w:rPr>
        <w:t>Amendment of the Commission’s Part 90 Rules in the 904-909.75 and 919.75-928 MHz Bands</w:t>
      </w:r>
      <w:r w:rsidRPr="001E0CEE" w:rsidR="007B500A">
        <w:t xml:space="preserve">, </w:t>
      </w:r>
      <w:r w:rsidR="000E2CF4">
        <w:t xml:space="preserve">WT Docket No. 06-49, </w:t>
      </w:r>
      <w:r w:rsidRPr="001E0CEE" w:rsidR="007B500A">
        <w:rPr>
          <w:iCs/>
        </w:rPr>
        <w:t>Notice of Proposed Rulemaking</w:t>
      </w:r>
      <w:r w:rsidRPr="001E0CEE" w:rsidR="007B500A">
        <w:rPr>
          <w:i/>
          <w:iCs/>
        </w:rPr>
        <w:t xml:space="preserve">, </w:t>
      </w:r>
      <w:r w:rsidRPr="001E0CEE" w:rsidR="007B500A">
        <w:t xml:space="preserve">21 FCC </w:t>
      </w:r>
      <w:r w:rsidRPr="001E0CEE" w:rsidR="007B500A">
        <w:t>Rcd</w:t>
      </w:r>
      <w:r w:rsidRPr="001E0CEE" w:rsidR="007B500A">
        <w:t xml:space="preserve"> 2809 (2006) (</w:t>
      </w:r>
      <w:r w:rsidRPr="001E0CEE" w:rsidR="007B500A">
        <w:rPr>
          <w:i/>
          <w:iCs/>
        </w:rPr>
        <w:t>M-LMS NPRM</w:t>
      </w:r>
      <w:r w:rsidRPr="001E0CEE" w:rsidR="007B500A">
        <w:t>).</w:t>
      </w:r>
    </w:p>
  </w:footnote>
  <w:footnote w:id="15">
    <w:p w:rsidR="00AC631B" w:rsidRPr="001E0CEE" w:rsidP="00AC631B" w14:paraId="53D2FDE6" w14:textId="77777777">
      <w:pPr>
        <w:pStyle w:val="FootnoteText"/>
      </w:pPr>
      <w:r w:rsidRPr="001E0CEE">
        <w:rPr>
          <w:rStyle w:val="FootnoteReference"/>
        </w:rPr>
        <w:footnoteRef/>
      </w:r>
      <w:r w:rsidRPr="001E0CEE">
        <w:t xml:space="preserve"> </w:t>
      </w:r>
      <w:r w:rsidRPr="001E0CEE">
        <w:rPr>
          <w:i/>
          <w:iCs/>
        </w:rPr>
        <w:t>LMS Extension Order</w:t>
      </w:r>
      <w:r w:rsidRPr="00807944">
        <w:t>,</w:t>
      </w:r>
      <w:r w:rsidRPr="001E0CEE">
        <w:t xml:space="preserve"> 23 FCC </w:t>
      </w:r>
      <w:r w:rsidRPr="001E0CEE">
        <w:t>Rcd</w:t>
      </w:r>
      <w:r w:rsidRPr="001E0CEE">
        <w:t xml:space="preserve"> at 17260, para. 30.</w:t>
      </w:r>
    </w:p>
  </w:footnote>
  <w:footnote w:id="16">
    <w:p w:rsidR="00BB7095" w:rsidRPr="001E0CEE" w:rsidP="00BB7095" w14:paraId="070D95A9" w14:textId="77777777">
      <w:pPr>
        <w:pStyle w:val="FootnoteText"/>
        <w:rPr>
          <w:lang w:val="it-IT"/>
        </w:rPr>
      </w:pPr>
      <w:r w:rsidRPr="001E0CEE">
        <w:rPr>
          <w:rStyle w:val="FootnoteReference"/>
        </w:rPr>
        <w:footnoteRef/>
      </w:r>
      <w:r w:rsidRPr="001E0CEE">
        <w:rPr>
          <w:lang w:val="it-IT"/>
        </w:rPr>
        <w:t xml:space="preserve"> 47 CFR § 90.155(e).</w:t>
      </w:r>
    </w:p>
  </w:footnote>
  <w:footnote w:id="17">
    <w:p w:rsidR="00BB7095" w:rsidRPr="001E0CEE" w:rsidP="00BB7095" w14:paraId="2F3336C8" w14:textId="735C6986">
      <w:pPr>
        <w:pStyle w:val="FootnoteText"/>
      </w:pPr>
      <w:r w:rsidRPr="001E0CEE">
        <w:rPr>
          <w:rStyle w:val="FootnoteReference"/>
        </w:rPr>
        <w:footnoteRef/>
      </w:r>
      <w:r w:rsidRPr="001E0CEE">
        <w:t xml:space="preserve"> </w:t>
      </w:r>
      <w:r w:rsidRPr="001E0CEE">
        <w:rPr>
          <w:i/>
          <w:iCs/>
        </w:rPr>
        <w:t xml:space="preserve">See </w:t>
      </w:r>
      <w:r w:rsidRPr="001E0CEE">
        <w:rPr>
          <w:i/>
        </w:rPr>
        <w:t xml:space="preserve">Request by Progeny LMS, LLC for Waiver of Certain </w:t>
      </w:r>
      <w:r w:rsidRPr="001E0CEE">
        <w:rPr>
          <w:i/>
        </w:rPr>
        <w:t>Multilateration</w:t>
      </w:r>
      <w:r w:rsidRPr="001E0CEE">
        <w:rPr>
          <w:i/>
        </w:rPr>
        <w:t xml:space="preserve"> Location and Monitoring Service Rules</w:t>
      </w:r>
      <w:r w:rsidRPr="00807944">
        <w:t xml:space="preserve">, </w:t>
      </w:r>
      <w:r w:rsidRPr="001E0CEE">
        <w:t xml:space="preserve">WT Docket No. 11-49, </w:t>
      </w:r>
      <w:r w:rsidRPr="001E0CEE">
        <w:rPr>
          <w:iCs/>
        </w:rPr>
        <w:t>Order</w:t>
      </w:r>
      <w:r w:rsidRPr="00807944">
        <w:t>,</w:t>
      </w:r>
      <w:r w:rsidRPr="001E0CEE">
        <w:rPr>
          <w:i/>
          <w:iCs/>
        </w:rPr>
        <w:t xml:space="preserve"> </w:t>
      </w:r>
      <w:r w:rsidRPr="001E0CEE">
        <w:t xml:space="preserve">26 FCC </w:t>
      </w:r>
      <w:r w:rsidRPr="001E0CEE">
        <w:t>Rcd</w:t>
      </w:r>
      <w:r w:rsidRPr="001E0CEE">
        <w:t xml:space="preserve"> 16878</w:t>
      </w:r>
      <w:r>
        <w:t>, at 16884, para. 14</w:t>
      </w:r>
      <w:r w:rsidRPr="001E0CEE">
        <w:t xml:space="preserve"> (WTB/OET 2011) (</w:t>
      </w:r>
      <w:r w:rsidRPr="001E0CEE">
        <w:rPr>
          <w:i/>
          <w:iCs/>
        </w:rPr>
        <w:t>Progeny Limited Waiver Order</w:t>
      </w:r>
      <w:r w:rsidRPr="001E0CEE">
        <w:t xml:space="preserve">). </w:t>
      </w:r>
    </w:p>
  </w:footnote>
  <w:footnote w:id="18">
    <w:p w:rsidR="00BB7095" w:rsidRPr="001E0CEE" w:rsidP="00BB7095" w14:paraId="1D3636E5" w14:textId="77777777">
      <w:pPr>
        <w:pStyle w:val="FootnoteText"/>
        <w:rPr>
          <w:lang w:val="it-IT"/>
        </w:rPr>
      </w:pPr>
      <w:r w:rsidRPr="001E0CEE">
        <w:rPr>
          <w:rStyle w:val="FootnoteReference"/>
        </w:rPr>
        <w:footnoteRef/>
      </w:r>
      <w:r w:rsidRPr="001E0CEE">
        <w:rPr>
          <w:lang w:val="it-IT"/>
        </w:rPr>
        <w:t xml:space="preserve"> </w:t>
      </w:r>
      <w:r w:rsidRPr="001E0CEE">
        <w:rPr>
          <w:i/>
          <w:iCs/>
          <w:lang w:val="it-IT"/>
        </w:rPr>
        <w:t>Id.</w:t>
      </w:r>
      <w:r w:rsidRPr="001E0CEE">
        <w:t xml:space="preserve"> at 16886, para.</w:t>
      </w:r>
      <w:r w:rsidRPr="001E0CEE">
        <w:rPr>
          <w:lang w:val="it-IT"/>
        </w:rPr>
        <w:t xml:space="preserve"> 22; 47 CFR § 90.353(g).</w:t>
      </w:r>
    </w:p>
  </w:footnote>
  <w:footnote w:id="19">
    <w:p w:rsidR="00BB7095" w:rsidRPr="001E0CEE" w:rsidP="00BB7095" w14:paraId="43E4ADD5" w14:textId="240C654B">
      <w:pPr>
        <w:pStyle w:val="FootnoteText"/>
      </w:pPr>
      <w:r w:rsidRPr="001E0CEE">
        <w:rPr>
          <w:rStyle w:val="FootnoteReference"/>
        </w:rPr>
        <w:footnoteRef/>
      </w:r>
      <w:r w:rsidRPr="001E0CEE">
        <w:t xml:space="preserve"> </w:t>
      </w:r>
      <w:r w:rsidRPr="001E0CEE">
        <w:rPr>
          <w:iCs/>
        </w:rPr>
        <w:t>47 CFR § 90.353(g).</w:t>
      </w:r>
    </w:p>
  </w:footnote>
  <w:footnote w:id="20">
    <w:p w:rsidR="00107372" w14:paraId="319E54D2" w14:textId="2035E493">
      <w:pPr>
        <w:pStyle w:val="FootnoteText"/>
      </w:pPr>
      <w:r>
        <w:rPr>
          <w:rStyle w:val="FootnoteReference"/>
        </w:rPr>
        <w:footnoteRef/>
      </w:r>
      <w:r>
        <w:t xml:space="preserve"> </w:t>
      </w:r>
      <w:r w:rsidRPr="001E0CEE">
        <w:rPr>
          <w:i/>
          <w:iCs/>
        </w:rPr>
        <w:t>Progeny Limited Waiver Order</w:t>
      </w:r>
      <w:r w:rsidRPr="001E0CEE">
        <w:t xml:space="preserve">, 26 FCC </w:t>
      </w:r>
      <w:r w:rsidRPr="001E0CEE">
        <w:t>Rcd</w:t>
      </w:r>
      <w:r w:rsidRPr="001E0CEE">
        <w:t xml:space="preserve"> at 16889-90, paras. 29, 35.  On January 27, 2012, Progeny filed the required Part 15 testing report.  </w:t>
      </w:r>
      <w:r w:rsidRPr="001E0CEE">
        <w:rPr>
          <w:i/>
          <w:iCs/>
        </w:rPr>
        <w:t xml:space="preserve">See </w:t>
      </w:r>
      <w:r w:rsidRPr="001E0CEE">
        <w:t xml:space="preserve">Part 15 Test Report &amp; M-LMS Network Description filed by Progeny, WT Docket No. 11-49 (filed Jan. 27, 2012).  On October 31, 2012, Progeny filed three additional separate reports.  </w:t>
      </w:r>
      <w:r w:rsidRPr="001E0CEE">
        <w:rPr>
          <w:i/>
          <w:iCs/>
        </w:rPr>
        <w:t>See</w:t>
      </w:r>
      <w:r>
        <w:rPr>
          <w:i/>
          <w:iCs/>
        </w:rPr>
        <w:t xml:space="preserve"> generally</w:t>
      </w:r>
      <w:r w:rsidRPr="001E0CEE">
        <w:rPr>
          <w:i/>
          <w:iCs/>
        </w:rPr>
        <w:t xml:space="preserve"> </w:t>
      </w:r>
      <w:r w:rsidRPr="001E0CEE">
        <w:t xml:space="preserve">Letter from Bruce A. Olcott, Counsel to Progeny LMS, LLC, and Laura Stefani, Counsel for </w:t>
      </w:r>
      <w:r w:rsidRPr="001E0CEE">
        <w:t>Itron</w:t>
      </w:r>
      <w:r w:rsidRPr="001E0CEE">
        <w:t>, to Marlene H. Dortch, Secretary, Federal Communications Commission  (Oct. 31, 2012)</w:t>
      </w:r>
      <w:r>
        <w:t>.</w:t>
      </w:r>
    </w:p>
  </w:footnote>
  <w:footnote w:id="21">
    <w:p w:rsidR="0071706C" w:rsidRPr="001E0CEE" w:rsidP="0071706C" w14:paraId="20D4B254" w14:textId="77777777">
      <w:pPr>
        <w:pStyle w:val="FootnoteText"/>
      </w:pPr>
      <w:r w:rsidRPr="001E0CEE">
        <w:rPr>
          <w:rStyle w:val="FootnoteReference"/>
        </w:rPr>
        <w:footnoteRef/>
      </w:r>
      <w:r w:rsidRPr="001E0CEE">
        <w:t xml:space="preserve"> </w:t>
      </w:r>
      <w:r w:rsidRPr="001E0CEE">
        <w:rPr>
          <w:i/>
          <w:iCs/>
        </w:rPr>
        <w:t>Progeny Limited Waiver Order</w:t>
      </w:r>
      <w:r w:rsidRPr="00AD5B55">
        <w:t>,</w:t>
      </w:r>
      <w:r w:rsidRPr="001E0CEE">
        <w:rPr>
          <w:i/>
          <w:iCs/>
        </w:rPr>
        <w:t xml:space="preserve"> </w:t>
      </w:r>
      <w:r w:rsidRPr="001E0CEE">
        <w:t xml:space="preserve">26 FCC </w:t>
      </w:r>
      <w:r w:rsidRPr="001E0CEE">
        <w:t>Rcd</w:t>
      </w:r>
      <w:r w:rsidRPr="001E0CEE">
        <w:t xml:space="preserve"> at 16889-90, paras. 29, 35.</w:t>
      </w:r>
    </w:p>
  </w:footnote>
  <w:footnote w:id="22">
    <w:p w:rsidR="00807613" w:rsidRPr="001E0CEE" w:rsidP="00807613" w14:paraId="71B5965D" w14:textId="2083F236">
      <w:pPr>
        <w:pStyle w:val="FootnoteText"/>
      </w:pPr>
      <w:r w:rsidRPr="001E0CEE">
        <w:rPr>
          <w:rStyle w:val="FootnoteReference"/>
        </w:rPr>
        <w:footnoteRef/>
      </w:r>
      <w:r w:rsidRPr="001E0CEE">
        <w:t xml:space="preserve"> </w:t>
      </w:r>
      <w:r w:rsidRPr="001E0CEE">
        <w:rPr>
          <w:i/>
          <w:iCs/>
        </w:rPr>
        <w:t xml:space="preserve">See </w:t>
      </w:r>
      <w:r w:rsidRPr="001E0CEE">
        <w:rPr>
          <w:i/>
        </w:rPr>
        <w:t xml:space="preserve">Request by Progeny LMS, LLC for Waiver of Certain </w:t>
      </w:r>
      <w:r w:rsidRPr="001E0CEE">
        <w:rPr>
          <w:i/>
        </w:rPr>
        <w:t>Multilateration</w:t>
      </w:r>
      <w:r w:rsidRPr="001E0CEE">
        <w:rPr>
          <w:i/>
        </w:rPr>
        <w:t xml:space="preserve"> Location and Monitoring Service Rules</w:t>
      </w:r>
      <w:r w:rsidRPr="001E0CEE">
        <w:t xml:space="preserve">, </w:t>
      </w:r>
      <w:r w:rsidR="00984163">
        <w:t xml:space="preserve">WT Docket No. 11-49, </w:t>
      </w:r>
      <w:r w:rsidRPr="001E0CEE">
        <w:rPr>
          <w:iCs/>
        </w:rPr>
        <w:t>Order</w:t>
      </w:r>
      <w:r w:rsidRPr="00AD5B55">
        <w:t xml:space="preserve">, </w:t>
      </w:r>
      <w:r w:rsidRPr="001E0CEE">
        <w:t xml:space="preserve">28 FCC </w:t>
      </w:r>
      <w:r w:rsidRPr="001E0CEE">
        <w:t>Rcd</w:t>
      </w:r>
      <w:r w:rsidRPr="001E0CEE">
        <w:t xml:space="preserve"> 8555 (2013) (</w:t>
      </w:r>
      <w:r w:rsidRPr="001E0CEE">
        <w:rPr>
          <w:i/>
          <w:iCs/>
        </w:rPr>
        <w:t>Progeny Commercial Service Order</w:t>
      </w:r>
      <w:r w:rsidRPr="001E0CEE">
        <w:t xml:space="preserve">), </w:t>
      </w:r>
      <w:r w:rsidRPr="001E0CEE">
        <w:rPr>
          <w:i/>
        </w:rPr>
        <w:t>recon pending</w:t>
      </w:r>
      <w:r w:rsidRPr="001E0CEE">
        <w:t xml:space="preserve">.  The </w:t>
      </w:r>
      <w:r w:rsidRPr="001E0CEE">
        <w:rPr>
          <w:i/>
          <w:iCs/>
        </w:rPr>
        <w:t>Progeny Commercial Service Order</w:t>
      </w:r>
      <w:r w:rsidRPr="001E0CEE">
        <w:t xml:space="preserve"> limits Progeny’s authority to provide commercial M-LMS operations to its B and C Block spectrum.  </w:t>
      </w:r>
      <w:r w:rsidRPr="001E0CEE">
        <w:rPr>
          <w:i/>
          <w:iCs/>
        </w:rPr>
        <w:t>See id</w:t>
      </w:r>
      <w:r w:rsidRPr="001E0CEE">
        <w:t>. at n.45.</w:t>
      </w:r>
    </w:p>
  </w:footnote>
  <w:footnote w:id="23">
    <w:p w:rsidR="00807613" w:rsidRPr="001E0CEE" w:rsidP="00807613" w14:paraId="5E565BDA" w14:textId="77777777">
      <w:pPr>
        <w:pStyle w:val="FootnoteText"/>
      </w:pPr>
      <w:r w:rsidRPr="001E0CEE">
        <w:rPr>
          <w:rStyle w:val="FootnoteReference"/>
        </w:rPr>
        <w:footnoteRef/>
      </w:r>
      <w:r w:rsidRPr="001E0CEE">
        <w:t xml:space="preserve"> </w:t>
      </w:r>
      <w:r w:rsidRPr="001E0CEE">
        <w:rPr>
          <w:i/>
        </w:rPr>
        <w:t>See</w:t>
      </w:r>
      <w:r w:rsidRPr="001E0CEE">
        <w:t xml:space="preserve"> Letter from Bruce A. Olcott, Counsel, Progeny LMS, LLC, to Marlene H. Dortch, Secretary, FCC, Regarding Notification of Completion of Initial Buildout in 40 Economic Areas and Establishment of Website and Toll-Free Help Desk, WT Docket No. 11-49 (filed June 21, 2013) (June 2013 Letter).</w:t>
      </w:r>
    </w:p>
  </w:footnote>
  <w:footnote w:id="24">
    <w:p w:rsidR="00807613" w:rsidRPr="001E0CEE" w:rsidP="00807613" w14:paraId="320EB3F4" w14:textId="124BCDA9">
      <w:pPr>
        <w:pStyle w:val="FootnoteText"/>
      </w:pPr>
      <w:r w:rsidRPr="001E0CEE">
        <w:rPr>
          <w:rStyle w:val="FootnoteReference"/>
        </w:rPr>
        <w:footnoteRef/>
      </w:r>
      <w:r w:rsidRPr="001E0CEE">
        <w:t xml:space="preserve"> </w:t>
      </w:r>
      <w:r w:rsidRPr="001E0CEE">
        <w:rPr>
          <w:i/>
          <w:iCs/>
        </w:rPr>
        <w:t xml:space="preserve">See generally </w:t>
      </w:r>
      <w:r w:rsidRPr="001E0CEE">
        <w:rPr>
          <w:i/>
        </w:rPr>
        <w:t>Amendment of the Commission’s Part 90 Rules in the 904-909.75 and 919.75-928 MHz Bands</w:t>
      </w:r>
      <w:r w:rsidRPr="001E0CEE">
        <w:t xml:space="preserve">, </w:t>
      </w:r>
      <w:r w:rsidR="00BD27B6">
        <w:t xml:space="preserve">WT Docket NO. 06-49, </w:t>
      </w:r>
      <w:r w:rsidRPr="001E0CEE">
        <w:rPr>
          <w:iCs/>
        </w:rPr>
        <w:t>Order</w:t>
      </w:r>
      <w:r w:rsidRPr="001E0CEE">
        <w:t xml:space="preserve">, 29 FCC </w:t>
      </w:r>
      <w:r w:rsidRPr="001E0CEE">
        <w:t>Rcd</w:t>
      </w:r>
      <w:r w:rsidRPr="001E0CEE">
        <w:t xml:space="preserve"> 6361 (2014)</w:t>
      </w:r>
      <w:r w:rsidRPr="001E0CEE">
        <w:rPr>
          <w:i/>
          <w:iCs/>
        </w:rPr>
        <w:t xml:space="preserve"> </w:t>
      </w:r>
      <w:r w:rsidRPr="001E0CEE">
        <w:t>(</w:t>
      </w:r>
      <w:r w:rsidRPr="001E0CEE">
        <w:rPr>
          <w:i/>
          <w:iCs/>
        </w:rPr>
        <w:t>M-LMS Termination Order</w:t>
      </w:r>
      <w:r w:rsidRPr="001E0CEE">
        <w:t>).</w:t>
      </w:r>
    </w:p>
  </w:footnote>
  <w:footnote w:id="25">
    <w:p w:rsidR="00807613" w:rsidRPr="001E0CEE" w:rsidP="00807613" w14:paraId="791A77D8" w14:textId="77777777">
      <w:pPr>
        <w:pStyle w:val="FootnoteText"/>
      </w:pPr>
      <w:r w:rsidRPr="001E0CEE">
        <w:rPr>
          <w:rStyle w:val="FootnoteReference"/>
        </w:rPr>
        <w:footnoteRef/>
      </w:r>
      <w:r w:rsidRPr="001E0CEE">
        <w:t xml:space="preserve"> </w:t>
      </w:r>
      <w:r w:rsidRPr="001E0CEE">
        <w:rPr>
          <w:i/>
          <w:iCs/>
        </w:rPr>
        <w:t>M-LMS Termination Order</w:t>
      </w:r>
      <w:r w:rsidRPr="001E0CEE">
        <w:rPr>
          <w:iCs/>
        </w:rPr>
        <w:t xml:space="preserve">, 29 FCC </w:t>
      </w:r>
      <w:r w:rsidRPr="001E0CEE">
        <w:rPr>
          <w:iCs/>
        </w:rPr>
        <w:t>Rcd</w:t>
      </w:r>
      <w:r w:rsidRPr="001E0CEE">
        <w:rPr>
          <w:iCs/>
        </w:rPr>
        <w:t xml:space="preserve"> at 6364, para.</w:t>
      </w:r>
      <w:r w:rsidRPr="001E0CEE">
        <w:t xml:space="preserve"> 8 (</w:t>
      </w:r>
      <w:r w:rsidRPr="00F414C4">
        <w:rPr>
          <w:i/>
          <w:iCs/>
        </w:rPr>
        <w:t>citing</w:t>
      </w:r>
      <w:r w:rsidRPr="001E0CEE">
        <w:t xml:space="preserve"> </w:t>
      </w:r>
      <w:r w:rsidRPr="001E0CEE">
        <w:rPr>
          <w:i/>
        </w:rPr>
        <w:t>M-LMS NPRM</w:t>
      </w:r>
      <w:r w:rsidRPr="001E0CEE">
        <w:t xml:space="preserve">, 21 FCC </w:t>
      </w:r>
      <w:r w:rsidRPr="001E0CEE">
        <w:t>Rcd</w:t>
      </w:r>
      <w:r w:rsidRPr="001E0CEE">
        <w:t xml:space="preserve"> at 2811, para. 4). </w:t>
      </w:r>
    </w:p>
  </w:footnote>
  <w:footnote w:id="26">
    <w:p w:rsidR="00807613" w:rsidRPr="001E0CEE" w:rsidP="00807613" w14:paraId="20859E3B" w14:textId="77777777">
      <w:pPr>
        <w:pStyle w:val="FootnoteText"/>
      </w:pPr>
      <w:r w:rsidRPr="001E0CEE">
        <w:rPr>
          <w:rStyle w:val="FootnoteReference"/>
        </w:rPr>
        <w:footnoteRef/>
      </w:r>
      <w:r w:rsidRPr="001E0CEE">
        <w:t xml:space="preserve"> </w:t>
      </w:r>
      <w:r w:rsidRPr="001E0CEE">
        <w:rPr>
          <w:i/>
        </w:rPr>
        <w:t>Id</w:t>
      </w:r>
      <w:r>
        <w:t>.</w:t>
      </w:r>
    </w:p>
  </w:footnote>
  <w:footnote w:id="27">
    <w:p w:rsidR="00807613" w:rsidRPr="001E0CEE" w:rsidP="00807613" w14:paraId="41140C1C" w14:textId="77777777">
      <w:pPr>
        <w:pStyle w:val="FootnoteText"/>
      </w:pPr>
      <w:r w:rsidRPr="001E0CEE">
        <w:rPr>
          <w:rStyle w:val="FootnoteReference"/>
        </w:rPr>
        <w:footnoteRef/>
      </w:r>
      <w:r w:rsidRPr="001E0CEE">
        <w:t xml:space="preserve"> </w:t>
      </w:r>
      <w:r w:rsidRPr="001E0CEE">
        <w:rPr>
          <w:i/>
        </w:rPr>
        <w:t>Id.</w:t>
      </w:r>
    </w:p>
  </w:footnote>
  <w:footnote w:id="28">
    <w:p w:rsidR="00667E9F" w:rsidRPr="001E0CEE" w:rsidP="00667E9F" w14:paraId="4C98E085" w14:textId="75A0BA64">
      <w:pPr>
        <w:pStyle w:val="FootnoteText"/>
      </w:pPr>
      <w:r w:rsidRPr="001E0CEE">
        <w:rPr>
          <w:rStyle w:val="FootnoteReference"/>
        </w:rPr>
        <w:footnoteRef/>
      </w:r>
      <w:r w:rsidRPr="001E0CEE">
        <w:t xml:space="preserve"> </w:t>
      </w:r>
      <w:r w:rsidRPr="001E0CEE">
        <w:rPr>
          <w:i/>
          <w:iCs/>
        </w:rPr>
        <w:t xml:space="preserve">See </w:t>
      </w:r>
      <w:r w:rsidR="00B135EA">
        <w:rPr>
          <w:i/>
          <w:iCs/>
        </w:rPr>
        <w:t xml:space="preserve">2015 </w:t>
      </w:r>
      <w:r w:rsidRPr="001E0CEE" w:rsidR="00B135EA">
        <w:rPr>
          <w:i/>
          <w:iCs/>
        </w:rPr>
        <w:t>Indoor Location Accuracy Order</w:t>
      </w:r>
      <w:r w:rsidR="00683A74">
        <w:t xml:space="preserve">, 30 FCC </w:t>
      </w:r>
      <w:r w:rsidR="00683A74">
        <w:t>Rcd</w:t>
      </w:r>
      <w:r w:rsidR="00683A74">
        <w:t xml:space="preserve"> 1259</w:t>
      </w:r>
      <w:r w:rsidR="00B135EA">
        <w:t>.</w:t>
      </w:r>
    </w:p>
  </w:footnote>
  <w:footnote w:id="29">
    <w:p w:rsidR="00667E9F" w:rsidRPr="001E0CEE" w:rsidP="00667E9F" w14:paraId="1FEA2B74" w14:textId="354EE6B9">
      <w:pPr>
        <w:pStyle w:val="FootnoteText"/>
      </w:pPr>
      <w:r w:rsidRPr="001E0CEE">
        <w:rPr>
          <w:rStyle w:val="FootnoteReference"/>
        </w:rPr>
        <w:footnoteRef/>
      </w:r>
      <w:r w:rsidRPr="001E0CEE">
        <w:t xml:space="preserve"> </w:t>
      </w:r>
      <w:r w:rsidR="00683A74">
        <w:rPr>
          <w:i/>
          <w:iCs/>
        </w:rPr>
        <w:t xml:space="preserve">2015 </w:t>
      </w:r>
      <w:r w:rsidRPr="001E0CEE" w:rsidR="0046760C">
        <w:rPr>
          <w:i/>
          <w:iCs/>
        </w:rPr>
        <w:t>Indoor Location Accuracy Order</w:t>
      </w:r>
      <w:r w:rsidR="0046760C">
        <w:t>,</w:t>
      </w:r>
      <w:r w:rsidRPr="001E0CEE" w:rsidR="0046760C">
        <w:t xml:space="preserve"> </w:t>
      </w:r>
      <w:r w:rsidRPr="001E0CEE">
        <w:t xml:space="preserve">30 FCC </w:t>
      </w:r>
      <w:r w:rsidRPr="001E0CEE">
        <w:t>Rcd</w:t>
      </w:r>
      <w:r w:rsidRPr="001E0CEE">
        <w:t xml:space="preserve"> at 1260, para. 1.</w:t>
      </w:r>
    </w:p>
  </w:footnote>
  <w:footnote w:id="30">
    <w:p w:rsidR="0013467F" w:rsidRPr="00D06D32" w:rsidP="0013467F" w14:paraId="22FFB87B" w14:textId="23647B2A">
      <w:pPr>
        <w:pStyle w:val="ParaNum"/>
        <w:numPr>
          <w:ilvl w:val="0"/>
          <w:numId w:val="0"/>
        </w:numPr>
        <w:rPr>
          <w:sz w:val="20"/>
        </w:rPr>
      </w:pPr>
      <w:r w:rsidRPr="009E4674">
        <w:rPr>
          <w:rStyle w:val="FootnoteReference"/>
        </w:rPr>
        <w:footnoteRef/>
      </w:r>
      <w:r w:rsidRPr="009E4674">
        <w:rPr>
          <w:i/>
          <w:iCs/>
          <w:sz w:val="20"/>
        </w:rPr>
        <w:t xml:space="preserve"> </w:t>
      </w:r>
      <w:r w:rsidRPr="009E4674" w:rsidR="00E10969">
        <w:rPr>
          <w:sz w:val="20"/>
        </w:rPr>
        <w:t xml:space="preserve">According to the FCC’s </w:t>
      </w:r>
      <w:r w:rsidR="00E10969">
        <w:rPr>
          <w:sz w:val="20"/>
        </w:rPr>
        <w:t xml:space="preserve">most recent </w:t>
      </w:r>
      <w:r w:rsidRPr="009E4674" w:rsidR="00E10969">
        <w:rPr>
          <w:sz w:val="20"/>
        </w:rPr>
        <w:t xml:space="preserve">annual 911 fee report, </w:t>
      </w:r>
      <w:r w:rsidR="00E10969">
        <w:rPr>
          <w:sz w:val="20"/>
        </w:rPr>
        <w:t>in 2021</w:t>
      </w:r>
      <w:r w:rsidR="00773200">
        <w:rPr>
          <w:sz w:val="20"/>
        </w:rPr>
        <w:t>,</w:t>
      </w:r>
      <w:r w:rsidR="00E10969">
        <w:rPr>
          <w:sz w:val="20"/>
        </w:rPr>
        <w:t xml:space="preserve"> </w:t>
      </w:r>
      <w:r w:rsidRPr="009E4674" w:rsidR="00E10969">
        <w:rPr>
          <w:sz w:val="20"/>
        </w:rPr>
        <w:t>American states and territories reported</w:t>
      </w:r>
      <w:r w:rsidR="00E10969">
        <w:rPr>
          <w:sz w:val="20"/>
        </w:rPr>
        <w:t xml:space="preserve"> a total of 220,107,525 calls to </w:t>
      </w:r>
      <w:r w:rsidRPr="009E4674" w:rsidR="00E10969">
        <w:rPr>
          <w:sz w:val="20"/>
        </w:rPr>
        <w:t>911, of which</w:t>
      </w:r>
      <w:r w:rsidRPr="00D06D32" w:rsidR="00E10969">
        <w:rPr>
          <w:sz w:val="20"/>
        </w:rPr>
        <w:t xml:space="preserve"> 148,952,960 were wireless calls, representing approximately 68% of the total reported call volume.  </w:t>
      </w:r>
      <w:r w:rsidRPr="00D06D32" w:rsidR="00E10969">
        <w:rPr>
          <w:i/>
          <w:iCs/>
          <w:sz w:val="20"/>
        </w:rPr>
        <w:t xml:space="preserve">See </w:t>
      </w:r>
      <w:r w:rsidRPr="00D06D32" w:rsidR="00E10969">
        <w:rPr>
          <w:sz w:val="20"/>
        </w:rPr>
        <w:t xml:space="preserve">FCC, Fourteenth Annual Report to Congress on State Collection and Distribution of 911 and Enhanced 911 Fees and Charges at 12 (2022), </w:t>
      </w:r>
      <w:hyperlink r:id="rId3" w:history="1">
        <w:r w:rsidRPr="00E83188" w:rsidR="00D06D32">
          <w:rPr>
            <w:rStyle w:val="Hyperlink"/>
            <w:sz w:val="20"/>
          </w:rPr>
          <w:t>https://www.fcc.gov/general/911-fee-reports</w:t>
        </w:r>
      </w:hyperlink>
      <w:r w:rsidRPr="00E83188" w:rsidR="00D06D32">
        <w:rPr>
          <w:sz w:val="20"/>
        </w:rPr>
        <w:t xml:space="preserve"> </w:t>
      </w:r>
      <w:r w:rsidRPr="00D06D32" w:rsidR="00E10969">
        <w:rPr>
          <w:sz w:val="20"/>
        </w:rPr>
        <w:t>.</w:t>
      </w:r>
      <w:r w:rsidRPr="00D06D32">
        <w:rPr>
          <w:sz w:val="20"/>
        </w:rPr>
        <w:t xml:space="preserve"> </w:t>
      </w:r>
    </w:p>
  </w:footnote>
  <w:footnote w:id="31">
    <w:p w:rsidR="00667E9F" w:rsidRPr="001E0CEE" w:rsidP="00667E9F" w14:paraId="7645CF77" w14:textId="37523E09">
      <w:pPr>
        <w:pStyle w:val="FootnoteText"/>
      </w:pPr>
      <w:r w:rsidRPr="001E0CEE">
        <w:rPr>
          <w:rStyle w:val="FootnoteReference"/>
        </w:rPr>
        <w:footnoteRef/>
      </w:r>
      <w:r w:rsidRPr="001E0CEE">
        <w:t xml:space="preserve"> </w:t>
      </w:r>
      <w:r w:rsidR="00BF2A5B">
        <w:rPr>
          <w:i/>
          <w:iCs/>
        </w:rPr>
        <w:t xml:space="preserve">2015 </w:t>
      </w:r>
      <w:r w:rsidRPr="001E0CEE" w:rsidR="00BF2A5B">
        <w:rPr>
          <w:i/>
          <w:iCs/>
        </w:rPr>
        <w:t>Indoor Location Accuracy Order</w:t>
      </w:r>
      <w:r w:rsidR="00BF2A5B">
        <w:t>,</w:t>
      </w:r>
      <w:r w:rsidRPr="001E0CEE" w:rsidR="00BF2A5B">
        <w:t xml:space="preserve"> 30 FCC </w:t>
      </w:r>
      <w:r w:rsidRPr="001E0CEE" w:rsidR="00BF2A5B">
        <w:t>Rcd</w:t>
      </w:r>
      <w:r w:rsidRPr="001E0CEE" w:rsidR="00BF2A5B">
        <w:t xml:space="preserve"> </w:t>
      </w:r>
      <w:r w:rsidRPr="001E0CEE">
        <w:t>at 1260, para. 3.</w:t>
      </w:r>
    </w:p>
  </w:footnote>
  <w:footnote w:id="32">
    <w:p w:rsidR="00643FDD" w:rsidRPr="001E0CEE" w:rsidP="00643FDD" w14:paraId="42AC1268" w14:textId="4C4F1F3B">
      <w:pPr>
        <w:pStyle w:val="FootnoteText"/>
      </w:pPr>
      <w:r w:rsidRPr="001E0CEE">
        <w:rPr>
          <w:rStyle w:val="FootnoteReference"/>
        </w:rPr>
        <w:footnoteRef/>
      </w:r>
      <w:r w:rsidRPr="001E0CEE">
        <w:t xml:space="preserve"> </w:t>
      </w:r>
      <w:r w:rsidR="003440E4">
        <w:t xml:space="preserve">The rules define </w:t>
      </w:r>
      <w:r w:rsidRPr="003D2FEB">
        <w:t>“</w:t>
      </w:r>
      <w:r w:rsidR="003440E4">
        <w:t>d</w:t>
      </w:r>
      <w:r w:rsidRPr="003D2FEB" w:rsidR="003440E4">
        <w:t xml:space="preserve">ispatchable </w:t>
      </w:r>
      <w:r w:rsidRPr="003D2FEB">
        <w:t xml:space="preserve">location” </w:t>
      </w:r>
      <w:r w:rsidR="003440E4">
        <w:t>as</w:t>
      </w:r>
      <w:r w:rsidRPr="003D2FEB">
        <w:t xml:space="preserve">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9.10(</w:t>
      </w:r>
      <w:r w:rsidRPr="003D2FEB">
        <w:t>i</w:t>
      </w:r>
      <w:r w:rsidRPr="003D2FEB">
        <w:t>)(1)(</w:t>
      </w:r>
      <w:r w:rsidRPr="003D2FEB">
        <w:t>i</w:t>
      </w:r>
      <w:r w:rsidRPr="003D2FEB">
        <w:t>).</w:t>
      </w:r>
      <w:r w:rsidRPr="001E0CEE">
        <w:t xml:space="preserve"> </w:t>
      </w:r>
    </w:p>
  </w:footnote>
  <w:footnote w:id="33">
    <w:p w:rsidR="00643FDD" w:rsidRPr="001E0CEE" w:rsidP="00643FDD" w14:paraId="5E4B0190" w14:textId="77777777">
      <w:pPr>
        <w:pStyle w:val="FootnoteText"/>
      </w:pPr>
      <w:r w:rsidRPr="001E0CEE">
        <w:rPr>
          <w:rStyle w:val="FootnoteReference"/>
        </w:rPr>
        <w:footnoteRef/>
      </w:r>
      <w:r w:rsidRPr="001E0CEE">
        <w:t xml:space="preserve"> The x/y location is an alternative to dispatchable location that is the coordinate-based horizontal location.  </w:t>
      </w:r>
      <w:r w:rsidRPr="001E0CEE">
        <w:rPr>
          <w:i/>
        </w:rPr>
        <w:t xml:space="preserve">See </w:t>
      </w:r>
      <w:r>
        <w:rPr>
          <w:i/>
          <w:iCs/>
        </w:rPr>
        <w:t xml:space="preserve">2015 </w:t>
      </w:r>
      <w:r w:rsidRPr="002E44DE">
        <w:rPr>
          <w:i/>
          <w:iCs/>
        </w:rPr>
        <w:t>Indoor Location Accuracy Order</w:t>
      </w:r>
      <w:r>
        <w:t xml:space="preserve">, 30 FCC </w:t>
      </w:r>
      <w:r>
        <w:t>Rcd</w:t>
      </w:r>
      <w:r>
        <w:t xml:space="preserve"> </w:t>
      </w:r>
      <w:r w:rsidRPr="001E0CEE">
        <w:t>at 1287, para. 74.</w:t>
      </w:r>
    </w:p>
  </w:footnote>
  <w:footnote w:id="34">
    <w:p w:rsidR="00643FDD" w:rsidRPr="001E0CEE" w:rsidP="00643FDD" w14:paraId="7E87CCB9" w14:textId="77777777">
      <w:pPr>
        <w:pStyle w:val="FootnoteText"/>
      </w:pPr>
      <w:r w:rsidRPr="001E0CEE">
        <w:rPr>
          <w:rStyle w:val="FootnoteReference"/>
        </w:rPr>
        <w:footnoteRef/>
      </w:r>
      <w:r w:rsidRPr="001E0CEE">
        <w:t xml:space="preserve"> </w:t>
      </w:r>
      <w:r w:rsidRPr="001E0CEE">
        <w:rPr>
          <w:i/>
          <w:iCs/>
        </w:rPr>
        <w:t>Id.</w:t>
      </w:r>
      <w:r w:rsidRPr="001E0CEE">
        <w:t xml:space="preserve"> at 1261-62, para. 6; 47 CFR § 20.18(</w:t>
      </w:r>
      <w:r w:rsidRPr="001E0CEE">
        <w:t>i</w:t>
      </w:r>
      <w:r w:rsidRPr="001E0CEE">
        <w:t>)(2)(</w:t>
      </w:r>
      <w:r w:rsidRPr="001E0CEE">
        <w:t>i</w:t>
      </w:r>
      <w:r w:rsidRPr="001E0CEE">
        <w:t>).  The effective date of the relevant rules not requiring PRA approval is April 3, 2015.  The effective date of the relevant rules requiring PRA approval is August 3, 2015.</w:t>
      </w:r>
    </w:p>
  </w:footnote>
  <w:footnote w:id="35">
    <w:p w:rsidR="00643FDD" w:rsidRPr="001E0CEE" w:rsidP="00643FDD" w14:paraId="3AC5C620" w14:textId="77777777">
      <w:pPr>
        <w:pStyle w:val="FootnoteText"/>
      </w:pPr>
      <w:r w:rsidRPr="001E0CEE">
        <w:rPr>
          <w:rStyle w:val="FootnoteReference"/>
        </w:rPr>
        <w:footnoteRef/>
      </w:r>
      <w:r w:rsidRPr="001E0CEE">
        <w:t xml:space="preserve"> </w:t>
      </w:r>
      <w:r>
        <w:rPr>
          <w:i/>
          <w:iCs/>
        </w:rPr>
        <w:t xml:space="preserve">2015 </w:t>
      </w:r>
      <w:r w:rsidRPr="002E44DE">
        <w:rPr>
          <w:i/>
          <w:iCs/>
        </w:rPr>
        <w:t>Indoor Location Accuracy Order</w:t>
      </w:r>
      <w:r>
        <w:t xml:space="preserve">, 30 FCC </w:t>
      </w:r>
      <w:r>
        <w:t>Rcd</w:t>
      </w:r>
      <w:r>
        <w:t xml:space="preserve"> </w:t>
      </w:r>
      <w:r w:rsidRPr="001E0CEE">
        <w:rPr>
          <w:iCs/>
        </w:rPr>
        <w:t>at 1261-62, para. 6.  The 2020 and 2021 benchmarks only apply to nationwide CMRS providers.</w:t>
      </w:r>
    </w:p>
  </w:footnote>
  <w:footnote w:id="36">
    <w:p w:rsidR="00643FDD" w:rsidRPr="001E0CEE" w:rsidP="00643FDD" w14:paraId="504E8946" w14:textId="77777777">
      <w:pPr>
        <w:pStyle w:val="FootnoteText"/>
      </w:pPr>
      <w:r w:rsidRPr="001E0CEE">
        <w:rPr>
          <w:rStyle w:val="FootnoteReference"/>
        </w:rPr>
        <w:footnoteRef/>
      </w:r>
      <w:r w:rsidRPr="001E0CEE">
        <w:t xml:space="preserve"> Handsets that can provide barometric pressure readings give an idea of the vertical height of the device.  </w:t>
      </w:r>
      <w:r w:rsidRPr="001E0CEE">
        <w:rPr>
          <w:i/>
        </w:rPr>
        <w:t>See id</w:t>
      </w:r>
      <w:r w:rsidRPr="001E0CEE">
        <w:t>. at 1303-04, para. 115.</w:t>
      </w:r>
    </w:p>
  </w:footnote>
  <w:footnote w:id="37">
    <w:p w:rsidR="00643FDD" w:rsidRPr="001E0CEE" w:rsidP="00643FDD" w14:paraId="6FF51F7D" w14:textId="77777777">
      <w:pPr>
        <w:pStyle w:val="FootnoteText"/>
      </w:pPr>
      <w:r w:rsidRPr="001E0CEE">
        <w:rPr>
          <w:rStyle w:val="FootnoteReference"/>
        </w:rPr>
        <w:footnoteRef/>
      </w:r>
      <w:r w:rsidRPr="001E0CEE">
        <w:t xml:space="preserve"> </w:t>
      </w:r>
      <w:r w:rsidRPr="001E0CEE">
        <w:rPr>
          <w:i/>
        </w:rPr>
        <w:t>Id</w:t>
      </w:r>
      <w:r w:rsidRPr="001E0CEE">
        <w:t xml:space="preserve">. at 1261-62, para. 6; 47 CFR § </w:t>
      </w:r>
      <w:r>
        <w:t>9.10</w:t>
      </w:r>
      <w:r w:rsidRPr="001E0CEE">
        <w:t>(</w:t>
      </w:r>
      <w:r w:rsidRPr="001E0CEE">
        <w:t>i</w:t>
      </w:r>
      <w:r w:rsidRPr="001E0CEE">
        <w:t>)(2)(ii)</w:t>
      </w:r>
      <w:r>
        <w:t>(A)</w:t>
      </w:r>
      <w:r w:rsidRPr="001E0CEE">
        <w:t>.</w:t>
      </w:r>
    </w:p>
  </w:footnote>
  <w:footnote w:id="38">
    <w:p w:rsidR="00643FDD" w:rsidRPr="003D2FEB" w:rsidP="00643FDD" w14:paraId="29C5EF2E" w14:textId="77777777">
      <w:pPr>
        <w:pStyle w:val="FootnoteText"/>
      </w:pPr>
      <w:r w:rsidRPr="003D2FEB">
        <w:rPr>
          <w:rStyle w:val="FootnoteReference"/>
        </w:rPr>
        <w:footnoteRef/>
      </w:r>
      <w:r w:rsidRPr="003D2FEB">
        <w:t xml:space="preserve"> </w:t>
      </w:r>
      <w:r>
        <w:rPr>
          <w:i/>
          <w:iCs/>
        </w:rPr>
        <w:t xml:space="preserve">2015 </w:t>
      </w:r>
      <w:r w:rsidRPr="002E44DE">
        <w:rPr>
          <w:i/>
          <w:iCs/>
        </w:rPr>
        <w:t>Indoor Location Accuracy Order</w:t>
      </w:r>
      <w:r>
        <w:t>,</w:t>
      </w:r>
      <w:r w:rsidRPr="0061543B">
        <w:rPr>
          <w:i/>
          <w:iCs/>
        </w:rPr>
        <w:t xml:space="preserve"> </w:t>
      </w:r>
      <w:r w:rsidRPr="0061543B">
        <w:t xml:space="preserve">30 FCC </w:t>
      </w:r>
      <w:r w:rsidRPr="0061543B">
        <w:t>Rcd</w:t>
      </w:r>
      <w:r w:rsidRPr="003D2FEB">
        <w:rPr>
          <w:i/>
          <w:iCs/>
        </w:rPr>
        <w:t xml:space="preserve"> </w:t>
      </w:r>
      <w:r w:rsidRPr="003D2FEB">
        <w:t>at 1304, para. 117</w:t>
      </w:r>
      <w:r>
        <w:t xml:space="preserve">; </w:t>
      </w:r>
      <w:r w:rsidRPr="00BA7A09">
        <w:rPr>
          <w:i/>
          <w:iCs/>
        </w:rPr>
        <w:t>see also</w:t>
      </w:r>
      <w:r>
        <w:t xml:space="preserve"> 47 CFR § 9.10(</w:t>
      </w:r>
      <w:r>
        <w:t>i</w:t>
      </w:r>
      <w:r>
        <w:t>)(2)(ii)(C)-(D)</w:t>
      </w:r>
      <w:r w:rsidRPr="003D2FEB">
        <w:t xml:space="preserve">.  Non-nationwide CMRS providers serving these CMAs have an additional year to meet these requirements.  </w:t>
      </w:r>
      <w:r>
        <w:rPr>
          <w:i/>
          <w:iCs/>
        </w:rPr>
        <w:t xml:space="preserve">2015 </w:t>
      </w:r>
      <w:r w:rsidRPr="002E44DE">
        <w:rPr>
          <w:i/>
          <w:iCs/>
        </w:rPr>
        <w:t>Indoor Location Accuracy Order</w:t>
      </w:r>
      <w:r>
        <w:t>,</w:t>
      </w:r>
      <w:r w:rsidRPr="0061543B">
        <w:t xml:space="preserve"> 30 FCC </w:t>
      </w:r>
      <w:r w:rsidRPr="0061543B">
        <w:t>Rcd</w:t>
      </w:r>
      <w:r w:rsidRPr="003D2FEB">
        <w:rPr>
          <w:i/>
          <w:iCs/>
        </w:rPr>
        <w:t xml:space="preserve"> </w:t>
      </w:r>
      <w:r w:rsidRPr="003D2FEB">
        <w:t>at 1304, para. 117</w:t>
      </w:r>
      <w:r>
        <w:t xml:space="preserve">; </w:t>
      </w:r>
      <w:r w:rsidRPr="00BA7A09">
        <w:rPr>
          <w:i/>
          <w:iCs/>
        </w:rPr>
        <w:t>see also</w:t>
      </w:r>
      <w:r>
        <w:t xml:space="preserve"> 47 CFR § 9.10(</w:t>
      </w:r>
      <w:r>
        <w:t>i</w:t>
      </w:r>
      <w:r>
        <w:t>)(2)(ii)(F).</w:t>
      </w:r>
    </w:p>
  </w:footnote>
  <w:footnote w:id="39">
    <w:p w:rsidR="00643FDD" w:rsidRPr="003D2FEB" w:rsidP="00643FDD" w14:paraId="2975796D" w14:textId="77777777">
      <w:pPr>
        <w:pStyle w:val="FootnoteText"/>
      </w:pPr>
      <w:r w:rsidRPr="003D2FEB">
        <w:rPr>
          <w:rStyle w:val="FootnoteReference"/>
        </w:rPr>
        <w:footnoteRef/>
      </w:r>
      <w:r w:rsidRPr="003D2FEB">
        <w:t xml:space="preserve"> </w:t>
      </w:r>
      <w:r>
        <w:rPr>
          <w:i/>
          <w:iCs/>
        </w:rPr>
        <w:t xml:space="preserve">2015 </w:t>
      </w:r>
      <w:r w:rsidRPr="002E44DE">
        <w:rPr>
          <w:i/>
          <w:iCs/>
        </w:rPr>
        <w:t>Indoor Location Accuracy Order</w:t>
      </w:r>
      <w:r>
        <w:t xml:space="preserve">, 30 FCC </w:t>
      </w:r>
      <w:r>
        <w:t>Rcd</w:t>
      </w:r>
      <w:r w:rsidRPr="003D2FEB">
        <w:t xml:space="preserve"> at 1302-03, para. 113.  </w:t>
      </w:r>
    </w:p>
  </w:footnote>
  <w:footnote w:id="40">
    <w:p w:rsidR="00643FDD" w:rsidRPr="003A3525" w:rsidP="00643FDD" w14:paraId="1AC0098A" w14:textId="77777777">
      <w:pPr>
        <w:pStyle w:val="FootnoteText"/>
      </w:pPr>
      <w:r w:rsidRPr="003A3525">
        <w:rPr>
          <w:rStyle w:val="FootnoteReference"/>
        </w:rPr>
        <w:footnoteRef/>
      </w:r>
      <w:r w:rsidRPr="003A3525">
        <w:t xml:space="preserve"> </w:t>
      </w:r>
      <w:r w:rsidRPr="00705D6B">
        <w:rPr>
          <w:i/>
          <w:iCs/>
        </w:rPr>
        <w:t>Wireless E911 Location Accuracy Requirements</w:t>
      </w:r>
      <w:r w:rsidRPr="00705D6B">
        <w:t xml:space="preserve">, PS Docket No. 07-114, Fifth Report and Order and Fifth Further Notice of Proposed Rulemaking, 34 FCC </w:t>
      </w:r>
      <w:r w:rsidRPr="00705D6B">
        <w:t>Rcd</w:t>
      </w:r>
      <w:r w:rsidRPr="00705D6B">
        <w:t xml:space="preserve"> 11592, </w:t>
      </w:r>
      <w:r w:rsidRPr="00E242E9">
        <w:t xml:space="preserve">11593, </w:t>
      </w:r>
      <w:r w:rsidRPr="0014032D">
        <w:t>11604</w:t>
      </w:r>
      <w:r>
        <w:t xml:space="preserve">, </w:t>
      </w:r>
      <w:r w:rsidRPr="0014032D">
        <w:t>11617, paras. 2, 24, 5</w:t>
      </w:r>
      <w:r w:rsidRPr="00EB6363">
        <w:t>4</w:t>
      </w:r>
      <w:r>
        <w:t xml:space="preserve"> (2019) (</w:t>
      </w:r>
      <w:r w:rsidRPr="005216BD">
        <w:rPr>
          <w:i/>
          <w:iCs/>
        </w:rPr>
        <w:t>2019 Indoor Location Accuracy Order</w:t>
      </w:r>
      <w:r>
        <w:t>)</w:t>
      </w:r>
      <w:r w:rsidRPr="00EB6363">
        <w:t>;</w:t>
      </w:r>
      <w:r w:rsidRPr="0063314D">
        <w:t xml:space="preserve"> 47 CFR § 9.10(</w:t>
      </w:r>
      <w:r w:rsidRPr="0063314D">
        <w:t>i</w:t>
      </w:r>
      <w:r w:rsidRPr="0063314D">
        <w:t>)(2)(ii)(C), (</w:t>
      </w:r>
      <w:r w:rsidRPr="0063314D">
        <w:t>i</w:t>
      </w:r>
      <w:r w:rsidRPr="0063314D">
        <w:t>)(2)(ii)(D).</w:t>
      </w:r>
    </w:p>
  </w:footnote>
  <w:footnote w:id="41">
    <w:p w:rsidR="00643FDD" w:rsidP="00643FDD" w14:paraId="543ABCC9" w14:textId="77777777">
      <w:pPr>
        <w:pStyle w:val="FootnoteText"/>
      </w:pPr>
      <w:r>
        <w:rPr>
          <w:rStyle w:val="FootnoteReference"/>
        </w:rPr>
        <w:footnoteRef/>
      </w:r>
      <w:r>
        <w:t xml:space="preserve"> </w:t>
      </w:r>
      <w:r w:rsidRPr="00F928DF">
        <w:rPr>
          <w:i/>
          <w:iCs/>
        </w:rPr>
        <w:t>2019 Indoor Location Accuracy Order</w:t>
      </w:r>
      <w:r w:rsidRPr="00534D98">
        <w:t xml:space="preserve">, 34 FCC </w:t>
      </w:r>
      <w:r w:rsidRPr="00534D98">
        <w:t>Rcd</w:t>
      </w:r>
      <w:r w:rsidRPr="00534D98">
        <w:t xml:space="preserve"> at 11</w:t>
      </w:r>
      <w:r>
        <w:t>596</w:t>
      </w:r>
      <w:r w:rsidRPr="00534D98">
        <w:t xml:space="preserve">, para. </w:t>
      </w:r>
      <w:r>
        <w:t>9.</w:t>
      </w:r>
    </w:p>
  </w:footnote>
  <w:footnote w:id="42">
    <w:p w:rsidR="00643FDD" w:rsidRPr="00534D98" w:rsidP="00643FDD" w14:paraId="6C695A10" w14:textId="77777777">
      <w:pPr>
        <w:pStyle w:val="FootnoteText"/>
      </w:pPr>
      <w:r w:rsidRPr="00534D98">
        <w:rPr>
          <w:rStyle w:val="FootnoteReference"/>
        </w:rPr>
        <w:footnoteRef/>
      </w:r>
      <w:r w:rsidRPr="00534D98">
        <w:t xml:space="preserve"> </w:t>
      </w:r>
      <w:r w:rsidRPr="00F928DF">
        <w:rPr>
          <w:i/>
          <w:iCs/>
        </w:rPr>
        <w:t>Id</w:t>
      </w:r>
      <w:r>
        <w:t xml:space="preserve">. </w:t>
      </w:r>
      <w:r w:rsidRPr="0063314D">
        <w:t xml:space="preserve">at 11608, </w:t>
      </w:r>
      <w:r w:rsidRPr="00E242E9">
        <w:t>11610-11, para</w:t>
      </w:r>
      <w:r w:rsidRPr="0014032D">
        <w:t>s. 32, 37; 47 CFR § 9.10(</w:t>
      </w:r>
      <w:r w:rsidRPr="0014032D">
        <w:t>i</w:t>
      </w:r>
      <w:r w:rsidRPr="0014032D">
        <w:t>)(2)(ii)(C), (</w:t>
      </w:r>
      <w:r w:rsidRPr="0014032D">
        <w:t>i</w:t>
      </w:r>
      <w:r w:rsidRPr="0014032D">
        <w:t>)(2)(ii)(D).</w:t>
      </w:r>
    </w:p>
  </w:footnote>
  <w:footnote w:id="43">
    <w:p w:rsidR="00643FDD" w:rsidRPr="003D2FEB" w:rsidP="00643FDD" w14:paraId="20B0F8FF" w14:textId="77777777">
      <w:pPr>
        <w:pStyle w:val="FootnoteText"/>
      </w:pPr>
      <w:r w:rsidRPr="003D2FEB">
        <w:rPr>
          <w:rStyle w:val="FootnoteReference"/>
        </w:rPr>
        <w:footnoteRef/>
      </w:r>
      <w:r w:rsidRPr="003D2FEB">
        <w:t xml:space="preserve"> </w:t>
      </w:r>
      <w:r w:rsidRPr="00F928DF">
        <w:rPr>
          <w:i/>
          <w:iCs/>
        </w:rPr>
        <w:t>2020 Indoor Location Accuracy Order</w:t>
      </w:r>
      <w:r w:rsidRPr="003D2FEB">
        <w:t xml:space="preserve">, 35 FCC </w:t>
      </w:r>
      <w:r w:rsidRPr="003D2FEB">
        <w:t>Rcd</w:t>
      </w:r>
      <w:r w:rsidRPr="003D2FEB">
        <w:t xml:space="preserve"> </w:t>
      </w:r>
      <w:r>
        <w:t>at 7758-61, paras. 15-20</w:t>
      </w:r>
      <w:r w:rsidRPr="003D2FEB">
        <w:t xml:space="preserve">.    </w:t>
      </w:r>
    </w:p>
  </w:footnote>
  <w:footnote w:id="44">
    <w:p w:rsidR="00643FDD" w:rsidRPr="003D2FEB" w:rsidP="00643FDD" w14:paraId="404D18BE" w14:textId="77777777">
      <w:pPr>
        <w:pStyle w:val="FootnoteText"/>
      </w:pPr>
      <w:r w:rsidRPr="003D2FEB">
        <w:rPr>
          <w:rStyle w:val="FootnoteReference"/>
        </w:rPr>
        <w:footnoteRef/>
      </w:r>
      <w:r w:rsidRPr="003D2FEB">
        <w:t xml:space="preserve"> </w:t>
      </w:r>
      <w:r w:rsidRPr="003D2FEB">
        <w:rPr>
          <w:i/>
          <w:iCs/>
        </w:rPr>
        <w:t xml:space="preserve">See </w:t>
      </w:r>
      <w:r w:rsidRPr="003D2FEB">
        <w:t>47 CFR § 9.10(</w:t>
      </w:r>
      <w:r w:rsidRPr="003D2FEB">
        <w:t>i</w:t>
      </w:r>
      <w:r w:rsidRPr="003D2FEB">
        <w:t>)(2)(ii)(I)(</w:t>
      </w:r>
      <w:r w:rsidRPr="003D2FEB">
        <w:rPr>
          <w:i/>
          <w:iCs/>
        </w:rPr>
        <w:t>1</w:t>
      </w:r>
      <w:r w:rsidRPr="003D2FEB">
        <w:t>).</w:t>
      </w:r>
    </w:p>
  </w:footnote>
  <w:footnote w:id="45">
    <w:p w:rsidR="00643FDD" w:rsidRPr="003D2FEB" w:rsidP="00643FDD" w14:paraId="68BAFD26" w14:textId="77777777">
      <w:pPr>
        <w:pStyle w:val="FootnoteText"/>
      </w:pPr>
      <w:r w:rsidRPr="003D2FEB">
        <w:rPr>
          <w:rStyle w:val="FootnoteReference"/>
        </w:rPr>
        <w:footnoteRef/>
      </w:r>
      <w:r w:rsidRPr="003D2FEB">
        <w:t xml:space="preserve"> </w:t>
      </w:r>
      <w:r w:rsidRPr="003D2FEB">
        <w:rPr>
          <w:i/>
          <w:iCs/>
        </w:rPr>
        <w:t>See</w:t>
      </w:r>
      <w:r w:rsidRPr="003D2FEB">
        <w:t xml:space="preserve"> 47 CFR § 9.10(</w:t>
      </w:r>
      <w:r w:rsidRPr="003D2FEB">
        <w:t>i</w:t>
      </w:r>
      <w:r w:rsidRPr="003D2FEB">
        <w:t>)(2)(ii)(I)(</w:t>
      </w:r>
      <w:r w:rsidRPr="003D2FEB">
        <w:rPr>
          <w:i/>
          <w:iCs/>
        </w:rPr>
        <w:t>2</w:t>
      </w:r>
      <w:r w:rsidRPr="003D2FEB">
        <w:t>).</w:t>
      </w:r>
    </w:p>
  </w:footnote>
  <w:footnote w:id="46">
    <w:p w:rsidR="00643FDD" w:rsidRPr="003D2FEB" w:rsidP="00643FDD" w14:paraId="688E899F" w14:textId="77777777">
      <w:pPr>
        <w:pStyle w:val="FootnoteText"/>
      </w:pPr>
      <w:r w:rsidRPr="003D2FEB">
        <w:rPr>
          <w:rStyle w:val="FootnoteReference"/>
        </w:rPr>
        <w:footnoteRef/>
      </w:r>
      <w:r w:rsidRPr="003D2FEB">
        <w:t xml:space="preserve"> </w:t>
      </w:r>
      <w:r w:rsidRPr="00F928DF">
        <w:rPr>
          <w:i/>
          <w:iCs/>
        </w:rPr>
        <w:t>2020 Indoor Location Accuracy Order</w:t>
      </w:r>
      <w:r w:rsidRPr="003D2FEB">
        <w:t xml:space="preserve">, 35 FCC </w:t>
      </w:r>
      <w:r w:rsidRPr="003D2FEB">
        <w:t>Rcd</w:t>
      </w:r>
      <w:r w:rsidRPr="003D2FEB">
        <w:t xml:space="preserve"> at 7775-76, paras. 51-53; </w:t>
      </w:r>
      <w:r w:rsidRPr="003D2FEB">
        <w:rPr>
          <w:i/>
          <w:iCs/>
        </w:rPr>
        <w:t>see also</w:t>
      </w:r>
      <w:r w:rsidRPr="003D2FEB">
        <w:t xml:space="preserve"> 47 CFR § 9.10(</w:t>
      </w:r>
      <w:r w:rsidRPr="003D2FEB">
        <w:t>i</w:t>
      </w:r>
      <w:r w:rsidRPr="003D2FEB">
        <w:t>)(2)(ii)(G).</w:t>
      </w:r>
    </w:p>
  </w:footnote>
  <w:footnote w:id="47">
    <w:p w:rsidR="00643FDD" w:rsidRPr="003D2FEB" w:rsidP="00643FDD" w14:paraId="3F428B67" w14:textId="77777777">
      <w:pPr>
        <w:pStyle w:val="FootnoteText"/>
      </w:pPr>
      <w:r w:rsidRPr="003D2FEB">
        <w:rPr>
          <w:rStyle w:val="FootnoteReference"/>
        </w:rPr>
        <w:footnoteRef/>
      </w:r>
      <w:r w:rsidRPr="003D2FEB">
        <w:t xml:space="preserve"> </w:t>
      </w:r>
      <w:r w:rsidRPr="00F928DF">
        <w:rPr>
          <w:i/>
          <w:iCs/>
        </w:rPr>
        <w:t>2020 Indoor Location Accuracy Order</w:t>
      </w:r>
      <w:r w:rsidRPr="003D2FEB">
        <w:t xml:space="preserve">, 35 FCC </w:t>
      </w:r>
      <w:r w:rsidRPr="003D2FEB">
        <w:t>Rcd</w:t>
      </w:r>
      <w:r w:rsidRPr="003D2FEB">
        <w:t xml:space="preserve"> at 7761-63, paras. 21-25; </w:t>
      </w:r>
      <w:r w:rsidRPr="003D2FEB">
        <w:rPr>
          <w:i/>
          <w:iCs/>
        </w:rPr>
        <w:t>see also</w:t>
      </w:r>
      <w:r w:rsidRPr="003D2FEB">
        <w:t xml:space="preserve"> 47 CFR § 9.10(</w:t>
      </w:r>
      <w:r w:rsidRPr="003D2FEB">
        <w:t>i</w:t>
      </w:r>
      <w:r w:rsidRPr="003D2FEB">
        <w:t>)(2)(ii)(E)</w:t>
      </w:r>
      <w:r>
        <w:t>-</w:t>
      </w:r>
      <w:r w:rsidRPr="003D2FEB">
        <w:t>(F)</w:t>
      </w:r>
      <w:r>
        <w:t xml:space="preserve"> (stating that nationwide CMRS providers must meet the benchmark by April 3, 2025, while non-nationwide CMRS providers will have an additional year to meet the benchmark throughout their network footprint)</w:t>
      </w:r>
      <w:r w:rsidRPr="003D2FEB">
        <w:t>.</w:t>
      </w:r>
    </w:p>
  </w:footnote>
  <w:footnote w:id="48">
    <w:p w:rsidR="00E72A14" w:rsidP="00E72A14" w14:paraId="19ECA846" w14:textId="128DA84D">
      <w:pPr>
        <w:pStyle w:val="FootnoteText"/>
      </w:pPr>
      <w:r>
        <w:rPr>
          <w:rStyle w:val="FootnoteReference"/>
        </w:rPr>
        <w:footnoteRef/>
      </w:r>
      <w:r>
        <w:t xml:space="preserve"> 47 CFR § 90.155(d).  Pursuant to this rule, M-LMS licensees must construct and operate a sufficient number of base stations to serve one-third and two-thirds of an EA’s population within five and ten years of the initial license grant, respectively.  </w:t>
      </w:r>
      <w:r w:rsidRPr="009A317A">
        <w:rPr>
          <w:i/>
          <w:iCs/>
        </w:rPr>
        <w:t>Id.</w:t>
      </w:r>
      <w:r>
        <w:t xml:space="preserve">  Alternatively, an M-LMS licensee may make a showing of substantial service for its license at the five-year and ten-year benchmarks.  </w:t>
      </w:r>
      <w:r w:rsidRPr="009A317A">
        <w:rPr>
          <w:i/>
          <w:iCs/>
        </w:rPr>
        <w:t>Id.</w:t>
      </w:r>
    </w:p>
  </w:footnote>
  <w:footnote w:id="49">
    <w:p w:rsidR="00926BBF" w14:paraId="215A683C" w14:textId="596D24B9">
      <w:pPr>
        <w:pStyle w:val="FootnoteText"/>
      </w:pPr>
      <w:r>
        <w:rPr>
          <w:rStyle w:val="FootnoteReference"/>
        </w:rPr>
        <w:footnoteRef/>
      </w:r>
      <w:r>
        <w:t xml:space="preserve"> </w:t>
      </w:r>
      <w:r w:rsidRPr="007878E8">
        <w:rPr>
          <w:i/>
          <w:iCs/>
        </w:rPr>
        <w:t xml:space="preserve">See </w:t>
      </w:r>
      <w:r w:rsidR="00B96FDD">
        <w:rPr>
          <w:i/>
          <w:iCs/>
        </w:rPr>
        <w:t>2017 Progeny</w:t>
      </w:r>
      <w:r w:rsidRPr="007A01B2">
        <w:rPr>
          <w:i/>
          <w:iCs/>
        </w:rPr>
        <w:t xml:space="preserve"> Order</w:t>
      </w:r>
      <w:r>
        <w:t xml:space="preserve">, 32 FCC </w:t>
      </w:r>
      <w:r>
        <w:t>Rcd</w:t>
      </w:r>
      <w:r>
        <w:t xml:space="preserve"> at 135-36, para. 27.</w:t>
      </w:r>
    </w:p>
  </w:footnote>
  <w:footnote w:id="50">
    <w:p w:rsidR="00E72A14" w:rsidP="00E72A14" w14:paraId="2700512F" w14:textId="297AF423">
      <w:pPr>
        <w:pStyle w:val="FootnoteText"/>
      </w:pPr>
      <w:r w:rsidRPr="00293784">
        <w:rPr>
          <w:rStyle w:val="FootnoteReference"/>
        </w:rPr>
        <w:footnoteRef/>
      </w:r>
      <w:r w:rsidRPr="00293784">
        <w:t xml:space="preserve"> </w:t>
      </w:r>
      <w:r w:rsidRPr="00293784">
        <w:rPr>
          <w:i/>
          <w:iCs/>
        </w:rPr>
        <w:t>See</w:t>
      </w:r>
      <w:r w:rsidRPr="00293784">
        <w:t xml:space="preserve"> </w:t>
      </w:r>
      <w:r w:rsidR="00B96FDD">
        <w:rPr>
          <w:i/>
          <w:iCs/>
        </w:rPr>
        <w:t>2017 Progeny</w:t>
      </w:r>
      <w:r w:rsidRPr="00293784" w:rsidR="00293784">
        <w:rPr>
          <w:i/>
          <w:iCs/>
        </w:rPr>
        <w:t xml:space="preserve"> Order</w:t>
      </w:r>
      <w:r w:rsidRPr="00293784" w:rsidR="00293784">
        <w:t xml:space="preserve"> (</w:t>
      </w:r>
      <w:r w:rsidRPr="001D482E">
        <w:rPr>
          <w:i/>
          <w:iCs/>
        </w:rPr>
        <w:t>citing</w:t>
      </w:r>
      <w:r w:rsidRPr="00293784">
        <w:t xml:space="preserve"> </w:t>
      </w:r>
      <w:r w:rsidRPr="00293784" w:rsidR="00683A74">
        <w:rPr>
          <w:i/>
          <w:iCs/>
        </w:rPr>
        <w:t xml:space="preserve">2015 </w:t>
      </w:r>
      <w:r w:rsidRPr="00293784">
        <w:rPr>
          <w:i/>
          <w:iCs/>
        </w:rPr>
        <w:t>Indoor Location Accuracy Order</w:t>
      </w:r>
      <w:r w:rsidRPr="00293784" w:rsidR="00293784">
        <w:t>).</w:t>
      </w:r>
    </w:p>
  </w:footnote>
  <w:footnote w:id="51">
    <w:p w:rsidR="00E72A14" w:rsidP="00E72A14" w14:paraId="5237440D" w14:textId="6F4BEF3F">
      <w:pPr>
        <w:pStyle w:val="FootnoteText"/>
      </w:pPr>
      <w:r>
        <w:rPr>
          <w:rStyle w:val="FootnoteReference"/>
        </w:rPr>
        <w:footnoteRef/>
      </w:r>
      <w:r>
        <w:t xml:space="preserve"> </w:t>
      </w:r>
      <w:r w:rsidRPr="007878E8">
        <w:rPr>
          <w:i/>
          <w:iCs/>
        </w:rPr>
        <w:t xml:space="preserve">See </w:t>
      </w:r>
      <w:r w:rsidR="00264A96">
        <w:rPr>
          <w:i/>
          <w:iCs/>
        </w:rPr>
        <w:t xml:space="preserve">Request of Progeny LMS, LLC for Waiver and Limited Extension of </w:t>
      </w:r>
      <w:r w:rsidRPr="00264A96" w:rsidR="00264A96">
        <w:rPr>
          <w:i/>
          <w:iCs/>
        </w:rPr>
        <w:t>Time</w:t>
      </w:r>
      <w:r w:rsidR="00264A96">
        <w:t xml:space="preserve">, WT Docket No. 12-202, Order, </w:t>
      </w:r>
      <w:r>
        <w:t xml:space="preserve">32 FCC </w:t>
      </w:r>
      <w:r>
        <w:t>Rcd</w:t>
      </w:r>
      <w:r>
        <w:t xml:space="preserve"> </w:t>
      </w:r>
      <w:r w:rsidR="00264A96">
        <w:t xml:space="preserve">123, </w:t>
      </w:r>
      <w:r>
        <w:t>135-36, para. 27</w:t>
      </w:r>
      <w:r w:rsidR="008771AA">
        <w:t xml:space="preserve">; </w:t>
      </w:r>
      <w:r w:rsidR="008771AA">
        <w:rPr>
          <w:i/>
          <w:iCs/>
          <w:color w:val="000000"/>
        </w:rPr>
        <w:t>s</w:t>
      </w:r>
      <w:r w:rsidRPr="001E0CEE" w:rsidR="008771AA">
        <w:rPr>
          <w:i/>
          <w:iCs/>
          <w:color w:val="000000"/>
        </w:rPr>
        <w:t>ee</w:t>
      </w:r>
      <w:r w:rsidRPr="001E0CEE" w:rsidR="008771AA">
        <w:rPr>
          <w:color w:val="000000"/>
        </w:rPr>
        <w:t xml:space="preserve"> Progeny LMS, LLC Request for Waiver and Extension of Time, Universal Licensing System (ULS) File Nos.</w:t>
      </w:r>
      <w:r w:rsidRPr="001E0CEE" w:rsidR="008771AA">
        <w:rPr>
          <w:snapToGrid w:val="0"/>
          <w:color w:val="000000"/>
          <w:kern w:val="28"/>
          <w:shd w:val="clear" w:color="auto" w:fill="F7F5FF"/>
        </w:rPr>
        <w:t xml:space="preserve"> </w:t>
      </w:r>
      <w:r w:rsidRPr="001E0CEE" w:rsidR="008771AA">
        <w:rPr>
          <w:color w:val="000000"/>
        </w:rPr>
        <w:t xml:space="preserve">0005273211 </w:t>
      </w:r>
      <w:r w:rsidRPr="001E0CEE" w:rsidR="008771AA">
        <w:rPr>
          <w:iCs/>
          <w:color w:val="000000"/>
        </w:rPr>
        <w:t>et al</w:t>
      </w:r>
      <w:r w:rsidRPr="001E0CEE" w:rsidR="008771AA">
        <w:rPr>
          <w:color w:val="000000"/>
        </w:rPr>
        <w:t xml:space="preserve">. (filed June 21, 2012) (2012 Waiver Request); Progeny LMS, LLC Request for Extension of Time, ULS File Nos. </w:t>
      </w:r>
      <w:r w:rsidRPr="004E11FA" w:rsidR="008771AA">
        <w:rPr>
          <w:color w:val="000000"/>
        </w:rPr>
        <w:t xml:space="preserve">0006383272 </w:t>
      </w:r>
      <w:r w:rsidRPr="004E11FA" w:rsidR="008771AA">
        <w:rPr>
          <w:iCs/>
          <w:color w:val="000000"/>
        </w:rPr>
        <w:t>et a</w:t>
      </w:r>
      <w:r w:rsidRPr="00CB3ED1" w:rsidR="008771AA">
        <w:rPr>
          <w:iCs/>
          <w:color w:val="000000"/>
        </w:rPr>
        <w:t>l</w:t>
      </w:r>
      <w:r w:rsidRPr="004E11FA" w:rsidR="008771AA">
        <w:rPr>
          <w:color w:val="000000"/>
        </w:rPr>
        <w:t>. (filed July 17, 2014) (2014 Waiver Request)</w:t>
      </w:r>
      <w:r w:rsidRPr="001E0CEE" w:rsidR="008771AA">
        <w:rPr>
          <w:color w:val="000000"/>
        </w:rPr>
        <w:t>; Progeny LMS, LLC Amendment and Restatement to Requests for Waiver and Extension of Time (filed Mar. 27, 2015) (Amendment); Progeny LMS, LLC Limited Amendment to Amendment and Restatement to Requests for Waiver and Extension of Time (filed June 26, 2015) (Limited Amendment) (Amendment and Limited Amendment, together, Amended Waiver Requests).  Progeny request</w:t>
      </w:r>
      <w:r w:rsidR="00D22D1B">
        <w:rPr>
          <w:color w:val="000000"/>
        </w:rPr>
        <w:t>ed</w:t>
      </w:r>
      <w:r w:rsidRPr="001E0CEE" w:rsidR="008771AA">
        <w:rPr>
          <w:color w:val="000000"/>
        </w:rPr>
        <w:t xml:space="preserve"> that the Amended Waiver Requests supersede all </w:t>
      </w:r>
      <w:r w:rsidR="00D22D1B">
        <w:rPr>
          <w:color w:val="000000"/>
        </w:rPr>
        <w:t xml:space="preserve">previously </w:t>
      </w:r>
      <w:r w:rsidRPr="001E0CEE" w:rsidR="008771AA">
        <w:rPr>
          <w:color w:val="000000"/>
        </w:rPr>
        <w:t xml:space="preserve">pending waiver and extension requests.  Amendment at 2.  </w:t>
      </w:r>
    </w:p>
  </w:footnote>
  <w:footnote w:id="52">
    <w:p w:rsidR="00025939" w:rsidRPr="00B46455" w:rsidP="00025939" w14:paraId="1848C1D2" w14:textId="5073E53A">
      <w:pPr>
        <w:pStyle w:val="FootnoteText"/>
      </w:pPr>
      <w:r w:rsidRPr="0090314D">
        <w:rPr>
          <w:rStyle w:val="FootnoteReference"/>
        </w:rPr>
        <w:footnoteRef/>
      </w:r>
      <w:r w:rsidRPr="0090314D">
        <w:t xml:space="preserve"> </w:t>
      </w:r>
      <w:r>
        <w:t xml:space="preserve">In 2015, the Commission </w:t>
      </w:r>
      <w:r w:rsidRPr="009719C1">
        <w:t xml:space="preserve">adopted the </w:t>
      </w:r>
      <w:r w:rsidRPr="009719C1">
        <w:rPr>
          <w:i/>
          <w:iCs/>
        </w:rPr>
        <w:t>2015 Indoor Location Accuracy Order</w:t>
      </w:r>
      <w:r w:rsidRPr="009719C1">
        <w:t>, which</w:t>
      </w:r>
      <w:r>
        <w:t xml:space="preserve"> required CMRS providers to improve 911 location accuracy technology and to meet a timeline for implementation of solutions intended to lead to improvements in horizontal and vertical location accuracy. </w:t>
      </w:r>
      <w:r w:rsidRPr="0090314D">
        <w:t xml:space="preserve"> In the </w:t>
      </w:r>
      <w:r w:rsidRPr="0090314D">
        <w:rPr>
          <w:i/>
          <w:iCs/>
        </w:rPr>
        <w:t>2017 Progeny Order</w:t>
      </w:r>
      <w:r w:rsidRPr="0090314D">
        <w:t xml:space="preserve">, Progeny’s end-of-term construction deadlines for its B and C Block licenses were extended in three license groupings </w:t>
      </w:r>
      <w:r>
        <w:t xml:space="preserve">largely </w:t>
      </w:r>
      <w:r w:rsidRPr="0090314D">
        <w:t xml:space="preserve">based on </w:t>
      </w:r>
      <w:r>
        <w:t xml:space="preserve">dates set forth in </w:t>
      </w:r>
      <w:r w:rsidRPr="0090314D">
        <w:t xml:space="preserve">the </w:t>
      </w:r>
      <w:r w:rsidRPr="0090314D">
        <w:rPr>
          <w:i/>
          <w:iCs/>
        </w:rPr>
        <w:t>2015 Indoor Location Accuracy Order</w:t>
      </w:r>
      <w:r w:rsidRPr="0090314D">
        <w:t xml:space="preserve">.  Progeny’s deadlines were extended in its:  (1) top </w:t>
      </w:r>
      <w:r w:rsidR="00B53F6F">
        <w:t>40</w:t>
      </w:r>
      <w:r w:rsidRPr="0090314D" w:rsidR="00B53F6F">
        <w:t xml:space="preserve"> </w:t>
      </w:r>
      <w:r w:rsidRPr="0090314D">
        <w:t>EAs, which correspond to the carriers top 25 CMAs, to 2020; (2) next 2</w:t>
      </w:r>
      <w:r w:rsidR="00B53F6F">
        <w:t>0</w:t>
      </w:r>
      <w:r w:rsidRPr="0090314D">
        <w:t xml:space="preserve"> EAs, which corresponds to the carriers top 50 CMAs, </w:t>
      </w:r>
      <w:r>
        <w:t>to</w:t>
      </w:r>
      <w:r w:rsidRPr="0090314D">
        <w:t xml:space="preserve"> 2021; and (3) final 7</w:t>
      </w:r>
      <w:r w:rsidR="00824A8F">
        <w:t>3</w:t>
      </w:r>
      <w:r w:rsidRPr="0090314D">
        <w:t xml:space="preserve"> EA</w:t>
      </w:r>
      <w:r w:rsidR="00824A8F">
        <w:t>s</w:t>
      </w:r>
      <w:r w:rsidRPr="0090314D">
        <w:t xml:space="preserve">, which corresponds to everything </w:t>
      </w:r>
      <w:r w:rsidRPr="00B46455">
        <w:t>outside of the top 50 CMAs, to 2023.</w:t>
      </w:r>
    </w:p>
  </w:footnote>
  <w:footnote w:id="53">
    <w:p w:rsidR="00EB0CCA" w:rsidP="00EB0CCA" w14:paraId="3AE68DF4" w14:textId="3E65BF16">
      <w:pPr>
        <w:pStyle w:val="FootnoteText"/>
      </w:pPr>
      <w:r>
        <w:rPr>
          <w:rStyle w:val="FootnoteReference"/>
        </w:rPr>
        <w:footnoteRef/>
      </w:r>
      <w:r>
        <w:t xml:space="preserve"> </w:t>
      </w:r>
      <w:r w:rsidRPr="0036302F">
        <w:rPr>
          <w:i/>
          <w:iCs/>
        </w:rPr>
        <w:t>See</w:t>
      </w:r>
      <w:r>
        <w:rPr>
          <w:i/>
          <w:iCs/>
        </w:rPr>
        <w:t xml:space="preserve"> </w:t>
      </w:r>
      <w:r w:rsidR="006238C6">
        <w:rPr>
          <w:i/>
          <w:iCs/>
        </w:rPr>
        <w:t>2017 Progeny</w:t>
      </w:r>
      <w:r w:rsidRPr="007A01B2" w:rsidR="006238C6">
        <w:rPr>
          <w:i/>
          <w:iCs/>
        </w:rPr>
        <w:t xml:space="preserve"> Order</w:t>
      </w:r>
      <w:r w:rsidR="006238C6">
        <w:t xml:space="preserve">, </w:t>
      </w:r>
      <w:r>
        <w:t xml:space="preserve">32 FCC </w:t>
      </w:r>
      <w:r>
        <w:t>Rcd</w:t>
      </w:r>
      <w:r>
        <w:t xml:space="preserve"> at 138-39, para. 33-35.</w:t>
      </w:r>
    </w:p>
  </w:footnote>
  <w:footnote w:id="54">
    <w:p w:rsidR="00EB0CCA" w:rsidP="00EB0CCA" w14:paraId="39E0A49B" w14:textId="77777777">
      <w:pPr>
        <w:pStyle w:val="FootnoteText"/>
      </w:pPr>
      <w:r>
        <w:rPr>
          <w:rStyle w:val="FootnoteReference"/>
        </w:rPr>
        <w:footnoteRef/>
      </w:r>
      <w:r>
        <w:t xml:space="preserve"> </w:t>
      </w:r>
      <w:r w:rsidRPr="0036302F">
        <w:rPr>
          <w:i/>
          <w:iCs/>
        </w:rPr>
        <w:t>Id.</w:t>
      </w:r>
    </w:p>
  </w:footnote>
  <w:footnote w:id="55">
    <w:p w:rsidR="00EB0CCA" w:rsidP="00EB0CCA" w14:paraId="7A17956A" w14:textId="29BA6184">
      <w:pPr>
        <w:pStyle w:val="FootnoteText"/>
      </w:pPr>
      <w:r>
        <w:rPr>
          <w:rStyle w:val="FootnoteReference"/>
        </w:rPr>
        <w:footnoteRef/>
      </w:r>
      <w:r>
        <w:t xml:space="preserve"> </w:t>
      </w:r>
      <w:r w:rsidR="008F5EEB">
        <w:rPr>
          <w:i/>
          <w:iCs/>
        </w:rPr>
        <w:t xml:space="preserve">2015 </w:t>
      </w:r>
      <w:r w:rsidRPr="00FB1EBF">
        <w:rPr>
          <w:i/>
          <w:iCs/>
        </w:rPr>
        <w:t>Indoor Location Accuracy Order</w:t>
      </w:r>
      <w:r>
        <w:t xml:space="preserve">, 30 FCC </w:t>
      </w:r>
      <w:r>
        <w:t>Rcd</w:t>
      </w:r>
      <w:r>
        <w:t xml:space="preserve"> at 1302-1305, paras. 112-120.</w:t>
      </w:r>
    </w:p>
  </w:footnote>
  <w:footnote w:id="56">
    <w:p w:rsidR="00EB0CCA" w:rsidP="00EB0CCA" w14:paraId="75CBEBCE" w14:textId="73DE147F">
      <w:pPr>
        <w:pStyle w:val="FootnoteText"/>
      </w:pPr>
      <w:r>
        <w:rPr>
          <w:rStyle w:val="FootnoteReference"/>
        </w:rPr>
        <w:footnoteRef/>
      </w:r>
      <w:r>
        <w:t xml:space="preserve"> </w:t>
      </w:r>
      <w:r w:rsidRPr="00F713E1">
        <w:rPr>
          <w:i/>
          <w:iCs/>
        </w:rPr>
        <w:t>Id.</w:t>
      </w:r>
      <w:r>
        <w:t xml:space="preserve"> at 1294-95,</w:t>
      </w:r>
      <w:r w:rsidR="000A7470">
        <w:t xml:space="preserve"> 1302</w:t>
      </w:r>
      <w:r w:rsidR="00A83122">
        <w:t>,</w:t>
      </w:r>
      <w:r>
        <w:t xml:space="preserve"> para</w:t>
      </w:r>
      <w:r w:rsidR="00A83122">
        <w:t>s</w:t>
      </w:r>
      <w:r>
        <w:t>. 95-96</w:t>
      </w:r>
      <w:r w:rsidR="00A83122">
        <w:t>,</w:t>
      </w:r>
      <w:r>
        <w:t xml:space="preserve"> 113.  Progeny’s affiliate </w:t>
      </w:r>
      <w:r>
        <w:t>NextNav</w:t>
      </w:r>
      <w:r>
        <w:t xml:space="preserve"> LLC developed a technology that uses Progeny’s M-LMS licenses to assist carriers in meeting their vertical location accuracy requirements.  </w:t>
      </w:r>
    </w:p>
  </w:footnote>
  <w:footnote w:id="57">
    <w:p w:rsidR="00EB0CCA" w:rsidP="00EB0CCA" w14:paraId="2B22380C" w14:textId="044001C5">
      <w:pPr>
        <w:pStyle w:val="FootnoteText"/>
      </w:pPr>
      <w:r>
        <w:rPr>
          <w:rStyle w:val="FootnoteReference"/>
        </w:rPr>
        <w:footnoteRef/>
      </w:r>
      <w:r>
        <w:t xml:space="preserve"> </w:t>
      </w:r>
      <w:r w:rsidR="00B96FDD">
        <w:rPr>
          <w:i/>
          <w:iCs/>
        </w:rPr>
        <w:t>2017 Progeny</w:t>
      </w:r>
      <w:r w:rsidRPr="007A01B2">
        <w:rPr>
          <w:i/>
          <w:iCs/>
        </w:rPr>
        <w:t xml:space="preserve"> Order</w:t>
      </w:r>
      <w:r>
        <w:t xml:space="preserve">, 32 FCC </w:t>
      </w:r>
      <w:r>
        <w:t>Rcd</w:t>
      </w:r>
      <w:r>
        <w:t xml:space="preserve"> at 137, paras. 29-30.</w:t>
      </w:r>
    </w:p>
  </w:footnote>
  <w:footnote w:id="58">
    <w:p w:rsidR="00DA460A" w:rsidRPr="00E33858" w14:paraId="0EE15A90" w14:textId="59C79D29">
      <w:pPr>
        <w:pStyle w:val="FootnoteText"/>
      </w:pPr>
      <w:r>
        <w:rPr>
          <w:rStyle w:val="FootnoteReference"/>
        </w:rPr>
        <w:footnoteRef/>
      </w:r>
      <w:r>
        <w:t xml:space="preserve"> </w:t>
      </w:r>
      <w:r w:rsidR="00D13CB7">
        <w:rPr>
          <w:i/>
          <w:iCs/>
        </w:rPr>
        <w:t xml:space="preserve">Request of Progeny LMS, LLC for Waiver and Extension of </w:t>
      </w:r>
      <w:r w:rsidRPr="00807944" w:rsidR="00D13CB7">
        <w:rPr>
          <w:i/>
        </w:rPr>
        <w:t>Time</w:t>
      </w:r>
      <w:r w:rsidR="00D13CB7">
        <w:t xml:space="preserve">, WT Docket No. 12-202, Order, 35 FCC </w:t>
      </w:r>
      <w:r w:rsidR="00D13CB7">
        <w:t>Rcd</w:t>
      </w:r>
      <w:r w:rsidR="00D13CB7">
        <w:t xml:space="preserve"> 7136 (WTB 2020) (</w:t>
      </w:r>
      <w:r w:rsidR="00B96FDD">
        <w:rPr>
          <w:i/>
          <w:iCs/>
        </w:rPr>
        <w:t>2020 Progeny</w:t>
      </w:r>
      <w:r w:rsidR="00D13CB7">
        <w:rPr>
          <w:i/>
          <w:iCs/>
        </w:rPr>
        <w:t xml:space="preserve"> Order</w:t>
      </w:r>
      <w:r w:rsidR="00D13CB7">
        <w:t>);</w:t>
      </w:r>
      <w:r w:rsidR="00D13CB7">
        <w:rPr>
          <w:i/>
          <w:iCs/>
        </w:rPr>
        <w:t xml:space="preserve"> see also </w:t>
      </w:r>
      <w:r w:rsidR="00B96FDD">
        <w:rPr>
          <w:i/>
          <w:iCs/>
        </w:rPr>
        <w:t>2017 Progeny</w:t>
      </w:r>
      <w:r w:rsidRPr="00C854B3">
        <w:rPr>
          <w:i/>
          <w:iCs/>
        </w:rPr>
        <w:t xml:space="preserve"> Order</w:t>
      </w:r>
      <w:r w:rsidR="00D13CB7">
        <w:t xml:space="preserve">, 32 FCC </w:t>
      </w:r>
      <w:r w:rsidR="00D13CB7">
        <w:t>Rcd</w:t>
      </w:r>
      <w:r w:rsidR="00D13CB7">
        <w:t xml:space="preserve"> at Attach. C (identifying the</w:t>
      </w:r>
      <w:r>
        <w:t xml:space="preserve"> 42 </w:t>
      </w:r>
      <w:r w:rsidRPr="00C85B3E">
        <w:t>licenses and construction deadlines</w:t>
      </w:r>
      <w:r w:rsidRPr="00C85B3E" w:rsidR="00D13CB7">
        <w:t>).</w:t>
      </w:r>
      <w:r w:rsidR="00E8790B">
        <w:t xml:space="preserve">  </w:t>
      </w:r>
      <w:r w:rsidR="00155FBD">
        <w:t xml:space="preserve">As explained further below, </w:t>
      </w:r>
      <w:r w:rsidR="00E33858">
        <w:t xml:space="preserve">we refer to </w:t>
      </w:r>
      <w:r w:rsidR="00155FBD">
        <w:t>these</w:t>
      </w:r>
      <w:r w:rsidR="00E33858">
        <w:t xml:space="preserve"> licenses collectively as the Group 1 licenses.  </w:t>
      </w:r>
      <w:r w:rsidR="00E33858">
        <w:rPr>
          <w:i/>
          <w:iCs/>
        </w:rPr>
        <w:t>See infra</w:t>
      </w:r>
      <w:r w:rsidR="00E33858">
        <w:t xml:space="preserve"> para</w:t>
      </w:r>
      <w:r w:rsidRPr="00021674" w:rsidR="00E33858">
        <w:t>. 1</w:t>
      </w:r>
      <w:r w:rsidRPr="00021674" w:rsidR="006C6F7D">
        <w:t>5</w:t>
      </w:r>
      <w:r w:rsidRPr="00021674" w:rsidR="00E33858">
        <w:t>.</w:t>
      </w:r>
    </w:p>
  </w:footnote>
  <w:footnote w:id="59">
    <w:p w:rsidR="003A549B" w:rsidRPr="00C85B3E" w14:paraId="1B21603D" w14:textId="76ABB5CA">
      <w:pPr>
        <w:pStyle w:val="FootnoteText"/>
      </w:pPr>
      <w:r w:rsidRPr="00C85B3E">
        <w:rPr>
          <w:rStyle w:val="FootnoteReference"/>
        </w:rPr>
        <w:footnoteRef/>
      </w:r>
      <w:r w:rsidRPr="00C85B3E">
        <w:t xml:space="preserve"> </w:t>
      </w:r>
      <w:r w:rsidR="00B96FDD">
        <w:rPr>
          <w:i/>
          <w:iCs/>
        </w:rPr>
        <w:t>2020 Progeny</w:t>
      </w:r>
      <w:r w:rsidRPr="00C85B3E" w:rsidR="00D13CB7">
        <w:rPr>
          <w:i/>
          <w:iCs/>
        </w:rPr>
        <w:t xml:space="preserve"> Order</w:t>
      </w:r>
      <w:r w:rsidRPr="00C85B3E" w:rsidR="00D13CB7">
        <w:t xml:space="preserve">, 35 FCC </w:t>
      </w:r>
      <w:r w:rsidRPr="00C85B3E" w:rsidR="00D13CB7">
        <w:t>Rcd</w:t>
      </w:r>
      <w:r w:rsidRPr="00C85B3E" w:rsidR="00D13CB7">
        <w:t xml:space="preserve"> at 7139, </w:t>
      </w:r>
      <w:r w:rsidRPr="00C85B3E" w:rsidR="007C7023">
        <w:t>para. 10</w:t>
      </w:r>
      <w:r w:rsidRPr="00C85B3E" w:rsidR="00D13CB7">
        <w:t>.</w:t>
      </w:r>
    </w:p>
  </w:footnote>
  <w:footnote w:id="60">
    <w:p w:rsidR="00DF3DD3" w:rsidP="00DF3DD3" w14:paraId="7A8393BE" w14:textId="53002B24">
      <w:pPr>
        <w:pStyle w:val="FootnoteText"/>
      </w:pPr>
      <w:r w:rsidRPr="00C85B3E">
        <w:rPr>
          <w:rStyle w:val="FootnoteReference"/>
        </w:rPr>
        <w:footnoteRef/>
      </w:r>
      <w:r w:rsidRPr="00C85B3E">
        <w:t xml:space="preserve"> </w:t>
      </w:r>
      <w:r w:rsidR="00B96FDD">
        <w:rPr>
          <w:i/>
          <w:iCs/>
        </w:rPr>
        <w:t>2020 Progeny</w:t>
      </w:r>
      <w:r w:rsidRPr="00C85B3E" w:rsidR="00D13CB7">
        <w:rPr>
          <w:i/>
          <w:iCs/>
        </w:rPr>
        <w:t xml:space="preserve"> Order</w:t>
      </w:r>
      <w:r w:rsidRPr="00C85B3E" w:rsidR="00D13CB7">
        <w:t xml:space="preserve">, 35 FCC </w:t>
      </w:r>
      <w:r w:rsidRPr="00C85B3E" w:rsidR="00D13CB7">
        <w:t>Rcd</w:t>
      </w:r>
      <w:r w:rsidRPr="00C85B3E" w:rsidR="00D13CB7">
        <w:t xml:space="preserve"> at 7139, para. 10</w:t>
      </w:r>
      <w:r w:rsidRPr="00C85B3E" w:rsidR="00C85B3E">
        <w:t xml:space="preserve">; </w:t>
      </w:r>
      <w:r w:rsidR="00B96FDD">
        <w:rPr>
          <w:i/>
          <w:iCs/>
        </w:rPr>
        <w:t>2017 Progeny</w:t>
      </w:r>
      <w:r w:rsidRPr="00C85B3E">
        <w:rPr>
          <w:i/>
          <w:iCs/>
        </w:rPr>
        <w:t xml:space="preserve"> Order</w:t>
      </w:r>
      <w:r w:rsidRPr="00C85B3E">
        <w:t xml:space="preserve">, 32 FCC </w:t>
      </w:r>
      <w:r w:rsidRPr="00C85B3E">
        <w:t>Rcd</w:t>
      </w:r>
      <w:r w:rsidRPr="00C85B3E">
        <w:t xml:space="preserve"> at 138, para. 33</w:t>
      </w:r>
      <w:r w:rsidRPr="00C85B3E" w:rsidR="00C85B3E">
        <w:t>.</w:t>
      </w:r>
    </w:p>
  </w:footnote>
  <w:footnote w:id="61">
    <w:p w:rsidR="00DF3DD3" w:rsidP="00DF3DD3" w14:paraId="24C7EA6B" w14:textId="0840F6E3">
      <w:pPr>
        <w:pStyle w:val="FootnoteText"/>
      </w:pPr>
      <w:r>
        <w:rPr>
          <w:rStyle w:val="FootnoteReference"/>
        </w:rPr>
        <w:footnoteRef/>
      </w:r>
      <w:r>
        <w:t xml:space="preserve"> </w:t>
      </w:r>
      <w:r w:rsidR="00B96FDD">
        <w:rPr>
          <w:i/>
          <w:iCs/>
        </w:rPr>
        <w:t>2020 Progeny</w:t>
      </w:r>
      <w:r w:rsidRPr="00C85B3E" w:rsidR="00C85B3E">
        <w:rPr>
          <w:i/>
          <w:iCs/>
        </w:rPr>
        <w:t xml:space="preserve"> Order</w:t>
      </w:r>
      <w:r w:rsidRPr="00C85B3E" w:rsidR="00C85B3E">
        <w:t xml:space="preserve">, 35 FCC </w:t>
      </w:r>
      <w:r w:rsidRPr="00C85B3E" w:rsidR="00C85B3E">
        <w:t>Rcd</w:t>
      </w:r>
      <w:r w:rsidRPr="00C85B3E" w:rsidR="00C85B3E">
        <w:t xml:space="preserve"> at 7139, para. 10; </w:t>
      </w:r>
      <w:r w:rsidR="00B96FDD">
        <w:rPr>
          <w:i/>
          <w:iCs/>
        </w:rPr>
        <w:t>2017 Progeny</w:t>
      </w:r>
      <w:r w:rsidRPr="00C85B3E" w:rsidR="00C85B3E">
        <w:rPr>
          <w:i/>
          <w:iCs/>
        </w:rPr>
        <w:t xml:space="preserve"> Order</w:t>
      </w:r>
      <w:r w:rsidRPr="00C85B3E" w:rsidR="00C85B3E">
        <w:t xml:space="preserve">, 32 FCC </w:t>
      </w:r>
      <w:r w:rsidRPr="00C85B3E" w:rsidR="00C85B3E">
        <w:t>Rcd</w:t>
      </w:r>
      <w:r w:rsidRPr="00C85B3E" w:rsidR="00C85B3E">
        <w:t xml:space="preserve"> at </w:t>
      </w:r>
      <w:r>
        <w:t>138-39, para. 34.</w:t>
      </w:r>
    </w:p>
  </w:footnote>
  <w:footnote w:id="62">
    <w:p w:rsidR="00FC33B7" w14:paraId="059608BC" w14:textId="55BA711A">
      <w:pPr>
        <w:pStyle w:val="FootnoteText"/>
      </w:pPr>
      <w:r>
        <w:rPr>
          <w:rStyle w:val="FootnoteReference"/>
        </w:rPr>
        <w:footnoteRef/>
      </w:r>
      <w:r>
        <w:t xml:space="preserve"> </w:t>
      </w:r>
      <w:r w:rsidRPr="00FC33B7">
        <w:rPr>
          <w:i/>
          <w:iCs/>
        </w:rPr>
        <w:t>See</w:t>
      </w:r>
      <w:r w:rsidRPr="00315F5B">
        <w:rPr>
          <w:i/>
          <w:iCs/>
        </w:rPr>
        <w:t xml:space="preserve"> </w:t>
      </w:r>
      <w:r w:rsidRPr="00315F5B" w:rsidR="00605071">
        <w:rPr>
          <w:i/>
          <w:iCs/>
        </w:rPr>
        <w:t>2017</w:t>
      </w:r>
      <w:r w:rsidR="00605071">
        <w:rPr>
          <w:i/>
          <w:iCs/>
        </w:rPr>
        <w:t xml:space="preserve"> Progeny Order</w:t>
      </w:r>
      <w:r>
        <w:t xml:space="preserve">, 32 FCC </w:t>
      </w:r>
      <w:r>
        <w:t>Rcd</w:t>
      </w:r>
      <w:r>
        <w:t xml:space="preserve"> at </w:t>
      </w:r>
      <w:r>
        <w:t>Attachs</w:t>
      </w:r>
      <w:r>
        <w:t>. C, D, E</w:t>
      </w:r>
      <w:r w:rsidR="00605071">
        <w:t xml:space="preserve">; </w:t>
      </w:r>
      <w:r>
        <w:rPr>
          <w:i/>
          <w:iCs/>
        </w:rPr>
        <w:t xml:space="preserve">see also infra </w:t>
      </w:r>
      <w:r>
        <w:t xml:space="preserve">at </w:t>
      </w:r>
      <w:r>
        <w:t>Attachs</w:t>
      </w:r>
      <w:r>
        <w:t>. A, B, C.</w:t>
      </w:r>
    </w:p>
  </w:footnote>
  <w:footnote w:id="63">
    <w:p w:rsidR="00881946" w:rsidP="00881946" w14:paraId="3255B06A" w14:textId="77777777">
      <w:pPr>
        <w:pStyle w:val="FootnoteText"/>
      </w:pPr>
      <w:r w:rsidRPr="00B46455">
        <w:rPr>
          <w:rStyle w:val="FootnoteReference"/>
        </w:rPr>
        <w:footnoteRef/>
      </w:r>
      <w:r w:rsidRPr="00B46455">
        <w:t xml:space="preserve"> Progeny’s </w:t>
      </w:r>
      <w:r>
        <w:t xml:space="preserve">April 3, 2023 </w:t>
      </w:r>
      <w:r w:rsidRPr="00B46455">
        <w:t>construction deadline coincided with the second vertical location accuracy benchmark for the top 50 CMAs.</w:t>
      </w:r>
      <w:r>
        <w:t xml:space="preserve">  </w:t>
      </w:r>
    </w:p>
  </w:footnote>
  <w:footnote w:id="64">
    <w:p w:rsidR="00BC0BA7" w:rsidRPr="00BC0BA7" w14:paraId="184E5EEF" w14:textId="676AF3C5">
      <w:pPr>
        <w:pStyle w:val="FootnoteText"/>
      </w:pPr>
      <w:r>
        <w:rPr>
          <w:rStyle w:val="FootnoteReference"/>
        </w:rPr>
        <w:footnoteRef/>
      </w:r>
      <w:r>
        <w:t xml:space="preserve"> </w:t>
      </w:r>
      <w:r w:rsidR="00B96FDD">
        <w:rPr>
          <w:i/>
          <w:iCs/>
        </w:rPr>
        <w:t>2017 Progeny</w:t>
      </w:r>
      <w:r>
        <w:rPr>
          <w:i/>
          <w:iCs/>
        </w:rPr>
        <w:t xml:space="preserve"> Order</w:t>
      </w:r>
      <w:r>
        <w:t xml:space="preserve">, 32 FCC </w:t>
      </w:r>
      <w:r>
        <w:t>Rcd</w:t>
      </w:r>
      <w:r>
        <w:t xml:space="preserve"> at 139, para. 35. </w:t>
      </w:r>
    </w:p>
  </w:footnote>
  <w:footnote w:id="65">
    <w:p w:rsidR="00C061AF" w:rsidP="00C061AF" w14:paraId="7E6C8E08" w14:textId="3E5F25F8">
      <w:pPr>
        <w:pStyle w:val="FootnoteText"/>
      </w:pPr>
      <w:r>
        <w:rPr>
          <w:rStyle w:val="FootnoteReference"/>
        </w:rPr>
        <w:footnoteRef/>
      </w:r>
      <w:r>
        <w:t xml:space="preserve"> </w:t>
      </w:r>
      <w:r w:rsidR="00885663">
        <w:t>Handset Waiver Request</w:t>
      </w:r>
      <w:r>
        <w:t xml:space="preserve">.  This condition parallels the CMRS providers’ z-axis deployment requirement whereby providers choosing to deploy z-axis capable handsets must do so on a nationwide </w:t>
      </w:r>
      <w:r w:rsidRPr="00CB1D47">
        <w:t xml:space="preserve">basis.  </w:t>
      </w:r>
      <w:r w:rsidRPr="00CB1D47">
        <w:rPr>
          <w:i/>
          <w:iCs/>
        </w:rPr>
        <w:t>See</w:t>
      </w:r>
      <w:r w:rsidRPr="00CB1D47">
        <w:t xml:space="preserve"> 47 CFR</w:t>
      </w:r>
      <w:r>
        <w:t xml:space="preserve"> </w:t>
      </w:r>
      <w:r w:rsidRPr="00B23D36">
        <w:t>§§</w:t>
      </w:r>
      <w:r w:rsidR="00381DF0">
        <w:t> </w:t>
      </w:r>
      <w:r>
        <w:t>9.10</w:t>
      </w:r>
      <w:r w:rsidRPr="00CB1D47">
        <w:t>(</w:t>
      </w:r>
      <w:r w:rsidRPr="00CB1D47">
        <w:t>i</w:t>
      </w:r>
      <w:r w:rsidRPr="00CB1D47">
        <w:t>)(2)(ii)(I)(2); 9.10(</w:t>
      </w:r>
      <w:r w:rsidRPr="00CB1D47">
        <w:t>i</w:t>
      </w:r>
      <w:r w:rsidRPr="00CB1D47">
        <w:t>)(</w:t>
      </w:r>
      <w:r>
        <w:t xml:space="preserve">2)(ii)(J)(3).  Providers were required to deploy this z-axis technology by April 3, 2021.  </w:t>
      </w:r>
      <w:r w:rsidRPr="00CB1D47">
        <w:t>47 CFR</w:t>
      </w:r>
      <w:r>
        <w:t xml:space="preserve"> </w:t>
      </w:r>
      <w:r w:rsidRPr="00B23D36">
        <w:t>§</w:t>
      </w:r>
      <w:r>
        <w:t xml:space="preserve"> 9.10</w:t>
      </w:r>
      <w:r w:rsidRPr="00CB1D47">
        <w:t>(</w:t>
      </w:r>
      <w:r w:rsidRPr="00CB1D47">
        <w:t>i</w:t>
      </w:r>
      <w:r w:rsidRPr="00CB1D47">
        <w:t>)(2)(</w:t>
      </w:r>
      <w:r>
        <w:t xml:space="preserve">ii)(C).  </w:t>
      </w:r>
    </w:p>
  </w:footnote>
  <w:footnote w:id="66">
    <w:p w:rsidR="00AB152F" w:rsidRPr="00AB152F" w14:paraId="347D2F68" w14:textId="6FD953C7">
      <w:pPr>
        <w:pStyle w:val="FootnoteText"/>
      </w:pPr>
      <w:r>
        <w:rPr>
          <w:rStyle w:val="FootnoteReference"/>
        </w:rPr>
        <w:footnoteRef/>
      </w:r>
      <w:r>
        <w:t xml:space="preserve"> Handset Waiver Request at 2-3</w:t>
      </w:r>
      <w:r w:rsidR="001B0621">
        <w:t>.</w:t>
      </w:r>
    </w:p>
  </w:footnote>
  <w:footnote w:id="67">
    <w:p w:rsidR="00AB152F" w14:paraId="26573F72" w14:textId="7929F16A">
      <w:pPr>
        <w:pStyle w:val="FootnoteText"/>
      </w:pPr>
      <w:r>
        <w:rPr>
          <w:rStyle w:val="FootnoteReference"/>
        </w:rPr>
        <w:footnoteRef/>
      </w:r>
      <w:r>
        <w:t xml:space="preserve"> Handset Waiver Request at 2</w:t>
      </w:r>
      <w:r w:rsidR="0020265D">
        <w:t>, 4-5.</w:t>
      </w:r>
    </w:p>
  </w:footnote>
  <w:footnote w:id="68">
    <w:p w:rsidR="00F21ABC" w:rsidRPr="00467EC6" w:rsidP="00F21ABC" w14:paraId="434C91A4" w14:textId="3B05DDEB">
      <w:pPr>
        <w:pStyle w:val="FootnoteText"/>
      </w:pPr>
      <w:r>
        <w:rPr>
          <w:rStyle w:val="FootnoteReference"/>
        </w:rPr>
        <w:footnoteRef/>
      </w:r>
      <w:r>
        <w:t xml:space="preserve"> </w:t>
      </w:r>
      <w:r w:rsidR="00B96FDD">
        <w:rPr>
          <w:i/>
          <w:iCs/>
        </w:rPr>
        <w:t>2020 Progeny</w:t>
      </w:r>
      <w:r>
        <w:rPr>
          <w:i/>
          <w:iCs/>
        </w:rPr>
        <w:t xml:space="preserve"> Order</w:t>
      </w:r>
      <w:r>
        <w:t>;</w:t>
      </w:r>
      <w:r w:rsidR="00B535D7">
        <w:t xml:space="preserve"> </w:t>
      </w:r>
      <w:r>
        <w:rPr>
          <w:i/>
          <w:iCs/>
        </w:rPr>
        <w:t xml:space="preserve">see also </w:t>
      </w:r>
      <w:r w:rsidR="00B96FDD">
        <w:rPr>
          <w:i/>
          <w:iCs/>
        </w:rPr>
        <w:t>2017 Progeny</w:t>
      </w:r>
      <w:r w:rsidRPr="00C854B3">
        <w:rPr>
          <w:i/>
          <w:iCs/>
        </w:rPr>
        <w:t xml:space="preserve"> Order</w:t>
      </w:r>
      <w:r>
        <w:t xml:space="preserve">, 32 FCC </w:t>
      </w:r>
      <w:r>
        <w:t>Rcd</w:t>
      </w:r>
      <w:r>
        <w:t xml:space="preserve"> at Attach. C (identifying the 42 </w:t>
      </w:r>
      <w:r w:rsidRPr="00C85B3E">
        <w:t>licenses and construction deadlines).</w:t>
      </w:r>
      <w:r>
        <w:t xml:space="preserve">  </w:t>
      </w:r>
    </w:p>
  </w:footnote>
  <w:footnote w:id="69">
    <w:p w:rsidR="00467EC6" w14:paraId="44F56BB8" w14:textId="1C0074DF">
      <w:pPr>
        <w:pStyle w:val="FootnoteText"/>
      </w:pPr>
      <w:r>
        <w:rPr>
          <w:rStyle w:val="FootnoteReference"/>
        </w:rPr>
        <w:footnoteRef/>
      </w:r>
      <w:r>
        <w:t xml:space="preserve"> </w:t>
      </w:r>
      <w:bookmarkStart w:id="3" w:name="_Hlk128052547"/>
      <w:r w:rsidR="00885663">
        <w:t>Second Construction Deadline Request</w:t>
      </w:r>
      <w:r w:rsidR="00F21ABC">
        <w:t xml:space="preserve">; </w:t>
      </w:r>
      <w:bookmarkEnd w:id="3"/>
      <w:r w:rsidR="00F21ABC">
        <w:rPr>
          <w:i/>
          <w:iCs/>
        </w:rPr>
        <w:t xml:space="preserve">id. </w:t>
      </w:r>
      <w:r>
        <w:t>at 2-5.</w:t>
      </w:r>
    </w:p>
  </w:footnote>
  <w:footnote w:id="70">
    <w:p w:rsidR="00726849" w:rsidP="00726849" w14:paraId="6A646BC3" w14:textId="277EDB20">
      <w:pPr>
        <w:pStyle w:val="FootnoteText"/>
      </w:pPr>
      <w:r>
        <w:rPr>
          <w:rStyle w:val="FootnoteReference"/>
        </w:rPr>
        <w:footnoteRef/>
      </w:r>
      <w:r>
        <w:t xml:space="preserve"> </w:t>
      </w:r>
      <w:r w:rsidRPr="00565ED7">
        <w:rPr>
          <w:i/>
          <w:iCs/>
        </w:rPr>
        <w:t>See id.</w:t>
      </w:r>
      <w:r>
        <w:t xml:space="preserve"> at </w:t>
      </w:r>
      <w:r w:rsidR="00131CA5">
        <w:t>2-3.</w:t>
      </w:r>
    </w:p>
  </w:footnote>
  <w:footnote w:id="71">
    <w:p w:rsidR="00726849" w:rsidRPr="00131CA5" w:rsidP="00726849" w14:paraId="2987150C" w14:textId="691F22D1">
      <w:pPr>
        <w:pStyle w:val="FootnoteText"/>
      </w:pPr>
      <w:r>
        <w:rPr>
          <w:rStyle w:val="FootnoteReference"/>
        </w:rPr>
        <w:footnoteRef/>
      </w:r>
      <w:r>
        <w:t xml:space="preserve"> </w:t>
      </w:r>
      <w:r w:rsidRPr="00565ED7">
        <w:rPr>
          <w:i/>
          <w:iCs/>
        </w:rPr>
        <w:t>See id.</w:t>
      </w:r>
      <w:r w:rsidR="00131CA5">
        <w:rPr>
          <w:i/>
          <w:iCs/>
        </w:rPr>
        <w:t xml:space="preserve"> </w:t>
      </w:r>
      <w:r w:rsidR="00131CA5">
        <w:t>at 4-5.</w:t>
      </w:r>
    </w:p>
  </w:footnote>
  <w:footnote w:id="72">
    <w:p w:rsidR="003D5757" w:rsidRPr="003D5757" w14:paraId="3FC4CDE3" w14:textId="61460E08">
      <w:pPr>
        <w:pStyle w:val="FootnoteText"/>
      </w:pPr>
      <w:r>
        <w:rPr>
          <w:rStyle w:val="FootnoteReference"/>
        </w:rPr>
        <w:footnoteRef/>
      </w:r>
      <w:r>
        <w:t xml:space="preserve"> </w:t>
      </w:r>
      <w:r>
        <w:rPr>
          <w:i/>
          <w:iCs/>
        </w:rPr>
        <w:t xml:space="preserve">See id. </w:t>
      </w:r>
      <w:r>
        <w:t xml:space="preserve">at 5; </w:t>
      </w:r>
      <w:r>
        <w:rPr>
          <w:i/>
          <w:iCs/>
        </w:rPr>
        <w:t xml:space="preserve">see also </w:t>
      </w:r>
      <w:r>
        <w:t xml:space="preserve">47 CFR </w:t>
      </w:r>
      <w:r w:rsidRPr="001E0CEE">
        <w:t>§</w:t>
      </w:r>
      <w:r>
        <w:t xml:space="preserve"> 1.946(e)(1).</w:t>
      </w:r>
    </w:p>
  </w:footnote>
  <w:footnote w:id="73">
    <w:p w:rsidR="00B535D7" w:rsidP="00B535D7" w14:paraId="53111EC8" w14:textId="7ECBE63C">
      <w:pPr>
        <w:pStyle w:val="FootnoteText"/>
      </w:pPr>
      <w:r>
        <w:rPr>
          <w:rStyle w:val="FootnoteReference"/>
        </w:rPr>
        <w:footnoteRef/>
      </w:r>
      <w:r>
        <w:t xml:space="preserve"> 47 CFR </w:t>
      </w:r>
      <w:r w:rsidRPr="001E0CEE">
        <w:t>§</w:t>
      </w:r>
      <w:r>
        <w:t xml:space="preserve"> 90.155(d) (“</w:t>
      </w:r>
      <w:r w:rsidRPr="00982C4A">
        <w:t>Multilateration</w:t>
      </w:r>
      <w:r w:rsidRPr="00982C4A">
        <w:t xml:space="preserve"> LMS EA-licensees, authorized in accordance with § 90.353, must construct and place in operation a sufficient number of base stations that utilize </w:t>
      </w:r>
      <w:r w:rsidRPr="00982C4A">
        <w:t>multilateration</w:t>
      </w:r>
      <w:r w:rsidRPr="00982C4A">
        <w:t xml:space="preserve"> technology (see paragraph (e) of this section) to provide </w:t>
      </w:r>
      <w:r w:rsidRPr="00982C4A">
        <w:t>multilateration</w:t>
      </w:r>
      <w:r w:rsidRPr="00982C4A">
        <w:t xml:space="preserve"> location service to one-third of the EA</w:t>
      </w:r>
      <w:r w:rsidR="002F488D">
        <w:t>’</w:t>
      </w:r>
      <w:r w:rsidRPr="00982C4A">
        <w:t xml:space="preserve">s population within five years of initial license grant, and two-thirds of the population within ten years. </w:t>
      </w:r>
      <w:r w:rsidR="00111BF5">
        <w:t xml:space="preserve"> </w:t>
      </w:r>
      <w:r w:rsidRPr="00982C4A">
        <w:t>Licensees may, in the alternative, provide substantial service to their licensed area within the appropriate five- and ten-year benchmarks.</w:t>
      </w:r>
      <w:r>
        <w:t>”).</w:t>
      </w:r>
    </w:p>
  </w:footnote>
  <w:footnote w:id="74">
    <w:p w:rsidR="00982C4A" w:rsidRPr="00B535D7" w14:paraId="76E9BF37" w14:textId="6609AA9B">
      <w:pPr>
        <w:pStyle w:val="FootnoteText"/>
        <w:rPr>
          <w:i/>
          <w:iCs/>
        </w:rPr>
      </w:pPr>
      <w:r>
        <w:rPr>
          <w:rStyle w:val="FootnoteReference"/>
        </w:rPr>
        <w:footnoteRef/>
      </w:r>
      <w:r>
        <w:t xml:space="preserve"> </w:t>
      </w:r>
      <w:r w:rsidR="00B535D7">
        <w:t xml:space="preserve">Progeny’s end-of-term construction deadline for the </w:t>
      </w:r>
      <w:r w:rsidR="00E94FF6">
        <w:t xml:space="preserve">(1) </w:t>
      </w:r>
      <w:r w:rsidR="006B2DD6">
        <w:t xml:space="preserve">Group 1 </w:t>
      </w:r>
      <w:r w:rsidR="00D46B3A">
        <w:t>l</w:t>
      </w:r>
      <w:r w:rsidR="006B2DD6">
        <w:t>icenses</w:t>
      </w:r>
      <w:r w:rsidR="00B535D7">
        <w:t xml:space="preserve"> was April 3, 2020</w:t>
      </w:r>
      <w:r w:rsidR="00E94FF6">
        <w:t xml:space="preserve">; (2) </w:t>
      </w:r>
      <w:r w:rsidR="006B2DD6">
        <w:t xml:space="preserve">Group 2 </w:t>
      </w:r>
      <w:r w:rsidR="00D46B3A">
        <w:t>l</w:t>
      </w:r>
      <w:r w:rsidR="006B2DD6">
        <w:t>icenses</w:t>
      </w:r>
      <w:r w:rsidR="00E94FF6">
        <w:t xml:space="preserve"> was April 3, 2021; and (3) </w:t>
      </w:r>
      <w:r w:rsidR="006B2DD6">
        <w:t xml:space="preserve">Group 3 </w:t>
      </w:r>
      <w:r w:rsidR="00D46B3A">
        <w:t>l</w:t>
      </w:r>
      <w:r w:rsidR="006B2DD6">
        <w:t>icenses</w:t>
      </w:r>
      <w:r w:rsidR="00E94FF6">
        <w:t xml:space="preserve"> is</w:t>
      </w:r>
      <w:r w:rsidRPr="23C6FF99" w:rsidR="00E94FF6">
        <w:t xml:space="preserve"> April 3, 2023</w:t>
      </w:r>
      <w:r w:rsidR="00B535D7">
        <w:t xml:space="preserve">.  </w:t>
      </w:r>
      <w:r w:rsidR="00B535D7">
        <w:rPr>
          <w:i/>
          <w:iCs/>
        </w:rPr>
        <w:t xml:space="preserve">See </w:t>
      </w:r>
      <w:r w:rsidR="00B96FDD">
        <w:rPr>
          <w:i/>
          <w:iCs/>
        </w:rPr>
        <w:t>2020 Progeny</w:t>
      </w:r>
      <w:r w:rsidR="00B535D7">
        <w:rPr>
          <w:i/>
          <w:iCs/>
        </w:rPr>
        <w:t xml:space="preserve"> Order</w:t>
      </w:r>
      <w:r w:rsidR="00B535D7">
        <w:t xml:space="preserve">; </w:t>
      </w:r>
      <w:r w:rsidR="00B535D7">
        <w:rPr>
          <w:i/>
          <w:iCs/>
        </w:rPr>
        <w:t xml:space="preserve">see also </w:t>
      </w:r>
      <w:r w:rsidR="00B96FDD">
        <w:rPr>
          <w:i/>
          <w:iCs/>
        </w:rPr>
        <w:t>2017 Progeny</w:t>
      </w:r>
      <w:r w:rsidRPr="00C854B3" w:rsidR="00B535D7">
        <w:rPr>
          <w:i/>
          <w:iCs/>
        </w:rPr>
        <w:t xml:space="preserve"> Order</w:t>
      </w:r>
      <w:r w:rsidR="00B535D7">
        <w:t xml:space="preserve">, 32 FCC </w:t>
      </w:r>
      <w:r w:rsidR="00B535D7">
        <w:t>Rcd</w:t>
      </w:r>
      <w:r w:rsidR="00B535D7">
        <w:t xml:space="preserve"> at </w:t>
      </w:r>
      <w:r w:rsidR="00B535D7">
        <w:t>Attach</w:t>
      </w:r>
      <w:r w:rsidR="00E94FF6">
        <w:t>s</w:t>
      </w:r>
      <w:r w:rsidR="00B535D7">
        <w:t>. C</w:t>
      </w:r>
      <w:r w:rsidR="00E94FF6">
        <w:t>, D, E</w:t>
      </w:r>
      <w:r w:rsidR="00B535D7">
        <w:t xml:space="preserve">.  </w:t>
      </w:r>
    </w:p>
  </w:footnote>
  <w:footnote w:id="75">
    <w:p w:rsidR="00CF3E0B" w14:paraId="174D4B60" w14:textId="1BE2F41F">
      <w:pPr>
        <w:pStyle w:val="FootnoteText"/>
      </w:pPr>
      <w:r>
        <w:rPr>
          <w:rStyle w:val="FootnoteReference"/>
        </w:rPr>
        <w:footnoteRef/>
      </w:r>
      <w:r>
        <w:t xml:space="preserve"> </w:t>
      </w:r>
      <w:bookmarkStart w:id="4" w:name="_Hlk128052588"/>
      <w:r w:rsidR="00885663">
        <w:t xml:space="preserve">Coverage </w:t>
      </w:r>
      <w:r>
        <w:t xml:space="preserve">Waiver Request. </w:t>
      </w:r>
      <w:r w:rsidR="009827A8">
        <w:t xml:space="preserve"> </w:t>
      </w:r>
      <w:bookmarkEnd w:id="4"/>
      <w:r w:rsidR="009827A8">
        <w:t xml:space="preserve">Through this waiver request, Progeny also </w:t>
      </w:r>
      <w:r w:rsidRPr="009827A8" w:rsidR="009827A8">
        <w:t xml:space="preserve">amended its </w:t>
      </w:r>
      <w:r w:rsidR="00E86F04">
        <w:t xml:space="preserve">April 2020 </w:t>
      </w:r>
      <w:r w:rsidRPr="009827A8" w:rsidR="009827A8">
        <w:t xml:space="preserve">construction showings </w:t>
      </w:r>
      <w:r w:rsidR="00E86F04">
        <w:t xml:space="preserve">for the </w:t>
      </w:r>
      <w:r w:rsidR="000D645E">
        <w:t xml:space="preserve">Group 1 </w:t>
      </w:r>
      <w:r w:rsidR="00D46B3A">
        <w:t>l</w:t>
      </w:r>
      <w:r w:rsidR="000D645E">
        <w:t>icenses</w:t>
      </w:r>
      <w:r w:rsidR="00E86F04">
        <w:t xml:space="preserve">.  Progeny filed these construction showings </w:t>
      </w:r>
      <w:r w:rsidR="00E86F04">
        <w:rPr>
          <w:i/>
          <w:iCs/>
        </w:rPr>
        <w:t xml:space="preserve">prior </w:t>
      </w:r>
      <w:r w:rsidR="00E86F04">
        <w:t xml:space="preserve">to the grant of the </w:t>
      </w:r>
      <w:r w:rsidR="00B96FDD">
        <w:rPr>
          <w:i/>
          <w:iCs/>
        </w:rPr>
        <w:t>2020 Progeny</w:t>
      </w:r>
      <w:r w:rsidR="00E86F04">
        <w:rPr>
          <w:i/>
          <w:iCs/>
        </w:rPr>
        <w:t xml:space="preserve"> Order</w:t>
      </w:r>
      <w:r w:rsidR="00E86F04">
        <w:t xml:space="preserve">.  Progeny </w:t>
      </w:r>
      <w:r w:rsidRPr="00D3715B" w:rsidR="00E86F04">
        <w:t xml:space="preserve">indicated its intent to make a substantial service </w:t>
      </w:r>
      <w:r w:rsidR="00E86F04">
        <w:t xml:space="preserve">showing to satisfy its end-of-term construction deadlines, but also acknowledged that Progeny’s end user terminals had not been distributed.  </w:t>
      </w:r>
      <w:r w:rsidR="00E86F04">
        <w:rPr>
          <w:i/>
          <w:iCs/>
        </w:rPr>
        <w:t xml:space="preserve">See </w:t>
      </w:r>
      <w:r w:rsidR="00E86F04">
        <w:t>Coverage Waiver Request at 4-5.</w:t>
      </w:r>
    </w:p>
  </w:footnote>
  <w:footnote w:id="76">
    <w:p w:rsidR="002F42E2" w:rsidRPr="00B55987" w14:paraId="52DAADCC" w14:textId="3379EBC3">
      <w:pPr>
        <w:pStyle w:val="FootnoteText"/>
      </w:pPr>
      <w:r>
        <w:rPr>
          <w:rStyle w:val="FootnoteReference"/>
        </w:rPr>
        <w:footnoteRef/>
      </w:r>
      <w:r>
        <w:t xml:space="preserve"> </w:t>
      </w:r>
      <w:r w:rsidRPr="00FA6892">
        <w:rPr>
          <w:i/>
          <w:iCs/>
        </w:rPr>
        <w:t>2020 Indoor Location Accuracy Order</w:t>
      </w:r>
      <w:r w:rsidR="00B55987">
        <w:t xml:space="preserve">, 35 FCC </w:t>
      </w:r>
      <w:r w:rsidR="00B55987">
        <w:t>Rcd</w:t>
      </w:r>
      <w:r w:rsidR="00B55987">
        <w:t xml:space="preserve"> at 7758-9, paras. 15-17; 47 CFR </w:t>
      </w:r>
      <w:r w:rsidRPr="00B23D36" w:rsidR="00B55987">
        <w:t>§</w:t>
      </w:r>
      <w:r w:rsidR="00B55987">
        <w:t xml:space="preserve"> 9.10(</w:t>
      </w:r>
      <w:r w:rsidR="00B55987">
        <w:t>i</w:t>
      </w:r>
      <w:r w:rsidR="00B55987">
        <w:t>)(2)(ii)(I)(1).</w:t>
      </w:r>
    </w:p>
  </w:footnote>
  <w:footnote w:id="77">
    <w:p w:rsidR="00A600BE" w14:paraId="671E67BF" w14:textId="63481389">
      <w:pPr>
        <w:pStyle w:val="FootnoteText"/>
      </w:pPr>
      <w:r>
        <w:rPr>
          <w:rStyle w:val="FootnoteReference"/>
        </w:rPr>
        <w:footnoteRef/>
      </w:r>
      <w:r>
        <w:t xml:space="preserve"> </w:t>
      </w:r>
      <w:r>
        <w:rPr>
          <w:i/>
          <w:iCs/>
        </w:rPr>
        <w:t xml:space="preserve">See </w:t>
      </w:r>
      <w:r>
        <w:t>Coverage Waiver Request at 2, 6-7.</w:t>
      </w:r>
    </w:p>
  </w:footnote>
  <w:footnote w:id="78">
    <w:p w:rsidR="004F41DA" w14:paraId="3BD59633" w14:textId="5E84D9C4">
      <w:pPr>
        <w:pStyle w:val="FootnoteText"/>
      </w:pPr>
      <w:r>
        <w:rPr>
          <w:rStyle w:val="FootnoteReference"/>
        </w:rPr>
        <w:footnoteRef/>
      </w:r>
      <w:r>
        <w:t xml:space="preserve"> </w:t>
      </w:r>
      <w:r>
        <w:rPr>
          <w:i/>
          <w:iCs/>
        </w:rPr>
        <w:t xml:space="preserve">See </w:t>
      </w:r>
      <w:r w:rsidR="00A600BE">
        <w:rPr>
          <w:i/>
          <w:iCs/>
        </w:rPr>
        <w:t>Id.</w:t>
      </w:r>
      <w:r>
        <w:t xml:space="preserve"> at 2, 6-7 (</w:t>
      </w:r>
      <w:r>
        <w:rPr>
          <w:i/>
          <w:iCs/>
        </w:rPr>
        <w:t xml:space="preserve">citing </w:t>
      </w:r>
      <w:r w:rsidRPr="00FA6892">
        <w:rPr>
          <w:i/>
          <w:iCs/>
        </w:rPr>
        <w:t>2020 Indoor Location Accuracy Order</w:t>
      </w:r>
      <w:r>
        <w:t xml:space="preserve">, 35 FCC </w:t>
      </w:r>
      <w:r>
        <w:t>Rcd</w:t>
      </w:r>
      <w:r>
        <w:t xml:space="preserve"> at 7759, para. 17);</w:t>
      </w:r>
      <w:r>
        <w:rPr>
          <w:i/>
          <w:iCs/>
        </w:rPr>
        <w:t xml:space="preserve"> </w:t>
      </w:r>
      <w:r>
        <w:t xml:space="preserve">47 CFR </w:t>
      </w:r>
      <w:r w:rsidRPr="00B23D36">
        <w:t>§</w:t>
      </w:r>
      <w:r>
        <w:t xml:space="preserve"> 1.3.</w:t>
      </w:r>
    </w:p>
  </w:footnote>
  <w:footnote w:id="79">
    <w:p w:rsidR="006A01B4" w:rsidRPr="002665DF" w14:paraId="0EDDB118" w14:textId="5DFB6430">
      <w:pPr>
        <w:pStyle w:val="FootnoteText"/>
      </w:pPr>
      <w:r>
        <w:rPr>
          <w:rStyle w:val="FootnoteReference"/>
        </w:rPr>
        <w:footnoteRef/>
      </w:r>
      <w:r>
        <w:t xml:space="preserve"> </w:t>
      </w:r>
      <w:r>
        <w:rPr>
          <w:i/>
          <w:iCs/>
        </w:rPr>
        <w:t xml:space="preserve">See </w:t>
      </w:r>
      <w:r w:rsidR="002665DF">
        <w:t xml:space="preserve">Coverage Waiver Request at 2. </w:t>
      </w:r>
    </w:p>
  </w:footnote>
  <w:footnote w:id="80">
    <w:p w:rsidR="0046113F" w:rsidRPr="0046113F" w14:paraId="1588BC09" w14:textId="7ABA8EFB">
      <w:pPr>
        <w:pStyle w:val="FootnoteText"/>
      </w:pPr>
      <w:r>
        <w:rPr>
          <w:rStyle w:val="FootnoteReference"/>
        </w:rPr>
        <w:footnoteRef/>
      </w:r>
      <w:r>
        <w:t xml:space="preserve"> </w:t>
      </w:r>
      <w:r>
        <w:rPr>
          <w:i/>
          <w:iCs/>
        </w:rPr>
        <w:t xml:space="preserve">Id. </w:t>
      </w:r>
      <w:r>
        <w:t xml:space="preserve">at 1. </w:t>
      </w:r>
    </w:p>
  </w:footnote>
  <w:footnote w:id="81">
    <w:p w:rsidR="00B9072D" w14:paraId="0A43798D" w14:textId="056832FB">
      <w:pPr>
        <w:pStyle w:val="FootnoteText"/>
      </w:pPr>
      <w:r>
        <w:rPr>
          <w:rStyle w:val="FootnoteReference"/>
        </w:rPr>
        <w:footnoteRef/>
      </w:r>
      <w:r>
        <w:t xml:space="preserve"> Progeny’s end-of-term construction deadline for </w:t>
      </w:r>
      <w:r w:rsidR="00860A62">
        <w:t xml:space="preserve">its Group 1 </w:t>
      </w:r>
      <w:r w:rsidR="00D46B3A">
        <w:t>l</w:t>
      </w:r>
      <w:r w:rsidR="00860A62">
        <w:t>icenses</w:t>
      </w:r>
      <w:r>
        <w:t xml:space="preserve"> was April 3, 2020.  </w:t>
      </w:r>
      <w:r>
        <w:rPr>
          <w:i/>
          <w:iCs/>
        </w:rPr>
        <w:t xml:space="preserve">See </w:t>
      </w:r>
      <w:r w:rsidR="00B96FDD">
        <w:rPr>
          <w:i/>
          <w:iCs/>
        </w:rPr>
        <w:t>2020 Progeny</w:t>
      </w:r>
      <w:r>
        <w:rPr>
          <w:i/>
          <w:iCs/>
        </w:rPr>
        <w:t xml:space="preserve"> Order</w:t>
      </w:r>
      <w:r>
        <w:t xml:space="preserve">; </w:t>
      </w:r>
      <w:r>
        <w:rPr>
          <w:i/>
          <w:iCs/>
        </w:rPr>
        <w:t xml:space="preserve">see also </w:t>
      </w:r>
      <w:r w:rsidR="00B96FDD">
        <w:rPr>
          <w:i/>
          <w:iCs/>
        </w:rPr>
        <w:t>2017 Progeny</w:t>
      </w:r>
      <w:r w:rsidRPr="00C854B3">
        <w:rPr>
          <w:i/>
          <w:iCs/>
        </w:rPr>
        <w:t xml:space="preserve"> Order</w:t>
      </w:r>
      <w:r>
        <w:t xml:space="preserve">, 32 FCC </w:t>
      </w:r>
      <w:r>
        <w:t>Rcd</w:t>
      </w:r>
      <w:r>
        <w:t xml:space="preserve"> at Attach. C.  Progeny’s end-of-term construction deadline for </w:t>
      </w:r>
      <w:r w:rsidR="00860A62">
        <w:t xml:space="preserve">its Group 2 </w:t>
      </w:r>
      <w:r w:rsidR="00D46B3A">
        <w:t>l</w:t>
      </w:r>
      <w:r w:rsidR="00860A62">
        <w:t>icenses</w:t>
      </w:r>
      <w:r>
        <w:t xml:space="preserve"> was April 3, 2021.  </w:t>
      </w:r>
      <w:r>
        <w:rPr>
          <w:i/>
          <w:iCs/>
        </w:rPr>
        <w:t xml:space="preserve">See </w:t>
      </w:r>
      <w:r w:rsidR="00B96FDD">
        <w:rPr>
          <w:i/>
          <w:iCs/>
        </w:rPr>
        <w:t>2017 Progeny</w:t>
      </w:r>
      <w:r w:rsidRPr="00C854B3">
        <w:rPr>
          <w:i/>
          <w:iCs/>
        </w:rPr>
        <w:t xml:space="preserve"> Order</w:t>
      </w:r>
      <w:r>
        <w:t xml:space="preserve">, 32 FCC </w:t>
      </w:r>
      <w:r>
        <w:t>Rcd</w:t>
      </w:r>
      <w:r>
        <w:t xml:space="preserve"> at Attach. D.  </w:t>
      </w:r>
    </w:p>
  </w:footnote>
  <w:footnote w:id="82">
    <w:p w:rsidR="00D74CA3" w14:paraId="5B653E1D" w14:textId="3EC12A86">
      <w:pPr>
        <w:pStyle w:val="FootnoteText"/>
      </w:pPr>
      <w:r>
        <w:rPr>
          <w:rStyle w:val="FootnoteReference"/>
        </w:rPr>
        <w:footnoteRef/>
      </w:r>
      <w:r>
        <w:t xml:space="preserve"> </w:t>
      </w:r>
      <w:bookmarkStart w:id="5" w:name="_Hlk128052609"/>
      <w:r>
        <w:t>Third Construction Deadline Request.</w:t>
      </w:r>
      <w:bookmarkEnd w:id="5"/>
    </w:p>
  </w:footnote>
  <w:footnote w:id="83">
    <w:p w:rsidR="00A3474E" w:rsidP="00A3474E" w14:paraId="127B16A5" w14:textId="77777777">
      <w:pPr>
        <w:pStyle w:val="FootnoteText"/>
      </w:pPr>
      <w:r>
        <w:rPr>
          <w:rStyle w:val="FootnoteReference"/>
        </w:rPr>
        <w:footnoteRef/>
      </w:r>
      <w:r>
        <w:t xml:space="preserve"> Third Construction Deadline Request at 2-3; 47 CFR </w:t>
      </w:r>
      <w:r w:rsidRPr="00B23D36">
        <w:t>§</w:t>
      </w:r>
      <w:r>
        <w:t xml:space="preserve"> 1.946(e)(1). </w:t>
      </w:r>
    </w:p>
  </w:footnote>
  <w:footnote w:id="84">
    <w:p w:rsidR="00A3474E" w14:paraId="3489FDC8" w14:textId="2F29298F">
      <w:pPr>
        <w:pStyle w:val="FootnoteText"/>
      </w:pPr>
      <w:r>
        <w:rPr>
          <w:rStyle w:val="FootnoteReference"/>
        </w:rPr>
        <w:footnoteRef/>
      </w:r>
      <w:r>
        <w:t xml:space="preserve"> </w:t>
      </w:r>
      <w:r w:rsidR="00BA4673">
        <w:t>Third Construction Deadline Request at 3-4.</w:t>
      </w:r>
    </w:p>
  </w:footnote>
  <w:footnote w:id="85">
    <w:p w:rsidR="00BA4673" w:rsidRPr="00BA4673" w14:paraId="39B48BB5" w14:textId="3A83FA32">
      <w:pPr>
        <w:pStyle w:val="FootnoteText"/>
      </w:pPr>
      <w:r>
        <w:rPr>
          <w:rStyle w:val="FootnoteReference"/>
        </w:rPr>
        <w:footnoteRef/>
      </w:r>
      <w:r>
        <w:t xml:space="preserve"> Third Construction Deadline Request at 3-5 (</w:t>
      </w:r>
      <w:r>
        <w:rPr>
          <w:i/>
          <w:iCs/>
        </w:rPr>
        <w:t xml:space="preserve">citing </w:t>
      </w:r>
      <w:r w:rsidRPr="00BA4673">
        <w:t>Verizon Petition for Waiver, PS Docket No. 07-114 at 2 (Feb. 12, 2021)</w:t>
      </w:r>
      <w:r w:rsidR="006719ED">
        <w:t xml:space="preserve"> (Verizon Petition)</w:t>
      </w:r>
      <w:r w:rsidRPr="00BA4673">
        <w:t>; Petition for Waiver of AT&amp;T Services, Inc., PS Docket No. 07-114 at 18 (Feb. 12, 2021)</w:t>
      </w:r>
      <w:r w:rsidR="006719ED">
        <w:t xml:space="preserve"> (AT&amp;T Petition)</w:t>
      </w:r>
      <w:r w:rsidRPr="00BA4673">
        <w:t>; Petition for Limited Waiver of T-Mobile USA, Inc., PS Docket No. 07-114 at 19 (Feb. 12, 2021)</w:t>
      </w:r>
      <w:r w:rsidR="006719ED">
        <w:t xml:space="preserve"> (T-Mobile Petition)</w:t>
      </w:r>
      <w:r>
        <w:t>).</w:t>
      </w:r>
    </w:p>
  </w:footnote>
  <w:footnote w:id="86">
    <w:p w:rsidR="00E542B1" w:rsidRPr="004F0832" w14:paraId="6E932419" w14:textId="43D63642">
      <w:pPr>
        <w:pStyle w:val="FootnoteText"/>
      </w:pPr>
      <w:r>
        <w:rPr>
          <w:rStyle w:val="FootnoteReference"/>
        </w:rPr>
        <w:footnoteRef/>
      </w:r>
      <w:r>
        <w:t xml:space="preserve"> </w:t>
      </w:r>
      <w:r w:rsidR="00303A24">
        <w:t xml:space="preserve">In its progress reports, Progeny detailed its efforts </w:t>
      </w:r>
      <w:r w:rsidR="00934092">
        <w:t>to make</w:t>
      </w:r>
      <w:r w:rsidR="00303A24">
        <w:t xml:space="preserve"> handsets commercially available.  </w:t>
      </w:r>
      <w:r w:rsidR="004F0832">
        <w:rPr>
          <w:i/>
          <w:iCs/>
        </w:rPr>
        <w:t xml:space="preserve">See </w:t>
      </w:r>
      <w:r w:rsidR="004F0832">
        <w:t>Seventh Progress Report of Progeny LMS, LLC, WT Docket No. 12-202, at 2 (filed Mar. 1, 2020) (Seventh Progress Report)</w:t>
      </w:r>
      <w:r w:rsidR="009B30AB">
        <w:t xml:space="preserve">; Eighth Progress Report of Progeny LMS, LLC, WT Docket No. 12-202, at </w:t>
      </w:r>
      <w:r w:rsidR="0054784A">
        <w:t>1-</w:t>
      </w:r>
      <w:r w:rsidR="009B30AB">
        <w:t>2 (filed Sept. 1, 2020) (Eighth Progress Report)</w:t>
      </w:r>
      <w:r w:rsidR="00303A24">
        <w:t xml:space="preserve">; </w:t>
      </w:r>
      <w:r w:rsidR="00C122E0">
        <w:t xml:space="preserve">Ninth </w:t>
      </w:r>
      <w:r w:rsidR="00303A24">
        <w:t xml:space="preserve">Progress Report of Progeny LMS, LLC, WT Docket No. 12-202, at 1-2 (filed Mar. 1, 2021) (Ninth Progress Report); </w:t>
      </w:r>
      <w:r w:rsidR="00C122E0">
        <w:t xml:space="preserve">Tenth </w:t>
      </w:r>
      <w:r w:rsidR="00303A24">
        <w:t>Progress Report of Progeny LMS, LLC, WT Docket No. 12-202, at 1-3 (filed Sept. 1, 2021) (Tenth Progress Report)</w:t>
      </w:r>
      <w:r w:rsidR="00FB535A">
        <w:t xml:space="preserve">; </w:t>
      </w:r>
      <w:r w:rsidR="00E54E41">
        <w:t>Eleventh</w:t>
      </w:r>
      <w:r w:rsidR="00FB535A">
        <w:t xml:space="preserve"> Progress Report of Progeny LMS, LLC, WT Docket No. 12-202, at 1-3 (filed </w:t>
      </w:r>
      <w:r w:rsidR="00F952BB">
        <w:t xml:space="preserve">Mar. </w:t>
      </w:r>
      <w:r w:rsidR="0091104F">
        <w:t>1, 202</w:t>
      </w:r>
      <w:r w:rsidR="00E54E41">
        <w:t>2</w:t>
      </w:r>
      <w:r w:rsidR="0091104F">
        <w:t>) (</w:t>
      </w:r>
      <w:r w:rsidR="00E54E41">
        <w:t>Eleventh</w:t>
      </w:r>
      <w:r w:rsidR="0091104F">
        <w:t xml:space="preserve"> Progress Report); </w:t>
      </w:r>
      <w:r w:rsidR="00F952BB">
        <w:t>Twelfth</w:t>
      </w:r>
      <w:r w:rsidR="0091104F">
        <w:t xml:space="preserve"> Progress Report of Progeny LMS, LLC, WT Docket No. 12-202, at 1-3 (filed </w:t>
      </w:r>
      <w:r w:rsidR="00F952BB">
        <w:t>Sept</w:t>
      </w:r>
      <w:r w:rsidR="0091104F">
        <w:t>. 1, 202</w:t>
      </w:r>
      <w:r w:rsidR="00E54E41">
        <w:t>2</w:t>
      </w:r>
      <w:r w:rsidR="0091104F">
        <w:t>) (</w:t>
      </w:r>
      <w:r w:rsidR="00F952BB">
        <w:t>Twelfth</w:t>
      </w:r>
      <w:r w:rsidR="0091104F">
        <w:t xml:space="preserve"> Progress Report); </w:t>
      </w:r>
      <w:r w:rsidR="00F952BB">
        <w:t>Thirteenth</w:t>
      </w:r>
      <w:r w:rsidR="0091104F">
        <w:t xml:space="preserve"> Progress Report of Progeny LMS, LLC, WT Docket No. 12-202, at 1-3 (filed </w:t>
      </w:r>
      <w:r w:rsidR="00F952BB">
        <w:t>Mar</w:t>
      </w:r>
      <w:r w:rsidR="0091104F">
        <w:t>. 1, 202</w:t>
      </w:r>
      <w:r w:rsidR="00F952BB">
        <w:t>3</w:t>
      </w:r>
      <w:r w:rsidR="0091104F">
        <w:t>) (</w:t>
      </w:r>
      <w:r w:rsidR="00F952BB">
        <w:t>Thirteenth</w:t>
      </w:r>
      <w:r w:rsidR="0091104F">
        <w:t xml:space="preserve"> Progress Report).</w:t>
      </w:r>
    </w:p>
  </w:footnote>
  <w:footnote w:id="87">
    <w:p w:rsidR="001C1255" w:rsidRPr="001C43C6" w:rsidP="001C1255" w14:paraId="120AD256" w14:textId="5D559F99">
      <w:pPr>
        <w:pStyle w:val="FootnoteText"/>
      </w:pPr>
      <w:r w:rsidRPr="001C43C6">
        <w:rPr>
          <w:rStyle w:val="FootnoteReference"/>
        </w:rPr>
        <w:footnoteRef/>
      </w:r>
      <w:r w:rsidRPr="001C43C6">
        <w:t xml:space="preserve"> On April 20, 2020, Progeny filed 32 </w:t>
      </w:r>
      <w:r>
        <w:t>notifications of construction (</w:t>
      </w:r>
      <w:r w:rsidRPr="001C43C6">
        <w:t>NT</w:t>
      </w:r>
      <w:r>
        <w:t>s)</w:t>
      </w:r>
      <w:r w:rsidRPr="001C43C6">
        <w:t xml:space="preserve"> claiming that it met substantial service.  In June 2021, Progeny submitted 82 NTs, </w:t>
      </w:r>
      <w:r>
        <w:t>many</w:t>
      </w:r>
      <w:r w:rsidRPr="001C43C6">
        <w:t xml:space="preserve"> of which amend the </w:t>
      </w:r>
      <w:r w:rsidR="0051046E">
        <w:t>4</w:t>
      </w:r>
      <w:r w:rsidRPr="001C43C6">
        <w:t xml:space="preserve">2 NTs filed on April 20, 2020.  </w:t>
      </w:r>
      <w:r w:rsidR="00E9507C">
        <w:rPr>
          <w:i/>
          <w:iCs/>
        </w:rPr>
        <w:t xml:space="preserve">See </w:t>
      </w:r>
      <w:r w:rsidR="00E9507C">
        <w:t xml:space="preserve">Attach. D (Duplicative filings).  </w:t>
      </w:r>
      <w:r w:rsidRPr="001C43C6">
        <w:t xml:space="preserve">The amended filings </w:t>
      </w:r>
      <w:r>
        <w:t xml:space="preserve">presume the grant of </w:t>
      </w:r>
      <w:r w:rsidR="00E273B1">
        <w:t>the currently pending</w:t>
      </w:r>
      <w:r w:rsidRPr="001C43C6">
        <w:t xml:space="preserve"> </w:t>
      </w:r>
      <w:r w:rsidR="00E273B1">
        <w:t>Coverage Waiver Request and Third Construction Deadline Request.</w:t>
      </w:r>
      <w:r w:rsidR="00A379C4">
        <w:t xml:space="preserve">  </w:t>
      </w:r>
      <w:r w:rsidR="00A45899">
        <w:rPr>
          <w:i/>
          <w:iCs/>
        </w:rPr>
        <w:t xml:space="preserve">See </w:t>
      </w:r>
      <w:r w:rsidR="00A45899">
        <w:t>Attachs</w:t>
      </w:r>
      <w:r w:rsidR="00A45899">
        <w:t>. A, B.</w:t>
      </w:r>
    </w:p>
  </w:footnote>
  <w:footnote w:id="88">
    <w:p w:rsidR="0087699A" w14:paraId="11B6139C" w14:textId="3A1800AC">
      <w:pPr>
        <w:pStyle w:val="FootnoteText"/>
      </w:pPr>
      <w:r>
        <w:rPr>
          <w:rStyle w:val="FootnoteReference"/>
        </w:rPr>
        <w:footnoteRef/>
      </w:r>
      <w:r>
        <w:t xml:space="preserve"> </w:t>
      </w:r>
      <w:r w:rsidR="00A379C4">
        <w:t>Ninth Progress Report at 1</w:t>
      </w:r>
      <w:r w:rsidR="00E1298E">
        <w:t xml:space="preserve">; </w:t>
      </w:r>
      <w:r w:rsidR="00A755B2">
        <w:rPr>
          <w:i/>
          <w:iCs/>
        </w:rPr>
        <w:t>s</w:t>
      </w:r>
      <w:r w:rsidR="00E1298E">
        <w:rPr>
          <w:i/>
          <w:iCs/>
        </w:rPr>
        <w:t xml:space="preserve">ee </w:t>
      </w:r>
      <w:r w:rsidR="00E1298E">
        <w:t>Attachs</w:t>
      </w:r>
      <w:r w:rsidR="00E1298E">
        <w:t>. A, B.</w:t>
      </w:r>
    </w:p>
  </w:footnote>
  <w:footnote w:id="89">
    <w:p w:rsidR="00E122E8" w14:paraId="2BEC78E3" w14:textId="67DA2912">
      <w:pPr>
        <w:pStyle w:val="FootnoteText"/>
      </w:pPr>
      <w:r>
        <w:rPr>
          <w:rStyle w:val="FootnoteReference"/>
        </w:rPr>
        <w:footnoteRef/>
      </w:r>
      <w:r>
        <w:t xml:space="preserve"> </w:t>
      </w:r>
      <w:r w:rsidR="000632C6">
        <w:t xml:space="preserve">Coverage Waiver Request; Third Construction Deadline Request; </w:t>
      </w:r>
      <w:r w:rsidR="00A755B2">
        <w:rPr>
          <w:i/>
          <w:iCs/>
        </w:rPr>
        <w:t xml:space="preserve">see also </w:t>
      </w:r>
      <w:r w:rsidR="00A755B2">
        <w:t>Attachs</w:t>
      </w:r>
      <w:r w:rsidR="00A755B2">
        <w:t>. A, B, C.</w:t>
      </w:r>
    </w:p>
  </w:footnote>
  <w:footnote w:id="90">
    <w:p w:rsidR="00E122E8" w14:paraId="2DE27151" w14:textId="60C3CD2D">
      <w:pPr>
        <w:pStyle w:val="FootnoteText"/>
      </w:pPr>
      <w:r>
        <w:rPr>
          <w:rStyle w:val="FootnoteReference"/>
        </w:rPr>
        <w:footnoteRef/>
      </w:r>
      <w:r>
        <w:t xml:space="preserve"> </w:t>
      </w:r>
      <w:r w:rsidR="00FE34E3">
        <w:t>Thirteenth Progress Report at 2</w:t>
      </w:r>
      <w:r w:rsidR="0067160C">
        <w:t xml:space="preserve"> (“Progeny employed a substantial service approach for its remaining two largest EAs, Orlando and Baltimore/Washington</w:t>
      </w:r>
      <w:r w:rsidR="008E301F">
        <w:t>.”).</w:t>
      </w:r>
    </w:p>
  </w:footnote>
  <w:footnote w:id="91">
    <w:p w:rsidR="00DA3844" w:rsidRPr="001E0CEE" w:rsidP="00DA3844" w14:paraId="36D5D8E9" w14:textId="77777777">
      <w:pPr>
        <w:pStyle w:val="FootnoteText"/>
      </w:pPr>
      <w:r w:rsidRPr="001E0CEE">
        <w:rPr>
          <w:rStyle w:val="FootnoteReference"/>
        </w:rPr>
        <w:footnoteRef/>
      </w:r>
      <w:r w:rsidRPr="001E0CEE">
        <w:t xml:space="preserve"> 47 CFR § 1.925.</w:t>
      </w:r>
    </w:p>
  </w:footnote>
  <w:footnote w:id="92">
    <w:p w:rsidR="00DA3844" w:rsidRPr="001E0CEE" w:rsidP="00DA3844" w14:paraId="44EF40AE" w14:textId="77777777">
      <w:pPr>
        <w:pStyle w:val="FootnoteText"/>
      </w:pPr>
      <w:r w:rsidRPr="001E0CEE">
        <w:rPr>
          <w:rStyle w:val="FootnoteReference"/>
        </w:rPr>
        <w:footnoteRef/>
      </w:r>
      <w:r w:rsidRPr="001E0CEE">
        <w:t xml:space="preserve"> 47 CFR § 1.946(e).</w:t>
      </w:r>
    </w:p>
  </w:footnote>
  <w:footnote w:id="93">
    <w:p w:rsidR="00DA3844" w:rsidRPr="001E0CEE" w:rsidP="00DA3844" w14:paraId="29912B7A" w14:textId="77777777">
      <w:pPr>
        <w:pStyle w:val="FootnoteText"/>
      </w:pPr>
      <w:r w:rsidRPr="001E0CEE">
        <w:rPr>
          <w:rStyle w:val="FootnoteReference"/>
        </w:rPr>
        <w:footnoteRef/>
      </w:r>
      <w:r w:rsidRPr="001E0CEE">
        <w:t xml:space="preserve"> 47 CFR § 1.925(b)(3).</w:t>
      </w:r>
    </w:p>
  </w:footnote>
  <w:footnote w:id="94">
    <w:p w:rsidR="00DA3844" w:rsidRPr="001E0CEE" w:rsidP="00DA3844" w14:paraId="413DC01C" w14:textId="77777777">
      <w:pPr>
        <w:pStyle w:val="FootnoteText"/>
      </w:pPr>
      <w:r w:rsidRPr="001E0CEE">
        <w:rPr>
          <w:rStyle w:val="FootnoteReference"/>
        </w:rPr>
        <w:footnoteRef/>
      </w:r>
      <w:r w:rsidRPr="001E0CEE">
        <w:t xml:space="preserve"> 47 CFR § 1.946(e).</w:t>
      </w:r>
    </w:p>
  </w:footnote>
  <w:footnote w:id="95">
    <w:p w:rsidR="001A6192" w:rsidRPr="00E55628" w14:paraId="3480C507" w14:textId="33BCB774">
      <w:pPr>
        <w:pStyle w:val="FootnoteText"/>
      </w:pPr>
      <w:r>
        <w:rPr>
          <w:rStyle w:val="FootnoteReference"/>
        </w:rPr>
        <w:footnoteRef/>
      </w:r>
      <w:r>
        <w:t xml:space="preserve"> </w:t>
      </w:r>
      <w:r>
        <w:rPr>
          <w:i/>
          <w:iCs/>
        </w:rPr>
        <w:t>Id.</w:t>
      </w:r>
      <w:r w:rsidR="009F26C7">
        <w:rPr>
          <w:i/>
          <w:iCs/>
        </w:rPr>
        <w:t xml:space="preserve">  </w:t>
      </w:r>
      <w:r w:rsidR="009F26C7">
        <w:t xml:space="preserve">We confirm that Progeny timely filed its extension requests relating to its Group 1 and 2 licenses.  Progeny filed its Second Construction Deadline Request for its Group 1 licenses on September 17, 2020, prior to its October 2, 2020 deadline.  </w:t>
      </w:r>
      <w:r w:rsidR="009F26C7">
        <w:rPr>
          <w:i/>
          <w:iCs/>
        </w:rPr>
        <w:t xml:space="preserve">See generally </w:t>
      </w:r>
      <w:r w:rsidR="009F26C7">
        <w:t xml:space="preserve">File Number 0009226497.  Likewise, Progeny filed its Third Construction Deadline Request for its Group 1 and 2 licenses on March 31, 2021, prior to the April 3, 2021 deadline.  </w:t>
      </w:r>
      <w:r w:rsidR="009F26C7">
        <w:rPr>
          <w:i/>
          <w:iCs/>
        </w:rPr>
        <w:t xml:space="preserve">See generally </w:t>
      </w:r>
      <w:r w:rsidR="009F26C7">
        <w:t>File Numbers 0009477376 and 0009477378.</w:t>
      </w:r>
    </w:p>
  </w:footnote>
  <w:footnote w:id="96">
    <w:p w:rsidR="00DA3844" w:rsidRPr="001E0CEE" w:rsidP="00DA3844" w14:paraId="78FFD560" w14:textId="77777777">
      <w:pPr>
        <w:pStyle w:val="FootnoteText"/>
      </w:pPr>
      <w:r w:rsidRPr="001E0CEE">
        <w:rPr>
          <w:rStyle w:val="FootnoteReference"/>
        </w:rPr>
        <w:footnoteRef/>
      </w:r>
      <w:r w:rsidRPr="001E0CEE">
        <w:t xml:space="preserve"> 47 U.S.C. § 309(j).</w:t>
      </w:r>
    </w:p>
  </w:footnote>
  <w:footnote w:id="97">
    <w:p w:rsidR="00D16A87" w:rsidRPr="007A20AF" w:rsidP="00D16A87" w14:paraId="60E23023" w14:textId="77777777">
      <w:pPr>
        <w:pStyle w:val="FootnoteText"/>
      </w:pPr>
      <w:r>
        <w:rPr>
          <w:rStyle w:val="FootnoteReference"/>
        </w:rPr>
        <w:footnoteRef/>
      </w:r>
      <w:r>
        <w:t xml:space="preserve"> </w:t>
      </w:r>
      <w:r w:rsidRPr="001E0CEE">
        <w:t>47 CFR § 1.925(b)(3).</w:t>
      </w:r>
      <w:r>
        <w:t xml:space="preserve">  In the </w:t>
      </w:r>
      <w:r>
        <w:rPr>
          <w:i/>
          <w:iCs/>
        </w:rPr>
        <w:t>2017 Progeny Order</w:t>
      </w:r>
      <w:r>
        <w:t>, the Division required Progeny to “</w:t>
      </w:r>
      <w:r w:rsidRPr="002A7ADF">
        <w:rPr>
          <w:szCs w:val="22"/>
        </w:rPr>
        <w:t>file a report with the Commission demonstrating that compatible handsets are commercially available in the United States</w:t>
      </w:r>
      <w:r>
        <w:rPr>
          <w:szCs w:val="22"/>
        </w:rPr>
        <w:t xml:space="preserve">” by April 2, 2019.  </w:t>
      </w:r>
      <w:r>
        <w:rPr>
          <w:i/>
          <w:iCs/>
          <w:szCs w:val="22"/>
        </w:rPr>
        <w:t xml:space="preserve">Id. </w:t>
      </w:r>
      <w:r>
        <w:rPr>
          <w:szCs w:val="22"/>
        </w:rPr>
        <w:t xml:space="preserve">at 139, para. 35. </w:t>
      </w:r>
    </w:p>
  </w:footnote>
  <w:footnote w:id="98">
    <w:p w:rsidR="00D16A87" w:rsidP="00D16A87" w14:paraId="4B7EC6CD" w14:textId="77777777">
      <w:pPr>
        <w:pStyle w:val="FootnoteText"/>
      </w:pPr>
      <w:r>
        <w:rPr>
          <w:rStyle w:val="FootnoteReference"/>
        </w:rPr>
        <w:footnoteRef/>
      </w:r>
      <w:r>
        <w:t xml:space="preserve"> We note, that although Progeny requested a 20-month extension from the April 2, 2019 deadline, Progeny stated that as of April 18, 2020, it had “distributed its end user receivers to third party contractors in each of the 21 EAs to make vertical location determinations in each city, which can be used as reference points to calibrate the barometric pressure sensors in consumer handsets as a part of Progeny’s vertical location solution to support E911 emergency services.  </w:t>
      </w:r>
      <w:r>
        <w:rPr>
          <w:i/>
          <w:iCs/>
        </w:rPr>
        <w:t xml:space="preserve">See generally </w:t>
      </w:r>
      <w:r>
        <w:t xml:space="preserve">File Number 0009048443 (Narrative and Link Budget).  Likewise, in its Eighth Progress Report, Progeny confirmed that it had “manufactured end user devices that can receive Progeny’s M-LMS signals and, coupled with visual displays on smart devices and application software, can calculate and display vertical location within three meters.”  </w:t>
      </w:r>
      <w:r>
        <w:rPr>
          <w:i/>
          <w:iCs/>
        </w:rPr>
        <w:t xml:space="preserve">See </w:t>
      </w:r>
      <w:r>
        <w:t>Eighth Progress Report at 2.  We therefore alter this deadline to conform with the date that Progeny submitted its construction notifications.</w:t>
      </w:r>
    </w:p>
  </w:footnote>
  <w:footnote w:id="99">
    <w:p w:rsidR="00F57ECF" w14:paraId="0C3A9240" w14:textId="1C87D75D">
      <w:pPr>
        <w:pStyle w:val="FootnoteText"/>
      </w:pPr>
      <w:r>
        <w:rPr>
          <w:rStyle w:val="FootnoteReference"/>
        </w:rPr>
        <w:footnoteRef/>
      </w:r>
      <w:r>
        <w:t xml:space="preserve"> </w:t>
      </w:r>
      <w:r w:rsidRPr="00D76859">
        <w:rPr>
          <w:i/>
          <w:iCs/>
        </w:rPr>
        <w:t xml:space="preserve">See </w:t>
      </w:r>
      <w:r>
        <w:rPr>
          <w:i/>
          <w:iCs/>
        </w:rPr>
        <w:t>2017 Progeny</w:t>
      </w:r>
      <w:r w:rsidRPr="00D76859">
        <w:rPr>
          <w:i/>
          <w:iCs/>
        </w:rPr>
        <w:t xml:space="preserve"> Order</w:t>
      </w:r>
      <w:r w:rsidRPr="00D76859">
        <w:t xml:space="preserve">, 32 FCC </w:t>
      </w:r>
      <w:r w:rsidRPr="00D76859">
        <w:t>Rcd</w:t>
      </w:r>
      <w:r w:rsidRPr="00D76859">
        <w:t xml:space="preserve"> at 13</w:t>
      </w:r>
      <w:r>
        <w:t>9</w:t>
      </w:r>
      <w:r w:rsidRPr="00D76859">
        <w:t xml:space="preserve">, para. </w:t>
      </w:r>
      <w:r>
        <w:t>35.</w:t>
      </w:r>
    </w:p>
  </w:footnote>
  <w:footnote w:id="100">
    <w:p w:rsidR="009037D2" w:rsidRPr="00EF1224" w14:paraId="001749BB" w14:textId="2F17CF67">
      <w:pPr>
        <w:pStyle w:val="FootnoteText"/>
      </w:pPr>
      <w:r>
        <w:rPr>
          <w:rStyle w:val="FootnoteReference"/>
        </w:rPr>
        <w:footnoteRef/>
      </w:r>
      <w:r>
        <w:t xml:space="preserve"> Handset Waiver Request at 2</w:t>
      </w:r>
      <w:r w:rsidR="00EF1224">
        <w:t xml:space="preserve">-5; </w:t>
      </w:r>
      <w:r w:rsidR="00EF1224">
        <w:rPr>
          <w:i/>
          <w:iCs/>
        </w:rPr>
        <w:t xml:space="preserve">see also </w:t>
      </w:r>
      <w:r w:rsidR="00EF1224">
        <w:t xml:space="preserve">Seventh Progress Report at </w:t>
      </w:r>
      <w:r w:rsidR="00BF4D1B">
        <w:t xml:space="preserve">2 </w:t>
      </w:r>
      <w:r w:rsidR="00E25BF0">
        <w:t>(“</w:t>
      </w:r>
      <w:r w:rsidRPr="00E25BF0" w:rsidR="00E25BF0">
        <w:t xml:space="preserve">Progeny and </w:t>
      </w:r>
      <w:r w:rsidRPr="00E25BF0" w:rsidR="00E25BF0">
        <w:t>NextNav</w:t>
      </w:r>
      <w:r w:rsidRPr="00E25BF0" w:rsidR="00E25BF0">
        <w:t xml:space="preserve"> have also continued to work diligently with major wireless carriers, chipset vendors, handset manufacturers, and the public safety community on the full commercialization of Progeny’s M-LMS licenses through the incorporation of its vertical location technology, including the reception of vertical location data using its M-LMS beacon network, to support E911 emergency first responders.</w:t>
      </w:r>
      <w:r w:rsidR="00E25BF0">
        <w:t xml:space="preserve">”). </w:t>
      </w:r>
    </w:p>
  </w:footnote>
  <w:footnote w:id="101">
    <w:p w:rsidR="007F4C96" w:rsidP="007F4C96" w14:paraId="3971C869" w14:textId="0CAD69CB">
      <w:pPr>
        <w:pStyle w:val="FootnoteText"/>
      </w:pPr>
      <w:r>
        <w:rPr>
          <w:rStyle w:val="FootnoteReference"/>
        </w:rPr>
        <w:footnoteRef/>
      </w:r>
      <w:r>
        <w:t xml:space="preserve"> Handset Waiver Request at 2, 4-5</w:t>
      </w:r>
      <w:r w:rsidR="00CF287E">
        <w:t xml:space="preserve">; </w:t>
      </w:r>
      <w:r w:rsidR="00CF287E">
        <w:rPr>
          <w:i/>
          <w:iCs/>
        </w:rPr>
        <w:t xml:space="preserve">see also </w:t>
      </w:r>
      <w:r w:rsidRPr="00021674" w:rsidR="00D627D1">
        <w:rPr>
          <w:i/>
          <w:iCs/>
        </w:rPr>
        <w:t>supra</w:t>
      </w:r>
      <w:r w:rsidRPr="00021674" w:rsidR="00CF287E">
        <w:rPr>
          <w:i/>
          <w:iCs/>
        </w:rPr>
        <w:t xml:space="preserve"> </w:t>
      </w:r>
      <w:r w:rsidRPr="00021674" w:rsidR="00CF287E">
        <w:t>n.</w:t>
      </w:r>
      <w:r w:rsidRPr="00021674" w:rsidR="00701EAE">
        <w:t>85</w:t>
      </w:r>
      <w:r w:rsidRPr="00021674" w:rsidR="00CF287E">
        <w:t>.</w:t>
      </w:r>
    </w:p>
  </w:footnote>
  <w:footnote w:id="102">
    <w:p w:rsidR="00D16A87" w:rsidRPr="005062AC" w:rsidP="00D16A87" w14:paraId="38CD62C6" w14:textId="77777777">
      <w:pPr>
        <w:pStyle w:val="FootnoteText"/>
      </w:pPr>
      <w:r>
        <w:rPr>
          <w:rStyle w:val="FootnoteReference"/>
        </w:rPr>
        <w:footnoteRef/>
      </w:r>
      <w:r>
        <w:t xml:space="preserve"> Handset Waiver Request at 2-3; </w:t>
      </w:r>
      <w:r>
        <w:rPr>
          <w:i/>
          <w:iCs/>
        </w:rPr>
        <w:t xml:space="preserve">see also </w:t>
      </w:r>
      <w:r>
        <w:t>Handset Progress Report of Progeny LMS, LLC, WT Docket No. 12-202 (filed Apr. 2, 2019) (</w:t>
      </w:r>
      <w:r w:rsidRPr="002602B5">
        <w:t>confidential</w:t>
      </w:r>
      <w:r>
        <w:t xml:space="preserve">); T-Mobile Petition at 12 (“it is also apparent that the technologies proffered by both </w:t>
      </w:r>
      <w:r>
        <w:t>NextNav</w:t>
      </w:r>
      <w:r>
        <w:t xml:space="preserve"> and Polaris require further work to integrate proof-of-concept technologies into commercially available handsets, whether that integration is accomplished via the mobile OS systems or integrated into the devices with the cooperation of the handset OEMs through over-the-top applications.”); </w:t>
      </w:r>
      <w:r>
        <w:rPr>
          <w:i/>
          <w:iCs/>
        </w:rPr>
        <w:t xml:space="preserve">id. </w:t>
      </w:r>
      <w:r>
        <w:t xml:space="preserve">at 18 (stating “the third party applications would have to be approved and integrated onto the device platform by the handset OEM or integrated into the mobile OS (which they are not)”); AT&amp;T Petition at 7-8 (stating MBS integration into handsets “was a difficult undertaking because MBS required integration at the system on a chip (SoC) level and there was no support for the MBS Solution by the leading SoC manufacturer”). </w:t>
      </w:r>
    </w:p>
  </w:footnote>
  <w:footnote w:id="103">
    <w:p w:rsidR="00D16A87" w:rsidP="00D16A87" w14:paraId="3A530FF6" w14:textId="77777777">
      <w:pPr>
        <w:pStyle w:val="FootnoteText"/>
      </w:pPr>
      <w:r>
        <w:rPr>
          <w:rStyle w:val="FootnoteReference"/>
        </w:rPr>
        <w:footnoteRef/>
      </w:r>
      <w:r>
        <w:t xml:space="preserve"> Handset Waiver Request at 3; Eighth Progress Report at 2.</w:t>
      </w:r>
    </w:p>
  </w:footnote>
  <w:footnote w:id="104">
    <w:p w:rsidR="00182607" w:rsidRPr="001E0CEE" w:rsidP="00182607" w14:paraId="4DE4B7E3" w14:textId="55B76605">
      <w:pPr>
        <w:pStyle w:val="FootnoteText"/>
      </w:pPr>
      <w:r w:rsidRPr="00D76859">
        <w:rPr>
          <w:rStyle w:val="FootnoteReference"/>
        </w:rPr>
        <w:footnoteRef/>
      </w:r>
      <w:r w:rsidRPr="00D76859">
        <w:t xml:space="preserve"> </w:t>
      </w:r>
      <w:r w:rsidRPr="00D76859">
        <w:rPr>
          <w:i/>
          <w:iCs/>
        </w:rPr>
        <w:t xml:space="preserve">See </w:t>
      </w:r>
      <w:r>
        <w:rPr>
          <w:i/>
          <w:iCs/>
        </w:rPr>
        <w:t>2017 Progeny</w:t>
      </w:r>
      <w:r w:rsidRPr="00D76859">
        <w:rPr>
          <w:i/>
          <w:iCs/>
        </w:rPr>
        <w:t xml:space="preserve"> Order</w:t>
      </w:r>
      <w:r w:rsidRPr="00D76859">
        <w:t xml:space="preserve">, 32 FCC </w:t>
      </w:r>
      <w:r w:rsidRPr="00D76859">
        <w:t>Rcd</w:t>
      </w:r>
      <w:r w:rsidRPr="00D76859">
        <w:t xml:space="preserve"> at 136-7, paras. 28-30</w:t>
      </w:r>
      <w:r w:rsidR="00DD3C46">
        <w:t>;</w:t>
      </w:r>
      <w:r>
        <w:t xml:space="preserve"> Han</w:t>
      </w:r>
      <w:r w:rsidRPr="00004FC3">
        <w:t>dset Waiver Request at 7-8 (</w:t>
      </w:r>
      <w:r w:rsidRPr="00807944">
        <w:t>“</w:t>
      </w:r>
      <w:r w:rsidRPr="00004FC3">
        <w:t>Progeny’s indoor location technology MBS has consistently proven its ability to meet the 50 meter objective for 80 percent of calls in industry-wide testing</w:t>
      </w:r>
      <w:r>
        <w:t xml:space="preserve">” and grant of this waiver will aid in meeting the Commission’s goals of achieving “ubiquitous, reliable, and accurate location technology for all Americans”); </w:t>
      </w:r>
      <w:r>
        <w:rPr>
          <w:i/>
          <w:iCs/>
        </w:rPr>
        <w:t xml:space="preserve">id. </w:t>
      </w:r>
      <w:r>
        <w:t xml:space="preserve">at 9-10 (stating “Progeny has consistently demonstrated that its technology can achieve the specific” Commission requirements and the public interest would be advanced significantly by granting the waiver and ensuring Progeny’s z-axis capabilities remain available); </w:t>
      </w:r>
      <w:r>
        <w:rPr>
          <w:i/>
          <w:iCs/>
        </w:rPr>
        <w:t xml:space="preserve">id. </w:t>
      </w:r>
      <w:r>
        <w:t>at 11-14 (stating the public interest is also served by ensuring that Progeny’s MBS technology is available for aiding first responders through FirstNet and providing a potential backup to GPS for DHS and other government agencies).</w:t>
      </w:r>
    </w:p>
  </w:footnote>
  <w:footnote w:id="105">
    <w:p w:rsidR="0049088A" w:rsidRPr="00467EC6" w:rsidP="0049088A" w14:paraId="3D5C4C93" w14:textId="766145D0">
      <w:pPr>
        <w:pStyle w:val="FootnoteText"/>
      </w:pPr>
      <w:r>
        <w:rPr>
          <w:rStyle w:val="FootnoteReference"/>
        </w:rPr>
        <w:footnoteRef/>
      </w:r>
      <w:r>
        <w:t xml:space="preserve"> Second Construction Deadline Request</w:t>
      </w:r>
      <w:r w:rsidR="00202CA8">
        <w:t xml:space="preserve">; </w:t>
      </w:r>
      <w:r w:rsidR="00202CA8">
        <w:rPr>
          <w:i/>
          <w:iCs/>
        </w:rPr>
        <w:t>s</w:t>
      </w:r>
      <w:r>
        <w:rPr>
          <w:i/>
          <w:iCs/>
        </w:rPr>
        <w:t xml:space="preserve">ee </w:t>
      </w:r>
      <w:r w:rsidR="00202CA8">
        <w:rPr>
          <w:i/>
          <w:iCs/>
        </w:rPr>
        <w:t>also</w:t>
      </w:r>
      <w:r>
        <w:rPr>
          <w:i/>
          <w:iCs/>
        </w:rPr>
        <w:t xml:space="preserve"> </w:t>
      </w:r>
      <w:r w:rsidR="00B96FDD">
        <w:rPr>
          <w:i/>
          <w:iCs/>
        </w:rPr>
        <w:t>2020 Progeny</w:t>
      </w:r>
      <w:r>
        <w:rPr>
          <w:i/>
          <w:iCs/>
        </w:rPr>
        <w:t xml:space="preserve"> Order </w:t>
      </w:r>
      <w:r>
        <w:t xml:space="preserve">(extending Progeny’s end-of-term construction deadline for these licenses to October 3, 2020); </w:t>
      </w:r>
      <w:r w:rsidR="00B96FDD">
        <w:rPr>
          <w:i/>
          <w:iCs/>
        </w:rPr>
        <w:t>2017 Progeny</w:t>
      </w:r>
      <w:r w:rsidRPr="00C854B3">
        <w:rPr>
          <w:i/>
          <w:iCs/>
        </w:rPr>
        <w:t xml:space="preserve"> Order</w:t>
      </w:r>
      <w:r>
        <w:t xml:space="preserve">, 32 FCC </w:t>
      </w:r>
      <w:r>
        <w:t>Rcd</w:t>
      </w:r>
      <w:r>
        <w:t xml:space="preserve"> at Attach. C (identifying the 42 </w:t>
      </w:r>
      <w:r w:rsidRPr="00C85B3E">
        <w:t>licenses and construction deadlines).</w:t>
      </w:r>
      <w:r>
        <w:t xml:space="preserve">  </w:t>
      </w:r>
    </w:p>
  </w:footnote>
  <w:footnote w:id="106">
    <w:p w:rsidR="0049088A" w:rsidP="0049088A" w14:paraId="4E18D232" w14:textId="72A336C9">
      <w:pPr>
        <w:pStyle w:val="FootnoteText"/>
      </w:pPr>
      <w:r>
        <w:rPr>
          <w:rStyle w:val="FootnoteReference"/>
        </w:rPr>
        <w:footnoteRef/>
      </w:r>
      <w:r>
        <w:t xml:space="preserve"> In this Order, we extended Progeny’s end-of-term construction deadline for </w:t>
      </w:r>
      <w:r w:rsidR="00133A03">
        <w:t xml:space="preserve">its Group 1 </w:t>
      </w:r>
      <w:r w:rsidR="00972BF5">
        <w:t>l</w:t>
      </w:r>
      <w:r w:rsidR="00133A03">
        <w:t>icenses</w:t>
      </w:r>
      <w:r>
        <w:t xml:space="preserve"> </w:t>
      </w:r>
      <w:r w:rsidR="0072046B">
        <w:t xml:space="preserve">to </w:t>
      </w:r>
      <w:r>
        <w:t xml:space="preserve">April 3, 2021.  </w:t>
      </w:r>
      <w:r w:rsidRPr="00021674">
        <w:rPr>
          <w:i/>
          <w:iCs/>
        </w:rPr>
        <w:t xml:space="preserve">See </w:t>
      </w:r>
      <w:r w:rsidRPr="00021674" w:rsidR="00DC5A97">
        <w:rPr>
          <w:i/>
          <w:iCs/>
        </w:rPr>
        <w:t>infra</w:t>
      </w:r>
      <w:r w:rsidRPr="00021674">
        <w:t xml:space="preserve"> paras. </w:t>
      </w:r>
      <w:r w:rsidRPr="00021674" w:rsidR="00701EAE">
        <w:t>27-28</w:t>
      </w:r>
      <w:r w:rsidRPr="00021674">
        <w:t xml:space="preserve"> (</w:t>
      </w:r>
      <w:r>
        <w:t xml:space="preserve">extending Progeny’s deadline from October 3, 2020, to April 3, 2021); </w:t>
      </w:r>
      <w:r w:rsidR="008B5DE4">
        <w:rPr>
          <w:i/>
          <w:iCs/>
        </w:rPr>
        <w:t xml:space="preserve">see also </w:t>
      </w:r>
      <w:r w:rsidR="00B96FDD">
        <w:rPr>
          <w:i/>
          <w:iCs/>
        </w:rPr>
        <w:t>2020 Progeny</w:t>
      </w:r>
      <w:r>
        <w:rPr>
          <w:i/>
          <w:iCs/>
        </w:rPr>
        <w:t xml:space="preserve"> Order </w:t>
      </w:r>
      <w:r>
        <w:t xml:space="preserve">(extending Progeny’s deadline from April 3, 2020, to October 3, 2020); </w:t>
      </w:r>
      <w:r w:rsidR="00B96FDD">
        <w:rPr>
          <w:i/>
          <w:iCs/>
        </w:rPr>
        <w:t>2017 Progeny</w:t>
      </w:r>
      <w:r w:rsidRPr="00C854B3">
        <w:rPr>
          <w:i/>
          <w:iCs/>
        </w:rPr>
        <w:t xml:space="preserve"> Order</w:t>
      </w:r>
      <w:r>
        <w:t xml:space="preserve">, 32 FCC </w:t>
      </w:r>
      <w:r>
        <w:t>Rcd</w:t>
      </w:r>
      <w:r>
        <w:t xml:space="preserve"> at Attach. C.  Progeny’s end-of-term construction deadline for </w:t>
      </w:r>
      <w:r w:rsidR="00133A03">
        <w:t xml:space="preserve">its Group 2 </w:t>
      </w:r>
      <w:r w:rsidR="00972BF5">
        <w:t>l</w:t>
      </w:r>
      <w:r w:rsidR="00133A03">
        <w:t>icenses</w:t>
      </w:r>
      <w:r>
        <w:t xml:space="preserve"> was April 3, 2021.  </w:t>
      </w:r>
      <w:r>
        <w:rPr>
          <w:i/>
          <w:iCs/>
        </w:rPr>
        <w:t xml:space="preserve">See </w:t>
      </w:r>
      <w:r w:rsidR="00B96FDD">
        <w:rPr>
          <w:i/>
          <w:iCs/>
        </w:rPr>
        <w:t>2017 Progeny</w:t>
      </w:r>
      <w:r w:rsidRPr="00C854B3">
        <w:rPr>
          <w:i/>
          <w:iCs/>
        </w:rPr>
        <w:t xml:space="preserve"> Order</w:t>
      </w:r>
      <w:r>
        <w:t xml:space="preserve">, 32 FCC </w:t>
      </w:r>
      <w:r>
        <w:t>Rcd</w:t>
      </w:r>
      <w:r>
        <w:t xml:space="preserve"> at Attach. D.  </w:t>
      </w:r>
    </w:p>
  </w:footnote>
  <w:footnote w:id="107">
    <w:p w:rsidR="00E144DB" w:rsidP="00E144DB" w14:paraId="20548E7D" w14:textId="77777777">
      <w:pPr>
        <w:pStyle w:val="FootnoteText"/>
      </w:pPr>
      <w:r>
        <w:rPr>
          <w:rStyle w:val="FootnoteReference"/>
        </w:rPr>
        <w:footnoteRef/>
      </w:r>
      <w:r>
        <w:t xml:space="preserve"> </w:t>
      </w:r>
      <w:r w:rsidRPr="00937E94">
        <w:rPr>
          <w:i/>
          <w:iCs/>
        </w:rPr>
        <w:t>See</w:t>
      </w:r>
      <w:r>
        <w:t xml:space="preserve"> 47 CFR § 1.946(e).  This rule also specifies circumstances for which an extension will not be granted, such as a licensee’s failure to obtain financing, antenna sites, or equipment.  47 CFR § 1.946(e)(2).</w:t>
      </w:r>
    </w:p>
  </w:footnote>
  <w:footnote w:id="108">
    <w:p w:rsidR="008D657A" w:rsidRPr="00467EC6" w:rsidP="008D657A" w14:paraId="3D2FB403" w14:textId="0466350E">
      <w:pPr>
        <w:pStyle w:val="FootnoteText"/>
      </w:pPr>
      <w:r>
        <w:rPr>
          <w:rStyle w:val="FootnoteReference"/>
        </w:rPr>
        <w:footnoteRef/>
      </w:r>
      <w:r>
        <w:t xml:space="preserve"> </w:t>
      </w:r>
      <w:r w:rsidR="001B72B8">
        <w:t>Second Construction Deadline Request</w:t>
      </w:r>
      <w:r w:rsidR="000376C8">
        <w:t xml:space="preserve">; </w:t>
      </w:r>
      <w:r w:rsidR="008B5DE4">
        <w:rPr>
          <w:i/>
          <w:iCs/>
        </w:rPr>
        <w:t>s</w:t>
      </w:r>
      <w:r w:rsidR="001B72B8">
        <w:rPr>
          <w:i/>
          <w:iCs/>
        </w:rPr>
        <w:t xml:space="preserve">ee </w:t>
      </w:r>
      <w:r w:rsidR="008B5DE4">
        <w:rPr>
          <w:i/>
          <w:iCs/>
        </w:rPr>
        <w:t>also</w:t>
      </w:r>
      <w:r w:rsidR="001B72B8">
        <w:rPr>
          <w:i/>
          <w:iCs/>
        </w:rPr>
        <w:t xml:space="preserve"> </w:t>
      </w:r>
      <w:r w:rsidR="00B96FDD">
        <w:rPr>
          <w:i/>
          <w:iCs/>
        </w:rPr>
        <w:t>2020 Progeny</w:t>
      </w:r>
      <w:r>
        <w:rPr>
          <w:i/>
          <w:iCs/>
        </w:rPr>
        <w:t xml:space="preserve"> Order</w:t>
      </w:r>
      <w:r w:rsidR="001B72B8">
        <w:rPr>
          <w:i/>
          <w:iCs/>
        </w:rPr>
        <w:t xml:space="preserve"> </w:t>
      </w:r>
      <w:r w:rsidR="001B72B8">
        <w:t>(extending Progeny’s end-of-term construction deadline for these licenses to October 3, 2020)</w:t>
      </w:r>
      <w:r>
        <w:t xml:space="preserve">; </w:t>
      </w:r>
      <w:r w:rsidR="00B96FDD">
        <w:rPr>
          <w:i/>
          <w:iCs/>
        </w:rPr>
        <w:t>2017 Progeny</w:t>
      </w:r>
      <w:r w:rsidRPr="00C854B3">
        <w:rPr>
          <w:i/>
          <w:iCs/>
        </w:rPr>
        <w:t xml:space="preserve"> Order</w:t>
      </w:r>
      <w:r>
        <w:t xml:space="preserve">, 32 FCC </w:t>
      </w:r>
      <w:r>
        <w:t>Rcd</w:t>
      </w:r>
      <w:r>
        <w:t xml:space="preserve"> at Attach. C (identifying the 42 </w:t>
      </w:r>
      <w:r w:rsidRPr="00C85B3E">
        <w:t>licenses and construction deadlines).</w:t>
      </w:r>
      <w:r>
        <w:t xml:space="preserve">  </w:t>
      </w:r>
    </w:p>
  </w:footnote>
  <w:footnote w:id="109">
    <w:p w:rsidR="00E144DB" w:rsidRPr="003A5DF6" w:rsidP="00E144DB" w14:paraId="73B63D08" w14:textId="43B1CC50">
      <w:pPr>
        <w:pStyle w:val="FootnoteText"/>
      </w:pPr>
      <w:r>
        <w:rPr>
          <w:rStyle w:val="FootnoteReference"/>
        </w:rPr>
        <w:footnoteRef/>
      </w:r>
      <w:r>
        <w:t xml:space="preserve"> </w:t>
      </w:r>
      <w:r w:rsidRPr="00937E94">
        <w:rPr>
          <w:i/>
          <w:iCs/>
        </w:rPr>
        <w:t>See</w:t>
      </w:r>
      <w:r>
        <w:t xml:space="preserve"> </w:t>
      </w:r>
      <w:r w:rsidR="009D586B">
        <w:t>Second Construction Deadline Request at 1-</w:t>
      </w:r>
      <w:r w:rsidR="00731081">
        <w:t>4</w:t>
      </w:r>
      <w:r w:rsidR="009D586B">
        <w:t>.</w:t>
      </w:r>
      <w:r w:rsidR="003A5DF6">
        <w:t xml:space="preserve">  In the </w:t>
      </w:r>
      <w:r w:rsidR="00B96FDD">
        <w:rPr>
          <w:i/>
          <w:iCs/>
        </w:rPr>
        <w:t>2020 Progeny</w:t>
      </w:r>
      <w:r w:rsidR="003A5DF6">
        <w:rPr>
          <w:i/>
          <w:iCs/>
        </w:rPr>
        <w:t xml:space="preserve"> Order</w:t>
      </w:r>
      <w:r w:rsidR="003A5DF6">
        <w:t xml:space="preserve">, Progeny was granted a six month extension because of the COVID-19 pandemic and related governmental directives to postpone or curtail all non-essential functions.  </w:t>
      </w:r>
      <w:r w:rsidR="00B96FDD">
        <w:rPr>
          <w:i/>
          <w:iCs/>
        </w:rPr>
        <w:t>2020 Progeny</w:t>
      </w:r>
      <w:r w:rsidR="003A5DF6">
        <w:rPr>
          <w:i/>
          <w:iCs/>
        </w:rPr>
        <w:t xml:space="preserve"> Order</w:t>
      </w:r>
      <w:r w:rsidR="003A5DF6">
        <w:t xml:space="preserve">, </w:t>
      </w:r>
      <w:r w:rsidR="008F6D5C">
        <w:t xml:space="preserve">35 FCC </w:t>
      </w:r>
      <w:r w:rsidR="008F6D5C">
        <w:t>Rcd</w:t>
      </w:r>
      <w:r w:rsidR="008F6D5C">
        <w:t xml:space="preserve"> at 7138-9</w:t>
      </w:r>
      <w:r w:rsidR="003A5DF6">
        <w:t>, paras. 7-10.</w:t>
      </w:r>
    </w:p>
  </w:footnote>
  <w:footnote w:id="110">
    <w:p w:rsidR="008606BE" w:rsidRPr="00131CA5" w:rsidP="008606BE" w14:paraId="2D086F55" w14:textId="71E556FF">
      <w:pPr>
        <w:pStyle w:val="FootnoteText"/>
      </w:pPr>
      <w:r>
        <w:rPr>
          <w:rStyle w:val="FootnoteReference"/>
        </w:rPr>
        <w:footnoteRef/>
      </w:r>
      <w:r>
        <w:t xml:space="preserve"> </w:t>
      </w:r>
      <w:r w:rsidRPr="00565ED7">
        <w:rPr>
          <w:i/>
          <w:iCs/>
        </w:rPr>
        <w:t xml:space="preserve">See </w:t>
      </w:r>
      <w:r>
        <w:t>Second Construction Deadline Request at 1-5.</w:t>
      </w:r>
    </w:p>
  </w:footnote>
  <w:footnote w:id="111">
    <w:p w:rsidR="009D7D26" w:rsidP="009D7D26" w14:paraId="4A633655" w14:textId="77777777">
      <w:pPr>
        <w:pStyle w:val="FootnoteText"/>
      </w:pPr>
      <w:r>
        <w:rPr>
          <w:rStyle w:val="FootnoteReference"/>
        </w:rPr>
        <w:footnoteRef/>
      </w:r>
      <w:r>
        <w:t xml:space="preserve"> </w:t>
      </w:r>
      <w:r w:rsidRPr="008D1121">
        <w:rPr>
          <w:i/>
          <w:iCs/>
        </w:rPr>
        <w:t>See id.</w:t>
      </w:r>
      <w:r>
        <w:t xml:space="preserve"> at 4.</w:t>
      </w:r>
    </w:p>
  </w:footnote>
  <w:footnote w:id="112">
    <w:p w:rsidR="00E144DB" w:rsidRPr="00F37000" w:rsidP="00E144DB" w14:paraId="62516AC8" w14:textId="56535F44">
      <w:pPr>
        <w:pStyle w:val="CommentText"/>
        <w:spacing w:after="120"/>
      </w:pPr>
      <w:r>
        <w:rPr>
          <w:rStyle w:val="FootnoteReference"/>
        </w:rPr>
        <w:footnoteRef/>
      </w:r>
      <w:r>
        <w:t xml:space="preserve"> </w:t>
      </w:r>
      <w:r w:rsidRPr="0025634A">
        <w:rPr>
          <w:i/>
          <w:iCs/>
        </w:rPr>
        <w:t>See</w:t>
      </w:r>
      <w:r>
        <w:t xml:space="preserve"> </w:t>
      </w:r>
      <w:r w:rsidRPr="0001288F" w:rsidR="00F37000">
        <w:t xml:space="preserve">Executive Office of the President, Proclamation on Declaring a National Emergency Concerning the Novel Coronavirus Disease (COVID-19) Outbreak (Mar. 13, 2020), </w:t>
      </w:r>
      <w:hyperlink r:id="rId4" w:history="1">
        <w:r w:rsidRPr="0001288F" w:rsidR="00F37000">
          <w:rPr>
            <w:rStyle w:val="Hyperlink"/>
          </w:rPr>
          <w:t>https://www.whitehouse.gov/presidentialactions/proclamation-declaring-national-emergency-concerning-novel-coronavirus-disease-covid-19-outbreak</w:t>
        </w:r>
      </w:hyperlink>
      <w:r w:rsidR="00F37000">
        <w:t xml:space="preserve">; </w:t>
      </w:r>
      <w:r w:rsidR="00F37000">
        <w:rPr>
          <w:i/>
          <w:iCs/>
        </w:rPr>
        <w:t xml:space="preserve">see also </w:t>
      </w:r>
      <w:r w:rsidRPr="0001288F" w:rsidR="00F37000">
        <w:t xml:space="preserve">Executive Office of the President, </w:t>
      </w:r>
      <w:r w:rsidR="00F37000">
        <w:t>Notice on the Continuation of the National Emergency Concerning the Coronavirus Disease 2019</w:t>
      </w:r>
      <w:r w:rsidRPr="0001288F" w:rsidR="00F37000">
        <w:t xml:space="preserve"> (COVID-19) </w:t>
      </w:r>
      <w:r w:rsidR="00F37000">
        <w:t>Pandemic</w:t>
      </w:r>
      <w:r w:rsidRPr="0001288F" w:rsidR="00F37000">
        <w:t xml:space="preserve"> (</w:t>
      </w:r>
      <w:r w:rsidR="00F37000">
        <w:t>Feb. 14, 2021</w:t>
      </w:r>
      <w:r w:rsidRPr="0001288F" w:rsidR="00F37000">
        <w:t xml:space="preserve">), </w:t>
      </w:r>
      <w:hyperlink r:id="rId5" w:history="1">
        <w:r w:rsidRPr="00B627B3" w:rsidR="00F37000">
          <w:rPr>
            <w:rStyle w:val="Hyperlink"/>
          </w:rPr>
          <w:t>https://www.whitehouse.gov/briefing-room/presidential-actions/2021/02/24/notice-on-the-continuation-of-the-national-emergency-concerning-the-coronavirus-disease-2019-covid-19-pandemic/</w:t>
        </w:r>
      </w:hyperlink>
      <w:r w:rsidR="00F37000">
        <w:t xml:space="preserve">. </w:t>
      </w:r>
    </w:p>
  </w:footnote>
  <w:footnote w:id="113">
    <w:p w:rsidR="002A5A1B" w14:paraId="5779E734" w14:textId="446F1A1F">
      <w:pPr>
        <w:pStyle w:val="FootnoteText"/>
      </w:pPr>
      <w:r>
        <w:rPr>
          <w:rStyle w:val="FootnoteReference"/>
        </w:rPr>
        <w:footnoteRef/>
      </w:r>
      <w:r>
        <w:t xml:space="preserve"> </w:t>
      </w:r>
      <w:r w:rsidR="00B10779">
        <w:rPr>
          <w:i/>
          <w:iCs/>
        </w:rPr>
        <w:t xml:space="preserve">See </w:t>
      </w:r>
      <w:r w:rsidR="00B10779">
        <w:t xml:space="preserve">Tenth Progress Report; </w:t>
      </w:r>
      <w:r w:rsidR="00B10779">
        <w:rPr>
          <w:i/>
          <w:iCs/>
        </w:rPr>
        <w:t xml:space="preserve">see also </w:t>
      </w:r>
      <w:r w:rsidR="005820F3">
        <w:t xml:space="preserve">File Number </w:t>
      </w:r>
      <w:r w:rsidRPr="00143486" w:rsidR="00143486">
        <w:t xml:space="preserve">0009499347 </w:t>
      </w:r>
      <w:r w:rsidR="00143486">
        <w:t xml:space="preserve">(showing an example of a </w:t>
      </w:r>
      <w:r w:rsidR="00865098">
        <w:t>construction notification filed in April 2021);</w:t>
      </w:r>
      <w:r w:rsidRPr="00143486" w:rsidR="00143486">
        <w:t> </w:t>
      </w:r>
      <w:r w:rsidR="00003256">
        <w:t>Verizon Petition at 18-19 (stating that “just over one year in advance of the [April 2021] deadline, one of Verizon’s OS vendors [Progeny] was making significant progress towards achieving +- 3 meters/80 percents for its products.”).</w:t>
      </w:r>
    </w:p>
  </w:footnote>
  <w:footnote w:id="114">
    <w:p w:rsidR="00805969" w:rsidP="00805969" w14:paraId="0B32C971" w14:textId="48848B2A">
      <w:pPr>
        <w:pStyle w:val="FootnoteText"/>
      </w:pPr>
      <w:r>
        <w:rPr>
          <w:rStyle w:val="FootnoteReference"/>
        </w:rPr>
        <w:footnoteRef/>
      </w:r>
      <w:r>
        <w:t xml:space="preserve"> In this Order, we extended Progeny’s end-of-term construction deadline for </w:t>
      </w:r>
      <w:r w:rsidR="008A2FCB">
        <w:t>its Group 1 licenses</w:t>
      </w:r>
      <w:r>
        <w:t xml:space="preserve"> to April 3, 2021.  </w:t>
      </w:r>
      <w:r w:rsidRPr="00021674">
        <w:rPr>
          <w:i/>
          <w:iCs/>
        </w:rPr>
        <w:t>See supra</w:t>
      </w:r>
      <w:r w:rsidRPr="00021674">
        <w:t xml:space="preserve"> paras. </w:t>
      </w:r>
      <w:r w:rsidRPr="00021674" w:rsidR="000E153D">
        <w:t>27-28</w:t>
      </w:r>
      <w:r w:rsidRPr="00021674">
        <w:t xml:space="preserve"> (extending</w:t>
      </w:r>
      <w:r>
        <w:t xml:space="preserve"> Progeny’s deadline from October 3, 2020 to April 3, 2021); </w:t>
      </w:r>
      <w:r w:rsidR="00B96FDD">
        <w:rPr>
          <w:i/>
          <w:iCs/>
        </w:rPr>
        <w:t>2020 Progeny</w:t>
      </w:r>
      <w:r>
        <w:rPr>
          <w:i/>
          <w:iCs/>
        </w:rPr>
        <w:t xml:space="preserve"> Order </w:t>
      </w:r>
      <w:r>
        <w:t xml:space="preserve">(extending Progeny’s deadline from April 3, 2020 to October 3, 2020); </w:t>
      </w:r>
      <w:r>
        <w:rPr>
          <w:i/>
          <w:iCs/>
        </w:rPr>
        <w:t xml:space="preserve">see also </w:t>
      </w:r>
      <w:r w:rsidR="00B96FDD">
        <w:rPr>
          <w:i/>
          <w:iCs/>
        </w:rPr>
        <w:t>2017 Progeny</w:t>
      </w:r>
      <w:r w:rsidRPr="00C854B3">
        <w:rPr>
          <w:i/>
          <w:iCs/>
        </w:rPr>
        <w:t xml:space="preserve"> Order</w:t>
      </w:r>
      <w:r>
        <w:t xml:space="preserve">, 32 FCC </w:t>
      </w:r>
      <w:r>
        <w:t>Rcd</w:t>
      </w:r>
      <w:r>
        <w:t xml:space="preserve"> at Attach. C.  Progeny’s end-of-term construction deadline for </w:t>
      </w:r>
      <w:r w:rsidR="000E153D">
        <w:t>its Group 2 licenses</w:t>
      </w:r>
      <w:r>
        <w:t xml:space="preserve"> was April 3, 2021.  </w:t>
      </w:r>
      <w:r>
        <w:rPr>
          <w:i/>
          <w:iCs/>
        </w:rPr>
        <w:t xml:space="preserve">See </w:t>
      </w:r>
      <w:r w:rsidR="00B96FDD">
        <w:rPr>
          <w:i/>
          <w:iCs/>
        </w:rPr>
        <w:t>2017 Progeny</w:t>
      </w:r>
      <w:r w:rsidRPr="00C854B3">
        <w:rPr>
          <w:i/>
          <w:iCs/>
        </w:rPr>
        <w:t xml:space="preserve"> Order</w:t>
      </w:r>
      <w:r>
        <w:t xml:space="preserve">, 32 FCC </w:t>
      </w:r>
      <w:r>
        <w:t>Rcd</w:t>
      </w:r>
      <w:r>
        <w:t xml:space="preserve"> at Attach. D.  </w:t>
      </w:r>
    </w:p>
  </w:footnote>
  <w:footnote w:id="115">
    <w:p w:rsidR="007507E0" w:rsidRPr="001E0CEE" w:rsidP="007507E0" w14:paraId="36563314" w14:textId="77777777">
      <w:pPr>
        <w:pStyle w:val="FootnoteText"/>
      </w:pPr>
      <w:r w:rsidRPr="001E0CEE">
        <w:rPr>
          <w:rStyle w:val="FootnoteReference"/>
        </w:rPr>
        <w:footnoteRef/>
      </w:r>
      <w:r w:rsidRPr="001E0CEE">
        <w:t xml:space="preserve"> </w:t>
      </w:r>
      <w:r>
        <w:t>Third Construction Deadline Request</w:t>
      </w:r>
      <w:r w:rsidRPr="001E0CEE">
        <w:rPr>
          <w:iCs/>
        </w:rPr>
        <w:t>.</w:t>
      </w:r>
      <w:r w:rsidRPr="001E0CEE">
        <w:t xml:space="preserve">  </w:t>
      </w:r>
      <w:r>
        <w:t xml:space="preserve">We note, that although Progeny requested an additional 6-month extension from the April 3, 2021 deadline, Progeny filed its amended construction notifications on </w:t>
      </w:r>
      <w:r w:rsidRPr="008E44DE">
        <w:t>June 14, 2021</w:t>
      </w:r>
      <w:r>
        <w:t xml:space="preserve"> and June 17, 2021.  </w:t>
      </w:r>
      <w:r w:rsidRPr="00372721">
        <w:rPr>
          <w:i/>
          <w:iCs/>
        </w:rPr>
        <w:t xml:space="preserve">See </w:t>
      </w:r>
      <w:r w:rsidRPr="00372721">
        <w:t>Tenth Progress Report</w:t>
      </w:r>
      <w:r>
        <w:t xml:space="preserve">; </w:t>
      </w:r>
      <w:r>
        <w:rPr>
          <w:i/>
          <w:iCs/>
        </w:rPr>
        <w:t xml:space="preserve">see also </w:t>
      </w:r>
      <w:r>
        <w:t xml:space="preserve">File Numbers </w:t>
      </w:r>
      <w:r w:rsidRPr="001064A9">
        <w:t>0009498548</w:t>
      </w:r>
      <w:r>
        <w:t xml:space="preserve">; </w:t>
      </w:r>
      <w:r w:rsidRPr="001064A9">
        <w:t xml:space="preserve">0009498604 </w:t>
      </w:r>
      <w:r>
        <w:t>(showing an example of an amended construction notification filed on each date).  We therefore alter this deadline to conform with the latter dates of Progeny’s amended construction filings.</w:t>
      </w:r>
    </w:p>
  </w:footnote>
  <w:footnote w:id="116">
    <w:p w:rsidR="008E718E" w:rsidRPr="00DB0152" w14:paraId="4E6A7E4D" w14:textId="43BC643F">
      <w:pPr>
        <w:pStyle w:val="FootnoteText"/>
      </w:pPr>
      <w:r>
        <w:rPr>
          <w:rStyle w:val="FootnoteReference"/>
        </w:rPr>
        <w:footnoteRef/>
      </w:r>
      <w:r>
        <w:t xml:space="preserve"> </w:t>
      </w:r>
      <w:r w:rsidRPr="001E0CEE" w:rsidR="00C32EC3">
        <w:rPr>
          <w:i/>
          <w:iCs/>
        </w:rPr>
        <w:t xml:space="preserve">See </w:t>
      </w:r>
      <w:r w:rsidR="00C32EC3">
        <w:t>Third Construction Deadline Request at</w:t>
      </w:r>
      <w:r w:rsidR="00644037">
        <w:t xml:space="preserve"> 3-4; </w:t>
      </w:r>
      <w:r w:rsidR="00DB0152">
        <w:rPr>
          <w:i/>
          <w:iCs/>
        </w:rPr>
        <w:t xml:space="preserve">see also </w:t>
      </w:r>
      <w:r w:rsidR="00DB0152">
        <w:t xml:space="preserve">Eighth Progress Report at 1-2; Ninth Progress Report at </w:t>
      </w:r>
      <w:r w:rsidR="00EF647B">
        <w:t>2</w:t>
      </w:r>
      <w:r w:rsidR="00E20C54">
        <w:t>; Tenth Progress Report at 2-3.</w:t>
      </w:r>
    </w:p>
  </w:footnote>
  <w:footnote w:id="117">
    <w:p w:rsidR="00F0658F" w14:paraId="254E8586" w14:textId="3586C672">
      <w:pPr>
        <w:pStyle w:val="FootnoteText"/>
      </w:pPr>
      <w:r>
        <w:rPr>
          <w:rStyle w:val="FootnoteReference"/>
        </w:rPr>
        <w:footnoteRef/>
      </w:r>
      <w:r>
        <w:t xml:space="preserve"> </w:t>
      </w:r>
      <w:r w:rsidRPr="001E0CEE" w:rsidR="00C32EC3">
        <w:rPr>
          <w:i/>
          <w:iCs/>
        </w:rPr>
        <w:t xml:space="preserve">See </w:t>
      </w:r>
      <w:r w:rsidR="00C32EC3">
        <w:t>Third Construction Deadline Request at</w:t>
      </w:r>
      <w:r w:rsidR="00644037">
        <w:t xml:space="preserve"> 3-5; </w:t>
      </w:r>
      <w:r w:rsidR="00E20C54">
        <w:rPr>
          <w:i/>
          <w:iCs/>
        </w:rPr>
        <w:t xml:space="preserve">see also </w:t>
      </w:r>
      <w:r w:rsidR="00E20C54">
        <w:t>Eighth Progress Report at 1-2; Ninth Progress Report at 2; Tenth Progress Report at 2-3.</w:t>
      </w:r>
    </w:p>
  </w:footnote>
  <w:footnote w:id="118">
    <w:p w:rsidR="00C51F10" w:rsidRPr="00F37006" w:rsidP="005824C1" w14:paraId="40916726" w14:textId="6FB888E1">
      <w:pPr>
        <w:pStyle w:val="FootnoteText"/>
      </w:pPr>
      <w:r w:rsidRPr="001E0CEE">
        <w:rPr>
          <w:rStyle w:val="FootnoteReference"/>
        </w:rPr>
        <w:footnoteRef/>
      </w:r>
      <w:r w:rsidRPr="001E0CEE">
        <w:t xml:space="preserve"> </w:t>
      </w:r>
      <w:r w:rsidRPr="001E0CEE">
        <w:rPr>
          <w:i/>
          <w:iCs/>
        </w:rPr>
        <w:t xml:space="preserve">See </w:t>
      </w:r>
      <w:r w:rsidR="005D6E3C">
        <w:t xml:space="preserve">Third Construction Deadline Request at 3-7; </w:t>
      </w:r>
      <w:r w:rsidR="00B96FDD">
        <w:rPr>
          <w:i/>
          <w:iCs/>
        </w:rPr>
        <w:t>2017 Progeny</w:t>
      </w:r>
      <w:r w:rsidR="005D6E3C">
        <w:rPr>
          <w:i/>
          <w:iCs/>
        </w:rPr>
        <w:t xml:space="preserve"> Order</w:t>
      </w:r>
      <w:r w:rsidR="005D6E3C">
        <w:t xml:space="preserve">, 32 FCC </w:t>
      </w:r>
      <w:r w:rsidR="005D6E3C">
        <w:t>Rcd</w:t>
      </w:r>
      <w:r w:rsidR="005D6E3C">
        <w:t xml:space="preserve"> </w:t>
      </w:r>
      <w:r w:rsidR="00077626">
        <w:t>at 137</w:t>
      </w:r>
      <w:r w:rsidR="005D6E3C">
        <w:t xml:space="preserve">, paras. 28-29.  Progeny has also shown that </w:t>
      </w:r>
      <w:r w:rsidR="00C87034">
        <w:t>it</w:t>
      </w:r>
      <w:r w:rsidR="00F52419">
        <w:t>s</w:t>
      </w:r>
      <w:r w:rsidR="00C87034">
        <w:t xml:space="preserve"> services provide a significant public safety benefit through partnerships with a major wireless carrier and other technology providers.  </w:t>
      </w:r>
      <w:r w:rsidR="00C87034">
        <w:rPr>
          <w:i/>
          <w:iCs/>
        </w:rPr>
        <w:t xml:space="preserve">See </w:t>
      </w:r>
      <w:r w:rsidR="00C87034">
        <w:t xml:space="preserve">Elisabeth Jeffs, </w:t>
      </w:r>
      <w:r w:rsidR="00C87034">
        <w:rPr>
          <w:i/>
          <w:iCs/>
        </w:rPr>
        <w:t>RapidDeploy</w:t>
      </w:r>
      <w:r w:rsidR="00C87034">
        <w:rPr>
          <w:i/>
          <w:iCs/>
        </w:rPr>
        <w:t xml:space="preserve"> Partners with </w:t>
      </w:r>
      <w:r w:rsidR="00C87034">
        <w:rPr>
          <w:i/>
          <w:iCs/>
        </w:rPr>
        <w:t>NextNav</w:t>
      </w:r>
      <w:r w:rsidR="00C87034">
        <w:rPr>
          <w:i/>
          <w:iCs/>
        </w:rPr>
        <w:t xml:space="preserve"> to Reduce Response Times in 9-1-1 Calls from Multi-Floor Buildings</w:t>
      </w:r>
      <w:r w:rsidR="00C87034">
        <w:t xml:space="preserve">, </w:t>
      </w:r>
      <w:r w:rsidR="00C87034">
        <w:t>NextNav</w:t>
      </w:r>
      <w:r w:rsidR="00C87034">
        <w:t xml:space="preserve"> (June 13, 2022), </w:t>
      </w:r>
      <w:hyperlink r:id="rId6" w:history="1">
        <w:r w:rsidRPr="00B627B3" w:rsidR="00C87034">
          <w:rPr>
            <w:rStyle w:val="Hyperlink"/>
          </w:rPr>
          <w:t>https://nextnav.com/rapiddeploy-partnership/</w:t>
        </w:r>
      </w:hyperlink>
      <w:r w:rsidR="00C87034">
        <w:t xml:space="preserve">; Gillian Smith, </w:t>
      </w:r>
      <w:r w:rsidR="00C87034">
        <w:rPr>
          <w:i/>
          <w:iCs/>
        </w:rPr>
        <w:t>NextNav</w:t>
      </w:r>
      <w:r w:rsidR="00C87034">
        <w:rPr>
          <w:i/>
          <w:iCs/>
        </w:rPr>
        <w:t xml:space="preserve"> Selected to Deliver High-Precision Z-Axis Capabilities for 911 by Top Wireless Carrier</w:t>
      </w:r>
      <w:r w:rsidR="00C87034">
        <w:t xml:space="preserve">, </w:t>
      </w:r>
      <w:r w:rsidR="00C87034">
        <w:t>NextNav</w:t>
      </w:r>
      <w:r w:rsidR="00C87034">
        <w:t xml:space="preserve"> (Jan. 19, 2022), </w:t>
      </w:r>
      <w:hyperlink r:id="rId7" w:history="1">
        <w:r w:rsidRPr="00B627B3" w:rsidR="00C87034">
          <w:rPr>
            <w:rStyle w:val="Hyperlink"/>
          </w:rPr>
          <w:t>https://nextnav.com/nextnav_to_deliver_high_precision_zaxis_for_e911/</w:t>
        </w:r>
      </w:hyperlink>
      <w:r w:rsidR="00C87034">
        <w:t xml:space="preserve">; Gillian Smith, </w:t>
      </w:r>
      <w:r w:rsidRPr="00C87034" w:rsidR="00C87034">
        <w:rPr>
          <w:i/>
          <w:iCs/>
        </w:rPr>
        <w:t>NextNav</w:t>
      </w:r>
      <w:r w:rsidRPr="00C87034" w:rsidR="00C87034">
        <w:rPr>
          <w:i/>
          <w:iCs/>
        </w:rPr>
        <w:t xml:space="preserve"> and Qualcomm Collaborate to Deliver Precise Vertical Location for E911 Emergency Services</w:t>
      </w:r>
      <w:r w:rsidR="00C87034">
        <w:t xml:space="preserve">, </w:t>
      </w:r>
      <w:r w:rsidR="00C87034">
        <w:t>NextNav</w:t>
      </w:r>
      <w:r w:rsidR="00C87034">
        <w:t xml:space="preserve"> (Oct. 14, 2021), </w:t>
      </w:r>
      <w:hyperlink r:id="rId8" w:history="1">
        <w:r w:rsidRPr="00B627B3" w:rsidR="00C87034">
          <w:rPr>
            <w:rStyle w:val="Hyperlink"/>
          </w:rPr>
          <w:t>https://nextnav.com/nextnav-qualcomm-deliver-vertical-location-e911/</w:t>
        </w:r>
      </w:hyperlink>
      <w:r w:rsidR="00C87034">
        <w:t>.</w:t>
      </w:r>
      <w:r w:rsidR="00F37006">
        <w:t xml:space="preserve">  Moreover, Progeny’s services could aid public safety by serving as a terrestrial backup to GPS “through the provision of highly accurate position, navigation and timing (PNT) services.”  </w:t>
      </w:r>
      <w:r w:rsidR="00F37006">
        <w:rPr>
          <w:i/>
          <w:iCs/>
        </w:rPr>
        <w:t xml:space="preserve">See </w:t>
      </w:r>
      <w:r w:rsidR="00F37006">
        <w:t>Third Construction Deadline Request at 4-6</w:t>
      </w:r>
      <w:r w:rsidR="00095040">
        <w:t xml:space="preserve">; </w:t>
      </w:r>
      <w:r w:rsidR="00095040">
        <w:rPr>
          <w:i/>
          <w:iCs/>
        </w:rPr>
        <w:t xml:space="preserve">see also </w:t>
      </w:r>
      <w:r w:rsidR="00095040">
        <w:t>Thirteenth Progress Report at 3 (</w:t>
      </w:r>
      <w:r w:rsidR="00363088">
        <w:t>Progeny was selected “</w:t>
      </w:r>
      <w:r w:rsidR="005824C1">
        <w:t xml:space="preserve">by NASA’s Ames Research Center in Silicon Valley to use Progeny’s M-LMS network to deliver position, navigation and timing (“PNT”) services for NASA’s urban drone program. Using Progeny’s M-LMS network, NASA Ames will capture in-flight horizontal and vertical location data to validate drone flight safety at its Mountain View, California, facility. </w:t>
      </w:r>
      <w:r w:rsidR="00701EAE">
        <w:t xml:space="preserve"> </w:t>
      </w:r>
      <w:r w:rsidR="005824C1">
        <w:t>The research will help support a</w:t>
      </w:r>
      <w:r w:rsidR="003B10B5">
        <w:t xml:space="preserve"> </w:t>
      </w:r>
      <w:r w:rsidR="005824C1">
        <w:t>stronger understanding of PNT management in GPS-denied environments</w:t>
      </w:r>
      <w:r w:rsidR="003B10B5">
        <w:t>.”).</w:t>
      </w:r>
    </w:p>
  </w:footnote>
  <w:footnote w:id="119">
    <w:p w:rsidR="00836CBF" w:rsidRPr="00836CBF" w14:paraId="7FD926EF" w14:textId="298279D7">
      <w:pPr>
        <w:pStyle w:val="FootnoteText"/>
      </w:pPr>
      <w:r>
        <w:rPr>
          <w:rStyle w:val="FootnoteReference"/>
        </w:rPr>
        <w:footnoteRef/>
      </w:r>
      <w:r>
        <w:t xml:space="preserve"> Third Construction Deadline Request at 3-4 (</w:t>
      </w:r>
      <w:r>
        <w:rPr>
          <w:i/>
          <w:iCs/>
        </w:rPr>
        <w:t xml:space="preserve">citing </w:t>
      </w:r>
      <w:r w:rsidRPr="00836CBF">
        <w:t>Verizon Petition for Waiver, PS Docket No. 07-114 at 2 (Feb. 12, 2021); Petition for Waiver of AT&amp;T Services, Inc., PS Docket No. 07-114 at 18 (Feb. 12, 2021); Petition for Limited Waiver of T-Mobile USA, Inc., PS Docket No. 07-114 at 19 (Feb. 12, 2021)).</w:t>
      </w:r>
      <w:r w:rsidR="009B403D">
        <w:t xml:space="preserve">  </w:t>
      </w:r>
      <w:r w:rsidR="00B21697">
        <w:t xml:space="preserve">Verizon stated that </w:t>
      </w:r>
      <w:r w:rsidR="00333318">
        <w:t xml:space="preserve">it evaluated solutions from </w:t>
      </w:r>
      <w:r w:rsidR="00333318">
        <w:t>NextNav</w:t>
      </w:r>
      <w:r w:rsidR="00333318">
        <w:t xml:space="preserve">, but those solutions were not supported </w:t>
      </w:r>
      <w:r w:rsidR="00DB7DD6">
        <w:t xml:space="preserve">by smartphones for a number of reasons.  </w:t>
      </w:r>
      <w:r w:rsidR="00DB7DD6">
        <w:rPr>
          <w:i/>
          <w:iCs/>
        </w:rPr>
        <w:t xml:space="preserve">See </w:t>
      </w:r>
      <w:r w:rsidR="00DB7DD6">
        <w:t>Verizon Petition at 3-4</w:t>
      </w:r>
      <w:r w:rsidR="00004C33">
        <w:t>.  AT&amp;T stated that it had to work through technical issues with its z-axis vendor</w:t>
      </w:r>
      <w:r w:rsidR="00FB041E">
        <w:t xml:space="preserve">, and in particular, it needed to perform privacy and security reviews of </w:t>
      </w:r>
      <w:r w:rsidR="00FB041E">
        <w:t>NextNav’s</w:t>
      </w:r>
      <w:r w:rsidR="00FB041E">
        <w:t xml:space="preserve"> technology.  </w:t>
      </w:r>
      <w:r w:rsidR="00FB041E">
        <w:rPr>
          <w:i/>
          <w:iCs/>
        </w:rPr>
        <w:t xml:space="preserve">See </w:t>
      </w:r>
      <w:r w:rsidR="00FB041E">
        <w:t xml:space="preserve">AT&amp;T Petition at 18.  </w:t>
      </w:r>
    </w:p>
  </w:footnote>
  <w:footnote w:id="120">
    <w:p w:rsidR="00552402" w14:paraId="75DFA9C1" w14:textId="2739798B">
      <w:pPr>
        <w:pStyle w:val="FootnoteText"/>
      </w:pPr>
      <w:r>
        <w:rPr>
          <w:rStyle w:val="FootnoteReference"/>
        </w:rPr>
        <w:footnoteRef/>
      </w:r>
      <w:r>
        <w:t xml:space="preserve"> </w:t>
      </w:r>
      <w:r w:rsidRPr="00372721" w:rsidR="007669A6">
        <w:rPr>
          <w:i/>
          <w:iCs/>
        </w:rPr>
        <w:t xml:space="preserve">See </w:t>
      </w:r>
      <w:r w:rsidRPr="00372721" w:rsidR="007669A6">
        <w:t xml:space="preserve">Tenth Progress Report; </w:t>
      </w:r>
      <w:r w:rsidR="00E6410C">
        <w:t xml:space="preserve">Thirteenth Progress Report; </w:t>
      </w:r>
      <w:r w:rsidRPr="00372721" w:rsidR="007669A6">
        <w:rPr>
          <w:i/>
          <w:iCs/>
        </w:rPr>
        <w:t>see also</w:t>
      </w:r>
      <w:r w:rsidRPr="00372721" w:rsidR="007669A6">
        <w:t xml:space="preserve"> </w:t>
      </w:r>
      <w:r w:rsidR="009820F1">
        <w:t xml:space="preserve">File Numbers </w:t>
      </w:r>
      <w:r w:rsidRPr="001064A9" w:rsidR="009820F1">
        <w:t>0009498548</w:t>
      </w:r>
      <w:r w:rsidR="009820F1">
        <w:t xml:space="preserve">; </w:t>
      </w:r>
      <w:r w:rsidRPr="001064A9" w:rsidR="009820F1">
        <w:t xml:space="preserve">0009498604 </w:t>
      </w:r>
      <w:r w:rsidR="009820F1">
        <w:t xml:space="preserve">(showing an example of an amended construction notification filed on June 14th and 17th).  </w:t>
      </w:r>
    </w:p>
  </w:footnote>
  <w:footnote w:id="121">
    <w:p w:rsidR="000B1C3F" w:rsidRPr="001E0CEE" w:rsidP="000B1C3F" w14:paraId="4604BE30" w14:textId="77777777">
      <w:pPr>
        <w:pStyle w:val="FootnoteText"/>
      </w:pPr>
      <w:r w:rsidRPr="001E0CEE">
        <w:rPr>
          <w:rStyle w:val="FootnoteReference"/>
        </w:rPr>
        <w:footnoteRef/>
      </w:r>
      <w:r w:rsidRPr="001E0CEE">
        <w:t xml:space="preserve"> </w:t>
      </w:r>
      <w:r w:rsidRPr="00021674">
        <w:rPr>
          <w:i/>
        </w:rPr>
        <w:t>See infra</w:t>
      </w:r>
      <w:r w:rsidRPr="00021674">
        <w:t xml:space="preserve"> paras. 33-35.</w:t>
      </w:r>
    </w:p>
  </w:footnote>
  <w:footnote w:id="122">
    <w:p w:rsidR="00C51F10" w:rsidRPr="001E0CEE" w:rsidP="00C51F10" w14:paraId="390C3E2A" w14:textId="163F3317">
      <w:pPr>
        <w:pStyle w:val="FootnoteText"/>
      </w:pPr>
      <w:r w:rsidRPr="001E0CEE">
        <w:rPr>
          <w:rStyle w:val="FootnoteReference"/>
        </w:rPr>
        <w:footnoteRef/>
      </w:r>
      <w:r w:rsidRPr="001E0CEE">
        <w:t xml:space="preserve"> </w:t>
      </w:r>
      <w:r w:rsidR="00BF08DA">
        <w:t>Third Construction Deadline Request at 7.</w:t>
      </w:r>
    </w:p>
  </w:footnote>
  <w:footnote w:id="123">
    <w:p w:rsidR="002D41ED" w14:paraId="6A787146" w14:textId="3A324B33">
      <w:pPr>
        <w:pStyle w:val="FootnoteText"/>
      </w:pPr>
      <w:r>
        <w:rPr>
          <w:rStyle w:val="FootnoteReference"/>
        </w:rPr>
        <w:footnoteRef/>
      </w:r>
      <w:r>
        <w:t xml:space="preserve"> </w:t>
      </w:r>
      <w:r w:rsidR="00DC0DC7">
        <w:t xml:space="preserve">Progeny requests a waiver to demonstrate coverage of at least two-thirds of the tall buildings </w:t>
      </w:r>
      <w:r w:rsidRPr="00DC5A97" w:rsidR="00DC0DC7">
        <w:t>in each EA</w:t>
      </w:r>
      <w:r w:rsidR="00DC0DC7">
        <w:t xml:space="preserve">.  </w:t>
      </w:r>
      <w:r w:rsidRPr="00DC0DC7">
        <w:t>See</w:t>
      </w:r>
      <w:r>
        <w:rPr>
          <w:i/>
          <w:iCs/>
        </w:rPr>
        <w:t xml:space="preserve"> </w:t>
      </w:r>
      <w:r>
        <w:t xml:space="preserve">Coverage Waiver Request at </w:t>
      </w:r>
      <w:r w:rsidR="00DC0DC7">
        <w:t xml:space="preserve">1; </w:t>
      </w:r>
      <w:r w:rsidR="00DC0DC7">
        <w:rPr>
          <w:i/>
          <w:iCs/>
        </w:rPr>
        <w:t xml:space="preserve">see also id. </w:t>
      </w:r>
      <w:r w:rsidR="00DC0DC7">
        <w:t xml:space="preserve">at </w:t>
      </w:r>
      <w:r>
        <w:t>2-7 (</w:t>
      </w:r>
      <w:r>
        <w:rPr>
          <w:i/>
          <w:iCs/>
        </w:rPr>
        <w:t xml:space="preserve">citing </w:t>
      </w:r>
      <w:r w:rsidRPr="00FA6892">
        <w:rPr>
          <w:i/>
          <w:iCs/>
        </w:rPr>
        <w:t>2020 Indoor Location Accuracy Order</w:t>
      </w:r>
      <w:r>
        <w:t xml:space="preserve">, 35 FCC </w:t>
      </w:r>
      <w:r>
        <w:t>Rcd</w:t>
      </w:r>
      <w:r>
        <w:t xml:space="preserve"> at 7759, para. 17);</w:t>
      </w:r>
      <w:r>
        <w:rPr>
          <w:i/>
          <w:iCs/>
        </w:rPr>
        <w:t xml:space="preserve"> </w:t>
      </w:r>
      <w:r>
        <w:t xml:space="preserve">47 CFR </w:t>
      </w:r>
      <w:r w:rsidRPr="00B23D36">
        <w:t>§</w:t>
      </w:r>
      <w:r>
        <w:t xml:space="preserve"> 1.3.  </w:t>
      </w:r>
      <w:r w:rsidR="00EC3E9B">
        <w:t xml:space="preserve">  </w:t>
      </w:r>
    </w:p>
  </w:footnote>
  <w:footnote w:id="124">
    <w:p w:rsidR="00F92BF6" w14:paraId="1136D9E8" w14:textId="498EF51B">
      <w:pPr>
        <w:pStyle w:val="FootnoteText"/>
      </w:pPr>
      <w:r>
        <w:rPr>
          <w:rStyle w:val="FootnoteReference"/>
        </w:rPr>
        <w:footnoteRef/>
      </w:r>
      <w:r>
        <w:t xml:space="preserve"> </w:t>
      </w:r>
      <w:r w:rsidRPr="00FA6892">
        <w:rPr>
          <w:i/>
          <w:iCs/>
        </w:rPr>
        <w:t>2020 Indoor Location Accuracy Order</w:t>
      </w:r>
      <w:r>
        <w:t xml:space="preserve">, 35 FCC </w:t>
      </w:r>
      <w:r>
        <w:t>Rcd</w:t>
      </w:r>
      <w:r>
        <w:t xml:space="preserve"> at 7758-9, paras. 15-17</w:t>
      </w:r>
      <w:r w:rsidR="00282B4B">
        <w:t xml:space="preserve">; 47 CFR </w:t>
      </w:r>
      <w:r w:rsidRPr="00B23D36" w:rsidR="00282B4B">
        <w:t>§</w:t>
      </w:r>
      <w:r w:rsidR="00282B4B">
        <w:t xml:space="preserve"> 9.10(</w:t>
      </w:r>
      <w:r w:rsidR="00282B4B">
        <w:t>i</w:t>
      </w:r>
      <w:r w:rsidR="00282B4B">
        <w:t>)(2)(ii)(I)(1).</w:t>
      </w:r>
    </w:p>
  </w:footnote>
  <w:footnote w:id="125">
    <w:p w:rsidR="00473F09" w:rsidP="00473F09" w14:paraId="1F72A0E0" w14:textId="14C196E2">
      <w:pPr>
        <w:pStyle w:val="FootnoteText"/>
      </w:pPr>
      <w:r>
        <w:rPr>
          <w:rStyle w:val="FootnoteReference"/>
        </w:rPr>
        <w:footnoteRef/>
      </w:r>
      <w:r>
        <w:t xml:space="preserve"> </w:t>
      </w:r>
      <w:r>
        <w:rPr>
          <w:i/>
          <w:iCs/>
        </w:rPr>
        <w:t xml:space="preserve">See </w:t>
      </w:r>
      <w:r w:rsidRPr="00FA6892">
        <w:rPr>
          <w:i/>
          <w:iCs/>
        </w:rPr>
        <w:t>2020 Indoor Location Accuracy Order</w:t>
      </w:r>
      <w:r>
        <w:t xml:space="preserve">, 35 FCC </w:t>
      </w:r>
      <w:r>
        <w:t>Rcd</w:t>
      </w:r>
      <w:r>
        <w:t xml:space="preserve"> at 775</w:t>
      </w:r>
      <w:r w:rsidR="007D5DBF">
        <w:t>8-</w:t>
      </w:r>
      <w:r>
        <w:t xml:space="preserve">9, para. 17; </w:t>
      </w:r>
      <w:r w:rsidR="008C473C">
        <w:rPr>
          <w:i/>
          <w:iCs/>
        </w:rPr>
        <w:t xml:space="preserve">see also </w:t>
      </w:r>
      <w:r>
        <w:t>Coverage Waiver Request at 2-7 (</w:t>
      </w:r>
      <w:r>
        <w:rPr>
          <w:i/>
          <w:iCs/>
        </w:rPr>
        <w:t xml:space="preserve">citing </w:t>
      </w:r>
      <w:r w:rsidRPr="00FA6892">
        <w:rPr>
          <w:i/>
          <w:iCs/>
        </w:rPr>
        <w:t>2020 Indoor Location Accuracy Order</w:t>
      </w:r>
      <w:r>
        <w:t xml:space="preserve">, 35 FCC </w:t>
      </w:r>
      <w:r>
        <w:t>Rcd</w:t>
      </w:r>
      <w:r>
        <w:t xml:space="preserve"> at 775</w:t>
      </w:r>
      <w:r w:rsidR="008C473C">
        <w:t>8</w:t>
      </w:r>
      <w:r>
        <w:t>, para. 1</w:t>
      </w:r>
      <w:r w:rsidR="008C473C">
        <w:t>6</w:t>
      </w:r>
      <w:r>
        <w:t>)</w:t>
      </w:r>
      <w:r w:rsidR="008C473C">
        <w:t xml:space="preserve"> (</w:t>
      </w:r>
      <w:r w:rsidRPr="008C473C" w:rsidR="008C473C">
        <w:t>“transitioning from a population-based compliance approach to one focused on tall structures would presumably assist emergency personnel by ‘ensuring that vertical location capabilities are made available as much as possible where they are most needed, and not just in low-rise residential areas where the vertical dimension is not a significant factor for public safety.’”).</w:t>
      </w:r>
    </w:p>
  </w:footnote>
  <w:footnote w:id="126">
    <w:p w:rsidR="001F3E41" w14:paraId="58C725A9" w14:textId="11061F4E">
      <w:pPr>
        <w:pStyle w:val="FootnoteText"/>
      </w:pPr>
      <w:r>
        <w:rPr>
          <w:rStyle w:val="FootnoteReference"/>
        </w:rPr>
        <w:footnoteRef/>
      </w:r>
      <w:r>
        <w:t xml:space="preserve"> </w:t>
      </w:r>
      <w:r w:rsidR="00904617">
        <w:t xml:space="preserve">Section 90.155(d) allows </w:t>
      </w:r>
      <w:r w:rsidR="0001282A">
        <w:t xml:space="preserve">a </w:t>
      </w:r>
      <w:r w:rsidR="00904617">
        <w:t xml:space="preserve">licensee to meet its end-of-term construction deadlines by providing </w:t>
      </w:r>
      <w:r w:rsidR="00B114F0">
        <w:t xml:space="preserve">either (1) </w:t>
      </w:r>
      <w:r w:rsidR="00904617">
        <w:t>service to two-thirds of the population</w:t>
      </w:r>
      <w:r w:rsidR="00B114F0">
        <w:t>;</w:t>
      </w:r>
      <w:r w:rsidR="00904617">
        <w:t xml:space="preserve"> or </w:t>
      </w:r>
      <w:r w:rsidR="00B114F0">
        <w:t>(</w:t>
      </w:r>
      <w:r w:rsidR="00A452BB">
        <w:t>2)</w:t>
      </w:r>
      <w:r w:rsidR="00904617">
        <w:t xml:space="preserve"> substantial service to their licensed area.  The </w:t>
      </w:r>
      <w:r w:rsidR="00FF06C5">
        <w:t>Commission defines</w:t>
      </w:r>
      <w:r w:rsidR="00904617">
        <w:t xml:space="preserve"> substantial service as </w:t>
      </w:r>
      <w:r w:rsidR="00B72696">
        <w:t>service that</w:t>
      </w:r>
      <w:r w:rsidR="00904617">
        <w:t xml:space="preserve"> is “sound, favorable, and substantially above a level of mediocre service which might minimally warrant renewal.”  </w:t>
      </w:r>
      <w:r w:rsidR="009B3321">
        <w:rPr>
          <w:i/>
          <w:iCs/>
        </w:rPr>
        <w:t>See</w:t>
      </w:r>
      <w:r w:rsidR="00764D94">
        <w:rPr>
          <w:i/>
          <w:iCs/>
        </w:rPr>
        <w:t>, e.g.,</w:t>
      </w:r>
      <w:r w:rsidR="009B3321">
        <w:rPr>
          <w:i/>
          <w:iCs/>
        </w:rPr>
        <w:t xml:space="preserve"> </w:t>
      </w:r>
      <w:r w:rsidR="0096020E">
        <w:rPr>
          <w:i/>
          <w:iCs/>
        </w:rPr>
        <w:t xml:space="preserve">Implementation of Section 3(N) and 332 of the Communications Act Regulatory Treatment of Mobile </w:t>
      </w:r>
      <w:r w:rsidR="00521BF4">
        <w:rPr>
          <w:i/>
          <w:iCs/>
        </w:rPr>
        <w:t>Services</w:t>
      </w:r>
      <w:r w:rsidR="007C66B9">
        <w:t xml:space="preserve">; </w:t>
      </w:r>
      <w:r w:rsidR="007C66B9">
        <w:rPr>
          <w:i/>
          <w:iCs/>
        </w:rPr>
        <w:t xml:space="preserve">Amendment of Part 90 of the Commission’s Rules to Facilitate Future Development of SMR Systems in the </w:t>
      </w:r>
      <w:r w:rsidR="00D4773F">
        <w:rPr>
          <w:i/>
          <w:iCs/>
        </w:rPr>
        <w:t>800 MHz Frequency Band</w:t>
      </w:r>
      <w:r w:rsidR="00D4773F">
        <w:t xml:space="preserve">; </w:t>
      </w:r>
      <w:r w:rsidR="00D4773F">
        <w:rPr>
          <w:i/>
          <w:iCs/>
        </w:rPr>
        <w:t xml:space="preserve">Amendment of Parts 2 and 90 of the Commission’s Rules to Provide for the Use of 200 Channels </w:t>
      </w:r>
      <w:r w:rsidR="00AC2222">
        <w:rPr>
          <w:i/>
          <w:iCs/>
        </w:rPr>
        <w:t>Outside the Designated Filing Areas in the 896</w:t>
      </w:r>
      <w:r w:rsidR="0097539F">
        <w:rPr>
          <w:i/>
          <w:iCs/>
        </w:rPr>
        <w:t xml:space="preserve">-901 MHz and </w:t>
      </w:r>
      <w:r w:rsidR="00794685">
        <w:rPr>
          <w:i/>
          <w:iCs/>
        </w:rPr>
        <w:t>935-940 MHz Band Allotted to the Specialized Mobile Radio Pool</w:t>
      </w:r>
      <w:r w:rsidR="00794685">
        <w:t>, GN Docket No. 93-252; PR Docket Nos. 9</w:t>
      </w:r>
      <w:r w:rsidR="00310632">
        <w:t>3-144 and 89-553, Report and Order</w:t>
      </w:r>
      <w:r w:rsidR="006F74BF">
        <w:t xml:space="preserve">, </w:t>
      </w:r>
      <w:r w:rsidR="006F0E1F">
        <w:t xml:space="preserve">9 FCC </w:t>
      </w:r>
      <w:r w:rsidR="006F0E1F">
        <w:t>Rcd</w:t>
      </w:r>
      <w:r w:rsidR="006F0E1F">
        <w:t xml:space="preserve"> 7988</w:t>
      </w:r>
      <w:r w:rsidR="00AD4AFD">
        <w:t>, 8157 n.712</w:t>
      </w:r>
      <w:r w:rsidR="006F0E1F">
        <w:t xml:space="preserve"> (</w:t>
      </w:r>
      <w:r w:rsidR="005011C9">
        <w:t>1994)</w:t>
      </w:r>
      <w:r w:rsidR="009F23F1">
        <w:t>(</w:t>
      </w:r>
      <w:r w:rsidRPr="00DC5A97" w:rsidR="009F23F1">
        <w:rPr>
          <w:i/>
          <w:iCs/>
        </w:rPr>
        <w:t>citing</w:t>
      </w:r>
      <w:r w:rsidR="009F23F1">
        <w:t xml:space="preserve"> </w:t>
      </w:r>
      <w:r w:rsidR="004C7A02">
        <w:t xml:space="preserve">47 CFR </w:t>
      </w:r>
      <w:r w:rsidR="00DA48EC">
        <w:t>§</w:t>
      </w:r>
      <w:r w:rsidR="006E1725">
        <w:t xml:space="preserve"> 22.940(a)</w:t>
      </w:r>
      <w:r w:rsidR="00B72564">
        <w:t>(1)(</w:t>
      </w:r>
      <w:r w:rsidR="00B72564">
        <w:t>i</w:t>
      </w:r>
      <w:r w:rsidR="00B72564">
        <w:t xml:space="preserve">)). </w:t>
      </w:r>
    </w:p>
  </w:footnote>
  <w:footnote w:id="127">
    <w:p w:rsidR="006951CD" w14:paraId="3C01C125" w14:textId="779C7562">
      <w:pPr>
        <w:pStyle w:val="FootnoteText"/>
      </w:pPr>
      <w:r>
        <w:rPr>
          <w:rStyle w:val="FootnoteReference"/>
        </w:rPr>
        <w:footnoteRef/>
      </w:r>
      <w:r>
        <w:t xml:space="preserve"> We </w:t>
      </w:r>
      <w:r w:rsidR="00C03FDB">
        <w:t xml:space="preserve">confirm that </w:t>
      </w:r>
      <w:r w:rsidR="00021674">
        <w:t xml:space="preserve">CoStar Analytics </w:t>
      </w:r>
      <w:r>
        <w:t xml:space="preserve">is an appropriate data source for tall buildings in this context, although an equivalent source would also be acceptable. </w:t>
      </w:r>
    </w:p>
  </w:footnote>
  <w:footnote w:id="128">
    <w:p w:rsidR="00F41F6C" w:rsidP="00F41F6C" w14:paraId="49B37D98" w14:textId="32EB9B0D">
      <w:pPr>
        <w:pStyle w:val="FootnoteText"/>
      </w:pPr>
      <w:r>
        <w:rPr>
          <w:rStyle w:val="FootnoteReference"/>
        </w:rPr>
        <w:footnoteRef/>
      </w:r>
      <w:r>
        <w:t xml:space="preserve"> Progeny LMS, LLC’s Further Waiver Request, WT Docket No. 12-202 (filed Feb. 2, 2021) (Coverage Waiver Request).  Through this waiver request, Progeny also </w:t>
      </w:r>
      <w:r w:rsidRPr="009827A8">
        <w:t xml:space="preserve">amended its </w:t>
      </w:r>
      <w:r>
        <w:t xml:space="preserve">April 2020 </w:t>
      </w:r>
      <w:r w:rsidRPr="009827A8">
        <w:t xml:space="preserve">construction showings </w:t>
      </w:r>
      <w:r>
        <w:t xml:space="preserve">for the 42 licenses in the top </w:t>
      </w:r>
      <w:r w:rsidR="003E4CF1">
        <w:t>40</w:t>
      </w:r>
      <w:r>
        <w:t xml:space="preserve"> EAs.  Progeny filed these construction showings </w:t>
      </w:r>
      <w:r>
        <w:rPr>
          <w:i/>
          <w:iCs/>
        </w:rPr>
        <w:t xml:space="preserve">prior </w:t>
      </w:r>
      <w:r>
        <w:t xml:space="preserve">to the grant of the </w:t>
      </w:r>
      <w:r w:rsidR="00B96FDD">
        <w:rPr>
          <w:i/>
          <w:iCs/>
        </w:rPr>
        <w:t>2020 Progeny</w:t>
      </w:r>
      <w:r>
        <w:rPr>
          <w:i/>
          <w:iCs/>
        </w:rPr>
        <w:t xml:space="preserve"> Order</w:t>
      </w:r>
      <w:r>
        <w:t xml:space="preserve">.  Progeny </w:t>
      </w:r>
      <w:r w:rsidRPr="00D3715B">
        <w:t xml:space="preserve">indicated its intent to make a substantial service </w:t>
      </w:r>
      <w:r>
        <w:t xml:space="preserve">showing to satisfy its end-of-term construction deadlines, but also acknowledged that Progeny’s end user terminals had not been distributed.  </w:t>
      </w:r>
      <w:r>
        <w:rPr>
          <w:i/>
          <w:iCs/>
        </w:rPr>
        <w:t xml:space="preserve">See </w:t>
      </w:r>
      <w:r>
        <w:t>Coverage Waiver Request at 4-5.</w:t>
      </w:r>
    </w:p>
  </w:footnote>
  <w:footnote w:id="129">
    <w:p w:rsidR="00904617" w14:paraId="2EC1AC98" w14:textId="231F4369">
      <w:pPr>
        <w:pStyle w:val="FootnoteText"/>
      </w:pPr>
      <w:r>
        <w:rPr>
          <w:rStyle w:val="FootnoteReference"/>
        </w:rPr>
        <w:footnoteRef/>
      </w:r>
      <w:r>
        <w:t xml:space="preserve"> Because we find that Progeny may meet substantial service by demonstrating two-thirds tall building coverage, we do not discuss the merits of Progeny’s Coverage Waiver Request.</w:t>
      </w:r>
    </w:p>
  </w:footnote>
  <w:footnote w:id="130">
    <w:p w:rsidR="005D2E27" w14:paraId="24F64472" w14:textId="74325295">
      <w:pPr>
        <w:pStyle w:val="FootnoteText"/>
      </w:pPr>
      <w:r>
        <w:rPr>
          <w:rStyle w:val="FootnoteReference"/>
        </w:rPr>
        <w:footnoteRef/>
      </w:r>
      <w:r>
        <w:t xml:space="preserve"> </w:t>
      </w:r>
      <w:r w:rsidRPr="00B46455">
        <w:t xml:space="preserve">Progeny’s </w:t>
      </w:r>
      <w:r>
        <w:t xml:space="preserve">April 3, 2023 </w:t>
      </w:r>
      <w:r w:rsidRPr="00B46455">
        <w:t xml:space="preserve">construction deadline </w:t>
      </w:r>
      <w:r w:rsidRPr="00B46455" w:rsidR="00A701CF">
        <w:t>coincide</w:t>
      </w:r>
      <w:r w:rsidR="00A701CF">
        <w:t>s</w:t>
      </w:r>
      <w:r w:rsidRPr="00B46455" w:rsidR="00A701CF">
        <w:t xml:space="preserve"> </w:t>
      </w:r>
      <w:r w:rsidRPr="00B46455">
        <w:t>with the second vertical location accuracy benchmark for the top 50 CMAs.</w:t>
      </w:r>
      <w:r>
        <w:t xml:space="preserve">  </w:t>
      </w:r>
    </w:p>
  </w:footnote>
  <w:footnote w:id="131">
    <w:p w:rsidR="00497E62" w14:paraId="59E32A77" w14:textId="66EFB760">
      <w:pPr>
        <w:pStyle w:val="FootnoteText"/>
      </w:pPr>
      <w:r>
        <w:rPr>
          <w:rStyle w:val="FootnoteReference"/>
        </w:rPr>
        <w:footnoteRef/>
      </w:r>
      <w:r>
        <w:t xml:space="preserve"> </w:t>
      </w:r>
      <w:r w:rsidRPr="23C6FF99">
        <w:rPr>
          <w:i/>
          <w:iCs/>
        </w:rPr>
        <w:t>2015 Indoor Location Accuracy Order</w:t>
      </w:r>
      <w:r w:rsidRPr="23C6FF99">
        <w:t xml:space="preserve">, 30 FCC </w:t>
      </w:r>
      <w:r w:rsidRPr="23C6FF99">
        <w:t>Rcd</w:t>
      </w:r>
      <w:r w:rsidRPr="23C6FF99">
        <w:t xml:space="preserve"> 1259</w:t>
      </w:r>
      <w:r>
        <w:t xml:space="preserve">; </w:t>
      </w:r>
      <w:r w:rsidRPr="23C6FF99">
        <w:rPr>
          <w:i/>
          <w:iCs/>
        </w:rPr>
        <w:t>2020 Indoor Location Accuracy Order</w:t>
      </w:r>
      <w:r w:rsidRPr="23C6FF99">
        <w:t xml:space="preserve">, 35 FCC </w:t>
      </w:r>
      <w:r w:rsidRPr="23C6FF99">
        <w:t>Rcd</w:t>
      </w:r>
      <w:r w:rsidRPr="23C6FF99">
        <w:t xml:space="preserve"> 7752</w:t>
      </w:r>
      <w:r>
        <w:t>.</w:t>
      </w:r>
    </w:p>
  </w:footnote>
  <w:footnote w:id="132">
    <w:p w:rsidR="00DA3844" w:rsidRPr="001E0CEE" w:rsidP="00DA3844" w14:paraId="28C01108" w14:textId="77777777">
      <w:pPr>
        <w:pStyle w:val="FootnoteText"/>
      </w:pPr>
      <w:r w:rsidRPr="001E0CEE">
        <w:rPr>
          <w:rStyle w:val="FootnoteReference"/>
        </w:rPr>
        <w:footnoteRef/>
      </w:r>
      <w:r w:rsidRPr="001E0CEE">
        <w:t xml:space="preserve"> 47 CFR §§ 1.946(c), 1.955(a).</w:t>
      </w:r>
    </w:p>
  </w:footnote>
  <w:footnote w:id="133">
    <w:p w:rsidR="00DA3844" w:rsidRPr="005D7314" w:rsidP="00DA3844" w14:paraId="6B5A39BE" w14:textId="13A7FF8B">
      <w:pPr>
        <w:pStyle w:val="FootnoteText"/>
      </w:pPr>
      <w:r w:rsidRPr="001E0CEE">
        <w:rPr>
          <w:rStyle w:val="FootnoteReference"/>
        </w:rPr>
        <w:footnoteRef/>
      </w:r>
      <w:r w:rsidRPr="001E0CEE">
        <w:t xml:space="preserve"> </w:t>
      </w:r>
      <w:r w:rsidRPr="005D7314">
        <w:t>This date represents five years from the April 3, 202</w:t>
      </w:r>
      <w:r w:rsidRPr="005D7314" w:rsidR="005D7314">
        <w:t>3</w:t>
      </w:r>
      <w:r w:rsidRPr="005D7314">
        <w:t xml:space="preserve"> end-of-term construction deadline for its </w:t>
      </w:r>
      <w:r w:rsidRPr="005D7314" w:rsidR="005D7314">
        <w:t>remaining 7</w:t>
      </w:r>
      <w:r w:rsidR="008474D7">
        <w:t>3</w:t>
      </w:r>
      <w:r w:rsidRPr="005D7314" w:rsidR="005D7314">
        <w:t xml:space="preserve"> EAs</w:t>
      </w:r>
      <w:r w:rsidRPr="005D7314">
        <w:t xml:space="preserve"> and ensures that, for a reasonable and not unduly burdensome time period, Progeny will continue to provide service to carriers complying with the indoor location accuracy requirements.</w:t>
      </w:r>
      <w:r w:rsidRPr="005D7314" w:rsidR="005D7314">
        <w:t xml:space="preserve">  </w:t>
      </w:r>
      <w:r w:rsidRPr="005D7314" w:rsidR="005D7314">
        <w:rPr>
          <w:i/>
          <w:iCs/>
        </w:rPr>
        <w:t xml:space="preserve">See </w:t>
      </w:r>
      <w:r w:rsidR="00B96FDD">
        <w:rPr>
          <w:i/>
          <w:iCs/>
        </w:rPr>
        <w:t>2017 Progeny</w:t>
      </w:r>
      <w:r w:rsidRPr="005D7314" w:rsidR="005D7314">
        <w:rPr>
          <w:i/>
          <w:iCs/>
        </w:rPr>
        <w:t xml:space="preserve"> Order</w:t>
      </w:r>
      <w:r w:rsidRPr="005D7314" w:rsidR="005D7314">
        <w:t xml:space="preserve">, 32 FCC </w:t>
      </w:r>
      <w:r w:rsidRPr="005D7314" w:rsidR="005D7314">
        <w:t>Rcd</w:t>
      </w:r>
      <w:r w:rsidRPr="005D7314" w:rsidR="005D7314">
        <w:t xml:space="preserve"> at 135-36, para. 27</w:t>
      </w:r>
      <w:r w:rsidR="005D7314">
        <w:t xml:space="preserve">; </w:t>
      </w:r>
      <w:r w:rsidR="005D7314">
        <w:rPr>
          <w:i/>
          <w:iCs/>
        </w:rPr>
        <w:t xml:space="preserve">id. </w:t>
      </w:r>
      <w:r w:rsidR="005D7314">
        <w:t>at</w:t>
      </w:r>
      <w:r w:rsidR="005D7314">
        <w:rPr>
          <w:i/>
          <w:iCs/>
        </w:rPr>
        <w:t xml:space="preserve"> </w:t>
      </w:r>
      <w:r w:rsidR="005D7314">
        <w:t>Att</w:t>
      </w:r>
      <w:r w:rsidR="00C66E67">
        <w:t>ach</w:t>
      </w:r>
      <w:r w:rsidR="005D7314">
        <w:t>. D.</w:t>
      </w:r>
    </w:p>
  </w:footnote>
  <w:footnote w:id="134">
    <w:p w:rsidR="00497E62" w:rsidP="00497E62" w14:paraId="35E4EF3C" w14:textId="77777777">
      <w:pPr>
        <w:pStyle w:val="FootnoteText"/>
      </w:pPr>
      <w:r>
        <w:rPr>
          <w:rStyle w:val="FootnoteReference"/>
        </w:rPr>
        <w:footnoteRef/>
      </w:r>
      <w:r>
        <w:t xml:space="preserve"> </w:t>
      </w:r>
      <w:r w:rsidRPr="005D2E27">
        <w:t>Progeny may seek confidentiality pursuant to Commission rules 0.457. 0.459, 47 CFR Section 0.457, 0.459,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253" w14:paraId="433247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CA23DC" w14:textId="5A638A68">
    <w:pPr>
      <w:pStyle w:val="Header"/>
      <w:rPr>
        <w:b w:val="0"/>
      </w:rPr>
    </w:pPr>
    <w:r>
      <w:tab/>
      <w:t>Federal Communications Commission</w:t>
    </w:r>
    <w:r>
      <w:tab/>
    </w:r>
    <w:r w:rsidR="00821CD1">
      <w:t xml:space="preserve">DA </w:t>
    </w:r>
    <w:r w:rsidR="00821CD1">
      <w:t>23-</w:t>
    </w:r>
    <w:r w:rsidR="00234253">
      <w:t>265</w:t>
    </w:r>
  </w:p>
  <w:p w:rsidR="00D25FB5" w14:paraId="49CE820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125EBE2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86011B" w14:textId="0438F5F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r>
    <w:r w:rsidR="00821CD1">
      <w:rPr>
        <w:spacing w:val="-2"/>
      </w:rPr>
      <w:t>DA 23-</w:t>
    </w:r>
    <w:r w:rsidR="00234253">
      <w:rPr>
        <w:spacing w:val="-2"/>
      </w:rPr>
      <w:t>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5C3375"/>
    <w:multiLevelType w:val="hybridMultilevel"/>
    <w:tmpl w:val="BA8C11B6"/>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E59644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C516B7"/>
    <w:multiLevelType w:val="hybridMultilevel"/>
    <w:tmpl w:val="5CE89312"/>
    <w:lvl w:ilvl="0">
      <w:start w:val="1"/>
      <w:numFmt w:val="bullet"/>
      <w:lvlText w:val="o"/>
      <w:lvlJc w:val="left"/>
      <w:pPr>
        <w:ind w:left="2220" w:hanging="360"/>
      </w:pPr>
      <w:rPr>
        <w:rFonts w:ascii="Courier New" w:hAnsi="Courier New" w:cs="Courier New" w:hint="default"/>
      </w:rPr>
    </w:lvl>
    <w:lvl w:ilvl="1" w:tentative="1">
      <w:start w:val="1"/>
      <w:numFmt w:val="bullet"/>
      <w:lvlText w:val="o"/>
      <w:lvlJc w:val="left"/>
      <w:pPr>
        <w:ind w:left="2940" w:hanging="360"/>
      </w:pPr>
      <w:rPr>
        <w:rFonts w:ascii="Courier New" w:hAnsi="Courier New" w:cs="Courier New" w:hint="default"/>
      </w:rPr>
    </w:lvl>
    <w:lvl w:ilvl="2" w:tentative="1">
      <w:start w:val="1"/>
      <w:numFmt w:val="bullet"/>
      <w:lvlText w:val=""/>
      <w:lvlJc w:val="left"/>
      <w:pPr>
        <w:ind w:left="3660" w:hanging="360"/>
      </w:pPr>
      <w:rPr>
        <w:rFonts w:ascii="Wingdings" w:hAnsi="Wingdings" w:hint="default"/>
      </w:rPr>
    </w:lvl>
    <w:lvl w:ilvl="3" w:tentative="1">
      <w:start w:val="1"/>
      <w:numFmt w:val="bullet"/>
      <w:lvlText w:val=""/>
      <w:lvlJc w:val="left"/>
      <w:pPr>
        <w:ind w:left="4380" w:hanging="360"/>
      </w:pPr>
      <w:rPr>
        <w:rFonts w:ascii="Symbol" w:hAnsi="Symbol" w:hint="default"/>
      </w:rPr>
    </w:lvl>
    <w:lvl w:ilvl="4" w:tentative="1">
      <w:start w:val="1"/>
      <w:numFmt w:val="bullet"/>
      <w:lvlText w:val="o"/>
      <w:lvlJc w:val="left"/>
      <w:pPr>
        <w:ind w:left="5100" w:hanging="360"/>
      </w:pPr>
      <w:rPr>
        <w:rFonts w:ascii="Courier New" w:hAnsi="Courier New" w:cs="Courier New" w:hint="default"/>
      </w:rPr>
    </w:lvl>
    <w:lvl w:ilvl="5" w:tentative="1">
      <w:start w:val="1"/>
      <w:numFmt w:val="bullet"/>
      <w:lvlText w:val=""/>
      <w:lvlJc w:val="left"/>
      <w:pPr>
        <w:ind w:left="5820" w:hanging="360"/>
      </w:pPr>
      <w:rPr>
        <w:rFonts w:ascii="Wingdings" w:hAnsi="Wingdings" w:hint="default"/>
      </w:rPr>
    </w:lvl>
    <w:lvl w:ilvl="6" w:tentative="1">
      <w:start w:val="1"/>
      <w:numFmt w:val="bullet"/>
      <w:lvlText w:val=""/>
      <w:lvlJc w:val="left"/>
      <w:pPr>
        <w:ind w:left="6540" w:hanging="360"/>
      </w:pPr>
      <w:rPr>
        <w:rFonts w:ascii="Symbol" w:hAnsi="Symbol" w:hint="default"/>
      </w:rPr>
    </w:lvl>
    <w:lvl w:ilvl="7" w:tentative="1">
      <w:start w:val="1"/>
      <w:numFmt w:val="bullet"/>
      <w:lvlText w:val="o"/>
      <w:lvlJc w:val="left"/>
      <w:pPr>
        <w:ind w:left="7260" w:hanging="360"/>
      </w:pPr>
      <w:rPr>
        <w:rFonts w:ascii="Courier New" w:hAnsi="Courier New" w:cs="Courier New" w:hint="default"/>
      </w:rPr>
    </w:lvl>
    <w:lvl w:ilvl="8" w:tentative="1">
      <w:start w:val="1"/>
      <w:numFmt w:val="bullet"/>
      <w:lvlText w:val=""/>
      <w:lvlJc w:val="left"/>
      <w:pPr>
        <w:ind w:left="7980" w:hanging="360"/>
      </w:pPr>
      <w:rPr>
        <w:rFonts w:ascii="Wingdings" w:hAnsi="Wingdings" w:hint="default"/>
      </w:rPr>
    </w:lvl>
  </w:abstractNum>
  <w:abstractNum w:abstractNumId="6">
    <w:nsid w:val="31571F19"/>
    <w:multiLevelType w:val="hybridMultilevel"/>
    <w:tmpl w:val="859C1EEE"/>
    <w:lvl w:ilvl="0">
      <w:start w:val="1"/>
      <w:numFmt w:val="decimal"/>
      <w:lvlText w:val="%1."/>
      <w:lvlJc w:val="left"/>
      <w:pPr>
        <w:ind w:left="720" w:hanging="360"/>
      </w:pPr>
      <w:rPr>
        <w:rFonts w:ascii="Times New Roman" w:hAnsi="Times New Roman" w:cs="Times New Roman" w:hint="default"/>
        <w:i w:val="0"/>
        <w:iCs w:val="0"/>
      </w:rPr>
    </w:lvl>
    <w:lvl w:ilvl="1">
      <w:start w:val="1"/>
      <w:numFmt w:val="upperLetter"/>
      <w:lvlText w:val="%2."/>
      <w:lvlJc w:val="left"/>
      <w:pPr>
        <w:ind w:left="1440" w:hanging="360"/>
      </w:pPr>
      <w:rPr>
        <w:i w:val="0"/>
        <w:iCs w:val="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27BC99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D80D5F"/>
    <w:multiLevelType w:val="hybridMultilevel"/>
    <w:tmpl w:val="52922D2C"/>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C73029B8"/>
    <w:lvl w:ilvl="0">
      <w:start w:val="1"/>
      <w:numFmt w:val="decimal"/>
      <w:pStyle w:val="ParaNum"/>
      <w:lvlText w:val="%1."/>
      <w:lvlJc w:val="left"/>
      <w:pPr>
        <w:tabs>
          <w:tab w:val="num" w:pos="1080"/>
        </w:tabs>
        <w:ind w:left="0" w:firstLine="720"/>
      </w:pPr>
      <w:rPr>
        <w:i w:val="0"/>
        <w:iCs w:val="0"/>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7"/>
  </w:num>
  <w:num w:numId="8">
    <w:abstractNumId w:val="6"/>
  </w:num>
  <w:num w:numId="9">
    <w:abstractNumId w:val="10"/>
    <w:lvlOverride w:ilvl="0">
      <w:startOverride w:val="1"/>
    </w:lvlOverride>
  </w:num>
  <w:num w:numId="10">
    <w:abstractNumId w:val="0"/>
  </w:num>
  <w:num w:numId="11">
    <w:abstractNumId w:val="5"/>
  </w:num>
  <w:num w:numId="12">
    <w:abstractNumId w:val="9"/>
  </w:num>
  <w:num w:numId="13">
    <w:abstractNumId w:val="10"/>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BB"/>
    <w:rsid w:val="0000047D"/>
    <w:rsid w:val="00000861"/>
    <w:rsid w:val="000008EE"/>
    <w:rsid w:val="00003256"/>
    <w:rsid w:val="00003314"/>
    <w:rsid w:val="00004C33"/>
    <w:rsid w:val="00004FC3"/>
    <w:rsid w:val="00010984"/>
    <w:rsid w:val="0001228F"/>
    <w:rsid w:val="0001282A"/>
    <w:rsid w:val="0001288F"/>
    <w:rsid w:val="000143D1"/>
    <w:rsid w:val="00015DB0"/>
    <w:rsid w:val="00021674"/>
    <w:rsid w:val="00021FB5"/>
    <w:rsid w:val="0002227D"/>
    <w:rsid w:val="000238FC"/>
    <w:rsid w:val="00024C3E"/>
    <w:rsid w:val="00025939"/>
    <w:rsid w:val="00026D85"/>
    <w:rsid w:val="0002773E"/>
    <w:rsid w:val="00027FDD"/>
    <w:rsid w:val="000304A8"/>
    <w:rsid w:val="0003151C"/>
    <w:rsid w:val="00032964"/>
    <w:rsid w:val="0003582B"/>
    <w:rsid w:val="00035B56"/>
    <w:rsid w:val="00035FFC"/>
    <w:rsid w:val="00036039"/>
    <w:rsid w:val="00036AB7"/>
    <w:rsid w:val="00036BA3"/>
    <w:rsid w:val="00036CA8"/>
    <w:rsid w:val="000376C8"/>
    <w:rsid w:val="00037F90"/>
    <w:rsid w:val="00042369"/>
    <w:rsid w:val="00042E89"/>
    <w:rsid w:val="0004783C"/>
    <w:rsid w:val="00050FD1"/>
    <w:rsid w:val="000548E4"/>
    <w:rsid w:val="000573CA"/>
    <w:rsid w:val="0005777E"/>
    <w:rsid w:val="00060AA1"/>
    <w:rsid w:val="00062710"/>
    <w:rsid w:val="00063073"/>
    <w:rsid w:val="000632C6"/>
    <w:rsid w:val="00064B76"/>
    <w:rsid w:val="00066242"/>
    <w:rsid w:val="00066387"/>
    <w:rsid w:val="00066829"/>
    <w:rsid w:val="00067048"/>
    <w:rsid w:val="000673BD"/>
    <w:rsid w:val="000701FB"/>
    <w:rsid w:val="00070A61"/>
    <w:rsid w:val="00071ED0"/>
    <w:rsid w:val="00075074"/>
    <w:rsid w:val="00077626"/>
    <w:rsid w:val="00077E2C"/>
    <w:rsid w:val="0008204E"/>
    <w:rsid w:val="000846E8"/>
    <w:rsid w:val="00085667"/>
    <w:rsid w:val="00085B4D"/>
    <w:rsid w:val="0008638F"/>
    <w:rsid w:val="000875BF"/>
    <w:rsid w:val="00090417"/>
    <w:rsid w:val="00090733"/>
    <w:rsid w:val="00090DDC"/>
    <w:rsid w:val="000910E6"/>
    <w:rsid w:val="0009125B"/>
    <w:rsid w:val="00091A5B"/>
    <w:rsid w:val="000940EB"/>
    <w:rsid w:val="00095040"/>
    <w:rsid w:val="00096D8C"/>
    <w:rsid w:val="00096DFB"/>
    <w:rsid w:val="000A11C9"/>
    <w:rsid w:val="000A1A06"/>
    <w:rsid w:val="000A4DA8"/>
    <w:rsid w:val="000A7470"/>
    <w:rsid w:val="000B0331"/>
    <w:rsid w:val="000B1664"/>
    <w:rsid w:val="000B1C3F"/>
    <w:rsid w:val="000B1DBB"/>
    <w:rsid w:val="000B25D3"/>
    <w:rsid w:val="000B3003"/>
    <w:rsid w:val="000B3B70"/>
    <w:rsid w:val="000B4808"/>
    <w:rsid w:val="000B4CC1"/>
    <w:rsid w:val="000B5906"/>
    <w:rsid w:val="000B6D9B"/>
    <w:rsid w:val="000C0B65"/>
    <w:rsid w:val="000C135E"/>
    <w:rsid w:val="000C5B2C"/>
    <w:rsid w:val="000C60E6"/>
    <w:rsid w:val="000D09DE"/>
    <w:rsid w:val="000D0CD5"/>
    <w:rsid w:val="000D1DBE"/>
    <w:rsid w:val="000D4A44"/>
    <w:rsid w:val="000D566C"/>
    <w:rsid w:val="000D645E"/>
    <w:rsid w:val="000D6BBB"/>
    <w:rsid w:val="000D6F61"/>
    <w:rsid w:val="000D70A6"/>
    <w:rsid w:val="000D73B0"/>
    <w:rsid w:val="000D7657"/>
    <w:rsid w:val="000E05FE"/>
    <w:rsid w:val="000E06F6"/>
    <w:rsid w:val="000E153D"/>
    <w:rsid w:val="000E2374"/>
    <w:rsid w:val="000E2CF4"/>
    <w:rsid w:val="000E3D42"/>
    <w:rsid w:val="000E3D95"/>
    <w:rsid w:val="000E43AC"/>
    <w:rsid w:val="000E4424"/>
    <w:rsid w:val="000E49C9"/>
    <w:rsid w:val="000E5D31"/>
    <w:rsid w:val="000E71F5"/>
    <w:rsid w:val="000F1D56"/>
    <w:rsid w:val="000F2BEA"/>
    <w:rsid w:val="000F4843"/>
    <w:rsid w:val="000F494E"/>
    <w:rsid w:val="000F7C4F"/>
    <w:rsid w:val="00100F07"/>
    <w:rsid w:val="00103064"/>
    <w:rsid w:val="001045BA"/>
    <w:rsid w:val="00104CAB"/>
    <w:rsid w:val="00104D44"/>
    <w:rsid w:val="001051EF"/>
    <w:rsid w:val="00105767"/>
    <w:rsid w:val="00105986"/>
    <w:rsid w:val="00105B82"/>
    <w:rsid w:val="001064A9"/>
    <w:rsid w:val="00107372"/>
    <w:rsid w:val="00111BF5"/>
    <w:rsid w:val="00111C62"/>
    <w:rsid w:val="001127B5"/>
    <w:rsid w:val="00113221"/>
    <w:rsid w:val="00114841"/>
    <w:rsid w:val="00114D62"/>
    <w:rsid w:val="0011529D"/>
    <w:rsid w:val="00115A2D"/>
    <w:rsid w:val="001160F3"/>
    <w:rsid w:val="001165D2"/>
    <w:rsid w:val="001165E3"/>
    <w:rsid w:val="0011691C"/>
    <w:rsid w:val="00120D13"/>
    <w:rsid w:val="00120DA9"/>
    <w:rsid w:val="00121A6B"/>
    <w:rsid w:val="00122BD5"/>
    <w:rsid w:val="0012435E"/>
    <w:rsid w:val="00124D35"/>
    <w:rsid w:val="00125140"/>
    <w:rsid w:val="00127652"/>
    <w:rsid w:val="00127BFC"/>
    <w:rsid w:val="00130A0E"/>
    <w:rsid w:val="00131CA5"/>
    <w:rsid w:val="00131E73"/>
    <w:rsid w:val="00132FA2"/>
    <w:rsid w:val="00133A03"/>
    <w:rsid w:val="00133F79"/>
    <w:rsid w:val="00133F87"/>
    <w:rsid w:val="00134599"/>
    <w:rsid w:val="0013467F"/>
    <w:rsid w:val="00134DDC"/>
    <w:rsid w:val="001350E7"/>
    <w:rsid w:val="001353A3"/>
    <w:rsid w:val="0013580A"/>
    <w:rsid w:val="00135840"/>
    <w:rsid w:val="00136E49"/>
    <w:rsid w:val="0014032D"/>
    <w:rsid w:val="00140389"/>
    <w:rsid w:val="00141097"/>
    <w:rsid w:val="0014236F"/>
    <w:rsid w:val="00142775"/>
    <w:rsid w:val="00143486"/>
    <w:rsid w:val="00143DC9"/>
    <w:rsid w:val="00150479"/>
    <w:rsid w:val="00151290"/>
    <w:rsid w:val="00155E40"/>
    <w:rsid w:val="00155FBD"/>
    <w:rsid w:val="0016084D"/>
    <w:rsid w:val="001611C4"/>
    <w:rsid w:val="001619AA"/>
    <w:rsid w:val="00162381"/>
    <w:rsid w:val="001631FC"/>
    <w:rsid w:val="0016413F"/>
    <w:rsid w:val="00165DFB"/>
    <w:rsid w:val="001660CD"/>
    <w:rsid w:val="001662A3"/>
    <w:rsid w:val="00166628"/>
    <w:rsid w:val="00170E9E"/>
    <w:rsid w:val="001717E4"/>
    <w:rsid w:val="00173B63"/>
    <w:rsid w:val="001742C1"/>
    <w:rsid w:val="001763D9"/>
    <w:rsid w:val="0017666D"/>
    <w:rsid w:val="00182607"/>
    <w:rsid w:val="001826D1"/>
    <w:rsid w:val="001855B8"/>
    <w:rsid w:val="001870A6"/>
    <w:rsid w:val="001877B9"/>
    <w:rsid w:val="00193471"/>
    <w:rsid w:val="00194A66"/>
    <w:rsid w:val="00194D24"/>
    <w:rsid w:val="00195AA9"/>
    <w:rsid w:val="00195AFF"/>
    <w:rsid w:val="00196624"/>
    <w:rsid w:val="001A026B"/>
    <w:rsid w:val="001A0AD6"/>
    <w:rsid w:val="001A2CE6"/>
    <w:rsid w:val="001A6192"/>
    <w:rsid w:val="001A7D07"/>
    <w:rsid w:val="001B0621"/>
    <w:rsid w:val="001B1084"/>
    <w:rsid w:val="001B1E1B"/>
    <w:rsid w:val="001B25E8"/>
    <w:rsid w:val="001B5933"/>
    <w:rsid w:val="001B72B8"/>
    <w:rsid w:val="001B7CE5"/>
    <w:rsid w:val="001C1255"/>
    <w:rsid w:val="001C1C96"/>
    <w:rsid w:val="001C21E1"/>
    <w:rsid w:val="001C35EA"/>
    <w:rsid w:val="001C3A90"/>
    <w:rsid w:val="001C3EC8"/>
    <w:rsid w:val="001C40C7"/>
    <w:rsid w:val="001C43C6"/>
    <w:rsid w:val="001C46AB"/>
    <w:rsid w:val="001C49AD"/>
    <w:rsid w:val="001C4F22"/>
    <w:rsid w:val="001C5544"/>
    <w:rsid w:val="001C5F0E"/>
    <w:rsid w:val="001C6A08"/>
    <w:rsid w:val="001C6A62"/>
    <w:rsid w:val="001C7516"/>
    <w:rsid w:val="001D11F9"/>
    <w:rsid w:val="001D18E2"/>
    <w:rsid w:val="001D4818"/>
    <w:rsid w:val="001D482E"/>
    <w:rsid w:val="001D4A35"/>
    <w:rsid w:val="001D50B1"/>
    <w:rsid w:val="001D534D"/>
    <w:rsid w:val="001D5EF0"/>
    <w:rsid w:val="001D63D5"/>
    <w:rsid w:val="001D651A"/>
    <w:rsid w:val="001D6949"/>
    <w:rsid w:val="001D6BCF"/>
    <w:rsid w:val="001D748B"/>
    <w:rsid w:val="001D75E6"/>
    <w:rsid w:val="001E01CA"/>
    <w:rsid w:val="001E0248"/>
    <w:rsid w:val="001E0CEE"/>
    <w:rsid w:val="001E14AF"/>
    <w:rsid w:val="001E17AC"/>
    <w:rsid w:val="001E5F22"/>
    <w:rsid w:val="001F0EAE"/>
    <w:rsid w:val="001F1475"/>
    <w:rsid w:val="001F2055"/>
    <w:rsid w:val="001F3E41"/>
    <w:rsid w:val="001F4048"/>
    <w:rsid w:val="001F46D2"/>
    <w:rsid w:val="001F5892"/>
    <w:rsid w:val="001F635B"/>
    <w:rsid w:val="00200B96"/>
    <w:rsid w:val="00200ED0"/>
    <w:rsid w:val="0020136B"/>
    <w:rsid w:val="002023E8"/>
    <w:rsid w:val="00202417"/>
    <w:rsid w:val="0020265D"/>
    <w:rsid w:val="00202CA8"/>
    <w:rsid w:val="00203676"/>
    <w:rsid w:val="00203D14"/>
    <w:rsid w:val="00205B3E"/>
    <w:rsid w:val="00210482"/>
    <w:rsid w:val="00210B61"/>
    <w:rsid w:val="00211A11"/>
    <w:rsid w:val="00213C5F"/>
    <w:rsid w:val="00214873"/>
    <w:rsid w:val="00216A5F"/>
    <w:rsid w:val="002170DA"/>
    <w:rsid w:val="00217C6C"/>
    <w:rsid w:val="00220C44"/>
    <w:rsid w:val="00221330"/>
    <w:rsid w:val="00222C72"/>
    <w:rsid w:val="00223ACC"/>
    <w:rsid w:val="0022430B"/>
    <w:rsid w:val="0022587E"/>
    <w:rsid w:val="00225A81"/>
    <w:rsid w:val="00225CB9"/>
    <w:rsid w:val="00232F45"/>
    <w:rsid w:val="002337A3"/>
    <w:rsid w:val="00234253"/>
    <w:rsid w:val="0023504D"/>
    <w:rsid w:val="00236DDE"/>
    <w:rsid w:val="00237078"/>
    <w:rsid w:val="00241126"/>
    <w:rsid w:val="00241C31"/>
    <w:rsid w:val="00242D78"/>
    <w:rsid w:val="002432F0"/>
    <w:rsid w:val="0024484A"/>
    <w:rsid w:val="00246F41"/>
    <w:rsid w:val="00247F94"/>
    <w:rsid w:val="00247FA5"/>
    <w:rsid w:val="00250A9A"/>
    <w:rsid w:val="002524B1"/>
    <w:rsid w:val="002532EC"/>
    <w:rsid w:val="00253911"/>
    <w:rsid w:val="0025535A"/>
    <w:rsid w:val="00255FC3"/>
    <w:rsid w:val="002560E9"/>
    <w:rsid w:val="0025634A"/>
    <w:rsid w:val="00256513"/>
    <w:rsid w:val="002602B5"/>
    <w:rsid w:val="00264A96"/>
    <w:rsid w:val="00264EED"/>
    <w:rsid w:val="00265790"/>
    <w:rsid w:val="002665DF"/>
    <w:rsid w:val="0027276D"/>
    <w:rsid w:val="00273EF6"/>
    <w:rsid w:val="00275A3C"/>
    <w:rsid w:val="00275CF5"/>
    <w:rsid w:val="0027714E"/>
    <w:rsid w:val="0027795A"/>
    <w:rsid w:val="00282B4B"/>
    <w:rsid w:val="00282BC2"/>
    <w:rsid w:val="0028301F"/>
    <w:rsid w:val="00285017"/>
    <w:rsid w:val="002856D6"/>
    <w:rsid w:val="0029010B"/>
    <w:rsid w:val="00291DF3"/>
    <w:rsid w:val="0029356C"/>
    <w:rsid w:val="00293727"/>
    <w:rsid w:val="00293784"/>
    <w:rsid w:val="00293E86"/>
    <w:rsid w:val="0029705E"/>
    <w:rsid w:val="002A05C4"/>
    <w:rsid w:val="002A0D6F"/>
    <w:rsid w:val="002A1A66"/>
    <w:rsid w:val="002A2D2E"/>
    <w:rsid w:val="002A5A1B"/>
    <w:rsid w:val="002A6036"/>
    <w:rsid w:val="002A6CB3"/>
    <w:rsid w:val="002A7ADF"/>
    <w:rsid w:val="002B3787"/>
    <w:rsid w:val="002B4D1E"/>
    <w:rsid w:val="002B5DCA"/>
    <w:rsid w:val="002C00E8"/>
    <w:rsid w:val="002C08B5"/>
    <w:rsid w:val="002C1F60"/>
    <w:rsid w:val="002C223C"/>
    <w:rsid w:val="002C2506"/>
    <w:rsid w:val="002C2F87"/>
    <w:rsid w:val="002C38B3"/>
    <w:rsid w:val="002C39BC"/>
    <w:rsid w:val="002C3EB7"/>
    <w:rsid w:val="002C3FED"/>
    <w:rsid w:val="002C46E4"/>
    <w:rsid w:val="002C4ED4"/>
    <w:rsid w:val="002C51A8"/>
    <w:rsid w:val="002C5CC9"/>
    <w:rsid w:val="002D0AF4"/>
    <w:rsid w:val="002D0F1F"/>
    <w:rsid w:val="002D28B2"/>
    <w:rsid w:val="002D2E5D"/>
    <w:rsid w:val="002D2EBF"/>
    <w:rsid w:val="002D3309"/>
    <w:rsid w:val="002D41ED"/>
    <w:rsid w:val="002D4BBF"/>
    <w:rsid w:val="002D6A94"/>
    <w:rsid w:val="002D6D9A"/>
    <w:rsid w:val="002D733D"/>
    <w:rsid w:val="002E0F91"/>
    <w:rsid w:val="002E2194"/>
    <w:rsid w:val="002E2697"/>
    <w:rsid w:val="002E2B78"/>
    <w:rsid w:val="002E2F78"/>
    <w:rsid w:val="002E315B"/>
    <w:rsid w:val="002E3166"/>
    <w:rsid w:val="002E3CE0"/>
    <w:rsid w:val="002E44DE"/>
    <w:rsid w:val="002E5B04"/>
    <w:rsid w:val="002E62C4"/>
    <w:rsid w:val="002E6B42"/>
    <w:rsid w:val="002F080F"/>
    <w:rsid w:val="002F0B60"/>
    <w:rsid w:val="002F1256"/>
    <w:rsid w:val="002F2F82"/>
    <w:rsid w:val="002F3487"/>
    <w:rsid w:val="002F3C09"/>
    <w:rsid w:val="002F4151"/>
    <w:rsid w:val="002F42E2"/>
    <w:rsid w:val="002F488D"/>
    <w:rsid w:val="002F731E"/>
    <w:rsid w:val="00300B7A"/>
    <w:rsid w:val="00303A24"/>
    <w:rsid w:val="00307E72"/>
    <w:rsid w:val="00310632"/>
    <w:rsid w:val="003111A7"/>
    <w:rsid w:val="0031248E"/>
    <w:rsid w:val="003130D7"/>
    <w:rsid w:val="00313DED"/>
    <w:rsid w:val="00313FCA"/>
    <w:rsid w:val="00315F5B"/>
    <w:rsid w:val="00316955"/>
    <w:rsid w:val="00317002"/>
    <w:rsid w:val="00321500"/>
    <w:rsid w:val="00322177"/>
    <w:rsid w:val="00324BA8"/>
    <w:rsid w:val="003316E4"/>
    <w:rsid w:val="0033269B"/>
    <w:rsid w:val="00333318"/>
    <w:rsid w:val="003341AF"/>
    <w:rsid w:val="00334596"/>
    <w:rsid w:val="00335632"/>
    <w:rsid w:val="003363F3"/>
    <w:rsid w:val="00340A02"/>
    <w:rsid w:val="00343729"/>
    <w:rsid w:val="00343749"/>
    <w:rsid w:val="003440E4"/>
    <w:rsid w:val="0034538A"/>
    <w:rsid w:val="00351036"/>
    <w:rsid w:val="003516B3"/>
    <w:rsid w:val="0035324E"/>
    <w:rsid w:val="003548FD"/>
    <w:rsid w:val="00354981"/>
    <w:rsid w:val="003562D7"/>
    <w:rsid w:val="00362E93"/>
    <w:rsid w:val="0036302F"/>
    <w:rsid w:val="00363088"/>
    <w:rsid w:val="003651D0"/>
    <w:rsid w:val="003660ED"/>
    <w:rsid w:val="00366519"/>
    <w:rsid w:val="00366828"/>
    <w:rsid w:val="003674A3"/>
    <w:rsid w:val="00372721"/>
    <w:rsid w:val="00373C8C"/>
    <w:rsid w:val="003767F3"/>
    <w:rsid w:val="00380C1C"/>
    <w:rsid w:val="003816E8"/>
    <w:rsid w:val="00381846"/>
    <w:rsid w:val="00381DF0"/>
    <w:rsid w:val="0038559D"/>
    <w:rsid w:val="00391169"/>
    <w:rsid w:val="00391F84"/>
    <w:rsid w:val="003937E2"/>
    <w:rsid w:val="0039385A"/>
    <w:rsid w:val="00393B09"/>
    <w:rsid w:val="003949D4"/>
    <w:rsid w:val="003A0874"/>
    <w:rsid w:val="003A232B"/>
    <w:rsid w:val="003A3525"/>
    <w:rsid w:val="003A40D2"/>
    <w:rsid w:val="003A484A"/>
    <w:rsid w:val="003A4DD8"/>
    <w:rsid w:val="003A4FEE"/>
    <w:rsid w:val="003A5324"/>
    <w:rsid w:val="003A549B"/>
    <w:rsid w:val="003A5DF6"/>
    <w:rsid w:val="003A60A4"/>
    <w:rsid w:val="003A70CD"/>
    <w:rsid w:val="003B0460"/>
    <w:rsid w:val="003B0550"/>
    <w:rsid w:val="003B0E66"/>
    <w:rsid w:val="003B10B5"/>
    <w:rsid w:val="003B35EA"/>
    <w:rsid w:val="003B3DD5"/>
    <w:rsid w:val="003B3FB2"/>
    <w:rsid w:val="003B43F7"/>
    <w:rsid w:val="003B5437"/>
    <w:rsid w:val="003B694F"/>
    <w:rsid w:val="003B6CC4"/>
    <w:rsid w:val="003C06E0"/>
    <w:rsid w:val="003C110E"/>
    <w:rsid w:val="003C2101"/>
    <w:rsid w:val="003C3EB7"/>
    <w:rsid w:val="003C7E49"/>
    <w:rsid w:val="003D2FEB"/>
    <w:rsid w:val="003D33E9"/>
    <w:rsid w:val="003D4011"/>
    <w:rsid w:val="003D5757"/>
    <w:rsid w:val="003E12C8"/>
    <w:rsid w:val="003E15C9"/>
    <w:rsid w:val="003E3371"/>
    <w:rsid w:val="003E3C98"/>
    <w:rsid w:val="003E3FD8"/>
    <w:rsid w:val="003E4655"/>
    <w:rsid w:val="003E4CF1"/>
    <w:rsid w:val="003E6011"/>
    <w:rsid w:val="003E7CD2"/>
    <w:rsid w:val="003F0144"/>
    <w:rsid w:val="003F171C"/>
    <w:rsid w:val="003F1EBB"/>
    <w:rsid w:val="003F1EE6"/>
    <w:rsid w:val="003F311A"/>
    <w:rsid w:val="003F5083"/>
    <w:rsid w:val="003F57B9"/>
    <w:rsid w:val="003F59E0"/>
    <w:rsid w:val="003F5C5A"/>
    <w:rsid w:val="003F73DB"/>
    <w:rsid w:val="003F7D35"/>
    <w:rsid w:val="0040151C"/>
    <w:rsid w:val="00402026"/>
    <w:rsid w:val="0040215C"/>
    <w:rsid w:val="00402406"/>
    <w:rsid w:val="00402A0F"/>
    <w:rsid w:val="00403B0D"/>
    <w:rsid w:val="004056D4"/>
    <w:rsid w:val="0040647B"/>
    <w:rsid w:val="00410B09"/>
    <w:rsid w:val="00412FC5"/>
    <w:rsid w:val="004138DC"/>
    <w:rsid w:val="00416990"/>
    <w:rsid w:val="00417184"/>
    <w:rsid w:val="00420B45"/>
    <w:rsid w:val="00421124"/>
    <w:rsid w:val="00421ABF"/>
    <w:rsid w:val="00422276"/>
    <w:rsid w:val="004227DC"/>
    <w:rsid w:val="004242F1"/>
    <w:rsid w:val="004257E9"/>
    <w:rsid w:val="0042732D"/>
    <w:rsid w:val="00430DF3"/>
    <w:rsid w:val="00430F17"/>
    <w:rsid w:val="004312CE"/>
    <w:rsid w:val="00432109"/>
    <w:rsid w:val="004346FE"/>
    <w:rsid w:val="00436328"/>
    <w:rsid w:val="00436A80"/>
    <w:rsid w:val="00440280"/>
    <w:rsid w:val="004418C2"/>
    <w:rsid w:val="004440D0"/>
    <w:rsid w:val="0044591D"/>
    <w:rsid w:val="00445A00"/>
    <w:rsid w:val="0045095C"/>
    <w:rsid w:val="0045100D"/>
    <w:rsid w:val="00451682"/>
    <w:rsid w:val="00451B0F"/>
    <w:rsid w:val="00452400"/>
    <w:rsid w:val="00453BF8"/>
    <w:rsid w:val="004553A0"/>
    <w:rsid w:val="00456435"/>
    <w:rsid w:val="004575C7"/>
    <w:rsid w:val="00457FF4"/>
    <w:rsid w:val="0046113F"/>
    <w:rsid w:val="00463B21"/>
    <w:rsid w:val="004652BB"/>
    <w:rsid w:val="004654B1"/>
    <w:rsid w:val="004655EC"/>
    <w:rsid w:val="00465765"/>
    <w:rsid w:val="0046760C"/>
    <w:rsid w:val="00467BC2"/>
    <w:rsid w:val="00467EC6"/>
    <w:rsid w:val="00470929"/>
    <w:rsid w:val="00473A1A"/>
    <w:rsid w:val="00473F09"/>
    <w:rsid w:val="0047468A"/>
    <w:rsid w:val="00474F1B"/>
    <w:rsid w:val="00475925"/>
    <w:rsid w:val="00475D95"/>
    <w:rsid w:val="004802AF"/>
    <w:rsid w:val="00481CA0"/>
    <w:rsid w:val="00481D55"/>
    <w:rsid w:val="004826F3"/>
    <w:rsid w:val="00483C1E"/>
    <w:rsid w:val="00484F77"/>
    <w:rsid w:val="00485E2F"/>
    <w:rsid w:val="0048637E"/>
    <w:rsid w:val="0049088A"/>
    <w:rsid w:val="00492382"/>
    <w:rsid w:val="0049707B"/>
    <w:rsid w:val="00497E62"/>
    <w:rsid w:val="004A0303"/>
    <w:rsid w:val="004A0D26"/>
    <w:rsid w:val="004A27A0"/>
    <w:rsid w:val="004A4C02"/>
    <w:rsid w:val="004A5D9B"/>
    <w:rsid w:val="004A6B53"/>
    <w:rsid w:val="004B0061"/>
    <w:rsid w:val="004B03AA"/>
    <w:rsid w:val="004B0689"/>
    <w:rsid w:val="004B16F8"/>
    <w:rsid w:val="004B1A46"/>
    <w:rsid w:val="004B2499"/>
    <w:rsid w:val="004B3173"/>
    <w:rsid w:val="004B3BF9"/>
    <w:rsid w:val="004C06DF"/>
    <w:rsid w:val="004C2EE3"/>
    <w:rsid w:val="004C711D"/>
    <w:rsid w:val="004C7A02"/>
    <w:rsid w:val="004D02AD"/>
    <w:rsid w:val="004D06C3"/>
    <w:rsid w:val="004D2845"/>
    <w:rsid w:val="004D3828"/>
    <w:rsid w:val="004D3D0C"/>
    <w:rsid w:val="004D6B59"/>
    <w:rsid w:val="004E063F"/>
    <w:rsid w:val="004E0B56"/>
    <w:rsid w:val="004E11FA"/>
    <w:rsid w:val="004E4A22"/>
    <w:rsid w:val="004E6890"/>
    <w:rsid w:val="004F04BF"/>
    <w:rsid w:val="004F0832"/>
    <w:rsid w:val="004F1C31"/>
    <w:rsid w:val="004F41DA"/>
    <w:rsid w:val="004F7881"/>
    <w:rsid w:val="005011C9"/>
    <w:rsid w:val="0050219F"/>
    <w:rsid w:val="00502FEA"/>
    <w:rsid w:val="005045CC"/>
    <w:rsid w:val="00505F03"/>
    <w:rsid w:val="005062AC"/>
    <w:rsid w:val="00507339"/>
    <w:rsid w:val="00507535"/>
    <w:rsid w:val="0051046E"/>
    <w:rsid w:val="0051077C"/>
    <w:rsid w:val="005114EF"/>
    <w:rsid w:val="00511968"/>
    <w:rsid w:val="00513D1A"/>
    <w:rsid w:val="00514485"/>
    <w:rsid w:val="00515631"/>
    <w:rsid w:val="00520778"/>
    <w:rsid w:val="005216BD"/>
    <w:rsid w:val="00521BF4"/>
    <w:rsid w:val="00526B29"/>
    <w:rsid w:val="00527EB3"/>
    <w:rsid w:val="0053155B"/>
    <w:rsid w:val="00533D72"/>
    <w:rsid w:val="00534D98"/>
    <w:rsid w:val="00535A32"/>
    <w:rsid w:val="00535C4C"/>
    <w:rsid w:val="005363C5"/>
    <w:rsid w:val="00536F0C"/>
    <w:rsid w:val="00540360"/>
    <w:rsid w:val="00541B54"/>
    <w:rsid w:val="00542B05"/>
    <w:rsid w:val="00545DE4"/>
    <w:rsid w:val="005465BB"/>
    <w:rsid w:val="0054784A"/>
    <w:rsid w:val="00552402"/>
    <w:rsid w:val="005525A5"/>
    <w:rsid w:val="00555869"/>
    <w:rsid w:val="0055614C"/>
    <w:rsid w:val="005568B5"/>
    <w:rsid w:val="0056040F"/>
    <w:rsid w:val="00560F65"/>
    <w:rsid w:val="0056172F"/>
    <w:rsid w:val="00563011"/>
    <w:rsid w:val="00564A7B"/>
    <w:rsid w:val="00565A70"/>
    <w:rsid w:val="00565ED7"/>
    <w:rsid w:val="00565F9D"/>
    <w:rsid w:val="005660EF"/>
    <w:rsid w:val="005663BB"/>
    <w:rsid w:val="005667A0"/>
    <w:rsid w:val="00566811"/>
    <w:rsid w:val="00566D06"/>
    <w:rsid w:val="005671BA"/>
    <w:rsid w:val="00567B3A"/>
    <w:rsid w:val="005708C8"/>
    <w:rsid w:val="00572253"/>
    <w:rsid w:val="0057294B"/>
    <w:rsid w:val="00572AE8"/>
    <w:rsid w:val="00572DB2"/>
    <w:rsid w:val="00574FC0"/>
    <w:rsid w:val="00575E4A"/>
    <w:rsid w:val="005806D0"/>
    <w:rsid w:val="005806D2"/>
    <w:rsid w:val="00580DE4"/>
    <w:rsid w:val="00581837"/>
    <w:rsid w:val="005820F3"/>
    <w:rsid w:val="005824C1"/>
    <w:rsid w:val="00583269"/>
    <w:rsid w:val="00586056"/>
    <w:rsid w:val="00586118"/>
    <w:rsid w:val="00590EBE"/>
    <w:rsid w:val="00591CB8"/>
    <w:rsid w:val="00595212"/>
    <w:rsid w:val="00595E90"/>
    <w:rsid w:val="0059600A"/>
    <w:rsid w:val="00596BBF"/>
    <w:rsid w:val="00597C53"/>
    <w:rsid w:val="005A0B79"/>
    <w:rsid w:val="005A0D2B"/>
    <w:rsid w:val="005A1553"/>
    <w:rsid w:val="005A1C62"/>
    <w:rsid w:val="005A2BFB"/>
    <w:rsid w:val="005A4C6A"/>
    <w:rsid w:val="005A68F7"/>
    <w:rsid w:val="005A74A8"/>
    <w:rsid w:val="005A75D1"/>
    <w:rsid w:val="005B339C"/>
    <w:rsid w:val="005B3866"/>
    <w:rsid w:val="005B4B5A"/>
    <w:rsid w:val="005C095E"/>
    <w:rsid w:val="005C137B"/>
    <w:rsid w:val="005C27F0"/>
    <w:rsid w:val="005C29D9"/>
    <w:rsid w:val="005C4617"/>
    <w:rsid w:val="005C6BB1"/>
    <w:rsid w:val="005C6BFA"/>
    <w:rsid w:val="005C7253"/>
    <w:rsid w:val="005C7F73"/>
    <w:rsid w:val="005D0716"/>
    <w:rsid w:val="005D0745"/>
    <w:rsid w:val="005D1572"/>
    <w:rsid w:val="005D2010"/>
    <w:rsid w:val="005D255E"/>
    <w:rsid w:val="005D2E27"/>
    <w:rsid w:val="005D2FB8"/>
    <w:rsid w:val="005D4B6D"/>
    <w:rsid w:val="005D4C82"/>
    <w:rsid w:val="005D65D4"/>
    <w:rsid w:val="005D6E3C"/>
    <w:rsid w:val="005D7314"/>
    <w:rsid w:val="005E0A74"/>
    <w:rsid w:val="005E14C2"/>
    <w:rsid w:val="005E2BD1"/>
    <w:rsid w:val="005E2D17"/>
    <w:rsid w:val="005E4C44"/>
    <w:rsid w:val="005E6638"/>
    <w:rsid w:val="005E7682"/>
    <w:rsid w:val="005F0DDC"/>
    <w:rsid w:val="005F1A81"/>
    <w:rsid w:val="005F5E23"/>
    <w:rsid w:val="005F7A49"/>
    <w:rsid w:val="00603F60"/>
    <w:rsid w:val="006041AA"/>
    <w:rsid w:val="0060453A"/>
    <w:rsid w:val="00605071"/>
    <w:rsid w:val="00606D41"/>
    <w:rsid w:val="0060751C"/>
    <w:rsid w:val="00607BA5"/>
    <w:rsid w:val="0061180A"/>
    <w:rsid w:val="006129D6"/>
    <w:rsid w:val="006148AD"/>
    <w:rsid w:val="0061543B"/>
    <w:rsid w:val="006157D9"/>
    <w:rsid w:val="00615954"/>
    <w:rsid w:val="00615EF1"/>
    <w:rsid w:val="006161B7"/>
    <w:rsid w:val="006168DE"/>
    <w:rsid w:val="00616DFD"/>
    <w:rsid w:val="00617059"/>
    <w:rsid w:val="006178CB"/>
    <w:rsid w:val="0062000F"/>
    <w:rsid w:val="00622C02"/>
    <w:rsid w:val="006238C6"/>
    <w:rsid w:val="00624C66"/>
    <w:rsid w:val="0062526E"/>
    <w:rsid w:val="0062589D"/>
    <w:rsid w:val="00626EB6"/>
    <w:rsid w:val="006308A2"/>
    <w:rsid w:val="00630CB0"/>
    <w:rsid w:val="0063314D"/>
    <w:rsid w:val="006335B2"/>
    <w:rsid w:val="006345D9"/>
    <w:rsid w:val="00635F86"/>
    <w:rsid w:val="00636044"/>
    <w:rsid w:val="00636919"/>
    <w:rsid w:val="00636E89"/>
    <w:rsid w:val="006404C2"/>
    <w:rsid w:val="00640C35"/>
    <w:rsid w:val="00641ACB"/>
    <w:rsid w:val="0064209C"/>
    <w:rsid w:val="00643FDD"/>
    <w:rsid w:val="00644037"/>
    <w:rsid w:val="0064447A"/>
    <w:rsid w:val="00644A67"/>
    <w:rsid w:val="006456B3"/>
    <w:rsid w:val="00645963"/>
    <w:rsid w:val="00645F15"/>
    <w:rsid w:val="00646B40"/>
    <w:rsid w:val="006476E7"/>
    <w:rsid w:val="00650FDF"/>
    <w:rsid w:val="006558DC"/>
    <w:rsid w:val="00655D03"/>
    <w:rsid w:val="006621B9"/>
    <w:rsid w:val="00663D15"/>
    <w:rsid w:val="0066679A"/>
    <w:rsid w:val="006671DB"/>
    <w:rsid w:val="00667E9F"/>
    <w:rsid w:val="00670D4D"/>
    <w:rsid w:val="0067160C"/>
    <w:rsid w:val="0067188E"/>
    <w:rsid w:val="006719ED"/>
    <w:rsid w:val="00673C29"/>
    <w:rsid w:val="006756BA"/>
    <w:rsid w:val="006759EF"/>
    <w:rsid w:val="006779BD"/>
    <w:rsid w:val="00680AAD"/>
    <w:rsid w:val="00680BC6"/>
    <w:rsid w:val="00681060"/>
    <w:rsid w:val="00681753"/>
    <w:rsid w:val="00683388"/>
    <w:rsid w:val="00683A74"/>
    <w:rsid w:val="00683F84"/>
    <w:rsid w:val="00684449"/>
    <w:rsid w:val="00684D92"/>
    <w:rsid w:val="00685867"/>
    <w:rsid w:val="00686435"/>
    <w:rsid w:val="00687E29"/>
    <w:rsid w:val="00687F9B"/>
    <w:rsid w:val="00694899"/>
    <w:rsid w:val="006951CD"/>
    <w:rsid w:val="0069604D"/>
    <w:rsid w:val="00696263"/>
    <w:rsid w:val="006964EB"/>
    <w:rsid w:val="00696617"/>
    <w:rsid w:val="006A01B4"/>
    <w:rsid w:val="006A26DD"/>
    <w:rsid w:val="006A28AC"/>
    <w:rsid w:val="006A3FEE"/>
    <w:rsid w:val="006A4AFA"/>
    <w:rsid w:val="006A58E3"/>
    <w:rsid w:val="006A6232"/>
    <w:rsid w:val="006A64B1"/>
    <w:rsid w:val="006A6A81"/>
    <w:rsid w:val="006A76A3"/>
    <w:rsid w:val="006B17FA"/>
    <w:rsid w:val="006B2DD6"/>
    <w:rsid w:val="006B3D8C"/>
    <w:rsid w:val="006B54A6"/>
    <w:rsid w:val="006B63C4"/>
    <w:rsid w:val="006B67A4"/>
    <w:rsid w:val="006B7177"/>
    <w:rsid w:val="006B76BF"/>
    <w:rsid w:val="006C1419"/>
    <w:rsid w:val="006C17F0"/>
    <w:rsid w:val="006C1899"/>
    <w:rsid w:val="006C27C7"/>
    <w:rsid w:val="006C28B1"/>
    <w:rsid w:val="006C2B4D"/>
    <w:rsid w:val="006C3E86"/>
    <w:rsid w:val="006C44D7"/>
    <w:rsid w:val="006C4E1E"/>
    <w:rsid w:val="006C4EE8"/>
    <w:rsid w:val="006C6B87"/>
    <w:rsid w:val="006C6F7D"/>
    <w:rsid w:val="006C7975"/>
    <w:rsid w:val="006D0314"/>
    <w:rsid w:val="006D0B33"/>
    <w:rsid w:val="006D28BB"/>
    <w:rsid w:val="006D2B36"/>
    <w:rsid w:val="006D354D"/>
    <w:rsid w:val="006D3E7C"/>
    <w:rsid w:val="006D558C"/>
    <w:rsid w:val="006D6B0E"/>
    <w:rsid w:val="006D6CF0"/>
    <w:rsid w:val="006D71B1"/>
    <w:rsid w:val="006D7C60"/>
    <w:rsid w:val="006E0B2F"/>
    <w:rsid w:val="006E1725"/>
    <w:rsid w:val="006E346A"/>
    <w:rsid w:val="006E3B03"/>
    <w:rsid w:val="006F00E4"/>
    <w:rsid w:val="006F0E1F"/>
    <w:rsid w:val="006F1D09"/>
    <w:rsid w:val="006F2C76"/>
    <w:rsid w:val="006F4A8A"/>
    <w:rsid w:val="006F4B7F"/>
    <w:rsid w:val="006F7356"/>
    <w:rsid w:val="006F7393"/>
    <w:rsid w:val="006F74BF"/>
    <w:rsid w:val="00701EAE"/>
    <w:rsid w:val="0070224F"/>
    <w:rsid w:val="007040A4"/>
    <w:rsid w:val="00705D6B"/>
    <w:rsid w:val="007105CA"/>
    <w:rsid w:val="007115F7"/>
    <w:rsid w:val="00711D06"/>
    <w:rsid w:val="007131DE"/>
    <w:rsid w:val="00713D4D"/>
    <w:rsid w:val="00713EC5"/>
    <w:rsid w:val="0071427A"/>
    <w:rsid w:val="0071706C"/>
    <w:rsid w:val="007175FA"/>
    <w:rsid w:val="00717A12"/>
    <w:rsid w:val="00720256"/>
    <w:rsid w:val="0072046B"/>
    <w:rsid w:val="00721A75"/>
    <w:rsid w:val="0072640A"/>
    <w:rsid w:val="007265E3"/>
    <w:rsid w:val="00726849"/>
    <w:rsid w:val="00727BFA"/>
    <w:rsid w:val="00731081"/>
    <w:rsid w:val="007371B2"/>
    <w:rsid w:val="00737C64"/>
    <w:rsid w:val="0074033D"/>
    <w:rsid w:val="007415BB"/>
    <w:rsid w:val="00741B50"/>
    <w:rsid w:val="007429BD"/>
    <w:rsid w:val="00744162"/>
    <w:rsid w:val="00744494"/>
    <w:rsid w:val="00745294"/>
    <w:rsid w:val="0074571A"/>
    <w:rsid w:val="0074632F"/>
    <w:rsid w:val="00747AB1"/>
    <w:rsid w:val="007507E0"/>
    <w:rsid w:val="00751678"/>
    <w:rsid w:val="007518A9"/>
    <w:rsid w:val="007525E8"/>
    <w:rsid w:val="00756606"/>
    <w:rsid w:val="00757236"/>
    <w:rsid w:val="0075753E"/>
    <w:rsid w:val="007602E6"/>
    <w:rsid w:val="007608A3"/>
    <w:rsid w:val="00760905"/>
    <w:rsid w:val="0076180D"/>
    <w:rsid w:val="00764D94"/>
    <w:rsid w:val="00765599"/>
    <w:rsid w:val="00765D71"/>
    <w:rsid w:val="00766145"/>
    <w:rsid w:val="007669A6"/>
    <w:rsid w:val="00766D5B"/>
    <w:rsid w:val="00767507"/>
    <w:rsid w:val="007715D7"/>
    <w:rsid w:val="007728E6"/>
    <w:rsid w:val="00773153"/>
    <w:rsid w:val="00773200"/>
    <w:rsid w:val="00774464"/>
    <w:rsid w:val="00774475"/>
    <w:rsid w:val="00775501"/>
    <w:rsid w:val="00781596"/>
    <w:rsid w:val="0078218A"/>
    <w:rsid w:val="00782678"/>
    <w:rsid w:val="00783095"/>
    <w:rsid w:val="00783A91"/>
    <w:rsid w:val="00784A5F"/>
    <w:rsid w:val="0078549E"/>
    <w:rsid w:val="00785670"/>
    <w:rsid w:val="00785689"/>
    <w:rsid w:val="007856DB"/>
    <w:rsid w:val="00786BAC"/>
    <w:rsid w:val="00787315"/>
    <w:rsid w:val="00787342"/>
    <w:rsid w:val="007878E8"/>
    <w:rsid w:val="007900B8"/>
    <w:rsid w:val="0079052C"/>
    <w:rsid w:val="007930D6"/>
    <w:rsid w:val="007938D6"/>
    <w:rsid w:val="0079460B"/>
    <w:rsid w:val="00794685"/>
    <w:rsid w:val="00795031"/>
    <w:rsid w:val="0079635F"/>
    <w:rsid w:val="0079754B"/>
    <w:rsid w:val="007A01B2"/>
    <w:rsid w:val="007A1462"/>
    <w:rsid w:val="007A1E6D"/>
    <w:rsid w:val="007A20AF"/>
    <w:rsid w:val="007A2EDB"/>
    <w:rsid w:val="007A439C"/>
    <w:rsid w:val="007A4E8F"/>
    <w:rsid w:val="007A78F5"/>
    <w:rsid w:val="007B0EB2"/>
    <w:rsid w:val="007B30E7"/>
    <w:rsid w:val="007B346F"/>
    <w:rsid w:val="007B39B4"/>
    <w:rsid w:val="007B4C96"/>
    <w:rsid w:val="007B500A"/>
    <w:rsid w:val="007B6CA9"/>
    <w:rsid w:val="007B7C2E"/>
    <w:rsid w:val="007B7FE5"/>
    <w:rsid w:val="007C01E8"/>
    <w:rsid w:val="007C0646"/>
    <w:rsid w:val="007C16D3"/>
    <w:rsid w:val="007C1A14"/>
    <w:rsid w:val="007C6581"/>
    <w:rsid w:val="007C66B9"/>
    <w:rsid w:val="007C7023"/>
    <w:rsid w:val="007C77DB"/>
    <w:rsid w:val="007D144B"/>
    <w:rsid w:val="007D1F69"/>
    <w:rsid w:val="007D27BB"/>
    <w:rsid w:val="007D443B"/>
    <w:rsid w:val="007D56FA"/>
    <w:rsid w:val="007D5DBF"/>
    <w:rsid w:val="007D6126"/>
    <w:rsid w:val="007D6DFD"/>
    <w:rsid w:val="007E0E4C"/>
    <w:rsid w:val="007E159A"/>
    <w:rsid w:val="007E1DFB"/>
    <w:rsid w:val="007E2B55"/>
    <w:rsid w:val="007E2C39"/>
    <w:rsid w:val="007E39A4"/>
    <w:rsid w:val="007E3E3B"/>
    <w:rsid w:val="007F060B"/>
    <w:rsid w:val="007F0709"/>
    <w:rsid w:val="007F0E1A"/>
    <w:rsid w:val="007F3A6E"/>
    <w:rsid w:val="007F46BB"/>
    <w:rsid w:val="007F4C96"/>
    <w:rsid w:val="007F5FA5"/>
    <w:rsid w:val="007F7123"/>
    <w:rsid w:val="007F7CB1"/>
    <w:rsid w:val="00801D02"/>
    <w:rsid w:val="0080314B"/>
    <w:rsid w:val="008049BF"/>
    <w:rsid w:val="008055F0"/>
    <w:rsid w:val="008058CB"/>
    <w:rsid w:val="00805969"/>
    <w:rsid w:val="00806AEE"/>
    <w:rsid w:val="00807613"/>
    <w:rsid w:val="00807944"/>
    <w:rsid w:val="00810B6F"/>
    <w:rsid w:val="00815EF6"/>
    <w:rsid w:val="008174D5"/>
    <w:rsid w:val="008179CB"/>
    <w:rsid w:val="00820156"/>
    <w:rsid w:val="0082149C"/>
    <w:rsid w:val="00821C45"/>
    <w:rsid w:val="00821CD1"/>
    <w:rsid w:val="00822CE0"/>
    <w:rsid w:val="00824169"/>
    <w:rsid w:val="00824A8F"/>
    <w:rsid w:val="00827701"/>
    <w:rsid w:val="008277A6"/>
    <w:rsid w:val="00827D2A"/>
    <w:rsid w:val="00827EDF"/>
    <w:rsid w:val="008308ED"/>
    <w:rsid w:val="00830B32"/>
    <w:rsid w:val="00830B8E"/>
    <w:rsid w:val="0083163B"/>
    <w:rsid w:val="00832D8F"/>
    <w:rsid w:val="00833210"/>
    <w:rsid w:val="0083503A"/>
    <w:rsid w:val="00835EC3"/>
    <w:rsid w:val="00836284"/>
    <w:rsid w:val="00836BC3"/>
    <w:rsid w:val="00836CBF"/>
    <w:rsid w:val="0083717C"/>
    <w:rsid w:val="00837C8A"/>
    <w:rsid w:val="00841AB1"/>
    <w:rsid w:val="00844069"/>
    <w:rsid w:val="008474D7"/>
    <w:rsid w:val="00847595"/>
    <w:rsid w:val="00847A41"/>
    <w:rsid w:val="0085027A"/>
    <w:rsid w:val="008504F8"/>
    <w:rsid w:val="0085149B"/>
    <w:rsid w:val="00852C00"/>
    <w:rsid w:val="00853448"/>
    <w:rsid w:val="0085474C"/>
    <w:rsid w:val="0085476B"/>
    <w:rsid w:val="00860046"/>
    <w:rsid w:val="008606BE"/>
    <w:rsid w:val="00860A62"/>
    <w:rsid w:val="00861AFD"/>
    <w:rsid w:val="00861B17"/>
    <w:rsid w:val="00862A50"/>
    <w:rsid w:val="00865098"/>
    <w:rsid w:val="008650DE"/>
    <w:rsid w:val="008708E8"/>
    <w:rsid w:val="0087190E"/>
    <w:rsid w:val="00871DE8"/>
    <w:rsid w:val="00872FB6"/>
    <w:rsid w:val="008747AA"/>
    <w:rsid w:val="008749FF"/>
    <w:rsid w:val="00874EFB"/>
    <w:rsid w:val="00875F9A"/>
    <w:rsid w:val="0087699A"/>
    <w:rsid w:val="00877117"/>
    <w:rsid w:val="008771AA"/>
    <w:rsid w:val="00877545"/>
    <w:rsid w:val="00877BC9"/>
    <w:rsid w:val="00881946"/>
    <w:rsid w:val="00881AC3"/>
    <w:rsid w:val="008835FF"/>
    <w:rsid w:val="0088386F"/>
    <w:rsid w:val="00885663"/>
    <w:rsid w:val="008859E7"/>
    <w:rsid w:val="00887F94"/>
    <w:rsid w:val="00891581"/>
    <w:rsid w:val="008919C5"/>
    <w:rsid w:val="00894215"/>
    <w:rsid w:val="008953AF"/>
    <w:rsid w:val="00897196"/>
    <w:rsid w:val="0089762F"/>
    <w:rsid w:val="008A043C"/>
    <w:rsid w:val="008A0E16"/>
    <w:rsid w:val="008A12B4"/>
    <w:rsid w:val="008A2FCB"/>
    <w:rsid w:val="008A3AF8"/>
    <w:rsid w:val="008A44C6"/>
    <w:rsid w:val="008A67F3"/>
    <w:rsid w:val="008A7069"/>
    <w:rsid w:val="008A71B2"/>
    <w:rsid w:val="008B019C"/>
    <w:rsid w:val="008B1B18"/>
    <w:rsid w:val="008B2246"/>
    <w:rsid w:val="008B2FF0"/>
    <w:rsid w:val="008B3573"/>
    <w:rsid w:val="008B5DE4"/>
    <w:rsid w:val="008B61C5"/>
    <w:rsid w:val="008B66F8"/>
    <w:rsid w:val="008B6FBC"/>
    <w:rsid w:val="008C060D"/>
    <w:rsid w:val="008C0A36"/>
    <w:rsid w:val="008C1431"/>
    <w:rsid w:val="008C1E1F"/>
    <w:rsid w:val="008C3C18"/>
    <w:rsid w:val="008C3FB7"/>
    <w:rsid w:val="008C473C"/>
    <w:rsid w:val="008C5AC6"/>
    <w:rsid w:val="008C67FC"/>
    <w:rsid w:val="008C68F1"/>
    <w:rsid w:val="008C6B5E"/>
    <w:rsid w:val="008C75A7"/>
    <w:rsid w:val="008D0F7F"/>
    <w:rsid w:val="008D1121"/>
    <w:rsid w:val="008D5708"/>
    <w:rsid w:val="008D6043"/>
    <w:rsid w:val="008D657A"/>
    <w:rsid w:val="008E01B2"/>
    <w:rsid w:val="008E1163"/>
    <w:rsid w:val="008E2855"/>
    <w:rsid w:val="008E301F"/>
    <w:rsid w:val="008E33D1"/>
    <w:rsid w:val="008E408B"/>
    <w:rsid w:val="008E44DE"/>
    <w:rsid w:val="008E5500"/>
    <w:rsid w:val="008E580F"/>
    <w:rsid w:val="008E5B7A"/>
    <w:rsid w:val="008E718E"/>
    <w:rsid w:val="008F0709"/>
    <w:rsid w:val="008F1C9B"/>
    <w:rsid w:val="008F4578"/>
    <w:rsid w:val="008F57AA"/>
    <w:rsid w:val="008F5EEB"/>
    <w:rsid w:val="008F6D5C"/>
    <w:rsid w:val="008F7165"/>
    <w:rsid w:val="00901184"/>
    <w:rsid w:val="00901961"/>
    <w:rsid w:val="00901A70"/>
    <w:rsid w:val="0090314D"/>
    <w:rsid w:val="009037D2"/>
    <w:rsid w:val="00904617"/>
    <w:rsid w:val="00904832"/>
    <w:rsid w:val="00906FBD"/>
    <w:rsid w:val="0091104F"/>
    <w:rsid w:val="00912998"/>
    <w:rsid w:val="00914A2A"/>
    <w:rsid w:val="00914E5B"/>
    <w:rsid w:val="00914E73"/>
    <w:rsid w:val="0091635C"/>
    <w:rsid w:val="009175B6"/>
    <w:rsid w:val="00920D2F"/>
    <w:rsid w:val="00921192"/>
    <w:rsid w:val="009214CC"/>
    <w:rsid w:val="00921803"/>
    <w:rsid w:val="00921A49"/>
    <w:rsid w:val="0092290B"/>
    <w:rsid w:val="009242B4"/>
    <w:rsid w:val="00926503"/>
    <w:rsid w:val="00926BBF"/>
    <w:rsid w:val="009279AE"/>
    <w:rsid w:val="009304A3"/>
    <w:rsid w:val="00931C50"/>
    <w:rsid w:val="00931C9B"/>
    <w:rsid w:val="00934092"/>
    <w:rsid w:val="009352F3"/>
    <w:rsid w:val="00935C9C"/>
    <w:rsid w:val="00936507"/>
    <w:rsid w:val="00937E94"/>
    <w:rsid w:val="00941510"/>
    <w:rsid w:val="00943BCB"/>
    <w:rsid w:val="009457AE"/>
    <w:rsid w:val="00945F7B"/>
    <w:rsid w:val="00947472"/>
    <w:rsid w:val="00950279"/>
    <w:rsid w:val="0096020E"/>
    <w:rsid w:val="0096024F"/>
    <w:rsid w:val="00961B1E"/>
    <w:rsid w:val="009626FC"/>
    <w:rsid w:val="00962755"/>
    <w:rsid w:val="00962832"/>
    <w:rsid w:val="009628B9"/>
    <w:rsid w:val="00962A35"/>
    <w:rsid w:val="00962B7D"/>
    <w:rsid w:val="009653C7"/>
    <w:rsid w:val="00965AA8"/>
    <w:rsid w:val="00966C61"/>
    <w:rsid w:val="0097033E"/>
    <w:rsid w:val="0097049B"/>
    <w:rsid w:val="009707A5"/>
    <w:rsid w:val="009719C1"/>
    <w:rsid w:val="009726D8"/>
    <w:rsid w:val="00972BF5"/>
    <w:rsid w:val="00975302"/>
    <w:rsid w:val="0097539F"/>
    <w:rsid w:val="00975BDB"/>
    <w:rsid w:val="00980A00"/>
    <w:rsid w:val="009820F1"/>
    <w:rsid w:val="00982670"/>
    <w:rsid w:val="009827A8"/>
    <w:rsid w:val="00982C4A"/>
    <w:rsid w:val="00984163"/>
    <w:rsid w:val="00987D29"/>
    <w:rsid w:val="00987D42"/>
    <w:rsid w:val="009907C4"/>
    <w:rsid w:val="0099155D"/>
    <w:rsid w:val="00992557"/>
    <w:rsid w:val="00993188"/>
    <w:rsid w:val="00994891"/>
    <w:rsid w:val="00994F55"/>
    <w:rsid w:val="0099724A"/>
    <w:rsid w:val="009A0CFE"/>
    <w:rsid w:val="009A10ED"/>
    <w:rsid w:val="009A27C8"/>
    <w:rsid w:val="009A317A"/>
    <w:rsid w:val="009A3DF8"/>
    <w:rsid w:val="009A43BC"/>
    <w:rsid w:val="009A4881"/>
    <w:rsid w:val="009A759F"/>
    <w:rsid w:val="009B0CA9"/>
    <w:rsid w:val="009B1126"/>
    <w:rsid w:val="009B252B"/>
    <w:rsid w:val="009B30AB"/>
    <w:rsid w:val="009B3321"/>
    <w:rsid w:val="009B403D"/>
    <w:rsid w:val="009B58D6"/>
    <w:rsid w:val="009B5E43"/>
    <w:rsid w:val="009B7157"/>
    <w:rsid w:val="009B79D6"/>
    <w:rsid w:val="009C07C7"/>
    <w:rsid w:val="009C252C"/>
    <w:rsid w:val="009C312F"/>
    <w:rsid w:val="009C332E"/>
    <w:rsid w:val="009C4048"/>
    <w:rsid w:val="009C4730"/>
    <w:rsid w:val="009C7020"/>
    <w:rsid w:val="009D03CF"/>
    <w:rsid w:val="009D0F06"/>
    <w:rsid w:val="009D18A3"/>
    <w:rsid w:val="009D391E"/>
    <w:rsid w:val="009D44DC"/>
    <w:rsid w:val="009D46D7"/>
    <w:rsid w:val="009D5487"/>
    <w:rsid w:val="009D586B"/>
    <w:rsid w:val="009D5966"/>
    <w:rsid w:val="009D64FB"/>
    <w:rsid w:val="009D7308"/>
    <w:rsid w:val="009D7D26"/>
    <w:rsid w:val="009E1AF9"/>
    <w:rsid w:val="009E1BF8"/>
    <w:rsid w:val="009E27B4"/>
    <w:rsid w:val="009E291E"/>
    <w:rsid w:val="009E4674"/>
    <w:rsid w:val="009E5BE5"/>
    <w:rsid w:val="009F0E09"/>
    <w:rsid w:val="009F211E"/>
    <w:rsid w:val="009F23F1"/>
    <w:rsid w:val="009F26C7"/>
    <w:rsid w:val="009F3CD3"/>
    <w:rsid w:val="009F4ADC"/>
    <w:rsid w:val="009F6DEF"/>
    <w:rsid w:val="009F76DB"/>
    <w:rsid w:val="009F7793"/>
    <w:rsid w:val="009F7FBD"/>
    <w:rsid w:val="00A01BCB"/>
    <w:rsid w:val="00A01F70"/>
    <w:rsid w:val="00A02348"/>
    <w:rsid w:val="00A05AD7"/>
    <w:rsid w:val="00A10C61"/>
    <w:rsid w:val="00A137EA"/>
    <w:rsid w:val="00A13F97"/>
    <w:rsid w:val="00A17351"/>
    <w:rsid w:val="00A21BB7"/>
    <w:rsid w:val="00A25D66"/>
    <w:rsid w:val="00A27711"/>
    <w:rsid w:val="00A27B5C"/>
    <w:rsid w:val="00A30BF6"/>
    <w:rsid w:val="00A32C3B"/>
    <w:rsid w:val="00A3321F"/>
    <w:rsid w:val="00A3474E"/>
    <w:rsid w:val="00A37568"/>
    <w:rsid w:val="00A379C4"/>
    <w:rsid w:val="00A40EC5"/>
    <w:rsid w:val="00A42A74"/>
    <w:rsid w:val="00A42AD6"/>
    <w:rsid w:val="00A452BB"/>
    <w:rsid w:val="00A455FC"/>
    <w:rsid w:val="00A45899"/>
    <w:rsid w:val="00A45F4F"/>
    <w:rsid w:val="00A479EC"/>
    <w:rsid w:val="00A50728"/>
    <w:rsid w:val="00A521BF"/>
    <w:rsid w:val="00A545B1"/>
    <w:rsid w:val="00A5460B"/>
    <w:rsid w:val="00A554A3"/>
    <w:rsid w:val="00A57F9E"/>
    <w:rsid w:val="00A600A9"/>
    <w:rsid w:val="00A600BE"/>
    <w:rsid w:val="00A63AD5"/>
    <w:rsid w:val="00A63F89"/>
    <w:rsid w:val="00A647F7"/>
    <w:rsid w:val="00A64F0A"/>
    <w:rsid w:val="00A674CC"/>
    <w:rsid w:val="00A701CF"/>
    <w:rsid w:val="00A7039A"/>
    <w:rsid w:val="00A704C6"/>
    <w:rsid w:val="00A70BBE"/>
    <w:rsid w:val="00A72803"/>
    <w:rsid w:val="00A72A71"/>
    <w:rsid w:val="00A73DA6"/>
    <w:rsid w:val="00A74561"/>
    <w:rsid w:val="00A755B2"/>
    <w:rsid w:val="00A76527"/>
    <w:rsid w:val="00A76757"/>
    <w:rsid w:val="00A76CF7"/>
    <w:rsid w:val="00A7788E"/>
    <w:rsid w:val="00A77952"/>
    <w:rsid w:val="00A81040"/>
    <w:rsid w:val="00A82F08"/>
    <w:rsid w:val="00A83122"/>
    <w:rsid w:val="00A83C87"/>
    <w:rsid w:val="00A84B53"/>
    <w:rsid w:val="00A877E5"/>
    <w:rsid w:val="00A9153E"/>
    <w:rsid w:val="00A927C8"/>
    <w:rsid w:val="00AA0898"/>
    <w:rsid w:val="00AA1114"/>
    <w:rsid w:val="00AA1752"/>
    <w:rsid w:val="00AA4E7A"/>
    <w:rsid w:val="00AA55B7"/>
    <w:rsid w:val="00AA5896"/>
    <w:rsid w:val="00AA5B9E"/>
    <w:rsid w:val="00AA7A65"/>
    <w:rsid w:val="00AB152F"/>
    <w:rsid w:val="00AB189E"/>
    <w:rsid w:val="00AB21B8"/>
    <w:rsid w:val="00AB2407"/>
    <w:rsid w:val="00AB2B52"/>
    <w:rsid w:val="00AB4133"/>
    <w:rsid w:val="00AB4199"/>
    <w:rsid w:val="00AB4633"/>
    <w:rsid w:val="00AB5139"/>
    <w:rsid w:val="00AB53DF"/>
    <w:rsid w:val="00AB5593"/>
    <w:rsid w:val="00AB57C6"/>
    <w:rsid w:val="00AB7628"/>
    <w:rsid w:val="00AC00F8"/>
    <w:rsid w:val="00AC05D5"/>
    <w:rsid w:val="00AC2222"/>
    <w:rsid w:val="00AC22C6"/>
    <w:rsid w:val="00AC35F2"/>
    <w:rsid w:val="00AC45B1"/>
    <w:rsid w:val="00AC631B"/>
    <w:rsid w:val="00AC69EA"/>
    <w:rsid w:val="00AD0D4D"/>
    <w:rsid w:val="00AD401E"/>
    <w:rsid w:val="00AD41DC"/>
    <w:rsid w:val="00AD46D7"/>
    <w:rsid w:val="00AD4AFD"/>
    <w:rsid w:val="00AD5202"/>
    <w:rsid w:val="00AD5B55"/>
    <w:rsid w:val="00AD7055"/>
    <w:rsid w:val="00AE0180"/>
    <w:rsid w:val="00AE0B10"/>
    <w:rsid w:val="00AE2D59"/>
    <w:rsid w:val="00AE2E32"/>
    <w:rsid w:val="00AE3CCB"/>
    <w:rsid w:val="00AE40E6"/>
    <w:rsid w:val="00AE601A"/>
    <w:rsid w:val="00AE61BF"/>
    <w:rsid w:val="00AE7D55"/>
    <w:rsid w:val="00AF0E17"/>
    <w:rsid w:val="00AF2A03"/>
    <w:rsid w:val="00AF3728"/>
    <w:rsid w:val="00AF4F67"/>
    <w:rsid w:val="00AF4FD0"/>
    <w:rsid w:val="00AF5676"/>
    <w:rsid w:val="00AF6EDF"/>
    <w:rsid w:val="00B009F9"/>
    <w:rsid w:val="00B018F1"/>
    <w:rsid w:val="00B04F63"/>
    <w:rsid w:val="00B054E7"/>
    <w:rsid w:val="00B05C2A"/>
    <w:rsid w:val="00B07E5C"/>
    <w:rsid w:val="00B10779"/>
    <w:rsid w:val="00B108D5"/>
    <w:rsid w:val="00B114F0"/>
    <w:rsid w:val="00B13454"/>
    <w:rsid w:val="00B135EA"/>
    <w:rsid w:val="00B13DB8"/>
    <w:rsid w:val="00B151E3"/>
    <w:rsid w:val="00B15BE2"/>
    <w:rsid w:val="00B15F7D"/>
    <w:rsid w:val="00B160DD"/>
    <w:rsid w:val="00B179A8"/>
    <w:rsid w:val="00B204CC"/>
    <w:rsid w:val="00B21697"/>
    <w:rsid w:val="00B23D36"/>
    <w:rsid w:val="00B246B8"/>
    <w:rsid w:val="00B25DA2"/>
    <w:rsid w:val="00B275B6"/>
    <w:rsid w:val="00B32394"/>
    <w:rsid w:val="00B42390"/>
    <w:rsid w:val="00B42809"/>
    <w:rsid w:val="00B43956"/>
    <w:rsid w:val="00B4516B"/>
    <w:rsid w:val="00B46455"/>
    <w:rsid w:val="00B47875"/>
    <w:rsid w:val="00B47DEE"/>
    <w:rsid w:val="00B5001B"/>
    <w:rsid w:val="00B50F29"/>
    <w:rsid w:val="00B515C1"/>
    <w:rsid w:val="00B52077"/>
    <w:rsid w:val="00B535D7"/>
    <w:rsid w:val="00B53EA5"/>
    <w:rsid w:val="00B53F6F"/>
    <w:rsid w:val="00B5461A"/>
    <w:rsid w:val="00B54DAF"/>
    <w:rsid w:val="00B55987"/>
    <w:rsid w:val="00B56755"/>
    <w:rsid w:val="00B569E7"/>
    <w:rsid w:val="00B60CA2"/>
    <w:rsid w:val="00B61B25"/>
    <w:rsid w:val="00B61FFA"/>
    <w:rsid w:val="00B627B3"/>
    <w:rsid w:val="00B62E31"/>
    <w:rsid w:val="00B63318"/>
    <w:rsid w:val="00B64709"/>
    <w:rsid w:val="00B6570A"/>
    <w:rsid w:val="00B65A97"/>
    <w:rsid w:val="00B674B2"/>
    <w:rsid w:val="00B71339"/>
    <w:rsid w:val="00B71964"/>
    <w:rsid w:val="00B71A3C"/>
    <w:rsid w:val="00B72564"/>
    <w:rsid w:val="00B72696"/>
    <w:rsid w:val="00B72879"/>
    <w:rsid w:val="00B731A3"/>
    <w:rsid w:val="00B74BDC"/>
    <w:rsid w:val="00B763F8"/>
    <w:rsid w:val="00B77D0C"/>
    <w:rsid w:val="00B8020D"/>
    <w:rsid w:val="00B811F7"/>
    <w:rsid w:val="00B86C99"/>
    <w:rsid w:val="00B9072D"/>
    <w:rsid w:val="00B90E9D"/>
    <w:rsid w:val="00B9123E"/>
    <w:rsid w:val="00B912B1"/>
    <w:rsid w:val="00B917C2"/>
    <w:rsid w:val="00B93BE7"/>
    <w:rsid w:val="00B95859"/>
    <w:rsid w:val="00B96FDD"/>
    <w:rsid w:val="00BA00E0"/>
    <w:rsid w:val="00BA1F39"/>
    <w:rsid w:val="00BA20B3"/>
    <w:rsid w:val="00BA4673"/>
    <w:rsid w:val="00BA5DC6"/>
    <w:rsid w:val="00BA6196"/>
    <w:rsid w:val="00BA6A53"/>
    <w:rsid w:val="00BA7A09"/>
    <w:rsid w:val="00BB069E"/>
    <w:rsid w:val="00BB0ED7"/>
    <w:rsid w:val="00BB1CD1"/>
    <w:rsid w:val="00BB471B"/>
    <w:rsid w:val="00BB54BF"/>
    <w:rsid w:val="00BB7095"/>
    <w:rsid w:val="00BC028F"/>
    <w:rsid w:val="00BC05AB"/>
    <w:rsid w:val="00BC05C0"/>
    <w:rsid w:val="00BC0BA7"/>
    <w:rsid w:val="00BC1BF3"/>
    <w:rsid w:val="00BC2443"/>
    <w:rsid w:val="00BC26F3"/>
    <w:rsid w:val="00BC2CBF"/>
    <w:rsid w:val="00BC41D1"/>
    <w:rsid w:val="00BC4EEA"/>
    <w:rsid w:val="00BC5F04"/>
    <w:rsid w:val="00BC6D8C"/>
    <w:rsid w:val="00BC7822"/>
    <w:rsid w:val="00BD0016"/>
    <w:rsid w:val="00BD27B6"/>
    <w:rsid w:val="00BD2834"/>
    <w:rsid w:val="00BD2E1D"/>
    <w:rsid w:val="00BD3EBB"/>
    <w:rsid w:val="00BD5B3C"/>
    <w:rsid w:val="00BD66B5"/>
    <w:rsid w:val="00BD7EBD"/>
    <w:rsid w:val="00BE193F"/>
    <w:rsid w:val="00BE371E"/>
    <w:rsid w:val="00BE4042"/>
    <w:rsid w:val="00BE650E"/>
    <w:rsid w:val="00BF045D"/>
    <w:rsid w:val="00BF08DA"/>
    <w:rsid w:val="00BF2A5B"/>
    <w:rsid w:val="00BF2F6F"/>
    <w:rsid w:val="00BF35D0"/>
    <w:rsid w:val="00BF37B7"/>
    <w:rsid w:val="00BF4D1B"/>
    <w:rsid w:val="00C00174"/>
    <w:rsid w:val="00C0121E"/>
    <w:rsid w:val="00C0155B"/>
    <w:rsid w:val="00C029C7"/>
    <w:rsid w:val="00C03D77"/>
    <w:rsid w:val="00C03FDB"/>
    <w:rsid w:val="00C04543"/>
    <w:rsid w:val="00C0530A"/>
    <w:rsid w:val="00C05BB8"/>
    <w:rsid w:val="00C061AF"/>
    <w:rsid w:val="00C06715"/>
    <w:rsid w:val="00C122E0"/>
    <w:rsid w:val="00C126FF"/>
    <w:rsid w:val="00C138B3"/>
    <w:rsid w:val="00C153E2"/>
    <w:rsid w:val="00C16E43"/>
    <w:rsid w:val="00C21752"/>
    <w:rsid w:val="00C21C10"/>
    <w:rsid w:val="00C231DC"/>
    <w:rsid w:val="00C2387D"/>
    <w:rsid w:val="00C25C83"/>
    <w:rsid w:val="00C26C69"/>
    <w:rsid w:val="00C26CA7"/>
    <w:rsid w:val="00C31AB0"/>
    <w:rsid w:val="00C321E6"/>
    <w:rsid w:val="00C3250B"/>
    <w:rsid w:val="00C3275C"/>
    <w:rsid w:val="00C32EC3"/>
    <w:rsid w:val="00C34006"/>
    <w:rsid w:val="00C34093"/>
    <w:rsid w:val="00C341C2"/>
    <w:rsid w:val="00C3666E"/>
    <w:rsid w:val="00C36B4C"/>
    <w:rsid w:val="00C37A6B"/>
    <w:rsid w:val="00C40F69"/>
    <w:rsid w:val="00C4143C"/>
    <w:rsid w:val="00C426B1"/>
    <w:rsid w:val="00C43468"/>
    <w:rsid w:val="00C4462D"/>
    <w:rsid w:val="00C47376"/>
    <w:rsid w:val="00C500BA"/>
    <w:rsid w:val="00C51D2F"/>
    <w:rsid w:val="00C51F10"/>
    <w:rsid w:val="00C53378"/>
    <w:rsid w:val="00C54196"/>
    <w:rsid w:val="00C57D27"/>
    <w:rsid w:val="00C60098"/>
    <w:rsid w:val="00C60AE4"/>
    <w:rsid w:val="00C60D4A"/>
    <w:rsid w:val="00C61350"/>
    <w:rsid w:val="00C6202A"/>
    <w:rsid w:val="00C631E0"/>
    <w:rsid w:val="00C6457D"/>
    <w:rsid w:val="00C653EF"/>
    <w:rsid w:val="00C66160"/>
    <w:rsid w:val="00C66E67"/>
    <w:rsid w:val="00C71683"/>
    <w:rsid w:val="00C721AC"/>
    <w:rsid w:val="00C738D7"/>
    <w:rsid w:val="00C808A1"/>
    <w:rsid w:val="00C81CB1"/>
    <w:rsid w:val="00C81F2C"/>
    <w:rsid w:val="00C84B7A"/>
    <w:rsid w:val="00C84CE2"/>
    <w:rsid w:val="00C854B3"/>
    <w:rsid w:val="00C85639"/>
    <w:rsid w:val="00C8574B"/>
    <w:rsid w:val="00C85B3E"/>
    <w:rsid w:val="00C86B3A"/>
    <w:rsid w:val="00C87034"/>
    <w:rsid w:val="00C90D6A"/>
    <w:rsid w:val="00C91DE0"/>
    <w:rsid w:val="00C9256D"/>
    <w:rsid w:val="00C96742"/>
    <w:rsid w:val="00C96A27"/>
    <w:rsid w:val="00C96D84"/>
    <w:rsid w:val="00C97643"/>
    <w:rsid w:val="00C97B8D"/>
    <w:rsid w:val="00CA086B"/>
    <w:rsid w:val="00CA247E"/>
    <w:rsid w:val="00CA3419"/>
    <w:rsid w:val="00CA69A3"/>
    <w:rsid w:val="00CA6D21"/>
    <w:rsid w:val="00CA7F83"/>
    <w:rsid w:val="00CB1D47"/>
    <w:rsid w:val="00CB2CDF"/>
    <w:rsid w:val="00CB3ED1"/>
    <w:rsid w:val="00CB4002"/>
    <w:rsid w:val="00CB40D9"/>
    <w:rsid w:val="00CB6B1B"/>
    <w:rsid w:val="00CB7112"/>
    <w:rsid w:val="00CB7C28"/>
    <w:rsid w:val="00CC45BA"/>
    <w:rsid w:val="00CC6DCC"/>
    <w:rsid w:val="00CC6F94"/>
    <w:rsid w:val="00CC72B6"/>
    <w:rsid w:val="00CC7F2F"/>
    <w:rsid w:val="00CD059C"/>
    <w:rsid w:val="00CD0F00"/>
    <w:rsid w:val="00CD15DA"/>
    <w:rsid w:val="00CD3242"/>
    <w:rsid w:val="00CD5A1B"/>
    <w:rsid w:val="00CE1A57"/>
    <w:rsid w:val="00CE5431"/>
    <w:rsid w:val="00CE566A"/>
    <w:rsid w:val="00CF059D"/>
    <w:rsid w:val="00CF287E"/>
    <w:rsid w:val="00CF2D00"/>
    <w:rsid w:val="00CF3E0B"/>
    <w:rsid w:val="00CF4C0A"/>
    <w:rsid w:val="00CF6C1F"/>
    <w:rsid w:val="00CF6F9A"/>
    <w:rsid w:val="00CF70CC"/>
    <w:rsid w:val="00D00254"/>
    <w:rsid w:val="00D00659"/>
    <w:rsid w:val="00D00EB0"/>
    <w:rsid w:val="00D0218D"/>
    <w:rsid w:val="00D028C5"/>
    <w:rsid w:val="00D0375B"/>
    <w:rsid w:val="00D0665C"/>
    <w:rsid w:val="00D06A1E"/>
    <w:rsid w:val="00D06D32"/>
    <w:rsid w:val="00D071B1"/>
    <w:rsid w:val="00D11117"/>
    <w:rsid w:val="00D129FB"/>
    <w:rsid w:val="00D12B8F"/>
    <w:rsid w:val="00D12F20"/>
    <w:rsid w:val="00D13CB7"/>
    <w:rsid w:val="00D1698E"/>
    <w:rsid w:val="00D16A87"/>
    <w:rsid w:val="00D178C4"/>
    <w:rsid w:val="00D20E5E"/>
    <w:rsid w:val="00D22D1B"/>
    <w:rsid w:val="00D2311F"/>
    <w:rsid w:val="00D2447F"/>
    <w:rsid w:val="00D25C54"/>
    <w:rsid w:val="00D25FB5"/>
    <w:rsid w:val="00D26205"/>
    <w:rsid w:val="00D265DB"/>
    <w:rsid w:val="00D2736B"/>
    <w:rsid w:val="00D30F2D"/>
    <w:rsid w:val="00D31864"/>
    <w:rsid w:val="00D32657"/>
    <w:rsid w:val="00D33737"/>
    <w:rsid w:val="00D347FE"/>
    <w:rsid w:val="00D35A3D"/>
    <w:rsid w:val="00D37149"/>
    <w:rsid w:val="00D3715B"/>
    <w:rsid w:val="00D42148"/>
    <w:rsid w:val="00D423DE"/>
    <w:rsid w:val="00D4292A"/>
    <w:rsid w:val="00D43BF9"/>
    <w:rsid w:val="00D43FE6"/>
    <w:rsid w:val="00D4412F"/>
    <w:rsid w:val="00D44223"/>
    <w:rsid w:val="00D442F2"/>
    <w:rsid w:val="00D4567D"/>
    <w:rsid w:val="00D4591D"/>
    <w:rsid w:val="00D46156"/>
    <w:rsid w:val="00D4690A"/>
    <w:rsid w:val="00D46B3A"/>
    <w:rsid w:val="00D46F81"/>
    <w:rsid w:val="00D4773F"/>
    <w:rsid w:val="00D50833"/>
    <w:rsid w:val="00D514B9"/>
    <w:rsid w:val="00D517C0"/>
    <w:rsid w:val="00D52567"/>
    <w:rsid w:val="00D52643"/>
    <w:rsid w:val="00D52CD5"/>
    <w:rsid w:val="00D5425B"/>
    <w:rsid w:val="00D54BC9"/>
    <w:rsid w:val="00D55B06"/>
    <w:rsid w:val="00D5712B"/>
    <w:rsid w:val="00D57171"/>
    <w:rsid w:val="00D574EE"/>
    <w:rsid w:val="00D5773F"/>
    <w:rsid w:val="00D617C2"/>
    <w:rsid w:val="00D62007"/>
    <w:rsid w:val="00D627D1"/>
    <w:rsid w:val="00D62BDA"/>
    <w:rsid w:val="00D65D74"/>
    <w:rsid w:val="00D667C1"/>
    <w:rsid w:val="00D7234B"/>
    <w:rsid w:val="00D74706"/>
    <w:rsid w:val="00D748A2"/>
    <w:rsid w:val="00D74CA3"/>
    <w:rsid w:val="00D75F6B"/>
    <w:rsid w:val="00D76859"/>
    <w:rsid w:val="00D76EF5"/>
    <w:rsid w:val="00D776D3"/>
    <w:rsid w:val="00D802E4"/>
    <w:rsid w:val="00D82D01"/>
    <w:rsid w:val="00D83C9B"/>
    <w:rsid w:val="00D8420B"/>
    <w:rsid w:val="00D844C8"/>
    <w:rsid w:val="00D866AE"/>
    <w:rsid w:val="00D90081"/>
    <w:rsid w:val="00D93596"/>
    <w:rsid w:val="00D970BE"/>
    <w:rsid w:val="00DA0D34"/>
    <w:rsid w:val="00DA0E34"/>
    <w:rsid w:val="00DA2529"/>
    <w:rsid w:val="00DA3397"/>
    <w:rsid w:val="00DA3844"/>
    <w:rsid w:val="00DA460A"/>
    <w:rsid w:val="00DA48EC"/>
    <w:rsid w:val="00DA6D1A"/>
    <w:rsid w:val="00DB0152"/>
    <w:rsid w:val="00DB130A"/>
    <w:rsid w:val="00DB178A"/>
    <w:rsid w:val="00DB229D"/>
    <w:rsid w:val="00DB2EBB"/>
    <w:rsid w:val="00DB4AF9"/>
    <w:rsid w:val="00DB5220"/>
    <w:rsid w:val="00DB717B"/>
    <w:rsid w:val="00DB71A5"/>
    <w:rsid w:val="00DB7DD6"/>
    <w:rsid w:val="00DC06EA"/>
    <w:rsid w:val="00DC096E"/>
    <w:rsid w:val="00DC0DC7"/>
    <w:rsid w:val="00DC10A1"/>
    <w:rsid w:val="00DC1155"/>
    <w:rsid w:val="00DC17FA"/>
    <w:rsid w:val="00DC1871"/>
    <w:rsid w:val="00DC1921"/>
    <w:rsid w:val="00DC1E21"/>
    <w:rsid w:val="00DC2037"/>
    <w:rsid w:val="00DC4247"/>
    <w:rsid w:val="00DC5577"/>
    <w:rsid w:val="00DC5770"/>
    <w:rsid w:val="00DC5A97"/>
    <w:rsid w:val="00DC6121"/>
    <w:rsid w:val="00DC655F"/>
    <w:rsid w:val="00DC67DB"/>
    <w:rsid w:val="00DC69E7"/>
    <w:rsid w:val="00DC7E25"/>
    <w:rsid w:val="00DD0B59"/>
    <w:rsid w:val="00DD25BB"/>
    <w:rsid w:val="00DD3C46"/>
    <w:rsid w:val="00DD5E9A"/>
    <w:rsid w:val="00DD7BC4"/>
    <w:rsid w:val="00DD7EBD"/>
    <w:rsid w:val="00DE31EF"/>
    <w:rsid w:val="00DE5918"/>
    <w:rsid w:val="00DE5BC5"/>
    <w:rsid w:val="00DE66AD"/>
    <w:rsid w:val="00DF252C"/>
    <w:rsid w:val="00DF258A"/>
    <w:rsid w:val="00DF3739"/>
    <w:rsid w:val="00DF3CB2"/>
    <w:rsid w:val="00DF3D68"/>
    <w:rsid w:val="00DF3DD3"/>
    <w:rsid w:val="00DF59D9"/>
    <w:rsid w:val="00DF5F0E"/>
    <w:rsid w:val="00DF62B6"/>
    <w:rsid w:val="00DF6C86"/>
    <w:rsid w:val="00E00434"/>
    <w:rsid w:val="00E0109E"/>
    <w:rsid w:val="00E01EF8"/>
    <w:rsid w:val="00E023AF"/>
    <w:rsid w:val="00E0393F"/>
    <w:rsid w:val="00E04021"/>
    <w:rsid w:val="00E07225"/>
    <w:rsid w:val="00E10969"/>
    <w:rsid w:val="00E11331"/>
    <w:rsid w:val="00E122E8"/>
    <w:rsid w:val="00E124B1"/>
    <w:rsid w:val="00E1298E"/>
    <w:rsid w:val="00E138DB"/>
    <w:rsid w:val="00E144DB"/>
    <w:rsid w:val="00E14992"/>
    <w:rsid w:val="00E20C54"/>
    <w:rsid w:val="00E21A8B"/>
    <w:rsid w:val="00E242E9"/>
    <w:rsid w:val="00E2460E"/>
    <w:rsid w:val="00E256CB"/>
    <w:rsid w:val="00E25BF0"/>
    <w:rsid w:val="00E25F39"/>
    <w:rsid w:val="00E26BAA"/>
    <w:rsid w:val="00E273B1"/>
    <w:rsid w:val="00E27D1F"/>
    <w:rsid w:val="00E3263B"/>
    <w:rsid w:val="00E32829"/>
    <w:rsid w:val="00E32E74"/>
    <w:rsid w:val="00E33858"/>
    <w:rsid w:val="00E343AB"/>
    <w:rsid w:val="00E35B51"/>
    <w:rsid w:val="00E36FC8"/>
    <w:rsid w:val="00E37ADD"/>
    <w:rsid w:val="00E40765"/>
    <w:rsid w:val="00E42F5B"/>
    <w:rsid w:val="00E437D9"/>
    <w:rsid w:val="00E445B2"/>
    <w:rsid w:val="00E50A26"/>
    <w:rsid w:val="00E52C05"/>
    <w:rsid w:val="00E52EC8"/>
    <w:rsid w:val="00E5409F"/>
    <w:rsid w:val="00E542B1"/>
    <w:rsid w:val="00E549B9"/>
    <w:rsid w:val="00E54E41"/>
    <w:rsid w:val="00E55628"/>
    <w:rsid w:val="00E57F02"/>
    <w:rsid w:val="00E6000A"/>
    <w:rsid w:val="00E611FD"/>
    <w:rsid w:val="00E62583"/>
    <w:rsid w:val="00E631D0"/>
    <w:rsid w:val="00E6410C"/>
    <w:rsid w:val="00E66843"/>
    <w:rsid w:val="00E67906"/>
    <w:rsid w:val="00E725E6"/>
    <w:rsid w:val="00E72772"/>
    <w:rsid w:val="00E72A14"/>
    <w:rsid w:val="00E74994"/>
    <w:rsid w:val="00E74A3A"/>
    <w:rsid w:val="00E756A1"/>
    <w:rsid w:val="00E767C0"/>
    <w:rsid w:val="00E767CD"/>
    <w:rsid w:val="00E82382"/>
    <w:rsid w:val="00E83188"/>
    <w:rsid w:val="00E84B07"/>
    <w:rsid w:val="00E86D08"/>
    <w:rsid w:val="00E86F04"/>
    <w:rsid w:val="00E876B8"/>
    <w:rsid w:val="00E8790B"/>
    <w:rsid w:val="00E90268"/>
    <w:rsid w:val="00E915DC"/>
    <w:rsid w:val="00E9421A"/>
    <w:rsid w:val="00E946DD"/>
    <w:rsid w:val="00E94FF6"/>
    <w:rsid w:val="00E9507C"/>
    <w:rsid w:val="00E95886"/>
    <w:rsid w:val="00E95FC2"/>
    <w:rsid w:val="00E96350"/>
    <w:rsid w:val="00E97056"/>
    <w:rsid w:val="00E97540"/>
    <w:rsid w:val="00E97DDC"/>
    <w:rsid w:val="00EA0131"/>
    <w:rsid w:val="00EA31B3"/>
    <w:rsid w:val="00EA4D8E"/>
    <w:rsid w:val="00EA5121"/>
    <w:rsid w:val="00EA61AA"/>
    <w:rsid w:val="00EB071F"/>
    <w:rsid w:val="00EB08FB"/>
    <w:rsid w:val="00EB0CCA"/>
    <w:rsid w:val="00EB204D"/>
    <w:rsid w:val="00EB2A06"/>
    <w:rsid w:val="00EB6363"/>
    <w:rsid w:val="00EB7195"/>
    <w:rsid w:val="00EB76DC"/>
    <w:rsid w:val="00EC1AE0"/>
    <w:rsid w:val="00EC39F3"/>
    <w:rsid w:val="00EC3E9B"/>
    <w:rsid w:val="00EC4E5A"/>
    <w:rsid w:val="00EC7490"/>
    <w:rsid w:val="00ED114A"/>
    <w:rsid w:val="00ED1BE6"/>
    <w:rsid w:val="00ED1BF4"/>
    <w:rsid w:val="00ED2263"/>
    <w:rsid w:val="00ED388D"/>
    <w:rsid w:val="00ED3F7D"/>
    <w:rsid w:val="00ED468E"/>
    <w:rsid w:val="00ED67B8"/>
    <w:rsid w:val="00ED6B83"/>
    <w:rsid w:val="00EE093A"/>
    <w:rsid w:val="00EE0F33"/>
    <w:rsid w:val="00EE1AAB"/>
    <w:rsid w:val="00EE35A9"/>
    <w:rsid w:val="00EE3CAD"/>
    <w:rsid w:val="00EE5275"/>
    <w:rsid w:val="00EE5F18"/>
    <w:rsid w:val="00EE6488"/>
    <w:rsid w:val="00EE72F7"/>
    <w:rsid w:val="00EF1224"/>
    <w:rsid w:val="00EF1672"/>
    <w:rsid w:val="00EF2FCA"/>
    <w:rsid w:val="00EF647B"/>
    <w:rsid w:val="00EF71B5"/>
    <w:rsid w:val="00F021FA"/>
    <w:rsid w:val="00F02853"/>
    <w:rsid w:val="00F028B1"/>
    <w:rsid w:val="00F02A21"/>
    <w:rsid w:val="00F041B3"/>
    <w:rsid w:val="00F041E6"/>
    <w:rsid w:val="00F0489D"/>
    <w:rsid w:val="00F0658F"/>
    <w:rsid w:val="00F07214"/>
    <w:rsid w:val="00F07DBE"/>
    <w:rsid w:val="00F108C9"/>
    <w:rsid w:val="00F11CB3"/>
    <w:rsid w:val="00F11E4E"/>
    <w:rsid w:val="00F12ADD"/>
    <w:rsid w:val="00F12D3E"/>
    <w:rsid w:val="00F13B33"/>
    <w:rsid w:val="00F15F16"/>
    <w:rsid w:val="00F170B2"/>
    <w:rsid w:val="00F17719"/>
    <w:rsid w:val="00F20E51"/>
    <w:rsid w:val="00F21ABC"/>
    <w:rsid w:val="00F22814"/>
    <w:rsid w:val="00F24FE6"/>
    <w:rsid w:val="00F251D8"/>
    <w:rsid w:val="00F25940"/>
    <w:rsid w:val="00F25ED9"/>
    <w:rsid w:val="00F27279"/>
    <w:rsid w:val="00F3047E"/>
    <w:rsid w:val="00F30BAA"/>
    <w:rsid w:val="00F32DDD"/>
    <w:rsid w:val="00F32F82"/>
    <w:rsid w:val="00F3303D"/>
    <w:rsid w:val="00F37000"/>
    <w:rsid w:val="00F37006"/>
    <w:rsid w:val="00F371AE"/>
    <w:rsid w:val="00F40C0A"/>
    <w:rsid w:val="00F4138A"/>
    <w:rsid w:val="00F414C4"/>
    <w:rsid w:val="00F41A65"/>
    <w:rsid w:val="00F41F6C"/>
    <w:rsid w:val="00F4310A"/>
    <w:rsid w:val="00F456DD"/>
    <w:rsid w:val="00F45BD5"/>
    <w:rsid w:val="00F4799E"/>
    <w:rsid w:val="00F5005F"/>
    <w:rsid w:val="00F50571"/>
    <w:rsid w:val="00F50AFE"/>
    <w:rsid w:val="00F51952"/>
    <w:rsid w:val="00F52419"/>
    <w:rsid w:val="00F53A2B"/>
    <w:rsid w:val="00F53DEC"/>
    <w:rsid w:val="00F54B13"/>
    <w:rsid w:val="00F553CC"/>
    <w:rsid w:val="00F57ECF"/>
    <w:rsid w:val="00F60A01"/>
    <w:rsid w:val="00F60B3E"/>
    <w:rsid w:val="00F61740"/>
    <w:rsid w:val="00F619C6"/>
    <w:rsid w:val="00F62E97"/>
    <w:rsid w:val="00F63B29"/>
    <w:rsid w:val="00F64209"/>
    <w:rsid w:val="00F647A7"/>
    <w:rsid w:val="00F66E05"/>
    <w:rsid w:val="00F67433"/>
    <w:rsid w:val="00F6750C"/>
    <w:rsid w:val="00F713E1"/>
    <w:rsid w:val="00F717BC"/>
    <w:rsid w:val="00F749D6"/>
    <w:rsid w:val="00F76365"/>
    <w:rsid w:val="00F76CC2"/>
    <w:rsid w:val="00F818EF"/>
    <w:rsid w:val="00F82855"/>
    <w:rsid w:val="00F8306E"/>
    <w:rsid w:val="00F8529A"/>
    <w:rsid w:val="00F85C9E"/>
    <w:rsid w:val="00F90924"/>
    <w:rsid w:val="00F920F7"/>
    <w:rsid w:val="00F928DF"/>
    <w:rsid w:val="00F92BF6"/>
    <w:rsid w:val="00F92C33"/>
    <w:rsid w:val="00F93B8C"/>
    <w:rsid w:val="00F93BF5"/>
    <w:rsid w:val="00F952BB"/>
    <w:rsid w:val="00F9645D"/>
    <w:rsid w:val="00F9690E"/>
    <w:rsid w:val="00F97EC8"/>
    <w:rsid w:val="00FA0311"/>
    <w:rsid w:val="00FA2388"/>
    <w:rsid w:val="00FA2601"/>
    <w:rsid w:val="00FA3CE8"/>
    <w:rsid w:val="00FA55D4"/>
    <w:rsid w:val="00FA5937"/>
    <w:rsid w:val="00FA6892"/>
    <w:rsid w:val="00FB041E"/>
    <w:rsid w:val="00FB1EBF"/>
    <w:rsid w:val="00FB212A"/>
    <w:rsid w:val="00FB3D39"/>
    <w:rsid w:val="00FB4F37"/>
    <w:rsid w:val="00FB535A"/>
    <w:rsid w:val="00FB567F"/>
    <w:rsid w:val="00FB67B2"/>
    <w:rsid w:val="00FC13A7"/>
    <w:rsid w:val="00FC33B7"/>
    <w:rsid w:val="00FC3742"/>
    <w:rsid w:val="00FC44A6"/>
    <w:rsid w:val="00FC6609"/>
    <w:rsid w:val="00FD177F"/>
    <w:rsid w:val="00FD2D02"/>
    <w:rsid w:val="00FD31D6"/>
    <w:rsid w:val="00FD3721"/>
    <w:rsid w:val="00FD4825"/>
    <w:rsid w:val="00FD4EC3"/>
    <w:rsid w:val="00FD5C7C"/>
    <w:rsid w:val="00FD6982"/>
    <w:rsid w:val="00FE1435"/>
    <w:rsid w:val="00FE2E0E"/>
    <w:rsid w:val="00FE34E3"/>
    <w:rsid w:val="00FE5168"/>
    <w:rsid w:val="00FE51D9"/>
    <w:rsid w:val="00FE5D07"/>
    <w:rsid w:val="00FE725A"/>
    <w:rsid w:val="00FE72D2"/>
    <w:rsid w:val="00FF06C5"/>
    <w:rsid w:val="00FF0C2D"/>
    <w:rsid w:val="00FF104C"/>
    <w:rsid w:val="00FF1144"/>
    <w:rsid w:val="00FF1EFD"/>
    <w:rsid w:val="00FF5655"/>
    <w:rsid w:val="00FF5A85"/>
    <w:rsid w:val="00FF77F1"/>
    <w:rsid w:val="00FF7D15"/>
    <w:rsid w:val="00FF7E4D"/>
    <w:rsid w:val="059C4443"/>
    <w:rsid w:val="23C6FF99"/>
    <w:rsid w:val="2B6A69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E7AEAC"/>
  <w15:chartTrackingRefBased/>
  <w15:docId w15:val="{628D9AFE-3F0C-4AF9-9F90-F39BC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B0061"/>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2 Char,f Char,fn Char"/>
    <w:basedOn w:val="DefaultParagraphFont"/>
    <w:link w:val="FootnoteText"/>
    <w:uiPriority w:val="99"/>
    <w:rsid w:val="00417184"/>
  </w:style>
  <w:style w:type="paragraph" w:styleId="Revision">
    <w:name w:val="Revision"/>
    <w:hidden/>
    <w:uiPriority w:val="99"/>
    <w:semiHidden/>
    <w:rsid w:val="000F4843"/>
    <w:rPr>
      <w:snapToGrid w:val="0"/>
      <w:kern w:val="28"/>
      <w:sz w:val="22"/>
    </w:rPr>
  </w:style>
  <w:style w:type="character" w:styleId="CommentReference">
    <w:name w:val="annotation reference"/>
    <w:basedOn w:val="DefaultParagraphFont"/>
    <w:rsid w:val="0071706C"/>
    <w:rPr>
      <w:sz w:val="16"/>
      <w:szCs w:val="16"/>
    </w:rPr>
  </w:style>
  <w:style w:type="paragraph" w:styleId="CommentText">
    <w:name w:val="annotation text"/>
    <w:basedOn w:val="Normal"/>
    <w:link w:val="CommentTextChar"/>
    <w:rsid w:val="0071706C"/>
    <w:rPr>
      <w:sz w:val="20"/>
    </w:rPr>
  </w:style>
  <w:style w:type="character" w:customStyle="1" w:styleId="CommentTextChar">
    <w:name w:val="Comment Text Char"/>
    <w:basedOn w:val="DefaultParagraphFont"/>
    <w:link w:val="CommentText"/>
    <w:rsid w:val="0071706C"/>
    <w:rPr>
      <w:snapToGrid w:val="0"/>
      <w:kern w:val="28"/>
    </w:rPr>
  </w:style>
  <w:style w:type="paragraph" w:styleId="CommentSubject">
    <w:name w:val="annotation subject"/>
    <w:basedOn w:val="CommentText"/>
    <w:next w:val="CommentText"/>
    <w:link w:val="CommentSubjectChar"/>
    <w:rsid w:val="0071706C"/>
    <w:rPr>
      <w:b/>
      <w:bCs/>
    </w:rPr>
  </w:style>
  <w:style w:type="character" w:customStyle="1" w:styleId="CommentSubjectChar">
    <w:name w:val="Comment Subject Char"/>
    <w:basedOn w:val="CommentTextChar"/>
    <w:link w:val="CommentSubject"/>
    <w:rsid w:val="0071706C"/>
    <w:rPr>
      <w:b/>
      <w:bCs/>
      <w:snapToGrid w:val="0"/>
      <w:kern w:val="28"/>
    </w:rPr>
  </w:style>
  <w:style w:type="paragraph" w:styleId="ListParagraph">
    <w:name w:val="List Paragraph"/>
    <w:basedOn w:val="Normal"/>
    <w:uiPriority w:val="34"/>
    <w:qFormat/>
    <w:rsid w:val="002F731E"/>
    <w:pPr>
      <w:widowControl/>
      <w:spacing w:after="160" w:line="256" w:lineRule="auto"/>
      <w:ind w:left="720"/>
      <w:contextualSpacing/>
    </w:pPr>
    <w:rPr>
      <w:rFonts w:asciiTheme="minorHAnsi" w:eastAsiaTheme="minorHAnsi" w:hAnsiTheme="minorHAnsi" w:cstheme="minorBidi"/>
      <w:snapToGrid/>
      <w:kern w:val="0"/>
      <w:szCs w:val="22"/>
    </w:rPr>
  </w:style>
  <w:style w:type="character" w:customStyle="1" w:styleId="ParaNumChar">
    <w:name w:val="ParaNum Char"/>
    <w:link w:val="ParaNum"/>
    <w:locked/>
    <w:rsid w:val="00FE72D2"/>
    <w:rPr>
      <w:snapToGrid w:val="0"/>
      <w:kern w:val="28"/>
      <w:sz w:val="22"/>
    </w:rPr>
  </w:style>
  <w:style w:type="character" w:styleId="UnresolvedMention">
    <w:name w:val="Unresolved Mention"/>
    <w:basedOn w:val="DefaultParagraphFont"/>
    <w:uiPriority w:val="99"/>
    <w:semiHidden/>
    <w:unhideWhenUsed/>
    <w:rsid w:val="00F37000"/>
    <w:rPr>
      <w:color w:val="605E5C"/>
      <w:shd w:val="clear" w:color="auto" w:fill="E1DFDD"/>
    </w:rPr>
  </w:style>
  <w:style w:type="character" w:styleId="Mention">
    <w:name w:val="Mention"/>
    <w:basedOn w:val="DefaultParagraphFont"/>
    <w:uiPriority w:val="99"/>
    <w:unhideWhenUsed/>
    <w:rsid w:val="00F50571"/>
    <w:rPr>
      <w:color w:val="2B579A"/>
      <w:shd w:val="clear" w:color="auto" w:fill="E1DFDD"/>
    </w:rPr>
  </w:style>
  <w:style w:type="character" w:styleId="FollowedHyperlink">
    <w:name w:val="FollowedHyperlink"/>
    <w:basedOn w:val="DefaultParagraphFont"/>
    <w:uiPriority w:val="99"/>
    <w:unhideWhenUsed/>
    <w:rsid w:val="00670D4D"/>
    <w:rPr>
      <w:color w:val="954F72"/>
      <w:u w:val="single"/>
    </w:rPr>
  </w:style>
  <w:style w:type="paragraph" w:customStyle="1" w:styleId="msonormal">
    <w:name w:val="msonormal"/>
    <w:basedOn w:val="Normal"/>
    <w:rsid w:val="00670D4D"/>
    <w:pPr>
      <w:widowControl/>
      <w:spacing w:before="100" w:beforeAutospacing="1" w:after="100" w:afterAutospacing="1"/>
    </w:pPr>
    <w:rPr>
      <w:snapToGrid/>
      <w:kern w:val="0"/>
      <w:sz w:val="24"/>
      <w:szCs w:val="24"/>
    </w:rPr>
  </w:style>
  <w:style w:type="numbering" w:customStyle="1" w:styleId="NoList1">
    <w:name w:val="No List1"/>
    <w:next w:val="NoList"/>
    <w:uiPriority w:val="99"/>
    <w:semiHidden/>
    <w:unhideWhenUsed/>
    <w:rsid w:val="00670D4D"/>
  </w:style>
  <w:style w:type="character" w:customStyle="1" w:styleId="HeaderChar">
    <w:name w:val="Header Char"/>
    <w:basedOn w:val="DefaultParagraphFont"/>
    <w:link w:val="Header"/>
    <w:uiPriority w:val="99"/>
    <w:rsid w:val="00670D4D"/>
    <w:rPr>
      <w:b/>
      <w:snapToGrid w:val="0"/>
      <w:kern w:val="28"/>
      <w:sz w:val="22"/>
    </w:rPr>
  </w:style>
  <w:style w:type="table" w:styleId="TableGrid">
    <w:name w:val="Table Grid"/>
    <w:basedOn w:val="TableNormal"/>
    <w:uiPriority w:val="39"/>
    <w:rsid w:val="00670D4D"/>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web2.westlaw.com/find/default.wl?mt=Communications&amp;db=4493&amp;rs=WLW12.07&amp;tc=-1&amp;rp=%2ffind%2fdefault.wl&amp;findtype=Y&amp;ordoc=2017561549&amp;serialnum=1999285883&amp;vr=2.0&amp;fn=_top&amp;sv=Split&amp;tf=-1&amp;pbc=BF50461B&amp;utid=1" TargetMode="External" /><Relationship Id="rId2" Type="http://schemas.openxmlformats.org/officeDocument/2006/relationships/hyperlink" Target="http://web2.westlaw.com/find/default.wl?mt=Communications&amp;db=4493&amp;rs=WLW12.07&amp;tc=-1&amp;rp=%2ffind%2fdefault.wl&amp;findtype=Y&amp;ordoc=2017561549&amp;serialnum=2001517751&amp;vr=2.0&amp;fn=_top&amp;sv=Split&amp;tf=-1&amp;pbc=BF50461B&amp;utid=1" TargetMode="External" /><Relationship Id="rId3" Type="http://schemas.openxmlformats.org/officeDocument/2006/relationships/hyperlink" Target="https://www.fcc.gov/general/911-fee-reports" TargetMode="External" /><Relationship Id="rId4" Type="http://schemas.openxmlformats.org/officeDocument/2006/relationships/hyperlink" Target="https://www.whitehouse.gov/presidentialactions/proclamation-declaring-national-emergency-concerning-novel-coronavirus-disease-covid-19-outbreak" TargetMode="External" /><Relationship Id="rId5" Type="http://schemas.openxmlformats.org/officeDocument/2006/relationships/hyperlink" Target="https://www.whitehouse.gov/briefing-room/presidential-actions/2021/02/24/notice-on-the-continuation-of-the-national-emergency-concerning-the-coronavirus-disease-2019-covid-19-pandemic/" TargetMode="External" /><Relationship Id="rId6" Type="http://schemas.openxmlformats.org/officeDocument/2006/relationships/hyperlink" Target="https://nextnav.com/rapiddeploy-partnership/" TargetMode="External" /><Relationship Id="rId7" Type="http://schemas.openxmlformats.org/officeDocument/2006/relationships/hyperlink" Target="https://nextnav.com/nextnav_to_deliver_high_precision_zaxis_for_e911/" TargetMode="External" /><Relationship Id="rId8" Type="http://schemas.openxmlformats.org/officeDocument/2006/relationships/hyperlink" Target="https://nextnav.com/nextnav-qualcomm-deliver-vertical-location-e91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