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93ACDF7" w14:textId="6E168C94">
      <w:pPr>
        <w:jc w:val="center"/>
        <w:rPr>
          <w:b/>
        </w:rPr>
      </w:pPr>
      <w:r w:rsidRPr="0070224F">
        <w:rPr>
          <w:rFonts w:ascii="Times New Roman Bold" w:hAnsi="Times New Roman Bold"/>
          <w:b/>
          <w:kern w:val="0"/>
          <w:szCs w:val="22"/>
        </w:rPr>
        <w:t>Before</w:t>
      </w:r>
      <w:r>
        <w:rPr>
          <w:b/>
        </w:rPr>
        <w:t xml:space="preserve"> the</w:t>
      </w:r>
    </w:p>
    <w:p w:rsidR="00921803" w:rsidP="00921803" w14:paraId="3FFC4F74" w14:textId="77777777">
      <w:pPr>
        <w:pStyle w:val="StyleBoldCentered"/>
      </w:pPr>
      <w:r>
        <w:t>F</w:t>
      </w:r>
      <w:r>
        <w:rPr>
          <w:caps w:val="0"/>
        </w:rPr>
        <w:t>ederal Communications Commission</w:t>
      </w:r>
    </w:p>
    <w:p w:rsidR="004C2EE3" w:rsidP="00096D8C" w14:paraId="4D80DCFF" w14:textId="77777777">
      <w:pPr>
        <w:pStyle w:val="StyleBoldCentered"/>
      </w:pPr>
      <w:r>
        <w:rPr>
          <w:caps w:val="0"/>
        </w:rPr>
        <w:t>Washington, D.C. 20554</w:t>
      </w:r>
    </w:p>
    <w:p w:rsidR="004C2EE3" w:rsidP="0070224F" w14:paraId="63AB03E4" w14:textId="77777777"/>
    <w:p w:rsidR="004C2EE3" w:rsidP="0070224F" w14:paraId="32C13931" w14:textId="77777777"/>
    <w:tbl>
      <w:tblPr>
        <w:tblW w:w="0" w:type="auto"/>
        <w:tblLayout w:type="fixed"/>
        <w:tblLook w:val="0000"/>
      </w:tblPr>
      <w:tblGrid>
        <w:gridCol w:w="4698"/>
        <w:gridCol w:w="630"/>
        <w:gridCol w:w="4248"/>
      </w:tblGrid>
      <w:tr w14:paraId="21E4B8F5" w14:textId="77777777">
        <w:tblPrEx>
          <w:tblW w:w="0" w:type="auto"/>
          <w:tblLayout w:type="fixed"/>
          <w:tblLook w:val="0000"/>
        </w:tblPrEx>
        <w:tc>
          <w:tcPr>
            <w:tcW w:w="4698" w:type="dxa"/>
          </w:tcPr>
          <w:p w:rsidR="004C2EE3" w14:paraId="39BBCDD7" w14:textId="77777777">
            <w:pPr>
              <w:tabs>
                <w:tab w:val="center" w:pos="4680"/>
              </w:tabs>
              <w:suppressAutoHyphens/>
              <w:rPr>
                <w:spacing w:val="-2"/>
              </w:rPr>
            </w:pPr>
            <w:r>
              <w:rPr>
                <w:spacing w:val="-2"/>
              </w:rPr>
              <w:t>In the Matter of</w:t>
            </w:r>
          </w:p>
          <w:p w:rsidR="004C2EE3" w14:paraId="74D47E0E" w14:textId="77777777">
            <w:pPr>
              <w:tabs>
                <w:tab w:val="center" w:pos="4680"/>
              </w:tabs>
              <w:suppressAutoHyphens/>
              <w:rPr>
                <w:spacing w:val="-2"/>
              </w:rPr>
            </w:pPr>
          </w:p>
          <w:p w:rsidR="004C2EE3" w:rsidP="007115F7" w14:paraId="6240874D" w14:textId="4F4C538B">
            <w:pPr>
              <w:tabs>
                <w:tab w:val="center" w:pos="4680"/>
              </w:tabs>
              <w:suppressAutoHyphens/>
              <w:rPr>
                <w:spacing w:val="-2"/>
              </w:rPr>
            </w:pPr>
            <w:r>
              <w:rPr>
                <w:spacing w:val="-2"/>
              </w:rPr>
              <w:t>PTI Pacifica, Inc.</w:t>
            </w:r>
          </w:p>
          <w:p w:rsidR="009F33A3" w:rsidP="007115F7" w14:paraId="165C0D37" w14:textId="77777777">
            <w:pPr>
              <w:tabs>
                <w:tab w:val="center" w:pos="4680"/>
              </w:tabs>
              <w:suppressAutoHyphens/>
              <w:rPr>
                <w:spacing w:val="-2"/>
              </w:rPr>
            </w:pPr>
          </w:p>
          <w:p w:rsidR="009F33A3" w:rsidRPr="007115F7" w:rsidP="007115F7" w14:paraId="16F4CDD5" w14:textId="3E2B7DDF">
            <w:pPr>
              <w:tabs>
                <w:tab w:val="center" w:pos="4680"/>
              </w:tabs>
              <w:suppressAutoHyphens/>
              <w:rPr>
                <w:spacing w:val="-2"/>
              </w:rPr>
            </w:pPr>
            <w:r>
              <w:rPr>
                <w:spacing w:val="-2"/>
              </w:rPr>
              <w:t>Request for Waiver and Extension of Time of Mobility Fund Phase I Construction Deadline</w:t>
            </w:r>
            <w:r w:rsidR="00950F50">
              <w:rPr>
                <w:spacing w:val="-2"/>
              </w:rPr>
              <w:t xml:space="preserve"> </w:t>
            </w:r>
          </w:p>
        </w:tc>
        <w:tc>
          <w:tcPr>
            <w:tcW w:w="630" w:type="dxa"/>
          </w:tcPr>
          <w:p w:rsidR="004C2EE3" w14:paraId="488929D6" w14:textId="77777777">
            <w:pPr>
              <w:tabs>
                <w:tab w:val="center" w:pos="4680"/>
              </w:tabs>
              <w:suppressAutoHyphens/>
              <w:rPr>
                <w:b/>
                <w:spacing w:val="-2"/>
              </w:rPr>
            </w:pPr>
            <w:r>
              <w:rPr>
                <w:b/>
                <w:spacing w:val="-2"/>
              </w:rPr>
              <w:t>)</w:t>
            </w:r>
          </w:p>
          <w:p w:rsidR="004C2EE3" w14:paraId="5116DF31" w14:textId="77777777">
            <w:pPr>
              <w:tabs>
                <w:tab w:val="center" w:pos="4680"/>
              </w:tabs>
              <w:suppressAutoHyphens/>
              <w:rPr>
                <w:b/>
                <w:spacing w:val="-2"/>
              </w:rPr>
            </w:pPr>
            <w:r>
              <w:rPr>
                <w:b/>
                <w:spacing w:val="-2"/>
              </w:rPr>
              <w:t>)</w:t>
            </w:r>
          </w:p>
          <w:p w:rsidR="004C2EE3" w14:paraId="757D3C94" w14:textId="77777777">
            <w:pPr>
              <w:tabs>
                <w:tab w:val="center" w:pos="4680"/>
              </w:tabs>
              <w:suppressAutoHyphens/>
              <w:rPr>
                <w:b/>
                <w:spacing w:val="-2"/>
              </w:rPr>
            </w:pPr>
            <w:r>
              <w:rPr>
                <w:b/>
                <w:spacing w:val="-2"/>
              </w:rPr>
              <w:t>)</w:t>
            </w:r>
          </w:p>
          <w:p w:rsidR="004C2EE3" w14:paraId="6089FB8A" w14:textId="77777777">
            <w:pPr>
              <w:tabs>
                <w:tab w:val="center" w:pos="4680"/>
              </w:tabs>
              <w:suppressAutoHyphens/>
              <w:rPr>
                <w:b/>
                <w:spacing w:val="-2"/>
              </w:rPr>
            </w:pPr>
            <w:r>
              <w:rPr>
                <w:b/>
                <w:spacing w:val="-2"/>
              </w:rPr>
              <w:t>)</w:t>
            </w:r>
          </w:p>
          <w:p w:rsidR="004C2EE3" w14:paraId="2883CE0D" w14:textId="77777777">
            <w:pPr>
              <w:tabs>
                <w:tab w:val="center" w:pos="4680"/>
              </w:tabs>
              <w:suppressAutoHyphens/>
              <w:rPr>
                <w:b/>
                <w:spacing w:val="-2"/>
              </w:rPr>
            </w:pPr>
            <w:r>
              <w:rPr>
                <w:b/>
                <w:spacing w:val="-2"/>
              </w:rPr>
              <w:t>)</w:t>
            </w:r>
          </w:p>
          <w:p w:rsidR="004C2EE3" w14:paraId="6384984B" w14:textId="77777777">
            <w:pPr>
              <w:tabs>
                <w:tab w:val="center" w:pos="4680"/>
              </w:tabs>
              <w:suppressAutoHyphens/>
              <w:rPr>
                <w:b/>
                <w:spacing w:val="-2"/>
              </w:rPr>
            </w:pPr>
            <w:r>
              <w:rPr>
                <w:b/>
                <w:spacing w:val="-2"/>
              </w:rPr>
              <w:t>)</w:t>
            </w:r>
          </w:p>
          <w:p w:rsidR="004C2EE3" w:rsidRPr="00950F50" w14:paraId="5F9DFCA2" w14:textId="12B11958">
            <w:pPr>
              <w:tabs>
                <w:tab w:val="center" w:pos="4680"/>
              </w:tabs>
              <w:suppressAutoHyphens/>
              <w:rPr>
                <w:b/>
                <w:spacing w:val="-2"/>
              </w:rPr>
            </w:pPr>
          </w:p>
        </w:tc>
        <w:tc>
          <w:tcPr>
            <w:tcW w:w="4248" w:type="dxa"/>
          </w:tcPr>
          <w:p w:rsidR="004C2EE3" w14:paraId="4AF1B4C8" w14:textId="77777777">
            <w:pPr>
              <w:tabs>
                <w:tab w:val="center" w:pos="4680"/>
              </w:tabs>
              <w:suppressAutoHyphens/>
              <w:rPr>
                <w:spacing w:val="-2"/>
              </w:rPr>
            </w:pPr>
          </w:p>
          <w:p w:rsidR="004C2EE3" w14:paraId="35B14602" w14:textId="77777777">
            <w:pPr>
              <w:pStyle w:val="TOAHeading"/>
              <w:tabs>
                <w:tab w:val="center" w:pos="4680"/>
                <w:tab w:val="clear" w:pos="9360"/>
              </w:tabs>
              <w:rPr>
                <w:spacing w:val="-2"/>
              </w:rPr>
            </w:pPr>
          </w:p>
          <w:p w:rsidR="004C2EE3" w14:paraId="6CD77D09" w14:textId="5DA5CB71">
            <w:pPr>
              <w:tabs>
                <w:tab w:val="center" w:pos="4680"/>
              </w:tabs>
              <w:suppressAutoHyphens/>
              <w:rPr>
                <w:spacing w:val="-2"/>
              </w:rPr>
            </w:pPr>
            <w:r>
              <w:rPr>
                <w:spacing w:val="-2"/>
              </w:rPr>
              <w:t xml:space="preserve">GN </w:t>
            </w:r>
            <w:r w:rsidR="009F33A3">
              <w:rPr>
                <w:spacing w:val="-2"/>
              </w:rPr>
              <w:t xml:space="preserve">Docket No. </w:t>
            </w:r>
            <w:r>
              <w:rPr>
                <w:spacing w:val="-2"/>
              </w:rPr>
              <w:t>20-104</w:t>
            </w:r>
          </w:p>
        </w:tc>
      </w:tr>
    </w:tbl>
    <w:p w:rsidR="004C2EE3" w:rsidP="0070224F" w14:paraId="5E985E0D" w14:textId="77777777"/>
    <w:p w:rsidR="00841AB1" w:rsidP="00F021FA" w14:paraId="165D0AC4" w14:textId="7D18F3E4">
      <w:pPr>
        <w:pStyle w:val="StyleBoldCentered"/>
      </w:pPr>
      <w:r>
        <w:t>ORDER</w:t>
      </w:r>
    </w:p>
    <w:p w:rsidR="004C2EE3" w14:paraId="0A72C637" w14:textId="77777777">
      <w:pPr>
        <w:tabs>
          <w:tab w:val="left" w:pos="-720"/>
        </w:tabs>
        <w:suppressAutoHyphens/>
        <w:spacing w:line="227" w:lineRule="auto"/>
        <w:rPr>
          <w:spacing w:val="-2"/>
        </w:rPr>
      </w:pPr>
    </w:p>
    <w:p w:rsidR="004C2EE3" w:rsidP="00133F79" w14:paraId="702AEA9E" w14:textId="0CE491A1">
      <w:pPr>
        <w:tabs>
          <w:tab w:val="left" w:pos="720"/>
          <w:tab w:val="right" w:pos="9360"/>
        </w:tabs>
        <w:suppressAutoHyphens/>
        <w:spacing w:line="227" w:lineRule="auto"/>
        <w:rPr>
          <w:spacing w:val="-2"/>
        </w:rPr>
      </w:pPr>
      <w:r>
        <w:rPr>
          <w:b/>
          <w:spacing w:val="-2"/>
        </w:rPr>
        <w:t xml:space="preserve">Adopted:  </w:t>
      </w:r>
      <w:r w:rsidR="00D22377">
        <w:rPr>
          <w:b/>
          <w:spacing w:val="-2"/>
        </w:rPr>
        <w:t>March 31,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22377">
        <w:rPr>
          <w:b/>
          <w:spacing w:val="-2"/>
        </w:rPr>
        <w:t>March 31, 2023</w:t>
      </w:r>
    </w:p>
    <w:p w:rsidR="00822CE0" w14:paraId="3977A9E8" w14:textId="77777777"/>
    <w:p w:rsidR="004C2EE3" w14:paraId="3EBE0285" w14:textId="16B1C618">
      <w:pPr>
        <w:rPr>
          <w:spacing w:val="-2"/>
        </w:rPr>
      </w:pPr>
      <w:r>
        <w:t xml:space="preserve">By </w:t>
      </w:r>
      <w:r w:rsidR="004E4A22">
        <w:t>the</w:t>
      </w:r>
      <w:r w:rsidR="002A2D2E">
        <w:t xml:space="preserve"> </w:t>
      </w:r>
      <w:r w:rsidR="00950F50">
        <w:rPr>
          <w:rFonts w:eastAsia="Calibri"/>
          <w:snapToGrid/>
          <w:kern w:val="0"/>
          <w:szCs w:val="22"/>
        </w:rPr>
        <w:t xml:space="preserve">Chief, </w:t>
      </w:r>
      <w:r w:rsidRPr="00D254AF" w:rsidR="000C5F7E">
        <w:rPr>
          <w:rFonts w:eastAsia="Calibri"/>
          <w:snapToGrid/>
          <w:kern w:val="0"/>
          <w:szCs w:val="22"/>
        </w:rPr>
        <w:t>Office of Economics and Analytics</w:t>
      </w:r>
      <w:r w:rsidR="000C5F7E">
        <w:rPr>
          <w:rFonts w:eastAsia="Calibri"/>
          <w:snapToGrid/>
          <w:kern w:val="0"/>
          <w:szCs w:val="22"/>
        </w:rPr>
        <w:t xml:space="preserve">; </w:t>
      </w:r>
      <w:r w:rsidR="00950F50">
        <w:rPr>
          <w:rFonts w:eastAsia="Calibri"/>
          <w:snapToGrid/>
          <w:kern w:val="0"/>
          <w:szCs w:val="22"/>
        </w:rPr>
        <w:t xml:space="preserve">Chief, </w:t>
      </w:r>
      <w:r w:rsidRPr="00D254AF" w:rsidR="00950F50">
        <w:rPr>
          <w:rFonts w:eastAsia="Calibri"/>
          <w:snapToGrid/>
          <w:kern w:val="0"/>
          <w:szCs w:val="22"/>
        </w:rPr>
        <w:t>Wireline Competition Bureau</w:t>
      </w:r>
      <w:r w:rsidR="00950F50">
        <w:rPr>
          <w:rFonts w:eastAsia="Calibri"/>
          <w:snapToGrid/>
          <w:kern w:val="0"/>
          <w:szCs w:val="22"/>
        </w:rPr>
        <w:t>;</w:t>
      </w:r>
      <w:r w:rsidRPr="00D254AF" w:rsidR="00950F50">
        <w:rPr>
          <w:rFonts w:eastAsia="Calibri"/>
          <w:snapToGrid/>
          <w:kern w:val="0"/>
          <w:szCs w:val="22"/>
        </w:rPr>
        <w:t xml:space="preserve"> </w:t>
      </w:r>
      <w:r w:rsidR="000C5F7E">
        <w:rPr>
          <w:rFonts w:eastAsia="Calibri"/>
          <w:snapToGrid/>
          <w:kern w:val="0"/>
          <w:szCs w:val="22"/>
        </w:rPr>
        <w:t xml:space="preserve">and the </w:t>
      </w:r>
      <w:r w:rsidR="00364190">
        <w:rPr>
          <w:rFonts w:eastAsia="Calibri"/>
          <w:snapToGrid/>
          <w:kern w:val="0"/>
          <w:szCs w:val="22"/>
        </w:rPr>
        <w:t xml:space="preserve">Acting </w:t>
      </w:r>
      <w:r w:rsidR="00950F50">
        <w:rPr>
          <w:rFonts w:eastAsia="Calibri"/>
          <w:snapToGrid/>
          <w:kern w:val="0"/>
          <w:szCs w:val="22"/>
        </w:rPr>
        <w:t xml:space="preserve">Chief, </w:t>
      </w:r>
      <w:r w:rsidRPr="00D254AF" w:rsidR="00950F50">
        <w:rPr>
          <w:rFonts w:eastAsia="Calibri"/>
          <w:snapToGrid/>
          <w:kern w:val="0"/>
          <w:szCs w:val="22"/>
        </w:rPr>
        <w:t>Wireless Telecommunications Bureau</w:t>
      </w:r>
      <w:r>
        <w:rPr>
          <w:spacing w:val="-2"/>
        </w:rPr>
        <w:t>:</w:t>
      </w:r>
    </w:p>
    <w:p w:rsidR="00822CE0" w14:paraId="1A738EF9" w14:textId="77777777">
      <w:pPr>
        <w:rPr>
          <w:spacing w:val="-2"/>
        </w:rPr>
      </w:pPr>
    </w:p>
    <w:p w:rsidR="00412FC5" w:rsidP="00C36B4C" w14:paraId="5E409416" w14:textId="7C0E617E">
      <w:pPr>
        <w:pStyle w:val="Heading1"/>
      </w:pPr>
      <w:r>
        <w:t>introduction</w:t>
      </w:r>
    </w:p>
    <w:p w:rsidR="00950F50" w:rsidRPr="002048FF" w:rsidP="00FF0353" w14:paraId="4EBF2006" w14:textId="3B666492">
      <w:pPr>
        <w:pStyle w:val="ParaNum"/>
        <w:widowControl/>
      </w:pPr>
      <w:r w:rsidRPr="002048FF">
        <w:t xml:space="preserve">In this Order, the </w:t>
      </w:r>
      <w:r w:rsidRPr="002048FF" w:rsidR="00A00484">
        <w:t>Office of Economics and Analytics (OEA</w:t>
      </w:r>
      <w:r w:rsidR="00A00484">
        <w:t>),</w:t>
      </w:r>
      <w:r w:rsidRPr="002048FF" w:rsidR="00A00484">
        <w:t xml:space="preserve"> </w:t>
      </w:r>
      <w:r w:rsidR="00BB2D99">
        <w:t xml:space="preserve">the </w:t>
      </w:r>
      <w:r w:rsidRPr="002048FF">
        <w:t xml:space="preserve">Wireline Competition Bureau, </w:t>
      </w:r>
      <w:r w:rsidR="00BB2D99">
        <w:t>and</w:t>
      </w:r>
      <w:r w:rsidRPr="002048FF">
        <w:t xml:space="preserve"> the Wireless Telecommunications Bureau (the Bureaus)</w:t>
      </w:r>
      <w:r w:rsidR="00677BA8">
        <w:t>,</w:t>
      </w:r>
      <w:r w:rsidRPr="002048FF">
        <w:t xml:space="preserve"> </w:t>
      </w:r>
      <w:r w:rsidRPr="002048FF" w:rsidR="001B0CDE">
        <w:t>deny</w:t>
      </w:r>
      <w:r w:rsidRPr="002048FF">
        <w:t xml:space="preserve"> </w:t>
      </w:r>
      <w:r w:rsidR="002048FF">
        <w:t xml:space="preserve">in part </w:t>
      </w:r>
      <w:r w:rsidRPr="002048FF" w:rsidR="001B0CDE">
        <w:t xml:space="preserve">a </w:t>
      </w:r>
      <w:r w:rsidR="00950A71">
        <w:t>request</w:t>
      </w:r>
      <w:r w:rsidRPr="002048FF">
        <w:t xml:space="preserve"> filed by </w:t>
      </w:r>
      <w:r w:rsidRPr="002048FF" w:rsidR="00ED5677">
        <w:t>PTI Pacifica, Inc. (PTI Pacifica</w:t>
      </w:r>
      <w:r w:rsidRPr="002048FF">
        <w:t>)</w:t>
      </w:r>
      <w:r w:rsidR="00AA445B">
        <w:t>, and amended several times,</w:t>
      </w:r>
      <w:r w:rsidRPr="002048FF">
        <w:t xml:space="preserve"> seeking waiver of the deadlines for </w:t>
      </w:r>
      <w:r w:rsidRPr="002E4E15">
        <w:t>the construction, drive testing, and reporting requirements associated with the receipt of final disbursements of Mobility Fund Phase I (MF-I) support.</w:t>
      </w:r>
      <w:r>
        <w:rPr>
          <w:sz w:val="20"/>
          <w:vertAlign w:val="superscript"/>
        </w:rPr>
        <w:footnoteReference w:id="3"/>
      </w:r>
      <w:r w:rsidRPr="002048FF">
        <w:t xml:space="preserve">  </w:t>
      </w:r>
      <w:r w:rsidR="00524A3C">
        <w:t xml:space="preserve">PTI Pacifica </w:t>
      </w:r>
      <w:r w:rsidR="009421EF">
        <w:t>seeks</w:t>
      </w:r>
      <w:r w:rsidR="00524A3C">
        <w:t xml:space="preserve"> waiver of th</w:t>
      </w:r>
      <w:r w:rsidR="008B0B7A">
        <w:t>os</w:t>
      </w:r>
      <w:r w:rsidR="00524A3C">
        <w:t xml:space="preserve">e deadlines with respect to </w:t>
      </w:r>
      <w:r w:rsidR="006A766D">
        <w:t>three</w:t>
      </w:r>
      <w:r w:rsidR="00095F87">
        <w:t xml:space="preserve"> </w:t>
      </w:r>
      <w:r w:rsidR="009D49F7">
        <w:t>census tracts (</w:t>
      </w:r>
      <w:r w:rsidR="00095F87">
        <w:t xml:space="preserve">Rota, </w:t>
      </w:r>
      <w:r w:rsidR="00095F87">
        <w:t>Marpi</w:t>
      </w:r>
      <w:r w:rsidR="00095F87">
        <w:t>, and Tinian</w:t>
      </w:r>
      <w:r w:rsidR="009D49F7">
        <w:t>)</w:t>
      </w:r>
      <w:r w:rsidR="00095F87">
        <w:t xml:space="preserve">, all of which are located </w:t>
      </w:r>
      <w:r w:rsidR="009421EF">
        <w:t>in</w:t>
      </w:r>
      <w:r w:rsidR="00095F87">
        <w:t xml:space="preserve"> the Commonwealth of the Northern Mariana Islands (CNMI).</w:t>
      </w:r>
      <w:r w:rsidRPr="00DE79C0" w:rsidR="00DE79C0">
        <w:rPr>
          <w:rStyle w:val="FootnoteReference"/>
        </w:rPr>
        <w:t xml:space="preserve"> </w:t>
      </w:r>
      <w:r>
        <w:rPr>
          <w:rStyle w:val="FootnoteReference"/>
        </w:rPr>
        <w:footnoteReference w:id="4"/>
      </w:r>
      <w:r w:rsidR="00095F87">
        <w:t xml:space="preserve">  </w:t>
      </w:r>
      <w:r w:rsidR="00527601">
        <w:t>W</w:t>
      </w:r>
      <w:r w:rsidR="00947C14">
        <w:t xml:space="preserve">e do not address </w:t>
      </w:r>
      <w:r w:rsidR="00AA4A75">
        <w:t xml:space="preserve">here </w:t>
      </w:r>
      <w:r w:rsidR="00947C14">
        <w:t>PTI Pacifica’s</w:t>
      </w:r>
      <w:r w:rsidR="001D3F61">
        <w:t xml:space="preserve"> requests regarding the Rota and </w:t>
      </w:r>
      <w:r w:rsidR="001D3F61">
        <w:t>Marpi</w:t>
      </w:r>
      <w:r w:rsidR="001D3F61">
        <w:t xml:space="preserve"> census tracts.</w:t>
      </w:r>
      <w:r w:rsidR="00457147">
        <w:t xml:space="preserve">  For the Tinian census tract, w</w:t>
      </w:r>
      <w:r w:rsidRPr="001D3F61" w:rsidR="00457147">
        <w:t xml:space="preserve">e find that </w:t>
      </w:r>
      <w:r w:rsidR="00045028">
        <w:t>the</w:t>
      </w:r>
      <w:r w:rsidRPr="001D3F61" w:rsidR="00457147">
        <w:t xml:space="preserve"> request does not present special circumstances warranting extension of the applicable MF-I performance deadlines, and that </w:t>
      </w:r>
      <w:r w:rsidR="00DD34F8">
        <w:t>granting</w:t>
      </w:r>
      <w:r w:rsidRPr="001D3F61" w:rsidR="00457147">
        <w:t xml:space="preserve"> </w:t>
      </w:r>
      <w:r w:rsidR="00DD34F8">
        <w:t>it</w:t>
      </w:r>
      <w:r w:rsidRPr="001D3F61" w:rsidR="00457147">
        <w:t xml:space="preserve"> would not serve the public interest</w:t>
      </w:r>
      <w:r w:rsidR="00A6709F">
        <w:t>.</w:t>
      </w:r>
      <w:r w:rsidR="00FE5745">
        <w:t xml:space="preserve"> </w:t>
      </w:r>
      <w:r w:rsidR="00A6709F">
        <w:t xml:space="preserve"> Accordingly,</w:t>
      </w:r>
      <w:r w:rsidR="00FE5745">
        <w:t xml:space="preserve"> we deny </w:t>
      </w:r>
      <w:r w:rsidR="00045028">
        <w:t>the</w:t>
      </w:r>
      <w:r w:rsidR="00FE5745">
        <w:t xml:space="preserve"> request</w:t>
      </w:r>
      <w:r w:rsidR="00045028">
        <w:t xml:space="preserve">, </w:t>
      </w:r>
      <w:r w:rsidR="00FE5745">
        <w:t>assess a performance default payment</w:t>
      </w:r>
      <w:r w:rsidR="00250896">
        <w:t xml:space="preserve">, and order repayment of the </w:t>
      </w:r>
      <w:r w:rsidR="008469F5">
        <w:t xml:space="preserve">MF-I </w:t>
      </w:r>
      <w:r w:rsidR="00250896">
        <w:t xml:space="preserve">support that PTI Pacifica has already received for the </w:t>
      </w:r>
      <w:r w:rsidR="00EE7CCE">
        <w:t xml:space="preserve">Tinian </w:t>
      </w:r>
      <w:r w:rsidR="00045028">
        <w:t>tract</w:t>
      </w:r>
      <w:r w:rsidRPr="001D3F61" w:rsidR="00457147">
        <w:t>.</w:t>
      </w:r>
      <w:r>
        <w:rPr>
          <w:rStyle w:val="FootnoteReference"/>
        </w:rPr>
        <w:footnoteReference w:id="5"/>
      </w:r>
    </w:p>
    <w:p w:rsidR="00950F50" w:rsidP="00950F50" w14:paraId="48427AB8" w14:textId="2BCBF8F2">
      <w:pPr>
        <w:pStyle w:val="Heading1"/>
        <w:tabs>
          <w:tab w:val="left" w:pos="720"/>
        </w:tabs>
      </w:pPr>
      <w:r>
        <w:t>background</w:t>
      </w:r>
    </w:p>
    <w:p w:rsidR="00950F50" w:rsidP="00142133" w14:paraId="4B1A2AD0" w14:textId="1123B29D">
      <w:pPr>
        <w:pStyle w:val="Heading2"/>
      </w:pPr>
      <w:r>
        <w:t xml:space="preserve">Mobility Fund </w:t>
      </w:r>
      <w:r w:rsidR="00AC79EF">
        <w:t xml:space="preserve">Phase </w:t>
      </w:r>
      <w:r>
        <w:t>I</w:t>
      </w:r>
    </w:p>
    <w:p w:rsidR="00950F50" w:rsidRPr="00AC79EF" w:rsidP="00FF0353" w14:paraId="7EA0523D" w14:textId="7EB52232">
      <w:pPr>
        <w:widowControl/>
        <w:numPr>
          <w:ilvl w:val="0"/>
          <w:numId w:val="2"/>
        </w:numPr>
        <w:tabs>
          <w:tab w:val="clear" w:pos="1080"/>
          <w:tab w:val="num" w:pos="1170"/>
          <w:tab w:val="num" w:pos="1260"/>
          <w:tab w:val="num" w:pos="1440"/>
        </w:tabs>
        <w:spacing w:after="120" w:line="259" w:lineRule="auto"/>
        <w:ind w:left="90"/>
        <w:rPr>
          <w:szCs w:val="22"/>
        </w:rPr>
      </w:pPr>
      <w:r w:rsidRPr="00AC79EF">
        <w:rPr>
          <w:szCs w:val="22"/>
        </w:rPr>
        <w:t xml:space="preserve">In the </w:t>
      </w:r>
      <w:r w:rsidRPr="00AC79EF">
        <w:rPr>
          <w:i/>
          <w:szCs w:val="22"/>
        </w:rPr>
        <w:t>USF/ICC Transformation Order</w:t>
      </w:r>
      <w:r w:rsidRPr="00AC79EF">
        <w:rPr>
          <w:szCs w:val="22"/>
        </w:rPr>
        <w:t>, the Commission comprehensively reformed and modernized the high-cost component of the Universal Service Fund by, among other things, establishing the Mobility Fund, a universal service support mechanism dedicated expressly to mobile services.</w:t>
      </w:r>
      <w:r>
        <w:rPr>
          <w:szCs w:val="22"/>
          <w:vertAlign w:val="superscript"/>
        </w:rPr>
        <w:footnoteReference w:id="6"/>
      </w:r>
      <w:r w:rsidRPr="00AC79EF">
        <w:rPr>
          <w:szCs w:val="22"/>
        </w:rPr>
        <w:t xml:space="preserve">  </w:t>
      </w:r>
      <w:bookmarkStart w:id="1" w:name="_Hlk532465425"/>
      <w:r w:rsidRPr="00AC79EF">
        <w:rPr>
          <w:szCs w:val="22"/>
        </w:rPr>
        <w:t xml:space="preserve">For MF-I, the Commission designated a fund of up to $300 million in one-time universal service support, to be allocated through a </w:t>
      </w:r>
      <w:bookmarkEnd w:id="1"/>
      <w:r w:rsidRPr="00AC79EF">
        <w:rPr>
          <w:szCs w:val="22"/>
        </w:rPr>
        <w:t>reverse auction (Auction 901), for the deployment of mobile voice and broadband services.</w:t>
      </w:r>
      <w:r>
        <w:rPr>
          <w:szCs w:val="22"/>
          <w:vertAlign w:val="superscript"/>
        </w:rPr>
        <w:footnoteReference w:id="7"/>
      </w:r>
      <w:r w:rsidRPr="00AC79EF">
        <w:rPr>
          <w:szCs w:val="22"/>
        </w:rPr>
        <w:t xml:space="preserve">  Under these rules, winning bidders in Auction 901 committed to extend the availability of mobile voice and broadband services on networks that provide third-generation (3G) or better performance or to accelerate the deployment of fourth-generation (4G) wireless networks in areas that lacked such services.</w:t>
      </w:r>
      <w:r>
        <w:rPr>
          <w:szCs w:val="22"/>
          <w:vertAlign w:val="superscript"/>
        </w:rPr>
        <w:footnoteReference w:id="8"/>
      </w:r>
    </w:p>
    <w:p w:rsidR="00950F50" w:rsidRPr="00AC79EF" w:rsidP="00FF0353" w14:paraId="677FED63" w14:textId="52E073A4">
      <w:pPr>
        <w:widowControl/>
        <w:numPr>
          <w:ilvl w:val="0"/>
          <w:numId w:val="2"/>
        </w:numPr>
        <w:tabs>
          <w:tab w:val="clear" w:pos="1080"/>
          <w:tab w:val="num" w:pos="1170"/>
          <w:tab w:val="num" w:pos="1260"/>
          <w:tab w:val="num" w:pos="1440"/>
        </w:tabs>
        <w:spacing w:after="120" w:line="259" w:lineRule="auto"/>
        <w:ind w:left="90"/>
        <w:rPr>
          <w:szCs w:val="22"/>
        </w:rPr>
      </w:pPr>
      <w:r w:rsidRPr="00AC79EF">
        <w:rPr>
          <w:szCs w:val="22"/>
        </w:rPr>
        <w:t xml:space="preserve">Before the start of Auction 901, each potential bidder was reminded that it was responsible “for investigating and evaluating all technical and marketplace factors that may have a bearing on the level of </w:t>
      </w:r>
      <w:r w:rsidR="006F40D9">
        <w:rPr>
          <w:szCs w:val="22"/>
        </w:rPr>
        <w:t>Mobility Fund Phase I</w:t>
      </w:r>
      <w:r w:rsidRPr="00AC79EF">
        <w:rPr>
          <w:szCs w:val="22"/>
        </w:rPr>
        <w:t xml:space="preserve"> support it submits as a bid </w:t>
      </w:r>
      <w:r w:rsidR="006F40D9">
        <w:rPr>
          <w:szCs w:val="22"/>
        </w:rPr>
        <w:t>in Auction 901</w:t>
      </w:r>
      <w:r w:rsidRPr="00AC79EF">
        <w:rPr>
          <w:szCs w:val="22"/>
        </w:rPr>
        <w:t>.”</w:t>
      </w:r>
      <w:r>
        <w:rPr>
          <w:szCs w:val="22"/>
          <w:vertAlign w:val="superscript"/>
        </w:rPr>
        <w:footnoteReference w:id="9"/>
      </w:r>
      <w:r w:rsidRPr="00AC79EF">
        <w:rPr>
          <w:szCs w:val="22"/>
        </w:rPr>
        <w:t xml:space="preserve">  Bidders were further advised that “[e]ach bidder is responsible for assuring that, if it wins the support, it will be able to build and operate facilities in accordance with the Mobility Fund obligations and the Commission’s rules generally.”</w:t>
      </w:r>
      <w:r>
        <w:rPr>
          <w:szCs w:val="22"/>
          <w:vertAlign w:val="superscript"/>
        </w:rPr>
        <w:footnoteReference w:id="10"/>
      </w:r>
      <w:r w:rsidRPr="00AC79EF">
        <w:rPr>
          <w:szCs w:val="22"/>
        </w:rPr>
        <w:t xml:space="preserve">  The MF-I rules require winning bidders to provide service to at least 75% of the designated eligible road miles within the relevant area covered by their winning bids</w:t>
      </w:r>
      <w:r w:rsidRPr="00AC79EF" w:rsidR="008211AB">
        <w:rPr>
          <w:szCs w:val="22"/>
        </w:rPr>
        <w:t>.</w:t>
      </w:r>
      <w:r>
        <w:rPr>
          <w:szCs w:val="22"/>
          <w:vertAlign w:val="superscript"/>
        </w:rPr>
        <w:footnoteReference w:id="11"/>
      </w:r>
      <w:r w:rsidRPr="00AC79EF" w:rsidR="008211AB">
        <w:rPr>
          <w:szCs w:val="22"/>
        </w:rPr>
        <w:t xml:space="preserve"> </w:t>
      </w:r>
      <w:r w:rsidRPr="00AC79EF">
        <w:rPr>
          <w:szCs w:val="22"/>
        </w:rPr>
        <w:t xml:space="preserve"> Winning bidders committing to provide service over a 3G network </w:t>
      </w:r>
      <w:r w:rsidR="00021AF2">
        <w:rPr>
          <w:szCs w:val="22"/>
        </w:rPr>
        <w:t>were</w:t>
      </w:r>
      <w:r w:rsidRPr="00AC79EF" w:rsidR="00021AF2">
        <w:rPr>
          <w:szCs w:val="22"/>
        </w:rPr>
        <w:t xml:space="preserve"> </w:t>
      </w:r>
      <w:r w:rsidRPr="00AC79EF">
        <w:rPr>
          <w:szCs w:val="22"/>
        </w:rPr>
        <w:t>required to meet their performance requirements within two years of being authorized to receive support,</w:t>
      </w:r>
      <w:r>
        <w:rPr>
          <w:szCs w:val="22"/>
          <w:vertAlign w:val="superscript"/>
        </w:rPr>
        <w:footnoteReference w:id="12"/>
      </w:r>
      <w:r w:rsidRPr="00AC79EF">
        <w:rPr>
          <w:szCs w:val="22"/>
        </w:rPr>
        <w:t xml:space="preserve"> while winning bidders committing to provide service over </w:t>
      </w:r>
      <w:r w:rsidRPr="00AC79EF">
        <w:rPr>
          <w:szCs w:val="22"/>
        </w:rPr>
        <w:t xml:space="preserve">a 4G network </w:t>
      </w:r>
      <w:r w:rsidR="00263691">
        <w:rPr>
          <w:szCs w:val="22"/>
        </w:rPr>
        <w:t>were required</w:t>
      </w:r>
      <w:r w:rsidR="00021AF2">
        <w:rPr>
          <w:szCs w:val="22"/>
        </w:rPr>
        <w:t xml:space="preserve"> to</w:t>
      </w:r>
      <w:r w:rsidRPr="00AC79EF" w:rsidR="00021AF2">
        <w:rPr>
          <w:szCs w:val="22"/>
        </w:rPr>
        <w:t xml:space="preserve"> </w:t>
      </w:r>
      <w:r w:rsidRPr="00AC79EF">
        <w:rPr>
          <w:szCs w:val="22"/>
        </w:rPr>
        <w:t>meet their performance requirements within three years of authorization.</w:t>
      </w:r>
      <w:r>
        <w:rPr>
          <w:szCs w:val="22"/>
          <w:vertAlign w:val="superscript"/>
        </w:rPr>
        <w:footnoteReference w:id="13"/>
      </w:r>
    </w:p>
    <w:p w:rsidR="00950F50" w:rsidRPr="00AC79EF" w:rsidP="00FF0353" w14:paraId="5F92B9EB" w14:textId="405B00BE">
      <w:pPr>
        <w:pStyle w:val="ParaNum"/>
        <w:widowControl/>
      </w:pPr>
      <w:r w:rsidRPr="00AC79EF">
        <w:rPr>
          <w:szCs w:val="22"/>
        </w:rPr>
        <w:t>The rules further provide that MF-I support be disbursed to authorized winning bidders in up to three stages:  the first disbursement of one-third of the total winning bid amount is made when the winning bidder is authorized to receive support;</w:t>
      </w:r>
      <w:r>
        <w:rPr>
          <w:szCs w:val="22"/>
          <w:vertAlign w:val="superscript"/>
        </w:rPr>
        <w:footnoteReference w:id="14"/>
      </w:r>
      <w:r w:rsidRPr="00AC79EF">
        <w:rPr>
          <w:szCs w:val="22"/>
        </w:rPr>
        <w:t xml:space="preserve"> a recipient becomes eligible to receive a second disbursement when it submits a report demonstrating coverage of 50% of the applicable coverage requirements;</w:t>
      </w:r>
      <w:r>
        <w:rPr>
          <w:szCs w:val="22"/>
          <w:vertAlign w:val="superscript"/>
        </w:rPr>
        <w:footnoteReference w:id="15"/>
      </w:r>
      <w:r w:rsidRPr="00AC79EF">
        <w:rPr>
          <w:szCs w:val="22"/>
        </w:rPr>
        <w:t xml:space="preserve"> and it becomes eligible to receive the final disbursement when it meets the final construction, testing, and reporting requirements by the applicable deadline.</w:t>
      </w:r>
      <w:r>
        <w:rPr>
          <w:szCs w:val="22"/>
          <w:vertAlign w:val="superscript"/>
        </w:rPr>
        <w:footnoteReference w:id="16"/>
      </w:r>
    </w:p>
    <w:p w:rsidR="00950F50" w:rsidP="00142133" w14:paraId="34F6E57B" w14:textId="14707763">
      <w:pPr>
        <w:pStyle w:val="Heading2"/>
      </w:pPr>
      <w:r>
        <w:t>PTI Pacifica’s Winning Bids and Post-Auction Performance Efforts</w:t>
      </w:r>
    </w:p>
    <w:p w:rsidR="005F340A" w:rsidP="00FF0353" w14:paraId="2928FB0A" w14:textId="2557D4DA">
      <w:pPr>
        <w:pStyle w:val="ParaNum"/>
        <w:widowControl/>
      </w:pPr>
      <w:r>
        <w:t>On</w:t>
      </w:r>
      <w:r w:rsidR="004C4E02">
        <w:t xml:space="preserve"> August 16, 2013</w:t>
      </w:r>
      <w:r>
        <w:t xml:space="preserve">, the </w:t>
      </w:r>
      <w:r w:rsidR="000D6A15">
        <w:t>Bureaus authorized PTI Pacifica to receive up to approximately $</w:t>
      </w:r>
      <w:r w:rsidR="00B744F9">
        <w:t>1.26 million</w:t>
      </w:r>
      <w:r w:rsidR="000D6A15">
        <w:t xml:space="preserve"> </w:t>
      </w:r>
      <w:r w:rsidR="008D3A6E">
        <w:t xml:space="preserve">in MF-I support for its </w:t>
      </w:r>
      <w:r w:rsidR="00723BA4">
        <w:t xml:space="preserve">Auction 901 </w:t>
      </w:r>
      <w:r w:rsidR="008D3A6E">
        <w:t xml:space="preserve">winning bids </w:t>
      </w:r>
      <w:r w:rsidR="004072B5">
        <w:t xml:space="preserve">for </w:t>
      </w:r>
      <w:r w:rsidR="00C559CE">
        <w:t xml:space="preserve">seven </w:t>
      </w:r>
      <w:r w:rsidR="004072B5">
        <w:t>census tracts in the</w:t>
      </w:r>
      <w:r w:rsidR="005A32A9">
        <w:t xml:space="preserve"> CNMI</w:t>
      </w:r>
      <w:r w:rsidR="008D3A6E">
        <w:t>.</w:t>
      </w:r>
      <w:r>
        <w:rPr>
          <w:rStyle w:val="FootnoteReference"/>
        </w:rPr>
        <w:footnoteReference w:id="17"/>
      </w:r>
      <w:r w:rsidR="00EA47D7">
        <w:t xml:space="preserve">  The deadline for PTI Pacifica to complete construction of 4G network</w:t>
      </w:r>
      <w:r w:rsidR="00B744F9">
        <w:t>s</w:t>
      </w:r>
      <w:r w:rsidR="00EA47D7">
        <w:t xml:space="preserve">, drive testing, and submission of reports demonstrating coverage was </w:t>
      </w:r>
      <w:r w:rsidR="00917CB1">
        <w:t>August 16, 2016</w:t>
      </w:r>
      <w:r w:rsidR="00EA47D7">
        <w:t>.</w:t>
      </w:r>
      <w:r>
        <w:rPr>
          <w:rStyle w:val="FootnoteReference"/>
        </w:rPr>
        <w:footnoteReference w:id="18"/>
      </w:r>
      <w:r w:rsidR="00377566">
        <w:t xml:space="preserve">  PTI Pacifica timely completed the performance requirements for four of the seven census tracts covered by its winning bids.</w:t>
      </w:r>
      <w:r>
        <w:rPr>
          <w:rStyle w:val="FootnoteReference"/>
        </w:rPr>
        <w:footnoteReference w:id="19"/>
      </w:r>
      <w:r>
        <w:t xml:space="preserve">  </w:t>
      </w:r>
      <w:r w:rsidR="002A5A85">
        <w:t>For the other three census tracts</w:t>
      </w:r>
      <w:r w:rsidR="00943FA9">
        <w:t xml:space="preserve">—Tinian, Rota, and </w:t>
      </w:r>
      <w:r w:rsidR="00943FA9">
        <w:t>Marpi</w:t>
      </w:r>
      <w:r w:rsidR="00943FA9">
        <w:t>—</w:t>
      </w:r>
      <w:r w:rsidR="002A5A85">
        <w:t xml:space="preserve">PTI Pacifica </w:t>
      </w:r>
      <w:r w:rsidR="0000371F">
        <w:t>states</w:t>
      </w:r>
      <w:r w:rsidR="002A5A85">
        <w:t xml:space="preserve"> that it </w:t>
      </w:r>
      <w:r w:rsidRPr="00E84AE1" w:rsidR="002A5A85">
        <w:t>encountered unforesee</w:t>
      </w:r>
      <w:r w:rsidRPr="00E84AE1" w:rsidR="00160FDD">
        <w:t>n and unexpected</w:t>
      </w:r>
      <w:r w:rsidR="00160FDD">
        <w:t xml:space="preserve"> delays</w:t>
      </w:r>
      <w:r w:rsidR="006A7714">
        <w:t>; this order addresses</w:t>
      </w:r>
      <w:r w:rsidR="00552887">
        <w:t xml:space="preserve"> only</w:t>
      </w:r>
      <w:r w:rsidR="006A7714">
        <w:t xml:space="preserve"> the Tinian census tract</w:t>
      </w:r>
      <w:r w:rsidR="00160FDD">
        <w:t>.</w:t>
      </w:r>
      <w:r>
        <w:rPr>
          <w:rStyle w:val="FootnoteReference"/>
        </w:rPr>
        <w:footnoteReference w:id="20"/>
      </w:r>
      <w:r w:rsidR="00160FDD">
        <w:t xml:space="preserve"> </w:t>
      </w:r>
      <w:r w:rsidR="00927EEB">
        <w:t xml:space="preserve"> </w:t>
      </w:r>
    </w:p>
    <w:p w:rsidR="00AB5921" w:rsidP="00FF0353" w14:paraId="19D68D4D" w14:textId="205764F4">
      <w:pPr>
        <w:pStyle w:val="ParaNum"/>
        <w:widowControl/>
      </w:pPr>
      <w:r>
        <w:t xml:space="preserve">PTI Pacifica at first requested a one-year extension of the deadline to complete </w:t>
      </w:r>
      <w:r w:rsidR="0019072A">
        <w:t xml:space="preserve">its </w:t>
      </w:r>
      <w:r w:rsidR="007C5291">
        <w:t xml:space="preserve">wireless </w:t>
      </w:r>
      <w:r>
        <w:t>network</w:t>
      </w:r>
      <w:r w:rsidR="00AF7811">
        <w:t xml:space="preserve">, </w:t>
      </w:r>
      <w:r w:rsidR="00A94E8E">
        <w:t>driv</w:t>
      </w:r>
      <w:r w:rsidR="00006E6E">
        <w:t>e testing and data submission</w:t>
      </w:r>
      <w:r w:rsidR="00297643">
        <w:t xml:space="preserve"> </w:t>
      </w:r>
      <w:r w:rsidR="008E2990">
        <w:t>for</w:t>
      </w:r>
      <w:r w:rsidR="00297643">
        <w:t xml:space="preserve"> the Tinian census tract</w:t>
      </w:r>
      <w:r w:rsidR="00C05B43">
        <w:t>.</w:t>
      </w:r>
      <w:r>
        <w:rPr>
          <w:rStyle w:val="FootnoteReference"/>
        </w:rPr>
        <w:footnoteReference w:id="21"/>
      </w:r>
      <w:r>
        <w:t xml:space="preserve">  </w:t>
      </w:r>
      <w:r w:rsidR="00863B71">
        <w:t>Due to</w:t>
      </w:r>
      <w:r w:rsidR="00E627DA">
        <w:t xml:space="preserve"> </w:t>
      </w:r>
      <w:r w:rsidR="00863B71">
        <w:t xml:space="preserve">various </w:t>
      </w:r>
      <w:r w:rsidR="00A014C7">
        <w:t>delays</w:t>
      </w:r>
      <w:r w:rsidR="00782C84">
        <w:t xml:space="preserve"> that are described in detail below</w:t>
      </w:r>
      <w:r w:rsidR="00424B08">
        <w:t xml:space="preserve">, PTI Pacifica has </w:t>
      </w:r>
      <w:r w:rsidR="00782C84">
        <w:t xml:space="preserve">made </w:t>
      </w:r>
      <w:r w:rsidR="00B46258">
        <w:t>six</w:t>
      </w:r>
      <w:r w:rsidR="00782C84">
        <w:t xml:space="preserve"> subsequent requests </w:t>
      </w:r>
      <w:r w:rsidR="00691F44">
        <w:t>for further</w:t>
      </w:r>
      <w:r w:rsidR="002A3316">
        <w:t xml:space="preserve"> one-year extensions</w:t>
      </w:r>
      <w:r w:rsidR="00691F44">
        <w:t>; its most recent submission seeks an extension to August 16, 202</w:t>
      </w:r>
      <w:r w:rsidR="00B46258">
        <w:t>3</w:t>
      </w:r>
      <w:r w:rsidR="00691F44">
        <w:t>, s</w:t>
      </w:r>
      <w:r w:rsidR="00B46258">
        <w:t>even</w:t>
      </w:r>
      <w:r w:rsidR="00691F44">
        <w:t xml:space="preserve"> years after the original dead</w:t>
      </w:r>
      <w:r w:rsidR="0010583C">
        <w:t>line.</w:t>
      </w:r>
      <w:r>
        <w:rPr>
          <w:rStyle w:val="FootnoteReference"/>
        </w:rPr>
        <w:footnoteReference w:id="22"/>
      </w:r>
      <w:r w:rsidR="002A3316">
        <w:t xml:space="preserve"> </w:t>
      </w:r>
      <w:r w:rsidR="00424B08">
        <w:t xml:space="preserve"> </w:t>
      </w:r>
    </w:p>
    <w:p w:rsidR="00202319" w:rsidP="00FF0353" w14:paraId="07E4DF8C" w14:textId="416321D1">
      <w:pPr>
        <w:pStyle w:val="ParaNum"/>
        <w:widowControl/>
      </w:pPr>
      <w:r>
        <w:t xml:space="preserve">Initially, </w:t>
      </w:r>
      <w:r w:rsidR="00C05B43">
        <w:t xml:space="preserve">PTI Pacifica </w:t>
      </w:r>
      <w:r w:rsidR="00F2277D">
        <w:t xml:space="preserve">determined that </w:t>
      </w:r>
      <w:r w:rsidR="00E11F00">
        <w:t xml:space="preserve">it needed to provide additional </w:t>
      </w:r>
      <w:r w:rsidR="006E2BC6">
        <w:t xml:space="preserve">network </w:t>
      </w:r>
      <w:r w:rsidR="00E11F00">
        <w:t xml:space="preserve">coverage to the northern and southern portions of the Tinian tract in order to meet its </w:t>
      </w:r>
      <w:r w:rsidR="00AD0EB1">
        <w:t xml:space="preserve">75% coverage </w:t>
      </w:r>
      <w:r w:rsidR="00CC400C">
        <w:t>obligation</w:t>
      </w:r>
      <w:r w:rsidR="00B507C6">
        <w:t xml:space="preserve">.  PTI Pacifica </w:t>
      </w:r>
      <w:r w:rsidR="003C37D2">
        <w:t>was</w:t>
      </w:r>
      <w:r w:rsidR="00B507C6">
        <w:t xml:space="preserve"> construct</w:t>
      </w:r>
      <w:r w:rsidR="003C37D2">
        <w:t>ing</w:t>
      </w:r>
      <w:r w:rsidR="00B507C6">
        <w:t xml:space="preserve"> pole-mounted repeaters to </w:t>
      </w:r>
      <w:r w:rsidR="00885E63">
        <w:t>cover the southern portion</w:t>
      </w:r>
      <w:r w:rsidR="00CC400C">
        <w:t xml:space="preserve"> of the tract</w:t>
      </w:r>
      <w:r w:rsidR="00B507C6">
        <w:t>.</w:t>
      </w:r>
      <w:r>
        <w:rPr>
          <w:rStyle w:val="FootnoteReference"/>
        </w:rPr>
        <w:footnoteReference w:id="23"/>
      </w:r>
      <w:r w:rsidR="00B507C6">
        <w:t xml:space="preserve">  </w:t>
      </w:r>
      <w:r w:rsidR="003C37D2">
        <w:t>To</w:t>
      </w:r>
      <w:r w:rsidR="007770F8">
        <w:t xml:space="preserve"> </w:t>
      </w:r>
      <w:r w:rsidR="00A21754">
        <w:t>cover the north</w:t>
      </w:r>
      <w:r w:rsidR="007770F8">
        <w:t>ern portion</w:t>
      </w:r>
      <w:r w:rsidR="008E1A27">
        <w:t xml:space="preserve">, PTI Pacifica </w:t>
      </w:r>
      <w:r w:rsidR="00A130D1">
        <w:t xml:space="preserve">negotiated </w:t>
      </w:r>
      <w:r w:rsidR="001B4E3C">
        <w:t xml:space="preserve">with the </w:t>
      </w:r>
      <w:r w:rsidR="007C709C">
        <w:t>U</w:t>
      </w:r>
      <w:r w:rsidR="000D2F03">
        <w:t>nited States</w:t>
      </w:r>
      <w:r w:rsidR="00EB6551">
        <w:t xml:space="preserve"> </w:t>
      </w:r>
      <w:r w:rsidR="001B4E3C">
        <w:t xml:space="preserve">Department of Defense (DoD) </w:t>
      </w:r>
      <w:r w:rsidR="00BD61C7">
        <w:t>over</w:t>
      </w:r>
      <w:r w:rsidR="001B4E3C">
        <w:t xml:space="preserve"> a </w:t>
      </w:r>
      <w:r w:rsidR="001B4E3C">
        <w:t>potential</w:t>
      </w:r>
      <w:r w:rsidR="003C37D2">
        <w:t xml:space="preserve"> cell</w:t>
      </w:r>
      <w:r w:rsidR="001B4E3C">
        <w:t xml:space="preserve"> site in </w:t>
      </w:r>
      <w:r w:rsidR="00C05B43">
        <w:t xml:space="preserve">the North Field, </w:t>
      </w:r>
      <w:r w:rsidR="001B4E3C">
        <w:t xml:space="preserve">a </w:t>
      </w:r>
      <w:r w:rsidR="00684E41">
        <w:t>DoD-</w:t>
      </w:r>
      <w:r w:rsidR="00F301B5">
        <w:t>administered</w:t>
      </w:r>
      <w:r w:rsidR="00684E41">
        <w:t xml:space="preserve"> </w:t>
      </w:r>
      <w:r w:rsidR="001B4E3C">
        <w:t>area.</w:t>
      </w:r>
      <w:r>
        <w:rPr>
          <w:rStyle w:val="FootnoteReference"/>
        </w:rPr>
        <w:footnoteReference w:id="24"/>
      </w:r>
      <w:r w:rsidR="001B4E3C">
        <w:t xml:space="preserve">  </w:t>
      </w:r>
      <w:r w:rsidR="00500E3A">
        <w:t>Because DoD</w:t>
      </w:r>
      <w:r w:rsidR="00D611FC">
        <w:t xml:space="preserve"> had not yet acted, </w:t>
      </w:r>
      <w:r w:rsidR="009561B2">
        <w:t>PTI</w:t>
      </w:r>
      <w:r w:rsidR="00D611FC">
        <w:t xml:space="preserve"> </w:t>
      </w:r>
      <w:r w:rsidR="00001CFE">
        <w:t xml:space="preserve">Pacifica </w:t>
      </w:r>
      <w:r w:rsidR="00D611FC">
        <w:t>also sought alternat</w:t>
      </w:r>
      <w:r w:rsidR="00DE17E2">
        <w:t xml:space="preserve">ive solutions </w:t>
      </w:r>
      <w:r w:rsidR="00FC246F">
        <w:t>at other sites.</w:t>
      </w:r>
      <w:r>
        <w:rPr>
          <w:rStyle w:val="FootnoteReference"/>
        </w:rPr>
        <w:footnoteReference w:id="25"/>
      </w:r>
      <w:r w:rsidR="00FC246F">
        <w:t xml:space="preserve"> </w:t>
      </w:r>
      <w:r w:rsidR="009561B2">
        <w:t xml:space="preserve"> </w:t>
      </w:r>
      <w:r w:rsidR="00226CF6">
        <w:t>N</w:t>
      </w:r>
      <w:r w:rsidR="002F0F7D">
        <w:t>egotiations</w:t>
      </w:r>
      <w:r w:rsidR="00A21754">
        <w:t xml:space="preserve"> were </w:t>
      </w:r>
      <w:r w:rsidR="002F0F7D">
        <w:t>still ongoing</w:t>
      </w:r>
      <w:r w:rsidR="00A21754">
        <w:t xml:space="preserve"> as </w:t>
      </w:r>
      <w:r w:rsidR="00E84FC8">
        <w:t>of May 20</w:t>
      </w:r>
      <w:r w:rsidR="00727B75">
        <w:t>1</w:t>
      </w:r>
      <w:r w:rsidR="00E84FC8">
        <w:t xml:space="preserve">6, </w:t>
      </w:r>
      <w:r w:rsidR="005266B1">
        <w:t>when</w:t>
      </w:r>
      <w:r w:rsidR="00A21754">
        <w:t xml:space="preserve"> PTI Pacifica requested a one-year extension</w:t>
      </w:r>
      <w:r w:rsidR="005266B1">
        <w:t xml:space="preserve"> of its performance deadline</w:t>
      </w:r>
      <w:r w:rsidR="00A21754">
        <w:t>, to August 16, 2017.</w:t>
      </w:r>
      <w:r>
        <w:rPr>
          <w:rStyle w:val="FootnoteReference"/>
        </w:rPr>
        <w:footnoteReference w:id="26"/>
      </w:r>
      <w:r w:rsidR="005575AA">
        <w:t xml:space="preserve">  </w:t>
      </w:r>
      <w:r w:rsidR="002C0AAD">
        <w:t xml:space="preserve">In that initial request, </w:t>
      </w:r>
      <w:r w:rsidR="005575AA">
        <w:t>PTI Pacifica further state</w:t>
      </w:r>
      <w:r w:rsidR="002C0AAD">
        <w:t>d</w:t>
      </w:r>
      <w:r w:rsidR="005575AA">
        <w:t xml:space="preserve"> that additional circumstances beyond its control caused unforeseen delays to its construction of </w:t>
      </w:r>
      <w:r w:rsidR="00282FFA">
        <w:t>the</w:t>
      </w:r>
      <w:r w:rsidR="005575AA">
        <w:t xml:space="preserve"> network</w:t>
      </w:r>
      <w:r w:rsidR="00282FFA">
        <w:t>s</w:t>
      </w:r>
      <w:r w:rsidR="005575AA">
        <w:t>.  A typhoon severed the lone undersea fiber optic cable connecting CNMI to Guam in July 2015.</w:t>
      </w:r>
      <w:r>
        <w:rPr>
          <w:rStyle w:val="FootnoteReference"/>
        </w:rPr>
        <w:footnoteReference w:id="27"/>
      </w:r>
      <w:r w:rsidR="005575AA">
        <w:t xml:space="preserve">  PTI Pacifica owns the cable and submit</w:t>
      </w:r>
      <w:r w:rsidR="002C0AAD">
        <w:t>ted</w:t>
      </w:r>
      <w:r w:rsidR="005575AA">
        <w:t xml:space="preserve"> that it had to devote “all of its available resources” to repair it.</w:t>
      </w:r>
      <w:r>
        <w:rPr>
          <w:rStyle w:val="FootnoteReference"/>
        </w:rPr>
        <w:footnoteReference w:id="28"/>
      </w:r>
      <w:r w:rsidR="005575AA">
        <w:t xml:space="preserve">  Another typhoon soon followed, and that storm knocked out power on the island of Saipan, which is home to the </w:t>
      </w:r>
      <w:r w:rsidR="005575AA">
        <w:t>Marpi</w:t>
      </w:r>
      <w:r w:rsidR="005575AA">
        <w:t xml:space="preserve"> census tract.</w:t>
      </w:r>
      <w:r>
        <w:rPr>
          <w:rStyle w:val="FootnoteReference"/>
        </w:rPr>
        <w:footnoteReference w:id="29"/>
      </w:r>
      <w:r w:rsidR="005575AA">
        <w:t xml:space="preserve">  Power was not completely restored for four months, and PTI Pacifica state</w:t>
      </w:r>
      <w:r w:rsidR="002C0AAD">
        <w:t>d</w:t>
      </w:r>
      <w:r w:rsidR="005575AA">
        <w:t xml:space="preserve"> that during this period it had to focus its resources on preserving communications without interruption.</w:t>
      </w:r>
      <w:r>
        <w:rPr>
          <w:rStyle w:val="FootnoteReference"/>
        </w:rPr>
        <w:footnoteReference w:id="30"/>
      </w:r>
      <w:r w:rsidR="005575AA">
        <w:t xml:space="preserve"> </w:t>
      </w:r>
    </w:p>
    <w:p w:rsidR="00202319" w:rsidP="00FF0353" w14:paraId="0518040B" w14:textId="7AF29F3F">
      <w:pPr>
        <w:pStyle w:val="ParaNum"/>
        <w:widowControl/>
      </w:pPr>
      <w:r>
        <w:t xml:space="preserve">PTI Pacifica </w:t>
      </w:r>
      <w:r w:rsidR="00FE328D">
        <w:t>found</w:t>
      </w:r>
      <w:r>
        <w:t xml:space="preserve"> an alternative potential northern site</w:t>
      </w:r>
      <w:r w:rsidR="004A3099">
        <w:t xml:space="preserve"> on </w:t>
      </w:r>
      <w:r>
        <w:t xml:space="preserve">Mount Lasso while it </w:t>
      </w:r>
      <w:r w:rsidR="00637EFF">
        <w:t>a</w:t>
      </w:r>
      <w:r>
        <w:t>waited DoD’s approval of the North Field</w:t>
      </w:r>
      <w:r w:rsidR="009763E1">
        <w:t xml:space="preserve"> location</w:t>
      </w:r>
      <w:r>
        <w:t xml:space="preserve">.  </w:t>
      </w:r>
      <w:r w:rsidR="00161826">
        <w:t>T</w:t>
      </w:r>
      <w:r>
        <w:t xml:space="preserve">he Mount Lasso area is also </w:t>
      </w:r>
      <w:r w:rsidR="00161826">
        <w:t xml:space="preserve">subject to DoD </w:t>
      </w:r>
      <w:r w:rsidR="00826480">
        <w:t>administration</w:t>
      </w:r>
      <w:r>
        <w:t xml:space="preserve">, and the CNMI Historic Preservation Office </w:t>
      </w:r>
      <w:r w:rsidR="000A28C8">
        <w:t>there</w:t>
      </w:r>
      <w:r w:rsidR="00B67152">
        <w:t xml:space="preserve"> further</w:t>
      </w:r>
      <w:r w:rsidR="000A28C8">
        <w:t xml:space="preserve"> </w:t>
      </w:r>
      <w:r>
        <w:t>required site assessment surveys before it would issue any construction approvals</w:t>
      </w:r>
      <w:r w:rsidR="00143104">
        <w:t>.  Accordingly</w:t>
      </w:r>
      <w:r>
        <w:t>, PTI Pacifica asked for a</w:t>
      </w:r>
      <w:r w:rsidR="00B67152">
        <w:t xml:space="preserve">n </w:t>
      </w:r>
      <w:r>
        <w:t xml:space="preserve">extension to August </w:t>
      </w:r>
      <w:r w:rsidR="00D31017">
        <w:t xml:space="preserve">16, </w:t>
      </w:r>
      <w:r>
        <w:t>2018.</w:t>
      </w:r>
      <w:r>
        <w:rPr>
          <w:rStyle w:val="FootnoteReference"/>
        </w:rPr>
        <w:footnoteReference w:id="31"/>
      </w:r>
      <w:r>
        <w:t xml:space="preserve">  </w:t>
      </w:r>
    </w:p>
    <w:p w:rsidR="005D5D90" w:rsidP="00FF0353" w14:paraId="05AB85E7" w14:textId="5E49E51A">
      <w:pPr>
        <w:pStyle w:val="ParaNum"/>
        <w:widowControl/>
      </w:pPr>
      <w:r>
        <w:t xml:space="preserve">DoD </w:t>
      </w:r>
      <w:r w:rsidR="00DE5BD9">
        <w:t xml:space="preserve">ultimately </w:t>
      </w:r>
      <w:r w:rsidR="00202319">
        <w:t>did</w:t>
      </w:r>
      <w:r>
        <w:t xml:space="preserve"> not approve the North Field site, and two </w:t>
      </w:r>
      <w:r w:rsidR="000A28C8">
        <w:t>prospective</w:t>
      </w:r>
      <w:r>
        <w:t xml:space="preserve"> sites on Mount Lasso </w:t>
      </w:r>
      <w:r w:rsidR="00426411">
        <w:t xml:space="preserve">were </w:t>
      </w:r>
      <w:r w:rsidR="005D3914">
        <w:t xml:space="preserve">found to be </w:t>
      </w:r>
      <w:r>
        <w:t>unsuitable because of their historical significance.</w:t>
      </w:r>
      <w:r>
        <w:rPr>
          <w:rStyle w:val="FootnoteReference"/>
        </w:rPr>
        <w:footnoteReference w:id="32"/>
      </w:r>
      <w:r>
        <w:t xml:space="preserve">  PTI Pacifica </w:t>
      </w:r>
      <w:r w:rsidR="00552D39">
        <w:t xml:space="preserve">then </w:t>
      </w:r>
      <w:r>
        <w:t xml:space="preserve">asked for an additional year—until August </w:t>
      </w:r>
      <w:r w:rsidR="00D31017">
        <w:t xml:space="preserve">16, </w:t>
      </w:r>
      <w:r>
        <w:t xml:space="preserve">2019—to complete historic surveys of a third potential Mount Lasso </w:t>
      </w:r>
      <w:r w:rsidR="00F72E7D">
        <w:t>location</w:t>
      </w:r>
      <w:r>
        <w:t xml:space="preserve">, </w:t>
      </w:r>
      <w:r w:rsidR="00F72E7D">
        <w:t>citing</w:t>
      </w:r>
      <w:r>
        <w:t xml:space="preserve"> the unpredictability of the approval process timeline.</w:t>
      </w:r>
      <w:r>
        <w:rPr>
          <w:rStyle w:val="FootnoteReference"/>
        </w:rPr>
        <w:footnoteReference w:id="33"/>
      </w:r>
    </w:p>
    <w:p w:rsidR="005D5D90" w:rsidP="00FF0353" w14:paraId="53B5CAC4" w14:textId="551C9A9B">
      <w:pPr>
        <w:pStyle w:val="ParaNum"/>
        <w:widowControl/>
      </w:pPr>
      <w:r>
        <w:t xml:space="preserve">A year later, surveys of the third </w:t>
      </w:r>
      <w:r w:rsidR="008F7493">
        <w:t>location</w:t>
      </w:r>
      <w:r>
        <w:t xml:space="preserve"> were complete, but </w:t>
      </w:r>
      <w:r w:rsidR="00DB50AF">
        <w:t xml:space="preserve">DoD </w:t>
      </w:r>
      <w:r w:rsidR="00A5100F">
        <w:t xml:space="preserve">had yet </w:t>
      </w:r>
      <w:r w:rsidR="00DB50AF">
        <w:t xml:space="preserve">to issue </w:t>
      </w:r>
      <w:r w:rsidR="00A5100F">
        <w:t>the</w:t>
      </w:r>
      <w:r>
        <w:t xml:space="preserve"> long-term lease</w:t>
      </w:r>
      <w:r w:rsidR="00A5100F">
        <w:t xml:space="preserve"> that PTI Pacifica needed to</w:t>
      </w:r>
      <w:r>
        <w:t xml:space="preserve"> construct its </w:t>
      </w:r>
      <w:r>
        <w:t xml:space="preserve">cell </w:t>
      </w:r>
      <w:r>
        <w:t xml:space="preserve">site, so it asked for </w:t>
      </w:r>
      <w:r w:rsidR="00BB23EF">
        <w:t>an</w:t>
      </w:r>
      <w:r w:rsidR="00552D39">
        <w:t>other</w:t>
      </w:r>
      <w:r w:rsidR="00BB23EF">
        <w:t xml:space="preserve"> extension</w:t>
      </w:r>
      <w:r>
        <w:t xml:space="preserve"> to August </w:t>
      </w:r>
      <w:r w:rsidR="002935FB">
        <w:t xml:space="preserve">16, </w:t>
      </w:r>
      <w:r>
        <w:t>2020.</w:t>
      </w:r>
      <w:r>
        <w:rPr>
          <w:rStyle w:val="FootnoteReference"/>
        </w:rPr>
        <w:footnoteReference w:id="34"/>
      </w:r>
      <w:r>
        <w:t xml:space="preserve">  </w:t>
      </w:r>
      <w:r w:rsidR="00552D39">
        <w:t xml:space="preserve">However, </w:t>
      </w:r>
      <w:r w:rsidR="0006014D">
        <w:t>by</w:t>
      </w:r>
      <w:r>
        <w:t xml:space="preserve"> July 2020, PTI Pacifica still </w:t>
      </w:r>
      <w:r w:rsidR="00337A85">
        <w:t>had not received</w:t>
      </w:r>
      <w:r>
        <w:t xml:space="preserve"> final </w:t>
      </w:r>
      <w:r w:rsidR="002A166D">
        <w:t xml:space="preserve">DoD </w:t>
      </w:r>
      <w:r>
        <w:t>approval</w:t>
      </w:r>
      <w:r w:rsidR="00337A85">
        <w:t>.</w:t>
      </w:r>
      <w:r w:rsidR="002A166D">
        <w:t xml:space="preserve"> </w:t>
      </w:r>
      <w:r w:rsidR="004306DE">
        <w:t xml:space="preserve"> </w:t>
      </w:r>
      <w:r w:rsidR="00337A85">
        <w:t xml:space="preserve">In seeking a further extension of the deadline to August </w:t>
      </w:r>
      <w:r w:rsidR="004306DE">
        <w:t>16, 2021, PTI Pacifica</w:t>
      </w:r>
      <w:r>
        <w:t xml:space="preserve"> explain</w:t>
      </w:r>
      <w:r w:rsidR="002A166D">
        <w:t>ed</w:t>
      </w:r>
      <w:r>
        <w:t xml:space="preserve"> that the “process has been mired by additional requests for information, multi-step reviews by various divisions and offices within DoD, and other unexpected delays.”</w:t>
      </w:r>
      <w:r>
        <w:rPr>
          <w:rStyle w:val="FootnoteReference"/>
        </w:rPr>
        <w:footnoteReference w:id="35"/>
      </w:r>
    </w:p>
    <w:p w:rsidR="001B4E3C" w:rsidP="00FF0353" w14:paraId="1ECBABB9" w14:textId="0710F68D">
      <w:pPr>
        <w:pStyle w:val="ParaNum"/>
        <w:widowControl/>
      </w:pPr>
      <w:r>
        <w:t>A</w:t>
      </w:r>
      <w:r w:rsidR="004306DE">
        <w:t>lthough a</w:t>
      </w:r>
      <w:r>
        <w:t xml:space="preserve"> </w:t>
      </w:r>
      <w:r w:rsidR="005A3A85">
        <w:t>necessary</w:t>
      </w:r>
      <w:r>
        <w:t xml:space="preserve"> electromagnetic radiation study of the </w:t>
      </w:r>
      <w:r w:rsidR="009F7011">
        <w:t>location</w:t>
      </w:r>
      <w:r>
        <w:t xml:space="preserve"> was completed by mid-February 2021, DoD later informed PTI Pacifica that </w:t>
      </w:r>
      <w:r w:rsidR="003D1BFE">
        <w:t xml:space="preserve">the </w:t>
      </w:r>
      <w:r>
        <w:t xml:space="preserve">Naval Facilities Engineering Systems Command would </w:t>
      </w:r>
      <w:r w:rsidR="009B3EA4">
        <w:t>need</w:t>
      </w:r>
      <w:r>
        <w:t xml:space="preserve"> to inspect the site and issue an Environmental Condition of Property </w:t>
      </w:r>
      <w:r w:rsidR="006E5150">
        <w:t xml:space="preserve">(ECP) </w:t>
      </w:r>
      <w:r w:rsidR="005A3A85">
        <w:t xml:space="preserve">report </w:t>
      </w:r>
      <w:r>
        <w:t xml:space="preserve">before </w:t>
      </w:r>
      <w:r w:rsidR="0069731F">
        <w:t xml:space="preserve">DoD would issue a </w:t>
      </w:r>
      <w:r>
        <w:t>long-term lease and construction could begin.</w:t>
      </w:r>
      <w:r>
        <w:rPr>
          <w:rStyle w:val="FootnoteReference"/>
        </w:rPr>
        <w:footnoteReference w:id="36"/>
      </w:r>
      <w:r w:rsidR="0056651C">
        <w:t xml:space="preserve">  </w:t>
      </w:r>
      <w:r w:rsidR="006E5150">
        <w:t xml:space="preserve">The ECP </w:t>
      </w:r>
      <w:r w:rsidR="002B1BD5">
        <w:t xml:space="preserve">process </w:t>
      </w:r>
      <w:r w:rsidR="006E5150">
        <w:t xml:space="preserve">requires an inspector to walk the </w:t>
      </w:r>
      <w:r w:rsidR="00415D95">
        <w:t>site</w:t>
      </w:r>
      <w:r w:rsidR="0034705E">
        <w:t>.</w:t>
      </w:r>
      <w:r>
        <w:rPr>
          <w:rStyle w:val="FootnoteReference"/>
        </w:rPr>
        <w:footnoteReference w:id="37"/>
      </w:r>
      <w:r w:rsidR="002B1BD5">
        <w:t xml:space="preserve"> </w:t>
      </w:r>
      <w:r w:rsidR="00C63E63">
        <w:t xml:space="preserve"> </w:t>
      </w:r>
      <w:r w:rsidR="00415D95">
        <w:t>PTI</w:t>
      </w:r>
      <w:r w:rsidR="0034705E">
        <w:t> </w:t>
      </w:r>
      <w:r w:rsidR="00415D95">
        <w:t xml:space="preserve">Pacifica </w:t>
      </w:r>
      <w:r w:rsidR="00033B3F">
        <w:t>stated</w:t>
      </w:r>
      <w:r w:rsidR="00415D95">
        <w:t xml:space="preserve"> that the COVID-19 pandemic </w:t>
      </w:r>
      <w:r w:rsidR="004C2C5E">
        <w:t xml:space="preserve">delayed that step, and that it </w:t>
      </w:r>
      <w:r w:rsidR="00033B3F">
        <w:t>had</w:t>
      </w:r>
      <w:r w:rsidR="004C2C5E">
        <w:t xml:space="preserve"> not </w:t>
      </w:r>
      <w:r w:rsidR="00D1680A">
        <w:t xml:space="preserve">received </w:t>
      </w:r>
      <w:r w:rsidR="004C2C5E">
        <w:t xml:space="preserve">an estimate </w:t>
      </w:r>
      <w:r w:rsidR="00EE309C">
        <w:t>of</w:t>
      </w:r>
      <w:r w:rsidR="004C2C5E">
        <w:t xml:space="preserve"> when the inspection </w:t>
      </w:r>
      <w:r w:rsidR="00033B3F">
        <w:t>would</w:t>
      </w:r>
      <w:r w:rsidR="004C2C5E">
        <w:t xml:space="preserve"> be scheduled.</w:t>
      </w:r>
      <w:r w:rsidR="0080429C">
        <w:t xml:space="preserve">  DoD represented </w:t>
      </w:r>
      <w:r w:rsidR="00D46874">
        <w:t>that</w:t>
      </w:r>
      <w:r w:rsidR="0080429C">
        <w:t xml:space="preserve"> PTI Pacifica </w:t>
      </w:r>
      <w:r w:rsidR="008D7C0A">
        <w:t>could</w:t>
      </w:r>
      <w:r w:rsidR="00D46874">
        <w:t xml:space="preserve"> sign the</w:t>
      </w:r>
      <w:r w:rsidR="0080429C">
        <w:t xml:space="preserve"> lease</w:t>
      </w:r>
      <w:r w:rsidR="00502270">
        <w:t xml:space="preserve"> </w:t>
      </w:r>
      <w:r w:rsidR="0080429C">
        <w:t xml:space="preserve">after the ECP report </w:t>
      </w:r>
      <w:r w:rsidR="008D7C0A">
        <w:t>was</w:t>
      </w:r>
      <w:r w:rsidR="00E0428D">
        <w:t xml:space="preserve"> complete</w:t>
      </w:r>
      <w:r w:rsidR="0080429C">
        <w:t>.</w:t>
      </w:r>
      <w:r>
        <w:rPr>
          <w:rStyle w:val="FootnoteReference"/>
        </w:rPr>
        <w:footnoteReference w:id="38"/>
      </w:r>
      <w:r w:rsidR="00BB34A1">
        <w:t xml:space="preserve">  Because it </w:t>
      </w:r>
      <w:r w:rsidR="007554E8">
        <w:t>could not</w:t>
      </w:r>
      <w:r w:rsidR="00BB34A1">
        <w:t xml:space="preserve"> be </w:t>
      </w:r>
      <w:r w:rsidR="00820A0F">
        <w:t>certain</w:t>
      </w:r>
      <w:r w:rsidR="00BB34A1">
        <w:t xml:space="preserve"> of the government’s timeline to complete these final steps, PTI Pacifica </w:t>
      </w:r>
      <w:r w:rsidR="005A1BA1">
        <w:t>requested</w:t>
      </w:r>
      <w:r w:rsidR="00BB34A1">
        <w:t xml:space="preserve"> </w:t>
      </w:r>
      <w:r w:rsidR="00731B4E">
        <w:t>a sixth</w:t>
      </w:r>
      <w:r w:rsidR="0029269E">
        <w:t xml:space="preserve"> extension of the deadline</w:t>
      </w:r>
      <w:r w:rsidR="00174EF0">
        <w:t xml:space="preserve"> </w:t>
      </w:r>
      <w:r w:rsidR="0029269E">
        <w:t>to August 16, 2022.</w:t>
      </w:r>
      <w:r>
        <w:rPr>
          <w:rStyle w:val="FootnoteReference"/>
        </w:rPr>
        <w:footnoteReference w:id="39"/>
      </w:r>
    </w:p>
    <w:p w:rsidR="007554E8" w:rsidP="00FF0353" w14:paraId="6F07B197" w14:textId="272A65D3">
      <w:pPr>
        <w:pStyle w:val="ParaNum"/>
        <w:widowControl/>
      </w:pPr>
      <w:r>
        <w:t>The ECP report was completed in April 2022</w:t>
      </w:r>
      <w:r w:rsidR="005629E0">
        <w:t xml:space="preserve">.  But </w:t>
      </w:r>
      <w:r w:rsidR="007F593F">
        <w:t xml:space="preserve">DoD </w:t>
      </w:r>
      <w:r w:rsidR="007C36AC">
        <w:t xml:space="preserve">later </w:t>
      </w:r>
      <w:r w:rsidR="007F593F">
        <w:t xml:space="preserve">identified a </w:t>
      </w:r>
      <w:r w:rsidR="0069788F">
        <w:t xml:space="preserve">road that was absent from a local land authority map, </w:t>
      </w:r>
      <w:r w:rsidR="007C36AC">
        <w:t>so</w:t>
      </w:r>
      <w:r w:rsidR="005629E0">
        <w:t xml:space="preserve"> a revised map was</w:t>
      </w:r>
      <w:r w:rsidR="007C36AC">
        <w:t xml:space="preserve"> required to finalize the lease, and </w:t>
      </w:r>
      <w:r w:rsidR="00FF555A">
        <w:t xml:space="preserve">according to PTI Pacifica, </w:t>
      </w:r>
      <w:r w:rsidR="007C36AC">
        <w:t>that map was</w:t>
      </w:r>
      <w:r w:rsidR="005629E0">
        <w:t xml:space="preserve"> not submitted until July 28, 2022</w:t>
      </w:r>
      <w:r w:rsidR="0069788F">
        <w:t>.</w:t>
      </w:r>
      <w:r>
        <w:rPr>
          <w:rStyle w:val="FootnoteReference"/>
        </w:rPr>
        <w:footnoteReference w:id="40"/>
      </w:r>
      <w:r w:rsidR="00BD5EBF">
        <w:t xml:space="preserve">  PTI Pacifica</w:t>
      </w:r>
      <w:r w:rsidR="007C36AC">
        <w:t xml:space="preserve"> now</w:t>
      </w:r>
      <w:r w:rsidR="00BD5EBF">
        <w:t xml:space="preserve"> “hopes to finalize the lease expeditiously” but requests a further extension of the deadline</w:t>
      </w:r>
      <w:r w:rsidR="00FF752B">
        <w:t xml:space="preserve"> to do so</w:t>
      </w:r>
      <w:r w:rsidR="007C36AC">
        <w:t>.</w:t>
      </w:r>
      <w:r>
        <w:rPr>
          <w:rStyle w:val="FootnoteReference"/>
        </w:rPr>
        <w:footnoteReference w:id="41"/>
      </w:r>
      <w:r w:rsidR="008D7C0A">
        <w:t xml:space="preserve">  PTI Pacifica </w:t>
      </w:r>
      <w:r w:rsidR="003D4703">
        <w:t xml:space="preserve">states that it expects construction of the final site to be </w:t>
      </w:r>
      <w:r w:rsidR="004249F3">
        <w:t>complete “within months of receiving the necessary Government approvals</w:t>
      </w:r>
      <w:r w:rsidR="00CE0D21">
        <w:t>.”</w:t>
      </w:r>
      <w:r>
        <w:rPr>
          <w:rStyle w:val="FootnoteReference"/>
        </w:rPr>
        <w:footnoteReference w:id="42"/>
      </w:r>
      <w:r w:rsidR="00CE0D21">
        <w:t xml:space="preserve">  Because it remains uncertain as to the </w:t>
      </w:r>
      <w:r w:rsidR="003B39CE">
        <w:t xml:space="preserve">timeline of the lease’s finalization, PTI Pacifica requests a </w:t>
      </w:r>
      <w:r w:rsidR="00284FDF">
        <w:t>seventh</w:t>
      </w:r>
      <w:r w:rsidR="003B39CE">
        <w:t xml:space="preserve"> extension, to August 16, 2023.</w:t>
      </w:r>
      <w:r>
        <w:rPr>
          <w:rStyle w:val="FootnoteReference"/>
        </w:rPr>
        <w:footnoteReference w:id="43"/>
      </w:r>
    </w:p>
    <w:p w:rsidR="00486B74" w:rsidP="00486B74" w14:paraId="328AEED7" w14:textId="22A03AF4">
      <w:pPr>
        <w:pStyle w:val="Heading1"/>
      </w:pPr>
      <w:r>
        <w:t>discussion</w:t>
      </w:r>
    </w:p>
    <w:p w:rsidR="006B067A" w:rsidRPr="009D48A0" w:rsidP="009D48A0" w14:paraId="2889A688" w14:textId="6720BCCF">
      <w:pPr>
        <w:pStyle w:val="ParaNum"/>
        <w:widowControl/>
      </w:pPr>
      <w:r w:rsidRPr="009D48A0">
        <w:t xml:space="preserve">We do not </w:t>
      </w:r>
      <w:r w:rsidR="00FA4066">
        <w:t>here</w:t>
      </w:r>
      <w:r w:rsidR="00EC4A10">
        <w:t xml:space="preserve"> </w:t>
      </w:r>
      <w:r w:rsidRPr="009D48A0">
        <w:t xml:space="preserve">address PTI Pacifica’s requests with respect to the Rota and </w:t>
      </w:r>
      <w:r w:rsidRPr="009D48A0">
        <w:t>Marpi</w:t>
      </w:r>
      <w:r w:rsidRPr="009D48A0">
        <w:t xml:space="preserve"> census tracts</w:t>
      </w:r>
      <w:r w:rsidRPr="009D48A0" w:rsidR="009E5B39">
        <w:t xml:space="preserve">.  </w:t>
      </w:r>
      <w:r w:rsidR="001B1017">
        <w:t>Despite the typhoons that struck the area in the summer of 2015, t</w:t>
      </w:r>
      <w:r w:rsidR="00FB17D3">
        <w:t>he</w:t>
      </w:r>
      <w:r w:rsidRPr="009D48A0" w:rsidR="009E5B39">
        <w:t xml:space="preserve"> network on </w:t>
      </w:r>
      <w:r w:rsidRPr="00956336" w:rsidR="009E5B39">
        <w:t>the</w:t>
      </w:r>
      <w:r w:rsidRPr="009D48A0" w:rsidR="009E5B39">
        <w:t xml:space="preserve"> Rota census tract has been operational since October 2016, </w:t>
      </w:r>
      <w:r w:rsidR="0090641D">
        <w:t>roughly</w:t>
      </w:r>
      <w:r w:rsidRPr="009D48A0" w:rsidR="009E5B39">
        <w:t xml:space="preserve"> two months after the initial deadline.</w:t>
      </w:r>
      <w:r>
        <w:rPr>
          <w:rStyle w:val="FootnoteReference"/>
        </w:rPr>
        <w:footnoteReference w:id="44"/>
      </w:r>
      <w:r w:rsidRPr="0050024A" w:rsidR="009E5B39">
        <w:rPr>
          <w:rStyle w:val="FootnoteReference"/>
        </w:rPr>
        <w:t xml:space="preserve"> </w:t>
      </w:r>
      <w:r w:rsidRPr="009D48A0" w:rsidR="009E5B39">
        <w:t xml:space="preserve"> The temporary network on </w:t>
      </w:r>
      <w:r w:rsidRPr="009D48A0" w:rsidR="009E5B39">
        <w:t>Marpi</w:t>
      </w:r>
      <w:r w:rsidRPr="009D48A0" w:rsidR="009E5B39">
        <w:t xml:space="preserve"> was operational before the deadline passed, and PTI Pacifica </w:t>
      </w:r>
      <w:r w:rsidR="00D50592">
        <w:t>states</w:t>
      </w:r>
      <w:r w:rsidRPr="009D48A0" w:rsidR="009E5B39">
        <w:t xml:space="preserve"> that </w:t>
      </w:r>
      <w:r w:rsidRPr="009D48A0" w:rsidR="00AE0D41">
        <w:t>it will eventually transition to a permanent network with no interruption to service on the tract.</w:t>
      </w:r>
      <w:r>
        <w:rPr>
          <w:rStyle w:val="FootnoteReference"/>
        </w:rPr>
        <w:footnoteReference w:id="45"/>
      </w:r>
      <w:r w:rsidRPr="009D48A0" w:rsidR="00AE0D41">
        <w:t xml:space="preserve">  PTI Pacifica has submitted its </w:t>
      </w:r>
      <w:r w:rsidR="00650D7A">
        <w:t xml:space="preserve">drive test </w:t>
      </w:r>
      <w:r w:rsidRPr="009D48A0" w:rsidR="00AE0D41">
        <w:t>data</w:t>
      </w:r>
      <w:r w:rsidRPr="009D48A0" w:rsidR="00B5282E">
        <w:t xml:space="preserve"> and awaits </w:t>
      </w:r>
      <w:r w:rsidR="005C7CA8">
        <w:t xml:space="preserve">the </w:t>
      </w:r>
      <w:r w:rsidRPr="00340277" w:rsidR="004E4A2D">
        <w:rPr>
          <w:szCs w:val="22"/>
        </w:rPr>
        <w:t>Universal Service Administrative Company</w:t>
      </w:r>
      <w:r w:rsidR="004E4A2D">
        <w:rPr>
          <w:szCs w:val="22"/>
        </w:rPr>
        <w:t>’s (</w:t>
      </w:r>
      <w:r w:rsidRPr="009D48A0" w:rsidR="00B5282E">
        <w:t>USAC</w:t>
      </w:r>
      <w:r w:rsidR="004E4A2D">
        <w:t>)</w:t>
      </w:r>
      <w:r w:rsidRPr="009D48A0" w:rsidR="00B5282E">
        <w:t xml:space="preserve"> </w:t>
      </w:r>
      <w:r w:rsidR="000B4E2F">
        <w:t>verification</w:t>
      </w:r>
      <w:r w:rsidR="00F85E17">
        <w:t xml:space="preserve"> of </w:t>
      </w:r>
      <w:r w:rsidR="004143D6">
        <w:t>PTI</w:t>
      </w:r>
      <w:r w:rsidR="00B67100">
        <w:t xml:space="preserve"> Pacifica</w:t>
      </w:r>
      <w:r w:rsidR="004143D6">
        <w:t xml:space="preserve">’s </w:t>
      </w:r>
      <w:r w:rsidR="004601E0">
        <w:t>coverage</w:t>
      </w:r>
      <w:r w:rsidRPr="009D48A0" w:rsidR="00B5282E">
        <w:t xml:space="preserve"> </w:t>
      </w:r>
      <w:r w:rsidR="00664F76">
        <w:t>i</w:t>
      </w:r>
      <w:r w:rsidRPr="009D48A0" w:rsidR="00B5282E">
        <w:t>n the</w:t>
      </w:r>
      <w:r w:rsidR="0090641D">
        <w:t>se two</w:t>
      </w:r>
      <w:r w:rsidRPr="009D48A0" w:rsidR="00B5282E">
        <w:t xml:space="preserve"> tracts.  </w:t>
      </w:r>
      <w:r w:rsidR="000A78DD">
        <w:t>W</w:t>
      </w:r>
      <w:r w:rsidRPr="002B3A51" w:rsidR="004D398C">
        <w:t>e</w:t>
      </w:r>
      <w:r w:rsidRPr="002B3A51" w:rsidR="00EC1C6F">
        <w:t xml:space="preserve"> </w:t>
      </w:r>
      <w:r w:rsidRPr="002B3A51" w:rsidR="00C42274">
        <w:t xml:space="preserve">will </w:t>
      </w:r>
      <w:r w:rsidRPr="002B3A51" w:rsidR="00336F84">
        <w:t>withhold our decision</w:t>
      </w:r>
      <w:r w:rsidRPr="002B3A51" w:rsidR="00377461">
        <w:t>s</w:t>
      </w:r>
      <w:r w:rsidRPr="002B3A51" w:rsidR="00336F84">
        <w:t xml:space="preserve"> </w:t>
      </w:r>
      <w:r w:rsidR="002D3F53">
        <w:t>regarding</w:t>
      </w:r>
      <w:r w:rsidRPr="002B3A51" w:rsidR="00336F84">
        <w:t xml:space="preserve"> </w:t>
      </w:r>
      <w:r w:rsidRPr="002B3A51" w:rsidR="00215250">
        <w:t xml:space="preserve">the Rota and </w:t>
      </w:r>
      <w:r w:rsidRPr="002B3A51" w:rsidR="00215250">
        <w:t>Marpi</w:t>
      </w:r>
      <w:r w:rsidRPr="002B3A51" w:rsidR="00336F84">
        <w:t xml:space="preserve"> </w:t>
      </w:r>
      <w:r w:rsidRPr="002B3A51" w:rsidR="00377461">
        <w:t>tracts</w:t>
      </w:r>
      <w:r w:rsidRPr="002B3A51" w:rsidR="00336F84">
        <w:t xml:space="preserve"> until </w:t>
      </w:r>
      <w:r w:rsidRPr="002B3A51" w:rsidR="0066599F">
        <w:t xml:space="preserve">after </w:t>
      </w:r>
      <w:r w:rsidRPr="002B3A51" w:rsidR="00336F84">
        <w:t xml:space="preserve">USAC </w:t>
      </w:r>
      <w:r w:rsidR="00924E35">
        <w:t xml:space="preserve">has </w:t>
      </w:r>
      <w:r w:rsidRPr="00EA7D63" w:rsidR="00EA7D63">
        <w:t xml:space="preserve">verified that </w:t>
      </w:r>
      <w:r w:rsidR="00602405">
        <w:t>PTI</w:t>
      </w:r>
      <w:r w:rsidR="00EA569D">
        <w:t xml:space="preserve"> Pacifica</w:t>
      </w:r>
      <w:r w:rsidR="000F5009">
        <w:t>’</w:t>
      </w:r>
      <w:r w:rsidRPr="00EA7D63" w:rsidR="00EA7D63">
        <w:t xml:space="preserve">s coverage </w:t>
      </w:r>
      <w:r w:rsidR="00602405">
        <w:t xml:space="preserve">in those tracts </w:t>
      </w:r>
      <w:r w:rsidRPr="00EA7D63" w:rsidR="00EA7D63">
        <w:t>me</w:t>
      </w:r>
      <w:r w:rsidR="00091E95">
        <w:t>e</w:t>
      </w:r>
      <w:r w:rsidRPr="00EA7D63" w:rsidR="00EA7D63">
        <w:t>t</w:t>
      </w:r>
      <w:r w:rsidR="00091E95">
        <w:t>s</w:t>
      </w:r>
      <w:r w:rsidRPr="00EA7D63" w:rsidR="00EA7D63">
        <w:t xml:space="preserve"> the coverage requirements associated with its MF-I support.</w:t>
      </w:r>
    </w:p>
    <w:p w:rsidR="00234E69" w:rsidP="009D48A0" w14:paraId="0B4A58A4" w14:textId="2C0DE505">
      <w:pPr>
        <w:pStyle w:val="ParaNum"/>
        <w:widowControl/>
      </w:pPr>
      <w:r w:rsidRPr="009D48A0">
        <w:t>Generally, the Commission’s rules may be waived for good cause shown.</w:t>
      </w:r>
      <w:r>
        <w:rPr>
          <w:rStyle w:val="FootnoteReference"/>
        </w:rPr>
        <w:footnoteReference w:id="46"/>
      </w:r>
      <w:r w:rsidRPr="0050024A">
        <w:rPr>
          <w:rStyle w:val="FootnoteReference"/>
        </w:rPr>
        <w:t xml:space="preserve"> </w:t>
      </w:r>
      <w:r w:rsidRPr="009D48A0">
        <w:t xml:space="preserve"> Good cause is shown, and thus a waiver is appropriate, only if special circumstances warrant a deviation from the general rule, and such deviation will serve the public interest.</w:t>
      </w:r>
      <w:r>
        <w:rPr>
          <w:rStyle w:val="FootnoteReference"/>
        </w:rPr>
        <w:footnoteReference w:id="47"/>
      </w:r>
    </w:p>
    <w:p w:rsidR="0036275A" w:rsidP="009D48A0" w14:paraId="3E6B47A7" w14:textId="5DC4B2A4">
      <w:pPr>
        <w:pStyle w:val="ParaNum"/>
        <w:widowControl/>
      </w:pPr>
      <w:r>
        <w:t xml:space="preserve">The MF-I rules, including the performance deadlines applicable here, were designed to make 3G or better wireless networks available in areas where additional investment could make as </w:t>
      </w:r>
      <w:r w:rsidR="00365D6E">
        <w:t>substantial</w:t>
      </w:r>
      <w:r>
        <w:t xml:space="preserve"> a difference as possible in a transparent, simple, speedy, and effective way.</w:t>
      </w:r>
      <w:r>
        <w:rPr>
          <w:rStyle w:val="FootnoteReference"/>
        </w:rPr>
        <w:footnoteReference w:id="48"/>
      </w:r>
      <w:r>
        <w:t xml:space="preserve">  </w:t>
      </w:r>
      <w:r w:rsidR="00F54C2F">
        <w:t>P</w:t>
      </w:r>
      <w:r w:rsidRPr="009D48A0">
        <w:t xml:space="preserve">rospective bidders </w:t>
      </w:r>
      <w:r w:rsidR="00F54C2F">
        <w:t xml:space="preserve">were advised </w:t>
      </w:r>
      <w:r w:rsidRPr="009D48A0">
        <w:t>before Auction 901</w:t>
      </w:r>
      <w:r w:rsidR="00F54C2F">
        <w:t xml:space="preserve"> to perform </w:t>
      </w:r>
      <w:r w:rsidRPr="009D48A0">
        <w:t xml:space="preserve">due diligence </w:t>
      </w:r>
      <w:r w:rsidR="00384B78">
        <w:t>and</w:t>
      </w:r>
      <w:r w:rsidRPr="009D48A0">
        <w:t xml:space="preserve"> confirm the availability of prospective transmitter sites and assure themselves that, if they became winning bidders, they would be able to build and operate facilities that comply with all applicable technical and legal requirements</w:t>
      </w:r>
      <w:r w:rsidR="00ED61AF">
        <w:t xml:space="preserve"> and Mobility </w:t>
      </w:r>
      <w:r w:rsidR="00B009C3">
        <w:t>Fund obligations</w:t>
      </w:r>
      <w:r w:rsidRPr="009D48A0">
        <w:t>, which</w:t>
      </w:r>
      <w:r w:rsidR="00877952">
        <w:t xml:space="preserve"> </w:t>
      </w:r>
      <w:r w:rsidRPr="009D48A0">
        <w:t>include performance deadlines.</w:t>
      </w:r>
      <w:r>
        <w:rPr>
          <w:rStyle w:val="FootnoteReference"/>
        </w:rPr>
        <w:footnoteReference w:id="49"/>
      </w:r>
      <w:r w:rsidRPr="009D48A0">
        <w:t xml:space="preserve">  Furthermore, </w:t>
      </w:r>
      <w:r w:rsidR="00960708">
        <w:t>we</w:t>
      </w:r>
      <w:r w:rsidRPr="009D48A0">
        <w:t xml:space="preserve"> </w:t>
      </w:r>
      <w:r w:rsidRPr="009D48A0" w:rsidR="00960708">
        <w:t>ha</w:t>
      </w:r>
      <w:r w:rsidR="00960708">
        <w:t xml:space="preserve">ve </w:t>
      </w:r>
      <w:r w:rsidRPr="009D48A0">
        <w:t xml:space="preserve">consistently </w:t>
      </w:r>
      <w:r w:rsidR="004D16CA">
        <w:t xml:space="preserve">warned </w:t>
      </w:r>
      <w:r w:rsidRPr="009D48A0">
        <w:t>that requests to waive or extend construction obligations will not be routinely granted.</w:t>
      </w:r>
      <w:r>
        <w:rPr>
          <w:rStyle w:val="FootnoteReference"/>
        </w:rPr>
        <w:footnoteReference w:id="50"/>
      </w:r>
      <w:r w:rsidRPr="009D48A0">
        <w:t xml:space="preserve">  When considering waiver requests involving MF-I construction, drive testing, and reporting deadlines, we therefore have made clear that justifications based on impediments that could reasonably have been foreseen, such as employee issues, vendor problems, inclement weather, and last-minute delays, would not in themselves warrant waiver of a performance deadline.</w:t>
      </w:r>
      <w:r>
        <w:rPr>
          <w:rStyle w:val="FootnoteReference"/>
        </w:rPr>
        <w:footnoteReference w:id="51"/>
      </w:r>
      <w:r w:rsidRPr="0050024A">
        <w:rPr>
          <w:rStyle w:val="FootnoteReference"/>
        </w:rPr>
        <w:t xml:space="preserve"> </w:t>
      </w:r>
      <w:r w:rsidRPr="009D48A0">
        <w:t xml:space="preserve"> </w:t>
      </w:r>
    </w:p>
    <w:p w:rsidR="004F2E10" w:rsidP="00646C15" w14:paraId="19839DC5" w14:textId="0219EE1A">
      <w:pPr>
        <w:pStyle w:val="ParaNum"/>
        <w:widowControl/>
      </w:pPr>
      <w:r>
        <w:t xml:space="preserve">PTI Pacifica </w:t>
      </w:r>
      <w:r w:rsidR="002D09AC">
        <w:t>argues</w:t>
      </w:r>
      <w:r>
        <w:t xml:space="preserve"> that it faced </w:t>
      </w:r>
      <w:r w:rsidR="000F15FF">
        <w:t>multiple</w:t>
      </w:r>
      <w:r>
        <w:t xml:space="preserve"> </w:t>
      </w:r>
      <w:r w:rsidR="007D0139">
        <w:t>obstacles</w:t>
      </w:r>
      <w:r>
        <w:t xml:space="preserve"> </w:t>
      </w:r>
      <w:r w:rsidR="00D64ECD">
        <w:t xml:space="preserve">as it </w:t>
      </w:r>
      <w:r w:rsidR="00BA7C2E">
        <w:t>sought</w:t>
      </w:r>
      <w:r>
        <w:t xml:space="preserve"> a suitable </w:t>
      </w:r>
      <w:r w:rsidR="005256B1">
        <w:t>location for a cell site</w:t>
      </w:r>
      <w:r>
        <w:t xml:space="preserve"> </w:t>
      </w:r>
      <w:r w:rsidR="00942314">
        <w:t xml:space="preserve">to </w:t>
      </w:r>
      <w:r w:rsidR="00C844F9">
        <w:t>fulfill its coverage obligation on</w:t>
      </w:r>
      <w:r w:rsidR="00942314">
        <w:t xml:space="preserve"> the Tinian tract, </w:t>
      </w:r>
      <w:r w:rsidR="00D64ECD">
        <w:t>and</w:t>
      </w:r>
      <w:r w:rsidR="00BB1565">
        <w:t xml:space="preserve"> </w:t>
      </w:r>
      <w:r w:rsidR="00F96BB4">
        <w:t xml:space="preserve">encountered </w:t>
      </w:r>
      <w:r w:rsidR="00BB1565">
        <w:t>further delays</w:t>
      </w:r>
      <w:r w:rsidR="00942314">
        <w:t xml:space="preserve"> </w:t>
      </w:r>
      <w:r w:rsidR="00295160">
        <w:t xml:space="preserve">in </w:t>
      </w:r>
      <w:r w:rsidR="00942314">
        <w:t xml:space="preserve">obtaining necessary government approvals </w:t>
      </w:r>
      <w:r w:rsidR="00295160">
        <w:t>to</w:t>
      </w:r>
      <w:r w:rsidR="00942314">
        <w:t xml:space="preserve"> construct its</w:t>
      </w:r>
      <w:r w:rsidR="00E253D6">
        <w:t xml:space="preserve"> final</w:t>
      </w:r>
      <w:r w:rsidR="00942314">
        <w:t xml:space="preserve"> tower.</w:t>
      </w:r>
      <w:r>
        <w:rPr>
          <w:rStyle w:val="FootnoteReference"/>
        </w:rPr>
        <w:footnoteReference w:id="52"/>
      </w:r>
      <w:r w:rsidR="00942314">
        <w:t xml:space="preserve">  </w:t>
      </w:r>
      <w:r w:rsidR="00DE08A4">
        <w:t xml:space="preserve">Although some </w:t>
      </w:r>
      <w:r>
        <w:t xml:space="preserve">previous petitioners who </w:t>
      </w:r>
      <w:r w:rsidR="00E253D6">
        <w:t xml:space="preserve">faced </w:t>
      </w:r>
      <w:r w:rsidR="00ED01E8">
        <w:t xml:space="preserve">delays </w:t>
      </w:r>
      <w:r w:rsidR="00DE08A4">
        <w:t xml:space="preserve">in </w:t>
      </w:r>
      <w:r>
        <w:t xml:space="preserve">permitting, regulatory processes, </w:t>
      </w:r>
      <w:r w:rsidR="001915B5">
        <w:t xml:space="preserve">lease negotiations, </w:t>
      </w:r>
      <w:r>
        <w:t xml:space="preserve">or other governmental approvals </w:t>
      </w:r>
      <w:r w:rsidR="00DE08A4">
        <w:t>were</w:t>
      </w:r>
      <w:r>
        <w:t xml:space="preserve"> granted waivers of the MF-I performance </w:t>
      </w:r>
      <w:r w:rsidRPr="004F3643">
        <w:t>deadlines</w:t>
      </w:r>
      <w:r w:rsidR="00DE08A4">
        <w:t>,</w:t>
      </w:r>
      <w:r>
        <w:rPr>
          <w:rStyle w:val="FootnoteReference"/>
        </w:rPr>
        <w:footnoteReference w:id="53"/>
      </w:r>
      <w:r w:rsidRPr="004F3643" w:rsidR="00EF2C64">
        <w:t xml:space="preserve"> </w:t>
      </w:r>
      <w:r w:rsidRPr="004F3643" w:rsidR="00E92B27">
        <w:t xml:space="preserve">each </w:t>
      </w:r>
      <w:r w:rsidRPr="004F3643" w:rsidR="00B44A80">
        <w:t xml:space="preserve">was granted a waiver in part because it </w:t>
      </w:r>
      <w:r w:rsidRPr="004F3643" w:rsidR="00EF2C64">
        <w:t>sought a</w:t>
      </w:r>
      <w:r w:rsidR="00897A80">
        <w:t xml:space="preserve"> reasonable </w:t>
      </w:r>
      <w:r w:rsidRPr="004F3643" w:rsidR="00EF2C64">
        <w:t>extension in light of the delays it encountered</w:t>
      </w:r>
      <w:r w:rsidR="004C15E3">
        <w:t>, and</w:t>
      </w:r>
      <w:r w:rsidR="007D0C2A">
        <w:t xml:space="preserve"> </w:t>
      </w:r>
      <w:r w:rsidR="001915B5">
        <w:t xml:space="preserve">no </w:t>
      </w:r>
      <w:r w:rsidR="007D2A8D">
        <w:t xml:space="preserve">such </w:t>
      </w:r>
      <w:r w:rsidR="001915B5">
        <w:t xml:space="preserve">request was for more than </w:t>
      </w:r>
      <w:r w:rsidRPr="003A65B3" w:rsidR="001915B5">
        <w:t>18 months</w:t>
      </w:r>
      <w:r w:rsidR="001915B5">
        <w:t xml:space="preserve"> past the initial deadline</w:t>
      </w:r>
      <w:r w:rsidRPr="004F3643" w:rsidR="00EF2C64">
        <w:t>.</w:t>
      </w:r>
      <w:r>
        <w:rPr>
          <w:rStyle w:val="FootnoteReference"/>
        </w:rPr>
        <w:footnoteReference w:id="54"/>
      </w:r>
      <w:r w:rsidRPr="004F3643" w:rsidR="00EF2C64">
        <w:t xml:space="preserve">  Moreover, </w:t>
      </w:r>
      <w:r w:rsidR="00BB4184">
        <w:t>all those</w:t>
      </w:r>
      <w:r w:rsidRPr="004F3643" w:rsidR="00D22381">
        <w:t xml:space="preserve"> petitioners</w:t>
      </w:r>
      <w:r w:rsidRPr="004F3643" w:rsidR="00EF2C64">
        <w:t xml:space="preserve"> completed </w:t>
      </w:r>
      <w:r w:rsidRPr="004F3643" w:rsidR="00D22381">
        <w:t>their</w:t>
      </w:r>
      <w:r w:rsidRPr="004F3643" w:rsidR="00EF2C64">
        <w:t xml:space="preserve"> construction, drive testing, and reporting requirements within the additional time requested.</w:t>
      </w:r>
      <w:r>
        <w:rPr>
          <w:rStyle w:val="FootnoteReference"/>
        </w:rPr>
        <w:footnoteReference w:id="55"/>
      </w:r>
      <w:r w:rsidRPr="004F3643" w:rsidR="00EF2C64">
        <w:t xml:space="preserve">  </w:t>
      </w:r>
      <w:r w:rsidRPr="004F3643" w:rsidR="005B7D12">
        <w:t>Accordingly</w:t>
      </w:r>
      <w:r w:rsidR="005B7D12">
        <w:t xml:space="preserve">, </w:t>
      </w:r>
      <w:r w:rsidR="00DE08A4">
        <w:t xml:space="preserve">in those </w:t>
      </w:r>
      <w:r w:rsidR="000B7517">
        <w:t>cases</w:t>
      </w:r>
      <w:r w:rsidR="001F33E2">
        <w:t>,</w:t>
      </w:r>
      <w:r w:rsidR="00DE08A4">
        <w:t xml:space="preserve"> </w:t>
      </w:r>
      <w:r w:rsidR="00867695">
        <w:t xml:space="preserve">we determined that </w:t>
      </w:r>
      <w:r w:rsidR="00D06CB6">
        <w:t>the</w:t>
      </w:r>
      <w:r w:rsidR="009264D9">
        <w:t xml:space="preserve"> requests</w:t>
      </w:r>
      <w:r w:rsidR="00F13EAA">
        <w:t xml:space="preserve"> </w:t>
      </w:r>
      <w:r w:rsidR="00570495">
        <w:t xml:space="preserve">demonstrated </w:t>
      </w:r>
      <w:r w:rsidR="006F6E7C">
        <w:t xml:space="preserve">special circumstances that </w:t>
      </w:r>
      <w:r w:rsidR="00F13EAA">
        <w:t>warranted deviation from the general rule, and thereby</w:t>
      </w:r>
      <w:r w:rsidR="009264D9">
        <w:t xml:space="preserve"> satisfied the first prong of the </w:t>
      </w:r>
      <w:r w:rsidR="000B7517">
        <w:t xml:space="preserve">waiver </w:t>
      </w:r>
      <w:r w:rsidR="009264D9">
        <w:t>standard</w:t>
      </w:r>
      <w:r w:rsidR="00F13EAA">
        <w:t>.</w:t>
      </w:r>
    </w:p>
    <w:p w:rsidR="00C53090" w:rsidP="009D48A0" w14:paraId="3348437E" w14:textId="2E9986A2">
      <w:pPr>
        <w:pStyle w:val="ParaNum"/>
        <w:widowControl/>
      </w:pPr>
      <w:r>
        <w:t>However, w</w:t>
      </w:r>
      <w:r w:rsidR="00706347">
        <w:t xml:space="preserve">e find that there are no such </w:t>
      </w:r>
      <w:r w:rsidR="003849C1">
        <w:t xml:space="preserve">special circumstances in PTI Pacifica’s case.  </w:t>
      </w:r>
      <w:r w:rsidR="008A0F4A">
        <w:t xml:space="preserve">The circumstances </w:t>
      </w:r>
      <w:r w:rsidR="00366FDA">
        <w:t>here</w:t>
      </w:r>
      <w:r w:rsidR="00F068EA">
        <w:t xml:space="preserve"> </w:t>
      </w:r>
      <w:r w:rsidR="008A0F4A">
        <w:t xml:space="preserve">make this case </w:t>
      </w:r>
      <w:r w:rsidR="007A072D">
        <w:t xml:space="preserve">distinguishable from </w:t>
      </w:r>
      <w:r w:rsidR="008A0F4A">
        <w:t xml:space="preserve">others in which </w:t>
      </w:r>
      <w:r w:rsidR="00EC0D7E">
        <w:t xml:space="preserve">we </w:t>
      </w:r>
      <w:r w:rsidR="008A0F4A">
        <w:t>gran</w:t>
      </w:r>
      <w:r w:rsidR="00465933">
        <w:t>t</w:t>
      </w:r>
      <w:r w:rsidR="008A0F4A">
        <w:t xml:space="preserve">ed a </w:t>
      </w:r>
      <w:r w:rsidR="00CB3641">
        <w:t>waive</w:t>
      </w:r>
      <w:r w:rsidR="008A0F4A">
        <w:t>r</w:t>
      </w:r>
      <w:r w:rsidR="00CB3641">
        <w:t xml:space="preserve"> </w:t>
      </w:r>
      <w:r w:rsidR="00605C97">
        <w:t xml:space="preserve">to allow a brief </w:t>
      </w:r>
      <w:r w:rsidR="00217A30">
        <w:t>delay</w:t>
      </w:r>
      <w:r w:rsidR="008A0F4A">
        <w:t xml:space="preserve"> in meeting the performance deadlines</w:t>
      </w:r>
      <w:r w:rsidR="00465933">
        <w:t>.</w:t>
      </w:r>
      <w:r w:rsidR="00217A30">
        <w:t xml:space="preserve"> </w:t>
      </w:r>
      <w:r w:rsidR="00A95FEC">
        <w:t xml:space="preserve"> PTI Pacifica</w:t>
      </w:r>
      <w:r w:rsidR="00557E8D">
        <w:t>’s</w:t>
      </w:r>
      <w:r w:rsidR="00A95FEC">
        <w:t xml:space="preserve"> </w:t>
      </w:r>
      <w:r w:rsidR="00557E8D">
        <w:t>delay in meeting its MF-I performance requirements in</w:t>
      </w:r>
      <w:r w:rsidR="00A95FEC">
        <w:t xml:space="preserve"> the Tinian tract </w:t>
      </w:r>
      <w:r w:rsidR="0062021C">
        <w:t xml:space="preserve">far </w:t>
      </w:r>
      <w:r w:rsidR="006B2441">
        <w:t>exceed</w:t>
      </w:r>
      <w:r w:rsidR="00596A5D">
        <w:t>s</w:t>
      </w:r>
      <w:r w:rsidR="006B2441">
        <w:t xml:space="preserve"> any </w:t>
      </w:r>
      <w:r w:rsidR="007373AC">
        <w:t>for whic</w:t>
      </w:r>
      <w:r w:rsidR="00CE778B">
        <w:t>h</w:t>
      </w:r>
      <w:r w:rsidR="006B2441">
        <w:t xml:space="preserve"> we have previously granted</w:t>
      </w:r>
      <w:r w:rsidR="00CE778B">
        <w:t xml:space="preserve"> </w:t>
      </w:r>
      <w:r w:rsidR="00596A5D">
        <w:t xml:space="preserve">an MF-I recipient </w:t>
      </w:r>
      <w:r w:rsidR="00CE778B">
        <w:t>a waiver</w:t>
      </w:r>
      <w:r w:rsidR="00667318">
        <w:t xml:space="preserve">.  </w:t>
      </w:r>
      <w:r w:rsidR="007F473A">
        <w:t xml:space="preserve">As such, the </w:t>
      </w:r>
      <w:r w:rsidR="00830B01">
        <w:t xml:space="preserve">totality of the </w:t>
      </w:r>
      <w:r w:rsidR="007F473A">
        <w:t xml:space="preserve">circumstances here </w:t>
      </w:r>
      <w:r w:rsidR="00990E47">
        <w:t xml:space="preserve">are </w:t>
      </w:r>
      <w:r w:rsidR="007F473A">
        <w:t xml:space="preserve">not </w:t>
      </w:r>
      <w:r w:rsidR="00A5782B">
        <w:t xml:space="preserve">of the type </w:t>
      </w:r>
      <w:r w:rsidR="007F473A">
        <w:t>that warrant</w:t>
      </w:r>
      <w:r w:rsidR="00990E47">
        <w:t xml:space="preserve"> a </w:t>
      </w:r>
      <w:r w:rsidR="00976294">
        <w:t xml:space="preserve">waiver of the </w:t>
      </w:r>
      <w:r w:rsidR="007F473A">
        <w:t xml:space="preserve">MF-I </w:t>
      </w:r>
      <w:r w:rsidR="00976294">
        <w:t>deadlines</w:t>
      </w:r>
      <w:r w:rsidR="00F116DE">
        <w:t xml:space="preserve"> </w:t>
      </w:r>
      <w:r w:rsidR="00FF0745">
        <w:t xml:space="preserve">and the </w:t>
      </w:r>
      <w:r w:rsidR="000C66F1">
        <w:t>result</w:t>
      </w:r>
      <w:r w:rsidR="004F10F7">
        <w:t>ing</w:t>
      </w:r>
      <w:r w:rsidR="000C66F1">
        <w:t xml:space="preserve"> </w:t>
      </w:r>
      <w:r w:rsidR="00902511">
        <w:t xml:space="preserve">disbursement of USF </w:t>
      </w:r>
      <w:r w:rsidR="000C66F1">
        <w:t>funds</w:t>
      </w:r>
      <w:r w:rsidR="007F473A">
        <w:t xml:space="preserve">.  </w:t>
      </w:r>
      <w:r w:rsidR="00667318">
        <w:t>W</w:t>
      </w:r>
      <w:r w:rsidR="00F068EA">
        <w:t xml:space="preserve">hile </w:t>
      </w:r>
      <w:r w:rsidR="00B52BBA">
        <w:t xml:space="preserve">our decision is not intended to </w:t>
      </w:r>
      <w:r w:rsidR="00EB142E">
        <w:t>disregard</w:t>
      </w:r>
      <w:r w:rsidR="00456DE6">
        <w:t xml:space="preserve"> </w:t>
      </w:r>
      <w:r w:rsidR="00667318">
        <w:t xml:space="preserve">PTI Pacifica’s </w:t>
      </w:r>
      <w:r w:rsidR="00F05A23">
        <w:t>effort</w:t>
      </w:r>
      <w:r w:rsidR="00667318">
        <w:t xml:space="preserve"> </w:t>
      </w:r>
      <w:r w:rsidR="00F37723">
        <w:t xml:space="preserve">to complete </w:t>
      </w:r>
      <w:r w:rsidR="00D402F8">
        <w:t xml:space="preserve">the </w:t>
      </w:r>
      <w:r w:rsidR="00A841A6">
        <w:t xml:space="preserve">required </w:t>
      </w:r>
      <w:r w:rsidR="00632C4E">
        <w:t xml:space="preserve">construction </w:t>
      </w:r>
      <w:r w:rsidR="00A841A6">
        <w:t xml:space="preserve">of the </w:t>
      </w:r>
      <w:r w:rsidR="00D402F8">
        <w:t>Tinian network</w:t>
      </w:r>
      <w:r w:rsidR="00C82742">
        <w:t>,</w:t>
      </w:r>
      <w:r w:rsidR="00F37723">
        <w:t xml:space="preserve"> we cannot </w:t>
      </w:r>
      <w:r w:rsidR="00A914D1">
        <w:t xml:space="preserve">look merely at the </w:t>
      </w:r>
      <w:r w:rsidR="00F85ACC">
        <w:t xml:space="preserve">circumstances </w:t>
      </w:r>
      <w:r w:rsidR="00AA3564">
        <w:t xml:space="preserve">leading to its delay in </w:t>
      </w:r>
      <w:r w:rsidR="003A2857">
        <w:t>obtaining a tower site</w:t>
      </w:r>
      <w:r w:rsidR="00110EE8">
        <w:t xml:space="preserve"> </w:t>
      </w:r>
      <w:r w:rsidR="00F85ACC">
        <w:t xml:space="preserve">while </w:t>
      </w:r>
      <w:r w:rsidR="00F37723">
        <w:t>ignor</w:t>
      </w:r>
      <w:r w:rsidR="00F85ACC">
        <w:t>ing</w:t>
      </w:r>
      <w:r w:rsidR="00F37723">
        <w:t xml:space="preserve"> </w:t>
      </w:r>
      <w:r w:rsidR="00481CFE">
        <w:t xml:space="preserve">the </w:t>
      </w:r>
      <w:r w:rsidR="00F84B82">
        <w:t xml:space="preserve">other </w:t>
      </w:r>
      <w:r w:rsidR="008F28A2">
        <w:t xml:space="preserve">circumstances </w:t>
      </w:r>
      <w:r w:rsidR="00F84B82">
        <w:t xml:space="preserve">present here, </w:t>
      </w:r>
      <w:r w:rsidR="00430150">
        <w:t xml:space="preserve">which include the </w:t>
      </w:r>
      <w:r w:rsidR="00481CFE">
        <w:t xml:space="preserve">extreme </w:t>
      </w:r>
      <w:r w:rsidR="00A51858">
        <w:t>length of</w:t>
      </w:r>
      <w:r w:rsidR="0050799C">
        <w:t xml:space="preserve"> </w:t>
      </w:r>
      <w:r w:rsidR="00311878">
        <w:t xml:space="preserve">its </w:t>
      </w:r>
      <w:r w:rsidR="00430150">
        <w:t xml:space="preserve">delay </w:t>
      </w:r>
      <w:r w:rsidR="00EE021D">
        <w:t>in providing 4G service</w:t>
      </w:r>
      <w:r w:rsidR="007E38D5">
        <w:t xml:space="preserve"> that meets the MF-I requir</w:t>
      </w:r>
      <w:r w:rsidR="00311878">
        <w:t>e</w:t>
      </w:r>
      <w:r w:rsidR="007E38D5">
        <w:t>ments</w:t>
      </w:r>
      <w:r w:rsidR="001B453B">
        <w:t>.</w:t>
      </w:r>
      <w:r w:rsidR="00EE021D">
        <w:t xml:space="preserve">  </w:t>
      </w:r>
      <w:r w:rsidR="00D060BC">
        <w:t>PTI Pacifica</w:t>
      </w:r>
      <w:r w:rsidR="00F37723">
        <w:t xml:space="preserve"> request</w:t>
      </w:r>
      <w:r w:rsidR="00F344C0">
        <w:t>s</w:t>
      </w:r>
      <w:r w:rsidR="008B30C1">
        <w:t xml:space="preserve"> to extend </w:t>
      </w:r>
      <w:r w:rsidR="00EF138B">
        <w:t>its</w:t>
      </w:r>
      <w:r w:rsidR="008B30C1">
        <w:t xml:space="preserve"> MF-I performance deadlines </w:t>
      </w:r>
      <w:r w:rsidR="0050799C">
        <w:t>for</w:t>
      </w:r>
      <w:r w:rsidR="008B30C1">
        <w:t xml:space="preserve"> </w:t>
      </w:r>
      <w:r w:rsidR="00C85E00">
        <w:t>seven</w:t>
      </w:r>
      <w:r w:rsidR="008D27A1">
        <w:t xml:space="preserve"> years beyond </w:t>
      </w:r>
      <w:r w:rsidR="00EF138B">
        <w:t>its</w:t>
      </w:r>
      <w:r w:rsidR="008D27A1">
        <w:t xml:space="preserve"> original </w:t>
      </w:r>
      <w:r w:rsidR="0050799C">
        <w:t>deadline</w:t>
      </w:r>
      <w:r w:rsidR="00F344C0">
        <w:t>.</w:t>
      </w:r>
      <w:r>
        <w:rPr>
          <w:rStyle w:val="FootnoteReference"/>
        </w:rPr>
        <w:footnoteReference w:id="56"/>
      </w:r>
      <w:r w:rsidR="0033676D">
        <w:t xml:space="preserve"> </w:t>
      </w:r>
      <w:r w:rsidR="008D27A1">
        <w:t xml:space="preserve"> </w:t>
      </w:r>
      <w:r w:rsidR="0033676D">
        <w:t>If permitted to do so, PTI</w:t>
      </w:r>
      <w:r w:rsidR="000F5009">
        <w:t xml:space="preserve"> Pacifica</w:t>
      </w:r>
      <w:r w:rsidR="0033676D">
        <w:t xml:space="preserve">’s deadline would be </w:t>
      </w:r>
      <w:r w:rsidR="00C85E00">
        <w:t>ten</w:t>
      </w:r>
      <w:r w:rsidR="008D27A1">
        <w:t xml:space="preserve"> years after t</w:t>
      </w:r>
      <w:r w:rsidR="00EE3BD7">
        <w:t>he Bureaus</w:t>
      </w:r>
      <w:r w:rsidR="00F37723">
        <w:t xml:space="preserve"> initial</w:t>
      </w:r>
      <w:r w:rsidR="00B813C2">
        <w:t>ly</w:t>
      </w:r>
      <w:r w:rsidR="00EE3BD7">
        <w:t xml:space="preserve"> authoriz</w:t>
      </w:r>
      <w:r w:rsidR="00B813C2">
        <w:t>ed</w:t>
      </w:r>
      <w:r w:rsidR="00EE3BD7">
        <w:t xml:space="preserve"> </w:t>
      </w:r>
      <w:r w:rsidR="008D4539">
        <w:t xml:space="preserve">its </w:t>
      </w:r>
      <w:r w:rsidR="009973D9">
        <w:t>support</w:t>
      </w:r>
      <w:r w:rsidR="0016654D">
        <w:t>, a result that</w:t>
      </w:r>
      <w:r w:rsidR="0051764F">
        <w:t>,</w:t>
      </w:r>
      <w:r w:rsidR="0016654D">
        <w:t xml:space="preserve"> regardless of</w:t>
      </w:r>
      <w:r w:rsidR="00A31FBE">
        <w:t xml:space="preserve"> the cause</w:t>
      </w:r>
      <w:r w:rsidR="0016654D">
        <w:t xml:space="preserve">, would be </w:t>
      </w:r>
      <w:r w:rsidR="00E8628D">
        <w:t xml:space="preserve">squarely </w:t>
      </w:r>
      <w:r w:rsidRPr="003A65B3" w:rsidR="00D647D0">
        <w:t xml:space="preserve">at odds with the </w:t>
      </w:r>
      <w:r w:rsidR="008D6488">
        <w:t>e</w:t>
      </w:r>
      <w:r w:rsidR="0000101B">
        <w:t xml:space="preserve">xpress </w:t>
      </w:r>
      <w:r w:rsidR="00672526">
        <w:t xml:space="preserve">purpose </w:t>
      </w:r>
      <w:r w:rsidR="008D6488">
        <w:t>for which the Commission awarded</w:t>
      </w:r>
      <w:r w:rsidR="00BC39A1">
        <w:t xml:space="preserve"> </w:t>
      </w:r>
      <w:r w:rsidRPr="003A65B3" w:rsidR="003A65B3">
        <w:t xml:space="preserve">MF-I </w:t>
      </w:r>
      <w:r w:rsidRPr="002962B4" w:rsidR="00BC39A1">
        <w:t>support</w:t>
      </w:r>
      <w:r w:rsidRPr="002962B4" w:rsidR="004C3174">
        <w:t xml:space="preserve"> </w:t>
      </w:r>
      <w:r w:rsidRPr="002962B4" w:rsidR="007B5648">
        <w:t>to provide “one-time support to immediately accelerate deployment of networks for mobile voice and broadband services in unserved areas.”</w:t>
      </w:r>
      <w:r>
        <w:rPr>
          <w:rStyle w:val="FootnoteReference"/>
        </w:rPr>
        <w:footnoteReference w:id="57"/>
      </w:r>
      <w:r w:rsidR="007B5648">
        <w:t xml:space="preserve"> </w:t>
      </w:r>
      <w:r w:rsidR="002F1A83">
        <w:t xml:space="preserve"> </w:t>
      </w:r>
      <w:r w:rsidR="00107DB2">
        <w:t>W</w:t>
      </w:r>
      <w:r w:rsidR="00366341">
        <w:t xml:space="preserve">e find </w:t>
      </w:r>
      <w:r w:rsidR="00107DB2">
        <w:t xml:space="preserve">that </w:t>
      </w:r>
      <w:r w:rsidR="004C472B">
        <w:t xml:space="preserve">a delay of this magnitude </w:t>
      </w:r>
      <w:r w:rsidR="00107DB2">
        <w:t>outweigh</w:t>
      </w:r>
      <w:r w:rsidR="00AC4AC8">
        <w:t>s</w:t>
      </w:r>
      <w:r w:rsidR="00760738">
        <w:t xml:space="preserve"> any </w:t>
      </w:r>
      <w:r w:rsidR="00CE05E6">
        <w:t xml:space="preserve">other </w:t>
      </w:r>
      <w:r w:rsidRPr="00CE05E6" w:rsidR="00CE05E6">
        <w:t>circumstances</w:t>
      </w:r>
      <w:r w:rsidR="00CE05E6">
        <w:t xml:space="preserve">, regardless of whether </w:t>
      </w:r>
      <w:r w:rsidR="00416B89">
        <w:t>they could not reasonabl</w:t>
      </w:r>
      <w:r w:rsidRPr="00CE05E6" w:rsidR="00CE05E6">
        <w:t xml:space="preserve">y have </w:t>
      </w:r>
      <w:r w:rsidR="005E103A">
        <w:t xml:space="preserve">been </w:t>
      </w:r>
      <w:r w:rsidRPr="00CE05E6" w:rsidR="00CE05E6">
        <w:t>foreseen, controlled, or avoided.</w:t>
      </w:r>
      <w:r>
        <w:rPr>
          <w:rStyle w:val="FootnoteReference"/>
        </w:rPr>
        <w:footnoteReference w:id="58"/>
      </w:r>
      <w:r w:rsidR="00107DB2">
        <w:t xml:space="preserve"> </w:t>
      </w:r>
      <w:r w:rsidR="005E103A">
        <w:t xml:space="preserve"> </w:t>
      </w:r>
      <w:r w:rsidR="002F1A83">
        <w:t>T</w:t>
      </w:r>
      <w:r w:rsidR="00250774">
        <w:t xml:space="preserve">he Commission adopted MF-I performance default payment obligations </w:t>
      </w:r>
      <w:r w:rsidR="007A421D">
        <w:t xml:space="preserve">in part </w:t>
      </w:r>
      <w:r w:rsidR="002F1A83">
        <w:t xml:space="preserve">to </w:t>
      </w:r>
      <w:r w:rsidR="00234238">
        <w:t xml:space="preserve">prevent </w:t>
      </w:r>
      <w:r w:rsidR="002F1A83">
        <w:t>situations like this one</w:t>
      </w:r>
      <w:r w:rsidR="00371CA8">
        <w:t xml:space="preserve"> because</w:t>
      </w:r>
      <w:r w:rsidR="00C055D3">
        <w:t xml:space="preserve"> </w:t>
      </w:r>
      <w:r w:rsidR="00077111">
        <w:t xml:space="preserve">long </w:t>
      </w:r>
      <w:r w:rsidR="00702BB7">
        <w:t>delays</w:t>
      </w:r>
      <w:r w:rsidR="00077111">
        <w:t xml:space="preserve"> </w:t>
      </w:r>
      <w:r w:rsidR="00304D6D">
        <w:t>before</w:t>
      </w:r>
      <w:r w:rsidR="00AF10BC">
        <w:t xml:space="preserve"> </w:t>
      </w:r>
      <w:r w:rsidR="00304D6D">
        <w:t xml:space="preserve">the </w:t>
      </w:r>
      <w:r w:rsidR="00AF10BC">
        <w:t xml:space="preserve">establishment of the networks </w:t>
      </w:r>
      <w:r w:rsidR="00077111">
        <w:t>burden the program and undermine its goals</w:t>
      </w:r>
      <w:r w:rsidR="007A421D">
        <w:t>.</w:t>
      </w:r>
      <w:r>
        <w:rPr>
          <w:rStyle w:val="FootnoteReference"/>
        </w:rPr>
        <w:footnoteReference w:id="59"/>
      </w:r>
      <w:r w:rsidR="00BC304A">
        <w:t xml:space="preserve"> </w:t>
      </w:r>
      <w:r w:rsidR="00D647D0">
        <w:t xml:space="preserve"> We therefore conclude that </w:t>
      </w:r>
      <w:r>
        <w:t xml:space="preserve">deviation from the general rule </w:t>
      </w:r>
      <w:r w:rsidR="005F5AD3">
        <w:t xml:space="preserve">in light of </w:t>
      </w:r>
      <w:r w:rsidR="00F37723">
        <w:t xml:space="preserve">PTI Pacifica’s </w:t>
      </w:r>
      <w:r w:rsidR="005F5AD3">
        <w:t xml:space="preserve">circumstances </w:t>
      </w:r>
      <w:r>
        <w:t>is not warranted.</w:t>
      </w:r>
    </w:p>
    <w:p w:rsidR="000F5603" w:rsidP="009D48A0" w14:paraId="221BC128" w14:textId="0E6EBD70">
      <w:pPr>
        <w:pStyle w:val="ParaNum"/>
        <w:widowControl/>
      </w:pPr>
      <w:r>
        <w:t>We are</w:t>
      </w:r>
      <w:r w:rsidR="00116CB1">
        <w:t xml:space="preserve"> also</w:t>
      </w:r>
      <w:r>
        <w:t xml:space="preserve"> not</w:t>
      </w:r>
      <w:r w:rsidRPr="009D48A0">
        <w:t xml:space="preserve"> persuaded by PTI Pacifica’s claims that </w:t>
      </w:r>
      <w:r>
        <w:t xml:space="preserve">the two </w:t>
      </w:r>
      <w:r w:rsidRPr="009D48A0">
        <w:t>typhoons</w:t>
      </w:r>
      <w:r w:rsidR="006463CD">
        <w:t>, which</w:t>
      </w:r>
      <w:r w:rsidRPr="009D48A0">
        <w:t xml:space="preserve"> severed </w:t>
      </w:r>
      <w:r>
        <w:t>an</w:t>
      </w:r>
      <w:r w:rsidRPr="009D48A0">
        <w:t xml:space="preserve"> undersea fiber optic cable and knocked out power on Saipan</w:t>
      </w:r>
      <w:r w:rsidR="006463CD">
        <w:t>,</w:t>
      </w:r>
      <w:r w:rsidRPr="009D48A0">
        <w:t xml:space="preserve"> support waiver of the performance deadline</w:t>
      </w:r>
      <w:r>
        <w:t>s</w:t>
      </w:r>
      <w:r w:rsidR="00DF4473">
        <w:t xml:space="preserve"> for the Tinian tract</w:t>
      </w:r>
      <w:r>
        <w:t xml:space="preserve">.  We do not here opine </w:t>
      </w:r>
      <w:r w:rsidR="00A939DD">
        <w:t>on</w:t>
      </w:r>
      <w:r>
        <w:t xml:space="preserve"> whether</w:t>
      </w:r>
      <w:r w:rsidRPr="00656301">
        <w:t xml:space="preserve"> inclement weather on the scale of these storms might have been anticipated as part of the normal course of PTI Pacifica’s business</w:t>
      </w:r>
      <w:r>
        <w:t xml:space="preserve"> in the CNMI</w:t>
      </w:r>
      <w:r w:rsidRPr="009D48A0">
        <w:t>.</w:t>
      </w:r>
      <w:r>
        <w:rPr>
          <w:rStyle w:val="FootnoteReference"/>
        </w:rPr>
        <w:footnoteReference w:id="60"/>
      </w:r>
      <w:r>
        <w:t xml:space="preserve">  </w:t>
      </w:r>
      <w:r w:rsidR="00620DF8">
        <w:t>T</w:t>
      </w:r>
      <w:r>
        <w:t xml:space="preserve">o the extent that they were not foreseeable, both storms occurred in the summer of 2015, </w:t>
      </w:r>
      <w:r w:rsidR="00152D81">
        <w:t>just over</w:t>
      </w:r>
      <w:r>
        <w:t xml:space="preserve"> a year before the initial deadline, and </w:t>
      </w:r>
      <w:r w:rsidR="00BA61FB">
        <w:t xml:space="preserve">eight </w:t>
      </w:r>
      <w:r>
        <w:t>years before the most recently requested extension date.</w:t>
      </w:r>
      <w:r>
        <w:rPr>
          <w:rStyle w:val="FootnoteReference"/>
        </w:rPr>
        <w:footnoteReference w:id="61"/>
      </w:r>
      <w:r>
        <w:t xml:space="preserve">  PTI Pacifica has not attributed to the </w:t>
      </w:r>
      <w:r w:rsidR="00DB6FE5">
        <w:t>typhoons</w:t>
      </w:r>
      <w:r>
        <w:t xml:space="preserve"> </w:t>
      </w:r>
      <w:r w:rsidR="005560C4">
        <w:t xml:space="preserve">the </w:t>
      </w:r>
      <w:r w:rsidR="00165E61">
        <w:t xml:space="preserve">additional </w:t>
      </w:r>
      <w:r w:rsidR="004C4D23">
        <w:t xml:space="preserve">delays </w:t>
      </w:r>
      <w:r>
        <w:t xml:space="preserve">beyond its first request; none of its supplemental filings refer to the </w:t>
      </w:r>
      <w:r w:rsidR="00DB6FE5">
        <w:t>storms</w:t>
      </w:r>
      <w:r>
        <w:t xml:space="preserve">.  Any delays associated with the 2015 typhoons </w:t>
      </w:r>
      <w:r w:rsidR="006463CD">
        <w:t>do</w:t>
      </w:r>
      <w:r>
        <w:t xml:space="preserve"> not support the grant of a waiver and extension of the Commission’s MF-I performance requirements</w:t>
      </w:r>
      <w:r w:rsidR="00DB6FE5">
        <w:t xml:space="preserve"> on the Tinian census tract</w:t>
      </w:r>
      <w:r>
        <w:t xml:space="preserve"> to August 16, 202</w:t>
      </w:r>
      <w:r w:rsidR="00DB03BD">
        <w:t>3</w:t>
      </w:r>
      <w:r>
        <w:t>.</w:t>
      </w:r>
      <w:r>
        <w:rPr>
          <w:rStyle w:val="FootnoteReference"/>
        </w:rPr>
        <w:footnoteReference w:id="62"/>
      </w:r>
    </w:p>
    <w:p w:rsidR="00F40429" w:rsidP="001713AB" w14:paraId="501E8BC8" w14:textId="0DCF00BA">
      <w:pPr>
        <w:pStyle w:val="ParaNum"/>
        <w:widowControl/>
      </w:pPr>
      <w:r>
        <w:t>We</w:t>
      </w:r>
      <w:r w:rsidR="00977593">
        <w:t xml:space="preserve"> further find that PTI Pacifica’s request </w:t>
      </w:r>
      <w:r w:rsidR="00562B89">
        <w:t>does not</w:t>
      </w:r>
      <w:r w:rsidR="00977593">
        <w:t xml:space="preserve"> satisfy the second </w:t>
      </w:r>
      <w:r w:rsidR="00145173">
        <w:t xml:space="preserve">portion </w:t>
      </w:r>
      <w:r w:rsidR="00977593">
        <w:t xml:space="preserve">of the waiver standard.  </w:t>
      </w:r>
      <w:r w:rsidR="001C42E0">
        <w:t xml:space="preserve">PTI Pacifica contends that deviation from the general rule will serve the public interest because </w:t>
      </w:r>
      <w:r w:rsidR="00F51AB4">
        <w:t xml:space="preserve">it </w:t>
      </w:r>
      <w:r w:rsidR="001B7E21">
        <w:t xml:space="preserve">constructed a network </w:t>
      </w:r>
      <w:r w:rsidR="006D3771">
        <w:t>that covers</w:t>
      </w:r>
      <w:r w:rsidR="001B7E21">
        <w:t xml:space="preserve"> </w:t>
      </w:r>
      <w:r w:rsidR="00670F4E">
        <w:t>more than half</w:t>
      </w:r>
      <w:r w:rsidR="001B7E21">
        <w:t xml:space="preserve"> of the</w:t>
      </w:r>
      <w:r w:rsidR="00AF3DC9">
        <w:t xml:space="preserve"> Tinian </w:t>
      </w:r>
      <w:r w:rsidR="001B7E21">
        <w:t>tract within a few months of the original deadline</w:t>
      </w:r>
      <w:r w:rsidR="00C47A49">
        <w:t>;</w:t>
      </w:r>
      <w:r w:rsidR="001B7E21">
        <w:t xml:space="preserve"> it has endeavored in good faith to </w:t>
      </w:r>
      <w:r w:rsidR="00923EB4">
        <w:t>fulfill its 75% coverage obligation</w:t>
      </w:r>
      <w:r w:rsidR="00C47A49">
        <w:t>;</w:t>
      </w:r>
      <w:r w:rsidR="0088545F">
        <w:t xml:space="preserve"> it lacked control over governmental delays</w:t>
      </w:r>
      <w:r w:rsidR="00C47A49">
        <w:t>;</w:t>
      </w:r>
      <w:r w:rsidR="00032754">
        <w:t xml:space="preserve"> and it continues to make progress in its efforts to build a network serving a remote island territory.</w:t>
      </w:r>
      <w:r>
        <w:rPr>
          <w:rStyle w:val="FootnoteReference"/>
        </w:rPr>
        <w:footnoteReference w:id="63"/>
      </w:r>
      <w:r w:rsidR="001C42E0">
        <w:t xml:space="preserve"> </w:t>
      </w:r>
      <w:r w:rsidR="004D52F1">
        <w:t xml:space="preserve"> </w:t>
      </w:r>
      <w:r w:rsidRPr="006B28F2" w:rsidR="006E203F">
        <w:t xml:space="preserve">We </w:t>
      </w:r>
      <w:r w:rsidRPr="006B28F2" w:rsidR="00417A68">
        <w:t xml:space="preserve">disagree.  </w:t>
      </w:r>
      <w:r w:rsidRPr="006B28F2" w:rsidR="00290973">
        <w:t>Grant</w:t>
      </w:r>
      <w:r w:rsidR="00D1166C">
        <w:t>ing</w:t>
      </w:r>
      <w:r w:rsidRPr="006B28F2" w:rsidR="00290973">
        <w:t xml:space="preserve"> a waiver that would </w:t>
      </w:r>
      <w:r w:rsidRPr="006B28F2" w:rsidR="0052590A">
        <w:t>allow M</w:t>
      </w:r>
      <w:r w:rsidRPr="006B28F2" w:rsidR="00290973">
        <w:t xml:space="preserve">F-I </w:t>
      </w:r>
      <w:r w:rsidRPr="006B28F2" w:rsidR="0052590A">
        <w:t xml:space="preserve">support to be disbursed despite the performance requirement not having been met </w:t>
      </w:r>
      <w:r w:rsidRPr="006B28F2" w:rsidR="007A7CD4">
        <w:t xml:space="preserve">for </w:t>
      </w:r>
      <w:r w:rsidR="00D1166C">
        <w:t xml:space="preserve">over six </w:t>
      </w:r>
      <w:r w:rsidRPr="006B28F2" w:rsidR="007A7CD4">
        <w:t>years</w:t>
      </w:r>
      <w:r w:rsidRPr="006B28F2" w:rsidR="00CE5F1C">
        <w:t xml:space="preserve"> </w:t>
      </w:r>
      <w:r w:rsidRPr="006B28F2" w:rsidR="00E01388">
        <w:t>would be</w:t>
      </w:r>
      <w:r w:rsidRPr="006B28F2" w:rsidR="0094346C">
        <w:t xml:space="preserve"> contrary to the </w:t>
      </w:r>
      <w:r w:rsidRPr="006B28F2" w:rsidR="00C40C5B">
        <w:t xml:space="preserve">purpose </w:t>
      </w:r>
      <w:r w:rsidRPr="006B28F2" w:rsidR="00C63A0A">
        <w:t xml:space="preserve">of the Mobility </w:t>
      </w:r>
      <w:r w:rsidRPr="006B28F2" w:rsidR="00C55CDC">
        <w:t>F</w:t>
      </w:r>
      <w:r w:rsidRPr="006B28F2" w:rsidR="00C63A0A">
        <w:t>und</w:t>
      </w:r>
      <w:r w:rsidRPr="006B28F2" w:rsidR="00B34DAE">
        <w:t xml:space="preserve"> and th</w:t>
      </w:r>
      <w:r w:rsidRPr="006B28F2" w:rsidR="00833D7F">
        <w:t xml:space="preserve">erefore </w:t>
      </w:r>
      <w:r w:rsidRPr="006B28F2" w:rsidR="00B34DAE">
        <w:t>not</w:t>
      </w:r>
      <w:r w:rsidRPr="006B28F2" w:rsidR="00833D7F">
        <w:t xml:space="preserve"> serve the public interest</w:t>
      </w:r>
      <w:r w:rsidRPr="006B28F2" w:rsidR="00FA1AB6">
        <w:t>.</w:t>
      </w:r>
      <w:r w:rsidRPr="006B28F2" w:rsidR="0052590A">
        <w:t xml:space="preserve"> </w:t>
      </w:r>
      <w:r w:rsidRPr="006B28F2" w:rsidR="004D0D31">
        <w:t xml:space="preserve"> In </w:t>
      </w:r>
      <w:r w:rsidR="00171C53">
        <w:t xml:space="preserve">establishing </w:t>
      </w:r>
      <w:r w:rsidR="00127D7B">
        <w:t xml:space="preserve">the </w:t>
      </w:r>
      <w:r w:rsidRPr="006B28F2" w:rsidR="00F04707">
        <w:t xml:space="preserve">Mobility Fund, </w:t>
      </w:r>
      <w:r w:rsidRPr="006B28F2" w:rsidR="004D0D31">
        <w:t>the Commission expressly</w:t>
      </w:r>
      <w:r w:rsidR="004D0D31">
        <w:t xml:space="preserve"> rejected</w:t>
      </w:r>
      <w:r w:rsidR="00802D27">
        <w:t xml:space="preserve"> a suggestion </w:t>
      </w:r>
      <w:r w:rsidRPr="00117E49" w:rsidR="00610254">
        <w:rPr>
          <w:szCs w:val="22"/>
        </w:rPr>
        <w:t xml:space="preserve">to </w:t>
      </w:r>
      <w:r w:rsidRPr="00117E49" w:rsidR="00C40C5B">
        <w:rPr>
          <w:szCs w:val="22"/>
        </w:rPr>
        <w:t>permit</w:t>
      </w:r>
      <w:r w:rsidRPr="00117E49" w:rsidR="00610254">
        <w:rPr>
          <w:szCs w:val="22"/>
        </w:rPr>
        <w:t xml:space="preserve"> a level of service that falls short of the required percentage of coverage for which the recipient </w:t>
      </w:r>
      <w:r w:rsidRPr="00117E49" w:rsidR="00071602">
        <w:rPr>
          <w:szCs w:val="22"/>
        </w:rPr>
        <w:t xml:space="preserve">could </w:t>
      </w:r>
      <w:r w:rsidRPr="00117E49" w:rsidR="00610254">
        <w:rPr>
          <w:szCs w:val="22"/>
        </w:rPr>
        <w:t>offset its liability for repayment</w:t>
      </w:r>
      <w:r w:rsidR="000D15FD">
        <w:rPr>
          <w:szCs w:val="22"/>
        </w:rPr>
        <w:t xml:space="preserve"> because it</w:t>
      </w:r>
      <w:r w:rsidRPr="00A04064" w:rsidR="00A04064">
        <w:t xml:space="preserve"> </w:t>
      </w:r>
      <w:r w:rsidRPr="00117E49" w:rsidR="00A04064">
        <w:t xml:space="preserve">would be inconsistent with </w:t>
      </w:r>
      <w:r w:rsidR="00A04064">
        <w:t>MF-I’s</w:t>
      </w:r>
      <w:r w:rsidRPr="00117E49" w:rsidR="00A04064">
        <w:t xml:space="preserve"> purpose “to </w:t>
      </w:r>
      <w:r w:rsidRPr="00117E49" w:rsidR="00A04064">
        <w:rPr>
          <w:szCs w:val="22"/>
        </w:rPr>
        <w:t>aggressively extend coverage</w:t>
      </w:r>
      <w:r w:rsidR="00A04064">
        <w:rPr>
          <w:szCs w:val="22"/>
        </w:rPr>
        <w:t>.</w:t>
      </w:r>
      <w:r w:rsidRPr="00117E49" w:rsidR="00A04064">
        <w:rPr>
          <w:szCs w:val="22"/>
        </w:rPr>
        <w:t>”</w:t>
      </w:r>
      <w:r>
        <w:rPr>
          <w:rStyle w:val="FootnoteReference"/>
          <w:szCs w:val="22"/>
        </w:rPr>
        <w:footnoteReference w:id="64"/>
      </w:r>
      <w:r w:rsidR="0027694B">
        <w:t xml:space="preserve"> </w:t>
      </w:r>
      <w:r w:rsidR="001708A3">
        <w:t xml:space="preserve"> </w:t>
      </w:r>
      <w:r w:rsidR="009C6C34">
        <w:t>A</w:t>
      </w:r>
      <w:r w:rsidR="0082650D">
        <w:t xml:space="preserve">s noted above, </w:t>
      </w:r>
      <w:r w:rsidR="00160387">
        <w:t>none of</w:t>
      </w:r>
      <w:r w:rsidR="00FE0C5D">
        <w:t xml:space="preserve"> t</w:t>
      </w:r>
      <w:r w:rsidRPr="00E740D3" w:rsidR="009E17EC">
        <w:t xml:space="preserve">he </w:t>
      </w:r>
      <w:r w:rsidR="00E740D3">
        <w:t xml:space="preserve">MF-I and Tribal Mobility Fund </w:t>
      </w:r>
      <w:r w:rsidRPr="00E740D3" w:rsidR="009E17EC">
        <w:t xml:space="preserve">applicants </w:t>
      </w:r>
      <w:r w:rsidR="00732526">
        <w:t>for</w:t>
      </w:r>
      <w:r w:rsidRPr="00E740D3" w:rsidR="009E17EC">
        <w:t xml:space="preserve"> whom we </w:t>
      </w:r>
      <w:r w:rsidR="00732526">
        <w:t xml:space="preserve">found </w:t>
      </w:r>
      <w:r w:rsidRPr="00E740D3" w:rsidR="009E17EC">
        <w:t xml:space="preserve">waiver and extension </w:t>
      </w:r>
      <w:r w:rsidR="00AA760D">
        <w:t xml:space="preserve">of the deadline to be in the public interest </w:t>
      </w:r>
      <w:r w:rsidR="00160387">
        <w:t>sought more than 18 months of additional</w:t>
      </w:r>
      <w:r w:rsidRPr="00E740D3" w:rsidR="002A5C6F">
        <w:t xml:space="preserve"> time</w:t>
      </w:r>
      <w:r w:rsidR="00D300F1">
        <w:t xml:space="preserve">, and </w:t>
      </w:r>
      <w:r w:rsidR="00160387">
        <w:t xml:space="preserve">all of them </w:t>
      </w:r>
      <w:r w:rsidRPr="004F3643" w:rsidR="00160387">
        <w:t xml:space="preserve">completed the </w:t>
      </w:r>
      <w:r w:rsidR="000849C4">
        <w:t>performance</w:t>
      </w:r>
      <w:r w:rsidRPr="004F3643" w:rsidR="00160387">
        <w:t xml:space="preserve"> requirements within the</w:t>
      </w:r>
      <w:r w:rsidR="003A0801">
        <w:t xml:space="preserve"> </w:t>
      </w:r>
      <w:r w:rsidRPr="004F3643" w:rsidR="00160387">
        <w:t>time</w:t>
      </w:r>
      <w:r w:rsidR="00FD227F">
        <w:t xml:space="preserve"> </w:t>
      </w:r>
      <w:r w:rsidR="003A0801">
        <w:t>frame</w:t>
      </w:r>
      <w:r w:rsidR="000849C4">
        <w:t xml:space="preserve"> they requested</w:t>
      </w:r>
      <w:r w:rsidR="004C2F8E">
        <w:t>.</w:t>
      </w:r>
      <w:r>
        <w:rPr>
          <w:rStyle w:val="FootnoteReference"/>
        </w:rPr>
        <w:footnoteReference w:id="65"/>
      </w:r>
    </w:p>
    <w:p w:rsidR="0036275A" w:rsidP="001713AB" w14:paraId="723C2BED" w14:textId="62968574">
      <w:pPr>
        <w:pStyle w:val="ParaNum"/>
        <w:widowControl/>
      </w:pPr>
      <w:r w:rsidRPr="00E740D3">
        <w:t xml:space="preserve">By contrast, </w:t>
      </w:r>
      <w:r w:rsidR="00694818">
        <w:t>granting</w:t>
      </w:r>
      <w:r w:rsidRPr="00E740D3">
        <w:t xml:space="preserve"> </w:t>
      </w:r>
      <w:r w:rsidR="00E82DF6">
        <w:t>a</w:t>
      </w:r>
      <w:r w:rsidR="00FA5B14">
        <w:t xml:space="preserve"> waiver </w:t>
      </w:r>
      <w:r w:rsidR="00646191">
        <w:t>that</w:t>
      </w:r>
      <w:r w:rsidR="00FA5B14">
        <w:t xml:space="preserve"> exten</w:t>
      </w:r>
      <w:r w:rsidR="00925E54">
        <w:t>ds</w:t>
      </w:r>
      <w:r w:rsidR="00156ADE">
        <w:t xml:space="preserve"> </w:t>
      </w:r>
      <w:r w:rsidR="003E6DA7">
        <w:t xml:space="preserve">the deadline for </w:t>
      </w:r>
      <w:r w:rsidR="00156ADE">
        <w:t>PTI Pacifica</w:t>
      </w:r>
      <w:r w:rsidR="000510FB">
        <w:t xml:space="preserve"> to meet its</w:t>
      </w:r>
      <w:r w:rsidR="003E6DA7">
        <w:t xml:space="preserve"> performance </w:t>
      </w:r>
      <w:r w:rsidR="00083E9F">
        <w:t>obligations</w:t>
      </w:r>
      <w:r w:rsidR="00DA7554">
        <w:t xml:space="preserve"> for an additional</w:t>
      </w:r>
      <w:r w:rsidR="00FA5B14">
        <w:t xml:space="preserve"> </w:t>
      </w:r>
      <w:r w:rsidR="00FB23AA">
        <w:t>seven</w:t>
      </w:r>
      <w:r w:rsidR="00FA5B14">
        <w:t xml:space="preserve"> years beyond the </w:t>
      </w:r>
      <w:r w:rsidR="00CD2D82">
        <w:t xml:space="preserve">initial </w:t>
      </w:r>
      <w:r w:rsidR="00F91E7B">
        <w:t>three</w:t>
      </w:r>
      <w:r w:rsidR="00EF7CB6">
        <w:t xml:space="preserve"> </w:t>
      </w:r>
      <w:r w:rsidR="00F91E7B">
        <w:t>year</w:t>
      </w:r>
      <w:r w:rsidR="0004333A">
        <w:t xml:space="preserve">s </w:t>
      </w:r>
      <w:r w:rsidR="00611687">
        <w:t xml:space="preserve">would be </w:t>
      </w:r>
      <w:r w:rsidR="00EA04D7">
        <w:t>wholly</w:t>
      </w:r>
      <w:r w:rsidR="00611687">
        <w:t xml:space="preserve"> inc</w:t>
      </w:r>
      <w:r w:rsidRPr="00E740D3" w:rsidR="002A5C6F">
        <w:t>onsistent with the</w:t>
      </w:r>
      <w:r w:rsidR="00453B60">
        <w:t xml:space="preserve"> MF-I </w:t>
      </w:r>
      <w:r w:rsidRPr="00E740D3" w:rsidR="002A5C6F">
        <w:t>objectives and</w:t>
      </w:r>
      <w:r w:rsidR="004C2F8E">
        <w:t xml:space="preserve"> </w:t>
      </w:r>
      <w:r w:rsidRPr="00E740D3" w:rsidR="002A5C6F">
        <w:t xml:space="preserve">undermine the Commission’s policy of </w:t>
      </w:r>
      <w:r w:rsidR="00AE753D">
        <w:t>requiring</w:t>
      </w:r>
      <w:r w:rsidRPr="00E740D3" w:rsidR="002A5C6F">
        <w:t xml:space="preserve"> adherence to </w:t>
      </w:r>
      <w:r w:rsidR="00FE0C5D">
        <w:t xml:space="preserve">the </w:t>
      </w:r>
      <w:r w:rsidRPr="00E740D3" w:rsidR="002A5C6F">
        <w:t>performance requirements</w:t>
      </w:r>
      <w:r w:rsidR="00FE0C5D">
        <w:t xml:space="preserve"> in a timely manner</w:t>
      </w:r>
      <w:r w:rsidRPr="00E740D3" w:rsidR="002A5C6F">
        <w:t>.</w:t>
      </w:r>
      <w:r>
        <w:rPr>
          <w:vertAlign w:val="superscript"/>
        </w:rPr>
        <w:footnoteReference w:id="66"/>
      </w:r>
      <w:r w:rsidR="00BC17D8">
        <w:t xml:space="preserve">  </w:t>
      </w:r>
      <w:r w:rsidR="004514D3">
        <w:t>As the</w:t>
      </w:r>
      <w:r w:rsidR="0065288B">
        <w:t xml:space="preserve"> Commission explained in the </w:t>
      </w:r>
      <w:r w:rsidRPr="004514D3" w:rsidR="0065288B">
        <w:rPr>
          <w:i/>
          <w:iCs/>
        </w:rPr>
        <w:t>USF/ICC Transformation Order</w:t>
      </w:r>
      <w:r w:rsidR="004514D3">
        <w:t xml:space="preserve">, </w:t>
      </w:r>
      <w:r w:rsidR="0065288B">
        <w:t xml:space="preserve">MF-I </w:t>
      </w:r>
      <w:r w:rsidR="001A0600">
        <w:t xml:space="preserve">support funds </w:t>
      </w:r>
      <w:r w:rsidR="00C36C71">
        <w:t xml:space="preserve">were made available “[t]o spur </w:t>
      </w:r>
      <w:r w:rsidRPr="00AC1375" w:rsidR="00C36C71">
        <w:rPr>
          <w:i/>
          <w:iCs/>
        </w:rPr>
        <w:t>immediate</w:t>
      </w:r>
      <w:r w:rsidR="00C36C71">
        <w:t xml:space="preserve"> broadband buildout” in </w:t>
      </w:r>
      <w:r w:rsidR="003C35D1">
        <w:t>unserved areas.</w:t>
      </w:r>
      <w:r>
        <w:rPr>
          <w:rStyle w:val="FootnoteReference"/>
        </w:rPr>
        <w:footnoteReference w:id="67"/>
      </w:r>
      <w:r w:rsidR="003C35D1">
        <w:t xml:space="preserve">  </w:t>
      </w:r>
      <w:r w:rsidR="00123EA0">
        <w:t>T</w:t>
      </w:r>
      <w:r w:rsidR="004514D3">
        <w:t>o that end, t</w:t>
      </w:r>
      <w:r w:rsidR="00123EA0">
        <w:t xml:space="preserve">he Bureaus </w:t>
      </w:r>
      <w:r w:rsidR="00794A2A">
        <w:t>authorized</w:t>
      </w:r>
      <w:r w:rsidR="00123EA0">
        <w:t xml:space="preserve"> PTI Pacifica’s MF-I </w:t>
      </w:r>
      <w:r w:rsidR="005E2293">
        <w:t xml:space="preserve">support not simply </w:t>
      </w:r>
      <w:r w:rsidR="00123EA0">
        <w:t xml:space="preserve">so that it would </w:t>
      </w:r>
      <w:r w:rsidR="004E2850">
        <w:t>one day</w:t>
      </w:r>
      <w:r w:rsidR="005E2293">
        <w:t xml:space="preserve"> </w:t>
      </w:r>
      <w:r w:rsidR="00C15E88">
        <w:t xml:space="preserve">establish a 4G network </w:t>
      </w:r>
      <w:r w:rsidR="004E2850">
        <w:t>on</w:t>
      </w:r>
      <w:r w:rsidR="00C15E88">
        <w:t xml:space="preserve"> this </w:t>
      </w:r>
      <w:r w:rsidR="004E2850">
        <w:t>un</w:t>
      </w:r>
      <w:r w:rsidR="0023540F">
        <w:t>der</w:t>
      </w:r>
      <w:r w:rsidR="004E2850">
        <w:t>served census tract</w:t>
      </w:r>
      <w:r w:rsidR="00C15E88">
        <w:t xml:space="preserve">, but </w:t>
      </w:r>
      <w:r w:rsidR="00123EA0">
        <w:t>that it would</w:t>
      </w:r>
      <w:r w:rsidR="00C15E88">
        <w:t xml:space="preserve"> do so expeditiously</w:t>
      </w:r>
      <w:r w:rsidR="00D94A63">
        <w:t xml:space="preserve">, even in the face of </w:t>
      </w:r>
      <w:r w:rsidR="00540E26">
        <w:t>whatever</w:t>
      </w:r>
      <w:r w:rsidR="00D94A63">
        <w:t xml:space="preserve"> challenges its due diligence </w:t>
      </w:r>
      <w:r w:rsidR="00533240">
        <w:t xml:space="preserve">may </w:t>
      </w:r>
      <w:r w:rsidR="00D94A63">
        <w:t>have revealed</w:t>
      </w:r>
      <w:r w:rsidR="00C15E88">
        <w:t>.</w:t>
      </w:r>
      <w:r>
        <w:rPr>
          <w:rStyle w:val="FootnoteReference"/>
        </w:rPr>
        <w:footnoteReference w:id="68"/>
      </w:r>
      <w:r w:rsidR="00C15E88">
        <w:t xml:space="preserve"> </w:t>
      </w:r>
      <w:r w:rsidR="002D1213">
        <w:t xml:space="preserve"> </w:t>
      </w:r>
      <w:r w:rsidR="00D1233C">
        <w:t xml:space="preserve">The </w:t>
      </w:r>
      <w:r w:rsidR="002215F2">
        <w:t>extraordinary</w:t>
      </w:r>
      <w:r w:rsidR="005B3E44">
        <w:t xml:space="preserve"> length of</w:t>
      </w:r>
      <w:r w:rsidR="00542360">
        <w:t xml:space="preserve"> </w:t>
      </w:r>
      <w:r w:rsidR="00E350DD">
        <w:t>PTI Pacifica’s</w:t>
      </w:r>
      <w:r w:rsidR="00D1233C">
        <w:t xml:space="preserve"> request</w:t>
      </w:r>
      <w:r w:rsidR="00E350DD">
        <w:t>ed extension</w:t>
      </w:r>
      <w:r w:rsidR="00D1233C">
        <w:t xml:space="preserve"> </w:t>
      </w:r>
      <w:r w:rsidR="007D52DE">
        <w:t>is</w:t>
      </w:r>
      <w:r w:rsidR="002C1782">
        <w:t xml:space="preserve"> </w:t>
      </w:r>
      <w:r w:rsidR="00BB5409">
        <w:t xml:space="preserve">at odds with </w:t>
      </w:r>
      <w:r w:rsidR="00DD0F3E">
        <w:t xml:space="preserve">MF-I’s foundational </w:t>
      </w:r>
      <w:r w:rsidR="00E50359">
        <w:t>purpose</w:t>
      </w:r>
      <w:r w:rsidR="00867325">
        <w:t xml:space="preserve"> to expeditiously extend </w:t>
      </w:r>
      <w:r w:rsidR="004B0B8B">
        <w:t>coverage to unserved areas</w:t>
      </w:r>
      <w:r w:rsidR="00DD0F3E">
        <w:t xml:space="preserve">, </w:t>
      </w:r>
      <w:r w:rsidR="004519B4">
        <w:t>and</w:t>
      </w:r>
      <w:r w:rsidR="00F061DF">
        <w:t xml:space="preserve"> granting it would </w:t>
      </w:r>
      <w:r w:rsidR="004B0B8B">
        <w:t xml:space="preserve">therefore </w:t>
      </w:r>
      <w:r w:rsidR="00D46254">
        <w:t>not serve the public interest</w:t>
      </w:r>
      <w:r w:rsidR="00D545E5">
        <w:t xml:space="preserve"> </w:t>
      </w:r>
      <w:r w:rsidR="00357330">
        <w:t xml:space="preserve">in </w:t>
      </w:r>
      <w:r w:rsidR="00D00CA0">
        <w:t xml:space="preserve">achieving </w:t>
      </w:r>
      <w:r w:rsidR="00357330">
        <w:t>such coverage.</w:t>
      </w:r>
      <w:r>
        <w:rPr>
          <w:rStyle w:val="FootnoteReference"/>
        </w:rPr>
        <w:footnoteReference w:id="69"/>
      </w:r>
      <w:r w:rsidR="00357330">
        <w:t xml:space="preserve"> </w:t>
      </w:r>
      <w:r w:rsidR="00F061DF">
        <w:t xml:space="preserve"> </w:t>
      </w:r>
      <w:r w:rsidR="009B39B7">
        <w:t>Moreover</w:t>
      </w:r>
      <w:r w:rsidR="00357330">
        <w:t>, grant</w:t>
      </w:r>
      <w:r w:rsidR="009B39B7">
        <w:t>ing</w:t>
      </w:r>
      <w:r w:rsidR="00357330">
        <w:t xml:space="preserve"> a</w:t>
      </w:r>
      <w:r w:rsidR="00FE0EDF">
        <w:t>n</w:t>
      </w:r>
      <w:r w:rsidR="00357330">
        <w:t xml:space="preserve"> </w:t>
      </w:r>
      <w:r w:rsidR="00FE0EDF">
        <w:t>extension</w:t>
      </w:r>
      <w:r w:rsidR="00357330">
        <w:t xml:space="preserve"> of this length would undermine</w:t>
      </w:r>
      <w:r w:rsidR="00C83CCD">
        <w:t xml:space="preserve"> our ability</w:t>
      </w:r>
      <w:r w:rsidR="003F03A9">
        <w:t xml:space="preserve"> </w:t>
      </w:r>
      <w:r w:rsidR="00C83CCD">
        <w:t>to</w:t>
      </w:r>
      <w:r w:rsidR="00E353F7">
        <w:t xml:space="preserve"> </w:t>
      </w:r>
      <w:r w:rsidR="003F03A9">
        <w:t xml:space="preserve">enforce </w:t>
      </w:r>
      <w:r w:rsidR="000E5FB0">
        <w:t xml:space="preserve">the </w:t>
      </w:r>
      <w:r w:rsidR="00547CD9">
        <w:t>performance</w:t>
      </w:r>
      <w:r w:rsidR="003F03A9">
        <w:t xml:space="preserve"> </w:t>
      </w:r>
      <w:r w:rsidR="00FE0EDF">
        <w:t>obligations</w:t>
      </w:r>
      <w:r w:rsidR="00547CD9">
        <w:t xml:space="preserve"> </w:t>
      </w:r>
      <w:r w:rsidR="000E5FB0">
        <w:t>of</w:t>
      </w:r>
      <w:r w:rsidR="003F03A9">
        <w:t xml:space="preserve"> </w:t>
      </w:r>
      <w:r w:rsidR="002C1782">
        <w:t xml:space="preserve">future </w:t>
      </w:r>
      <w:r w:rsidR="005504F4">
        <w:t>recipients of</w:t>
      </w:r>
      <w:r w:rsidR="00272DCE">
        <w:t xml:space="preserve"> </w:t>
      </w:r>
      <w:r w:rsidR="00C83CCD">
        <w:t xml:space="preserve">USF </w:t>
      </w:r>
      <w:r w:rsidR="00272DCE">
        <w:t>high-cost support</w:t>
      </w:r>
      <w:r w:rsidR="002C1782">
        <w:t>.</w:t>
      </w:r>
      <w:r>
        <w:rPr>
          <w:rStyle w:val="FootnoteReference"/>
        </w:rPr>
        <w:footnoteReference w:id="70"/>
      </w:r>
      <w:r w:rsidR="00C15E88">
        <w:t xml:space="preserve"> </w:t>
      </w:r>
      <w:r w:rsidR="002C1782">
        <w:t xml:space="preserve"> </w:t>
      </w:r>
      <w:r w:rsidR="00BC17D8">
        <w:t xml:space="preserve">We therefore conclude that </w:t>
      </w:r>
      <w:r w:rsidR="00533240">
        <w:t xml:space="preserve">granting a </w:t>
      </w:r>
      <w:r w:rsidR="00BC17D8">
        <w:t xml:space="preserve">waiver and extension </w:t>
      </w:r>
      <w:r w:rsidR="00533240">
        <w:t xml:space="preserve">request </w:t>
      </w:r>
      <w:r w:rsidR="00BC17D8">
        <w:t xml:space="preserve">of this duration </w:t>
      </w:r>
      <w:r w:rsidR="00E51D4B">
        <w:t>is not</w:t>
      </w:r>
      <w:r w:rsidR="00BC17D8">
        <w:t xml:space="preserve"> in the public interest.</w:t>
      </w:r>
    </w:p>
    <w:p w:rsidR="00486B74" w:rsidRPr="00BC76BE" w:rsidP="009D48A0" w14:paraId="7802707D" w14:textId="59BCA865">
      <w:pPr>
        <w:pStyle w:val="ParaNum"/>
        <w:widowControl/>
      </w:pPr>
      <w:r w:rsidRPr="00BC76BE">
        <w:t xml:space="preserve">Accordingly, we </w:t>
      </w:r>
      <w:r w:rsidRPr="00BC76BE" w:rsidR="00FE1604">
        <w:t>deny</w:t>
      </w:r>
      <w:r w:rsidRPr="00BC76BE">
        <w:t xml:space="preserve"> </w:t>
      </w:r>
      <w:r w:rsidR="00DE668A">
        <w:t xml:space="preserve">PTI Pacifica’s requests for waiver and </w:t>
      </w:r>
      <w:r w:rsidRPr="00BC76BE">
        <w:t xml:space="preserve">extension of performance deadlines </w:t>
      </w:r>
      <w:r w:rsidR="004C4735">
        <w:t>for</w:t>
      </w:r>
      <w:r w:rsidRPr="00BC76BE" w:rsidR="00BC76BE">
        <w:t xml:space="preserve"> the Tinian tract</w:t>
      </w:r>
      <w:r w:rsidRPr="00BC76BE">
        <w:t>.</w:t>
      </w:r>
      <w:r w:rsidR="00C01EB7">
        <w:t xml:space="preserve">  </w:t>
      </w:r>
      <w:r w:rsidR="00451BA7">
        <w:t>T</w:t>
      </w:r>
      <w:r w:rsidR="00897FF1">
        <w:t xml:space="preserve">he Commission’s rules </w:t>
      </w:r>
      <w:r w:rsidR="00C01EB7">
        <w:t xml:space="preserve">provide that </w:t>
      </w:r>
      <w:r w:rsidR="00CF4765">
        <w:t xml:space="preserve">a winning bidder authorized to receive MF-I support that fails to meet its performance obligations will be subject to repayment of the support already dispersed, as well as </w:t>
      </w:r>
      <w:r w:rsidR="00BE547F">
        <w:t>an additional performance default payment.</w:t>
      </w:r>
      <w:r>
        <w:rPr>
          <w:rStyle w:val="FootnoteReference"/>
        </w:rPr>
        <w:footnoteReference w:id="71"/>
      </w:r>
      <w:r w:rsidR="00BE547F">
        <w:t xml:space="preserve">  In the </w:t>
      </w:r>
      <w:r w:rsidRPr="00C97519" w:rsidR="00BE547F">
        <w:rPr>
          <w:i/>
          <w:iCs/>
        </w:rPr>
        <w:t>Auction 901 Procedures Public Notice</w:t>
      </w:r>
      <w:r w:rsidR="00BE547F">
        <w:t xml:space="preserve">, </w:t>
      </w:r>
      <w:r w:rsidR="003B26B7">
        <w:t>the Bureaus</w:t>
      </w:r>
      <w:r w:rsidR="00BE547F">
        <w:t xml:space="preserve"> adopted </w:t>
      </w:r>
      <w:r w:rsidR="00563E8F">
        <w:t xml:space="preserve">a </w:t>
      </w:r>
      <w:r w:rsidR="00BE547F">
        <w:t xml:space="preserve">performance default payment of 10% of the </w:t>
      </w:r>
      <w:r w:rsidR="00603ED4">
        <w:t xml:space="preserve">total level </w:t>
      </w:r>
      <w:r w:rsidR="00603ED4">
        <w:t>of support for which a winning bidder is eligible.</w:t>
      </w:r>
      <w:r>
        <w:rPr>
          <w:rStyle w:val="FootnoteReference"/>
        </w:rPr>
        <w:footnoteReference w:id="72"/>
      </w:r>
      <w:r w:rsidR="00EF053C">
        <w:t xml:space="preserve">  </w:t>
      </w:r>
      <w:r w:rsidR="002C7325">
        <w:t xml:space="preserve">The total level of </w:t>
      </w:r>
      <w:r w:rsidR="00794A2A">
        <w:t xml:space="preserve">MF-I </w:t>
      </w:r>
      <w:r w:rsidR="002C7325">
        <w:t xml:space="preserve">support for which PTI Pacifica was eligible </w:t>
      </w:r>
      <w:r w:rsidR="00ED61F7">
        <w:t>for the</w:t>
      </w:r>
      <w:r w:rsidR="00EC121E">
        <w:t xml:space="preserve"> Tinian</w:t>
      </w:r>
      <w:r w:rsidR="00ED61F7">
        <w:t xml:space="preserve"> tract </w:t>
      </w:r>
      <w:r w:rsidR="002C7325">
        <w:t xml:space="preserve">was </w:t>
      </w:r>
      <w:r w:rsidR="00ED61F7">
        <w:t xml:space="preserve">$399,970.34, </w:t>
      </w:r>
      <w:r w:rsidR="003048D1">
        <w:t>cons</w:t>
      </w:r>
      <w:r w:rsidR="00E35573">
        <w:t xml:space="preserve">equently </w:t>
      </w:r>
      <w:r w:rsidR="00D446AA">
        <w:t>it now owes a</w:t>
      </w:r>
      <w:r w:rsidR="00ED61F7">
        <w:t xml:space="preserve"> 10% performance default payment obligation </w:t>
      </w:r>
      <w:r w:rsidR="00D446AA">
        <w:t xml:space="preserve">of </w:t>
      </w:r>
      <w:r w:rsidR="00ED61F7">
        <w:t>$39,997.03.</w:t>
      </w:r>
      <w:r>
        <w:rPr>
          <w:rStyle w:val="FootnoteReference"/>
        </w:rPr>
        <w:footnoteReference w:id="73"/>
      </w:r>
      <w:r w:rsidR="00ED61F7">
        <w:t xml:space="preserve">  </w:t>
      </w:r>
      <w:r w:rsidR="007F19C5">
        <w:t>To date, PTI Pacifica has received $133,323.45 in support for the tract</w:t>
      </w:r>
      <w:r w:rsidR="00AD3666">
        <w:t xml:space="preserve">, and it must </w:t>
      </w:r>
      <w:r w:rsidR="00D446AA">
        <w:t xml:space="preserve">also </w:t>
      </w:r>
      <w:r w:rsidR="00AD3666">
        <w:t>repay that amount</w:t>
      </w:r>
      <w:r w:rsidR="007F19C5">
        <w:t xml:space="preserve">.  </w:t>
      </w:r>
    </w:p>
    <w:p w:rsidR="002E522D" w:rsidRPr="005655DB" w:rsidP="002E522D" w14:paraId="73E7C613" w14:textId="77777777">
      <w:pPr>
        <w:keepNext/>
        <w:widowControl/>
        <w:numPr>
          <w:ilvl w:val="0"/>
          <w:numId w:val="3"/>
        </w:numPr>
        <w:tabs>
          <w:tab w:val="left" w:pos="720"/>
        </w:tabs>
        <w:suppressAutoHyphens/>
        <w:spacing w:after="120" w:line="259" w:lineRule="auto"/>
        <w:outlineLvl w:val="0"/>
        <w:rPr>
          <w:b/>
          <w:caps/>
          <w:szCs w:val="22"/>
        </w:rPr>
      </w:pPr>
      <w:r w:rsidRPr="005655DB">
        <w:rPr>
          <w:b/>
          <w:caps/>
          <w:szCs w:val="22"/>
        </w:rPr>
        <w:t xml:space="preserve">Ordering clauseS </w:t>
      </w:r>
    </w:p>
    <w:p w:rsidR="002E522D" w:rsidP="00E04345" w14:paraId="233E533B" w14:textId="531ACCE7">
      <w:pPr>
        <w:pStyle w:val="ParaNum"/>
        <w:widowControl/>
        <w:rPr>
          <w:szCs w:val="22"/>
        </w:rPr>
      </w:pPr>
      <w:r w:rsidRPr="00EA54CF">
        <w:rPr>
          <w:szCs w:val="22"/>
        </w:rPr>
        <w:t>Accordingly, IT IS ORDERED that, under the authority contained in sections 1, 4(</w:t>
      </w:r>
      <w:r w:rsidRPr="00EA54CF">
        <w:rPr>
          <w:szCs w:val="22"/>
        </w:rPr>
        <w:t>i</w:t>
      </w:r>
      <w:r w:rsidRPr="00EA54CF">
        <w:rPr>
          <w:szCs w:val="22"/>
        </w:rPr>
        <w:t>), 4(j), 5(c), 201, 254, and 303(r), of the Communications Act of 1934, as amended, 47 U.S.C. §§ 151, 154(</w:t>
      </w:r>
      <w:r w:rsidRPr="00EA54CF">
        <w:rPr>
          <w:szCs w:val="22"/>
        </w:rPr>
        <w:t>i</w:t>
      </w:r>
      <w:r w:rsidRPr="00EA54CF">
        <w:rPr>
          <w:szCs w:val="22"/>
        </w:rPr>
        <w:t xml:space="preserve">), 154(j), 155(c), 201, 254, </w:t>
      </w:r>
      <w:r w:rsidR="003C5B7D">
        <w:rPr>
          <w:szCs w:val="22"/>
        </w:rPr>
        <w:t xml:space="preserve">and </w:t>
      </w:r>
      <w:r w:rsidRPr="00EA54CF">
        <w:rPr>
          <w:szCs w:val="22"/>
        </w:rPr>
        <w:t xml:space="preserve">303(r), and sections 0.21, 0.91, 0.131, 0.271, 0.291, 0.331, and 1.3 of the Commission’s rules, 47 CFR §§ 0.21, 0.91, 0.131, 0.271, 0.291, </w:t>
      </w:r>
      <w:r w:rsidRPr="00EA54CF" w:rsidR="00550D11">
        <w:rPr>
          <w:szCs w:val="22"/>
        </w:rPr>
        <w:t xml:space="preserve">0.331, </w:t>
      </w:r>
      <w:r w:rsidRPr="00EA54CF">
        <w:rPr>
          <w:szCs w:val="22"/>
        </w:rPr>
        <w:t xml:space="preserve">and 1.3, </w:t>
      </w:r>
      <w:r w:rsidRPr="00EA54CF" w:rsidR="00E4197C">
        <w:rPr>
          <w:szCs w:val="22"/>
        </w:rPr>
        <w:t>PTI Pacifica, Inc.’s</w:t>
      </w:r>
      <w:r w:rsidRPr="00EA54CF">
        <w:rPr>
          <w:szCs w:val="22"/>
        </w:rPr>
        <w:t xml:space="preserve"> </w:t>
      </w:r>
      <w:r w:rsidRPr="00EA54CF" w:rsidR="007268DC">
        <w:rPr>
          <w:szCs w:val="22"/>
        </w:rPr>
        <w:t xml:space="preserve">Request for </w:t>
      </w:r>
      <w:r w:rsidRPr="00EA54CF" w:rsidR="003D660D">
        <w:rPr>
          <w:szCs w:val="22"/>
        </w:rPr>
        <w:t>Waiver and Extension of Time of Mobility Fund Phase I Construction Deadline for Three Census Tracts</w:t>
      </w:r>
      <w:r w:rsidRPr="00EA54CF">
        <w:rPr>
          <w:szCs w:val="22"/>
        </w:rPr>
        <w:t>,</w:t>
      </w:r>
      <w:r w:rsidRPr="00EA54CF" w:rsidR="008E3B45">
        <w:rPr>
          <w:szCs w:val="22"/>
        </w:rPr>
        <w:t xml:space="preserve"> </w:t>
      </w:r>
      <w:r w:rsidRPr="00EA54CF" w:rsidR="00E4197C">
        <w:rPr>
          <w:szCs w:val="22"/>
        </w:rPr>
        <w:t>together</w:t>
      </w:r>
      <w:r w:rsidRPr="00EA54CF" w:rsidR="008E3B45">
        <w:rPr>
          <w:szCs w:val="22"/>
        </w:rPr>
        <w:t xml:space="preserve"> with its supplements,</w:t>
      </w:r>
      <w:r w:rsidRPr="00EA54CF">
        <w:rPr>
          <w:szCs w:val="22"/>
        </w:rPr>
        <w:t xml:space="preserve"> is </w:t>
      </w:r>
      <w:r w:rsidRPr="00EA54CF" w:rsidR="003D660D">
        <w:rPr>
          <w:szCs w:val="22"/>
        </w:rPr>
        <w:t xml:space="preserve">DENIED </w:t>
      </w:r>
      <w:r w:rsidR="006C4D14">
        <w:rPr>
          <w:szCs w:val="22"/>
        </w:rPr>
        <w:t xml:space="preserve">only </w:t>
      </w:r>
      <w:r w:rsidRPr="00EA54CF" w:rsidR="003D660D">
        <w:rPr>
          <w:szCs w:val="22"/>
        </w:rPr>
        <w:t xml:space="preserve">as to </w:t>
      </w:r>
      <w:r w:rsidRPr="00EA54CF" w:rsidR="00041AB1">
        <w:rPr>
          <w:szCs w:val="22"/>
        </w:rPr>
        <w:t xml:space="preserve">census tract </w:t>
      </w:r>
      <w:r w:rsidRPr="00EA54CF" w:rsidR="00041AB1">
        <w:t>T69120950200 (SAC</w:t>
      </w:r>
      <w:r w:rsidR="006C4D14">
        <w:t> </w:t>
      </w:r>
      <w:r w:rsidRPr="00EA54CF" w:rsidR="00041AB1">
        <w:t>658007)</w:t>
      </w:r>
      <w:r w:rsidRPr="00EA54CF" w:rsidR="0076202F">
        <w:t>.</w:t>
      </w:r>
      <w:r w:rsidRPr="00EA54CF">
        <w:rPr>
          <w:szCs w:val="22"/>
        </w:rPr>
        <w:t xml:space="preserve">  </w:t>
      </w:r>
    </w:p>
    <w:p w:rsidR="00E04345" w:rsidRPr="00DF1C04" w:rsidP="00E04345" w14:paraId="6518BD85" w14:textId="17198487">
      <w:pPr>
        <w:pStyle w:val="ParaNum"/>
        <w:widowControl/>
        <w:rPr>
          <w:szCs w:val="22"/>
        </w:rPr>
      </w:pPr>
      <w:r>
        <w:rPr>
          <w:szCs w:val="22"/>
        </w:rPr>
        <w:t>IT IS FURTHER ORDERED</w:t>
      </w:r>
      <w:r w:rsidR="00D1284B">
        <w:rPr>
          <w:szCs w:val="22"/>
        </w:rPr>
        <w:t xml:space="preserve"> that</w:t>
      </w:r>
      <w:r w:rsidR="00D1284B">
        <w:t>, pursuant to sections 4(</w:t>
      </w:r>
      <w:r w:rsidR="00D1284B">
        <w:t>i</w:t>
      </w:r>
      <w:r w:rsidR="00D1284B">
        <w:t>)</w:t>
      </w:r>
      <w:r w:rsidR="00291B17">
        <w:t xml:space="preserve">, </w:t>
      </w:r>
      <w:r w:rsidR="00A14394">
        <w:t>214,</w:t>
      </w:r>
      <w:r w:rsidR="00291B17">
        <w:t xml:space="preserve"> </w:t>
      </w:r>
      <w:r w:rsidR="00C14717">
        <w:t xml:space="preserve">and </w:t>
      </w:r>
      <w:r w:rsidR="00291B17">
        <w:t>303(r)</w:t>
      </w:r>
      <w:r w:rsidR="00C14717">
        <w:t xml:space="preserve"> </w:t>
      </w:r>
      <w:r w:rsidR="00D1284B">
        <w:t>of the Communications Act of 1934, as amended, 47 U.S.C. §§ 154(</w:t>
      </w:r>
      <w:r w:rsidR="00D1284B">
        <w:t>i</w:t>
      </w:r>
      <w:r w:rsidR="003C5B7D">
        <w:t>), 214, and 303(r)</w:t>
      </w:r>
      <w:r w:rsidR="00D1284B">
        <w:t xml:space="preserve">, and section </w:t>
      </w:r>
      <w:r w:rsidR="007C4743">
        <w:t>54.1006(f)</w:t>
      </w:r>
      <w:r w:rsidR="00D1284B">
        <w:t xml:space="preserve"> of the Commission’s rules, 47 CFR §</w:t>
      </w:r>
      <w:r w:rsidR="00401772">
        <w:t xml:space="preserve"> </w:t>
      </w:r>
      <w:r w:rsidR="007C4743">
        <w:t xml:space="preserve">54.1006(f), </w:t>
      </w:r>
      <w:r w:rsidR="00D1284B">
        <w:t>PTI Pacifica, Inc. is ASSESSED a</w:t>
      </w:r>
      <w:r w:rsidR="00E26CCB">
        <w:t xml:space="preserve"> </w:t>
      </w:r>
      <w:r w:rsidRPr="00E26CCB" w:rsidR="00E26CCB">
        <w:t xml:space="preserve">performance </w:t>
      </w:r>
      <w:r w:rsidRPr="00E26CCB" w:rsidR="00D1284B">
        <w:t>default payment in the amount of $</w:t>
      </w:r>
      <w:r w:rsidR="00F866C0">
        <w:t>39,997.03</w:t>
      </w:r>
      <w:r w:rsidRPr="00E26CCB" w:rsidR="00D1284B">
        <w:t xml:space="preserve"> for </w:t>
      </w:r>
      <w:r w:rsidRPr="00EA54CF" w:rsidR="002C3B1A">
        <w:rPr>
          <w:szCs w:val="22"/>
        </w:rPr>
        <w:t xml:space="preserve">census tract </w:t>
      </w:r>
      <w:r w:rsidRPr="00EA54CF" w:rsidR="002C3B1A">
        <w:t>T69120950200 (SAC</w:t>
      </w:r>
      <w:r w:rsidR="002C3B1A">
        <w:t> </w:t>
      </w:r>
      <w:r w:rsidRPr="00EA54CF" w:rsidR="002C3B1A">
        <w:t>658007)</w:t>
      </w:r>
      <w:r w:rsidR="002C3B1A">
        <w:t xml:space="preserve">, </w:t>
      </w:r>
      <w:r w:rsidRPr="00E26CCB" w:rsidR="00D1284B">
        <w:t xml:space="preserve">for which it was the winning bidder in Auction </w:t>
      </w:r>
      <w:r w:rsidRPr="00E26CCB" w:rsidR="00E26CCB">
        <w:t>9</w:t>
      </w:r>
      <w:r w:rsidR="00E26CCB">
        <w:t>01.</w:t>
      </w:r>
    </w:p>
    <w:p w:rsidR="00DF1C04" w:rsidRPr="00104C7D" w:rsidP="00E04345" w14:paraId="0142A0EB" w14:textId="54E8AC91">
      <w:pPr>
        <w:pStyle w:val="ParaNum"/>
        <w:widowControl/>
        <w:rPr>
          <w:szCs w:val="22"/>
        </w:rPr>
      </w:pPr>
      <w:r>
        <w:rPr>
          <w:szCs w:val="22"/>
        </w:rPr>
        <w:t>IT IS FURTHER ORDERED that</w:t>
      </w:r>
      <w:r>
        <w:t>, pursuant to sections 4(</w:t>
      </w:r>
      <w:r>
        <w:t>i</w:t>
      </w:r>
      <w:r>
        <w:t>)</w:t>
      </w:r>
      <w:r w:rsidR="00147810">
        <w:t>,</w:t>
      </w:r>
      <w:r>
        <w:t xml:space="preserve"> </w:t>
      </w:r>
      <w:r w:rsidR="00147810">
        <w:t xml:space="preserve">214, and 303(r) </w:t>
      </w:r>
      <w:r>
        <w:t>of the Communications Act of 1934, as amended, 47 U.S.C. §§ 154(</w:t>
      </w:r>
      <w:r>
        <w:t>i</w:t>
      </w:r>
      <w:r>
        <w:t>)</w:t>
      </w:r>
      <w:r w:rsidR="00147810">
        <w:t>,</w:t>
      </w:r>
      <w:r>
        <w:t xml:space="preserve"> </w:t>
      </w:r>
      <w:r w:rsidR="00147810">
        <w:t>214, and 303(r),</w:t>
      </w:r>
      <w:r>
        <w:t xml:space="preserve"> and section 54.1006(f) of the Commission’s rules, 47 CFR § 54.1006(f), PTI Pacifica, Inc. </w:t>
      </w:r>
      <w:r w:rsidR="00A848E7">
        <w:t>repay</w:t>
      </w:r>
      <w:r w:rsidR="008B0F1E">
        <w:t xml:space="preserve"> the support it has received to date</w:t>
      </w:r>
      <w:r w:rsidR="00C76EA6">
        <w:t xml:space="preserve"> </w:t>
      </w:r>
      <w:r w:rsidRPr="00E26CCB" w:rsidR="00C76EA6">
        <w:t xml:space="preserve">for </w:t>
      </w:r>
      <w:r w:rsidRPr="00EA54CF" w:rsidR="00C76EA6">
        <w:rPr>
          <w:szCs w:val="22"/>
        </w:rPr>
        <w:t xml:space="preserve">census tract </w:t>
      </w:r>
      <w:r w:rsidRPr="00EA54CF" w:rsidR="00C76EA6">
        <w:t>T69120950200 (SAC</w:t>
      </w:r>
      <w:r w:rsidR="00C76EA6">
        <w:t> </w:t>
      </w:r>
      <w:r w:rsidRPr="00EA54CF" w:rsidR="00C76EA6">
        <w:t>658007)</w:t>
      </w:r>
      <w:r w:rsidR="00C76EA6">
        <w:t xml:space="preserve">, </w:t>
      </w:r>
      <w:r w:rsidRPr="00E26CCB">
        <w:t>in the amount of $</w:t>
      </w:r>
      <w:r w:rsidR="005753F7">
        <w:t>133,323.45</w:t>
      </w:r>
      <w:r>
        <w:t>.</w:t>
      </w:r>
    </w:p>
    <w:p w:rsidR="002E522D" w:rsidRPr="00340277" w:rsidP="002E522D" w14:paraId="6E9F64B7" w14:textId="68081716">
      <w:pPr>
        <w:pStyle w:val="ParaNum"/>
        <w:widowControl/>
      </w:pPr>
      <w:r w:rsidRPr="00340277">
        <w:rPr>
          <w:szCs w:val="22"/>
        </w:rPr>
        <w:t>IT IS FURTHER ORDERED that a copy of this Order SHALL BE transmitted to the Universal Service Administrative Company.</w:t>
      </w:r>
    </w:p>
    <w:p w:rsidR="0058643B" w:rsidRPr="00340277" w:rsidP="002E522D" w14:paraId="196AA1BA" w14:textId="2CEAAD7C">
      <w:pPr>
        <w:pStyle w:val="ParaNum"/>
        <w:widowControl/>
      </w:pPr>
      <w:r w:rsidRPr="00340277">
        <w:rPr>
          <w:szCs w:val="22"/>
        </w:rPr>
        <w:t>IT IS FURTHER ORDERED that, under section 1.102(b)(1) of the Commission’s rules, 47 CFR § 1.102(b)(1), this Order SHALL BE effective upon release.</w:t>
      </w:r>
    </w:p>
    <w:p w:rsidR="00464640" w:rsidRPr="00340277" w:rsidP="00F42B09" w14:paraId="6A9B20F9" w14:textId="77777777">
      <w:pPr>
        <w:keepNext/>
        <w:tabs>
          <w:tab w:val="num" w:pos="1440"/>
        </w:tabs>
        <w:spacing w:before="240"/>
        <w:ind w:left="2880" w:firstLine="720"/>
        <w:rPr>
          <w:szCs w:val="22"/>
        </w:rPr>
      </w:pPr>
      <w:r w:rsidRPr="00340277">
        <w:rPr>
          <w:szCs w:val="22"/>
        </w:rPr>
        <w:t>FEDERAL COMMUNICATIONS COMMISSION</w:t>
      </w:r>
    </w:p>
    <w:p w:rsidR="00464640" w:rsidP="00F42B09" w14:paraId="5C4CCFEA" w14:textId="77777777">
      <w:pPr>
        <w:keepNext/>
        <w:tabs>
          <w:tab w:val="num" w:pos="1440"/>
        </w:tabs>
        <w:rPr>
          <w:szCs w:val="22"/>
        </w:rPr>
      </w:pPr>
      <w:bookmarkStart w:id="3" w:name="SR;3307"/>
      <w:bookmarkStart w:id="4" w:name="SearchTerm"/>
      <w:bookmarkEnd w:id="3"/>
      <w:bookmarkEnd w:id="4"/>
    </w:p>
    <w:p w:rsidR="00874B29" w:rsidRPr="00340277" w:rsidP="00F42B09" w14:paraId="5416EDB7" w14:textId="77777777">
      <w:pPr>
        <w:keepNext/>
        <w:tabs>
          <w:tab w:val="num" w:pos="1440"/>
        </w:tabs>
        <w:rPr>
          <w:szCs w:val="22"/>
        </w:rPr>
      </w:pPr>
    </w:p>
    <w:p w:rsidR="00464640" w:rsidRPr="00340277" w:rsidP="00F42B09" w14:paraId="09D12D96" w14:textId="77777777">
      <w:pPr>
        <w:keepNext/>
        <w:tabs>
          <w:tab w:val="num" w:pos="1440"/>
        </w:tabs>
        <w:rPr>
          <w:szCs w:val="22"/>
        </w:rPr>
      </w:pPr>
    </w:p>
    <w:p w:rsidR="00464640" w:rsidRPr="00464640" w:rsidP="00F42B09" w14:paraId="38CE8459" w14:textId="77777777">
      <w:pPr>
        <w:keepNext/>
        <w:tabs>
          <w:tab w:val="num" w:pos="1440"/>
        </w:tabs>
        <w:ind w:left="720"/>
        <w:rPr>
          <w:szCs w:val="22"/>
          <w:highlight w:val="yellow"/>
        </w:rPr>
      </w:pPr>
    </w:p>
    <w:p w:rsidR="008C2B30" w:rsidRPr="00041AB1" w:rsidP="00F42B09" w14:paraId="06AEABC6" w14:textId="77777777">
      <w:pPr>
        <w:keepNext/>
        <w:tabs>
          <w:tab w:val="num" w:pos="1440"/>
        </w:tabs>
        <w:ind w:left="2880" w:firstLine="720"/>
        <w:rPr>
          <w:szCs w:val="22"/>
        </w:rPr>
      </w:pPr>
      <w:r w:rsidRPr="00041AB1">
        <w:rPr>
          <w:szCs w:val="22"/>
        </w:rPr>
        <w:t>Giulia McHenry</w:t>
      </w:r>
    </w:p>
    <w:p w:rsidR="008C2B30" w:rsidRPr="00041AB1" w:rsidP="00F42B09" w14:paraId="76008452" w14:textId="77777777">
      <w:pPr>
        <w:keepNext/>
        <w:tabs>
          <w:tab w:val="num" w:pos="1440"/>
        </w:tabs>
        <w:ind w:left="720"/>
        <w:rPr>
          <w:szCs w:val="22"/>
        </w:rPr>
      </w:pPr>
      <w:r w:rsidRPr="00041AB1">
        <w:rPr>
          <w:szCs w:val="22"/>
        </w:rPr>
        <w:tab/>
      </w:r>
      <w:r w:rsidRPr="00041AB1">
        <w:rPr>
          <w:szCs w:val="22"/>
        </w:rPr>
        <w:tab/>
      </w:r>
      <w:r w:rsidRPr="00041AB1">
        <w:rPr>
          <w:szCs w:val="22"/>
        </w:rPr>
        <w:tab/>
      </w:r>
      <w:r w:rsidRPr="00041AB1">
        <w:rPr>
          <w:szCs w:val="22"/>
        </w:rPr>
        <w:tab/>
        <w:t>Chief</w:t>
      </w:r>
    </w:p>
    <w:p w:rsidR="008C2B30" w:rsidRPr="00041AB1" w:rsidP="00F42B09" w14:paraId="0CE1433D" w14:textId="77777777">
      <w:pPr>
        <w:pStyle w:val="ParaNum"/>
        <w:keepNext/>
        <w:widowControl/>
        <w:numPr>
          <w:ilvl w:val="0"/>
          <w:numId w:val="0"/>
        </w:numPr>
        <w:spacing w:after="0"/>
        <w:ind w:left="2880" w:firstLine="720"/>
      </w:pPr>
      <w:r w:rsidRPr="00041AB1">
        <w:rPr>
          <w:szCs w:val="22"/>
        </w:rPr>
        <w:t>Office of Economics and Analytics</w:t>
      </w:r>
    </w:p>
    <w:p w:rsidR="008C2B30" w:rsidP="0018435A" w14:paraId="4950DD78" w14:textId="77777777">
      <w:pPr>
        <w:tabs>
          <w:tab w:val="num" w:pos="1440"/>
        </w:tabs>
        <w:ind w:left="2880" w:firstLine="720"/>
        <w:rPr>
          <w:szCs w:val="22"/>
        </w:rPr>
      </w:pPr>
    </w:p>
    <w:p w:rsidR="008C2B30" w:rsidP="0018435A" w14:paraId="4F618AE3" w14:textId="77777777">
      <w:pPr>
        <w:tabs>
          <w:tab w:val="num" w:pos="1440"/>
        </w:tabs>
        <w:ind w:left="2880" w:firstLine="720"/>
        <w:rPr>
          <w:szCs w:val="22"/>
        </w:rPr>
      </w:pPr>
    </w:p>
    <w:p w:rsidR="00261455" w:rsidP="0018435A" w14:paraId="1A875B4F" w14:textId="77777777">
      <w:pPr>
        <w:tabs>
          <w:tab w:val="num" w:pos="1440"/>
        </w:tabs>
        <w:ind w:left="2880" w:firstLine="720"/>
        <w:rPr>
          <w:szCs w:val="22"/>
        </w:rPr>
      </w:pPr>
    </w:p>
    <w:p w:rsidR="00261455" w:rsidP="0018435A" w14:paraId="5B3270E6" w14:textId="77777777">
      <w:pPr>
        <w:tabs>
          <w:tab w:val="num" w:pos="1440"/>
        </w:tabs>
        <w:ind w:left="2880" w:firstLine="720"/>
        <w:rPr>
          <w:szCs w:val="22"/>
        </w:rPr>
      </w:pPr>
    </w:p>
    <w:p w:rsidR="00464640" w:rsidRPr="00340277" w:rsidP="0018435A" w14:paraId="65B80E4A" w14:textId="229377A2">
      <w:pPr>
        <w:tabs>
          <w:tab w:val="num" w:pos="1440"/>
        </w:tabs>
        <w:ind w:left="2880" w:firstLine="720"/>
        <w:rPr>
          <w:szCs w:val="22"/>
        </w:rPr>
      </w:pPr>
      <w:r w:rsidRPr="00340277">
        <w:rPr>
          <w:szCs w:val="22"/>
        </w:rPr>
        <w:t>Trent Harkrader</w:t>
      </w:r>
    </w:p>
    <w:p w:rsidR="00464640" w:rsidRPr="00340277" w:rsidP="0018435A" w14:paraId="6109236B" w14:textId="77777777">
      <w:pPr>
        <w:tabs>
          <w:tab w:val="num" w:pos="1440"/>
        </w:tabs>
        <w:ind w:left="3600"/>
        <w:rPr>
          <w:szCs w:val="22"/>
        </w:rPr>
      </w:pPr>
      <w:r w:rsidRPr="00340277">
        <w:rPr>
          <w:szCs w:val="22"/>
        </w:rPr>
        <w:t>Chief</w:t>
      </w:r>
    </w:p>
    <w:p w:rsidR="00464640" w:rsidRPr="00340277" w:rsidP="0019768D" w14:paraId="36A0A759" w14:textId="77777777">
      <w:pPr>
        <w:widowControl/>
        <w:spacing w:line="259" w:lineRule="auto"/>
        <w:ind w:left="3600"/>
        <w:rPr>
          <w:rFonts w:eastAsia="Calibri"/>
          <w:snapToGrid/>
          <w:kern w:val="0"/>
          <w:szCs w:val="22"/>
        </w:rPr>
      </w:pPr>
      <w:r w:rsidRPr="00340277">
        <w:rPr>
          <w:rFonts w:eastAsia="Calibri"/>
          <w:snapToGrid/>
          <w:kern w:val="0"/>
          <w:szCs w:val="22"/>
        </w:rPr>
        <w:t>Wireline Competition Bureau</w:t>
      </w:r>
    </w:p>
    <w:p w:rsidR="00464640" w:rsidP="0019768D" w14:paraId="6E41E2DF" w14:textId="77777777">
      <w:pPr>
        <w:widowControl/>
        <w:spacing w:line="259" w:lineRule="auto"/>
        <w:rPr>
          <w:rFonts w:eastAsia="Calibri"/>
          <w:snapToGrid/>
          <w:kern w:val="0"/>
          <w:szCs w:val="22"/>
          <w:highlight w:val="yellow"/>
        </w:rPr>
      </w:pPr>
    </w:p>
    <w:p w:rsidR="00261455" w:rsidP="0019768D" w14:paraId="480C3D94" w14:textId="77777777">
      <w:pPr>
        <w:widowControl/>
        <w:spacing w:line="259" w:lineRule="auto"/>
        <w:rPr>
          <w:rFonts w:eastAsia="Calibri"/>
          <w:snapToGrid/>
          <w:kern w:val="0"/>
          <w:szCs w:val="22"/>
          <w:highlight w:val="yellow"/>
        </w:rPr>
      </w:pPr>
    </w:p>
    <w:p w:rsidR="00261455" w:rsidP="0019768D" w14:paraId="2377BE06" w14:textId="77777777">
      <w:pPr>
        <w:widowControl/>
        <w:spacing w:line="259" w:lineRule="auto"/>
        <w:rPr>
          <w:rFonts w:eastAsia="Calibri"/>
          <w:snapToGrid/>
          <w:kern w:val="0"/>
          <w:szCs w:val="22"/>
          <w:highlight w:val="yellow"/>
        </w:rPr>
      </w:pPr>
    </w:p>
    <w:p w:rsidR="00261455" w:rsidRPr="00464640" w:rsidP="0019768D" w14:paraId="5842A050" w14:textId="77777777">
      <w:pPr>
        <w:widowControl/>
        <w:spacing w:line="259" w:lineRule="auto"/>
        <w:rPr>
          <w:rFonts w:eastAsia="Calibri"/>
          <w:snapToGrid/>
          <w:kern w:val="0"/>
          <w:szCs w:val="22"/>
          <w:highlight w:val="yellow"/>
        </w:rPr>
      </w:pPr>
    </w:p>
    <w:p w:rsidR="00464640" w:rsidRPr="00EC033A" w:rsidP="00464640" w14:paraId="70A9710E" w14:textId="1998DCA8">
      <w:pPr>
        <w:tabs>
          <w:tab w:val="num" w:pos="1440"/>
        </w:tabs>
        <w:ind w:left="2880" w:firstLine="720"/>
        <w:rPr>
          <w:szCs w:val="22"/>
        </w:rPr>
      </w:pPr>
      <w:r w:rsidRPr="00EC033A">
        <w:rPr>
          <w:szCs w:val="22"/>
        </w:rPr>
        <w:t>Joel Taubenblatt</w:t>
      </w:r>
    </w:p>
    <w:p w:rsidR="00464640" w:rsidRPr="00EC033A" w:rsidP="00464640" w14:paraId="2F632398" w14:textId="22308732">
      <w:pPr>
        <w:tabs>
          <w:tab w:val="num" w:pos="1440"/>
        </w:tabs>
        <w:ind w:left="2880" w:firstLine="720"/>
        <w:rPr>
          <w:szCs w:val="22"/>
        </w:rPr>
      </w:pPr>
      <w:r>
        <w:rPr>
          <w:szCs w:val="22"/>
        </w:rPr>
        <w:t xml:space="preserve">Acting </w:t>
      </w:r>
      <w:r w:rsidRPr="00EC033A">
        <w:rPr>
          <w:szCs w:val="22"/>
        </w:rPr>
        <w:t>Chief</w:t>
      </w:r>
    </w:p>
    <w:p w:rsidR="00464640" w:rsidRPr="00EC033A" w:rsidP="00464640" w14:paraId="09593B4A" w14:textId="77777777">
      <w:pPr>
        <w:widowControl/>
        <w:spacing w:after="160" w:line="259" w:lineRule="auto"/>
        <w:ind w:left="2880" w:firstLine="720"/>
        <w:rPr>
          <w:rFonts w:eastAsia="Calibri"/>
          <w:snapToGrid/>
          <w:kern w:val="0"/>
          <w:szCs w:val="22"/>
        </w:rPr>
      </w:pPr>
      <w:r w:rsidRPr="00EC033A">
        <w:rPr>
          <w:rFonts w:eastAsia="Calibri"/>
          <w:snapToGrid/>
          <w:kern w:val="0"/>
          <w:szCs w:val="22"/>
        </w:rPr>
        <w:t>Wireless Telecommunications Bureau</w:t>
      </w:r>
    </w:p>
    <w:p w:rsidR="00464640" w:rsidRPr="00041AB1" w:rsidP="00BC70A5" w14:paraId="4799994E" w14:textId="38C5B4E0">
      <w:pPr>
        <w:pStyle w:val="ParaNum"/>
        <w:widowControl/>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8FC1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0EEF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4D5D5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A61D8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F56D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4C93" w14:paraId="728AEE78" w14:textId="77777777">
      <w:r>
        <w:separator/>
      </w:r>
    </w:p>
  </w:footnote>
  <w:footnote w:type="continuationSeparator" w:id="1">
    <w:p w:rsidR="00A74C93" w:rsidP="00C721AC" w14:paraId="22036AA7" w14:textId="77777777">
      <w:pPr>
        <w:spacing w:before="120"/>
        <w:rPr>
          <w:sz w:val="20"/>
        </w:rPr>
      </w:pPr>
      <w:r>
        <w:rPr>
          <w:sz w:val="20"/>
        </w:rPr>
        <w:t xml:space="preserve">(Continued from previous page)  </w:t>
      </w:r>
      <w:r>
        <w:rPr>
          <w:sz w:val="20"/>
        </w:rPr>
        <w:separator/>
      </w:r>
    </w:p>
  </w:footnote>
  <w:footnote w:type="continuationNotice" w:id="2">
    <w:p w:rsidR="00A74C93" w:rsidP="00C721AC" w14:paraId="61674835" w14:textId="77777777">
      <w:pPr>
        <w:jc w:val="right"/>
        <w:rPr>
          <w:sz w:val="20"/>
        </w:rPr>
      </w:pPr>
      <w:r>
        <w:rPr>
          <w:sz w:val="20"/>
        </w:rPr>
        <w:t>(continued….)</w:t>
      </w:r>
    </w:p>
  </w:footnote>
  <w:footnote w:id="3">
    <w:p w:rsidR="00950F50" w:rsidRPr="00704E00" w:rsidP="00950F50" w14:paraId="130C8E00" w14:textId="31045A0C">
      <w:pPr>
        <w:pStyle w:val="FootnoteText"/>
      </w:pPr>
      <w:r>
        <w:rPr>
          <w:rStyle w:val="FootnoteReference"/>
        </w:rPr>
        <w:footnoteRef/>
      </w:r>
      <w:r>
        <w:t xml:space="preserve"> </w:t>
      </w:r>
      <w:r w:rsidRPr="008C346A">
        <w:rPr>
          <w:i/>
          <w:iCs/>
        </w:rPr>
        <w:t xml:space="preserve">See </w:t>
      </w:r>
      <w:r w:rsidR="008762BF">
        <w:t xml:space="preserve">PTI Pacifica, Inc. </w:t>
      </w:r>
      <w:r w:rsidR="005C5F53">
        <w:t>Request for Waiver and Extension of Time of Mobility Fund Phase I Construction Deadline for Three Census Tracts, WT Docket No. 10-208</w:t>
      </w:r>
      <w:r w:rsidR="0061420B">
        <w:t xml:space="preserve"> (filed May 16, 2016) (</w:t>
      </w:r>
      <w:r w:rsidR="0009717A">
        <w:t xml:space="preserve">Request); </w:t>
      </w:r>
      <w:r w:rsidR="00015D46">
        <w:t xml:space="preserve">PTI Pacifica, Inc. </w:t>
      </w:r>
      <w:r w:rsidR="00B66485">
        <w:t xml:space="preserve">Supplement To Request for Waiver and Extension of Time of Mobility Fund Phase I Construction Deadline For Three Census Tracts, WT Docket No. 10-208 (filed </w:t>
      </w:r>
      <w:r w:rsidR="00E67042">
        <w:t>Aug.</w:t>
      </w:r>
      <w:r w:rsidR="00B66485">
        <w:t xml:space="preserve"> </w:t>
      </w:r>
      <w:r w:rsidR="005B667F">
        <w:t xml:space="preserve">15, 2017) (First Supplement); PTI Pacifica, Inc. </w:t>
      </w:r>
      <w:r w:rsidR="00E67042">
        <w:t>Second Supplement to Request for Waiver and Extension of Time of Mobility Fund Phase I Construction Deadline For Three Census Tracts, WT Docket No. 10-208 (filed Aug</w:t>
      </w:r>
      <w:r w:rsidR="004763FF">
        <w:t>.</w:t>
      </w:r>
      <w:r w:rsidR="00E67042">
        <w:t xml:space="preserve"> 7, 2018) (Second Supplement); PTI Pacifica, Inc. Third Supplement to Request for Waiver and Extension of Time of Mobility Fund Phase I Construction Deadline For Three Census Tracts, WT Docket No. 10-208 (filed</w:t>
      </w:r>
      <w:r w:rsidR="004763FF">
        <w:t xml:space="preserve"> Aug. 9, 2019); PTI Pacifica, Inc. Fourth Supplement to Request for Waiver and Extension of Time of Mobility Fund Phase I Construction Deadline For Three Census Tracts, WT Docket No. 10-208 (filed</w:t>
      </w:r>
      <w:r w:rsidR="00D03F2C">
        <w:t xml:space="preserve"> July 30, 2020) (Fourth Supplement); PTI Pacifica, Inc. Fifth Supplement to Request for Waiver and Extension of Time of Mobility Fund Phase I Construction Deadline For Three Census Tracts, WT Docket No. 10-208 (filed July </w:t>
      </w:r>
      <w:r w:rsidR="00F646A2">
        <w:t>27, 2021) (Fifth Supplement)</w:t>
      </w:r>
      <w:r w:rsidR="00341059">
        <w:t xml:space="preserve">; </w:t>
      </w:r>
      <w:r w:rsidR="0051735F">
        <w:t>PTI Pacifica, Inc. Sixth Supplement to Request for Waiver and Extension of Time of Mobility Fund Phase I Construction Deadline For Three Census Tracts, WT Docket No. 10-208 (filed</w:t>
      </w:r>
      <w:r w:rsidR="00F646A2">
        <w:t>.</w:t>
      </w:r>
      <w:r w:rsidR="0051735F">
        <w:t xml:space="preserve"> Aug. 1, 2022) (Sixth Supplement).</w:t>
      </w:r>
    </w:p>
  </w:footnote>
  <w:footnote w:id="4">
    <w:p w:rsidR="00DE79C0" w:rsidP="00DE79C0" w14:paraId="57EB0FE6" w14:textId="317EA8B4">
      <w:pPr>
        <w:pStyle w:val="FootnoteText"/>
      </w:pPr>
      <w:r>
        <w:rPr>
          <w:rStyle w:val="FootnoteReference"/>
        </w:rPr>
        <w:footnoteRef/>
      </w:r>
      <w:r>
        <w:t xml:space="preserve"> The three subject census tracts are T69100950100 (SAC 658001) (Rota), T69110000100 (SAC 658002) (</w:t>
      </w:r>
      <w:r>
        <w:t>Marpi</w:t>
      </w:r>
      <w:r>
        <w:t>), and T69120950200 (SAC 658007) (Tinian).</w:t>
      </w:r>
    </w:p>
  </w:footnote>
  <w:footnote w:id="5">
    <w:p w:rsidR="00457147" w:rsidP="00457147" w14:paraId="639E75DF" w14:textId="6D4FD985">
      <w:pPr>
        <w:pStyle w:val="FootnoteText"/>
      </w:pPr>
      <w:r>
        <w:rPr>
          <w:rStyle w:val="FootnoteReference"/>
        </w:rPr>
        <w:footnoteRef/>
      </w:r>
      <w:r>
        <w:t xml:space="preserve"> </w:t>
      </w:r>
      <w:r w:rsidR="00772929">
        <w:t xml:space="preserve">47 CFR § 54.1006(f).  </w:t>
      </w:r>
      <w:r>
        <w:t>We note that PTI Pacifica’s Request and its Supplements seek waiver and extension of the deadlines contained in 47 CFR § 54.1006(a).  The deadlines in 47 CFR § 54.1006(a) apply to Auction 901 winning bidders who committed to construct 3G networks; winning bidders who committed to construct 4G networks are bound by the deadlines in 47 CFR § 54.1006(b).  Because PTI Pacifica committed to construct 4G networks, the deadlines for which it seeks waiver lie within 47 CFR § 54.1006(b).</w:t>
      </w:r>
    </w:p>
  </w:footnote>
  <w:footnote w:id="6">
    <w:p w:rsidR="00950F50" w:rsidP="00950F50" w14:paraId="1E86547C" w14:textId="77777777">
      <w:pPr>
        <w:pStyle w:val="FootnoteText"/>
      </w:pPr>
      <w:r>
        <w:rPr>
          <w:rStyle w:val="FootnoteReference"/>
        </w:rPr>
        <w:footnoteRef/>
      </w:r>
      <w:r>
        <w:t xml:space="preserve"> </w:t>
      </w:r>
      <w:r>
        <w:rPr>
          <w:i/>
          <w:iCs/>
          <w:snapToGrid w:val="0"/>
        </w:rPr>
        <w:t>Connect America Fund et al.</w:t>
      </w:r>
      <w:r>
        <w:rPr>
          <w:snapToGrid w:val="0"/>
        </w:rPr>
        <w:t>,</w:t>
      </w:r>
      <w:r>
        <w:rPr>
          <w:i/>
          <w:iCs/>
          <w:snapToGrid w:val="0"/>
        </w:rPr>
        <w:t xml:space="preserve"> </w:t>
      </w:r>
      <w:r>
        <w:rPr>
          <w:snapToGrid w:val="0"/>
        </w:rPr>
        <w:t xml:space="preserve">WC Docket No. 10-90 et al., Report and Order and Further Notice of Proposed Rulemaking, 26 FCC </w:t>
      </w:r>
      <w:r>
        <w:rPr>
          <w:snapToGrid w:val="0"/>
        </w:rPr>
        <w:t>Rcd</w:t>
      </w:r>
      <w:r>
        <w:rPr>
          <w:snapToGrid w:val="0"/>
        </w:rPr>
        <w:t xml:space="preserve"> 17663, 17773, </w:t>
      </w:r>
      <w:r>
        <w:t>para. 299</w:t>
      </w:r>
      <w:r>
        <w:rPr>
          <w:snapToGrid w:val="0"/>
        </w:rPr>
        <w:t xml:space="preserve"> (2011), </w:t>
      </w:r>
      <w:r>
        <w:rPr>
          <w:i/>
          <w:iCs/>
          <w:snapToGrid w:val="0"/>
        </w:rPr>
        <w:t xml:space="preserve">aff’d </w:t>
      </w:r>
      <w:r w:rsidRPr="00BE65AD">
        <w:rPr>
          <w:i/>
          <w:iCs/>
          <w:snapToGrid w:val="0"/>
        </w:rPr>
        <w:t>sub nom.</w:t>
      </w:r>
      <w:r w:rsidRPr="00793391">
        <w:rPr>
          <w:snapToGrid w:val="0"/>
        </w:rPr>
        <w:t>,</w:t>
      </w:r>
      <w:r w:rsidRPr="00BE65AD">
        <w:rPr>
          <w:i/>
          <w:iCs/>
          <w:snapToGrid w:val="0"/>
        </w:rPr>
        <w:t xml:space="preserve"> In re: FCC 11-161</w:t>
      </w:r>
      <w:r w:rsidRPr="00BE65AD">
        <w:rPr>
          <w:snapToGrid w:val="0"/>
        </w:rPr>
        <w:t>, 753 F.3d 1015 (10th Cir. 2014) (</w:t>
      </w:r>
      <w:bookmarkStart w:id="0" w:name="_Hlk30677516"/>
      <w:r w:rsidRPr="00BE65AD">
        <w:rPr>
          <w:i/>
          <w:iCs/>
          <w:snapToGrid w:val="0"/>
        </w:rPr>
        <w:t>USF/ICC Transformation Order</w:t>
      </w:r>
      <w:bookmarkEnd w:id="0"/>
      <w:r w:rsidRPr="00BE65AD">
        <w:rPr>
          <w:snapToGrid w:val="0"/>
        </w:rPr>
        <w:t>).</w:t>
      </w:r>
      <w:r>
        <w:rPr>
          <w:snapToGrid w:val="0"/>
        </w:rPr>
        <w:t> </w:t>
      </w:r>
    </w:p>
  </w:footnote>
  <w:footnote w:id="7">
    <w:p w:rsidR="00950F50" w:rsidP="00950F50" w14:paraId="6C72E247" w14:textId="77777777">
      <w:pPr>
        <w:pStyle w:val="FootnoteText"/>
      </w:pPr>
      <w:r>
        <w:rPr>
          <w:rStyle w:val="FootnoteReference"/>
        </w:rPr>
        <w:footnoteRef/>
      </w:r>
      <w:r>
        <w:t xml:space="preserve"> </w:t>
      </w:r>
      <w:r>
        <w:rPr>
          <w:i/>
          <w:iCs/>
        </w:rPr>
        <w:t>See i</w:t>
      </w:r>
      <w:r w:rsidRPr="00366FDC">
        <w:rPr>
          <w:i/>
          <w:iCs/>
        </w:rPr>
        <w:t>d.</w:t>
      </w:r>
    </w:p>
  </w:footnote>
  <w:footnote w:id="8">
    <w:p w:rsidR="00950F50" w:rsidRPr="00354996" w:rsidP="00950F50" w14:paraId="06489C95" w14:textId="2E4CE9FC">
      <w:pPr>
        <w:pStyle w:val="FootnoteText"/>
      </w:pPr>
      <w:r>
        <w:rPr>
          <w:rStyle w:val="FootnoteReference"/>
        </w:rPr>
        <w:footnoteRef/>
      </w:r>
      <w:r>
        <w:t xml:space="preserve"> </w:t>
      </w:r>
      <w:r w:rsidRPr="00F623F6">
        <w:rPr>
          <w:i/>
          <w:iCs/>
        </w:rPr>
        <w:t xml:space="preserve">See </w:t>
      </w:r>
      <w:r w:rsidR="00FB633B">
        <w:rPr>
          <w:i/>
          <w:iCs/>
          <w:snapToGrid w:val="0"/>
        </w:rPr>
        <w:t>id.</w:t>
      </w:r>
      <w:r w:rsidR="00A75F63">
        <w:rPr>
          <w:snapToGrid w:val="0"/>
        </w:rPr>
        <w:t>,</w:t>
      </w:r>
      <w:r w:rsidRPr="00752F88">
        <w:rPr>
          <w:i/>
          <w:iCs/>
          <w:snapToGrid w:val="0"/>
        </w:rPr>
        <w:t xml:space="preserve"> </w:t>
      </w:r>
      <w:r w:rsidR="00A75F63">
        <w:rPr>
          <w:snapToGrid w:val="0"/>
        </w:rPr>
        <w:t xml:space="preserve">26 FCC </w:t>
      </w:r>
      <w:r w:rsidR="00A75F63">
        <w:rPr>
          <w:snapToGrid w:val="0"/>
        </w:rPr>
        <w:t>Rcd</w:t>
      </w:r>
      <w:r w:rsidR="00A75F63">
        <w:rPr>
          <w:snapToGrid w:val="0"/>
        </w:rPr>
        <w:t xml:space="preserve"> </w:t>
      </w:r>
      <w:r w:rsidRPr="00752F88">
        <w:rPr>
          <w:iCs/>
          <w:snapToGrid w:val="0"/>
        </w:rPr>
        <w:t>at</w:t>
      </w:r>
      <w:r>
        <w:rPr>
          <w:iCs/>
          <w:snapToGrid w:val="0"/>
        </w:rPr>
        <w:t xml:space="preserve"> 17674-75</w:t>
      </w:r>
      <w:r w:rsidRPr="00752F88">
        <w:rPr>
          <w:iCs/>
          <w:snapToGrid w:val="0"/>
        </w:rPr>
        <w:t xml:space="preserve">, para. </w:t>
      </w:r>
      <w:r>
        <w:rPr>
          <w:iCs/>
          <w:snapToGrid w:val="0"/>
        </w:rPr>
        <w:t>28</w:t>
      </w:r>
      <w:r w:rsidRPr="00752F88">
        <w:rPr>
          <w:i/>
          <w:iCs/>
          <w:snapToGrid w:val="0"/>
        </w:rPr>
        <w:t>.</w:t>
      </w:r>
    </w:p>
  </w:footnote>
  <w:footnote w:id="9">
    <w:p w:rsidR="00950F50" w:rsidP="00950F50" w14:paraId="2AABB57B" w14:textId="10D07B88">
      <w:pPr>
        <w:pStyle w:val="FootnoteText"/>
      </w:pPr>
      <w:r>
        <w:rPr>
          <w:rStyle w:val="FootnoteReference"/>
        </w:rPr>
        <w:footnoteRef/>
      </w:r>
      <w:r>
        <w:t xml:space="preserve"> </w:t>
      </w:r>
      <w:r w:rsidRPr="0003545B">
        <w:rPr>
          <w:i/>
        </w:rPr>
        <w:t>Mobility Fund Phase I Auction Scheduled for September 27, 2012; Notice and Filing Requirements and Other Procedures for Auction 901</w:t>
      </w:r>
      <w:r>
        <w:t xml:space="preserve">, AU Docket No. 12-25, </w:t>
      </w:r>
      <w:r w:rsidRPr="00596235">
        <w:rPr>
          <w:rStyle w:val="Emphasis"/>
          <w:i w:val="0"/>
          <w:iCs w:val="0"/>
        </w:rPr>
        <w:t>Public Notice</w:t>
      </w:r>
      <w:r>
        <w:t xml:space="preserve">, 27 FCC </w:t>
      </w:r>
      <w:r>
        <w:t>Rcd</w:t>
      </w:r>
      <w:r>
        <w:t xml:space="preserve"> 4725, 4748, para. 71 (WTB/WCB 2012) (</w:t>
      </w:r>
      <w:r>
        <w:rPr>
          <w:rStyle w:val="Emphasis"/>
        </w:rPr>
        <w:t>Auction 901 Procedures Public Notice</w:t>
      </w:r>
      <w:r>
        <w:t>).</w:t>
      </w:r>
    </w:p>
  </w:footnote>
  <w:footnote w:id="10">
    <w:p w:rsidR="00950F50" w:rsidRPr="003463C3" w:rsidP="00950F50" w14:paraId="185DEFC0" w14:textId="45B86399">
      <w:pPr>
        <w:pStyle w:val="FootnoteText"/>
        <w:rPr>
          <w:iCs/>
        </w:rPr>
      </w:pPr>
      <w:r>
        <w:rPr>
          <w:rStyle w:val="FootnoteReference"/>
        </w:rPr>
        <w:footnoteRef/>
      </w:r>
      <w:r>
        <w:t xml:space="preserve"> </w:t>
      </w:r>
      <w:r>
        <w:rPr>
          <w:rStyle w:val="Emphasis"/>
        </w:rPr>
        <w:t>Auction 901 Procedures Public Notice</w:t>
      </w:r>
      <w:r w:rsidRPr="00D649DA">
        <w:rPr>
          <w:rStyle w:val="Emphasis"/>
          <w:i w:val="0"/>
          <w:iCs w:val="0"/>
        </w:rPr>
        <w:t>,</w:t>
      </w:r>
      <w:r>
        <w:rPr>
          <w:rStyle w:val="Emphasis"/>
        </w:rPr>
        <w:t xml:space="preserve"> </w:t>
      </w:r>
      <w:r>
        <w:t xml:space="preserve">27 FCC </w:t>
      </w:r>
      <w:r>
        <w:t>Rcd</w:t>
      </w:r>
      <w:r>
        <w:t xml:space="preserve"> at 4748, para. 71.</w:t>
      </w:r>
    </w:p>
  </w:footnote>
  <w:footnote w:id="11">
    <w:p w:rsidR="00950F50" w:rsidRPr="008C6672" w:rsidP="00950F50" w14:paraId="66C357D6" w14:textId="532AC724">
      <w:pPr>
        <w:pStyle w:val="FootnoteText"/>
      </w:pPr>
      <w:r>
        <w:rPr>
          <w:rStyle w:val="FootnoteReference"/>
        </w:rPr>
        <w:footnoteRef/>
      </w:r>
      <w:r w:rsidR="0071596A">
        <w:t xml:space="preserve"> </w:t>
      </w:r>
      <w:r>
        <w:t xml:space="preserve">An Auction 901 winning bidder is required to provide service covering at least 75% of the eligible road miles </w:t>
      </w:r>
      <w:r w:rsidRPr="0096300F">
        <w:t xml:space="preserve">within the area covered by </w:t>
      </w:r>
      <w:r>
        <w:t xml:space="preserve">its </w:t>
      </w:r>
      <w:r w:rsidRPr="0096300F">
        <w:t>winning bid</w:t>
      </w:r>
      <w:r>
        <w:t>,</w:t>
      </w:r>
      <w:r w:rsidRPr="0096300F">
        <w:t xml:space="preserve"> </w:t>
      </w:r>
      <w:r>
        <w:t xml:space="preserve">and it </w:t>
      </w:r>
      <w:r w:rsidRPr="00C417F5">
        <w:t xml:space="preserve">will receive </w:t>
      </w:r>
      <w:r>
        <w:t xml:space="preserve">Mobility Fund </w:t>
      </w:r>
      <w:r w:rsidRPr="00C417F5">
        <w:t xml:space="preserve">support only for </w:t>
      </w:r>
      <w:r>
        <w:t>the</w:t>
      </w:r>
      <w:r w:rsidRPr="00C417F5">
        <w:t xml:space="preserve"> </w:t>
      </w:r>
      <w:r>
        <w:t xml:space="preserve">actual </w:t>
      </w:r>
      <w:r w:rsidRPr="00C417F5">
        <w:t>road miles covered</w:t>
      </w:r>
      <w:r>
        <w:t>, up to</w:t>
      </w:r>
      <w:r w:rsidRPr="00C417F5">
        <w:t xml:space="preserve"> 100</w:t>
      </w:r>
      <w:r>
        <w:t>%,</w:t>
      </w:r>
      <w:r w:rsidRPr="00C417F5">
        <w:t xml:space="preserve"> </w:t>
      </w:r>
      <w:r>
        <w:t>within that area</w:t>
      </w:r>
      <w:r w:rsidRPr="00C417F5">
        <w:t>.</w:t>
      </w:r>
      <w:r>
        <w:t xml:space="preserve">  </w:t>
      </w:r>
      <w:r w:rsidR="002A4A28">
        <w:t xml:space="preserve">Absent a waiver, a winning bidder that has been authorized to receive MF-I support will be required to repay </w:t>
      </w:r>
      <w:r w:rsidR="00203E70">
        <w:t>any</w:t>
      </w:r>
      <w:r w:rsidR="002A4A28">
        <w:t xml:space="preserve"> support it has received together with an additional performance default payment if it fails to meet its minimum coverage requirement by the specified deadline, fails to meet other service requirements, or fails to fulfill any other term or condition of support.  </w:t>
      </w:r>
      <w:r w:rsidRPr="00AE3045" w:rsidR="002A4A28">
        <w:rPr>
          <w:i/>
        </w:rPr>
        <w:t>See</w:t>
      </w:r>
      <w:r w:rsidR="002A4A28">
        <w:t xml:space="preserve"> </w:t>
      </w:r>
      <w:r w:rsidR="002A4A28">
        <w:rPr>
          <w:i/>
        </w:rPr>
        <w:t>USF/ICC Transformation Order</w:t>
      </w:r>
      <w:r w:rsidR="002A4A28">
        <w:t xml:space="preserve">, 26 FCC </w:t>
      </w:r>
      <w:r w:rsidR="002A4A28">
        <w:t>Rcd</w:t>
      </w:r>
      <w:r w:rsidR="002A4A28">
        <w:t xml:space="preserve"> at 17814, para. 461;</w:t>
      </w:r>
      <w:r w:rsidRPr="008C13C8" w:rsidR="002A4A28">
        <w:t xml:space="preserve"> </w:t>
      </w:r>
      <w:r w:rsidR="002A4A28">
        <w:rPr>
          <w:rStyle w:val="Emphasis"/>
        </w:rPr>
        <w:t xml:space="preserve">Auction 901 Procedures Public Notice, </w:t>
      </w:r>
      <w:r w:rsidR="002A4A28">
        <w:t xml:space="preserve">27 FCC </w:t>
      </w:r>
      <w:r w:rsidR="002A4A28">
        <w:t>Rcd</w:t>
      </w:r>
      <w:r w:rsidR="002A4A28">
        <w:t xml:space="preserve"> at 4777, para. 189; 47 CFR § 54.1006(f).  For Auction 901, the additional performance default payment was set at 10% of the total level of support for which the winning bidder is eligible.  </w:t>
      </w:r>
      <w:r w:rsidRPr="00EF0537" w:rsidR="002A4A28">
        <w:rPr>
          <w:i/>
        </w:rPr>
        <w:t>Auction 901 Procedures P</w:t>
      </w:r>
      <w:r w:rsidR="002A4A28">
        <w:rPr>
          <w:i/>
        </w:rPr>
        <w:t xml:space="preserve">ublic </w:t>
      </w:r>
      <w:r w:rsidRPr="00EF0537" w:rsidR="002A4A28">
        <w:rPr>
          <w:i/>
        </w:rPr>
        <w:t>N</w:t>
      </w:r>
      <w:r w:rsidR="002A4A28">
        <w:rPr>
          <w:i/>
        </w:rPr>
        <w:t>otice</w:t>
      </w:r>
      <w:r w:rsidR="002A4A28">
        <w:t xml:space="preserve">, 27 FCC </w:t>
      </w:r>
      <w:r w:rsidR="002A4A28">
        <w:t>Rcd</w:t>
      </w:r>
      <w:r w:rsidR="002A4A28">
        <w:t xml:space="preserve"> at 4777-78, paras. 189-92</w:t>
      </w:r>
      <w:r w:rsidRPr="004C5394" w:rsidR="002A4A28">
        <w:t>.</w:t>
      </w:r>
      <w:r w:rsidRPr="00866E1B" w:rsidR="002A4A28">
        <w:t xml:space="preserve"> </w:t>
      </w:r>
      <w:r w:rsidR="002A4A28">
        <w:t xml:space="preserve"> A winning bidder also could</w:t>
      </w:r>
      <w:r w:rsidRPr="00863DC8" w:rsidR="002A4A28">
        <w:t xml:space="preserve"> be disqualified from receiving </w:t>
      </w:r>
      <w:r w:rsidR="002021E5">
        <w:t>MF-</w:t>
      </w:r>
      <w:r w:rsidRPr="00863DC8" w:rsidR="002A4A28">
        <w:t>I support or other USF support</w:t>
      </w:r>
      <w:r w:rsidR="002A4A28">
        <w:t xml:space="preserve">.  47 CFR § 54.1006(f); </w:t>
      </w:r>
      <w:r w:rsidRPr="00B31905" w:rsidR="002A4A28">
        <w:rPr>
          <w:i/>
          <w:iCs/>
        </w:rPr>
        <w:t>see also</w:t>
      </w:r>
      <w:r w:rsidR="002A4A28">
        <w:t xml:space="preserve"> </w:t>
      </w:r>
      <w:r w:rsidRPr="00EF0537" w:rsidR="002A4A28">
        <w:rPr>
          <w:i/>
        </w:rPr>
        <w:t>Auction 901 Procedures P</w:t>
      </w:r>
      <w:r w:rsidR="002A4A28">
        <w:rPr>
          <w:i/>
        </w:rPr>
        <w:t xml:space="preserve">ublic </w:t>
      </w:r>
      <w:r w:rsidRPr="00EF0537" w:rsidR="002A4A28">
        <w:rPr>
          <w:i/>
        </w:rPr>
        <w:t>N</w:t>
      </w:r>
      <w:r w:rsidR="002A4A28">
        <w:rPr>
          <w:i/>
        </w:rPr>
        <w:t>otice</w:t>
      </w:r>
      <w:r w:rsidR="002A4A28">
        <w:t xml:space="preserve">, 27 FCC </w:t>
      </w:r>
      <w:r w:rsidR="002A4A28">
        <w:t>Rcd</w:t>
      </w:r>
      <w:r w:rsidR="002A4A28">
        <w:t xml:space="preserve"> at 4777, para. 190</w:t>
      </w:r>
      <w:r w:rsidRPr="004C5394" w:rsidR="002A4A28">
        <w:t>.</w:t>
      </w:r>
    </w:p>
  </w:footnote>
  <w:footnote w:id="12">
    <w:p w:rsidR="00950F50" w:rsidP="00950F50" w14:paraId="7A5A5576" w14:textId="77777777">
      <w:pPr>
        <w:pStyle w:val="FootnoteText"/>
      </w:pPr>
      <w:r>
        <w:rPr>
          <w:rStyle w:val="FootnoteReference"/>
        </w:rPr>
        <w:footnoteRef/>
      </w:r>
      <w:r>
        <w:t xml:space="preserve"> 47 CFR § 54.1006(a).</w:t>
      </w:r>
    </w:p>
  </w:footnote>
  <w:footnote w:id="13">
    <w:p w:rsidR="00950F50" w:rsidP="00950F50" w14:paraId="768D9829" w14:textId="77777777">
      <w:pPr>
        <w:pStyle w:val="FootnoteText"/>
      </w:pPr>
      <w:r>
        <w:rPr>
          <w:rStyle w:val="FootnoteReference"/>
        </w:rPr>
        <w:footnoteRef/>
      </w:r>
      <w:r>
        <w:t xml:space="preserve"> 47 CFR § 54.1006(b).</w:t>
      </w:r>
    </w:p>
  </w:footnote>
  <w:footnote w:id="14">
    <w:p w:rsidR="00950F50" w:rsidP="00950F50" w14:paraId="31134652" w14:textId="77777777">
      <w:pPr>
        <w:pStyle w:val="FootnoteText"/>
      </w:pPr>
      <w:r>
        <w:rPr>
          <w:rStyle w:val="FootnoteReference"/>
        </w:rPr>
        <w:footnoteRef/>
      </w:r>
      <w:r>
        <w:t xml:space="preserve"> 47 CFR § 54.1008(b)(1).  </w:t>
      </w:r>
    </w:p>
  </w:footnote>
  <w:footnote w:id="15">
    <w:p w:rsidR="00950F50" w:rsidP="00950F50" w14:paraId="4B7D8125" w14:textId="3A8D97E2">
      <w:pPr>
        <w:pStyle w:val="FootnoteText"/>
      </w:pPr>
      <w:r>
        <w:rPr>
          <w:rStyle w:val="FootnoteReference"/>
        </w:rPr>
        <w:footnoteRef/>
      </w:r>
      <w:r>
        <w:t xml:space="preserve"> 47 CFR § 54.1008(b)(2).  Recipients may request “the remainder of their total support” as a final disbursement upon completion of construction, after demonstrating coverage that meets the applicable requirements of section 54.1006 (a) or (b), as applicable.  47 CFR § 54.1008(b)(3)</w:t>
      </w:r>
      <w:r w:rsidR="000F56F5">
        <w:t>.</w:t>
      </w:r>
    </w:p>
  </w:footnote>
  <w:footnote w:id="16">
    <w:p w:rsidR="00950F50" w:rsidP="00950F50" w14:paraId="28D03B9D" w14:textId="358ED25C">
      <w:pPr>
        <w:pStyle w:val="FootnoteText"/>
      </w:pPr>
      <w:r>
        <w:rPr>
          <w:rStyle w:val="FootnoteReference"/>
        </w:rPr>
        <w:footnoteRef/>
      </w:r>
      <w:r>
        <w:t xml:space="preserve"> 47 CFR § 54.1008(b)(3).  </w:t>
      </w:r>
    </w:p>
  </w:footnote>
  <w:footnote w:id="17">
    <w:p w:rsidR="008D3A6E" w14:paraId="741C26AA" w14:textId="3A17DACB">
      <w:pPr>
        <w:pStyle w:val="FootnoteText"/>
      </w:pPr>
      <w:r>
        <w:rPr>
          <w:rStyle w:val="FootnoteReference"/>
        </w:rPr>
        <w:footnoteRef/>
      </w:r>
      <w:r>
        <w:t xml:space="preserve"> </w:t>
      </w:r>
      <w:r w:rsidR="00B70FE8">
        <w:t>For the Tinian tract, PTI Pacifica’s winning bid amount was $399,970.34</w:t>
      </w:r>
      <w:r w:rsidR="005E1EDF">
        <w:t>.  Following staff review of its long-form application</w:t>
      </w:r>
      <w:r w:rsidR="00B70FE8">
        <w:t>, it was authorized to receive an initial disbursement of $133,323.45.</w:t>
      </w:r>
      <w:r w:rsidR="000D5EF5">
        <w:t xml:space="preserve">  </w:t>
      </w:r>
      <w:r w:rsidRPr="006F17C5" w:rsidR="00724969">
        <w:rPr>
          <w:i/>
          <w:iCs/>
        </w:rPr>
        <w:t>Mobility Fund Phase I Support Authorized for 50 Winning Bids</w:t>
      </w:r>
      <w:r w:rsidRPr="006F17C5" w:rsidR="009203D9">
        <w:rPr>
          <w:i/>
          <w:iCs/>
        </w:rPr>
        <w:t>; Default on Six Auction 901 Winning Bids Determined</w:t>
      </w:r>
      <w:r w:rsidR="009203D9">
        <w:t xml:space="preserve">, </w:t>
      </w:r>
      <w:r w:rsidR="004A419F">
        <w:t xml:space="preserve">AU Docket No. 12-25, </w:t>
      </w:r>
      <w:r w:rsidR="006F17C5">
        <w:t xml:space="preserve">Public Notice, </w:t>
      </w:r>
      <w:r w:rsidR="00AC391C">
        <w:t xml:space="preserve">28 FCC </w:t>
      </w:r>
      <w:r w:rsidR="00AC391C">
        <w:t>Rcd</w:t>
      </w:r>
      <w:r w:rsidR="00AC391C">
        <w:t xml:space="preserve"> </w:t>
      </w:r>
      <w:r w:rsidR="009D6975">
        <w:t xml:space="preserve">12284, 12286 (WTB/WCB </w:t>
      </w:r>
      <w:r w:rsidR="00724969">
        <w:t>2013)</w:t>
      </w:r>
      <w:r w:rsidR="0035248F">
        <w:t xml:space="preserve"> (</w:t>
      </w:r>
      <w:r w:rsidRPr="0035248F" w:rsidR="0035248F">
        <w:rPr>
          <w:i/>
          <w:iCs/>
        </w:rPr>
        <w:t>MF-I Support Authorization</w:t>
      </w:r>
      <w:r w:rsidR="0035248F">
        <w:t>)</w:t>
      </w:r>
      <w:r w:rsidR="00430E8E">
        <w:t>.</w:t>
      </w:r>
    </w:p>
  </w:footnote>
  <w:footnote w:id="18">
    <w:p w:rsidR="00EA47D7" w14:paraId="288FB1EA" w14:textId="489E1CDA">
      <w:pPr>
        <w:pStyle w:val="FootnoteText"/>
      </w:pPr>
      <w:r>
        <w:rPr>
          <w:rStyle w:val="FootnoteReference"/>
        </w:rPr>
        <w:footnoteRef/>
      </w:r>
      <w:r>
        <w:t xml:space="preserve"> </w:t>
      </w:r>
      <w:r w:rsidR="00917CB1">
        <w:t>47 CFR § 54.1006(b).</w:t>
      </w:r>
    </w:p>
  </w:footnote>
  <w:footnote w:id="19">
    <w:p w:rsidR="00377566" w14:paraId="2C0A88E3" w14:textId="054D4A1F">
      <w:pPr>
        <w:pStyle w:val="FootnoteText"/>
      </w:pPr>
      <w:r>
        <w:rPr>
          <w:rStyle w:val="FootnoteReference"/>
        </w:rPr>
        <w:footnoteRef/>
      </w:r>
      <w:r>
        <w:t xml:space="preserve"> </w:t>
      </w:r>
      <w:r w:rsidR="0037109E">
        <w:t>Request at 2.</w:t>
      </w:r>
    </w:p>
  </w:footnote>
  <w:footnote w:id="20">
    <w:p w:rsidR="0079067D" w14:paraId="6CB553DC" w14:textId="50E9429B">
      <w:pPr>
        <w:pStyle w:val="FootnoteText"/>
      </w:pPr>
      <w:r>
        <w:rPr>
          <w:rStyle w:val="FootnoteReference"/>
        </w:rPr>
        <w:footnoteRef/>
      </w:r>
      <w:r>
        <w:t xml:space="preserve"> </w:t>
      </w:r>
      <w:r w:rsidRPr="00950F98" w:rsidR="00CC7380">
        <w:rPr>
          <w:i/>
          <w:iCs/>
        </w:rPr>
        <w:t>See</w:t>
      </w:r>
      <w:r w:rsidR="00CC7380">
        <w:t xml:space="preserve"> </w:t>
      </w:r>
      <w:r w:rsidRPr="00BE231E" w:rsidR="00BE231E">
        <w:rPr>
          <w:i/>
          <w:iCs/>
        </w:rPr>
        <w:t>generally</w:t>
      </w:r>
      <w:r w:rsidR="00BE231E">
        <w:t xml:space="preserve"> </w:t>
      </w:r>
      <w:r w:rsidR="00CC7380">
        <w:t xml:space="preserve">Request </w:t>
      </w:r>
      <w:r w:rsidR="00E377D6">
        <w:t xml:space="preserve">(initially seeking a one-year extension of the </w:t>
      </w:r>
      <w:r w:rsidR="009301CF">
        <w:t xml:space="preserve">MF-I </w:t>
      </w:r>
      <w:r w:rsidR="0037109E">
        <w:t>performance deadlines</w:t>
      </w:r>
      <w:r w:rsidR="009F39A2">
        <w:t xml:space="preserve"> for </w:t>
      </w:r>
      <w:r w:rsidR="0037109E">
        <w:t xml:space="preserve">the Rota, </w:t>
      </w:r>
      <w:r w:rsidR="0037109E">
        <w:t>Marpi</w:t>
      </w:r>
      <w:r w:rsidR="0037109E">
        <w:t>, and Tinian census tracts</w:t>
      </w:r>
      <w:r w:rsidR="00950F98">
        <w:t>).</w:t>
      </w:r>
    </w:p>
  </w:footnote>
  <w:footnote w:id="21">
    <w:p w:rsidR="00873F23" w:rsidP="00873F23" w14:paraId="4B687908" w14:textId="39807D2D">
      <w:pPr>
        <w:pStyle w:val="FootnoteText"/>
      </w:pPr>
      <w:r>
        <w:rPr>
          <w:rStyle w:val="FootnoteReference"/>
        </w:rPr>
        <w:footnoteRef/>
      </w:r>
      <w:r>
        <w:t xml:space="preserve"> Request at 1, 7.</w:t>
      </w:r>
    </w:p>
  </w:footnote>
  <w:footnote w:id="22">
    <w:p w:rsidR="0010583C" w14:paraId="58A92584" w14:textId="0A4CC34E">
      <w:pPr>
        <w:pStyle w:val="FootnoteText"/>
      </w:pPr>
      <w:r>
        <w:rPr>
          <w:rStyle w:val="FootnoteReference"/>
        </w:rPr>
        <w:footnoteRef/>
      </w:r>
      <w:r>
        <w:t xml:space="preserve"> </w:t>
      </w:r>
      <w:r w:rsidRPr="00FE5B2F">
        <w:rPr>
          <w:i/>
          <w:iCs/>
        </w:rPr>
        <w:t>See generally</w:t>
      </w:r>
      <w:r w:rsidR="00FE5B2F">
        <w:t xml:space="preserve"> First Supplement; Second Supplement; Third Supplement; Fourth Supplement; Fifth Supplement</w:t>
      </w:r>
      <w:r w:rsidR="007554E8">
        <w:t>; Sixth Supplement</w:t>
      </w:r>
      <w:r w:rsidR="00FE5B2F">
        <w:t>.</w:t>
      </w:r>
    </w:p>
  </w:footnote>
  <w:footnote w:id="23">
    <w:p w:rsidR="001F6BDA" w14:paraId="279C5786" w14:textId="212B94DA">
      <w:pPr>
        <w:pStyle w:val="FootnoteText"/>
      </w:pPr>
      <w:r>
        <w:rPr>
          <w:rStyle w:val="FootnoteReference"/>
        </w:rPr>
        <w:footnoteRef/>
      </w:r>
      <w:r>
        <w:t xml:space="preserve"> Request</w:t>
      </w:r>
      <w:r w:rsidR="00F20436">
        <w:t xml:space="preserve"> at 7.</w:t>
      </w:r>
    </w:p>
  </w:footnote>
  <w:footnote w:id="24">
    <w:p w:rsidR="001B4E3C" w:rsidP="001B4E3C" w14:paraId="1DC6738B" w14:textId="4DCF256A">
      <w:pPr>
        <w:pStyle w:val="FootnoteText"/>
      </w:pPr>
      <w:r>
        <w:rPr>
          <w:rStyle w:val="FootnoteReference"/>
        </w:rPr>
        <w:footnoteRef/>
      </w:r>
      <w:r>
        <w:t xml:space="preserve"> </w:t>
      </w:r>
      <w:r w:rsidR="00295EF8">
        <w:rPr>
          <w:i/>
          <w:iCs/>
        </w:rPr>
        <w:t>I</w:t>
      </w:r>
      <w:r w:rsidR="00B92C73">
        <w:rPr>
          <w:i/>
          <w:iCs/>
        </w:rPr>
        <w:t>d</w:t>
      </w:r>
      <w:r>
        <w:t>.</w:t>
      </w:r>
    </w:p>
  </w:footnote>
  <w:footnote w:id="25">
    <w:p w:rsidR="00FC246F" w14:paraId="4F3E2224" w14:textId="2E5E912A">
      <w:pPr>
        <w:pStyle w:val="FootnoteText"/>
      </w:pPr>
      <w:r>
        <w:rPr>
          <w:rStyle w:val="FootnoteReference"/>
        </w:rPr>
        <w:footnoteRef/>
      </w:r>
      <w:r>
        <w:t xml:space="preserve"> </w:t>
      </w:r>
      <w:r>
        <w:rPr>
          <w:i/>
          <w:iCs/>
        </w:rPr>
        <w:t>Id</w:t>
      </w:r>
      <w:r>
        <w:t>.</w:t>
      </w:r>
    </w:p>
  </w:footnote>
  <w:footnote w:id="26">
    <w:p w:rsidR="00A21754" w14:paraId="10692AB0" w14:textId="316E835C">
      <w:pPr>
        <w:pStyle w:val="FootnoteText"/>
      </w:pPr>
      <w:r>
        <w:rPr>
          <w:rStyle w:val="FootnoteReference"/>
        </w:rPr>
        <w:footnoteRef/>
      </w:r>
      <w:r>
        <w:t xml:space="preserve"> </w:t>
      </w:r>
      <w:r w:rsidRPr="00CC61F5" w:rsidR="00CC61F5">
        <w:rPr>
          <w:i/>
          <w:iCs/>
        </w:rPr>
        <w:t>Id</w:t>
      </w:r>
      <w:r w:rsidR="00CC61F5">
        <w:t>.</w:t>
      </w:r>
      <w:r>
        <w:t xml:space="preserve"> at 1</w:t>
      </w:r>
      <w:r w:rsidR="00D86172">
        <w:t>, 7</w:t>
      </w:r>
      <w:r>
        <w:t>.</w:t>
      </w:r>
    </w:p>
  </w:footnote>
  <w:footnote w:id="27">
    <w:p w:rsidR="005575AA" w:rsidP="005575AA" w14:paraId="05D7ACB3" w14:textId="358E5A53">
      <w:pPr>
        <w:pStyle w:val="FootnoteText"/>
      </w:pPr>
      <w:r>
        <w:rPr>
          <w:rStyle w:val="FootnoteReference"/>
        </w:rPr>
        <w:footnoteRef/>
      </w:r>
      <w:r>
        <w:t xml:space="preserve"> </w:t>
      </w:r>
      <w:r w:rsidRPr="00282FFA" w:rsidR="00282FFA">
        <w:rPr>
          <w:i/>
          <w:iCs/>
        </w:rPr>
        <w:t>Id</w:t>
      </w:r>
      <w:r w:rsidR="00282FFA">
        <w:t>.</w:t>
      </w:r>
      <w:r>
        <w:t xml:space="preserve"> at 7.</w:t>
      </w:r>
    </w:p>
  </w:footnote>
  <w:footnote w:id="28">
    <w:p w:rsidR="005575AA" w:rsidP="005575AA" w14:paraId="3E0905BA" w14:textId="77777777">
      <w:pPr>
        <w:pStyle w:val="FootnoteText"/>
      </w:pPr>
      <w:r>
        <w:rPr>
          <w:rStyle w:val="FootnoteReference"/>
        </w:rPr>
        <w:footnoteRef/>
      </w:r>
      <w:r>
        <w:t xml:space="preserve"> </w:t>
      </w:r>
      <w:r w:rsidRPr="00CC61F5">
        <w:rPr>
          <w:i/>
          <w:iCs/>
        </w:rPr>
        <w:t>Id</w:t>
      </w:r>
      <w:r>
        <w:t>.</w:t>
      </w:r>
    </w:p>
  </w:footnote>
  <w:footnote w:id="29">
    <w:p w:rsidR="005575AA" w:rsidP="005575AA" w14:paraId="7B2D8678" w14:textId="77777777">
      <w:pPr>
        <w:pStyle w:val="FootnoteText"/>
      </w:pPr>
      <w:r>
        <w:rPr>
          <w:rStyle w:val="FootnoteReference"/>
        </w:rPr>
        <w:footnoteRef/>
      </w:r>
      <w:r>
        <w:t xml:space="preserve"> </w:t>
      </w:r>
      <w:r w:rsidRPr="00CC61F5">
        <w:rPr>
          <w:i/>
          <w:iCs/>
        </w:rPr>
        <w:t>Id</w:t>
      </w:r>
      <w:r>
        <w:t>.</w:t>
      </w:r>
    </w:p>
  </w:footnote>
  <w:footnote w:id="30">
    <w:p w:rsidR="005575AA" w:rsidP="005575AA" w14:paraId="1C8C98A4" w14:textId="77777777">
      <w:pPr>
        <w:pStyle w:val="FootnoteText"/>
      </w:pPr>
      <w:r>
        <w:rPr>
          <w:rStyle w:val="FootnoteReference"/>
        </w:rPr>
        <w:footnoteRef/>
      </w:r>
      <w:r>
        <w:t xml:space="preserve"> </w:t>
      </w:r>
      <w:r w:rsidRPr="00CC61F5">
        <w:rPr>
          <w:i/>
          <w:iCs/>
        </w:rPr>
        <w:t>Id</w:t>
      </w:r>
      <w:r>
        <w:t>. at 7-8.</w:t>
      </w:r>
    </w:p>
  </w:footnote>
  <w:footnote w:id="31">
    <w:p w:rsidR="001B4E3C" w:rsidP="001B4E3C" w14:paraId="244933CA" w14:textId="77777777">
      <w:pPr>
        <w:pStyle w:val="FootnoteText"/>
      </w:pPr>
      <w:r>
        <w:rPr>
          <w:rStyle w:val="FootnoteReference"/>
        </w:rPr>
        <w:footnoteRef/>
      </w:r>
      <w:r>
        <w:t xml:space="preserve"> First Supplement at 1, 4.</w:t>
      </w:r>
    </w:p>
  </w:footnote>
  <w:footnote w:id="32">
    <w:p w:rsidR="001B4E3C" w:rsidP="001B4E3C" w14:paraId="27549EA8" w14:textId="77777777">
      <w:pPr>
        <w:pStyle w:val="FootnoteText"/>
      </w:pPr>
      <w:r>
        <w:rPr>
          <w:rStyle w:val="FootnoteReference"/>
        </w:rPr>
        <w:footnoteRef/>
      </w:r>
      <w:r>
        <w:t xml:space="preserve"> Second Supplement at 4.</w:t>
      </w:r>
    </w:p>
  </w:footnote>
  <w:footnote w:id="33">
    <w:p w:rsidR="001B4E3C" w:rsidP="001B4E3C" w14:paraId="74575770" w14:textId="4244BB62">
      <w:pPr>
        <w:pStyle w:val="FootnoteText"/>
      </w:pPr>
      <w:r>
        <w:rPr>
          <w:rStyle w:val="FootnoteReference"/>
        </w:rPr>
        <w:footnoteRef/>
      </w:r>
      <w:r>
        <w:t xml:space="preserve"> </w:t>
      </w:r>
      <w:r w:rsidRPr="00CC61F5" w:rsidR="00CC61F5">
        <w:rPr>
          <w:i/>
          <w:iCs/>
        </w:rPr>
        <w:t>Id</w:t>
      </w:r>
      <w:r w:rsidR="00CC61F5">
        <w:t xml:space="preserve">. </w:t>
      </w:r>
      <w:r>
        <w:t>at 2, 4.</w:t>
      </w:r>
    </w:p>
  </w:footnote>
  <w:footnote w:id="34">
    <w:p w:rsidR="001B4E3C" w:rsidP="001B4E3C" w14:paraId="55C25DAB" w14:textId="77777777">
      <w:pPr>
        <w:pStyle w:val="FootnoteText"/>
      </w:pPr>
      <w:r>
        <w:rPr>
          <w:rStyle w:val="FootnoteReference"/>
        </w:rPr>
        <w:footnoteRef/>
      </w:r>
      <w:r>
        <w:t xml:space="preserve"> Third Supplement at 2, 4.</w:t>
      </w:r>
    </w:p>
  </w:footnote>
  <w:footnote w:id="35">
    <w:p w:rsidR="001B4E3C" w:rsidP="001B4E3C" w14:paraId="1C905E3D" w14:textId="6BDB37A6">
      <w:pPr>
        <w:pStyle w:val="FootnoteText"/>
      </w:pPr>
      <w:r>
        <w:rPr>
          <w:rStyle w:val="FootnoteReference"/>
        </w:rPr>
        <w:footnoteRef/>
      </w:r>
      <w:r>
        <w:t xml:space="preserve"> Fourth Supplement at </w:t>
      </w:r>
      <w:r w:rsidR="0069731F">
        <w:t>2-</w:t>
      </w:r>
      <w:r>
        <w:t>4.</w:t>
      </w:r>
    </w:p>
  </w:footnote>
  <w:footnote w:id="36">
    <w:p w:rsidR="001B4E3C" w:rsidP="001B4E3C" w14:paraId="54314E39" w14:textId="77777777">
      <w:pPr>
        <w:pStyle w:val="FootnoteText"/>
      </w:pPr>
      <w:r>
        <w:rPr>
          <w:rStyle w:val="FootnoteReference"/>
        </w:rPr>
        <w:footnoteRef/>
      </w:r>
      <w:r>
        <w:t xml:space="preserve"> Fifth Supplement at 5.</w:t>
      </w:r>
    </w:p>
  </w:footnote>
  <w:footnote w:id="37">
    <w:p w:rsidR="001722C0" w14:paraId="30CF4223" w14:textId="5B4A7EB2">
      <w:pPr>
        <w:pStyle w:val="FootnoteText"/>
      </w:pPr>
      <w:r>
        <w:rPr>
          <w:rStyle w:val="FootnoteReference"/>
        </w:rPr>
        <w:footnoteRef/>
      </w:r>
      <w:r>
        <w:t xml:space="preserve"> </w:t>
      </w:r>
      <w:r w:rsidRPr="00266004" w:rsidR="00266004">
        <w:rPr>
          <w:i/>
          <w:iCs/>
        </w:rPr>
        <w:t>Id</w:t>
      </w:r>
      <w:r w:rsidR="00266004">
        <w:t>.</w:t>
      </w:r>
    </w:p>
  </w:footnote>
  <w:footnote w:id="38">
    <w:p w:rsidR="0080429C" w14:paraId="0B1C2B41" w14:textId="5F261238">
      <w:pPr>
        <w:pStyle w:val="FootnoteText"/>
      </w:pPr>
      <w:r>
        <w:rPr>
          <w:rStyle w:val="FootnoteReference"/>
        </w:rPr>
        <w:footnoteRef/>
      </w:r>
      <w:r>
        <w:t xml:space="preserve"> </w:t>
      </w:r>
      <w:r w:rsidRPr="00CC61F5" w:rsidR="00CC61F5">
        <w:rPr>
          <w:i/>
          <w:iCs/>
        </w:rPr>
        <w:t>Id</w:t>
      </w:r>
      <w:r w:rsidR="00CC61F5">
        <w:t>.</w:t>
      </w:r>
    </w:p>
  </w:footnote>
  <w:footnote w:id="39">
    <w:p w:rsidR="0029269E" w14:paraId="303AD452" w14:textId="2F4D26E9">
      <w:pPr>
        <w:pStyle w:val="FootnoteText"/>
      </w:pPr>
      <w:r>
        <w:rPr>
          <w:rStyle w:val="FootnoteReference"/>
        </w:rPr>
        <w:footnoteRef/>
      </w:r>
      <w:r>
        <w:t xml:space="preserve"> </w:t>
      </w:r>
      <w:r w:rsidRPr="00CC61F5" w:rsidR="00CC61F5">
        <w:rPr>
          <w:i/>
          <w:iCs/>
        </w:rPr>
        <w:t>Id</w:t>
      </w:r>
      <w:r w:rsidR="00CC61F5">
        <w:t xml:space="preserve">. </w:t>
      </w:r>
      <w:r>
        <w:t>at 2, 6.</w:t>
      </w:r>
    </w:p>
  </w:footnote>
  <w:footnote w:id="40">
    <w:p w:rsidR="005629E0" w14:paraId="62986B7F" w14:textId="3D6716F5">
      <w:pPr>
        <w:pStyle w:val="FootnoteText"/>
      </w:pPr>
      <w:r>
        <w:rPr>
          <w:rStyle w:val="FootnoteReference"/>
        </w:rPr>
        <w:footnoteRef/>
      </w:r>
      <w:r>
        <w:t xml:space="preserve"> Sixth Supplement at 6.</w:t>
      </w:r>
    </w:p>
  </w:footnote>
  <w:footnote w:id="41">
    <w:p w:rsidR="007C36AC" w14:paraId="6D778267" w14:textId="610B5756">
      <w:pPr>
        <w:pStyle w:val="FootnoteText"/>
      </w:pPr>
      <w:r>
        <w:rPr>
          <w:rStyle w:val="FootnoteReference"/>
        </w:rPr>
        <w:footnoteRef/>
      </w:r>
      <w:r>
        <w:t xml:space="preserve"> </w:t>
      </w:r>
      <w:r w:rsidRPr="007C36AC">
        <w:rPr>
          <w:i/>
          <w:iCs/>
        </w:rPr>
        <w:t>Id</w:t>
      </w:r>
      <w:r>
        <w:t>.</w:t>
      </w:r>
    </w:p>
  </w:footnote>
  <w:footnote w:id="42">
    <w:p w:rsidR="00CE0D21" w14:paraId="1992EC2B" w14:textId="04CB6F0F">
      <w:pPr>
        <w:pStyle w:val="FootnoteText"/>
      </w:pPr>
      <w:r>
        <w:rPr>
          <w:rStyle w:val="FootnoteReference"/>
        </w:rPr>
        <w:footnoteRef/>
      </w:r>
      <w:r>
        <w:t xml:space="preserve"> </w:t>
      </w:r>
      <w:r w:rsidRPr="00CE0D21">
        <w:rPr>
          <w:i/>
          <w:iCs/>
        </w:rPr>
        <w:t>Id</w:t>
      </w:r>
      <w:r>
        <w:t>. at 7.</w:t>
      </w:r>
    </w:p>
  </w:footnote>
  <w:footnote w:id="43">
    <w:p w:rsidR="003B39CE" w14:paraId="0CFC1DF8" w14:textId="31607E26">
      <w:pPr>
        <w:pStyle w:val="FootnoteText"/>
      </w:pPr>
      <w:r>
        <w:rPr>
          <w:rStyle w:val="FootnoteReference"/>
        </w:rPr>
        <w:footnoteRef/>
      </w:r>
      <w:r>
        <w:t xml:space="preserve"> </w:t>
      </w:r>
      <w:r w:rsidRPr="003B39CE">
        <w:rPr>
          <w:i/>
          <w:iCs/>
        </w:rPr>
        <w:t>Id</w:t>
      </w:r>
      <w:r>
        <w:t>. at 2, 7.</w:t>
      </w:r>
    </w:p>
  </w:footnote>
  <w:footnote w:id="44">
    <w:p w:rsidR="00826A8C" w14:paraId="4A8B6F2E" w14:textId="036B5AEA">
      <w:pPr>
        <w:pStyle w:val="FootnoteText"/>
      </w:pPr>
      <w:r>
        <w:rPr>
          <w:rStyle w:val="FootnoteReference"/>
        </w:rPr>
        <w:footnoteRef/>
      </w:r>
      <w:r>
        <w:t xml:space="preserve"> </w:t>
      </w:r>
      <w:r w:rsidRPr="009575E4" w:rsidR="009575E4">
        <w:rPr>
          <w:i/>
          <w:iCs/>
        </w:rPr>
        <w:t>See, e.g</w:t>
      </w:r>
      <w:r w:rsidR="009575E4">
        <w:t>., First Supplement at 1-2.</w:t>
      </w:r>
    </w:p>
  </w:footnote>
  <w:footnote w:id="45">
    <w:p w:rsidR="00826A8C" w14:paraId="46B2F890" w14:textId="454582B8">
      <w:pPr>
        <w:pStyle w:val="FootnoteText"/>
      </w:pPr>
      <w:r>
        <w:rPr>
          <w:rStyle w:val="FootnoteReference"/>
        </w:rPr>
        <w:footnoteRef/>
      </w:r>
      <w:r>
        <w:t xml:space="preserve"> </w:t>
      </w:r>
      <w:r w:rsidRPr="00AC0BE2" w:rsidR="00AC0BE2">
        <w:rPr>
          <w:i/>
          <w:iCs/>
        </w:rPr>
        <w:t>See, e.g</w:t>
      </w:r>
      <w:r w:rsidR="00AC0BE2">
        <w:t>., Second Supplement at 3.</w:t>
      </w:r>
    </w:p>
  </w:footnote>
  <w:footnote w:id="46">
    <w:p w:rsidR="00234E69" w:rsidRPr="001D5905" w:rsidP="00234E69" w14:paraId="3E374D5E" w14:textId="77777777">
      <w:pPr>
        <w:pStyle w:val="FootnoteText"/>
        <w:rPr>
          <w:b/>
          <w:bCs/>
        </w:rPr>
      </w:pPr>
      <w:r>
        <w:rPr>
          <w:rStyle w:val="FootnoteReference"/>
        </w:rPr>
        <w:footnoteRef/>
      </w:r>
      <w:r>
        <w:t xml:space="preserve"> </w:t>
      </w:r>
      <w:r w:rsidRPr="007F4A5D">
        <w:t>47 CFR § 1.3</w:t>
      </w:r>
      <w:r>
        <w:t>.</w:t>
      </w:r>
    </w:p>
  </w:footnote>
  <w:footnote w:id="47">
    <w:p w:rsidR="00234E69" w:rsidP="00234E69" w14:paraId="6A9FD50E" w14:textId="590F2721">
      <w:pPr>
        <w:pStyle w:val="FootnoteText"/>
      </w:pPr>
      <w:r>
        <w:rPr>
          <w:rStyle w:val="FootnoteReference"/>
        </w:rPr>
        <w:footnoteRef/>
      </w:r>
      <w:r w:rsidRPr="006D05EB">
        <w:t xml:space="preserve"> </w:t>
      </w:r>
      <w:r w:rsidRPr="004853EF" w:rsidR="004853EF">
        <w:rPr>
          <w:i/>
          <w:iCs/>
        </w:rPr>
        <w:t>See</w:t>
      </w:r>
      <w:r w:rsidR="00A062B2">
        <w:rPr>
          <w:i/>
          <w:iCs/>
        </w:rPr>
        <w:t xml:space="preserve"> </w:t>
      </w:r>
      <w:r w:rsidR="0076522B">
        <w:rPr>
          <w:i/>
          <w:iCs/>
        </w:rPr>
        <w:t xml:space="preserve">East Kentucky Network, LLC d/b/a </w:t>
      </w:r>
      <w:r w:rsidR="0016201D">
        <w:rPr>
          <w:i/>
          <w:iCs/>
        </w:rPr>
        <w:t>Appalachian Wireless</w:t>
      </w:r>
      <w:r w:rsidR="0076522B">
        <w:rPr>
          <w:i/>
          <w:iCs/>
        </w:rPr>
        <w:t>, United States Cellular Corporation, GCI Communication Corp., Union Telephone Company, Requests for Waiver of the Performance rules for Mobility Fund Phase I and Tribal Mobility Fund Phase I</w:t>
      </w:r>
      <w:r w:rsidR="0076522B">
        <w:t xml:space="preserve">, WT Docket No. 10-208, Order, </w:t>
      </w:r>
      <w:r w:rsidR="0082795A">
        <w:t xml:space="preserve">36 FCC </w:t>
      </w:r>
      <w:r w:rsidR="0082795A">
        <w:t>Rcd</w:t>
      </w:r>
      <w:r w:rsidR="0082795A">
        <w:t xml:space="preserve"> </w:t>
      </w:r>
      <w:r w:rsidR="0076522B">
        <w:t xml:space="preserve">178, </w:t>
      </w:r>
      <w:r w:rsidR="002161E9">
        <w:t>188</w:t>
      </w:r>
      <w:r w:rsidR="0076522B">
        <w:t>, para. 2</w:t>
      </w:r>
      <w:r w:rsidR="002161E9">
        <w:t>4</w:t>
      </w:r>
      <w:r w:rsidR="0076522B">
        <w:t xml:space="preserve"> (WCB/WTB/OEA 2021) (</w:t>
      </w:r>
      <w:r w:rsidR="0016201D">
        <w:rPr>
          <w:i/>
          <w:iCs/>
        </w:rPr>
        <w:t>Appalachian Wireless Order</w:t>
      </w:r>
      <w:r w:rsidR="0076522B">
        <w:t>)</w:t>
      </w:r>
      <w:r w:rsidR="004853EF">
        <w:t>;</w:t>
      </w:r>
      <w:r w:rsidRPr="001D5905">
        <w:rPr>
          <w:i/>
        </w:rPr>
        <w:t xml:space="preserve"> Standing Rock Telecommunications, Inc., Amended Request for Limited Waiver and Extension of Mobility Fund Phase I </w:t>
      </w:r>
      <w:r w:rsidRPr="00371AE2">
        <w:rPr>
          <w:i/>
        </w:rPr>
        <w:t>Public Interest Obligations</w:t>
      </w:r>
      <w:r w:rsidRPr="00371AE2">
        <w:t xml:space="preserve">, </w:t>
      </w:r>
      <w:r w:rsidRPr="00CE57F0">
        <w:t xml:space="preserve">WT Docket No. 10-208, Order, 34 FCC </w:t>
      </w:r>
      <w:r w:rsidRPr="00CE57F0">
        <w:t>Rcd</w:t>
      </w:r>
      <w:r w:rsidRPr="00CE57F0">
        <w:t xml:space="preserve"> 9598, 960</w:t>
      </w:r>
      <w:r w:rsidR="0062308C">
        <w:t>2</w:t>
      </w:r>
      <w:r w:rsidRPr="00CE57F0">
        <w:t>, para. 1</w:t>
      </w:r>
      <w:r>
        <w:t xml:space="preserve">1 (WCB/WTB/OEA 2019) </w:t>
      </w:r>
      <w:r w:rsidRPr="00CE57F0">
        <w:t xml:space="preserve"> (</w:t>
      </w:r>
      <w:r w:rsidRPr="001D5905">
        <w:rPr>
          <w:i/>
        </w:rPr>
        <w:t>Standing Rock Order</w:t>
      </w:r>
      <w:r w:rsidRPr="001D5905">
        <w:t xml:space="preserve">); </w:t>
      </w:r>
      <w:r w:rsidRPr="001D5905">
        <w:rPr>
          <w:i/>
        </w:rPr>
        <w:t>Leaco</w:t>
      </w:r>
      <w:r w:rsidRPr="001D5905">
        <w:rPr>
          <w:i/>
        </w:rPr>
        <w:t xml:space="preserve"> Rural Telephone Cooperative, Inc. and Pine Be</w:t>
      </w:r>
      <w:r>
        <w:rPr>
          <w:i/>
        </w:rPr>
        <w:t>l</w:t>
      </w:r>
      <w:r w:rsidRPr="001D5905">
        <w:rPr>
          <w:i/>
        </w:rPr>
        <w:t>t Cellular, Inc.</w:t>
      </w:r>
      <w:r w:rsidRPr="001D5905">
        <w:t xml:space="preserve">, WT Docket No. 10-208, Order, 31 FCC </w:t>
      </w:r>
      <w:r w:rsidRPr="001D5905">
        <w:t>Rcd</w:t>
      </w:r>
      <w:r w:rsidRPr="001D5905">
        <w:t xml:space="preserve"> 9001, 9006, para. </w:t>
      </w:r>
      <w:r>
        <w:t xml:space="preserve">15 (WTB 2016) </w:t>
      </w:r>
      <w:r w:rsidRPr="001D5905">
        <w:t xml:space="preserve"> (</w:t>
      </w:r>
      <w:r w:rsidRPr="001D5905">
        <w:rPr>
          <w:i/>
        </w:rPr>
        <w:t>Leaco</w:t>
      </w:r>
      <w:r w:rsidRPr="001D5905">
        <w:rPr>
          <w:i/>
        </w:rPr>
        <w:t>/Pine Belt Order</w:t>
      </w:r>
      <w:r w:rsidRPr="001D5905">
        <w:t xml:space="preserve">); </w:t>
      </w:r>
      <w:r w:rsidRPr="001D5905">
        <w:rPr>
          <w:i/>
        </w:rPr>
        <w:t>Ne. Cellular Tel. Co. v. FCC</w:t>
      </w:r>
      <w:r w:rsidRPr="001D5905">
        <w:t xml:space="preserve">, 897 F.2d 1164, 1166 (D.C. Cir. 1990) (citing </w:t>
      </w:r>
      <w:r w:rsidRPr="001D5905">
        <w:rPr>
          <w:i/>
        </w:rPr>
        <w:t>WAIT Radio v. FCC</w:t>
      </w:r>
      <w:r w:rsidRPr="001D5905">
        <w:t xml:space="preserve">, 418 F.2d 1153, 1159 (D.C. Cir. 1969), </w:t>
      </w:r>
      <w:r w:rsidRPr="001D5905">
        <w:rPr>
          <w:i/>
        </w:rPr>
        <w:t>cert. denied</w:t>
      </w:r>
      <w:r w:rsidRPr="001D5905">
        <w:t xml:space="preserve">, </w:t>
      </w:r>
      <w:r w:rsidR="004F4846">
        <w:t>409 U.S. 1027</w:t>
      </w:r>
      <w:r w:rsidRPr="001D5905">
        <w:t xml:space="preserve"> (1972)); </w:t>
      </w:r>
      <w:r w:rsidRPr="001D5905">
        <w:rPr>
          <w:i/>
        </w:rPr>
        <w:t>see also</w:t>
      </w:r>
      <w:r w:rsidRPr="001D5905">
        <w:t xml:space="preserve"> </w:t>
      </w:r>
      <w:r w:rsidRPr="001D5905">
        <w:rPr>
          <w:i/>
        </w:rPr>
        <w:t>NetworkIP</w:t>
      </w:r>
      <w:r w:rsidRPr="001D5905">
        <w:rPr>
          <w:i/>
        </w:rPr>
        <w:t>, LLC v. FCC</w:t>
      </w:r>
      <w:r w:rsidRPr="001D5905">
        <w:t>, 548 F.3d 116, 125-28 (D.C. Cir. 2008).</w:t>
      </w:r>
    </w:p>
  </w:footnote>
  <w:footnote w:id="48">
    <w:p w:rsidR="00DF7DF8" w:rsidP="00DF7DF8" w14:paraId="6B2F8EC1" w14:textId="2080536F">
      <w:pPr>
        <w:pStyle w:val="FootnoteText"/>
      </w:pPr>
      <w:r>
        <w:rPr>
          <w:rStyle w:val="FootnoteReference"/>
        </w:rPr>
        <w:footnoteRef/>
      </w:r>
      <w:r>
        <w:t xml:space="preserve"> </w:t>
      </w:r>
      <w:r w:rsidRPr="00236C94">
        <w:rPr>
          <w:i/>
          <w:iCs/>
        </w:rPr>
        <w:t>See</w:t>
      </w:r>
      <w:r>
        <w:t xml:space="preserve"> </w:t>
      </w:r>
      <w:r w:rsidRPr="00236C94">
        <w:rPr>
          <w:i/>
          <w:iCs/>
        </w:rPr>
        <w:t>USF/ICC Transformation Order</w:t>
      </w:r>
      <w:r>
        <w:t xml:space="preserve">, 26 FCC </w:t>
      </w:r>
      <w:r>
        <w:t>Rcd</w:t>
      </w:r>
      <w:r>
        <w:t xml:space="preserve"> at 17781, para. 322; </w:t>
      </w:r>
      <w:r w:rsidRPr="00236C94">
        <w:rPr>
          <w:i/>
          <w:iCs/>
        </w:rPr>
        <w:t>see also Auction 901 Procedures Public Notice</w:t>
      </w:r>
      <w:r>
        <w:t xml:space="preserve">, 27 FCC </w:t>
      </w:r>
      <w:r>
        <w:t>Rcd</w:t>
      </w:r>
      <w:r>
        <w:t xml:space="preserve"> at 4729, para. 8.</w:t>
      </w:r>
    </w:p>
  </w:footnote>
  <w:footnote w:id="49">
    <w:p w:rsidR="0036275A" w:rsidRPr="00E4514C" w:rsidP="0036275A" w14:paraId="45411BF4" w14:textId="20E53442">
      <w:pPr>
        <w:pStyle w:val="FootnoteText"/>
      </w:pPr>
      <w:r>
        <w:rPr>
          <w:rStyle w:val="FootnoteReference"/>
        </w:rPr>
        <w:footnoteRef/>
      </w:r>
      <w:r>
        <w:t xml:space="preserve"> </w:t>
      </w:r>
      <w:r>
        <w:rPr>
          <w:i/>
        </w:rPr>
        <w:t>Auction 901 Procedures Public Notice</w:t>
      </w:r>
      <w:r>
        <w:t xml:space="preserve">, 27 FCC </w:t>
      </w:r>
      <w:r>
        <w:t>Rcd</w:t>
      </w:r>
      <w:r>
        <w:t xml:space="preserve"> at 4748-49, paras. 71-77.</w:t>
      </w:r>
    </w:p>
  </w:footnote>
  <w:footnote w:id="50">
    <w:p w:rsidR="0036275A" w:rsidP="0036275A" w14:paraId="6DDA27CB" w14:textId="37B381C5">
      <w:pPr>
        <w:pStyle w:val="FootnoteText"/>
      </w:pPr>
      <w:r>
        <w:rPr>
          <w:rStyle w:val="FootnoteReference"/>
        </w:rPr>
        <w:footnoteRef/>
      </w:r>
      <w:r>
        <w:t xml:space="preserve"> </w:t>
      </w:r>
      <w:bookmarkStart w:id="2" w:name="_Hlk56434395"/>
      <w:r w:rsidRPr="00051E41">
        <w:rPr>
          <w:i/>
        </w:rPr>
        <w:t>See</w:t>
      </w:r>
      <w:r>
        <w:t xml:space="preserve"> </w:t>
      </w:r>
      <w:r w:rsidRPr="00AB251E">
        <w:rPr>
          <w:i/>
        </w:rPr>
        <w:t>Skybridge Spectrum Foundation</w:t>
      </w:r>
      <w:r>
        <w:t xml:space="preserve">, Order, 33 FCC </w:t>
      </w:r>
      <w:r>
        <w:t>Rcd</w:t>
      </w:r>
      <w:r>
        <w:t xml:space="preserve"> 8138, 8145, para. 17 (WTB</w:t>
      </w:r>
      <w:r w:rsidR="00150747">
        <w:t>-</w:t>
      </w:r>
      <w:r>
        <w:t xml:space="preserve">MD 2018); </w:t>
      </w:r>
      <w:r w:rsidRPr="00051E41">
        <w:rPr>
          <w:i/>
        </w:rPr>
        <w:t>Wireless Telecommunications Bureau Reminds Wireless Licensees of Construction Obligations</w:t>
      </w:r>
      <w:r w:rsidRPr="00BD6244">
        <w:t xml:space="preserve">, Public Notice, 32 FCC </w:t>
      </w:r>
      <w:r w:rsidRPr="00BD6244">
        <w:t>Rcd</w:t>
      </w:r>
      <w:r w:rsidRPr="00BD6244">
        <w:t xml:space="preserve"> 4802</w:t>
      </w:r>
      <w:r>
        <w:t>, 4802-05</w:t>
      </w:r>
      <w:r w:rsidRPr="00BD6244">
        <w:t xml:space="preserve"> (WTB 2017</w:t>
      </w:r>
      <w:r>
        <w:t>).</w:t>
      </w:r>
    </w:p>
    <w:bookmarkEnd w:id="2"/>
  </w:footnote>
  <w:footnote w:id="51">
    <w:p w:rsidR="0036275A" w:rsidRPr="006E3615" w:rsidP="0036275A" w14:paraId="653593E0" w14:textId="1866A464">
      <w:pPr>
        <w:pStyle w:val="FootnoteText"/>
      </w:pPr>
      <w:r w:rsidRPr="00B21805">
        <w:rPr>
          <w:rStyle w:val="FootnoteReference"/>
        </w:rPr>
        <w:footnoteRef/>
      </w:r>
      <w:r w:rsidRPr="00B21805">
        <w:t xml:space="preserve"> </w:t>
      </w:r>
      <w:r w:rsidRPr="00B21805">
        <w:rPr>
          <w:i/>
        </w:rPr>
        <w:t>See, e.g.</w:t>
      </w:r>
      <w:r w:rsidRPr="00B21805">
        <w:rPr>
          <w:iCs/>
        </w:rPr>
        <w:t>,</w:t>
      </w:r>
      <w:r w:rsidRPr="00B21805">
        <w:rPr>
          <w:i/>
        </w:rPr>
        <w:t xml:space="preserve"> </w:t>
      </w:r>
      <w:r w:rsidR="00725490">
        <w:rPr>
          <w:i/>
        </w:rPr>
        <w:t xml:space="preserve">Appalachian Wireless </w:t>
      </w:r>
      <w:r w:rsidRPr="006D7E6D" w:rsidR="006D7E6D">
        <w:rPr>
          <w:i/>
        </w:rPr>
        <w:t>Order</w:t>
      </w:r>
      <w:r w:rsidR="006D7E6D">
        <w:rPr>
          <w:iCs/>
        </w:rPr>
        <w:t xml:space="preserve">, 36 FCC </w:t>
      </w:r>
      <w:r w:rsidR="006D7E6D">
        <w:rPr>
          <w:iCs/>
        </w:rPr>
        <w:t>Rcd</w:t>
      </w:r>
      <w:r w:rsidR="006D7E6D">
        <w:rPr>
          <w:iCs/>
        </w:rPr>
        <w:t xml:space="preserve"> at </w:t>
      </w:r>
      <w:r w:rsidR="009B5972">
        <w:rPr>
          <w:iCs/>
        </w:rPr>
        <w:t>18</w:t>
      </w:r>
      <w:r w:rsidR="0077272C">
        <w:rPr>
          <w:iCs/>
        </w:rPr>
        <w:t>9</w:t>
      </w:r>
      <w:r w:rsidR="009B5972">
        <w:rPr>
          <w:iCs/>
        </w:rPr>
        <w:t>-</w:t>
      </w:r>
      <w:r w:rsidR="00EC09D9">
        <w:rPr>
          <w:iCs/>
        </w:rPr>
        <w:t>90</w:t>
      </w:r>
      <w:r w:rsidR="009B5972">
        <w:rPr>
          <w:iCs/>
        </w:rPr>
        <w:t>, para. 2</w:t>
      </w:r>
      <w:r w:rsidR="0077272C">
        <w:rPr>
          <w:iCs/>
        </w:rPr>
        <w:t>6 &amp; n.101</w:t>
      </w:r>
      <w:r w:rsidR="009B5972">
        <w:rPr>
          <w:iCs/>
        </w:rPr>
        <w:t>;</w:t>
      </w:r>
      <w:r w:rsidR="006D7E6D">
        <w:rPr>
          <w:iCs/>
        </w:rPr>
        <w:t xml:space="preserve"> </w:t>
      </w:r>
      <w:r w:rsidRPr="006D7E6D">
        <w:rPr>
          <w:i/>
        </w:rPr>
        <w:t>Standing</w:t>
      </w:r>
      <w:r w:rsidRPr="00B21805">
        <w:rPr>
          <w:i/>
        </w:rPr>
        <w:t xml:space="preserve"> Rock Order</w:t>
      </w:r>
      <w:r w:rsidRPr="00B21805">
        <w:rPr>
          <w:iCs/>
        </w:rPr>
        <w:t xml:space="preserve">, 34 FCC </w:t>
      </w:r>
      <w:r w:rsidRPr="00B21805">
        <w:rPr>
          <w:iCs/>
        </w:rPr>
        <w:t>Rcd</w:t>
      </w:r>
      <w:r w:rsidRPr="00B21805">
        <w:rPr>
          <w:iCs/>
        </w:rPr>
        <w:t xml:space="preserve"> at 9603-04, </w:t>
      </w:r>
      <w:r w:rsidRPr="00B21805">
        <w:t xml:space="preserve">para. 13 &amp; n.51; </w:t>
      </w:r>
      <w:r w:rsidRPr="00B21805">
        <w:rPr>
          <w:i/>
        </w:rPr>
        <w:t>Leaco</w:t>
      </w:r>
      <w:r w:rsidRPr="00B21805">
        <w:rPr>
          <w:i/>
        </w:rPr>
        <w:t>/Pine Belt Order</w:t>
      </w:r>
      <w:r w:rsidRPr="00B21805">
        <w:rPr>
          <w:iCs/>
        </w:rPr>
        <w:t xml:space="preserve">, 31 FCC </w:t>
      </w:r>
      <w:r w:rsidRPr="00B21805">
        <w:rPr>
          <w:iCs/>
        </w:rPr>
        <w:t>Rcd</w:t>
      </w:r>
      <w:r w:rsidRPr="00B21805">
        <w:rPr>
          <w:iCs/>
        </w:rPr>
        <w:t xml:space="preserve"> at</w:t>
      </w:r>
      <w:r w:rsidRPr="00B21805">
        <w:t xml:space="preserve"> 9006-07, para. 17</w:t>
      </w:r>
      <w:r w:rsidR="005A11C0">
        <w:t xml:space="preserve"> </w:t>
      </w:r>
      <w:r w:rsidRPr="00B21805">
        <w:t>&amp; n.47.</w:t>
      </w:r>
    </w:p>
  </w:footnote>
  <w:footnote w:id="52">
    <w:p w:rsidR="00942314" w14:paraId="5F875F13" w14:textId="78D41321">
      <w:pPr>
        <w:pStyle w:val="FootnoteText"/>
      </w:pPr>
      <w:r>
        <w:rPr>
          <w:rStyle w:val="FootnoteReference"/>
        </w:rPr>
        <w:footnoteRef/>
      </w:r>
      <w:r>
        <w:t xml:space="preserve"> </w:t>
      </w:r>
      <w:r w:rsidRPr="002715B8" w:rsidR="0030161E">
        <w:rPr>
          <w:i/>
          <w:iCs/>
        </w:rPr>
        <w:t>See, e.g</w:t>
      </w:r>
      <w:r w:rsidR="0030161E">
        <w:t xml:space="preserve">., </w:t>
      </w:r>
      <w:r w:rsidR="00A253D0">
        <w:t>Second Supplement at 4</w:t>
      </w:r>
      <w:r w:rsidR="000F4AC6">
        <w:t>;</w:t>
      </w:r>
      <w:r w:rsidR="00A253D0">
        <w:t xml:space="preserve"> Third Supplement at </w:t>
      </w:r>
      <w:r w:rsidR="000F4AC6">
        <w:t xml:space="preserve">3-4; Fourth Supplement at 3-4; Fifth Supplement at </w:t>
      </w:r>
      <w:r w:rsidR="002715B8">
        <w:t>4-6</w:t>
      </w:r>
      <w:r w:rsidR="006C51A8">
        <w:t>; Sixth Supplement at 4-7.</w:t>
      </w:r>
    </w:p>
  </w:footnote>
  <w:footnote w:id="53">
    <w:p w:rsidR="004F2E10" w:rsidP="004F2E10" w14:paraId="38298132" w14:textId="355D09DC">
      <w:pPr>
        <w:pStyle w:val="FootnoteText"/>
      </w:pPr>
      <w:r>
        <w:rPr>
          <w:rStyle w:val="FootnoteReference"/>
        </w:rPr>
        <w:footnoteRef/>
      </w:r>
      <w:r>
        <w:t xml:space="preserve"> </w:t>
      </w:r>
      <w:r w:rsidR="00E72A08">
        <w:t>We have explained that those</w:t>
      </w:r>
      <w:r w:rsidRPr="0085649E" w:rsidR="0085649E">
        <w:t xml:space="preserve"> grants should not be construed to diminish the important role of federal, state, and local regulatory processes.  </w:t>
      </w:r>
      <w:r w:rsidR="0085649E">
        <w:t>Such</w:t>
      </w:r>
      <w:r w:rsidRPr="0085649E" w:rsidR="0085649E">
        <w:t xml:space="preserve"> regulatory processes play a critical function in ensuring the lawfulness of tower construction, and Mobility Fund support recipients have an obligation to factor sufficient time into their construction schedules to allow for completion of regulatory reviews.  Rather, our</w:t>
      </w:r>
      <w:r w:rsidR="002C0DFC">
        <w:t xml:space="preserve"> </w:t>
      </w:r>
      <w:r w:rsidR="002222FE">
        <w:t>previous</w:t>
      </w:r>
      <w:r w:rsidRPr="0085649E" w:rsidR="0085649E">
        <w:t xml:space="preserve"> grant</w:t>
      </w:r>
      <w:r w:rsidR="002C0DFC">
        <w:t>s</w:t>
      </w:r>
      <w:r w:rsidRPr="0085649E" w:rsidR="0085649E">
        <w:t xml:space="preserve"> of </w:t>
      </w:r>
      <w:r w:rsidR="002C0DFC">
        <w:t>such</w:t>
      </w:r>
      <w:r w:rsidR="0085649E">
        <w:t xml:space="preserve"> </w:t>
      </w:r>
      <w:r w:rsidRPr="0085649E" w:rsidR="0085649E">
        <w:t>waiver</w:t>
      </w:r>
      <w:r w:rsidR="0085649E">
        <w:t xml:space="preserve"> requests</w:t>
      </w:r>
      <w:r w:rsidR="002C0DFC">
        <w:t xml:space="preserve"> </w:t>
      </w:r>
      <w:r w:rsidRPr="0085649E" w:rsidR="0085649E">
        <w:t>recognize</w:t>
      </w:r>
      <w:r w:rsidR="005837B8">
        <w:t>d</w:t>
      </w:r>
      <w:r w:rsidRPr="0085649E" w:rsidR="0085649E">
        <w:t xml:space="preserve"> that even with proper planning, unforeseeable delays that can neither be avoided nor controlled, particularly in some of the hardest to serve areas</w:t>
      </w:r>
      <w:r w:rsidR="009503ED">
        <w:t xml:space="preserve">, may sometimes </w:t>
      </w:r>
      <w:r w:rsidR="00975F05">
        <w:t>occur</w:t>
      </w:r>
      <w:r w:rsidRPr="0085649E" w:rsidR="0085649E">
        <w:t>.</w:t>
      </w:r>
      <w:r w:rsidR="00975F05">
        <w:t xml:space="preserve">  </w:t>
      </w:r>
      <w:r w:rsidRPr="00B21805" w:rsidR="00975F05">
        <w:rPr>
          <w:i/>
        </w:rPr>
        <w:t xml:space="preserve">See </w:t>
      </w:r>
      <w:r w:rsidR="00975F05">
        <w:rPr>
          <w:i/>
        </w:rPr>
        <w:t xml:space="preserve">Appalachian Wireless </w:t>
      </w:r>
      <w:r w:rsidRPr="006D7E6D" w:rsidR="00975F05">
        <w:rPr>
          <w:i/>
        </w:rPr>
        <w:t>Order</w:t>
      </w:r>
      <w:r w:rsidR="00975F05">
        <w:rPr>
          <w:iCs/>
        </w:rPr>
        <w:t xml:space="preserve">, 36 FCC </w:t>
      </w:r>
      <w:r w:rsidR="00975F05">
        <w:rPr>
          <w:iCs/>
        </w:rPr>
        <w:t>Rcd</w:t>
      </w:r>
      <w:r w:rsidR="00975F05">
        <w:rPr>
          <w:iCs/>
        </w:rPr>
        <w:t xml:space="preserve"> at</w:t>
      </w:r>
      <w:r w:rsidR="00C121B1">
        <w:rPr>
          <w:iCs/>
        </w:rPr>
        <w:t xml:space="preserve"> </w:t>
      </w:r>
      <w:r w:rsidR="00EE1740">
        <w:rPr>
          <w:iCs/>
        </w:rPr>
        <w:t>190-91</w:t>
      </w:r>
      <w:r w:rsidR="00822EFC">
        <w:rPr>
          <w:iCs/>
        </w:rPr>
        <w:t>, para. 28.</w:t>
      </w:r>
    </w:p>
  </w:footnote>
  <w:footnote w:id="54">
    <w:p w:rsidR="00B44A80" w14:paraId="7BD5CFB6" w14:textId="405F5597">
      <w:pPr>
        <w:pStyle w:val="FootnoteText"/>
      </w:pPr>
      <w:r>
        <w:rPr>
          <w:rStyle w:val="FootnoteReference"/>
        </w:rPr>
        <w:footnoteRef/>
      </w:r>
      <w:r>
        <w:t xml:space="preserve"> </w:t>
      </w:r>
      <w:r w:rsidR="00F326B2">
        <w:rPr>
          <w:i/>
        </w:rPr>
        <w:t>See</w:t>
      </w:r>
      <w:r w:rsidR="00720D2F">
        <w:rPr>
          <w:i/>
        </w:rPr>
        <w:t xml:space="preserve"> </w:t>
      </w:r>
      <w:r w:rsidR="00F326B2">
        <w:rPr>
          <w:i/>
        </w:rPr>
        <w:t>Appalachian Wireless Order</w:t>
      </w:r>
      <w:r w:rsidR="00F326B2">
        <w:rPr>
          <w:iCs/>
        </w:rPr>
        <w:t>, 3</w:t>
      </w:r>
      <w:r w:rsidR="004C3479">
        <w:rPr>
          <w:iCs/>
        </w:rPr>
        <w:t>6</w:t>
      </w:r>
      <w:r w:rsidR="00F326B2">
        <w:rPr>
          <w:iCs/>
        </w:rPr>
        <w:t xml:space="preserve"> FCC </w:t>
      </w:r>
      <w:r w:rsidR="00F326B2">
        <w:rPr>
          <w:iCs/>
        </w:rPr>
        <w:t>Rcd</w:t>
      </w:r>
      <w:r w:rsidR="00F326B2">
        <w:rPr>
          <w:iCs/>
        </w:rPr>
        <w:t xml:space="preserve"> at</w:t>
      </w:r>
      <w:r w:rsidR="0047598B">
        <w:rPr>
          <w:iCs/>
        </w:rPr>
        <w:t xml:space="preserve"> </w:t>
      </w:r>
      <w:r w:rsidR="00667AD6">
        <w:rPr>
          <w:iCs/>
        </w:rPr>
        <w:t>180-88</w:t>
      </w:r>
      <w:r w:rsidR="00266379">
        <w:rPr>
          <w:iCs/>
        </w:rPr>
        <w:t xml:space="preserve">, </w:t>
      </w:r>
      <w:r w:rsidR="00160F08">
        <w:rPr>
          <w:iCs/>
        </w:rPr>
        <w:t>190</w:t>
      </w:r>
      <w:r w:rsidR="00C052D9">
        <w:rPr>
          <w:iCs/>
        </w:rPr>
        <w:t>-</w:t>
      </w:r>
      <w:r w:rsidR="00266379">
        <w:rPr>
          <w:iCs/>
        </w:rPr>
        <w:t>91</w:t>
      </w:r>
      <w:r w:rsidR="0047598B">
        <w:rPr>
          <w:iCs/>
        </w:rPr>
        <w:t xml:space="preserve">, paras. </w:t>
      </w:r>
      <w:r w:rsidR="00667AD6">
        <w:rPr>
          <w:iCs/>
        </w:rPr>
        <w:t>5-23</w:t>
      </w:r>
      <w:r w:rsidR="00266379">
        <w:rPr>
          <w:iCs/>
        </w:rPr>
        <w:t>, 2</w:t>
      </w:r>
      <w:r w:rsidR="00C052D9">
        <w:rPr>
          <w:iCs/>
        </w:rPr>
        <w:t>7</w:t>
      </w:r>
      <w:r w:rsidR="00266379">
        <w:rPr>
          <w:iCs/>
        </w:rPr>
        <w:t>-31</w:t>
      </w:r>
      <w:r w:rsidR="00F326B2">
        <w:rPr>
          <w:iCs/>
        </w:rPr>
        <w:t xml:space="preserve"> (granting requests</w:t>
      </w:r>
      <w:r w:rsidR="0047598B">
        <w:rPr>
          <w:iCs/>
        </w:rPr>
        <w:t xml:space="preserve"> for extensions</w:t>
      </w:r>
      <w:r w:rsidR="001F5051">
        <w:rPr>
          <w:iCs/>
        </w:rPr>
        <w:t xml:space="preserve"> ranging from three to eighteen months after the initial deadline</w:t>
      </w:r>
      <w:r w:rsidR="0047598B">
        <w:rPr>
          <w:iCs/>
        </w:rPr>
        <w:t>)</w:t>
      </w:r>
      <w:r w:rsidR="008D4D78">
        <w:rPr>
          <w:iCs/>
        </w:rPr>
        <w:t xml:space="preserve">; </w:t>
      </w:r>
      <w:r w:rsidRPr="00D3577D" w:rsidR="008D4D78">
        <w:rPr>
          <w:i/>
        </w:rPr>
        <w:t>Standing Rock Order</w:t>
      </w:r>
      <w:r w:rsidR="008D4D78">
        <w:rPr>
          <w:iCs/>
        </w:rPr>
        <w:t xml:space="preserve">, 34 FCC </w:t>
      </w:r>
      <w:r w:rsidR="008D4D78">
        <w:rPr>
          <w:iCs/>
        </w:rPr>
        <w:t>Rcd</w:t>
      </w:r>
      <w:r w:rsidR="008D4D78">
        <w:rPr>
          <w:iCs/>
        </w:rPr>
        <w:t xml:space="preserve"> at </w:t>
      </w:r>
      <w:r w:rsidR="005E1D80">
        <w:rPr>
          <w:iCs/>
        </w:rPr>
        <w:t>9600</w:t>
      </w:r>
      <w:r w:rsidR="00F05BE0">
        <w:rPr>
          <w:iCs/>
        </w:rPr>
        <w:t>, 96</w:t>
      </w:r>
      <w:r w:rsidR="00C052D9">
        <w:rPr>
          <w:iCs/>
        </w:rPr>
        <w:t>04</w:t>
      </w:r>
      <w:r w:rsidR="003E1673">
        <w:rPr>
          <w:iCs/>
        </w:rPr>
        <w:t>-</w:t>
      </w:r>
      <w:r w:rsidR="00F17D1D">
        <w:rPr>
          <w:iCs/>
        </w:rPr>
        <w:t>05</w:t>
      </w:r>
      <w:r w:rsidR="005E1D80">
        <w:rPr>
          <w:iCs/>
        </w:rPr>
        <w:t xml:space="preserve">, paras. 6, </w:t>
      </w:r>
      <w:r w:rsidR="003E1673">
        <w:rPr>
          <w:iCs/>
        </w:rPr>
        <w:t>14-</w:t>
      </w:r>
      <w:r w:rsidR="00F05BE0">
        <w:rPr>
          <w:iCs/>
        </w:rPr>
        <w:t xml:space="preserve">16 (granting a six-month request for waiver and extension); </w:t>
      </w:r>
      <w:r w:rsidRPr="00D3577D" w:rsidR="000404E3">
        <w:rPr>
          <w:i/>
        </w:rPr>
        <w:t>Leaco</w:t>
      </w:r>
      <w:r w:rsidRPr="00D3577D" w:rsidR="000404E3">
        <w:rPr>
          <w:i/>
        </w:rPr>
        <w:t>/Pine Belt Order</w:t>
      </w:r>
      <w:r w:rsidR="000404E3">
        <w:rPr>
          <w:iCs/>
        </w:rPr>
        <w:t xml:space="preserve">, 31 FCC </w:t>
      </w:r>
      <w:r w:rsidR="000404E3">
        <w:rPr>
          <w:iCs/>
        </w:rPr>
        <w:t>Rcd</w:t>
      </w:r>
      <w:r w:rsidR="000404E3">
        <w:rPr>
          <w:iCs/>
        </w:rPr>
        <w:t xml:space="preserve"> at </w:t>
      </w:r>
      <w:r w:rsidR="007167FB">
        <w:rPr>
          <w:iCs/>
        </w:rPr>
        <w:t>9003-04</w:t>
      </w:r>
      <w:r w:rsidR="00EF7DDB">
        <w:rPr>
          <w:iCs/>
        </w:rPr>
        <w:t>,</w:t>
      </w:r>
      <w:r w:rsidR="007167FB">
        <w:rPr>
          <w:iCs/>
        </w:rPr>
        <w:t xml:space="preserve"> 9</w:t>
      </w:r>
      <w:r w:rsidR="00CE1740">
        <w:rPr>
          <w:iCs/>
        </w:rPr>
        <w:t>006-07,</w:t>
      </w:r>
      <w:r w:rsidR="00EF7DDB">
        <w:rPr>
          <w:iCs/>
        </w:rPr>
        <w:t xml:space="preserve"> paras. 7, </w:t>
      </w:r>
      <w:r w:rsidR="004A52EF">
        <w:rPr>
          <w:iCs/>
        </w:rPr>
        <w:t>11,</w:t>
      </w:r>
      <w:r w:rsidR="00974CA5">
        <w:rPr>
          <w:iCs/>
        </w:rPr>
        <w:t xml:space="preserve"> 16-18</w:t>
      </w:r>
      <w:r w:rsidR="004A52EF">
        <w:rPr>
          <w:iCs/>
        </w:rPr>
        <w:t xml:space="preserve"> </w:t>
      </w:r>
      <w:r w:rsidR="000404E3">
        <w:rPr>
          <w:iCs/>
        </w:rPr>
        <w:t xml:space="preserve">(granting </w:t>
      </w:r>
      <w:r w:rsidR="00BF1914">
        <w:rPr>
          <w:iCs/>
        </w:rPr>
        <w:t>two</w:t>
      </w:r>
      <w:r w:rsidR="009E5A09">
        <w:rPr>
          <w:iCs/>
        </w:rPr>
        <w:t>-</w:t>
      </w:r>
      <w:r w:rsidR="00BF1914">
        <w:rPr>
          <w:iCs/>
        </w:rPr>
        <w:t>month and</w:t>
      </w:r>
      <w:r w:rsidR="009E5A09">
        <w:rPr>
          <w:iCs/>
        </w:rPr>
        <w:t xml:space="preserve"> </w:t>
      </w:r>
      <w:r w:rsidR="00BF1914">
        <w:rPr>
          <w:iCs/>
        </w:rPr>
        <w:t>six</w:t>
      </w:r>
      <w:r w:rsidR="009E5A09">
        <w:rPr>
          <w:iCs/>
        </w:rPr>
        <w:t>-</w:t>
      </w:r>
      <w:r w:rsidR="00BF1914">
        <w:rPr>
          <w:iCs/>
        </w:rPr>
        <w:t>month</w:t>
      </w:r>
      <w:r w:rsidR="009E5A09">
        <w:rPr>
          <w:iCs/>
        </w:rPr>
        <w:t xml:space="preserve"> requests for waiver and extension</w:t>
      </w:r>
      <w:r w:rsidR="00BF1914">
        <w:rPr>
          <w:iCs/>
        </w:rPr>
        <w:t>)</w:t>
      </w:r>
      <w:r w:rsidR="0047598B">
        <w:rPr>
          <w:iCs/>
        </w:rPr>
        <w:t>.</w:t>
      </w:r>
      <w:r w:rsidR="004539D8">
        <w:rPr>
          <w:iCs/>
        </w:rPr>
        <w:t xml:space="preserve">  </w:t>
      </w:r>
    </w:p>
  </w:footnote>
  <w:footnote w:id="55">
    <w:p w:rsidR="00491A67" w14:paraId="2A3A8D65" w14:textId="5C3A1D6D">
      <w:pPr>
        <w:pStyle w:val="FootnoteText"/>
      </w:pPr>
      <w:r>
        <w:rPr>
          <w:rStyle w:val="FootnoteReference"/>
        </w:rPr>
        <w:footnoteRef/>
      </w:r>
      <w:r>
        <w:t xml:space="preserve"> </w:t>
      </w:r>
      <w:r w:rsidR="007D0C2A">
        <w:rPr>
          <w:i/>
        </w:rPr>
        <w:t>See Appalachian Wireless Order</w:t>
      </w:r>
      <w:r w:rsidR="007D0C2A">
        <w:rPr>
          <w:iCs/>
        </w:rPr>
        <w:t>, 3</w:t>
      </w:r>
      <w:r w:rsidR="004C3479">
        <w:rPr>
          <w:iCs/>
        </w:rPr>
        <w:t>6</w:t>
      </w:r>
      <w:r w:rsidR="007D0C2A">
        <w:rPr>
          <w:iCs/>
        </w:rPr>
        <w:t xml:space="preserve"> FCC </w:t>
      </w:r>
      <w:r w:rsidR="007D0C2A">
        <w:rPr>
          <w:iCs/>
        </w:rPr>
        <w:t>Rcd</w:t>
      </w:r>
      <w:r w:rsidR="007D0C2A">
        <w:rPr>
          <w:iCs/>
        </w:rPr>
        <w:t xml:space="preserve"> at </w:t>
      </w:r>
      <w:r w:rsidR="00202135">
        <w:rPr>
          <w:iCs/>
        </w:rPr>
        <w:t>191</w:t>
      </w:r>
      <w:r w:rsidR="007D0C2A">
        <w:rPr>
          <w:iCs/>
        </w:rPr>
        <w:t xml:space="preserve">, para. 29; </w:t>
      </w:r>
      <w:r w:rsidRPr="00D3577D" w:rsidR="001E5E97">
        <w:rPr>
          <w:i/>
        </w:rPr>
        <w:t>Standing Rock Order</w:t>
      </w:r>
      <w:r w:rsidR="001E5E97">
        <w:rPr>
          <w:iCs/>
        </w:rPr>
        <w:t xml:space="preserve">, 34 FCC </w:t>
      </w:r>
      <w:r w:rsidR="001E5E97">
        <w:rPr>
          <w:iCs/>
        </w:rPr>
        <w:t>Rcd</w:t>
      </w:r>
      <w:r w:rsidR="001E5E97">
        <w:rPr>
          <w:iCs/>
        </w:rPr>
        <w:t xml:space="preserve"> at</w:t>
      </w:r>
      <w:r w:rsidR="00A75407">
        <w:rPr>
          <w:iCs/>
        </w:rPr>
        <w:t xml:space="preserve"> 9604, para. 15</w:t>
      </w:r>
      <w:r w:rsidR="001E5E97">
        <w:rPr>
          <w:iCs/>
        </w:rPr>
        <w:t xml:space="preserve">; </w:t>
      </w:r>
      <w:r w:rsidRPr="00D3577D" w:rsidR="001E5E97">
        <w:rPr>
          <w:i/>
        </w:rPr>
        <w:t>Leaco</w:t>
      </w:r>
      <w:r w:rsidRPr="00D3577D" w:rsidR="001E5E97">
        <w:rPr>
          <w:i/>
        </w:rPr>
        <w:t>/Pine Belt Order</w:t>
      </w:r>
      <w:r w:rsidR="001E5E97">
        <w:rPr>
          <w:iCs/>
        </w:rPr>
        <w:t xml:space="preserve">, 31 FCC </w:t>
      </w:r>
      <w:r w:rsidR="001E5E97">
        <w:rPr>
          <w:iCs/>
        </w:rPr>
        <w:t>Rcd</w:t>
      </w:r>
      <w:r w:rsidR="001E5E97">
        <w:rPr>
          <w:iCs/>
        </w:rPr>
        <w:t xml:space="preserve"> at</w:t>
      </w:r>
      <w:r w:rsidR="00C07953">
        <w:rPr>
          <w:iCs/>
        </w:rPr>
        <w:t xml:space="preserve"> </w:t>
      </w:r>
      <w:r w:rsidR="00CC4617">
        <w:rPr>
          <w:iCs/>
        </w:rPr>
        <w:t>9003-04</w:t>
      </w:r>
      <w:r w:rsidR="00C07953">
        <w:rPr>
          <w:iCs/>
        </w:rPr>
        <w:t>,</w:t>
      </w:r>
      <w:r w:rsidR="00F33611">
        <w:rPr>
          <w:iCs/>
        </w:rPr>
        <w:t xml:space="preserve"> 9005,</w:t>
      </w:r>
      <w:r w:rsidR="00C07953">
        <w:rPr>
          <w:iCs/>
        </w:rPr>
        <w:t xml:space="preserve"> paras. 9,</w:t>
      </w:r>
      <w:r w:rsidR="00F33611">
        <w:rPr>
          <w:iCs/>
        </w:rPr>
        <w:t xml:space="preserve"> 14. </w:t>
      </w:r>
      <w:r w:rsidR="00C07953">
        <w:rPr>
          <w:iCs/>
        </w:rPr>
        <w:t xml:space="preserve"> </w:t>
      </w:r>
    </w:p>
  </w:footnote>
  <w:footnote w:id="56">
    <w:p w:rsidR="0033676D" w:rsidP="0033676D" w14:paraId="0BCCA26B" w14:textId="77777777">
      <w:pPr>
        <w:pStyle w:val="FootnoteText"/>
      </w:pPr>
      <w:r>
        <w:rPr>
          <w:rStyle w:val="FootnoteReference"/>
        </w:rPr>
        <w:footnoteRef/>
      </w:r>
      <w:r>
        <w:t xml:space="preserve"> Request at 1; Sixth Supplement at 2.</w:t>
      </w:r>
    </w:p>
  </w:footnote>
  <w:footnote w:id="57">
    <w:p w:rsidR="00493282" w14:paraId="70B2D50C" w14:textId="1FB0E6D8">
      <w:pPr>
        <w:pStyle w:val="FootnoteText"/>
      </w:pPr>
      <w:r>
        <w:rPr>
          <w:rStyle w:val="FootnoteReference"/>
        </w:rPr>
        <w:footnoteRef/>
      </w:r>
      <w:r>
        <w:t xml:space="preserve"> </w:t>
      </w:r>
      <w:r w:rsidRPr="00236C94" w:rsidR="00D25050">
        <w:rPr>
          <w:i/>
          <w:iCs/>
        </w:rPr>
        <w:t>USF/ICC Transformation Order</w:t>
      </w:r>
      <w:r w:rsidR="00D25050">
        <w:t xml:space="preserve">, 26 FCC </w:t>
      </w:r>
      <w:r w:rsidR="00D25050">
        <w:t>Rcd</w:t>
      </w:r>
      <w:r w:rsidR="00D25050">
        <w:t xml:space="preserve"> at 17</w:t>
      </w:r>
      <w:r w:rsidR="006D1124">
        <w:t>674-75</w:t>
      </w:r>
      <w:r w:rsidR="00D25050">
        <w:t>, para. 28</w:t>
      </w:r>
      <w:r w:rsidR="007C6937">
        <w:t>;</w:t>
      </w:r>
      <w:r w:rsidR="007277DE">
        <w:t xml:space="preserve"> </w:t>
      </w:r>
      <w:r w:rsidR="007C6937">
        <w:rPr>
          <w:i/>
          <w:iCs/>
        </w:rPr>
        <w:t>s</w:t>
      </w:r>
      <w:r w:rsidRPr="00810174" w:rsidR="007277DE">
        <w:rPr>
          <w:i/>
          <w:iCs/>
        </w:rPr>
        <w:t>ee</w:t>
      </w:r>
      <w:r w:rsidR="007277DE">
        <w:t xml:space="preserve"> </w:t>
      </w:r>
      <w:r w:rsidRPr="00810174" w:rsidR="007277DE">
        <w:rPr>
          <w:i/>
          <w:iCs/>
        </w:rPr>
        <w:t>also</w:t>
      </w:r>
      <w:r w:rsidR="009073FC">
        <w:t xml:space="preserve"> 26 FCC </w:t>
      </w:r>
      <w:r w:rsidR="009073FC">
        <w:t>Rcd</w:t>
      </w:r>
      <w:r w:rsidR="009073FC">
        <w:t xml:space="preserve"> at 17</w:t>
      </w:r>
      <w:r w:rsidR="00552887">
        <w:t>816</w:t>
      </w:r>
      <w:r w:rsidR="009073FC">
        <w:t xml:space="preserve">, para. </w:t>
      </w:r>
      <w:r w:rsidR="00810174">
        <w:t>469 (</w:t>
      </w:r>
      <w:r w:rsidR="00473C28">
        <w:t xml:space="preserve">explaining that the Commission’s purpose </w:t>
      </w:r>
      <w:r w:rsidR="00810174">
        <w:t>“</w:t>
      </w:r>
      <w:r w:rsidR="007F10D2">
        <w:t>is to aggressively extend coverage</w:t>
      </w:r>
      <w:r w:rsidR="009A063A">
        <w:t>”).</w:t>
      </w:r>
    </w:p>
  </w:footnote>
  <w:footnote w:id="58">
    <w:p w:rsidR="00303290" w14:paraId="2A754E13" w14:textId="5698DFB1">
      <w:pPr>
        <w:pStyle w:val="FootnoteText"/>
      </w:pPr>
      <w:r>
        <w:rPr>
          <w:rStyle w:val="FootnoteReference"/>
        </w:rPr>
        <w:footnoteRef/>
      </w:r>
      <w:r>
        <w:t xml:space="preserve"> </w:t>
      </w:r>
      <w:r w:rsidR="000F717A">
        <w:rPr>
          <w:i/>
        </w:rPr>
        <w:t xml:space="preserve">See </w:t>
      </w:r>
      <w:r w:rsidRPr="00D3577D" w:rsidR="000F717A">
        <w:rPr>
          <w:i/>
        </w:rPr>
        <w:t>Standing Rock Order</w:t>
      </w:r>
      <w:r w:rsidR="000F717A">
        <w:rPr>
          <w:iCs/>
        </w:rPr>
        <w:t xml:space="preserve">, 34 FCC </w:t>
      </w:r>
      <w:r w:rsidR="000F717A">
        <w:rPr>
          <w:iCs/>
        </w:rPr>
        <w:t>Rcd</w:t>
      </w:r>
      <w:r w:rsidR="000F717A">
        <w:rPr>
          <w:iCs/>
        </w:rPr>
        <w:t xml:space="preserve"> at 9604-05, </w:t>
      </w:r>
      <w:r w:rsidR="000F717A">
        <w:t xml:space="preserve">paras. 14-15; </w:t>
      </w:r>
      <w:r w:rsidRPr="00D3577D" w:rsidR="000F717A">
        <w:rPr>
          <w:i/>
        </w:rPr>
        <w:t>Leaco</w:t>
      </w:r>
      <w:r w:rsidRPr="00D3577D" w:rsidR="000F717A">
        <w:rPr>
          <w:i/>
        </w:rPr>
        <w:t>/Pine Belt Order</w:t>
      </w:r>
      <w:r w:rsidR="000F717A">
        <w:rPr>
          <w:iCs/>
        </w:rPr>
        <w:t xml:space="preserve">, 31 FCC </w:t>
      </w:r>
      <w:r w:rsidR="000F717A">
        <w:rPr>
          <w:iCs/>
        </w:rPr>
        <w:t>Rcd</w:t>
      </w:r>
      <w:r w:rsidR="000F717A">
        <w:rPr>
          <w:iCs/>
        </w:rPr>
        <w:t xml:space="preserve"> at</w:t>
      </w:r>
      <w:r w:rsidR="000F717A">
        <w:t xml:space="preserve"> 9006-07, paras. 17-18.</w:t>
      </w:r>
    </w:p>
  </w:footnote>
  <w:footnote w:id="59">
    <w:p w:rsidR="007A421D" w14:paraId="320CCFD4" w14:textId="5287B1A2">
      <w:pPr>
        <w:pStyle w:val="FootnoteText"/>
      </w:pPr>
      <w:r>
        <w:rPr>
          <w:rStyle w:val="FootnoteReference"/>
        </w:rPr>
        <w:footnoteRef/>
      </w:r>
      <w:r>
        <w:t xml:space="preserve"> </w:t>
      </w:r>
      <w:r>
        <w:rPr>
          <w:i/>
          <w:iCs/>
        </w:rPr>
        <w:t>See</w:t>
      </w:r>
      <w:r w:rsidRPr="00024A70">
        <w:rPr>
          <w:i/>
          <w:iCs/>
        </w:rPr>
        <w:t xml:space="preserve"> </w:t>
      </w:r>
      <w:r w:rsidRPr="00236C94" w:rsidR="0085107A">
        <w:rPr>
          <w:i/>
          <w:iCs/>
        </w:rPr>
        <w:t>USF/ICC Transformation Order</w:t>
      </w:r>
      <w:r>
        <w:t xml:space="preserve">, 26 FCC </w:t>
      </w:r>
      <w:r>
        <w:t>Rcd</w:t>
      </w:r>
      <w:r>
        <w:t xml:space="preserve"> at 17810-11, para. 446 (“We also recognize that a Mobility Fund recipient’s failure to fulfill its obligations may impose significant costs on the Commission and higher support costs for USF.”).</w:t>
      </w:r>
    </w:p>
  </w:footnote>
  <w:footnote w:id="60">
    <w:p w:rsidR="000F5603" w:rsidRPr="008D764C" w:rsidP="000F5603" w14:paraId="3E3FEC83" w14:textId="51F41128">
      <w:pPr>
        <w:tabs>
          <w:tab w:val="center" w:pos="4680"/>
        </w:tabs>
        <w:suppressAutoHyphens/>
        <w:spacing w:after="120"/>
        <w:rPr>
          <w:spacing w:val="-2"/>
          <w:sz w:val="20"/>
        </w:rPr>
      </w:pPr>
      <w:r w:rsidRPr="003465DA">
        <w:rPr>
          <w:rStyle w:val="FootnoteReference"/>
        </w:rPr>
        <w:footnoteRef/>
      </w:r>
      <w:r w:rsidRPr="003465DA">
        <w:t xml:space="preserve"> </w:t>
      </w:r>
      <w:r w:rsidRPr="00152D81" w:rsidR="00152D81">
        <w:rPr>
          <w:i/>
          <w:iCs/>
          <w:sz w:val="20"/>
        </w:rPr>
        <w:t>See</w:t>
      </w:r>
      <w:r w:rsidR="00152D81">
        <w:t xml:space="preserve"> </w:t>
      </w:r>
      <w:r w:rsidRPr="003465DA">
        <w:rPr>
          <w:i/>
          <w:sz w:val="20"/>
        </w:rPr>
        <w:t>Appalachian Wireless Order</w:t>
      </w:r>
      <w:r w:rsidRPr="003465DA">
        <w:rPr>
          <w:iCs/>
          <w:sz w:val="20"/>
        </w:rPr>
        <w:t xml:space="preserve">, 36 FCC </w:t>
      </w:r>
      <w:r w:rsidRPr="003465DA">
        <w:rPr>
          <w:iCs/>
          <w:sz w:val="20"/>
        </w:rPr>
        <w:t>Rcd</w:t>
      </w:r>
      <w:r w:rsidRPr="003465DA">
        <w:rPr>
          <w:iCs/>
          <w:sz w:val="20"/>
        </w:rPr>
        <w:t xml:space="preserve"> at 189-90, para. 26; </w:t>
      </w:r>
      <w:r w:rsidRPr="003465DA">
        <w:rPr>
          <w:i/>
          <w:sz w:val="20"/>
        </w:rPr>
        <w:t>Standing Rock Order</w:t>
      </w:r>
      <w:r w:rsidRPr="003465DA">
        <w:rPr>
          <w:iCs/>
          <w:sz w:val="20"/>
        </w:rPr>
        <w:t xml:space="preserve">, 34 FCC </w:t>
      </w:r>
      <w:r w:rsidRPr="003465DA">
        <w:rPr>
          <w:iCs/>
          <w:sz w:val="20"/>
        </w:rPr>
        <w:t>Rcd</w:t>
      </w:r>
      <w:r w:rsidRPr="003465DA">
        <w:rPr>
          <w:iCs/>
          <w:sz w:val="20"/>
        </w:rPr>
        <w:t xml:space="preserve"> at 9603, </w:t>
      </w:r>
      <w:r w:rsidRPr="003465DA">
        <w:rPr>
          <w:sz w:val="20"/>
        </w:rPr>
        <w:t>para. 12;</w:t>
      </w:r>
      <w:r w:rsidRPr="003465DA">
        <w:rPr>
          <w:iCs/>
          <w:sz w:val="20"/>
        </w:rPr>
        <w:t xml:space="preserve"> </w:t>
      </w:r>
      <w:r w:rsidRPr="003465DA">
        <w:rPr>
          <w:i/>
          <w:sz w:val="20"/>
        </w:rPr>
        <w:t>Leaco</w:t>
      </w:r>
      <w:r w:rsidRPr="003465DA">
        <w:rPr>
          <w:i/>
          <w:sz w:val="20"/>
        </w:rPr>
        <w:t>/</w:t>
      </w:r>
      <w:r w:rsidRPr="003465DA">
        <w:rPr>
          <w:i/>
          <w:sz w:val="20"/>
        </w:rPr>
        <w:t>Pinebelt</w:t>
      </w:r>
      <w:r w:rsidRPr="003465DA">
        <w:rPr>
          <w:i/>
          <w:sz w:val="20"/>
        </w:rPr>
        <w:t xml:space="preserve"> Order</w:t>
      </w:r>
      <w:r w:rsidRPr="003465DA">
        <w:rPr>
          <w:sz w:val="20"/>
        </w:rPr>
        <w:t xml:space="preserve">, 31 FCC </w:t>
      </w:r>
      <w:r w:rsidRPr="003465DA">
        <w:rPr>
          <w:sz w:val="20"/>
        </w:rPr>
        <w:t>Rcd</w:t>
      </w:r>
      <w:r w:rsidRPr="003465DA">
        <w:rPr>
          <w:sz w:val="20"/>
        </w:rPr>
        <w:t xml:space="preserve"> at 9006, para. 16.</w:t>
      </w:r>
    </w:p>
  </w:footnote>
  <w:footnote w:id="61">
    <w:p w:rsidR="000F5603" w:rsidP="000F5603" w14:paraId="35612AFE" w14:textId="1FDC5536">
      <w:pPr>
        <w:pStyle w:val="FootnoteText"/>
      </w:pPr>
      <w:r>
        <w:rPr>
          <w:rStyle w:val="FootnoteReference"/>
        </w:rPr>
        <w:footnoteRef/>
      </w:r>
      <w:r>
        <w:t xml:space="preserve"> Request at 7</w:t>
      </w:r>
      <w:r w:rsidR="00A47D92">
        <w:t xml:space="preserve">. </w:t>
      </w:r>
    </w:p>
  </w:footnote>
  <w:footnote w:id="62">
    <w:p w:rsidR="00A47D92" w14:paraId="75624BA1" w14:textId="41833198">
      <w:pPr>
        <w:pStyle w:val="FootnoteText"/>
      </w:pPr>
      <w:r>
        <w:rPr>
          <w:rStyle w:val="FootnoteReference"/>
        </w:rPr>
        <w:footnoteRef/>
      </w:r>
      <w:r>
        <w:t xml:space="preserve"> </w:t>
      </w:r>
      <w:r w:rsidRPr="00A47D92">
        <w:rPr>
          <w:i/>
          <w:iCs/>
        </w:rPr>
        <w:t>See</w:t>
      </w:r>
      <w:r>
        <w:t xml:space="preserve"> </w:t>
      </w:r>
      <w:r w:rsidRPr="00E84CB4">
        <w:rPr>
          <w:i/>
        </w:rPr>
        <w:t>1998 Biennial Regulatory Review</w:t>
      </w:r>
      <w:r>
        <w:rPr>
          <w:i/>
        </w:rPr>
        <w:t>--</w:t>
      </w:r>
      <w:r w:rsidRPr="00E84CB4">
        <w:rPr>
          <w:i/>
        </w:rPr>
        <w:t>Streamlining of Mass Media Applications, Rules, And Processes et al.</w:t>
      </w:r>
      <w:r w:rsidRPr="00E84CB4">
        <w:t xml:space="preserve">, Memorandum Opinion and Order, 14 FCC </w:t>
      </w:r>
      <w:r w:rsidRPr="00E84CB4">
        <w:t>Rcd</w:t>
      </w:r>
      <w:r w:rsidRPr="00E84CB4">
        <w:t xml:space="preserve"> 17525, </w:t>
      </w:r>
      <w:r>
        <w:t>17539, para. 35</w:t>
      </w:r>
      <w:r w:rsidRPr="00E84CB4">
        <w:t xml:space="preserve"> (1999) (finding that the effects of delays due to inclement weather on construction timelines are adequately overcome by a three-year construction term making additional time unwarranted)</w:t>
      </w:r>
      <w:r>
        <w:t>.</w:t>
      </w:r>
    </w:p>
  </w:footnote>
  <w:footnote w:id="63">
    <w:p w:rsidR="00032754" w14:paraId="46815D80" w14:textId="3B3FBBCA">
      <w:pPr>
        <w:pStyle w:val="FootnoteText"/>
      </w:pPr>
      <w:r>
        <w:rPr>
          <w:rStyle w:val="FootnoteReference"/>
        </w:rPr>
        <w:footnoteRef/>
      </w:r>
      <w:r>
        <w:t xml:space="preserve"> </w:t>
      </w:r>
      <w:r w:rsidRPr="00032754">
        <w:rPr>
          <w:i/>
          <w:iCs/>
        </w:rPr>
        <w:t>See, e.g</w:t>
      </w:r>
      <w:r>
        <w:t>., Fifth Supplement at 6-7.</w:t>
      </w:r>
    </w:p>
  </w:footnote>
  <w:footnote w:id="64">
    <w:p w:rsidR="00920CD0" w:rsidP="00920CD0" w14:paraId="396BBCCD" w14:textId="77777777">
      <w:pPr>
        <w:pStyle w:val="FootnoteText"/>
      </w:pPr>
      <w:r>
        <w:rPr>
          <w:rStyle w:val="FootnoteReference"/>
        </w:rPr>
        <w:footnoteRef/>
      </w:r>
      <w:r>
        <w:t xml:space="preserve"> </w:t>
      </w:r>
      <w:r w:rsidRPr="00236C94">
        <w:rPr>
          <w:i/>
          <w:iCs/>
        </w:rPr>
        <w:t>USF/ICC Transformation Order</w:t>
      </w:r>
      <w:r>
        <w:t xml:space="preserve">, 26 FCC </w:t>
      </w:r>
      <w:r>
        <w:t>Rcd</w:t>
      </w:r>
      <w:r>
        <w:t xml:space="preserve"> at 17816, para. 469.</w:t>
      </w:r>
    </w:p>
  </w:footnote>
  <w:footnote w:id="65">
    <w:p w:rsidR="00456F92" w14:paraId="6D56155D" w14:textId="7BA601AB">
      <w:pPr>
        <w:pStyle w:val="FootnoteText"/>
      </w:pPr>
      <w:r>
        <w:rPr>
          <w:rStyle w:val="FootnoteReference"/>
        </w:rPr>
        <w:footnoteRef/>
      </w:r>
      <w:r>
        <w:t xml:space="preserve"> </w:t>
      </w:r>
      <w:r w:rsidRPr="00D44A2E" w:rsidR="00D44A2E">
        <w:rPr>
          <w:i/>
          <w:iCs/>
        </w:rPr>
        <w:t>S</w:t>
      </w:r>
      <w:r w:rsidR="00FD227F">
        <w:rPr>
          <w:i/>
        </w:rPr>
        <w:t>ee Appalachian Wireless Order</w:t>
      </w:r>
      <w:r w:rsidR="00FD227F">
        <w:rPr>
          <w:iCs/>
        </w:rPr>
        <w:t xml:space="preserve">, 36 FCC </w:t>
      </w:r>
      <w:r w:rsidR="00FD227F">
        <w:rPr>
          <w:iCs/>
        </w:rPr>
        <w:t>Rcd</w:t>
      </w:r>
      <w:r w:rsidR="00FD227F">
        <w:rPr>
          <w:iCs/>
        </w:rPr>
        <w:t xml:space="preserve"> at 191, para. 29; </w:t>
      </w:r>
      <w:r w:rsidRPr="00D3577D" w:rsidR="00FD227F">
        <w:rPr>
          <w:i/>
        </w:rPr>
        <w:t>Standing Rock Order</w:t>
      </w:r>
      <w:r w:rsidR="00FD227F">
        <w:rPr>
          <w:iCs/>
        </w:rPr>
        <w:t xml:space="preserve">, 34 FCC </w:t>
      </w:r>
      <w:r w:rsidR="00FD227F">
        <w:rPr>
          <w:iCs/>
        </w:rPr>
        <w:t>Rcd</w:t>
      </w:r>
      <w:r w:rsidR="00FD227F">
        <w:rPr>
          <w:iCs/>
        </w:rPr>
        <w:t xml:space="preserve"> at 9604, para. 15; </w:t>
      </w:r>
      <w:r w:rsidRPr="00D3577D" w:rsidR="00FD227F">
        <w:rPr>
          <w:i/>
        </w:rPr>
        <w:t>Leaco</w:t>
      </w:r>
      <w:r w:rsidRPr="00D3577D" w:rsidR="00FD227F">
        <w:rPr>
          <w:i/>
        </w:rPr>
        <w:t>/Pine Belt Order</w:t>
      </w:r>
      <w:r w:rsidR="00FD227F">
        <w:rPr>
          <w:iCs/>
        </w:rPr>
        <w:t xml:space="preserve">, 31 FCC </w:t>
      </w:r>
      <w:r w:rsidR="00FD227F">
        <w:rPr>
          <w:iCs/>
        </w:rPr>
        <w:t>Rcd</w:t>
      </w:r>
      <w:r w:rsidR="00FD227F">
        <w:rPr>
          <w:iCs/>
        </w:rPr>
        <w:t xml:space="preserve"> at 9003-04, 9005, paras. 9, 14; </w:t>
      </w:r>
      <w:r w:rsidR="00FD227F">
        <w:rPr>
          <w:i/>
        </w:rPr>
        <w:t>s</w:t>
      </w:r>
      <w:r w:rsidRPr="00D44A2E" w:rsidR="00D44A2E">
        <w:rPr>
          <w:i/>
          <w:iCs/>
        </w:rPr>
        <w:t>ee</w:t>
      </w:r>
      <w:r w:rsidR="00FD227F">
        <w:rPr>
          <w:i/>
          <w:iCs/>
        </w:rPr>
        <w:t xml:space="preserve"> also</w:t>
      </w:r>
      <w:r w:rsidR="00D44A2E">
        <w:t xml:space="preserve"> note </w:t>
      </w:r>
      <w:r w:rsidR="005A0939">
        <w:t>5</w:t>
      </w:r>
      <w:r w:rsidR="004D798A">
        <w:t>2</w:t>
      </w:r>
      <w:r w:rsidR="00D44A2E">
        <w:t>, above.</w:t>
      </w:r>
    </w:p>
  </w:footnote>
  <w:footnote w:id="66">
    <w:p w:rsidR="002A5C6F" w:rsidP="002A5C6F" w14:paraId="65568AA9" w14:textId="7E643323">
      <w:pPr>
        <w:pStyle w:val="FootnoteText"/>
      </w:pPr>
      <w:r>
        <w:rPr>
          <w:rStyle w:val="FootnoteReference"/>
        </w:rPr>
        <w:footnoteRef/>
      </w:r>
      <w:r>
        <w:t xml:space="preserve"> </w:t>
      </w:r>
      <w:r w:rsidR="007B5968">
        <w:rPr>
          <w:i/>
        </w:rPr>
        <w:t>See</w:t>
      </w:r>
      <w:r w:rsidR="006C4F65">
        <w:rPr>
          <w:i/>
        </w:rPr>
        <w:t>, e.g.</w:t>
      </w:r>
      <w:r w:rsidR="006C4F65">
        <w:rPr>
          <w:iCs/>
        </w:rPr>
        <w:t>,</w:t>
      </w:r>
      <w:r w:rsidR="007B5968">
        <w:rPr>
          <w:i/>
        </w:rPr>
        <w:t xml:space="preserve"> </w:t>
      </w:r>
      <w:r w:rsidRPr="00236C94" w:rsidR="006C4F65">
        <w:rPr>
          <w:i/>
          <w:iCs/>
        </w:rPr>
        <w:t>USF/ICC Transformation Order</w:t>
      </w:r>
      <w:r w:rsidR="006C4F65">
        <w:t xml:space="preserve">, 26 FCC </w:t>
      </w:r>
      <w:r w:rsidR="006C4F65">
        <w:t>Rcd</w:t>
      </w:r>
      <w:r w:rsidR="006C4F65">
        <w:t xml:space="preserve"> at 17781, para. 322; </w:t>
      </w:r>
      <w:r w:rsidR="007B5968">
        <w:rPr>
          <w:i/>
        </w:rPr>
        <w:t>Appalachian Wireless Order</w:t>
      </w:r>
      <w:r w:rsidR="007B5968">
        <w:rPr>
          <w:iCs/>
        </w:rPr>
        <w:t xml:space="preserve">, 36 FCC </w:t>
      </w:r>
      <w:r w:rsidR="007B5968">
        <w:rPr>
          <w:iCs/>
        </w:rPr>
        <w:t>Rcd</w:t>
      </w:r>
      <w:r w:rsidR="007B5968">
        <w:rPr>
          <w:iCs/>
        </w:rPr>
        <w:t xml:space="preserve"> at 191, para. 31</w:t>
      </w:r>
      <w:r>
        <w:rPr>
          <w:i/>
        </w:rPr>
        <w:t>.</w:t>
      </w:r>
    </w:p>
  </w:footnote>
  <w:footnote w:id="67">
    <w:p w:rsidR="003C35D1" w14:paraId="3A69EA61" w14:textId="6E4544B6">
      <w:pPr>
        <w:pStyle w:val="FootnoteText"/>
      </w:pPr>
      <w:r>
        <w:rPr>
          <w:rStyle w:val="FootnoteReference"/>
        </w:rPr>
        <w:footnoteRef/>
      </w:r>
      <w:r>
        <w:t xml:space="preserve"> </w:t>
      </w:r>
      <w:r w:rsidRPr="00236C94">
        <w:rPr>
          <w:i/>
          <w:iCs/>
        </w:rPr>
        <w:t>USF/ICC Transformation Order</w:t>
      </w:r>
      <w:r>
        <w:t xml:space="preserve">, 26 FCC </w:t>
      </w:r>
      <w:r>
        <w:t>Rcd</w:t>
      </w:r>
      <w:r>
        <w:t xml:space="preserve"> at </w:t>
      </w:r>
      <w:r w:rsidR="004514D3">
        <w:t>17673, para. 22</w:t>
      </w:r>
      <w:r w:rsidR="00FE1B47">
        <w:t xml:space="preserve"> (emphasis added)</w:t>
      </w:r>
      <w:r w:rsidR="004514D3">
        <w:t>.</w:t>
      </w:r>
    </w:p>
  </w:footnote>
  <w:footnote w:id="68">
    <w:p w:rsidR="00136846" w14:paraId="214607A7" w14:textId="5CD157E5">
      <w:pPr>
        <w:pStyle w:val="FootnoteText"/>
      </w:pPr>
      <w:r>
        <w:rPr>
          <w:rStyle w:val="FootnoteReference"/>
        </w:rPr>
        <w:footnoteRef/>
      </w:r>
      <w:r>
        <w:t xml:space="preserve"> </w:t>
      </w:r>
      <w:r w:rsidRPr="00CB70B6" w:rsidR="00CB70B6">
        <w:rPr>
          <w:i/>
          <w:iCs/>
        </w:rPr>
        <w:t>See</w:t>
      </w:r>
      <w:r w:rsidR="00CB70B6">
        <w:t xml:space="preserve"> </w:t>
      </w:r>
      <w:r w:rsidR="002F544E">
        <w:rPr>
          <w:rStyle w:val="Emphasis"/>
        </w:rPr>
        <w:t>Auction 901 Procedures Public Notice</w:t>
      </w:r>
      <w:r w:rsidRPr="00D649DA" w:rsidR="002F544E">
        <w:rPr>
          <w:rStyle w:val="Emphasis"/>
          <w:i w:val="0"/>
          <w:iCs w:val="0"/>
        </w:rPr>
        <w:t>,</w:t>
      </w:r>
      <w:r w:rsidR="002F544E">
        <w:rPr>
          <w:rStyle w:val="Emphasis"/>
        </w:rPr>
        <w:t xml:space="preserve"> </w:t>
      </w:r>
      <w:r w:rsidR="002F544E">
        <w:t xml:space="preserve">27 FCC </w:t>
      </w:r>
      <w:r w:rsidR="002F544E">
        <w:t>Rcd</w:t>
      </w:r>
      <w:r w:rsidR="002F544E">
        <w:t xml:space="preserve"> at 4748, para. 71.</w:t>
      </w:r>
    </w:p>
  </w:footnote>
  <w:footnote w:id="69">
    <w:p w:rsidR="0085746D" w14:paraId="4B27A157" w14:textId="0D4C6A27">
      <w:pPr>
        <w:pStyle w:val="FootnoteText"/>
      </w:pPr>
      <w:r>
        <w:rPr>
          <w:rStyle w:val="FootnoteReference"/>
        </w:rPr>
        <w:footnoteRef/>
      </w:r>
      <w:r>
        <w:t xml:space="preserve"> </w:t>
      </w:r>
      <w:r w:rsidR="005B3E44">
        <w:rPr>
          <w:i/>
          <w:iCs/>
        </w:rPr>
        <w:t>See, e.g.</w:t>
      </w:r>
      <w:r w:rsidR="005B3E44">
        <w:t xml:space="preserve">, </w:t>
      </w:r>
      <w:r w:rsidRPr="00236C94">
        <w:rPr>
          <w:i/>
          <w:iCs/>
        </w:rPr>
        <w:t>USF/ICC Transformation Order</w:t>
      </w:r>
      <w:r>
        <w:t xml:space="preserve">, 26 FCC </w:t>
      </w:r>
      <w:r>
        <w:t>Rcd</w:t>
      </w:r>
      <w:r>
        <w:t xml:space="preserve"> at 17816, para. 469</w:t>
      </w:r>
      <w:r w:rsidR="00787FE3">
        <w:t>.</w:t>
      </w:r>
    </w:p>
  </w:footnote>
  <w:footnote w:id="70">
    <w:p w:rsidR="00403A9A" w14:paraId="67F7E9CE" w14:textId="3BCEF49D">
      <w:pPr>
        <w:pStyle w:val="FootnoteText"/>
      </w:pPr>
      <w:r>
        <w:rPr>
          <w:rStyle w:val="FootnoteReference"/>
        </w:rPr>
        <w:footnoteRef/>
      </w:r>
      <w:r>
        <w:t xml:space="preserve"> </w:t>
      </w:r>
      <w:r w:rsidRPr="000E3CDF">
        <w:rPr>
          <w:i/>
          <w:iCs/>
        </w:rPr>
        <w:t xml:space="preserve">See </w:t>
      </w:r>
      <w:r w:rsidR="0085746D">
        <w:rPr>
          <w:i/>
          <w:iCs/>
        </w:rPr>
        <w:t>Auction 901 Procedures Public Notice</w:t>
      </w:r>
      <w:r>
        <w:t xml:space="preserve">. </w:t>
      </w:r>
      <w:r w:rsidR="005B3E44">
        <w:t xml:space="preserve">27 FCC </w:t>
      </w:r>
      <w:r w:rsidR="005B3E44">
        <w:t>Rcd</w:t>
      </w:r>
      <w:r w:rsidR="005B3E44">
        <w:t xml:space="preserve"> </w:t>
      </w:r>
      <w:r>
        <w:t xml:space="preserve">at </w:t>
      </w:r>
      <w:r w:rsidR="00AB0226">
        <w:t xml:space="preserve">4777, para. 190 (adopting a performance default payment for Auction 901 because </w:t>
      </w:r>
      <w:r w:rsidR="00144661">
        <w:t>a winning bidder’s “failure to fulfill its obligations may impose significant coasts on the Commission and higher support costs for</w:t>
      </w:r>
      <w:r w:rsidR="00D947A7">
        <w:t xml:space="preserve"> the [Universal Service Fund]</w:t>
      </w:r>
      <w:r w:rsidR="000E3CDF">
        <w:t>”)</w:t>
      </w:r>
      <w:r w:rsidR="00C17D34">
        <w:t xml:space="preserve">; </w:t>
      </w:r>
      <w:r w:rsidRPr="00506D0D" w:rsidR="00C17D34">
        <w:rPr>
          <w:i/>
          <w:iCs/>
        </w:rPr>
        <w:t>see also</w:t>
      </w:r>
      <w:r w:rsidR="00C17D34">
        <w:t xml:space="preserve"> </w:t>
      </w:r>
      <w:r w:rsidRPr="00236C94" w:rsidR="00506D0D">
        <w:rPr>
          <w:i/>
          <w:iCs/>
        </w:rPr>
        <w:t>USF/ICC Transformation Order</w:t>
      </w:r>
      <w:r w:rsidR="00506D0D">
        <w:t xml:space="preserve">, 26 FCC </w:t>
      </w:r>
      <w:r w:rsidR="00506D0D">
        <w:t>Rcd</w:t>
      </w:r>
      <w:r w:rsidR="00506D0D">
        <w:t xml:space="preserve"> at 17810-11, para. 446</w:t>
      </w:r>
      <w:r w:rsidR="000E3CDF">
        <w:t>.</w:t>
      </w:r>
    </w:p>
  </w:footnote>
  <w:footnote w:id="71">
    <w:p w:rsidR="00BE547F" w14:paraId="3172D39A" w14:textId="5BC93853">
      <w:pPr>
        <w:pStyle w:val="FootnoteText"/>
      </w:pPr>
      <w:r>
        <w:rPr>
          <w:rStyle w:val="FootnoteReference"/>
        </w:rPr>
        <w:footnoteRef/>
      </w:r>
      <w:r>
        <w:t xml:space="preserve"> 47 CFR </w:t>
      </w:r>
      <w:r w:rsidRPr="00EA54CF">
        <w:rPr>
          <w:szCs w:val="22"/>
        </w:rPr>
        <w:t>§</w:t>
      </w:r>
      <w:r>
        <w:rPr>
          <w:szCs w:val="22"/>
        </w:rPr>
        <w:t xml:space="preserve"> 54.1006(f).</w:t>
      </w:r>
    </w:p>
  </w:footnote>
  <w:footnote w:id="72">
    <w:p w:rsidR="00603ED4" w14:paraId="4834C87A" w14:textId="7749BAD2">
      <w:pPr>
        <w:pStyle w:val="FootnoteText"/>
      </w:pPr>
      <w:r>
        <w:rPr>
          <w:rStyle w:val="FootnoteReference"/>
        </w:rPr>
        <w:footnoteRef/>
      </w:r>
      <w:r>
        <w:t xml:space="preserve"> </w:t>
      </w:r>
      <w:r>
        <w:rPr>
          <w:rStyle w:val="Emphasis"/>
        </w:rPr>
        <w:t>Auction 901 Procedures Public Notice</w:t>
      </w:r>
      <w:r w:rsidRPr="009658DE">
        <w:rPr>
          <w:rStyle w:val="Emphasis"/>
          <w:i w:val="0"/>
          <w:iCs w:val="0"/>
        </w:rPr>
        <w:t>,</w:t>
      </w:r>
      <w:r>
        <w:rPr>
          <w:rStyle w:val="Emphasis"/>
        </w:rPr>
        <w:t xml:space="preserve"> </w:t>
      </w:r>
      <w:r>
        <w:t xml:space="preserve">27 FCC </w:t>
      </w:r>
      <w:r>
        <w:t>Rcd</w:t>
      </w:r>
      <w:r>
        <w:t xml:space="preserve"> at </w:t>
      </w:r>
      <w:r w:rsidR="00284833">
        <w:t>4777-78, paras. 189-92</w:t>
      </w:r>
      <w:r>
        <w:t>.</w:t>
      </w:r>
    </w:p>
  </w:footnote>
  <w:footnote w:id="73">
    <w:p w:rsidR="00942DB2" w:rsidRPr="00C46730" w:rsidP="00942DB2" w14:paraId="3651A721" w14:textId="3BAA0A04">
      <w:pPr>
        <w:rPr>
          <w:sz w:val="20"/>
        </w:rPr>
      </w:pPr>
      <w:r w:rsidRPr="00FF02B0">
        <w:rPr>
          <w:rStyle w:val="FootnoteReference"/>
        </w:rPr>
        <w:footnoteRef/>
      </w:r>
      <w:r w:rsidRPr="00C46730">
        <w:rPr>
          <w:sz w:val="20"/>
        </w:rPr>
        <w:t xml:space="preserve"> </w:t>
      </w:r>
      <w:r w:rsidRPr="00C46730">
        <w:rPr>
          <w:i/>
          <w:iCs/>
          <w:sz w:val="20"/>
        </w:rPr>
        <w:t>MF-I Support Authorization</w:t>
      </w:r>
      <w:r w:rsidRPr="00C46730">
        <w:rPr>
          <w:sz w:val="20"/>
        </w:rPr>
        <w:t xml:space="preserve">, 28 FCC </w:t>
      </w:r>
      <w:r w:rsidRPr="00C46730">
        <w:rPr>
          <w:sz w:val="20"/>
        </w:rPr>
        <w:t>Rcd</w:t>
      </w:r>
      <w:r w:rsidRPr="00C46730">
        <w:rPr>
          <w:sz w:val="20"/>
        </w:rPr>
        <w:t xml:space="preserve"> at 12286</w:t>
      </w:r>
      <w:r w:rsidRPr="00C46730">
        <w:rPr>
          <w:sz w:val="20"/>
        </w:rPr>
        <w:t xml:space="preserve">; </w:t>
      </w:r>
      <w:r w:rsidRPr="00C46730">
        <w:rPr>
          <w:i/>
          <w:iCs/>
          <w:sz w:val="20"/>
        </w:rPr>
        <w:t>see also Mobility Fund Phase I Auction Closes; Winning Bidders Announced for Auction 901</w:t>
      </w:r>
      <w:r w:rsidRPr="00C46730">
        <w:rPr>
          <w:sz w:val="20"/>
        </w:rPr>
        <w:t xml:space="preserve">, </w:t>
      </w:r>
      <w:r w:rsidR="00821988">
        <w:rPr>
          <w:sz w:val="20"/>
        </w:rPr>
        <w:t xml:space="preserve">AU Docket No. </w:t>
      </w:r>
      <w:r w:rsidR="00EF76A3">
        <w:rPr>
          <w:sz w:val="20"/>
        </w:rPr>
        <w:t xml:space="preserve">12-25, </w:t>
      </w:r>
      <w:r w:rsidRPr="00C46730">
        <w:rPr>
          <w:sz w:val="20"/>
        </w:rPr>
        <w:t xml:space="preserve">Public Notice, 27 FCC </w:t>
      </w:r>
      <w:r w:rsidRPr="00C46730">
        <w:rPr>
          <w:sz w:val="20"/>
        </w:rPr>
        <w:t>Rcd</w:t>
      </w:r>
      <w:r w:rsidRPr="00C46730">
        <w:rPr>
          <w:sz w:val="20"/>
        </w:rPr>
        <w:t xml:space="preserve"> 12031, 12041-42, paras. 42-43 (2012).</w:t>
      </w:r>
    </w:p>
    <w:p w:rsidR="0035248F" w14:paraId="18FCCD56" w14:textId="739EB0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3185B1" w14:textId="2C4CB25D">
    <w:pPr>
      <w:pStyle w:val="Header"/>
    </w:pPr>
    <w:r>
      <w:tab/>
    </w:r>
    <w:r>
      <w:t>Federal Communications Commission</w:t>
    </w:r>
    <w:r>
      <w:tab/>
    </w:r>
    <w:r w:rsidR="00950F50">
      <w:t xml:space="preserve">DA </w:t>
    </w:r>
    <w:r w:rsidR="0063129D">
      <w:t>23</w:t>
    </w:r>
    <w:r w:rsidR="00950F50">
      <w:t>-</w:t>
    </w:r>
    <w:r w:rsidR="00F25F1B">
      <w:t>276</w:t>
    </w:r>
  </w:p>
  <w:p w:rsidR="00D25FB5" w14:paraId="3AE2B1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BB235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1B98AD" w14:textId="0C6128B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9F33A3">
      <w:rPr>
        <w:spacing w:val="-2"/>
      </w:rPr>
      <w:t xml:space="preserve">DA </w:t>
    </w:r>
    <w:r w:rsidR="0063129D">
      <w:rPr>
        <w:spacing w:val="-2"/>
      </w:rPr>
      <w:t>23</w:t>
    </w:r>
    <w:r w:rsidR="009F33A3">
      <w:rPr>
        <w:spacing w:val="-2"/>
      </w:rPr>
      <w:t>-</w:t>
    </w:r>
    <w:r w:rsidR="00F25F1B">
      <w:rPr>
        <w:spacing w:val="-2"/>
      </w:rPr>
      <w:t>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EE6C2C5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A3"/>
    <w:rsid w:val="00000521"/>
    <w:rsid w:val="00000AC1"/>
    <w:rsid w:val="0000101B"/>
    <w:rsid w:val="0000161F"/>
    <w:rsid w:val="00001CFE"/>
    <w:rsid w:val="00003588"/>
    <w:rsid w:val="0000371F"/>
    <w:rsid w:val="00004988"/>
    <w:rsid w:val="00005092"/>
    <w:rsid w:val="000050EA"/>
    <w:rsid w:val="0000658F"/>
    <w:rsid w:val="00006E6E"/>
    <w:rsid w:val="000079F1"/>
    <w:rsid w:val="0001044E"/>
    <w:rsid w:val="00013347"/>
    <w:rsid w:val="00015D46"/>
    <w:rsid w:val="00020D07"/>
    <w:rsid w:val="00021AF2"/>
    <w:rsid w:val="00024A70"/>
    <w:rsid w:val="00032384"/>
    <w:rsid w:val="00032754"/>
    <w:rsid w:val="00033325"/>
    <w:rsid w:val="000336CD"/>
    <w:rsid w:val="00033B3F"/>
    <w:rsid w:val="00034664"/>
    <w:rsid w:val="0003545B"/>
    <w:rsid w:val="00036039"/>
    <w:rsid w:val="00037F90"/>
    <w:rsid w:val="000404E3"/>
    <w:rsid w:val="00041AB0"/>
    <w:rsid w:val="00041AB1"/>
    <w:rsid w:val="0004333A"/>
    <w:rsid w:val="00044766"/>
    <w:rsid w:val="00044F8A"/>
    <w:rsid w:val="00045028"/>
    <w:rsid w:val="0004513A"/>
    <w:rsid w:val="000456F1"/>
    <w:rsid w:val="00046E34"/>
    <w:rsid w:val="000510FB"/>
    <w:rsid w:val="00051D3C"/>
    <w:rsid w:val="00051E41"/>
    <w:rsid w:val="000535B2"/>
    <w:rsid w:val="00054326"/>
    <w:rsid w:val="00054FF2"/>
    <w:rsid w:val="00057007"/>
    <w:rsid w:val="00057EAD"/>
    <w:rsid w:val="0006014D"/>
    <w:rsid w:val="0006055F"/>
    <w:rsid w:val="0006120A"/>
    <w:rsid w:val="00061DDF"/>
    <w:rsid w:val="00063548"/>
    <w:rsid w:val="000677CC"/>
    <w:rsid w:val="00067BDE"/>
    <w:rsid w:val="0007097D"/>
    <w:rsid w:val="00071602"/>
    <w:rsid w:val="00071B4E"/>
    <w:rsid w:val="00074CA9"/>
    <w:rsid w:val="0007567A"/>
    <w:rsid w:val="00077111"/>
    <w:rsid w:val="00077A94"/>
    <w:rsid w:val="00080801"/>
    <w:rsid w:val="00082AF6"/>
    <w:rsid w:val="000833B8"/>
    <w:rsid w:val="00083E9F"/>
    <w:rsid w:val="000849C4"/>
    <w:rsid w:val="000860F1"/>
    <w:rsid w:val="000870BB"/>
    <w:rsid w:val="000873CD"/>
    <w:rsid w:val="0008750F"/>
    <w:rsid w:val="000875BF"/>
    <w:rsid w:val="00087A82"/>
    <w:rsid w:val="00090A73"/>
    <w:rsid w:val="00091E95"/>
    <w:rsid w:val="0009332F"/>
    <w:rsid w:val="00093B79"/>
    <w:rsid w:val="00093C43"/>
    <w:rsid w:val="0009442A"/>
    <w:rsid w:val="00095C7A"/>
    <w:rsid w:val="00095F87"/>
    <w:rsid w:val="00096049"/>
    <w:rsid w:val="00096752"/>
    <w:rsid w:val="00096D8C"/>
    <w:rsid w:val="0009717A"/>
    <w:rsid w:val="000971C2"/>
    <w:rsid w:val="000A28C8"/>
    <w:rsid w:val="000A78DD"/>
    <w:rsid w:val="000B2E53"/>
    <w:rsid w:val="000B306E"/>
    <w:rsid w:val="000B3937"/>
    <w:rsid w:val="000B4E2F"/>
    <w:rsid w:val="000B6626"/>
    <w:rsid w:val="000B7517"/>
    <w:rsid w:val="000B75FB"/>
    <w:rsid w:val="000C0B65"/>
    <w:rsid w:val="000C2DB7"/>
    <w:rsid w:val="000C38E9"/>
    <w:rsid w:val="000C459A"/>
    <w:rsid w:val="000C5A29"/>
    <w:rsid w:val="000C5F7E"/>
    <w:rsid w:val="000C663F"/>
    <w:rsid w:val="000C66F1"/>
    <w:rsid w:val="000C7775"/>
    <w:rsid w:val="000D03E3"/>
    <w:rsid w:val="000D15FD"/>
    <w:rsid w:val="000D1DBF"/>
    <w:rsid w:val="000D29E4"/>
    <w:rsid w:val="000D2F03"/>
    <w:rsid w:val="000D44C1"/>
    <w:rsid w:val="000D5EF5"/>
    <w:rsid w:val="000D6A15"/>
    <w:rsid w:val="000D6AEA"/>
    <w:rsid w:val="000E0188"/>
    <w:rsid w:val="000E05FE"/>
    <w:rsid w:val="000E2F31"/>
    <w:rsid w:val="000E3CDF"/>
    <w:rsid w:val="000E3D42"/>
    <w:rsid w:val="000E5FB0"/>
    <w:rsid w:val="000E7E49"/>
    <w:rsid w:val="000F15FF"/>
    <w:rsid w:val="000F3E2C"/>
    <w:rsid w:val="000F4AC6"/>
    <w:rsid w:val="000F5009"/>
    <w:rsid w:val="000F5603"/>
    <w:rsid w:val="000F56F5"/>
    <w:rsid w:val="000F5939"/>
    <w:rsid w:val="000F717A"/>
    <w:rsid w:val="001006C2"/>
    <w:rsid w:val="00102A88"/>
    <w:rsid w:val="001036FE"/>
    <w:rsid w:val="00104C7D"/>
    <w:rsid w:val="0010583C"/>
    <w:rsid w:val="00107A64"/>
    <w:rsid w:val="00107DB2"/>
    <w:rsid w:val="00110EE8"/>
    <w:rsid w:val="00111114"/>
    <w:rsid w:val="00113382"/>
    <w:rsid w:val="00115DDF"/>
    <w:rsid w:val="00116CB1"/>
    <w:rsid w:val="00116DAF"/>
    <w:rsid w:val="00117E49"/>
    <w:rsid w:val="00121574"/>
    <w:rsid w:val="00121D6F"/>
    <w:rsid w:val="00122BD5"/>
    <w:rsid w:val="001236EE"/>
    <w:rsid w:val="00123EA0"/>
    <w:rsid w:val="00126114"/>
    <w:rsid w:val="00127D7B"/>
    <w:rsid w:val="001311B1"/>
    <w:rsid w:val="00131C56"/>
    <w:rsid w:val="00133F79"/>
    <w:rsid w:val="00134BCD"/>
    <w:rsid w:val="00135FAB"/>
    <w:rsid w:val="00136846"/>
    <w:rsid w:val="00137D30"/>
    <w:rsid w:val="00140D91"/>
    <w:rsid w:val="001418A8"/>
    <w:rsid w:val="00142133"/>
    <w:rsid w:val="00142BFD"/>
    <w:rsid w:val="00143104"/>
    <w:rsid w:val="00143495"/>
    <w:rsid w:val="0014394C"/>
    <w:rsid w:val="00143D04"/>
    <w:rsid w:val="00144661"/>
    <w:rsid w:val="00145173"/>
    <w:rsid w:val="00145C9D"/>
    <w:rsid w:val="00146CEC"/>
    <w:rsid w:val="00147810"/>
    <w:rsid w:val="00150747"/>
    <w:rsid w:val="00151BDB"/>
    <w:rsid w:val="00151D5A"/>
    <w:rsid w:val="001520AA"/>
    <w:rsid w:val="001523F0"/>
    <w:rsid w:val="00152D81"/>
    <w:rsid w:val="001535A1"/>
    <w:rsid w:val="00154291"/>
    <w:rsid w:val="00155125"/>
    <w:rsid w:val="00156ADE"/>
    <w:rsid w:val="00156B2A"/>
    <w:rsid w:val="00157909"/>
    <w:rsid w:val="00160387"/>
    <w:rsid w:val="00160929"/>
    <w:rsid w:val="00160F08"/>
    <w:rsid w:val="00160FDD"/>
    <w:rsid w:val="00161826"/>
    <w:rsid w:val="0016201D"/>
    <w:rsid w:val="00163331"/>
    <w:rsid w:val="00165E61"/>
    <w:rsid w:val="0016654D"/>
    <w:rsid w:val="00167321"/>
    <w:rsid w:val="001675C9"/>
    <w:rsid w:val="001708A3"/>
    <w:rsid w:val="00170E12"/>
    <w:rsid w:val="001713AB"/>
    <w:rsid w:val="00171C53"/>
    <w:rsid w:val="001722C0"/>
    <w:rsid w:val="00172A5B"/>
    <w:rsid w:val="00174352"/>
    <w:rsid w:val="00174EF0"/>
    <w:rsid w:val="00175E59"/>
    <w:rsid w:val="001832D2"/>
    <w:rsid w:val="0018435A"/>
    <w:rsid w:val="001844D9"/>
    <w:rsid w:val="00185699"/>
    <w:rsid w:val="00185FC6"/>
    <w:rsid w:val="00187CCB"/>
    <w:rsid w:val="0019072A"/>
    <w:rsid w:val="001915B5"/>
    <w:rsid w:val="001923FB"/>
    <w:rsid w:val="00192860"/>
    <w:rsid w:val="001933E6"/>
    <w:rsid w:val="00193E8A"/>
    <w:rsid w:val="00194153"/>
    <w:rsid w:val="00194A66"/>
    <w:rsid w:val="00195B7B"/>
    <w:rsid w:val="00196352"/>
    <w:rsid w:val="00196DCF"/>
    <w:rsid w:val="00196FF4"/>
    <w:rsid w:val="0019768D"/>
    <w:rsid w:val="001A0600"/>
    <w:rsid w:val="001A0A6C"/>
    <w:rsid w:val="001A439A"/>
    <w:rsid w:val="001A5492"/>
    <w:rsid w:val="001B0CDE"/>
    <w:rsid w:val="001B1017"/>
    <w:rsid w:val="001B453B"/>
    <w:rsid w:val="001B4789"/>
    <w:rsid w:val="001B4C16"/>
    <w:rsid w:val="001B4D97"/>
    <w:rsid w:val="001B4E3C"/>
    <w:rsid w:val="001B5722"/>
    <w:rsid w:val="001B591F"/>
    <w:rsid w:val="001B622C"/>
    <w:rsid w:val="001B7AE2"/>
    <w:rsid w:val="001B7E21"/>
    <w:rsid w:val="001C0DEB"/>
    <w:rsid w:val="001C1DC8"/>
    <w:rsid w:val="001C3295"/>
    <w:rsid w:val="001C42E0"/>
    <w:rsid w:val="001C4634"/>
    <w:rsid w:val="001C4DE8"/>
    <w:rsid w:val="001C6A32"/>
    <w:rsid w:val="001C77F9"/>
    <w:rsid w:val="001D02DC"/>
    <w:rsid w:val="001D07C8"/>
    <w:rsid w:val="001D175D"/>
    <w:rsid w:val="001D1DBC"/>
    <w:rsid w:val="001D3F61"/>
    <w:rsid w:val="001D4BED"/>
    <w:rsid w:val="001D5749"/>
    <w:rsid w:val="001D586C"/>
    <w:rsid w:val="001D5905"/>
    <w:rsid w:val="001D5EA0"/>
    <w:rsid w:val="001D66BC"/>
    <w:rsid w:val="001D6BCF"/>
    <w:rsid w:val="001E01CA"/>
    <w:rsid w:val="001E2AA1"/>
    <w:rsid w:val="001E39DD"/>
    <w:rsid w:val="001E5A31"/>
    <w:rsid w:val="001E5E97"/>
    <w:rsid w:val="001E60BC"/>
    <w:rsid w:val="001E7868"/>
    <w:rsid w:val="001E7EEE"/>
    <w:rsid w:val="001F04DE"/>
    <w:rsid w:val="001F2833"/>
    <w:rsid w:val="001F33E2"/>
    <w:rsid w:val="001F427E"/>
    <w:rsid w:val="001F4993"/>
    <w:rsid w:val="001F5051"/>
    <w:rsid w:val="001F6BDA"/>
    <w:rsid w:val="00200884"/>
    <w:rsid w:val="00202135"/>
    <w:rsid w:val="002021E5"/>
    <w:rsid w:val="00202319"/>
    <w:rsid w:val="00203707"/>
    <w:rsid w:val="00203E70"/>
    <w:rsid w:val="002048FF"/>
    <w:rsid w:val="00206682"/>
    <w:rsid w:val="00206CA9"/>
    <w:rsid w:val="002102F1"/>
    <w:rsid w:val="00211EA8"/>
    <w:rsid w:val="00214FAC"/>
    <w:rsid w:val="00215250"/>
    <w:rsid w:val="002155B6"/>
    <w:rsid w:val="002161E9"/>
    <w:rsid w:val="00216919"/>
    <w:rsid w:val="00217A30"/>
    <w:rsid w:val="00217F0A"/>
    <w:rsid w:val="00220FB4"/>
    <w:rsid w:val="002215F2"/>
    <w:rsid w:val="002222FE"/>
    <w:rsid w:val="00226895"/>
    <w:rsid w:val="00226CF6"/>
    <w:rsid w:val="002301EC"/>
    <w:rsid w:val="002312F7"/>
    <w:rsid w:val="0023292F"/>
    <w:rsid w:val="00233F26"/>
    <w:rsid w:val="00233FC7"/>
    <w:rsid w:val="00234238"/>
    <w:rsid w:val="00234B82"/>
    <w:rsid w:val="00234E69"/>
    <w:rsid w:val="0023540F"/>
    <w:rsid w:val="002354E4"/>
    <w:rsid w:val="00235E2D"/>
    <w:rsid w:val="00236C94"/>
    <w:rsid w:val="00236F1E"/>
    <w:rsid w:val="00237592"/>
    <w:rsid w:val="002450BA"/>
    <w:rsid w:val="0024697A"/>
    <w:rsid w:val="00247002"/>
    <w:rsid w:val="00250774"/>
    <w:rsid w:val="00250896"/>
    <w:rsid w:val="00250D59"/>
    <w:rsid w:val="00252022"/>
    <w:rsid w:val="00252B55"/>
    <w:rsid w:val="00255F42"/>
    <w:rsid w:val="00256FAA"/>
    <w:rsid w:val="0026095A"/>
    <w:rsid w:val="00261120"/>
    <w:rsid w:val="00261455"/>
    <w:rsid w:val="00261889"/>
    <w:rsid w:val="00261FD5"/>
    <w:rsid w:val="002625F0"/>
    <w:rsid w:val="00263154"/>
    <w:rsid w:val="00263424"/>
    <w:rsid w:val="00263691"/>
    <w:rsid w:val="00263F02"/>
    <w:rsid w:val="00266004"/>
    <w:rsid w:val="0026612D"/>
    <w:rsid w:val="00266379"/>
    <w:rsid w:val="002665C7"/>
    <w:rsid w:val="00267194"/>
    <w:rsid w:val="00267F40"/>
    <w:rsid w:val="00270F53"/>
    <w:rsid w:val="002715B8"/>
    <w:rsid w:val="00272C9A"/>
    <w:rsid w:val="00272DCE"/>
    <w:rsid w:val="00275CF5"/>
    <w:rsid w:val="00275D8C"/>
    <w:rsid w:val="00276265"/>
    <w:rsid w:val="0027694B"/>
    <w:rsid w:val="00280963"/>
    <w:rsid w:val="00282481"/>
    <w:rsid w:val="00282DD5"/>
    <w:rsid w:val="00282FFA"/>
    <w:rsid w:val="0028301F"/>
    <w:rsid w:val="00283824"/>
    <w:rsid w:val="00284833"/>
    <w:rsid w:val="00284FDF"/>
    <w:rsid w:val="00285017"/>
    <w:rsid w:val="00285572"/>
    <w:rsid w:val="00287038"/>
    <w:rsid w:val="00290973"/>
    <w:rsid w:val="00291AE3"/>
    <w:rsid w:val="00291B17"/>
    <w:rsid w:val="0029269E"/>
    <w:rsid w:val="00292E17"/>
    <w:rsid w:val="00292F85"/>
    <w:rsid w:val="00292F94"/>
    <w:rsid w:val="002935FB"/>
    <w:rsid w:val="00293754"/>
    <w:rsid w:val="0029490C"/>
    <w:rsid w:val="00294E41"/>
    <w:rsid w:val="00295160"/>
    <w:rsid w:val="00295EF8"/>
    <w:rsid w:val="002962B4"/>
    <w:rsid w:val="002970D0"/>
    <w:rsid w:val="00297643"/>
    <w:rsid w:val="002A10B3"/>
    <w:rsid w:val="002A166D"/>
    <w:rsid w:val="002A2D2E"/>
    <w:rsid w:val="002A3316"/>
    <w:rsid w:val="002A45C9"/>
    <w:rsid w:val="002A48F5"/>
    <w:rsid w:val="002A4A28"/>
    <w:rsid w:val="002A5A85"/>
    <w:rsid w:val="002A5C6F"/>
    <w:rsid w:val="002A7446"/>
    <w:rsid w:val="002A7FB4"/>
    <w:rsid w:val="002B1742"/>
    <w:rsid w:val="002B1BD5"/>
    <w:rsid w:val="002B3A51"/>
    <w:rsid w:val="002B7EBC"/>
    <w:rsid w:val="002C00E8"/>
    <w:rsid w:val="002C0598"/>
    <w:rsid w:val="002C0AAD"/>
    <w:rsid w:val="002C0DFC"/>
    <w:rsid w:val="002C1782"/>
    <w:rsid w:val="002C1FF0"/>
    <w:rsid w:val="002C345C"/>
    <w:rsid w:val="002C3B1A"/>
    <w:rsid w:val="002C4219"/>
    <w:rsid w:val="002C7325"/>
    <w:rsid w:val="002C769A"/>
    <w:rsid w:val="002C7EFB"/>
    <w:rsid w:val="002C7F7C"/>
    <w:rsid w:val="002D09AC"/>
    <w:rsid w:val="002D1213"/>
    <w:rsid w:val="002D1906"/>
    <w:rsid w:val="002D20BA"/>
    <w:rsid w:val="002D3F53"/>
    <w:rsid w:val="002D5048"/>
    <w:rsid w:val="002D62E0"/>
    <w:rsid w:val="002E3172"/>
    <w:rsid w:val="002E3E7E"/>
    <w:rsid w:val="002E4E15"/>
    <w:rsid w:val="002E522D"/>
    <w:rsid w:val="002F0F7D"/>
    <w:rsid w:val="002F1A83"/>
    <w:rsid w:val="002F1F06"/>
    <w:rsid w:val="002F216A"/>
    <w:rsid w:val="002F387B"/>
    <w:rsid w:val="002F42AF"/>
    <w:rsid w:val="002F544E"/>
    <w:rsid w:val="002F5A02"/>
    <w:rsid w:val="002F6F82"/>
    <w:rsid w:val="002F7D8F"/>
    <w:rsid w:val="00300891"/>
    <w:rsid w:val="00300CF8"/>
    <w:rsid w:val="0030161E"/>
    <w:rsid w:val="00302A42"/>
    <w:rsid w:val="00303290"/>
    <w:rsid w:val="003048D1"/>
    <w:rsid w:val="00304D6D"/>
    <w:rsid w:val="00305041"/>
    <w:rsid w:val="003060F5"/>
    <w:rsid w:val="0030677B"/>
    <w:rsid w:val="00311878"/>
    <w:rsid w:val="00312201"/>
    <w:rsid w:val="00317124"/>
    <w:rsid w:val="00321223"/>
    <w:rsid w:val="00324CD0"/>
    <w:rsid w:val="0032747F"/>
    <w:rsid w:val="00331C6B"/>
    <w:rsid w:val="00331EC1"/>
    <w:rsid w:val="003332EE"/>
    <w:rsid w:val="00334757"/>
    <w:rsid w:val="00335070"/>
    <w:rsid w:val="003358F9"/>
    <w:rsid w:val="00336080"/>
    <w:rsid w:val="0033676D"/>
    <w:rsid w:val="00336F84"/>
    <w:rsid w:val="0033764E"/>
    <w:rsid w:val="00337A85"/>
    <w:rsid w:val="00340277"/>
    <w:rsid w:val="00340C3B"/>
    <w:rsid w:val="00340CC2"/>
    <w:rsid w:val="00341059"/>
    <w:rsid w:val="0034176D"/>
    <w:rsid w:val="00342755"/>
    <w:rsid w:val="003435E8"/>
    <w:rsid w:val="00343749"/>
    <w:rsid w:val="00343C78"/>
    <w:rsid w:val="0034497E"/>
    <w:rsid w:val="00344D8F"/>
    <w:rsid w:val="003463C3"/>
    <w:rsid w:val="003465DA"/>
    <w:rsid w:val="0034705E"/>
    <w:rsid w:val="003470F2"/>
    <w:rsid w:val="0035248F"/>
    <w:rsid w:val="00354996"/>
    <w:rsid w:val="00354F8D"/>
    <w:rsid w:val="00355E23"/>
    <w:rsid w:val="003572D9"/>
    <w:rsid w:val="00357330"/>
    <w:rsid w:val="00360DE9"/>
    <w:rsid w:val="003618A6"/>
    <w:rsid w:val="0036275A"/>
    <w:rsid w:val="003627B7"/>
    <w:rsid w:val="00364190"/>
    <w:rsid w:val="003641AE"/>
    <w:rsid w:val="00365D6E"/>
    <w:rsid w:val="003660ED"/>
    <w:rsid w:val="00366341"/>
    <w:rsid w:val="00366FDA"/>
    <w:rsid w:val="00366FDC"/>
    <w:rsid w:val="00370FA7"/>
    <w:rsid w:val="0037109E"/>
    <w:rsid w:val="00371AE2"/>
    <w:rsid w:val="00371CA8"/>
    <w:rsid w:val="00372459"/>
    <w:rsid w:val="003728CA"/>
    <w:rsid w:val="00377461"/>
    <w:rsid w:val="00377566"/>
    <w:rsid w:val="00380DE9"/>
    <w:rsid w:val="003849C1"/>
    <w:rsid w:val="00384B78"/>
    <w:rsid w:val="00386C93"/>
    <w:rsid w:val="00391FE8"/>
    <w:rsid w:val="003929F0"/>
    <w:rsid w:val="0039576A"/>
    <w:rsid w:val="003A0571"/>
    <w:rsid w:val="003A0801"/>
    <w:rsid w:val="003A2857"/>
    <w:rsid w:val="003A65B3"/>
    <w:rsid w:val="003A754F"/>
    <w:rsid w:val="003B0550"/>
    <w:rsid w:val="003B05CD"/>
    <w:rsid w:val="003B26B7"/>
    <w:rsid w:val="003B3690"/>
    <w:rsid w:val="003B39CE"/>
    <w:rsid w:val="003B68F6"/>
    <w:rsid w:val="003B694F"/>
    <w:rsid w:val="003C1F42"/>
    <w:rsid w:val="003C3388"/>
    <w:rsid w:val="003C35D1"/>
    <w:rsid w:val="003C37D2"/>
    <w:rsid w:val="003C3DA5"/>
    <w:rsid w:val="003C46BD"/>
    <w:rsid w:val="003C5B09"/>
    <w:rsid w:val="003C5B7D"/>
    <w:rsid w:val="003C5DC1"/>
    <w:rsid w:val="003C62A4"/>
    <w:rsid w:val="003C69CE"/>
    <w:rsid w:val="003C6BD3"/>
    <w:rsid w:val="003D1BFE"/>
    <w:rsid w:val="003D225D"/>
    <w:rsid w:val="003D2574"/>
    <w:rsid w:val="003D2A73"/>
    <w:rsid w:val="003D3A6F"/>
    <w:rsid w:val="003D4703"/>
    <w:rsid w:val="003D5E4F"/>
    <w:rsid w:val="003D660D"/>
    <w:rsid w:val="003D7836"/>
    <w:rsid w:val="003E1344"/>
    <w:rsid w:val="003E1673"/>
    <w:rsid w:val="003E4B66"/>
    <w:rsid w:val="003E4CBF"/>
    <w:rsid w:val="003E511B"/>
    <w:rsid w:val="003E5499"/>
    <w:rsid w:val="003E56B2"/>
    <w:rsid w:val="003E6DA7"/>
    <w:rsid w:val="003E7B9C"/>
    <w:rsid w:val="003F03A9"/>
    <w:rsid w:val="003F171C"/>
    <w:rsid w:val="003F5321"/>
    <w:rsid w:val="003F60C4"/>
    <w:rsid w:val="00400465"/>
    <w:rsid w:val="00401772"/>
    <w:rsid w:val="004023BA"/>
    <w:rsid w:val="00403306"/>
    <w:rsid w:val="00403A9A"/>
    <w:rsid w:val="004047E6"/>
    <w:rsid w:val="00404D5D"/>
    <w:rsid w:val="004072B5"/>
    <w:rsid w:val="00410354"/>
    <w:rsid w:val="00410A16"/>
    <w:rsid w:val="00412923"/>
    <w:rsid w:val="00412C78"/>
    <w:rsid w:val="00412FC5"/>
    <w:rsid w:val="004135AD"/>
    <w:rsid w:val="004143D6"/>
    <w:rsid w:val="00415CA6"/>
    <w:rsid w:val="00415D95"/>
    <w:rsid w:val="004162D6"/>
    <w:rsid w:val="00416807"/>
    <w:rsid w:val="00416AE7"/>
    <w:rsid w:val="00416B89"/>
    <w:rsid w:val="004174B4"/>
    <w:rsid w:val="00417603"/>
    <w:rsid w:val="00417A68"/>
    <w:rsid w:val="00422276"/>
    <w:rsid w:val="00423575"/>
    <w:rsid w:val="004242F1"/>
    <w:rsid w:val="004248AD"/>
    <w:rsid w:val="004249F3"/>
    <w:rsid w:val="00424B08"/>
    <w:rsid w:val="00425A8C"/>
    <w:rsid w:val="0042602A"/>
    <w:rsid w:val="00426411"/>
    <w:rsid w:val="00430150"/>
    <w:rsid w:val="004306DE"/>
    <w:rsid w:val="00430E8E"/>
    <w:rsid w:val="004313D8"/>
    <w:rsid w:val="00432FB7"/>
    <w:rsid w:val="00435DA2"/>
    <w:rsid w:val="00436225"/>
    <w:rsid w:val="00442182"/>
    <w:rsid w:val="0044512A"/>
    <w:rsid w:val="004458EC"/>
    <w:rsid w:val="00445A00"/>
    <w:rsid w:val="004500E8"/>
    <w:rsid w:val="004514D3"/>
    <w:rsid w:val="004519B4"/>
    <w:rsid w:val="00451B0F"/>
    <w:rsid w:val="00451BA7"/>
    <w:rsid w:val="00451DB9"/>
    <w:rsid w:val="00452007"/>
    <w:rsid w:val="004539D8"/>
    <w:rsid w:val="00453B60"/>
    <w:rsid w:val="00453CDC"/>
    <w:rsid w:val="00455EF0"/>
    <w:rsid w:val="00456DE6"/>
    <w:rsid w:val="00456F92"/>
    <w:rsid w:val="00457147"/>
    <w:rsid w:val="004601E0"/>
    <w:rsid w:val="00464020"/>
    <w:rsid w:val="00464640"/>
    <w:rsid w:val="00464D73"/>
    <w:rsid w:val="00465933"/>
    <w:rsid w:val="00466090"/>
    <w:rsid w:val="00470753"/>
    <w:rsid w:val="00471EF7"/>
    <w:rsid w:val="00472D64"/>
    <w:rsid w:val="00473C28"/>
    <w:rsid w:val="004757AB"/>
    <w:rsid w:val="0047598B"/>
    <w:rsid w:val="00475E61"/>
    <w:rsid w:val="004761B6"/>
    <w:rsid w:val="004763FF"/>
    <w:rsid w:val="00477CD5"/>
    <w:rsid w:val="004819B3"/>
    <w:rsid w:val="00481CFE"/>
    <w:rsid w:val="00481E68"/>
    <w:rsid w:val="00483932"/>
    <w:rsid w:val="004853EF"/>
    <w:rsid w:val="00486B74"/>
    <w:rsid w:val="00486FE3"/>
    <w:rsid w:val="00487282"/>
    <w:rsid w:val="004912C2"/>
    <w:rsid w:val="00491A67"/>
    <w:rsid w:val="00491CBE"/>
    <w:rsid w:val="00492026"/>
    <w:rsid w:val="0049271B"/>
    <w:rsid w:val="00493282"/>
    <w:rsid w:val="004959B7"/>
    <w:rsid w:val="00496CA1"/>
    <w:rsid w:val="004A3099"/>
    <w:rsid w:val="004A419F"/>
    <w:rsid w:val="004A5136"/>
    <w:rsid w:val="004A52EF"/>
    <w:rsid w:val="004A5864"/>
    <w:rsid w:val="004B0B8B"/>
    <w:rsid w:val="004B163C"/>
    <w:rsid w:val="004B3798"/>
    <w:rsid w:val="004B4047"/>
    <w:rsid w:val="004B4094"/>
    <w:rsid w:val="004B4135"/>
    <w:rsid w:val="004B78C8"/>
    <w:rsid w:val="004B7BDA"/>
    <w:rsid w:val="004C0C10"/>
    <w:rsid w:val="004C15E3"/>
    <w:rsid w:val="004C29F2"/>
    <w:rsid w:val="004C2C5E"/>
    <w:rsid w:val="004C2EE3"/>
    <w:rsid w:val="004C2F8E"/>
    <w:rsid w:val="004C3174"/>
    <w:rsid w:val="004C3479"/>
    <w:rsid w:val="004C35DF"/>
    <w:rsid w:val="004C472B"/>
    <w:rsid w:val="004C4735"/>
    <w:rsid w:val="004C4D23"/>
    <w:rsid w:val="004C4E02"/>
    <w:rsid w:val="004C5394"/>
    <w:rsid w:val="004D0950"/>
    <w:rsid w:val="004D0D31"/>
    <w:rsid w:val="004D16CA"/>
    <w:rsid w:val="004D398C"/>
    <w:rsid w:val="004D52F1"/>
    <w:rsid w:val="004D617D"/>
    <w:rsid w:val="004D798A"/>
    <w:rsid w:val="004E06D3"/>
    <w:rsid w:val="004E12C7"/>
    <w:rsid w:val="004E16C7"/>
    <w:rsid w:val="004E1EE5"/>
    <w:rsid w:val="004E2380"/>
    <w:rsid w:val="004E2850"/>
    <w:rsid w:val="004E2A2F"/>
    <w:rsid w:val="004E4A22"/>
    <w:rsid w:val="004E4A2D"/>
    <w:rsid w:val="004E557E"/>
    <w:rsid w:val="004E5CD9"/>
    <w:rsid w:val="004E635F"/>
    <w:rsid w:val="004E69F2"/>
    <w:rsid w:val="004F0CE2"/>
    <w:rsid w:val="004F10F7"/>
    <w:rsid w:val="004F2E10"/>
    <w:rsid w:val="004F3094"/>
    <w:rsid w:val="004F3643"/>
    <w:rsid w:val="004F41D7"/>
    <w:rsid w:val="004F4846"/>
    <w:rsid w:val="004F740A"/>
    <w:rsid w:val="0050024A"/>
    <w:rsid w:val="00500E2A"/>
    <w:rsid w:val="00500E3A"/>
    <w:rsid w:val="00501816"/>
    <w:rsid w:val="00502270"/>
    <w:rsid w:val="005027D0"/>
    <w:rsid w:val="00506D0D"/>
    <w:rsid w:val="0050799C"/>
    <w:rsid w:val="005113AE"/>
    <w:rsid w:val="005113CC"/>
    <w:rsid w:val="00511610"/>
    <w:rsid w:val="00511968"/>
    <w:rsid w:val="00511B92"/>
    <w:rsid w:val="00513350"/>
    <w:rsid w:val="0051502E"/>
    <w:rsid w:val="005158F4"/>
    <w:rsid w:val="00516020"/>
    <w:rsid w:val="0051735F"/>
    <w:rsid w:val="0051764F"/>
    <w:rsid w:val="005200C4"/>
    <w:rsid w:val="00520619"/>
    <w:rsid w:val="005210A4"/>
    <w:rsid w:val="005238DA"/>
    <w:rsid w:val="00524A3C"/>
    <w:rsid w:val="005256B1"/>
    <w:rsid w:val="0052590A"/>
    <w:rsid w:val="005266B1"/>
    <w:rsid w:val="00527601"/>
    <w:rsid w:val="00530334"/>
    <w:rsid w:val="00530BAF"/>
    <w:rsid w:val="00533240"/>
    <w:rsid w:val="005334D8"/>
    <w:rsid w:val="0053406D"/>
    <w:rsid w:val="00540933"/>
    <w:rsid w:val="00540E26"/>
    <w:rsid w:val="00542360"/>
    <w:rsid w:val="005436CB"/>
    <w:rsid w:val="00543BBB"/>
    <w:rsid w:val="00547318"/>
    <w:rsid w:val="00547CD9"/>
    <w:rsid w:val="005504F4"/>
    <w:rsid w:val="005504F9"/>
    <w:rsid w:val="00550AD0"/>
    <w:rsid w:val="00550D11"/>
    <w:rsid w:val="00550FFF"/>
    <w:rsid w:val="005519A6"/>
    <w:rsid w:val="00552887"/>
    <w:rsid w:val="00552D39"/>
    <w:rsid w:val="00553CE5"/>
    <w:rsid w:val="0055582E"/>
    <w:rsid w:val="00555F71"/>
    <w:rsid w:val="005560C4"/>
    <w:rsid w:val="0055614C"/>
    <w:rsid w:val="005575AA"/>
    <w:rsid w:val="00557BC4"/>
    <w:rsid w:val="00557E8D"/>
    <w:rsid w:val="00560D0D"/>
    <w:rsid w:val="005612A9"/>
    <w:rsid w:val="005629E0"/>
    <w:rsid w:val="00562B89"/>
    <w:rsid w:val="00563E8F"/>
    <w:rsid w:val="00564542"/>
    <w:rsid w:val="00564F4F"/>
    <w:rsid w:val="005655DB"/>
    <w:rsid w:val="00566446"/>
    <w:rsid w:val="0056651C"/>
    <w:rsid w:val="00566D06"/>
    <w:rsid w:val="00566E7B"/>
    <w:rsid w:val="00566FD7"/>
    <w:rsid w:val="00570495"/>
    <w:rsid w:val="00571BBA"/>
    <w:rsid w:val="0057321F"/>
    <w:rsid w:val="005753F7"/>
    <w:rsid w:val="005758EA"/>
    <w:rsid w:val="00575DF6"/>
    <w:rsid w:val="00577125"/>
    <w:rsid w:val="00582B8D"/>
    <w:rsid w:val="00582C16"/>
    <w:rsid w:val="005837B8"/>
    <w:rsid w:val="00585F95"/>
    <w:rsid w:val="0058643B"/>
    <w:rsid w:val="005953FC"/>
    <w:rsid w:val="00596235"/>
    <w:rsid w:val="00596A5D"/>
    <w:rsid w:val="005A0614"/>
    <w:rsid w:val="005A0939"/>
    <w:rsid w:val="005A11C0"/>
    <w:rsid w:val="005A1BA1"/>
    <w:rsid w:val="005A2E4B"/>
    <w:rsid w:val="005A32A9"/>
    <w:rsid w:val="005A3A85"/>
    <w:rsid w:val="005A563B"/>
    <w:rsid w:val="005A789E"/>
    <w:rsid w:val="005A7AD0"/>
    <w:rsid w:val="005B38B4"/>
    <w:rsid w:val="005B3E44"/>
    <w:rsid w:val="005B5373"/>
    <w:rsid w:val="005B667F"/>
    <w:rsid w:val="005B7CB4"/>
    <w:rsid w:val="005B7D12"/>
    <w:rsid w:val="005B7D57"/>
    <w:rsid w:val="005C3665"/>
    <w:rsid w:val="005C4041"/>
    <w:rsid w:val="005C5F53"/>
    <w:rsid w:val="005C7CA8"/>
    <w:rsid w:val="005D036D"/>
    <w:rsid w:val="005D10E6"/>
    <w:rsid w:val="005D2412"/>
    <w:rsid w:val="005D3914"/>
    <w:rsid w:val="005D5D90"/>
    <w:rsid w:val="005D6950"/>
    <w:rsid w:val="005D7B93"/>
    <w:rsid w:val="005E103A"/>
    <w:rsid w:val="005E14C2"/>
    <w:rsid w:val="005E1D80"/>
    <w:rsid w:val="005E1EDF"/>
    <w:rsid w:val="005E2293"/>
    <w:rsid w:val="005E3732"/>
    <w:rsid w:val="005E763E"/>
    <w:rsid w:val="005E7AB3"/>
    <w:rsid w:val="005F157F"/>
    <w:rsid w:val="005F1796"/>
    <w:rsid w:val="005F340A"/>
    <w:rsid w:val="005F36F4"/>
    <w:rsid w:val="005F3D9A"/>
    <w:rsid w:val="005F44AE"/>
    <w:rsid w:val="005F5AD3"/>
    <w:rsid w:val="005F732B"/>
    <w:rsid w:val="00602405"/>
    <w:rsid w:val="00603ED4"/>
    <w:rsid w:val="00604EEC"/>
    <w:rsid w:val="00605340"/>
    <w:rsid w:val="00605477"/>
    <w:rsid w:val="0060590C"/>
    <w:rsid w:val="00605C97"/>
    <w:rsid w:val="00605D72"/>
    <w:rsid w:val="00607534"/>
    <w:rsid w:val="00607BA5"/>
    <w:rsid w:val="00610254"/>
    <w:rsid w:val="00611687"/>
    <w:rsid w:val="0061180A"/>
    <w:rsid w:val="0061420B"/>
    <w:rsid w:val="00616D4A"/>
    <w:rsid w:val="0062021C"/>
    <w:rsid w:val="0062098C"/>
    <w:rsid w:val="00620DF8"/>
    <w:rsid w:val="00621CE5"/>
    <w:rsid w:val="0062308C"/>
    <w:rsid w:val="00623578"/>
    <w:rsid w:val="00624343"/>
    <w:rsid w:val="006252F2"/>
    <w:rsid w:val="00625EE7"/>
    <w:rsid w:val="00626EB6"/>
    <w:rsid w:val="006300F1"/>
    <w:rsid w:val="00630FB2"/>
    <w:rsid w:val="006310CE"/>
    <w:rsid w:val="0063129D"/>
    <w:rsid w:val="006315D9"/>
    <w:rsid w:val="006327A1"/>
    <w:rsid w:val="006329F3"/>
    <w:rsid w:val="00632C4E"/>
    <w:rsid w:val="00632DF1"/>
    <w:rsid w:val="006331E9"/>
    <w:rsid w:val="00637EFF"/>
    <w:rsid w:val="00640F1D"/>
    <w:rsid w:val="00641AA8"/>
    <w:rsid w:val="00641CE2"/>
    <w:rsid w:val="0064251C"/>
    <w:rsid w:val="006438DF"/>
    <w:rsid w:val="00646191"/>
    <w:rsid w:val="006463CD"/>
    <w:rsid w:val="0064651B"/>
    <w:rsid w:val="00646C15"/>
    <w:rsid w:val="00650D7A"/>
    <w:rsid w:val="00650E36"/>
    <w:rsid w:val="0065148A"/>
    <w:rsid w:val="0065288B"/>
    <w:rsid w:val="00653807"/>
    <w:rsid w:val="00655D03"/>
    <w:rsid w:val="00656301"/>
    <w:rsid w:val="006627CD"/>
    <w:rsid w:val="00662E14"/>
    <w:rsid w:val="00664596"/>
    <w:rsid w:val="00664F76"/>
    <w:rsid w:val="006653F2"/>
    <w:rsid w:val="0066599F"/>
    <w:rsid w:val="00667318"/>
    <w:rsid w:val="00667AD6"/>
    <w:rsid w:val="00670C64"/>
    <w:rsid w:val="00670F4E"/>
    <w:rsid w:val="00671BDA"/>
    <w:rsid w:val="00672526"/>
    <w:rsid w:val="00672B4D"/>
    <w:rsid w:val="006739B3"/>
    <w:rsid w:val="0067554F"/>
    <w:rsid w:val="00677BA8"/>
    <w:rsid w:val="00681063"/>
    <w:rsid w:val="006830C1"/>
    <w:rsid w:val="00683388"/>
    <w:rsid w:val="006838AD"/>
    <w:rsid w:val="00683CA3"/>
    <w:rsid w:val="00683F84"/>
    <w:rsid w:val="0068410E"/>
    <w:rsid w:val="006849D4"/>
    <w:rsid w:val="00684E41"/>
    <w:rsid w:val="0068710D"/>
    <w:rsid w:val="00687505"/>
    <w:rsid w:val="0069029C"/>
    <w:rsid w:val="0069098A"/>
    <w:rsid w:val="00691F44"/>
    <w:rsid w:val="0069356A"/>
    <w:rsid w:val="00694818"/>
    <w:rsid w:val="00695C3A"/>
    <w:rsid w:val="0069731F"/>
    <w:rsid w:val="00697480"/>
    <w:rsid w:val="0069788F"/>
    <w:rsid w:val="006A1814"/>
    <w:rsid w:val="006A29C9"/>
    <w:rsid w:val="006A2BCC"/>
    <w:rsid w:val="006A2C11"/>
    <w:rsid w:val="006A35D1"/>
    <w:rsid w:val="006A390F"/>
    <w:rsid w:val="006A69DD"/>
    <w:rsid w:val="006A6A81"/>
    <w:rsid w:val="006A6E74"/>
    <w:rsid w:val="006A766D"/>
    <w:rsid w:val="006A7714"/>
    <w:rsid w:val="006A7CEE"/>
    <w:rsid w:val="006B067A"/>
    <w:rsid w:val="006B2441"/>
    <w:rsid w:val="006B27B6"/>
    <w:rsid w:val="006B28F2"/>
    <w:rsid w:val="006B2953"/>
    <w:rsid w:val="006B2C86"/>
    <w:rsid w:val="006B33C4"/>
    <w:rsid w:val="006B374C"/>
    <w:rsid w:val="006B5519"/>
    <w:rsid w:val="006B6833"/>
    <w:rsid w:val="006B7650"/>
    <w:rsid w:val="006B7B76"/>
    <w:rsid w:val="006C0D30"/>
    <w:rsid w:val="006C4D14"/>
    <w:rsid w:val="006C4F65"/>
    <w:rsid w:val="006C51A8"/>
    <w:rsid w:val="006D05EB"/>
    <w:rsid w:val="006D06C5"/>
    <w:rsid w:val="006D1124"/>
    <w:rsid w:val="006D336A"/>
    <w:rsid w:val="006D3771"/>
    <w:rsid w:val="006D43CC"/>
    <w:rsid w:val="006D5732"/>
    <w:rsid w:val="006D596D"/>
    <w:rsid w:val="006D7E6D"/>
    <w:rsid w:val="006E102C"/>
    <w:rsid w:val="006E203F"/>
    <w:rsid w:val="006E2BC6"/>
    <w:rsid w:val="006E3615"/>
    <w:rsid w:val="006E3A53"/>
    <w:rsid w:val="006E478F"/>
    <w:rsid w:val="006E4E3C"/>
    <w:rsid w:val="006E5150"/>
    <w:rsid w:val="006F031B"/>
    <w:rsid w:val="006F17C5"/>
    <w:rsid w:val="006F2687"/>
    <w:rsid w:val="006F2B72"/>
    <w:rsid w:val="006F40D9"/>
    <w:rsid w:val="006F6E7C"/>
    <w:rsid w:val="006F7393"/>
    <w:rsid w:val="006F7B8D"/>
    <w:rsid w:val="0070224F"/>
    <w:rsid w:val="0070250F"/>
    <w:rsid w:val="007027E0"/>
    <w:rsid w:val="00702BB7"/>
    <w:rsid w:val="00703955"/>
    <w:rsid w:val="00704890"/>
    <w:rsid w:val="00704E00"/>
    <w:rsid w:val="00706347"/>
    <w:rsid w:val="0070634D"/>
    <w:rsid w:val="00710DBC"/>
    <w:rsid w:val="00711351"/>
    <w:rsid w:val="007113E4"/>
    <w:rsid w:val="007115F7"/>
    <w:rsid w:val="0071161D"/>
    <w:rsid w:val="00712B25"/>
    <w:rsid w:val="007130A5"/>
    <w:rsid w:val="00713B7D"/>
    <w:rsid w:val="0071596A"/>
    <w:rsid w:val="007167FB"/>
    <w:rsid w:val="00720D2F"/>
    <w:rsid w:val="00721085"/>
    <w:rsid w:val="00722CC1"/>
    <w:rsid w:val="00723BA4"/>
    <w:rsid w:val="00724969"/>
    <w:rsid w:val="00725490"/>
    <w:rsid w:val="007268DC"/>
    <w:rsid w:val="0072725B"/>
    <w:rsid w:val="0072762F"/>
    <w:rsid w:val="007277DE"/>
    <w:rsid w:val="00727B75"/>
    <w:rsid w:val="00727F2C"/>
    <w:rsid w:val="0073163A"/>
    <w:rsid w:val="00731B4E"/>
    <w:rsid w:val="00732526"/>
    <w:rsid w:val="007332E8"/>
    <w:rsid w:val="00736895"/>
    <w:rsid w:val="007372B1"/>
    <w:rsid w:val="007373AC"/>
    <w:rsid w:val="007418F9"/>
    <w:rsid w:val="00746693"/>
    <w:rsid w:val="00746740"/>
    <w:rsid w:val="00747D9C"/>
    <w:rsid w:val="00752497"/>
    <w:rsid w:val="00752B7D"/>
    <w:rsid w:val="00752CA1"/>
    <w:rsid w:val="00752F88"/>
    <w:rsid w:val="00753296"/>
    <w:rsid w:val="00754581"/>
    <w:rsid w:val="007554E8"/>
    <w:rsid w:val="0075599A"/>
    <w:rsid w:val="00757CF2"/>
    <w:rsid w:val="00757F23"/>
    <w:rsid w:val="00760738"/>
    <w:rsid w:val="0076202F"/>
    <w:rsid w:val="007621CC"/>
    <w:rsid w:val="00762D43"/>
    <w:rsid w:val="0076405D"/>
    <w:rsid w:val="00764621"/>
    <w:rsid w:val="00764AEB"/>
    <w:rsid w:val="0076522B"/>
    <w:rsid w:val="00765596"/>
    <w:rsid w:val="00770041"/>
    <w:rsid w:val="007715C8"/>
    <w:rsid w:val="00771BE9"/>
    <w:rsid w:val="00772381"/>
    <w:rsid w:val="0077272C"/>
    <w:rsid w:val="00772929"/>
    <w:rsid w:val="007739BA"/>
    <w:rsid w:val="00774010"/>
    <w:rsid w:val="007748C6"/>
    <w:rsid w:val="00775313"/>
    <w:rsid w:val="007770F8"/>
    <w:rsid w:val="00780B5F"/>
    <w:rsid w:val="00780BB5"/>
    <w:rsid w:val="0078260D"/>
    <w:rsid w:val="00782C84"/>
    <w:rsid w:val="0078369E"/>
    <w:rsid w:val="00785689"/>
    <w:rsid w:val="00785B58"/>
    <w:rsid w:val="00787119"/>
    <w:rsid w:val="00787FE3"/>
    <w:rsid w:val="0079067D"/>
    <w:rsid w:val="0079115E"/>
    <w:rsid w:val="00791C8F"/>
    <w:rsid w:val="00793391"/>
    <w:rsid w:val="00793B41"/>
    <w:rsid w:val="00793EBF"/>
    <w:rsid w:val="00794A2A"/>
    <w:rsid w:val="0079754B"/>
    <w:rsid w:val="007A072D"/>
    <w:rsid w:val="007A1E6D"/>
    <w:rsid w:val="007A421D"/>
    <w:rsid w:val="007A7423"/>
    <w:rsid w:val="007A7CD4"/>
    <w:rsid w:val="007B05E3"/>
    <w:rsid w:val="007B0EB2"/>
    <w:rsid w:val="007B1102"/>
    <w:rsid w:val="007B154F"/>
    <w:rsid w:val="007B3B74"/>
    <w:rsid w:val="007B4850"/>
    <w:rsid w:val="007B5648"/>
    <w:rsid w:val="007B5968"/>
    <w:rsid w:val="007B59EE"/>
    <w:rsid w:val="007C2BDD"/>
    <w:rsid w:val="007C36AC"/>
    <w:rsid w:val="007C4743"/>
    <w:rsid w:val="007C5291"/>
    <w:rsid w:val="007C52A0"/>
    <w:rsid w:val="007C56D4"/>
    <w:rsid w:val="007C5E0C"/>
    <w:rsid w:val="007C6937"/>
    <w:rsid w:val="007C709C"/>
    <w:rsid w:val="007D0139"/>
    <w:rsid w:val="007D0443"/>
    <w:rsid w:val="007D0C2A"/>
    <w:rsid w:val="007D2A8D"/>
    <w:rsid w:val="007D41BF"/>
    <w:rsid w:val="007D4923"/>
    <w:rsid w:val="007D4DD6"/>
    <w:rsid w:val="007D52DE"/>
    <w:rsid w:val="007D5FD0"/>
    <w:rsid w:val="007D60F8"/>
    <w:rsid w:val="007D6101"/>
    <w:rsid w:val="007E0234"/>
    <w:rsid w:val="007E1E20"/>
    <w:rsid w:val="007E1E33"/>
    <w:rsid w:val="007E2149"/>
    <w:rsid w:val="007E38D5"/>
    <w:rsid w:val="007E3E58"/>
    <w:rsid w:val="007E4BA6"/>
    <w:rsid w:val="007E60A0"/>
    <w:rsid w:val="007F10D2"/>
    <w:rsid w:val="007F19C5"/>
    <w:rsid w:val="007F3604"/>
    <w:rsid w:val="007F3A36"/>
    <w:rsid w:val="007F426F"/>
    <w:rsid w:val="007F473A"/>
    <w:rsid w:val="007F4A5D"/>
    <w:rsid w:val="007F593F"/>
    <w:rsid w:val="007F79EE"/>
    <w:rsid w:val="008012AF"/>
    <w:rsid w:val="00801BCF"/>
    <w:rsid w:val="00802D27"/>
    <w:rsid w:val="0080429C"/>
    <w:rsid w:val="00810174"/>
    <w:rsid w:val="00810B6F"/>
    <w:rsid w:val="00811E5D"/>
    <w:rsid w:val="00812400"/>
    <w:rsid w:val="00812664"/>
    <w:rsid w:val="008129EA"/>
    <w:rsid w:val="00812EC7"/>
    <w:rsid w:val="00813088"/>
    <w:rsid w:val="008131D5"/>
    <w:rsid w:val="0082006B"/>
    <w:rsid w:val="0082047B"/>
    <w:rsid w:val="00820A0F"/>
    <w:rsid w:val="008211AB"/>
    <w:rsid w:val="00821988"/>
    <w:rsid w:val="00821D8B"/>
    <w:rsid w:val="00822CE0"/>
    <w:rsid w:val="00822EFC"/>
    <w:rsid w:val="00823AB7"/>
    <w:rsid w:val="00823AE1"/>
    <w:rsid w:val="00825C9D"/>
    <w:rsid w:val="00826480"/>
    <w:rsid w:val="0082650D"/>
    <w:rsid w:val="00826A8C"/>
    <w:rsid w:val="00827382"/>
    <w:rsid w:val="0082795A"/>
    <w:rsid w:val="00830B01"/>
    <w:rsid w:val="008333D3"/>
    <w:rsid w:val="00833D7F"/>
    <w:rsid w:val="00835739"/>
    <w:rsid w:val="00836A95"/>
    <w:rsid w:val="00837CC9"/>
    <w:rsid w:val="00841AB1"/>
    <w:rsid w:val="00845C59"/>
    <w:rsid w:val="008469F5"/>
    <w:rsid w:val="00847251"/>
    <w:rsid w:val="0085107A"/>
    <w:rsid w:val="008524AB"/>
    <w:rsid w:val="00852EE1"/>
    <w:rsid w:val="008535B5"/>
    <w:rsid w:val="008559A4"/>
    <w:rsid w:val="00855AF2"/>
    <w:rsid w:val="0085649E"/>
    <w:rsid w:val="008568DA"/>
    <w:rsid w:val="0085746D"/>
    <w:rsid w:val="00863752"/>
    <w:rsid w:val="0086382E"/>
    <w:rsid w:val="00863B71"/>
    <w:rsid w:val="00863DC8"/>
    <w:rsid w:val="00864B73"/>
    <w:rsid w:val="00866E1B"/>
    <w:rsid w:val="00867325"/>
    <w:rsid w:val="00867695"/>
    <w:rsid w:val="00871279"/>
    <w:rsid w:val="00873F16"/>
    <w:rsid w:val="00873F23"/>
    <w:rsid w:val="00874389"/>
    <w:rsid w:val="008743C1"/>
    <w:rsid w:val="00874B29"/>
    <w:rsid w:val="008762BF"/>
    <w:rsid w:val="008772F8"/>
    <w:rsid w:val="00877952"/>
    <w:rsid w:val="008804F5"/>
    <w:rsid w:val="00880BC6"/>
    <w:rsid w:val="0088545F"/>
    <w:rsid w:val="00885A2B"/>
    <w:rsid w:val="00885E63"/>
    <w:rsid w:val="00887DC5"/>
    <w:rsid w:val="0089012F"/>
    <w:rsid w:val="00892C57"/>
    <w:rsid w:val="0089310A"/>
    <w:rsid w:val="00894E4D"/>
    <w:rsid w:val="00895ADB"/>
    <w:rsid w:val="008967AC"/>
    <w:rsid w:val="008978CC"/>
    <w:rsid w:val="00897A80"/>
    <w:rsid w:val="00897DFA"/>
    <w:rsid w:val="00897FF1"/>
    <w:rsid w:val="008A017A"/>
    <w:rsid w:val="008A0346"/>
    <w:rsid w:val="008A0E55"/>
    <w:rsid w:val="008A0F4A"/>
    <w:rsid w:val="008A3484"/>
    <w:rsid w:val="008A3E38"/>
    <w:rsid w:val="008A4384"/>
    <w:rsid w:val="008A60AE"/>
    <w:rsid w:val="008A7501"/>
    <w:rsid w:val="008B0B7A"/>
    <w:rsid w:val="008B0CEB"/>
    <w:rsid w:val="008B0F1E"/>
    <w:rsid w:val="008B1856"/>
    <w:rsid w:val="008B1AD8"/>
    <w:rsid w:val="008B2F0F"/>
    <w:rsid w:val="008B3091"/>
    <w:rsid w:val="008B30C1"/>
    <w:rsid w:val="008B5303"/>
    <w:rsid w:val="008B545A"/>
    <w:rsid w:val="008B673A"/>
    <w:rsid w:val="008C010D"/>
    <w:rsid w:val="008C13C8"/>
    <w:rsid w:val="008C2B30"/>
    <w:rsid w:val="008C346A"/>
    <w:rsid w:val="008C3B0B"/>
    <w:rsid w:val="008C6672"/>
    <w:rsid w:val="008C68F1"/>
    <w:rsid w:val="008C786F"/>
    <w:rsid w:val="008D0573"/>
    <w:rsid w:val="008D215C"/>
    <w:rsid w:val="008D27A1"/>
    <w:rsid w:val="008D3A6E"/>
    <w:rsid w:val="008D4539"/>
    <w:rsid w:val="008D4D78"/>
    <w:rsid w:val="008D60D1"/>
    <w:rsid w:val="008D6324"/>
    <w:rsid w:val="008D6488"/>
    <w:rsid w:val="008D764C"/>
    <w:rsid w:val="008D7C0A"/>
    <w:rsid w:val="008E1A27"/>
    <w:rsid w:val="008E1D20"/>
    <w:rsid w:val="008E269C"/>
    <w:rsid w:val="008E2990"/>
    <w:rsid w:val="008E3282"/>
    <w:rsid w:val="008E3B45"/>
    <w:rsid w:val="008E3FC6"/>
    <w:rsid w:val="008F1CC0"/>
    <w:rsid w:val="008F28A2"/>
    <w:rsid w:val="008F3CCF"/>
    <w:rsid w:val="008F5D92"/>
    <w:rsid w:val="008F7493"/>
    <w:rsid w:val="00900DD6"/>
    <w:rsid w:val="00901BFB"/>
    <w:rsid w:val="009020CD"/>
    <w:rsid w:val="00902411"/>
    <w:rsid w:val="00902511"/>
    <w:rsid w:val="0090641D"/>
    <w:rsid w:val="009073FC"/>
    <w:rsid w:val="009105FF"/>
    <w:rsid w:val="0091274C"/>
    <w:rsid w:val="00916421"/>
    <w:rsid w:val="00917947"/>
    <w:rsid w:val="00917CB1"/>
    <w:rsid w:val="009203D9"/>
    <w:rsid w:val="009206D3"/>
    <w:rsid w:val="00920CD0"/>
    <w:rsid w:val="00921803"/>
    <w:rsid w:val="0092323B"/>
    <w:rsid w:val="009235CA"/>
    <w:rsid w:val="0092396A"/>
    <w:rsid w:val="00923EB4"/>
    <w:rsid w:val="00924283"/>
    <w:rsid w:val="00924E35"/>
    <w:rsid w:val="00925203"/>
    <w:rsid w:val="00925E54"/>
    <w:rsid w:val="009264D9"/>
    <w:rsid w:val="00926503"/>
    <w:rsid w:val="00927EEB"/>
    <w:rsid w:val="009301CF"/>
    <w:rsid w:val="0093514E"/>
    <w:rsid w:val="00935C5F"/>
    <w:rsid w:val="009374E2"/>
    <w:rsid w:val="00937C7E"/>
    <w:rsid w:val="00940692"/>
    <w:rsid w:val="00941EF3"/>
    <w:rsid w:val="009421EF"/>
    <w:rsid w:val="00942314"/>
    <w:rsid w:val="00942DB2"/>
    <w:rsid w:val="0094346C"/>
    <w:rsid w:val="00943FA9"/>
    <w:rsid w:val="00944F79"/>
    <w:rsid w:val="009451B7"/>
    <w:rsid w:val="00946760"/>
    <w:rsid w:val="009470EF"/>
    <w:rsid w:val="00947565"/>
    <w:rsid w:val="00947BD2"/>
    <w:rsid w:val="00947C14"/>
    <w:rsid w:val="009503ED"/>
    <w:rsid w:val="00950713"/>
    <w:rsid w:val="00950A71"/>
    <w:rsid w:val="00950F2F"/>
    <w:rsid w:val="00950F50"/>
    <w:rsid w:val="00950F98"/>
    <w:rsid w:val="00952275"/>
    <w:rsid w:val="00953F4D"/>
    <w:rsid w:val="00954B05"/>
    <w:rsid w:val="009561B2"/>
    <w:rsid w:val="00956336"/>
    <w:rsid w:val="009573C9"/>
    <w:rsid w:val="009573D8"/>
    <w:rsid w:val="009575E4"/>
    <w:rsid w:val="00957E2A"/>
    <w:rsid w:val="00957FDC"/>
    <w:rsid w:val="00960255"/>
    <w:rsid w:val="00960708"/>
    <w:rsid w:val="009624C3"/>
    <w:rsid w:val="00962958"/>
    <w:rsid w:val="0096300F"/>
    <w:rsid w:val="009658DE"/>
    <w:rsid w:val="00965DA6"/>
    <w:rsid w:val="00970A53"/>
    <w:rsid w:val="009726D8"/>
    <w:rsid w:val="00974933"/>
    <w:rsid w:val="00974CA5"/>
    <w:rsid w:val="00975F05"/>
    <w:rsid w:val="00976294"/>
    <w:rsid w:val="009763E1"/>
    <w:rsid w:val="00977593"/>
    <w:rsid w:val="0098203A"/>
    <w:rsid w:val="00983D72"/>
    <w:rsid w:val="00985D69"/>
    <w:rsid w:val="009867ED"/>
    <w:rsid w:val="009870A3"/>
    <w:rsid w:val="00990E47"/>
    <w:rsid w:val="00995722"/>
    <w:rsid w:val="00995991"/>
    <w:rsid w:val="00996457"/>
    <w:rsid w:val="009973D9"/>
    <w:rsid w:val="009A0256"/>
    <w:rsid w:val="009A063A"/>
    <w:rsid w:val="009A1E2B"/>
    <w:rsid w:val="009A2BD3"/>
    <w:rsid w:val="009A3F28"/>
    <w:rsid w:val="009A4C63"/>
    <w:rsid w:val="009A567F"/>
    <w:rsid w:val="009A5895"/>
    <w:rsid w:val="009A6BEE"/>
    <w:rsid w:val="009B053B"/>
    <w:rsid w:val="009B39B7"/>
    <w:rsid w:val="009B3EA4"/>
    <w:rsid w:val="009B5972"/>
    <w:rsid w:val="009B5B2A"/>
    <w:rsid w:val="009C0C31"/>
    <w:rsid w:val="009C300B"/>
    <w:rsid w:val="009C368B"/>
    <w:rsid w:val="009C414A"/>
    <w:rsid w:val="009C6C34"/>
    <w:rsid w:val="009D0E38"/>
    <w:rsid w:val="009D37A9"/>
    <w:rsid w:val="009D48A0"/>
    <w:rsid w:val="009D49F7"/>
    <w:rsid w:val="009D6975"/>
    <w:rsid w:val="009D7308"/>
    <w:rsid w:val="009D7C47"/>
    <w:rsid w:val="009E0CE2"/>
    <w:rsid w:val="009E17EC"/>
    <w:rsid w:val="009E344D"/>
    <w:rsid w:val="009E40D0"/>
    <w:rsid w:val="009E4347"/>
    <w:rsid w:val="009E4BCC"/>
    <w:rsid w:val="009E5188"/>
    <w:rsid w:val="009E5A09"/>
    <w:rsid w:val="009E5B39"/>
    <w:rsid w:val="009E73F2"/>
    <w:rsid w:val="009F0358"/>
    <w:rsid w:val="009F09F7"/>
    <w:rsid w:val="009F1EFA"/>
    <w:rsid w:val="009F268B"/>
    <w:rsid w:val="009F33A3"/>
    <w:rsid w:val="009F39A2"/>
    <w:rsid w:val="009F3F6A"/>
    <w:rsid w:val="009F7011"/>
    <w:rsid w:val="009F76DB"/>
    <w:rsid w:val="009F7A5B"/>
    <w:rsid w:val="00A00484"/>
    <w:rsid w:val="00A014C7"/>
    <w:rsid w:val="00A02B12"/>
    <w:rsid w:val="00A04064"/>
    <w:rsid w:val="00A05495"/>
    <w:rsid w:val="00A062B2"/>
    <w:rsid w:val="00A10EFB"/>
    <w:rsid w:val="00A11B64"/>
    <w:rsid w:val="00A130D1"/>
    <w:rsid w:val="00A13868"/>
    <w:rsid w:val="00A14394"/>
    <w:rsid w:val="00A14974"/>
    <w:rsid w:val="00A15D90"/>
    <w:rsid w:val="00A15F05"/>
    <w:rsid w:val="00A16D0D"/>
    <w:rsid w:val="00A170C5"/>
    <w:rsid w:val="00A174AE"/>
    <w:rsid w:val="00A20692"/>
    <w:rsid w:val="00A207A5"/>
    <w:rsid w:val="00A21754"/>
    <w:rsid w:val="00A253D0"/>
    <w:rsid w:val="00A310FE"/>
    <w:rsid w:val="00A31FBE"/>
    <w:rsid w:val="00A32C3B"/>
    <w:rsid w:val="00A350A0"/>
    <w:rsid w:val="00A35638"/>
    <w:rsid w:val="00A3737C"/>
    <w:rsid w:val="00A37C93"/>
    <w:rsid w:val="00A42685"/>
    <w:rsid w:val="00A45712"/>
    <w:rsid w:val="00A45729"/>
    <w:rsid w:val="00A45F4F"/>
    <w:rsid w:val="00A47D92"/>
    <w:rsid w:val="00A50B32"/>
    <w:rsid w:val="00A50BA3"/>
    <w:rsid w:val="00A50ED8"/>
    <w:rsid w:val="00A5100F"/>
    <w:rsid w:val="00A51858"/>
    <w:rsid w:val="00A52257"/>
    <w:rsid w:val="00A53813"/>
    <w:rsid w:val="00A538B8"/>
    <w:rsid w:val="00A54C1A"/>
    <w:rsid w:val="00A558FB"/>
    <w:rsid w:val="00A56261"/>
    <w:rsid w:val="00A5782B"/>
    <w:rsid w:val="00A57F12"/>
    <w:rsid w:val="00A6001A"/>
    <w:rsid w:val="00A600A9"/>
    <w:rsid w:val="00A629D2"/>
    <w:rsid w:val="00A64890"/>
    <w:rsid w:val="00A65858"/>
    <w:rsid w:val="00A6709F"/>
    <w:rsid w:val="00A6723A"/>
    <w:rsid w:val="00A70729"/>
    <w:rsid w:val="00A70ACD"/>
    <w:rsid w:val="00A712AA"/>
    <w:rsid w:val="00A71CEB"/>
    <w:rsid w:val="00A7205D"/>
    <w:rsid w:val="00A72555"/>
    <w:rsid w:val="00A74038"/>
    <w:rsid w:val="00A74C93"/>
    <w:rsid w:val="00A75407"/>
    <w:rsid w:val="00A75F63"/>
    <w:rsid w:val="00A769FA"/>
    <w:rsid w:val="00A7731C"/>
    <w:rsid w:val="00A8017F"/>
    <w:rsid w:val="00A808C8"/>
    <w:rsid w:val="00A841A6"/>
    <w:rsid w:val="00A848E7"/>
    <w:rsid w:val="00A8538F"/>
    <w:rsid w:val="00A865A0"/>
    <w:rsid w:val="00A869AB"/>
    <w:rsid w:val="00A86AAF"/>
    <w:rsid w:val="00A876FA"/>
    <w:rsid w:val="00A90812"/>
    <w:rsid w:val="00A90BF7"/>
    <w:rsid w:val="00A914D1"/>
    <w:rsid w:val="00A918E8"/>
    <w:rsid w:val="00A939DD"/>
    <w:rsid w:val="00A93D46"/>
    <w:rsid w:val="00A94E8E"/>
    <w:rsid w:val="00A951AE"/>
    <w:rsid w:val="00A95FEC"/>
    <w:rsid w:val="00A97987"/>
    <w:rsid w:val="00AA3564"/>
    <w:rsid w:val="00AA3F49"/>
    <w:rsid w:val="00AA445B"/>
    <w:rsid w:val="00AA4A75"/>
    <w:rsid w:val="00AA55B7"/>
    <w:rsid w:val="00AA5B9E"/>
    <w:rsid w:val="00AA760D"/>
    <w:rsid w:val="00AA7CCE"/>
    <w:rsid w:val="00AA7DAA"/>
    <w:rsid w:val="00AA7F7D"/>
    <w:rsid w:val="00AB0226"/>
    <w:rsid w:val="00AB0773"/>
    <w:rsid w:val="00AB0A93"/>
    <w:rsid w:val="00AB0CA6"/>
    <w:rsid w:val="00AB191A"/>
    <w:rsid w:val="00AB2407"/>
    <w:rsid w:val="00AB251E"/>
    <w:rsid w:val="00AB53DF"/>
    <w:rsid w:val="00AB5921"/>
    <w:rsid w:val="00AB7FE7"/>
    <w:rsid w:val="00AC0BE2"/>
    <w:rsid w:val="00AC1375"/>
    <w:rsid w:val="00AC391C"/>
    <w:rsid w:val="00AC3C5A"/>
    <w:rsid w:val="00AC4AC8"/>
    <w:rsid w:val="00AC4F85"/>
    <w:rsid w:val="00AC67EC"/>
    <w:rsid w:val="00AC7599"/>
    <w:rsid w:val="00AC785D"/>
    <w:rsid w:val="00AC79EF"/>
    <w:rsid w:val="00AD0EB1"/>
    <w:rsid w:val="00AD15C5"/>
    <w:rsid w:val="00AD3666"/>
    <w:rsid w:val="00AD5585"/>
    <w:rsid w:val="00AD6776"/>
    <w:rsid w:val="00AD6DBB"/>
    <w:rsid w:val="00AD7145"/>
    <w:rsid w:val="00AE0356"/>
    <w:rsid w:val="00AE0D41"/>
    <w:rsid w:val="00AE1B0E"/>
    <w:rsid w:val="00AE3045"/>
    <w:rsid w:val="00AE3C83"/>
    <w:rsid w:val="00AE4A71"/>
    <w:rsid w:val="00AE4D24"/>
    <w:rsid w:val="00AE5297"/>
    <w:rsid w:val="00AE753D"/>
    <w:rsid w:val="00AF10BC"/>
    <w:rsid w:val="00AF34A9"/>
    <w:rsid w:val="00AF3DC9"/>
    <w:rsid w:val="00AF52BA"/>
    <w:rsid w:val="00AF7811"/>
    <w:rsid w:val="00B009C3"/>
    <w:rsid w:val="00B0618D"/>
    <w:rsid w:val="00B06270"/>
    <w:rsid w:val="00B06E25"/>
    <w:rsid w:val="00B0756D"/>
    <w:rsid w:val="00B07CF2"/>
    <w:rsid w:val="00B07E5C"/>
    <w:rsid w:val="00B13EA8"/>
    <w:rsid w:val="00B1698F"/>
    <w:rsid w:val="00B17413"/>
    <w:rsid w:val="00B1752F"/>
    <w:rsid w:val="00B17779"/>
    <w:rsid w:val="00B179F5"/>
    <w:rsid w:val="00B21414"/>
    <w:rsid w:val="00B21805"/>
    <w:rsid w:val="00B223C8"/>
    <w:rsid w:val="00B30B3B"/>
    <w:rsid w:val="00B31905"/>
    <w:rsid w:val="00B3225F"/>
    <w:rsid w:val="00B335F9"/>
    <w:rsid w:val="00B33978"/>
    <w:rsid w:val="00B34DAE"/>
    <w:rsid w:val="00B35E1C"/>
    <w:rsid w:val="00B365AA"/>
    <w:rsid w:val="00B36FEE"/>
    <w:rsid w:val="00B37D40"/>
    <w:rsid w:val="00B408C8"/>
    <w:rsid w:val="00B4287C"/>
    <w:rsid w:val="00B44A80"/>
    <w:rsid w:val="00B46258"/>
    <w:rsid w:val="00B47079"/>
    <w:rsid w:val="00B47A94"/>
    <w:rsid w:val="00B47AC8"/>
    <w:rsid w:val="00B507C6"/>
    <w:rsid w:val="00B510E2"/>
    <w:rsid w:val="00B510F4"/>
    <w:rsid w:val="00B51488"/>
    <w:rsid w:val="00B5282E"/>
    <w:rsid w:val="00B52BBA"/>
    <w:rsid w:val="00B53726"/>
    <w:rsid w:val="00B54FE4"/>
    <w:rsid w:val="00B56889"/>
    <w:rsid w:val="00B57D16"/>
    <w:rsid w:val="00B57E14"/>
    <w:rsid w:val="00B611E6"/>
    <w:rsid w:val="00B6191D"/>
    <w:rsid w:val="00B6312C"/>
    <w:rsid w:val="00B64745"/>
    <w:rsid w:val="00B66485"/>
    <w:rsid w:val="00B67100"/>
    <w:rsid w:val="00B67152"/>
    <w:rsid w:val="00B70FE8"/>
    <w:rsid w:val="00B716E7"/>
    <w:rsid w:val="00B7219F"/>
    <w:rsid w:val="00B72419"/>
    <w:rsid w:val="00B72FB9"/>
    <w:rsid w:val="00B73A9C"/>
    <w:rsid w:val="00B744F9"/>
    <w:rsid w:val="00B7549B"/>
    <w:rsid w:val="00B772AA"/>
    <w:rsid w:val="00B80B3D"/>
    <w:rsid w:val="00B811F7"/>
    <w:rsid w:val="00B813C2"/>
    <w:rsid w:val="00B834FB"/>
    <w:rsid w:val="00B840D3"/>
    <w:rsid w:val="00B8542E"/>
    <w:rsid w:val="00B856BD"/>
    <w:rsid w:val="00B92403"/>
    <w:rsid w:val="00B92883"/>
    <w:rsid w:val="00B92C73"/>
    <w:rsid w:val="00B94F3A"/>
    <w:rsid w:val="00B96C62"/>
    <w:rsid w:val="00B96CD1"/>
    <w:rsid w:val="00BA0179"/>
    <w:rsid w:val="00BA0337"/>
    <w:rsid w:val="00BA05A5"/>
    <w:rsid w:val="00BA10BC"/>
    <w:rsid w:val="00BA1FF8"/>
    <w:rsid w:val="00BA37AA"/>
    <w:rsid w:val="00BA3A8B"/>
    <w:rsid w:val="00BA488C"/>
    <w:rsid w:val="00BA50D8"/>
    <w:rsid w:val="00BA5DC6"/>
    <w:rsid w:val="00BA6196"/>
    <w:rsid w:val="00BA61FB"/>
    <w:rsid w:val="00BA72AA"/>
    <w:rsid w:val="00BA7C2E"/>
    <w:rsid w:val="00BB1565"/>
    <w:rsid w:val="00BB181E"/>
    <w:rsid w:val="00BB23EF"/>
    <w:rsid w:val="00BB2D99"/>
    <w:rsid w:val="00BB34A1"/>
    <w:rsid w:val="00BB3F60"/>
    <w:rsid w:val="00BB4184"/>
    <w:rsid w:val="00BB5409"/>
    <w:rsid w:val="00BC17D8"/>
    <w:rsid w:val="00BC304A"/>
    <w:rsid w:val="00BC39A1"/>
    <w:rsid w:val="00BC5D31"/>
    <w:rsid w:val="00BC6D8C"/>
    <w:rsid w:val="00BC70A5"/>
    <w:rsid w:val="00BC76BE"/>
    <w:rsid w:val="00BD015D"/>
    <w:rsid w:val="00BD23E8"/>
    <w:rsid w:val="00BD360F"/>
    <w:rsid w:val="00BD5EBF"/>
    <w:rsid w:val="00BD61C7"/>
    <w:rsid w:val="00BD6244"/>
    <w:rsid w:val="00BD627D"/>
    <w:rsid w:val="00BD652B"/>
    <w:rsid w:val="00BD6F1E"/>
    <w:rsid w:val="00BD7787"/>
    <w:rsid w:val="00BE0030"/>
    <w:rsid w:val="00BE08EB"/>
    <w:rsid w:val="00BE231E"/>
    <w:rsid w:val="00BE4019"/>
    <w:rsid w:val="00BE547F"/>
    <w:rsid w:val="00BE63C0"/>
    <w:rsid w:val="00BE65AD"/>
    <w:rsid w:val="00BE69B0"/>
    <w:rsid w:val="00BE7088"/>
    <w:rsid w:val="00BE7B63"/>
    <w:rsid w:val="00BF0805"/>
    <w:rsid w:val="00BF1914"/>
    <w:rsid w:val="00BF46B2"/>
    <w:rsid w:val="00BF60D1"/>
    <w:rsid w:val="00BF72A6"/>
    <w:rsid w:val="00C00177"/>
    <w:rsid w:val="00C01EB7"/>
    <w:rsid w:val="00C04B35"/>
    <w:rsid w:val="00C05170"/>
    <w:rsid w:val="00C052D9"/>
    <w:rsid w:val="00C0531B"/>
    <w:rsid w:val="00C0559A"/>
    <w:rsid w:val="00C055D3"/>
    <w:rsid w:val="00C05B43"/>
    <w:rsid w:val="00C078CE"/>
    <w:rsid w:val="00C07953"/>
    <w:rsid w:val="00C111C9"/>
    <w:rsid w:val="00C1216F"/>
    <w:rsid w:val="00C121B1"/>
    <w:rsid w:val="00C127A9"/>
    <w:rsid w:val="00C129EE"/>
    <w:rsid w:val="00C12EBE"/>
    <w:rsid w:val="00C13E54"/>
    <w:rsid w:val="00C14717"/>
    <w:rsid w:val="00C15E88"/>
    <w:rsid w:val="00C16B1B"/>
    <w:rsid w:val="00C17D34"/>
    <w:rsid w:val="00C23686"/>
    <w:rsid w:val="00C2518B"/>
    <w:rsid w:val="00C307BD"/>
    <w:rsid w:val="00C316AC"/>
    <w:rsid w:val="00C3339A"/>
    <w:rsid w:val="00C338DD"/>
    <w:rsid w:val="00C34006"/>
    <w:rsid w:val="00C36B4C"/>
    <w:rsid w:val="00C36C71"/>
    <w:rsid w:val="00C37354"/>
    <w:rsid w:val="00C4015F"/>
    <w:rsid w:val="00C40C5B"/>
    <w:rsid w:val="00C417F5"/>
    <w:rsid w:val="00C41E9E"/>
    <w:rsid w:val="00C42274"/>
    <w:rsid w:val="00C426B1"/>
    <w:rsid w:val="00C43789"/>
    <w:rsid w:val="00C455D9"/>
    <w:rsid w:val="00C45B1E"/>
    <w:rsid w:val="00C46730"/>
    <w:rsid w:val="00C475B0"/>
    <w:rsid w:val="00C47A49"/>
    <w:rsid w:val="00C50154"/>
    <w:rsid w:val="00C52556"/>
    <w:rsid w:val="00C52809"/>
    <w:rsid w:val="00C52994"/>
    <w:rsid w:val="00C53090"/>
    <w:rsid w:val="00C53C63"/>
    <w:rsid w:val="00C53ECF"/>
    <w:rsid w:val="00C54886"/>
    <w:rsid w:val="00C559CE"/>
    <w:rsid w:val="00C55CDC"/>
    <w:rsid w:val="00C57125"/>
    <w:rsid w:val="00C63A0A"/>
    <w:rsid w:val="00C63C1D"/>
    <w:rsid w:val="00C63E63"/>
    <w:rsid w:val="00C66160"/>
    <w:rsid w:val="00C678A5"/>
    <w:rsid w:val="00C70952"/>
    <w:rsid w:val="00C721AC"/>
    <w:rsid w:val="00C72908"/>
    <w:rsid w:val="00C75782"/>
    <w:rsid w:val="00C76519"/>
    <w:rsid w:val="00C76EA6"/>
    <w:rsid w:val="00C818CB"/>
    <w:rsid w:val="00C82742"/>
    <w:rsid w:val="00C82AF1"/>
    <w:rsid w:val="00C83CCD"/>
    <w:rsid w:val="00C83FEA"/>
    <w:rsid w:val="00C844F9"/>
    <w:rsid w:val="00C85E00"/>
    <w:rsid w:val="00C9092E"/>
    <w:rsid w:val="00C90ADC"/>
    <w:rsid w:val="00C90D6A"/>
    <w:rsid w:val="00C91402"/>
    <w:rsid w:val="00C92B12"/>
    <w:rsid w:val="00C95979"/>
    <w:rsid w:val="00C97519"/>
    <w:rsid w:val="00CA0505"/>
    <w:rsid w:val="00CA0918"/>
    <w:rsid w:val="00CA247E"/>
    <w:rsid w:val="00CA38A1"/>
    <w:rsid w:val="00CA43CF"/>
    <w:rsid w:val="00CA507E"/>
    <w:rsid w:val="00CA6D21"/>
    <w:rsid w:val="00CB0F8B"/>
    <w:rsid w:val="00CB26A5"/>
    <w:rsid w:val="00CB3641"/>
    <w:rsid w:val="00CB38B3"/>
    <w:rsid w:val="00CB5096"/>
    <w:rsid w:val="00CB70B6"/>
    <w:rsid w:val="00CB7D74"/>
    <w:rsid w:val="00CC14B8"/>
    <w:rsid w:val="00CC1912"/>
    <w:rsid w:val="00CC2BF0"/>
    <w:rsid w:val="00CC400C"/>
    <w:rsid w:val="00CC4244"/>
    <w:rsid w:val="00CC4617"/>
    <w:rsid w:val="00CC48EE"/>
    <w:rsid w:val="00CC4F79"/>
    <w:rsid w:val="00CC5137"/>
    <w:rsid w:val="00CC57CD"/>
    <w:rsid w:val="00CC61F5"/>
    <w:rsid w:val="00CC72B6"/>
    <w:rsid w:val="00CC7380"/>
    <w:rsid w:val="00CD2D82"/>
    <w:rsid w:val="00CD42FA"/>
    <w:rsid w:val="00CE05E6"/>
    <w:rsid w:val="00CE0D21"/>
    <w:rsid w:val="00CE1740"/>
    <w:rsid w:val="00CE309C"/>
    <w:rsid w:val="00CE32DE"/>
    <w:rsid w:val="00CE4349"/>
    <w:rsid w:val="00CE497B"/>
    <w:rsid w:val="00CE57F0"/>
    <w:rsid w:val="00CE5F1C"/>
    <w:rsid w:val="00CE778B"/>
    <w:rsid w:val="00CF0B91"/>
    <w:rsid w:val="00CF1591"/>
    <w:rsid w:val="00CF20F1"/>
    <w:rsid w:val="00CF471C"/>
    <w:rsid w:val="00CF4765"/>
    <w:rsid w:val="00D00CA0"/>
    <w:rsid w:val="00D01803"/>
    <w:rsid w:val="00D0218D"/>
    <w:rsid w:val="00D0221A"/>
    <w:rsid w:val="00D036C1"/>
    <w:rsid w:val="00D03A42"/>
    <w:rsid w:val="00D03F2C"/>
    <w:rsid w:val="00D060BC"/>
    <w:rsid w:val="00D06995"/>
    <w:rsid w:val="00D06CB6"/>
    <w:rsid w:val="00D077BF"/>
    <w:rsid w:val="00D10C8D"/>
    <w:rsid w:val="00D1166C"/>
    <w:rsid w:val="00D1233C"/>
    <w:rsid w:val="00D1284B"/>
    <w:rsid w:val="00D15346"/>
    <w:rsid w:val="00D1557D"/>
    <w:rsid w:val="00D1581A"/>
    <w:rsid w:val="00D161E8"/>
    <w:rsid w:val="00D167FF"/>
    <w:rsid w:val="00D1680A"/>
    <w:rsid w:val="00D17F8F"/>
    <w:rsid w:val="00D22377"/>
    <w:rsid w:val="00D22381"/>
    <w:rsid w:val="00D2299F"/>
    <w:rsid w:val="00D23838"/>
    <w:rsid w:val="00D25050"/>
    <w:rsid w:val="00D254AF"/>
    <w:rsid w:val="00D25FB5"/>
    <w:rsid w:val="00D300F1"/>
    <w:rsid w:val="00D31017"/>
    <w:rsid w:val="00D343F0"/>
    <w:rsid w:val="00D35338"/>
    <w:rsid w:val="00D3577D"/>
    <w:rsid w:val="00D36D78"/>
    <w:rsid w:val="00D37150"/>
    <w:rsid w:val="00D373D7"/>
    <w:rsid w:val="00D402F8"/>
    <w:rsid w:val="00D44223"/>
    <w:rsid w:val="00D446AA"/>
    <w:rsid w:val="00D44907"/>
    <w:rsid w:val="00D449C6"/>
    <w:rsid w:val="00D44A2E"/>
    <w:rsid w:val="00D452F3"/>
    <w:rsid w:val="00D45C5B"/>
    <w:rsid w:val="00D46254"/>
    <w:rsid w:val="00D464EB"/>
    <w:rsid w:val="00D46874"/>
    <w:rsid w:val="00D469E5"/>
    <w:rsid w:val="00D50592"/>
    <w:rsid w:val="00D50BFF"/>
    <w:rsid w:val="00D535F3"/>
    <w:rsid w:val="00D54468"/>
    <w:rsid w:val="00D545E5"/>
    <w:rsid w:val="00D54EA9"/>
    <w:rsid w:val="00D55AF2"/>
    <w:rsid w:val="00D56166"/>
    <w:rsid w:val="00D57D01"/>
    <w:rsid w:val="00D6066C"/>
    <w:rsid w:val="00D611FC"/>
    <w:rsid w:val="00D620BB"/>
    <w:rsid w:val="00D62C68"/>
    <w:rsid w:val="00D647D0"/>
    <w:rsid w:val="00D649DA"/>
    <w:rsid w:val="00D64ECD"/>
    <w:rsid w:val="00D6544F"/>
    <w:rsid w:val="00D72ACC"/>
    <w:rsid w:val="00D737F5"/>
    <w:rsid w:val="00D73AEE"/>
    <w:rsid w:val="00D757F6"/>
    <w:rsid w:val="00D75DD6"/>
    <w:rsid w:val="00D811FC"/>
    <w:rsid w:val="00D84A20"/>
    <w:rsid w:val="00D85005"/>
    <w:rsid w:val="00D856DA"/>
    <w:rsid w:val="00D86172"/>
    <w:rsid w:val="00D92F0D"/>
    <w:rsid w:val="00D947A7"/>
    <w:rsid w:val="00D94A63"/>
    <w:rsid w:val="00D962D6"/>
    <w:rsid w:val="00DA1429"/>
    <w:rsid w:val="00DA1A96"/>
    <w:rsid w:val="00DA2529"/>
    <w:rsid w:val="00DA3F15"/>
    <w:rsid w:val="00DA4EC2"/>
    <w:rsid w:val="00DA6D72"/>
    <w:rsid w:val="00DA71FD"/>
    <w:rsid w:val="00DA7554"/>
    <w:rsid w:val="00DB035D"/>
    <w:rsid w:val="00DB03BD"/>
    <w:rsid w:val="00DB0FB6"/>
    <w:rsid w:val="00DB130A"/>
    <w:rsid w:val="00DB1F5A"/>
    <w:rsid w:val="00DB2EBB"/>
    <w:rsid w:val="00DB30F4"/>
    <w:rsid w:val="00DB404A"/>
    <w:rsid w:val="00DB48CE"/>
    <w:rsid w:val="00DB4910"/>
    <w:rsid w:val="00DB4DDE"/>
    <w:rsid w:val="00DB50AF"/>
    <w:rsid w:val="00DB5239"/>
    <w:rsid w:val="00DB5987"/>
    <w:rsid w:val="00DB60BF"/>
    <w:rsid w:val="00DB6FE5"/>
    <w:rsid w:val="00DB7C06"/>
    <w:rsid w:val="00DC00D4"/>
    <w:rsid w:val="00DC10A1"/>
    <w:rsid w:val="00DC18A7"/>
    <w:rsid w:val="00DC31A1"/>
    <w:rsid w:val="00DC488D"/>
    <w:rsid w:val="00DC655F"/>
    <w:rsid w:val="00DC6D85"/>
    <w:rsid w:val="00DD06DB"/>
    <w:rsid w:val="00DD0B59"/>
    <w:rsid w:val="00DD0F3E"/>
    <w:rsid w:val="00DD1BE4"/>
    <w:rsid w:val="00DD24CA"/>
    <w:rsid w:val="00DD2D41"/>
    <w:rsid w:val="00DD34F8"/>
    <w:rsid w:val="00DD4F43"/>
    <w:rsid w:val="00DD7D00"/>
    <w:rsid w:val="00DD7EBD"/>
    <w:rsid w:val="00DE08A4"/>
    <w:rsid w:val="00DE17E2"/>
    <w:rsid w:val="00DE36AA"/>
    <w:rsid w:val="00DE450E"/>
    <w:rsid w:val="00DE480F"/>
    <w:rsid w:val="00DE5BD9"/>
    <w:rsid w:val="00DE6243"/>
    <w:rsid w:val="00DE668A"/>
    <w:rsid w:val="00DE79C0"/>
    <w:rsid w:val="00DE7E22"/>
    <w:rsid w:val="00DF1AE7"/>
    <w:rsid w:val="00DF1C04"/>
    <w:rsid w:val="00DF1CA4"/>
    <w:rsid w:val="00DF3ADA"/>
    <w:rsid w:val="00DF4473"/>
    <w:rsid w:val="00DF4DCB"/>
    <w:rsid w:val="00DF5237"/>
    <w:rsid w:val="00DF5428"/>
    <w:rsid w:val="00DF62B6"/>
    <w:rsid w:val="00DF6493"/>
    <w:rsid w:val="00DF7DF8"/>
    <w:rsid w:val="00E01388"/>
    <w:rsid w:val="00E0428D"/>
    <w:rsid w:val="00E04345"/>
    <w:rsid w:val="00E0513C"/>
    <w:rsid w:val="00E05AC9"/>
    <w:rsid w:val="00E06415"/>
    <w:rsid w:val="00E06CFC"/>
    <w:rsid w:val="00E07225"/>
    <w:rsid w:val="00E11F00"/>
    <w:rsid w:val="00E128C0"/>
    <w:rsid w:val="00E12C47"/>
    <w:rsid w:val="00E1439C"/>
    <w:rsid w:val="00E1589A"/>
    <w:rsid w:val="00E15B57"/>
    <w:rsid w:val="00E16992"/>
    <w:rsid w:val="00E21957"/>
    <w:rsid w:val="00E21EC6"/>
    <w:rsid w:val="00E24914"/>
    <w:rsid w:val="00E253D6"/>
    <w:rsid w:val="00E25AB0"/>
    <w:rsid w:val="00E26CCB"/>
    <w:rsid w:val="00E272E5"/>
    <w:rsid w:val="00E3178A"/>
    <w:rsid w:val="00E3295C"/>
    <w:rsid w:val="00E33A65"/>
    <w:rsid w:val="00E350DD"/>
    <w:rsid w:val="00E353F7"/>
    <w:rsid w:val="00E35573"/>
    <w:rsid w:val="00E357E2"/>
    <w:rsid w:val="00E36FE9"/>
    <w:rsid w:val="00E36FFC"/>
    <w:rsid w:val="00E371A0"/>
    <w:rsid w:val="00E377D6"/>
    <w:rsid w:val="00E37CF8"/>
    <w:rsid w:val="00E41833"/>
    <w:rsid w:val="00E4197C"/>
    <w:rsid w:val="00E4514C"/>
    <w:rsid w:val="00E46540"/>
    <w:rsid w:val="00E50359"/>
    <w:rsid w:val="00E51D4B"/>
    <w:rsid w:val="00E51EAF"/>
    <w:rsid w:val="00E534FD"/>
    <w:rsid w:val="00E5409F"/>
    <w:rsid w:val="00E571C5"/>
    <w:rsid w:val="00E610B1"/>
    <w:rsid w:val="00E627DA"/>
    <w:rsid w:val="00E63F77"/>
    <w:rsid w:val="00E64CFC"/>
    <w:rsid w:val="00E64D64"/>
    <w:rsid w:val="00E66ABE"/>
    <w:rsid w:val="00E66AC3"/>
    <w:rsid w:val="00E67042"/>
    <w:rsid w:val="00E70055"/>
    <w:rsid w:val="00E70688"/>
    <w:rsid w:val="00E72A08"/>
    <w:rsid w:val="00E72ECA"/>
    <w:rsid w:val="00E730FC"/>
    <w:rsid w:val="00E740D3"/>
    <w:rsid w:val="00E74A01"/>
    <w:rsid w:val="00E806C8"/>
    <w:rsid w:val="00E8124F"/>
    <w:rsid w:val="00E8298D"/>
    <w:rsid w:val="00E82DF6"/>
    <w:rsid w:val="00E83C19"/>
    <w:rsid w:val="00E83E6B"/>
    <w:rsid w:val="00E84AE1"/>
    <w:rsid w:val="00E84AF6"/>
    <w:rsid w:val="00E84CB4"/>
    <w:rsid w:val="00E84FC8"/>
    <w:rsid w:val="00E84FF1"/>
    <w:rsid w:val="00E8628D"/>
    <w:rsid w:val="00E86D48"/>
    <w:rsid w:val="00E92B27"/>
    <w:rsid w:val="00E9516E"/>
    <w:rsid w:val="00E95CCF"/>
    <w:rsid w:val="00E97100"/>
    <w:rsid w:val="00E97868"/>
    <w:rsid w:val="00EA04D7"/>
    <w:rsid w:val="00EA262D"/>
    <w:rsid w:val="00EA47D7"/>
    <w:rsid w:val="00EA54CF"/>
    <w:rsid w:val="00EA569D"/>
    <w:rsid w:val="00EA6770"/>
    <w:rsid w:val="00EA6C19"/>
    <w:rsid w:val="00EA7D63"/>
    <w:rsid w:val="00EB02FE"/>
    <w:rsid w:val="00EB07F5"/>
    <w:rsid w:val="00EB08E9"/>
    <w:rsid w:val="00EB142E"/>
    <w:rsid w:val="00EB2D94"/>
    <w:rsid w:val="00EB3A53"/>
    <w:rsid w:val="00EB3CDE"/>
    <w:rsid w:val="00EB6551"/>
    <w:rsid w:val="00EC033A"/>
    <w:rsid w:val="00EC09D9"/>
    <w:rsid w:val="00EC0D7E"/>
    <w:rsid w:val="00EC121E"/>
    <w:rsid w:val="00EC1C6F"/>
    <w:rsid w:val="00EC2A47"/>
    <w:rsid w:val="00EC46CD"/>
    <w:rsid w:val="00EC4A10"/>
    <w:rsid w:val="00EC6F6D"/>
    <w:rsid w:val="00EC7728"/>
    <w:rsid w:val="00ED01E8"/>
    <w:rsid w:val="00ED02B5"/>
    <w:rsid w:val="00ED1DDB"/>
    <w:rsid w:val="00ED2F4E"/>
    <w:rsid w:val="00ED3AD7"/>
    <w:rsid w:val="00ED50FE"/>
    <w:rsid w:val="00ED5677"/>
    <w:rsid w:val="00ED61AF"/>
    <w:rsid w:val="00ED61F7"/>
    <w:rsid w:val="00EE0017"/>
    <w:rsid w:val="00EE021D"/>
    <w:rsid w:val="00EE0309"/>
    <w:rsid w:val="00EE1740"/>
    <w:rsid w:val="00EE2F7D"/>
    <w:rsid w:val="00EE309C"/>
    <w:rsid w:val="00EE344D"/>
    <w:rsid w:val="00EE39C0"/>
    <w:rsid w:val="00EE3B6C"/>
    <w:rsid w:val="00EE3BD7"/>
    <w:rsid w:val="00EE4EAA"/>
    <w:rsid w:val="00EE4EEC"/>
    <w:rsid w:val="00EE6061"/>
    <w:rsid w:val="00EE6488"/>
    <w:rsid w:val="00EE7CCE"/>
    <w:rsid w:val="00EF0537"/>
    <w:rsid w:val="00EF053C"/>
    <w:rsid w:val="00EF138B"/>
    <w:rsid w:val="00EF181B"/>
    <w:rsid w:val="00EF2051"/>
    <w:rsid w:val="00EF2C64"/>
    <w:rsid w:val="00EF5549"/>
    <w:rsid w:val="00EF76A3"/>
    <w:rsid w:val="00EF7CB6"/>
    <w:rsid w:val="00EF7DDB"/>
    <w:rsid w:val="00EF7DEB"/>
    <w:rsid w:val="00F009B1"/>
    <w:rsid w:val="00F01D4A"/>
    <w:rsid w:val="00F021FA"/>
    <w:rsid w:val="00F04707"/>
    <w:rsid w:val="00F04D61"/>
    <w:rsid w:val="00F04ED1"/>
    <w:rsid w:val="00F05A23"/>
    <w:rsid w:val="00F05BE0"/>
    <w:rsid w:val="00F06044"/>
    <w:rsid w:val="00F061DF"/>
    <w:rsid w:val="00F064AA"/>
    <w:rsid w:val="00F068EA"/>
    <w:rsid w:val="00F07179"/>
    <w:rsid w:val="00F07F29"/>
    <w:rsid w:val="00F103E8"/>
    <w:rsid w:val="00F116DE"/>
    <w:rsid w:val="00F13EAA"/>
    <w:rsid w:val="00F15BCF"/>
    <w:rsid w:val="00F17D1D"/>
    <w:rsid w:val="00F20436"/>
    <w:rsid w:val="00F21D68"/>
    <w:rsid w:val="00F2214F"/>
    <w:rsid w:val="00F2277D"/>
    <w:rsid w:val="00F24613"/>
    <w:rsid w:val="00F249D2"/>
    <w:rsid w:val="00F24FB2"/>
    <w:rsid w:val="00F2550A"/>
    <w:rsid w:val="00F25F1B"/>
    <w:rsid w:val="00F2750D"/>
    <w:rsid w:val="00F301B5"/>
    <w:rsid w:val="00F30F68"/>
    <w:rsid w:val="00F326B2"/>
    <w:rsid w:val="00F32868"/>
    <w:rsid w:val="00F3341B"/>
    <w:rsid w:val="00F33611"/>
    <w:rsid w:val="00F344C0"/>
    <w:rsid w:val="00F34A05"/>
    <w:rsid w:val="00F34D74"/>
    <w:rsid w:val="00F361F7"/>
    <w:rsid w:val="00F3656E"/>
    <w:rsid w:val="00F36839"/>
    <w:rsid w:val="00F37723"/>
    <w:rsid w:val="00F40429"/>
    <w:rsid w:val="00F42B09"/>
    <w:rsid w:val="00F44998"/>
    <w:rsid w:val="00F51AB4"/>
    <w:rsid w:val="00F5327E"/>
    <w:rsid w:val="00F54C2F"/>
    <w:rsid w:val="00F550E1"/>
    <w:rsid w:val="00F55921"/>
    <w:rsid w:val="00F55B54"/>
    <w:rsid w:val="00F56766"/>
    <w:rsid w:val="00F56CE8"/>
    <w:rsid w:val="00F57A5D"/>
    <w:rsid w:val="00F603F4"/>
    <w:rsid w:val="00F623F6"/>
    <w:rsid w:val="00F629CC"/>
    <w:rsid w:val="00F62E97"/>
    <w:rsid w:val="00F64209"/>
    <w:rsid w:val="00F646A2"/>
    <w:rsid w:val="00F64F3B"/>
    <w:rsid w:val="00F65032"/>
    <w:rsid w:val="00F652A9"/>
    <w:rsid w:val="00F65BA4"/>
    <w:rsid w:val="00F65F4C"/>
    <w:rsid w:val="00F66A35"/>
    <w:rsid w:val="00F66F1E"/>
    <w:rsid w:val="00F71A47"/>
    <w:rsid w:val="00F71D69"/>
    <w:rsid w:val="00F725DA"/>
    <w:rsid w:val="00F72E7D"/>
    <w:rsid w:val="00F732D7"/>
    <w:rsid w:val="00F74B8C"/>
    <w:rsid w:val="00F81088"/>
    <w:rsid w:val="00F84688"/>
    <w:rsid w:val="00F84B82"/>
    <w:rsid w:val="00F859A8"/>
    <w:rsid w:val="00F85ACC"/>
    <w:rsid w:val="00F85E17"/>
    <w:rsid w:val="00F85F2F"/>
    <w:rsid w:val="00F866C0"/>
    <w:rsid w:val="00F86C44"/>
    <w:rsid w:val="00F90438"/>
    <w:rsid w:val="00F91531"/>
    <w:rsid w:val="00F91E7B"/>
    <w:rsid w:val="00F93BF5"/>
    <w:rsid w:val="00F946DA"/>
    <w:rsid w:val="00F9496B"/>
    <w:rsid w:val="00F9635F"/>
    <w:rsid w:val="00F96BB4"/>
    <w:rsid w:val="00FA0D5B"/>
    <w:rsid w:val="00FA0DF5"/>
    <w:rsid w:val="00FA1675"/>
    <w:rsid w:val="00FA1AB6"/>
    <w:rsid w:val="00FA4066"/>
    <w:rsid w:val="00FA57BD"/>
    <w:rsid w:val="00FA5B14"/>
    <w:rsid w:val="00FA6A1D"/>
    <w:rsid w:val="00FA6DB9"/>
    <w:rsid w:val="00FA7297"/>
    <w:rsid w:val="00FA74B9"/>
    <w:rsid w:val="00FA7DE7"/>
    <w:rsid w:val="00FB17D3"/>
    <w:rsid w:val="00FB23AA"/>
    <w:rsid w:val="00FB2A36"/>
    <w:rsid w:val="00FB3E95"/>
    <w:rsid w:val="00FB633B"/>
    <w:rsid w:val="00FB66C5"/>
    <w:rsid w:val="00FB725E"/>
    <w:rsid w:val="00FC0649"/>
    <w:rsid w:val="00FC1271"/>
    <w:rsid w:val="00FC1A32"/>
    <w:rsid w:val="00FC246F"/>
    <w:rsid w:val="00FC2B34"/>
    <w:rsid w:val="00FC2C76"/>
    <w:rsid w:val="00FC3003"/>
    <w:rsid w:val="00FC30B3"/>
    <w:rsid w:val="00FC3EA5"/>
    <w:rsid w:val="00FC4B4A"/>
    <w:rsid w:val="00FD03B5"/>
    <w:rsid w:val="00FD0810"/>
    <w:rsid w:val="00FD0ADC"/>
    <w:rsid w:val="00FD10CE"/>
    <w:rsid w:val="00FD1420"/>
    <w:rsid w:val="00FD1AEA"/>
    <w:rsid w:val="00FD227F"/>
    <w:rsid w:val="00FD41F1"/>
    <w:rsid w:val="00FE00F3"/>
    <w:rsid w:val="00FE073A"/>
    <w:rsid w:val="00FE0C5D"/>
    <w:rsid w:val="00FE0EDF"/>
    <w:rsid w:val="00FE1604"/>
    <w:rsid w:val="00FE1B47"/>
    <w:rsid w:val="00FE328D"/>
    <w:rsid w:val="00FE47D1"/>
    <w:rsid w:val="00FE5107"/>
    <w:rsid w:val="00FE5745"/>
    <w:rsid w:val="00FE5B2F"/>
    <w:rsid w:val="00FF02B0"/>
    <w:rsid w:val="00FF0353"/>
    <w:rsid w:val="00FF0745"/>
    <w:rsid w:val="00FF0A1B"/>
    <w:rsid w:val="00FF38D4"/>
    <w:rsid w:val="00FF4B3F"/>
    <w:rsid w:val="00FF52EB"/>
    <w:rsid w:val="00FF555A"/>
    <w:rsid w:val="00FF56B8"/>
    <w:rsid w:val="00FF59AD"/>
    <w:rsid w:val="00FF6D02"/>
    <w:rsid w:val="00FF752B"/>
    <w:rsid w:val="00FF79E3"/>
    <w:rsid w:val="21985655"/>
    <w:rsid w:val="2AA50C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C43DBDC"/>
  <w15:chartTrackingRefBased/>
  <w15:docId w15:val="{1E2BE984-6951-4EBB-9FD3-881A0D2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142133"/>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950F50"/>
  </w:style>
  <w:style w:type="character" w:customStyle="1" w:styleId="ParaNumCharChar1">
    <w:name w:val="ParaNum Char Char1"/>
    <w:link w:val="ParaNum"/>
    <w:locked/>
    <w:rsid w:val="00950F50"/>
    <w:rPr>
      <w:snapToGrid w:val="0"/>
      <w:kern w:val="28"/>
      <w:sz w:val="22"/>
    </w:rPr>
  </w:style>
  <w:style w:type="character" w:styleId="Emphasis">
    <w:name w:val="Emphasis"/>
    <w:uiPriority w:val="20"/>
    <w:qFormat/>
    <w:rsid w:val="00950F50"/>
    <w:rPr>
      <w:i/>
      <w:iCs/>
    </w:rPr>
  </w:style>
  <w:style w:type="character" w:styleId="CommentReference">
    <w:name w:val="annotation reference"/>
    <w:rsid w:val="005113CC"/>
    <w:rPr>
      <w:sz w:val="16"/>
      <w:szCs w:val="16"/>
    </w:rPr>
  </w:style>
  <w:style w:type="paragraph" w:styleId="CommentText">
    <w:name w:val="annotation text"/>
    <w:basedOn w:val="Normal"/>
    <w:link w:val="CommentTextChar"/>
    <w:rsid w:val="005113CC"/>
    <w:rPr>
      <w:sz w:val="20"/>
    </w:rPr>
  </w:style>
  <w:style w:type="character" w:customStyle="1" w:styleId="CommentTextChar">
    <w:name w:val="Comment Text Char"/>
    <w:link w:val="CommentText"/>
    <w:rsid w:val="005113CC"/>
    <w:rPr>
      <w:snapToGrid w:val="0"/>
      <w:kern w:val="28"/>
    </w:rPr>
  </w:style>
  <w:style w:type="paragraph" w:styleId="CommentSubject">
    <w:name w:val="annotation subject"/>
    <w:basedOn w:val="CommentText"/>
    <w:next w:val="CommentText"/>
    <w:link w:val="CommentSubjectChar"/>
    <w:rsid w:val="005113CC"/>
    <w:rPr>
      <w:b/>
      <w:bCs/>
    </w:rPr>
  </w:style>
  <w:style w:type="character" w:customStyle="1" w:styleId="CommentSubjectChar">
    <w:name w:val="Comment Subject Char"/>
    <w:link w:val="CommentSubject"/>
    <w:rsid w:val="005113CC"/>
    <w:rPr>
      <w:b/>
      <w:bCs/>
      <w:snapToGrid w:val="0"/>
      <w:kern w:val="28"/>
    </w:rPr>
  </w:style>
  <w:style w:type="paragraph" w:styleId="Revision">
    <w:name w:val="Revision"/>
    <w:hidden/>
    <w:uiPriority w:val="99"/>
    <w:semiHidden/>
    <w:rsid w:val="0019072A"/>
    <w:rPr>
      <w:snapToGrid w:val="0"/>
      <w:kern w:val="28"/>
      <w:sz w:val="22"/>
    </w:rPr>
  </w:style>
  <w:style w:type="character" w:styleId="UnresolvedMention">
    <w:name w:val="Unresolved Mention"/>
    <w:uiPriority w:val="99"/>
    <w:unhideWhenUsed/>
    <w:rsid w:val="00236F1E"/>
    <w:rPr>
      <w:color w:val="605E5C"/>
      <w:shd w:val="clear" w:color="auto" w:fill="E1DFDD"/>
    </w:rPr>
  </w:style>
  <w:style w:type="character" w:styleId="Mention">
    <w:name w:val="Mention"/>
    <w:uiPriority w:val="99"/>
    <w:unhideWhenUsed/>
    <w:rsid w:val="00236F1E"/>
    <w:rPr>
      <w:color w:val="2B579A"/>
      <w:shd w:val="clear" w:color="auto" w:fill="E1DFDD"/>
    </w:rPr>
  </w:style>
  <w:style w:type="character" w:customStyle="1" w:styleId="hgkelc">
    <w:name w:val="hgkelc"/>
    <w:basedOn w:val="DefaultParagraphFont"/>
    <w:rsid w:val="00FA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