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5D8085C3"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6986E3F" w14:textId="77777777">
      <w:pPr>
        <w:pStyle w:val="StyleBoldCentered"/>
      </w:pPr>
      <w:r>
        <w:t>F</w:t>
      </w:r>
      <w:r>
        <w:rPr>
          <w:caps w:val="0"/>
        </w:rPr>
        <w:t>ederal Communications Commission</w:t>
      </w:r>
    </w:p>
    <w:p w:rsidR="00E4677C" w:rsidP="00E4677C" w14:paraId="40CA29A6" w14:textId="77777777">
      <w:pPr>
        <w:pStyle w:val="StyleBoldCentered"/>
      </w:pPr>
      <w:r>
        <w:rPr>
          <w:caps w:val="0"/>
        </w:rPr>
        <w:t>Washington, D.C. 20554</w:t>
      </w:r>
    </w:p>
    <w:p w:rsidR="00E4677C" w:rsidP="00E4677C" w14:paraId="26AC9914" w14:textId="77777777"/>
    <w:p w:rsidR="00E4677C" w:rsidP="00E4677C" w14:paraId="46794A97" w14:textId="77777777"/>
    <w:tbl>
      <w:tblPr>
        <w:tblW w:w="0" w:type="auto"/>
        <w:tblLayout w:type="fixed"/>
        <w:tblLook w:val="0000"/>
      </w:tblPr>
      <w:tblGrid>
        <w:gridCol w:w="4698"/>
        <w:gridCol w:w="630"/>
        <w:gridCol w:w="4248"/>
      </w:tblGrid>
      <w:tr w14:paraId="1B066204" w14:textId="77777777" w:rsidTr="00292B7E">
        <w:tblPrEx>
          <w:tblW w:w="0" w:type="auto"/>
          <w:tblLayout w:type="fixed"/>
          <w:tblLook w:val="0000"/>
        </w:tblPrEx>
        <w:tc>
          <w:tcPr>
            <w:tcW w:w="4698" w:type="dxa"/>
          </w:tcPr>
          <w:p w:rsidR="00E4677C" w:rsidP="00292B7E" w14:paraId="362F50C8" w14:textId="77777777">
            <w:pPr>
              <w:tabs>
                <w:tab w:val="center" w:pos="4680"/>
              </w:tabs>
              <w:suppressAutoHyphens/>
              <w:rPr>
                <w:spacing w:val="-2"/>
              </w:rPr>
            </w:pPr>
            <w:r>
              <w:rPr>
                <w:spacing w:val="-2"/>
              </w:rPr>
              <w:t>In the Matter of</w:t>
            </w:r>
          </w:p>
          <w:p w:rsidR="00E4677C" w:rsidP="00292B7E" w14:paraId="503ADEE6" w14:textId="77777777">
            <w:pPr>
              <w:tabs>
                <w:tab w:val="center" w:pos="4680"/>
              </w:tabs>
              <w:suppressAutoHyphens/>
              <w:rPr>
                <w:spacing w:val="-2"/>
              </w:rPr>
            </w:pPr>
          </w:p>
          <w:p w:rsidR="00E4677C" w:rsidRPr="007115F7" w:rsidP="00292B7E" w14:paraId="7D85FA03" w14:textId="77777777">
            <w:pPr>
              <w:tabs>
                <w:tab w:val="center" w:pos="4680"/>
              </w:tabs>
              <w:suppressAutoHyphens/>
              <w:rPr>
                <w:spacing w:val="-2"/>
              </w:rPr>
            </w:pPr>
            <w:r>
              <w:rPr>
                <w:spacing w:val="-2"/>
              </w:rPr>
              <w:t>One Eye LLC</w:t>
            </w:r>
          </w:p>
        </w:tc>
        <w:tc>
          <w:tcPr>
            <w:tcW w:w="630" w:type="dxa"/>
          </w:tcPr>
          <w:p w:rsidR="00E4677C" w:rsidP="00292B7E" w14:paraId="17D54AD7" w14:textId="77777777">
            <w:pPr>
              <w:tabs>
                <w:tab w:val="center" w:pos="4680"/>
              </w:tabs>
              <w:suppressAutoHyphens/>
              <w:rPr>
                <w:b/>
                <w:spacing w:val="-2"/>
              </w:rPr>
            </w:pPr>
            <w:r>
              <w:rPr>
                <w:b/>
                <w:spacing w:val="-2"/>
              </w:rPr>
              <w:t>)</w:t>
            </w:r>
          </w:p>
          <w:p w:rsidR="00E4677C" w:rsidP="00292B7E" w14:paraId="6CA4D66C" w14:textId="77777777">
            <w:pPr>
              <w:tabs>
                <w:tab w:val="center" w:pos="4680"/>
              </w:tabs>
              <w:suppressAutoHyphens/>
              <w:rPr>
                <w:b/>
                <w:spacing w:val="-2"/>
              </w:rPr>
            </w:pPr>
            <w:r>
              <w:rPr>
                <w:b/>
                <w:spacing w:val="-2"/>
              </w:rPr>
              <w:t>)</w:t>
            </w:r>
          </w:p>
          <w:p w:rsidR="00E4677C" w:rsidP="00292B7E" w14:paraId="0AC2CF8B" w14:textId="77777777">
            <w:pPr>
              <w:tabs>
                <w:tab w:val="center" w:pos="4680"/>
              </w:tabs>
              <w:suppressAutoHyphens/>
              <w:rPr>
                <w:b/>
                <w:spacing w:val="-2"/>
              </w:rPr>
            </w:pPr>
            <w:r>
              <w:rPr>
                <w:b/>
                <w:spacing w:val="-2"/>
              </w:rPr>
              <w:t>)</w:t>
            </w:r>
          </w:p>
          <w:p w:rsidR="00E4677C" w:rsidP="00292B7E" w14:paraId="6EA0C6F5" w14:textId="77777777">
            <w:pPr>
              <w:tabs>
                <w:tab w:val="center" w:pos="4680"/>
              </w:tabs>
              <w:suppressAutoHyphens/>
              <w:rPr>
                <w:b/>
                <w:spacing w:val="-2"/>
              </w:rPr>
            </w:pPr>
            <w:r>
              <w:rPr>
                <w:b/>
                <w:spacing w:val="-2"/>
              </w:rPr>
              <w:t>)</w:t>
            </w:r>
          </w:p>
          <w:p w:rsidR="006523E7" w:rsidRPr="006B4180" w:rsidP="00292B7E" w14:paraId="28FD9F70" w14:textId="77777777">
            <w:pPr>
              <w:tabs>
                <w:tab w:val="center" w:pos="4680"/>
              </w:tabs>
              <w:suppressAutoHyphens/>
              <w:rPr>
                <w:b/>
                <w:spacing w:val="-2"/>
              </w:rPr>
            </w:pPr>
            <w:r>
              <w:rPr>
                <w:b/>
                <w:spacing w:val="-2"/>
              </w:rPr>
              <w:t>)</w:t>
            </w:r>
          </w:p>
        </w:tc>
        <w:tc>
          <w:tcPr>
            <w:tcW w:w="4248" w:type="dxa"/>
          </w:tcPr>
          <w:p w:rsidR="00E4677C" w:rsidP="00292B7E" w14:paraId="24DA5E09" w14:textId="77777777">
            <w:pPr>
              <w:tabs>
                <w:tab w:val="center" w:pos="4680"/>
              </w:tabs>
              <w:suppressAutoHyphens/>
              <w:rPr>
                <w:spacing w:val="-2"/>
              </w:rPr>
            </w:pPr>
          </w:p>
          <w:p w:rsidR="00E4677C" w:rsidP="00292B7E" w14:paraId="68564AA5" w14:textId="77777777">
            <w:pPr>
              <w:pStyle w:val="TOAHeading"/>
              <w:tabs>
                <w:tab w:val="center" w:pos="4680"/>
                <w:tab w:val="clear" w:pos="9360"/>
              </w:tabs>
              <w:rPr>
                <w:spacing w:val="-2"/>
              </w:rPr>
            </w:pPr>
          </w:p>
          <w:p w:rsidR="00E4677C" w:rsidP="00292B7E" w14:paraId="517A91CE" w14:textId="77777777">
            <w:pPr>
              <w:tabs>
                <w:tab w:val="center" w:pos="4680"/>
              </w:tabs>
              <w:suppressAutoHyphens/>
              <w:rPr>
                <w:spacing w:val="-2"/>
              </w:rPr>
            </w:pPr>
            <w:r>
              <w:rPr>
                <w:spacing w:val="-2"/>
              </w:rPr>
              <w:t>EB-TCD-</w:t>
            </w:r>
            <w:r w:rsidR="003C0FCB">
              <w:rPr>
                <w:spacing w:val="-2"/>
              </w:rPr>
              <w:t>20-00031678</w:t>
            </w:r>
          </w:p>
          <w:p w:rsidR="00C41F38" w:rsidP="00467EA4" w14:paraId="66385AF5" w14:textId="77777777">
            <w:pPr>
              <w:tabs>
                <w:tab w:val="center" w:pos="4680"/>
              </w:tabs>
              <w:suppressAutoHyphens/>
              <w:rPr>
                <w:spacing w:val="-2"/>
              </w:rPr>
            </w:pPr>
            <w:r>
              <w:rPr>
                <w:spacing w:val="-2"/>
              </w:rPr>
              <w:t>EB Docket No. 22-174</w:t>
            </w:r>
          </w:p>
        </w:tc>
      </w:tr>
    </w:tbl>
    <w:p w:rsidR="00E4677C" w:rsidP="00E4677C" w14:paraId="5EEAF457" w14:textId="77777777"/>
    <w:p w:rsidR="007035B1" w:rsidP="007035B1" w14:paraId="76AC92FB" w14:textId="77777777">
      <w:pPr>
        <w:pStyle w:val="StyleBoldCentered"/>
      </w:pPr>
      <w:r>
        <w:t xml:space="preserve">Initial Determination </w:t>
      </w:r>
      <w:r w:rsidR="00E4677C">
        <w:t>Order</w:t>
      </w:r>
    </w:p>
    <w:p w:rsidR="007035B1" w:rsidP="007035B1" w14:paraId="558F9E2B" w14:textId="77777777">
      <w:pPr>
        <w:pStyle w:val="StyleBoldCentered"/>
      </w:pPr>
    </w:p>
    <w:p w:rsidR="00E4677C" w:rsidP="00E4677C" w14:paraId="01B3C28C" w14:textId="77777777">
      <w:pPr>
        <w:tabs>
          <w:tab w:val="left" w:pos="-720"/>
        </w:tabs>
        <w:suppressAutoHyphens/>
        <w:spacing w:line="227" w:lineRule="auto"/>
        <w:rPr>
          <w:spacing w:val="-2"/>
        </w:rPr>
      </w:pPr>
    </w:p>
    <w:p w:rsidR="00E4677C" w:rsidP="00E4677C" w14:paraId="683B300D" w14:textId="77777777">
      <w:pPr>
        <w:tabs>
          <w:tab w:val="left" w:pos="720"/>
          <w:tab w:val="right" w:pos="9360"/>
        </w:tabs>
        <w:suppressAutoHyphens/>
        <w:spacing w:line="227" w:lineRule="auto"/>
        <w:rPr>
          <w:spacing w:val="-2"/>
        </w:rPr>
      </w:pPr>
      <w:r>
        <w:rPr>
          <w:b/>
          <w:spacing w:val="-2"/>
        </w:rPr>
        <w:t xml:space="preserve">Adopted:  </w:t>
      </w:r>
      <w:r w:rsidR="00AD6A1F">
        <w:rPr>
          <w:b/>
          <w:spacing w:val="-2"/>
        </w:rPr>
        <w:t>April 3, 2023</w:t>
      </w:r>
      <w:r>
        <w:rPr>
          <w:b/>
          <w:spacing w:val="-2"/>
        </w:rPr>
        <w:tab/>
        <w:t xml:space="preserve">Released:  </w:t>
      </w:r>
      <w:r w:rsidR="00AD6A1F">
        <w:rPr>
          <w:b/>
          <w:spacing w:val="-2"/>
        </w:rPr>
        <w:t>April 3, 2023</w:t>
      </w:r>
    </w:p>
    <w:p w:rsidR="00E4677C" w:rsidP="00E4677C" w14:paraId="41AF4F99" w14:textId="77777777"/>
    <w:p w:rsidR="00E4677C" w:rsidP="00E4677C" w14:paraId="7D8D6823" w14:textId="77777777">
      <w:pPr>
        <w:rPr>
          <w:spacing w:val="-2"/>
        </w:rPr>
      </w:pPr>
      <w:r>
        <w:t>By the Chief</w:t>
      </w:r>
      <w:r w:rsidR="00787966">
        <w:t>,</w:t>
      </w:r>
      <w:r>
        <w:t xml:space="preserve"> Enforcement Bureau</w:t>
      </w:r>
      <w:r>
        <w:rPr>
          <w:spacing w:val="-2"/>
        </w:rPr>
        <w:t>:</w:t>
      </w:r>
    </w:p>
    <w:p w:rsidR="00E4677C" w:rsidP="00E4677C" w14:paraId="34E0F276" w14:textId="77777777">
      <w:pPr>
        <w:rPr>
          <w:spacing w:val="-2"/>
        </w:rPr>
      </w:pPr>
    </w:p>
    <w:p w:rsidR="00E4677C" w:rsidP="00E4677C" w14:paraId="34C27A80" w14:textId="77777777">
      <w:pPr>
        <w:pStyle w:val="Heading1"/>
      </w:pPr>
      <w:r>
        <w:t>introduction</w:t>
      </w:r>
    </w:p>
    <w:p w:rsidR="00E4677C" w:rsidP="00E4677C" w14:paraId="23E24DFA" w14:textId="77777777">
      <w:pPr>
        <w:pStyle w:val="ParaNum"/>
      </w:pPr>
      <w:r>
        <w:t>By thi</w:t>
      </w:r>
      <w:r w:rsidR="00BF3954">
        <w:t>s Initial Determination</w:t>
      </w:r>
      <w:r>
        <w:t xml:space="preserve"> </w:t>
      </w:r>
      <w:r w:rsidR="00A436F2">
        <w:t>O</w:t>
      </w:r>
      <w:r>
        <w:t xml:space="preserve">rder, </w:t>
      </w:r>
      <w:r w:rsidR="00CB2D01">
        <w:t>the Enforcement Bureau (Bureau)</w:t>
      </w:r>
      <w:r w:rsidR="00B96E94">
        <w:t xml:space="preserve"> apparently</w:t>
      </w:r>
      <w:r w:rsidR="00CB2D01">
        <w:t xml:space="preserve"> </w:t>
      </w:r>
      <w:r w:rsidR="006F154C">
        <w:t xml:space="preserve">finds </w:t>
      </w:r>
      <w:r w:rsidR="00C90269">
        <w:t>that</w:t>
      </w:r>
      <w:r>
        <w:t xml:space="preserve"> </w:t>
      </w:r>
      <w:r w:rsidR="00497500">
        <w:t xml:space="preserve">One Eye LLC </w:t>
      </w:r>
      <w:r>
        <w:t>(</w:t>
      </w:r>
      <w:r w:rsidR="00497500">
        <w:t xml:space="preserve">One Eye </w:t>
      </w:r>
      <w:r>
        <w:t xml:space="preserve">or Company) </w:t>
      </w:r>
      <w:r w:rsidR="006F154C">
        <w:t xml:space="preserve">has </w:t>
      </w:r>
      <w:r w:rsidR="00C90269">
        <w:t xml:space="preserve">not </w:t>
      </w:r>
      <w:r w:rsidR="006F154C">
        <w:t>complied</w:t>
      </w:r>
      <w:r w:rsidR="00C90269">
        <w:t xml:space="preserve"> with the </w:t>
      </w:r>
      <w:r w:rsidR="00477861">
        <w:t xml:space="preserve">Federal Communications </w:t>
      </w:r>
      <w:r w:rsidRPr="00474EA7" w:rsidR="00C90269">
        <w:t>Commission’s</w:t>
      </w:r>
      <w:r w:rsidR="00477861">
        <w:t xml:space="preserve"> (Commission or FCC)</w:t>
      </w:r>
      <w:r w:rsidRPr="00474EA7" w:rsidR="00C90269">
        <w:t xml:space="preserve"> call blocking rules for gateway providers</w:t>
      </w:r>
      <w:r w:rsidRPr="00474EA7">
        <w:t>.</w:t>
      </w:r>
      <w:r w:rsidRPr="00474EA7" w:rsidR="00C90269">
        <w:t xml:space="preserve">  </w:t>
      </w:r>
      <w:r w:rsidR="00AD5841">
        <w:t xml:space="preserve">Pursuant to section </w:t>
      </w:r>
      <w:r w:rsidRPr="00C87CE3" w:rsidR="00AD5841">
        <w:t>64.1200(n)(5)</w:t>
      </w:r>
      <w:r w:rsidR="00AD5841">
        <w:t>(i)(A)</w:t>
      </w:r>
      <w:r w:rsidRPr="00C87CE3" w:rsidR="00AD5841">
        <w:t xml:space="preserve"> </w:t>
      </w:r>
      <w:r w:rsidR="00AD5841">
        <w:t xml:space="preserve">of the Commission rules, </w:t>
      </w:r>
      <w:r w:rsidRPr="00474EA7" w:rsidR="00C90269">
        <w:t>One Eye has 14 days to respond to this order</w:t>
      </w:r>
      <w:r w:rsidR="00472B25">
        <w:t xml:space="preserve"> </w:t>
      </w:r>
      <w:r w:rsidRPr="00B23FD9" w:rsidR="00F17E1A">
        <w:rPr>
          <w:rStyle w:val="cf01"/>
          <w:rFonts w:ascii="Times New Roman" w:hAnsi="Times New Roman" w:cs="Times New Roman"/>
          <w:sz w:val="22"/>
          <w:szCs w:val="22"/>
        </w:rPr>
        <w:t xml:space="preserve">(Initial Determination Order) </w:t>
      </w:r>
      <w:r w:rsidRPr="00F17E1A" w:rsidR="00472B25">
        <w:t>with a final response</w:t>
      </w:r>
      <w:r w:rsidR="00C41F38">
        <w:t xml:space="preserve"> to our </w:t>
      </w:r>
      <w:r w:rsidR="00B96E94">
        <w:t xml:space="preserve">apparent </w:t>
      </w:r>
      <w:r w:rsidR="00C41F38">
        <w:t>finding and to demonstrate compliance with our rules</w:t>
      </w:r>
      <w:r w:rsidRPr="00F17E1A" w:rsidR="00472B25">
        <w:t>.</w:t>
      </w:r>
      <w:r w:rsidRPr="00F17E1A">
        <w:t xml:space="preserve">  </w:t>
      </w:r>
      <w:r w:rsidRPr="00F17E1A" w:rsidR="00C90269">
        <w:t xml:space="preserve">If One Eye fails to respond to this </w:t>
      </w:r>
      <w:r w:rsidRPr="00F17E1A" w:rsidR="00BF3954">
        <w:t>Initial Determination</w:t>
      </w:r>
      <w:r w:rsidR="00BF3954">
        <w:t xml:space="preserve"> Order</w:t>
      </w:r>
      <w:r w:rsidR="008705E0">
        <w:t>,</w:t>
      </w:r>
      <w:r w:rsidRPr="00A436F2" w:rsidR="00C90269">
        <w:t xml:space="preserve"> </w:t>
      </w:r>
      <w:r w:rsidR="00AD5841">
        <w:t>thereby failing to</w:t>
      </w:r>
      <w:r w:rsidRPr="00A436F2" w:rsidR="00C90269">
        <w:t xml:space="preserve"> provide an adequate response</w:t>
      </w:r>
      <w:r w:rsidR="008705E0">
        <w:t>,</w:t>
      </w:r>
      <w:r w:rsidRPr="00A436F2" w:rsidR="00C90269">
        <w:t xml:space="preserve"> </w:t>
      </w:r>
      <w:r w:rsidR="00D14227">
        <w:t>or</w:t>
      </w:r>
      <w:r w:rsidR="008705E0">
        <w:t xml:space="preserve"> the Company</w:t>
      </w:r>
      <w:r w:rsidR="003F4F60">
        <w:t xml:space="preserve"> continues to transmit substantially similar </w:t>
      </w:r>
      <w:r w:rsidR="00AD5841">
        <w:t xml:space="preserve">unlawful </w:t>
      </w:r>
      <w:r w:rsidR="003F4F60">
        <w:t>traffic</w:t>
      </w:r>
      <w:r w:rsidR="008705E0">
        <w:t>,</w:t>
      </w:r>
      <w:r w:rsidRPr="00A436F2" w:rsidR="003F4F60">
        <w:t xml:space="preserve"> </w:t>
      </w:r>
      <w:r w:rsidR="008705E0">
        <w:t>the Bureau</w:t>
      </w:r>
      <w:r w:rsidRPr="00A436F2" w:rsidR="008705E0">
        <w:t xml:space="preserve"> </w:t>
      </w:r>
      <w:r w:rsidRPr="00A436F2" w:rsidR="00C90269">
        <w:t>will issue a Final Determination Order</w:t>
      </w:r>
      <w:r w:rsidR="008705E0">
        <w:t>.</w:t>
      </w:r>
      <w:r>
        <w:rPr>
          <w:rStyle w:val="FootnoteReference"/>
        </w:rPr>
        <w:footnoteReference w:id="3"/>
      </w:r>
      <w:r w:rsidR="008705E0">
        <w:t xml:space="preserve"> </w:t>
      </w:r>
      <w:r w:rsidR="00335B0F">
        <w:t xml:space="preserve"> </w:t>
      </w:r>
      <w:r w:rsidR="008705E0">
        <w:t>A</w:t>
      </w:r>
      <w:r w:rsidRPr="00A436F2" w:rsidR="00C90269">
        <w:t xml:space="preserve">ny provider immediately downstream from One Eye </w:t>
      </w:r>
      <w:r w:rsidR="008705E0">
        <w:t xml:space="preserve">will then be required to </w:t>
      </w:r>
      <w:r w:rsidRPr="00A436F2" w:rsidR="00C90269">
        <w:t>block and cease accepting all traffic received from One Eye beginning 30 days after release of the Final Determination Order.</w:t>
      </w:r>
      <w:r>
        <w:rPr>
          <w:rStyle w:val="FootnoteReference"/>
        </w:rPr>
        <w:footnoteReference w:id="4"/>
      </w:r>
      <w:r w:rsidRPr="00A436F2" w:rsidR="00C90269">
        <w:t xml:space="preserve"> </w:t>
      </w:r>
    </w:p>
    <w:p w:rsidR="00E4677C" w:rsidP="00E4677C" w14:paraId="3BD6429E" w14:textId="77777777">
      <w:pPr>
        <w:pStyle w:val="Heading1"/>
      </w:pPr>
      <w:r>
        <w:t>Background</w:t>
      </w:r>
    </w:p>
    <w:p w:rsidR="00E4677C" w:rsidP="00AD5841" w14:paraId="25C6763A" w14:textId="77777777">
      <w:pPr>
        <w:pStyle w:val="Heading2"/>
      </w:pPr>
      <w:r>
        <w:t>Lega</w:t>
      </w:r>
      <w:r>
        <w:t xml:space="preserve">l Framework for </w:t>
      </w:r>
      <w:r w:rsidR="007035B1">
        <w:t>Gateway Provider Mandatory Blocking Rules</w:t>
      </w:r>
    </w:p>
    <w:p w:rsidR="00E4677C" w:rsidP="006224AB" w14:paraId="49B245D8" w14:textId="77777777">
      <w:pPr>
        <w:pStyle w:val="ParaNum"/>
        <w:widowControl/>
      </w:pPr>
      <w:r>
        <w:t xml:space="preserve">Protecting </w:t>
      </w:r>
      <w:r w:rsidR="008672AD">
        <w:t>consumers in the United States</w:t>
      </w:r>
      <w:r>
        <w:t xml:space="preserve"> from the dangers</w:t>
      </w:r>
      <w:r w:rsidR="00C4438E">
        <w:t xml:space="preserve"> and risks</w:t>
      </w:r>
      <w:r>
        <w:t xml:space="preserve"> of unwanted and illegal robocalls is the Commission’s top consumer protection priority.</w:t>
      </w:r>
      <w:r>
        <w:rPr>
          <w:rStyle w:val="FootnoteReference"/>
        </w:rPr>
        <w:footnoteReference w:id="5"/>
      </w:r>
      <w:r>
        <w:t xml:space="preserve">  </w:t>
      </w:r>
      <w:r w:rsidR="00E167E8">
        <w:t>Many of these calls originate overseas.  Gateway providers</w:t>
      </w:r>
      <w:r w:rsidR="00D579FC">
        <w:t xml:space="preserve"> are </w:t>
      </w:r>
      <w:r w:rsidR="00E167E8">
        <w:t>U.S.-based intermediate providers that receive calls directly from a foreign originating provider or foreign intermediate provider at its U.S.-based facilities before transmitting the call downstream to another U.S.-based provider</w:t>
      </w:r>
      <w:r w:rsidR="00D579FC">
        <w:t xml:space="preserve">.  Such providers </w:t>
      </w:r>
      <w:r w:rsidR="00E167E8">
        <w:t>serve as critical choke</w:t>
      </w:r>
      <w:r w:rsidR="00B86248">
        <w:t xml:space="preserve"> </w:t>
      </w:r>
      <w:r w:rsidR="00E167E8">
        <w:t>points for reducing the number of illegal calls reaching consumers</w:t>
      </w:r>
      <w:r w:rsidR="00B86248">
        <w:t xml:space="preserve"> in the United States</w:t>
      </w:r>
      <w:r w:rsidR="00E167E8">
        <w:t>.</w:t>
      </w:r>
      <w:r>
        <w:rPr>
          <w:rStyle w:val="FootnoteReference"/>
        </w:rPr>
        <w:footnoteReference w:id="6"/>
      </w:r>
      <w:r w:rsidR="00E167E8">
        <w:t xml:space="preserve"> </w:t>
      </w:r>
      <w:r w:rsidR="00A33A72">
        <w:t xml:space="preserve"> </w:t>
      </w:r>
      <w:r w:rsidR="00D579FC">
        <w:t>In recognition of this fact</w:t>
      </w:r>
      <w:r w:rsidR="00BF3954">
        <w:t xml:space="preserve">, </w:t>
      </w:r>
      <w:r w:rsidR="00A33A72">
        <w:t xml:space="preserve">the Commission adopted the </w:t>
      </w:r>
      <w:r w:rsidR="00A33A72">
        <w:rPr>
          <w:i/>
          <w:iCs/>
        </w:rPr>
        <w:t>Gateway Provider Order</w:t>
      </w:r>
      <w:r w:rsidR="00A33A72">
        <w:t xml:space="preserve"> </w:t>
      </w:r>
      <w:r w:rsidR="00BF3954">
        <w:t xml:space="preserve">on May 19, 2022, </w:t>
      </w:r>
      <w:r w:rsidR="00D579FC">
        <w:t xml:space="preserve">increasing the obligations of </w:t>
      </w:r>
      <w:r w:rsidR="00A33A72">
        <w:t>gateway providers to police their</w:t>
      </w:r>
      <w:r w:rsidR="00D579FC">
        <w:t xml:space="preserve"> own</w:t>
      </w:r>
      <w:r w:rsidR="00A33A72">
        <w:t xml:space="preserve"> networks and </w:t>
      </w:r>
      <w:r w:rsidR="0097244F">
        <w:t xml:space="preserve">imposing </w:t>
      </w:r>
      <w:r w:rsidR="00A33A72">
        <w:t xml:space="preserve">consequences on gateway </w:t>
      </w:r>
      <w:r w:rsidR="00A33A72">
        <w:t>providers that fail to do so.</w:t>
      </w:r>
      <w:r>
        <w:rPr>
          <w:rStyle w:val="FootnoteReference"/>
        </w:rPr>
        <w:footnoteReference w:id="7"/>
      </w:r>
    </w:p>
    <w:p w:rsidR="00510BBF" w:rsidP="00510BBF" w14:paraId="572E40D7" w14:textId="77777777">
      <w:pPr>
        <w:pStyle w:val="ParaNum"/>
      </w:pPr>
      <w:r>
        <w:t xml:space="preserve">The </w:t>
      </w:r>
      <w:r>
        <w:rPr>
          <w:i/>
          <w:iCs/>
        </w:rPr>
        <w:t>Gateway Provider</w:t>
      </w:r>
      <w:r w:rsidR="00477861">
        <w:rPr>
          <w:i/>
          <w:iCs/>
        </w:rPr>
        <w:t xml:space="preserve"> Order</w:t>
      </w:r>
      <w:r>
        <w:t xml:space="preserve"> built </w:t>
      </w:r>
      <w:r w:rsidR="003902D7">
        <w:t>up</w:t>
      </w:r>
      <w:r>
        <w:t>on the Commission’s call blocking rules to require gateway providers to blo</w:t>
      </w:r>
      <w:r>
        <w:t>ck illegal traffic when notified of such traffic by the Commission.</w:t>
      </w:r>
      <w:r>
        <w:rPr>
          <w:rStyle w:val="FootnoteReference"/>
        </w:rPr>
        <w:footnoteReference w:id="8"/>
      </w:r>
      <w:r w:rsidR="00C87CE3">
        <w:t xml:space="preserve"> </w:t>
      </w:r>
      <w:r w:rsidR="00EA6469">
        <w:t xml:space="preserve"> Pursuant to s</w:t>
      </w:r>
      <w:r w:rsidRPr="00C87CE3" w:rsidR="00C87CE3">
        <w:t>ection 64.1200(n)(5)</w:t>
      </w:r>
      <w:r w:rsidR="00EA6469">
        <w:t>(i)(A)</w:t>
      </w:r>
      <w:r w:rsidRPr="00C87CE3" w:rsidR="00C87CE3">
        <w:t xml:space="preserve"> </w:t>
      </w:r>
      <w:r w:rsidR="003902D7">
        <w:t xml:space="preserve">of the Commission’s </w:t>
      </w:r>
      <w:r w:rsidR="00DE2A96">
        <w:t>r</w:t>
      </w:r>
      <w:r w:rsidR="003902D7">
        <w:t>ules</w:t>
      </w:r>
      <w:r w:rsidR="00EA6469">
        <w:t>, once a</w:t>
      </w:r>
      <w:r w:rsidR="003902D7">
        <w:t xml:space="preserve"> </w:t>
      </w:r>
      <w:r w:rsidRPr="00C87CE3" w:rsidR="00C87CE3">
        <w:t xml:space="preserve">gateway </w:t>
      </w:r>
      <w:r w:rsidR="005D3997">
        <w:t xml:space="preserve">provider </w:t>
      </w:r>
      <w:r w:rsidR="00EA6469">
        <w:t xml:space="preserve">receives a notification of suspected illegal traffic from the Bureau, </w:t>
      </w:r>
      <w:r w:rsidR="005D3997">
        <w:t>the</w:t>
      </w:r>
      <w:r w:rsidR="00EA6469">
        <w:t xml:space="preserve"> provider has </w:t>
      </w:r>
      <w:r w:rsidR="008E314B">
        <w:t xml:space="preserve">a minimum of </w:t>
      </w:r>
      <w:r w:rsidR="00EA6469">
        <w:t>14 days to comply with the notice by investigating and reporting the results of the investigation to the Bureau.</w:t>
      </w:r>
      <w:r>
        <w:rPr>
          <w:rStyle w:val="FootnoteReference"/>
        </w:rPr>
        <w:footnoteReference w:id="9"/>
      </w:r>
      <w:r w:rsidR="005D3997">
        <w:t xml:space="preserve">  The provider must also block the traffic if its investigation determine</w:t>
      </w:r>
      <w:r w:rsidR="000367A7">
        <w:t>s</w:t>
      </w:r>
      <w:r w:rsidR="005D3997">
        <w:t xml:space="preserve"> that it served as the gateway provider for the traffic.</w:t>
      </w:r>
      <w:r>
        <w:rPr>
          <w:rStyle w:val="FootnoteReference"/>
        </w:rPr>
        <w:footnoteReference w:id="10"/>
      </w:r>
      <w:r w:rsidR="00C87CE3">
        <w:t xml:space="preserve">  </w:t>
      </w:r>
      <w:r w:rsidR="009C25A4">
        <w:t>I</w:t>
      </w:r>
      <w:r w:rsidR="00DE2A96">
        <w:t xml:space="preserve">f the </w:t>
      </w:r>
      <w:r w:rsidR="009C25A4">
        <w:t>gateway provider</w:t>
      </w:r>
      <w:r w:rsidR="00DE2A96">
        <w:t xml:space="preserve"> did not block the traffic,</w:t>
      </w:r>
      <w:r w:rsidR="00C87CE3">
        <w:t xml:space="preserve"> </w:t>
      </w:r>
      <w:r w:rsidR="009C25A4">
        <w:t xml:space="preserve">it must </w:t>
      </w:r>
      <w:r w:rsidR="00C87CE3">
        <w:t>explain to the Bureau why the identified traffic was not illegal.</w:t>
      </w:r>
      <w:r>
        <w:rPr>
          <w:rStyle w:val="FootnoteReference"/>
        </w:rPr>
        <w:footnoteReference w:id="11"/>
      </w:r>
    </w:p>
    <w:p w:rsidR="00934138" w:rsidP="00F71CB1" w14:paraId="247A5BFD" w14:textId="77777777">
      <w:pPr>
        <w:pStyle w:val="ParaNum"/>
      </w:pPr>
      <w:r>
        <w:t xml:space="preserve">The Bureau may initiate a </w:t>
      </w:r>
      <w:r w:rsidR="00942E02">
        <w:t xml:space="preserve">process </w:t>
      </w:r>
      <w:r>
        <w:t xml:space="preserve">to </w:t>
      </w:r>
      <w:r>
        <w:t xml:space="preserve">direct </w:t>
      </w:r>
      <w:r w:rsidRPr="00F640C7" w:rsidR="00942E02">
        <w:rPr>
          <w:color w:val="333333"/>
          <w:szCs w:val="22"/>
          <w:shd w:val="clear" w:color="auto" w:fill="FFFFFF"/>
        </w:rPr>
        <w:t>any provider immediately downstream from the </w:t>
      </w:r>
      <w:r w:rsidR="00942E02">
        <w:t xml:space="preserve">gateway </w:t>
      </w:r>
      <w:r>
        <w:t xml:space="preserve">provider to block the notified gateway provider’s traffic if the gateway provider fails to respond to the </w:t>
      </w:r>
      <w:r w:rsidR="00CD5069">
        <w:t>n</w:t>
      </w:r>
      <w:r>
        <w:t xml:space="preserve">otice of </w:t>
      </w:r>
      <w:r w:rsidR="00CD5069">
        <w:t>s</w:t>
      </w:r>
      <w:r>
        <w:t xml:space="preserve">uspected </w:t>
      </w:r>
      <w:r w:rsidR="00CD5069">
        <w:t>i</w:t>
      </w:r>
      <w:r>
        <w:t xml:space="preserve">llegal </w:t>
      </w:r>
      <w:r w:rsidR="00CD5069">
        <w:t>t</w:t>
      </w:r>
      <w:r>
        <w:t>raffic or continues to transmit substantially similar traffic</w:t>
      </w:r>
      <w:r>
        <w:t>.</w:t>
      </w:r>
      <w:r>
        <w:rPr>
          <w:rStyle w:val="FootnoteReference"/>
        </w:rPr>
        <w:footnoteReference w:id="12"/>
      </w:r>
      <w:r>
        <w:t xml:space="preserve">  </w:t>
      </w:r>
      <w:r>
        <w:rPr>
          <w:szCs w:val="22"/>
        </w:rPr>
        <w:t>The Bureau</w:t>
      </w:r>
      <w:r w:rsidRPr="00510BBF">
        <w:rPr>
          <w:szCs w:val="22"/>
        </w:rPr>
        <w:t xml:space="preserve"> will </w:t>
      </w:r>
      <w:r w:rsidR="00CD5069">
        <w:rPr>
          <w:szCs w:val="22"/>
        </w:rPr>
        <w:t>then issue</w:t>
      </w:r>
      <w:r w:rsidRPr="00510BBF" w:rsidR="00CD5069">
        <w:rPr>
          <w:szCs w:val="22"/>
        </w:rPr>
        <w:t xml:space="preserve"> </w:t>
      </w:r>
      <w:r w:rsidRPr="00510BBF">
        <w:rPr>
          <w:szCs w:val="22"/>
        </w:rPr>
        <w:t xml:space="preserve">an Initial Determination Order with </w:t>
      </w:r>
      <w:r>
        <w:rPr>
          <w:szCs w:val="22"/>
        </w:rPr>
        <w:t>its</w:t>
      </w:r>
      <w:r w:rsidRPr="00510BBF">
        <w:rPr>
          <w:szCs w:val="22"/>
        </w:rPr>
        <w:t xml:space="preserve"> </w:t>
      </w:r>
      <w:r w:rsidR="00B96E94">
        <w:rPr>
          <w:szCs w:val="22"/>
        </w:rPr>
        <w:t xml:space="preserve">apparent </w:t>
      </w:r>
      <w:r w:rsidRPr="00510BBF">
        <w:rPr>
          <w:szCs w:val="22"/>
        </w:rPr>
        <w:t xml:space="preserve">findings and provide </w:t>
      </w:r>
      <w:r>
        <w:rPr>
          <w:szCs w:val="22"/>
        </w:rPr>
        <w:t>the gateway provider</w:t>
      </w:r>
      <w:r w:rsidRPr="00510BBF">
        <w:rPr>
          <w:szCs w:val="22"/>
        </w:rPr>
        <w:t xml:space="preserve"> with an opportunity to respond</w:t>
      </w:r>
      <w:r w:rsidR="00CD5069">
        <w:rPr>
          <w:szCs w:val="22"/>
        </w:rPr>
        <w:t>.</w:t>
      </w:r>
      <w:r>
        <w:rPr>
          <w:rStyle w:val="FootnoteReference"/>
          <w:sz w:val="22"/>
          <w:szCs w:val="22"/>
        </w:rPr>
        <w:footnoteReference w:id="13"/>
      </w:r>
      <w:r w:rsidRPr="00510BBF">
        <w:rPr>
          <w:szCs w:val="22"/>
        </w:rPr>
        <w:t xml:space="preserve">  If </w:t>
      </w:r>
      <w:r>
        <w:rPr>
          <w:szCs w:val="22"/>
        </w:rPr>
        <w:t>the Bureau</w:t>
      </w:r>
      <w:r w:rsidRPr="00510BBF">
        <w:rPr>
          <w:szCs w:val="22"/>
        </w:rPr>
        <w:t xml:space="preserve"> determine</w:t>
      </w:r>
      <w:r>
        <w:rPr>
          <w:szCs w:val="22"/>
        </w:rPr>
        <w:t>s</w:t>
      </w:r>
      <w:r w:rsidRPr="00510BBF">
        <w:rPr>
          <w:szCs w:val="22"/>
        </w:rPr>
        <w:t xml:space="preserve"> that </w:t>
      </w:r>
      <w:r>
        <w:rPr>
          <w:szCs w:val="22"/>
        </w:rPr>
        <w:t>the gateway provider’s</w:t>
      </w:r>
      <w:r w:rsidRPr="00510BBF">
        <w:rPr>
          <w:szCs w:val="22"/>
        </w:rPr>
        <w:t xml:space="preserve"> response</w:t>
      </w:r>
      <w:r w:rsidR="00942E02">
        <w:rPr>
          <w:szCs w:val="22"/>
        </w:rPr>
        <w:t xml:space="preserve"> to the Initial Determination Order</w:t>
      </w:r>
      <w:r w:rsidRPr="00510BBF">
        <w:rPr>
          <w:szCs w:val="22"/>
        </w:rPr>
        <w:t xml:space="preserve"> </w:t>
      </w:r>
      <w:r w:rsidR="000367A7">
        <w:rPr>
          <w:szCs w:val="22"/>
        </w:rPr>
        <w:t>is</w:t>
      </w:r>
      <w:r w:rsidRPr="00510BBF">
        <w:rPr>
          <w:szCs w:val="22"/>
        </w:rPr>
        <w:t xml:space="preserve"> inadequate</w:t>
      </w:r>
      <w:r>
        <w:rPr>
          <w:szCs w:val="22"/>
        </w:rPr>
        <w:t xml:space="preserve"> </w:t>
      </w:r>
      <w:r w:rsidR="00B65523">
        <w:rPr>
          <w:szCs w:val="22"/>
        </w:rPr>
        <w:t>(</w:t>
      </w:r>
      <w:r>
        <w:rPr>
          <w:szCs w:val="22"/>
        </w:rPr>
        <w:t>including</w:t>
      </w:r>
      <w:r w:rsidR="00B65523">
        <w:rPr>
          <w:szCs w:val="22"/>
        </w:rPr>
        <w:t xml:space="preserve"> instances where the </w:t>
      </w:r>
      <w:r w:rsidR="00971D3E">
        <w:rPr>
          <w:szCs w:val="22"/>
        </w:rPr>
        <w:t xml:space="preserve">gateway </w:t>
      </w:r>
      <w:r w:rsidR="00B65523">
        <w:rPr>
          <w:szCs w:val="22"/>
        </w:rPr>
        <w:t>provider fails to respond)</w:t>
      </w:r>
      <w:r>
        <w:rPr>
          <w:szCs w:val="22"/>
        </w:rPr>
        <w:t>,</w:t>
      </w:r>
      <w:r w:rsidRPr="00510BBF">
        <w:rPr>
          <w:szCs w:val="22"/>
        </w:rPr>
        <w:t xml:space="preserve"> or </w:t>
      </w:r>
      <w:r w:rsidR="00082B83">
        <w:rPr>
          <w:szCs w:val="22"/>
        </w:rPr>
        <w:t xml:space="preserve">if </w:t>
      </w:r>
      <w:r w:rsidRPr="00510BBF">
        <w:rPr>
          <w:szCs w:val="22"/>
        </w:rPr>
        <w:t xml:space="preserve">it continues to transmit substantially similar traffic, </w:t>
      </w:r>
      <w:r>
        <w:rPr>
          <w:szCs w:val="22"/>
        </w:rPr>
        <w:t>the Bureau</w:t>
      </w:r>
      <w:r w:rsidRPr="00510BBF">
        <w:rPr>
          <w:szCs w:val="22"/>
        </w:rPr>
        <w:t xml:space="preserve"> will </w:t>
      </w:r>
      <w:r w:rsidR="00005735">
        <w:rPr>
          <w:szCs w:val="22"/>
        </w:rPr>
        <w:t>release</w:t>
      </w:r>
      <w:r w:rsidRPr="00510BBF" w:rsidR="00005735">
        <w:rPr>
          <w:szCs w:val="22"/>
        </w:rPr>
        <w:t xml:space="preserve"> </w:t>
      </w:r>
      <w:r w:rsidRPr="00510BBF">
        <w:rPr>
          <w:szCs w:val="22"/>
        </w:rPr>
        <w:t>a Final Determination Order</w:t>
      </w:r>
      <w:r w:rsidR="00B65523">
        <w:rPr>
          <w:szCs w:val="22"/>
        </w:rPr>
        <w:t>.</w:t>
      </w:r>
      <w:r>
        <w:rPr>
          <w:rStyle w:val="FootnoteReference"/>
          <w:szCs w:val="22"/>
        </w:rPr>
        <w:footnoteReference w:id="14"/>
      </w:r>
      <w:r w:rsidR="00B65523">
        <w:rPr>
          <w:szCs w:val="22"/>
        </w:rPr>
        <w:t xml:space="preserve">  </w:t>
      </w:r>
      <w:r w:rsidR="00F71CB1">
        <w:rPr>
          <w:szCs w:val="22"/>
        </w:rPr>
        <w:t>A</w:t>
      </w:r>
      <w:r w:rsidRPr="00F71CB1">
        <w:rPr>
          <w:szCs w:val="22"/>
        </w:rPr>
        <w:t xml:space="preserve">ll </w:t>
      </w:r>
      <w:r w:rsidR="00AF1238">
        <w:rPr>
          <w:szCs w:val="22"/>
        </w:rPr>
        <w:t>immediate</w:t>
      </w:r>
      <w:r w:rsidRPr="00F71CB1" w:rsidR="005F30D2">
        <w:rPr>
          <w:szCs w:val="22"/>
        </w:rPr>
        <w:t xml:space="preserve"> </w:t>
      </w:r>
      <w:r w:rsidRPr="00F71CB1">
        <w:rPr>
          <w:szCs w:val="22"/>
        </w:rPr>
        <w:t>downstr</w:t>
      </w:r>
      <w:r w:rsidRPr="00F71CB1">
        <w:rPr>
          <w:szCs w:val="22"/>
        </w:rPr>
        <w:t xml:space="preserve">eam providers </w:t>
      </w:r>
      <w:r w:rsidRPr="00F71CB1" w:rsidR="00F71CB1">
        <w:rPr>
          <w:szCs w:val="22"/>
        </w:rPr>
        <w:t>must</w:t>
      </w:r>
      <w:r w:rsidRPr="00F71CB1">
        <w:rPr>
          <w:szCs w:val="22"/>
        </w:rPr>
        <w:t xml:space="preserve"> block and cease accepting all traffic that they receive from the provider starting 30 days from release of the Final Determination Order.</w:t>
      </w:r>
      <w:r>
        <w:rPr>
          <w:rStyle w:val="FootnoteReference"/>
          <w:sz w:val="22"/>
          <w:szCs w:val="22"/>
        </w:rPr>
        <w:footnoteReference w:id="15"/>
      </w:r>
    </w:p>
    <w:p w:rsidR="00E4677C" w:rsidP="00AD5841" w14:paraId="0527B143" w14:textId="77777777">
      <w:pPr>
        <w:pStyle w:val="Heading2"/>
      </w:pPr>
      <w:r>
        <w:t>One Eye’s Transmission of Suspected Illegal Robocalls as a Gateway Provider</w:t>
      </w:r>
    </w:p>
    <w:p w:rsidR="00E4677C" w:rsidRPr="00AC540F" w:rsidP="00E4677C" w14:paraId="5EC7FB3B" w14:textId="77777777">
      <w:pPr>
        <w:pStyle w:val="ParaNum"/>
      </w:pPr>
      <w:r>
        <w:t>On February 15, 2023,</w:t>
      </w:r>
      <w:r>
        <w:t xml:space="preserve"> the Bureau issued a Notice of Suspected Illegal Robocall Traffic</w:t>
      </w:r>
      <w:r w:rsidR="008D3A33">
        <w:t xml:space="preserve"> (Notice)</w:t>
      </w:r>
      <w:r w:rsidR="00474EA7">
        <w:t xml:space="preserve"> to One Eye</w:t>
      </w:r>
      <w:r w:rsidR="00E6064D">
        <w:t xml:space="preserve"> </w:t>
      </w:r>
      <w:r w:rsidR="00474EA7">
        <w:t>for transmitting apparent</w:t>
      </w:r>
      <w:r w:rsidR="00B86248">
        <w:t>ly</w:t>
      </w:r>
      <w:r w:rsidR="00474EA7">
        <w:t xml:space="preserve"> illegal traffic as a gateway provider.</w:t>
      </w:r>
      <w:r>
        <w:rPr>
          <w:rStyle w:val="FootnoteReference"/>
        </w:rPr>
        <w:footnoteReference w:id="16"/>
      </w:r>
      <w:r w:rsidR="00474EA7">
        <w:t xml:space="preserve">  </w:t>
      </w:r>
      <w:r w:rsidR="00474EA7">
        <w:rPr>
          <w:szCs w:val="22"/>
        </w:rPr>
        <w:t xml:space="preserve">These calls pertained to bank impersonation and claims of “preauthorized orders” placed </w:t>
      </w:r>
      <w:r w:rsidR="00626AD7">
        <w:rPr>
          <w:szCs w:val="22"/>
        </w:rPr>
        <w:t>“on</w:t>
      </w:r>
      <w:r w:rsidR="00474EA7">
        <w:rPr>
          <w:szCs w:val="22"/>
        </w:rPr>
        <w:t xml:space="preserve"> </w:t>
      </w:r>
      <w:r w:rsidR="00121FED">
        <w:rPr>
          <w:szCs w:val="22"/>
        </w:rPr>
        <w:t xml:space="preserve">your </w:t>
      </w:r>
      <w:r w:rsidR="00626AD7">
        <w:rPr>
          <w:szCs w:val="22"/>
        </w:rPr>
        <w:t>name</w:t>
      </w:r>
      <w:r w:rsidR="00474EA7">
        <w:rPr>
          <w:szCs w:val="22"/>
        </w:rPr>
        <w:t>.”</w:t>
      </w:r>
      <w:r>
        <w:rPr>
          <w:rStyle w:val="FootnoteReference"/>
          <w:sz w:val="22"/>
          <w:szCs w:val="22"/>
        </w:rPr>
        <w:footnoteReference w:id="17"/>
      </w:r>
      <w:r w:rsidR="00474EA7">
        <w:rPr>
          <w:szCs w:val="22"/>
        </w:rPr>
        <w:t xml:space="preserve">  Between </w:t>
      </w:r>
      <w:r w:rsidR="00474EA7">
        <w:rPr>
          <w:szCs w:val="22"/>
        </w:rPr>
        <w:t>September 14, 2022</w:t>
      </w:r>
      <w:r w:rsidR="00B65523">
        <w:rPr>
          <w:szCs w:val="22"/>
        </w:rPr>
        <w:t>,</w:t>
      </w:r>
      <w:r w:rsidR="00474EA7">
        <w:rPr>
          <w:szCs w:val="22"/>
        </w:rPr>
        <w:t xml:space="preserve"> and November 1, 2022, </w:t>
      </w:r>
      <w:r w:rsidR="0003570F">
        <w:rPr>
          <w:szCs w:val="22"/>
        </w:rPr>
        <w:t>USTelecom’s Industry</w:t>
      </w:r>
      <w:r w:rsidR="00390852">
        <w:rPr>
          <w:szCs w:val="22"/>
        </w:rPr>
        <w:t xml:space="preserve"> Traceback</w:t>
      </w:r>
      <w:r w:rsidR="0003570F">
        <w:rPr>
          <w:szCs w:val="22"/>
        </w:rPr>
        <w:t xml:space="preserve"> </w:t>
      </w:r>
      <w:r w:rsidR="00F17E1A">
        <w:rPr>
          <w:szCs w:val="22"/>
        </w:rPr>
        <w:t xml:space="preserve">Group </w:t>
      </w:r>
      <w:r w:rsidR="0003570F">
        <w:rPr>
          <w:szCs w:val="22"/>
        </w:rPr>
        <w:t>(</w:t>
      </w:r>
      <w:r w:rsidR="00106EC6">
        <w:rPr>
          <w:szCs w:val="22"/>
        </w:rPr>
        <w:t>ITG</w:t>
      </w:r>
      <w:r w:rsidR="0003570F">
        <w:rPr>
          <w:szCs w:val="22"/>
        </w:rPr>
        <w:t>)</w:t>
      </w:r>
      <w:r>
        <w:rPr>
          <w:rStyle w:val="FootnoteReference"/>
          <w:sz w:val="22"/>
          <w:szCs w:val="22"/>
        </w:rPr>
        <w:footnoteReference w:id="18"/>
      </w:r>
      <w:r w:rsidR="0003570F">
        <w:rPr>
          <w:szCs w:val="22"/>
        </w:rPr>
        <w:t xml:space="preserve"> </w:t>
      </w:r>
      <w:r w:rsidR="00474EA7">
        <w:rPr>
          <w:szCs w:val="22"/>
        </w:rPr>
        <w:t>investigated prerecorded voice message calls that Bank of America and Verizon had flagged as illegal spoofed robocalls or calls made without consent.</w:t>
      </w:r>
      <w:r>
        <w:rPr>
          <w:rStyle w:val="FootnoteReference"/>
          <w:sz w:val="22"/>
          <w:szCs w:val="22"/>
        </w:rPr>
        <w:footnoteReference w:id="19"/>
      </w:r>
      <w:r w:rsidR="00474EA7">
        <w:rPr>
          <w:szCs w:val="22"/>
        </w:rPr>
        <w:t xml:space="preserve">  The </w:t>
      </w:r>
      <w:r w:rsidR="00106EC6">
        <w:rPr>
          <w:szCs w:val="22"/>
        </w:rPr>
        <w:t>ITG</w:t>
      </w:r>
      <w:r w:rsidR="00474EA7">
        <w:rPr>
          <w:szCs w:val="22"/>
        </w:rPr>
        <w:t xml:space="preserve"> conducted tracebacks and determined that </w:t>
      </w:r>
      <w:r w:rsidR="00106EC6">
        <w:rPr>
          <w:szCs w:val="22"/>
        </w:rPr>
        <w:t xml:space="preserve">the calls originated overseas and that </w:t>
      </w:r>
      <w:r w:rsidR="00474EA7">
        <w:rPr>
          <w:szCs w:val="22"/>
        </w:rPr>
        <w:t>One Eye acted as the gateway provider for the calls.</w:t>
      </w:r>
      <w:r>
        <w:rPr>
          <w:rStyle w:val="FootnoteReference"/>
          <w:szCs w:val="22"/>
        </w:rPr>
        <w:footnoteReference w:id="20"/>
      </w:r>
      <w:r w:rsidR="00474EA7">
        <w:rPr>
          <w:szCs w:val="22"/>
        </w:rPr>
        <w:t xml:space="preserve">  The </w:t>
      </w:r>
      <w:r w:rsidR="00106EC6">
        <w:rPr>
          <w:szCs w:val="22"/>
        </w:rPr>
        <w:t>ITG</w:t>
      </w:r>
      <w:r w:rsidR="00474EA7">
        <w:rPr>
          <w:szCs w:val="22"/>
        </w:rPr>
        <w:t xml:space="preserve"> previously notified One Eye of these calls and provided it access to supporting data identifying each call.</w:t>
      </w:r>
      <w:r>
        <w:rPr>
          <w:rStyle w:val="FootnoteReference"/>
          <w:szCs w:val="22"/>
        </w:rPr>
        <w:footnoteReference w:id="21"/>
      </w:r>
      <w:r w:rsidR="0012263F">
        <w:rPr>
          <w:szCs w:val="22"/>
        </w:rPr>
        <w:t xml:space="preserve">  One Eye did not respond to these tracebacks.</w:t>
      </w:r>
      <w:r>
        <w:rPr>
          <w:rStyle w:val="FootnoteReference"/>
          <w:szCs w:val="22"/>
        </w:rPr>
        <w:footnoteReference w:id="22"/>
      </w:r>
    </w:p>
    <w:p w:rsidR="00AC540F" w:rsidRPr="0003570F" w:rsidP="00E4677C" w14:paraId="38FDE080" w14:textId="77777777">
      <w:pPr>
        <w:pStyle w:val="ParaNum"/>
      </w:pPr>
      <w:r>
        <w:t>The</w:t>
      </w:r>
      <w:r w:rsidR="008D3A33">
        <w:t xml:space="preserve"> Notice </w:t>
      </w:r>
      <w:r>
        <w:t>required One Eye to investigate and block the traffic and report the results of the investig</w:t>
      </w:r>
      <w:r>
        <w:t>ation to the Bureau by March 2, 2023</w:t>
      </w:r>
      <w:r w:rsidR="00600197">
        <w:t>.</w:t>
      </w:r>
      <w:r>
        <w:rPr>
          <w:rStyle w:val="FootnoteReference"/>
        </w:rPr>
        <w:footnoteReference w:id="23"/>
      </w:r>
      <w:r w:rsidR="00600197">
        <w:t xml:space="preserve">  The </w:t>
      </w:r>
      <w:r w:rsidR="008D3A33">
        <w:t>Notice</w:t>
      </w:r>
      <w:r w:rsidR="00600197">
        <w:t xml:space="preserve"> warned One Eye that a failure to comply with those obligations would result in the Bureau requiring all </w:t>
      </w:r>
      <w:r w:rsidR="00AF1238">
        <w:t>immediate</w:t>
      </w:r>
      <w:r w:rsidR="005F30D2">
        <w:t xml:space="preserve"> </w:t>
      </w:r>
      <w:r w:rsidR="00600197">
        <w:t>downstream providers to block its traffic pursuant to section 64.1200(n)(5) and (6).</w:t>
      </w:r>
      <w:r>
        <w:rPr>
          <w:rStyle w:val="FootnoteReference"/>
        </w:rPr>
        <w:footnoteReference w:id="24"/>
      </w:r>
      <w:r w:rsidR="00600197">
        <w:t xml:space="preserve">  One Eye has not responded to the letter or filed any report.</w:t>
      </w:r>
      <w:r>
        <w:rPr>
          <w:rStyle w:val="FootnoteReference"/>
        </w:rPr>
        <w:footnoteReference w:id="25"/>
      </w:r>
    </w:p>
    <w:p w:rsidR="0003570F" w:rsidP="00E4677C" w14:paraId="7E9A4EB6" w14:textId="77777777">
      <w:pPr>
        <w:pStyle w:val="ParaNum"/>
      </w:pPr>
      <w:r>
        <w:rPr>
          <w:szCs w:val="22"/>
        </w:rPr>
        <w:t xml:space="preserve">The Notice also determined that One Eye was </w:t>
      </w:r>
      <w:r w:rsidR="00AC1E1E">
        <w:rPr>
          <w:szCs w:val="22"/>
        </w:rPr>
        <w:t>associated with a</w:t>
      </w:r>
      <w:r>
        <w:rPr>
          <w:szCs w:val="22"/>
        </w:rPr>
        <w:t xml:space="preserve"> previous recipient of a Bureau cease-and-desist letter, PZ</w:t>
      </w:r>
      <w:r w:rsidR="0090634F">
        <w:rPr>
          <w:szCs w:val="22"/>
        </w:rPr>
        <w:t>/</w:t>
      </w:r>
      <w:r>
        <w:rPr>
          <w:szCs w:val="22"/>
        </w:rPr>
        <w:t>Illum Telecommunications.</w:t>
      </w:r>
      <w:r>
        <w:rPr>
          <w:rStyle w:val="FootnoteReference"/>
          <w:szCs w:val="22"/>
        </w:rPr>
        <w:footnoteReference w:id="26"/>
      </w:r>
      <w:r>
        <w:rPr>
          <w:szCs w:val="22"/>
        </w:rPr>
        <w:t xml:space="preserve">  The CEO of PZ</w:t>
      </w:r>
      <w:r w:rsidR="0090634F">
        <w:rPr>
          <w:szCs w:val="22"/>
        </w:rPr>
        <w:t>/</w:t>
      </w:r>
      <w:r>
        <w:rPr>
          <w:szCs w:val="22"/>
        </w:rPr>
        <w:t>Illum Telecommunications, P</w:t>
      </w:r>
      <w:r>
        <w:rPr>
          <w:szCs w:val="22"/>
        </w:rPr>
        <w:t xml:space="preserve">rince Anand, apparently created One Eye </w:t>
      </w:r>
      <w:r w:rsidR="00A61279">
        <w:rPr>
          <w:szCs w:val="22"/>
        </w:rPr>
        <w:t>following</w:t>
      </w:r>
      <w:r>
        <w:rPr>
          <w:szCs w:val="22"/>
        </w:rPr>
        <w:t xml:space="preserve"> the Bureau’s enforcement efforts </w:t>
      </w:r>
      <w:r w:rsidR="00A61279">
        <w:rPr>
          <w:szCs w:val="22"/>
        </w:rPr>
        <w:t xml:space="preserve">directed at that entity for </w:t>
      </w:r>
      <w:r>
        <w:rPr>
          <w:szCs w:val="22"/>
        </w:rPr>
        <w:t>transmitting suspected illegal calls.</w:t>
      </w:r>
      <w:r>
        <w:rPr>
          <w:rStyle w:val="FootnoteReference"/>
          <w:szCs w:val="22"/>
        </w:rPr>
        <w:footnoteReference w:id="27"/>
      </w:r>
      <w:r>
        <w:rPr>
          <w:szCs w:val="22"/>
        </w:rPr>
        <w:t xml:space="preserve">  </w:t>
      </w:r>
    </w:p>
    <w:p w:rsidR="00E4677C" w:rsidP="00E4677C" w14:paraId="00CA8F83" w14:textId="77777777">
      <w:pPr>
        <w:pStyle w:val="Heading1"/>
      </w:pPr>
      <w:r>
        <w:t>Discussion</w:t>
      </w:r>
    </w:p>
    <w:p w:rsidR="008547BB" w:rsidP="00497500" w14:paraId="75F03D93" w14:textId="77777777">
      <w:pPr>
        <w:pStyle w:val="ParaNum"/>
      </w:pPr>
      <w:r>
        <w:t xml:space="preserve">The Commission’s rules require One Eye to investigate and block traffic identified by the </w:t>
      </w:r>
      <w:r>
        <w:t>Bureau after receiving a notification of suspected illegal traffic.</w:t>
      </w:r>
      <w:r>
        <w:rPr>
          <w:rStyle w:val="FootnoteReference"/>
        </w:rPr>
        <w:footnoteReference w:id="28"/>
      </w:r>
      <w:r>
        <w:t xml:space="preserve">  The rules also require One Eye to report the results of its investigation to the Bureau.</w:t>
      </w:r>
      <w:r>
        <w:rPr>
          <w:rStyle w:val="FootnoteReference"/>
        </w:rPr>
        <w:footnoteReference w:id="29"/>
      </w:r>
      <w:r w:rsidR="00307980">
        <w:t xml:space="preserve">  The rules direct the Bureau to provide at least 14 days for One Eye to comply with the </w:t>
      </w:r>
      <w:r w:rsidR="000367A7">
        <w:t>N</w:t>
      </w:r>
      <w:r w:rsidR="00307980">
        <w:t>otice.</w:t>
      </w:r>
      <w:r>
        <w:rPr>
          <w:rStyle w:val="FootnoteReference"/>
        </w:rPr>
        <w:footnoteReference w:id="30"/>
      </w:r>
      <w:r>
        <w:t xml:space="preserve">  </w:t>
      </w:r>
      <w:r w:rsidR="002C7513">
        <w:t>The Bureau</w:t>
      </w:r>
      <w:r>
        <w:t xml:space="preserve"> issued </w:t>
      </w:r>
      <w:r w:rsidR="003F4F60">
        <w:t>the Notice</w:t>
      </w:r>
      <w:r>
        <w:t xml:space="preserve"> on February 15, 2023.</w:t>
      </w:r>
      <w:r>
        <w:rPr>
          <w:rStyle w:val="FootnoteReference"/>
        </w:rPr>
        <w:footnoteReference w:id="31"/>
      </w:r>
      <w:r w:rsidR="00497500">
        <w:t xml:space="preserve">  </w:t>
      </w:r>
      <w:r w:rsidR="00F00965">
        <w:t>The Notice required One Eye to take the following actions: 1) p</w:t>
      </w:r>
      <w:r w:rsidRPr="00FA14D3" w:rsidR="00F00965">
        <w:t xml:space="preserve">romptly investigate the transmissions identified </w:t>
      </w:r>
      <w:r w:rsidR="00F00965">
        <w:t xml:space="preserve">in the Notice; 2) </w:t>
      </w:r>
      <w:r w:rsidR="00307980">
        <w:t>i</w:t>
      </w:r>
      <w:r w:rsidR="00F00965">
        <w:t xml:space="preserve">f One Eye’s investigation determines that One Eye served as the gateway provider for the identified transmissions, block all of the identified traffic within 14 days of the Notice and continue to block the identified traffic as well as substantially similar traffic on an ongoing basis; and </w:t>
      </w:r>
      <w:r w:rsidR="00F00965">
        <w:t xml:space="preserve">3) </w:t>
      </w:r>
      <w:r w:rsidR="00307980">
        <w:t>w</w:t>
      </w:r>
      <w:r w:rsidR="00BE03AA">
        <w:t xml:space="preserve">ithin 14 days of the date of </w:t>
      </w:r>
      <w:r w:rsidR="00307980">
        <w:t>the Notice</w:t>
      </w:r>
      <w:r w:rsidR="00BE03AA">
        <w:t>, report the results of One Eye’s investigation to the Bureau.</w:t>
      </w:r>
      <w:r>
        <w:rPr>
          <w:rStyle w:val="FootnoteReference"/>
        </w:rPr>
        <w:footnoteReference w:id="32"/>
      </w:r>
      <w:r w:rsidR="00F00965">
        <w:t xml:space="preserve">  </w:t>
      </w:r>
      <w:r w:rsidR="00497500">
        <w:t xml:space="preserve">The </w:t>
      </w:r>
      <w:r w:rsidR="003F4F60">
        <w:t xml:space="preserve">Notice </w:t>
      </w:r>
      <w:r w:rsidR="00497500">
        <w:t>required One Eye to respond by March 2, 2023.</w:t>
      </w:r>
      <w:r>
        <w:rPr>
          <w:rStyle w:val="FootnoteReference"/>
        </w:rPr>
        <w:footnoteReference w:id="33"/>
      </w:r>
      <w:r w:rsidR="00497500">
        <w:t xml:space="preserve">  One Eye has not </w:t>
      </w:r>
      <w:r w:rsidR="00392CF9">
        <w:t xml:space="preserve">filed any response with the </w:t>
      </w:r>
      <w:r w:rsidR="000367A7">
        <w:t>B</w:t>
      </w:r>
      <w:r w:rsidR="00392CF9">
        <w:t>ureau</w:t>
      </w:r>
      <w:r w:rsidR="00497500">
        <w:t xml:space="preserve">.  </w:t>
      </w:r>
    </w:p>
    <w:p w:rsidR="00E4677C" w:rsidP="008547BB" w14:paraId="1C7717F5" w14:textId="77777777">
      <w:pPr>
        <w:pStyle w:val="ParaNum"/>
      </w:pPr>
      <w:r>
        <w:t xml:space="preserve">Accordingly, we direct </w:t>
      </w:r>
      <w:r w:rsidR="00497500">
        <w:t>One Eye</w:t>
      </w:r>
      <w:r>
        <w:t xml:space="preserve"> to </w:t>
      </w:r>
      <w:r w:rsidR="00BA0DC3">
        <w:t xml:space="preserve">reply with a </w:t>
      </w:r>
      <w:r w:rsidR="00472B25">
        <w:t>final response</w:t>
      </w:r>
      <w:r w:rsidR="008547BB">
        <w:t xml:space="preserve"> to this Initial Determination Order</w:t>
      </w:r>
      <w:r w:rsidR="002C7513">
        <w:t>.  The reply should provide an</w:t>
      </w:r>
      <w:r w:rsidR="00392CF9">
        <w:t xml:space="preserve"> explan</w:t>
      </w:r>
      <w:r w:rsidR="002C7513">
        <w:t>ation as to</w:t>
      </w:r>
      <w:r w:rsidR="00392CF9">
        <w:t xml:space="preserve"> why the Bureau should not issue a Final Determination Order</w:t>
      </w:r>
      <w:r w:rsidR="002C7513">
        <w:t xml:space="preserve"> that would</w:t>
      </w:r>
      <w:r w:rsidR="00392CF9">
        <w:t xml:space="preserve"> result in all downstream providers being required to block </w:t>
      </w:r>
      <w:r w:rsidR="00392CF9">
        <w:rPr>
          <w:i/>
          <w:iCs/>
        </w:rPr>
        <w:t>all</w:t>
      </w:r>
      <w:r w:rsidR="00392CF9">
        <w:t xml:space="preserve"> of One Eye’s </w:t>
      </w:r>
      <w:r w:rsidR="00DA467C">
        <w:t>traffic</w:t>
      </w:r>
      <w:r w:rsidR="00BA0DC3">
        <w:t>.</w:t>
      </w:r>
      <w:r>
        <w:rPr>
          <w:rStyle w:val="FootnoteReference"/>
        </w:rPr>
        <w:footnoteReference w:id="34"/>
      </w:r>
      <w:r w:rsidR="00BA0DC3">
        <w:t xml:space="preserve">  </w:t>
      </w:r>
      <w:r w:rsidR="00600197">
        <w:t>One Eye</w:t>
      </w:r>
      <w:r>
        <w:t xml:space="preserve"> shall file its response with Bureau within 14 calendar days</w:t>
      </w:r>
      <w:r w:rsidR="008061DD">
        <w:t xml:space="preserve"> of the date of this </w:t>
      </w:r>
      <w:r w:rsidR="00BF3954">
        <w:t xml:space="preserve">Initial Determination </w:t>
      </w:r>
      <w:r w:rsidR="008061DD">
        <w:t>Order</w:t>
      </w:r>
      <w:r>
        <w:t>.  Failure to respond</w:t>
      </w:r>
      <w:r w:rsidR="00497500">
        <w:t xml:space="preserve"> to this </w:t>
      </w:r>
      <w:r w:rsidR="00BF3954">
        <w:t xml:space="preserve">Initial Determination </w:t>
      </w:r>
      <w:r w:rsidR="00A436F2">
        <w:t>O</w:t>
      </w:r>
      <w:r w:rsidR="00497500">
        <w:t xml:space="preserve">rder or </w:t>
      </w:r>
      <w:r>
        <w:t xml:space="preserve">submit a response providing a reasonable basis for why </w:t>
      </w:r>
      <w:r w:rsidR="00600197">
        <w:t>the identified traffic</w:t>
      </w:r>
      <w:r w:rsidR="002C7513">
        <w:t>,</w:t>
      </w:r>
      <w:r w:rsidR="00600197">
        <w:t xml:space="preserve"> or continued transmission of substantially similar traffic</w:t>
      </w:r>
      <w:r w:rsidR="002C7513">
        <w:t>, is legal</w:t>
      </w:r>
      <w:r w:rsidR="00600197">
        <w:t xml:space="preserve"> will result in the Bureau issuing a Final </w:t>
      </w:r>
      <w:r w:rsidR="00082B83">
        <w:t xml:space="preserve">Determination </w:t>
      </w:r>
      <w:r w:rsidR="00600197">
        <w:t>Order</w:t>
      </w:r>
      <w:r>
        <w:t>.</w:t>
      </w:r>
      <w:r>
        <w:rPr>
          <w:rStyle w:val="FootnoteReference"/>
          <w:szCs w:val="22"/>
        </w:rPr>
        <w:footnoteReference w:id="35"/>
      </w:r>
      <w:r>
        <w:t xml:space="preserve">  </w:t>
      </w:r>
      <w:r w:rsidRPr="00A436F2" w:rsidR="00A60FF4">
        <w:t xml:space="preserve">The Final Determination Order will be published in EB Docket No. 22-174 and </w:t>
      </w:r>
      <w:r w:rsidR="00990DC8">
        <w:t xml:space="preserve">serve to notify </w:t>
      </w:r>
      <w:r w:rsidRPr="00A436F2" w:rsidR="00A60FF4">
        <w:t xml:space="preserve">all </w:t>
      </w:r>
      <w:r w:rsidR="00AF1238">
        <w:t>immediate</w:t>
      </w:r>
      <w:r w:rsidR="005A5D0E">
        <w:t xml:space="preserve"> downstream </w:t>
      </w:r>
      <w:r w:rsidRPr="00A436F2" w:rsidR="00A60FF4">
        <w:t>providers</w:t>
      </w:r>
      <w:r w:rsidR="00990DC8">
        <w:t xml:space="preserve"> that they must</w:t>
      </w:r>
      <w:r w:rsidRPr="00A436F2" w:rsidR="00A60FF4">
        <w:t xml:space="preserve"> block and cease accepting all traffic received directly from One Eye </w:t>
      </w:r>
      <w:r w:rsidRPr="00A436F2" w:rsidR="00A436F2">
        <w:t>beginning</w:t>
      </w:r>
      <w:r w:rsidRPr="00A436F2" w:rsidR="00A60FF4">
        <w:t xml:space="preserve"> 30 days after release of the Final Determination Order.</w:t>
      </w:r>
      <w:r>
        <w:rPr>
          <w:rStyle w:val="FootnoteReference"/>
          <w:szCs w:val="22"/>
        </w:rPr>
        <w:footnoteReference w:id="36"/>
      </w:r>
      <w:r w:rsidRPr="00A436F2" w:rsidR="00A60FF4">
        <w:t xml:space="preserve"> </w:t>
      </w:r>
    </w:p>
    <w:p w:rsidR="00E4677C" w:rsidP="00E4677C" w14:paraId="1FDED212" w14:textId="77777777">
      <w:pPr>
        <w:pStyle w:val="Heading1"/>
      </w:pPr>
      <w:r>
        <w:t>ordering clauses</w:t>
      </w:r>
    </w:p>
    <w:p w:rsidR="00E4677C" w:rsidP="00E4677C" w14:paraId="422DBBA1" w14:textId="77777777">
      <w:pPr>
        <w:pStyle w:val="ParaNum"/>
      </w:pPr>
      <w:r>
        <w:t xml:space="preserve">Accordingly, </w:t>
      </w:r>
      <w:r w:rsidRPr="000A1222">
        <w:rPr>
          <w:b/>
          <w:bCs/>
        </w:rPr>
        <w:t>IT IS ORDERED</w:t>
      </w:r>
      <w:r>
        <w:t xml:space="preserve"> that, pursuant to sections 4(i), 4(j), 227(b)</w:t>
      </w:r>
      <w:r w:rsidR="00B42618">
        <w:t>,</w:t>
      </w:r>
      <w:r>
        <w:t xml:space="preserve"> 251(e), and 403 of the </w:t>
      </w:r>
      <w:r w:rsidR="00AD1921">
        <w:t xml:space="preserve">Communications </w:t>
      </w:r>
      <w:r>
        <w:t>Act</w:t>
      </w:r>
      <w:r w:rsidR="00AD1921">
        <w:t xml:space="preserve"> of 1934, as amended</w:t>
      </w:r>
      <w:r>
        <w:t>,</w:t>
      </w:r>
      <w:r w:rsidR="00C3584B">
        <w:t xml:space="preserve"> </w:t>
      </w:r>
      <w:r w:rsidR="008547BB">
        <w:t xml:space="preserve">47 U.S.C. §§ 4(i), 4(j), 227(b), 251(e), 403, </w:t>
      </w:r>
      <w:r w:rsidR="00C3584B">
        <w:t>and</w:t>
      </w:r>
      <w:r>
        <w:t xml:space="preserve"> sections 0.111, 0.311, 1.1, 1.102(b)(1), </w:t>
      </w:r>
      <w:r w:rsidR="00A60FF4">
        <w:t xml:space="preserve">and </w:t>
      </w:r>
      <w:r>
        <w:t>64.1200</w:t>
      </w:r>
      <w:r w:rsidR="00A60FF4">
        <w:t xml:space="preserve"> </w:t>
      </w:r>
      <w:r>
        <w:t>of the Commission’s rules,</w:t>
      </w:r>
      <w:r w:rsidR="008547BB">
        <w:t xml:space="preserve"> 47 CFR §§ 0.111, 0.311, 1.1, 1.102(b)(1), 64.1200,</w:t>
      </w:r>
      <w:r w:rsidR="008061DD">
        <w:t xml:space="preserve"> and the </w:t>
      </w:r>
      <w:r w:rsidR="00A60FF4">
        <w:rPr>
          <w:i/>
          <w:iCs/>
        </w:rPr>
        <w:t>Gateway Provider Order</w:t>
      </w:r>
      <w:r w:rsidR="008061DD">
        <w:t>,</w:t>
      </w:r>
      <w:r>
        <w:rPr>
          <w:rStyle w:val="FootnoteReference"/>
        </w:rPr>
        <w:footnoteReference w:id="37"/>
      </w:r>
      <w:r>
        <w:t xml:space="preserve"> </w:t>
      </w:r>
      <w:r w:rsidR="00A60FF4">
        <w:t>One Eye</w:t>
      </w:r>
      <w:r>
        <w:t xml:space="preserve"> </w:t>
      </w:r>
      <w:r w:rsidRPr="00F7577E">
        <w:rPr>
          <w:b/>
          <w:bCs/>
        </w:rPr>
        <w:t>SHALL FILE</w:t>
      </w:r>
      <w:r>
        <w:t xml:space="preserve"> </w:t>
      </w:r>
      <w:r w:rsidR="007770D8">
        <w:t xml:space="preserve">a </w:t>
      </w:r>
      <w:r>
        <w:t>written</w:t>
      </w:r>
      <w:r w:rsidR="00880D20">
        <w:t xml:space="preserve"> final</w:t>
      </w:r>
      <w:r>
        <w:t xml:space="preserve"> response to this Order</w:t>
      </w:r>
      <w:r w:rsidR="00803641">
        <w:t xml:space="preserve"> </w:t>
      </w:r>
      <w:r w:rsidRPr="007C6367" w:rsidR="00803641">
        <w:rPr>
          <w:b/>
          <w:bCs/>
        </w:rPr>
        <w:t>within 14 calendar days</w:t>
      </w:r>
      <w:r w:rsidR="005836BD">
        <w:t xml:space="preserve"> from the release date of this </w:t>
      </w:r>
      <w:r w:rsidR="00BF3954">
        <w:t xml:space="preserve">Initial Determination </w:t>
      </w:r>
      <w:r w:rsidR="005836BD">
        <w:t>Order</w:t>
      </w:r>
      <w:r>
        <w:t>.</w:t>
      </w:r>
      <w:r>
        <w:rPr>
          <w:rStyle w:val="FootnoteReference"/>
        </w:rPr>
        <w:footnoteReference w:id="38"/>
      </w:r>
    </w:p>
    <w:p w:rsidR="00F64F79" w:rsidP="00E06930" w14:paraId="6F83E714" w14:textId="44671688">
      <w:pPr>
        <w:pStyle w:val="ParaNum"/>
        <w:widowControl/>
      </w:pPr>
      <w:r>
        <w:t>The response must be mailed to the Office of the Secretary, Federal Communications Commiss</w:t>
      </w:r>
      <w:r>
        <w:t xml:space="preserve">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A60FF4">
        <w:t>Daniel Stepanicich</w:t>
      </w:r>
      <w:r>
        <w:t xml:space="preserve">, </w:t>
      </w:r>
      <w:r w:rsidR="00E06930">
        <w:t>Acting Assistant Division Chief</w:t>
      </w:r>
      <w:r>
        <w:t xml:space="preserve">, Telecommunications Consumers Division, at </w:t>
      </w:r>
      <w:hyperlink r:id="rId6" w:history="1">
        <w:r w:rsidRPr="00205F25" w:rsidR="00A60FF4">
          <w:rPr>
            <w:rStyle w:val="Hyperlink"/>
          </w:rPr>
          <w:t>daniel.stepanicich@fcc.gov</w:t>
        </w:r>
      </w:hyperlink>
      <w:r>
        <w:t>.</w:t>
      </w:r>
      <w:r w:rsidR="00984B53">
        <w:t xml:space="preserve"> </w:t>
      </w:r>
    </w:p>
    <w:p w:rsidR="00F64F79" w14:paraId="41D84B87" w14:textId="77777777">
      <w:pPr>
        <w:widowControl/>
      </w:pPr>
      <w:r>
        <w:br w:type="page"/>
      </w:r>
    </w:p>
    <w:p w:rsidR="00E4677C" w:rsidP="00E4677C" w14:paraId="6F550428" w14:textId="77777777">
      <w:pPr>
        <w:pStyle w:val="ParaNum"/>
      </w:pPr>
      <w:r w:rsidRPr="008A73F7">
        <w:rPr>
          <w:b/>
          <w:bCs/>
        </w:rPr>
        <w:t>IT IS FURTHER ORDERED</w:t>
      </w:r>
      <w:r>
        <w:t xml:space="preserve"> that copies of this </w:t>
      </w:r>
      <w:r w:rsidR="00BF3954">
        <w:t xml:space="preserve">Initial Determination </w:t>
      </w:r>
      <w:r>
        <w:t xml:space="preserve">Order shall be </w:t>
      </w:r>
      <w:r w:rsidR="00A60FF4">
        <w:t>filed in EB Docket No. 22-17</w:t>
      </w:r>
      <w:r w:rsidR="00B42618">
        <w:t>4</w:t>
      </w:r>
      <w:r w:rsidR="00A60FF4">
        <w:t xml:space="preserve"> and </w:t>
      </w:r>
      <w:r>
        <w:t>sent by</w:t>
      </w:r>
      <w:r w:rsidR="00F75776">
        <w:t xml:space="preserve"> email and</w:t>
      </w:r>
      <w:r>
        <w:t xml:space="preserve"> registered mail, return receipt requested, to:  </w:t>
      </w:r>
      <w:r w:rsidR="00A60FF4">
        <w:t>Kaushal Bhavsar, CEO, One Eye LLC, 500 Delaware Ave., Suite #1-1960, Wilmington, DE 19899.</w:t>
      </w:r>
    </w:p>
    <w:p w:rsidR="00E4677C" w:rsidP="00E4677C" w14:paraId="2B8D5B35" w14:textId="77777777">
      <w:pPr>
        <w:pStyle w:val="ParaNum"/>
        <w:numPr>
          <w:ilvl w:val="0"/>
          <w:numId w:val="0"/>
        </w:numPr>
        <w:ind w:left="720"/>
      </w:pPr>
    </w:p>
    <w:p w:rsidR="00E4677C" w:rsidP="00E4677C" w14:paraId="68F0D0A6" w14:textId="77777777">
      <w:pPr>
        <w:pStyle w:val="ParaNum"/>
        <w:numPr>
          <w:ilvl w:val="0"/>
          <w:numId w:val="0"/>
        </w:numPr>
        <w:ind w:left="4320"/>
      </w:pPr>
      <w:r>
        <w:t>FEDERAL COMMUNICATIONS COMMISSION</w:t>
      </w:r>
    </w:p>
    <w:p w:rsidR="00E4677C" w:rsidP="00E4677C" w14:paraId="79816CAF" w14:textId="77777777">
      <w:pPr>
        <w:pStyle w:val="ParaNum"/>
        <w:numPr>
          <w:ilvl w:val="0"/>
          <w:numId w:val="0"/>
        </w:numPr>
        <w:ind w:left="4320"/>
      </w:pPr>
    </w:p>
    <w:p w:rsidR="00E4677C" w:rsidP="00E4677C" w14:paraId="7533637E" w14:textId="77777777">
      <w:pPr>
        <w:pStyle w:val="ParaNum"/>
        <w:numPr>
          <w:ilvl w:val="0"/>
          <w:numId w:val="0"/>
        </w:numPr>
        <w:ind w:left="4320"/>
      </w:pPr>
    </w:p>
    <w:p w:rsidR="00E4677C" w:rsidP="00E4677C" w14:paraId="4F7CC498" w14:textId="77777777">
      <w:pPr>
        <w:pStyle w:val="ParaNum"/>
        <w:numPr>
          <w:ilvl w:val="0"/>
          <w:numId w:val="0"/>
        </w:numPr>
        <w:ind w:left="4320"/>
      </w:pPr>
    </w:p>
    <w:p w:rsidR="00E4677C" w:rsidP="00E4677C" w14:paraId="008EE3BF" w14:textId="77777777">
      <w:pPr>
        <w:pStyle w:val="ParaNum"/>
        <w:numPr>
          <w:ilvl w:val="0"/>
          <w:numId w:val="0"/>
        </w:numPr>
        <w:ind w:left="4320"/>
        <w:contextualSpacing/>
      </w:pPr>
      <w:r>
        <w:t>Loyaan A. Egal</w:t>
      </w:r>
    </w:p>
    <w:p w:rsidR="00E4677C" w:rsidP="00E4677C" w14:paraId="04C3D8C7" w14:textId="77777777">
      <w:pPr>
        <w:pStyle w:val="ParaNum"/>
        <w:numPr>
          <w:ilvl w:val="0"/>
          <w:numId w:val="0"/>
        </w:numPr>
        <w:ind w:left="4320"/>
        <w:contextualSpacing/>
      </w:pPr>
      <w:r>
        <w:t>Chief</w:t>
      </w:r>
    </w:p>
    <w:p w:rsidR="00E4677C" w:rsidRPr="008A73F7" w:rsidP="00E4677C" w14:paraId="685FFB38" w14:textId="77777777">
      <w:pPr>
        <w:pStyle w:val="ParaNum"/>
        <w:numPr>
          <w:ilvl w:val="0"/>
          <w:numId w:val="0"/>
        </w:numPr>
        <w:ind w:left="4320"/>
        <w:contextualSpacing/>
      </w:pPr>
      <w:r>
        <w:t>Enforcement Bureau</w:t>
      </w:r>
    </w:p>
    <w:p w:rsidR="00412FC5" w:rsidRPr="00DA3E5A" w:rsidP="00A436F2" w14:paraId="45359022" w14:textId="77777777">
      <w:pPr>
        <w:pStyle w:val="Heading1"/>
        <w:numPr>
          <w:ilvl w:val="0"/>
          <w:numId w:val="0"/>
        </w:numPr>
        <w:rPr>
          <w:b w:val="0"/>
          <w:bCs/>
          <w:sz w:val="48"/>
          <w:szCs w:val="48"/>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B23D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E869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38B93CC" w14:textId="77777777">
    <w:pPr>
      <w:pStyle w:val="Footer"/>
      <w:jc w:val="center"/>
    </w:pPr>
    <w:r>
      <w:fldChar w:fldCharType="begin"/>
    </w:r>
    <w:r>
      <w:instrText xml:space="preserve"> PAGE   \* MERGEFORMAT </w:instrText>
    </w:r>
    <w:r>
      <w:fldChar w:fldCharType="separate"/>
    </w:r>
    <w:r w:rsidR="007770D8">
      <w:rPr>
        <w:noProof/>
      </w:rPr>
      <w:t>3</w:t>
    </w:r>
    <w:r>
      <w:rPr>
        <w:noProof/>
      </w:rPr>
      <w:fldChar w:fldCharType="end"/>
    </w:r>
  </w:p>
  <w:p w:rsidR="00D25FB5" w14:paraId="7CB1F0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5020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22C" w14:paraId="2E9554F7" w14:textId="77777777">
      <w:r>
        <w:separator/>
      </w:r>
    </w:p>
  </w:footnote>
  <w:footnote w:type="continuationSeparator" w:id="1">
    <w:p w:rsidR="0069222C" w:rsidP="00C721AC" w14:paraId="5EDE4BE7" w14:textId="77777777">
      <w:pPr>
        <w:spacing w:before="120"/>
        <w:rPr>
          <w:sz w:val="20"/>
        </w:rPr>
      </w:pPr>
      <w:r>
        <w:rPr>
          <w:sz w:val="20"/>
        </w:rPr>
        <w:t xml:space="preserve">(Continued from previous page)  </w:t>
      </w:r>
      <w:r>
        <w:rPr>
          <w:sz w:val="20"/>
        </w:rPr>
        <w:separator/>
      </w:r>
    </w:p>
  </w:footnote>
  <w:footnote w:type="continuationNotice" w:id="2">
    <w:p w:rsidR="0069222C" w:rsidP="00C721AC" w14:paraId="184FE740" w14:textId="77777777">
      <w:pPr>
        <w:jc w:val="right"/>
        <w:rPr>
          <w:sz w:val="20"/>
        </w:rPr>
      </w:pPr>
      <w:r>
        <w:rPr>
          <w:sz w:val="20"/>
        </w:rPr>
        <w:t>(continued….)</w:t>
      </w:r>
    </w:p>
  </w:footnote>
  <w:footnote w:id="3">
    <w:p w:rsidR="00D14227" w:rsidRPr="00D14227" w14:paraId="47A14248" w14:textId="77777777">
      <w:pPr>
        <w:pStyle w:val="FootnoteText"/>
      </w:pPr>
      <w:r>
        <w:rPr>
          <w:rStyle w:val="FootnoteReference"/>
        </w:rPr>
        <w:footnoteRef/>
      </w:r>
      <w:r>
        <w:t xml:space="preserve"> </w:t>
      </w:r>
      <w:r>
        <w:rPr>
          <w:i/>
          <w:iCs/>
        </w:rPr>
        <w:t>See</w:t>
      </w:r>
      <w:r>
        <w:t xml:space="preserve"> 47 CFR § 64.1200(n)(</w:t>
      </w:r>
      <w:r w:rsidR="00906872">
        <w:t>5)(iii).</w:t>
      </w:r>
    </w:p>
  </w:footnote>
  <w:footnote w:id="4">
    <w:p w:rsidR="00906872" w14:paraId="1078ADBC" w14:textId="77777777">
      <w:pPr>
        <w:pStyle w:val="FootnoteText"/>
      </w:pPr>
      <w:r>
        <w:rPr>
          <w:rStyle w:val="FootnoteReference"/>
        </w:rPr>
        <w:footnoteRef/>
      </w:r>
      <w:r>
        <w:t xml:space="preserve"> </w:t>
      </w:r>
      <w:r w:rsidRPr="00B23FD9" w:rsidR="008672AD">
        <w:rPr>
          <w:i/>
          <w:iCs/>
        </w:rPr>
        <w:t>Id.</w:t>
      </w:r>
      <w:r>
        <w:t xml:space="preserve"> § 64.1200(n)(6).</w:t>
      </w:r>
    </w:p>
  </w:footnote>
  <w:footnote w:id="5">
    <w:p w:rsidR="00AD1921" w14:paraId="00ADB628" w14:textId="77777777">
      <w:pPr>
        <w:pStyle w:val="FootnoteText"/>
      </w:pPr>
      <w:r>
        <w:rPr>
          <w:rStyle w:val="FootnoteReference"/>
        </w:rPr>
        <w:footnoteRef/>
      </w:r>
      <w:r>
        <w:t xml:space="preserve"> </w:t>
      </w:r>
      <w:r w:rsidRPr="00763FE7" w:rsidR="00F31C9B">
        <w:t>“</w:t>
      </w:r>
      <w:r w:rsidRPr="00E06930" w:rsidR="00F31C9B">
        <w:t>Unwanted calls – including illegal and spoofed robocalls - are the FCC's top consumer complaint and our top consumer protection priority</w:t>
      </w:r>
      <w:r w:rsidRPr="00763FE7">
        <w:t>.</w:t>
      </w:r>
      <w:r w:rsidRPr="00763FE7" w:rsidR="00F31C9B">
        <w:t>”</w:t>
      </w:r>
      <w:r w:rsidRPr="00F31C9B">
        <w:t xml:space="preserve">  FCC, </w:t>
      </w:r>
      <w:r w:rsidRPr="00F31C9B">
        <w:rPr>
          <w:i/>
          <w:iCs/>
        </w:rPr>
        <w:t>Consumer</w:t>
      </w:r>
      <w:r w:rsidR="00F31C9B">
        <w:rPr>
          <w:i/>
          <w:iCs/>
        </w:rPr>
        <w:t xml:space="preserve"> Guide: Stop Unwanted Robocalls and Texts</w:t>
      </w:r>
      <w:r>
        <w:t xml:space="preserve">, </w:t>
      </w:r>
      <w:r w:rsidRPr="00F31C9B" w:rsidR="00F31C9B">
        <w:t>https://www.fcc.gov/consumers/guides/stop-unwanted-robocalls-and-texts</w:t>
      </w:r>
      <w:r>
        <w:t xml:space="preserve"> (last visited </w:t>
      </w:r>
      <w:r w:rsidR="00F31C9B">
        <w:t>Jan. 24</w:t>
      </w:r>
      <w:r>
        <w:t>, 202</w:t>
      </w:r>
      <w:r w:rsidR="00F31C9B">
        <w:t>3</w:t>
      </w:r>
      <w:r>
        <w:t>).</w:t>
      </w:r>
    </w:p>
  </w:footnote>
  <w:footnote w:id="6">
    <w:p w:rsidR="00E167E8" w:rsidRPr="00E167E8" w:rsidP="00E167E8" w14:paraId="2331BA21" w14:textId="77777777">
      <w:pPr>
        <w:pStyle w:val="FootnoteText"/>
        <w:rPr>
          <w:i/>
          <w:iCs/>
        </w:rPr>
      </w:pPr>
      <w:r>
        <w:rPr>
          <w:rStyle w:val="FootnoteReference"/>
        </w:rPr>
        <w:footnoteRef/>
      </w:r>
      <w:r>
        <w:t xml:space="preserve"> </w:t>
      </w:r>
      <w:r w:rsidRPr="00E167E8">
        <w:rPr>
          <w:i/>
          <w:iCs/>
        </w:rPr>
        <w:t>Advanced Methods to Target and Eliminate Unlawful Robocalls, Call Authentication</w:t>
      </w:r>
      <w:r>
        <w:rPr>
          <w:i/>
          <w:iCs/>
        </w:rPr>
        <w:t xml:space="preserve"> </w:t>
      </w:r>
      <w:r w:rsidRPr="00E167E8">
        <w:rPr>
          <w:i/>
          <w:iCs/>
        </w:rPr>
        <w:t>Trust Anchor</w:t>
      </w:r>
      <w:r w:rsidRPr="00E167E8">
        <w:t xml:space="preserve">, CG Docket No. 17-59, WC Docket No. 17-97, Sixth Report and Order in CG Docket No. 17-59, Fifth Report and Order in </w:t>
      </w:r>
      <w:r w:rsidRPr="00E167E8">
        <w:t>WC Docket No. 17-97, Order on Reconsideration in WC Docket No. 17-97, Order, Seventh Further Notice of Proposed Rulemaking in CG Docket No. 17-59, and Fifth Further Notice of Proposed Rulemaking in WC Docket No. 17-97, FCC 22-37, para</w:t>
      </w:r>
      <w:r>
        <w:t>s</w:t>
      </w:r>
      <w:r w:rsidRPr="00E167E8">
        <w:t xml:space="preserve">. </w:t>
      </w:r>
      <w:r>
        <w:t>24-25</w:t>
      </w:r>
      <w:r w:rsidRPr="00E167E8">
        <w:t xml:space="preserve"> (2022) (</w:t>
      </w:r>
      <w:r w:rsidRPr="00E167E8">
        <w:rPr>
          <w:i/>
          <w:iCs/>
        </w:rPr>
        <w:t>Gatew</w:t>
      </w:r>
      <w:r w:rsidRPr="00E167E8">
        <w:rPr>
          <w:i/>
          <w:iCs/>
        </w:rPr>
        <w:t>ay Provider Order</w:t>
      </w:r>
      <w:r w:rsidRPr="00E167E8">
        <w:t>)</w:t>
      </w:r>
      <w:r>
        <w:t>.</w:t>
      </w:r>
    </w:p>
  </w:footnote>
  <w:footnote w:id="7">
    <w:p w:rsidR="00A33A72" w:rsidRPr="00A33A72" w14:paraId="45BE542A" w14:textId="77777777">
      <w:pPr>
        <w:pStyle w:val="FootnoteText"/>
      </w:pPr>
      <w:r>
        <w:rPr>
          <w:rStyle w:val="FootnoteReference"/>
        </w:rPr>
        <w:footnoteRef/>
      </w:r>
      <w:r>
        <w:t xml:space="preserve"> </w:t>
      </w:r>
      <w:r>
        <w:rPr>
          <w:i/>
          <w:iCs/>
        </w:rPr>
        <w:t>Id.</w:t>
      </w:r>
      <w:r>
        <w:t xml:space="preserve"> at paras. 1-4.</w:t>
      </w:r>
    </w:p>
  </w:footnote>
  <w:footnote w:id="8">
    <w:p w:rsidR="00C87CE3" w:rsidRPr="00C87CE3" w14:paraId="31AF9BE0" w14:textId="77777777">
      <w:pPr>
        <w:pStyle w:val="FootnoteText"/>
      </w:pPr>
      <w:r>
        <w:rPr>
          <w:rStyle w:val="FootnoteReference"/>
        </w:rPr>
        <w:footnoteRef/>
      </w:r>
      <w:r>
        <w:t xml:space="preserve"> </w:t>
      </w:r>
      <w:r>
        <w:rPr>
          <w:i/>
          <w:iCs/>
        </w:rPr>
        <w:t>Id.</w:t>
      </w:r>
      <w:r>
        <w:t xml:space="preserve"> at para. 72; 47 CFR § 64.1200(n)(5).</w:t>
      </w:r>
    </w:p>
  </w:footnote>
  <w:footnote w:id="9">
    <w:p w:rsidR="005D3997" w:rsidRPr="00482465" w:rsidP="005D3997" w14:paraId="38FB9C9E" w14:textId="77777777">
      <w:pPr>
        <w:pStyle w:val="FootnoteText"/>
        <w:rPr>
          <w:i/>
          <w:iCs/>
        </w:rPr>
      </w:pPr>
      <w:r>
        <w:rPr>
          <w:rStyle w:val="FootnoteReference"/>
        </w:rPr>
        <w:footnoteRef/>
      </w:r>
      <w:r>
        <w:t xml:space="preserve"> 47 CFR § 64.1200(n)(5)(i)(A)</w:t>
      </w:r>
      <w:r w:rsidR="00B41622">
        <w:t>;</w:t>
      </w:r>
      <w:r w:rsidR="008E314B">
        <w:t xml:space="preserve"> </w:t>
      </w:r>
      <w:r w:rsidR="00B41622">
        <w:rPr>
          <w:i/>
          <w:iCs/>
        </w:rPr>
        <w:t>s</w:t>
      </w:r>
      <w:r w:rsidR="008E314B">
        <w:rPr>
          <w:i/>
          <w:iCs/>
        </w:rPr>
        <w:t xml:space="preserve">ee also </w:t>
      </w:r>
      <w:r w:rsidRPr="00040A2A" w:rsidR="008E314B">
        <w:t xml:space="preserve">Letter from Loyaan A. Egal, Chief, FCC Enforcement Bureau, to </w:t>
      </w:r>
      <w:r w:rsidR="008E314B">
        <w:t>Kaushal Bhavsar, CEO</w:t>
      </w:r>
      <w:r w:rsidRPr="00040A2A" w:rsidR="008E314B">
        <w:t xml:space="preserve">, </w:t>
      </w:r>
      <w:r w:rsidR="008E314B">
        <w:t>One Eye LLC</w:t>
      </w:r>
      <w:r w:rsidRPr="00040A2A" w:rsidR="008E314B">
        <w:t xml:space="preserve"> (</w:t>
      </w:r>
      <w:r w:rsidR="008E314B">
        <w:t>Feb. 15, 2023) (Notice) (requiring gateway provider to respond within 14 days).</w:t>
      </w:r>
    </w:p>
  </w:footnote>
  <w:footnote w:id="10">
    <w:p w:rsidR="00C87CE3" w14:paraId="27B434BD" w14:textId="77777777">
      <w:pPr>
        <w:pStyle w:val="FootnoteText"/>
      </w:pPr>
      <w:r>
        <w:rPr>
          <w:rStyle w:val="FootnoteReference"/>
        </w:rPr>
        <w:footnoteRef/>
      </w:r>
      <w:r>
        <w:t xml:space="preserve"> 47 CFR § 64.1200(n)(5)</w:t>
      </w:r>
      <w:r w:rsidR="00E113D8">
        <w:t>(i)(A)</w:t>
      </w:r>
      <w:r>
        <w:t>.</w:t>
      </w:r>
      <w:r w:rsidR="00E113D8">
        <w:t xml:space="preserve"> </w:t>
      </w:r>
      <w:r w:rsidR="00B86248">
        <w:t xml:space="preserve"> </w:t>
      </w:r>
      <w:r w:rsidR="00E113D8">
        <w:t>If the provider served as the gateway for the traffic</w:t>
      </w:r>
      <w:r w:rsidR="00B86248">
        <w:t>,</w:t>
      </w:r>
      <w:r w:rsidR="00E113D8">
        <w:t xml:space="preserve"> its report to the Bureau must include a certification that it is blocking the identified traffic and will continue to do so</w:t>
      </w:r>
      <w:r w:rsidR="000367A7">
        <w:t>,</w:t>
      </w:r>
      <w:r w:rsidR="00E113D8">
        <w:t xml:space="preserve"> a</w:t>
      </w:r>
      <w:r w:rsidR="00B86248">
        <w:t>s well as</w:t>
      </w:r>
      <w:r w:rsidR="00E113D8">
        <w:t xml:space="preserve"> a description of the plan to identify and block substantially similar traffic on an ongoing basis.</w:t>
      </w:r>
      <w:r w:rsidRPr="00E113D8" w:rsidR="00E113D8">
        <w:t xml:space="preserve"> </w:t>
      </w:r>
      <w:r w:rsidR="00B86248">
        <w:t xml:space="preserve"> </w:t>
      </w:r>
      <w:r w:rsidRPr="0090634F" w:rsidR="000367A7">
        <w:rPr>
          <w:i/>
          <w:iCs/>
        </w:rPr>
        <w:t>Id</w:t>
      </w:r>
      <w:r w:rsidR="000367A7">
        <w:t>.</w:t>
      </w:r>
      <w:r w:rsidR="00E113D8">
        <w:t xml:space="preserve"> § 64.1200(n)(5)(i)(A)(1)</w:t>
      </w:r>
      <w:r w:rsidR="00F93C5E">
        <w:t>-</w:t>
      </w:r>
      <w:r w:rsidR="00E113D8">
        <w:t>(A)(2).</w:t>
      </w:r>
    </w:p>
  </w:footnote>
  <w:footnote w:id="11">
    <w:p w:rsidR="00C87CE3" w:rsidRPr="00C87CE3" w14:paraId="4757FA3F" w14:textId="77777777">
      <w:pPr>
        <w:pStyle w:val="FootnoteText"/>
        <w:rPr>
          <w:i/>
          <w:iCs/>
        </w:rPr>
      </w:pPr>
      <w:r>
        <w:rPr>
          <w:rStyle w:val="FootnoteReference"/>
        </w:rPr>
        <w:footnoteRef/>
      </w:r>
      <w:r>
        <w:t xml:space="preserve"> </w:t>
      </w:r>
      <w:r w:rsidRPr="00B23FD9" w:rsidR="00F93C5E">
        <w:rPr>
          <w:i/>
          <w:iCs/>
        </w:rPr>
        <w:t>Id.</w:t>
      </w:r>
      <w:r w:rsidR="005D3997">
        <w:t xml:space="preserve"> § 64.1200(n)(5)(i)(B).</w:t>
      </w:r>
      <w:r>
        <w:t xml:space="preserve">  If the gateway provider concludes that it did not serve as the gateway for the traffic</w:t>
      </w:r>
      <w:r w:rsidR="0042191B">
        <w:t>,</w:t>
      </w:r>
      <w:r>
        <w:t xml:space="preserve"> then it must provide an explanation and identify the upstream provider(s) from which it received the identified traffic.  </w:t>
      </w:r>
      <w:r>
        <w:rPr>
          <w:i/>
          <w:iCs/>
        </w:rPr>
        <w:t>Id.</w:t>
      </w:r>
    </w:p>
  </w:footnote>
  <w:footnote w:id="12">
    <w:p w:rsidR="00510BBF" w:rsidRPr="00510BBF" w14:paraId="15281696" w14:textId="77777777">
      <w:pPr>
        <w:pStyle w:val="FootnoteText"/>
        <w:rPr>
          <w:i/>
          <w:iCs/>
        </w:rPr>
      </w:pPr>
      <w:r>
        <w:rPr>
          <w:rStyle w:val="FootnoteReference"/>
        </w:rPr>
        <w:footnoteRef/>
      </w:r>
      <w:r>
        <w:t xml:space="preserve"> </w:t>
      </w:r>
      <w:r w:rsidRPr="00B23FD9" w:rsidR="00F93C5E">
        <w:rPr>
          <w:i/>
          <w:iCs/>
        </w:rPr>
        <w:t>Id.</w:t>
      </w:r>
      <w:r w:rsidR="005D3997">
        <w:t xml:space="preserve"> § 64.1200(n)(5)(ii)</w:t>
      </w:r>
      <w:r w:rsidR="00A43095">
        <w:t>-(iii)</w:t>
      </w:r>
      <w:r w:rsidR="00F93C5E">
        <w:t>,</w:t>
      </w:r>
      <w:r w:rsidR="00942E02">
        <w:t xml:space="preserve"> (n)(6).</w:t>
      </w:r>
    </w:p>
  </w:footnote>
  <w:footnote w:id="13">
    <w:p w:rsidR="00510BBF" w:rsidRPr="00FB39FC" w:rsidP="00510BBF" w14:paraId="3DF727D9" w14:textId="77777777">
      <w:pPr>
        <w:pStyle w:val="FootnoteText"/>
      </w:pPr>
      <w:r>
        <w:rPr>
          <w:rStyle w:val="FootnoteReference"/>
        </w:rPr>
        <w:footnoteRef/>
      </w:r>
      <w:r>
        <w:t xml:space="preserve"> </w:t>
      </w:r>
      <w:r w:rsidRPr="00B23FD9" w:rsidR="00F93C5E">
        <w:rPr>
          <w:i/>
          <w:iCs/>
        </w:rPr>
        <w:t>Id.</w:t>
      </w:r>
      <w:r w:rsidR="00CC6EC8">
        <w:t xml:space="preserve"> § 64.1200(n)(5)(ii).</w:t>
      </w:r>
      <w:r>
        <w:t xml:space="preserve"> </w:t>
      </w:r>
    </w:p>
  </w:footnote>
  <w:footnote w:id="14">
    <w:p w:rsidR="00942E02" w14:paraId="4DC081E1" w14:textId="77777777">
      <w:pPr>
        <w:pStyle w:val="FootnoteText"/>
      </w:pPr>
      <w:r>
        <w:rPr>
          <w:rStyle w:val="FootnoteReference"/>
        </w:rPr>
        <w:footnoteRef/>
      </w:r>
      <w:r>
        <w:t xml:space="preserve"> </w:t>
      </w:r>
      <w:r w:rsidRPr="00B23FD9" w:rsidR="00F93C5E">
        <w:rPr>
          <w:i/>
          <w:iCs/>
        </w:rPr>
        <w:t>Id.</w:t>
      </w:r>
      <w:r>
        <w:t xml:space="preserve"> § 64.1200(n)(5)(iii).</w:t>
      </w:r>
    </w:p>
  </w:footnote>
  <w:footnote w:id="15">
    <w:p w:rsidR="00510BBF" w:rsidRPr="00E339DA" w:rsidP="00510BBF" w14:paraId="6D436A9B" w14:textId="77777777">
      <w:pPr>
        <w:pStyle w:val="FootnoteText"/>
        <w:rPr>
          <w:i/>
          <w:iCs/>
        </w:rPr>
      </w:pPr>
      <w:r>
        <w:rPr>
          <w:rStyle w:val="FootnoteReference"/>
        </w:rPr>
        <w:footnoteRef/>
      </w:r>
      <w:r>
        <w:t xml:space="preserve"> </w:t>
      </w:r>
      <w:r>
        <w:rPr>
          <w:i/>
          <w:iCs/>
        </w:rPr>
        <w:t>Id.</w:t>
      </w:r>
      <w:r w:rsidRPr="00F93C5E">
        <w:t xml:space="preserve"> </w:t>
      </w:r>
      <w:r>
        <w:t xml:space="preserve">§ 64.1200(n)(5)-(6).  A Final Determination Order may be adopted up to one year after release of the Initial Determination Order.  </w:t>
      </w:r>
      <w:r w:rsidRPr="00FB39FC">
        <w:rPr>
          <w:i/>
          <w:iCs/>
        </w:rPr>
        <w:t>See</w:t>
      </w:r>
      <w:r>
        <w:t xml:space="preserve"> </w:t>
      </w:r>
      <w:r>
        <w:rPr>
          <w:i/>
          <w:iCs/>
        </w:rPr>
        <w:t>id.</w:t>
      </w:r>
      <w:r>
        <w:t xml:space="preserve"> § 64.1200(n)(5)(iii).</w:t>
      </w:r>
    </w:p>
  </w:footnote>
  <w:footnote w:id="16">
    <w:p w:rsidR="00474EA7" w14:paraId="4E5D9C4B" w14:textId="77777777">
      <w:pPr>
        <w:pStyle w:val="FootnoteText"/>
      </w:pPr>
      <w:r>
        <w:rPr>
          <w:rStyle w:val="FootnoteReference"/>
        </w:rPr>
        <w:footnoteRef/>
      </w:r>
      <w:r>
        <w:t xml:space="preserve"> </w:t>
      </w:r>
      <w:r w:rsidR="00BA4049">
        <w:t>On February 15, 2023</w:t>
      </w:r>
      <w:r w:rsidR="00EF5B40">
        <w:t>,</w:t>
      </w:r>
      <w:r w:rsidR="00BA4049">
        <w:t xml:space="preserve"> the Commission issued a </w:t>
      </w:r>
      <w:r w:rsidR="00EF5B40">
        <w:t>cease-and-desist</w:t>
      </w:r>
      <w:r w:rsidR="00BA4049">
        <w:t xml:space="preserve"> letter to One Eye’s business address listed in the Robocall Mitigation Database. </w:t>
      </w:r>
      <w:r w:rsidR="00B41622">
        <w:t xml:space="preserve"> </w:t>
      </w:r>
      <w:r w:rsidR="005F4920">
        <w:t xml:space="preserve">The Commission published the letter on its website and also sent the letter via certified mail. </w:t>
      </w:r>
      <w:r w:rsidR="00B41622">
        <w:t xml:space="preserve"> </w:t>
      </w:r>
      <w:r w:rsidR="00436854">
        <w:rPr>
          <w:i/>
          <w:iCs/>
        </w:rPr>
        <w:t xml:space="preserve">See </w:t>
      </w:r>
      <w:r w:rsidR="008D3A33">
        <w:t>Notice</w:t>
      </w:r>
      <w:r w:rsidR="00B41622">
        <w:t xml:space="preserve">, </w:t>
      </w:r>
      <w:r w:rsidRPr="00B23FD9" w:rsidR="00B41622">
        <w:rPr>
          <w:i/>
          <w:iCs/>
        </w:rPr>
        <w:t>supra</w:t>
      </w:r>
      <w:r w:rsidR="00B41622">
        <w:t xml:space="preserve"> note 7</w:t>
      </w:r>
      <w:r>
        <w:t xml:space="preserve">.  </w:t>
      </w:r>
      <w:r w:rsidR="00E6064D">
        <w:t>The Notice is part of the Bureau’s cease-and-desist letter initiative</w:t>
      </w:r>
      <w:r w:rsidR="00B41622">
        <w:t>,</w:t>
      </w:r>
      <w:r w:rsidR="00E6064D">
        <w:t xml:space="preserve"> which places obligations on notified providers to investigate and mitigate identified traffic. </w:t>
      </w:r>
      <w:r w:rsidR="00B41622">
        <w:t xml:space="preserve"> </w:t>
      </w:r>
      <w:r w:rsidRPr="00040A2A">
        <w:t>Th</w:t>
      </w:r>
      <w:r w:rsidR="00E6064D">
        <w:t>e</w:t>
      </w:r>
      <w:r w:rsidRPr="00040A2A">
        <w:t xml:space="preserve"> </w:t>
      </w:r>
      <w:r w:rsidR="00E6064D">
        <w:t xml:space="preserve">Notice and past cease-and-desist letters are </w:t>
      </w:r>
      <w:r w:rsidRPr="00040A2A">
        <w:t>available on the Commission</w:t>
      </w:r>
      <w:r>
        <w:t>’</w:t>
      </w:r>
      <w:r w:rsidRPr="00040A2A">
        <w:t xml:space="preserve">s website at </w:t>
      </w:r>
      <w:hyperlink r:id="rId1" w:history="1">
        <w:r w:rsidRPr="006567FE">
          <w:rPr>
            <w:rStyle w:val="Hyperlink"/>
          </w:rPr>
          <w:t>https://www.fcc.gov/robocall-facilitators-must-cease-and-desist</w:t>
        </w:r>
      </w:hyperlink>
      <w:r>
        <w:t>.</w:t>
      </w:r>
      <w:r w:rsidR="00E6064D">
        <w:t xml:space="preserve">  </w:t>
      </w:r>
    </w:p>
  </w:footnote>
  <w:footnote w:id="17">
    <w:p w:rsidR="00474EA7" w:rsidRPr="00474EA7" w:rsidP="00474EA7" w14:paraId="7841B6F2" w14:textId="77777777">
      <w:pPr>
        <w:pStyle w:val="FootnoteText"/>
        <w:spacing w:before="120"/>
        <w:rPr>
          <w:i/>
          <w:iCs/>
        </w:rPr>
      </w:pPr>
      <w:r>
        <w:rPr>
          <w:rStyle w:val="FootnoteReference"/>
        </w:rPr>
        <w:footnoteRef/>
      </w:r>
      <w:r>
        <w:t xml:space="preserve"> </w:t>
      </w:r>
      <w:r w:rsidRPr="00626AD7" w:rsidR="00626AD7">
        <w:t xml:space="preserve">ITG Subpoena Response on file at </w:t>
      </w:r>
      <w:bookmarkStart w:id="0" w:name="_Hlk45802958"/>
      <w:r w:rsidRPr="00BC4E28" w:rsidR="00626AD7">
        <w:rPr>
          <w:bCs/>
        </w:rPr>
        <w:t>EB-TCD-20-00030805</w:t>
      </w:r>
      <w:bookmarkEnd w:id="0"/>
      <w:r w:rsidR="0018227B">
        <w:rPr>
          <w:bCs/>
        </w:rPr>
        <w:t xml:space="preserve"> (Nov. 22, </w:t>
      </w:r>
      <w:r w:rsidR="00AF674D">
        <w:rPr>
          <w:bCs/>
        </w:rPr>
        <w:t>2022</w:t>
      </w:r>
      <w:r w:rsidR="0018227B">
        <w:rPr>
          <w:bCs/>
        </w:rPr>
        <w:t>)</w:t>
      </w:r>
      <w:r w:rsidR="00AF674D">
        <w:rPr>
          <w:bCs/>
        </w:rPr>
        <w:t xml:space="preserve"> (ITG Subpoena Response)</w:t>
      </w:r>
      <w:r>
        <w:t>.</w:t>
      </w:r>
      <w:r w:rsidRPr="00474EA7">
        <w:rPr>
          <w:sz w:val="22"/>
          <w:szCs w:val="22"/>
        </w:rPr>
        <w:t xml:space="preserve"> </w:t>
      </w:r>
      <w:r w:rsidR="0082278B">
        <w:rPr>
          <w:sz w:val="22"/>
          <w:szCs w:val="22"/>
        </w:rPr>
        <w:t xml:space="preserve"> </w:t>
      </w:r>
      <w:r w:rsidRPr="00474EA7">
        <w:t xml:space="preserve">The call script did not state what the order was for </w:t>
      </w:r>
      <w:r w:rsidR="0042191B">
        <w:t>n</w:t>
      </w:r>
      <w:r w:rsidRPr="00474EA7">
        <w:t xml:space="preserve">or </w:t>
      </w:r>
      <w:r w:rsidR="0042191B">
        <w:t>how</w:t>
      </w:r>
      <w:r w:rsidRPr="00474EA7">
        <w:t xml:space="preserve"> the order was placed.</w:t>
      </w:r>
      <w:r>
        <w:t xml:space="preserve">  </w:t>
      </w:r>
      <w:r w:rsidR="00AF674D">
        <w:rPr>
          <w:i/>
          <w:iCs/>
        </w:rPr>
        <w:t>See i</w:t>
      </w:r>
      <w:r>
        <w:rPr>
          <w:i/>
          <w:iCs/>
        </w:rPr>
        <w:t>d.</w:t>
      </w:r>
    </w:p>
  </w:footnote>
  <w:footnote w:id="18">
    <w:p w:rsidR="0003570F" w:rsidP="0003570F" w14:paraId="0C14499E" w14:textId="77777777">
      <w:pPr>
        <w:pStyle w:val="FootnoteText"/>
        <w:spacing w:before="120"/>
      </w:pPr>
      <w:r>
        <w:rPr>
          <w:rStyle w:val="FootnoteReference"/>
        </w:rPr>
        <w:footnoteRef/>
      </w:r>
      <w:r>
        <w:t xml:space="preserve"> </w:t>
      </w:r>
      <w:r w:rsidR="00390852">
        <w:t>The ITG</w:t>
      </w:r>
      <w:r w:rsidR="0042191B">
        <w:t xml:space="preserve"> </w:t>
      </w:r>
      <w:r w:rsidR="0042191B">
        <w:rPr>
          <w:szCs w:val="22"/>
        </w:rPr>
        <w:t xml:space="preserve">is the registered industry consortium selected pursuant to the TRACED Act to conduct tracebacks. </w:t>
      </w:r>
      <w:r w:rsidR="0042191B">
        <w:rPr>
          <w:i/>
          <w:iCs/>
        </w:rPr>
        <w:t xml:space="preserve"> See </w:t>
      </w:r>
      <w:r>
        <w:rPr>
          <w:i/>
          <w:iCs/>
        </w:rPr>
        <w:t>Implementing Section 13(d) of the Pallone-Thune Telephone Robocall Abuse Criminal Enforcement and Deterrence Act (TRACED Act)</w:t>
      </w:r>
      <w:r>
        <w:t>, EB Docket No. 20-22, Report</w:t>
      </w:r>
      <w:r>
        <w:t xml:space="preserve"> and Order, DA 22-870, para. 40 (EB 2022); </w:t>
      </w:r>
      <w:r>
        <w:rPr>
          <w:i/>
          <w:iCs/>
        </w:rPr>
        <w:t xml:space="preserve">see also </w:t>
      </w:r>
      <w:r>
        <w:t>Pallone-Thune Telephone Robocall Abuse Criminal Enforcement and Deterrence Act, Pub. L. No. 116-105, 133 Stat. 3274, Sec. 13(d) (2019) (TRACED Act).</w:t>
      </w:r>
    </w:p>
  </w:footnote>
  <w:footnote w:id="19">
    <w:p w:rsidR="00474EA7" w:rsidRPr="00254B36" w:rsidP="00474EA7" w14:paraId="0158F4DD" w14:textId="77777777">
      <w:pPr>
        <w:pStyle w:val="FootnoteText"/>
      </w:pPr>
      <w:r>
        <w:rPr>
          <w:rStyle w:val="FootnoteReference"/>
        </w:rPr>
        <w:footnoteRef/>
      </w:r>
      <w:r>
        <w:t xml:space="preserve"> </w:t>
      </w:r>
      <w:r>
        <w:rPr>
          <w:i/>
          <w:iCs/>
        </w:rPr>
        <w:t xml:space="preserve">See </w:t>
      </w:r>
      <w:r w:rsidRPr="00626AD7" w:rsidR="00A70807">
        <w:t>ITG Subpoena Response</w:t>
      </w:r>
      <w:r w:rsidR="00A70807">
        <w:rPr>
          <w:bCs/>
        </w:rPr>
        <w:t>.</w:t>
      </w:r>
    </w:p>
  </w:footnote>
  <w:footnote w:id="20">
    <w:p w:rsidR="00A70807" w:rsidRPr="00A70807" w14:paraId="4CB67A2E" w14:textId="77777777">
      <w:pPr>
        <w:pStyle w:val="FootnoteText"/>
      </w:pPr>
      <w:r>
        <w:rPr>
          <w:rStyle w:val="FootnoteReference"/>
        </w:rPr>
        <w:footnoteRef/>
      </w:r>
      <w:r>
        <w:t xml:space="preserve"> </w:t>
      </w:r>
      <w:r>
        <w:rPr>
          <w:i/>
          <w:iCs/>
        </w:rPr>
        <w:t>Id</w:t>
      </w:r>
      <w:r>
        <w:t>.</w:t>
      </w:r>
    </w:p>
  </w:footnote>
  <w:footnote w:id="21">
    <w:p w:rsidR="00A70807" w14:paraId="0F7A23E3" w14:textId="77777777">
      <w:pPr>
        <w:pStyle w:val="FootnoteText"/>
      </w:pPr>
      <w:r>
        <w:rPr>
          <w:rStyle w:val="FootnoteReference"/>
        </w:rPr>
        <w:footnoteRef/>
      </w:r>
      <w:r>
        <w:t xml:space="preserve"> </w:t>
      </w:r>
      <w:r>
        <w:rPr>
          <w:i/>
          <w:iCs/>
        </w:rPr>
        <w:t>Id</w:t>
      </w:r>
      <w:r>
        <w:t>.</w:t>
      </w:r>
    </w:p>
  </w:footnote>
  <w:footnote w:id="22">
    <w:p w:rsidR="0012263F" w14:paraId="5BBF6CFE" w14:textId="77777777">
      <w:pPr>
        <w:pStyle w:val="FootnoteText"/>
      </w:pPr>
      <w:r>
        <w:rPr>
          <w:rStyle w:val="FootnoteReference"/>
        </w:rPr>
        <w:footnoteRef/>
      </w:r>
      <w:r>
        <w:t xml:space="preserve"> </w:t>
      </w:r>
      <w:r>
        <w:rPr>
          <w:i/>
          <w:iCs/>
        </w:rPr>
        <w:t>See</w:t>
      </w:r>
      <w:r w:rsidR="0082278B">
        <w:rPr>
          <w:i/>
          <w:iCs/>
        </w:rPr>
        <w:t xml:space="preserve"> id.</w:t>
      </w:r>
    </w:p>
  </w:footnote>
  <w:footnote w:id="23">
    <w:p w:rsidR="00600197" w:rsidRPr="00600197" w14:paraId="59C52895" w14:textId="77777777">
      <w:pPr>
        <w:pStyle w:val="FootnoteText"/>
      </w:pPr>
      <w:r>
        <w:rPr>
          <w:rStyle w:val="FootnoteReference"/>
        </w:rPr>
        <w:footnoteRef/>
      </w:r>
      <w:r>
        <w:t xml:space="preserve"> </w:t>
      </w:r>
      <w:r w:rsidR="008D3A33">
        <w:t>Notice</w:t>
      </w:r>
      <w:r w:rsidR="0082278B">
        <w:t xml:space="preserve">, </w:t>
      </w:r>
      <w:r w:rsidRPr="00B23FD9" w:rsidR="0082278B">
        <w:rPr>
          <w:i/>
          <w:iCs/>
        </w:rPr>
        <w:t>supra</w:t>
      </w:r>
      <w:r w:rsidR="0082278B">
        <w:t xml:space="preserve"> note 7,</w:t>
      </w:r>
      <w:r>
        <w:t xml:space="preserve"> at 3.  </w:t>
      </w:r>
    </w:p>
  </w:footnote>
  <w:footnote w:id="24">
    <w:p w:rsidR="00600197" w14:paraId="7BB2D3F0" w14:textId="77777777">
      <w:pPr>
        <w:pStyle w:val="FootnoteText"/>
      </w:pPr>
      <w:r>
        <w:rPr>
          <w:rStyle w:val="FootnoteReference"/>
        </w:rPr>
        <w:footnoteRef/>
      </w:r>
      <w:r>
        <w:t xml:space="preserve"> </w:t>
      </w:r>
      <w:r w:rsidRPr="00B23FD9" w:rsidR="0082278B">
        <w:rPr>
          <w:i/>
          <w:iCs/>
        </w:rPr>
        <w:t>Id.</w:t>
      </w:r>
      <w:r>
        <w:t xml:space="preserve"> at 3-4.</w:t>
      </w:r>
    </w:p>
  </w:footnote>
  <w:footnote w:id="25">
    <w:p w:rsidR="00600197" w14:paraId="1679890A" w14:textId="77777777">
      <w:pPr>
        <w:pStyle w:val="FootnoteText"/>
      </w:pPr>
      <w:r>
        <w:rPr>
          <w:rStyle w:val="FootnoteReference"/>
        </w:rPr>
        <w:footnoteRef/>
      </w:r>
      <w:r>
        <w:t xml:space="preserve"> The </w:t>
      </w:r>
      <w:r w:rsidR="008D3A33">
        <w:t>Notice</w:t>
      </w:r>
      <w:r>
        <w:t xml:space="preserve"> also </w:t>
      </w:r>
      <w:r w:rsidR="004F4E02">
        <w:t xml:space="preserve">directed One Eye to investigate and mitigate the identified traffic within 48 hours, consistent </w:t>
      </w:r>
      <w:r>
        <w:t xml:space="preserve">with section 64.1200(k)(4).  </w:t>
      </w:r>
      <w:r>
        <w:rPr>
          <w:i/>
          <w:iCs/>
        </w:rPr>
        <w:t>Id.</w:t>
      </w:r>
      <w:r>
        <w:t xml:space="preserve">; </w:t>
      </w:r>
      <w:r w:rsidRPr="00B23FD9" w:rsidR="002C7513">
        <w:rPr>
          <w:i/>
          <w:iCs/>
        </w:rPr>
        <w:t xml:space="preserve">see </w:t>
      </w:r>
      <w:r>
        <w:t>47 CFR § 6</w:t>
      </w:r>
      <w:r w:rsidR="0082278B">
        <w:t>4</w:t>
      </w:r>
      <w:r>
        <w:t>.1200(k)(4).  One Eye did not meet that deadline ei</w:t>
      </w:r>
      <w:r>
        <w:t>ther.</w:t>
      </w:r>
    </w:p>
  </w:footnote>
  <w:footnote w:id="26">
    <w:p w:rsidR="0003570F" w14:paraId="4F8AF902" w14:textId="77777777">
      <w:pPr>
        <w:pStyle w:val="FootnoteText"/>
      </w:pPr>
      <w:r>
        <w:rPr>
          <w:rStyle w:val="FootnoteReference"/>
        </w:rPr>
        <w:footnoteRef/>
      </w:r>
      <w:r>
        <w:t xml:space="preserve"> </w:t>
      </w:r>
      <w:r w:rsidRPr="00EF3DB1">
        <w:t xml:space="preserve">Letter from Loyaan A. Egal, Chief, FCC Enforcement Bureau, to </w:t>
      </w:r>
      <w:r>
        <w:t>Prince Anand</w:t>
      </w:r>
      <w:r w:rsidRPr="00EF3DB1">
        <w:t xml:space="preserve">, CEO, </w:t>
      </w:r>
      <w:r>
        <w:t>PZ/Illum Telecommunication</w:t>
      </w:r>
      <w:r w:rsidRPr="00EF3DB1">
        <w:t xml:space="preserve"> (</w:t>
      </w:r>
      <w:r>
        <w:t>Oct. 21</w:t>
      </w:r>
      <w:r w:rsidRPr="00EF3DB1">
        <w:t>, 2022)</w:t>
      </w:r>
      <w:r>
        <w:t xml:space="preserve">.  </w:t>
      </w:r>
    </w:p>
  </w:footnote>
  <w:footnote w:id="27">
    <w:p w:rsidR="0003570F" w:rsidRPr="0003570F" w14:paraId="217F9A4B" w14:textId="77777777">
      <w:pPr>
        <w:pStyle w:val="FootnoteText"/>
      </w:pPr>
      <w:r>
        <w:rPr>
          <w:rStyle w:val="FootnoteReference"/>
        </w:rPr>
        <w:footnoteRef/>
      </w:r>
      <w:r>
        <w:t xml:space="preserve"> </w:t>
      </w:r>
      <w:r>
        <w:rPr>
          <w:i/>
          <w:iCs/>
        </w:rPr>
        <w:t xml:space="preserve">See </w:t>
      </w:r>
      <w:r w:rsidR="008D3A33">
        <w:t>Notice</w:t>
      </w:r>
      <w:r w:rsidR="002C7513">
        <w:t xml:space="preserve">, </w:t>
      </w:r>
      <w:r w:rsidRPr="00B23FD9" w:rsidR="002C7513">
        <w:rPr>
          <w:i/>
          <w:iCs/>
        </w:rPr>
        <w:t>supra</w:t>
      </w:r>
      <w:r w:rsidR="002C7513">
        <w:t xml:space="preserve"> note 7,</w:t>
      </w:r>
      <w:r w:rsidR="00600197">
        <w:t xml:space="preserve"> at 2</w:t>
      </w:r>
      <w:r>
        <w:t>.</w:t>
      </w:r>
    </w:p>
  </w:footnote>
  <w:footnote w:id="28">
    <w:p w:rsidR="00497500" w14:paraId="374EFD8C" w14:textId="77777777">
      <w:pPr>
        <w:pStyle w:val="FootnoteText"/>
      </w:pPr>
      <w:r>
        <w:rPr>
          <w:rStyle w:val="FootnoteReference"/>
        </w:rPr>
        <w:footnoteRef/>
      </w:r>
      <w:r>
        <w:t xml:space="preserve"> 47 CFR § 64.1200(n)(5).</w:t>
      </w:r>
    </w:p>
  </w:footnote>
  <w:footnote w:id="29">
    <w:p w:rsidR="00497500" w:rsidRPr="00482465" w14:paraId="6C61B694" w14:textId="77777777">
      <w:pPr>
        <w:pStyle w:val="FootnoteText"/>
      </w:pPr>
      <w:r>
        <w:rPr>
          <w:rStyle w:val="FootnoteReference"/>
        </w:rPr>
        <w:footnoteRef/>
      </w:r>
      <w:r>
        <w:t xml:space="preserve"> </w:t>
      </w:r>
      <w:r>
        <w:rPr>
          <w:i/>
          <w:iCs/>
        </w:rPr>
        <w:t>Id.</w:t>
      </w:r>
    </w:p>
  </w:footnote>
  <w:footnote w:id="30">
    <w:p w:rsidR="00307980" w:rsidRPr="008E314B" w14:paraId="7BA639FB" w14:textId="77777777">
      <w:pPr>
        <w:pStyle w:val="FootnoteText"/>
        <w:rPr>
          <w:i/>
          <w:iCs/>
        </w:rPr>
      </w:pPr>
      <w:r>
        <w:rPr>
          <w:rStyle w:val="FootnoteReference"/>
        </w:rPr>
        <w:footnoteRef/>
      </w:r>
      <w:r>
        <w:t xml:space="preserve"> </w:t>
      </w:r>
      <w:r>
        <w:rPr>
          <w:i/>
          <w:iCs/>
        </w:rPr>
        <w:t>Id.</w:t>
      </w:r>
    </w:p>
  </w:footnote>
  <w:footnote w:id="31">
    <w:p w:rsidR="00497500" w14:paraId="330B59E1" w14:textId="77777777">
      <w:pPr>
        <w:pStyle w:val="FootnoteText"/>
      </w:pPr>
      <w:r>
        <w:rPr>
          <w:rStyle w:val="FootnoteReference"/>
        </w:rPr>
        <w:footnoteRef/>
      </w:r>
      <w:r>
        <w:t xml:space="preserve"> </w:t>
      </w:r>
      <w:r w:rsidR="008D3A33">
        <w:t>Notice</w:t>
      </w:r>
      <w:r w:rsidR="00DA32E1">
        <w:t xml:space="preserve">, </w:t>
      </w:r>
      <w:r w:rsidRPr="00B23FD9" w:rsidR="00DA32E1">
        <w:rPr>
          <w:i/>
          <w:iCs/>
        </w:rPr>
        <w:t>supra</w:t>
      </w:r>
      <w:r w:rsidR="00DA32E1">
        <w:t xml:space="preserve"> note 7,</w:t>
      </w:r>
      <w:r w:rsidR="008D3A33">
        <w:t xml:space="preserve"> at 1.</w:t>
      </w:r>
    </w:p>
  </w:footnote>
  <w:footnote w:id="32">
    <w:p w:rsidR="00BE03AA" w14:paraId="5583E4C7" w14:textId="77777777">
      <w:pPr>
        <w:pStyle w:val="FootnoteText"/>
      </w:pPr>
      <w:r>
        <w:rPr>
          <w:rStyle w:val="FootnoteReference"/>
        </w:rPr>
        <w:footnoteRef/>
      </w:r>
      <w:r>
        <w:t xml:space="preserve"> </w:t>
      </w:r>
      <w:r w:rsidR="00307980">
        <w:rPr>
          <w:i/>
          <w:iCs/>
        </w:rPr>
        <w:t>Id.</w:t>
      </w:r>
      <w:r w:rsidR="00307980">
        <w:t xml:space="preserve"> at 3</w:t>
      </w:r>
      <w:r w:rsidR="00392CF9">
        <w:t>.</w:t>
      </w:r>
      <w:r w:rsidR="00307980">
        <w:t xml:space="preserve"> </w:t>
      </w:r>
      <w:r w:rsidR="00F15497">
        <w:t xml:space="preserve"> Section</w:t>
      </w:r>
      <w:r w:rsidR="00382AEB">
        <w:t xml:space="preserve"> 64.1200(n)</w:t>
      </w:r>
      <w:r w:rsidR="00A53C9E">
        <w:t>(5)</w:t>
      </w:r>
      <w:r w:rsidR="00382AEB">
        <w:t>(i)(A) states that t</w:t>
      </w:r>
      <w:r>
        <w:t xml:space="preserve">he report should include a certification that </w:t>
      </w:r>
      <w:r w:rsidR="00382AEB">
        <w:t>the provider</w:t>
      </w:r>
      <w:r>
        <w:t xml:space="preserve"> is blocking the traffic identified in th</w:t>
      </w:r>
      <w:r w:rsidR="00382AEB">
        <w:t>e Notice</w:t>
      </w:r>
      <w:r>
        <w:t xml:space="preserve"> and will continue to do so, </w:t>
      </w:r>
      <w:r w:rsidR="00F15497">
        <w:t>as well as</w:t>
      </w:r>
      <w:r>
        <w:t xml:space="preserve"> provide a description of </w:t>
      </w:r>
      <w:r w:rsidR="00382AEB">
        <w:t>the provider’s</w:t>
      </w:r>
      <w:r>
        <w:t xml:space="preserve"> plan to identify and block substantially similar traffic on an ongoing basis</w:t>
      </w:r>
      <w:r w:rsidR="00382AEB">
        <w:t>.</w:t>
      </w:r>
      <w:r w:rsidR="00392CF9">
        <w:t xml:space="preserve"> </w:t>
      </w:r>
      <w:r w:rsidR="00F15497">
        <w:t xml:space="preserve"> 47 CFR § 64.1200(n)(5)(i)(A).  Section</w:t>
      </w:r>
      <w:r w:rsidR="00392CF9">
        <w:t xml:space="preserve"> 64.1200(n)(5)(i)(B) states that </w:t>
      </w:r>
      <w:r w:rsidR="00DA5832">
        <w:t>if</w:t>
      </w:r>
      <w:r w:rsidR="00382AEB">
        <w:t xml:space="preserve"> the provider’s </w:t>
      </w:r>
      <w:r w:rsidRPr="0039531B" w:rsidR="00382AEB">
        <w:t>investigation determine</w:t>
      </w:r>
      <w:r w:rsidR="00382AEB">
        <w:t>d</w:t>
      </w:r>
      <w:r w:rsidRPr="0039531B" w:rsidR="00382AEB">
        <w:t xml:space="preserve"> that the identified traffic is not illegal, </w:t>
      </w:r>
      <w:r w:rsidR="00382AEB">
        <w:t xml:space="preserve">the report must </w:t>
      </w:r>
      <w:r w:rsidRPr="0039531B" w:rsidR="00382AEB">
        <w:t xml:space="preserve">provide an explanation as to why </w:t>
      </w:r>
      <w:r w:rsidR="00382AEB">
        <w:t>the provider</w:t>
      </w:r>
      <w:r w:rsidRPr="0039531B" w:rsidR="00382AEB">
        <w:t xml:space="preserve"> reasonably concluded that the identified traffic is not illegal and what steps </w:t>
      </w:r>
      <w:r w:rsidR="00382AEB">
        <w:t>it</w:t>
      </w:r>
      <w:r w:rsidRPr="0039531B" w:rsidR="00382AEB">
        <w:t xml:space="preserve"> took to reach that conclusion.</w:t>
      </w:r>
      <w:r w:rsidR="00382AEB">
        <w:t xml:space="preserve">  If the provider determined that it did not serve as the gateway provider for the identified traffic, the report must provide an explanation as to how the provider reached that conclusion and identify the upstream provider(s) from which the provider received the identified traffic. </w:t>
      </w:r>
      <w:r w:rsidR="00F15497">
        <w:t xml:space="preserve"> </w:t>
      </w:r>
      <w:r w:rsidRPr="00B23FD9" w:rsidR="00F15497">
        <w:rPr>
          <w:i/>
          <w:iCs/>
        </w:rPr>
        <w:t>Id.</w:t>
      </w:r>
      <w:r w:rsidR="00F15497">
        <w:t xml:space="preserve"> § 64.1200(n)(5)(i)(B).</w:t>
      </w:r>
    </w:p>
  </w:footnote>
  <w:footnote w:id="33">
    <w:p w:rsidR="00497500" w:rsidRPr="00497500" w14:paraId="3FEC908B" w14:textId="77777777">
      <w:pPr>
        <w:pStyle w:val="FootnoteText"/>
      </w:pPr>
      <w:r>
        <w:rPr>
          <w:rStyle w:val="FootnoteReference"/>
        </w:rPr>
        <w:footnoteRef/>
      </w:r>
      <w:r>
        <w:t xml:space="preserve"> </w:t>
      </w:r>
      <w:r w:rsidR="00307980">
        <w:t>Notice</w:t>
      </w:r>
      <w:r w:rsidR="00F15497">
        <w:t xml:space="preserve">, </w:t>
      </w:r>
      <w:r w:rsidRPr="00B23FD9" w:rsidR="00F15497">
        <w:rPr>
          <w:i/>
          <w:iCs/>
        </w:rPr>
        <w:t>supra</w:t>
      </w:r>
      <w:r w:rsidR="00F15497">
        <w:t xml:space="preserve"> note 7,</w:t>
      </w:r>
      <w:r>
        <w:t xml:space="preserve"> at 3.</w:t>
      </w:r>
    </w:p>
  </w:footnote>
  <w:footnote w:id="34">
    <w:p w:rsidR="00DA467C" w:rsidRPr="00DA467C" w:rsidP="00DA5832" w14:paraId="7171EDB3" w14:textId="77777777">
      <w:pPr>
        <w:pStyle w:val="FootnoteText"/>
        <w:keepLines/>
      </w:pPr>
      <w:r>
        <w:rPr>
          <w:rStyle w:val="FootnoteReference"/>
        </w:rPr>
        <w:footnoteRef/>
      </w:r>
      <w:r>
        <w:t xml:space="preserve"> </w:t>
      </w:r>
      <w:r>
        <w:rPr>
          <w:i/>
          <w:iCs/>
        </w:rPr>
        <w:t>See</w:t>
      </w:r>
      <w:r>
        <w:t xml:space="preserve"> 47 CFR § 64.1200(n)(5)(ii)-(iii)</w:t>
      </w:r>
      <w:r w:rsidR="00F15497">
        <w:t>,</w:t>
      </w:r>
      <w:r>
        <w:t xml:space="preserve"> (n)(6).</w:t>
      </w:r>
    </w:p>
  </w:footnote>
  <w:footnote w:id="35">
    <w:p w:rsidR="005A5D0E" w:rsidP="00DA5832" w14:paraId="3AB8D7A0" w14:textId="77777777">
      <w:pPr>
        <w:pStyle w:val="FootnoteText"/>
      </w:pPr>
      <w:r>
        <w:rPr>
          <w:rStyle w:val="FootnoteReference"/>
        </w:rPr>
        <w:footnoteRef/>
      </w:r>
      <w:r>
        <w:t xml:space="preserve"> </w:t>
      </w:r>
      <w:r w:rsidRPr="00B23FD9" w:rsidR="00F15497">
        <w:rPr>
          <w:i/>
          <w:iCs/>
        </w:rPr>
        <w:t>Id.</w:t>
      </w:r>
      <w:r>
        <w:t xml:space="preserve"> § 64.1200(n)(5)(iii).</w:t>
      </w:r>
    </w:p>
  </w:footnote>
  <w:footnote w:id="36">
    <w:p w:rsidR="005A5D0E" w:rsidP="005A5D0E" w14:paraId="6034E8AB" w14:textId="77777777">
      <w:pPr>
        <w:pStyle w:val="FootnoteText"/>
      </w:pPr>
      <w:r>
        <w:rPr>
          <w:rStyle w:val="FootnoteReference"/>
        </w:rPr>
        <w:footnoteRef/>
      </w:r>
      <w:r>
        <w:t xml:space="preserve"> </w:t>
      </w:r>
      <w:r w:rsidRPr="00B23FD9" w:rsidR="00F15497">
        <w:rPr>
          <w:i/>
          <w:iCs/>
        </w:rPr>
        <w:t>Id.</w:t>
      </w:r>
      <w:r>
        <w:t xml:space="preserve"> § 64.1200(n)(6).</w:t>
      </w:r>
    </w:p>
  </w:footnote>
  <w:footnote w:id="37">
    <w:p w:rsidR="008061DD" w14:paraId="68CED643" w14:textId="77777777">
      <w:pPr>
        <w:pStyle w:val="FootnoteText"/>
      </w:pPr>
      <w:r>
        <w:rPr>
          <w:rStyle w:val="FootnoteReference"/>
        </w:rPr>
        <w:footnoteRef/>
      </w:r>
      <w:r>
        <w:t xml:space="preserve"> </w:t>
      </w:r>
      <w:r w:rsidR="00A60FF4">
        <w:rPr>
          <w:i/>
          <w:iCs/>
        </w:rPr>
        <w:t>Gateway Provider Order</w:t>
      </w:r>
      <w:r w:rsidR="00A60FF4">
        <w:t xml:space="preserve">, </w:t>
      </w:r>
      <w:r w:rsidRPr="00B23FD9" w:rsidR="00F15497">
        <w:rPr>
          <w:i/>
          <w:iCs/>
        </w:rPr>
        <w:t>supra</w:t>
      </w:r>
      <w:r w:rsidR="00F15497">
        <w:t xml:space="preserve"> note 4, at </w:t>
      </w:r>
      <w:r w:rsidR="00A60FF4">
        <w:t>FCC 22-37, para. 72.</w:t>
      </w:r>
      <w:r w:rsidRPr="008061DD">
        <w:t xml:space="preserve">  </w:t>
      </w:r>
    </w:p>
  </w:footnote>
  <w:footnote w:id="38">
    <w:p w:rsidR="00880D20" w14:paraId="61FEC8FD" w14:textId="77777777">
      <w:pPr>
        <w:pStyle w:val="FootnoteText"/>
      </w:pPr>
      <w:r>
        <w:rPr>
          <w:rStyle w:val="FootnoteReference"/>
        </w:rPr>
        <w:footnoteRef/>
      </w:r>
      <w:r>
        <w:t xml:space="preserve"> 47 CFR § 64.1200(n)</w:t>
      </w:r>
      <w:r w:rsidR="00A53C9E">
        <w:t>(5)</w:t>
      </w:r>
      <w:r>
        <w:t>(i</w:t>
      </w:r>
      <w:r w:rsidR="005A5D0E">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BE5A22" w14:textId="29DE1470">
    <w:pPr>
      <w:pStyle w:val="Header"/>
      <w:rPr>
        <w:b w:val="0"/>
      </w:rPr>
    </w:pPr>
    <w:r>
      <w:tab/>
      <w:t xml:space="preserve">Federal </w:t>
    </w:r>
    <w:r>
      <w:t>Communications Commission</w:t>
    </w:r>
    <w:r>
      <w:tab/>
    </w:r>
    <w:r w:rsidR="00E4677C">
      <w:t xml:space="preserve">DA </w:t>
    </w:r>
    <w:r w:rsidR="00BB2B70">
      <w:t>23</w:t>
    </w:r>
    <w:r w:rsidR="00E4677C">
      <w:t>-</w:t>
    </w:r>
    <w:r w:rsidR="008E6109">
      <w:t>279</w:t>
    </w:r>
  </w:p>
  <w:p w:rsidR="00D25FB5" w14:paraId="1E948E50" w14:textId="66DA15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442463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F63527" w14:textId="31F559F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F64F79">
      <w:tab/>
      <w:t>Federal Communications Commission</w:t>
    </w:r>
    <w:r w:rsidR="00F64F79">
      <w:tab/>
    </w:r>
    <w:r w:rsidR="00E4677C">
      <w:rPr>
        <w:spacing w:val="-2"/>
      </w:rPr>
      <w:t xml:space="preserve">DA </w:t>
    </w:r>
    <w:r w:rsidR="00BB2B70">
      <w:rPr>
        <w:spacing w:val="-2"/>
      </w:rPr>
      <w:t>23</w:t>
    </w:r>
    <w:r w:rsidR="00E4677C">
      <w:rPr>
        <w:spacing w:val="-2"/>
      </w:rPr>
      <w:t>-</w:t>
    </w:r>
    <w:r w:rsidR="008E6109">
      <w:rPr>
        <w:spacing w:val="-2"/>
      </w:rPr>
      <w:t>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16CECD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4810"/>
    <w:rsid w:val="00005735"/>
    <w:rsid w:val="00014169"/>
    <w:rsid w:val="00016B0E"/>
    <w:rsid w:val="0003570F"/>
    <w:rsid w:val="00036039"/>
    <w:rsid w:val="000367A7"/>
    <w:rsid w:val="00037F90"/>
    <w:rsid w:val="00040A2A"/>
    <w:rsid w:val="000523FF"/>
    <w:rsid w:val="000528FB"/>
    <w:rsid w:val="000534B8"/>
    <w:rsid w:val="00070264"/>
    <w:rsid w:val="00080A2C"/>
    <w:rsid w:val="00082B83"/>
    <w:rsid w:val="0008540D"/>
    <w:rsid w:val="000875BF"/>
    <w:rsid w:val="00096D8C"/>
    <w:rsid w:val="000A1222"/>
    <w:rsid w:val="000A5501"/>
    <w:rsid w:val="000B5668"/>
    <w:rsid w:val="000C0B65"/>
    <w:rsid w:val="000E05FE"/>
    <w:rsid w:val="000E3D42"/>
    <w:rsid w:val="000F3FF6"/>
    <w:rsid w:val="00103286"/>
    <w:rsid w:val="00105427"/>
    <w:rsid w:val="00106EC6"/>
    <w:rsid w:val="00107E8C"/>
    <w:rsid w:val="00121FED"/>
    <w:rsid w:val="0012263F"/>
    <w:rsid w:val="00122BD5"/>
    <w:rsid w:val="0012797E"/>
    <w:rsid w:val="00133F79"/>
    <w:rsid w:val="001459CF"/>
    <w:rsid w:val="001551DC"/>
    <w:rsid w:val="001756E5"/>
    <w:rsid w:val="0018227B"/>
    <w:rsid w:val="00194A66"/>
    <w:rsid w:val="00197C32"/>
    <w:rsid w:val="001A2103"/>
    <w:rsid w:val="001B431E"/>
    <w:rsid w:val="001C3ABD"/>
    <w:rsid w:val="001D3E6F"/>
    <w:rsid w:val="001D6BCF"/>
    <w:rsid w:val="001E01CA"/>
    <w:rsid w:val="001F4EAC"/>
    <w:rsid w:val="001F67E4"/>
    <w:rsid w:val="00205F25"/>
    <w:rsid w:val="002111B9"/>
    <w:rsid w:val="0022387C"/>
    <w:rsid w:val="00254B36"/>
    <w:rsid w:val="002616FE"/>
    <w:rsid w:val="00262F8C"/>
    <w:rsid w:val="002652AB"/>
    <w:rsid w:val="00266D73"/>
    <w:rsid w:val="00275CF5"/>
    <w:rsid w:val="002778C7"/>
    <w:rsid w:val="0028301F"/>
    <w:rsid w:val="00285017"/>
    <w:rsid w:val="00292B7E"/>
    <w:rsid w:val="002A2D2E"/>
    <w:rsid w:val="002C00E8"/>
    <w:rsid w:val="002C1B89"/>
    <w:rsid w:val="002C62AE"/>
    <w:rsid w:val="002C7513"/>
    <w:rsid w:val="002D127D"/>
    <w:rsid w:val="002F5D45"/>
    <w:rsid w:val="00307980"/>
    <w:rsid w:val="00323AC5"/>
    <w:rsid w:val="00332E0C"/>
    <w:rsid w:val="00335B0F"/>
    <w:rsid w:val="00343749"/>
    <w:rsid w:val="00345ECE"/>
    <w:rsid w:val="003660ED"/>
    <w:rsid w:val="0036777F"/>
    <w:rsid w:val="00373B88"/>
    <w:rsid w:val="0038282A"/>
    <w:rsid w:val="00382AEB"/>
    <w:rsid w:val="00385C85"/>
    <w:rsid w:val="003902D7"/>
    <w:rsid w:val="00390852"/>
    <w:rsid w:val="00392CF9"/>
    <w:rsid w:val="0039531B"/>
    <w:rsid w:val="003B0550"/>
    <w:rsid w:val="003B694F"/>
    <w:rsid w:val="003C0FCB"/>
    <w:rsid w:val="003C4BDB"/>
    <w:rsid w:val="003D47CA"/>
    <w:rsid w:val="003E6066"/>
    <w:rsid w:val="003F07EF"/>
    <w:rsid w:val="003F0CBB"/>
    <w:rsid w:val="003F171C"/>
    <w:rsid w:val="003F4F60"/>
    <w:rsid w:val="004026A5"/>
    <w:rsid w:val="00412FC5"/>
    <w:rsid w:val="00416FCF"/>
    <w:rsid w:val="0042191B"/>
    <w:rsid w:val="00422276"/>
    <w:rsid w:val="004242F1"/>
    <w:rsid w:val="00430D03"/>
    <w:rsid w:val="00431EB1"/>
    <w:rsid w:val="00436854"/>
    <w:rsid w:val="00445A00"/>
    <w:rsid w:val="00451B0F"/>
    <w:rsid w:val="004540A8"/>
    <w:rsid w:val="00463EAC"/>
    <w:rsid w:val="004671E1"/>
    <w:rsid w:val="004674CC"/>
    <w:rsid w:val="00467EA4"/>
    <w:rsid w:val="00472B25"/>
    <w:rsid w:val="00474EA7"/>
    <w:rsid w:val="004759AD"/>
    <w:rsid w:val="00477861"/>
    <w:rsid w:val="00477897"/>
    <w:rsid w:val="00482465"/>
    <w:rsid w:val="00497500"/>
    <w:rsid w:val="004B2BD2"/>
    <w:rsid w:val="004C0A42"/>
    <w:rsid w:val="004C2316"/>
    <w:rsid w:val="004C2579"/>
    <w:rsid w:val="004C2EE3"/>
    <w:rsid w:val="004E4A22"/>
    <w:rsid w:val="004F4E02"/>
    <w:rsid w:val="00504D1D"/>
    <w:rsid w:val="00506032"/>
    <w:rsid w:val="00510BBF"/>
    <w:rsid w:val="00511968"/>
    <w:rsid w:val="0051307C"/>
    <w:rsid w:val="00526DB7"/>
    <w:rsid w:val="0053425A"/>
    <w:rsid w:val="005357B9"/>
    <w:rsid w:val="00537260"/>
    <w:rsid w:val="00547EB2"/>
    <w:rsid w:val="0055614C"/>
    <w:rsid w:val="00566D06"/>
    <w:rsid w:val="005836BD"/>
    <w:rsid w:val="0058471D"/>
    <w:rsid w:val="00595C3E"/>
    <w:rsid w:val="005A5D0E"/>
    <w:rsid w:val="005C24D8"/>
    <w:rsid w:val="005D3997"/>
    <w:rsid w:val="005E1370"/>
    <w:rsid w:val="005E14C2"/>
    <w:rsid w:val="005F30D2"/>
    <w:rsid w:val="005F4920"/>
    <w:rsid w:val="00600197"/>
    <w:rsid w:val="00606E8A"/>
    <w:rsid w:val="00607BA5"/>
    <w:rsid w:val="00611619"/>
    <w:rsid w:val="0061180A"/>
    <w:rsid w:val="00612084"/>
    <w:rsid w:val="00615B4A"/>
    <w:rsid w:val="00620223"/>
    <w:rsid w:val="00620C30"/>
    <w:rsid w:val="006224AB"/>
    <w:rsid w:val="006266B4"/>
    <w:rsid w:val="00626AD7"/>
    <w:rsid w:val="00626EB6"/>
    <w:rsid w:val="0065215E"/>
    <w:rsid w:val="006523E7"/>
    <w:rsid w:val="00655D03"/>
    <w:rsid w:val="00655E1C"/>
    <w:rsid w:val="006567FE"/>
    <w:rsid w:val="00657B36"/>
    <w:rsid w:val="00663E10"/>
    <w:rsid w:val="00673F77"/>
    <w:rsid w:val="00683388"/>
    <w:rsid w:val="00683F84"/>
    <w:rsid w:val="0069222C"/>
    <w:rsid w:val="006A6A81"/>
    <w:rsid w:val="006B4180"/>
    <w:rsid w:val="006D064F"/>
    <w:rsid w:val="006D75B3"/>
    <w:rsid w:val="006F154C"/>
    <w:rsid w:val="006F7393"/>
    <w:rsid w:val="006F7CD4"/>
    <w:rsid w:val="0070224F"/>
    <w:rsid w:val="007035B1"/>
    <w:rsid w:val="007115F7"/>
    <w:rsid w:val="00723CE2"/>
    <w:rsid w:val="00727D7B"/>
    <w:rsid w:val="00741985"/>
    <w:rsid w:val="00750CE3"/>
    <w:rsid w:val="00753F26"/>
    <w:rsid w:val="00754B65"/>
    <w:rsid w:val="00763FE7"/>
    <w:rsid w:val="00773BA6"/>
    <w:rsid w:val="007770D8"/>
    <w:rsid w:val="00785689"/>
    <w:rsid w:val="00787966"/>
    <w:rsid w:val="0079754B"/>
    <w:rsid w:val="007A1E6D"/>
    <w:rsid w:val="007A63E5"/>
    <w:rsid w:val="007A643B"/>
    <w:rsid w:val="007B0EB2"/>
    <w:rsid w:val="007C258B"/>
    <w:rsid w:val="007C6367"/>
    <w:rsid w:val="007C7DE2"/>
    <w:rsid w:val="007F7008"/>
    <w:rsid w:val="00803641"/>
    <w:rsid w:val="008061DD"/>
    <w:rsid w:val="00810B6F"/>
    <w:rsid w:val="0082278B"/>
    <w:rsid w:val="00822CE0"/>
    <w:rsid w:val="00823D4B"/>
    <w:rsid w:val="00832D8C"/>
    <w:rsid w:val="00841AB1"/>
    <w:rsid w:val="0085457B"/>
    <w:rsid w:val="008547BB"/>
    <w:rsid w:val="0085686E"/>
    <w:rsid w:val="008672AD"/>
    <w:rsid w:val="00867E5D"/>
    <w:rsid w:val="008705E0"/>
    <w:rsid w:val="00880D20"/>
    <w:rsid w:val="00890C1A"/>
    <w:rsid w:val="00892587"/>
    <w:rsid w:val="008A6344"/>
    <w:rsid w:val="008A73F7"/>
    <w:rsid w:val="008B2E1D"/>
    <w:rsid w:val="008B674C"/>
    <w:rsid w:val="008C421D"/>
    <w:rsid w:val="008C68F1"/>
    <w:rsid w:val="008D25FB"/>
    <w:rsid w:val="008D2BD0"/>
    <w:rsid w:val="008D3A33"/>
    <w:rsid w:val="008E314B"/>
    <w:rsid w:val="008E6109"/>
    <w:rsid w:val="00901672"/>
    <w:rsid w:val="00905840"/>
    <w:rsid w:val="0090634F"/>
    <w:rsid w:val="00906872"/>
    <w:rsid w:val="009068DC"/>
    <w:rsid w:val="00921803"/>
    <w:rsid w:val="00925F1F"/>
    <w:rsid w:val="00926503"/>
    <w:rsid w:val="009313E4"/>
    <w:rsid w:val="00934138"/>
    <w:rsid w:val="00942E02"/>
    <w:rsid w:val="00945503"/>
    <w:rsid w:val="00956892"/>
    <w:rsid w:val="00962F3D"/>
    <w:rsid w:val="009640B7"/>
    <w:rsid w:val="009663CC"/>
    <w:rsid w:val="00971D3E"/>
    <w:rsid w:val="0097244F"/>
    <w:rsid w:val="009726D8"/>
    <w:rsid w:val="009733D6"/>
    <w:rsid w:val="00984B53"/>
    <w:rsid w:val="00990DC8"/>
    <w:rsid w:val="009B2F9A"/>
    <w:rsid w:val="009C25A4"/>
    <w:rsid w:val="009C2D8E"/>
    <w:rsid w:val="009C4B41"/>
    <w:rsid w:val="009D7308"/>
    <w:rsid w:val="009E177B"/>
    <w:rsid w:val="009E1ED8"/>
    <w:rsid w:val="009E2EBD"/>
    <w:rsid w:val="009F13F0"/>
    <w:rsid w:val="009F51B3"/>
    <w:rsid w:val="009F76DB"/>
    <w:rsid w:val="00A000C8"/>
    <w:rsid w:val="00A047D8"/>
    <w:rsid w:val="00A32C3B"/>
    <w:rsid w:val="00A33A72"/>
    <w:rsid w:val="00A43095"/>
    <w:rsid w:val="00A436F2"/>
    <w:rsid w:val="00A45F4F"/>
    <w:rsid w:val="00A53C9E"/>
    <w:rsid w:val="00A56634"/>
    <w:rsid w:val="00A57757"/>
    <w:rsid w:val="00A600A9"/>
    <w:rsid w:val="00A60FF4"/>
    <w:rsid w:val="00A61279"/>
    <w:rsid w:val="00A61A89"/>
    <w:rsid w:val="00A70807"/>
    <w:rsid w:val="00A729A5"/>
    <w:rsid w:val="00A91F64"/>
    <w:rsid w:val="00A921E9"/>
    <w:rsid w:val="00A9770A"/>
    <w:rsid w:val="00AA323F"/>
    <w:rsid w:val="00AA55B7"/>
    <w:rsid w:val="00AA5B9E"/>
    <w:rsid w:val="00AA79E4"/>
    <w:rsid w:val="00AB0474"/>
    <w:rsid w:val="00AB2407"/>
    <w:rsid w:val="00AB53DF"/>
    <w:rsid w:val="00AB6496"/>
    <w:rsid w:val="00AC06E6"/>
    <w:rsid w:val="00AC1E1E"/>
    <w:rsid w:val="00AC540F"/>
    <w:rsid w:val="00AC67CA"/>
    <w:rsid w:val="00AD1921"/>
    <w:rsid w:val="00AD27F3"/>
    <w:rsid w:val="00AD5841"/>
    <w:rsid w:val="00AD6A1F"/>
    <w:rsid w:val="00AF1238"/>
    <w:rsid w:val="00AF674D"/>
    <w:rsid w:val="00B07E5C"/>
    <w:rsid w:val="00B11C15"/>
    <w:rsid w:val="00B23FD9"/>
    <w:rsid w:val="00B240A2"/>
    <w:rsid w:val="00B2591D"/>
    <w:rsid w:val="00B41622"/>
    <w:rsid w:val="00B42618"/>
    <w:rsid w:val="00B51AA5"/>
    <w:rsid w:val="00B65523"/>
    <w:rsid w:val="00B811F7"/>
    <w:rsid w:val="00B86248"/>
    <w:rsid w:val="00B95229"/>
    <w:rsid w:val="00B958C5"/>
    <w:rsid w:val="00B96E94"/>
    <w:rsid w:val="00BA0DC3"/>
    <w:rsid w:val="00BA0F66"/>
    <w:rsid w:val="00BA4049"/>
    <w:rsid w:val="00BA5DC6"/>
    <w:rsid w:val="00BA6196"/>
    <w:rsid w:val="00BB0D10"/>
    <w:rsid w:val="00BB2B70"/>
    <w:rsid w:val="00BC05FC"/>
    <w:rsid w:val="00BC28F2"/>
    <w:rsid w:val="00BC3E40"/>
    <w:rsid w:val="00BC4E28"/>
    <w:rsid w:val="00BC6D8C"/>
    <w:rsid w:val="00BE03AA"/>
    <w:rsid w:val="00BE115F"/>
    <w:rsid w:val="00BE1D9D"/>
    <w:rsid w:val="00BE6AE5"/>
    <w:rsid w:val="00BF3954"/>
    <w:rsid w:val="00C01846"/>
    <w:rsid w:val="00C063CE"/>
    <w:rsid w:val="00C13855"/>
    <w:rsid w:val="00C34006"/>
    <w:rsid w:val="00C34653"/>
    <w:rsid w:val="00C3584B"/>
    <w:rsid w:val="00C36B4C"/>
    <w:rsid w:val="00C41F38"/>
    <w:rsid w:val="00C426B1"/>
    <w:rsid w:val="00C4438E"/>
    <w:rsid w:val="00C52BC8"/>
    <w:rsid w:val="00C6201F"/>
    <w:rsid w:val="00C66160"/>
    <w:rsid w:val="00C721AC"/>
    <w:rsid w:val="00C87CE3"/>
    <w:rsid w:val="00C90269"/>
    <w:rsid w:val="00C90D6A"/>
    <w:rsid w:val="00CA247E"/>
    <w:rsid w:val="00CA6D21"/>
    <w:rsid w:val="00CB2D01"/>
    <w:rsid w:val="00CB3176"/>
    <w:rsid w:val="00CC6EC8"/>
    <w:rsid w:val="00CC72B6"/>
    <w:rsid w:val="00CD5069"/>
    <w:rsid w:val="00CE0441"/>
    <w:rsid w:val="00CE687D"/>
    <w:rsid w:val="00CF531A"/>
    <w:rsid w:val="00D0218D"/>
    <w:rsid w:val="00D072C0"/>
    <w:rsid w:val="00D14227"/>
    <w:rsid w:val="00D25FB5"/>
    <w:rsid w:val="00D44223"/>
    <w:rsid w:val="00D54421"/>
    <w:rsid w:val="00D5450C"/>
    <w:rsid w:val="00D579FC"/>
    <w:rsid w:val="00D70AE7"/>
    <w:rsid w:val="00D7127A"/>
    <w:rsid w:val="00D751CC"/>
    <w:rsid w:val="00D835C6"/>
    <w:rsid w:val="00D878C0"/>
    <w:rsid w:val="00D91575"/>
    <w:rsid w:val="00DA2529"/>
    <w:rsid w:val="00DA32E1"/>
    <w:rsid w:val="00DA3E5A"/>
    <w:rsid w:val="00DA467C"/>
    <w:rsid w:val="00DA5832"/>
    <w:rsid w:val="00DB130A"/>
    <w:rsid w:val="00DB2EBB"/>
    <w:rsid w:val="00DC10A1"/>
    <w:rsid w:val="00DC22BF"/>
    <w:rsid w:val="00DC34AF"/>
    <w:rsid w:val="00DC655F"/>
    <w:rsid w:val="00DD0B59"/>
    <w:rsid w:val="00DD7EBD"/>
    <w:rsid w:val="00DE2A96"/>
    <w:rsid w:val="00DF62B6"/>
    <w:rsid w:val="00DF6548"/>
    <w:rsid w:val="00DF7E46"/>
    <w:rsid w:val="00E06930"/>
    <w:rsid w:val="00E07225"/>
    <w:rsid w:val="00E113D8"/>
    <w:rsid w:val="00E167E8"/>
    <w:rsid w:val="00E17627"/>
    <w:rsid w:val="00E22CB7"/>
    <w:rsid w:val="00E26D72"/>
    <w:rsid w:val="00E339DA"/>
    <w:rsid w:val="00E348CF"/>
    <w:rsid w:val="00E4677C"/>
    <w:rsid w:val="00E5409F"/>
    <w:rsid w:val="00E6064D"/>
    <w:rsid w:val="00E727C8"/>
    <w:rsid w:val="00E73EFD"/>
    <w:rsid w:val="00E81834"/>
    <w:rsid w:val="00E87020"/>
    <w:rsid w:val="00E95218"/>
    <w:rsid w:val="00EA425E"/>
    <w:rsid w:val="00EA6469"/>
    <w:rsid w:val="00EB36F9"/>
    <w:rsid w:val="00EE17D5"/>
    <w:rsid w:val="00EE6488"/>
    <w:rsid w:val="00EF0721"/>
    <w:rsid w:val="00EF3DB1"/>
    <w:rsid w:val="00EF5B40"/>
    <w:rsid w:val="00F00965"/>
    <w:rsid w:val="00F021FA"/>
    <w:rsid w:val="00F04DFF"/>
    <w:rsid w:val="00F15497"/>
    <w:rsid w:val="00F17E1A"/>
    <w:rsid w:val="00F31C9B"/>
    <w:rsid w:val="00F37959"/>
    <w:rsid w:val="00F528BA"/>
    <w:rsid w:val="00F57B70"/>
    <w:rsid w:val="00F62E97"/>
    <w:rsid w:val="00F6321D"/>
    <w:rsid w:val="00F640C7"/>
    <w:rsid w:val="00F64209"/>
    <w:rsid w:val="00F64F79"/>
    <w:rsid w:val="00F71CB1"/>
    <w:rsid w:val="00F743BD"/>
    <w:rsid w:val="00F75776"/>
    <w:rsid w:val="00F7577E"/>
    <w:rsid w:val="00F81E2E"/>
    <w:rsid w:val="00F93BF5"/>
    <w:rsid w:val="00F93C5E"/>
    <w:rsid w:val="00F97A03"/>
    <w:rsid w:val="00FA14D3"/>
    <w:rsid w:val="00FA4DC6"/>
    <w:rsid w:val="00FB39FC"/>
    <w:rsid w:val="00FB494D"/>
    <w:rsid w:val="00FC098F"/>
    <w:rsid w:val="00FD3B3B"/>
    <w:rsid w:val="00FE4E3E"/>
    <w:rsid w:val="00FF2E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2E9F88"/>
  <w15:chartTrackingRefBased/>
  <w15:docId w15:val="{8B445494-C5F8-4EFF-95FC-B96079CF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77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5841"/>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Strong">
    <w:name w:val="Strong"/>
    <w:qFormat/>
    <w:rsid w:val="007035B1"/>
    <w:rPr>
      <w:b/>
      <w:bCs/>
    </w:rPr>
  </w:style>
  <w:style w:type="character" w:customStyle="1" w:styleId="enumxml">
    <w:name w:val="enumxml"/>
    <w:basedOn w:val="DefaultParagraphFont"/>
    <w:rsid w:val="00BC28F2"/>
  </w:style>
  <w:style w:type="character" w:customStyle="1" w:styleId="cf01">
    <w:name w:val="cf01"/>
    <w:rsid w:val="00F17E1A"/>
    <w:rPr>
      <w:rFonts w:ascii="Segoe UI" w:hAnsi="Segoe UI" w:cs="Segoe UI" w:hint="default"/>
      <w:sz w:val="18"/>
      <w:szCs w:val="18"/>
    </w:rPr>
  </w:style>
  <w:style w:type="character" w:styleId="FollowedHyperlink">
    <w:name w:val="FollowedHyperlink"/>
    <w:rsid w:val="00C41F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daniel.stepanicich@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