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0BEF" w14:paraId="72E09964" w14:textId="77777777">
      <w:pPr>
        <w:jc w:val="right"/>
        <w:rPr>
          <w:sz w:val="24"/>
        </w:rPr>
      </w:pPr>
    </w:p>
    <w:p w:rsidR="009A172D" w:rsidRPr="00215C22" w14:paraId="2D698206" w14:textId="74361818">
      <w:pPr>
        <w:spacing w:before="60"/>
        <w:jc w:val="right"/>
        <w:rPr>
          <w:b/>
          <w:sz w:val="24"/>
        </w:rPr>
      </w:pPr>
      <w:r w:rsidRPr="00215C22">
        <w:rPr>
          <w:b/>
          <w:sz w:val="24"/>
        </w:rPr>
        <w:t xml:space="preserve">DA </w:t>
      </w:r>
      <w:r w:rsidRPr="00215C22" w:rsidR="00FA3F63">
        <w:rPr>
          <w:b/>
          <w:sz w:val="24"/>
        </w:rPr>
        <w:t>2</w:t>
      </w:r>
      <w:r w:rsidR="006624A6">
        <w:rPr>
          <w:b/>
          <w:sz w:val="24"/>
        </w:rPr>
        <w:t>3</w:t>
      </w:r>
      <w:r w:rsidRPr="00215C22">
        <w:rPr>
          <w:b/>
          <w:sz w:val="24"/>
        </w:rPr>
        <w:t>-</w:t>
      </w:r>
      <w:r w:rsidR="006624A6">
        <w:rPr>
          <w:b/>
          <w:sz w:val="24"/>
        </w:rPr>
        <w:t>284</w:t>
      </w:r>
    </w:p>
    <w:p w:rsidR="00310BEF" w:rsidRPr="00E04611" w14:paraId="43ADDAD9" w14:textId="310407B4">
      <w:pPr>
        <w:spacing w:before="60"/>
        <w:jc w:val="right"/>
        <w:rPr>
          <w:b/>
          <w:color w:val="FF0000"/>
          <w:sz w:val="24"/>
        </w:rPr>
      </w:pPr>
      <w:r w:rsidRPr="00215C22">
        <w:rPr>
          <w:b/>
          <w:sz w:val="24"/>
        </w:rPr>
        <w:t xml:space="preserve">Released:  </w:t>
      </w:r>
      <w:r w:rsidRPr="001D08F6" w:rsidR="00B9778E">
        <w:rPr>
          <w:b/>
          <w:sz w:val="24"/>
        </w:rPr>
        <w:t>April</w:t>
      </w:r>
      <w:r w:rsidRPr="00B32DA2" w:rsidR="00215C22">
        <w:rPr>
          <w:b/>
          <w:sz w:val="24"/>
        </w:rPr>
        <w:t xml:space="preserve"> </w:t>
      </w:r>
      <w:r w:rsidR="00BC6B74">
        <w:rPr>
          <w:b/>
          <w:sz w:val="24"/>
        </w:rPr>
        <w:t>3</w:t>
      </w:r>
      <w:r w:rsidRPr="00B32DA2" w:rsidR="00215C22">
        <w:rPr>
          <w:b/>
          <w:sz w:val="24"/>
        </w:rPr>
        <w:t>, 202</w:t>
      </w:r>
      <w:r w:rsidRPr="001D08F6" w:rsidR="004868F2">
        <w:rPr>
          <w:b/>
          <w:sz w:val="24"/>
        </w:rPr>
        <w:t>3</w:t>
      </w:r>
      <w:r w:rsidRPr="00B32DA2" w:rsidR="00215C22">
        <w:rPr>
          <w:b/>
          <w:sz w:val="24"/>
        </w:rPr>
        <w:t xml:space="preserve"> </w:t>
      </w:r>
    </w:p>
    <w:p w:rsidR="00310BEF" w14:paraId="7FB19949" w14:textId="77777777">
      <w:pPr>
        <w:jc w:val="right"/>
        <w:rPr>
          <w:sz w:val="24"/>
        </w:rPr>
      </w:pPr>
    </w:p>
    <w:p w:rsidR="00222633" w:rsidRPr="00E21304" w:rsidP="00222633" w14:paraId="5B527948" w14:textId="1F5B380E">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 </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0982380C">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Pr="001D08F6" w:rsidR="00B9778E">
        <w:rPr>
          <w:rFonts w:eastAsia="Calibri"/>
          <w:snapToGrid/>
          <w:kern w:val="0"/>
          <w:szCs w:val="22"/>
        </w:rPr>
        <w:t>one</w:t>
      </w:r>
      <w:r w:rsidRPr="009D57A7" w:rsidR="00CA58AF">
        <w:rPr>
          <w:rFonts w:eastAsia="Calibri"/>
          <w:snapToGrid/>
          <w:color w:val="FF0000"/>
          <w:kern w:val="0"/>
          <w:szCs w:val="22"/>
        </w:rPr>
        <w:t xml:space="preserve"> </w:t>
      </w:r>
      <w:r w:rsidRPr="007422D9">
        <w:rPr>
          <w:rFonts w:eastAsia="Calibri"/>
          <w:snapToGrid/>
          <w:kern w:val="0"/>
          <w:szCs w:val="22"/>
        </w:rPr>
        <w:t>900 MHz broadband segment license application</w:t>
      </w:r>
      <w:r>
        <w:rPr>
          <w:rFonts w:eastAsia="Calibri"/>
          <w:snapToGrid/>
          <w:kern w:val="0"/>
          <w:szCs w:val="22"/>
        </w:rPr>
        <w:t xml:space="preserve"> (see</w:t>
      </w:r>
      <w:r w:rsidRPr="007422D9">
        <w:rPr>
          <w:rFonts w:eastAsia="Calibri"/>
          <w:snapToGrid/>
          <w:kern w:val="0"/>
          <w:szCs w:val="22"/>
        </w:rPr>
        <w:t xml:space="preserve"> </w:t>
      </w:r>
      <w:r w:rsidR="00051215">
        <w:rPr>
          <w:rFonts w:eastAsia="Calibri"/>
          <w:snapToGrid/>
          <w:kern w:val="0"/>
          <w:szCs w:val="22"/>
        </w:rPr>
        <w:t>Appendix</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2D826768">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 xml:space="preserve">application listed in the </w:t>
      </w:r>
      <w:r w:rsidR="00051215">
        <w:t xml:space="preserve">Appendix </w:t>
      </w:r>
      <w:r>
        <w:t>to be complete and in conformance with the Commission’s rules.  N</w:t>
      </w:r>
      <w:r w:rsidRPr="003A5387">
        <w:t xml:space="preserve">o petitions to deny </w:t>
      </w:r>
      <w:r w:rsidRPr="003A5387" w:rsidR="000C7B5C">
        <w:t>th</w:t>
      </w:r>
      <w:r w:rsidR="000C7B5C">
        <w:t>is</w:t>
      </w:r>
      <w:r w:rsidRPr="003A5387" w:rsidR="000C7B5C">
        <w:t xml:space="preserve"> </w:t>
      </w:r>
      <w:r w:rsidRPr="003A5387">
        <w:t>application were filed</w:t>
      </w:r>
      <w:r>
        <w:t xml:space="preserve">, and the </w:t>
      </w:r>
      <w:r w:rsidRPr="007422D9">
        <w:rPr>
          <w:rFonts w:eastAsia="Calibri"/>
          <w:snapToGrid/>
          <w:kern w:val="0"/>
          <w:szCs w:val="22"/>
        </w:rPr>
        <w:t xml:space="preserve">application </w:t>
      </w:r>
      <w:r>
        <w:rPr>
          <w:rFonts w:eastAsia="Calibri"/>
          <w:snapToGrid/>
          <w:kern w:val="0"/>
          <w:szCs w:val="22"/>
        </w:rPr>
        <w:t>sufficiently demonstrate</w:t>
      </w:r>
      <w:r w:rsidR="000C7B5C">
        <w:rPr>
          <w:rFonts w:eastAsia="Calibri"/>
          <w:snapToGrid/>
          <w:kern w:val="0"/>
          <w:szCs w:val="22"/>
        </w:rPr>
        <w:t>s</w:t>
      </w:r>
      <w:r>
        <w:rPr>
          <w:rFonts w:eastAsia="Calibri"/>
          <w:snapToGrid/>
          <w:kern w:val="0"/>
          <w:szCs w:val="22"/>
        </w:rPr>
        <w:t xml:space="preserv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w:t>
      </w:r>
      <w:r w:rsidR="000C7B5C">
        <w:rPr>
          <w:rFonts w:eastAsia="Calibri"/>
          <w:snapToGrid/>
          <w:kern w:val="0"/>
          <w:szCs w:val="22"/>
        </w:rPr>
        <w:t xml:space="preserve">no </w:t>
      </w:r>
      <w:r w:rsidRPr="00025AC7" w:rsidR="000C7B5C">
        <w:rPr>
          <w:rFonts w:eastAsia="Calibri"/>
          <w:snapToGrid/>
          <w:kern w:val="0"/>
          <w:szCs w:val="22"/>
        </w:rPr>
        <w:t>section</w:t>
      </w:r>
      <w:r w:rsidR="000C7B5C">
        <w:rPr>
          <w:rFonts w:eastAsia="Calibri"/>
          <w:snapToGrid/>
          <w:kern w:val="0"/>
          <w:szCs w:val="22"/>
        </w:rPr>
        <w:t xml:space="preserve"> 27.1503(c)(2) </w:t>
      </w:r>
      <w:r>
        <w:rPr>
          <w:rFonts w:eastAsia="Calibri"/>
          <w:snapToGrid/>
          <w:kern w:val="0"/>
          <w:szCs w:val="22"/>
        </w:rPr>
        <w:t xml:space="preserve">anti-windfall </w:t>
      </w:r>
      <w:r w:rsidRPr="00025AC7">
        <w:rPr>
          <w:rFonts w:eastAsia="Calibri"/>
          <w:snapToGrid/>
          <w:kern w:val="0"/>
          <w:szCs w:val="22"/>
        </w:rPr>
        <w:t>payment</w:t>
      </w:r>
      <w:r w:rsidR="000C7B5C">
        <w:rPr>
          <w:rFonts w:eastAsia="Calibri"/>
          <w:snapToGrid/>
          <w:kern w:val="0"/>
          <w:szCs w:val="22"/>
        </w:rPr>
        <w:t xml:space="preserve"> </w:t>
      </w:r>
      <w:r w:rsidR="0095764A">
        <w:rPr>
          <w:rFonts w:eastAsia="Calibri"/>
          <w:snapToGrid/>
          <w:kern w:val="0"/>
          <w:szCs w:val="22"/>
        </w:rPr>
        <w:t>is</w:t>
      </w:r>
      <w:r w:rsidR="000C7B5C">
        <w:rPr>
          <w:rFonts w:eastAsia="Calibri"/>
          <w:snapToGrid/>
          <w:kern w:val="0"/>
          <w:szCs w:val="22"/>
        </w:rPr>
        <w:t xml:space="preserve"> due</w:t>
      </w:r>
      <w:r w:rsidRPr="00025AC7">
        <w:rPr>
          <w:rFonts w:eastAsia="Calibri"/>
          <w:snapToGrid/>
          <w:kern w:val="0"/>
          <w:szCs w:val="22"/>
        </w:rPr>
        <w:t xml:space="preserve"> for the license listed in </w:t>
      </w:r>
      <w:r>
        <w:rPr>
          <w:rFonts w:eastAsia="Calibri"/>
          <w:snapToGrid/>
          <w:kern w:val="0"/>
          <w:szCs w:val="22"/>
        </w:rPr>
        <w:t xml:space="preserve">the </w:t>
      </w:r>
      <w:r w:rsidR="00051215">
        <w:rPr>
          <w:rFonts w:eastAsia="Calibri"/>
          <w:snapToGrid/>
          <w:kern w:val="0"/>
          <w:szCs w:val="22"/>
        </w:rPr>
        <w:t>Appendix</w:t>
      </w:r>
      <w:r w:rsidR="0095764A">
        <w:rPr>
          <w:rFonts w:eastAsia="Calibri"/>
          <w:snapToGrid/>
          <w:kern w:val="0"/>
          <w:szCs w:val="22"/>
        </w:rPr>
        <w:t xml:space="preserve">.  </w:t>
      </w:r>
      <w:r>
        <w:rPr>
          <w:rFonts w:eastAsia="Calibri"/>
          <w:snapToGrid/>
          <w:kern w:val="0"/>
          <w:szCs w:val="22"/>
        </w:rPr>
        <w:t xml:space="preserve">Therefore, </w:t>
      </w:r>
      <w:r w:rsidR="001F6A23">
        <w:t>the Bureau</w:t>
      </w:r>
      <w:r w:rsidRPr="00EB2849">
        <w:t xml:space="preserve"> find</w:t>
      </w:r>
      <w:r>
        <w:t>s</w:t>
      </w:r>
      <w:r w:rsidRPr="00EB2849">
        <w:t xml:space="preserve"> that granting the application for the </w:t>
      </w:r>
      <w:r w:rsidRPr="00471EE7">
        <w:t xml:space="preserve">900 MHz broadband segment </w:t>
      </w:r>
      <w:r w:rsidRPr="00EB2849">
        <w:t xml:space="preserve">license listed </w:t>
      </w:r>
      <w:r w:rsidRPr="00087E7B">
        <w:t xml:space="preserve">in </w:t>
      </w:r>
      <w:r>
        <w:t xml:space="preserve">the </w:t>
      </w:r>
      <w:r w:rsidR="00051215">
        <w:t>Appendix</w:t>
      </w:r>
      <w:r w:rsidRPr="00087E7B" w:rsidR="00051215">
        <w:t xml:space="preserve"> </w:t>
      </w:r>
      <w:r w:rsidRPr="00087E7B">
        <w:t>serves</w:t>
      </w:r>
      <w:r w:rsidRPr="00EB2849">
        <w:t xml:space="preserve"> the public interest</w:t>
      </w:r>
      <w:r>
        <w:t xml:space="preserve">, convenience, and necessity. </w:t>
      </w:r>
    </w:p>
    <w:p w:rsidR="00222633" w:rsidRPr="007422D9" w:rsidP="006E5638" w14:paraId="7405122C" w14:textId="716718E9">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 listed in </w:t>
      </w:r>
      <w:r>
        <w:t xml:space="preserve">the </w:t>
      </w:r>
      <w:r w:rsidR="00051215">
        <w:t>Appendix</w:t>
      </w:r>
      <w:r w:rsidRPr="00087E7B">
        <w:t>.</w:t>
      </w:r>
      <w:r>
        <w:t xml:space="preserve">  </w:t>
      </w:r>
      <w:r w:rsidRPr="00087E7B">
        <w:t>We grant th</w:t>
      </w:r>
      <w:r w:rsidR="0095764A">
        <w:t>is</w:t>
      </w:r>
      <w:r w:rsidRPr="00087E7B">
        <w:t xml:space="preserve"> license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0095764A">
        <w:rPr>
          <w:rFonts w:eastAsia="Calibri"/>
        </w:rPr>
        <w:t>The n</w:t>
      </w:r>
      <w:r w:rsidRPr="00087E7B">
        <w:rPr>
          <w:rFonts w:eastAsia="Calibri"/>
        </w:rPr>
        <w:t>ew 900 MHz broadband licensee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2C61EC25">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00051215">
        <w:t>appendix</w:t>
      </w:r>
      <w:r w:rsidR="00320B62">
        <w:t xml:space="preserve">, which is </w:t>
      </w:r>
      <w:r w:rsidR="00051215">
        <w:t>included at the end of</w:t>
      </w:r>
      <w:r w:rsidR="00320B62">
        <w:t xml:space="preserve"> this document</w:t>
      </w:r>
      <w:r w:rsidRPr="007422D9">
        <w:t xml:space="preserve">: </w:t>
      </w:r>
    </w:p>
    <w:p w:rsidR="00222633" w:rsidRPr="007422D9" w:rsidP="00841774" w14:paraId="60E8A041" w14:textId="77C598BB">
      <w:pPr>
        <w:pStyle w:val="ParaNum"/>
        <w:numPr>
          <w:ilvl w:val="0"/>
          <w:numId w:val="0"/>
        </w:numPr>
      </w:pPr>
      <w:r>
        <w:t>Appendix</w:t>
      </w:r>
      <w:r w:rsidRPr="007422D9">
        <w:t xml:space="preserve"> </w:t>
      </w:r>
      <w:r w:rsidRPr="007422D9" w:rsidR="00C92640">
        <w:t>– 900 MHz Broadband</w:t>
      </w:r>
      <w:r w:rsidR="00C92640">
        <w:t xml:space="preserve"> Segment</w:t>
      </w:r>
      <w:r w:rsidRPr="007422D9" w:rsidR="00C92640">
        <w:t xml:space="preserve"> License</w:t>
      </w:r>
      <w:r w:rsidR="00C92640">
        <w:t>s Granted</w:t>
      </w:r>
      <w:r w:rsidRPr="007422D9" w:rsidR="00C92640">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19D3762"/>
    <w:p w:rsidR="0074639F" w14:paraId="3762A496" w14:textId="5E50DD3E"/>
    <w:p w:rsidR="0074639F" w14:paraId="5F4469B0" w14:textId="5E9780CB"/>
    <w:p w:rsidR="0074639F" w14:paraId="7534CF3F" w14:textId="05FFAC7C"/>
    <w:p w:rsidR="0074639F" w14:paraId="3C88C99E" w14:textId="66AB918E"/>
    <w:p w:rsidR="0074639F" w14:paraId="5EFBE8A6" w14:textId="01191002"/>
    <w:p w:rsidR="0074639F" w14:paraId="3987DF30" w14:textId="2C8A12B3"/>
    <w:p w:rsidR="0074639F" w14:paraId="47FC2F4C" w14:textId="30AF6162"/>
    <w:p w:rsidR="0074639F" w14:paraId="5337C038" w14:textId="1CD61976"/>
    <w:p w:rsidR="0074639F" w14:paraId="5C9B73AC" w14:textId="52B162FA"/>
    <w:p w:rsidR="0074639F" w14:paraId="7A2EF452" w14:textId="765FF661"/>
    <w:p w:rsidR="0074639F" w14:paraId="5A7BEC89" w14:textId="5F2E2300"/>
    <w:p w:rsidR="0074639F" w14:paraId="0801B209" w14:textId="4417C07C"/>
    <w:p w:rsidR="0074639F" w14:paraId="5E403E3F" w14:textId="61A0D1A0"/>
    <w:p w:rsidR="0074639F" w14:paraId="7196BFB0" w14:textId="3F44B79A"/>
    <w:p w:rsidR="0074639F" w14:paraId="4A4461BE" w14:textId="3C6684D9"/>
    <w:p w:rsidR="0074639F" w14:paraId="440355F8" w14:textId="4F05DC77"/>
    <w:p w:rsidR="0074639F" w14:paraId="2EE7A51C" w14:textId="07B601E3"/>
    <w:p w:rsidR="0074639F" w14:paraId="6C73055A" w14:textId="13A14E20"/>
    <w:p w:rsidR="0074639F" w14:paraId="2E3EE1FD" w14:textId="3D7081E0"/>
    <w:p w:rsidR="0074639F" w14:paraId="2033357C" w14:textId="679797FB"/>
    <w:p w:rsidR="0074639F" w14:paraId="3DAE7264" w14:textId="686749FB"/>
    <w:p w:rsidR="0074639F" w14:paraId="5D8E125A" w14:textId="2E62DD50"/>
    <w:p w:rsidR="0074639F" w14:paraId="21D11F01" w14:textId="6E9F3424"/>
    <w:p w:rsidR="0074639F" w14:paraId="6CA02D8E" w14:textId="580090C1"/>
    <w:p w:rsidR="0074639F" w14:paraId="28BE12CF" w14:textId="1EE448BF"/>
    <w:p w:rsidR="0074639F" w14:paraId="36C78E0C" w14:textId="20A120DA"/>
    <w:p w:rsidR="0074639F" w14:paraId="60761167" w14:textId="2C867DD4"/>
    <w:p w:rsidR="0074639F" w14:paraId="3E95E696" w14:textId="17BBE7A7"/>
    <w:p w:rsidR="0074639F" w14:paraId="1EB2BF5F" w14:textId="4A6460D9"/>
    <w:p w:rsidR="0074639F" w14:paraId="07E44DA9" w14:textId="5C84044A"/>
    <w:p w:rsidR="0074639F" w14:paraId="4FA5780D" w14:textId="19FB7D84"/>
    <w:p w:rsidR="0074639F" w14:paraId="600AEEEB" w14:textId="1E7C8F88"/>
    <w:p w:rsidR="0074639F" w14:paraId="2B9B05EF" w14:textId="753F7E22"/>
    <w:p w:rsidR="0074639F" w14:paraId="1FD6D62A" w14:textId="0FE2CDD2"/>
    <w:p w:rsidR="0074639F" w14:paraId="0AFEAC7C" w14:textId="672BD78D"/>
    <w:p w:rsidR="0074639F" w:rsidP="0074639F" w14:paraId="4F1FD850" w14:textId="0194EA90">
      <w:pPr>
        <w:jc w:val="center"/>
      </w:pPr>
      <w:r>
        <w:t xml:space="preserve">APPENDIX </w:t>
      </w:r>
    </w:p>
    <w:p w:rsidR="0074639F" w:rsidP="0074639F" w14:paraId="40AB1176" w14:textId="77777777">
      <w:pPr>
        <w:jc w:val="center"/>
      </w:pPr>
    </w:p>
    <w:p w:rsidR="0074639F" w:rsidP="0074639F" w14:paraId="13BA55B9" w14:textId="7F10D6FA">
      <w:pPr>
        <w:jc w:val="center"/>
      </w:pPr>
      <w:r>
        <w:t>900 MHZ BROADBAND SEGMENT LICENSES</w:t>
      </w:r>
    </w:p>
    <w:p w:rsidR="00387C1C" w:rsidP="0074639F" w14:paraId="4414327A" w14:textId="77777777">
      <w:pPr>
        <w:jc w:val="center"/>
      </w:pPr>
    </w:p>
    <w:p w:rsidR="0074639F" w:rsidP="0074639F" w14:paraId="6E7759D2" w14:textId="55E13D53">
      <w:pPr>
        <w:jc w:val="center"/>
      </w:pPr>
      <w:r>
        <w:t xml:space="preserve"> APPLICATIONS GRANTED </w:t>
      </w:r>
    </w:p>
    <w:p w:rsidR="00387C1C" w:rsidP="0074639F" w14:paraId="3CFA6C2C" w14:textId="77777777">
      <w:pPr>
        <w:jc w:val="center"/>
      </w:pPr>
    </w:p>
    <w:p w:rsidR="0074639F" w:rsidP="0074639F" w14:paraId="73BDAF4B" w14:textId="77777777">
      <w:pPr>
        <w:jc w:val="center"/>
      </w:pPr>
      <w:r>
        <w:t>SORTED BY LICENSEE</w:t>
      </w:r>
    </w:p>
    <w:p w:rsidR="0074639F" w14:paraId="17F93981" w14:textId="0E06A85D"/>
    <w:tbl>
      <w:tblPr>
        <w:tblStyle w:val="TableGrid"/>
        <w:tblpPr w:leftFromText="180" w:rightFromText="180" w:vertAnchor="page" w:horzAnchor="margin" w:tblpXSpec="center" w:tblpY="4261"/>
        <w:tblW w:w="0" w:type="auto"/>
        <w:tblLayout w:type="fixed"/>
        <w:tblLook w:val="04A0"/>
      </w:tblPr>
      <w:tblGrid>
        <w:gridCol w:w="1944"/>
        <w:gridCol w:w="1291"/>
        <w:gridCol w:w="1260"/>
        <w:gridCol w:w="1530"/>
        <w:gridCol w:w="1440"/>
        <w:gridCol w:w="1440"/>
      </w:tblGrid>
      <w:tr w14:paraId="56CF47A3" w14:textId="77777777" w:rsidTr="00B01B2C">
        <w:tblPrEx>
          <w:tblW w:w="0" w:type="auto"/>
          <w:tblLayout w:type="fixed"/>
          <w:tblLook w:val="04A0"/>
        </w:tblPrEx>
        <w:tc>
          <w:tcPr>
            <w:tcW w:w="1944" w:type="dxa"/>
          </w:tcPr>
          <w:p w:rsidR="00E5150C" w:rsidRPr="003A1051" w:rsidP="00B01B2C" w14:paraId="7EFE3310" w14:textId="77777777">
            <w:pPr>
              <w:rPr>
                <w:sz w:val="20"/>
                <w:szCs w:val="20"/>
              </w:rPr>
            </w:pPr>
            <w:r w:rsidRPr="003A1051">
              <w:rPr>
                <w:sz w:val="20"/>
                <w:szCs w:val="20"/>
              </w:rPr>
              <w:t>Licensee Name</w:t>
            </w:r>
          </w:p>
        </w:tc>
        <w:tc>
          <w:tcPr>
            <w:tcW w:w="1291" w:type="dxa"/>
          </w:tcPr>
          <w:p w:rsidR="00E5150C" w:rsidRPr="003A1051" w:rsidP="00B01B2C" w14:paraId="78F9F507" w14:textId="77777777">
            <w:pPr>
              <w:rPr>
                <w:sz w:val="20"/>
                <w:szCs w:val="20"/>
              </w:rPr>
            </w:pPr>
            <w:r w:rsidRPr="003A1051">
              <w:rPr>
                <w:sz w:val="20"/>
                <w:szCs w:val="20"/>
              </w:rPr>
              <w:t>File Number</w:t>
            </w:r>
          </w:p>
        </w:tc>
        <w:tc>
          <w:tcPr>
            <w:tcW w:w="1260" w:type="dxa"/>
          </w:tcPr>
          <w:p w:rsidR="00E5150C" w:rsidRPr="003A1051" w:rsidP="00B01B2C" w14:paraId="283A1670" w14:textId="77777777">
            <w:pPr>
              <w:rPr>
                <w:sz w:val="20"/>
                <w:szCs w:val="20"/>
              </w:rPr>
            </w:pPr>
            <w:r w:rsidRPr="003A1051">
              <w:rPr>
                <w:sz w:val="20"/>
                <w:szCs w:val="20"/>
              </w:rPr>
              <w:t>FRN</w:t>
            </w:r>
          </w:p>
        </w:tc>
        <w:tc>
          <w:tcPr>
            <w:tcW w:w="1530" w:type="dxa"/>
          </w:tcPr>
          <w:p w:rsidR="00E5150C" w:rsidRPr="003A1051" w:rsidP="00B01B2C" w14:paraId="577B9B21" w14:textId="77777777">
            <w:pPr>
              <w:rPr>
                <w:sz w:val="20"/>
                <w:szCs w:val="20"/>
              </w:rPr>
            </w:pPr>
            <w:r w:rsidRPr="003A1051">
              <w:rPr>
                <w:sz w:val="20"/>
                <w:szCs w:val="20"/>
              </w:rPr>
              <w:t>Market</w:t>
            </w:r>
            <w:r>
              <w:rPr>
                <w:sz w:val="20"/>
                <w:szCs w:val="20"/>
              </w:rPr>
              <w:t>/County</w:t>
            </w:r>
            <w:r w:rsidRPr="003A1051">
              <w:rPr>
                <w:sz w:val="20"/>
                <w:szCs w:val="20"/>
              </w:rPr>
              <w:t xml:space="preserve"> Number (FIPS)</w:t>
            </w:r>
          </w:p>
        </w:tc>
        <w:tc>
          <w:tcPr>
            <w:tcW w:w="1440" w:type="dxa"/>
          </w:tcPr>
          <w:p w:rsidR="00E5150C" w:rsidRPr="003A1051" w:rsidP="00B01B2C" w14:paraId="3BFB3607" w14:textId="77777777">
            <w:pPr>
              <w:rPr>
                <w:sz w:val="20"/>
                <w:szCs w:val="20"/>
              </w:rPr>
            </w:pPr>
            <w:r w:rsidRPr="003A1051">
              <w:rPr>
                <w:sz w:val="20"/>
                <w:szCs w:val="20"/>
              </w:rPr>
              <w:t>Market Description</w:t>
            </w:r>
          </w:p>
        </w:tc>
        <w:tc>
          <w:tcPr>
            <w:tcW w:w="1440" w:type="dxa"/>
          </w:tcPr>
          <w:p w:rsidR="00E5150C" w:rsidRPr="003A1051" w:rsidP="00B01B2C" w14:paraId="2F5479BE" w14:textId="77777777">
            <w:pPr>
              <w:rPr>
                <w:sz w:val="20"/>
                <w:szCs w:val="20"/>
              </w:rPr>
            </w:pPr>
            <w:r w:rsidRPr="003A1051">
              <w:rPr>
                <w:sz w:val="20"/>
                <w:szCs w:val="20"/>
              </w:rPr>
              <w:t>Mandatory Relocation</w:t>
            </w:r>
            <w:r>
              <w:rPr>
                <w:rStyle w:val="FootnoteReference"/>
                <w:sz w:val="20"/>
                <w:szCs w:val="20"/>
              </w:rPr>
              <w:footnoteReference w:id="9"/>
            </w:r>
          </w:p>
        </w:tc>
      </w:tr>
      <w:tr w14:paraId="62721EA2" w14:textId="77777777" w:rsidTr="00B01B2C">
        <w:tblPrEx>
          <w:tblW w:w="0" w:type="auto"/>
          <w:tblLayout w:type="fixed"/>
          <w:tblLook w:val="04A0"/>
        </w:tblPrEx>
        <w:tc>
          <w:tcPr>
            <w:tcW w:w="1944" w:type="dxa"/>
          </w:tcPr>
          <w:p w:rsidR="00E5150C" w:rsidRPr="003A1051" w:rsidP="00B01B2C" w14:paraId="68FC1B58" w14:textId="77777777">
            <w:pPr>
              <w:rPr>
                <w:sz w:val="20"/>
                <w:szCs w:val="20"/>
              </w:rPr>
            </w:pPr>
            <w:r w:rsidRPr="003A1051">
              <w:rPr>
                <w:sz w:val="20"/>
                <w:szCs w:val="20"/>
              </w:rPr>
              <w:t>PDV Spectrum Holding Company, LLC</w:t>
            </w:r>
          </w:p>
        </w:tc>
        <w:tc>
          <w:tcPr>
            <w:tcW w:w="1291" w:type="dxa"/>
          </w:tcPr>
          <w:p w:rsidR="00E5150C" w:rsidP="00B01B2C" w14:paraId="2AB1E4B9" w14:textId="621DD08E">
            <w:pPr>
              <w:rPr>
                <w:sz w:val="20"/>
                <w:szCs w:val="20"/>
              </w:rPr>
            </w:pPr>
            <w:r>
              <w:rPr>
                <w:sz w:val="20"/>
                <w:szCs w:val="20"/>
              </w:rPr>
              <w:t>0010106424</w:t>
            </w:r>
          </w:p>
        </w:tc>
        <w:tc>
          <w:tcPr>
            <w:tcW w:w="1260" w:type="dxa"/>
          </w:tcPr>
          <w:p w:rsidR="00E5150C" w:rsidRPr="003A1051" w:rsidP="00B01B2C" w14:paraId="05A05A50" w14:textId="77777777">
            <w:pPr>
              <w:rPr>
                <w:sz w:val="20"/>
                <w:szCs w:val="20"/>
              </w:rPr>
            </w:pPr>
            <w:r w:rsidRPr="003A1051">
              <w:rPr>
                <w:sz w:val="20"/>
                <w:szCs w:val="20"/>
              </w:rPr>
              <w:t>0023948573</w:t>
            </w:r>
          </w:p>
        </w:tc>
        <w:tc>
          <w:tcPr>
            <w:tcW w:w="1530" w:type="dxa"/>
          </w:tcPr>
          <w:p w:rsidR="00E5150C" w:rsidRPr="00786B85" w:rsidP="00B01B2C" w14:paraId="73B55F04" w14:textId="78FF36A8">
            <w:pPr>
              <w:rPr>
                <w:sz w:val="20"/>
                <w:szCs w:val="20"/>
              </w:rPr>
            </w:pPr>
            <w:r w:rsidRPr="007F0C3D">
              <w:rPr>
                <w:sz w:val="20"/>
                <w:szCs w:val="20"/>
              </w:rPr>
              <w:t>D</w:t>
            </w:r>
            <w:r w:rsidRPr="007F0C3D" w:rsidR="00752568">
              <w:rPr>
                <w:sz w:val="20"/>
                <w:szCs w:val="20"/>
              </w:rPr>
              <w:t>4</w:t>
            </w:r>
            <w:r w:rsidRPr="007F0C3D" w:rsidR="007F0C3D">
              <w:rPr>
                <w:sz w:val="20"/>
                <w:szCs w:val="20"/>
              </w:rPr>
              <w:t>2029</w:t>
            </w:r>
          </w:p>
        </w:tc>
        <w:tc>
          <w:tcPr>
            <w:tcW w:w="1440" w:type="dxa"/>
          </w:tcPr>
          <w:p w:rsidR="00E5150C" w:rsidP="00B01B2C" w14:paraId="100AFFE3" w14:textId="193A87CD">
            <w:pPr>
              <w:rPr>
                <w:sz w:val="20"/>
                <w:szCs w:val="20"/>
              </w:rPr>
            </w:pPr>
            <w:r>
              <w:rPr>
                <w:sz w:val="20"/>
                <w:szCs w:val="20"/>
              </w:rPr>
              <w:t>Chester</w:t>
            </w:r>
            <w:r>
              <w:rPr>
                <w:sz w:val="20"/>
                <w:szCs w:val="20"/>
              </w:rPr>
              <w:t xml:space="preserve"> County, </w:t>
            </w:r>
            <w:r>
              <w:rPr>
                <w:sz w:val="20"/>
                <w:szCs w:val="20"/>
              </w:rPr>
              <w:t>PA</w:t>
            </w:r>
          </w:p>
        </w:tc>
        <w:tc>
          <w:tcPr>
            <w:tcW w:w="1440" w:type="dxa"/>
          </w:tcPr>
          <w:p w:rsidR="00E5150C" w:rsidRPr="003A1051" w:rsidP="00B01B2C" w14:paraId="11075C71" w14:textId="77777777">
            <w:pPr>
              <w:rPr>
                <w:sz w:val="20"/>
                <w:szCs w:val="20"/>
              </w:rPr>
            </w:pPr>
            <w:r w:rsidRPr="003A1051">
              <w:rPr>
                <w:sz w:val="20"/>
                <w:szCs w:val="20"/>
              </w:rPr>
              <w:t>N/A</w:t>
            </w:r>
          </w:p>
        </w:tc>
      </w:tr>
    </w:tbl>
    <w:p w:rsidR="00E5150C" w14:paraId="3075ACD6"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7A2ADF">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4489" w14:paraId="73840E6D" w14:textId="77777777">
      <w:r>
        <w:separator/>
      </w:r>
    </w:p>
  </w:footnote>
  <w:footnote w:type="continuationSeparator" w:id="1">
    <w:p w:rsidR="00074489" w14:paraId="6FE426E8" w14:textId="77777777">
      <w:pPr>
        <w:rPr>
          <w:sz w:val="20"/>
        </w:rPr>
      </w:pPr>
      <w:r>
        <w:rPr>
          <w:sz w:val="20"/>
        </w:rPr>
        <w:t xml:space="preserve">(Continued from previous page)  </w:t>
      </w:r>
      <w:r>
        <w:rPr>
          <w:sz w:val="20"/>
        </w:rPr>
        <w:separator/>
      </w:r>
    </w:p>
  </w:footnote>
  <w:footnote w:type="continuationNotice" w:id="2">
    <w:p w:rsidR="00074489" w14:paraId="3679941A" w14:textId="77777777">
      <w:pPr>
        <w:jc w:val="right"/>
        <w:rPr>
          <w:sz w:val="20"/>
        </w:rPr>
      </w:pPr>
      <w:r>
        <w:rPr>
          <w:sz w:val="20"/>
        </w:rPr>
        <w:t>(continued….)</w:t>
      </w:r>
    </w:p>
  </w:footnote>
  <w:footnote w:id="3">
    <w:p w:rsidR="00222633" w:rsidP="00222633" w14:paraId="56E9921E" w14:textId="29B90009">
      <w:pPr>
        <w:pStyle w:val="FootnoteText"/>
      </w:pPr>
      <w:r>
        <w:rPr>
          <w:rStyle w:val="FootnoteReference"/>
        </w:rPr>
        <w:footnoteRef/>
      </w:r>
      <w:r>
        <w:t xml:space="preserve"> </w:t>
      </w:r>
      <w:r w:rsidRPr="00D60D75">
        <w:rPr>
          <w:i/>
        </w:rPr>
        <w:t>Review of the Commission’s Rules Governing the 896-901/935-940 MHz Band</w:t>
      </w:r>
      <w:r>
        <w:t xml:space="preserve">, WT Docket No. </w:t>
      </w:r>
      <w:r w:rsidR="00C9350E">
        <w:t>17-200</w:t>
      </w:r>
      <w:r>
        <w:t xml:space="preserve">, Report and Order, Order of Proposed Modification, and Order, </w:t>
      </w:r>
      <w:r w:rsidRPr="00D60D75">
        <w:t xml:space="preserve">35 FCC </w:t>
      </w:r>
      <w:r w:rsidRPr="00D60D75">
        <w:t>Rcd</w:t>
      </w:r>
      <w:r w:rsidRPr="00D60D75">
        <w:t xml:space="preserve"> 5183 </w:t>
      </w:r>
      <w:r>
        <w:t>(</w:t>
      </w:r>
      <w:r w:rsidRPr="005A736D">
        <w:t>20</w:t>
      </w:r>
      <w:r>
        <w:t>20) (</w:t>
      </w:r>
      <w:r>
        <w:rPr>
          <w:i/>
          <w:iCs/>
        </w:rPr>
        <w:t>900 MHz Report and Order</w:t>
      </w:r>
      <w:r>
        <w:t xml:space="preserve">).  </w:t>
      </w:r>
    </w:p>
  </w:footnote>
  <w:footnote w:id="4">
    <w:p w:rsidR="00222633" w:rsidP="00222633" w14:paraId="59977DB6" w14:textId="77777777">
      <w:pPr>
        <w:pStyle w:val="FootnoteText"/>
      </w:pPr>
      <w:r>
        <w:rPr>
          <w:rStyle w:val="FootnoteReference"/>
        </w:rPr>
        <w:footnoteRef/>
      </w:r>
      <w:r>
        <w:t xml:space="preserve"> </w:t>
      </w:r>
      <w:r w:rsidRPr="004E0A0C">
        <w:rPr>
          <w:i/>
          <w:iCs/>
        </w:rPr>
        <w:t>900 MHz Report and Order</w:t>
      </w:r>
      <w:r>
        <w:t xml:space="preserve">, 35 FCC </w:t>
      </w:r>
      <w:r>
        <w:t>Rcd</w:t>
      </w:r>
      <w:r w:rsidRPr="004E0A0C">
        <w:t xml:space="preserve"> at</w:t>
      </w:r>
      <w:r>
        <w:t xml:space="preserve"> 5229,</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w:t>
      </w:r>
      <w:r w:rsidRPr="009F4378" w:rsidR="009F4378">
        <w:t>Rcd</w:t>
      </w:r>
      <w:r w:rsidRPr="009F4378" w:rsidR="009F4378">
        <w:t xml:space="preserve">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w:t>
      </w:r>
      <w:r>
        <w:t>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 xml:space="preserve">35 FCC </w:t>
      </w:r>
      <w:r w:rsidRPr="00D60D75">
        <w:t>Rcd</w:t>
      </w:r>
      <w:r w:rsidRPr="00D60D75">
        <w:t xml:space="preserve"> 5183</w:t>
      </w:r>
      <w:r>
        <w:t xml:space="preserve">; </w:t>
      </w:r>
      <w:r>
        <w:rPr>
          <w:i/>
          <w:iCs/>
        </w:rPr>
        <w:t>900 MHz Broadband Segment Applications Public Notice</w:t>
      </w:r>
      <w:r w:rsidRPr="00A27536">
        <w:t>.</w:t>
      </w:r>
    </w:p>
  </w:footnote>
  <w:footnote w:id="9">
    <w:p w:rsidR="00E5150C" w:rsidP="00E5150C" w14:paraId="141281B1" w14:textId="77777777">
      <w:pPr>
        <w:pStyle w:val="FootnoteText"/>
      </w:pPr>
      <w:r>
        <w:rPr>
          <w:rStyle w:val="FootnoteReference"/>
        </w:rPr>
        <w:footnoteRef/>
      </w:r>
      <w:r>
        <w:t xml:space="preserve"> </w:t>
      </w:r>
      <w:r w:rsidRPr="003A1051">
        <w:t xml:space="preserve">Section 27.1504 permits a broadband licensee to relocate mandatorily certain incumbents from the 900 MHz broadband section.  </w:t>
      </w:r>
      <w:r>
        <w:t>Incumbent licensees identified for mandatory relocation by new licensees will appear in this column.  When there are no incumbent licensees identified for mandatory relocation, N/A will appear.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0C6C75D7">
    <w:pPr>
      <w:tabs>
        <w:tab w:val="center" w:pos="4680"/>
        <w:tab w:val="right" w:pos="9360"/>
      </w:tabs>
    </w:pPr>
    <w:r>
      <w:rPr>
        <w:b/>
      </w:rPr>
      <w:tab/>
    </w:r>
    <w:r>
      <w:rPr>
        <w:b/>
      </w:rPr>
      <w:t>Federal Communications Commission</w:t>
    </w:r>
    <w:r>
      <w:rPr>
        <w:b/>
      </w:rPr>
      <w:tab/>
    </w:r>
    <w:r w:rsidR="00116F1C">
      <w:rPr>
        <w:b/>
      </w:rPr>
      <w:t xml:space="preserve">DA </w:t>
    </w:r>
    <w:r w:rsidR="0030199D">
      <w:rPr>
        <w:b/>
      </w:rPr>
      <w:t>2</w:t>
    </w:r>
    <w:r w:rsidR="007A2ADF">
      <w:rPr>
        <w:b/>
      </w:rPr>
      <w:t>3</w:t>
    </w:r>
    <w:r w:rsidR="0030199D">
      <w:rPr>
        <w:b/>
      </w:rPr>
      <w:t>-</w:t>
    </w:r>
    <w:r w:rsidR="007A2ADF">
      <w:rPr>
        <w:b/>
      </w:rPr>
      <w:t>284</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06C4E"/>
    <w:rsid w:val="000240BF"/>
    <w:rsid w:val="00025AC7"/>
    <w:rsid w:val="00051215"/>
    <w:rsid w:val="00074489"/>
    <w:rsid w:val="00087E7B"/>
    <w:rsid w:val="000C7B5C"/>
    <w:rsid w:val="00116891"/>
    <w:rsid w:val="00116F1C"/>
    <w:rsid w:val="00163149"/>
    <w:rsid w:val="001A686C"/>
    <w:rsid w:val="001C221C"/>
    <w:rsid w:val="001D08F6"/>
    <w:rsid w:val="001E390B"/>
    <w:rsid w:val="001F0D0F"/>
    <w:rsid w:val="001F6A23"/>
    <w:rsid w:val="00215C22"/>
    <w:rsid w:val="002205FC"/>
    <w:rsid w:val="00222633"/>
    <w:rsid w:val="00252B72"/>
    <w:rsid w:val="00295B09"/>
    <w:rsid w:val="002B496D"/>
    <w:rsid w:val="0030199D"/>
    <w:rsid w:val="00310BEF"/>
    <w:rsid w:val="00315744"/>
    <w:rsid w:val="00320B62"/>
    <w:rsid w:val="00324844"/>
    <w:rsid w:val="00324B6D"/>
    <w:rsid w:val="00387C1C"/>
    <w:rsid w:val="003A1051"/>
    <w:rsid w:val="003A5387"/>
    <w:rsid w:val="00425D3D"/>
    <w:rsid w:val="00450D1C"/>
    <w:rsid w:val="00470B50"/>
    <w:rsid w:val="00471EE7"/>
    <w:rsid w:val="004868F2"/>
    <w:rsid w:val="004B207D"/>
    <w:rsid w:val="004B7900"/>
    <w:rsid w:val="004D26A4"/>
    <w:rsid w:val="004E0A0C"/>
    <w:rsid w:val="00517C90"/>
    <w:rsid w:val="005A736D"/>
    <w:rsid w:val="005B02D9"/>
    <w:rsid w:val="005D452F"/>
    <w:rsid w:val="0064347E"/>
    <w:rsid w:val="00660BA7"/>
    <w:rsid w:val="006624A6"/>
    <w:rsid w:val="00685677"/>
    <w:rsid w:val="006B4CA4"/>
    <w:rsid w:val="006E33E4"/>
    <w:rsid w:val="006E5638"/>
    <w:rsid w:val="007151E0"/>
    <w:rsid w:val="00736946"/>
    <w:rsid w:val="007422D9"/>
    <w:rsid w:val="0074639F"/>
    <w:rsid w:val="00752568"/>
    <w:rsid w:val="00786B85"/>
    <w:rsid w:val="007A2ADF"/>
    <w:rsid w:val="007D0DA8"/>
    <w:rsid w:val="007F0C3D"/>
    <w:rsid w:val="008026BC"/>
    <w:rsid w:val="008252BC"/>
    <w:rsid w:val="00841774"/>
    <w:rsid w:val="00862FE3"/>
    <w:rsid w:val="00871281"/>
    <w:rsid w:val="008A14E1"/>
    <w:rsid w:val="00905BB8"/>
    <w:rsid w:val="00927935"/>
    <w:rsid w:val="0095764A"/>
    <w:rsid w:val="00975104"/>
    <w:rsid w:val="00976986"/>
    <w:rsid w:val="009A172D"/>
    <w:rsid w:val="009A2339"/>
    <w:rsid w:val="009B09B6"/>
    <w:rsid w:val="009D57A7"/>
    <w:rsid w:val="009E7F56"/>
    <w:rsid w:val="009F4378"/>
    <w:rsid w:val="00A01D93"/>
    <w:rsid w:val="00A27536"/>
    <w:rsid w:val="00A51D1D"/>
    <w:rsid w:val="00AB4DFC"/>
    <w:rsid w:val="00AE010F"/>
    <w:rsid w:val="00B01B2C"/>
    <w:rsid w:val="00B313D0"/>
    <w:rsid w:val="00B32DA2"/>
    <w:rsid w:val="00B77444"/>
    <w:rsid w:val="00B9778E"/>
    <w:rsid w:val="00BA1099"/>
    <w:rsid w:val="00BC3C63"/>
    <w:rsid w:val="00BC5D3F"/>
    <w:rsid w:val="00BC6B74"/>
    <w:rsid w:val="00C70F33"/>
    <w:rsid w:val="00C71686"/>
    <w:rsid w:val="00C92640"/>
    <w:rsid w:val="00C9350E"/>
    <w:rsid w:val="00C97298"/>
    <w:rsid w:val="00CA58AF"/>
    <w:rsid w:val="00CC4044"/>
    <w:rsid w:val="00CD008A"/>
    <w:rsid w:val="00D229B0"/>
    <w:rsid w:val="00D4001A"/>
    <w:rsid w:val="00D60D75"/>
    <w:rsid w:val="00D86615"/>
    <w:rsid w:val="00DA186F"/>
    <w:rsid w:val="00DA5921"/>
    <w:rsid w:val="00E04611"/>
    <w:rsid w:val="00E21304"/>
    <w:rsid w:val="00E5150C"/>
    <w:rsid w:val="00E524E2"/>
    <w:rsid w:val="00EB2849"/>
    <w:rsid w:val="00EF1C9A"/>
    <w:rsid w:val="00F17AC8"/>
    <w:rsid w:val="00FA3F63"/>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 w:type="table" w:styleId="TableGrid">
    <w:name w:val="Table Grid"/>
    <w:basedOn w:val="TableNormal"/>
    <w:uiPriority w:val="39"/>
    <w:rsid w:val="007463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