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6E233DBF"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D51D0" w:rsidP="00ED51D0" w14:paraId="5904AAD7" w14:textId="25DDC67F">
      <w:pPr>
        <w:widowControl w:val="0"/>
        <w:jc w:val="right"/>
        <w:rPr>
          <w:b/>
          <w:snapToGrid w:val="0"/>
          <w:kern w:val="28"/>
          <w:szCs w:val="22"/>
        </w:rPr>
      </w:pPr>
      <w:bookmarkStart w:id="1" w:name="_Hlk26280526"/>
      <w:bookmarkStart w:id="2" w:name="_Hlk64383480"/>
      <w:r w:rsidRPr="00CB6B4E">
        <w:rPr>
          <w:b/>
          <w:snapToGrid w:val="0"/>
          <w:kern w:val="28"/>
          <w:szCs w:val="22"/>
        </w:rPr>
        <w:t>DA 2</w:t>
      </w:r>
      <w:r w:rsidR="0075392E">
        <w:rPr>
          <w:b/>
          <w:snapToGrid w:val="0"/>
          <w:kern w:val="28"/>
          <w:szCs w:val="22"/>
        </w:rPr>
        <w:t>3</w:t>
      </w:r>
      <w:r w:rsidRPr="00CB6B4E">
        <w:rPr>
          <w:b/>
          <w:snapToGrid w:val="0"/>
          <w:kern w:val="28"/>
          <w:szCs w:val="22"/>
        </w:rPr>
        <w:t>-</w:t>
      </w:r>
      <w:r w:rsidR="0043418D">
        <w:rPr>
          <w:b/>
          <w:snapToGrid w:val="0"/>
          <w:kern w:val="28"/>
          <w:szCs w:val="22"/>
        </w:rPr>
        <w:t>292</w:t>
      </w:r>
    </w:p>
    <w:p w:rsidR="00AD440B" w:rsidRPr="00CB6B4E" w:rsidP="00ED51D0" w14:paraId="231AEE06" w14:textId="5DF2043A">
      <w:pPr>
        <w:widowControl w:val="0"/>
        <w:jc w:val="right"/>
        <w:rPr>
          <w:b/>
          <w:snapToGrid w:val="0"/>
          <w:kern w:val="28"/>
          <w:szCs w:val="22"/>
        </w:rPr>
      </w:pPr>
      <w:r w:rsidRPr="00CB6B4E">
        <w:rPr>
          <w:b/>
          <w:snapToGrid w:val="0"/>
          <w:kern w:val="28"/>
          <w:szCs w:val="22"/>
        </w:rPr>
        <w:t xml:space="preserve">Released:  </w:t>
      </w:r>
      <w:r w:rsidR="009D57E7">
        <w:rPr>
          <w:b/>
          <w:snapToGrid w:val="0"/>
          <w:kern w:val="28"/>
          <w:szCs w:val="22"/>
        </w:rPr>
        <w:t xml:space="preserve">April </w:t>
      </w:r>
      <w:r w:rsidR="0043418D">
        <w:rPr>
          <w:b/>
          <w:snapToGrid w:val="0"/>
          <w:kern w:val="28"/>
          <w:szCs w:val="22"/>
        </w:rPr>
        <w:t>4</w:t>
      </w:r>
      <w:r w:rsidRPr="00CB6B4E">
        <w:rPr>
          <w:b/>
          <w:snapToGrid w:val="0"/>
          <w:kern w:val="28"/>
          <w:szCs w:val="22"/>
        </w:rPr>
        <w:t>, 202</w:t>
      </w:r>
      <w:r w:rsidR="0075392E">
        <w:rPr>
          <w:b/>
          <w:snapToGrid w:val="0"/>
          <w:kern w:val="28"/>
          <w:szCs w:val="22"/>
        </w:rPr>
        <w:t>3</w:t>
      </w:r>
    </w:p>
    <w:p w:rsidR="00AD440B" w:rsidRPr="00CB6B4E" w:rsidP="00AD440B" w14:paraId="5B2A0F94" w14:textId="77777777">
      <w:pPr>
        <w:widowControl w:val="0"/>
        <w:spacing w:before="60"/>
        <w:jc w:val="center"/>
        <w:rPr>
          <w:b/>
          <w:snapToGrid w:val="0"/>
          <w:kern w:val="28"/>
          <w:szCs w:val="22"/>
        </w:rPr>
      </w:pPr>
    </w:p>
    <w:p w:rsidR="001736D0" w:rsidRPr="00FA453A" w:rsidP="0028620E" w14:paraId="3E6679AE" w14:textId="4EBC15B6">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w:t>
      </w:r>
      <w:r w:rsidR="0060110D">
        <w:rPr>
          <w:b/>
          <w:bCs/>
          <w:szCs w:val="22"/>
        </w:rPr>
        <w:t>FOR THE TRANSFER OF CONTROL OF</w:t>
      </w:r>
      <w:r w:rsidRPr="00542146" w:rsidR="00542146">
        <w:rPr>
          <w:szCs w:val="22"/>
        </w:rPr>
        <w:t xml:space="preserve"> </w:t>
      </w:r>
      <w:r w:rsidRPr="00542146" w:rsidR="007F55F8">
        <w:rPr>
          <w:b/>
          <w:bCs/>
          <w:szCs w:val="22"/>
        </w:rPr>
        <w:t>INTERMOUNTAIN INFRASTRUCTURE GROUP, LLC</w:t>
      </w:r>
      <w:r w:rsidR="007F55F8">
        <w:rPr>
          <w:b/>
          <w:bCs/>
          <w:szCs w:val="22"/>
        </w:rPr>
        <w:t xml:space="preserve"> FROM </w:t>
      </w:r>
      <w:r w:rsidRPr="00494BA0" w:rsidR="007F55F8">
        <w:rPr>
          <w:b/>
          <w:bCs/>
          <w:szCs w:val="22"/>
        </w:rPr>
        <w:t>JEFFREY YOUNT</w:t>
      </w:r>
      <w:r w:rsidR="007F55F8">
        <w:rPr>
          <w:b/>
          <w:bCs/>
          <w:szCs w:val="22"/>
        </w:rPr>
        <w:t xml:space="preserve"> TO</w:t>
      </w:r>
      <w:r w:rsidRPr="00CD323B" w:rsidR="007F55F8">
        <w:rPr>
          <w:b/>
          <w:bCs/>
          <w:szCs w:val="22"/>
        </w:rPr>
        <w:t xml:space="preserve"> </w:t>
      </w:r>
      <w:r w:rsidRPr="00494BA0" w:rsidR="007F55F8">
        <w:rPr>
          <w:b/>
          <w:bCs/>
          <w:szCs w:val="22"/>
        </w:rPr>
        <w:t xml:space="preserve">WRA II-PIONEER (S) LLC </w:t>
      </w:r>
      <w:r w:rsidRPr="00CD323B" w:rsidR="007F55F8">
        <w:rPr>
          <w:b/>
          <w:bCs/>
          <w:szCs w:val="22"/>
        </w:rPr>
        <w:t xml:space="preserve"> </w:t>
      </w:r>
    </w:p>
    <w:p w:rsidR="00AD440B" w:rsidRPr="00AD440B" w:rsidP="00AD440B" w14:paraId="7C56D78F" w14:textId="77777777">
      <w:pPr>
        <w:jc w:val="center"/>
        <w:rPr>
          <w:b/>
          <w:bCs/>
          <w:szCs w:val="22"/>
        </w:rPr>
      </w:pPr>
      <w:r w:rsidRPr="00AD440B">
        <w:rPr>
          <w:b/>
          <w:bCs/>
          <w:caps/>
          <w:szCs w:val="22"/>
        </w:rPr>
        <w:t xml:space="preserve"> </w:t>
      </w:r>
    </w:p>
    <w:p w:rsidR="00AD440B" w:rsidP="0055505D" w14:paraId="2A987080" w14:textId="7388A76E">
      <w:pPr>
        <w:jc w:val="center"/>
        <w:rPr>
          <w:b/>
          <w:szCs w:val="22"/>
        </w:rPr>
      </w:pPr>
      <w:r w:rsidRPr="00277153">
        <w:rPr>
          <w:b/>
          <w:szCs w:val="22"/>
        </w:rPr>
        <w:t>NON-</w:t>
      </w:r>
      <w:r w:rsidRPr="00277153" w:rsidR="007F3103">
        <w:rPr>
          <w:b/>
          <w:szCs w:val="22"/>
        </w:rPr>
        <w:t>STREAMLINED PLEADING CYCLE ESTABLISHED</w:t>
      </w:r>
    </w:p>
    <w:p w:rsidR="00031C8B" w:rsidRPr="0055505D" w:rsidP="0055505D" w14:paraId="3520B98A" w14:textId="77777777">
      <w:pPr>
        <w:jc w:val="center"/>
        <w:rPr>
          <w:b/>
          <w:szCs w:val="22"/>
        </w:rPr>
      </w:pPr>
    </w:p>
    <w:p w:rsidR="00AD440B" w:rsidRPr="00AD440B" w:rsidP="00AD440B" w14:paraId="437AB135" w14:textId="5424FC03">
      <w:pPr>
        <w:widowControl w:val="0"/>
        <w:spacing w:before="60"/>
        <w:jc w:val="center"/>
        <w:rPr>
          <w:b/>
          <w:snapToGrid w:val="0"/>
          <w:kern w:val="28"/>
          <w:szCs w:val="22"/>
        </w:rPr>
      </w:pPr>
      <w:r w:rsidRPr="004F1C11">
        <w:rPr>
          <w:b/>
          <w:snapToGrid w:val="0"/>
          <w:kern w:val="28"/>
          <w:szCs w:val="22"/>
        </w:rPr>
        <w:t xml:space="preserve">WC Docket No. </w:t>
      </w:r>
      <w:r w:rsidRPr="000746B6">
        <w:rPr>
          <w:b/>
          <w:snapToGrid w:val="0"/>
          <w:kern w:val="28"/>
          <w:szCs w:val="22"/>
        </w:rPr>
        <w:t>2</w:t>
      </w:r>
      <w:r w:rsidRPr="000746B6" w:rsidR="0075392E">
        <w:rPr>
          <w:b/>
          <w:snapToGrid w:val="0"/>
          <w:kern w:val="28"/>
          <w:szCs w:val="22"/>
        </w:rPr>
        <w:t>3</w:t>
      </w:r>
      <w:r w:rsidRPr="000746B6">
        <w:rPr>
          <w:b/>
          <w:snapToGrid w:val="0"/>
          <w:kern w:val="28"/>
          <w:szCs w:val="22"/>
        </w:rPr>
        <w:t>-</w:t>
      </w:r>
      <w:r w:rsidR="00235F0E">
        <w:rPr>
          <w:b/>
          <w:snapToGrid w:val="0"/>
          <w:kern w:val="28"/>
          <w:szCs w:val="22"/>
        </w:rPr>
        <w:t>85</w:t>
      </w:r>
    </w:p>
    <w:p w:rsidR="00E94F15" w:rsidP="00AD440B" w14:paraId="54ED226F" w14:textId="77777777">
      <w:pPr>
        <w:rPr>
          <w:b/>
          <w:szCs w:val="22"/>
        </w:rPr>
      </w:pPr>
    </w:p>
    <w:p w:rsidR="00AD440B" w:rsidRPr="00DB1C02" w:rsidP="00AD440B" w14:paraId="284ED08C" w14:textId="7F493DF0">
      <w:pPr>
        <w:rPr>
          <w:b/>
          <w:szCs w:val="22"/>
        </w:rPr>
      </w:pPr>
      <w:r w:rsidRPr="00AD440B">
        <w:rPr>
          <w:b/>
          <w:szCs w:val="22"/>
        </w:rPr>
        <w:t xml:space="preserve">Comments Due:  </w:t>
      </w:r>
      <w:r w:rsidR="00176D10">
        <w:rPr>
          <w:b/>
          <w:szCs w:val="22"/>
        </w:rPr>
        <w:t>April</w:t>
      </w:r>
      <w:r w:rsidR="00BF0215">
        <w:rPr>
          <w:b/>
          <w:szCs w:val="22"/>
        </w:rPr>
        <w:t xml:space="preserve"> </w:t>
      </w:r>
      <w:r w:rsidRPr="00DB1C02" w:rsidR="00176D10">
        <w:rPr>
          <w:b/>
          <w:szCs w:val="22"/>
        </w:rPr>
        <w:t>1</w:t>
      </w:r>
      <w:r w:rsidR="00941B8B">
        <w:rPr>
          <w:b/>
          <w:szCs w:val="22"/>
        </w:rPr>
        <w:t>8</w:t>
      </w:r>
      <w:r w:rsidRPr="00DB1C02">
        <w:rPr>
          <w:b/>
          <w:szCs w:val="22"/>
        </w:rPr>
        <w:t>, 202</w:t>
      </w:r>
      <w:r w:rsidRPr="00DB1C02" w:rsidR="0075392E">
        <w:rPr>
          <w:b/>
          <w:szCs w:val="22"/>
        </w:rPr>
        <w:t>3</w:t>
      </w:r>
      <w:r w:rsidRPr="00DB1C02">
        <w:rPr>
          <w:b/>
          <w:szCs w:val="22"/>
        </w:rPr>
        <w:t xml:space="preserve"> </w:t>
      </w:r>
    </w:p>
    <w:p w:rsidR="00AD440B" w:rsidRPr="00AD440B" w:rsidP="00AD440B" w14:paraId="72A344A0" w14:textId="433F4EEC">
      <w:pPr>
        <w:rPr>
          <w:b/>
          <w:szCs w:val="22"/>
        </w:rPr>
      </w:pPr>
      <w:r w:rsidRPr="00DB1C02">
        <w:rPr>
          <w:b/>
          <w:szCs w:val="22"/>
        </w:rPr>
        <w:t xml:space="preserve">Reply Comment Due:  </w:t>
      </w:r>
      <w:r w:rsidRPr="00DB1C02" w:rsidR="00176D10">
        <w:rPr>
          <w:b/>
          <w:szCs w:val="22"/>
        </w:rPr>
        <w:t>April</w:t>
      </w:r>
      <w:r w:rsidRPr="00DB1C02" w:rsidR="00FA453A">
        <w:rPr>
          <w:b/>
          <w:szCs w:val="22"/>
        </w:rPr>
        <w:t xml:space="preserve"> </w:t>
      </w:r>
      <w:r w:rsidRPr="00DB1C02" w:rsidR="00176D10">
        <w:rPr>
          <w:b/>
          <w:szCs w:val="22"/>
        </w:rPr>
        <w:t>2</w:t>
      </w:r>
      <w:r w:rsidR="00941B8B">
        <w:rPr>
          <w:b/>
          <w:szCs w:val="22"/>
        </w:rPr>
        <w:t>5</w:t>
      </w:r>
      <w:r w:rsidRPr="00DB1C02">
        <w:rPr>
          <w:b/>
          <w:szCs w:val="22"/>
        </w:rPr>
        <w:t>, 202</w:t>
      </w:r>
      <w:r w:rsidRPr="00DB1C02" w:rsidR="0075392E">
        <w:rPr>
          <w:b/>
          <w:szCs w:val="22"/>
        </w:rPr>
        <w:t>3</w:t>
      </w:r>
      <w:r w:rsidRPr="00AD440B">
        <w:rPr>
          <w:b/>
          <w:szCs w:val="22"/>
        </w:rPr>
        <w:t xml:space="preserve"> </w:t>
      </w:r>
    </w:p>
    <w:p w:rsidR="00AD440B" w:rsidRPr="00AD440B" w:rsidP="00AD440B" w14:paraId="7C8CB00C" w14:textId="77777777">
      <w:pPr>
        <w:rPr>
          <w:b/>
          <w:szCs w:val="22"/>
        </w:rPr>
      </w:pPr>
    </w:p>
    <w:p w:rsidR="003570A6" w:rsidP="00707411" w14:paraId="0E687417" w14:textId="31449BD4">
      <w:pPr>
        <w:autoSpaceDE w:val="0"/>
        <w:autoSpaceDN w:val="0"/>
        <w:adjustRightInd w:val="0"/>
        <w:spacing w:after="120"/>
        <w:ind w:firstLine="720"/>
        <w:rPr>
          <w:szCs w:val="22"/>
        </w:rPr>
      </w:pPr>
      <w:r w:rsidRPr="00CD711A">
        <w:rPr>
          <w:szCs w:val="22"/>
        </w:rPr>
        <w:t>By this Public Notice, the Wireline Competition Bureau</w:t>
      </w:r>
      <w:r w:rsidR="0042593D">
        <w:rPr>
          <w:szCs w:val="22"/>
        </w:rPr>
        <w:t xml:space="preserve"> </w:t>
      </w:r>
      <w:r w:rsidRPr="00CD711A">
        <w:rPr>
          <w:szCs w:val="22"/>
        </w:rPr>
        <w:t xml:space="preserve">seeks comment from interested parties on </w:t>
      </w:r>
      <w:r>
        <w:rPr>
          <w:szCs w:val="22"/>
        </w:rPr>
        <w:t xml:space="preserve">an </w:t>
      </w:r>
      <w:r w:rsidRPr="00CD711A">
        <w:rPr>
          <w:szCs w:val="22"/>
        </w:rPr>
        <w:t>application</w:t>
      </w:r>
      <w:r>
        <w:rPr>
          <w:szCs w:val="22"/>
        </w:rPr>
        <w:t xml:space="preserve"> filed by </w:t>
      </w:r>
      <w:bookmarkStart w:id="3" w:name="_Hlk73713070"/>
      <w:bookmarkStart w:id="4" w:name="_Hlk67917977"/>
      <w:r w:rsidRPr="00494BA0" w:rsidR="00494BA0">
        <w:rPr>
          <w:szCs w:val="22"/>
        </w:rPr>
        <w:t xml:space="preserve">Jeffrey </w:t>
      </w:r>
      <w:r w:rsidRPr="00494BA0" w:rsidR="00494BA0">
        <w:rPr>
          <w:szCs w:val="22"/>
        </w:rPr>
        <w:t>Yount</w:t>
      </w:r>
      <w:r w:rsidRPr="00494BA0" w:rsidR="00494BA0">
        <w:rPr>
          <w:szCs w:val="22"/>
        </w:rPr>
        <w:t xml:space="preserve"> (</w:t>
      </w:r>
      <w:r w:rsidRPr="00494BA0" w:rsidR="00494BA0">
        <w:rPr>
          <w:szCs w:val="22"/>
        </w:rPr>
        <w:t>Yount</w:t>
      </w:r>
      <w:r w:rsidRPr="00494BA0" w:rsidR="00494BA0">
        <w:rPr>
          <w:szCs w:val="22"/>
        </w:rPr>
        <w:t xml:space="preserve">), </w:t>
      </w:r>
      <w:bookmarkStart w:id="5" w:name="_Hlk129085488"/>
      <w:r w:rsidRPr="00494BA0" w:rsidR="00494BA0">
        <w:rPr>
          <w:szCs w:val="22"/>
        </w:rPr>
        <w:t>Intermountain Infrastructure Group, LLC</w:t>
      </w:r>
      <w:r w:rsidR="00494BA0">
        <w:rPr>
          <w:szCs w:val="22"/>
        </w:rPr>
        <w:t xml:space="preserve"> </w:t>
      </w:r>
      <w:bookmarkEnd w:id="5"/>
      <w:r w:rsidRPr="00494BA0" w:rsidR="00494BA0">
        <w:rPr>
          <w:szCs w:val="22"/>
        </w:rPr>
        <w:t>(IIG), and WRA II-Pioneer (S) LLC</w:t>
      </w:r>
      <w:r w:rsidR="00527788">
        <w:rPr>
          <w:szCs w:val="22"/>
        </w:rPr>
        <w:t xml:space="preserve"> (</w:t>
      </w:r>
      <w:r w:rsidRPr="00527788" w:rsidR="00527788">
        <w:rPr>
          <w:szCs w:val="22"/>
        </w:rPr>
        <w:t>WRA II</w:t>
      </w:r>
      <w:r w:rsidR="00527788">
        <w:rPr>
          <w:szCs w:val="22"/>
        </w:rPr>
        <w:t>)</w:t>
      </w:r>
      <w:r w:rsidRPr="00707411" w:rsidR="00707411">
        <w:rPr>
          <w:szCs w:val="22"/>
        </w:rPr>
        <w:t xml:space="preserve"> </w:t>
      </w:r>
      <w:r>
        <w:rPr>
          <w:szCs w:val="22"/>
        </w:rPr>
        <w:t>(</w:t>
      </w:r>
      <w:r w:rsidR="00ED6E8F">
        <w:rPr>
          <w:szCs w:val="22"/>
        </w:rPr>
        <w:t>c</w:t>
      </w:r>
      <w:r w:rsidRPr="00ED6E8F" w:rsidR="00ED6E8F">
        <w:rPr>
          <w:szCs w:val="22"/>
        </w:rPr>
        <w:t>ollectively</w:t>
      </w:r>
      <w:r>
        <w:rPr>
          <w:szCs w:val="22"/>
        </w:rPr>
        <w:t>, Applicants),</w:t>
      </w:r>
      <w:r w:rsidRPr="00CD20C1">
        <w:rPr>
          <w:szCs w:val="22"/>
        </w:rPr>
        <w:t xml:space="preserve"> </w:t>
      </w:r>
      <w:r w:rsidRPr="00CD711A">
        <w:rPr>
          <w:szCs w:val="22"/>
        </w:rPr>
        <w:t>pursuant to section 214 of the Communications Act of 1934, as amended, and sections 63.03-04 of the Commission’s rules</w:t>
      </w:r>
      <w:r>
        <w:rPr>
          <w:szCs w:val="22"/>
        </w:rPr>
        <w:t>,</w:t>
      </w:r>
      <w:r>
        <w:rPr>
          <w:rStyle w:val="FootnoteReference"/>
          <w:szCs w:val="22"/>
        </w:rPr>
        <w:footnoteReference w:id="3"/>
      </w:r>
      <w:r>
        <w:rPr>
          <w:szCs w:val="22"/>
        </w:rPr>
        <w:t xml:space="preserve"> requesting consent to transfer </w:t>
      </w:r>
      <w:r w:rsidR="00570DA8">
        <w:rPr>
          <w:szCs w:val="22"/>
        </w:rPr>
        <w:t xml:space="preserve">control of </w:t>
      </w:r>
      <w:r w:rsidRPr="00527788" w:rsidR="00527788">
        <w:rPr>
          <w:szCs w:val="22"/>
        </w:rPr>
        <w:t>IIG</w:t>
      </w:r>
      <w:r w:rsidR="00527788">
        <w:rPr>
          <w:szCs w:val="22"/>
        </w:rPr>
        <w:t xml:space="preserve"> from </w:t>
      </w:r>
      <w:r w:rsidRPr="00527788" w:rsidR="00527788">
        <w:rPr>
          <w:szCs w:val="22"/>
        </w:rPr>
        <w:t>Yount</w:t>
      </w:r>
      <w:r w:rsidR="00527788">
        <w:rPr>
          <w:szCs w:val="22"/>
        </w:rPr>
        <w:t xml:space="preserve"> to</w:t>
      </w:r>
      <w:r w:rsidRPr="00527788" w:rsidR="00527788">
        <w:t xml:space="preserve"> </w:t>
      </w:r>
      <w:r w:rsidRPr="00527788" w:rsidR="00527788">
        <w:rPr>
          <w:szCs w:val="22"/>
        </w:rPr>
        <w:t>WRA II</w:t>
      </w:r>
      <w:r w:rsidR="0055505D">
        <w:rPr>
          <w:szCs w:val="22"/>
        </w:rPr>
        <w:t>.</w:t>
      </w:r>
      <w:bookmarkEnd w:id="3"/>
      <w:bookmarkEnd w:id="4"/>
      <w:r>
        <w:rPr>
          <w:szCs w:val="22"/>
          <w:vertAlign w:val="superscript"/>
        </w:rPr>
        <w:footnoteReference w:id="4"/>
      </w:r>
    </w:p>
    <w:p w:rsidR="00A50A08" w:rsidP="00A50A08" w14:paraId="2D684B90" w14:textId="6107CE42">
      <w:pPr>
        <w:autoSpaceDE w:val="0"/>
        <w:autoSpaceDN w:val="0"/>
        <w:adjustRightInd w:val="0"/>
        <w:spacing w:after="120"/>
        <w:ind w:firstLine="720"/>
        <w:rPr>
          <w:szCs w:val="22"/>
        </w:rPr>
      </w:pPr>
      <w:r>
        <w:rPr>
          <w:szCs w:val="22"/>
        </w:rPr>
        <w:t>IIG</w:t>
      </w:r>
      <w:r w:rsidR="00762664">
        <w:rPr>
          <w:szCs w:val="22"/>
        </w:rPr>
        <w:t>,</w:t>
      </w:r>
      <w:r>
        <w:rPr>
          <w:szCs w:val="22"/>
        </w:rPr>
        <w:t xml:space="preserve"> a Delaware limited liability company</w:t>
      </w:r>
      <w:r w:rsidR="00762664">
        <w:rPr>
          <w:szCs w:val="22"/>
        </w:rPr>
        <w:t>,</w:t>
      </w:r>
      <w:r>
        <w:rPr>
          <w:szCs w:val="22"/>
        </w:rPr>
        <w:t xml:space="preserve"> provides long-haul, regional, and metro fiber network services.</w:t>
      </w:r>
      <w:r>
        <w:rPr>
          <w:rStyle w:val="FootnoteReference"/>
          <w:szCs w:val="22"/>
        </w:rPr>
        <w:footnoteReference w:id="5"/>
      </w:r>
      <w:r w:rsidR="00EE67AB">
        <w:rPr>
          <w:szCs w:val="22"/>
        </w:rPr>
        <w:t xml:space="preserve"> </w:t>
      </w:r>
      <w:r w:rsidRPr="00AD440B" w:rsidR="00EE67AB">
        <w:rPr>
          <w:szCs w:val="22"/>
        </w:rPr>
        <w:t xml:space="preserve"> </w:t>
      </w:r>
      <w:r w:rsidR="00EE67AB">
        <w:rPr>
          <w:szCs w:val="22"/>
        </w:rPr>
        <w:t>I</w:t>
      </w:r>
      <w:r w:rsidRPr="00EE67AB">
        <w:rPr>
          <w:szCs w:val="22"/>
        </w:rPr>
        <w:t xml:space="preserve">IG </w:t>
      </w:r>
      <w:r w:rsidR="00EC2AED">
        <w:rPr>
          <w:szCs w:val="22"/>
        </w:rPr>
        <w:t xml:space="preserve">provides competitive telecommunications services in </w:t>
      </w:r>
      <w:r>
        <w:rPr>
          <w:szCs w:val="22"/>
        </w:rPr>
        <w:t xml:space="preserve">California, Illinois, </w:t>
      </w:r>
      <w:r w:rsidR="00467EDC">
        <w:rPr>
          <w:szCs w:val="22"/>
        </w:rPr>
        <w:t xml:space="preserve">Montana, </w:t>
      </w:r>
      <w:r>
        <w:rPr>
          <w:szCs w:val="22"/>
        </w:rPr>
        <w:t>Nevada, Oregon, and Washington.</w:t>
      </w:r>
      <w:r>
        <w:rPr>
          <w:rStyle w:val="FootnoteReference"/>
          <w:szCs w:val="22"/>
        </w:rPr>
        <w:footnoteReference w:id="6"/>
      </w:r>
      <w:r w:rsidR="00EA24A2">
        <w:rPr>
          <w:szCs w:val="22"/>
        </w:rPr>
        <w:t xml:space="preserve">  IIG </w:t>
      </w:r>
      <w:r w:rsidR="001312D2">
        <w:rPr>
          <w:szCs w:val="22"/>
        </w:rPr>
        <w:t>wholly owns</w:t>
      </w:r>
      <w:r w:rsidR="00EA24A2">
        <w:rPr>
          <w:szCs w:val="22"/>
        </w:rPr>
        <w:t xml:space="preserve"> Travail Networks Canada Inc. (Travail)</w:t>
      </w:r>
      <w:r w:rsidR="00C710C2">
        <w:rPr>
          <w:szCs w:val="22"/>
        </w:rPr>
        <w:t xml:space="preserve">, </w:t>
      </w:r>
      <w:r w:rsidR="00EA24A2">
        <w:rPr>
          <w:szCs w:val="22"/>
        </w:rPr>
        <w:t>a Canadian corporation</w:t>
      </w:r>
      <w:r w:rsidR="002F7B2B">
        <w:rPr>
          <w:szCs w:val="22"/>
        </w:rPr>
        <w:t xml:space="preserve"> that provides facilities-based telecommunications services</w:t>
      </w:r>
      <w:r w:rsidR="00EA24A2">
        <w:rPr>
          <w:szCs w:val="22"/>
        </w:rPr>
        <w:t>.</w:t>
      </w:r>
      <w:r>
        <w:rPr>
          <w:rStyle w:val="FootnoteReference"/>
          <w:szCs w:val="22"/>
        </w:rPr>
        <w:footnoteReference w:id="7"/>
      </w:r>
    </w:p>
    <w:p w:rsidR="005E0C56" w:rsidP="00BB37AD" w14:paraId="228AA97F" w14:textId="270B0035">
      <w:pPr>
        <w:autoSpaceDE w:val="0"/>
        <w:autoSpaceDN w:val="0"/>
        <w:adjustRightInd w:val="0"/>
        <w:spacing w:after="120"/>
        <w:ind w:firstLine="720"/>
        <w:rPr>
          <w:szCs w:val="22"/>
        </w:rPr>
      </w:pPr>
      <w:r>
        <w:rPr>
          <w:szCs w:val="22"/>
        </w:rPr>
        <w:t xml:space="preserve">Intermountain </w:t>
      </w:r>
      <w:r w:rsidR="00A50A08">
        <w:rPr>
          <w:szCs w:val="22"/>
        </w:rPr>
        <w:t xml:space="preserve">Holdings LLC (Holdings), a Delaware </w:t>
      </w:r>
      <w:r w:rsidR="003D6E42">
        <w:rPr>
          <w:szCs w:val="22"/>
        </w:rPr>
        <w:t xml:space="preserve">holding </w:t>
      </w:r>
      <w:r w:rsidR="00A50A08">
        <w:rPr>
          <w:szCs w:val="22"/>
        </w:rPr>
        <w:t>company, owns 100</w:t>
      </w:r>
      <w:r w:rsidR="00277D9F">
        <w:rPr>
          <w:szCs w:val="22"/>
        </w:rPr>
        <w:t>%</w:t>
      </w:r>
      <w:r w:rsidR="00A50A08">
        <w:rPr>
          <w:szCs w:val="22"/>
        </w:rPr>
        <w:t xml:space="preserve"> of the voting and equity interests in IIG.</w:t>
      </w:r>
      <w:r>
        <w:rPr>
          <w:rStyle w:val="FootnoteReference"/>
          <w:szCs w:val="22"/>
        </w:rPr>
        <w:footnoteReference w:id="8"/>
      </w:r>
      <w:r w:rsidR="00A50A08">
        <w:rPr>
          <w:szCs w:val="22"/>
        </w:rPr>
        <w:t xml:space="preserve"> </w:t>
      </w:r>
      <w:r w:rsidR="00277D9F">
        <w:rPr>
          <w:szCs w:val="22"/>
        </w:rPr>
        <w:t xml:space="preserve"> Holdings is </w:t>
      </w:r>
      <w:r w:rsidRPr="00061648" w:rsidR="00277D9F">
        <w:rPr>
          <w:szCs w:val="22"/>
        </w:rPr>
        <w:t xml:space="preserve">directly held by </w:t>
      </w:r>
      <w:r w:rsidRPr="00061648" w:rsidR="00277D9F">
        <w:rPr>
          <w:szCs w:val="22"/>
        </w:rPr>
        <w:t>Yount</w:t>
      </w:r>
      <w:r w:rsidRPr="00061648" w:rsidR="00277D9F">
        <w:rPr>
          <w:szCs w:val="22"/>
        </w:rPr>
        <w:t>, Brady Adams</w:t>
      </w:r>
      <w:r w:rsidRPr="00061648" w:rsidR="00F525B7">
        <w:rPr>
          <w:szCs w:val="22"/>
        </w:rPr>
        <w:t xml:space="preserve"> (Adams)</w:t>
      </w:r>
      <w:r w:rsidRPr="00061648" w:rsidR="00277D9F">
        <w:rPr>
          <w:szCs w:val="22"/>
        </w:rPr>
        <w:t xml:space="preserve">, and </w:t>
      </w:r>
      <w:r w:rsidRPr="00061648">
        <w:rPr>
          <w:szCs w:val="22"/>
        </w:rPr>
        <w:t>P</w:t>
      </w:r>
      <w:r w:rsidRPr="00061648" w:rsidR="00061648">
        <w:rPr>
          <w:szCs w:val="22"/>
        </w:rPr>
        <w:t>ost Roast Special Opportunity Fund II IIG Inc</w:t>
      </w:r>
      <w:r w:rsidRPr="00061648" w:rsidR="00277D9F">
        <w:rPr>
          <w:szCs w:val="22"/>
        </w:rPr>
        <w:t>.</w:t>
      </w:r>
      <w:r w:rsidRPr="00061648" w:rsidR="00F525B7">
        <w:rPr>
          <w:szCs w:val="22"/>
        </w:rPr>
        <w:t xml:space="preserve"> (PRSOF II</w:t>
      </w:r>
      <w:r w:rsidR="002E3408">
        <w:rPr>
          <w:szCs w:val="22"/>
        </w:rPr>
        <w:t>).</w:t>
      </w:r>
      <w:r>
        <w:rPr>
          <w:rStyle w:val="FootnoteReference"/>
          <w:szCs w:val="22"/>
        </w:rPr>
        <w:footnoteReference w:id="9"/>
      </w:r>
      <w:r w:rsidR="00176D10">
        <w:rPr>
          <w:szCs w:val="22"/>
        </w:rPr>
        <w:t xml:space="preserve"> </w:t>
      </w:r>
      <w:r w:rsidR="00277D9F">
        <w:rPr>
          <w:szCs w:val="22"/>
        </w:rPr>
        <w:t xml:space="preserve"> </w:t>
      </w:r>
      <w:r w:rsidR="00A50A08">
        <w:rPr>
          <w:szCs w:val="22"/>
        </w:rPr>
        <w:t>Yount</w:t>
      </w:r>
      <w:r w:rsidR="00A50A08">
        <w:rPr>
          <w:szCs w:val="22"/>
        </w:rPr>
        <w:t>,</w:t>
      </w:r>
      <w:r w:rsidRPr="00D207EC" w:rsidR="00A50A08">
        <w:rPr>
          <w:szCs w:val="22"/>
        </w:rPr>
        <w:t xml:space="preserve"> </w:t>
      </w:r>
      <w:r w:rsidR="00A50A08">
        <w:rPr>
          <w:szCs w:val="22"/>
        </w:rPr>
        <w:t>a</w:t>
      </w:r>
      <w:r w:rsidRPr="00D207EC" w:rsidR="00A50A08">
        <w:rPr>
          <w:szCs w:val="22"/>
        </w:rPr>
        <w:t xml:space="preserve"> U.S. </w:t>
      </w:r>
      <w:r w:rsidRPr="00F67DDE" w:rsidR="00A50A08">
        <w:rPr>
          <w:szCs w:val="22"/>
        </w:rPr>
        <w:t>citize</w:t>
      </w:r>
      <w:r w:rsidR="00A50A08">
        <w:rPr>
          <w:szCs w:val="22"/>
        </w:rPr>
        <w:t xml:space="preserve">n, </w:t>
      </w:r>
      <w:r w:rsidR="00A5341B">
        <w:rPr>
          <w:szCs w:val="22"/>
        </w:rPr>
        <w:t xml:space="preserve">is </w:t>
      </w:r>
      <w:r w:rsidR="00A50A08">
        <w:rPr>
          <w:szCs w:val="22"/>
        </w:rPr>
        <w:t xml:space="preserve">the President </w:t>
      </w:r>
      <w:r w:rsidR="00A50A08">
        <w:rPr>
          <w:szCs w:val="22"/>
        </w:rPr>
        <w:t>and Chief Executive Officer of IIG and Holdings.</w:t>
      </w:r>
      <w:r>
        <w:rPr>
          <w:rStyle w:val="FootnoteReference"/>
          <w:szCs w:val="22"/>
        </w:rPr>
        <w:footnoteReference w:id="10"/>
      </w:r>
      <w:r w:rsidR="00A50A08">
        <w:rPr>
          <w:szCs w:val="22"/>
        </w:rPr>
        <w:t xml:space="preserve">  </w:t>
      </w:r>
      <w:r w:rsidR="00A50A08">
        <w:rPr>
          <w:szCs w:val="22"/>
        </w:rPr>
        <w:t>Yount</w:t>
      </w:r>
      <w:r w:rsidR="00A50A08">
        <w:rPr>
          <w:szCs w:val="22"/>
        </w:rPr>
        <w:t xml:space="preserve"> exercises actual working control of IIG</w:t>
      </w:r>
      <w:r w:rsidRPr="00A3390E" w:rsidR="00A50A08">
        <w:rPr>
          <w:szCs w:val="22"/>
        </w:rPr>
        <w:t xml:space="preserve"> </w:t>
      </w:r>
      <w:r w:rsidR="00A50A08">
        <w:rPr>
          <w:szCs w:val="22"/>
        </w:rPr>
        <w:t>through his ownership of approximately 30.5% of the equity and voting interests in Holdings.</w:t>
      </w:r>
      <w:r>
        <w:rPr>
          <w:rStyle w:val="FootnoteReference"/>
          <w:szCs w:val="22"/>
        </w:rPr>
        <w:footnoteReference w:id="11"/>
      </w:r>
      <w:r w:rsidR="00A50A08">
        <w:rPr>
          <w:szCs w:val="22"/>
        </w:rPr>
        <w:t xml:space="preserve"> </w:t>
      </w:r>
      <w:r w:rsidR="00FE440C">
        <w:rPr>
          <w:szCs w:val="22"/>
        </w:rPr>
        <w:t xml:space="preserve"> </w:t>
      </w:r>
      <w:r w:rsidR="00762664">
        <w:rPr>
          <w:szCs w:val="22"/>
        </w:rPr>
        <w:t>Adams</w:t>
      </w:r>
      <w:r w:rsidR="008F6189">
        <w:rPr>
          <w:szCs w:val="22"/>
        </w:rPr>
        <w:t>, a U.S. citizen, currently</w:t>
      </w:r>
      <w:r w:rsidR="00762664">
        <w:rPr>
          <w:szCs w:val="22"/>
        </w:rPr>
        <w:t xml:space="preserve"> holds an approximate </w:t>
      </w:r>
      <w:r w:rsidR="00C710C2">
        <w:rPr>
          <w:szCs w:val="22"/>
        </w:rPr>
        <w:t xml:space="preserve">10% </w:t>
      </w:r>
      <w:r w:rsidR="00FE440C">
        <w:rPr>
          <w:szCs w:val="22"/>
        </w:rPr>
        <w:t xml:space="preserve">economic </w:t>
      </w:r>
      <w:r w:rsidR="00762664">
        <w:rPr>
          <w:szCs w:val="22"/>
        </w:rPr>
        <w:t>interest in Holdings</w:t>
      </w:r>
      <w:r w:rsidR="003910DF">
        <w:rPr>
          <w:szCs w:val="22"/>
        </w:rPr>
        <w:t>, and PRSOF II currently holds an approximate 37.1% economic interest in Holdings.</w:t>
      </w:r>
      <w:r>
        <w:rPr>
          <w:rStyle w:val="FootnoteReference"/>
          <w:szCs w:val="22"/>
        </w:rPr>
        <w:footnoteReference w:id="12"/>
      </w:r>
    </w:p>
    <w:p w:rsidR="00D83F54" w:rsidRPr="00F0799A" w:rsidP="00F0799A" w14:paraId="22B5D610" w14:textId="62BDF6B4">
      <w:pPr>
        <w:autoSpaceDE w:val="0"/>
        <w:autoSpaceDN w:val="0"/>
        <w:adjustRightInd w:val="0"/>
        <w:spacing w:after="120"/>
        <w:ind w:firstLine="720"/>
      </w:pPr>
      <w:r>
        <w:rPr>
          <w:szCs w:val="22"/>
        </w:rPr>
        <w:t>Applicants state that PRSOF II</w:t>
      </w:r>
      <w:r w:rsidR="003118DA">
        <w:rPr>
          <w:szCs w:val="22"/>
        </w:rPr>
        <w:t xml:space="preserve"> is a U.S. investment company </w:t>
      </w:r>
      <w:r>
        <w:rPr>
          <w:szCs w:val="22"/>
        </w:rPr>
        <w:t>that is directly owned by Post Road Special Opportunity Fund</w:t>
      </w:r>
      <w:r>
        <w:rPr>
          <w:szCs w:val="22"/>
        </w:rPr>
        <w:t xml:space="preserve"> (SOF)</w:t>
      </w:r>
      <w:r>
        <w:rPr>
          <w:szCs w:val="22"/>
        </w:rPr>
        <w:t xml:space="preserve"> II LP (100% voting and equity interest), which</w:t>
      </w:r>
      <w:r>
        <w:rPr>
          <w:szCs w:val="22"/>
        </w:rPr>
        <w:t>,</w:t>
      </w:r>
      <w:r>
        <w:rPr>
          <w:szCs w:val="22"/>
        </w:rPr>
        <w:t xml:space="preserve"> in turn</w:t>
      </w:r>
      <w:r w:rsidR="00912D20">
        <w:rPr>
          <w:szCs w:val="22"/>
        </w:rPr>
        <w:t>,</w:t>
      </w:r>
      <w:r>
        <w:rPr>
          <w:szCs w:val="22"/>
        </w:rPr>
        <w:t xml:space="preserve"> is directly owned by Post Road SOF GP II LLC</w:t>
      </w:r>
      <w:r>
        <w:rPr>
          <w:rStyle w:val="FootnoteReference"/>
          <w:szCs w:val="22"/>
        </w:rPr>
        <w:footnoteReference w:id="13"/>
      </w:r>
      <w:r>
        <w:rPr>
          <w:szCs w:val="22"/>
        </w:rPr>
        <w:t xml:space="preserve"> (100% voting interest and approximately 2% equity interest)</w:t>
      </w:r>
      <w:r w:rsidR="00912D20">
        <w:rPr>
          <w:szCs w:val="22"/>
        </w:rPr>
        <w:t>,</w:t>
      </w:r>
      <w:r>
        <w:rPr>
          <w:szCs w:val="22"/>
        </w:rPr>
        <w:t xml:space="preserve"> both Delaware entities</w:t>
      </w:r>
      <w:r w:rsidR="00912D20">
        <w:rPr>
          <w:szCs w:val="22"/>
        </w:rPr>
        <w:t>.</w:t>
      </w:r>
      <w:r>
        <w:rPr>
          <w:rStyle w:val="FootnoteReference"/>
          <w:szCs w:val="22"/>
        </w:rPr>
        <w:footnoteReference w:id="14"/>
      </w:r>
      <w:r w:rsidR="00912D20">
        <w:rPr>
          <w:szCs w:val="22"/>
        </w:rPr>
        <w:t xml:space="preserve">  The </w:t>
      </w:r>
      <w:r w:rsidR="003D44B5">
        <w:rPr>
          <w:szCs w:val="22"/>
        </w:rPr>
        <w:t xml:space="preserve">direct </w:t>
      </w:r>
      <w:r w:rsidR="00912D20">
        <w:rPr>
          <w:szCs w:val="22"/>
        </w:rPr>
        <w:t>voting interest in Post Road SOF GP II LLC is held by Birch Hill Capital LLC (50%</w:t>
      </w:r>
      <w:r w:rsidR="003D44B5">
        <w:rPr>
          <w:szCs w:val="22"/>
        </w:rPr>
        <w:t>), a Delaware investment company,</w:t>
      </w:r>
      <w:r>
        <w:rPr>
          <w:rStyle w:val="FootnoteReference"/>
          <w:szCs w:val="22"/>
        </w:rPr>
        <w:footnoteReference w:id="15"/>
      </w:r>
      <w:r w:rsidR="003D44B5">
        <w:rPr>
          <w:szCs w:val="22"/>
        </w:rPr>
        <w:t xml:space="preserve"> and Seventh Avenue Capital Group II LLC (50%), a Connecticut investment company.</w:t>
      </w:r>
      <w:r>
        <w:rPr>
          <w:rStyle w:val="FootnoteReference"/>
          <w:szCs w:val="22"/>
        </w:rPr>
        <w:footnoteReference w:id="16"/>
      </w:r>
      <w:r w:rsidRPr="003D44B5" w:rsidR="003D44B5">
        <w:t xml:space="preserve"> </w:t>
      </w:r>
      <w:r w:rsidR="00D02B0F">
        <w:t xml:space="preserve"> The direct and indirect equity interest in Post Road SOF GP II LLC is held by Birch Hill Capital LLC (approximately 38%) and Seventh Avenue Capital Group LLC (approximately 22%).</w:t>
      </w:r>
      <w:r>
        <w:rPr>
          <w:rStyle w:val="FootnoteReference"/>
        </w:rPr>
        <w:footnoteReference w:id="17"/>
      </w:r>
      <w:r w:rsidR="00D02B0F">
        <w:t xml:space="preserve">  </w:t>
      </w:r>
      <w:r w:rsidR="003D44B5">
        <w:t>Michael Bogdan, a U.S. citizen, holds 100% of the voting and equity interest in Birch Hill Capital LLC.</w:t>
      </w:r>
      <w:r>
        <w:rPr>
          <w:rStyle w:val="FootnoteReference"/>
        </w:rPr>
        <w:footnoteReference w:id="18"/>
      </w:r>
      <w:r w:rsidR="00250074">
        <w:t xml:space="preserve">  Additionally, Kevin Davis, a U.S. citizen, holds 100% voting and equity interests in Seventh Avenue Capital Group II LLC.</w:t>
      </w:r>
      <w:r>
        <w:rPr>
          <w:rStyle w:val="FootnoteReference"/>
        </w:rPr>
        <w:footnoteReference w:id="19"/>
      </w:r>
    </w:p>
    <w:p w:rsidR="008F5130" w:rsidRPr="00C63562" w:rsidP="009E7C76" w14:paraId="4E2073C3" w14:textId="512B84B5">
      <w:pPr>
        <w:autoSpaceDE w:val="0"/>
        <w:autoSpaceDN w:val="0"/>
        <w:adjustRightInd w:val="0"/>
        <w:spacing w:after="120"/>
        <w:ind w:firstLine="720"/>
        <w:rPr>
          <w:szCs w:val="22"/>
        </w:rPr>
      </w:pPr>
      <w:r w:rsidRPr="001624CA">
        <w:rPr>
          <w:szCs w:val="22"/>
        </w:rPr>
        <w:t>Applicants state that WRA II, a Delaware limited liability company, is an acquisition vehicle that was created for the purposes of the proposed transaction</w:t>
      </w:r>
      <w:r w:rsidRPr="001624CA" w:rsidR="00277D9F">
        <w:rPr>
          <w:szCs w:val="22"/>
        </w:rPr>
        <w:t>.</w:t>
      </w:r>
      <w:r>
        <w:rPr>
          <w:rStyle w:val="FootnoteReference"/>
          <w:szCs w:val="22"/>
        </w:rPr>
        <w:footnoteReference w:id="20"/>
      </w:r>
      <w:r w:rsidRPr="001624CA" w:rsidR="00277D9F">
        <w:rPr>
          <w:szCs w:val="22"/>
        </w:rPr>
        <w:t xml:space="preserve">  WRA II is owned </w:t>
      </w:r>
      <w:r w:rsidRPr="001624CA" w:rsidR="00A86F7B">
        <w:rPr>
          <w:szCs w:val="22"/>
        </w:rPr>
        <w:t xml:space="preserve">by certain investment funds managed by </w:t>
      </w:r>
      <w:r w:rsidRPr="001624CA" w:rsidR="00A86F7B">
        <w:rPr>
          <w:szCs w:val="22"/>
        </w:rPr>
        <w:t>Wafra</w:t>
      </w:r>
      <w:r w:rsidRPr="001624CA" w:rsidR="00A86F7B">
        <w:rPr>
          <w:szCs w:val="22"/>
        </w:rPr>
        <w:t xml:space="preserve"> Inc. (</w:t>
      </w:r>
      <w:r w:rsidRPr="001624CA" w:rsidR="00A86F7B">
        <w:rPr>
          <w:szCs w:val="22"/>
        </w:rPr>
        <w:t>Wafra</w:t>
      </w:r>
      <w:r w:rsidRPr="001624CA" w:rsidR="00CA7031">
        <w:rPr>
          <w:szCs w:val="22"/>
        </w:rPr>
        <w:t>),</w:t>
      </w:r>
      <w:r w:rsidR="00AE1CE2">
        <w:rPr>
          <w:szCs w:val="22"/>
        </w:rPr>
        <w:t xml:space="preserve"> </w:t>
      </w:r>
      <w:r w:rsidRPr="001624CA" w:rsidR="00CA7031">
        <w:rPr>
          <w:szCs w:val="22"/>
        </w:rPr>
        <w:t>a global alternative investment manager</w:t>
      </w:r>
      <w:r w:rsidRPr="001624CA" w:rsidR="00A86F7B">
        <w:rPr>
          <w:szCs w:val="22"/>
        </w:rPr>
        <w:t>.</w:t>
      </w:r>
      <w:r>
        <w:rPr>
          <w:rStyle w:val="FootnoteReference"/>
          <w:szCs w:val="22"/>
        </w:rPr>
        <w:footnoteReference w:id="21"/>
      </w:r>
      <w:r w:rsidRPr="001624CA" w:rsidR="00A86F7B">
        <w:rPr>
          <w:szCs w:val="22"/>
        </w:rPr>
        <w:t xml:space="preserve">  </w:t>
      </w:r>
      <w:r w:rsidR="001624CA">
        <w:rPr>
          <w:szCs w:val="22"/>
        </w:rPr>
        <w:t>W</w:t>
      </w:r>
      <w:r w:rsidR="00A86F7B">
        <w:rPr>
          <w:szCs w:val="22"/>
        </w:rPr>
        <w:t>afra</w:t>
      </w:r>
      <w:r w:rsidR="00A86F7B">
        <w:rPr>
          <w:szCs w:val="22"/>
        </w:rPr>
        <w:t xml:space="preserve"> </w:t>
      </w:r>
      <w:r w:rsidR="00CA7031">
        <w:rPr>
          <w:szCs w:val="22"/>
        </w:rPr>
        <w:t xml:space="preserve">is </w:t>
      </w:r>
      <w:r w:rsidR="00A86F7B">
        <w:rPr>
          <w:szCs w:val="22"/>
        </w:rPr>
        <w:t xml:space="preserve">indirectly </w:t>
      </w:r>
      <w:r w:rsidR="00AE1CE2">
        <w:rPr>
          <w:szCs w:val="22"/>
        </w:rPr>
        <w:t xml:space="preserve">and </w:t>
      </w:r>
      <w:r w:rsidR="00A86F7B">
        <w:rPr>
          <w:szCs w:val="22"/>
        </w:rPr>
        <w:t>beneficially owned by the Public Institution for Social Security,</w:t>
      </w:r>
      <w:r w:rsidR="00BD2602">
        <w:rPr>
          <w:szCs w:val="22"/>
        </w:rPr>
        <w:t xml:space="preserve"> </w:t>
      </w:r>
      <w:r w:rsidRPr="00C63562" w:rsidR="00A86F7B">
        <w:rPr>
          <w:szCs w:val="22"/>
        </w:rPr>
        <w:t xml:space="preserve">a public pension fund that </w:t>
      </w:r>
      <w:r w:rsidRPr="00C63562" w:rsidR="00EF1834">
        <w:rPr>
          <w:szCs w:val="22"/>
        </w:rPr>
        <w:t>operates as</w:t>
      </w:r>
      <w:r w:rsidRPr="00C63562" w:rsidR="00A86F7B">
        <w:rPr>
          <w:szCs w:val="22"/>
        </w:rPr>
        <w:t xml:space="preserve"> an autonomous agency</w:t>
      </w:r>
      <w:r w:rsidRPr="00C63562" w:rsidR="00615ADB">
        <w:rPr>
          <w:szCs w:val="22"/>
        </w:rPr>
        <w:t xml:space="preserve"> that is</w:t>
      </w:r>
      <w:r w:rsidRPr="00C63562" w:rsidR="00A86F7B">
        <w:rPr>
          <w:szCs w:val="22"/>
        </w:rPr>
        <w:t xml:space="preserve"> controlled by the Government of Kuwait.</w:t>
      </w:r>
      <w:r>
        <w:rPr>
          <w:rStyle w:val="FootnoteReference"/>
          <w:szCs w:val="22"/>
        </w:rPr>
        <w:footnoteReference w:id="22"/>
      </w:r>
      <w:r w:rsidRPr="00C63562" w:rsidR="00A86F7B">
        <w:rPr>
          <w:szCs w:val="22"/>
        </w:rPr>
        <w:t xml:space="preserve"> </w:t>
      </w:r>
      <w:r w:rsidRPr="00C63562" w:rsidR="00BD2602">
        <w:rPr>
          <w:szCs w:val="22"/>
        </w:rPr>
        <w:t xml:space="preserve"> </w:t>
      </w:r>
      <w:r w:rsidRPr="00C63562" w:rsidR="001E70DE">
        <w:rPr>
          <w:szCs w:val="22"/>
        </w:rPr>
        <w:t>Wafra</w:t>
      </w:r>
      <w:r w:rsidRPr="00C63562" w:rsidR="001E70DE">
        <w:rPr>
          <w:szCs w:val="22"/>
        </w:rPr>
        <w:t xml:space="preserve"> is </w:t>
      </w:r>
      <w:r w:rsidR="00E46B22">
        <w:rPr>
          <w:szCs w:val="22"/>
        </w:rPr>
        <w:t xml:space="preserve">also </w:t>
      </w:r>
      <w:r w:rsidRPr="00C63562" w:rsidR="001E70DE">
        <w:rPr>
          <w:szCs w:val="22"/>
        </w:rPr>
        <w:t>affiliated</w:t>
      </w:r>
      <w:r w:rsidRPr="00C63562" w:rsidR="00176DCC">
        <w:rPr>
          <w:szCs w:val="22"/>
        </w:rPr>
        <w:t xml:space="preserve"> with LOGIX Fiber Networks (LOGIX)</w:t>
      </w:r>
      <w:r w:rsidR="00E46B22">
        <w:rPr>
          <w:szCs w:val="22"/>
        </w:rPr>
        <w:t>.</w:t>
      </w:r>
      <w:r>
        <w:rPr>
          <w:rStyle w:val="FootnoteReference"/>
          <w:szCs w:val="22"/>
        </w:rPr>
        <w:footnoteReference w:id="23"/>
      </w:r>
      <w:r w:rsidR="00E46B22">
        <w:rPr>
          <w:szCs w:val="22"/>
        </w:rPr>
        <w:t xml:space="preserve">  Applicants state that LOGIX</w:t>
      </w:r>
      <w:r w:rsidR="00170C2E">
        <w:rPr>
          <w:szCs w:val="22"/>
        </w:rPr>
        <w:t xml:space="preserve"> Communications, LP, Alpheus Communications, LLC, and Alpheus Data Services L.L.C. provide, as LOGIX, telecommunications services in Kansas, Missouri, Oklahoma, and Texas.</w:t>
      </w:r>
      <w:r>
        <w:rPr>
          <w:rStyle w:val="FootnoteReference"/>
          <w:szCs w:val="22"/>
        </w:rPr>
        <w:footnoteReference w:id="24"/>
      </w:r>
      <w:r w:rsidR="00AA3087">
        <w:rPr>
          <w:szCs w:val="22"/>
        </w:rPr>
        <w:t xml:space="preserve"> </w:t>
      </w:r>
      <w:r w:rsidR="000D59D7">
        <w:rPr>
          <w:szCs w:val="22"/>
        </w:rPr>
        <w:t xml:space="preserve"> </w:t>
      </w:r>
      <w:r w:rsidR="00AA3087">
        <w:t>LOGIX provides telecommunications services as a competitive local exchange carrier, primarily in Texas and Oklahoma.</w:t>
      </w:r>
      <w:r>
        <w:rPr>
          <w:rStyle w:val="FootnoteReference"/>
        </w:rPr>
        <w:footnoteReference w:id="25"/>
      </w:r>
      <w:r w:rsidR="00AA3087">
        <w:t xml:space="preserve">  LOGIX also provides resold local exchange services in Kansas and Missouri where it is authorized to provide local exchange and/or exchange telecommunications services.</w:t>
      </w:r>
      <w:r>
        <w:rPr>
          <w:rStyle w:val="FootnoteReference"/>
        </w:rPr>
        <w:footnoteReference w:id="26"/>
      </w:r>
      <w:r w:rsidR="00AA3087">
        <w:t xml:space="preserve">  Applicants </w:t>
      </w:r>
      <w:r w:rsidR="00C7263A">
        <w:t xml:space="preserve">maintain </w:t>
      </w:r>
      <w:r w:rsidR="00AA3087">
        <w:t>that LOGIX does not provide service in any areas served by IIG.</w:t>
      </w:r>
      <w:r>
        <w:rPr>
          <w:rStyle w:val="FootnoteReference"/>
        </w:rPr>
        <w:footnoteReference w:id="27"/>
      </w:r>
      <w:r w:rsidR="00AA3087">
        <w:t xml:space="preserve">  </w:t>
      </w:r>
    </w:p>
    <w:p w:rsidR="00A742B2" w:rsidRPr="00C63562" w:rsidP="009E7C76" w14:paraId="10312C87" w14:textId="1FF946B4">
      <w:pPr>
        <w:autoSpaceDE w:val="0"/>
        <w:autoSpaceDN w:val="0"/>
        <w:adjustRightInd w:val="0"/>
        <w:spacing w:after="120"/>
        <w:ind w:firstLine="720"/>
        <w:rPr>
          <w:szCs w:val="22"/>
        </w:rPr>
      </w:pPr>
      <w:r w:rsidRPr="00C63562">
        <w:rPr>
          <w:szCs w:val="22"/>
        </w:rPr>
        <w:t xml:space="preserve">Pursuant to the terms of the proposed transaction, </w:t>
      </w:r>
      <w:r w:rsidRPr="00C63562" w:rsidR="00BB154C">
        <w:rPr>
          <w:szCs w:val="22"/>
        </w:rPr>
        <w:t>IIG</w:t>
      </w:r>
      <w:r w:rsidRPr="00C63562" w:rsidR="008F5130">
        <w:rPr>
          <w:szCs w:val="22"/>
        </w:rPr>
        <w:t xml:space="preserve"> </w:t>
      </w:r>
      <w:r w:rsidRPr="00C63562">
        <w:rPr>
          <w:szCs w:val="22"/>
        </w:rPr>
        <w:t>will remain a direct</w:t>
      </w:r>
      <w:r w:rsidRPr="00C63562" w:rsidR="00D91E6A">
        <w:rPr>
          <w:szCs w:val="22"/>
        </w:rPr>
        <w:t xml:space="preserve"> and</w:t>
      </w:r>
      <w:r w:rsidRPr="00C63562">
        <w:rPr>
          <w:szCs w:val="22"/>
        </w:rPr>
        <w:t xml:space="preserve"> wholly</w:t>
      </w:r>
      <w:r w:rsidR="00A3370E">
        <w:rPr>
          <w:szCs w:val="22"/>
        </w:rPr>
        <w:t>-</w:t>
      </w:r>
      <w:r w:rsidRPr="00C63562">
        <w:rPr>
          <w:szCs w:val="22"/>
        </w:rPr>
        <w:t>owned subsidiary of</w:t>
      </w:r>
      <w:r w:rsidRPr="00C63562" w:rsidR="008F5130">
        <w:rPr>
          <w:szCs w:val="22"/>
        </w:rPr>
        <w:t xml:space="preserve"> Holdings</w:t>
      </w:r>
      <w:r w:rsidRPr="00C63562" w:rsidR="00BB154C">
        <w:rPr>
          <w:szCs w:val="22"/>
        </w:rPr>
        <w:t>.</w:t>
      </w:r>
      <w:r>
        <w:rPr>
          <w:rStyle w:val="FootnoteReference"/>
          <w:szCs w:val="22"/>
        </w:rPr>
        <w:footnoteReference w:id="28"/>
      </w:r>
      <w:r w:rsidRPr="00C63562" w:rsidR="00BB154C">
        <w:rPr>
          <w:szCs w:val="22"/>
        </w:rPr>
        <w:t xml:space="preserve">  </w:t>
      </w:r>
      <w:r w:rsidRPr="00C63562" w:rsidR="00A50F80">
        <w:rPr>
          <w:szCs w:val="22"/>
        </w:rPr>
        <w:t xml:space="preserve">However, </w:t>
      </w:r>
      <w:r w:rsidR="00413F72">
        <w:rPr>
          <w:szCs w:val="22"/>
        </w:rPr>
        <w:t xml:space="preserve">according to </w:t>
      </w:r>
      <w:r w:rsidR="00427CD0">
        <w:rPr>
          <w:szCs w:val="22"/>
        </w:rPr>
        <w:t>A</w:t>
      </w:r>
      <w:r w:rsidR="00413F72">
        <w:rPr>
          <w:szCs w:val="22"/>
        </w:rPr>
        <w:t xml:space="preserve">pplicants, </w:t>
      </w:r>
      <w:r w:rsidRPr="00C63562" w:rsidR="005932DF">
        <w:rPr>
          <w:szCs w:val="22"/>
        </w:rPr>
        <w:t>Yount</w:t>
      </w:r>
      <w:r w:rsidRPr="00C63562" w:rsidR="00C62087">
        <w:rPr>
          <w:szCs w:val="22"/>
        </w:rPr>
        <w:t xml:space="preserve"> </w:t>
      </w:r>
      <w:r w:rsidR="00413F72">
        <w:rPr>
          <w:szCs w:val="22"/>
        </w:rPr>
        <w:t xml:space="preserve">will </w:t>
      </w:r>
      <w:r w:rsidR="00294417">
        <w:rPr>
          <w:szCs w:val="22"/>
        </w:rPr>
        <w:t>relinquish working control of Holdings and</w:t>
      </w:r>
      <w:r w:rsidRPr="00C63562" w:rsidR="00C62087">
        <w:rPr>
          <w:szCs w:val="22"/>
        </w:rPr>
        <w:t xml:space="preserve"> </w:t>
      </w:r>
      <w:r w:rsidRPr="00C63562">
        <w:rPr>
          <w:szCs w:val="22"/>
        </w:rPr>
        <w:t xml:space="preserve">convert his equity ownership into </w:t>
      </w:r>
      <w:r w:rsidRPr="00C63562" w:rsidR="00C62087">
        <w:rPr>
          <w:szCs w:val="22"/>
        </w:rPr>
        <w:t>non-voting Junior Preferred Units.</w:t>
      </w:r>
      <w:r>
        <w:rPr>
          <w:rStyle w:val="FootnoteReference"/>
          <w:szCs w:val="22"/>
        </w:rPr>
        <w:footnoteReference w:id="29"/>
      </w:r>
      <w:r w:rsidRPr="00C63562" w:rsidR="00C62087">
        <w:rPr>
          <w:szCs w:val="22"/>
        </w:rPr>
        <w:t xml:space="preserve"> </w:t>
      </w:r>
      <w:r w:rsidRPr="00C63562" w:rsidR="00E866DF">
        <w:rPr>
          <w:szCs w:val="22"/>
        </w:rPr>
        <w:t xml:space="preserve"> </w:t>
      </w:r>
      <w:r w:rsidRPr="00C63562" w:rsidR="00F53064">
        <w:rPr>
          <w:szCs w:val="22"/>
        </w:rPr>
        <w:t xml:space="preserve">As a result, </w:t>
      </w:r>
      <w:r w:rsidRPr="00C63562" w:rsidR="00F53064">
        <w:rPr>
          <w:szCs w:val="22"/>
        </w:rPr>
        <w:t>Yount</w:t>
      </w:r>
      <w:r w:rsidRPr="00C63562" w:rsidR="00F53064">
        <w:rPr>
          <w:szCs w:val="22"/>
        </w:rPr>
        <w:t xml:space="preserve"> will be entitled to participate in cash distributions in an amount equal to between 15.2% and 17.8%.</w:t>
      </w:r>
      <w:r>
        <w:rPr>
          <w:rStyle w:val="FootnoteReference"/>
          <w:szCs w:val="22"/>
        </w:rPr>
        <w:footnoteReference w:id="30"/>
      </w:r>
      <w:r w:rsidRPr="00C63562" w:rsidR="00F53064">
        <w:rPr>
          <w:szCs w:val="22"/>
        </w:rPr>
        <w:t xml:space="preserve">  Additionally, Holdings will issue senior preferred units to WRA II and PRSOF </w:t>
      </w:r>
      <w:r w:rsidR="00294417">
        <w:rPr>
          <w:szCs w:val="22"/>
        </w:rPr>
        <w:t xml:space="preserve">II </w:t>
      </w:r>
      <w:r w:rsidRPr="00C63562" w:rsidR="00F53064">
        <w:rPr>
          <w:szCs w:val="22"/>
        </w:rPr>
        <w:t>in an amount equal to between 60</w:t>
      </w:r>
      <w:r w:rsidR="001511F2">
        <w:rPr>
          <w:szCs w:val="22"/>
        </w:rPr>
        <w:t xml:space="preserve">% </w:t>
      </w:r>
      <w:r w:rsidRPr="00C63562" w:rsidR="00F53064">
        <w:rPr>
          <w:szCs w:val="22"/>
        </w:rPr>
        <w:t>and 65</w:t>
      </w:r>
      <w:r w:rsidR="001511F2">
        <w:rPr>
          <w:szCs w:val="22"/>
        </w:rPr>
        <w:t>%</w:t>
      </w:r>
      <w:r w:rsidRPr="00C63562" w:rsidR="00F53064">
        <w:rPr>
          <w:szCs w:val="22"/>
        </w:rPr>
        <w:t xml:space="preserve">, with </w:t>
      </w:r>
      <w:r w:rsidRPr="00C63562" w:rsidR="00F53064">
        <w:rPr>
          <w:szCs w:val="22"/>
        </w:rPr>
        <w:t>Wafra</w:t>
      </w:r>
      <w:r w:rsidRPr="00C63562" w:rsidR="00F53064">
        <w:rPr>
          <w:szCs w:val="22"/>
        </w:rPr>
        <w:t xml:space="preserve"> entitled to receive between 19.8% and 21.4%.</w:t>
      </w:r>
      <w:r>
        <w:rPr>
          <w:rStyle w:val="FootnoteReference"/>
          <w:szCs w:val="22"/>
        </w:rPr>
        <w:footnoteReference w:id="31"/>
      </w:r>
      <w:r w:rsidRPr="00C63562" w:rsidR="00F53064">
        <w:rPr>
          <w:szCs w:val="22"/>
        </w:rPr>
        <w:t xml:space="preserve"> </w:t>
      </w:r>
      <w:r w:rsidR="00C63562">
        <w:rPr>
          <w:szCs w:val="22"/>
        </w:rPr>
        <w:t xml:space="preserve"> Applicants further </w:t>
      </w:r>
      <w:r w:rsidRPr="00C63562" w:rsidR="00C63562">
        <w:rPr>
          <w:szCs w:val="22"/>
        </w:rPr>
        <w:t>state that</w:t>
      </w:r>
      <w:r w:rsidR="00294417">
        <w:rPr>
          <w:szCs w:val="22"/>
        </w:rPr>
        <w:t xml:space="preserve"> </w:t>
      </w:r>
      <w:r w:rsidRPr="00C63562" w:rsidR="00C63562">
        <w:rPr>
          <w:szCs w:val="22"/>
        </w:rPr>
        <w:t>Holdings will be governed by a seven-member Board of Managers</w:t>
      </w:r>
      <w:r w:rsidR="00294417">
        <w:rPr>
          <w:szCs w:val="22"/>
        </w:rPr>
        <w:t xml:space="preserve"> designated by</w:t>
      </w:r>
      <w:r w:rsidRPr="00C63562" w:rsidR="00C63562">
        <w:rPr>
          <w:szCs w:val="22"/>
        </w:rPr>
        <w:t xml:space="preserve"> </w:t>
      </w:r>
      <w:r w:rsidRPr="00C63562" w:rsidR="00C63562">
        <w:rPr>
          <w:szCs w:val="22"/>
        </w:rPr>
        <w:t>Yount</w:t>
      </w:r>
      <w:r w:rsidRPr="00C63562" w:rsidR="00C63562">
        <w:rPr>
          <w:szCs w:val="22"/>
        </w:rPr>
        <w:t>, PRSOF</w:t>
      </w:r>
      <w:r w:rsidR="00C63562">
        <w:rPr>
          <w:szCs w:val="22"/>
        </w:rPr>
        <w:t xml:space="preserve"> II, and WRA II.</w:t>
      </w:r>
      <w:r>
        <w:rPr>
          <w:rStyle w:val="FootnoteReference"/>
          <w:szCs w:val="22"/>
        </w:rPr>
        <w:footnoteReference w:id="32"/>
      </w:r>
      <w:r w:rsidR="00C63562">
        <w:rPr>
          <w:szCs w:val="22"/>
        </w:rPr>
        <w:t xml:space="preserve">  </w:t>
      </w:r>
    </w:p>
    <w:p w:rsidR="004B79AF" w:rsidP="00C63562" w14:paraId="16A559EA" w14:textId="5F579D8A">
      <w:pPr>
        <w:autoSpaceDE w:val="0"/>
        <w:autoSpaceDN w:val="0"/>
        <w:adjustRightInd w:val="0"/>
        <w:spacing w:after="120"/>
        <w:ind w:firstLine="720"/>
        <w:rPr>
          <w:szCs w:val="22"/>
        </w:rPr>
      </w:pPr>
      <w:r>
        <w:rPr>
          <w:szCs w:val="22"/>
        </w:rPr>
        <w:t>Applicants state that, f</w:t>
      </w:r>
      <w:r w:rsidRPr="00C63562" w:rsidR="00A742B2">
        <w:rPr>
          <w:szCs w:val="22"/>
        </w:rPr>
        <w:t>ollowing consummation of the proposed transaction</w:t>
      </w:r>
      <w:r w:rsidR="00427CD0">
        <w:rPr>
          <w:szCs w:val="22"/>
        </w:rPr>
        <w:t>,</w:t>
      </w:r>
      <w:r w:rsidRPr="00C63562" w:rsidR="00A742B2">
        <w:rPr>
          <w:szCs w:val="22"/>
        </w:rPr>
        <w:t xml:space="preserve"> WRA II will be directly and indirectly held by WRA II-Pioneer (</w:t>
      </w:r>
      <w:r w:rsidRPr="00C63562" w:rsidR="00A742B2">
        <w:rPr>
          <w:rFonts w:eastAsia="Segoe UI Emoji"/>
          <w:szCs w:val="22"/>
        </w:rPr>
        <w:t>B) LLC (WRA II (B)), a Delaware holding compan</w:t>
      </w:r>
      <w:r w:rsidR="009E7C76">
        <w:rPr>
          <w:rFonts w:eastAsia="Segoe UI Emoji"/>
          <w:szCs w:val="22"/>
        </w:rPr>
        <w:t>y</w:t>
      </w:r>
      <w:r w:rsidRPr="00C63562" w:rsidR="00A742B2">
        <w:rPr>
          <w:rFonts w:eastAsia="Segoe UI Emoji"/>
          <w:szCs w:val="22"/>
        </w:rPr>
        <w:t>.</w:t>
      </w:r>
      <w:r>
        <w:rPr>
          <w:rStyle w:val="FootnoteReference"/>
          <w:rFonts w:eastAsia="Segoe UI Emoji"/>
          <w:szCs w:val="22"/>
        </w:rPr>
        <w:footnoteReference w:id="33"/>
      </w:r>
      <w:r w:rsidRPr="00C63562" w:rsidR="00A742B2">
        <w:rPr>
          <w:rFonts w:eastAsia="Segoe UI Emoji"/>
          <w:szCs w:val="22"/>
        </w:rPr>
        <w:t xml:space="preserve">  WRA II</w:t>
      </w:r>
      <w:r w:rsidR="00D44AFB">
        <w:rPr>
          <w:rFonts w:eastAsia="Segoe UI Emoji"/>
          <w:szCs w:val="22"/>
        </w:rPr>
        <w:t xml:space="preserve"> (B)</w:t>
      </w:r>
      <w:r w:rsidRPr="00C63562" w:rsidR="00A742B2">
        <w:rPr>
          <w:rFonts w:eastAsia="Segoe UI Emoji"/>
          <w:szCs w:val="22"/>
        </w:rPr>
        <w:t xml:space="preserve"> is controlled by </w:t>
      </w:r>
      <w:r w:rsidRPr="00C63562" w:rsidR="00A742B2">
        <w:rPr>
          <w:rFonts w:eastAsia="Segoe UI Emoji"/>
          <w:szCs w:val="22"/>
        </w:rPr>
        <w:t>Wafra</w:t>
      </w:r>
      <w:r w:rsidRPr="00C63562" w:rsidR="00A742B2">
        <w:rPr>
          <w:rFonts w:eastAsia="Segoe UI Emoji"/>
          <w:szCs w:val="22"/>
        </w:rPr>
        <w:t xml:space="preserve"> Real Assets &amp; Infrastr</w:t>
      </w:r>
      <w:r w:rsidR="00D44AFB">
        <w:rPr>
          <w:rFonts w:eastAsia="Segoe UI Emoji"/>
          <w:szCs w:val="22"/>
        </w:rPr>
        <w:t>u</w:t>
      </w:r>
      <w:r w:rsidRPr="00C63562" w:rsidR="00A742B2">
        <w:rPr>
          <w:rFonts w:eastAsia="Segoe UI Emoji"/>
          <w:szCs w:val="22"/>
        </w:rPr>
        <w:t>cture Fund II LP, a Bermuda investment business, which, in turn, is controlled by WRAIF II GP LLC, a Delaware investment business</w:t>
      </w:r>
      <w:r w:rsidR="00427CD0">
        <w:rPr>
          <w:rFonts w:eastAsia="Segoe UI Emoji"/>
          <w:szCs w:val="22"/>
        </w:rPr>
        <w:t>.</w:t>
      </w:r>
      <w:r>
        <w:rPr>
          <w:rStyle w:val="FootnoteReference"/>
          <w:rFonts w:eastAsia="Segoe UI Emoji"/>
          <w:szCs w:val="22"/>
        </w:rPr>
        <w:footnoteReference w:id="34"/>
      </w:r>
      <w:r w:rsidRPr="00C63562" w:rsidR="00D957E3">
        <w:rPr>
          <w:rFonts w:eastAsia="Segoe UI Emoji"/>
          <w:szCs w:val="22"/>
        </w:rPr>
        <w:t xml:space="preserve">  </w:t>
      </w:r>
      <w:r w:rsidRPr="00C63562" w:rsidR="0079688A">
        <w:rPr>
          <w:rFonts w:eastAsia="Segoe UI Emoji"/>
          <w:szCs w:val="22"/>
        </w:rPr>
        <w:t xml:space="preserve">Economic ownership of </w:t>
      </w:r>
      <w:r w:rsidRPr="00C63562" w:rsidR="00D957E3">
        <w:rPr>
          <w:rFonts w:eastAsia="Segoe UI Emoji"/>
          <w:szCs w:val="22"/>
        </w:rPr>
        <w:t xml:space="preserve">WRAIF II GP LLC is held by </w:t>
      </w:r>
      <w:r w:rsidRPr="00C63562" w:rsidR="00D957E3">
        <w:rPr>
          <w:rFonts w:eastAsia="Segoe UI Emoji"/>
          <w:szCs w:val="22"/>
        </w:rPr>
        <w:t>Wafra</w:t>
      </w:r>
      <w:r w:rsidRPr="00C63562" w:rsidR="00D957E3">
        <w:rPr>
          <w:rFonts w:eastAsia="Segoe UI Emoji"/>
          <w:szCs w:val="22"/>
        </w:rPr>
        <w:t xml:space="preserve"> Advisors LLC (60% economic interest)</w:t>
      </w:r>
      <w:r w:rsidRPr="00C63562" w:rsidR="0079688A">
        <w:rPr>
          <w:rFonts w:eastAsia="Segoe UI Emoji"/>
          <w:szCs w:val="22"/>
        </w:rPr>
        <w:t xml:space="preserve"> and</w:t>
      </w:r>
      <w:r w:rsidRPr="00C63562" w:rsidR="00D957E3">
        <w:rPr>
          <w:rFonts w:eastAsia="Segoe UI Emoji"/>
          <w:szCs w:val="22"/>
        </w:rPr>
        <w:t xml:space="preserve"> </w:t>
      </w:r>
      <w:r w:rsidRPr="00C63562" w:rsidR="00D957E3">
        <w:rPr>
          <w:rFonts w:eastAsia="Segoe UI Emoji"/>
          <w:szCs w:val="22"/>
        </w:rPr>
        <w:t>Wafra</w:t>
      </w:r>
      <w:r w:rsidRPr="00C63562" w:rsidR="00D957E3">
        <w:rPr>
          <w:rFonts w:eastAsia="Segoe UI Emoji"/>
          <w:szCs w:val="22"/>
        </w:rPr>
        <w:t xml:space="preserve"> AID LLC (40% economic interest)</w:t>
      </w:r>
      <w:r w:rsidRPr="00C63562" w:rsidR="0079688A">
        <w:rPr>
          <w:rFonts w:eastAsia="Segoe UI Emoji"/>
          <w:szCs w:val="22"/>
        </w:rPr>
        <w:t>, and control of WRAIF II GP LLC resides with its managing member</w:t>
      </w:r>
      <w:r w:rsidR="00427CD0">
        <w:rPr>
          <w:rFonts w:eastAsia="Segoe UI Emoji"/>
          <w:szCs w:val="22"/>
        </w:rPr>
        <w:t>,</w:t>
      </w:r>
      <w:r w:rsidRPr="00C63562" w:rsidR="0079688A">
        <w:rPr>
          <w:rFonts w:eastAsia="Segoe UI Emoji"/>
          <w:szCs w:val="22"/>
        </w:rPr>
        <w:t xml:space="preserve"> </w:t>
      </w:r>
      <w:r w:rsidRPr="00C63562" w:rsidR="0079688A">
        <w:rPr>
          <w:rFonts w:eastAsia="Segoe UI Emoji"/>
          <w:szCs w:val="22"/>
        </w:rPr>
        <w:t>Wafra</w:t>
      </w:r>
      <w:r w:rsidRPr="00C63562" w:rsidR="0079688A">
        <w:rPr>
          <w:rFonts w:eastAsia="Segoe UI Emoji"/>
          <w:szCs w:val="22"/>
        </w:rPr>
        <w:t xml:space="preserve"> AID Inc., a Delaware holding company.</w:t>
      </w:r>
      <w:r>
        <w:rPr>
          <w:rStyle w:val="FootnoteReference"/>
          <w:rFonts w:eastAsia="Segoe UI Emoji"/>
          <w:szCs w:val="22"/>
        </w:rPr>
        <w:footnoteReference w:id="35"/>
      </w:r>
      <w:r w:rsidRPr="00C63562" w:rsidR="0079688A">
        <w:rPr>
          <w:rFonts w:eastAsia="Segoe UI Emoji"/>
          <w:szCs w:val="22"/>
        </w:rPr>
        <w:t xml:space="preserve">  </w:t>
      </w:r>
      <w:r w:rsidRPr="00C63562" w:rsidR="0079688A">
        <w:rPr>
          <w:rFonts w:eastAsia="Segoe UI Emoji"/>
          <w:szCs w:val="22"/>
        </w:rPr>
        <w:t>Wafra</w:t>
      </w:r>
      <w:r w:rsidRPr="00C63562" w:rsidR="0079688A">
        <w:rPr>
          <w:rFonts w:eastAsia="Segoe UI Emoji"/>
          <w:szCs w:val="22"/>
        </w:rPr>
        <w:t xml:space="preserve"> AID </w:t>
      </w:r>
      <w:r w:rsidR="00253FC4">
        <w:rPr>
          <w:rFonts w:eastAsia="Segoe UI Emoji"/>
          <w:szCs w:val="22"/>
        </w:rPr>
        <w:t xml:space="preserve">Inc. </w:t>
      </w:r>
      <w:r w:rsidRPr="00C63562" w:rsidR="0079688A">
        <w:rPr>
          <w:rFonts w:eastAsia="Segoe UI Emoji"/>
          <w:szCs w:val="22"/>
        </w:rPr>
        <w:t xml:space="preserve">is wholly owned by </w:t>
      </w:r>
      <w:r w:rsidRPr="00C63562" w:rsidR="0079688A">
        <w:rPr>
          <w:rFonts w:eastAsia="Segoe UI Emoji"/>
          <w:szCs w:val="22"/>
        </w:rPr>
        <w:t>Wafra</w:t>
      </w:r>
      <w:r w:rsidRPr="00C63562" w:rsidR="0079688A">
        <w:rPr>
          <w:rFonts w:eastAsia="Segoe UI Emoji"/>
          <w:szCs w:val="22"/>
        </w:rPr>
        <w:t xml:space="preserve"> Funds GP Inc., which, in turn is wholly owned by </w:t>
      </w:r>
      <w:r w:rsidRPr="00C63562" w:rsidR="0079688A">
        <w:rPr>
          <w:rFonts w:eastAsia="Segoe UI Emoji"/>
          <w:szCs w:val="22"/>
        </w:rPr>
        <w:t>Wafra</w:t>
      </w:r>
      <w:r w:rsidRPr="00C63562" w:rsidR="0079688A">
        <w:rPr>
          <w:rFonts w:eastAsia="Segoe UI Emoji"/>
          <w:szCs w:val="22"/>
        </w:rPr>
        <w:t xml:space="preserve"> Inc</w:t>
      </w:r>
      <w:r w:rsidR="00253FC4">
        <w:rPr>
          <w:rFonts w:eastAsia="Segoe UI Emoji"/>
          <w:szCs w:val="22"/>
        </w:rPr>
        <w:t>.</w:t>
      </w:r>
      <w:r w:rsidRPr="00C63562" w:rsidR="0079688A">
        <w:rPr>
          <w:rFonts w:eastAsia="Segoe UI Emoji"/>
          <w:szCs w:val="22"/>
        </w:rPr>
        <w:t xml:space="preserve">, </w:t>
      </w:r>
      <w:r>
        <w:rPr>
          <w:rFonts w:eastAsia="Segoe UI Emoji"/>
          <w:szCs w:val="22"/>
        </w:rPr>
        <w:t>both Del</w:t>
      </w:r>
      <w:r w:rsidR="00253FC4">
        <w:rPr>
          <w:rFonts w:eastAsia="Segoe UI Emoji"/>
          <w:szCs w:val="22"/>
        </w:rPr>
        <w:t>a</w:t>
      </w:r>
      <w:r>
        <w:rPr>
          <w:rFonts w:eastAsia="Segoe UI Emoji"/>
          <w:szCs w:val="22"/>
        </w:rPr>
        <w:t>ware entities.</w:t>
      </w:r>
      <w:r>
        <w:rPr>
          <w:rStyle w:val="FootnoteReference"/>
          <w:rFonts w:eastAsia="Segoe UI Emoji"/>
          <w:szCs w:val="22"/>
        </w:rPr>
        <w:footnoteReference w:id="36"/>
      </w:r>
      <w:r w:rsidRPr="00C63562" w:rsidR="0079688A">
        <w:rPr>
          <w:rFonts w:eastAsia="Segoe UI Emoji"/>
          <w:szCs w:val="22"/>
        </w:rPr>
        <w:t xml:space="preserve">  </w:t>
      </w:r>
      <w:r w:rsidRPr="00C63562" w:rsidR="0079688A">
        <w:rPr>
          <w:rFonts w:eastAsia="Segoe UI Emoji"/>
          <w:szCs w:val="22"/>
        </w:rPr>
        <w:t>Wafra</w:t>
      </w:r>
      <w:r w:rsidRPr="00C63562" w:rsidR="0079688A">
        <w:rPr>
          <w:rFonts w:eastAsia="Segoe UI Emoji"/>
          <w:szCs w:val="22"/>
        </w:rPr>
        <w:t xml:space="preserve"> Inc. is wholly owned by </w:t>
      </w:r>
      <w:r w:rsidRPr="00C63562" w:rsidR="0079688A">
        <w:rPr>
          <w:rFonts w:eastAsia="Segoe UI Emoji"/>
          <w:szCs w:val="22"/>
        </w:rPr>
        <w:t>Wafra</w:t>
      </w:r>
      <w:r w:rsidRPr="00C63562" w:rsidR="0079688A">
        <w:rPr>
          <w:rFonts w:eastAsia="Segoe UI Emoji"/>
          <w:szCs w:val="22"/>
        </w:rPr>
        <w:t xml:space="preserve"> </w:t>
      </w:r>
      <w:r w:rsidRPr="00C63562" w:rsidR="0079688A">
        <w:rPr>
          <w:rFonts w:eastAsia="Segoe UI Emoji"/>
          <w:szCs w:val="22"/>
        </w:rPr>
        <w:t>InterVest</w:t>
      </w:r>
      <w:r w:rsidRPr="00C63562" w:rsidR="0079688A">
        <w:rPr>
          <w:rFonts w:eastAsia="Segoe UI Emoji"/>
          <w:szCs w:val="22"/>
        </w:rPr>
        <w:t xml:space="preserve"> Corporation Ltd., a Bermuda holding company, which, in turn, is wholly owned by </w:t>
      </w:r>
      <w:r w:rsidRPr="00C63562" w:rsidR="0079688A">
        <w:rPr>
          <w:rFonts w:eastAsia="Segoe UI Emoji"/>
          <w:szCs w:val="22"/>
        </w:rPr>
        <w:t>Wafra</w:t>
      </w:r>
      <w:r w:rsidRPr="00C63562" w:rsidR="0079688A">
        <w:rPr>
          <w:rFonts w:eastAsia="Segoe UI Emoji"/>
          <w:szCs w:val="22"/>
        </w:rPr>
        <w:t xml:space="preserve"> International Investment Company </w:t>
      </w:r>
      <w:r w:rsidRPr="00C63562" w:rsidR="0079688A">
        <w:rPr>
          <w:rFonts w:eastAsia="Segoe UI Emoji"/>
          <w:szCs w:val="22"/>
        </w:rPr>
        <w:t>K.S.C.C. (</w:t>
      </w:r>
      <w:r w:rsidRPr="00C63562" w:rsidR="0079688A">
        <w:rPr>
          <w:rFonts w:eastAsia="Segoe UI Emoji"/>
          <w:szCs w:val="22"/>
        </w:rPr>
        <w:t>Wafra</w:t>
      </w:r>
      <w:r w:rsidRPr="00C63562" w:rsidR="0079688A">
        <w:rPr>
          <w:rFonts w:eastAsia="Segoe UI Emoji"/>
          <w:szCs w:val="22"/>
        </w:rPr>
        <w:t xml:space="preserve"> International), a Kuwait holding company.</w:t>
      </w:r>
      <w:r>
        <w:rPr>
          <w:rStyle w:val="FootnoteReference"/>
          <w:rFonts w:eastAsia="Segoe UI Emoji"/>
          <w:szCs w:val="22"/>
        </w:rPr>
        <w:footnoteReference w:id="37"/>
      </w:r>
      <w:r w:rsidRPr="00C63562" w:rsidR="0079688A">
        <w:rPr>
          <w:rFonts w:eastAsia="Segoe UI Emoji"/>
          <w:szCs w:val="22"/>
        </w:rPr>
        <w:t xml:space="preserve">  </w:t>
      </w:r>
      <w:r w:rsidRPr="00C63562" w:rsidR="0079688A">
        <w:rPr>
          <w:rFonts w:eastAsia="Segoe UI Emoji"/>
          <w:szCs w:val="22"/>
        </w:rPr>
        <w:t>Wafra</w:t>
      </w:r>
      <w:r w:rsidRPr="00C63562" w:rsidR="0079688A">
        <w:rPr>
          <w:rFonts w:eastAsia="Segoe UI Emoji"/>
          <w:szCs w:val="22"/>
        </w:rPr>
        <w:t xml:space="preserve"> International and economic ownership of WRAIF II is held by the Public Institution for Social Security, an </w:t>
      </w:r>
      <w:r w:rsidRPr="00C63562" w:rsidR="00294417">
        <w:rPr>
          <w:rFonts w:eastAsia="Segoe UI Emoji"/>
          <w:szCs w:val="22"/>
        </w:rPr>
        <w:t>autonomous</w:t>
      </w:r>
      <w:r w:rsidRPr="00C63562" w:rsidR="0079688A">
        <w:rPr>
          <w:rFonts w:eastAsia="Segoe UI Emoji"/>
          <w:szCs w:val="22"/>
        </w:rPr>
        <w:t xml:space="preserve"> agency of the Government of Kuwait.</w:t>
      </w:r>
      <w:r>
        <w:rPr>
          <w:rStyle w:val="FootnoteReference"/>
          <w:rFonts w:eastAsia="Segoe UI Emoji"/>
          <w:szCs w:val="22"/>
        </w:rPr>
        <w:footnoteReference w:id="38"/>
      </w:r>
      <w:r w:rsidRPr="00C63562" w:rsidR="00C63562">
        <w:rPr>
          <w:szCs w:val="22"/>
        </w:rPr>
        <w:t xml:space="preserve">  </w:t>
      </w:r>
      <w:r w:rsidRPr="00C63562" w:rsidR="0079688A">
        <w:rPr>
          <w:szCs w:val="22"/>
        </w:rPr>
        <w:t xml:space="preserve">Applicants state </w:t>
      </w:r>
      <w:r w:rsidR="007F17C0">
        <w:rPr>
          <w:szCs w:val="22"/>
        </w:rPr>
        <w:t xml:space="preserve">that </w:t>
      </w:r>
      <w:r w:rsidRPr="00C63562" w:rsidR="0079688A">
        <w:rPr>
          <w:szCs w:val="22"/>
        </w:rPr>
        <w:t>no additional individuals or entities will own or control 10% or more equity or voting interest, directly or indirectly, in IIG following consummation of the proposed transaction.</w:t>
      </w:r>
      <w:r>
        <w:rPr>
          <w:rStyle w:val="FootnoteReference"/>
          <w:szCs w:val="22"/>
        </w:rPr>
        <w:footnoteReference w:id="39"/>
      </w:r>
    </w:p>
    <w:p w:rsidR="000E0D44" w:rsidP="00BC75A3" w14:paraId="45C106BC" w14:textId="79637091">
      <w:pPr>
        <w:autoSpaceDE w:val="0"/>
        <w:autoSpaceDN w:val="0"/>
        <w:adjustRightInd w:val="0"/>
        <w:spacing w:after="120"/>
        <w:ind w:firstLine="720"/>
        <w:rPr>
          <w:bCs/>
          <w:szCs w:val="22"/>
        </w:rPr>
      </w:pPr>
      <w:r w:rsidRPr="00210404">
        <w:rPr>
          <w:bCs/>
          <w:szCs w:val="22"/>
        </w:rPr>
        <w:t>Applicants request streamlined treatment of the proposed transaction under the Commission’s rules and assert that a grant of the application would serve the public interest, convenience, and necessity.</w:t>
      </w:r>
      <w:r>
        <w:rPr>
          <w:rStyle w:val="FootnoteReference"/>
          <w:bCs/>
          <w:szCs w:val="22"/>
        </w:rPr>
        <w:footnoteReference w:id="40"/>
      </w:r>
      <w:r w:rsidRPr="00210404">
        <w:rPr>
          <w:bCs/>
          <w:szCs w:val="22"/>
        </w:rPr>
        <w:t xml:space="preserve">  </w:t>
      </w:r>
      <w:r w:rsidRPr="008F4FC7" w:rsidR="00BC75A3">
        <w:rPr>
          <w:bCs/>
          <w:szCs w:val="22"/>
        </w:rPr>
        <w:t>Because the proposed transaction is more complex than those accepted for streamlined treatment, and in order to analyze whether the proposed transaction would serve the public interest, we accept the Application for non-streamlined processing.</w:t>
      </w:r>
      <w:r>
        <w:rPr>
          <w:bCs/>
          <w:szCs w:val="22"/>
          <w:vertAlign w:val="superscript"/>
        </w:rPr>
        <w:footnoteReference w:id="41"/>
      </w:r>
    </w:p>
    <w:p w:rsidR="009E1566" w:rsidRPr="007F17C0" w:rsidP="009E32B3" w14:paraId="4843A153" w14:textId="436A9A95">
      <w:pPr>
        <w:autoSpaceDE w:val="0"/>
        <w:autoSpaceDN w:val="0"/>
        <w:adjustRightInd w:val="0"/>
        <w:spacing w:after="120"/>
        <w:ind w:firstLine="720"/>
      </w:pPr>
      <w:r w:rsidRPr="00AD7597">
        <w:rPr>
          <w:u w:val="single"/>
        </w:rPr>
        <w:t>Referral to Executive Branch Agencies.</w:t>
      </w:r>
      <w:r w:rsidRPr="007F17C0">
        <w:t xml:space="preserve"> </w:t>
      </w:r>
      <w:r w:rsidRPr="007F17C0" w:rsidR="00467EDC">
        <w:t xml:space="preserve"> </w:t>
      </w:r>
      <w:r w:rsidR="00414726">
        <w:t>Pursuant to</w:t>
      </w:r>
      <w:r w:rsidRPr="007F17C0">
        <w:t xml:space="preserve"> Commission practice, the Application and the associated international application, </w:t>
      </w:r>
      <w:r w:rsidRPr="007F17C0" w:rsidR="2AC3D439">
        <w:t>FCC File Nos. ITC-214-20191115-00181 and ITC-214-20191220-00200</w:t>
      </w:r>
      <w:r w:rsidRPr="007F17C0" w:rsidR="5A4CF752">
        <w:t>,</w:t>
      </w:r>
      <w:r w:rsidRPr="007F17C0" w:rsidR="2AC3D439">
        <w:t xml:space="preserve"> </w:t>
      </w:r>
      <w:r w:rsidRPr="007F17C0">
        <w:t>are being referred to the relevant Executive Branch agencies for their views on any national security, law enforcement, foreign policy, or trade policy concerns related to the foreign ownership of the Applicants.</w:t>
      </w:r>
      <w:r>
        <w:rPr>
          <w:rStyle w:val="FootnoteReference"/>
        </w:rPr>
        <w:footnoteReference w:id="42"/>
      </w:r>
    </w:p>
    <w:p w:rsidR="0022673B" w:rsidP="008A103A" w14:paraId="39CAE03C" w14:textId="77777777">
      <w:pPr>
        <w:ind w:left="720"/>
        <w:rPr>
          <w:szCs w:val="22"/>
        </w:rPr>
      </w:pPr>
      <w:r w:rsidRPr="00AD440B">
        <w:rPr>
          <w:szCs w:val="22"/>
        </w:rPr>
        <w:t xml:space="preserve">Domestic Section 214 Application Filed for the </w:t>
      </w:r>
      <w:r w:rsidR="009E32B3">
        <w:rPr>
          <w:szCs w:val="22"/>
        </w:rPr>
        <w:t xml:space="preserve">Transfer of Control of </w:t>
      </w:r>
    </w:p>
    <w:p w:rsidR="007F55F8" w:rsidP="008A103A" w14:paraId="69E524F4" w14:textId="77777777">
      <w:pPr>
        <w:ind w:left="720"/>
        <w:rPr>
          <w:szCs w:val="22"/>
        </w:rPr>
      </w:pPr>
      <w:r w:rsidRPr="007F55F8">
        <w:rPr>
          <w:szCs w:val="22"/>
        </w:rPr>
        <w:t>Intermountain Infrastructure Group, L</w:t>
      </w:r>
      <w:r>
        <w:rPr>
          <w:szCs w:val="22"/>
        </w:rPr>
        <w:t>LC f</w:t>
      </w:r>
      <w:r w:rsidRPr="007F55F8">
        <w:rPr>
          <w:szCs w:val="22"/>
        </w:rPr>
        <w:t xml:space="preserve">rom Jeffrey </w:t>
      </w:r>
      <w:r w:rsidRPr="007F55F8">
        <w:rPr>
          <w:szCs w:val="22"/>
        </w:rPr>
        <w:t>Yount</w:t>
      </w:r>
      <w:r w:rsidRPr="007F55F8">
        <w:rPr>
          <w:szCs w:val="22"/>
        </w:rPr>
        <w:t xml:space="preserve"> </w:t>
      </w:r>
      <w:r>
        <w:rPr>
          <w:szCs w:val="22"/>
        </w:rPr>
        <w:t>t</w:t>
      </w:r>
      <w:r w:rsidRPr="007F55F8">
        <w:rPr>
          <w:szCs w:val="22"/>
        </w:rPr>
        <w:t xml:space="preserve">o </w:t>
      </w:r>
    </w:p>
    <w:p w:rsidR="00AD440B" w:rsidRPr="00AD440B" w:rsidP="008A103A" w14:paraId="4B25CF0E" w14:textId="771DBC9C">
      <w:pPr>
        <w:ind w:left="720"/>
      </w:pPr>
      <w:r>
        <w:t>WRA II-Pioneer (S) LLC,</w:t>
      </w:r>
      <w:r w:rsidRPr="19A056DB">
        <w:rPr>
          <w:b/>
          <w:bCs/>
        </w:rPr>
        <w:t xml:space="preserve"> </w:t>
      </w:r>
      <w:r w:rsidR="000C1460">
        <w:t>WC Docket No. 2</w:t>
      </w:r>
      <w:r w:rsidR="0022673B">
        <w:t>3</w:t>
      </w:r>
      <w:r w:rsidR="000C1460">
        <w:t>-</w:t>
      </w:r>
      <w:r>
        <w:t>8</w:t>
      </w:r>
      <w:r w:rsidR="00E5147B">
        <w:t>5</w:t>
      </w:r>
      <w:r w:rsidR="000C1460">
        <w:t xml:space="preserve"> (filed </w:t>
      </w:r>
      <w:r>
        <w:t>Mar</w:t>
      </w:r>
      <w:r w:rsidR="00617093">
        <w:t>.</w:t>
      </w:r>
      <w:r w:rsidR="000C1460">
        <w:t xml:space="preserve"> </w:t>
      </w:r>
      <w:r>
        <w:t>6</w:t>
      </w:r>
      <w:r w:rsidR="000C1460">
        <w:t>, 202</w:t>
      </w:r>
      <w:r w:rsidR="0022673B">
        <w:t>3</w:t>
      </w:r>
      <w:r w:rsidR="000C1460">
        <w:t>).</w:t>
      </w:r>
    </w:p>
    <w:p w:rsidR="00AD440B" w:rsidRPr="00AD440B" w:rsidP="00AD440B" w14:paraId="04851CA3" w14:textId="77777777">
      <w:pPr>
        <w:widowControl w:val="0"/>
        <w:rPr>
          <w:snapToGrid w:val="0"/>
          <w:kern w:val="28"/>
          <w:szCs w:val="22"/>
        </w:rPr>
      </w:pPr>
    </w:p>
    <w:p w:rsidR="00AD440B" w:rsidRPr="00AD440B" w:rsidP="00AD440B" w14:paraId="01A856CF" w14:textId="77777777">
      <w:pPr>
        <w:autoSpaceDE w:val="0"/>
        <w:autoSpaceDN w:val="0"/>
        <w:adjustRightInd w:val="0"/>
        <w:rPr>
          <w:szCs w:val="22"/>
        </w:rPr>
      </w:pPr>
      <w:r w:rsidRPr="00AD440B">
        <w:rPr>
          <w:b/>
          <w:szCs w:val="22"/>
          <w:u w:val="single"/>
        </w:rPr>
        <w:t>GENERAL INFORMATION</w:t>
      </w:r>
    </w:p>
    <w:p w:rsidR="00AD440B" w:rsidRPr="00AD440B" w:rsidP="00AD440B" w14:paraId="32170284" w14:textId="77777777">
      <w:pPr>
        <w:autoSpaceDE w:val="0"/>
        <w:autoSpaceDN w:val="0"/>
        <w:adjustRightInd w:val="0"/>
        <w:rPr>
          <w:szCs w:val="22"/>
        </w:rPr>
      </w:pPr>
    </w:p>
    <w:p w:rsidR="00A3611A" w:rsidP="00A3611A" w14:paraId="54B88DCB" w14:textId="4AA11E6C">
      <w:pPr>
        <w:autoSpaceDE w:val="0"/>
        <w:autoSpaceDN w:val="0"/>
        <w:adjustRightInd w:val="0"/>
        <w:spacing w:after="120"/>
        <w:ind w:firstLine="720"/>
        <w:rPr>
          <w:szCs w:val="22"/>
        </w:rPr>
      </w:pPr>
      <w:r w:rsidRPr="00A67395">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A3611A" w:rsidRPr="00A67395" w:rsidP="00A3611A" w14:paraId="4AE88E91" w14:textId="61B8D3F1">
      <w:pPr>
        <w:autoSpaceDE w:val="0"/>
        <w:autoSpaceDN w:val="0"/>
        <w:adjustRightInd w:val="0"/>
        <w:spacing w:after="120"/>
        <w:ind w:firstLine="720"/>
        <w:rPr>
          <w:szCs w:val="22"/>
        </w:rPr>
      </w:pPr>
      <w:r w:rsidRPr="00A67395">
        <w:rPr>
          <w:szCs w:val="22"/>
        </w:rPr>
        <w:t xml:space="preserve">Interested parties may file comments </w:t>
      </w:r>
      <w:r w:rsidRPr="00A67395">
        <w:rPr>
          <w:b/>
          <w:szCs w:val="22"/>
        </w:rPr>
        <w:t xml:space="preserve">on or before </w:t>
      </w:r>
      <w:r w:rsidR="00176D10">
        <w:rPr>
          <w:b/>
          <w:szCs w:val="22"/>
        </w:rPr>
        <w:t>April</w:t>
      </w:r>
      <w:r w:rsidRPr="00077C7A">
        <w:rPr>
          <w:b/>
          <w:szCs w:val="22"/>
        </w:rPr>
        <w:t xml:space="preserve"> </w:t>
      </w:r>
      <w:r w:rsidR="00176D10">
        <w:rPr>
          <w:b/>
          <w:szCs w:val="22"/>
        </w:rPr>
        <w:t>1</w:t>
      </w:r>
      <w:r w:rsidR="00941B8B">
        <w:rPr>
          <w:b/>
          <w:szCs w:val="22"/>
        </w:rPr>
        <w:t>8</w:t>
      </w:r>
      <w:r w:rsidRPr="00077C7A">
        <w:rPr>
          <w:b/>
          <w:szCs w:val="22"/>
        </w:rPr>
        <w:t>, 202</w:t>
      </w:r>
      <w:r>
        <w:rPr>
          <w:b/>
          <w:szCs w:val="22"/>
        </w:rPr>
        <w:t>3</w:t>
      </w:r>
      <w:r w:rsidRPr="00077C7A">
        <w:rPr>
          <w:szCs w:val="22"/>
        </w:rPr>
        <w:t xml:space="preserve">, and reply comments </w:t>
      </w:r>
      <w:r w:rsidRPr="00077C7A">
        <w:rPr>
          <w:b/>
          <w:szCs w:val="22"/>
        </w:rPr>
        <w:t xml:space="preserve">on or before </w:t>
      </w:r>
      <w:r w:rsidR="00176D10">
        <w:rPr>
          <w:b/>
          <w:szCs w:val="22"/>
        </w:rPr>
        <w:t>April 2</w:t>
      </w:r>
      <w:r w:rsidR="00941B8B">
        <w:rPr>
          <w:b/>
          <w:szCs w:val="22"/>
        </w:rPr>
        <w:t>5</w:t>
      </w:r>
      <w:r w:rsidRPr="00A67395">
        <w:rPr>
          <w:b/>
          <w:szCs w:val="22"/>
        </w:rPr>
        <w:t>, 202</w:t>
      </w:r>
      <w:r>
        <w:rPr>
          <w:b/>
          <w:szCs w:val="22"/>
        </w:rPr>
        <w:t>3</w:t>
      </w:r>
      <w:r w:rsidRPr="00A67395">
        <w:rPr>
          <w:szCs w:val="22"/>
        </w:rPr>
        <w:t>.  Comments may be filed using the Commission’s Electronic Comment Filing System (ECFS) or by paper.  </w:t>
      </w:r>
    </w:p>
    <w:p w:rsidR="00A3611A" w:rsidRPr="00A67395" w:rsidP="00A3611A" w14:paraId="56B232AE" w14:textId="77777777">
      <w:pPr>
        <w:widowControl w:val="0"/>
        <w:numPr>
          <w:ilvl w:val="0"/>
          <w:numId w:val="20"/>
        </w:numPr>
        <w:autoSpaceDE w:val="0"/>
        <w:autoSpaceDN w:val="0"/>
        <w:adjustRightInd w:val="0"/>
        <w:spacing w:after="120"/>
        <w:rPr>
          <w:szCs w:val="22"/>
        </w:rPr>
      </w:pPr>
      <w:r w:rsidRPr="00A67395">
        <w:rPr>
          <w:szCs w:val="22"/>
        </w:rPr>
        <w:t>Electronic Filers:  Comments may be filed electronically by accessing ECFS at </w:t>
      </w:r>
      <w:hyperlink r:id="rId8" w:history="1">
        <w:r w:rsidRPr="00A67395">
          <w:rPr>
            <w:color w:val="0000FF"/>
            <w:szCs w:val="22"/>
            <w:u w:val="single"/>
          </w:rPr>
          <w:t>http://apps.fcc.gov/ecfs/</w:t>
        </w:r>
      </w:hyperlink>
      <w:r w:rsidRPr="00A67395">
        <w:rPr>
          <w:szCs w:val="22"/>
          <w:u w:val="single"/>
        </w:rPr>
        <w:t xml:space="preserve"> </w:t>
      </w:r>
      <w:r w:rsidRPr="00A67395">
        <w:rPr>
          <w:szCs w:val="22"/>
        </w:rPr>
        <w:t>.</w:t>
      </w:r>
    </w:p>
    <w:p w:rsidR="00A3611A" w:rsidRPr="00A67395" w:rsidP="00A3611A" w14:paraId="0D4F2D88" w14:textId="77777777">
      <w:pPr>
        <w:widowControl w:val="0"/>
        <w:numPr>
          <w:ilvl w:val="0"/>
          <w:numId w:val="21"/>
        </w:numPr>
        <w:autoSpaceDE w:val="0"/>
        <w:autoSpaceDN w:val="0"/>
        <w:adjustRightInd w:val="0"/>
        <w:spacing w:after="120"/>
        <w:rPr>
          <w:szCs w:val="22"/>
        </w:rPr>
      </w:pPr>
      <w:r w:rsidRPr="00A67395">
        <w:rPr>
          <w:i/>
          <w:iCs/>
          <w:szCs w:val="22"/>
        </w:rPr>
        <w:t>Paper Filers</w:t>
      </w:r>
      <w:r w:rsidRPr="00A67395">
        <w:rPr>
          <w:szCs w:val="22"/>
        </w:rPr>
        <w:t xml:space="preserve">: Parties who choose to file by paper must file an original and one copy of each filing.  If more than one docket or rulemaking number appears in the caption of this proceeding, filers must submit two additional copies for each additional docket or </w:t>
      </w:r>
      <w:r w:rsidRPr="00A67395">
        <w:rPr>
          <w:szCs w:val="22"/>
        </w:rPr>
        <w:t>rulemaking number.</w:t>
      </w:r>
    </w:p>
    <w:p w:rsidR="00A3611A" w:rsidRPr="00A67395" w:rsidP="00A3611A" w14:paraId="31927899" w14:textId="77777777">
      <w:pPr>
        <w:widowControl w:val="0"/>
        <w:numPr>
          <w:ilvl w:val="1"/>
          <w:numId w:val="21"/>
        </w:numPr>
        <w:autoSpaceDE w:val="0"/>
        <w:autoSpaceDN w:val="0"/>
        <w:adjustRightInd w:val="0"/>
        <w:spacing w:after="120"/>
        <w:rPr>
          <w:szCs w:val="22"/>
        </w:rPr>
      </w:pPr>
      <w:r w:rsidRPr="00A67395">
        <w:rPr>
          <w:szCs w:val="22"/>
        </w:rPr>
        <w:t>Filings can be sent by commercial overnight courier or by first-class or overnight U.S. Postal Service mail.</w:t>
      </w:r>
      <w:r>
        <w:rPr>
          <w:szCs w:val="22"/>
          <w:vertAlign w:val="superscript"/>
        </w:rPr>
        <w:footnoteReference w:id="43"/>
      </w:r>
      <w:r w:rsidRPr="00A67395">
        <w:rPr>
          <w:szCs w:val="22"/>
        </w:rPr>
        <w:t xml:space="preserve">  All filings must be addressed to the Commission’s Secretary, Office of the Secretary, Federal Communications Commission.</w:t>
      </w:r>
    </w:p>
    <w:p w:rsidR="00A3611A" w:rsidRPr="00A67395" w:rsidP="00A3611A" w14:paraId="5B295647" w14:textId="77777777">
      <w:pPr>
        <w:widowControl w:val="0"/>
        <w:numPr>
          <w:ilvl w:val="1"/>
          <w:numId w:val="21"/>
        </w:numPr>
        <w:autoSpaceDE w:val="0"/>
        <w:autoSpaceDN w:val="0"/>
        <w:adjustRightInd w:val="0"/>
        <w:spacing w:after="120"/>
        <w:rPr>
          <w:szCs w:val="22"/>
        </w:rPr>
      </w:pPr>
      <w:r w:rsidRPr="00A67395">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A3611A" w:rsidP="00A3611A" w14:paraId="5BDFD3AF" w14:textId="77777777">
      <w:pPr>
        <w:autoSpaceDE w:val="0"/>
        <w:autoSpaceDN w:val="0"/>
        <w:adjustRightInd w:val="0"/>
        <w:spacing w:after="120"/>
        <w:ind w:firstLine="720"/>
        <w:rPr>
          <w:szCs w:val="22"/>
        </w:rPr>
      </w:pPr>
      <w:r w:rsidRPr="00A67395">
        <w:rPr>
          <w:szCs w:val="22"/>
        </w:rPr>
        <w:t>People with Disabilities:  We ask that requests for accommodations be made as soon as possible in order to allow the agency to satisfy such requests whenever possible.</w:t>
      </w:r>
      <w:r>
        <w:rPr>
          <w:szCs w:val="22"/>
        </w:rPr>
        <w:t xml:space="preserve"> </w:t>
      </w:r>
      <w:r w:rsidRPr="00A67395">
        <w:rPr>
          <w:szCs w:val="22"/>
        </w:rPr>
        <w:t xml:space="preserve"> Send an email to </w:t>
      </w:r>
      <w:hyperlink r:id="rId9" w:tgtFrame="_blank" w:history="1">
        <w:r w:rsidRPr="00A67395">
          <w:rPr>
            <w:color w:val="0000FF"/>
            <w:szCs w:val="22"/>
            <w:u w:val="single"/>
          </w:rPr>
          <w:t>fcc504@fcc.gov</w:t>
        </w:r>
      </w:hyperlink>
      <w:r w:rsidRPr="00A67395">
        <w:rPr>
          <w:szCs w:val="22"/>
        </w:rPr>
        <w:t> or call the Consumer and Governmental Affairs Bureau at (202) 418-0530.</w:t>
      </w:r>
    </w:p>
    <w:p w:rsidR="00A3611A" w:rsidRPr="00AD440B" w:rsidP="00A3611A" w14:paraId="34C8BE03" w14:textId="77777777">
      <w:pPr>
        <w:autoSpaceDE w:val="0"/>
        <w:autoSpaceDN w:val="0"/>
        <w:adjustRightInd w:val="0"/>
        <w:spacing w:after="120"/>
        <w:ind w:firstLine="720"/>
        <w:rPr>
          <w:b/>
          <w:szCs w:val="22"/>
        </w:rPr>
      </w:pPr>
      <w:r w:rsidRPr="00AD440B">
        <w:rPr>
          <w:b/>
          <w:szCs w:val="22"/>
        </w:rPr>
        <w:t>In addition, e-mail one copy of each pleading to each of the following:</w:t>
      </w:r>
    </w:p>
    <w:p w:rsidR="00A3611A" w:rsidRPr="00907AE5" w:rsidP="00A3611A" w14:paraId="7DAB85DD" w14:textId="77777777">
      <w:pPr>
        <w:widowControl w:val="0"/>
        <w:numPr>
          <w:ilvl w:val="0"/>
          <w:numId w:val="18"/>
        </w:numPr>
        <w:autoSpaceDE w:val="0"/>
        <w:autoSpaceDN w:val="0"/>
        <w:adjustRightInd w:val="0"/>
        <w:spacing w:after="120"/>
        <w:rPr>
          <w:szCs w:val="22"/>
        </w:rPr>
      </w:pPr>
      <w:r>
        <w:rPr>
          <w:szCs w:val="22"/>
        </w:rPr>
        <w:t>Myrva Charles</w:t>
      </w:r>
      <w:r w:rsidRPr="00907AE5">
        <w:rPr>
          <w:szCs w:val="22"/>
        </w:rPr>
        <w:t>, Competition Policy Division, Wireline Competition Bureau</w:t>
      </w:r>
      <w:r>
        <w:rPr>
          <w:szCs w:val="22"/>
        </w:rPr>
        <w:t xml:space="preserve">, </w:t>
      </w:r>
      <w:hyperlink r:id="rId10" w:history="1">
        <w:r w:rsidRPr="008D060D">
          <w:rPr>
            <w:rStyle w:val="Hyperlink"/>
            <w:szCs w:val="22"/>
          </w:rPr>
          <w:t>myrva.charles@fcc.gov</w:t>
        </w:r>
      </w:hyperlink>
      <w:r>
        <w:rPr>
          <w:szCs w:val="22"/>
        </w:rPr>
        <w:t xml:space="preserve">;  </w:t>
      </w:r>
    </w:p>
    <w:p w:rsidR="00A3611A" w:rsidP="19A056DB" w14:paraId="2FD1F840" w14:textId="19E1ACBF">
      <w:pPr>
        <w:widowControl w:val="0"/>
        <w:numPr>
          <w:ilvl w:val="0"/>
          <w:numId w:val="18"/>
        </w:numPr>
        <w:autoSpaceDE w:val="0"/>
        <w:autoSpaceDN w:val="0"/>
        <w:adjustRightInd w:val="0"/>
        <w:spacing w:after="120"/>
      </w:pPr>
      <w:r>
        <w:t xml:space="preserve">Merry Wulff, Competition Policy Division, Wireline Competition Bureau, </w:t>
      </w:r>
      <w:hyperlink r:id="rId11">
        <w:r w:rsidRPr="19A056DB">
          <w:rPr>
            <w:rStyle w:val="Hyperlink"/>
          </w:rPr>
          <w:t>merry.wulff@fcc.gov</w:t>
        </w:r>
      </w:hyperlink>
      <w:r>
        <w:t xml:space="preserve">; </w:t>
      </w:r>
    </w:p>
    <w:p w:rsidR="00A3611A" w:rsidP="19A056DB" w14:paraId="51FE6545" w14:textId="43E2B780">
      <w:pPr>
        <w:widowControl w:val="0"/>
        <w:numPr>
          <w:ilvl w:val="0"/>
          <w:numId w:val="18"/>
        </w:numPr>
        <w:autoSpaceDE w:val="0"/>
        <w:autoSpaceDN w:val="0"/>
        <w:adjustRightInd w:val="0"/>
        <w:spacing w:after="120"/>
      </w:pPr>
      <w:r>
        <w:t xml:space="preserve">David Krech, International Bureau, </w:t>
      </w:r>
      <w:hyperlink r:id="rId12" w:history="1">
        <w:r w:rsidRPr="19A056DB">
          <w:rPr>
            <w:rStyle w:val="Hyperlink"/>
          </w:rPr>
          <w:t>david.krech@fcc.gov</w:t>
        </w:r>
      </w:hyperlink>
      <w:r>
        <w:t xml:space="preserve">; </w:t>
      </w:r>
      <w:r>
        <w:t>and</w:t>
      </w:r>
    </w:p>
    <w:p w:rsidR="00A3611A" w:rsidRPr="00A3611A" w:rsidP="00A3611A" w14:paraId="2A905221" w14:textId="3A3334F5">
      <w:pPr>
        <w:widowControl w:val="0"/>
        <w:numPr>
          <w:ilvl w:val="0"/>
          <w:numId w:val="18"/>
        </w:numPr>
        <w:autoSpaceDE w:val="0"/>
        <w:autoSpaceDN w:val="0"/>
        <w:adjustRightInd w:val="0"/>
        <w:spacing w:after="120"/>
        <w:rPr>
          <w:szCs w:val="22"/>
        </w:rPr>
      </w:pPr>
      <w:r>
        <w:t xml:space="preserve">Jim Bird, Office of General Counsel, </w:t>
      </w:r>
      <w:hyperlink r:id="rId13">
        <w:r w:rsidRPr="19A056DB">
          <w:rPr>
            <w:color w:val="0000FF"/>
            <w:u w:val="single"/>
          </w:rPr>
          <w:t>jim.bird@fcc.gov</w:t>
        </w:r>
      </w:hyperlink>
      <w:r>
        <w:t>.</w:t>
      </w:r>
    </w:p>
    <w:p w:rsidR="00A3611A" w:rsidRPr="00AD440B" w:rsidP="00A3611A" w14:paraId="4FDC43E2" w14:textId="77777777">
      <w:pPr>
        <w:autoSpaceDE w:val="0"/>
        <w:autoSpaceDN w:val="0"/>
        <w:adjustRightInd w:val="0"/>
        <w:spacing w:after="120"/>
        <w:ind w:firstLine="720"/>
        <w:rPr>
          <w:szCs w:val="22"/>
        </w:rPr>
      </w:pPr>
      <w:r w:rsidRPr="00AD440B">
        <w:rPr>
          <w:szCs w:val="22"/>
        </w:rPr>
        <w:t xml:space="preserve">The proceeding in this Notice shall be treated as a “permit-but-disclose” proceeding in accordance with the Commission’s </w:t>
      </w:r>
      <w:r w:rsidRPr="00AD440B">
        <w:rPr>
          <w:i/>
          <w:szCs w:val="22"/>
        </w:rPr>
        <w:t xml:space="preserve">ex </w:t>
      </w:r>
      <w:r w:rsidRPr="00AD440B">
        <w:rPr>
          <w:i/>
          <w:szCs w:val="22"/>
        </w:rPr>
        <w:t>parte</w:t>
      </w:r>
      <w:r w:rsidRPr="00AD440B">
        <w:rPr>
          <w:szCs w:val="22"/>
        </w:rPr>
        <w:t xml:space="preserve"> rules.  Persons making </w:t>
      </w:r>
      <w:r w:rsidRPr="00AD440B">
        <w:rPr>
          <w:i/>
          <w:szCs w:val="22"/>
        </w:rPr>
        <w:t xml:space="preserve">ex </w:t>
      </w:r>
      <w:r w:rsidRPr="00AD440B">
        <w:rPr>
          <w:i/>
          <w:szCs w:val="22"/>
        </w:rPr>
        <w:t>parte</w:t>
      </w:r>
      <w:r w:rsidRPr="00AD440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AD440B">
        <w:rPr>
          <w:i/>
          <w:szCs w:val="22"/>
        </w:rPr>
        <w:t xml:space="preserve">ex </w:t>
      </w:r>
      <w:r w:rsidRPr="00AD440B">
        <w:rPr>
          <w:i/>
          <w:szCs w:val="22"/>
        </w:rPr>
        <w:t>parte</w:t>
      </w:r>
      <w:r w:rsidRPr="00AD440B">
        <w:rPr>
          <w:szCs w:val="22"/>
        </w:rPr>
        <w:t xml:space="preserve"> presentations are reminded that memoranda summarizing the presentation must (1) list all persons attending or otherwise participating in the meeting at which the </w:t>
      </w:r>
      <w:r w:rsidRPr="00AD440B">
        <w:rPr>
          <w:i/>
          <w:szCs w:val="22"/>
        </w:rPr>
        <w:t xml:space="preserve">ex </w:t>
      </w:r>
      <w:r w:rsidRPr="00AD440B">
        <w:rPr>
          <w:i/>
          <w:szCs w:val="22"/>
        </w:rPr>
        <w:t>parte</w:t>
      </w:r>
      <w:r w:rsidRPr="00AD440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D440B">
        <w:rPr>
          <w:i/>
          <w:szCs w:val="22"/>
        </w:rPr>
        <w:t xml:space="preserve">ex </w:t>
      </w:r>
      <w:r w:rsidRPr="00AD440B">
        <w:rPr>
          <w:i/>
          <w:szCs w:val="22"/>
        </w:rPr>
        <w:t>parte</w:t>
      </w:r>
      <w:r w:rsidRPr="00AD440B">
        <w:rPr>
          <w:szCs w:val="22"/>
        </w:rPr>
        <w:t xml:space="preserve"> meetings are deemed to be written </w:t>
      </w:r>
      <w:r w:rsidRPr="00AD440B">
        <w:rPr>
          <w:i/>
          <w:szCs w:val="22"/>
        </w:rPr>
        <w:t xml:space="preserve">ex </w:t>
      </w:r>
      <w:r w:rsidRPr="00AD440B">
        <w:rPr>
          <w:i/>
          <w:szCs w:val="22"/>
        </w:rPr>
        <w:t>parte</w:t>
      </w:r>
      <w:r w:rsidRPr="00AD440B">
        <w:rPr>
          <w:szCs w:val="22"/>
        </w:rPr>
        <w:t xml:space="preserve"> presentations and must be filed consistent with rule 1.1206(b), 47 CFR § 1.1206(b).  Participants in this proceeding should familiarize themselves with the Commission’s </w:t>
      </w:r>
      <w:r w:rsidRPr="00AD440B">
        <w:rPr>
          <w:i/>
          <w:szCs w:val="22"/>
        </w:rPr>
        <w:t xml:space="preserve">ex </w:t>
      </w:r>
      <w:r w:rsidRPr="00AD440B">
        <w:rPr>
          <w:i/>
          <w:szCs w:val="22"/>
        </w:rPr>
        <w:t>parte</w:t>
      </w:r>
      <w:r w:rsidRPr="00AD440B">
        <w:rPr>
          <w:szCs w:val="22"/>
        </w:rPr>
        <w:t xml:space="preserve"> rules.</w:t>
      </w:r>
    </w:p>
    <w:p w:rsidR="00A3611A" w:rsidP="00A3611A" w14:paraId="5025044D" w14:textId="2ADED21A">
      <w:pPr>
        <w:autoSpaceDE w:val="0"/>
        <w:autoSpaceDN w:val="0"/>
        <w:adjustRightInd w:val="0"/>
        <w:spacing w:after="120"/>
        <w:ind w:firstLine="720"/>
        <w:rPr>
          <w:szCs w:val="22"/>
        </w:rPr>
      </w:pPr>
      <w:r w:rsidRPr="00AD440B">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44"/>
      </w:r>
      <w:r w:rsidRPr="00AD440B">
        <w:rPr>
          <w:szCs w:val="22"/>
        </w:rPr>
        <w:t xml:space="preserve">  A party or interested person seeking to raise a new issue after the pleading cycle has closed must show good cause why it </w:t>
      </w:r>
      <w:r w:rsidRPr="00AD440B">
        <w:rPr>
          <w:szCs w:val="22"/>
        </w:rPr>
        <w:t>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r>
        <w:rPr>
          <w:szCs w:val="22"/>
        </w:rPr>
        <w:t xml:space="preserve">  </w:t>
      </w:r>
      <w:r w:rsidRPr="00730FAC">
        <w:rPr>
          <w:szCs w:val="22"/>
        </w:rPr>
        <w:t xml:space="preserve">For further information, please contact </w:t>
      </w:r>
      <w:r>
        <w:rPr>
          <w:szCs w:val="22"/>
        </w:rPr>
        <w:t>Dennis Johnson</w:t>
      </w:r>
      <w:r w:rsidRPr="00730FAC">
        <w:rPr>
          <w:szCs w:val="22"/>
        </w:rPr>
        <w:t>, Wireline Competition Bureau, (202) 418-</w:t>
      </w:r>
      <w:r>
        <w:rPr>
          <w:szCs w:val="22"/>
        </w:rPr>
        <w:t>0809</w:t>
      </w:r>
      <w:r w:rsidRPr="00730FAC">
        <w:rPr>
          <w:szCs w:val="22"/>
        </w:rPr>
        <w:t>.</w:t>
      </w:r>
    </w:p>
    <w:p w:rsidR="00A3611A" w:rsidRPr="00730FAC" w:rsidP="00A3611A" w14:paraId="412F01F1" w14:textId="6D74C918">
      <w:pPr>
        <w:autoSpaceDE w:val="0"/>
        <w:autoSpaceDN w:val="0"/>
        <w:adjustRightInd w:val="0"/>
        <w:spacing w:after="120"/>
        <w:ind w:firstLine="720"/>
        <w:rPr>
          <w:szCs w:val="22"/>
        </w:rPr>
      </w:pPr>
      <w:r w:rsidRPr="00AD440B">
        <w:rPr>
          <w:szCs w:val="22"/>
        </w:rPr>
        <w:t xml:space="preserve">For further information, please contact </w:t>
      </w:r>
      <w:r>
        <w:rPr>
          <w:szCs w:val="22"/>
        </w:rPr>
        <w:t>Myrva Charles</w:t>
      </w:r>
      <w:r w:rsidRPr="00AD440B">
        <w:rPr>
          <w:szCs w:val="22"/>
        </w:rPr>
        <w:t xml:space="preserve"> at (202) 418-1</w:t>
      </w:r>
      <w:r>
        <w:rPr>
          <w:szCs w:val="22"/>
        </w:rPr>
        <w:t>506</w:t>
      </w:r>
      <w:r w:rsidRPr="00AD440B">
        <w:rPr>
          <w:szCs w:val="22"/>
        </w:rPr>
        <w:t xml:space="preserve"> or</w:t>
      </w:r>
      <w:r>
        <w:rPr>
          <w:szCs w:val="22"/>
        </w:rPr>
        <w:t xml:space="preserve"> Merry Wulff at </w:t>
      </w:r>
      <w:hyperlink r:id="rId11" w:history="1">
        <w:r w:rsidRPr="001251E3">
          <w:rPr>
            <w:rStyle w:val="Hyperlink"/>
            <w:szCs w:val="22"/>
          </w:rPr>
          <w:t>merry.wulff@fcc.gov</w:t>
        </w:r>
      </w:hyperlink>
      <w:r>
        <w:rPr>
          <w:szCs w:val="22"/>
        </w:rPr>
        <w:t xml:space="preserve">. </w:t>
      </w:r>
    </w:p>
    <w:p w:rsidR="00A3611A" w:rsidRPr="00AD440B" w:rsidP="00A3611A" w14:paraId="3722D796" w14:textId="77777777">
      <w:pPr>
        <w:autoSpaceDE w:val="0"/>
        <w:autoSpaceDN w:val="0"/>
        <w:adjustRightInd w:val="0"/>
        <w:rPr>
          <w:szCs w:val="22"/>
        </w:rPr>
      </w:pPr>
    </w:p>
    <w:p w:rsidR="00524D79" w:rsidP="00A3611A" w14:paraId="76F365BB" w14:textId="22FC64D7">
      <w:pPr>
        <w:autoSpaceDE w:val="0"/>
        <w:autoSpaceDN w:val="0"/>
        <w:adjustRightInd w:val="0"/>
        <w:jc w:val="center"/>
        <w:rPr>
          <w:color w:val="000000"/>
          <w:szCs w:val="22"/>
        </w:rPr>
      </w:pPr>
      <w:r>
        <w:rPr>
          <w:b/>
          <w:szCs w:val="22"/>
        </w:rPr>
        <w:t>-</w:t>
      </w:r>
      <w:r w:rsidRPr="00AD440B">
        <w:rPr>
          <w:b/>
          <w:szCs w:val="22"/>
        </w:rPr>
        <w:t>FCC</w:t>
      </w:r>
      <w:r>
        <w:rPr>
          <w:b/>
          <w:szCs w:val="22"/>
        </w:rPr>
        <w:t>-</w:t>
      </w:r>
      <w:bookmarkEnd w:id="1"/>
      <w:bookmarkEnd w:id="2"/>
    </w:p>
    <w:sectPr>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D0C3758" w14:textId="79FA89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3A3C">
      <w:rPr>
        <w:rStyle w:val="PageNumber"/>
        <w:noProof/>
      </w:rPr>
      <w:t>2</w:t>
    </w:r>
    <w:r>
      <w:rPr>
        <w:rStyle w:val="PageNumber"/>
      </w:rPr>
      <w:fldChar w:fldCharType="end"/>
    </w:r>
  </w:p>
  <w:p w:rsidR="005E21F5" w14:paraId="08B42E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C0159E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5AE3657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AB8A4E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489A38C2" w14:textId="77777777"/>
  <w:p w:rsidR="005E21F5" w14:paraId="5F804F54"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0882" w14:paraId="082374C6" w14:textId="77777777">
      <w:r>
        <w:separator/>
      </w:r>
    </w:p>
  </w:footnote>
  <w:footnote w:type="continuationSeparator" w:id="1">
    <w:p w:rsidR="000C0882" w14:paraId="610C3354" w14:textId="77777777">
      <w:r>
        <w:continuationSeparator/>
      </w:r>
    </w:p>
  </w:footnote>
  <w:footnote w:type="continuationNotice" w:id="2">
    <w:p w:rsidR="000C0882" w14:paraId="7F82FE11" w14:textId="77777777"/>
  </w:footnote>
  <w:footnote w:id="3">
    <w:p w:rsidR="009E1566" w:rsidRPr="00F14C4A" w:rsidP="00F14C4A" w14:paraId="1DEFE56B" w14:textId="745F4EA8">
      <w:pPr>
        <w:pStyle w:val="FootnoteText"/>
        <w:spacing w:after="120"/>
        <w:rPr>
          <w:sz w:val="20"/>
        </w:rPr>
      </w:pPr>
      <w:r w:rsidRPr="00F14C4A">
        <w:rPr>
          <w:rStyle w:val="FootnoteReference"/>
          <w:sz w:val="20"/>
        </w:rPr>
        <w:footnoteRef/>
      </w:r>
      <w:r w:rsidRPr="00F14C4A">
        <w:rPr>
          <w:sz w:val="20"/>
        </w:rPr>
        <w:t xml:space="preserve"> </w:t>
      </w:r>
      <w:r w:rsidRPr="00F14C4A">
        <w:rPr>
          <w:i/>
          <w:sz w:val="20"/>
        </w:rPr>
        <w:t>See</w:t>
      </w:r>
      <w:r w:rsidRPr="00F14C4A">
        <w:rPr>
          <w:sz w:val="20"/>
        </w:rPr>
        <w:t xml:space="preserve"> 47 U.S.C. § 214; 47 CFR §§ 63.03-04.</w:t>
      </w:r>
    </w:p>
  </w:footnote>
  <w:footnote w:id="4">
    <w:p w:rsidR="005E21F5" w:rsidRPr="00F14C4A" w:rsidP="00F14C4A" w14:paraId="44C411FC" w14:textId="799DB3E4">
      <w:pPr>
        <w:spacing w:after="120"/>
        <w:rPr>
          <w:sz w:val="20"/>
        </w:rPr>
      </w:pPr>
      <w:r w:rsidRPr="00F14C4A">
        <w:rPr>
          <w:rStyle w:val="FootnoteReference"/>
          <w:sz w:val="20"/>
        </w:rPr>
        <w:footnoteRef/>
      </w:r>
      <w:r w:rsidRPr="00F14C4A">
        <w:rPr>
          <w:sz w:val="20"/>
        </w:rPr>
        <w:t xml:space="preserve"> </w:t>
      </w:r>
      <w:r w:rsidRPr="00F14C4A" w:rsidR="008F5130">
        <w:rPr>
          <w:sz w:val="20"/>
        </w:rPr>
        <w:t xml:space="preserve">Application </w:t>
      </w:r>
      <w:r w:rsidRPr="00F14C4A" w:rsidR="000E0D44">
        <w:rPr>
          <w:sz w:val="20"/>
        </w:rPr>
        <w:t xml:space="preserve">of Jeffrey </w:t>
      </w:r>
      <w:r w:rsidRPr="00F14C4A" w:rsidR="000E0D44">
        <w:rPr>
          <w:sz w:val="20"/>
        </w:rPr>
        <w:t>Yount</w:t>
      </w:r>
      <w:r w:rsidRPr="00F14C4A" w:rsidR="000E0D44">
        <w:rPr>
          <w:sz w:val="20"/>
        </w:rPr>
        <w:t xml:space="preserve">, Intermountain Infrastructure Group, LLC, and WRA II-Pioneer (S) LLC for Authority to Transfer Control </w:t>
      </w:r>
      <w:r w:rsidR="008D0F85">
        <w:rPr>
          <w:sz w:val="20"/>
        </w:rPr>
        <w:t xml:space="preserve">of </w:t>
      </w:r>
      <w:r w:rsidRPr="00F14C4A" w:rsidR="000E0D44">
        <w:rPr>
          <w:sz w:val="20"/>
        </w:rPr>
        <w:t xml:space="preserve">Section 214 Carriers, WC Docket No. </w:t>
      </w:r>
      <w:r w:rsidRPr="00F14C4A" w:rsidR="00D91E6A">
        <w:rPr>
          <w:sz w:val="20"/>
        </w:rPr>
        <w:t xml:space="preserve">23-85 </w:t>
      </w:r>
      <w:r w:rsidRPr="00F14C4A" w:rsidR="000E0D44">
        <w:rPr>
          <w:sz w:val="20"/>
        </w:rPr>
        <w:t xml:space="preserve">(filed </w:t>
      </w:r>
      <w:r w:rsidRPr="00F14C4A" w:rsidR="00D91E6A">
        <w:rPr>
          <w:sz w:val="20"/>
        </w:rPr>
        <w:t>Mar. 3, 2023</w:t>
      </w:r>
      <w:r w:rsidRPr="00F14C4A" w:rsidR="000E0D44">
        <w:rPr>
          <w:sz w:val="20"/>
        </w:rPr>
        <w:t xml:space="preserve">) (Application).  </w:t>
      </w:r>
      <w:r w:rsidRPr="00F14C4A" w:rsidR="008F5130">
        <w:rPr>
          <w:sz w:val="20"/>
        </w:rPr>
        <w:t>Applicants also filed applications for the transfer of authorizations associated with international services.  Any action on this domestic section 214 application is without prejudice to Commission action on other related, pending applications.</w:t>
      </w:r>
    </w:p>
  </w:footnote>
  <w:footnote w:id="5">
    <w:p w:rsidR="00A50A08" w:rsidRPr="00F14C4A" w:rsidP="00F14C4A" w14:paraId="6CF11888" w14:textId="059F2973">
      <w:pPr>
        <w:pStyle w:val="FootnoteText"/>
        <w:spacing w:after="120"/>
        <w:rPr>
          <w:sz w:val="20"/>
        </w:rPr>
      </w:pPr>
      <w:r w:rsidRPr="00F14C4A">
        <w:rPr>
          <w:rStyle w:val="FootnoteReference"/>
          <w:sz w:val="20"/>
        </w:rPr>
        <w:footnoteRef/>
      </w:r>
      <w:r w:rsidRPr="00F14C4A">
        <w:rPr>
          <w:sz w:val="20"/>
        </w:rPr>
        <w:t xml:space="preserve"> </w:t>
      </w:r>
      <w:r w:rsidRPr="00F14C4A" w:rsidR="001F1377">
        <w:rPr>
          <w:i/>
          <w:iCs/>
          <w:sz w:val="20"/>
        </w:rPr>
        <w:t xml:space="preserve">Id. </w:t>
      </w:r>
      <w:r w:rsidRPr="00F14C4A" w:rsidR="001F1377">
        <w:rPr>
          <w:sz w:val="20"/>
        </w:rPr>
        <w:t xml:space="preserve">at </w:t>
      </w:r>
      <w:r w:rsidRPr="00F14C4A">
        <w:rPr>
          <w:sz w:val="20"/>
        </w:rPr>
        <w:t xml:space="preserve">4. </w:t>
      </w:r>
    </w:p>
  </w:footnote>
  <w:footnote w:id="6">
    <w:p w:rsidR="00A50A08" w:rsidRPr="00F14C4A" w:rsidP="00F14C4A" w14:paraId="7846F9D6" w14:textId="1A632D90">
      <w:pPr>
        <w:autoSpaceDE w:val="0"/>
        <w:autoSpaceDN w:val="0"/>
        <w:adjustRightInd w:val="0"/>
        <w:spacing w:after="120"/>
        <w:rPr>
          <w:i/>
          <w:iCs/>
          <w:sz w:val="20"/>
        </w:rPr>
      </w:pPr>
      <w:r w:rsidRPr="00F14C4A">
        <w:rPr>
          <w:rStyle w:val="FootnoteReference"/>
          <w:sz w:val="20"/>
        </w:rPr>
        <w:footnoteRef/>
      </w:r>
      <w:r w:rsidRPr="00F14C4A">
        <w:rPr>
          <w:sz w:val="20"/>
        </w:rPr>
        <w:t xml:space="preserve"> </w:t>
      </w:r>
      <w:r w:rsidRPr="00F14C4A" w:rsidR="001F1377">
        <w:rPr>
          <w:i/>
          <w:iCs/>
          <w:sz w:val="20"/>
        </w:rPr>
        <w:t xml:space="preserve">Id. </w:t>
      </w:r>
      <w:r w:rsidRPr="00F14C4A" w:rsidR="001F1377">
        <w:rPr>
          <w:sz w:val="20"/>
        </w:rPr>
        <w:t>at</w:t>
      </w:r>
      <w:r w:rsidRPr="00F14C4A" w:rsidR="004A7DA6">
        <w:rPr>
          <w:sz w:val="20"/>
        </w:rPr>
        <w:t xml:space="preserve"> 4, </w:t>
      </w:r>
      <w:r w:rsidRPr="002003E5" w:rsidR="004A7DA6">
        <w:rPr>
          <w:sz w:val="20"/>
        </w:rPr>
        <w:t>24</w:t>
      </w:r>
      <w:r w:rsidRPr="002003E5" w:rsidR="00726BA2">
        <w:rPr>
          <w:sz w:val="20"/>
        </w:rPr>
        <w:t>.</w:t>
      </w:r>
    </w:p>
  </w:footnote>
  <w:footnote w:id="7">
    <w:p w:rsidR="00DB6C2C" w:rsidRPr="00F14C4A" w:rsidP="00F14C4A" w14:paraId="1F828190" w14:textId="39DB1BD1">
      <w:pPr>
        <w:pStyle w:val="FootnoteText"/>
        <w:spacing w:after="120"/>
        <w:rPr>
          <w:sz w:val="20"/>
        </w:rPr>
      </w:pPr>
      <w:r w:rsidRPr="00F14C4A">
        <w:rPr>
          <w:rStyle w:val="FootnoteReference"/>
          <w:sz w:val="20"/>
        </w:rPr>
        <w:footnoteRef/>
      </w:r>
      <w:r w:rsidRPr="00F14C4A">
        <w:rPr>
          <w:sz w:val="20"/>
        </w:rPr>
        <w:t xml:space="preserve"> </w:t>
      </w:r>
      <w:r w:rsidRPr="00F14C4A" w:rsidR="001F1377">
        <w:rPr>
          <w:i/>
          <w:iCs/>
          <w:sz w:val="20"/>
        </w:rPr>
        <w:t xml:space="preserve">Id. </w:t>
      </w:r>
      <w:r w:rsidRPr="00F14C4A">
        <w:rPr>
          <w:sz w:val="20"/>
        </w:rPr>
        <w:t xml:space="preserve">at </w:t>
      </w:r>
      <w:r w:rsidRPr="00F14C4A" w:rsidR="002F7B2B">
        <w:rPr>
          <w:sz w:val="20"/>
        </w:rPr>
        <w:t>3.</w:t>
      </w:r>
    </w:p>
  </w:footnote>
  <w:footnote w:id="8">
    <w:p w:rsidR="00FE440C" w:rsidRPr="00F14C4A" w:rsidP="00F14C4A" w14:paraId="66109F62" w14:textId="1ED27FF6">
      <w:pPr>
        <w:pStyle w:val="FootnoteText"/>
        <w:spacing w:after="120"/>
        <w:rPr>
          <w:sz w:val="20"/>
        </w:rPr>
      </w:pPr>
      <w:r w:rsidRPr="00F14C4A">
        <w:rPr>
          <w:rStyle w:val="FootnoteReference"/>
          <w:sz w:val="20"/>
        </w:rPr>
        <w:footnoteRef/>
      </w:r>
      <w:r w:rsidRPr="00F14C4A">
        <w:rPr>
          <w:sz w:val="20"/>
        </w:rPr>
        <w:t xml:space="preserve"> </w:t>
      </w:r>
      <w:r w:rsidRPr="00F14C4A" w:rsidR="00E72291">
        <w:rPr>
          <w:i/>
          <w:iCs/>
          <w:sz w:val="20"/>
        </w:rPr>
        <w:t xml:space="preserve">Id. </w:t>
      </w:r>
      <w:r w:rsidRPr="00F14C4A" w:rsidR="00E72291">
        <w:rPr>
          <w:sz w:val="20"/>
        </w:rPr>
        <w:t>at</w:t>
      </w:r>
      <w:r w:rsidRPr="00F14C4A" w:rsidR="00743142">
        <w:rPr>
          <w:sz w:val="20"/>
        </w:rPr>
        <w:t xml:space="preserve"> 2, 5.</w:t>
      </w:r>
    </w:p>
  </w:footnote>
  <w:footnote w:id="9">
    <w:p w:rsidR="00FE440C" w:rsidRPr="00F14C4A" w:rsidP="00F14C4A" w14:paraId="6AF801E1" w14:textId="6DB2532D">
      <w:pPr>
        <w:pStyle w:val="FootnoteText"/>
        <w:spacing w:after="120"/>
        <w:rPr>
          <w:sz w:val="20"/>
        </w:rPr>
      </w:pPr>
      <w:r w:rsidRPr="00F14C4A">
        <w:rPr>
          <w:rStyle w:val="FootnoteReference"/>
          <w:sz w:val="20"/>
        </w:rPr>
        <w:footnoteRef/>
      </w:r>
      <w:r w:rsidRPr="00F14C4A">
        <w:rPr>
          <w:sz w:val="20"/>
        </w:rPr>
        <w:t xml:space="preserve"> </w:t>
      </w:r>
      <w:r w:rsidRPr="00F14C4A" w:rsidR="00E72291">
        <w:rPr>
          <w:i/>
          <w:iCs/>
          <w:sz w:val="20"/>
        </w:rPr>
        <w:t xml:space="preserve">Id. </w:t>
      </w:r>
      <w:r w:rsidRPr="00F14C4A" w:rsidR="00624F1F">
        <w:rPr>
          <w:sz w:val="20"/>
        </w:rPr>
        <w:t>at 12</w:t>
      </w:r>
      <w:r w:rsidRPr="00F14C4A" w:rsidR="00061648">
        <w:rPr>
          <w:sz w:val="20"/>
        </w:rPr>
        <w:t>-13</w:t>
      </w:r>
      <w:r w:rsidR="002003E5">
        <w:rPr>
          <w:sz w:val="20"/>
        </w:rPr>
        <w:t>;</w:t>
      </w:r>
      <w:r w:rsidRPr="00F14C4A" w:rsidR="00F14C4A">
        <w:rPr>
          <w:sz w:val="20"/>
        </w:rPr>
        <w:t xml:space="preserve"> </w:t>
      </w:r>
      <w:r w:rsidRPr="00F14C4A" w:rsidR="00F14C4A">
        <w:rPr>
          <w:sz w:val="20"/>
        </w:rPr>
        <w:t>Exh</w:t>
      </w:r>
      <w:r w:rsidRPr="00F14C4A" w:rsidR="00F14C4A">
        <w:rPr>
          <w:sz w:val="20"/>
        </w:rPr>
        <w:t>. A</w:t>
      </w:r>
      <w:r w:rsidR="002003E5">
        <w:rPr>
          <w:sz w:val="20"/>
        </w:rPr>
        <w:t>. at 29 (</w:t>
      </w:r>
      <w:r w:rsidRPr="00F14C4A" w:rsidR="00F14C4A">
        <w:rPr>
          <w:sz w:val="20"/>
        </w:rPr>
        <w:t>Pre-Transaction Ownership Diagram)</w:t>
      </w:r>
      <w:r w:rsidR="002003E5">
        <w:rPr>
          <w:sz w:val="20"/>
        </w:rPr>
        <w:t>.</w:t>
      </w:r>
    </w:p>
  </w:footnote>
  <w:footnote w:id="10">
    <w:p w:rsidR="00743142" w:rsidRPr="00F14C4A" w:rsidP="00F14C4A" w14:paraId="618783A3" w14:textId="77782C4A">
      <w:pPr>
        <w:pStyle w:val="FootnoteText"/>
        <w:spacing w:after="120"/>
        <w:rPr>
          <w:sz w:val="20"/>
        </w:rPr>
      </w:pPr>
      <w:r w:rsidRPr="00F14C4A">
        <w:rPr>
          <w:rStyle w:val="FootnoteReference"/>
          <w:sz w:val="20"/>
        </w:rPr>
        <w:footnoteRef/>
      </w:r>
      <w:r w:rsidRPr="00F14C4A">
        <w:rPr>
          <w:sz w:val="20"/>
        </w:rPr>
        <w:t xml:space="preserve"> </w:t>
      </w:r>
      <w:r w:rsidRPr="00F14C4A" w:rsidR="00E72291">
        <w:rPr>
          <w:i/>
          <w:iCs/>
          <w:sz w:val="20"/>
        </w:rPr>
        <w:t>Id.</w:t>
      </w:r>
      <w:r w:rsidRPr="00F14C4A">
        <w:rPr>
          <w:sz w:val="20"/>
        </w:rPr>
        <w:t xml:space="preserve"> at 5. </w:t>
      </w:r>
    </w:p>
  </w:footnote>
  <w:footnote w:id="11">
    <w:p w:rsidR="00FE440C" w:rsidRPr="00F14C4A" w:rsidP="00F14C4A" w14:paraId="77582F43" w14:textId="11652B15">
      <w:pPr>
        <w:pStyle w:val="FootnoteText"/>
        <w:spacing w:after="120"/>
        <w:rPr>
          <w:sz w:val="20"/>
        </w:rPr>
      </w:pPr>
      <w:r w:rsidRPr="00F14C4A">
        <w:rPr>
          <w:rStyle w:val="FootnoteReference"/>
          <w:sz w:val="20"/>
        </w:rPr>
        <w:footnoteRef/>
      </w:r>
      <w:r w:rsidRPr="00F14C4A">
        <w:rPr>
          <w:sz w:val="20"/>
        </w:rPr>
        <w:t xml:space="preserve"> </w:t>
      </w:r>
      <w:r w:rsidRPr="00F14C4A" w:rsidR="00E72291">
        <w:rPr>
          <w:i/>
          <w:iCs/>
          <w:sz w:val="20"/>
        </w:rPr>
        <w:t>Id.</w:t>
      </w:r>
      <w:r w:rsidRPr="00F14C4A" w:rsidR="003F0945">
        <w:rPr>
          <w:sz w:val="20"/>
        </w:rPr>
        <w:t xml:space="preserve"> at 5</w:t>
      </w:r>
      <w:r w:rsidR="002003E5">
        <w:rPr>
          <w:sz w:val="20"/>
        </w:rPr>
        <w:t>;</w:t>
      </w:r>
      <w:r w:rsidRPr="00F14C4A" w:rsidR="003F0945">
        <w:rPr>
          <w:sz w:val="20"/>
        </w:rPr>
        <w:t xml:space="preserve"> </w:t>
      </w:r>
      <w:r w:rsidRPr="00F14C4A" w:rsidR="00F14C4A">
        <w:rPr>
          <w:sz w:val="20"/>
        </w:rPr>
        <w:t>Exh</w:t>
      </w:r>
      <w:r w:rsidRPr="00F14C4A" w:rsidR="00F14C4A">
        <w:rPr>
          <w:sz w:val="20"/>
        </w:rPr>
        <w:t>. A</w:t>
      </w:r>
      <w:r w:rsidR="002003E5">
        <w:rPr>
          <w:sz w:val="20"/>
        </w:rPr>
        <w:t>. at 29</w:t>
      </w:r>
      <w:r w:rsidRPr="00F14C4A" w:rsidR="003F0945">
        <w:rPr>
          <w:sz w:val="20"/>
        </w:rPr>
        <w:t xml:space="preserve">.  Applicants state that </w:t>
      </w:r>
      <w:r w:rsidRPr="00F14C4A" w:rsidR="003F0945">
        <w:rPr>
          <w:sz w:val="20"/>
        </w:rPr>
        <w:t>Yount</w:t>
      </w:r>
      <w:r w:rsidRPr="00F14C4A" w:rsidR="003F0945">
        <w:rPr>
          <w:sz w:val="20"/>
        </w:rPr>
        <w:t xml:space="preserve"> is permitted to appoint three-fourths of Holdings’ managers.  </w:t>
      </w:r>
      <w:r w:rsidRPr="00F14C4A" w:rsidR="00E72291">
        <w:rPr>
          <w:i/>
          <w:iCs/>
          <w:sz w:val="20"/>
        </w:rPr>
        <w:t>Id.</w:t>
      </w:r>
      <w:r w:rsidRPr="00F14C4A" w:rsidR="003F0945">
        <w:rPr>
          <w:sz w:val="20"/>
        </w:rPr>
        <w:t xml:space="preserve">  </w:t>
      </w:r>
    </w:p>
  </w:footnote>
  <w:footnote w:id="12">
    <w:p w:rsidR="00FE440C" w:rsidRPr="00F14C4A" w:rsidP="00F14C4A" w14:paraId="202C5319" w14:textId="3B4FD1CA">
      <w:pPr>
        <w:pStyle w:val="FootnoteText"/>
        <w:spacing w:after="120"/>
        <w:rPr>
          <w:sz w:val="20"/>
        </w:rPr>
      </w:pPr>
      <w:r w:rsidRPr="00F14C4A">
        <w:rPr>
          <w:rStyle w:val="FootnoteReference"/>
          <w:sz w:val="20"/>
        </w:rPr>
        <w:footnoteRef/>
      </w:r>
      <w:r w:rsidRPr="00F14C4A">
        <w:rPr>
          <w:sz w:val="20"/>
        </w:rPr>
        <w:t xml:space="preserve"> </w:t>
      </w:r>
      <w:r w:rsidRPr="00F14C4A" w:rsidR="008F6E22">
        <w:rPr>
          <w:i/>
          <w:iCs/>
          <w:sz w:val="20"/>
        </w:rPr>
        <w:t>Id.</w:t>
      </w:r>
      <w:r w:rsidRPr="00F14C4A" w:rsidR="008F6E22">
        <w:rPr>
          <w:sz w:val="20"/>
        </w:rPr>
        <w:t xml:space="preserve"> </w:t>
      </w:r>
      <w:r w:rsidRPr="00F14C4A" w:rsidR="00A5341B">
        <w:rPr>
          <w:sz w:val="20"/>
        </w:rPr>
        <w:t>at 12</w:t>
      </w:r>
      <w:r w:rsidR="002003E5">
        <w:rPr>
          <w:sz w:val="20"/>
        </w:rPr>
        <w:t>;</w:t>
      </w:r>
      <w:r w:rsidRPr="00F14C4A" w:rsidR="00A5341B">
        <w:rPr>
          <w:sz w:val="20"/>
        </w:rPr>
        <w:t xml:space="preserve"> </w:t>
      </w:r>
      <w:r w:rsidRPr="00F14C4A" w:rsidR="00F14C4A">
        <w:rPr>
          <w:sz w:val="20"/>
        </w:rPr>
        <w:t>Exh</w:t>
      </w:r>
      <w:r w:rsidRPr="00F14C4A" w:rsidR="00F14C4A">
        <w:rPr>
          <w:sz w:val="20"/>
        </w:rPr>
        <w:t>. A</w:t>
      </w:r>
      <w:r w:rsidR="002003E5">
        <w:rPr>
          <w:sz w:val="20"/>
        </w:rPr>
        <w:t>.</w:t>
      </w:r>
      <w:r w:rsidRPr="00F14C4A" w:rsidR="00F14C4A">
        <w:rPr>
          <w:sz w:val="20"/>
        </w:rPr>
        <w:t xml:space="preserve"> </w:t>
      </w:r>
      <w:r w:rsidR="002003E5">
        <w:rPr>
          <w:sz w:val="20"/>
        </w:rPr>
        <w:t>29.</w:t>
      </w:r>
    </w:p>
  </w:footnote>
  <w:footnote w:id="13">
    <w:p w:rsidR="009D767D" w:rsidRPr="002E3408" w:rsidP="002E3408" w14:paraId="2CAE40D1" w14:textId="51C02F09">
      <w:pPr>
        <w:pStyle w:val="FootnoteText"/>
        <w:spacing w:after="120"/>
        <w:rPr>
          <w:sz w:val="20"/>
        </w:rPr>
      </w:pPr>
      <w:r w:rsidRPr="002E3408">
        <w:rPr>
          <w:rStyle w:val="FootnoteReference"/>
          <w:sz w:val="20"/>
        </w:rPr>
        <w:footnoteRef/>
      </w:r>
      <w:r w:rsidRPr="002E3408">
        <w:rPr>
          <w:sz w:val="20"/>
        </w:rPr>
        <w:t xml:space="preserve"> </w:t>
      </w:r>
      <w:r w:rsidR="00C342DF">
        <w:rPr>
          <w:sz w:val="20"/>
        </w:rPr>
        <w:t xml:space="preserve">Applicants state that Post Road Special Opportunity Fund II LP </w:t>
      </w:r>
      <w:r w:rsidR="00005438">
        <w:rPr>
          <w:sz w:val="20"/>
        </w:rPr>
        <w:t xml:space="preserve">and its owners </w:t>
      </w:r>
      <w:r w:rsidR="00F83FFF">
        <w:rPr>
          <w:sz w:val="20"/>
        </w:rPr>
        <w:t xml:space="preserve">(Post Road) </w:t>
      </w:r>
      <w:r w:rsidR="00005438">
        <w:rPr>
          <w:sz w:val="20"/>
        </w:rPr>
        <w:t>are the majority owner</w:t>
      </w:r>
      <w:r w:rsidR="00CD71A0">
        <w:rPr>
          <w:sz w:val="20"/>
        </w:rPr>
        <w:t>s</w:t>
      </w:r>
      <w:r w:rsidR="00005438">
        <w:rPr>
          <w:sz w:val="20"/>
        </w:rPr>
        <w:t xml:space="preserve"> of Archtop Fiber LLC.  </w:t>
      </w:r>
      <w:r w:rsidR="00005438">
        <w:rPr>
          <w:i/>
          <w:iCs/>
          <w:sz w:val="20"/>
        </w:rPr>
        <w:t xml:space="preserve">Id. </w:t>
      </w:r>
      <w:r w:rsidR="00005438">
        <w:rPr>
          <w:sz w:val="20"/>
        </w:rPr>
        <w:t xml:space="preserve">at 24.  </w:t>
      </w:r>
      <w:r w:rsidR="006E7201">
        <w:rPr>
          <w:sz w:val="20"/>
        </w:rPr>
        <w:t>Domestic 214 applications for transfer of control of Germantown</w:t>
      </w:r>
      <w:r w:rsidR="005E6203">
        <w:rPr>
          <w:sz w:val="20"/>
        </w:rPr>
        <w:t xml:space="preserve"> Telephone Company, Inc. and </w:t>
      </w:r>
      <w:r w:rsidR="005E6203">
        <w:rPr>
          <w:sz w:val="20"/>
        </w:rPr>
        <w:t>Valstar</w:t>
      </w:r>
      <w:r w:rsidR="005E6203">
        <w:rPr>
          <w:sz w:val="20"/>
        </w:rPr>
        <w:t xml:space="preserve">, Inc (together, </w:t>
      </w:r>
      <w:r w:rsidR="005E6203">
        <w:rPr>
          <w:sz w:val="20"/>
        </w:rPr>
        <w:t>GTel</w:t>
      </w:r>
      <w:r w:rsidR="005E6203">
        <w:rPr>
          <w:sz w:val="20"/>
        </w:rPr>
        <w:t xml:space="preserve"> Licensees) and </w:t>
      </w:r>
      <w:r w:rsidR="00ED0757">
        <w:rPr>
          <w:sz w:val="20"/>
        </w:rPr>
        <w:t>Hancock Telephone Company, Inc. and Hancock Long Distance, Inc.</w:t>
      </w:r>
      <w:r w:rsidR="00B45006">
        <w:rPr>
          <w:sz w:val="20"/>
        </w:rPr>
        <w:t xml:space="preserve"> (together, Hancock Licensees)</w:t>
      </w:r>
      <w:r w:rsidR="0033381B">
        <w:rPr>
          <w:sz w:val="20"/>
        </w:rPr>
        <w:t xml:space="preserve"> to Archtop Fiber LLC</w:t>
      </w:r>
      <w:r w:rsidR="00356922">
        <w:rPr>
          <w:sz w:val="20"/>
        </w:rPr>
        <w:t xml:space="preserve"> are currently pending.  </w:t>
      </w:r>
      <w:r w:rsidR="00356922">
        <w:rPr>
          <w:i/>
          <w:iCs/>
          <w:sz w:val="20"/>
        </w:rPr>
        <w:t xml:space="preserve">Id. </w:t>
      </w:r>
      <w:r w:rsidR="00356922">
        <w:rPr>
          <w:sz w:val="20"/>
        </w:rPr>
        <w:t xml:space="preserve">at 24-25; </w:t>
      </w:r>
      <w:r w:rsidR="00356922">
        <w:rPr>
          <w:i/>
          <w:iCs/>
          <w:sz w:val="20"/>
        </w:rPr>
        <w:t xml:space="preserve">see also </w:t>
      </w:r>
      <w:r w:rsidR="00711905">
        <w:rPr>
          <w:i/>
          <w:iCs/>
          <w:sz w:val="20"/>
        </w:rPr>
        <w:t xml:space="preserve">Domestic </w:t>
      </w:r>
      <w:r w:rsidR="00A1070E">
        <w:rPr>
          <w:i/>
          <w:iCs/>
          <w:sz w:val="20"/>
        </w:rPr>
        <w:t xml:space="preserve">214 Applications filed for </w:t>
      </w:r>
      <w:r w:rsidR="00E70F3F">
        <w:rPr>
          <w:i/>
          <w:iCs/>
          <w:sz w:val="20"/>
        </w:rPr>
        <w:t xml:space="preserve">Transfer of Control of Germantown Telephone Company, Inc. and </w:t>
      </w:r>
      <w:r w:rsidR="00E70F3F">
        <w:rPr>
          <w:i/>
          <w:iCs/>
          <w:sz w:val="20"/>
        </w:rPr>
        <w:t>Valstar</w:t>
      </w:r>
      <w:r w:rsidR="00E70F3F">
        <w:rPr>
          <w:i/>
          <w:iCs/>
          <w:sz w:val="20"/>
        </w:rPr>
        <w:t>, Inc. to Archtop</w:t>
      </w:r>
      <w:r w:rsidR="00D06603">
        <w:rPr>
          <w:i/>
          <w:iCs/>
          <w:sz w:val="20"/>
        </w:rPr>
        <w:t xml:space="preserve"> Fiber LLC,</w:t>
      </w:r>
      <w:r w:rsidR="00231828">
        <w:rPr>
          <w:i/>
          <w:iCs/>
          <w:sz w:val="20"/>
        </w:rPr>
        <w:t xml:space="preserve"> </w:t>
      </w:r>
      <w:r w:rsidR="006177ED">
        <w:rPr>
          <w:i/>
          <w:iCs/>
          <w:sz w:val="20"/>
        </w:rPr>
        <w:t xml:space="preserve">- </w:t>
      </w:r>
      <w:r w:rsidR="00C740BF">
        <w:rPr>
          <w:i/>
          <w:iCs/>
          <w:sz w:val="20"/>
        </w:rPr>
        <w:t>Han</w:t>
      </w:r>
      <w:r w:rsidR="00F0015C">
        <w:rPr>
          <w:i/>
          <w:iCs/>
          <w:sz w:val="20"/>
        </w:rPr>
        <w:t>c</w:t>
      </w:r>
      <w:r w:rsidR="00C740BF">
        <w:rPr>
          <w:i/>
          <w:iCs/>
          <w:sz w:val="20"/>
        </w:rPr>
        <w:t>oc</w:t>
      </w:r>
      <w:r w:rsidR="00F0015C">
        <w:rPr>
          <w:i/>
          <w:iCs/>
          <w:sz w:val="20"/>
        </w:rPr>
        <w:t>k</w:t>
      </w:r>
      <w:r w:rsidR="00C740BF">
        <w:rPr>
          <w:i/>
          <w:iCs/>
          <w:sz w:val="20"/>
        </w:rPr>
        <w:t xml:space="preserve"> Telephone Company, Inc. to Archtop Fiber LLC,</w:t>
      </w:r>
      <w:r w:rsidR="00D06603">
        <w:rPr>
          <w:i/>
          <w:iCs/>
          <w:sz w:val="20"/>
        </w:rPr>
        <w:t xml:space="preserve"> </w:t>
      </w:r>
      <w:r w:rsidR="00D06603">
        <w:rPr>
          <w:sz w:val="20"/>
        </w:rPr>
        <w:t xml:space="preserve">WC Docket </w:t>
      </w:r>
      <w:r w:rsidR="00C740BF">
        <w:rPr>
          <w:sz w:val="20"/>
        </w:rPr>
        <w:t>Nos. 22-421, 23-29</w:t>
      </w:r>
      <w:r w:rsidR="009C02D7">
        <w:rPr>
          <w:sz w:val="20"/>
        </w:rPr>
        <w:t xml:space="preserve">, Public Notice, DA </w:t>
      </w:r>
      <w:r w:rsidR="00FA506C">
        <w:rPr>
          <w:sz w:val="20"/>
        </w:rPr>
        <w:t xml:space="preserve">23-147 </w:t>
      </w:r>
      <w:r w:rsidR="006177ED">
        <w:rPr>
          <w:sz w:val="20"/>
        </w:rPr>
        <w:t>(WCB 2023).</w:t>
      </w:r>
    </w:p>
  </w:footnote>
  <w:footnote w:id="14">
    <w:p w:rsidR="00912D20" w:rsidRPr="00F14C4A" w:rsidP="00F14C4A" w14:paraId="3073D909" w14:textId="4A8BE3D5">
      <w:pPr>
        <w:autoSpaceDE w:val="0"/>
        <w:autoSpaceDN w:val="0"/>
        <w:adjustRightInd w:val="0"/>
        <w:spacing w:after="120"/>
        <w:rPr>
          <w:sz w:val="20"/>
        </w:rPr>
      </w:pPr>
      <w:r w:rsidRPr="00F14C4A">
        <w:rPr>
          <w:rStyle w:val="FootnoteReference"/>
          <w:sz w:val="20"/>
        </w:rPr>
        <w:footnoteRef/>
      </w:r>
      <w:r w:rsidRPr="00F14C4A">
        <w:rPr>
          <w:sz w:val="20"/>
        </w:rPr>
        <w:t xml:space="preserve"> </w:t>
      </w:r>
      <w:r w:rsidRPr="00F14C4A" w:rsidR="008F6E22">
        <w:rPr>
          <w:i/>
          <w:iCs/>
          <w:sz w:val="20"/>
        </w:rPr>
        <w:t>Id.</w:t>
      </w:r>
      <w:r w:rsidRPr="00F14C4A" w:rsidR="008F6E22">
        <w:rPr>
          <w:sz w:val="20"/>
        </w:rPr>
        <w:t xml:space="preserve"> </w:t>
      </w:r>
      <w:r w:rsidRPr="00F14C4A">
        <w:rPr>
          <w:sz w:val="20"/>
        </w:rPr>
        <w:t xml:space="preserve">at </w:t>
      </w:r>
      <w:r w:rsidRPr="00F14C4A" w:rsidR="003118DA">
        <w:rPr>
          <w:sz w:val="20"/>
        </w:rPr>
        <w:t>12</w:t>
      </w:r>
      <w:r w:rsidR="002003E5">
        <w:rPr>
          <w:sz w:val="20"/>
        </w:rPr>
        <w:t>;</w:t>
      </w:r>
      <w:r w:rsidRPr="00F14C4A" w:rsidR="003118DA">
        <w:rPr>
          <w:sz w:val="20"/>
        </w:rPr>
        <w:t xml:space="preserve"> </w:t>
      </w:r>
      <w:r w:rsidRPr="00F14C4A" w:rsidR="00F14C4A">
        <w:rPr>
          <w:sz w:val="20"/>
        </w:rPr>
        <w:t>Exh</w:t>
      </w:r>
      <w:r w:rsidRPr="00F14C4A" w:rsidR="00F14C4A">
        <w:rPr>
          <w:sz w:val="20"/>
        </w:rPr>
        <w:t>. A</w:t>
      </w:r>
      <w:r w:rsidR="002003E5">
        <w:rPr>
          <w:sz w:val="20"/>
        </w:rPr>
        <w:t xml:space="preserve">. at 30 </w:t>
      </w:r>
      <w:r w:rsidRPr="00F14C4A" w:rsidR="00F14C4A">
        <w:rPr>
          <w:sz w:val="20"/>
        </w:rPr>
        <w:t>(Pre-Transaction Organizational Chart of PRSOF II IIG Inc.)</w:t>
      </w:r>
      <w:r w:rsidR="002003E5">
        <w:rPr>
          <w:sz w:val="20"/>
        </w:rPr>
        <w:t>.</w:t>
      </w:r>
    </w:p>
  </w:footnote>
  <w:footnote w:id="15">
    <w:p w:rsidR="003118DA" w:rsidRPr="00F14C4A" w:rsidP="00F14C4A" w14:paraId="6C1ADD73" w14:textId="4B7BCAF8">
      <w:pPr>
        <w:pStyle w:val="FootnoteText"/>
        <w:spacing w:after="120"/>
        <w:rPr>
          <w:sz w:val="20"/>
        </w:rPr>
      </w:pPr>
      <w:r w:rsidRPr="00F14C4A">
        <w:rPr>
          <w:rStyle w:val="FootnoteReference"/>
          <w:sz w:val="20"/>
        </w:rPr>
        <w:footnoteRef/>
      </w:r>
      <w:r w:rsidRPr="00F14C4A">
        <w:rPr>
          <w:sz w:val="20"/>
        </w:rPr>
        <w:t xml:space="preserve"> </w:t>
      </w:r>
      <w:r w:rsidRPr="00F14C4A" w:rsidR="008F6E22">
        <w:rPr>
          <w:i/>
          <w:iCs/>
          <w:sz w:val="20"/>
        </w:rPr>
        <w:t>Id.</w:t>
      </w:r>
      <w:r w:rsidRPr="00F14C4A" w:rsidR="008F6E22">
        <w:rPr>
          <w:sz w:val="20"/>
        </w:rPr>
        <w:t xml:space="preserve"> </w:t>
      </w:r>
      <w:r w:rsidRPr="00F14C4A">
        <w:rPr>
          <w:sz w:val="20"/>
        </w:rPr>
        <w:t>at 13</w:t>
      </w:r>
      <w:r w:rsidR="002003E5">
        <w:rPr>
          <w:sz w:val="20"/>
        </w:rPr>
        <w:t>;</w:t>
      </w:r>
      <w:r w:rsidRPr="00F14C4A">
        <w:rPr>
          <w:sz w:val="20"/>
        </w:rPr>
        <w:t xml:space="preserve"> </w:t>
      </w:r>
      <w:r w:rsidRPr="00F14C4A" w:rsidR="00F14C4A">
        <w:rPr>
          <w:sz w:val="20"/>
        </w:rPr>
        <w:t>Exh</w:t>
      </w:r>
      <w:r w:rsidRPr="00F14C4A" w:rsidR="00F14C4A">
        <w:rPr>
          <w:sz w:val="20"/>
        </w:rPr>
        <w:t>. A</w:t>
      </w:r>
      <w:r w:rsidR="002003E5">
        <w:rPr>
          <w:sz w:val="20"/>
        </w:rPr>
        <w:t xml:space="preserve">. at 30.  </w:t>
      </w:r>
    </w:p>
  </w:footnote>
  <w:footnote w:id="16">
    <w:p w:rsidR="003D44B5" w:rsidRPr="00F14C4A" w:rsidP="00F14C4A" w14:paraId="5EBB6289" w14:textId="09EE40F5">
      <w:pPr>
        <w:pStyle w:val="FootnoteText"/>
        <w:spacing w:after="120"/>
        <w:rPr>
          <w:sz w:val="20"/>
        </w:rPr>
      </w:pPr>
      <w:r w:rsidRPr="00F14C4A">
        <w:rPr>
          <w:rStyle w:val="FootnoteReference"/>
          <w:sz w:val="20"/>
        </w:rPr>
        <w:footnoteRef/>
      </w:r>
      <w:r w:rsidRPr="00F14C4A">
        <w:rPr>
          <w:sz w:val="20"/>
        </w:rPr>
        <w:t xml:space="preserve"> </w:t>
      </w:r>
      <w:r w:rsidRPr="00F14C4A" w:rsidR="008F6E22">
        <w:rPr>
          <w:i/>
          <w:iCs/>
          <w:sz w:val="20"/>
        </w:rPr>
        <w:t>Id.</w:t>
      </w:r>
    </w:p>
  </w:footnote>
  <w:footnote w:id="17">
    <w:p w:rsidR="00D02B0F" w:rsidRPr="00F14C4A" w:rsidP="00F14C4A" w14:paraId="2358C817" w14:textId="4926BC38">
      <w:pPr>
        <w:pStyle w:val="FootnoteText"/>
        <w:spacing w:after="120"/>
        <w:rPr>
          <w:sz w:val="20"/>
        </w:rPr>
      </w:pPr>
      <w:r w:rsidRPr="00F14C4A">
        <w:rPr>
          <w:rStyle w:val="FootnoteReference"/>
          <w:sz w:val="20"/>
        </w:rPr>
        <w:footnoteRef/>
      </w:r>
      <w:r w:rsidRPr="00F14C4A">
        <w:rPr>
          <w:sz w:val="20"/>
        </w:rPr>
        <w:t xml:space="preserve"> </w:t>
      </w:r>
      <w:r w:rsidRPr="00F14C4A" w:rsidR="008F6E22">
        <w:rPr>
          <w:i/>
          <w:iCs/>
          <w:sz w:val="20"/>
        </w:rPr>
        <w:t>Id.</w:t>
      </w:r>
      <w:r w:rsidRPr="00F14C4A">
        <w:rPr>
          <w:sz w:val="20"/>
        </w:rPr>
        <w:t xml:space="preserve"> at 1</w:t>
      </w:r>
      <w:r w:rsidRPr="00F14C4A" w:rsidR="00DE79E5">
        <w:rPr>
          <w:sz w:val="20"/>
        </w:rPr>
        <w:t>3</w:t>
      </w:r>
      <w:r w:rsidRPr="00F14C4A">
        <w:rPr>
          <w:sz w:val="20"/>
        </w:rPr>
        <w:t>.</w:t>
      </w:r>
      <w:r w:rsidRPr="00F14C4A" w:rsidR="009D28EF">
        <w:rPr>
          <w:sz w:val="20"/>
        </w:rPr>
        <w:t xml:space="preserve"> </w:t>
      </w:r>
      <w:r w:rsidRPr="00F14C4A" w:rsidR="00DE79E5">
        <w:rPr>
          <w:sz w:val="20"/>
        </w:rPr>
        <w:t xml:space="preserve"> </w:t>
      </w:r>
      <w:r w:rsidRPr="00F14C4A" w:rsidR="009D28EF">
        <w:rPr>
          <w:sz w:val="20"/>
        </w:rPr>
        <w:t>Applicants state that, other than the equity interests in Post Road Special Opportunity Fund II held by Post Road SOF II LLC, Birch Hill Capital LLC, and Seventh Avenue Capital II LLC, the remaining</w:t>
      </w:r>
      <w:r w:rsidRPr="00F14C4A" w:rsidR="00DE79E5">
        <w:rPr>
          <w:sz w:val="20"/>
        </w:rPr>
        <w:t xml:space="preserve"> pre-transaction and post-transaction</w:t>
      </w:r>
      <w:r w:rsidRPr="00F14C4A" w:rsidR="009D28EF">
        <w:rPr>
          <w:sz w:val="20"/>
        </w:rPr>
        <w:t xml:space="preserve"> equity interests in Post Road SOF II LP are held by passive limited partners, none of which individually hold equity </w:t>
      </w:r>
      <w:r w:rsidRPr="001F23E3" w:rsidR="009D28EF">
        <w:rPr>
          <w:sz w:val="20"/>
        </w:rPr>
        <w:t xml:space="preserve">interests that equate to an indirect economic interest of 10% or more.  </w:t>
      </w:r>
      <w:r w:rsidRPr="001F23E3" w:rsidR="009D28EF">
        <w:rPr>
          <w:i/>
          <w:iCs/>
          <w:sz w:val="20"/>
        </w:rPr>
        <w:t xml:space="preserve">Id. </w:t>
      </w:r>
      <w:r w:rsidRPr="001F23E3" w:rsidR="009D28EF">
        <w:rPr>
          <w:sz w:val="20"/>
        </w:rPr>
        <w:t>at 1</w:t>
      </w:r>
      <w:r w:rsidRPr="001F23E3" w:rsidR="00DE79E5">
        <w:rPr>
          <w:sz w:val="20"/>
        </w:rPr>
        <w:t>3</w:t>
      </w:r>
      <w:r w:rsidRPr="001F23E3" w:rsidR="009D28EF">
        <w:rPr>
          <w:sz w:val="20"/>
        </w:rPr>
        <w:t xml:space="preserve">, </w:t>
      </w:r>
      <w:r w:rsidRPr="001F23E3" w:rsidR="00DE79E5">
        <w:rPr>
          <w:sz w:val="20"/>
        </w:rPr>
        <w:t>16</w:t>
      </w:r>
      <w:r w:rsidR="002003E5">
        <w:rPr>
          <w:sz w:val="20"/>
        </w:rPr>
        <w:t>;</w:t>
      </w:r>
      <w:r w:rsidR="001F23E3">
        <w:rPr>
          <w:sz w:val="20"/>
        </w:rPr>
        <w:t xml:space="preserve"> </w:t>
      </w:r>
      <w:r w:rsidRPr="001F23E3" w:rsidR="00F14C4A">
        <w:rPr>
          <w:sz w:val="20"/>
        </w:rPr>
        <w:t>Exh</w:t>
      </w:r>
      <w:r w:rsidRPr="001F23E3" w:rsidR="00F14C4A">
        <w:rPr>
          <w:sz w:val="20"/>
        </w:rPr>
        <w:t>. A</w:t>
      </w:r>
      <w:r w:rsidR="002003E5">
        <w:rPr>
          <w:sz w:val="20"/>
        </w:rPr>
        <w:t xml:space="preserve">. at 32 </w:t>
      </w:r>
      <w:r w:rsidRPr="001F23E3" w:rsidR="001F23E3">
        <w:rPr>
          <w:sz w:val="20"/>
        </w:rPr>
        <w:t>(Post-Transaction Organizational Chart of PRSOF II IIG Inc.).</w:t>
      </w:r>
      <w:r w:rsidR="001F23E3">
        <w:rPr>
          <w:color w:val="FF0000"/>
          <w:sz w:val="20"/>
        </w:rPr>
        <w:t xml:space="preserve"> </w:t>
      </w:r>
      <w:r w:rsidRPr="00F14C4A" w:rsidR="006A525B">
        <w:rPr>
          <w:color w:val="FF0000"/>
          <w:sz w:val="20"/>
        </w:rPr>
        <w:t xml:space="preserve"> </w:t>
      </w:r>
    </w:p>
  </w:footnote>
  <w:footnote w:id="18">
    <w:p w:rsidR="003D44B5" w:rsidRPr="00F14C4A" w:rsidP="00F14C4A" w14:paraId="412B2AB7" w14:textId="7261D0D6">
      <w:pPr>
        <w:pStyle w:val="FootnoteText"/>
        <w:spacing w:after="120"/>
        <w:rPr>
          <w:sz w:val="20"/>
        </w:rPr>
      </w:pPr>
      <w:r w:rsidRPr="00F14C4A">
        <w:rPr>
          <w:rStyle w:val="FootnoteReference"/>
          <w:sz w:val="20"/>
        </w:rPr>
        <w:footnoteRef/>
      </w:r>
      <w:r w:rsidRPr="00F14C4A" w:rsidR="008F6E22">
        <w:rPr>
          <w:sz w:val="20"/>
        </w:rPr>
        <w:t xml:space="preserve"> </w:t>
      </w:r>
      <w:r w:rsidRPr="00F14C4A" w:rsidR="008F6E22">
        <w:rPr>
          <w:i/>
          <w:iCs/>
          <w:sz w:val="20"/>
        </w:rPr>
        <w:t>Id.</w:t>
      </w:r>
      <w:r w:rsidRPr="00F14C4A" w:rsidR="008F6E22">
        <w:rPr>
          <w:sz w:val="20"/>
        </w:rPr>
        <w:t xml:space="preserve"> </w:t>
      </w:r>
      <w:r w:rsidRPr="00F14C4A">
        <w:rPr>
          <w:sz w:val="20"/>
        </w:rPr>
        <w:t xml:space="preserve">at </w:t>
      </w:r>
      <w:r w:rsidRPr="002003E5">
        <w:rPr>
          <w:sz w:val="20"/>
        </w:rPr>
        <w:t>1</w:t>
      </w:r>
      <w:r w:rsidRPr="002003E5" w:rsidR="00250074">
        <w:rPr>
          <w:sz w:val="20"/>
        </w:rPr>
        <w:t>3</w:t>
      </w:r>
      <w:r w:rsidR="002003E5">
        <w:rPr>
          <w:sz w:val="20"/>
        </w:rPr>
        <w:t xml:space="preserve">; </w:t>
      </w:r>
      <w:r w:rsidRPr="002003E5" w:rsidR="002003E5">
        <w:rPr>
          <w:sz w:val="20"/>
        </w:rPr>
        <w:t>Exh</w:t>
      </w:r>
      <w:r w:rsidRPr="002003E5" w:rsidR="002003E5">
        <w:rPr>
          <w:sz w:val="20"/>
        </w:rPr>
        <w:t xml:space="preserve"> A. at </w:t>
      </w:r>
      <w:r w:rsidRPr="002003E5" w:rsidR="006A525B">
        <w:rPr>
          <w:sz w:val="20"/>
        </w:rPr>
        <w:t xml:space="preserve">30, </w:t>
      </w:r>
      <w:r w:rsidRPr="002003E5" w:rsidR="00250074">
        <w:rPr>
          <w:sz w:val="20"/>
        </w:rPr>
        <w:t>32</w:t>
      </w:r>
    </w:p>
  </w:footnote>
  <w:footnote w:id="19">
    <w:p w:rsidR="00250074" w:rsidRPr="00F14C4A" w:rsidP="00F14C4A" w14:paraId="1C73FA32" w14:textId="139F02D5">
      <w:pPr>
        <w:pStyle w:val="FootnoteText"/>
        <w:spacing w:after="120"/>
        <w:rPr>
          <w:sz w:val="20"/>
        </w:rPr>
      </w:pPr>
      <w:r w:rsidRPr="00F14C4A">
        <w:rPr>
          <w:rStyle w:val="FootnoteReference"/>
          <w:sz w:val="20"/>
        </w:rPr>
        <w:footnoteRef/>
      </w:r>
      <w:r w:rsidRPr="00F14C4A" w:rsidR="008F6E22">
        <w:rPr>
          <w:sz w:val="20"/>
        </w:rPr>
        <w:t xml:space="preserve"> </w:t>
      </w:r>
      <w:r w:rsidRPr="00F14C4A" w:rsidR="008F6E22">
        <w:rPr>
          <w:i/>
          <w:iCs/>
          <w:sz w:val="20"/>
        </w:rPr>
        <w:t>Id.</w:t>
      </w:r>
      <w:r w:rsidRPr="00F14C4A" w:rsidR="008F6E22">
        <w:rPr>
          <w:sz w:val="20"/>
        </w:rPr>
        <w:t xml:space="preserve"> </w:t>
      </w:r>
      <w:r w:rsidRPr="00F14C4A">
        <w:rPr>
          <w:sz w:val="20"/>
        </w:rPr>
        <w:t xml:space="preserve"> at 13-14</w:t>
      </w:r>
      <w:r w:rsidR="002003E5">
        <w:rPr>
          <w:sz w:val="20"/>
        </w:rPr>
        <w:t>;</w:t>
      </w:r>
      <w:r w:rsidRPr="00F14C4A">
        <w:rPr>
          <w:sz w:val="20"/>
        </w:rPr>
        <w:t xml:space="preserve"> </w:t>
      </w:r>
      <w:r w:rsidRPr="002003E5" w:rsidR="002003E5">
        <w:rPr>
          <w:sz w:val="20"/>
        </w:rPr>
        <w:t>Exh</w:t>
      </w:r>
      <w:r w:rsidRPr="002003E5" w:rsidR="002003E5">
        <w:rPr>
          <w:sz w:val="20"/>
        </w:rPr>
        <w:t xml:space="preserve">. A. at </w:t>
      </w:r>
      <w:r w:rsidRPr="002003E5" w:rsidR="006A525B">
        <w:rPr>
          <w:sz w:val="20"/>
        </w:rPr>
        <w:t xml:space="preserve">30, and </w:t>
      </w:r>
      <w:r w:rsidRPr="002003E5">
        <w:rPr>
          <w:sz w:val="20"/>
        </w:rPr>
        <w:t>32.</w:t>
      </w:r>
      <w:r w:rsidRPr="00F14C4A">
        <w:rPr>
          <w:sz w:val="20"/>
        </w:rPr>
        <w:t xml:space="preserve">  </w:t>
      </w:r>
    </w:p>
  </w:footnote>
  <w:footnote w:id="20">
    <w:p w:rsidR="0054328E" w:rsidRPr="00F14C4A" w:rsidP="00F14C4A" w14:paraId="4E2F96ED" w14:textId="46532B05">
      <w:pPr>
        <w:pStyle w:val="FootnoteText"/>
        <w:spacing w:after="120"/>
        <w:rPr>
          <w:sz w:val="20"/>
        </w:rPr>
      </w:pPr>
      <w:r w:rsidRPr="00F14C4A">
        <w:rPr>
          <w:rStyle w:val="FootnoteReference"/>
          <w:sz w:val="20"/>
        </w:rPr>
        <w:footnoteRef/>
      </w:r>
      <w:r w:rsidRPr="00F14C4A">
        <w:rPr>
          <w:sz w:val="20"/>
        </w:rPr>
        <w:t xml:space="preserve"> </w:t>
      </w:r>
      <w:r w:rsidRPr="00F14C4A" w:rsidR="008F6E22">
        <w:rPr>
          <w:i/>
          <w:iCs/>
          <w:sz w:val="20"/>
        </w:rPr>
        <w:t>Id.</w:t>
      </w:r>
      <w:r w:rsidRPr="00F14C4A">
        <w:rPr>
          <w:sz w:val="20"/>
        </w:rPr>
        <w:t xml:space="preserve"> at 5.</w:t>
      </w:r>
    </w:p>
  </w:footnote>
  <w:footnote w:id="21">
    <w:p w:rsidR="00CA7031" w:rsidRPr="00F14C4A" w:rsidP="00F14C4A" w14:paraId="76C13EC3" w14:textId="345CCC11">
      <w:pPr>
        <w:pStyle w:val="FootnoteText"/>
        <w:spacing w:after="120"/>
        <w:rPr>
          <w:sz w:val="20"/>
        </w:rPr>
      </w:pPr>
      <w:r w:rsidRPr="00F14C4A">
        <w:rPr>
          <w:rStyle w:val="FootnoteReference"/>
          <w:sz w:val="20"/>
        </w:rPr>
        <w:footnoteRef/>
      </w:r>
      <w:r w:rsidRPr="00F14C4A">
        <w:rPr>
          <w:sz w:val="20"/>
        </w:rPr>
        <w:t xml:space="preserve"> </w:t>
      </w:r>
      <w:r w:rsidRPr="00F14C4A" w:rsidR="0078582D">
        <w:rPr>
          <w:i/>
          <w:iCs/>
          <w:sz w:val="20"/>
        </w:rPr>
        <w:t>Id</w:t>
      </w:r>
      <w:r w:rsidRPr="00F14C4A">
        <w:rPr>
          <w:sz w:val="20"/>
        </w:rPr>
        <w:t xml:space="preserve">. </w:t>
      </w:r>
    </w:p>
  </w:footnote>
  <w:footnote w:id="22">
    <w:p w:rsidR="00A86F7B" w:rsidRPr="00F14C4A" w:rsidP="00F14C4A" w14:paraId="21AE89FF" w14:textId="49BD8DF4">
      <w:pPr>
        <w:pStyle w:val="FootnoteText"/>
        <w:spacing w:after="120"/>
        <w:rPr>
          <w:sz w:val="20"/>
        </w:rPr>
      </w:pPr>
      <w:r w:rsidRPr="00F14C4A">
        <w:rPr>
          <w:rStyle w:val="FootnoteReference"/>
          <w:sz w:val="20"/>
        </w:rPr>
        <w:footnoteRef/>
      </w:r>
      <w:r w:rsidRPr="00F14C4A">
        <w:rPr>
          <w:sz w:val="20"/>
        </w:rPr>
        <w:t xml:space="preserve"> </w:t>
      </w:r>
      <w:r w:rsidRPr="00F14C4A" w:rsidR="00E501CB">
        <w:rPr>
          <w:i/>
          <w:iCs/>
          <w:sz w:val="20"/>
        </w:rPr>
        <w:t xml:space="preserve">Id. </w:t>
      </w:r>
      <w:r w:rsidRPr="00F14C4A">
        <w:rPr>
          <w:sz w:val="20"/>
        </w:rPr>
        <w:t>at 5</w:t>
      </w:r>
      <w:r w:rsidRPr="00F14C4A" w:rsidR="001624CA">
        <w:rPr>
          <w:sz w:val="20"/>
        </w:rPr>
        <w:t>, 20</w:t>
      </w:r>
      <w:r w:rsidRPr="00F14C4A">
        <w:rPr>
          <w:sz w:val="20"/>
        </w:rPr>
        <w:t xml:space="preserve">. </w:t>
      </w:r>
    </w:p>
  </w:footnote>
  <w:footnote w:id="23">
    <w:p w:rsidR="00E46B22" w:rsidRPr="002E3408" w:rsidP="002E3408" w14:paraId="036F149C" w14:textId="38BD2163">
      <w:pPr>
        <w:pStyle w:val="FootnoteText"/>
        <w:spacing w:after="120"/>
        <w:rPr>
          <w:sz w:val="20"/>
        </w:rPr>
      </w:pPr>
      <w:r w:rsidRPr="002E3408">
        <w:rPr>
          <w:rStyle w:val="FootnoteReference"/>
          <w:sz w:val="20"/>
        </w:rPr>
        <w:footnoteRef/>
      </w:r>
      <w:r w:rsidRPr="002E3408">
        <w:rPr>
          <w:sz w:val="20"/>
        </w:rPr>
        <w:t xml:space="preserve"> </w:t>
      </w:r>
      <w:r w:rsidRPr="002E3408">
        <w:rPr>
          <w:i/>
          <w:iCs/>
          <w:sz w:val="20"/>
        </w:rPr>
        <w:t xml:space="preserve">Id. </w:t>
      </w:r>
      <w:r w:rsidRPr="002E3408">
        <w:rPr>
          <w:sz w:val="20"/>
        </w:rPr>
        <w:t xml:space="preserve">at 5. </w:t>
      </w:r>
    </w:p>
  </w:footnote>
  <w:footnote w:id="24">
    <w:p w:rsidR="00170C2E" w:rsidRPr="00170C2E" w:rsidP="002E3408" w14:paraId="4E9F7059" w14:textId="244DE79F">
      <w:pPr>
        <w:pStyle w:val="FootnoteText"/>
        <w:spacing w:after="120"/>
      </w:pPr>
      <w:r w:rsidRPr="002E3408">
        <w:rPr>
          <w:rStyle w:val="FootnoteReference"/>
          <w:sz w:val="20"/>
        </w:rPr>
        <w:footnoteRef/>
      </w:r>
      <w:r w:rsidRPr="002E3408">
        <w:rPr>
          <w:sz w:val="20"/>
        </w:rPr>
        <w:t xml:space="preserve"> </w:t>
      </w:r>
      <w:r w:rsidRPr="002E3408">
        <w:rPr>
          <w:i/>
          <w:iCs/>
          <w:sz w:val="20"/>
        </w:rPr>
        <w:t xml:space="preserve">Id. </w:t>
      </w:r>
      <w:r w:rsidRPr="002E3408">
        <w:rPr>
          <w:sz w:val="20"/>
        </w:rPr>
        <w:t xml:space="preserve">at </w:t>
      </w:r>
      <w:r w:rsidRPr="002E3408" w:rsidR="003A63F1">
        <w:rPr>
          <w:sz w:val="20"/>
        </w:rPr>
        <w:t>5, 19.</w:t>
      </w:r>
      <w:r w:rsidR="003A63F1">
        <w:t xml:space="preserve">  </w:t>
      </w:r>
    </w:p>
  </w:footnote>
  <w:footnote w:id="25">
    <w:p w:rsidR="003D6C65" w:rsidRPr="002E3408" w:rsidP="002E3408" w14:paraId="1B1212A6" w14:textId="7693CB11">
      <w:pPr>
        <w:pStyle w:val="FootnoteText"/>
        <w:spacing w:after="120"/>
        <w:rPr>
          <w:sz w:val="20"/>
        </w:rPr>
      </w:pPr>
      <w:r w:rsidRPr="002E3408">
        <w:rPr>
          <w:rStyle w:val="FootnoteReference"/>
          <w:sz w:val="20"/>
        </w:rPr>
        <w:footnoteRef/>
      </w:r>
      <w:r w:rsidRPr="002E3408">
        <w:rPr>
          <w:sz w:val="20"/>
        </w:rPr>
        <w:t xml:space="preserve"> </w:t>
      </w:r>
      <w:r w:rsidRPr="002E3408">
        <w:rPr>
          <w:i/>
          <w:iCs/>
          <w:sz w:val="20"/>
        </w:rPr>
        <w:t xml:space="preserve">Id. </w:t>
      </w:r>
      <w:r w:rsidRPr="002E3408">
        <w:rPr>
          <w:sz w:val="20"/>
        </w:rPr>
        <w:t>at 24.</w:t>
      </w:r>
    </w:p>
  </w:footnote>
  <w:footnote w:id="26">
    <w:p w:rsidR="003D6C65" w:rsidRPr="002E3408" w:rsidP="002E3408" w14:paraId="76B9788F" w14:textId="0EF68F07">
      <w:pPr>
        <w:pStyle w:val="FootnoteText"/>
        <w:spacing w:after="120"/>
        <w:rPr>
          <w:sz w:val="20"/>
        </w:rPr>
      </w:pPr>
      <w:r w:rsidRPr="002E3408">
        <w:rPr>
          <w:rStyle w:val="FootnoteReference"/>
          <w:sz w:val="20"/>
        </w:rPr>
        <w:footnoteRef/>
      </w:r>
      <w:r w:rsidRPr="002E3408">
        <w:rPr>
          <w:sz w:val="20"/>
        </w:rPr>
        <w:t xml:space="preserve"> </w:t>
      </w:r>
      <w:r w:rsidRPr="002E3408">
        <w:rPr>
          <w:i/>
          <w:iCs/>
          <w:sz w:val="20"/>
        </w:rPr>
        <w:t xml:space="preserve">Id. </w:t>
      </w:r>
    </w:p>
  </w:footnote>
  <w:footnote w:id="27">
    <w:p w:rsidR="00685DDA" w:rsidRPr="00685DDA" w:rsidP="002E3408" w14:paraId="2109001A" w14:textId="7E902176">
      <w:pPr>
        <w:pStyle w:val="FootnoteText"/>
        <w:spacing w:after="120"/>
      </w:pPr>
      <w:r w:rsidRPr="002E3408">
        <w:rPr>
          <w:rStyle w:val="FootnoteReference"/>
          <w:sz w:val="20"/>
        </w:rPr>
        <w:footnoteRef/>
      </w:r>
      <w:r w:rsidRPr="002E3408">
        <w:rPr>
          <w:sz w:val="20"/>
        </w:rPr>
        <w:t xml:space="preserve"> </w:t>
      </w:r>
      <w:r w:rsidRPr="002E3408">
        <w:rPr>
          <w:i/>
          <w:iCs/>
          <w:sz w:val="20"/>
        </w:rPr>
        <w:t>Id.</w:t>
      </w:r>
      <w:r>
        <w:rPr>
          <w:i/>
          <w:iCs/>
        </w:rPr>
        <w:t xml:space="preserve"> </w:t>
      </w:r>
    </w:p>
  </w:footnote>
  <w:footnote w:id="28">
    <w:p w:rsidR="00BB154C" w:rsidRPr="00F14C4A" w:rsidP="00F14C4A" w14:paraId="71670D41" w14:textId="5CE68E2D">
      <w:pPr>
        <w:pStyle w:val="FootnoteText"/>
        <w:spacing w:after="120"/>
        <w:rPr>
          <w:sz w:val="20"/>
        </w:rPr>
      </w:pPr>
      <w:r w:rsidRPr="00F14C4A">
        <w:rPr>
          <w:rStyle w:val="FootnoteReference"/>
          <w:sz w:val="20"/>
        </w:rPr>
        <w:footnoteRef/>
      </w:r>
      <w:r w:rsidRPr="00F14C4A">
        <w:rPr>
          <w:sz w:val="20"/>
        </w:rPr>
        <w:t xml:space="preserve"> </w:t>
      </w:r>
      <w:r w:rsidRPr="00F14C4A" w:rsidR="00413F72">
        <w:rPr>
          <w:i/>
          <w:iCs/>
          <w:sz w:val="20"/>
        </w:rPr>
        <w:t xml:space="preserve">Id. </w:t>
      </w:r>
      <w:r w:rsidRPr="00F14C4A" w:rsidR="004B79AF">
        <w:rPr>
          <w:sz w:val="20"/>
        </w:rPr>
        <w:t xml:space="preserve">at 2. </w:t>
      </w:r>
    </w:p>
  </w:footnote>
  <w:footnote w:id="29">
    <w:p w:rsidR="004B79AF" w:rsidRPr="00F14C4A" w:rsidP="00F14C4A" w14:paraId="4A733C5B" w14:textId="32000FC1">
      <w:pPr>
        <w:pStyle w:val="FootnoteText"/>
        <w:spacing w:after="120"/>
        <w:rPr>
          <w:sz w:val="20"/>
        </w:rPr>
      </w:pPr>
      <w:r w:rsidRPr="00F14C4A">
        <w:rPr>
          <w:rStyle w:val="FootnoteReference"/>
          <w:sz w:val="20"/>
        </w:rPr>
        <w:footnoteRef/>
      </w:r>
      <w:r w:rsidRPr="00F14C4A">
        <w:rPr>
          <w:sz w:val="20"/>
        </w:rPr>
        <w:t xml:space="preserve"> </w:t>
      </w:r>
      <w:r w:rsidRPr="00F14C4A" w:rsidR="00413F72">
        <w:rPr>
          <w:i/>
          <w:iCs/>
          <w:sz w:val="20"/>
        </w:rPr>
        <w:t>Id</w:t>
      </w:r>
      <w:r w:rsidRPr="00F14C4A">
        <w:rPr>
          <w:sz w:val="20"/>
        </w:rPr>
        <w:t xml:space="preserve">. </w:t>
      </w:r>
    </w:p>
  </w:footnote>
  <w:footnote w:id="30">
    <w:p w:rsidR="00F53064" w:rsidRPr="00F14C4A" w:rsidP="00F14C4A" w14:paraId="5910956F" w14:textId="7F04C31B">
      <w:pPr>
        <w:pStyle w:val="FootnoteText"/>
        <w:spacing w:after="120"/>
        <w:rPr>
          <w:sz w:val="20"/>
        </w:rPr>
      </w:pPr>
      <w:r w:rsidRPr="00F14C4A">
        <w:rPr>
          <w:rStyle w:val="FootnoteReference"/>
          <w:sz w:val="20"/>
        </w:rPr>
        <w:footnoteRef/>
      </w:r>
      <w:r w:rsidRPr="00F14C4A">
        <w:rPr>
          <w:sz w:val="20"/>
        </w:rPr>
        <w:t xml:space="preserve"> </w:t>
      </w:r>
      <w:r w:rsidRPr="00F14C4A" w:rsidR="00C4611D">
        <w:rPr>
          <w:i/>
          <w:iCs/>
          <w:sz w:val="20"/>
        </w:rPr>
        <w:t>Id.</w:t>
      </w:r>
      <w:r w:rsidRPr="00F14C4A">
        <w:rPr>
          <w:sz w:val="20"/>
        </w:rPr>
        <w:t xml:space="preserve"> at 2, 14.</w:t>
      </w:r>
    </w:p>
  </w:footnote>
  <w:footnote w:id="31">
    <w:p w:rsidR="00F53064" w:rsidRPr="002003E5" w:rsidP="00F14C4A" w14:paraId="3B0709D4" w14:textId="7FBA3A64">
      <w:pPr>
        <w:pStyle w:val="FootnoteText"/>
        <w:spacing w:after="120"/>
        <w:rPr>
          <w:sz w:val="20"/>
        </w:rPr>
      </w:pPr>
      <w:r w:rsidRPr="002003E5">
        <w:rPr>
          <w:rStyle w:val="FootnoteReference"/>
          <w:sz w:val="20"/>
        </w:rPr>
        <w:footnoteRef/>
      </w:r>
      <w:r w:rsidRPr="002003E5">
        <w:rPr>
          <w:sz w:val="20"/>
        </w:rPr>
        <w:t xml:space="preserve"> </w:t>
      </w:r>
      <w:r w:rsidRPr="002003E5" w:rsidR="001511F2">
        <w:rPr>
          <w:i/>
          <w:iCs/>
          <w:sz w:val="20"/>
        </w:rPr>
        <w:t>Id.</w:t>
      </w:r>
      <w:r w:rsidRPr="002003E5">
        <w:rPr>
          <w:sz w:val="20"/>
        </w:rPr>
        <w:t xml:space="preserve"> at 6-7</w:t>
      </w:r>
      <w:r w:rsidRPr="002003E5" w:rsidR="002003E5">
        <w:rPr>
          <w:sz w:val="20"/>
        </w:rPr>
        <w:t xml:space="preserve">; </w:t>
      </w:r>
      <w:r w:rsidRPr="002003E5" w:rsidR="002003E5">
        <w:rPr>
          <w:sz w:val="20"/>
        </w:rPr>
        <w:t>Exh</w:t>
      </w:r>
      <w:r w:rsidRPr="002003E5" w:rsidR="002003E5">
        <w:rPr>
          <w:sz w:val="20"/>
        </w:rPr>
        <w:t>. A at</w:t>
      </w:r>
      <w:r w:rsidRPr="002003E5" w:rsidR="00660467">
        <w:rPr>
          <w:sz w:val="20"/>
        </w:rPr>
        <w:t xml:space="preserve"> 31</w:t>
      </w:r>
      <w:r w:rsidRPr="002003E5" w:rsidR="002003E5">
        <w:rPr>
          <w:sz w:val="20"/>
        </w:rPr>
        <w:t xml:space="preserve"> (Post-Transaction Ownership Diagrams).</w:t>
      </w:r>
    </w:p>
  </w:footnote>
  <w:footnote w:id="32">
    <w:p w:rsidR="00C63562" w:rsidRPr="00F14C4A" w:rsidP="00F14C4A" w14:paraId="79CF8CB2" w14:textId="5698A981">
      <w:pPr>
        <w:pStyle w:val="FootnoteText"/>
        <w:spacing w:after="120"/>
        <w:rPr>
          <w:i/>
          <w:iCs/>
          <w:sz w:val="20"/>
        </w:rPr>
      </w:pPr>
      <w:r w:rsidRPr="00F14C4A">
        <w:rPr>
          <w:rStyle w:val="FootnoteReference"/>
          <w:sz w:val="20"/>
        </w:rPr>
        <w:footnoteRef/>
      </w:r>
      <w:r w:rsidRPr="00F14C4A">
        <w:rPr>
          <w:sz w:val="20"/>
        </w:rPr>
        <w:t xml:space="preserve"> Application at </w:t>
      </w:r>
      <w:r w:rsidRPr="00F14C4A" w:rsidR="0099710B">
        <w:rPr>
          <w:sz w:val="20"/>
        </w:rPr>
        <w:t xml:space="preserve">6.  </w:t>
      </w:r>
      <w:r w:rsidRPr="00F14C4A">
        <w:rPr>
          <w:sz w:val="20"/>
        </w:rPr>
        <w:t>Applicants stat</w:t>
      </w:r>
      <w:r w:rsidRPr="00F14C4A" w:rsidR="0099710B">
        <w:rPr>
          <w:sz w:val="20"/>
        </w:rPr>
        <w:t xml:space="preserve">e that, following consummation of the proposed transaction, each entity will have the right to designate the following number of mangers:  </w:t>
      </w:r>
      <w:r w:rsidRPr="00F14C4A" w:rsidR="0099710B">
        <w:rPr>
          <w:sz w:val="20"/>
        </w:rPr>
        <w:t>Yount</w:t>
      </w:r>
      <w:r w:rsidRPr="00F14C4A" w:rsidR="0099710B">
        <w:rPr>
          <w:sz w:val="20"/>
        </w:rPr>
        <w:t xml:space="preserve"> (2 managers), PRSOF II (1 manager), and WRA II (3 managers).  WRA will also have the right to nominate a fourth manager, subject to approval by </w:t>
      </w:r>
      <w:r w:rsidRPr="00F14C4A" w:rsidR="0099710B">
        <w:rPr>
          <w:sz w:val="20"/>
        </w:rPr>
        <w:t>Yount</w:t>
      </w:r>
      <w:r w:rsidRPr="00F14C4A" w:rsidR="0099710B">
        <w:rPr>
          <w:sz w:val="20"/>
        </w:rPr>
        <w:t xml:space="preserve"> and PRSOF II.</w:t>
      </w:r>
      <w:r w:rsidR="000852CD">
        <w:rPr>
          <w:sz w:val="20"/>
        </w:rPr>
        <w:t xml:space="preserve"> </w:t>
      </w:r>
      <w:r w:rsidRPr="00F14C4A" w:rsidR="0099710B">
        <w:rPr>
          <w:sz w:val="20"/>
        </w:rPr>
        <w:t xml:space="preserve"> </w:t>
      </w:r>
      <w:r w:rsidRPr="00F14C4A" w:rsidR="0099710B">
        <w:rPr>
          <w:i/>
          <w:iCs/>
          <w:sz w:val="20"/>
        </w:rPr>
        <w:t>Id.</w:t>
      </w:r>
    </w:p>
  </w:footnote>
  <w:footnote w:id="33">
    <w:p w:rsidR="00A742B2" w:rsidRPr="00F14C4A" w:rsidP="00F14C4A" w14:paraId="7382DF54" w14:textId="5CA94CC1">
      <w:pPr>
        <w:pStyle w:val="FootnoteText"/>
        <w:spacing w:after="120"/>
        <w:rPr>
          <w:sz w:val="20"/>
        </w:rPr>
      </w:pPr>
      <w:r w:rsidRPr="00F14C4A">
        <w:rPr>
          <w:rStyle w:val="FootnoteReference"/>
          <w:sz w:val="20"/>
        </w:rPr>
        <w:footnoteRef/>
      </w:r>
      <w:r w:rsidRPr="00F14C4A">
        <w:rPr>
          <w:sz w:val="20"/>
        </w:rPr>
        <w:t xml:space="preserve"> </w:t>
      </w:r>
      <w:r w:rsidRPr="00F14C4A" w:rsidR="00D44AFB">
        <w:rPr>
          <w:i/>
          <w:iCs/>
          <w:sz w:val="20"/>
        </w:rPr>
        <w:t>Id.</w:t>
      </w:r>
      <w:r w:rsidRPr="00F14C4A">
        <w:rPr>
          <w:sz w:val="20"/>
        </w:rPr>
        <w:t xml:space="preserve"> at 17.</w:t>
      </w:r>
    </w:p>
  </w:footnote>
  <w:footnote w:id="34">
    <w:p w:rsidR="00A742B2" w:rsidRPr="00F14C4A" w:rsidP="00F14C4A" w14:paraId="61449AC4" w14:textId="3ED18594">
      <w:pPr>
        <w:pStyle w:val="FootnoteText"/>
        <w:spacing w:after="120"/>
        <w:rPr>
          <w:sz w:val="20"/>
        </w:rPr>
      </w:pPr>
      <w:r w:rsidRPr="00F14C4A">
        <w:rPr>
          <w:rStyle w:val="FootnoteReference"/>
          <w:sz w:val="20"/>
        </w:rPr>
        <w:footnoteRef/>
      </w:r>
      <w:r w:rsidRPr="00F14C4A">
        <w:rPr>
          <w:sz w:val="20"/>
        </w:rPr>
        <w:t xml:space="preserve"> </w:t>
      </w:r>
      <w:r w:rsidRPr="00F14C4A" w:rsidR="00D44AFB">
        <w:rPr>
          <w:i/>
          <w:iCs/>
          <w:sz w:val="20"/>
        </w:rPr>
        <w:t>Id.</w:t>
      </w:r>
      <w:r w:rsidRPr="00F14C4A" w:rsidR="00D44AFB">
        <w:rPr>
          <w:sz w:val="20"/>
        </w:rPr>
        <w:t xml:space="preserve"> at</w:t>
      </w:r>
      <w:r w:rsidRPr="00F14C4A">
        <w:rPr>
          <w:sz w:val="20"/>
        </w:rPr>
        <w:t xml:space="preserve"> 18.</w:t>
      </w:r>
    </w:p>
  </w:footnote>
  <w:footnote w:id="35">
    <w:p w:rsidR="0079688A" w:rsidRPr="00F14C4A" w:rsidP="00F14C4A" w14:paraId="3AA2A4DD" w14:textId="4055CD98">
      <w:pPr>
        <w:pStyle w:val="FootnoteText"/>
        <w:spacing w:after="120"/>
        <w:rPr>
          <w:sz w:val="20"/>
        </w:rPr>
      </w:pPr>
      <w:r w:rsidRPr="00F14C4A">
        <w:rPr>
          <w:rStyle w:val="FootnoteReference"/>
          <w:sz w:val="20"/>
        </w:rPr>
        <w:footnoteRef/>
      </w:r>
      <w:r w:rsidRPr="00F14C4A">
        <w:rPr>
          <w:sz w:val="20"/>
        </w:rPr>
        <w:t xml:space="preserve"> </w:t>
      </w:r>
      <w:r w:rsidRPr="00F14C4A" w:rsidR="00253FC4">
        <w:rPr>
          <w:i/>
          <w:iCs/>
          <w:sz w:val="20"/>
        </w:rPr>
        <w:t>Id.</w:t>
      </w:r>
      <w:r w:rsidRPr="00F14C4A">
        <w:rPr>
          <w:sz w:val="20"/>
        </w:rPr>
        <w:t xml:space="preserve"> at 18-19. </w:t>
      </w:r>
    </w:p>
  </w:footnote>
  <w:footnote w:id="36">
    <w:p w:rsidR="0079688A" w:rsidRPr="00F14C4A" w:rsidP="00F14C4A" w14:paraId="079B4D1D" w14:textId="1040B809">
      <w:pPr>
        <w:pStyle w:val="FootnoteText"/>
        <w:spacing w:after="120"/>
        <w:rPr>
          <w:sz w:val="20"/>
        </w:rPr>
      </w:pPr>
      <w:r w:rsidRPr="00F14C4A">
        <w:rPr>
          <w:rStyle w:val="FootnoteReference"/>
          <w:sz w:val="20"/>
        </w:rPr>
        <w:footnoteRef/>
      </w:r>
      <w:r w:rsidRPr="00F14C4A">
        <w:rPr>
          <w:sz w:val="20"/>
        </w:rPr>
        <w:t xml:space="preserve"> </w:t>
      </w:r>
      <w:r w:rsidRPr="00F14C4A" w:rsidR="00253FC4">
        <w:rPr>
          <w:i/>
          <w:iCs/>
          <w:sz w:val="20"/>
        </w:rPr>
        <w:t>Id.</w:t>
      </w:r>
      <w:r w:rsidRPr="00F14C4A">
        <w:rPr>
          <w:sz w:val="20"/>
        </w:rPr>
        <w:t xml:space="preserve"> at 19.  </w:t>
      </w:r>
    </w:p>
  </w:footnote>
  <w:footnote w:id="37">
    <w:p w:rsidR="0079688A" w:rsidRPr="002003E5" w:rsidP="00F14C4A" w14:paraId="031F0FDF" w14:textId="74A9DDCE">
      <w:pPr>
        <w:pStyle w:val="FootnoteText"/>
        <w:spacing w:after="120"/>
        <w:rPr>
          <w:sz w:val="20"/>
        </w:rPr>
      </w:pPr>
      <w:r w:rsidRPr="002003E5">
        <w:rPr>
          <w:rStyle w:val="FootnoteReference"/>
          <w:sz w:val="20"/>
        </w:rPr>
        <w:footnoteRef/>
      </w:r>
      <w:r w:rsidRPr="002003E5">
        <w:rPr>
          <w:sz w:val="20"/>
        </w:rPr>
        <w:t xml:space="preserve"> </w:t>
      </w:r>
      <w:r w:rsidRPr="002003E5" w:rsidR="007E6C01">
        <w:rPr>
          <w:i/>
          <w:iCs/>
          <w:sz w:val="20"/>
        </w:rPr>
        <w:t>Id.</w:t>
      </w:r>
      <w:r w:rsidRPr="002003E5">
        <w:rPr>
          <w:sz w:val="20"/>
        </w:rPr>
        <w:t xml:space="preserve"> at 19-20</w:t>
      </w:r>
      <w:r w:rsidRPr="002003E5" w:rsidR="002003E5">
        <w:rPr>
          <w:sz w:val="20"/>
        </w:rPr>
        <w:t xml:space="preserve">; </w:t>
      </w:r>
      <w:r w:rsidRPr="002003E5" w:rsidR="002003E5">
        <w:rPr>
          <w:sz w:val="20"/>
        </w:rPr>
        <w:t>Exh</w:t>
      </w:r>
      <w:r w:rsidRPr="002003E5" w:rsidR="002003E5">
        <w:rPr>
          <w:sz w:val="20"/>
        </w:rPr>
        <w:t>. A. at</w:t>
      </w:r>
      <w:r w:rsidRPr="002003E5">
        <w:rPr>
          <w:sz w:val="20"/>
        </w:rPr>
        <w:t xml:space="preserve"> 33</w:t>
      </w:r>
      <w:r w:rsidRPr="002003E5" w:rsidR="002003E5">
        <w:rPr>
          <w:sz w:val="20"/>
        </w:rPr>
        <w:t xml:space="preserve"> (Post-Transaction Organizational Chart of WRA II-Pioneer (S) LLC)</w:t>
      </w:r>
      <w:r w:rsidRPr="002003E5">
        <w:rPr>
          <w:sz w:val="20"/>
        </w:rPr>
        <w:t>.</w:t>
      </w:r>
    </w:p>
  </w:footnote>
  <w:footnote w:id="38">
    <w:p w:rsidR="0079688A" w:rsidRPr="00F14C4A" w:rsidP="00F14C4A" w14:paraId="1B4AEC0C" w14:textId="136879DC">
      <w:pPr>
        <w:pStyle w:val="FootnoteText"/>
        <w:spacing w:after="120"/>
        <w:rPr>
          <w:sz w:val="20"/>
        </w:rPr>
      </w:pPr>
      <w:r w:rsidRPr="00F14C4A">
        <w:rPr>
          <w:rStyle w:val="FootnoteReference"/>
          <w:sz w:val="20"/>
        </w:rPr>
        <w:footnoteRef/>
      </w:r>
      <w:r w:rsidRPr="00F14C4A">
        <w:rPr>
          <w:sz w:val="20"/>
        </w:rPr>
        <w:t xml:space="preserve"> </w:t>
      </w:r>
      <w:r w:rsidRPr="00F14C4A" w:rsidR="007F17C0">
        <w:rPr>
          <w:i/>
          <w:iCs/>
          <w:sz w:val="20"/>
        </w:rPr>
        <w:t xml:space="preserve">Id. </w:t>
      </w:r>
      <w:r w:rsidRPr="00F14C4A" w:rsidR="007F17C0">
        <w:rPr>
          <w:sz w:val="20"/>
        </w:rPr>
        <w:t>at</w:t>
      </w:r>
      <w:r w:rsidRPr="00F14C4A">
        <w:rPr>
          <w:sz w:val="20"/>
        </w:rPr>
        <w:t xml:space="preserve"> 20</w:t>
      </w:r>
      <w:r w:rsidR="00A3611A">
        <w:rPr>
          <w:sz w:val="20"/>
        </w:rPr>
        <w:t>.</w:t>
      </w:r>
      <w:r w:rsidRPr="00F14C4A">
        <w:rPr>
          <w:color w:val="FF0000"/>
          <w:sz w:val="20"/>
        </w:rPr>
        <w:t xml:space="preserve"> </w:t>
      </w:r>
    </w:p>
  </w:footnote>
  <w:footnote w:id="39">
    <w:p w:rsidR="0079688A" w:rsidRPr="00F14C4A" w:rsidP="00F14C4A" w14:paraId="61B998F2" w14:textId="412792B7">
      <w:pPr>
        <w:pStyle w:val="FootnoteText"/>
        <w:spacing w:after="120"/>
        <w:rPr>
          <w:sz w:val="20"/>
        </w:rPr>
      </w:pPr>
      <w:r w:rsidRPr="00F14C4A">
        <w:rPr>
          <w:rStyle w:val="FootnoteReference"/>
          <w:sz w:val="20"/>
        </w:rPr>
        <w:footnoteRef/>
      </w:r>
      <w:r w:rsidRPr="00F14C4A">
        <w:rPr>
          <w:sz w:val="20"/>
        </w:rPr>
        <w:t xml:space="preserve"> </w:t>
      </w:r>
      <w:r w:rsidRPr="00F14C4A" w:rsidR="007F17C0">
        <w:rPr>
          <w:i/>
          <w:iCs/>
          <w:sz w:val="20"/>
        </w:rPr>
        <w:t>Id.</w:t>
      </w:r>
    </w:p>
  </w:footnote>
  <w:footnote w:id="40">
    <w:p w:rsidR="00294417" w:rsidRPr="00F14C4A" w:rsidP="00F14C4A" w14:paraId="2A30A2B8" w14:textId="5B398197">
      <w:pPr>
        <w:pStyle w:val="FootnoteText"/>
        <w:spacing w:after="120"/>
        <w:rPr>
          <w:sz w:val="20"/>
        </w:rPr>
      </w:pPr>
      <w:r w:rsidRPr="00F14C4A">
        <w:rPr>
          <w:rStyle w:val="FootnoteReference"/>
          <w:sz w:val="20"/>
        </w:rPr>
        <w:footnoteRef/>
      </w:r>
      <w:r w:rsidRPr="00F14C4A">
        <w:rPr>
          <w:sz w:val="20"/>
        </w:rPr>
        <w:t xml:space="preserve"> </w:t>
      </w:r>
      <w:r w:rsidRPr="00F14C4A" w:rsidR="007F17C0">
        <w:rPr>
          <w:i/>
          <w:iCs/>
          <w:sz w:val="20"/>
        </w:rPr>
        <w:t>See i</w:t>
      </w:r>
      <w:r w:rsidRPr="00F14C4A">
        <w:rPr>
          <w:i/>
          <w:iCs/>
          <w:sz w:val="20"/>
        </w:rPr>
        <w:t>d.</w:t>
      </w:r>
      <w:r w:rsidRPr="00F14C4A">
        <w:rPr>
          <w:sz w:val="20"/>
        </w:rPr>
        <w:t xml:space="preserve"> at 3-</w:t>
      </w:r>
      <w:r w:rsidRPr="00F14C4A" w:rsidR="007F17C0">
        <w:rPr>
          <w:sz w:val="20"/>
        </w:rPr>
        <w:t>4</w:t>
      </w:r>
      <w:r w:rsidRPr="00F14C4A">
        <w:rPr>
          <w:sz w:val="20"/>
        </w:rPr>
        <w:t>, 7-9.</w:t>
      </w:r>
    </w:p>
  </w:footnote>
  <w:footnote w:id="41">
    <w:p w:rsidR="00BC75A3" w:rsidRPr="00F14C4A" w:rsidP="00F14C4A" w14:paraId="08A43A2B" w14:textId="77777777">
      <w:pPr>
        <w:pStyle w:val="FootnoteText"/>
        <w:spacing w:after="120"/>
        <w:rPr>
          <w:sz w:val="20"/>
        </w:rPr>
      </w:pPr>
      <w:r w:rsidRPr="00F14C4A">
        <w:rPr>
          <w:rStyle w:val="FootnoteReference"/>
          <w:sz w:val="20"/>
        </w:rPr>
        <w:footnoteRef/>
      </w:r>
      <w:r w:rsidRPr="00F14C4A">
        <w:rPr>
          <w:sz w:val="20"/>
        </w:rPr>
        <w:t xml:space="preserve"> </w:t>
      </w:r>
      <w:r w:rsidRPr="00F14C4A">
        <w:rPr>
          <w:color w:val="020100"/>
          <w:sz w:val="20"/>
        </w:rPr>
        <w:t>47 CFR § 63.03(c)(1)(v).</w:t>
      </w:r>
    </w:p>
  </w:footnote>
  <w:footnote w:id="42">
    <w:p w:rsidR="007F17C0" w:rsidRPr="00414726" w14:paraId="51597A1E" w14:textId="6EB3AFEA">
      <w:pPr>
        <w:pStyle w:val="FootnoteText"/>
        <w:spacing w:after="120"/>
      </w:pPr>
      <w:r w:rsidRPr="00D729D8">
        <w:rPr>
          <w:rStyle w:val="FootnoteReference"/>
          <w:sz w:val="20"/>
        </w:rPr>
        <w:footnoteRef/>
      </w:r>
      <w:r w:rsidRPr="00D729D8" w:rsidR="19A056DB">
        <w:rPr>
          <w:rStyle w:val="FootnoteReference"/>
          <w:sz w:val="20"/>
        </w:rPr>
        <w:t xml:space="preserve"> </w:t>
      </w:r>
      <w:r w:rsidRPr="19A056DB" w:rsidR="19A056DB">
        <w:rPr>
          <w:sz w:val="20"/>
        </w:rPr>
        <w:t>47 CFR § 1.40001</w:t>
      </w:r>
      <w:r w:rsidR="001B475A">
        <w:rPr>
          <w:sz w:val="20"/>
        </w:rPr>
        <w:t xml:space="preserve">; </w:t>
      </w:r>
      <w:r w:rsidR="001B475A">
        <w:rPr>
          <w:i/>
          <w:iCs/>
          <w:sz w:val="20"/>
        </w:rPr>
        <w:t>see also</w:t>
      </w:r>
      <w:r w:rsidRPr="19A056DB" w:rsidR="19A056DB">
        <w:rPr>
          <w:sz w:val="20"/>
        </w:rPr>
        <w:t xml:space="preserve"> </w:t>
      </w:r>
      <w:r w:rsidRPr="19A056DB" w:rsidR="19A056DB">
        <w:rPr>
          <w:i/>
          <w:iCs/>
          <w:sz w:val="20"/>
        </w:rPr>
        <w:t>Process Reform for Executive Branch Review of Certain FCC Applications and Petitions Involving Foreign Ownership</w:t>
      </w:r>
      <w:r w:rsidRPr="19A056DB" w:rsidR="19A056DB">
        <w:rPr>
          <w:sz w:val="20"/>
        </w:rPr>
        <w:t xml:space="preserve">, IB Docket 16-155, Report and Order, 35 FCC </w:t>
      </w:r>
      <w:r w:rsidRPr="19A056DB" w:rsidR="19A056DB">
        <w:rPr>
          <w:sz w:val="20"/>
        </w:rPr>
        <w:t>Rcd</w:t>
      </w:r>
      <w:r w:rsidRPr="19A056DB" w:rsidR="19A056DB">
        <w:rPr>
          <w:sz w:val="20"/>
        </w:rPr>
        <w:t xml:space="preserve"> 10927 (2020), Erratum (Appendix B — Final Rules), DA 20-1404 (OMD/IB rel. Nov. 27, 2020); </w:t>
      </w:r>
      <w:r w:rsidRPr="19A056DB" w:rsidR="19A056DB">
        <w:rPr>
          <w:i/>
          <w:iCs/>
          <w:sz w:val="20"/>
        </w:rPr>
        <w:t>see also Rules and Policies on Foreign Participation in the U.S. Telecommunications Market; Market Entry and Regulation of Foreign- Affiliated Entities</w:t>
      </w:r>
      <w:r w:rsidRPr="19A056DB" w:rsidR="19A056DB">
        <w:rPr>
          <w:sz w:val="20"/>
        </w:rPr>
        <w:t xml:space="preserve">, IB Docket Nos. 97-142 and 95-22, Report and Order and Order on Reconsideration, 12 FCC </w:t>
      </w:r>
      <w:r w:rsidRPr="19A056DB" w:rsidR="19A056DB">
        <w:rPr>
          <w:sz w:val="20"/>
        </w:rPr>
        <w:t>Rcd</w:t>
      </w:r>
      <w:r w:rsidRPr="19A056DB" w:rsidR="19A056DB">
        <w:rPr>
          <w:sz w:val="20"/>
        </w:rPr>
        <w:t xml:space="preserve"> 23891, 23918-19, paras. 61-63 (1997), recon. denied, 15 FCC </w:t>
      </w:r>
      <w:r w:rsidRPr="19A056DB" w:rsidR="19A056DB">
        <w:rPr>
          <w:sz w:val="20"/>
        </w:rPr>
        <w:t>Rcd</w:t>
      </w:r>
      <w:r w:rsidRPr="19A056DB" w:rsidR="19A056DB">
        <w:rPr>
          <w:sz w:val="20"/>
        </w:rPr>
        <w:t xml:space="preserve"> 18158 (2000).</w:t>
      </w:r>
    </w:p>
  </w:footnote>
  <w:footnote w:id="43">
    <w:p w:rsidR="00A3611A" w:rsidRPr="00DB343B" w:rsidP="00A3611A" w14:paraId="22E15184" w14:textId="77777777">
      <w:pPr>
        <w:pStyle w:val="FootnoteText"/>
        <w:spacing w:after="120"/>
        <w:rPr>
          <w:sz w:val="20"/>
          <w:u w:val="single"/>
        </w:rPr>
      </w:pPr>
      <w:r w:rsidRPr="00DB343B">
        <w:rPr>
          <w:rStyle w:val="FootnoteReference"/>
          <w:sz w:val="20"/>
        </w:rPr>
        <w:footnoteRef/>
      </w:r>
      <w:r w:rsidRPr="00DB343B">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DB343B">
        <w:rPr>
          <w:rFonts w:eastAsia="Calibri"/>
          <w:i/>
          <w:iCs/>
          <w:sz w:val="20"/>
        </w:rPr>
        <w:t>See FCC Announces Closure of FCC Headquarters Open Window and Change in Hand-Delivery Policy</w:t>
      </w:r>
      <w:r w:rsidRPr="00DB343B">
        <w:rPr>
          <w:rFonts w:eastAsia="Calibri"/>
          <w:sz w:val="20"/>
        </w:rPr>
        <w:t xml:space="preserve">, Public Notice, 35 FCC </w:t>
      </w:r>
      <w:r w:rsidRPr="00DB343B">
        <w:rPr>
          <w:rFonts w:eastAsia="Calibri"/>
          <w:sz w:val="20"/>
        </w:rPr>
        <w:t>Rcd</w:t>
      </w:r>
      <w:r w:rsidRPr="00DB343B">
        <w:rPr>
          <w:rFonts w:eastAsia="Calibri"/>
          <w:sz w:val="20"/>
        </w:rPr>
        <w:t xml:space="preserve"> 2788 (OS 2020).</w:t>
      </w:r>
    </w:p>
  </w:footnote>
  <w:footnote w:id="44">
    <w:p w:rsidR="00A3611A" w:rsidRPr="00DB343B" w:rsidP="00A3611A" w14:paraId="3901020E" w14:textId="77777777">
      <w:pPr>
        <w:pStyle w:val="FootnoteText"/>
        <w:tabs>
          <w:tab w:val="clear" w:pos="720"/>
        </w:tabs>
        <w:spacing w:after="120"/>
        <w:rPr>
          <w:sz w:val="20"/>
        </w:rPr>
      </w:pPr>
      <w:r w:rsidRPr="00DB343B">
        <w:rPr>
          <w:rStyle w:val="FootnoteReference"/>
          <w:sz w:val="20"/>
        </w:rPr>
        <w:footnoteRef/>
      </w:r>
      <w:r w:rsidRPr="00DB343B">
        <w:rPr>
          <w:sz w:val="20"/>
        </w:rPr>
        <w:t xml:space="preserve"> </w:t>
      </w:r>
      <w:r w:rsidRPr="00DB343B">
        <w:rPr>
          <w:i/>
          <w:sz w:val="20"/>
        </w:rPr>
        <w:t>See</w:t>
      </w:r>
      <w:r w:rsidRPr="00DB343B">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662683D"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33307F35" w14:textId="77777777">
                <w:pPr>
                  <w:rPr>
                    <w:rFonts w:ascii="Arial" w:hAnsi="Arial"/>
                    <w:b/>
                  </w:rPr>
                </w:pPr>
                <w:r>
                  <w:rPr>
                    <w:rFonts w:ascii="Arial" w:hAnsi="Arial"/>
                    <w:b/>
                  </w:rPr>
                  <w:t>Federal Communications Commission</w:t>
                </w:r>
              </w:p>
              <w:p w:rsidR="005E21F5" w14:paraId="668CD969" w14:textId="77777777">
                <w:pPr>
                  <w:rPr>
                    <w:rFonts w:ascii="Arial" w:hAnsi="Arial"/>
                    <w:b/>
                  </w:rPr>
                </w:pPr>
                <w:r>
                  <w:rPr>
                    <w:rFonts w:ascii="Arial" w:hAnsi="Arial"/>
                    <w:b/>
                  </w:rPr>
                  <w:t>45 L St., N.E.</w:t>
                </w:r>
              </w:p>
              <w:p w:rsidR="005E21F5" w14:paraId="447D8416"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5845B284"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40722A1B" w14:textId="77777777">
                <w:pPr>
                  <w:spacing w:before="40"/>
                  <w:jc w:val="right"/>
                  <w:rPr>
                    <w:rFonts w:ascii="Arial" w:hAnsi="Arial"/>
                    <w:b/>
                    <w:sz w:val="16"/>
                  </w:rPr>
                </w:pPr>
                <w:r>
                  <w:rPr>
                    <w:rFonts w:ascii="Arial" w:hAnsi="Arial"/>
                    <w:b/>
                    <w:sz w:val="16"/>
                  </w:rPr>
                  <w:t>News Media Information 202 / 418-0500</w:t>
                </w:r>
              </w:p>
              <w:p w:rsidR="005E21F5" w14:paraId="76C62672" w14:textId="5FE4B0B4">
                <w:pPr>
                  <w:jc w:val="right"/>
                  <w:rPr>
                    <w:rFonts w:ascii="Arial" w:hAnsi="Arial"/>
                    <w:b/>
                    <w:sz w:val="16"/>
                  </w:rPr>
                </w:pPr>
                <w:r>
                  <w:rPr>
                    <w:rFonts w:ascii="Arial" w:hAnsi="Arial"/>
                    <w:b/>
                    <w:sz w:val="16"/>
                  </w:rPr>
                  <w:tab/>
                  <w:t xml:space="preserve">Internet: </w:t>
                </w:r>
                <w:bookmarkStart w:id="0" w:name="_Hlt233824"/>
                <w:hyperlink r:id="rId2" w:history="1">
                  <w:r w:rsidRPr="00116026" w:rsidR="004A3A3C">
                    <w:rPr>
                      <w:rStyle w:val="Hyperlink"/>
                      <w:rFonts w:ascii="Arial" w:hAnsi="Arial"/>
                      <w:b/>
                      <w:sz w:val="16"/>
                    </w:rPr>
                    <w:t>h</w:t>
                  </w:r>
                  <w:bookmarkEnd w:id="0"/>
                  <w:r w:rsidRPr="00116026" w:rsidR="004A3A3C">
                    <w:rPr>
                      <w:rStyle w:val="Hyperlink"/>
                      <w:rFonts w:ascii="Arial" w:hAnsi="Arial"/>
                      <w:b/>
                      <w:sz w:val="16"/>
                    </w:rPr>
                    <w:t>ttp://www.fcc.gov</w:t>
                  </w:r>
                </w:hyperlink>
              </w:p>
              <w:p w:rsidR="004A3A3C" w14:paraId="721B78E3" w14:textId="77777777">
                <w:pPr>
                  <w:jc w:val="right"/>
                  <w:rPr>
                    <w:rFonts w:ascii="Arial" w:hAnsi="Arial"/>
                    <w:b/>
                    <w:sz w:val="16"/>
                  </w:rPr>
                </w:pPr>
              </w:p>
              <w:p w:rsidR="005E21F5" w14:paraId="2ABDDF0C" w14:textId="77777777">
                <w:pPr>
                  <w:jc w:val="right"/>
                  <w:rPr>
                    <w:rFonts w:ascii="Arial" w:hAnsi="Arial"/>
                    <w:b/>
                    <w:sz w:val="16"/>
                  </w:rPr>
                </w:pPr>
              </w:p>
              <w:p w:rsidR="005E21F5" w14:paraId="51229E1C" w14:textId="77777777">
                <w:pPr>
                  <w:jc w:val="right"/>
                </w:pPr>
              </w:p>
            </w:txbxContent>
          </v:textbox>
        </v:shape>
      </w:pict>
    </w:r>
  </w:p>
  <w:p w:rsidR="005E21F5" w14:paraId="04DE614D"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3D7CB66"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allowSpaceOfSameStyleInTable/>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5438"/>
    <w:rsid w:val="000064CD"/>
    <w:rsid w:val="0001023F"/>
    <w:rsid w:val="000103C1"/>
    <w:rsid w:val="0001135F"/>
    <w:rsid w:val="0001280D"/>
    <w:rsid w:val="00012E14"/>
    <w:rsid w:val="00015C00"/>
    <w:rsid w:val="0001608E"/>
    <w:rsid w:val="000173AE"/>
    <w:rsid w:val="00017A3A"/>
    <w:rsid w:val="00020FC6"/>
    <w:rsid w:val="0002354E"/>
    <w:rsid w:val="00024494"/>
    <w:rsid w:val="0002566C"/>
    <w:rsid w:val="00025A42"/>
    <w:rsid w:val="00026F70"/>
    <w:rsid w:val="00027342"/>
    <w:rsid w:val="0003099A"/>
    <w:rsid w:val="00031C8B"/>
    <w:rsid w:val="00032A4A"/>
    <w:rsid w:val="000330E3"/>
    <w:rsid w:val="00035419"/>
    <w:rsid w:val="00035CA1"/>
    <w:rsid w:val="00035F32"/>
    <w:rsid w:val="0003782F"/>
    <w:rsid w:val="00040610"/>
    <w:rsid w:val="00040B01"/>
    <w:rsid w:val="00040BA0"/>
    <w:rsid w:val="00040DAF"/>
    <w:rsid w:val="00041B38"/>
    <w:rsid w:val="00041C01"/>
    <w:rsid w:val="00043692"/>
    <w:rsid w:val="0004575B"/>
    <w:rsid w:val="000461B3"/>
    <w:rsid w:val="0004648D"/>
    <w:rsid w:val="00050A3A"/>
    <w:rsid w:val="000534AC"/>
    <w:rsid w:val="000569A0"/>
    <w:rsid w:val="000575E7"/>
    <w:rsid w:val="000576F0"/>
    <w:rsid w:val="00057881"/>
    <w:rsid w:val="00057E12"/>
    <w:rsid w:val="00060124"/>
    <w:rsid w:val="00061648"/>
    <w:rsid w:val="000629CF"/>
    <w:rsid w:val="000639C7"/>
    <w:rsid w:val="00063CA5"/>
    <w:rsid w:val="00064092"/>
    <w:rsid w:val="00064C7D"/>
    <w:rsid w:val="000656F9"/>
    <w:rsid w:val="0006624C"/>
    <w:rsid w:val="00066250"/>
    <w:rsid w:val="00066D12"/>
    <w:rsid w:val="000677D9"/>
    <w:rsid w:val="000721D3"/>
    <w:rsid w:val="00073173"/>
    <w:rsid w:val="000735C8"/>
    <w:rsid w:val="000746B6"/>
    <w:rsid w:val="00075703"/>
    <w:rsid w:val="00075D57"/>
    <w:rsid w:val="00077C7A"/>
    <w:rsid w:val="00077E64"/>
    <w:rsid w:val="00080F60"/>
    <w:rsid w:val="0008381D"/>
    <w:rsid w:val="000852CD"/>
    <w:rsid w:val="00086D16"/>
    <w:rsid w:val="00087205"/>
    <w:rsid w:val="00092A4E"/>
    <w:rsid w:val="000946FB"/>
    <w:rsid w:val="0009534A"/>
    <w:rsid w:val="00097AB0"/>
    <w:rsid w:val="000A24AA"/>
    <w:rsid w:val="000A2EEF"/>
    <w:rsid w:val="000A3019"/>
    <w:rsid w:val="000A5FD3"/>
    <w:rsid w:val="000A65C4"/>
    <w:rsid w:val="000A671D"/>
    <w:rsid w:val="000B0795"/>
    <w:rsid w:val="000B1C31"/>
    <w:rsid w:val="000B2362"/>
    <w:rsid w:val="000B3146"/>
    <w:rsid w:val="000B390D"/>
    <w:rsid w:val="000B48A6"/>
    <w:rsid w:val="000B4EDD"/>
    <w:rsid w:val="000B5635"/>
    <w:rsid w:val="000B6839"/>
    <w:rsid w:val="000C004F"/>
    <w:rsid w:val="000C053F"/>
    <w:rsid w:val="000C0882"/>
    <w:rsid w:val="000C1460"/>
    <w:rsid w:val="000C7CA4"/>
    <w:rsid w:val="000D2383"/>
    <w:rsid w:val="000D3A8B"/>
    <w:rsid w:val="000D59D7"/>
    <w:rsid w:val="000D7E4D"/>
    <w:rsid w:val="000E0D44"/>
    <w:rsid w:val="000E14B7"/>
    <w:rsid w:val="000E1546"/>
    <w:rsid w:val="000E35A7"/>
    <w:rsid w:val="000E4938"/>
    <w:rsid w:val="000E538C"/>
    <w:rsid w:val="000E5955"/>
    <w:rsid w:val="000F02F7"/>
    <w:rsid w:val="000F233E"/>
    <w:rsid w:val="000F467E"/>
    <w:rsid w:val="000F5E94"/>
    <w:rsid w:val="00100ED3"/>
    <w:rsid w:val="001011BC"/>
    <w:rsid w:val="001019E2"/>
    <w:rsid w:val="00101D0B"/>
    <w:rsid w:val="00106671"/>
    <w:rsid w:val="00106F5A"/>
    <w:rsid w:val="001150BA"/>
    <w:rsid w:val="00115513"/>
    <w:rsid w:val="0011590C"/>
    <w:rsid w:val="0011599F"/>
    <w:rsid w:val="00116026"/>
    <w:rsid w:val="00117529"/>
    <w:rsid w:val="00117D06"/>
    <w:rsid w:val="001226CB"/>
    <w:rsid w:val="0012329A"/>
    <w:rsid w:val="0012437D"/>
    <w:rsid w:val="001251E3"/>
    <w:rsid w:val="00126DDB"/>
    <w:rsid w:val="001312D2"/>
    <w:rsid w:val="00131952"/>
    <w:rsid w:val="00132529"/>
    <w:rsid w:val="0013405D"/>
    <w:rsid w:val="00134FFC"/>
    <w:rsid w:val="001356E5"/>
    <w:rsid w:val="00135941"/>
    <w:rsid w:val="0014084C"/>
    <w:rsid w:val="00141388"/>
    <w:rsid w:val="00142ED5"/>
    <w:rsid w:val="0014335B"/>
    <w:rsid w:val="001449F9"/>
    <w:rsid w:val="00144E61"/>
    <w:rsid w:val="001470F0"/>
    <w:rsid w:val="00147239"/>
    <w:rsid w:val="001474FD"/>
    <w:rsid w:val="001511F2"/>
    <w:rsid w:val="001513B4"/>
    <w:rsid w:val="0015217F"/>
    <w:rsid w:val="00152CF6"/>
    <w:rsid w:val="001538C4"/>
    <w:rsid w:val="001551A7"/>
    <w:rsid w:val="00155CC3"/>
    <w:rsid w:val="00156EA3"/>
    <w:rsid w:val="00161A99"/>
    <w:rsid w:val="001624CA"/>
    <w:rsid w:val="00165FDC"/>
    <w:rsid w:val="00170C2E"/>
    <w:rsid w:val="00171181"/>
    <w:rsid w:val="001736D0"/>
    <w:rsid w:val="00176BD0"/>
    <w:rsid w:val="00176D10"/>
    <w:rsid w:val="00176DCC"/>
    <w:rsid w:val="0018581D"/>
    <w:rsid w:val="00185E2C"/>
    <w:rsid w:val="00187617"/>
    <w:rsid w:val="00190745"/>
    <w:rsid w:val="001916C0"/>
    <w:rsid w:val="00193234"/>
    <w:rsid w:val="001947E9"/>
    <w:rsid w:val="00194E1E"/>
    <w:rsid w:val="001A00A7"/>
    <w:rsid w:val="001A2DFA"/>
    <w:rsid w:val="001A3813"/>
    <w:rsid w:val="001A3E67"/>
    <w:rsid w:val="001A47EC"/>
    <w:rsid w:val="001A5568"/>
    <w:rsid w:val="001B1B08"/>
    <w:rsid w:val="001B1E25"/>
    <w:rsid w:val="001B294D"/>
    <w:rsid w:val="001B2C26"/>
    <w:rsid w:val="001B2FBB"/>
    <w:rsid w:val="001B475A"/>
    <w:rsid w:val="001B4C2F"/>
    <w:rsid w:val="001B57A4"/>
    <w:rsid w:val="001B69F9"/>
    <w:rsid w:val="001B6EFA"/>
    <w:rsid w:val="001C2314"/>
    <w:rsid w:val="001C3C98"/>
    <w:rsid w:val="001C5D07"/>
    <w:rsid w:val="001C78FB"/>
    <w:rsid w:val="001C7CD1"/>
    <w:rsid w:val="001D10A0"/>
    <w:rsid w:val="001D3F27"/>
    <w:rsid w:val="001E1210"/>
    <w:rsid w:val="001E16CA"/>
    <w:rsid w:val="001E2274"/>
    <w:rsid w:val="001E382D"/>
    <w:rsid w:val="001E659B"/>
    <w:rsid w:val="001E70DE"/>
    <w:rsid w:val="001E7604"/>
    <w:rsid w:val="001F024C"/>
    <w:rsid w:val="001F1377"/>
    <w:rsid w:val="001F1508"/>
    <w:rsid w:val="001F23E3"/>
    <w:rsid w:val="001F33B5"/>
    <w:rsid w:val="001F63D8"/>
    <w:rsid w:val="001F6762"/>
    <w:rsid w:val="002003E5"/>
    <w:rsid w:val="0020342F"/>
    <w:rsid w:val="002057AC"/>
    <w:rsid w:val="002073D2"/>
    <w:rsid w:val="00207926"/>
    <w:rsid w:val="00210341"/>
    <w:rsid w:val="00210404"/>
    <w:rsid w:val="00211CCB"/>
    <w:rsid w:val="00213D04"/>
    <w:rsid w:val="00214441"/>
    <w:rsid w:val="002159D4"/>
    <w:rsid w:val="00215D21"/>
    <w:rsid w:val="0021680F"/>
    <w:rsid w:val="00216E87"/>
    <w:rsid w:val="0022090C"/>
    <w:rsid w:val="002217F0"/>
    <w:rsid w:val="00221E35"/>
    <w:rsid w:val="002223D3"/>
    <w:rsid w:val="00222993"/>
    <w:rsid w:val="0022329B"/>
    <w:rsid w:val="002233EF"/>
    <w:rsid w:val="00223E8C"/>
    <w:rsid w:val="0022449B"/>
    <w:rsid w:val="00224E0E"/>
    <w:rsid w:val="00225A51"/>
    <w:rsid w:val="00225F62"/>
    <w:rsid w:val="00226656"/>
    <w:rsid w:val="0022673B"/>
    <w:rsid w:val="00226C9D"/>
    <w:rsid w:val="00226CC3"/>
    <w:rsid w:val="002308A9"/>
    <w:rsid w:val="00230D61"/>
    <w:rsid w:val="00231828"/>
    <w:rsid w:val="002344E7"/>
    <w:rsid w:val="00234F46"/>
    <w:rsid w:val="00235F0E"/>
    <w:rsid w:val="00240B49"/>
    <w:rsid w:val="00241CB2"/>
    <w:rsid w:val="0024326F"/>
    <w:rsid w:val="00244DB3"/>
    <w:rsid w:val="00250074"/>
    <w:rsid w:val="002519DF"/>
    <w:rsid w:val="0025247F"/>
    <w:rsid w:val="00253247"/>
    <w:rsid w:val="00253AB2"/>
    <w:rsid w:val="00253FC4"/>
    <w:rsid w:val="00255351"/>
    <w:rsid w:val="00257DD2"/>
    <w:rsid w:val="002606A8"/>
    <w:rsid w:val="0026090D"/>
    <w:rsid w:val="00262C25"/>
    <w:rsid w:val="00262E65"/>
    <w:rsid w:val="00263433"/>
    <w:rsid w:val="0026356E"/>
    <w:rsid w:val="00266135"/>
    <w:rsid w:val="002666BC"/>
    <w:rsid w:val="00266D63"/>
    <w:rsid w:val="00267BF2"/>
    <w:rsid w:val="00272142"/>
    <w:rsid w:val="00277153"/>
    <w:rsid w:val="00277D9F"/>
    <w:rsid w:val="00280873"/>
    <w:rsid w:val="0028149F"/>
    <w:rsid w:val="0028397D"/>
    <w:rsid w:val="0028555C"/>
    <w:rsid w:val="00286187"/>
    <w:rsid w:val="0028620E"/>
    <w:rsid w:val="00287432"/>
    <w:rsid w:val="00287FB9"/>
    <w:rsid w:val="0029098D"/>
    <w:rsid w:val="002923BD"/>
    <w:rsid w:val="00294417"/>
    <w:rsid w:val="00297F1D"/>
    <w:rsid w:val="002A1D13"/>
    <w:rsid w:val="002A1FC2"/>
    <w:rsid w:val="002A30D9"/>
    <w:rsid w:val="002A7BD3"/>
    <w:rsid w:val="002B16FA"/>
    <w:rsid w:val="002B1948"/>
    <w:rsid w:val="002B1EF7"/>
    <w:rsid w:val="002B26A1"/>
    <w:rsid w:val="002B34DB"/>
    <w:rsid w:val="002B430C"/>
    <w:rsid w:val="002B58DE"/>
    <w:rsid w:val="002B5D0C"/>
    <w:rsid w:val="002B6B43"/>
    <w:rsid w:val="002B705C"/>
    <w:rsid w:val="002B7287"/>
    <w:rsid w:val="002C0122"/>
    <w:rsid w:val="002C1AA9"/>
    <w:rsid w:val="002C203E"/>
    <w:rsid w:val="002C22F3"/>
    <w:rsid w:val="002C27F4"/>
    <w:rsid w:val="002C3F26"/>
    <w:rsid w:val="002D09E2"/>
    <w:rsid w:val="002D0D60"/>
    <w:rsid w:val="002D11BE"/>
    <w:rsid w:val="002D16A6"/>
    <w:rsid w:val="002D4A00"/>
    <w:rsid w:val="002D4CB4"/>
    <w:rsid w:val="002D65CC"/>
    <w:rsid w:val="002D6F61"/>
    <w:rsid w:val="002E0BAF"/>
    <w:rsid w:val="002E0D7E"/>
    <w:rsid w:val="002E2A6F"/>
    <w:rsid w:val="002E3408"/>
    <w:rsid w:val="002E363F"/>
    <w:rsid w:val="002E4894"/>
    <w:rsid w:val="002F2901"/>
    <w:rsid w:val="002F4E17"/>
    <w:rsid w:val="002F5F38"/>
    <w:rsid w:val="002F7B2B"/>
    <w:rsid w:val="0030523C"/>
    <w:rsid w:val="00305D86"/>
    <w:rsid w:val="00306AAD"/>
    <w:rsid w:val="0031156F"/>
    <w:rsid w:val="003118DA"/>
    <w:rsid w:val="00312CE1"/>
    <w:rsid w:val="00313546"/>
    <w:rsid w:val="003155F8"/>
    <w:rsid w:val="00315BA9"/>
    <w:rsid w:val="00315D50"/>
    <w:rsid w:val="00315FCD"/>
    <w:rsid w:val="0031636F"/>
    <w:rsid w:val="00321F97"/>
    <w:rsid w:val="00325988"/>
    <w:rsid w:val="00325E35"/>
    <w:rsid w:val="0032625B"/>
    <w:rsid w:val="0032695E"/>
    <w:rsid w:val="0033381B"/>
    <w:rsid w:val="00334E5E"/>
    <w:rsid w:val="00334E6C"/>
    <w:rsid w:val="003357F4"/>
    <w:rsid w:val="0033631D"/>
    <w:rsid w:val="00340624"/>
    <w:rsid w:val="00340881"/>
    <w:rsid w:val="003416E5"/>
    <w:rsid w:val="00344B5A"/>
    <w:rsid w:val="00345017"/>
    <w:rsid w:val="00345CA2"/>
    <w:rsid w:val="003471AE"/>
    <w:rsid w:val="003479C9"/>
    <w:rsid w:val="00350823"/>
    <w:rsid w:val="00351689"/>
    <w:rsid w:val="00351D1D"/>
    <w:rsid w:val="00353CB5"/>
    <w:rsid w:val="0035663A"/>
    <w:rsid w:val="00356922"/>
    <w:rsid w:val="003570A6"/>
    <w:rsid w:val="00360A78"/>
    <w:rsid w:val="003632CF"/>
    <w:rsid w:val="00364590"/>
    <w:rsid w:val="00364DFB"/>
    <w:rsid w:val="00365194"/>
    <w:rsid w:val="00366BC6"/>
    <w:rsid w:val="00367E50"/>
    <w:rsid w:val="00370A7F"/>
    <w:rsid w:val="00371142"/>
    <w:rsid w:val="00372CA2"/>
    <w:rsid w:val="003768D4"/>
    <w:rsid w:val="0037705C"/>
    <w:rsid w:val="003811C7"/>
    <w:rsid w:val="003817EB"/>
    <w:rsid w:val="0038477A"/>
    <w:rsid w:val="003855A0"/>
    <w:rsid w:val="00387294"/>
    <w:rsid w:val="003879D0"/>
    <w:rsid w:val="00387BBE"/>
    <w:rsid w:val="003910DF"/>
    <w:rsid w:val="0039175A"/>
    <w:rsid w:val="00395294"/>
    <w:rsid w:val="003954A4"/>
    <w:rsid w:val="00395A7A"/>
    <w:rsid w:val="00396D92"/>
    <w:rsid w:val="003A0227"/>
    <w:rsid w:val="003A04F5"/>
    <w:rsid w:val="003A0E99"/>
    <w:rsid w:val="003A18A0"/>
    <w:rsid w:val="003A1DFF"/>
    <w:rsid w:val="003A253D"/>
    <w:rsid w:val="003A2BEF"/>
    <w:rsid w:val="003A2CE0"/>
    <w:rsid w:val="003A580D"/>
    <w:rsid w:val="003A63F1"/>
    <w:rsid w:val="003A7B39"/>
    <w:rsid w:val="003B01B9"/>
    <w:rsid w:val="003B08F2"/>
    <w:rsid w:val="003B1362"/>
    <w:rsid w:val="003B26B4"/>
    <w:rsid w:val="003B3E60"/>
    <w:rsid w:val="003B43C3"/>
    <w:rsid w:val="003B5CEE"/>
    <w:rsid w:val="003C18DA"/>
    <w:rsid w:val="003C2000"/>
    <w:rsid w:val="003C23FE"/>
    <w:rsid w:val="003C4A02"/>
    <w:rsid w:val="003C7229"/>
    <w:rsid w:val="003D08F3"/>
    <w:rsid w:val="003D0E6A"/>
    <w:rsid w:val="003D0F71"/>
    <w:rsid w:val="003D0F8F"/>
    <w:rsid w:val="003D44B5"/>
    <w:rsid w:val="003D4F94"/>
    <w:rsid w:val="003D4FC7"/>
    <w:rsid w:val="003D6C65"/>
    <w:rsid w:val="003D6E42"/>
    <w:rsid w:val="003E14F3"/>
    <w:rsid w:val="003E1784"/>
    <w:rsid w:val="003E187A"/>
    <w:rsid w:val="003E2442"/>
    <w:rsid w:val="003E3AD7"/>
    <w:rsid w:val="003E5630"/>
    <w:rsid w:val="003E58EC"/>
    <w:rsid w:val="003E6571"/>
    <w:rsid w:val="003F0945"/>
    <w:rsid w:val="003F0ECD"/>
    <w:rsid w:val="003F16BE"/>
    <w:rsid w:val="003F1D04"/>
    <w:rsid w:val="003F2CD4"/>
    <w:rsid w:val="003F398A"/>
    <w:rsid w:val="003F58EA"/>
    <w:rsid w:val="00401B7B"/>
    <w:rsid w:val="0040580F"/>
    <w:rsid w:val="004076BA"/>
    <w:rsid w:val="004077D0"/>
    <w:rsid w:val="00412C94"/>
    <w:rsid w:val="00413F72"/>
    <w:rsid w:val="00414726"/>
    <w:rsid w:val="00417052"/>
    <w:rsid w:val="00420995"/>
    <w:rsid w:val="00422B16"/>
    <w:rsid w:val="0042593D"/>
    <w:rsid w:val="00425FAF"/>
    <w:rsid w:val="00425FF2"/>
    <w:rsid w:val="0042603C"/>
    <w:rsid w:val="0042656C"/>
    <w:rsid w:val="004272E4"/>
    <w:rsid w:val="00427CD0"/>
    <w:rsid w:val="00430070"/>
    <w:rsid w:val="00430AC0"/>
    <w:rsid w:val="00430E1C"/>
    <w:rsid w:val="00431E30"/>
    <w:rsid w:val="004331D7"/>
    <w:rsid w:val="00433D8C"/>
    <w:rsid w:val="0043418D"/>
    <w:rsid w:val="00434899"/>
    <w:rsid w:val="00434C96"/>
    <w:rsid w:val="004354F6"/>
    <w:rsid w:val="0043596D"/>
    <w:rsid w:val="00436B4A"/>
    <w:rsid w:val="0044009A"/>
    <w:rsid w:val="00440989"/>
    <w:rsid w:val="004413E2"/>
    <w:rsid w:val="00441C76"/>
    <w:rsid w:val="004435EE"/>
    <w:rsid w:val="00444548"/>
    <w:rsid w:val="00446342"/>
    <w:rsid w:val="00446724"/>
    <w:rsid w:val="004503EA"/>
    <w:rsid w:val="00452843"/>
    <w:rsid w:val="00453514"/>
    <w:rsid w:val="0045717F"/>
    <w:rsid w:val="00457574"/>
    <w:rsid w:val="00460914"/>
    <w:rsid w:val="004609A4"/>
    <w:rsid w:val="00462D8F"/>
    <w:rsid w:val="00464B40"/>
    <w:rsid w:val="00464B4D"/>
    <w:rsid w:val="00464E8A"/>
    <w:rsid w:val="00465520"/>
    <w:rsid w:val="00466B9F"/>
    <w:rsid w:val="00467EDC"/>
    <w:rsid w:val="004729B0"/>
    <w:rsid w:val="00473955"/>
    <w:rsid w:val="00476EFB"/>
    <w:rsid w:val="004808FC"/>
    <w:rsid w:val="004826C8"/>
    <w:rsid w:val="00482EB0"/>
    <w:rsid w:val="00483B1B"/>
    <w:rsid w:val="00485BBB"/>
    <w:rsid w:val="00485D13"/>
    <w:rsid w:val="00490F6A"/>
    <w:rsid w:val="004913FF"/>
    <w:rsid w:val="00492290"/>
    <w:rsid w:val="00492A28"/>
    <w:rsid w:val="00494BA0"/>
    <w:rsid w:val="004951AE"/>
    <w:rsid w:val="004A3A3C"/>
    <w:rsid w:val="004A4D05"/>
    <w:rsid w:val="004A51C9"/>
    <w:rsid w:val="004A59CA"/>
    <w:rsid w:val="004A684C"/>
    <w:rsid w:val="004A7357"/>
    <w:rsid w:val="004A7DA6"/>
    <w:rsid w:val="004A7E1B"/>
    <w:rsid w:val="004B24F3"/>
    <w:rsid w:val="004B49CC"/>
    <w:rsid w:val="004B666C"/>
    <w:rsid w:val="004B674F"/>
    <w:rsid w:val="004B79AF"/>
    <w:rsid w:val="004C0C77"/>
    <w:rsid w:val="004C0CEF"/>
    <w:rsid w:val="004C219F"/>
    <w:rsid w:val="004C22B8"/>
    <w:rsid w:val="004C2516"/>
    <w:rsid w:val="004C3DB0"/>
    <w:rsid w:val="004C712F"/>
    <w:rsid w:val="004C73F4"/>
    <w:rsid w:val="004D4610"/>
    <w:rsid w:val="004D53C3"/>
    <w:rsid w:val="004D5A7C"/>
    <w:rsid w:val="004D67B7"/>
    <w:rsid w:val="004D74A5"/>
    <w:rsid w:val="004D7AF3"/>
    <w:rsid w:val="004D7D98"/>
    <w:rsid w:val="004E0469"/>
    <w:rsid w:val="004E2081"/>
    <w:rsid w:val="004E5AE8"/>
    <w:rsid w:val="004E6AC6"/>
    <w:rsid w:val="004E718B"/>
    <w:rsid w:val="004E74EE"/>
    <w:rsid w:val="004F1C11"/>
    <w:rsid w:val="004F2447"/>
    <w:rsid w:val="004F2D35"/>
    <w:rsid w:val="004F3603"/>
    <w:rsid w:val="004F3CEC"/>
    <w:rsid w:val="004F515D"/>
    <w:rsid w:val="004F686B"/>
    <w:rsid w:val="004F6F64"/>
    <w:rsid w:val="00500BD0"/>
    <w:rsid w:val="00501D17"/>
    <w:rsid w:val="00501F06"/>
    <w:rsid w:val="00503C8A"/>
    <w:rsid w:val="00504505"/>
    <w:rsid w:val="00504BF5"/>
    <w:rsid w:val="00505DA1"/>
    <w:rsid w:val="0050614C"/>
    <w:rsid w:val="005107DF"/>
    <w:rsid w:val="00511514"/>
    <w:rsid w:val="0051681C"/>
    <w:rsid w:val="00521FBD"/>
    <w:rsid w:val="005226C6"/>
    <w:rsid w:val="00522D66"/>
    <w:rsid w:val="00524D79"/>
    <w:rsid w:val="00526561"/>
    <w:rsid w:val="005273AB"/>
    <w:rsid w:val="00527788"/>
    <w:rsid w:val="005320B5"/>
    <w:rsid w:val="005336D7"/>
    <w:rsid w:val="00533917"/>
    <w:rsid w:val="00535877"/>
    <w:rsid w:val="00536ED2"/>
    <w:rsid w:val="0053732F"/>
    <w:rsid w:val="00540E25"/>
    <w:rsid w:val="00541D22"/>
    <w:rsid w:val="00542146"/>
    <w:rsid w:val="005424F4"/>
    <w:rsid w:val="005431A6"/>
    <w:rsid w:val="0054328E"/>
    <w:rsid w:val="0054677E"/>
    <w:rsid w:val="00546B13"/>
    <w:rsid w:val="005473A6"/>
    <w:rsid w:val="005505CE"/>
    <w:rsid w:val="00551202"/>
    <w:rsid w:val="00551ADB"/>
    <w:rsid w:val="005524B6"/>
    <w:rsid w:val="00552DD8"/>
    <w:rsid w:val="00554D90"/>
    <w:rsid w:val="00554E17"/>
    <w:rsid w:val="0055505D"/>
    <w:rsid w:val="0055684E"/>
    <w:rsid w:val="0056058F"/>
    <w:rsid w:val="0056467B"/>
    <w:rsid w:val="00567286"/>
    <w:rsid w:val="00570DA8"/>
    <w:rsid w:val="00573CA8"/>
    <w:rsid w:val="00575F7A"/>
    <w:rsid w:val="00576EDE"/>
    <w:rsid w:val="00580DBD"/>
    <w:rsid w:val="00581792"/>
    <w:rsid w:val="00585D57"/>
    <w:rsid w:val="0059084B"/>
    <w:rsid w:val="00591C54"/>
    <w:rsid w:val="005929D8"/>
    <w:rsid w:val="00592F09"/>
    <w:rsid w:val="005932BA"/>
    <w:rsid w:val="005932DF"/>
    <w:rsid w:val="005944F5"/>
    <w:rsid w:val="00594A46"/>
    <w:rsid w:val="00594E8C"/>
    <w:rsid w:val="00597ABB"/>
    <w:rsid w:val="005A0D19"/>
    <w:rsid w:val="005A13D0"/>
    <w:rsid w:val="005A24CD"/>
    <w:rsid w:val="005A256B"/>
    <w:rsid w:val="005A3E2A"/>
    <w:rsid w:val="005A56D4"/>
    <w:rsid w:val="005A64A7"/>
    <w:rsid w:val="005B2105"/>
    <w:rsid w:val="005B2E8A"/>
    <w:rsid w:val="005B376F"/>
    <w:rsid w:val="005B3D27"/>
    <w:rsid w:val="005B4CA6"/>
    <w:rsid w:val="005B5713"/>
    <w:rsid w:val="005B57F1"/>
    <w:rsid w:val="005B5B84"/>
    <w:rsid w:val="005C0AE1"/>
    <w:rsid w:val="005C2ADB"/>
    <w:rsid w:val="005C342C"/>
    <w:rsid w:val="005C3E2F"/>
    <w:rsid w:val="005C403A"/>
    <w:rsid w:val="005C44C6"/>
    <w:rsid w:val="005C5C55"/>
    <w:rsid w:val="005C740F"/>
    <w:rsid w:val="005C7DC4"/>
    <w:rsid w:val="005D1C91"/>
    <w:rsid w:val="005D367C"/>
    <w:rsid w:val="005D4020"/>
    <w:rsid w:val="005D55CB"/>
    <w:rsid w:val="005D5B08"/>
    <w:rsid w:val="005D64C0"/>
    <w:rsid w:val="005D6BD0"/>
    <w:rsid w:val="005D709C"/>
    <w:rsid w:val="005D7F49"/>
    <w:rsid w:val="005E0C56"/>
    <w:rsid w:val="005E1BF3"/>
    <w:rsid w:val="005E21F5"/>
    <w:rsid w:val="005E40DD"/>
    <w:rsid w:val="005E4129"/>
    <w:rsid w:val="005E6203"/>
    <w:rsid w:val="005E6383"/>
    <w:rsid w:val="005E65C4"/>
    <w:rsid w:val="005E7A72"/>
    <w:rsid w:val="005E7C21"/>
    <w:rsid w:val="005F0281"/>
    <w:rsid w:val="005F06C4"/>
    <w:rsid w:val="005F090A"/>
    <w:rsid w:val="005F189F"/>
    <w:rsid w:val="005F2812"/>
    <w:rsid w:val="005F73CF"/>
    <w:rsid w:val="00600B5F"/>
    <w:rsid w:val="0060105E"/>
    <w:rsid w:val="0060106A"/>
    <w:rsid w:val="0060110D"/>
    <w:rsid w:val="00601476"/>
    <w:rsid w:val="00601534"/>
    <w:rsid w:val="006034FD"/>
    <w:rsid w:val="00603880"/>
    <w:rsid w:val="00603E1E"/>
    <w:rsid w:val="00604A3C"/>
    <w:rsid w:val="00604CFF"/>
    <w:rsid w:val="0061117C"/>
    <w:rsid w:val="0061137C"/>
    <w:rsid w:val="00611B99"/>
    <w:rsid w:val="00611CD9"/>
    <w:rsid w:val="00611E7B"/>
    <w:rsid w:val="00615ADB"/>
    <w:rsid w:val="00615BB7"/>
    <w:rsid w:val="00616221"/>
    <w:rsid w:val="00616757"/>
    <w:rsid w:val="00617093"/>
    <w:rsid w:val="006177ED"/>
    <w:rsid w:val="00617F31"/>
    <w:rsid w:val="006200D1"/>
    <w:rsid w:val="00622967"/>
    <w:rsid w:val="00624F1F"/>
    <w:rsid w:val="00626D16"/>
    <w:rsid w:val="006311C4"/>
    <w:rsid w:val="00633290"/>
    <w:rsid w:val="00635062"/>
    <w:rsid w:val="0063611E"/>
    <w:rsid w:val="00636679"/>
    <w:rsid w:val="00637ECE"/>
    <w:rsid w:val="00641F60"/>
    <w:rsid w:val="006420D0"/>
    <w:rsid w:val="00642643"/>
    <w:rsid w:val="00642F32"/>
    <w:rsid w:val="0064748A"/>
    <w:rsid w:val="00647C67"/>
    <w:rsid w:val="00650544"/>
    <w:rsid w:val="00652589"/>
    <w:rsid w:val="00653610"/>
    <w:rsid w:val="00654B1F"/>
    <w:rsid w:val="00656777"/>
    <w:rsid w:val="0065693D"/>
    <w:rsid w:val="00660467"/>
    <w:rsid w:val="006619A7"/>
    <w:rsid w:val="00661D82"/>
    <w:rsid w:val="00663300"/>
    <w:rsid w:val="00663975"/>
    <w:rsid w:val="006639BB"/>
    <w:rsid w:val="00665C2A"/>
    <w:rsid w:val="00667736"/>
    <w:rsid w:val="006703D5"/>
    <w:rsid w:val="0067115F"/>
    <w:rsid w:val="006768CC"/>
    <w:rsid w:val="00677DF3"/>
    <w:rsid w:val="0068067C"/>
    <w:rsid w:val="00680868"/>
    <w:rsid w:val="00684AB3"/>
    <w:rsid w:val="00685DDA"/>
    <w:rsid w:val="006876EF"/>
    <w:rsid w:val="00690EA9"/>
    <w:rsid w:val="00691832"/>
    <w:rsid w:val="006925E9"/>
    <w:rsid w:val="00693C2C"/>
    <w:rsid w:val="0069455A"/>
    <w:rsid w:val="00695785"/>
    <w:rsid w:val="00697832"/>
    <w:rsid w:val="006A138C"/>
    <w:rsid w:val="006A156E"/>
    <w:rsid w:val="006A19A2"/>
    <w:rsid w:val="006A1C8E"/>
    <w:rsid w:val="006A1F64"/>
    <w:rsid w:val="006A525B"/>
    <w:rsid w:val="006B2B24"/>
    <w:rsid w:val="006B3480"/>
    <w:rsid w:val="006B36F1"/>
    <w:rsid w:val="006B5C06"/>
    <w:rsid w:val="006B6400"/>
    <w:rsid w:val="006C146A"/>
    <w:rsid w:val="006C211E"/>
    <w:rsid w:val="006C277B"/>
    <w:rsid w:val="006C2DC7"/>
    <w:rsid w:val="006C32C8"/>
    <w:rsid w:val="006C3309"/>
    <w:rsid w:val="006C4F3D"/>
    <w:rsid w:val="006C5160"/>
    <w:rsid w:val="006C5912"/>
    <w:rsid w:val="006C591C"/>
    <w:rsid w:val="006C6FE0"/>
    <w:rsid w:val="006D2677"/>
    <w:rsid w:val="006D3591"/>
    <w:rsid w:val="006D49DF"/>
    <w:rsid w:val="006D4FB7"/>
    <w:rsid w:val="006E099D"/>
    <w:rsid w:val="006E37FC"/>
    <w:rsid w:val="006E3B3B"/>
    <w:rsid w:val="006E3C11"/>
    <w:rsid w:val="006E3E11"/>
    <w:rsid w:val="006E4EF0"/>
    <w:rsid w:val="006E61ED"/>
    <w:rsid w:val="006E643F"/>
    <w:rsid w:val="006E67A0"/>
    <w:rsid w:val="006E7201"/>
    <w:rsid w:val="006E7452"/>
    <w:rsid w:val="006E77B7"/>
    <w:rsid w:val="006F1EDD"/>
    <w:rsid w:val="006F1F25"/>
    <w:rsid w:val="006F2F1F"/>
    <w:rsid w:val="006F3441"/>
    <w:rsid w:val="006F4359"/>
    <w:rsid w:val="006F4360"/>
    <w:rsid w:val="006F4B1B"/>
    <w:rsid w:val="006F4D60"/>
    <w:rsid w:val="00702B72"/>
    <w:rsid w:val="00702B9D"/>
    <w:rsid w:val="00703543"/>
    <w:rsid w:val="007049BE"/>
    <w:rsid w:val="0070514A"/>
    <w:rsid w:val="007052BE"/>
    <w:rsid w:val="007067E2"/>
    <w:rsid w:val="00706D49"/>
    <w:rsid w:val="00707411"/>
    <w:rsid w:val="0070755C"/>
    <w:rsid w:val="0071041E"/>
    <w:rsid w:val="00710722"/>
    <w:rsid w:val="00710BAB"/>
    <w:rsid w:val="00710E57"/>
    <w:rsid w:val="0071176B"/>
    <w:rsid w:val="00711905"/>
    <w:rsid w:val="007124C8"/>
    <w:rsid w:val="00712BB0"/>
    <w:rsid w:val="00714887"/>
    <w:rsid w:val="00717B82"/>
    <w:rsid w:val="00721062"/>
    <w:rsid w:val="00721165"/>
    <w:rsid w:val="00724722"/>
    <w:rsid w:val="00726309"/>
    <w:rsid w:val="00726BA2"/>
    <w:rsid w:val="00726D9F"/>
    <w:rsid w:val="0072750E"/>
    <w:rsid w:val="00730FAC"/>
    <w:rsid w:val="00733B9B"/>
    <w:rsid w:val="007349C4"/>
    <w:rsid w:val="007413DA"/>
    <w:rsid w:val="00741682"/>
    <w:rsid w:val="007419C0"/>
    <w:rsid w:val="0074294F"/>
    <w:rsid w:val="00743142"/>
    <w:rsid w:val="00744022"/>
    <w:rsid w:val="00744E0C"/>
    <w:rsid w:val="00745559"/>
    <w:rsid w:val="00746FDA"/>
    <w:rsid w:val="00753889"/>
    <w:rsid w:val="0075392E"/>
    <w:rsid w:val="00756775"/>
    <w:rsid w:val="007569C5"/>
    <w:rsid w:val="00760269"/>
    <w:rsid w:val="00760571"/>
    <w:rsid w:val="00762664"/>
    <w:rsid w:val="0076279A"/>
    <w:rsid w:val="007631B9"/>
    <w:rsid w:val="0076331F"/>
    <w:rsid w:val="0076359A"/>
    <w:rsid w:val="00763BAD"/>
    <w:rsid w:val="00766B00"/>
    <w:rsid w:val="00766D64"/>
    <w:rsid w:val="0077017E"/>
    <w:rsid w:val="00771214"/>
    <w:rsid w:val="0077396E"/>
    <w:rsid w:val="00774E30"/>
    <w:rsid w:val="00774F8B"/>
    <w:rsid w:val="007758B4"/>
    <w:rsid w:val="00775CD4"/>
    <w:rsid w:val="00776827"/>
    <w:rsid w:val="00776D7B"/>
    <w:rsid w:val="00777B41"/>
    <w:rsid w:val="00777F32"/>
    <w:rsid w:val="00780F55"/>
    <w:rsid w:val="0078582D"/>
    <w:rsid w:val="007904D9"/>
    <w:rsid w:val="00790DDF"/>
    <w:rsid w:val="007915C7"/>
    <w:rsid w:val="007928DC"/>
    <w:rsid w:val="0079688A"/>
    <w:rsid w:val="00796E19"/>
    <w:rsid w:val="00796E54"/>
    <w:rsid w:val="007976EF"/>
    <w:rsid w:val="00797794"/>
    <w:rsid w:val="007A0A24"/>
    <w:rsid w:val="007A0EF3"/>
    <w:rsid w:val="007A2155"/>
    <w:rsid w:val="007A41CD"/>
    <w:rsid w:val="007A4B45"/>
    <w:rsid w:val="007A5BDB"/>
    <w:rsid w:val="007A6E5A"/>
    <w:rsid w:val="007B01FB"/>
    <w:rsid w:val="007B113D"/>
    <w:rsid w:val="007B1EAE"/>
    <w:rsid w:val="007B3649"/>
    <w:rsid w:val="007B4269"/>
    <w:rsid w:val="007B430F"/>
    <w:rsid w:val="007B44C7"/>
    <w:rsid w:val="007B4683"/>
    <w:rsid w:val="007B4D1E"/>
    <w:rsid w:val="007B4DB8"/>
    <w:rsid w:val="007B5F97"/>
    <w:rsid w:val="007B678F"/>
    <w:rsid w:val="007B7204"/>
    <w:rsid w:val="007C06D5"/>
    <w:rsid w:val="007C2014"/>
    <w:rsid w:val="007C263F"/>
    <w:rsid w:val="007C4108"/>
    <w:rsid w:val="007C4D2F"/>
    <w:rsid w:val="007D03E3"/>
    <w:rsid w:val="007D2657"/>
    <w:rsid w:val="007D27E1"/>
    <w:rsid w:val="007D2E71"/>
    <w:rsid w:val="007D31F7"/>
    <w:rsid w:val="007D3B6A"/>
    <w:rsid w:val="007D3B8F"/>
    <w:rsid w:val="007D60CD"/>
    <w:rsid w:val="007E0464"/>
    <w:rsid w:val="007E051A"/>
    <w:rsid w:val="007E44C2"/>
    <w:rsid w:val="007E47B5"/>
    <w:rsid w:val="007E614D"/>
    <w:rsid w:val="007E64BB"/>
    <w:rsid w:val="007E6693"/>
    <w:rsid w:val="007E6C01"/>
    <w:rsid w:val="007E6CDA"/>
    <w:rsid w:val="007F0263"/>
    <w:rsid w:val="007F1440"/>
    <w:rsid w:val="007F17C0"/>
    <w:rsid w:val="007F1CE8"/>
    <w:rsid w:val="007F23AB"/>
    <w:rsid w:val="007F3103"/>
    <w:rsid w:val="007F55F8"/>
    <w:rsid w:val="007F6E7B"/>
    <w:rsid w:val="007F7E7B"/>
    <w:rsid w:val="0080023C"/>
    <w:rsid w:val="0080055D"/>
    <w:rsid w:val="00803625"/>
    <w:rsid w:val="00804B53"/>
    <w:rsid w:val="008052CD"/>
    <w:rsid w:val="00805DF1"/>
    <w:rsid w:val="00806E02"/>
    <w:rsid w:val="00807040"/>
    <w:rsid w:val="0081108D"/>
    <w:rsid w:val="00813C6D"/>
    <w:rsid w:val="00814841"/>
    <w:rsid w:val="0081531F"/>
    <w:rsid w:val="00816546"/>
    <w:rsid w:val="008177D0"/>
    <w:rsid w:val="00817B2E"/>
    <w:rsid w:val="00817CEC"/>
    <w:rsid w:val="00821491"/>
    <w:rsid w:val="0082271C"/>
    <w:rsid w:val="00824E65"/>
    <w:rsid w:val="0082798B"/>
    <w:rsid w:val="00830915"/>
    <w:rsid w:val="00831D30"/>
    <w:rsid w:val="0083237E"/>
    <w:rsid w:val="0083618B"/>
    <w:rsid w:val="00837B07"/>
    <w:rsid w:val="00840199"/>
    <w:rsid w:val="0084125A"/>
    <w:rsid w:val="0084563E"/>
    <w:rsid w:val="008470BA"/>
    <w:rsid w:val="0084778A"/>
    <w:rsid w:val="00850A62"/>
    <w:rsid w:val="0085101A"/>
    <w:rsid w:val="00851095"/>
    <w:rsid w:val="00853114"/>
    <w:rsid w:val="00853ACD"/>
    <w:rsid w:val="0085536D"/>
    <w:rsid w:val="0085579D"/>
    <w:rsid w:val="00856944"/>
    <w:rsid w:val="008650A4"/>
    <w:rsid w:val="0086691C"/>
    <w:rsid w:val="008675C7"/>
    <w:rsid w:val="00870E07"/>
    <w:rsid w:val="00872D12"/>
    <w:rsid w:val="00873C90"/>
    <w:rsid w:val="0087554B"/>
    <w:rsid w:val="00876629"/>
    <w:rsid w:val="0087685F"/>
    <w:rsid w:val="00876BE1"/>
    <w:rsid w:val="00877D35"/>
    <w:rsid w:val="00881587"/>
    <w:rsid w:val="00883013"/>
    <w:rsid w:val="008850A3"/>
    <w:rsid w:val="00885BBC"/>
    <w:rsid w:val="00890CFD"/>
    <w:rsid w:val="00893308"/>
    <w:rsid w:val="00894B20"/>
    <w:rsid w:val="008950DE"/>
    <w:rsid w:val="008954D0"/>
    <w:rsid w:val="00895561"/>
    <w:rsid w:val="00895EC3"/>
    <w:rsid w:val="0089666B"/>
    <w:rsid w:val="008A040F"/>
    <w:rsid w:val="008A103A"/>
    <w:rsid w:val="008A16BE"/>
    <w:rsid w:val="008A2C82"/>
    <w:rsid w:val="008A3AA2"/>
    <w:rsid w:val="008A4B75"/>
    <w:rsid w:val="008A5AB2"/>
    <w:rsid w:val="008A5E93"/>
    <w:rsid w:val="008A65A6"/>
    <w:rsid w:val="008A6CDA"/>
    <w:rsid w:val="008B1E38"/>
    <w:rsid w:val="008B3835"/>
    <w:rsid w:val="008C0750"/>
    <w:rsid w:val="008C1C7C"/>
    <w:rsid w:val="008C294A"/>
    <w:rsid w:val="008C297A"/>
    <w:rsid w:val="008C2DCD"/>
    <w:rsid w:val="008C3B0F"/>
    <w:rsid w:val="008C58D7"/>
    <w:rsid w:val="008C5968"/>
    <w:rsid w:val="008C679F"/>
    <w:rsid w:val="008C7CA7"/>
    <w:rsid w:val="008D04F1"/>
    <w:rsid w:val="008D060D"/>
    <w:rsid w:val="008D0F85"/>
    <w:rsid w:val="008D11F6"/>
    <w:rsid w:val="008D16FB"/>
    <w:rsid w:val="008D196D"/>
    <w:rsid w:val="008D2804"/>
    <w:rsid w:val="008D29D5"/>
    <w:rsid w:val="008D51DE"/>
    <w:rsid w:val="008D55E0"/>
    <w:rsid w:val="008D5CEF"/>
    <w:rsid w:val="008E0514"/>
    <w:rsid w:val="008E1F98"/>
    <w:rsid w:val="008E27B4"/>
    <w:rsid w:val="008E3218"/>
    <w:rsid w:val="008E416A"/>
    <w:rsid w:val="008E6F5B"/>
    <w:rsid w:val="008E7011"/>
    <w:rsid w:val="008F1B26"/>
    <w:rsid w:val="008F1B9F"/>
    <w:rsid w:val="008F438E"/>
    <w:rsid w:val="008F4B15"/>
    <w:rsid w:val="008F4D2D"/>
    <w:rsid w:val="008F4FC7"/>
    <w:rsid w:val="008F5130"/>
    <w:rsid w:val="008F6189"/>
    <w:rsid w:val="008F67DB"/>
    <w:rsid w:val="008F6981"/>
    <w:rsid w:val="008F6E22"/>
    <w:rsid w:val="009004A5"/>
    <w:rsid w:val="0090059F"/>
    <w:rsid w:val="00903154"/>
    <w:rsid w:val="00903330"/>
    <w:rsid w:val="00903DE0"/>
    <w:rsid w:val="009075DA"/>
    <w:rsid w:val="00907AE5"/>
    <w:rsid w:val="009101A4"/>
    <w:rsid w:val="00912D13"/>
    <w:rsid w:val="00912D20"/>
    <w:rsid w:val="00913852"/>
    <w:rsid w:val="009161AD"/>
    <w:rsid w:val="009211C4"/>
    <w:rsid w:val="009236BF"/>
    <w:rsid w:val="0093491F"/>
    <w:rsid w:val="009357D1"/>
    <w:rsid w:val="009375A4"/>
    <w:rsid w:val="0094117D"/>
    <w:rsid w:val="009416A6"/>
    <w:rsid w:val="00941B8B"/>
    <w:rsid w:val="00942BCE"/>
    <w:rsid w:val="00950639"/>
    <w:rsid w:val="00950B42"/>
    <w:rsid w:val="00951B8C"/>
    <w:rsid w:val="0095318C"/>
    <w:rsid w:val="009558A7"/>
    <w:rsid w:val="00956255"/>
    <w:rsid w:val="009564D0"/>
    <w:rsid w:val="00960857"/>
    <w:rsid w:val="00963EF4"/>
    <w:rsid w:val="00963F91"/>
    <w:rsid w:val="00965889"/>
    <w:rsid w:val="00966264"/>
    <w:rsid w:val="00966EE1"/>
    <w:rsid w:val="0097049D"/>
    <w:rsid w:val="0097409F"/>
    <w:rsid w:val="0097434E"/>
    <w:rsid w:val="0097560B"/>
    <w:rsid w:val="00976736"/>
    <w:rsid w:val="0097746C"/>
    <w:rsid w:val="00977B5C"/>
    <w:rsid w:val="0098015F"/>
    <w:rsid w:val="00980592"/>
    <w:rsid w:val="00980EF3"/>
    <w:rsid w:val="0098437F"/>
    <w:rsid w:val="0098696D"/>
    <w:rsid w:val="00990455"/>
    <w:rsid w:val="00992C03"/>
    <w:rsid w:val="0099352F"/>
    <w:rsid w:val="009936BA"/>
    <w:rsid w:val="00995176"/>
    <w:rsid w:val="0099710B"/>
    <w:rsid w:val="009A068F"/>
    <w:rsid w:val="009A0D7F"/>
    <w:rsid w:val="009A124E"/>
    <w:rsid w:val="009A2C5D"/>
    <w:rsid w:val="009A338B"/>
    <w:rsid w:val="009A41E5"/>
    <w:rsid w:val="009A483F"/>
    <w:rsid w:val="009A503B"/>
    <w:rsid w:val="009A53C3"/>
    <w:rsid w:val="009A7B5B"/>
    <w:rsid w:val="009B0128"/>
    <w:rsid w:val="009B0757"/>
    <w:rsid w:val="009B097E"/>
    <w:rsid w:val="009B18C4"/>
    <w:rsid w:val="009B1CCF"/>
    <w:rsid w:val="009B2319"/>
    <w:rsid w:val="009B2852"/>
    <w:rsid w:val="009B2ACA"/>
    <w:rsid w:val="009B5191"/>
    <w:rsid w:val="009B5F7A"/>
    <w:rsid w:val="009B6797"/>
    <w:rsid w:val="009B6B9B"/>
    <w:rsid w:val="009B705E"/>
    <w:rsid w:val="009B7836"/>
    <w:rsid w:val="009C02D7"/>
    <w:rsid w:val="009C175B"/>
    <w:rsid w:val="009C1999"/>
    <w:rsid w:val="009C209E"/>
    <w:rsid w:val="009C27E9"/>
    <w:rsid w:val="009C2C26"/>
    <w:rsid w:val="009C3304"/>
    <w:rsid w:val="009C3EC2"/>
    <w:rsid w:val="009C4538"/>
    <w:rsid w:val="009C53C4"/>
    <w:rsid w:val="009C5CEB"/>
    <w:rsid w:val="009C75F3"/>
    <w:rsid w:val="009C7BE4"/>
    <w:rsid w:val="009D0956"/>
    <w:rsid w:val="009D0C5A"/>
    <w:rsid w:val="009D25CE"/>
    <w:rsid w:val="009D28EF"/>
    <w:rsid w:val="009D57E7"/>
    <w:rsid w:val="009D767D"/>
    <w:rsid w:val="009D7781"/>
    <w:rsid w:val="009E1566"/>
    <w:rsid w:val="009E1797"/>
    <w:rsid w:val="009E312D"/>
    <w:rsid w:val="009E32B3"/>
    <w:rsid w:val="009E32BA"/>
    <w:rsid w:val="009E40EA"/>
    <w:rsid w:val="009E4467"/>
    <w:rsid w:val="009E6C0D"/>
    <w:rsid w:val="009E7C76"/>
    <w:rsid w:val="009F4216"/>
    <w:rsid w:val="009F4470"/>
    <w:rsid w:val="009F52E2"/>
    <w:rsid w:val="009F6DD3"/>
    <w:rsid w:val="00A00CAA"/>
    <w:rsid w:val="00A0116C"/>
    <w:rsid w:val="00A02787"/>
    <w:rsid w:val="00A07DE6"/>
    <w:rsid w:val="00A1070E"/>
    <w:rsid w:val="00A11865"/>
    <w:rsid w:val="00A132F3"/>
    <w:rsid w:val="00A14824"/>
    <w:rsid w:val="00A14FAC"/>
    <w:rsid w:val="00A15248"/>
    <w:rsid w:val="00A21A77"/>
    <w:rsid w:val="00A229F0"/>
    <w:rsid w:val="00A2515B"/>
    <w:rsid w:val="00A25AB6"/>
    <w:rsid w:val="00A25C41"/>
    <w:rsid w:val="00A26754"/>
    <w:rsid w:val="00A268CF"/>
    <w:rsid w:val="00A269FE"/>
    <w:rsid w:val="00A30C04"/>
    <w:rsid w:val="00A326BD"/>
    <w:rsid w:val="00A32E7A"/>
    <w:rsid w:val="00A3370E"/>
    <w:rsid w:val="00A3390E"/>
    <w:rsid w:val="00A3545A"/>
    <w:rsid w:val="00A3611A"/>
    <w:rsid w:val="00A36DEA"/>
    <w:rsid w:val="00A37CD0"/>
    <w:rsid w:val="00A4540E"/>
    <w:rsid w:val="00A47815"/>
    <w:rsid w:val="00A47EA1"/>
    <w:rsid w:val="00A50A08"/>
    <w:rsid w:val="00A50F80"/>
    <w:rsid w:val="00A5341B"/>
    <w:rsid w:val="00A55996"/>
    <w:rsid w:val="00A55BA1"/>
    <w:rsid w:val="00A55F2F"/>
    <w:rsid w:val="00A562BD"/>
    <w:rsid w:val="00A569E4"/>
    <w:rsid w:val="00A64935"/>
    <w:rsid w:val="00A67395"/>
    <w:rsid w:val="00A742B2"/>
    <w:rsid w:val="00A8041F"/>
    <w:rsid w:val="00A824AF"/>
    <w:rsid w:val="00A826F0"/>
    <w:rsid w:val="00A845DF"/>
    <w:rsid w:val="00A85921"/>
    <w:rsid w:val="00A86F7B"/>
    <w:rsid w:val="00A91559"/>
    <w:rsid w:val="00A92C9E"/>
    <w:rsid w:val="00A930EF"/>
    <w:rsid w:val="00A93D6C"/>
    <w:rsid w:val="00A94D7F"/>
    <w:rsid w:val="00A95B96"/>
    <w:rsid w:val="00A964BE"/>
    <w:rsid w:val="00A9705F"/>
    <w:rsid w:val="00AA04BA"/>
    <w:rsid w:val="00AA1CE3"/>
    <w:rsid w:val="00AA2F73"/>
    <w:rsid w:val="00AA3087"/>
    <w:rsid w:val="00AA461C"/>
    <w:rsid w:val="00AA50FB"/>
    <w:rsid w:val="00AA662F"/>
    <w:rsid w:val="00AA79C4"/>
    <w:rsid w:val="00AB2A9E"/>
    <w:rsid w:val="00AB582C"/>
    <w:rsid w:val="00AB583F"/>
    <w:rsid w:val="00AB6787"/>
    <w:rsid w:val="00AC4CEF"/>
    <w:rsid w:val="00AC7FFC"/>
    <w:rsid w:val="00AD0360"/>
    <w:rsid w:val="00AD2147"/>
    <w:rsid w:val="00AD23E5"/>
    <w:rsid w:val="00AD440B"/>
    <w:rsid w:val="00AD68EA"/>
    <w:rsid w:val="00AD690B"/>
    <w:rsid w:val="00AD6AEC"/>
    <w:rsid w:val="00AD7597"/>
    <w:rsid w:val="00AD7E8D"/>
    <w:rsid w:val="00AE10B2"/>
    <w:rsid w:val="00AE16BD"/>
    <w:rsid w:val="00AE1CE2"/>
    <w:rsid w:val="00AE4EB4"/>
    <w:rsid w:val="00AF04F4"/>
    <w:rsid w:val="00AF16FC"/>
    <w:rsid w:val="00AF1A8C"/>
    <w:rsid w:val="00AF26B2"/>
    <w:rsid w:val="00AF3506"/>
    <w:rsid w:val="00AF43D8"/>
    <w:rsid w:val="00AF6905"/>
    <w:rsid w:val="00B001EF"/>
    <w:rsid w:val="00B00CBF"/>
    <w:rsid w:val="00B00F51"/>
    <w:rsid w:val="00B01C67"/>
    <w:rsid w:val="00B02029"/>
    <w:rsid w:val="00B02CE4"/>
    <w:rsid w:val="00B03673"/>
    <w:rsid w:val="00B04549"/>
    <w:rsid w:val="00B04DDD"/>
    <w:rsid w:val="00B07676"/>
    <w:rsid w:val="00B07DCE"/>
    <w:rsid w:val="00B11E8B"/>
    <w:rsid w:val="00B124F6"/>
    <w:rsid w:val="00B13AC2"/>
    <w:rsid w:val="00B14D70"/>
    <w:rsid w:val="00B16BB3"/>
    <w:rsid w:val="00B17A14"/>
    <w:rsid w:val="00B17A5D"/>
    <w:rsid w:val="00B252B2"/>
    <w:rsid w:val="00B25361"/>
    <w:rsid w:val="00B26819"/>
    <w:rsid w:val="00B26F72"/>
    <w:rsid w:val="00B30941"/>
    <w:rsid w:val="00B3095D"/>
    <w:rsid w:val="00B309DB"/>
    <w:rsid w:val="00B321DE"/>
    <w:rsid w:val="00B32670"/>
    <w:rsid w:val="00B32A54"/>
    <w:rsid w:val="00B32A8C"/>
    <w:rsid w:val="00B33058"/>
    <w:rsid w:val="00B335D6"/>
    <w:rsid w:val="00B3405E"/>
    <w:rsid w:val="00B353BC"/>
    <w:rsid w:val="00B4068B"/>
    <w:rsid w:val="00B41B3D"/>
    <w:rsid w:val="00B4279B"/>
    <w:rsid w:val="00B427E6"/>
    <w:rsid w:val="00B43A08"/>
    <w:rsid w:val="00B446D0"/>
    <w:rsid w:val="00B45006"/>
    <w:rsid w:val="00B459DD"/>
    <w:rsid w:val="00B467F3"/>
    <w:rsid w:val="00B46FA7"/>
    <w:rsid w:val="00B500E9"/>
    <w:rsid w:val="00B506FC"/>
    <w:rsid w:val="00B50FF2"/>
    <w:rsid w:val="00B52C92"/>
    <w:rsid w:val="00B5576C"/>
    <w:rsid w:val="00B55A93"/>
    <w:rsid w:val="00B565D8"/>
    <w:rsid w:val="00B56D47"/>
    <w:rsid w:val="00B56E1B"/>
    <w:rsid w:val="00B57D2A"/>
    <w:rsid w:val="00B621AB"/>
    <w:rsid w:val="00B63B58"/>
    <w:rsid w:val="00B64D59"/>
    <w:rsid w:val="00B6681C"/>
    <w:rsid w:val="00B66A71"/>
    <w:rsid w:val="00B7010C"/>
    <w:rsid w:val="00B71C43"/>
    <w:rsid w:val="00B72F45"/>
    <w:rsid w:val="00B73211"/>
    <w:rsid w:val="00B73AED"/>
    <w:rsid w:val="00B82819"/>
    <w:rsid w:val="00B83A8F"/>
    <w:rsid w:val="00B84642"/>
    <w:rsid w:val="00B856DD"/>
    <w:rsid w:val="00B908C9"/>
    <w:rsid w:val="00B91444"/>
    <w:rsid w:val="00B934A6"/>
    <w:rsid w:val="00B9373D"/>
    <w:rsid w:val="00B93BD0"/>
    <w:rsid w:val="00B951D6"/>
    <w:rsid w:val="00B958E7"/>
    <w:rsid w:val="00B97629"/>
    <w:rsid w:val="00BA0111"/>
    <w:rsid w:val="00BA0D9C"/>
    <w:rsid w:val="00BA3D80"/>
    <w:rsid w:val="00BA42C4"/>
    <w:rsid w:val="00BA45FE"/>
    <w:rsid w:val="00BA47A9"/>
    <w:rsid w:val="00BA496C"/>
    <w:rsid w:val="00BA513A"/>
    <w:rsid w:val="00BA5CCA"/>
    <w:rsid w:val="00BA6803"/>
    <w:rsid w:val="00BB0D72"/>
    <w:rsid w:val="00BB1216"/>
    <w:rsid w:val="00BB154C"/>
    <w:rsid w:val="00BB16F2"/>
    <w:rsid w:val="00BB24EB"/>
    <w:rsid w:val="00BB37AD"/>
    <w:rsid w:val="00BB7CEB"/>
    <w:rsid w:val="00BC0F23"/>
    <w:rsid w:val="00BC136F"/>
    <w:rsid w:val="00BC1394"/>
    <w:rsid w:val="00BC49A9"/>
    <w:rsid w:val="00BC7555"/>
    <w:rsid w:val="00BC75A3"/>
    <w:rsid w:val="00BD2520"/>
    <w:rsid w:val="00BD2602"/>
    <w:rsid w:val="00BD3278"/>
    <w:rsid w:val="00BD5AFA"/>
    <w:rsid w:val="00BD5F83"/>
    <w:rsid w:val="00BD6631"/>
    <w:rsid w:val="00BD73FB"/>
    <w:rsid w:val="00BE0364"/>
    <w:rsid w:val="00BE063A"/>
    <w:rsid w:val="00BE09A9"/>
    <w:rsid w:val="00BE1FC9"/>
    <w:rsid w:val="00BE22A0"/>
    <w:rsid w:val="00BE4C7C"/>
    <w:rsid w:val="00BF0215"/>
    <w:rsid w:val="00BF0B00"/>
    <w:rsid w:val="00BF1CC1"/>
    <w:rsid w:val="00BF3E2A"/>
    <w:rsid w:val="00BF4558"/>
    <w:rsid w:val="00BF54A4"/>
    <w:rsid w:val="00BF741B"/>
    <w:rsid w:val="00C001B1"/>
    <w:rsid w:val="00C038EE"/>
    <w:rsid w:val="00C100C9"/>
    <w:rsid w:val="00C117C2"/>
    <w:rsid w:val="00C11939"/>
    <w:rsid w:val="00C11C1B"/>
    <w:rsid w:val="00C147D5"/>
    <w:rsid w:val="00C15025"/>
    <w:rsid w:val="00C152B5"/>
    <w:rsid w:val="00C16A22"/>
    <w:rsid w:val="00C16F28"/>
    <w:rsid w:val="00C219A5"/>
    <w:rsid w:val="00C229D8"/>
    <w:rsid w:val="00C24812"/>
    <w:rsid w:val="00C2710F"/>
    <w:rsid w:val="00C324E6"/>
    <w:rsid w:val="00C33788"/>
    <w:rsid w:val="00C342DF"/>
    <w:rsid w:val="00C35C48"/>
    <w:rsid w:val="00C3643D"/>
    <w:rsid w:val="00C3705B"/>
    <w:rsid w:val="00C37D69"/>
    <w:rsid w:val="00C404CF"/>
    <w:rsid w:val="00C405A1"/>
    <w:rsid w:val="00C427F1"/>
    <w:rsid w:val="00C42D1B"/>
    <w:rsid w:val="00C4446E"/>
    <w:rsid w:val="00C4607F"/>
    <w:rsid w:val="00C4611D"/>
    <w:rsid w:val="00C4620F"/>
    <w:rsid w:val="00C500B8"/>
    <w:rsid w:val="00C53E5E"/>
    <w:rsid w:val="00C60F32"/>
    <w:rsid w:val="00C612FD"/>
    <w:rsid w:val="00C62087"/>
    <w:rsid w:val="00C63562"/>
    <w:rsid w:val="00C64B14"/>
    <w:rsid w:val="00C64C79"/>
    <w:rsid w:val="00C64DFC"/>
    <w:rsid w:val="00C64F55"/>
    <w:rsid w:val="00C65747"/>
    <w:rsid w:val="00C66C4F"/>
    <w:rsid w:val="00C676AD"/>
    <w:rsid w:val="00C67FE7"/>
    <w:rsid w:val="00C70494"/>
    <w:rsid w:val="00C710C2"/>
    <w:rsid w:val="00C72423"/>
    <w:rsid w:val="00C7263A"/>
    <w:rsid w:val="00C740BF"/>
    <w:rsid w:val="00C744C3"/>
    <w:rsid w:val="00C749BC"/>
    <w:rsid w:val="00C75DF3"/>
    <w:rsid w:val="00C76B61"/>
    <w:rsid w:val="00C76C0E"/>
    <w:rsid w:val="00C76CCF"/>
    <w:rsid w:val="00C76DC9"/>
    <w:rsid w:val="00C80742"/>
    <w:rsid w:val="00C81DA7"/>
    <w:rsid w:val="00C82A4A"/>
    <w:rsid w:val="00C82D34"/>
    <w:rsid w:val="00C84A4A"/>
    <w:rsid w:val="00C8763B"/>
    <w:rsid w:val="00C9095A"/>
    <w:rsid w:val="00C930E0"/>
    <w:rsid w:val="00C9414E"/>
    <w:rsid w:val="00C950B4"/>
    <w:rsid w:val="00C9578D"/>
    <w:rsid w:val="00CA0395"/>
    <w:rsid w:val="00CA0552"/>
    <w:rsid w:val="00CA3644"/>
    <w:rsid w:val="00CA3B5E"/>
    <w:rsid w:val="00CA5169"/>
    <w:rsid w:val="00CA7031"/>
    <w:rsid w:val="00CA7E72"/>
    <w:rsid w:val="00CB08EA"/>
    <w:rsid w:val="00CB1CBB"/>
    <w:rsid w:val="00CB3598"/>
    <w:rsid w:val="00CB56E5"/>
    <w:rsid w:val="00CB5D7D"/>
    <w:rsid w:val="00CB6B4E"/>
    <w:rsid w:val="00CC3327"/>
    <w:rsid w:val="00CC3DC6"/>
    <w:rsid w:val="00CC45A6"/>
    <w:rsid w:val="00CC70CB"/>
    <w:rsid w:val="00CC7E97"/>
    <w:rsid w:val="00CD20C1"/>
    <w:rsid w:val="00CD323B"/>
    <w:rsid w:val="00CD3C6E"/>
    <w:rsid w:val="00CD3CBE"/>
    <w:rsid w:val="00CD5614"/>
    <w:rsid w:val="00CD6760"/>
    <w:rsid w:val="00CD6EB3"/>
    <w:rsid w:val="00CD711A"/>
    <w:rsid w:val="00CD71A0"/>
    <w:rsid w:val="00CD7EB0"/>
    <w:rsid w:val="00CE03DE"/>
    <w:rsid w:val="00CE2115"/>
    <w:rsid w:val="00CE3D85"/>
    <w:rsid w:val="00CE49B4"/>
    <w:rsid w:val="00CF1452"/>
    <w:rsid w:val="00CF2BC7"/>
    <w:rsid w:val="00CF569B"/>
    <w:rsid w:val="00CF6038"/>
    <w:rsid w:val="00CF6822"/>
    <w:rsid w:val="00CF6960"/>
    <w:rsid w:val="00D00481"/>
    <w:rsid w:val="00D00C86"/>
    <w:rsid w:val="00D01A62"/>
    <w:rsid w:val="00D02269"/>
    <w:rsid w:val="00D02B0F"/>
    <w:rsid w:val="00D04963"/>
    <w:rsid w:val="00D04DB0"/>
    <w:rsid w:val="00D05475"/>
    <w:rsid w:val="00D06603"/>
    <w:rsid w:val="00D111DF"/>
    <w:rsid w:val="00D130E3"/>
    <w:rsid w:val="00D13A95"/>
    <w:rsid w:val="00D1542F"/>
    <w:rsid w:val="00D207EC"/>
    <w:rsid w:val="00D209FB"/>
    <w:rsid w:val="00D20D70"/>
    <w:rsid w:val="00D218FF"/>
    <w:rsid w:val="00D22738"/>
    <w:rsid w:val="00D23CB9"/>
    <w:rsid w:val="00D2455E"/>
    <w:rsid w:val="00D252B2"/>
    <w:rsid w:val="00D25A5D"/>
    <w:rsid w:val="00D261C4"/>
    <w:rsid w:val="00D30DAA"/>
    <w:rsid w:val="00D313A3"/>
    <w:rsid w:val="00D33FC7"/>
    <w:rsid w:val="00D343D8"/>
    <w:rsid w:val="00D347E0"/>
    <w:rsid w:val="00D34AD8"/>
    <w:rsid w:val="00D359B7"/>
    <w:rsid w:val="00D42D5A"/>
    <w:rsid w:val="00D4304C"/>
    <w:rsid w:val="00D43850"/>
    <w:rsid w:val="00D443D8"/>
    <w:rsid w:val="00D44AFB"/>
    <w:rsid w:val="00D4618E"/>
    <w:rsid w:val="00D47918"/>
    <w:rsid w:val="00D553EC"/>
    <w:rsid w:val="00D55FB1"/>
    <w:rsid w:val="00D566DE"/>
    <w:rsid w:val="00D56FEF"/>
    <w:rsid w:val="00D57071"/>
    <w:rsid w:val="00D57598"/>
    <w:rsid w:val="00D57FBF"/>
    <w:rsid w:val="00D605CB"/>
    <w:rsid w:val="00D64667"/>
    <w:rsid w:val="00D64788"/>
    <w:rsid w:val="00D668AD"/>
    <w:rsid w:val="00D6722A"/>
    <w:rsid w:val="00D674A6"/>
    <w:rsid w:val="00D7063B"/>
    <w:rsid w:val="00D729D8"/>
    <w:rsid w:val="00D72E02"/>
    <w:rsid w:val="00D73612"/>
    <w:rsid w:val="00D74088"/>
    <w:rsid w:val="00D74BEA"/>
    <w:rsid w:val="00D75D75"/>
    <w:rsid w:val="00D767D0"/>
    <w:rsid w:val="00D81CDC"/>
    <w:rsid w:val="00D82F0A"/>
    <w:rsid w:val="00D83F54"/>
    <w:rsid w:val="00D84FE8"/>
    <w:rsid w:val="00D8568B"/>
    <w:rsid w:val="00D85A2E"/>
    <w:rsid w:val="00D90B6C"/>
    <w:rsid w:val="00D918DB"/>
    <w:rsid w:val="00D91E6A"/>
    <w:rsid w:val="00D937FF"/>
    <w:rsid w:val="00D94C3B"/>
    <w:rsid w:val="00D94FDC"/>
    <w:rsid w:val="00D957E3"/>
    <w:rsid w:val="00D9655B"/>
    <w:rsid w:val="00DA1392"/>
    <w:rsid w:val="00DA1E1B"/>
    <w:rsid w:val="00DA2683"/>
    <w:rsid w:val="00DA26DF"/>
    <w:rsid w:val="00DA2A23"/>
    <w:rsid w:val="00DA2C92"/>
    <w:rsid w:val="00DA55F8"/>
    <w:rsid w:val="00DB0CA1"/>
    <w:rsid w:val="00DB15FB"/>
    <w:rsid w:val="00DB1A74"/>
    <w:rsid w:val="00DB1C02"/>
    <w:rsid w:val="00DB343B"/>
    <w:rsid w:val="00DB500C"/>
    <w:rsid w:val="00DB59FD"/>
    <w:rsid w:val="00DB5CF9"/>
    <w:rsid w:val="00DB6614"/>
    <w:rsid w:val="00DB6C2C"/>
    <w:rsid w:val="00DC0024"/>
    <w:rsid w:val="00DC063D"/>
    <w:rsid w:val="00DC097A"/>
    <w:rsid w:val="00DC24AD"/>
    <w:rsid w:val="00DC3A1A"/>
    <w:rsid w:val="00DC441A"/>
    <w:rsid w:val="00DC5921"/>
    <w:rsid w:val="00DC5BDD"/>
    <w:rsid w:val="00DC6D92"/>
    <w:rsid w:val="00DD0493"/>
    <w:rsid w:val="00DD0968"/>
    <w:rsid w:val="00DD10F5"/>
    <w:rsid w:val="00DD1676"/>
    <w:rsid w:val="00DD17EF"/>
    <w:rsid w:val="00DD2629"/>
    <w:rsid w:val="00DE03F3"/>
    <w:rsid w:val="00DE10E3"/>
    <w:rsid w:val="00DE12DE"/>
    <w:rsid w:val="00DE1DB8"/>
    <w:rsid w:val="00DE2494"/>
    <w:rsid w:val="00DE3197"/>
    <w:rsid w:val="00DE39A5"/>
    <w:rsid w:val="00DE3FF0"/>
    <w:rsid w:val="00DE4457"/>
    <w:rsid w:val="00DE4EC0"/>
    <w:rsid w:val="00DE684E"/>
    <w:rsid w:val="00DE74F2"/>
    <w:rsid w:val="00DE79C9"/>
    <w:rsid w:val="00DE79E5"/>
    <w:rsid w:val="00DF18C1"/>
    <w:rsid w:val="00DF1AD9"/>
    <w:rsid w:val="00DF21C9"/>
    <w:rsid w:val="00DF3C71"/>
    <w:rsid w:val="00DF51D5"/>
    <w:rsid w:val="00DF538D"/>
    <w:rsid w:val="00DF5722"/>
    <w:rsid w:val="00DF635A"/>
    <w:rsid w:val="00DF6BB3"/>
    <w:rsid w:val="00E00DB4"/>
    <w:rsid w:val="00E015C4"/>
    <w:rsid w:val="00E042F4"/>
    <w:rsid w:val="00E04732"/>
    <w:rsid w:val="00E04780"/>
    <w:rsid w:val="00E05096"/>
    <w:rsid w:val="00E07B1B"/>
    <w:rsid w:val="00E100F3"/>
    <w:rsid w:val="00E10C0C"/>
    <w:rsid w:val="00E11817"/>
    <w:rsid w:val="00E11A1D"/>
    <w:rsid w:val="00E12C12"/>
    <w:rsid w:val="00E1390B"/>
    <w:rsid w:val="00E14A81"/>
    <w:rsid w:val="00E15328"/>
    <w:rsid w:val="00E15BC9"/>
    <w:rsid w:val="00E16412"/>
    <w:rsid w:val="00E16D19"/>
    <w:rsid w:val="00E201EE"/>
    <w:rsid w:val="00E20DF3"/>
    <w:rsid w:val="00E21D8E"/>
    <w:rsid w:val="00E22E53"/>
    <w:rsid w:val="00E23AF4"/>
    <w:rsid w:val="00E27AAE"/>
    <w:rsid w:val="00E30C1D"/>
    <w:rsid w:val="00E31619"/>
    <w:rsid w:val="00E34FAC"/>
    <w:rsid w:val="00E36408"/>
    <w:rsid w:val="00E36A37"/>
    <w:rsid w:val="00E417E3"/>
    <w:rsid w:val="00E43799"/>
    <w:rsid w:val="00E43A72"/>
    <w:rsid w:val="00E43F64"/>
    <w:rsid w:val="00E46B22"/>
    <w:rsid w:val="00E478CC"/>
    <w:rsid w:val="00E47BD5"/>
    <w:rsid w:val="00E501CB"/>
    <w:rsid w:val="00E5147B"/>
    <w:rsid w:val="00E51A47"/>
    <w:rsid w:val="00E54085"/>
    <w:rsid w:val="00E54722"/>
    <w:rsid w:val="00E547F0"/>
    <w:rsid w:val="00E55A96"/>
    <w:rsid w:val="00E577F2"/>
    <w:rsid w:val="00E63C52"/>
    <w:rsid w:val="00E64254"/>
    <w:rsid w:val="00E6637B"/>
    <w:rsid w:val="00E67D1E"/>
    <w:rsid w:val="00E7033D"/>
    <w:rsid w:val="00E7095F"/>
    <w:rsid w:val="00E70C10"/>
    <w:rsid w:val="00E70F3F"/>
    <w:rsid w:val="00E72291"/>
    <w:rsid w:val="00E74981"/>
    <w:rsid w:val="00E75F84"/>
    <w:rsid w:val="00E76148"/>
    <w:rsid w:val="00E77553"/>
    <w:rsid w:val="00E77C88"/>
    <w:rsid w:val="00E825DA"/>
    <w:rsid w:val="00E8277E"/>
    <w:rsid w:val="00E8326C"/>
    <w:rsid w:val="00E8472C"/>
    <w:rsid w:val="00E84DF2"/>
    <w:rsid w:val="00E84F99"/>
    <w:rsid w:val="00E866DF"/>
    <w:rsid w:val="00E86FCB"/>
    <w:rsid w:val="00E87A1A"/>
    <w:rsid w:val="00E90A56"/>
    <w:rsid w:val="00E918BD"/>
    <w:rsid w:val="00E92F16"/>
    <w:rsid w:val="00E94F15"/>
    <w:rsid w:val="00E95E2E"/>
    <w:rsid w:val="00E97EEF"/>
    <w:rsid w:val="00EA02F6"/>
    <w:rsid w:val="00EA24A2"/>
    <w:rsid w:val="00EA27A2"/>
    <w:rsid w:val="00EA28AA"/>
    <w:rsid w:val="00EA37A1"/>
    <w:rsid w:val="00EA4948"/>
    <w:rsid w:val="00EA4DBF"/>
    <w:rsid w:val="00EA5089"/>
    <w:rsid w:val="00EA5434"/>
    <w:rsid w:val="00EA5DC9"/>
    <w:rsid w:val="00EA7EFB"/>
    <w:rsid w:val="00EB0DD8"/>
    <w:rsid w:val="00EB2E3F"/>
    <w:rsid w:val="00EB30DB"/>
    <w:rsid w:val="00EB3FD5"/>
    <w:rsid w:val="00EB4B17"/>
    <w:rsid w:val="00EB7973"/>
    <w:rsid w:val="00EC0FDA"/>
    <w:rsid w:val="00EC2AED"/>
    <w:rsid w:val="00EC3BF9"/>
    <w:rsid w:val="00EC3CCE"/>
    <w:rsid w:val="00EC4B1A"/>
    <w:rsid w:val="00EC4D3D"/>
    <w:rsid w:val="00EC5A1B"/>
    <w:rsid w:val="00EC7ADB"/>
    <w:rsid w:val="00EC7DF9"/>
    <w:rsid w:val="00ED0757"/>
    <w:rsid w:val="00ED2A13"/>
    <w:rsid w:val="00ED40B2"/>
    <w:rsid w:val="00ED4E9F"/>
    <w:rsid w:val="00ED51D0"/>
    <w:rsid w:val="00ED6A08"/>
    <w:rsid w:val="00ED6E8F"/>
    <w:rsid w:val="00ED7DFD"/>
    <w:rsid w:val="00EE0450"/>
    <w:rsid w:val="00EE37C8"/>
    <w:rsid w:val="00EE59BC"/>
    <w:rsid w:val="00EE67AB"/>
    <w:rsid w:val="00EE7A85"/>
    <w:rsid w:val="00EF03E8"/>
    <w:rsid w:val="00EF1834"/>
    <w:rsid w:val="00EF45D4"/>
    <w:rsid w:val="00EF59CB"/>
    <w:rsid w:val="00F0015C"/>
    <w:rsid w:val="00F0047B"/>
    <w:rsid w:val="00F005CF"/>
    <w:rsid w:val="00F016FA"/>
    <w:rsid w:val="00F02029"/>
    <w:rsid w:val="00F02173"/>
    <w:rsid w:val="00F02FD1"/>
    <w:rsid w:val="00F03FBE"/>
    <w:rsid w:val="00F04342"/>
    <w:rsid w:val="00F048D9"/>
    <w:rsid w:val="00F04E22"/>
    <w:rsid w:val="00F05755"/>
    <w:rsid w:val="00F061EA"/>
    <w:rsid w:val="00F0799A"/>
    <w:rsid w:val="00F125FF"/>
    <w:rsid w:val="00F12675"/>
    <w:rsid w:val="00F12E9C"/>
    <w:rsid w:val="00F13E8E"/>
    <w:rsid w:val="00F149F6"/>
    <w:rsid w:val="00F14C4A"/>
    <w:rsid w:val="00F151DB"/>
    <w:rsid w:val="00F15B6E"/>
    <w:rsid w:val="00F21998"/>
    <w:rsid w:val="00F22A02"/>
    <w:rsid w:val="00F22A55"/>
    <w:rsid w:val="00F23F94"/>
    <w:rsid w:val="00F24030"/>
    <w:rsid w:val="00F242B0"/>
    <w:rsid w:val="00F242B2"/>
    <w:rsid w:val="00F244C2"/>
    <w:rsid w:val="00F257E5"/>
    <w:rsid w:val="00F25C6B"/>
    <w:rsid w:val="00F25E0D"/>
    <w:rsid w:val="00F270D4"/>
    <w:rsid w:val="00F27EA7"/>
    <w:rsid w:val="00F27F09"/>
    <w:rsid w:val="00F3027E"/>
    <w:rsid w:val="00F3092F"/>
    <w:rsid w:val="00F30EA4"/>
    <w:rsid w:val="00F3405F"/>
    <w:rsid w:val="00F3488E"/>
    <w:rsid w:val="00F35D70"/>
    <w:rsid w:val="00F36FF9"/>
    <w:rsid w:val="00F3762F"/>
    <w:rsid w:val="00F41DFE"/>
    <w:rsid w:val="00F43CCF"/>
    <w:rsid w:val="00F4490B"/>
    <w:rsid w:val="00F451CB"/>
    <w:rsid w:val="00F51789"/>
    <w:rsid w:val="00F51F08"/>
    <w:rsid w:val="00F52571"/>
    <w:rsid w:val="00F525B7"/>
    <w:rsid w:val="00F53064"/>
    <w:rsid w:val="00F54AF5"/>
    <w:rsid w:val="00F57A04"/>
    <w:rsid w:val="00F639B0"/>
    <w:rsid w:val="00F644CD"/>
    <w:rsid w:val="00F65523"/>
    <w:rsid w:val="00F6664A"/>
    <w:rsid w:val="00F674FB"/>
    <w:rsid w:val="00F67DDE"/>
    <w:rsid w:val="00F7052D"/>
    <w:rsid w:val="00F70A49"/>
    <w:rsid w:val="00F737C1"/>
    <w:rsid w:val="00F768B9"/>
    <w:rsid w:val="00F80D9C"/>
    <w:rsid w:val="00F825B6"/>
    <w:rsid w:val="00F83075"/>
    <w:rsid w:val="00F83FFF"/>
    <w:rsid w:val="00F84F1C"/>
    <w:rsid w:val="00F859AF"/>
    <w:rsid w:val="00F85CAF"/>
    <w:rsid w:val="00F91423"/>
    <w:rsid w:val="00FA093F"/>
    <w:rsid w:val="00FA32B6"/>
    <w:rsid w:val="00FA3E37"/>
    <w:rsid w:val="00FA453A"/>
    <w:rsid w:val="00FA506C"/>
    <w:rsid w:val="00FA546C"/>
    <w:rsid w:val="00FA68BC"/>
    <w:rsid w:val="00FA76F1"/>
    <w:rsid w:val="00FB15A3"/>
    <w:rsid w:val="00FB2DB4"/>
    <w:rsid w:val="00FB6CC3"/>
    <w:rsid w:val="00FB729A"/>
    <w:rsid w:val="00FC3128"/>
    <w:rsid w:val="00FC356C"/>
    <w:rsid w:val="00FC3E30"/>
    <w:rsid w:val="00FC45DC"/>
    <w:rsid w:val="00FC4B01"/>
    <w:rsid w:val="00FC4C9C"/>
    <w:rsid w:val="00FC55AB"/>
    <w:rsid w:val="00FC6A56"/>
    <w:rsid w:val="00FC74B1"/>
    <w:rsid w:val="00FD0D52"/>
    <w:rsid w:val="00FD107E"/>
    <w:rsid w:val="00FD40F2"/>
    <w:rsid w:val="00FD5090"/>
    <w:rsid w:val="00FD56ED"/>
    <w:rsid w:val="00FD5B3C"/>
    <w:rsid w:val="00FD5B6B"/>
    <w:rsid w:val="00FD6447"/>
    <w:rsid w:val="00FD7085"/>
    <w:rsid w:val="00FE02BC"/>
    <w:rsid w:val="00FE122A"/>
    <w:rsid w:val="00FE2544"/>
    <w:rsid w:val="00FE25CE"/>
    <w:rsid w:val="00FE41D5"/>
    <w:rsid w:val="00FE43B3"/>
    <w:rsid w:val="00FE440C"/>
    <w:rsid w:val="00FE48E3"/>
    <w:rsid w:val="00FE6F2D"/>
    <w:rsid w:val="00FF0927"/>
    <w:rsid w:val="00FF1466"/>
    <w:rsid w:val="00FF23CF"/>
    <w:rsid w:val="00FF29DC"/>
    <w:rsid w:val="00FF30FF"/>
    <w:rsid w:val="00FF411B"/>
    <w:rsid w:val="00FF437B"/>
    <w:rsid w:val="00FF44B1"/>
    <w:rsid w:val="00FF4D79"/>
    <w:rsid w:val="00FF6AD9"/>
    <w:rsid w:val="00FF700D"/>
    <w:rsid w:val="00FF789C"/>
    <w:rsid w:val="0FE12069"/>
    <w:rsid w:val="19A056DB"/>
    <w:rsid w:val="1A10203D"/>
    <w:rsid w:val="2A4B284A"/>
    <w:rsid w:val="2AC3D439"/>
    <w:rsid w:val="3BE1F5BD"/>
    <w:rsid w:val="57A2D19B"/>
    <w:rsid w:val="5A4CF752"/>
    <w:rsid w:val="711E76CC"/>
    <w:rsid w:val="72BA472D"/>
    <w:rsid w:val="7635AF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0297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basedOn w:val="DefaultParagraphFont"/>
    <w:rsid w:val="007E6693"/>
    <w:rPr>
      <w:color w:val="605E5C"/>
      <w:shd w:val="clear" w:color="auto" w:fill="E1DFDD"/>
    </w:rPr>
  </w:style>
  <w:style w:type="character" w:customStyle="1" w:styleId="xcontentpasted0">
    <w:name w:val="x_contentpasted0"/>
    <w:basedOn w:val="DefaultParagraphFont"/>
    <w:rsid w:val="0090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yrva.charles@fcc.gov" TargetMode="External" /><Relationship Id="rId11" Type="http://schemas.openxmlformats.org/officeDocument/2006/relationships/hyperlink" Target="mailto:merry.wulff@fcc.gov" TargetMode="External" /><Relationship Id="rId12" Type="http://schemas.openxmlformats.org/officeDocument/2006/relationships/hyperlink" Target="mailto:david.krech@fcc.gov" TargetMode="External" /><Relationship Id="rId13" Type="http://schemas.openxmlformats.org/officeDocument/2006/relationships/hyperlink" Target="mailto:jim.bird@fcc.gov" TargetMode="External" /><Relationship Id="rId14" Type="http://schemas.openxmlformats.org/officeDocument/2006/relationships/footer" Target="footer3.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