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A4A90" w:rsidP="00D94E44" w14:paraId="2E77118D" w14:textId="77777777">
      <w:pPr>
        <w:spacing w:after="240"/>
        <w:ind w:left="7200" w:firstLine="720"/>
        <w:contextualSpacing/>
        <w:jc w:val="right"/>
        <w:rPr>
          <w:b/>
          <w:bCs/>
          <w:color w:val="000000" w:themeColor="text1"/>
          <w:szCs w:val="22"/>
        </w:rPr>
      </w:pPr>
      <w:bookmarkStart w:id="0" w:name="TOChere"/>
    </w:p>
    <w:p w:rsidR="002E07BB" w:rsidP="00D94E44" w14:paraId="28E920DF" w14:textId="7B6EBDDD">
      <w:pPr>
        <w:spacing w:after="240"/>
        <w:ind w:left="7200" w:firstLine="720"/>
        <w:contextualSpacing/>
        <w:jc w:val="right"/>
        <w:rPr>
          <w:b/>
          <w:bCs/>
          <w:color w:val="000000" w:themeColor="text1"/>
          <w:szCs w:val="22"/>
        </w:rPr>
      </w:pPr>
      <w:r>
        <w:rPr>
          <w:b/>
          <w:bCs/>
          <w:color w:val="000000" w:themeColor="text1"/>
          <w:szCs w:val="22"/>
        </w:rPr>
        <w:t>DA 23-</w:t>
      </w:r>
      <w:r w:rsidR="001B3ECB">
        <w:rPr>
          <w:b/>
          <w:bCs/>
          <w:color w:val="000000" w:themeColor="text1"/>
          <w:szCs w:val="22"/>
        </w:rPr>
        <w:t>307</w:t>
      </w:r>
    </w:p>
    <w:p w:rsidR="002E07BB" w:rsidP="002E07BB" w14:paraId="129ECBE7" w14:textId="77777777">
      <w:pPr>
        <w:spacing w:after="240"/>
        <w:ind w:left="7200" w:firstLine="720"/>
        <w:contextualSpacing/>
        <w:rPr>
          <w:b/>
          <w:bCs/>
          <w:color w:val="000000" w:themeColor="text1"/>
          <w:szCs w:val="22"/>
        </w:rPr>
      </w:pPr>
    </w:p>
    <w:p w:rsidR="00306DB1" w:rsidRPr="002E07BB" w:rsidP="00EF263F" w14:paraId="71011BEE" w14:textId="5F0A9973">
      <w:pPr>
        <w:spacing w:after="240"/>
        <w:ind w:left="6480"/>
        <w:contextualSpacing/>
        <w:jc w:val="right"/>
        <w:rPr>
          <w:color w:val="000000" w:themeColor="text1"/>
          <w:szCs w:val="22"/>
        </w:rPr>
      </w:pPr>
      <w:r>
        <w:rPr>
          <w:color w:val="000000" w:themeColor="text1"/>
          <w:szCs w:val="22"/>
        </w:rPr>
        <w:t xml:space="preserve">     </w:t>
      </w:r>
      <w:r w:rsidRPr="00D94E44">
        <w:rPr>
          <w:b/>
          <w:bCs/>
          <w:color w:val="000000" w:themeColor="text1"/>
          <w:szCs w:val="22"/>
        </w:rPr>
        <w:t>R</w:t>
      </w:r>
      <w:r w:rsidRPr="7F700805" w:rsidR="00901AEC">
        <w:rPr>
          <w:b/>
          <w:bCs/>
          <w:color w:val="000000" w:themeColor="text1"/>
          <w:szCs w:val="22"/>
        </w:rPr>
        <w:t>eleased:</w:t>
      </w:r>
      <w:r>
        <w:rPr>
          <w:b/>
          <w:bCs/>
          <w:color w:val="000000" w:themeColor="text1"/>
          <w:szCs w:val="22"/>
        </w:rPr>
        <w:t xml:space="preserve"> </w:t>
      </w:r>
      <w:r w:rsidR="00EF263F">
        <w:rPr>
          <w:b/>
          <w:bCs/>
          <w:color w:val="000000" w:themeColor="text1"/>
          <w:szCs w:val="22"/>
        </w:rPr>
        <w:t xml:space="preserve">April </w:t>
      </w:r>
      <w:r w:rsidR="001B3ECB">
        <w:rPr>
          <w:b/>
          <w:bCs/>
          <w:color w:val="000000" w:themeColor="text1"/>
          <w:szCs w:val="22"/>
        </w:rPr>
        <w:t>1</w:t>
      </w:r>
      <w:r w:rsidR="00B5108F">
        <w:rPr>
          <w:b/>
          <w:bCs/>
          <w:color w:val="000000" w:themeColor="text1"/>
          <w:szCs w:val="22"/>
        </w:rPr>
        <w:t>3</w:t>
      </w:r>
      <w:r w:rsidR="001B3ECB">
        <w:rPr>
          <w:b/>
          <w:bCs/>
          <w:color w:val="000000" w:themeColor="text1"/>
          <w:szCs w:val="22"/>
        </w:rPr>
        <w:t xml:space="preserve">, </w:t>
      </w:r>
      <w:r w:rsidR="006C37F1">
        <w:rPr>
          <w:b/>
          <w:bCs/>
          <w:color w:val="000000" w:themeColor="text1"/>
          <w:szCs w:val="22"/>
        </w:rPr>
        <w:t>202</w:t>
      </w:r>
      <w:r w:rsidR="007C4D36">
        <w:rPr>
          <w:b/>
          <w:bCs/>
          <w:color w:val="000000" w:themeColor="text1"/>
          <w:szCs w:val="22"/>
        </w:rPr>
        <w:t>3</w:t>
      </w:r>
    </w:p>
    <w:p w:rsidR="00F5730B" w:rsidRPr="00F5730B" w:rsidP="00F5730B" w14:paraId="52997072" w14:textId="77777777">
      <w:pPr>
        <w:spacing w:after="240"/>
        <w:contextualSpacing/>
        <w:rPr>
          <w:color w:val="000000" w:themeColor="text1"/>
          <w:szCs w:val="22"/>
        </w:rPr>
      </w:pPr>
    </w:p>
    <w:p w:rsidR="00A308D6" w:rsidP="00A308D6" w14:paraId="2B136F3E" w14:textId="7AAE5835">
      <w:pPr>
        <w:widowControl/>
        <w:jc w:val="center"/>
        <w:rPr>
          <w:b/>
          <w:snapToGrid/>
          <w:kern w:val="0"/>
          <w:szCs w:val="22"/>
        </w:rPr>
      </w:pPr>
      <w:r>
        <w:rPr>
          <w:b/>
          <w:snapToGrid/>
          <w:kern w:val="0"/>
          <w:szCs w:val="22"/>
        </w:rPr>
        <w:t xml:space="preserve">FCC ANNOUNCES EXTENSION OF DEADLINE TO SUBMIT NOMINATIONS </w:t>
      </w:r>
    </w:p>
    <w:p w:rsidR="00A308D6" w:rsidRPr="00C825F6" w:rsidP="00A308D6" w14:paraId="239F6203" w14:textId="7B45F8A7">
      <w:pPr>
        <w:widowControl/>
        <w:jc w:val="center"/>
        <w:rPr>
          <w:b/>
          <w:snapToGrid/>
          <w:kern w:val="0"/>
          <w:szCs w:val="22"/>
        </w:rPr>
      </w:pPr>
      <w:r w:rsidRPr="00C825F6">
        <w:rPr>
          <w:b/>
          <w:snapToGrid/>
          <w:kern w:val="0"/>
          <w:szCs w:val="22"/>
        </w:rPr>
        <w:t>FOR MEMBERSHIP ON</w:t>
      </w:r>
      <w:r>
        <w:rPr>
          <w:b/>
          <w:snapToGrid/>
          <w:kern w:val="0"/>
          <w:szCs w:val="22"/>
        </w:rPr>
        <w:t xml:space="preserve"> </w:t>
      </w:r>
      <w:r w:rsidR="00EF263F">
        <w:rPr>
          <w:b/>
          <w:snapToGrid/>
          <w:kern w:val="0"/>
          <w:szCs w:val="22"/>
        </w:rPr>
        <w:t xml:space="preserve">THE </w:t>
      </w:r>
      <w:r w:rsidRPr="00C825F6">
        <w:rPr>
          <w:b/>
          <w:snapToGrid/>
          <w:kern w:val="0"/>
          <w:szCs w:val="22"/>
        </w:rPr>
        <w:t>INTERGOVERNMENTAL ADVISORY COMMITTEE</w:t>
      </w:r>
    </w:p>
    <w:p w:rsidR="00A308D6" w:rsidRPr="00C825F6" w:rsidP="00A308D6" w14:paraId="347FC151" w14:textId="77777777">
      <w:pPr>
        <w:widowControl/>
        <w:rPr>
          <w:snapToGrid/>
          <w:kern w:val="0"/>
          <w:szCs w:val="22"/>
        </w:rPr>
      </w:pPr>
    </w:p>
    <w:p w:rsidR="00A308D6" w:rsidRPr="00C168DE" w:rsidP="00A308D6" w14:paraId="24280B0E" w14:textId="07F030F9">
      <w:pPr>
        <w:spacing w:after="120"/>
        <w:ind w:firstLine="720"/>
      </w:pPr>
      <w:r>
        <w:rPr>
          <w:snapToGrid/>
          <w:kern w:val="0"/>
          <w:szCs w:val="22"/>
        </w:rPr>
        <w:t>On February 7, 2023</w:t>
      </w:r>
      <w:r w:rsidRPr="00C825F6">
        <w:rPr>
          <w:snapToGrid/>
          <w:kern w:val="0"/>
          <w:szCs w:val="22"/>
        </w:rPr>
        <w:t xml:space="preserve">, the Federal Communications Commission (“Commission” or “FCC”) </w:t>
      </w:r>
      <w:r>
        <w:rPr>
          <w:snapToGrid/>
          <w:kern w:val="0"/>
          <w:szCs w:val="22"/>
        </w:rPr>
        <w:t>opened nominations for membership on its reauthorized</w:t>
      </w:r>
      <w:r w:rsidRPr="00C825F6">
        <w:rPr>
          <w:snapToGrid/>
          <w:kern w:val="0"/>
          <w:szCs w:val="22"/>
        </w:rPr>
        <w:t xml:space="preserve"> Intergovernmental Advisory Committee (“IAC” or “Committee”)</w:t>
      </w:r>
      <w:r>
        <w:rPr>
          <w:snapToGrid/>
          <w:kern w:val="0"/>
          <w:szCs w:val="22"/>
        </w:rPr>
        <w:t>.</w:t>
      </w:r>
      <w:r>
        <w:rPr>
          <w:rStyle w:val="FootnoteReference"/>
          <w:snapToGrid/>
          <w:kern w:val="0"/>
          <w:szCs w:val="22"/>
        </w:rPr>
        <w:footnoteReference w:id="2"/>
      </w:r>
      <w:r>
        <w:t xml:space="preserve">  The original deadline for nominations was April 7, 2023.</w:t>
      </w:r>
      <w:r>
        <w:rPr>
          <w:rStyle w:val="FootnoteReference"/>
        </w:rPr>
        <w:footnoteReference w:id="3"/>
      </w:r>
      <w:r>
        <w:t xml:space="preserve">  By this Public Notice, the Commission extends the deadline to submit nominations </w:t>
      </w:r>
      <w:r w:rsidRPr="00064F9F">
        <w:t xml:space="preserve">through </w:t>
      </w:r>
      <w:r>
        <w:t xml:space="preserve">May </w:t>
      </w:r>
      <w:r w:rsidR="00FB0854">
        <w:t>12</w:t>
      </w:r>
      <w:r w:rsidRPr="00064F9F">
        <w:t>, 202</w:t>
      </w:r>
      <w:r>
        <w:t>3.</w:t>
      </w:r>
    </w:p>
    <w:p w:rsidR="00A522C0" w:rsidP="00A522C0" w14:paraId="6DEB9C25" w14:textId="00687069">
      <w:pPr>
        <w:spacing w:after="240"/>
        <w:ind w:firstLine="720"/>
        <w:contextualSpacing/>
        <w:rPr>
          <w:snapToGrid/>
          <w:kern w:val="0"/>
          <w:szCs w:val="22"/>
        </w:rPr>
      </w:pPr>
      <w:r>
        <w:rPr>
          <w:snapToGrid/>
          <w:kern w:val="0"/>
          <w:szCs w:val="22"/>
        </w:rPr>
        <w:t xml:space="preserve">As indicated in the </w:t>
      </w:r>
      <w:r w:rsidRPr="00C168DE">
        <w:rPr>
          <w:i/>
          <w:snapToGrid/>
          <w:kern w:val="0"/>
          <w:szCs w:val="22"/>
        </w:rPr>
        <w:t>IAC Nominations Public Notice</w:t>
      </w:r>
      <w:r>
        <w:rPr>
          <w:snapToGrid/>
          <w:kern w:val="0"/>
          <w:szCs w:val="22"/>
        </w:rPr>
        <w:t>, t</w:t>
      </w:r>
      <w:r w:rsidRPr="00AA253C">
        <w:rPr>
          <w:snapToGrid/>
          <w:kern w:val="0"/>
        </w:rPr>
        <w:t>he term of operations for the reauthorized IAC will be limited to two years, with an option for reauthorization at the end of the two-year period and will commence with its first meeting.</w:t>
      </w:r>
      <w:r>
        <w:rPr>
          <w:snapToGrid/>
          <w:kern w:val="0"/>
          <w:vertAlign w:val="superscript"/>
        </w:rPr>
        <w:footnoteReference w:id="4"/>
      </w:r>
      <w:r w:rsidRPr="00AA253C">
        <w:rPr>
          <w:snapToGrid/>
          <w:kern w:val="0"/>
          <w:szCs w:val="22"/>
        </w:rPr>
        <w:t xml:space="preserve">  </w:t>
      </w:r>
      <w:r w:rsidRPr="00EC5EB3">
        <w:rPr>
          <w:snapToGrid/>
          <w:kern w:val="0"/>
          <w:szCs w:val="22"/>
        </w:rPr>
        <w:t xml:space="preserve">Because this committee consists of only </w:t>
      </w:r>
      <w:r>
        <w:rPr>
          <w:snapToGrid/>
          <w:kern w:val="0"/>
          <w:szCs w:val="22"/>
        </w:rPr>
        <w:t>S</w:t>
      </w:r>
      <w:r w:rsidRPr="00EC5EB3">
        <w:rPr>
          <w:snapToGrid/>
          <w:kern w:val="0"/>
          <w:szCs w:val="22"/>
        </w:rPr>
        <w:t xml:space="preserve">tate, </w:t>
      </w:r>
      <w:r>
        <w:rPr>
          <w:snapToGrid/>
          <w:kern w:val="0"/>
          <w:szCs w:val="22"/>
        </w:rPr>
        <w:t>L</w:t>
      </w:r>
      <w:r w:rsidRPr="00EC5EB3">
        <w:rPr>
          <w:snapToGrid/>
          <w:kern w:val="0"/>
          <w:szCs w:val="22"/>
        </w:rPr>
        <w:t xml:space="preserve">ocal or Tribal governmental elected officials (or their designated </w:t>
      </w:r>
      <w:r w:rsidR="00FB0854">
        <w:rPr>
          <w:snapToGrid/>
          <w:kern w:val="0"/>
          <w:szCs w:val="22"/>
        </w:rPr>
        <w:t>appoint</w:t>
      </w:r>
      <w:r w:rsidRPr="00EC5EB3" w:rsidR="00FB0854">
        <w:rPr>
          <w:snapToGrid/>
          <w:kern w:val="0"/>
          <w:szCs w:val="22"/>
        </w:rPr>
        <w:t>ees</w:t>
      </w:r>
      <w:r w:rsidRPr="00EC5EB3">
        <w:rPr>
          <w:snapToGrid/>
          <w:kern w:val="0"/>
          <w:szCs w:val="22"/>
        </w:rPr>
        <w:t xml:space="preserve">), the IAC </w:t>
      </w:r>
      <w:r w:rsidRPr="00D25B93">
        <w:rPr>
          <w:snapToGrid/>
          <w:kern w:val="0"/>
          <w:szCs w:val="22"/>
        </w:rPr>
        <w:t xml:space="preserve">is not subject to, and is not required to follow, the procedures set forth in </w:t>
      </w:r>
      <w:r w:rsidRPr="00EC5EB3">
        <w:rPr>
          <w:snapToGrid/>
          <w:kern w:val="0"/>
          <w:szCs w:val="22"/>
        </w:rPr>
        <w:t>the Federal Advisory Committee Act (FACA).</w:t>
      </w:r>
      <w:r>
        <w:rPr>
          <w:snapToGrid/>
          <w:kern w:val="0"/>
          <w:szCs w:val="22"/>
          <w:vertAlign w:val="superscript"/>
        </w:rPr>
        <w:footnoteReference w:id="5"/>
      </w:r>
    </w:p>
    <w:p w:rsidR="00A522C0" w:rsidP="00B01743" w14:paraId="0F9B1797" w14:textId="77777777">
      <w:pPr>
        <w:spacing w:after="240"/>
        <w:ind w:firstLine="720"/>
        <w:contextualSpacing/>
        <w:rPr>
          <w:snapToGrid/>
          <w:kern w:val="0"/>
          <w:szCs w:val="22"/>
        </w:rPr>
      </w:pPr>
    </w:p>
    <w:p w:rsidR="00B01743" w:rsidP="00B01743" w14:paraId="3197AFDC" w14:textId="2A49A0F0">
      <w:pPr>
        <w:spacing w:after="240"/>
        <w:ind w:firstLine="720"/>
        <w:contextualSpacing/>
        <w:rPr>
          <w:snapToGrid/>
          <w:kern w:val="0"/>
          <w:szCs w:val="22"/>
        </w:rPr>
      </w:pPr>
      <w:r w:rsidRPr="00EC5EB3">
        <w:rPr>
          <w:snapToGrid/>
          <w:kern w:val="0"/>
          <w:szCs w:val="22"/>
        </w:rPr>
        <w:t xml:space="preserve">The mission of the IAC is </w:t>
      </w:r>
      <w:r w:rsidRPr="009F5E16">
        <w:rPr>
          <w:snapToGrid/>
          <w:kern w:val="0"/>
          <w:szCs w:val="22"/>
        </w:rPr>
        <w:t xml:space="preserve">to provide aid to the Commission on the many telecommunications issues affecting </w:t>
      </w:r>
      <w:r w:rsidR="00FB0854">
        <w:rPr>
          <w:snapToGrid/>
          <w:kern w:val="0"/>
          <w:szCs w:val="22"/>
        </w:rPr>
        <w:t xml:space="preserve">Tribal, </w:t>
      </w:r>
      <w:r>
        <w:rPr>
          <w:snapToGrid/>
          <w:kern w:val="0"/>
          <w:szCs w:val="22"/>
        </w:rPr>
        <w:t xml:space="preserve">State, </w:t>
      </w:r>
      <w:r w:rsidR="00FB0854">
        <w:rPr>
          <w:snapToGrid/>
          <w:kern w:val="0"/>
          <w:szCs w:val="22"/>
        </w:rPr>
        <w:t xml:space="preserve">and </w:t>
      </w:r>
      <w:r>
        <w:rPr>
          <w:snapToGrid/>
          <w:kern w:val="0"/>
          <w:szCs w:val="22"/>
        </w:rPr>
        <w:t>L</w:t>
      </w:r>
      <w:r w:rsidRPr="009F5E16">
        <w:rPr>
          <w:snapToGrid/>
          <w:kern w:val="0"/>
          <w:szCs w:val="22"/>
        </w:rPr>
        <w:t>ocal governments that are within the jurisdiction of the FCC.</w:t>
      </w:r>
      <w:r>
        <w:rPr>
          <w:snapToGrid/>
          <w:kern w:val="0"/>
          <w:szCs w:val="22"/>
        </w:rPr>
        <w:t xml:space="preserve">  </w:t>
      </w:r>
      <w:r w:rsidRPr="009F5E16">
        <w:rPr>
          <w:snapToGrid/>
          <w:kern w:val="0"/>
          <w:szCs w:val="22"/>
        </w:rPr>
        <w:t xml:space="preserve">The duties of the Committee may include providing guidance to the Commission, gathering data and information, aiding the agency on outreach when needed, and performing analyses the Commission deems necessary to </w:t>
      </w:r>
      <w:r w:rsidR="00FB0854">
        <w:rPr>
          <w:snapToGrid/>
          <w:kern w:val="0"/>
          <w:szCs w:val="22"/>
        </w:rPr>
        <w:t xml:space="preserve">address questions and policy </w:t>
      </w:r>
      <w:r w:rsidRPr="009F5E16">
        <w:rPr>
          <w:snapToGrid/>
          <w:kern w:val="0"/>
          <w:szCs w:val="22"/>
        </w:rPr>
        <w:t>matters before it.</w:t>
      </w:r>
    </w:p>
    <w:p w:rsidR="00B01743" w:rsidP="00B01743" w14:paraId="23425926" w14:textId="77777777">
      <w:pPr>
        <w:spacing w:after="240"/>
        <w:contextualSpacing/>
        <w:rPr>
          <w:snapToGrid/>
          <w:kern w:val="0"/>
          <w:szCs w:val="22"/>
        </w:rPr>
      </w:pPr>
    </w:p>
    <w:p w:rsidR="00B01743" w:rsidP="00B01743" w14:paraId="4362D28F" w14:textId="45C47C19">
      <w:pPr>
        <w:spacing w:after="240"/>
        <w:ind w:firstLine="720"/>
        <w:contextualSpacing/>
        <w:rPr>
          <w:snapToGrid/>
          <w:kern w:val="0"/>
          <w:szCs w:val="22"/>
        </w:rPr>
      </w:pPr>
      <w:r w:rsidRPr="00F27D71">
        <w:rPr>
          <w:snapToGrid/>
          <w:kern w:val="0"/>
          <w:szCs w:val="22"/>
        </w:rPr>
        <w:t xml:space="preserve">During its two-year term, the IAC may be tasked by the </w:t>
      </w:r>
      <w:r>
        <w:rPr>
          <w:snapToGrid/>
          <w:kern w:val="0"/>
          <w:szCs w:val="22"/>
        </w:rPr>
        <w:t>Chairperson</w:t>
      </w:r>
      <w:r w:rsidRPr="00F27D71">
        <w:rPr>
          <w:snapToGrid/>
          <w:kern w:val="0"/>
          <w:szCs w:val="22"/>
        </w:rPr>
        <w:t xml:space="preserve"> to produce </w:t>
      </w:r>
      <w:r>
        <w:rPr>
          <w:snapToGrid/>
          <w:kern w:val="0"/>
          <w:szCs w:val="22"/>
        </w:rPr>
        <w:t>specific, substantive, written</w:t>
      </w:r>
      <w:r w:rsidRPr="00F27D71">
        <w:rPr>
          <w:snapToGrid/>
          <w:kern w:val="0"/>
          <w:szCs w:val="22"/>
        </w:rPr>
        <w:t xml:space="preserve"> deliverables that will further the Commission’s mission and objectives</w:t>
      </w:r>
      <w:r w:rsidRPr="0021678D">
        <w:rPr>
          <w:snapToGrid/>
          <w:kern w:val="0"/>
          <w:szCs w:val="22"/>
        </w:rPr>
        <w:t>.</w:t>
      </w:r>
      <w:r>
        <w:rPr>
          <w:snapToGrid/>
          <w:kern w:val="0"/>
          <w:szCs w:val="22"/>
        </w:rPr>
        <w:t xml:space="preserve">  </w:t>
      </w:r>
      <w:r w:rsidRPr="00EC5EB3">
        <w:rPr>
          <w:snapToGrid/>
          <w:kern w:val="0"/>
          <w:szCs w:val="22"/>
        </w:rPr>
        <w:t xml:space="preserve">The IAC </w:t>
      </w:r>
      <w:r>
        <w:rPr>
          <w:snapToGrid/>
          <w:kern w:val="0"/>
          <w:szCs w:val="22"/>
        </w:rPr>
        <w:t xml:space="preserve">may </w:t>
      </w:r>
      <w:r w:rsidRPr="00EC5EB3">
        <w:rPr>
          <w:snapToGrid/>
          <w:kern w:val="0"/>
          <w:szCs w:val="22"/>
        </w:rPr>
        <w:t>establish working groups to facilitate its work.  Working group discussions will be conducted primarily through email and teleconferences.  The time commitment for each working group will differ, depending on the issues on which the Commission directs the IAC to provide guidance.</w:t>
      </w:r>
    </w:p>
    <w:p w:rsidR="00B01743" w:rsidP="00B01743" w14:paraId="1DD9A61F" w14:textId="77777777">
      <w:pPr>
        <w:spacing w:after="240"/>
        <w:ind w:firstLine="720"/>
        <w:contextualSpacing/>
        <w:rPr>
          <w:snapToGrid/>
          <w:kern w:val="0"/>
          <w:szCs w:val="22"/>
        </w:rPr>
      </w:pPr>
    </w:p>
    <w:p w:rsidR="00B01743" w:rsidRPr="00EC5EB3" w:rsidP="00B01743" w14:paraId="38F69FCB" w14:textId="77777777">
      <w:pPr>
        <w:widowControl/>
        <w:spacing w:after="240"/>
        <w:contextualSpacing/>
        <w:jc w:val="center"/>
        <w:rPr>
          <w:b/>
          <w:snapToGrid/>
          <w:kern w:val="0"/>
          <w:szCs w:val="22"/>
        </w:rPr>
      </w:pPr>
      <w:r w:rsidRPr="00EC5EB3">
        <w:rPr>
          <w:b/>
          <w:snapToGrid/>
          <w:kern w:val="0"/>
          <w:szCs w:val="22"/>
        </w:rPr>
        <w:t>APPLICATIONS AND SELECTION</w:t>
      </w:r>
    </w:p>
    <w:p w:rsidR="00B01743" w:rsidP="00B01743" w14:paraId="685D0210" w14:textId="77777777">
      <w:pPr>
        <w:widowControl/>
        <w:spacing w:after="240"/>
        <w:contextualSpacing/>
        <w:rPr>
          <w:snapToGrid/>
          <w:kern w:val="0"/>
          <w:szCs w:val="22"/>
        </w:rPr>
      </w:pPr>
    </w:p>
    <w:p w:rsidR="00B01743" w:rsidP="00B01743" w14:paraId="53251F6A" w14:textId="7AF85913">
      <w:pPr>
        <w:widowControl/>
        <w:spacing w:after="240"/>
        <w:ind w:firstLine="720"/>
        <w:contextualSpacing/>
        <w:rPr>
          <w:rFonts w:eastAsia="Calibri"/>
          <w:snapToGrid/>
          <w:kern w:val="0"/>
          <w:szCs w:val="22"/>
        </w:rPr>
      </w:pPr>
      <w:r w:rsidRPr="009B3604">
        <w:rPr>
          <w:b/>
          <w:bCs/>
          <w:snapToGrid/>
          <w:kern w:val="0"/>
          <w:szCs w:val="22"/>
        </w:rPr>
        <w:t xml:space="preserve">Nominations procedures remain unchanged.  Nominees for IAC membership must submit their applications via email </w:t>
      </w:r>
      <w:r w:rsidRPr="009B3604">
        <w:rPr>
          <w:rFonts w:eastAsia="Calibri"/>
          <w:b/>
          <w:bCs/>
          <w:snapToGrid/>
          <w:kern w:val="0"/>
          <w:szCs w:val="22"/>
        </w:rPr>
        <w:t>to</w:t>
      </w:r>
      <w:r w:rsidRPr="009B3604">
        <w:rPr>
          <w:b/>
          <w:bCs/>
          <w:snapToGrid/>
          <w:kern w:val="0"/>
          <w:szCs w:val="22"/>
        </w:rPr>
        <w:t xml:space="preserve"> </w:t>
      </w:r>
      <w:hyperlink r:id="rId5" w:history="1">
        <w:r w:rsidRPr="009B3604">
          <w:rPr>
            <w:rStyle w:val="Hyperlink"/>
            <w:b/>
            <w:bCs/>
            <w:snapToGrid/>
            <w:kern w:val="0"/>
            <w:szCs w:val="22"/>
          </w:rPr>
          <w:t>IAC@fcc.gov</w:t>
        </w:r>
      </w:hyperlink>
      <w:r w:rsidRPr="009B3604">
        <w:rPr>
          <w:b/>
          <w:bCs/>
          <w:snapToGrid/>
          <w:kern w:val="0"/>
          <w:szCs w:val="22"/>
        </w:rPr>
        <w:t xml:space="preserve"> no later than</w:t>
      </w:r>
      <w:r w:rsidRPr="009B3604">
        <w:rPr>
          <w:rFonts w:eastAsia="Calibri"/>
          <w:b/>
          <w:bCs/>
          <w:snapToGrid/>
          <w:kern w:val="0"/>
          <w:szCs w:val="22"/>
        </w:rPr>
        <w:t xml:space="preserve"> May 1</w:t>
      </w:r>
      <w:r w:rsidR="00DB3FE8">
        <w:rPr>
          <w:rFonts w:eastAsia="Calibri"/>
          <w:b/>
          <w:bCs/>
          <w:snapToGrid/>
          <w:kern w:val="0"/>
          <w:szCs w:val="22"/>
        </w:rPr>
        <w:t>2</w:t>
      </w:r>
      <w:r w:rsidRPr="009B3604">
        <w:rPr>
          <w:rFonts w:eastAsia="Calibri"/>
          <w:b/>
          <w:bCs/>
          <w:snapToGrid/>
          <w:kern w:val="0"/>
          <w:szCs w:val="22"/>
        </w:rPr>
        <w:t>, 2023</w:t>
      </w:r>
      <w:r>
        <w:rPr>
          <w:rFonts w:eastAsia="Calibri"/>
          <w:snapToGrid/>
          <w:kern w:val="0"/>
          <w:szCs w:val="22"/>
        </w:rPr>
        <w:t>.</w:t>
      </w:r>
      <w:r w:rsidR="00FB0854">
        <w:rPr>
          <w:rFonts w:eastAsia="Calibri"/>
          <w:snapToGrid/>
          <w:kern w:val="0"/>
          <w:szCs w:val="22"/>
        </w:rPr>
        <w:t xml:space="preserve">  </w:t>
      </w:r>
      <w:r w:rsidRPr="000A605C" w:rsidR="00FB0854">
        <w:rPr>
          <w:rFonts w:eastAsia="Calibri"/>
          <w:b/>
          <w:bCs/>
          <w:snapToGrid/>
          <w:kern w:val="0"/>
          <w:szCs w:val="22"/>
        </w:rPr>
        <w:t xml:space="preserve">Persons who submitted </w:t>
      </w:r>
      <w:r w:rsidRPr="000A605C" w:rsidR="00FB0854">
        <w:rPr>
          <w:rFonts w:eastAsia="Calibri"/>
          <w:b/>
          <w:bCs/>
          <w:snapToGrid/>
          <w:kern w:val="0"/>
          <w:szCs w:val="22"/>
        </w:rPr>
        <w:t xml:space="preserve">applications prior to the original April 7, 2023 deadline </w:t>
      </w:r>
      <w:r w:rsidRPr="000A605C" w:rsidR="00FB0854">
        <w:rPr>
          <w:rFonts w:eastAsia="Calibri"/>
          <w:b/>
          <w:bCs/>
          <w:i/>
          <w:iCs/>
          <w:snapToGrid/>
          <w:kern w:val="0"/>
          <w:szCs w:val="22"/>
        </w:rPr>
        <w:t>do not</w:t>
      </w:r>
      <w:r w:rsidR="00FB0854">
        <w:rPr>
          <w:rFonts w:eastAsia="Calibri"/>
          <w:b/>
          <w:bCs/>
          <w:snapToGrid/>
          <w:kern w:val="0"/>
          <w:szCs w:val="22"/>
        </w:rPr>
        <w:t xml:space="preserve"> </w:t>
      </w:r>
      <w:r w:rsidRPr="000A605C" w:rsidR="00FB0854">
        <w:rPr>
          <w:rFonts w:eastAsia="Calibri"/>
          <w:b/>
          <w:bCs/>
          <w:snapToGrid/>
          <w:kern w:val="0"/>
          <w:szCs w:val="22"/>
        </w:rPr>
        <w:t xml:space="preserve">need </w:t>
      </w:r>
      <w:r w:rsidR="00FB0854">
        <w:rPr>
          <w:rFonts w:eastAsia="Calibri"/>
          <w:b/>
          <w:bCs/>
          <w:snapToGrid/>
          <w:kern w:val="0"/>
          <w:szCs w:val="22"/>
        </w:rPr>
        <w:t xml:space="preserve">to </w:t>
      </w:r>
      <w:r w:rsidRPr="000A605C" w:rsidR="00FB0854">
        <w:rPr>
          <w:rFonts w:eastAsia="Calibri"/>
          <w:b/>
          <w:bCs/>
          <w:snapToGrid/>
          <w:kern w:val="0"/>
          <w:szCs w:val="22"/>
        </w:rPr>
        <w:t>re-apply or re-submit their materials.</w:t>
      </w:r>
    </w:p>
    <w:p w:rsidR="00B01743" w:rsidP="00B01743" w14:paraId="52330C29" w14:textId="77777777">
      <w:pPr>
        <w:widowControl/>
        <w:spacing w:after="240"/>
        <w:contextualSpacing/>
        <w:rPr>
          <w:rFonts w:eastAsia="Calibri"/>
          <w:snapToGrid/>
          <w:kern w:val="0"/>
          <w:szCs w:val="22"/>
        </w:rPr>
      </w:pPr>
    </w:p>
    <w:p w:rsidR="00B01743" w:rsidP="00B01743" w14:paraId="0B6654E5" w14:textId="77777777">
      <w:pPr>
        <w:widowControl/>
        <w:spacing w:after="240"/>
        <w:ind w:firstLine="720"/>
        <w:contextualSpacing/>
        <w:rPr>
          <w:snapToGrid/>
          <w:kern w:val="0"/>
          <w:szCs w:val="22"/>
        </w:rPr>
      </w:pPr>
      <w:r w:rsidRPr="00EC5EB3">
        <w:rPr>
          <w:snapToGrid/>
          <w:kern w:val="0"/>
          <w:szCs w:val="22"/>
        </w:rPr>
        <w:t>The application does not require a particular format</w:t>
      </w:r>
      <w:r>
        <w:rPr>
          <w:snapToGrid/>
          <w:kern w:val="0"/>
          <w:szCs w:val="22"/>
        </w:rPr>
        <w:t>,</w:t>
      </w:r>
      <w:r w:rsidRPr="00EC5EB3">
        <w:rPr>
          <w:snapToGrid/>
          <w:kern w:val="0"/>
          <w:szCs w:val="22"/>
        </w:rPr>
        <w:t xml:space="preserve"> but must include the following information:</w:t>
      </w:r>
    </w:p>
    <w:p w:rsidR="00B01743" w:rsidRPr="00EC5EB3" w:rsidP="00B01743" w14:paraId="6FD37A0E" w14:textId="77777777">
      <w:pPr>
        <w:widowControl/>
        <w:spacing w:after="240"/>
        <w:contextualSpacing/>
        <w:rPr>
          <w:snapToGrid/>
          <w:kern w:val="0"/>
          <w:szCs w:val="22"/>
        </w:rPr>
      </w:pPr>
    </w:p>
    <w:p w:rsidR="00B01743" w:rsidRPr="00EC5EB3" w:rsidP="00B01743" w14:paraId="1EFE5304" w14:textId="77777777">
      <w:pPr>
        <w:widowControl/>
        <w:numPr>
          <w:ilvl w:val="0"/>
          <w:numId w:val="11"/>
        </w:numPr>
        <w:spacing w:after="240"/>
        <w:contextualSpacing/>
        <w:rPr>
          <w:snapToGrid/>
          <w:kern w:val="0"/>
          <w:szCs w:val="22"/>
        </w:rPr>
      </w:pPr>
      <w:r w:rsidRPr="00EC5EB3">
        <w:rPr>
          <w:snapToGrid/>
          <w:kern w:val="0"/>
          <w:szCs w:val="22"/>
        </w:rPr>
        <w:t>Resumé (including applicant’s current position);</w:t>
      </w:r>
    </w:p>
    <w:p w:rsidR="00B01743" w:rsidRPr="00EC5EB3" w:rsidP="00B01743" w14:paraId="1DC37189" w14:textId="77777777">
      <w:pPr>
        <w:widowControl/>
        <w:numPr>
          <w:ilvl w:val="0"/>
          <w:numId w:val="11"/>
        </w:numPr>
        <w:spacing w:after="240"/>
        <w:contextualSpacing/>
        <w:rPr>
          <w:snapToGrid/>
          <w:kern w:val="0"/>
          <w:szCs w:val="22"/>
        </w:rPr>
      </w:pPr>
      <w:r w:rsidRPr="00EC5EB3">
        <w:rPr>
          <w:snapToGrid/>
          <w:kern w:val="0"/>
          <w:szCs w:val="22"/>
        </w:rPr>
        <w:t>Contact information (both email and mailing addresses, as well as telephone numbers);</w:t>
      </w:r>
    </w:p>
    <w:p w:rsidR="00B01743" w:rsidRPr="00EC5EB3" w:rsidP="00B01743" w14:paraId="6DE74745" w14:textId="77777777">
      <w:pPr>
        <w:widowControl/>
        <w:numPr>
          <w:ilvl w:val="0"/>
          <w:numId w:val="11"/>
        </w:numPr>
        <w:spacing w:after="240"/>
        <w:contextualSpacing/>
        <w:rPr>
          <w:snapToGrid/>
          <w:kern w:val="0"/>
          <w:szCs w:val="22"/>
        </w:rPr>
      </w:pPr>
      <w:r w:rsidRPr="00EC5EB3">
        <w:rPr>
          <w:snapToGrid/>
          <w:kern w:val="0"/>
          <w:szCs w:val="22"/>
        </w:rPr>
        <w:t xml:space="preserve">A brief description of the applicant’s area of expertise and qualifications to serve on the IAC, including the applicant’s experience with communications issues affecting </w:t>
      </w:r>
      <w:r>
        <w:rPr>
          <w:snapToGrid/>
          <w:kern w:val="0"/>
          <w:szCs w:val="22"/>
        </w:rPr>
        <w:t>state, l</w:t>
      </w:r>
      <w:r w:rsidRPr="00EC5EB3">
        <w:rPr>
          <w:snapToGrid/>
          <w:kern w:val="0"/>
          <w:szCs w:val="22"/>
        </w:rPr>
        <w:t>ocal, or Tribal governments.  Candidates are encouraged to provide links to any articles they have authored on relevant topics and/or public appearances available on the web for viewing; and,</w:t>
      </w:r>
    </w:p>
    <w:p w:rsidR="00B01743" w:rsidRPr="00EC5EB3" w:rsidP="00B01743" w14:paraId="5CA60C3D" w14:textId="77777777">
      <w:pPr>
        <w:widowControl/>
        <w:numPr>
          <w:ilvl w:val="0"/>
          <w:numId w:val="11"/>
        </w:numPr>
        <w:spacing w:after="240"/>
        <w:contextualSpacing/>
        <w:rPr>
          <w:b/>
          <w:snapToGrid/>
          <w:kern w:val="0"/>
          <w:szCs w:val="22"/>
        </w:rPr>
      </w:pPr>
      <w:r w:rsidRPr="00EC5EB3">
        <w:rPr>
          <w:snapToGrid/>
          <w:kern w:val="0"/>
          <w:szCs w:val="22"/>
        </w:rPr>
        <w:t xml:space="preserve">The position(s) that the applicant is applying for, </w:t>
      </w:r>
      <w:r w:rsidRPr="00587BFE">
        <w:rPr>
          <w:i/>
          <w:iCs/>
          <w:snapToGrid/>
          <w:kern w:val="0"/>
          <w:szCs w:val="22"/>
        </w:rPr>
        <w:t>i.e.</w:t>
      </w:r>
      <w:r w:rsidRPr="00EC5EB3">
        <w:rPr>
          <w:snapToGrid/>
          <w:kern w:val="0"/>
          <w:szCs w:val="22"/>
        </w:rPr>
        <w:t xml:space="preserve">, elected municipal officials (city mayors and city council members); county officials (county commissioners or council members); elected or appointed </w:t>
      </w:r>
      <w:r>
        <w:rPr>
          <w:snapToGrid/>
          <w:kern w:val="0"/>
          <w:szCs w:val="22"/>
        </w:rPr>
        <w:t>L</w:t>
      </w:r>
      <w:r w:rsidRPr="00EC5EB3">
        <w:rPr>
          <w:snapToGrid/>
          <w:kern w:val="0"/>
          <w:szCs w:val="22"/>
        </w:rPr>
        <w:t xml:space="preserve">ocal government attorney; elected </w:t>
      </w:r>
      <w:r>
        <w:rPr>
          <w:snapToGrid/>
          <w:kern w:val="0"/>
          <w:szCs w:val="22"/>
        </w:rPr>
        <w:t>S</w:t>
      </w:r>
      <w:r w:rsidRPr="00EC5EB3">
        <w:rPr>
          <w:snapToGrid/>
          <w:kern w:val="0"/>
          <w:szCs w:val="22"/>
        </w:rPr>
        <w:t xml:space="preserve">tate executive (Governor or Lieutenant Governor); elected </w:t>
      </w:r>
      <w:r>
        <w:rPr>
          <w:snapToGrid/>
          <w:kern w:val="0"/>
          <w:szCs w:val="22"/>
        </w:rPr>
        <w:t>S</w:t>
      </w:r>
      <w:r w:rsidRPr="00EC5EB3">
        <w:rPr>
          <w:snapToGrid/>
          <w:kern w:val="0"/>
          <w:szCs w:val="22"/>
        </w:rPr>
        <w:t>tate legislators; elected or appointed public utilities or public service commissioner; or elected or appointed Native American Tribal representatives.  If an applicant potentially qualifies for more than one position on the IAC, he or she should specify which position they seek.</w:t>
      </w:r>
    </w:p>
    <w:p w:rsidR="00B01743" w:rsidP="00B01743" w14:paraId="693068D5" w14:textId="77777777">
      <w:pPr>
        <w:widowControl/>
        <w:spacing w:after="240"/>
        <w:contextualSpacing/>
        <w:rPr>
          <w:snapToGrid/>
          <w:kern w:val="0"/>
          <w:szCs w:val="22"/>
        </w:rPr>
      </w:pPr>
    </w:p>
    <w:p w:rsidR="00B01743" w:rsidP="00B01743" w14:paraId="0132AA12" w14:textId="0B544EB6">
      <w:pPr>
        <w:widowControl/>
        <w:spacing w:after="240"/>
        <w:ind w:firstLine="720"/>
        <w:contextualSpacing/>
        <w:rPr>
          <w:snapToGrid/>
          <w:kern w:val="0"/>
          <w:szCs w:val="22"/>
        </w:rPr>
      </w:pPr>
      <w:r>
        <w:rPr>
          <w:snapToGrid/>
          <w:kern w:val="0"/>
          <w:szCs w:val="22"/>
        </w:rPr>
        <w:t>Applicants are reminded that they will undergo vetting</w:t>
      </w:r>
      <w:r w:rsidRPr="005836ED">
        <w:rPr>
          <w:snapToGrid/>
          <w:kern w:val="0"/>
          <w:szCs w:val="22"/>
        </w:rPr>
        <w:t xml:space="preserve"> for conflicts of interest.  Please respond promptly to any inquiries from FCC </w:t>
      </w:r>
      <w:r>
        <w:rPr>
          <w:snapToGrid/>
          <w:kern w:val="0"/>
          <w:szCs w:val="22"/>
        </w:rPr>
        <w:t>E</w:t>
      </w:r>
      <w:r w:rsidRPr="005836ED">
        <w:rPr>
          <w:snapToGrid/>
          <w:kern w:val="0"/>
          <w:szCs w:val="22"/>
        </w:rPr>
        <w:t xml:space="preserve">thics </w:t>
      </w:r>
      <w:r>
        <w:rPr>
          <w:snapToGrid/>
          <w:kern w:val="0"/>
          <w:szCs w:val="22"/>
        </w:rPr>
        <w:t>C</w:t>
      </w:r>
      <w:r w:rsidRPr="005836ED">
        <w:rPr>
          <w:snapToGrid/>
          <w:kern w:val="0"/>
          <w:szCs w:val="22"/>
        </w:rPr>
        <w:t>ounsel to avoid any delays in the review of your application.</w:t>
      </w:r>
      <w:r>
        <w:rPr>
          <w:snapToGrid/>
          <w:kern w:val="0"/>
          <w:szCs w:val="22"/>
        </w:rPr>
        <w:t xml:space="preserve">  </w:t>
      </w:r>
      <w:r w:rsidRPr="00EC5EB3">
        <w:rPr>
          <w:snapToGrid/>
          <w:kern w:val="0"/>
          <w:szCs w:val="22"/>
        </w:rPr>
        <w:t xml:space="preserve">Once the </w:t>
      </w:r>
      <w:r>
        <w:rPr>
          <w:snapToGrid/>
          <w:kern w:val="0"/>
          <w:szCs w:val="22"/>
        </w:rPr>
        <w:t>Chairperson</w:t>
      </w:r>
      <w:r w:rsidRPr="00EC5EB3">
        <w:rPr>
          <w:snapToGrid/>
          <w:kern w:val="0"/>
          <w:szCs w:val="22"/>
        </w:rPr>
        <w:t xml:space="preserve"> of the Commission selects the members for the reauthorized IAC, the Commission will release a Public Notice announcing appointments of the new membership.</w:t>
      </w:r>
    </w:p>
    <w:p w:rsidR="008E1967" w:rsidRPr="00EC5EB3" w:rsidP="008E1967" w14:paraId="39D77F16" w14:textId="77777777">
      <w:pPr>
        <w:widowControl/>
        <w:spacing w:after="240"/>
        <w:contextualSpacing/>
        <w:rPr>
          <w:snapToGrid/>
          <w:kern w:val="0"/>
          <w:szCs w:val="22"/>
        </w:rPr>
      </w:pPr>
    </w:p>
    <w:p w:rsidR="008E1967" w:rsidRPr="00EC5EB3" w:rsidP="008E1967" w14:paraId="1B333CD8" w14:textId="77777777">
      <w:pPr>
        <w:widowControl/>
        <w:spacing w:after="240"/>
        <w:contextualSpacing/>
        <w:jc w:val="center"/>
        <w:rPr>
          <w:b/>
          <w:snapToGrid/>
          <w:kern w:val="0"/>
          <w:szCs w:val="22"/>
        </w:rPr>
      </w:pPr>
      <w:r w:rsidRPr="00EC5EB3">
        <w:rPr>
          <w:b/>
          <w:snapToGrid/>
          <w:kern w:val="0"/>
          <w:szCs w:val="22"/>
        </w:rPr>
        <w:t>ACCESSIBLE FORMATS</w:t>
      </w:r>
    </w:p>
    <w:p w:rsidR="008E1967" w:rsidP="008E1967" w14:paraId="17B1F9BF" w14:textId="77777777">
      <w:pPr>
        <w:widowControl/>
        <w:spacing w:after="240"/>
        <w:contextualSpacing/>
        <w:rPr>
          <w:snapToGrid/>
          <w:kern w:val="0"/>
          <w:szCs w:val="22"/>
        </w:rPr>
      </w:pPr>
    </w:p>
    <w:p w:rsidR="008E1967" w:rsidP="008E1967" w14:paraId="21C6CE9C" w14:textId="77777777">
      <w:pPr>
        <w:widowControl/>
        <w:spacing w:after="240"/>
        <w:ind w:firstLine="720"/>
        <w:contextualSpacing/>
        <w:rPr>
          <w:snapToGrid/>
          <w:kern w:val="0"/>
          <w:szCs w:val="22"/>
        </w:rPr>
      </w:pPr>
      <w:r w:rsidRPr="00EC5EB3">
        <w:rPr>
          <w:snapToGrid/>
          <w:kern w:val="0"/>
          <w:szCs w:val="22"/>
        </w:rPr>
        <w:t xml:space="preserve">To request materials in accessible formats for people with disabilities (Braille, large print, electronic files, audio format), send an e-mail to </w:t>
      </w:r>
      <w:hyperlink r:id="rId6" w:history="1">
        <w:r w:rsidRPr="00EC5EB3">
          <w:rPr>
            <w:snapToGrid/>
            <w:color w:val="0000FF"/>
            <w:kern w:val="0"/>
            <w:szCs w:val="22"/>
            <w:u w:val="single"/>
          </w:rPr>
          <w:t>fcc504@fcc.gov</w:t>
        </w:r>
      </w:hyperlink>
      <w:r w:rsidRPr="00EC5EB3">
        <w:rPr>
          <w:snapToGrid/>
          <w:kern w:val="0"/>
          <w:szCs w:val="22"/>
        </w:rPr>
        <w:t xml:space="preserve"> or call the Consumer and Governmental Affairs Bureau at (202) 418-0530 (voice).</w:t>
      </w:r>
    </w:p>
    <w:p w:rsidR="008E1967" w:rsidRPr="00EC5EB3" w:rsidP="008E1967" w14:paraId="62F0EF51" w14:textId="77777777">
      <w:pPr>
        <w:widowControl/>
        <w:spacing w:after="240"/>
        <w:contextualSpacing/>
        <w:rPr>
          <w:snapToGrid/>
          <w:kern w:val="0"/>
          <w:szCs w:val="22"/>
        </w:rPr>
      </w:pPr>
    </w:p>
    <w:p w:rsidR="008E1967" w:rsidRPr="00EC5EB3" w:rsidP="008E1967" w14:paraId="5019DC8D" w14:textId="77777777">
      <w:pPr>
        <w:widowControl/>
        <w:spacing w:after="240"/>
        <w:ind w:firstLine="720"/>
        <w:contextualSpacing/>
        <w:rPr>
          <w:snapToGrid/>
          <w:kern w:val="0"/>
          <w:szCs w:val="22"/>
        </w:rPr>
      </w:pPr>
      <w:r w:rsidRPr="00EC5EB3">
        <w:rPr>
          <w:snapToGrid/>
          <w:kern w:val="0"/>
          <w:szCs w:val="22"/>
        </w:rPr>
        <w:t>For further information, please contact:  Donna Cyrus, Attorney Advisor, Office of Intergovernmental Affairs, Consumer and Governmental Affairs Bureau, Federal Communications Commission, (202)</w:t>
      </w:r>
      <w:r>
        <w:rPr>
          <w:snapToGrid/>
          <w:kern w:val="0"/>
          <w:szCs w:val="22"/>
        </w:rPr>
        <w:t xml:space="preserve"> </w:t>
      </w:r>
      <w:r w:rsidRPr="00EC5EB3">
        <w:rPr>
          <w:snapToGrid/>
          <w:kern w:val="0"/>
          <w:szCs w:val="22"/>
        </w:rPr>
        <w:t>418-</w:t>
      </w:r>
      <w:r>
        <w:rPr>
          <w:snapToGrid/>
          <w:kern w:val="0"/>
          <w:szCs w:val="22"/>
        </w:rPr>
        <w:t>7325</w:t>
      </w:r>
      <w:r w:rsidRPr="00EC5EB3">
        <w:rPr>
          <w:snapToGrid/>
          <w:kern w:val="0"/>
          <w:szCs w:val="22"/>
        </w:rPr>
        <w:t xml:space="preserve">, </w:t>
      </w:r>
      <w:hyperlink r:id="rId7" w:history="1">
        <w:r w:rsidRPr="00EC5EB3">
          <w:rPr>
            <w:snapToGrid/>
            <w:color w:val="0000FF"/>
            <w:kern w:val="0"/>
            <w:szCs w:val="22"/>
            <w:u w:val="single"/>
          </w:rPr>
          <w:t>donna.cyrus@fcc.gov</w:t>
        </w:r>
      </w:hyperlink>
      <w:r w:rsidRPr="00EC5EB3">
        <w:rPr>
          <w:snapToGrid/>
          <w:kern w:val="0"/>
          <w:szCs w:val="22"/>
        </w:rPr>
        <w:t>.</w:t>
      </w:r>
    </w:p>
    <w:p w:rsidR="00306DB1" w:rsidRPr="003C47FD" w:rsidP="00901AEC" w14:paraId="0B2EFD2B" w14:textId="77777777">
      <w:pPr>
        <w:spacing w:after="120"/>
        <w:rPr>
          <w:color w:val="000000" w:themeColor="text1"/>
          <w:szCs w:val="22"/>
        </w:rPr>
      </w:pPr>
    </w:p>
    <w:p w:rsidR="00306DB1" w:rsidRPr="003C47FD" w:rsidP="7F700805" w14:paraId="24B31C56" w14:textId="77777777">
      <w:pPr>
        <w:spacing w:before="60" w:after="120"/>
        <w:jc w:val="center"/>
        <w:rPr>
          <w:color w:val="000000" w:themeColor="text1"/>
          <w:sz w:val="24"/>
          <w:szCs w:val="24"/>
        </w:rPr>
      </w:pPr>
      <w:r w:rsidRPr="7F700805">
        <w:rPr>
          <w:color w:val="000000" w:themeColor="text1"/>
          <w:sz w:val="24"/>
          <w:szCs w:val="24"/>
        </w:rPr>
        <w:t xml:space="preserve">− </w:t>
      </w:r>
      <w:r w:rsidRPr="7F700805">
        <w:rPr>
          <w:b/>
          <w:bCs/>
          <w:color w:val="000000" w:themeColor="text1"/>
          <w:sz w:val="24"/>
          <w:szCs w:val="24"/>
        </w:rPr>
        <w:t>FCC</w:t>
      </w:r>
      <w:r w:rsidRPr="7F700805">
        <w:rPr>
          <w:color w:val="000000" w:themeColor="text1"/>
          <w:sz w:val="24"/>
          <w:szCs w:val="24"/>
        </w:rPr>
        <w:t xml:space="preserve"> −</w:t>
      </w:r>
      <w:bookmarkEnd w:id="0"/>
    </w:p>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5E7B3C64" w14:textId="77777777">
    <w:pPr>
      <w:pStyle w:val="Footer"/>
      <w:framePr w:wrap="around" w:vAnchor="text" w:hAnchor="margin" w:xAlign="center" w:y="1"/>
    </w:pPr>
    <w:r>
      <w:fldChar w:fldCharType="begin"/>
    </w:r>
    <w:r>
      <w:instrText xml:space="preserve">PAGE  </w:instrText>
    </w:r>
    <w:r w:rsidR="000A605C">
      <w:fldChar w:fldCharType="separate"/>
    </w:r>
    <w:r>
      <w:fldChar w:fldCharType="end"/>
    </w:r>
  </w:p>
  <w:p w:rsidR="00A25501" w14:paraId="38C8B8C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773B8A9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4E8C50D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1CBD" w14:paraId="0652CE30" w14:textId="77777777">
      <w:r>
        <w:separator/>
      </w:r>
    </w:p>
  </w:footnote>
  <w:footnote w:type="continuationSeparator" w:id="1">
    <w:p w:rsidR="005B1CBD" w14:paraId="2DEE909E" w14:textId="77777777">
      <w:r>
        <w:continuationSeparator/>
      </w:r>
    </w:p>
  </w:footnote>
  <w:footnote w:id="2">
    <w:p w:rsidR="00B01743" w:rsidP="00A308D6" w14:paraId="445BDC63" w14:textId="46612BE8">
      <w:pPr>
        <w:pStyle w:val="FootnoteText"/>
      </w:pPr>
      <w:r>
        <w:rPr>
          <w:rStyle w:val="FootnoteReference"/>
        </w:rPr>
        <w:footnoteRef/>
      </w:r>
      <w:r>
        <w:t xml:space="preserve"> </w:t>
      </w:r>
      <w:r w:rsidRPr="00721BCC">
        <w:rPr>
          <w:i/>
        </w:rPr>
        <w:t>See</w:t>
      </w:r>
      <w:r w:rsidRPr="004A351F">
        <w:t xml:space="preserve"> </w:t>
      </w:r>
      <w:r w:rsidRPr="00721BCC">
        <w:t>FCC A</w:t>
      </w:r>
      <w:r>
        <w:t xml:space="preserve">nnounces Reauthorization of its Intergovernmental Advisory Committee and Solicits Nominations for Membership on the Committee, Public Notice, </w:t>
      </w:r>
      <w:r w:rsidRPr="004A351F">
        <w:t xml:space="preserve">DA </w:t>
      </w:r>
      <w:r>
        <w:t>23</w:t>
      </w:r>
      <w:r w:rsidRPr="004A351F">
        <w:t>-1</w:t>
      </w:r>
      <w:r>
        <w:t>09</w:t>
      </w:r>
      <w:r>
        <w:t xml:space="preserve"> (</w:t>
      </w:r>
      <w:r w:rsidRPr="00C168DE">
        <w:rPr>
          <w:i/>
        </w:rPr>
        <w:t>IAC Nominations Public Notice</w:t>
      </w:r>
      <w:r>
        <w:t>)</w:t>
      </w:r>
      <w:r w:rsidRPr="004A351F">
        <w:t>.</w:t>
      </w:r>
      <w:r>
        <w:t xml:space="preserve">  </w:t>
      </w:r>
      <w:hyperlink r:id="rId1" w:history="1">
        <w:r w:rsidRPr="008D61D8">
          <w:rPr>
            <w:rStyle w:val="Hyperlink"/>
          </w:rPr>
          <w:t>https://docs.fcc.gov/public/attachments/DA-23-109A1.docx</w:t>
        </w:r>
      </w:hyperlink>
      <w:r w:rsidR="00EF263F">
        <w:rPr>
          <w:rStyle w:val="Hyperlink"/>
        </w:rPr>
        <w:t>.</w:t>
      </w:r>
    </w:p>
  </w:footnote>
  <w:footnote w:id="3">
    <w:p w:rsidR="00A308D6" w:rsidRPr="00B30B39" w:rsidP="00A308D6" w14:paraId="6D5FE559" w14:textId="77777777">
      <w:pPr>
        <w:pStyle w:val="FootnoteText"/>
      </w:pPr>
      <w:r>
        <w:rPr>
          <w:rStyle w:val="FootnoteReference"/>
        </w:rPr>
        <w:footnoteRef/>
      </w:r>
      <w:r>
        <w:t xml:space="preserve"> </w:t>
      </w:r>
      <w:r>
        <w:rPr>
          <w:i/>
        </w:rPr>
        <w:t>Id.</w:t>
      </w:r>
    </w:p>
  </w:footnote>
  <w:footnote w:id="4">
    <w:p w:rsidR="00A308D6" w:rsidP="00A308D6" w14:paraId="5E6670AF" w14:textId="7670F841">
      <w:pPr>
        <w:pStyle w:val="FootnoteText"/>
      </w:pPr>
      <w:r>
        <w:rPr>
          <w:rStyle w:val="FootnoteReference"/>
        </w:rPr>
        <w:footnoteRef/>
      </w:r>
      <w:r>
        <w:t xml:space="preserve"> </w:t>
      </w:r>
      <w:r w:rsidR="00B01743">
        <w:t>The IAC is authorized under Commission rules to operate for a two-year period following its first scheduled meeting.  47 CFR § 0.701(a).</w:t>
      </w:r>
    </w:p>
  </w:footnote>
  <w:footnote w:id="5">
    <w:p w:rsidR="00A522C0" w:rsidP="00A522C0" w14:paraId="54D5F050" w14:textId="77777777">
      <w:pPr>
        <w:pStyle w:val="FootnoteText"/>
      </w:pPr>
      <w:r>
        <w:rPr>
          <w:rStyle w:val="FootnoteReference"/>
        </w:rPr>
        <w:footnoteRef/>
      </w:r>
      <w:r>
        <w:t xml:space="preserve"> The Unfunded Mandates Reform Act of 1995 (UMRA) provides for this exemption for “actions in support of intergovernmental communications - where (1) meetings are held exclusively between Federal officials and elected officers of State, local, and tribal governments (or their designated employees with authority to act on their behalf) acting in their official capacities . . . .”  2 U.S.C. §1534(b).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5E81" w14:paraId="286304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34263B1A" w14:textId="21D62364">
    <w:pPr>
      <w:tabs>
        <w:tab w:val="center" w:pos="4680"/>
        <w:tab w:val="right" w:pos="9360"/>
      </w:tabs>
    </w:pPr>
    <w:r>
      <w:rPr>
        <w:b/>
      </w:rPr>
      <w:tab/>
      <w:t>Federal Communications Commission</w:t>
    </w:r>
    <w:r>
      <w:rPr>
        <w:b/>
      </w:rPr>
      <w:tab/>
    </w:r>
    <w:r w:rsidR="004F5335">
      <w:rPr>
        <w:b/>
      </w:rPr>
      <w:t>DA 2</w:t>
    </w:r>
    <w:r w:rsidR="00334CE1">
      <w:rPr>
        <w:b/>
      </w:rPr>
      <w:t>3</w:t>
    </w:r>
    <w:r w:rsidR="004F5335">
      <w:rPr>
        <w:b/>
      </w:rPr>
      <w:t>-</w:t>
    </w:r>
    <w:r w:rsidR="00895E81">
      <w:rPr>
        <w:b/>
      </w:rPr>
      <w:t>307</w:t>
    </w:r>
  </w:p>
  <w:p w:rsidR="00A25501" w:rsidP="00726328" w14:paraId="39B62D76" w14:textId="77777777">
    <w:pPr>
      <w:tabs>
        <w:tab w:val="left" w:pos="-720"/>
      </w:tabs>
      <w:suppressAutoHyphens/>
      <w:spacing w:line="19" w:lineRule="exact"/>
      <w:rPr>
        <w:rFonts w:ascii="Arial" w:hAnsi="Arial" w:cs="Arial"/>
        <w:b/>
        <w:sz w:val="2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5501" w14:paraId="69FE1263" w14:textId="77777777">
    <w:pPr>
      <w:pStyle w:val="Header"/>
    </w:pPr>
    <w:r>
      <w:rPr>
        <w:noProof/>
      </w:rPr>
      <w:drawing>
        <wp:inline distT="0" distB="0" distL="0" distR="0">
          <wp:extent cx="5949950" cy="142875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949950" cy="1428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C6CE8"/>
    <w:multiLevelType w:val="hybridMultilevel"/>
    <w:tmpl w:val="407A10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651AED"/>
    <w:multiLevelType w:val="hybridMultilevel"/>
    <w:tmpl w:val="3C70E9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85D4DB8"/>
    <w:multiLevelType w:val="hybridMultilevel"/>
    <w:tmpl w:val="F8E4CF0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nsid w:val="223F04D9"/>
    <w:multiLevelType w:val="hybridMultilevel"/>
    <w:tmpl w:val="68D2ADE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5">
    <w:nsid w:val="23F40A0F"/>
    <w:multiLevelType w:val="multilevel"/>
    <w:tmpl w:val="3244DD0A"/>
    <w:lvl w:ilvl="0">
      <w:start w:val="1"/>
      <w:numFmt w:val="bullet"/>
      <w:pStyle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248246F3"/>
    <w:multiLevelType w:val="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670458EF"/>
    <w:multiLevelType w:val="hybridMultilevel"/>
    <w:tmpl w:val="B7EC6DA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7A710756"/>
    <w:multiLevelType w:val="hybridMultilevel"/>
    <w:tmpl w:val="4952351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5"/>
  </w:num>
  <w:num w:numId="2">
    <w:abstractNumId w:val="9"/>
  </w:num>
  <w:num w:numId="3">
    <w:abstractNumId w:val="7"/>
  </w:num>
  <w:num w:numId="4">
    <w:abstractNumId w:val="8"/>
  </w:num>
  <w:num w:numId="5">
    <w:abstractNumId w:val="6"/>
  </w:num>
  <w:num w:numId="6">
    <w:abstractNumId w:val="2"/>
  </w:num>
  <w:num w:numId="7">
    <w:abstractNumId w:val="1"/>
  </w:num>
  <w:num w:numId="8">
    <w:abstractNumId w:val="0"/>
  </w:num>
  <w:num w:numId="9">
    <w:abstractNumId w:val="4"/>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18"/>
    <w:rsid w:val="00007F76"/>
    <w:rsid w:val="0001299B"/>
    <w:rsid w:val="000229E8"/>
    <w:rsid w:val="000313CE"/>
    <w:rsid w:val="00032F14"/>
    <w:rsid w:val="00036CD6"/>
    <w:rsid w:val="00042EFB"/>
    <w:rsid w:val="00045E6E"/>
    <w:rsid w:val="00054FE9"/>
    <w:rsid w:val="00061F9E"/>
    <w:rsid w:val="000625B3"/>
    <w:rsid w:val="00064F9F"/>
    <w:rsid w:val="00065CBA"/>
    <w:rsid w:val="00077EE6"/>
    <w:rsid w:val="00080F71"/>
    <w:rsid w:val="000954D6"/>
    <w:rsid w:val="000A4A90"/>
    <w:rsid w:val="000A605C"/>
    <w:rsid w:val="000A755A"/>
    <w:rsid w:val="000B4253"/>
    <w:rsid w:val="000B7DB6"/>
    <w:rsid w:val="000C41A4"/>
    <w:rsid w:val="000C4657"/>
    <w:rsid w:val="000E747B"/>
    <w:rsid w:val="000F259D"/>
    <w:rsid w:val="000F5899"/>
    <w:rsid w:val="001048C8"/>
    <w:rsid w:val="00112B0B"/>
    <w:rsid w:val="001342BC"/>
    <w:rsid w:val="00137418"/>
    <w:rsid w:val="0014437D"/>
    <w:rsid w:val="001539CC"/>
    <w:rsid w:val="00163771"/>
    <w:rsid w:val="001705D8"/>
    <w:rsid w:val="001737F3"/>
    <w:rsid w:val="00177219"/>
    <w:rsid w:val="001809B3"/>
    <w:rsid w:val="00190801"/>
    <w:rsid w:val="00191882"/>
    <w:rsid w:val="001928C3"/>
    <w:rsid w:val="001A0BAD"/>
    <w:rsid w:val="001A6CFD"/>
    <w:rsid w:val="001B3ECB"/>
    <w:rsid w:val="001C23A2"/>
    <w:rsid w:val="001C6AAD"/>
    <w:rsid w:val="001C726B"/>
    <w:rsid w:val="001D0516"/>
    <w:rsid w:val="001D2DFC"/>
    <w:rsid w:val="001D4E61"/>
    <w:rsid w:val="001D673D"/>
    <w:rsid w:val="001F456D"/>
    <w:rsid w:val="001F51D0"/>
    <w:rsid w:val="00200A4D"/>
    <w:rsid w:val="002049D8"/>
    <w:rsid w:val="0020670A"/>
    <w:rsid w:val="00213A50"/>
    <w:rsid w:val="0021678D"/>
    <w:rsid w:val="002377F8"/>
    <w:rsid w:val="002400BB"/>
    <w:rsid w:val="002414C3"/>
    <w:rsid w:val="00241C2D"/>
    <w:rsid w:val="00242245"/>
    <w:rsid w:val="002450A7"/>
    <w:rsid w:val="002530FA"/>
    <w:rsid w:val="002942D0"/>
    <w:rsid w:val="002A1A94"/>
    <w:rsid w:val="002C3CC3"/>
    <w:rsid w:val="002E07BB"/>
    <w:rsid w:val="002E6457"/>
    <w:rsid w:val="002E68A5"/>
    <w:rsid w:val="00306DB1"/>
    <w:rsid w:val="00320A1E"/>
    <w:rsid w:val="003221DE"/>
    <w:rsid w:val="00334CE1"/>
    <w:rsid w:val="00337BC1"/>
    <w:rsid w:val="00340A3E"/>
    <w:rsid w:val="003553E0"/>
    <w:rsid w:val="003561F9"/>
    <w:rsid w:val="00360883"/>
    <w:rsid w:val="00375DDB"/>
    <w:rsid w:val="003850AE"/>
    <w:rsid w:val="003858F8"/>
    <w:rsid w:val="00387D11"/>
    <w:rsid w:val="003972FC"/>
    <w:rsid w:val="003B22C2"/>
    <w:rsid w:val="003B6F83"/>
    <w:rsid w:val="003C47FD"/>
    <w:rsid w:val="003E2BB8"/>
    <w:rsid w:val="003E5154"/>
    <w:rsid w:val="003E7965"/>
    <w:rsid w:val="003F130B"/>
    <w:rsid w:val="003F6490"/>
    <w:rsid w:val="003F6B20"/>
    <w:rsid w:val="004029DC"/>
    <w:rsid w:val="00411390"/>
    <w:rsid w:val="00414CA0"/>
    <w:rsid w:val="00425D2F"/>
    <w:rsid w:val="004318EF"/>
    <w:rsid w:val="00432678"/>
    <w:rsid w:val="00442430"/>
    <w:rsid w:val="00452B30"/>
    <w:rsid w:val="0046245C"/>
    <w:rsid w:val="00472C8C"/>
    <w:rsid w:val="00482918"/>
    <w:rsid w:val="004A20D3"/>
    <w:rsid w:val="004A351F"/>
    <w:rsid w:val="004A64AB"/>
    <w:rsid w:val="004A7A29"/>
    <w:rsid w:val="004B69D9"/>
    <w:rsid w:val="004B6D0F"/>
    <w:rsid w:val="004C2F3C"/>
    <w:rsid w:val="004C419D"/>
    <w:rsid w:val="004C50DE"/>
    <w:rsid w:val="004C707B"/>
    <w:rsid w:val="004D228D"/>
    <w:rsid w:val="004D5A8D"/>
    <w:rsid w:val="004E2E86"/>
    <w:rsid w:val="004F5335"/>
    <w:rsid w:val="00501C98"/>
    <w:rsid w:val="005032F2"/>
    <w:rsid w:val="005114BD"/>
    <w:rsid w:val="00513AE4"/>
    <w:rsid w:val="005175F4"/>
    <w:rsid w:val="00527DCF"/>
    <w:rsid w:val="005550F1"/>
    <w:rsid w:val="00566DA6"/>
    <w:rsid w:val="005836ED"/>
    <w:rsid w:val="00587BFE"/>
    <w:rsid w:val="005975B3"/>
    <w:rsid w:val="005A6634"/>
    <w:rsid w:val="005B1CBD"/>
    <w:rsid w:val="005B2276"/>
    <w:rsid w:val="005F0CD3"/>
    <w:rsid w:val="005F1936"/>
    <w:rsid w:val="005F2A67"/>
    <w:rsid w:val="005F35A2"/>
    <w:rsid w:val="005F3F15"/>
    <w:rsid w:val="006052BB"/>
    <w:rsid w:val="006058C9"/>
    <w:rsid w:val="00610CE6"/>
    <w:rsid w:val="006209FB"/>
    <w:rsid w:val="0063094E"/>
    <w:rsid w:val="00633D63"/>
    <w:rsid w:val="0064229A"/>
    <w:rsid w:val="006478E4"/>
    <w:rsid w:val="00651243"/>
    <w:rsid w:val="00655D29"/>
    <w:rsid w:val="00673A13"/>
    <w:rsid w:val="006871F8"/>
    <w:rsid w:val="00693317"/>
    <w:rsid w:val="00695B3D"/>
    <w:rsid w:val="006C06FC"/>
    <w:rsid w:val="006C37F1"/>
    <w:rsid w:val="006C4066"/>
    <w:rsid w:val="006C457A"/>
    <w:rsid w:val="006C7D65"/>
    <w:rsid w:val="006D2250"/>
    <w:rsid w:val="006D7196"/>
    <w:rsid w:val="006E040A"/>
    <w:rsid w:val="006E1950"/>
    <w:rsid w:val="006E4D97"/>
    <w:rsid w:val="006E5C75"/>
    <w:rsid w:val="006E67FA"/>
    <w:rsid w:val="00706E8B"/>
    <w:rsid w:val="00707C03"/>
    <w:rsid w:val="00721BCC"/>
    <w:rsid w:val="00726328"/>
    <w:rsid w:val="00753420"/>
    <w:rsid w:val="00765B4E"/>
    <w:rsid w:val="0076616A"/>
    <w:rsid w:val="00767882"/>
    <w:rsid w:val="00774E74"/>
    <w:rsid w:val="007777AB"/>
    <w:rsid w:val="007978C6"/>
    <w:rsid w:val="007A4F2F"/>
    <w:rsid w:val="007A63D8"/>
    <w:rsid w:val="007B260E"/>
    <w:rsid w:val="007B282B"/>
    <w:rsid w:val="007B6B73"/>
    <w:rsid w:val="007C2BFA"/>
    <w:rsid w:val="007C4D36"/>
    <w:rsid w:val="007C5EA5"/>
    <w:rsid w:val="007D0E62"/>
    <w:rsid w:val="007D20EC"/>
    <w:rsid w:val="007F356C"/>
    <w:rsid w:val="00813175"/>
    <w:rsid w:val="00814532"/>
    <w:rsid w:val="00831834"/>
    <w:rsid w:val="008471A2"/>
    <w:rsid w:val="008510FC"/>
    <w:rsid w:val="008732A2"/>
    <w:rsid w:val="00873723"/>
    <w:rsid w:val="00873B01"/>
    <w:rsid w:val="00874E65"/>
    <w:rsid w:val="00895E81"/>
    <w:rsid w:val="0089614B"/>
    <w:rsid w:val="008B7816"/>
    <w:rsid w:val="008C2254"/>
    <w:rsid w:val="008C5DBD"/>
    <w:rsid w:val="008D5F5C"/>
    <w:rsid w:val="008D61D8"/>
    <w:rsid w:val="008E1967"/>
    <w:rsid w:val="008F4A05"/>
    <w:rsid w:val="009011F7"/>
    <w:rsid w:val="00901AEC"/>
    <w:rsid w:val="00912136"/>
    <w:rsid w:val="009365DF"/>
    <w:rsid w:val="009419A9"/>
    <w:rsid w:val="00951746"/>
    <w:rsid w:val="00977495"/>
    <w:rsid w:val="00992514"/>
    <w:rsid w:val="009A21B8"/>
    <w:rsid w:val="009A763B"/>
    <w:rsid w:val="009B076B"/>
    <w:rsid w:val="009B1192"/>
    <w:rsid w:val="009B3604"/>
    <w:rsid w:val="009C1B2E"/>
    <w:rsid w:val="009C1DFC"/>
    <w:rsid w:val="009E7AA4"/>
    <w:rsid w:val="009F2494"/>
    <w:rsid w:val="009F5852"/>
    <w:rsid w:val="009F5E16"/>
    <w:rsid w:val="00A137E6"/>
    <w:rsid w:val="00A20D9C"/>
    <w:rsid w:val="00A23952"/>
    <w:rsid w:val="00A23E62"/>
    <w:rsid w:val="00A25501"/>
    <w:rsid w:val="00A308D6"/>
    <w:rsid w:val="00A35FFD"/>
    <w:rsid w:val="00A36703"/>
    <w:rsid w:val="00A478EF"/>
    <w:rsid w:val="00A522C0"/>
    <w:rsid w:val="00A54DE0"/>
    <w:rsid w:val="00A630A0"/>
    <w:rsid w:val="00A63FE2"/>
    <w:rsid w:val="00A70646"/>
    <w:rsid w:val="00A74958"/>
    <w:rsid w:val="00A81818"/>
    <w:rsid w:val="00A82981"/>
    <w:rsid w:val="00A96194"/>
    <w:rsid w:val="00AA253C"/>
    <w:rsid w:val="00AA3217"/>
    <w:rsid w:val="00AA47B9"/>
    <w:rsid w:val="00AB0D03"/>
    <w:rsid w:val="00AC0277"/>
    <w:rsid w:val="00AC76F9"/>
    <w:rsid w:val="00AE6B86"/>
    <w:rsid w:val="00AF1F5F"/>
    <w:rsid w:val="00AF5C72"/>
    <w:rsid w:val="00B01015"/>
    <w:rsid w:val="00B01743"/>
    <w:rsid w:val="00B017F6"/>
    <w:rsid w:val="00B13168"/>
    <w:rsid w:val="00B30B39"/>
    <w:rsid w:val="00B4180B"/>
    <w:rsid w:val="00B5108F"/>
    <w:rsid w:val="00B657C4"/>
    <w:rsid w:val="00B720D4"/>
    <w:rsid w:val="00B919C1"/>
    <w:rsid w:val="00B92D77"/>
    <w:rsid w:val="00B93E0C"/>
    <w:rsid w:val="00BA38F4"/>
    <w:rsid w:val="00BC0963"/>
    <w:rsid w:val="00BC7E74"/>
    <w:rsid w:val="00BE1F03"/>
    <w:rsid w:val="00BF7D69"/>
    <w:rsid w:val="00C06622"/>
    <w:rsid w:val="00C168DE"/>
    <w:rsid w:val="00C255F0"/>
    <w:rsid w:val="00C44677"/>
    <w:rsid w:val="00C67B07"/>
    <w:rsid w:val="00C71B0F"/>
    <w:rsid w:val="00C73F0A"/>
    <w:rsid w:val="00C755B0"/>
    <w:rsid w:val="00C825F6"/>
    <w:rsid w:val="00C8318E"/>
    <w:rsid w:val="00C87020"/>
    <w:rsid w:val="00C913D5"/>
    <w:rsid w:val="00C97447"/>
    <w:rsid w:val="00CA061C"/>
    <w:rsid w:val="00CD4A07"/>
    <w:rsid w:val="00CE5A75"/>
    <w:rsid w:val="00CE5FBB"/>
    <w:rsid w:val="00CE616B"/>
    <w:rsid w:val="00CF7896"/>
    <w:rsid w:val="00D10F5C"/>
    <w:rsid w:val="00D125F2"/>
    <w:rsid w:val="00D25B93"/>
    <w:rsid w:val="00D26EA2"/>
    <w:rsid w:val="00D5301A"/>
    <w:rsid w:val="00D533B2"/>
    <w:rsid w:val="00D54EE1"/>
    <w:rsid w:val="00D65933"/>
    <w:rsid w:val="00D71C0C"/>
    <w:rsid w:val="00D73CE8"/>
    <w:rsid w:val="00D8436B"/>
    <w:rsid w:val="00D84457"/>
    <w:rsid w:val="00D866A7"/>
    <w:rsid w:val="00D9018F"/>
    <w:rsid w:val="00D9336B"/>
    <w:rsid w:val="00D94E44"/>
    <w:rsid w:val="00DA66C4"/>
    <w:rsid w:val="00DB1405"/>
    <w:rsid w:val="00DB1DB9"/>
    <w:rsid w:val="00DB284E"/>
    <w:rsid w:val="00DB3FE8"/>
    <w:rsid w:val="00DC68EE"/>
    <w:rsid w:val="00DD19A5"/>
    <w:rsid w:val="00DE070F"/>
    <w:rsid w:val="00DE6AFC"/>
    <w:rsid w:val="00E00088"/>
    <w:rsid w:val="00E04D90"/>
    <w:rsid w:val="00E22DD6"/>
    <w:rsid w:val="00E27279"/>
    <w:rsid w:val="00E27BA2"/>
    <w:rsid w:val="00E40D15"/>
    <w:rsid w:val="00E47291"/>
    <w:rsid w:val="00E63BF1"/>
    <w:rsid w:val="00E726A2"/>
    <w:rsid w:val="00E73326"/>
    <w:rsid w:val="00E76F9C"/>
    <w:rsid w:val="00E8234A"/>
    <w:rsid w:val="00E87464"/>
    <w:rsid w:val="00EA0662"/>
    <w:rsid w:val="00EA0CEA"/>
    <w:rsid w:val="00EA12F2"/>
    <w:rsid w:val="00EA1F3B"/>
    <w:rsid w:val="00EA47E1"/>
    <w:rsid w:val="00EA4A4B"/>
    <w:rsid w:val="00EC35EC"/>
    <w:rsid w:val="00EC4F6D"/>
    <w:rsid w:val="00EC5EB3"/>
    <w:rsid w:val="00EC69E6"/>
    <w:rsid w:val="00ED0500"/>
    <w:rsid w:val="00ED0F7C"/>
    <w:rsid w:val="00EF263F"/>
    <w:rsid w:val="00F05C8A"/>
    <w:rsid w:val="00F067D8"/>
    <w:rsid w:val="00F206DD"/>
    <w:rsid w:val="00F21B8C"/>
    <w:rsid w:val="00F27D71"/>
    <w:rsid w:val="00F3339B"/>
    <w:rsid w:val="00F41DC6"/>
    <w:rsid w:val="00F572E5"/>
    <w:rsid w:val="00F5730B"/>
    <w:rsid w:val="00F64D1C"/>
    <w:rsid w:val="00F7092B"/>
    <w:rsid w:val="00F84355"/>
    <w:rsid w:val="00F8757C"/>
    <w:rsid w:val="00F96051"/>
    <w:rsid w:val="00FA1CC0"/>
    <w:rsid w:val="00FA4218"/>
    <w:rsid w:val="00FA6D04"/>
    <w:rsid w:val="00FA76F5"/>
    <w:rsid w:val="00FA7946"/>
    <w:rsid w:val="00FB0854"/>
    <w:rsid w:val="00FB182C"/>
    <w:rsid w:val="00FB7F72"/>
    <w:rsid w:val="00FC5F13"/>
    <w:rsid w:val="00FD1E82"/>
    <w:rsid w:val="00FD6DA6"/>
    <w:rsid w:val="00FE415D"/>
    <w:rsid w:val="00FE4592"/>
    <w:rsid w:val="00FF5B92"/>
    <w:rsid w:val="17B16D3B"/>
    <w:rsid w:val="6C38046A"/>
    <w:rsid w:val="7F7008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EFEDE2"/>
  <w15:chartTrackingRefBased/>
  <w15:docId w15:val="{DA063B72-6DEA-459F-901B-4AC23049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2,Footnote Text Char3 Char1,f"/>
    <w:link w:val="FootnoteTextChar"/>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 Char Char Char,f Char"/>
    <w:link w:val="FootnoteText"/>
    <w:rsid w:val="00306DB1"/>
  </w:style>
  <w:style w:type="paragraph" w:styleId="ListParagraph">
    <w:name w:val="List Paragraph"/>
    <w:basedOn w:val="Normal"/>
    <w:uiPriority w:val="34"/>
    <w:qFormat/>
    <w:rsid w:val="00306DB1"/>
    <w:pPr>
      <w:ind w:left="720"/>
      <w:contextualSpacing/>
    </w:pPr>
  </w:style>
  <w:style w:type="paragraph" w:styleId="BalloonText">
    <w:name w:val="Balloon Text"/>
    <w:basedOn w:val="Normal"/>
    <w:link w:val="BalloonTextChar"/>
    <w:uiPriority w:val="99"/>
    <w:semiHidden/>
    <w:unhideWhenUsed/>
    <w:rsid w:val="00306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B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7C5EA5"/>
    <w:rPr>
      <w:sz w:val="16"/>
      <w:szCs w:val="16"/>
    </w:rPr>
  </w:style>
  <w:style w:type="paragraph" w:styleId="CommentText">
    <w:name w:val="annotation text"/>
    <w:basedOn w:val="Normal"/>
    <w:link w:val="CommentTextChar"/>
    <w:uiPriority w:val="99"/>
    <w:unhideWhenUsed/>
    <w:rsid w:val="007C5EA5"/>
    <w:rPr>
      <w:sz w:val="20"/>
    </w:rPr>
  </w:style>
  <w:style w:type="character" w:customStyle="1" w:styleId="CommentTextChar">
    <w:name w:val="Comment Text Char"/>
    <w:basedOn w:val="DefaultParagraphFont"/>
    <w:link w:val="CommentText"/>
    <w:uiPriority w:val="99"/>
    <w:rsid w:val="007C5EA5"/>
    <w:rPr>
      <w:snapToGrid w:val="0"/>
      <w:kern w:val="28"/>
    </w:rPr>
  </w:style>
  <w:style w:type="paragraph" w:styleId="CommentSubject">
    <w:name w:val="annotation subject"/>
    <w:basedOn w:val="CommentText"/>
    <w:next w:val="CommentText"/>
    <w:link w:val="CommentSubjectChar"/>
    <w:uiPriority w:val="99"/>
    <w:semiHidden/>
    <w:unhideWhenUsed/>
    <w:rsid w:val="007C5EA5"/>
    <w:rPr>
      <w:b/>
      <w:bCs/>
    </w:rPr>
  </w:style>
  <w:style w:type="character" w:customStyle="1" w:styleId="CommentSubjectChar">
    <w:name w:val="Comment Subject Char"/>
    <w:basedOn w:val="CommentTextChar"/>
    <w:link w:val="CommentSubject"/>
    <w:uiPriority w:val="99"/>
    <w:semiHidden/>
    <w:rsid w:val="007C5EA5"/>
    <w:rPr>
      <w:b/>
      <w:bCs/>
      <w:snapToGrid w:val="0"/>
      <w:kern w:val="28"/>
    </w:rPr>
  </w:style>
  <w:style w:type="paragraph" w:styleId="Revision">
    <w:name w:val="Revision"/>
    <w:hidden/>
    <w:uiPriority w:val="99"/>
    <w:semiHidden/>
    <w:rsid w:val="00610CE6"/>
    <w:rPr>
      <w:snapToGrid w:val="0"/>
      <w:kern w:val="28"/>
      <w:sz w:val="22"/>
    </w:rPr>
  </w:style>
  <w:style w:type="character" w:styleId="UnresolvedMention">
    <w:name w:val="Unresolved Mention"/>
    <w:basedOn w:val="DefaultParagraphFont"/>
    <w:uiPriority w:val="99"/>
    <w:rsid w:val="00D54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IAC@fcc.gov" TargetMode="External" /><Relationship Id="rId6" Type="http://schemas.openxmlformats.org/officeDocument/2006/relationships/hyperlink" Target="mailto:fcc504@fcc.govor" TargetMode="External" /><Relationship Id="rId7" Type="http://schemas.openxmlformats.org/officeDocument/2006/relationships/hyperlink" Target="mailto:carmen.scanlon@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A-23-109A1.docx"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