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2EBE92C0" w14:textId="77777777">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601098F4" w14:textId="77777777">
      <w:pPr>
        <w:pStyle w:val="StyleBoldCentered"/>
      </w:pPr>
      <w:r w:rsidRPr="00ED5746">
        <w:t>F</w:t>
      </w:r>
      <w:r w:rsidRPr="00ED5746">
        <w:rPr>
          <w:caps w:val="0"/>
        </w:rPr>
        <w:t>ederal Communications Commission</w:t>
      </w:r>
    </w:p>
    <w:p w:rsidR="00F84BCA" w:rsidRPr="00ED5746" w:rsidP="00F84BCA" w14:paraId="77C8B43C" w14:textId="77777777">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69B75BB4" w14:textId="77777777"/>
    <w:tbl>
      <w:tblPr>
        <w:tblW w:w="0" w:type="auto"/>
        <w:tblLayout w:type="fixed"/>
        <w:tblLook w:val="0000"/>
      </w:tblPr>
      <w:tblGrid>
        <w:gridCol w:w="4698"/>
        <w:gridCol w:w="630"/>
        <w:gridCol w:w="4248"/>
      </w:tblGrid>
      <w:tr w14:paraId="6BE715FC" w14:textId="77777777" w:rsidTr="003B739D">
        <w:tblPrEx>
          <w:tblW w:w="0" w:type="auto"/>
          <w:tblLayout w:type="fixed"/>
          <w:tblLook w:val="0000"/>
        </w:tblPrEx>
        <w:tc>
          <w:tcPr>
            <w:tcW w:w="4698" w:type="dxa"/>
          </w:tcPr>
          <w:p w:rsidR="00ED5746" w:rsidRPr="00D84548" w:rsidP="00CF6B78" w14:paraId="3A45F69C" w14:textId="77777777">
            <w:pPr>
              <w:tabs>
                <w:tab w:val="center" w:pos="4680"/>
              </w:tabs>
              <w:suppressAutoHyphens/>
              <w:rPr>
                <w:spacing w:val="-2"/>
              </w:rPr>
            </w:pPr>
            <w:r w:rsidRPr="00ED5746">
              <w:rPr>
                <w:spacing w:val="-2"/>
              </w:rPr>
              <w:t>In the Matter of</w:t>
            </w:r>
          </w:p>
          <w:p w:rsidR="00ED5746" w:rsidRPr="00D23E19" w:rsidP="00CF6B78" w14:paraId="29129FEE" w14:textId="77777777">
            <w:pPr>
              <w:tabs>
                <w:tab w:val="left" w:pos="360"/>
                <w:tab w:val="center" w:pos="4680"/>
                <w:tab w:val="right" w:leader="dot" w:pos="9360"/>
              </w:tabs>
              <w:suppressAutoHyphens/>
              <w:ind w:left="360" w:right="720" w:hanging="360"/>
              <w:rPr>
                <w:spacing w:val="-2"/>
              </w:rPr>
            </w:pPr>
          </w:p>
          <w:p w:rsidR="00ED5746" w:rsidRPr="00D84548" w:rsidP="00AA4B16" w14:paraId="4A8E3E75" w14:textId="77777777">
            <w:pPr>
              <w:autoSpaceDE w:val="0"/>
              <w:autoSpaceDN w:val="0"/>
              <w:adjustRightInd w:val="0"/>
            </w:pPr>
            <w:r>
              <w:rPr>
                <w:szCs w:val="22"/>
              </w:rPr>
              <w:t>Shenandoah Telecommunications Company</w:t>
            </w:r>
          </w:p>
        </w:tc>
        <w:tc>
          <w:tcPr>
            <w:tcW w:w="630" w:type="dxa"/>
          </w:tcPr>
          <w:p w:rsidR="00ED5746" w:rsidRPr="00D84548" w:rsidP="00CF6B78" w14:paraId="4DFEF5E8" w14:textId="77777777">
            <w:pPr>
              <w:tabs>
                <w:tab w:val="center" w:pos="4680"/>
              </w:tabs>
              <w:suppressAutoHyphens/>
              <w:rPr>
                <w:b/>
                <w:spacing w:val="-2"/>
              </w:rPr>
            </w:pPr>
            <w:r w:rsidRPr="00D84548">
              <w:rPr>
                <w:b/>
                <w:spacing w:val="-2"/>
              </w:rPr>
              <w:t>)</w:t>
            </w:r>
          </w:p>
          <w:p w:rsidR="00ED5746" w:rsidRPr="00D23E19" w:rsidP="00CF6B78" w14:paraId="492C923B" w14:textId="77777777">
            <w:pPr>
              <w:tabs>
                <w:tab w:val="center" w:pos="4680"/>
              </w:tabs>
              <w:suppressAutoHyphens/>
              <w:rPr>
                <w:b/>
                <w:spacing w:val="-2"/>
              </w:rPr>
            </w:pPr>
            <w:r w:rsidRPr="00D84548">
              <w:rPr>
                <w:b/>
                <w:spacing w:val="-2"/>
              </w:rPr>
              <w:t>)</w:t>
            </w:r>
          </w:p>
          <w:p w:rsidR="00ED5746" w:rsidRPr="00D23E19" w:rsidP="00CF6B78" w14:paraId="4DF2D02D" w14:textId="77777777">
            <w:pPr>
              <w:tabs>
                <w:tab w:val="center" w:pos="4680"/>
              </w:tabs>
              <w:suppressAutoHyphens/>
              <w:rPr>
                <w:b/>
                <w:spacing w:val="-2"/>
              </w:rPr>
            </w:pPr>
            <w:r w:rsidRPr="00D84548">
              <w:rPr>
                <w:b/>
                <w:spacing w:val="-2"/>
              </w:rPr>
              <w:t>)</w:t>
            </w:r>
          </w:p>
          <w:p w:rsidR="00ED5746" w:rsidRPr="00D23E19" w:rsidP="00CF6B78" w14:paraId="77293A04" w14:textId="77777777">
            <w:pPr>
              <w:tabs>
                <w:tab w:val="center" w:pos="4680"/>
              </w:tabs>
              <w:suppressAutoHyphens/>
              <w:rPr>
                <w:b/>
                <w:spacing w:val="-2"/>
              </w:rPr>
            </w:pPr>
            <w:r w:rsidRPr="00D84548">
              <w:rPr>
                <w:b/>
                <w:spacing w:val="-2"/>
              </w:rPr>
              <w:t>)</w:t>
            </w:r>
          </w:p>
          <w:p w:rsidR="00ED5746" w:rsidRPr="00D23E19" w:rsidP="00CF6B78" w14:paraId="03A3AC55" w14:textId="77777777">
            <w:pPr>
              <w:tabs>
                <w:tab w:val="center" w:pos="4680"/>
              </w:tabs>
              <w:suppressAutoHyphens/>
              <w:rPr>
                <w:b/>
                <w:spacing w:val="-2"/>
              </w:rPr>
            </w:pPr>
            <w:r w:rsidRPr="00D84548">
              <w:rPr>
                <w:b/>
                <w:spacing w:val="-2"/>
              </w:rPr>
              <w:t>)</w:t>
            </w:r>
          </w:p>
          <w:p w:rsidR="00ED5746" w:rsidRPr="00D23E19" w:rsidP="00CF6B78" w14:paraId="3916FC8A" w14:textId="77777777">
            <w:pPr>
              <w:tabs>
                <w:tab w:val="center" w:pos="4680"/>
              </w:tabs>
              <w:suppressAutoHyphens/>
              <w:rPr>
                <w:b/>
                <w:spacing w:val="-2"/>
              </w:rPr>
            </w:pPr>
            <w:r w:rsidRPr="00D84548">
              <w:rPr>
                <w:b/>
                <w:spacing w:val="-2"/>
              </w:rPr>
              <w:t>)</w:t>
            </w:r>
          </w:p>
          <w:p w:rsidR="00ED5746" w:rsidRPr="00D23E19" w:rsidP="00CF6B78" w14:paraId="41E314CC" w14:textId="77777777">
            <w:pPr>
              <w:tabs>
                <w:tab w:val="center" w:pos="4680"/>
              </w:tabs>
              <w:suppressAutoHyphens/>
              <w:rPr>
                <w:b/>
                <w:spacing w:val="-2"/>
              </w:rPr>
            </w:pPr>
            <w:r w:rsidRPr="00D84548">
              <w:rPr>
                <w:b/>
                <w:spacing w:val="-2"/>
              </w:rPr>
              <w:t>)</w:t>
            </w:r>
          </w:p>
          <w:p w:rsidR="00ED5746" w:rsidRPr="00D23E19" w:rsidP="003B739D" w14:paraId="3FA1A7B5" w14:textId="77777777">
            <w:pPr>
              <w:tabs>
                <w:tab w:val="center" w:pos="4680"/>
              </w:tabs>
              <w:suppressAutoHyphens/>
              <w:rPr>
                <w:b/>
                <w:spacing w:val="-2"/>
              </w:rPr>
            </w:pPr>
          </w:p>
        </w:tc>
        <w:tc>
          <w:tcPr>
            <w:tcW w:w="4248" w:type="dxa"/>
          </w:tcPr>
          <w:p w:rsidR="00E44AC6" w:rsidP="00CF6B78" w14:paraId="37AB9D2D" w14:textId="77777777">
            <w:pPr>
              <w:tabs>
                <w:tab w:val="center" w:pos="4680"/>
              </w:tabs>
              <w:suppressAutoHyphens/>
              <w:ind w:left="432"/>
              <w:rPr>
                <w:spacing w:val="-2"/>
                <w:szCs w:val="22"/>
              </w:rPr>
            </w:pPr>
          </w:p>
          <w:p w:rsidR="00E44AC6" w:rsidP="00CF6B78" w14:paraId="4DB999B1" w14:textId="77777777">
            <w:pPr>
              <w:tabs>
                <w:tab w:val="center" w:pos="4680"/>
              </w:tabs>
              <w:suppressAutoHyphens/>
              <w:ind w:left="432"/>
              <w:rPr>
                <w:spacing w:val="-2"/>
                <w:szCs w:val="22"/>
              </w:rPr>
            </w:pPr>
          </w:p>
          <w:p w:rsidR="00ED5746" w:rsidRPr="00D84548" w:rsidP="00CF6B78" w14:paraId="644A0D0A" w14:textId="77777777">
            <w:pPr>
              <w:tabs>
                <w:tab w:val="center" w:pos="4680"/>
              </w:tabs>
              <w:suppressAutoHyphens/>
              <w:ind w:left="432"/>
              <w:rPr>
                <w:spacing w:val="-2"/>
                <w:szCs w:val="22"/>
              </w:rPr>
            </w:pPr>
            <w:r w:rsidRPr="00D84548">
              <w:rPr>
                <w:spacing w:val="-2"/>
                <w:szCs w:val="22"/>
              </w:rPr>
              <w:t xml:space="preserve">File No.:  </w:t>
            </w:r>
            <w:r w:rsidR="005E667D">
              <w:rPr>
                <w:spacing w:val="-2"/>
                <w:szCs w:val="22"/>
              </w:rPr>
              <w:t>EB-SED-22-00034239</w:t>
            </w:r>
          </w:p>
          <w:p w:rsidR="00ED5746" w:rsidRPr="00D84548" w:rsidP="00D84548" w14:paraId="07E32E80" w14:textId="77777777">
            <w:pPr>
              <w:ind w:left="432"/>
              <w:rPr>
                <w:spacing w:val="-2"/>
                <w:szCs w:val="22"/>
              </w:rPr>
            </w:pPr>
            <w:r>
              <w:rPr>
                <w:spacing w:val="-2"/>
                <w:szCs w:val="22"/>
              </w:rPr>
              <w:t xml:space="preserve">CD </w:t>
            </w:r>
            <w:r w:rsidRPr="00D84548">
              <w:rPr>
                <w:spacing w:val="-2"/>
                <w:szCs w:val="22"/>
              </w:rPr>
              <w:t xml:space="preserve">Acct. No.:  </w:t>
            </w:r>
            <w:r w:rsidR="0088377E">
              <w:rPr>
                <w:spacing w:val="-2"/>
                <w:szCs w:val="22"/>
              </w:rPr>
              <w:t>202332100008</w:t>
            </w:r>
          </w:p>
          <w:p w:rsidR="00ED5746" w:rsidRPr="00D84548" w:rsidP="00D23E19" w14:paraId="317B8D43" w14:textId="77777777">
            <w:pPr>
              <w:tabs>
                <w:tab w:val="center" w:pos="4680"/>
              </w:tabs>
              <w:suppressAutoHyphens/>
              <w:ind w:left="432"/>
              <w:rPr>
                <w:snapToGrid/>
                <w:spacing w:val="-2"/>
              </w:rPr>
            </w:pPr>
            <w:r w:rsidRPr="00D84548">
              <w:rPr>
                <w:szCs w:val="22"/>
              </w:rPr>
              <w:t xml:space="preserve">FRN:  </w:t>
            </w:r>
            <w:r w:rsidR="005E667D">
              <w:rPr>
                <w:szCs w:val="22"/>
              </w:rPr>
              <w:t>0002064145</w:t>
            </w:r>
          </w:p>
        </w:tc>
      </w:tr>
    </w:tbl>
    <w:p w:rsidR="00F84BCA" w:rsidRPr="00D84548" w:rsidP="00AA4B16" w14:paraId="1B434BCD" w14:textId="77777777">
      <w:pPr>
        <w:jc w:val="center"/>
        <w:outlineLvl w:val="0"/>
        <w:rPr>
          <w:b/>
          <w:szCs w:val="22"/>
        </w:rPr>
      </w:pPr>
      <w:r w:rsidRPr="00D84548">
        <w:rPr>
          <w:b/>
          <w:szCs w:val="22"/>
        </w:rPr>
        <w:t>ORDER</w:t>
      </w:r>
    </w:p>
    <w:p w:rsidR="00F84BCA" w:rsidRPr="00D84548" w:rsidP="00AA4B16" w14:paraId="7FBFB6A2" w14:textId="77777777">
      <w:pPr>
        <w:tabs>
          <w:tab w:val="left" w:pos="-720"/>
        </w:tabs>
        <w:suppressAutoHyphens/>
        <w:spacing w:line="227" w:lineRule="auto"/>
        <w:rPr>
          <w:spacing w:val="-2"/>
        </w:rPr>
      </w:pPr>
    </w:p>
    <w:p w:rsidR="00F84BCA" w:rsidRPr="00D84548" w:rsidP="00F84BCA" w14:paraId="78CE69C5" w14:textId="71F7A26C">
      <w:pPr>
        <w:tabs>
          <w:tab w:val="left" w:pos="720"/>
          <w:tab w:val="right" w:pos="9360"/>
        </w:tabs>
        <w:suppressAutoHyphens/>
        <w:spacing w:line="227" w:lineRule="auto"/>
        <w:rPr>
          <w:spacing w:val="-2"/>
        </w:rPr>
      </w:pPr>
      <w:r w:rsidRPr="00D84548">
        <w:rPr>
          <w:b/>
          <w:spacing w:val="-2"/>
        </w:rPr>
        <w:t xml:space="preserve">Adopted:  </w:t>
      </w:r>
      <w:r w:rsidR="0091764F">
        <w:rPr>
          <w:b/>
          <w:spacing w:val="-2"/>
        </w:rPr>
        <w:t>April 24, 2023</w:t>
      </w:r>
      <w:r w:rsidRPr="00D84548">
        <w:rPr>
          <w:b/>
          <w:spacing w:val="-2"/>
        </w:rPr>
        <w:tab/>
        <w:t xml:space="preserve">Released:  </w:t>
      </w:r>
      <w:r w:rsidR="0091764F">
        <w:rPr>
          <w:b/>
          <w:spacing w:val="-2"/>
        </w:rPr>
        <w:t>April 24, 2023</w:t>
      </w:r>
    </w:p>
    <w:p w:rsidR="00F84BCA" w:rsidRPr="00D84548" w:rsidP="00F84BCA" w14:paraId="21BCB3C3" w14:textId="77777777"/>
    <w:p w:rsidR="00F84BCA" w:rsidRPr="00D84548" w:rsidP="00F84BCA" w14:paraId="5F4909CB" w14:textId="77777777">
      <w:pPr>
        <w:rPr>
          <w:spacing w:val="-2"/>
        </w:rPr>
      </w:pPr>
      <w:r w:rsidRPr="00D84548">
        <w:rPr>
          <w:spacing w:val="-2"/>
          <w:szCs w:val="22"/>
        </w:rPr>
        <w:t>By the Chief, Enforcement Bureau:</w:t>
      </w:r>
    </w:p>
    <w:p w:rsidR="00F84BCA" w:rsidRPr="00D84548" w:rsidP="00F84BCA" w14:paraId="1009954E" w14:textId="77777777"/>
    <w:p w:rsidR="00F84BCA" w:rsidRPr="00D84548" w:rsidP="00B73945" w14:paraId="5AB17BAB" w14:textId="77777777">
      <w:pPr>
        <w:pStyle w:val="ParaNum"/>
        <w:widowControl/>
        <w:numPr>
          <w:ilvl w:val="0"/>
          <w:numId w:val="46"/>
        </w:numPr>
        <w:tabs>
          <w:tab w:val="clear" w:pos="1080"/>
        </w:tabs>
        <w:rPr>
          <w:color w:val="000000"/>
          <w:szCs w:val="22"/>
        </w:rPr>
      </w:pPr>
      <w:r w:rsidRPr="00D84548">
        <w:rPr>
          <w:szCs w:val="22"/>
        </w:rPr>
        <w:t>The Enforcement Bureau of the Federal Communications</w:t>
      </w:r>
      <w:r w:rsidR="00890EAE">
        <w:rPr>
          <w:szCs w:val="22"/>
        </w:rPr>
        <w:t xml:space="preserve"> </w:t>
      </w:r>
      <w:r w:rsidRPr="00D84548">
        <w:rPr>
          <w:szCs w:val="22"/>
        </w:rPr>
        <w:t>Commission has entered into a Consent Decree to resolve its investigation into whether</w:t>
      </w:r>
      <w:r w:rsidRPr="00D84548" w:rsidR="00E87831">
        <w:rPr>
          <w:szCs w:val="22"/>
        </w:rPr>
        <w:t xml:space="preserve"> </w:t>
      </w:r>
      <w:r w:rsidR="005E667D">
        <w:rPr>
          <w:szCs w:val="22"/>
        </w:rPr>
        <w:t xml:space="preserve">Shenandoah Telecommunications Company </w:t>
      </w:r>
      <w:r w:rsidRPr="00D84548" w:rsidR="00E87831">
        <w:rPr>
          <w:szCs w:val="22"/>
        </w:rPr>
        <w:t>(</w:t>
      </w:r>
      <w:r w:rsidR="005E667D">
        <w:rPr>
          <w:szCs w:val="22"/>
        </w:rPr>
        <w:t xml:space="preserve">Shentel) failed to deliver 911 calls during a 911 outage between April 6, 2022, and April 22, 2022, in four West Virginia counties.  </w:t>
      </w:r>
      <w:r w:rsidR="00935E6C">
        <w:rPr>
          <w:szCs w:val="22"/>
        </w:rPr>
        <w:t xml:space="preserve">As Congress and the Commission </w:t>
      </w:r>
      <w:r w:rsidR="003068B8">
        <w:rPr>
          <w:szCs w:val="22"/>
        </w:rPr>
        <w:t>have found, r</w:t>
      </w:r>
      <w:r w:rsidR="005E667D">
        <w:rPr>
          <w:szCs w:val="22"/>
        </w:rPr>
        <w:t xml:space="preserve">obust and reliable 911 service </w:t>
      </w:r>
      <w:r w:rsidR="006F6877">
        <w:rPr>
          <w:szCs w:val="22"/>
        </w:rPr>
        <w:t>is a critical national priority</w:t>
      </w:r>
      <w:r w:rsidR="002A6E38">
        <w:rPr>
          <w:szCs w:val="22"/>
        </w:rPr>
        <w:t xml:space="preserve">, as those calling first responders </w:t>
      </w:r>
      <w:r w:rsidR="005E667D">
        <w:rPr>
          <w:szCs w:val="22"/>
        </w:rPr>
        <w:t xml:space="preserve">must be </w:t>
      </w:r>
      <w:r w:rsidR="003068B8">
        <w:rPr>
          <w:szCs w:val="22"/>
        </w:rPr>
        <w:t>able to re</w:t>
      </w:r>
      <w:r w:rsidR="00A06134">
        <w:rPr>
          <w:szCs w:val="22"/>
        </w:rPr>
        <w:t>ly on their calls being completed</w:t>
      </w:r>
      <w:r w:rsidR="005E667D">
        <w:rPr>
          <w:szCs w:val="22"/>
        </w:rPr>
        <w:t>.  It is therefore incumbent upon the Commission to ensure that reliable 911 service</w:t>
      </w:r>
      <w:r w:rsidR="00EE7ECF">
        <w:rPr>
          <w:szCs w:val="22"/>
        </w:rPr>
        <w:t xml:space="preserve"> </w:t>
      </w:r>
      <w:r w:rsidR="00806BF4">
        <w:rPr>
          <w:szCs w:val="22"/>
        </w:rPr>
        <w:t>is</w:t>
      </w:r>
      <w:r w:rsidR="00EE7ECF">
        <w:rPr>
          <w:szCs w:val="22"/>
        </w:rPr>
        <w:t xml:space="preserve"> available</w:t>
      </w:r>
      <w:r w:rsidR="005E667D">
        <w:rPr>
          <w:szCs w:val="22"/>
        </w:rPr>
        <w:t xml:space="preserve"> at all times.  To settle this matter, Shentel will implement a compliance plan and pay a $227,200 civil penalty.</w:t>
      </w:r>
      <w:r w:rsidRPr="00D84548">
        <w:rPr>
          <w:szCs w:val="22"/>
        </w:rPr>
        <w:t xml:space="preserve"> </w:t>
      </w:r>
    </w:p>
    <w:p w:rsidR="00B277A4" w:rsidRPr="00D84548" w:rsidP="00B73945" w14:paraId="65E24103" w14:textId="77777777">
      <w:pPr>
        <w:pStyle w:val="ParaNum"/>
        <w:widowControl/>
        <w:numPr>
          <w:ilvl w:val="0"/>
          <w:numId w:val="46"/>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sidR="005E667D">
        <w:rPr>
          <w:szCs w:val="22"/>
        </w:rPr>
        <w:t>Shentel</w:t>
      </w:r>
      <w:r w:rsidRPr="00D84548">
        <w:rPr>
          <w:szCs w:val="22"/>
        </w:rPr>
        <w:t xml:space="preserve">’s compliance with </w:t>
      </w:r>
      <w:r w:rsidR="001A49C3">
        <w:rPr>
          <w:szCs w:val="22"/>
        </w:rPr>
        <w:t xml:space="preserve">the Commission’s 911 rules, including section 9.11 of the </w:t>
      </w:r>
      <w:r w:rsidRPr="00D84548">
        <w:rPr>
          <w:szCs w:val="22"/>
        </w:rPr>
        <w:t>Commission’s rules.</w:t>
      </w:r>
      <w:r>
        <w:rPr>
          <w:rStyle w:val="FootnoteReference"/>
          <w:szCs w:val="22"/>
        </w:rPr>
        <w:footnoteReference w:id="3"/>
      </w:r>
    </w:p>
    <w:p w:rsidR="00F84BCA" w:rsidRPr="00D84548" w:rsidP="00B73945" w14:paraId="33E4ED87" w14:textId="77777777">
      <w:pPr>
        <w:pStyle w:val="ParaNum"/>
        <w:widowControl/>
        <w:numPr>
          <w:ilvl w:val="0"/>
          <w:numId w:val="46"/>
        </w:numPr>
        <w:tabs>
          <w:tab w:val="clear" w:pos="1080"/>
          <w:tab w:val="left" w:pos="1440"/>
        </w:tabs>
        <w:rPr>
          <w:szCs w:val="22"/>
        </w:rPr>
      </w:pPr>
      <w:r>
        <w:rPr>
          <w:szCs w:val="22"/>
        </w:rPr>
        <w:t xml:space="preserve">In the absence of material new evidence relating to this matter, we do not set for hearing the question of </w:t>
      </w:r>
      <w:r w:rsidR="001A49C3">
        <w:rPr>
          <w:szCs w:val="22"/>
        </w:rPr>
        <w:t>Shentel</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4"/>
      </w:r>
    </w:p>
    <w:p w:rsidR="00F84BCA" w:rsidRPr="00D84548" w:rsidP="00B73945" w14:paraId="70791AEC" w14:textId="77777777">
      <w:pPr>
        <w:pStyle w:val="ParaNum"/>
        <w:widowControl/>
        <w:numPr>
          <w:ilvl w:val="0"/>
          <w:numId w:val="46"/>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sidR="001609C7">
        <w:rPr>
          <w:szCs w:val="22"/>
        </w:rPr>
        <w:t>s</w:t>
      </w:r>
      <w:r w:rsidRPr="00D84548">
        <w:rPr>
          <w:szCs w:val="22"/>
        </w:rPr>
        <w:t>ection</w:t>
      </w:r>
      <w:r w:rsidRPr="00D84548" w:rsidR="00B75912">
        <w:rPr>
          <w:szCs w:val="22"/>
        </w:rPr>
        <w:t xml:space="preserve"> 4(i)</w:t>
      </w:r>
      <w:r w:rsidR="001A49C3">
        <w:rPr>
          <w:szCs w:val="22"/>
        </w:rPr>
        <w:t xml:space="preserve"> </w:t>
      </w:r>
      <w:r w:rsidRPr="00D84548" w:rsidR="001A49C3">
        <w:rPr>
          <w:szCs w:val="22"/>
        </w:rPr>
        <w:t>Communications Act of 1934, as amended (Act)</w:t>
      </w:r>
      <w:r w:rsidR="00926373">
        <w:rPr>
          <w:szCs w:val="22"/>
        </w:rPr>
        <w:t>,</w:t>
      </w:r>
      <w:r>
        <w:rPr>
          <w:rStyle w:val="FootnoteReference"/>
          <w:szCs w:val="22"/>
        </w:rPr>
        <w:footnoteReference w:id="5"/>
      </w:r>
      <w:r w:rsidRPr="00D84548">
        <w:rPr>
          <w:szCs w:val="22"/>
        </w:rPr>
        <w:t xml:space="preserve"> and the authority delegated by </w:t>
      </w:r>
      <w:r w:rsidR="001609C7">
        <w:rPr>
          <w:szCs w:val="22"/>
        </w:rPr>
        <w:t>s</w:t>
      </w:r>
      <w:r w:rsidRPr="00D84548">
        <w:rPr>
          <w:szCs w:val="22"/>
        </w:rPr>
        <w:t>ections 0.1</w:t>
      </w:r>
      <w:r w:rsidRPr="00D84548" w:rsidR="0051080A">
        <w:rPr>
          <w:szCs w:val="22"/>
        </w:rPr>
        <w:t xml:space="preserve">11 and 0.311 of the </w:t>
      </w:r>
      <w:r w:rsidR="001609C7">
        <w:rPr>
          <w:szCs w:val="22"/>
        </w:rPr>
        <w:t>Commission’s r</w:t>
      </w:r>
      <w:r w:rsidRPr="00D84548" w:rsidR="009632A6">
        <w:rPr>
          <w:szCs w:val="22"/>
        </w:rPr>
        <w:t>ules,</w:t>
      </w:r>
      <w:r>
        <w:rPr>
          <w:rStyle w:val="FootnoteReference"/>
          <w:szCs w:val="22"/>
        </w:rPr>
        <w:footnoteReference w:id="6"/>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BB627A" w:rsidP="00B73945" w14:paraId="710AC97D" w14:textId="77777777">
      <w:pPr>
        <w:pStyle w:val="ParaNum"/>
        <w:widowControl/>
        <w:numPr>
          <w:ilvl w:val="0"/>
          <w:numId w:val="46"/>
        </w:numPr>
        <w:tabs>
          <w:tab w:val="clear" w:pos="1080"/>
          <w:tab w:val="left" w:pos="1440"/>
        </w:tabs>
      </w:pPr>
      <w:r w:rsidRPr="00D84548">
        <w:rPr>
          <w:b/>
        </w:rPr>
        <w:t>IT IS FURTHER ORDERED</w:t>
      </w:r>
      <w:r w:rsidRPr="00D84548">
        <w:t xml:space="preserve"> that the above-captioned matter </w:t>
      </w:r>
      <w:r w:rsidRPr="00D84548">
        <w:rPr>
          <w:b/>
        </w:rPr>
        <w:t>IS TERMINATED</w:t>
      </w:r>
      <w:r w:rsidRPr="00D84548" w:rsidR="00782791">
        <w:rPr>
          <w:b/>
        </w:rPr>
        <w:t xml:space="preserve"> </w:t>
      </w:r>
      <w:r w:rsidR="00DF465C">
        <w:t>in accordance with the terms of the attached Consent Decree</w:t>
      </w:r>
      <w:r w:rsidRPr="00D84548">
        <w:t>.</w:t>
      </w:r>
      <w:r>
        <w:br w:type="page"/>
      </w:r>
    </w:p>
    <w:p w:rsidR="00F84BCA" w:rsidRPr="00D84548" w:rsidP="00143343" w14:paraId="45E0C70E" w14:textId="77777777">
      <w:pPr>
        <w:pStyle w:val="ParaNum"/>
        <w:keepNext/>
        <w:widowControl/>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Pr="00981F23" w:rsidR="00D84548">
        <w:rPr>
          <w:color w:val="000000" w:themeColor="text1"/>
          <w:szCs w:val="22"/>
        </w:rPr>
        <w:t xml:space="preserve">shall be sent by first class mail and certified mail, return receipt requested, to </w:t>
      </w:r>
      <w:r w:rsidRPr="00927CE4" w:rsidR="001A49C3">
        <w:t>Mr. Christopher E. French</w:t>
      </w:r>
      <w:r w:rsidR="001A49C3">
        <w:t xml:space="preserve">, </w:t>
      </w:r>
      <w:r w:rsidRPr="00927CE4" w:rsidR="001A49C3">
        <w:t>President and Chief Executive Officer</w:t>
      </w:r>
      <w:r w:rsidR="001A49C3">
        <w:t xml:space="preserve">, </w:t>
      </w:r>
      <w:r w:rsidRPr="00927CE4" w:rsidR="001A49C3">
        <w:t xml:space="preserve">Shenandoah </w:t>
      </w:r>
      <w:r w:rsidR="001A49C3">
        <w:t xml:space="preserve">Cable Television, LLC, </w:t>
      </w:r>
      <w:r w:rsidRPr="00927CE4" w:rsidR="001A49C3">
        <w:t>500 Shentel Way</w:t>
      </w:r>
      <w:r w:rsidR="001A49C3">
        <w:t xml:space="preserve">, </w:t>
      </w:r>
      <w:r w:rsidRPr="00927CE4" w:rsidR="001A49C3">
        <w:t>Edinburg, Virginia 22824</w:t>
      </w:r>
      <w:r w:rsidR="001A49C3">
        <w:t xml:space="preserve">, and to </w:t>
      </w:r>
      <w:r w:rsidRPr="00927CE4" w:rsidR="001A49C3">
        <w:t>K.C. Halm</w:t>
      </w:r>
      <w:r w:rsidR="001A49C3">
        <w:t xml:space="preserve">, Esq., </w:t>
      </w:r>
      <w:r w:rsidRPr="00927CE4" w:rsidR="001A49C3">
        <w:t>Counsel for Shenandoah Telecommunications Company</w:t>
      </w:r>
      <w:r w:rsidR="001A49C3">
        <w:t xml:space="preserve">, </w:t>
      </w:r>
      <w:r w:rsidRPr="00927CE4" w:rsidR="001A49C3">
        <w:t>Davis Wright Tremaine LLP</w:t>
      </w:r>
      <w:r w:rsidR="001A49C3">
        <w:t xml:space="preserve">, </w:t>
      </w:r>
      <w:r w:rsidRPr="00927CE4" w:rsidR="001A49C3">
        <w:t>1300 K Street, NW</w:t>
      </w:r>
      <w:r w:rsidR="001A49C3">
        <w:t xml:space="preserve">, </w:t>
      </w:r>
      <w:r w:rsidRPr="00927CE4" w:rsidR="001A49C3">
        <w:t>Suite 500 East</w:t>
      </w:r>
      <w:r w:rsidR="001A49C3">
        <w:t>, Washington, D.C. 20005</w:t>
      </w:r>
      <w:r w:rsidRPr="00981F23" w:rsidR="001A49C3">
        <w:t>.</w:t>
      </w:r>
    </w:p>
    <w:p w:rsidR="00F84BCA" w:rsidP="00F84BCA" w14:paraId="5B414DA9" w14:textId="77777777">
      <w:pPr>
        <w:pStyle w:val="ParaNum"/>
        <w:numPr>
          <w:ilvl w:val="0"/>
          <w:numId w:val="0"/>
        </w:numPr>
        <w:tabs>
          <w:tab w:val="left" w:pos="1440"/>
        </w:tabs>
        <w:spacing w:after="240"/>
        <w:ind w:left="720"/>
        <w:rPr>
          <w:b/>
        </w:rPr>
      </w:pPr>
    </w:p>
    <w:p w:rsidR="00F84BCA" w:rsidRPr="00EF505E" w:rsidP="00F84BCA" w14:paraId="734D239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715C01FE" w14:textId="77777777">
      <w:pPr>
        <w:rPr>
          <w:szCs w:val="22"/>
          <w:lang w:val="fr-FR"/>
        </w:rPr>
      </w:pPr>
    </w:p>
    <w:p w:rsidR="00F84BCA" w:rsidRPr="00EF505E" w:rsidP="00F84BCA" w14:paraId="71C563E2" w14:textId="77777777">
      <w:pPr>
        <w:rPr>
          <w:szCs w:val="22"/>
          <w:lang w:val="fr-FR"/>
        </w:rPr>
      </w:pPr>
    </w:p>
    <w:p w:rsidR="00F84BCA" w:rsidRPr="00EF505E" w:rsidP="00F84BCA" w14:paraId="3C95C39F" w14:textId="77777777">
      <w:pPr>
        <w:rPr>
          <w:szCs w:val="22"/>
          <w:lang w:val="fr-FR"/>
        </w:rPr>
      </w:pPr>
    </w:p>
    <w:p w:rsidR="00F84BCA" w:rsidRPr="00EF505E" w:rsidP="00F84BCA" w14:paraId="587E819A" w14:textId="77777777">
      <w:pPr>
        <w:outlineLvl w:val="0"/>
        <w:rPr>
          <w:szCs w:val="22"/>
          <w:lang w:val="fr-FR"/>
        </w:rPr>
      </w:pPr>
    </w:p>
    <w:p w:rsidR="00F84BCA" w:rsidP="00F84BCA" w14:paraId="083EDEC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Pr="00BD257E" w:rsidR="00BD257E">
        <w:rPr>
          <w:szCs w:val="22"/>
          <w:lang w:val="fr-FR"/>
        </w:rPr>
        <w:t>Loyaan A. Ega</w:t>
      </w:r>
      <w:r w:rsidR="00020926">
        <w:rPr>
          <w:szCs w:val="22"/>
          <w:lang w:val="fr-FR"/>
        </w:rPr>
        <w:t>l</w:t>
      </w:r>
      <w:r w:rsidR="00D84548">
        <w:rPr>
          <w:szCs w:val="22"/>
          <w:lang w:val="fr-FR"/>
        </w:rPr>
        <w:t xml:space="preserve"> </w:t>
      </w:r>
    </w:p>
    <w:p w:rsidR="00D84548" w:rsidP="00F84BCA" w14:paraId="6EF5D02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A15CBD" w:rsidR="00F84BCA">
        <w:rPr>
          <w:szCs w:val="22"/>
        </w:rPr>
        <w:t>C</w:t>
      </w:r>
      <w:r w:rsidR="00F84BCA">
        <w:rPr>
          <w:szCs w:val="22"/>
        </w:rPr>
        <w:t>hief</w:t>
      </w:r>
      <w:r w:rsidR="00EF1C44">
        <w:rPr>
          <w:szCs w:val="22"/>
        </w:rPr>
        <w:t xml:space="preserve"> </w:t>
      </w:r>
    </w:p>
    <w:p w:rsidR="00F84BCA" w:rsidP="000A4143" w14:paraId="673F9A7F" w14:textId="77777777">
      <w:pPr>
        <w:ind w:left="3600" w:firstLine="720"/>
        <w:outlineLvl w:val="0"/>
        <w:rPr>
          <w:szCs w:val="22"/>
        </w:rPr>
      </w:pPr>
      <w:r>
        <w:rPr>
          <w:szCs w:val="22"/>
        </w:rPr>
        <w:t>Enforcement Bureau</w:t>
      </w:r>
    </w:p>
    <w:p w:rsidR="00621E1B" w:rsidP="00CF77B7" w14:paraId="330D7BD7" w14:textId="77777777">
      <w:pPr>
        <w:rPr>
          <w:szCs w:val="22"/>
        </w:rPr>
        <w:sectPr w:rsidSect="00A36B4A">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pgNumType w:start="1"/>
          <w:cols w:space="720"/>
          <w:noEndnote/>
          <w:titlePg/>
          <w:docGrid w:linePitch="299"/>
        </w:sectPr>
      </w:pPr>
    </w:p>
    <w:p w:rsidR="00886D1F" w:rsidRPr="00843A5F" w:rsidP="00886D1F" w14:paraId="1B5EC79A" w14:textId="77777777">
      <w:pPr>
        <w:jc w:val="center"/>
        <w:rPr>
          <w:b/>
        </w:rPr>
      </w:pPr>
      <w:r w:rsidRPr="00843A5F">
        <w:rPr>
          <w:rFonts w:ascii="Times New Roman Bold" w:hAnsi="Times New Roman Bold"/>
          <w:b/>
          <w:kern w:val="0"/>
          <w:szCs w:val="22"/>
        </w:rPr>
        <w:t>Before</w:t>
      </w:r>
      <w:r w:rsidRPr="00843A5F">
        <w:rPr>
          <w:b/>
        </w:rPr>
        <w:t xml:space="preserve"> the</w:t>
      </w:r>
    </w:p>
    <w:p w:rsidR="00886D1F" w:rsidRPr="00843A5F" w:rsidP="00886D1F" w14:paraId="1E1C0FBA" w14:textId="77777777">
      <w:pPr>
        <w:pStyle w:val="StyleBoldCentered"/>
      </w:pPr>
      <w:r w:rsidRPr="00843A5F">
        <w:t>F</w:t>
      </w:r>
      <w:r w:rsidRPr="00843A5F">
        <w:rPr>
          <w:caps w:val="0"/>
        </w:rPr>
        <w:t>ederal Communications Commission</w:t>
      </w:r>
    </w:p>
    <w:p w:rsidR="00886D1F" w:rsidRPr="00843A5F" w:rsidP="00886D1F" w14:paraId="35940F90" w14:textId="77777777">
      <w:pPr>
        <w:pStyle w:val="StyleBoldCentered"/>
      </w:pPr>
      <w:r w:rsidRPr="00843A5F">
        <w:rPr>
          <w:caps w:val="0"/>
        </w:rPr>
        <w:t>Washington, D</w:t>
      </w:r>
      <w:r>
        <w:rPr>
          <w:caps w:val="0"/>
        </w:rPr>
        <w:t>.</w:t>
      </w:r>
      <w:r w:rsidRPr="00843A5F">
        <w:rPr>
          <w:caps w:val="0"/>
        </w:rPr>
        <w:t>C</w:t>
      </w:r>
      <w:r>
        <w:rPr>
          <w:caps w:val="0"/>
        </w:rPr>
        <w:t>.</w:t>
      </w:r>
      <w:r w:rsidRPr="00843A5F">
        <w:rPr>
          <w:caps w:val="0"/>
        </w:rPr>
        <w:t xml:space="preserve"> 20554</w:t>
      </w:r>
    </w:p>
    <w:p w:rsidR="00886D1F" w:rsidRPr="00843A5F" w:rsidP="00886D1F" w14:paraId="0C25DB9C" w14:textId="77777777"/>
    <w:tbl>
      <w:tblPr>
        <w:tblW w:w="9576" w:type="dxa"/>
        <w:tblLayout w:type="fixed"/>
        <w:tblLook w:val="0000"/>
      </w:tblPr>
      <w:tblGrid>
        <w:gridCol w:w="4698"/>
        <w:gridCol w:w="630"/>
        <w:gridCol w:w="4248"/>
      </w:tblGrid>
      <w:tr w14:paraId="66E188E5" w14:textId="77777777" w:rsidTr="00CE1508">
        <w:tblPrEx>
          <w:tblW w:w="9576" w:type="dxa"/>
          <w:tblLayout w:type="fixed"/>
          <w:tblLook w:val="0000"/>
        </w:tblPrEx>
        <w:trPr>
          <w:trHeight w:val="2043"/>
        </w:trPr>
        <w:tc>
          <w:tcPr>
            <w:tcW w:w="4698" w:type="dxa"/>
          </w:tcPr>
          <w:p w:rsidR="00886D1F" w:rsidRPr="00843A5F" w:rsidP="00CE1508" w14:paraId="2366B069" w14:textId="77777777">
            <w:pPr>
              <w:tabs>
                <w:tab w:val="center" w:pos="4680"/>
              </w:tabs>
              <w:suppressAutoHyphens/>
              <w:rPr>
                <w:spacing w:val="-2"/>
              </w:rPr>
            </w:pPr>
            <w:r w:rsidRPr="00843A5F">
              <w:rPr>
                <w:spacing w:val="-2"/>
              </w:rPr>
              <w:t>In the Matter of</w:t>
            </w:r>
          </w:p>
          <w:p w:rsidR="00886D1F" w:rsidRPr="00843A5F" w:rsidP="00CE1508" w14:paraId="358A8396" w14:textId="77777777">
            <w:pPr>
              <w:tabs>
                <w:tab w:val="center" w:pos="4680"/>
              </w:tabs>
              <w:suppressAutoHyphens/>
              <w:rPr>
                <w:spacing w:val="-2"/>
              </w:rPr>
            </w:pPr>
          </w:p>
          <w:p w:rsidR="00886D1F" w:rsidRPr="007C0B39" w:rsidP="00CE1508" w14:paraId="1DE6EA5C" w14:textId="77777777">
            <w:pPr>
              <w:tabs>
                <w:tab w:val="center" w:pos="4680"/>
              </w:tabs>
              <w:suppressAutoHyphens/>
              <w:rPr>
                <w:spacing w:val="-2"/>
              </w:rPr>
            </w:pPr>
            <w:r>
              <w:rPr>
                <w:szCs w:val="22"/>
              </w:rPr>
              <w:t>Shenandoah Telecommunications Company</w:t>
            </w:r>
          </w:p>
        </w:tc>
        <w:tc>
          <w:tcPr>
            <w:tcW w:w="630" w:type="dxa"/>
          </w:tcPr>
          <w:p w:rsidR="00886D1F" w:rsidRPr="007C0B39" w:rsidP="00CE1508" w14:paraId="3EB98F3B" w14:textId="77777777">
            <w:pPr>
              <w:tabs>
                <w:tab w:val="center" w:pos="4680"/>
              </w:tabs>
              <w:suppressAutoHyphens/>
              <w:rPr>
                <w:b/>
                <w:spacing w:val="-2"/>
              </w:rPr>
            </w:pPr>
            <w:r w:rsidRPr="007C0B39">
              <w:rPr>
                <w:b/>
                <w:spacing w:val="-2"/>
              </w:rPr>
              <w:t>)</w:t>
            </w:r>
          </w:p>
          <w:p w:rsidR="00886D1F" w:rsidRPr="007C0B39" w:rsidP="00CE1508" w14:paraId="6FB8B308" w14:textId="77777777">
            <w:pPr>
              <w:tabs>
                <w:tab w:val="center" w:pos="4680"/>
              </w:tabs>
              <w:suppressAutoHyphens/>
              <w:rPr>
                <w:b/>
                <w:spacing w:val="-2"/>
              </w:rPr>
            </w:pPr>
            <w:r w:rsidRPr="007C0B39">
              <w:rPr>
                <w:b/>
                <w:spacing w:val="-2"/>
              </w:rPr>
              <w:t>)</w:t>
            </w:r>
          </w:p>
          <w:p w:rsidR="00886D1F" w:rsidRPr="007C0B39" w:rsidP="00CE1508" w14:paraId="1BB929A0" w14:textId="77777777">
            <w:pPr>
              <w:tabs>
                <w:tab w:val="center" w:pos="4680"/>
              </w:tabs>
              <w:suppressAutoHyphens/>
              <w:rPr>
                <w:b/>
                <w:spacing w:val="-2"/>
              </w:rPr>
            </w:pPr>
            <w:r w:rsidRPr="007C0B39">
              <w:rPr>
                <w:b/>
                <w:spacing w:val="-2"/>
              </w:rPr>
              <w:t>)</w:t>
            </w:r>
          </w:p>
          <w:p w:rsidR="00886D1F" w:rsidRPr="007C0B39" w:rsidP="00CE1508" w14:paraId="297EB25F" w14:textId="77777777">
            <w:pPr>
              <w:tabs>
                <w:tab w:val="center" w:pos="4680"/>
              </w:tabs>
              <w:suppressAutoHyphens/>
              <w:rPr>
                <w:b/>
                <w:spacing w:val="-2"/>
              </w:rPr>
            </w:pPr>
            <w:r w:rsidRPr="007C0B39">
              <w:rPr>
                <w:b/>
                <w:spacing w:val="-2"/>
              </w:rPr>
              <w:t>)</w:t>
            </w:r>
          </w:p>
          <w:p w:rsidR="00886D1F" w:rsidRPr="007C0B39" w:rsidP="00CE1508" w14:paraId="7C8DB8C8" w14:textId="77777777">
            <w:pPr>
              <w:tabs>
                <w:tab w:val="center" w:pos="4680"/>
              </w:tabs>
              <w:suppressAutoHyphens/>
              <w:rPr>
                <w:b/>
                <w:spacing w:val="-2"/>
              </w:rPr>
            </w:pPr>
            <w:r w:rsidRPr="007C0B39">
              <w:rPr>
                <w:b/>
                <w:spacing w:val="-2"/>
              </w:rPr>
              <w:t>)</w:t>
            </w:r>
          </w:p>
          <w:p w:rsidR="00886D1F" w:rsidRPr="007C0B39" w:rsidP="00CE1508" w14:paraId="63F6BB6D" w14:textId="77777777">
            <w:pPr>
              <w:tabs>
                <w:tab w:val="center" w:pos="4680"/>
              </w:tabs>
              <w:suppressAutoHyphens/>
              <w:rPr>
                <w:b/>
                <w:spacing w:val="-2"/>
              </w:rPr>
            </w:pPr>
            <w:r w:rsidRPr="007C0B39">
              <w:rPr>
                <w:b/>
                <w:spacing w:val="-2"/>
              </w:rPr>
              <w:t>)</w:t>
            </w:r>
          </w:p>
          <w:p w:rsidR="00886D1F" w:rsidRPr="007C0B39" w:rsidP="00CE1508" w14:paraId="0B813EA9" w14:textId="77777777">
            <w:pPr>
              <w:tabs>
                <w:tab w:val="center" w:pos="4680"/>
              </w:tabs>
              <w:suppressAutoHyphens/>
              <w:rPr>
                <w:b/>
                <w:spacing w:val="-2"/>
              </w:rPr>
            </w:pPr>
            <w:r w:rsidRPr="007C0B39">
              <w:rPr>
                <w:b/>
                <w:spacing w:val="-2"/>
              </w:rPr>
              <w:t>)</w:t>
            </w:r>
          </w:p>
          <w:p w:rsidR="00886D1F" w:rsidRPr="007C0B39" w:rsidP="00CE1508" w14:paraId="784D88BF" w14:textId="77777777">
            <w:pPr>
              <w:tabs>
                <w:tab w:val="center" w:pos="4680"/>
              </w:tabs>
              <w:suppressAutoHyphens/>
              <w:rPr>
                <w:spacing w:val="-2"/>
              </w:rPr>
            </w:pPr>
          </w:p>
        </w:tc>
        <w:tc>
          <w:tcPr>
            <w:tcW w:w="4248" w:type="dxa"/>
          </w:tcPr>
          <w:p w:rsidR="00886D1F" w:rsidP="00CE1508" w14:paraId="5183FFCC" w14:textId="77777777">
            <w:pPr>
              <w:tabs>
                <w:tab w:val="center" w:pos="4680"/>
              </w:tabs>
              <w:suppressAutoHyphens/>
              <w:ind w:left="432"/>
              <w:rPr>
                <w:spacing w:val="-2"/>
                <w:szCs w:val="22"/>
              </w:rPr>
            </w:pPr>
          </w:p>
          <w:p w:rsidR="00886D1F" w:rsidP="00CE1508" w14:paraId="4FF90B0D" w14:textId="77777777">
            <w:pPr>
              <w:tabs>
                <w:tab w:val="center" w:pos="4680"/>
              </w:tabs>
              <w:suppressAutoHyphens/>
              <w:ind w:left="432"/>
              <w:rPr>
                <w:spacing w:val="-2"/>
                <w:szCs w:val="22"/>
              </w:rPr>
            </w:pPr>
          </w:p>
          <w:p w:rsidR="00886D1F" w:rsidRPr="007C0B39" w:rsidP="00CE1508" w14:paraId="2029D8AD" w14:textId="77777777">
            <w:pPr>
              <w:tabs>
                <w:tab w:val="center" w:pos="4680"/>
              </w:tabs>
              <w:suppressAutoHyphens/>
              <w:ind w:left="432"/>
              <w:rPr>
                <w:spacing w:val="-2"/>
                <w:szCs w:val="22"/>
              </w:rPr>
            </w:pPr>
            <w:r w:rsidRPr="007C0B39">
              <w:rPr>
                <w:spacing w:val="-2"/>
                <w:szCs w:val="22"/>
              </w:rPr>
              <w:t xml:space="preserve">File No.:  </w:t>
            </w:r>
            <w:r>
              <w:rPr>
                <w:spacing w:val="-2"/>
                <w:szCs w:val="22"/>
              </w:rPr>
              <w:t>EB-SED-22-00034239</w:t>
            </w:r>
          </w:p>
          <w:p w:rsidR="00886D1F" w:rsidRPr="007C0B39" w:rsidP="00CE1508" w14:paraId="006A2E5B" w14:textId="77777777">
            <w:pPr>
              <w:ind w:left="432"/>
              <w:rPr>
                <w:spacing w:val="-2"/>
                <w:szCs w:val="22"/>
              </w:rPr>
            </w:pPr>
            <w:r>
              <w:rPr>
                <w:spacing w:val="-2"/>
                <w:szCs w:val="22"/>
              </w:rPr>
              <w:t xml:space="preserve">CD </w:t>
            </w:r>
            <w:r w:rsidRPr="007C0B39">
              <w:rPr>
                <w:spacing w:val="-2"/>
                <w:szCs w:val="22"/>
              </w:rPr>
              <w:t xml:space="preserve">Acct. No.:  </w:t>
            </w:r>
            <w:r>
              <w:rPr>
                <w:spacing w:val="-2"/>
                <w:szCs w:val="22"/>
              </w:rPr>
              <w:t>202332100008</w:t>
            </w:r>
          </w:p>
          <w:p w:rsidR="00886D1F" w:rsidRPr="007C0B39" w:rsidP="00CE1508" w14:paraId="048113CE" w14:textId="77777777">
            <w:pPr>
              <w:tabs>
                <w:tab w:val="center" w:pos="4680"/>
              </w:tabs>
              <w:suppressAutoHyphens/>
              <w:ind w:left="432"/>
              <w:rPr>
                <w:spacing w:val="-2"/>
              </w:rPr>
            </w:pPr>
            <w:r w:rsidRPr="007C0B39">
              <w:rPr>
                <w:szCs w:val="22"/>
              </w:rPr>
              <w:t xml:space="preserve">FRN:  </w:t>
            </w:r>
            <w:r>
              <w:rPr>
                <w:szCs w:val="22"/>
              </w:rPr>
              <w:t>0002064145</w:t>
            </w:r>
          </w:p>
        </w:tc>
      </w:tr>
    </w:tbl>
    <w:p w:rsidR="00886D1F" w:rsidRPr="007C0B39" w:rsidP="00886D1F" w14:paraId="754DB454" w14:textId="77777777">
      <w:pPr>
        <w:pStyle w:val="StyleBoldCentered"/>
      </w:pPr>
      <w:r w:rsidRPr="007C0B39">
        <w:t>CONSENT DECREE</w:t>
      </w:r>
    </w:p>
    <w:p w:rsidR="00886D1F" w:rsidRPr="007C0B39" w:rsidP="00886D1F" w14:paraId="410BF420" w14:textId="77777777">
      <w:pPr>
        <w:pStyle w:val="StyleBoldCentered"/>
      </w:pPr>
    </w:p>
    <w:p w:rsidR="00886D1F" w:rsidRPr="007C0B39" w:rsidP="00886D1F" w14:paraId="02A141FA" w14:textId="77777777">
      <w:pPr>
        <w:pStyle w:val="ParaNum"/>
        <w:widowControl/>
      </w:pPr>
      <w:r w:rsidRPr="007C0B39">
        <w:t>The Enforcement Bureau of the Federal</w:t>
      </w:r>
      <w:r>
        <w:t xml:space="preserve"> </w:t>
      </w:r>
      <w:r w:rsidRPr="007C0B39">
        <w:t xml:space="preserve">Communications Commission and </w:t>
      </w:r>
      <w:r>
        <w:t>Shenandoah Telecommunications Company</w:t>
      </w:r>
      <w:r w:rsidRPr="007C0B39">
        <w:t xml:space="preserve">, by their authorized representatives, hereby enter into this Consent Decree for the purpose of terminating the Enforcement Bureau’s investigation into whether </w:t>
      </w:r>
      <w:r>
        <w:t>Shentel</w:t>
      </w:r>
      <w:r>
        <w:t xml:space="preserve"> </w:t>
      </w:r>
      <w:r w:rsidRPr="007C0B39">
        <w:t xml:space="preserve">violated </w:t>
      </w:r>
      <w:r>
        <w:t xml:space="preserve">section 9.11 of the Commission’s rules </w:t>
      </w:r>
      <w:r w:rsidRPr="007C0B39">
        <w:rPr>
          <w:szCs w:val="22"/>
        </w:rPr>
        <w:t xml:space="preserve">in connection </w:t>
      </w:r>
      <w:r>
        <w:rPr>
          <w:szCs w:val="22"/>
        </w:rPr>
        <w:t xml:space="preserve">with disrupted 911 calls between April 6, 2022, and April 22, 2022, in four West Virginia counties.  The disrupted 911 calls had one-way audio, meaning that the public safety answering point operators could not hear the 911 callers.  </w:t>
      </w:r>
      <w:r>
        <w:t xml:space="preserve">To resolve this matter, </w:t>
      </w:r>
      <w:r>
        <w:t>Shentel</w:t>
      </w:r>
      <w:r>
        <w:t xml:space="preserve"> agrees to the terms and conditions below, including the implementation of a compliance plan and payment of a $227,200 civil penalty.  </w:t>
      </w:r>
    </w:p>
    <w:p w:rsidR="00886D1F" w:rsidRPr="007C0B39" w:rsidP="00886D1F" w14:paraId="7F6CB8D5" w14:textId="77777777">
      <w:pPr>
        <w:pStyle w:val="Heading1"/>
        <w:widowControl/>
      </w:pPr>
      <w:r w:rsidRPr="007C0B39">
        <w:t>DEFINITIONS</w:t>
      </w:r>
    </w:p>
    <w:p w:rsidR="00886D1F" w:rsidRPr="007C0B39" w:rsidP="00886D1F" w14:paraId="08FBB93F" w14:textId="77777777">
      <w:pPr>
        <w:pStyle w:val="ParaNum"/>
        <w:widowControl/>
      </w:pPr>
      <w:r w:rsidRPr="007C0B39">
        <w:t>For the purposes of this Consent Decree, the following definitions shall apply:</w:t>
      </w:r>
    </w:p>
    <w:p w:rsidR="00886D1F" w:rsidP="00886D1F" w14:paraId="3BFE65A7" w14:textId="77777777">
      <w:pPr>
        <w:widowControl/>
        <w:numPr>
          <w:ilvl w:val="0"/>
          <w:numId w:val="47"/>
        </w:numPr>
        <w:tabs>
          <w:tab w:val="clear" w:pos="1224"/>
        </w:tabs>
        <w:spacing w:after="120"/>
        <w:ind w:left="1890"/>
        <w:rPr>
          <w:szCs w:val="22"/>
        </w:rPr>
      </w:pPr>
      <w:r>
        <w:rPr>
          <w:szCs w:val="22"/>
        </w:rPr>
        <w:t>“911 Rules” means sections 4.5, 4.7, and 9.11(b) of the Rules,</w:t>
      </w:r>
      <w:r>
        <w:rPr>
          <w:rStyle w:val="FootnoteReference"/>
          <w:szCs w:val="22"/>
        </w:rPr>
        <w:footnoteReference w:id="7"/>
      </w:r>
      <w:r>
        <w:rPr>
          <w:szCs w:val="22"/>
        </w:rPr>
        <w:t xml:space="preserve"> </w:t>
      </w:r>
      <w:r w:rsidRPr="00227276">
        <w:rPr>
          <w:rStyle w:val="markedcontent"/>
          <w:szCs w:val="22"/>
        </w:rPr>
        <w:t>and other</w:t>
      </w:r>
      <w:r w:rsidRPr="00030F3B">
        <w:rPr>
          <w:szCs w:val="22"/>
        </w:rPr>
        <w:br/>
      </w:r>
      <w:r w:rsidRPr="00227276">
        <w:rPr>
          <w:rStyle w:val="markedcontent"/>
          <w:szCs w:val="22"/>
        </w:rPr>
        <w:t>Communications Laws governing the delivery of 911 calls to Public Safety</w:t>
      </w:r>
      <w:r w:rsidRPr="00030F3B">
        <w:rPr>
          <w:szCs w:val="22"/>
        </w:rPr>
        <w:br/>
      </w:r>
      <w:r w:rsidRPr="00227276">
        <w:rPr>
          <w:rStyle w:val="markedcontent"/>
          <w:szCs w:val="22"/>
        </w:rPr>
        <w:t>Answering Points (PSAPs).</w:t>
      </w:r>
    </w:p>
    <w:p w:rsidR="00886D1F" w:rsidRPr="007C0B39" w:rsidP="00886D1F" w14:paraId="298E8140" w14:textId="77777777">
      <w:pPr>
        <w:widowControl/>
        <w:numPr>
          <w:ilvl w:val="0"/>
          <w:numId w:val="47"/>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rsidR="00886D1F" w:rsidRPr="007C0B39" w:rsidP="00886D1F" w14:paraId="5B0135F6" w14:textId="77777777">
      <w:pPr>
        <w:widowControl/>
        <w:numPr>
          <w:ilvl w:val="0"/>
          <w:numId w:val="47"/>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886D1F" w:rsidRPr="007C0B39" w:rsidP="00886D1F" w14:paraId="588003AB" w14:textId="77777777">
      <w:pPr>
        <w:widowControl/>
        <w:numPr>
          <w:ilvl w:val="0"/>
          <w:numId w:val="47"/>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886D1F" w:rsidP="00886D1F" w14:paraId="4219A724" w14:textId="77777777">
      <w:pPr>
        <w:widowControl/>
        <w:numPr>
          <w:ilvl w:val="0"/>
          <w:numId w:val="47"/>
        </w:numPr>
        <w:tabs>
          <w:tab w:val="clear" w:pos="1224"/>
        </w:tabs>
        <w:spacing w:after="120"/>
        <w:ind w:left="1890"/>
        <w:rPr>
          <w:szCs w:val="22"/>
        </w:rPr>
      </w:pPr>
      <w:r w:rsidRPr="00887F97">
        <w:rPr>
          <w:szCs w:val="22"/>
        </w:rPr>
        <w:t>“</w:t>
      </w:r>
      <w:r>
        <w:rPr>
          <w:szCs w:val="22"/>
        </w:rPr>
        <w:t xml:space="preserve">CD </w:t>
      </w:r>
      <w:r w:rsidRPr="00887F97">
        <w:rPr>
          <w:szCs w:val="22"/>
        </w:rPr>
        <w:t xml:space="preserve">Acct No.” means account number </w:t>
      </w:r>
      <w:r>
        <w:rPr>
          <w:szCs w:val="22"/>
        </w:rPr>
        <w:t>202332100008</w:t>
      </w:r>
      <w:r w:rsidRPr="00887F97">
        <w:rPr>
          <w:szCs w:val="22"/>
        </w:rPr>
        <w:t xml:space="preserve">, associated with payment obligations described in paragraph </w:t>
      </w:r>
      <w:r>
        <w:rPr>
          <w:szCs w:val="22"/>
        </w:rPr>
        <w:fldChar w:fldCharType="begin"/>
      </w:r>
      <w:r>
        <w:rPr>
          <w:szCs w:val="22"/>
        </w:rPr>
        <w:instrText xml:space="preserve"> REF _Ref128035495 \r \h </w:instrText>
      </w:r>
      <w:r>
        <w:rPr>
          <w:szCs w:val="22"/>
        </w:rPr>
        <w:fldChar w:fldCharType="separate"/>
      </w:r>
      <w:r>
        <w:rPr>
          <w:szCs w:val="22"/>
        </w:rPr>
        <w:t>17</w:t>
      </w:r>
      <w:r>
        <w:rPr>
          <w:szCs w:val="22"/>
        </w:rPr>
        <w:fldChar w:fldCharType="end"/>
      </w:r>
      <w:r w:rsidRPr="00887F97">
        <w:rPr>
          <w:szCs w:val="22"/>
        </w:rPr>
        <w:t xml:space="preserve"> of this Consent Decree.</w:t>
      </w:r>
    </w:p>
    <w:p w:rsidR="00886D1F" w:rsidRPr="007C0B39" w:rsidP="00886D1F" w14:paraId="6D2DD8C2" w14:textId="77777777">
      <w:pPr>
        <w:widowControl/>
        <w:numPr>
          <w:ilvl w:val="0"/>
          <w:numId w:val="47"/>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886D1F" w:rsidRPr="007C0B39" w:rsidP="00886D1F" w14:paraId="12E16BA9" w14:textId="77777777">
      <w:pPr>
        <w:widowControl/>
        <w:numPr>
          <w:ilvl w:val="0"/>
          <w:numId w:val="47"/>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w:t>
      </w:r>
      <w:r>
        <w:rPr>
          <w:szCs w:val="22"/>
        </w:rPr>
        <w:t xml:space="preserve"> </w:t>
      </w:r>
      <w:r>
        <w:rPr>
          <w:szCs w:val="22"/>
        </w:rPr>
        <w:t>Shentel</w:t>
      </w:r>
      <w:r>
        <w:rPr>
          <w:szCs w:val="22"/>
        </w:rPr>
        <w:t xml:space="preserve"> </w:t>
      </w:r>
      <w:r w:rsidRPr="007C0B39">
        <w:rPr>
          <w:szCs w:val="22"/>
        </w:rPr>
        <w:t>is subject by virtue of its business activities, including but not limited to the</w:t>
      </w:r>
      <w:r>
        <w:rPr>
          <w:szCs w:val="22"/>
        </w:rPr>
        <w:t xml:space="preserve"> 911 </w:t>
      </w:r>
      <w:r w:rsidRPr="007C0B39">
        <w:rPr>
          <w:szCs w:val="22"/>
        </w:rPr>
        <w:t>Rules.</w:t>
      </w:r>
    </w:p>
    <w:p w:rsidR="00886D1F" w:rsidRPr="007C0B39" w:rsidP="00886D1F" w14:paraId="6CEBFC7F" w14:textId="77777777">
      <w:pPr>
        <w:widowControl/>
        <w:numPr>
          <w:ilvl w:val="0"/>
          <w:numId w:val="47"/>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w:t>
      </w:r>
      <w:r>
        <w:rPr>
          <w:szCs w:val="22"/>
        </w:rPr>
        <w:t xml:space="preserve"> </w:t>
      </w:r>
      <w:r>
        <w:rPr>
          <w:szCs w:val="22"/>
        </w:rPr>
        <w:fldChar w:fldCharType="begin"/>
      </w:r>
      <w:r>
        <w:rPr>
          <w:szCs w:val="22"/>
        </w:rPr>
        <w:instrText xml:space="preserve"> REF _Ref357521857 \r \h </w:instrText>
      </w:r>
      <w:r>
        <w:rPr>
          <w:szCs w:val="22"/>
        </w:rPr>
        <w:fldChar w:fldCharType="separate"/>
      </w:r>
      <w:r>
        <w:rPr>
          <w:szCs w:val="22"/>
        </w:rPr>
        <w:t>12</w:t>
      </w:r>
      <w:r>
        <w:rPr>
          <w:szCs w:val="22"/>
        </w:rPr>
        <w:fldChar w:fldCharType="end"/>
      </w:r>
      <w:r w:rsidRPr="007C0B39">
        <w:rPr>
          <w:szCs w:val="22"/>
        </w:rPr>
        <w:t>.</w:t>
      </w:r>
    </w:p>
    <w:p w:rsidR="00886D1F" w:rsidRPr="007C0B39" w:rsidP="00886D1F" w14:paraId="344286A1" w14:textId="77777777">
      <w:pPr>
        <w:widowControl/>
        <w:numPr>
          <w:ilvl w:val="0"/>
          <w:numId w:val="47"/>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Shentel</w:t>
      </w:r>
      <w:r>
        <w:rPr>
          <w:szCs w:val="22"/>
        </w:rPr>
        <w:t xml:space="preserve"> </w:t>
      </w:r>
      <w:r w:rsidRPr="007C0B39">
        <w:rPr>
          <w:szCs w:val="22"/>
        </w:rPr>
        <w:t xml:space="preserve">who perform, supervise, oversee, or manage the performance of, duties that relate to </w:t>
      </w:r>
      <w:r>
        <w:rPr>
          <w:szCs w:val="22"/>
        </w:rPr>
        <w:t>Shentel</w:t>
      </w:r>
      <w:r w:rsidRPr="007C0B39">
        <w:rPr>
          <w:szCs w:val="22"/>
        </w:rPr>
        <w:t>’s</w:t>
      </w:r>
      <w:r w:rsidRPr="007C0B39">
        <w:rPr>
          <w:szCs w:val="22"/>
        </w:rPr>
        <w:t xml:space="preserve"> responsibilities under the Communications Laws, including the </w:t>
      </w:r>
      <w:r>
        <w:rPr>
          <w:szCs w:val="22"/>
        </w:rPr>
        <w:t>911</w:t>
      </w:r>
      <w:r w:rsidRPr="007C0B39">
        <w:rPr>
          <w:szCs w:val="22"/>
        </w:rPr>
        <w:t xml:space="preserve"> Rules.</w:t>
      </w:r>
    </w:p>
    <w:p w:rsidR="00886D1F" w:rsidRPr="007C0B39" w:rsidP="00886D1F" w14:paraId="773396F1" w14:textId="77777777">
      <w:pPr>
        <w:widowControl/>
        <w:numPr>
          <w:ilvl w:val="0"/>
          <w:numId w:val="47"/>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Shentel</w:t>
      </w:r>
      <w:r>
        <w:rPr>
          <w:szCs w:val="22"/>
        </w:rPr>
        <w:t xml:space="preserve"> </w:t>
      </w:r>
      <w:r w:rsidRPr="007C0B39">
        <w:rPr>
          <w:szCs w:val="22"/>
        </w:rPr>
        <w:t>have signed the Consent Decree</w:t>
      </w:r>
      <w:r>
        <w:rPr>
          <w:szCs w:val="22"/>
        </w:rPr>
        <w:t xml:space="preserve"> and the Bureau has released an Adopting Order</w:t>
      </w:r>
      <w:r w:rsidRPr="007C0B39">
        <w:rPr>
          <w:szCs w:val="22"/>
        </w:rPr>
        <w:t>.</w:t>
      </w:r>
    </w:p>
    <w:p w:rsidR="00886D1F" w:rsidRPr="005D122C" w:rsidP="00886D1F" w14:paraId="11328E32" w14:textId="77777777">
      <w:pPr>
        <w:widowControl/>
        <w:numPr>
          <w:ilvl w:val="0"/>
          <w:numId w:val="47"/>
        </w:numPr>
        <w:tabs>
          <w:tab w:val="clear" w:pos="1224"/>
        </w:tabs>
        <w:spacing w:after="120"/>
        <w:ind w:left="1890"/>
        <w:rPr>
          <w:szCs w:val="22"/>
        </w:rPr>
      </w:pPr>
      <w:r w:rsidRPr="005D122C">
        <w:rPr>
          <w:szCs w:val="22"/>
        </w:rPr>
        <w:t>“</w:t>
      </w:r>
      <w:r w:rsidRPr="007C0B39">
        <w:t>Investigation</w:t>
      </w:r>
      <w:r w:rsidRPr="005D122C">
        <w:rPr>
          <w:szCs w:val="22"/>
        </w:rPr>
        <w:t>” means the investigation commenced by the Bureau in F</w:t>
      </w:r>
      <w:r>
        <w:rPr>
          <w:szCs w:val="22"/>
        </w:rPr>
        <w:t xml:space="preserve">ile </w:t>
      </w:r>
      <w:r w:rsidRPr="005D122C">
        <w:rPr>
          <w:szCs w:val="22"/>
        </w:rPr>
        <w:t>No.</w:t>
      </w:r>
      <w:r>
        <w:rPr>
          <w:szCs w:val="22"/>
        </w:rPr>
        <w:t xml:space="preserve"> EB-SED-22-00034239 </w:t>
      </w:r>
      <w:r w:rsidRPr="005D122C">
        <w:rPr>
          <w:szCs w:val="22"/>
        </w:rPr>
        <w:t xml:space="preserve">regarding whether </w:t>
      </w:r>
      <w:r>
        <w:rPr>
          <w:szCs w:val="22"/>
        </w:rPr>
        <w:t>Shentel</w:t>
      </w:r>
      <w:r>
        <w:rPr>
          <w:szCs w:val="22"/>
        </w:rPr>
        <w:t xml:space="preserve"> </w:t>
      </w:r>
      <w:r w:rsidRPr="005D122C">
        <w:rPr>
          <w:szCs w:val="22"/>
        </w:rPr>
        <w:t xml:space="preserve">violated the </w:t>
      </w:r>
      <w:r>
        <w:rPr>
          <w:szCs w:val="22"/>
        </w:rPr>
        <w:t xml:space="preserve">911 </w:t>
      </w:r>
      <w:r w:rsidRPr="005D122C">
        <w:rPr>
          <w:szCs w:val="22"/>
        </w:rPr>
        <w:t>Rules.</w:t>
      </w:r>
    </w:p>
    <w:p w:rsidR="00886D1F" w:rsidRPr="007C0B39" w:rsidP="00886D1F" w14:paraId="5B85C457" w14:textId="77777777">
      <w:pPr>
        <w:widowControl/>
        <w:numPr>
          <w:ilvl w:val="0"/>
          <w:numId w:val="47"/>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Shentel</w:t>
      </w:r>
      <w:r>
        <w:rPr>
          <w:szCs w:val="22"/>
        </w:rPr>
        <w:t xml:space="preserve"> </w:t>
      </w:r>
      <w:r w:rsidRPr="007C0B39">
        <w:rPr>
          <w:szCs w:val="22"/>
        </w:rPr>
        <w:t>to implement the Compliance Plan.</w:t>
      </w:r>
    </w:p>
    <w:p w:rsidR="00886D1F" w:rsidRPr="007C0B39" w:rsidP="00886D1F" w14:paraId="35CA35F1" w14:textId="77777777">
      <w:pPr>
        <w:widowControl/>
        <w:numPr>
          <w:ilvl w:val="0"/>
          <w:numId w:val="47"/>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Shentel</w:t>
      </w:r>
      <w:r>
        <w:rPr>
          <w:szCs w:val="22"/>
        </w:rPr>
        <w:t xml:space="preserve"> </w:t>
      </w:r>
      <w:r w:rsidRPr="007C0B39">
        <w:rPr>
          <w:szCs w:val="22"/>
        </w:rPr>
        <w:t>and the Bureau, each of which is a “Party.”</w:t>
      </w:r>
    </w:p>
    <w:p w:rsidR="00886D1F" w:rsidRPr="007C0B39" w:rsidP="00886D1F" w14:paraId="29842D74" w14:textId="77777777">
      <w:pPr>
        <w:widowControl/>
        <w:numPr>
          <w:ilvl w:val="0"/>
          <w:numId w:val="47"/>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886D1F" w:rsidRPr="007C0B39" w:rsidP="00886D1F" w14:paraId="4ED078E2" w14:textId="77777777">
      <w:pPr>
        <w:widowControl/>
        <w:numPr>
          <w:ilvl w:val="0"/>
          <w:numId w:val="47"/>
        </w:numPr>
        <w:tabs>
          <w:tab w:val="clear" w:pos="1224"/>
        </w:tabs>
        <w:spacing w:after="120"/>
        <w:ind w:left="1890"/>
        <w:rPr>
          <w:szCs w:val="22"/>
        </w:rPr>
      </w:pPr>
      <w:r w:rsidRPr="007C0B39">
        <w:rPr>
          <w:szCs w:val="22"/>
        </w:rPr>
        <w:t>“</w:t>
      </w:r>
      <w:r>
        <w:rPr>
          <w:szCs w:val="22"/>
        </w:rPr>
        <w:t>Shentel</w:t>
      </w:r>
      <w:r>
        <w:rPr>
          <w:szCs w:val="22"/>
        </w:rPr>
        <w:t xml:space="preserve">” or “Company” </w:t>
      </w:r>
      <w:r w:rsidRPr="007C0B39">
        <w:rPr>
          <w:szCs w:val="22"/>
        </w:rPr>
        <w:t xml:space="preserve">means </w:t>
      </w:r>
      <w:r>
        <w:rPr>
          <w:szCs w:val="22"/>
        </w:rPr>
        <w:t xml:space="preserve">Shenandoah Telecommunications Company </w:t>
      </w:r>
      <w:r w:rsidRPr="007C0B39">
        <w:rPr>
          <w:szCs w:val="22"/>
        </w:rPr>
        <w:t>and its affiliates, subsidiaries, predecessors-in-interest, and successors-in-interest</w:t>
      </w:r>
      <w:r>
        <w:rPr>
          <w:szCs w:val="22"/>
        </w:rPr>
        <w:t>.</w:t>
      </w:r>
    </w:p>
    <w:p w:rsidR="00886D1F" w:rsidRPr="007C0B39" w:rsidP="00886D1F" w14:paraId="2EBA435B" w14:textId="77777777">
      <w:pPr>
        <w:pStyle w:val="Heading1"/>
        <w:widowControl/>
        <w:rPr>
          <w:szCs w:val="22"/>
        </w:rPr>
      </w:pPr>
      <w:r w:rsidRPr="007C0B39">
        <w:t>BACKGROUND</w:t>
      </w:r>
    </w:p>
    <w:p w:rsidR="00886D1F" w:rsidRPr="008731E7" w:rsidP="00886D1F" w14:paraId="3AB6B7F3" w14:textId="77777777">
      <w:pPr>
        <w:pStyle w:val="ParaNum"/>
        <w:widowControl/>
      </w:pPr>
      <w:bookmarkStart w:id="0" w:name="_Ref123827753"/>
      <w:r>
        <w:t>Section 9.11(b)(2)(ii) requires interconnected Voice over Internet Protocol (VoIP) service providers to transmit “[a]</w:t>
      </w:r>
      <w:r>
        <w:t>ll</w:t>
      </w:r>
      <w:r>
        <w:t xml:space="preserve"> 911 calls” to public safety answering points (PSAPs).</w:t>
      </w:r>
      <w:r>
        <w:rPr>
          <w:rStyle w:val="FootnoteReference"/>
        </w:rPr>
        <w:footnoteReference w:id="9"/>
      </w:r>
      <w:r>
        <w:t xml:space="preserve">  </w:t>
      </w:r>
      <w:r w:rsidRPr="008731E7">
        <w:t xml:space="preserve">On April 6, 2022, </w:t>
      </w:r>
      <w:r w:rsidRPr="008731E7">
        <w:t>Shentel</w:t>
      </w:r>
      <w:r w:rsidRPr="008731E7">
        <w:t xml:space="preserve"> experienced </w:t>
      </w:r>
      <w:r>
        <w:t xml:space="preserve">a disruption of </w:t>
      </w:r>
      <w:r w:rsidRPr="008731E7">
        <w:t xml:space="preserve">911 </w:t>
      </w:r>
      <w:r>
        <w:t>service</w:t>
      </w:r>
      <w:r w:rsidRPr="008731E7">
        <w:t xml:space="preserve"> in Boone, Wyoming, Lewis</w:t>
      </w:r>
      <w:r>
        <w:t>,</w:t>
      </w:r>
      <w:r w:rsidRPr="008731E7">
        <w:t xml:space="preserve"> and McDowell Counties in West Virginia where </w:t>
      </w:r>
      <w:r w:rsidRPr="008731E7">
        <w:t>Shentel</w:t>
      </w:r>
      <w:r w:rsidRPr="008731E7">
        <w:t xml:space="preserve"> provided </w:t>
      </w:r>
      <w:r>
        <w:t xml:space="preserve">interconnected </w:t>
      </w:r>
      <w:r w:rsidRPr="008731E7">
        <w:t>VoIP service.</w:t>
      </w:r>
      <w:r>
        <w:rPr>
          <w:rStyle w:val="FootnoteReference"/>
        </w:rPr>
        <w:footnoteReference w:id="10"/>
      </w:r>
      <w:r w:rsidRPr="008731E7">
        <w:t xml:space="preserve">  The </w:t>
      </w:r>
      <w:r>
        <w:t>disruption began</w:t>
      </w:r>
      <w:r w:rsidRPr="008731E7">
        <w:t xml:space="preserve"> during </w:t>
      </w:r>
      <w:r>
        <w:t>Shentel’s</w:t>
      </w:r>
      <w:r>
        <w:t xml:space="preserve"> implementation of </w:t>
      </w:r>
      <w:r w:rsidRPr="008731E7">
        <w:t xml:space="preserve">planned </w:t>
      </w:r>
      <w:r>
        <w:t xml:space="preserve">and concurrent </w:t>
      </w:r>
      <w:r w:rsidRPr="008731E7">
        <w:t xml:space="preserve">upgrades </w:t>
      </w:r>
      <w:r>
        <w:t>to its</w:t>
      </w:r>
      <w:r w:rsidRPr="008731E7">
        <w:t xml:space="preserve"> network</w:t>
      </w:r>
      <w:r>
        <w:t xml:space="preserve">.  </w:t>
      </w:r>
      <w:r>
        <w:t>Shentel</w:t>
      </w:r>
      <w:r>
        <w:t xml:space="preserve"> was replacing Session Border Controllers (SBCs) and also transitioning customers to a new 911 routing service.</w:t>
      </w:r>
      <w:r>
        <w:rPr>
          <w:rStyle w:val="FootnoteReference"/>
        </w:rPr>
        <w:t xml:space="preserve"> </w:t>
      </w:r>
      <w:r>
        <w:t xml:space="preserve">  The 911 routing service transition occurred before replacement of the SBCs was completed.  Subscribers whose interconnected VoIP service transitioned to the new 911 routing service, but whose service had not already transitioned from the old SBCs to the new SBCs, experienced one-way audio during 911 calls.  However, the Automatic Number Information (ANI)</w:t>
      </w:r>
      <w:r>
        <w:rPr>
          <w:rStyle w:val="FootnoteReference"/>
        </w:rPr>
        <w:footnoteReference w:id="11"/>
      </w:r>
      <w:r>
        <w:t xml:space="preserve"> and Automatic Location Information (ALI)</w:t>
      </w:r>
      <w:r>
        <w:rPr>
          <w:rStyle w:val="FootnoteReference"/>
        </w:rPr>
        <w:footnoteReference w:id="12"/>
      </w:r>
      <w:r>
        <w:t xml:space="preserve"> were delivered to the PSAPs.  The new 911 routing service could not route the callers’ voice signals to </w:t>
      </w:r>
      <w:r w:rsidRPr="007A4B2E">
        <w:t>the PSAPs</w:t>
      </w:r>
      <w:r>
        <w:t xml:space="preserve"> without the new SBCs in place, and, in the West Virginia counties of </w:t>
      </w:r>
      <w:r w:rsidRPr="008731E7">
        <w:t>Boone, Wyoming, Lewis</w:t>
      </w:r>
      <w:r>
        <w:t>,</w:t>
      </w:r>
      <w:r w:rsidRPr="008731E7">
        <w:t xml:space="preserve"> and McDowell</w:t>
      </w:r>
      <w:r>
        <w:t xml:space="preserve">, the audio signal on 911 calls was limited.  Because of how the new 911 routing service integrated with the old SBCs, the calls were connected with </w:t>
      </w:r>
      <w:r w:rsidRPr="008731E7">
        <w:t>one-way audio</w:t>
      </w:r>
      <w:r>
        <w:t xml:space="preserve"> only, and the 911 callers’ audio was not transmitted to the PSAPs.  T</w:t>
      </w:r>
      <w:r w:rsidRPr="008731E7">
        <w:t>he PSAP operators could not hear the callers, but the callers could hear the PSAP operators.</w:t>
      </w:r>
      <w:r>
        <w:rPr>
          <w:rStyle w:val="FootnoteReference"/>
        </w:rPr>
        <w:footnoteReference w:id="13"/>
      </w:r>
      <w:r w:rsidRPr="008731E7">
        <w:rPr>
          <w:rStyle w:val="FootnoteReference"/>
        </w:rPr>
        <w:t xml:space="preserve"> </w:t>
      </w:r>
      <w:r w:rsidRPr="008731E7">
        <w:t xml:space="preserve"> </w:t>
      </w:r>
      <w:r>
        <w:t xml:space="preserve">Because ANI/ALI were delivered, the PSAP operators were able to affirmatively place return calls to communicate with the 911 callers.  </w:t>
      </w:r>
      <w:r w:rsidRPr="008731E7">
        <w:t xml:space="preserve">The </w:t>
      </w:r>
      <w:r>
        <w:t xml:space="preserve">disruption of 911 service </w:t>
      </w:r>
      <w:r w:rsidRPr="008731E7">
        <w:t>was resolved on April 22, 2022.</w:t>
      </w:r>
      <w:r>
        <w:rPr>
          <w:rStyle w:val="FootnoteReference"/>
        </w:rPr>
        <w:footnoteReference w:id="14"/>
      </w:r>
      <w:bookmarkEnd w:id="0"/>
    </w:p>
    <w:p w:rsidR="00886D1F" w:rsidRPr="007C0B39" w:rsidP="00886D1F" w14:paraId="0EBBC078" w14:textId="77777777">
      <w:pPr>
        <w:pStyle w:val="ParaNum"/>
        <w:widowControl/>
      </w:pPr>
      <w:r w:rsidRPr="008731E7">
        <w:t xml:space="preserve">On September 15, 2022, the Bureau issued a Letter of Inquiry (LOI) to </w:t>
      </w:r>
      <w:r w:rsidRPr="008731E7">
        <w:t>Shentel</w:t>
      </w:r>
      <w:r w:rsidRPr="008731E7">
        <w:t xml:space="preserve"> directing it to submit a sworn written response relating to </w:t>
      </w:r>
      <w:r>
        <w:t>disruption of 911 service in April 2022,</w:t>
      </w:r>
      <w:r w:rsidRPr="008731E7">
        <w:t xml:space="preserve"> and the Bureau </w:t>
      </w:r>
      <w:r w:rsidRPr="008731E7">
        <w:t>issued follow-up questions on November 4, 2022, and December 8, 2022.</w:t>
      </w:r>
      <w:r>
        <w:rPr>
          <w:rStyle w:val="FootnoteReference"/>
        </w:rPr>
        <w:footnoteReference w:id="15"/>
      </w:r>
      <w:r w:rsidRPr="008731E7">
        <w:rPr>
          <w:rStyle w:val="FootnoteReference"/>
        </w:rPr>
        <w:t xml:space="preserve"> </w:t>
      </w:r>
      <w:r w:rsidRPr="008731E7">
        <w:t xml:space="preserve"> </w:t>
      </w:r>
      <w:r w:rsidRPr="008731E7">
        <w:t>Shentel</w:t>
      </w:r>
      <w:r w:rsidRPr="008731E7">
        <w:t xml:space="preserve"> timely responded to each of the Bureau’s inquiries.</w:t>
      </w:r>
      <w:r>
        <w:rPr>
          <w:rStyle w:val="FootnoteReference"/>
        </w:rPr>
        <w:footnoteReference w:id="16"/>
      </w:r>
    </w:p>
    <w:p w:rsidR="00886D1F" w:rsidRPr="007C0B39" w:rsidP="00886D1F" w14:paraId="53D3713E" w14:textId="77777777">
      <w:pPr>
        <w:pStyle w:val="ParaNum"/>
        <w:widowControl/>
      </w:pPr>
      <w:r>
        <w:t>Shentel</w:t>
      </w:r>
      <w:r>
        <w:t xml:space="preserve"> and the Bureau subsequently engaged in settlement negotiations.  To resolve this matter, the Company and the Bureau enter into this Consent Decree and agree to the following terms and conditions.</w:t>
      </w:r>
    </w:p>
    <w:p w:rsidR="00886D1F" w:rsidRPr="007C0B39" w:rsidP="00886D1F" w14:paraId="71AC3375" w14:textId="77777777">
      <w:pPr>
        <w:pStyle w:val="Heading1"/>
        <w:widowControl/>
      </w:pPr>
      <w:bookmarkStart w:id="1" w:name="FN[FN18]"/>
      <w:bookmarkEnd w:id="1"/>
      <w:r w:rsidRPr="007C0B39">
        <w:t>TERMS OF AGREEMENT</w:t>
      </w:r>
    </w:p>
    <w:p w:rsidR="00886D1F" w:rsidRPr="007C0B39" w:rsidP="00886D1F" w14:paraId="763F0AD5" w14:textId="77777777">
      <w:pPr>
        <w:pStyle w:val="ParaNum"/>
        <w:widowControl/>
        <w:rPr>
          <w:szCs w:val="22"/>
        </w:rPr>
      </w:pPr>
      <w:r w:rsidRPr="007C0B39">
        <w:rPr>
          <w:b/>
          <w:szCs w:val="22"/>
          <w:u w:val="single"/>
        </w:rPr>
        <w:t>Adopting Order</w:t>
      </w:r>
      <w:r w:rsidRPr="007C0B39">
        <w:rPr>
          <w:szCs w:val="22"/>
        </w:rPr>
        <w:t>.  The provisions of this Consent Decree shall be incorporated by the Bureau in an Adopting Order.</w:t>
      </w:r>
    </w:p>
    <w:p w:rsidR="00886D1F" w:rsidRPr="007C0B39" w:rsidP="00886D1F" w14:paraId="6B8F8CFB" w14:textId="77777777">
      <w:pPr>
        <w:pStyle w:val="ParaNum"/>
        <w:widowControl/>
        <w:rPr>
          <w:szCs w:val="22"/>
        </w:rPr>
      </w:pPr>
      <w:r w:rsidRPr="007C0B39">
        <w:rPr>
          <w:b/>
          <w:szCs w:val="22"/>
          <w:u w:val="single"/>
        </w:rPr>
        <w:t>Jurisdiction</w:t>
      </w:r>
      <w:r w:rsidRPr="007C0B39">
        <w:rPr>
          <w:szCs w:val="22"/>
        </w:rPr>
        <w:t xml:space="preserve">.  </w:t>
      </w:r>
      <w:r>
        <w:rPr>
          <w:szCs w:val="22"/>
        </w:rPr>
        <w:t>Shentel</w:t>
      </w:r>
      <w:r>
        <w:rPr>
          <w:szCs w:val="22"/>
        </w:rPr>
        <w:t xml:space="preserve">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rsidR="00886D1F" w:rsidRPr="007C0B39" w:rsidP="00886D1F" w14:paraId="7D205FE8" w14:textId="77777777">
      <w:pPr>
        <w:pStyle w:val="ParaNum"/>
        <w:widowControl/>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886D1F" w:rsidRPr="00C566EC" w:rsidP="00886D1F" w14:paraId="5E0C48AE" w14:textId="77777777">
      <w:pPr>
        <w:pStyle w:val="ParaNum"/>
        <w:widowControl/>
        <w:rPr>
          <w:szCs w:val="22"/>
        </w:rPr>
      </w:pPr>
      <w:bookmarkStart w:id="2" w:name="_Ref123828017"/>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Shentel</w:t>
      </w:r>
      <w:r>
        <w:rPr>
          <w:szCs w:val="22"/>
        </w:rPr>
        <w:t xml:space="preserve"> </w:t>
      </w:r>
      <w:r w:rsidRPr="007C0B39">
        <w:rPr>
          <w:szCs w:val="22"/>
        </w:rPr>
        <w:t>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w:t>
      </w:r>
      <w:r>
        <w:rPr>
          <w:szCs w:val="22"/>
        </w:rPr>
        <w:t xml:space="preserve"> on its own motion</w:t>
      </w:r>
      <w:r w:rsidRPr="007C0B39">
        <w:rPr>
          <w:szCs w:val="22"/>
        </w:rPr>
        <w:t xml:space="preserve"> against </w:t>
      </w:r>
      <w:r>
        <w:rPr>
          <w:szCs w:val="22"/>
        </w:rPr>
        <w:t>Shentel</w:t>
      </w:r>
      <w:r>
        <w:rPr>
          <w:szCs w:val="22"/>
        </w:rPr>
        <w:t xml:space="preserve"> c</w:t>
      </w:r>
      <w:r w:rsidRPr="007C0B39">
        <w:rPr>
          <w:szCs w:val="22"/>
        </w:rPr>
        <w:t>oncerning the matters that were the subject of the Investigation</w:t>
      </w:r>
      <w:r>
        <w:rPr>
          <w:szCs w:val="22"/>
        </w:rPr>
        <w:t>,</w:t>
      </w:r>
      <w:r>
        <w:t xml:space="preserve"> or to set for hearing the question of </w:t>
      </w:r>
      <w:r>
        <w:t>Shentel’s</w:t>
      </w:r>
      <w:r>
        <w:t xml:space="preserve"> basic qualifications to be a Commission licensee or hold Commission licenses or authorizations based on the matters that were the subject of the Investigation.</w:t>
      </w:r>
      <w:r>
        <w:rPr>
          <w:rStyle w:val="FootnoteReference"/>
        </w:rPr>
        <w:footnoteReference w:id="17"/>
      </w:r>
      <w:bookmarkEnd w:id="2"/>
    </w:p>
    <w:p w:rsidR="00886D1F" w:rsidRPr="00D655B3" w:rsidP="00886D1F" w14:paraId="184D2FBA" w14:textId="77777777">
      <w:pPr>
        <w:pStyle w:val="ParaNum"/>
        <w:widowControl/>
        <w:rPr>
          <w:szCs w:val="22"/>
        </w:rPr>
      </w:pPr>
      <w:r w:rsidRPr="007C0B39">
        <w:rPr>
          <w:b/>
          <w:u w:val="single"/>
        </w:rPr>
        <w:t>Admission</w:t>
      </w:r>
      <w:r w:rsidRPr="007C0B39">
        <w:t xml:space="preserve">.  </w:t>
      </w:r>
      <w:r>
        <w:t>Shentel</w:t>
      </w:r>
      <w:r>
        <w:t xml:space="preserve"> </w:t>
      </w:r>
      <w:r w:rsidRPr="007C0B39">
        <w:t xml:space="preserve">admits for the purpose of this Consent Decree and for Commission civil enforcement purposes, and in express reliance on the provisions of paragraph </w:t>
      </w:r>
      <w:r>
        <w:fldChar w:fldCharType="begin"/>
      </w:r>
      <w:r>
        <w:instrText xml:space="preserve"> REF _Ref123828017 \r \h </w:instrText>
      </w:r>
      <w:r>
        <w:fldChar w:fldCharType="separate"/>
      </w:r>
      <w:r>
        <w:t>9</w:t>
      </w:r>
      <w:r>
        <w:fldChar w:fldCharType="end"/>
      </w:r>
      <w:r>
        <w:t xml:space="preserve"> </w:t>
      </w:r>
      <w:r w:rsidRPr="007C0B39">
        <w:t>herein,</w:t>
      </w:r>
      <w:r>
        <w:t xml:space="preserve"> that paragraph </w:t>
      </w:r>
      <w:r>
        <w:fldChar w:fldCharType="begin"/>
      </w:r>
      <w:r>
        <w:instrText xml:space="preserve"> REF _Ref123827753 \r \h </w:instrText>
      </w:r>
      <w:r>
        <w:fldChar w:fldCharType="separate"/>
      </w:r>
      <w:r>
        <w:t>3</w:t>
      </w:r>
      <w:r>
        <w:fldChar w:fldCharType="end"/>
      </w:r>
      <w:r>
        <w:t xml:space="preserve"> contains a true and accurate description of facts underlying the Investigation. </w:t>
      </w:r>
      <w:bookmarkStart w:id="3" w:name="_Ref379202869"/>
    </w:p>
    <w:p w:rsidR="00886D1F" w:rsidRPr="007C0B39" w:rsidP="00886D1F" w14:paraId="642CB75A" w14:textId="77777777">
      <w:pPr>
        <w:pStyle w:val="ParaNum"/>
        <w:widowControl/>
        <w:rPr>
          <w:szCs w:val="22"/>
        </w:rPr>
      </w:pPr>
      <w:bookmarkStart w:id="4" w:name="_Ref128158591"/>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Shentel</w:t>
      </w:r>
      <w:r>
        <w:rPr>
          <w:szCs w:val="22"/>
        </w:rPr>
        <w:t xml:space="preserve">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Shentel</w:t>
      </w:r>
      <w:r>
        <w:rPr>
          <w:szCs w:val="22"/>
        </w:rPr>
        <w:t xml:space="preserve">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w:t>
      </w:r>
      <w:r w:rsidRPr="007C0B39">
        <w:rPr>
          <w:szCs w:val="22"/>
        </w:rPr>
        <w:t xml:space="preserve">discharge his or her duties under this Consent Decree, the Compliance Officer shall have specific knowledge of the </w:t>
      </w:r>
      <w:r>
        <w:rPr>
          <w:szCs w:val="22"/>
        </w:rPr>
        <w:t xml:space="preserve">911 </w:t>
      </w:r>
      <w:r w:rsidRPr="007C0B39">
        <w:rPr>
          <w:szCs w:val="22"/>
        </w:rPr>
        <w:t>Rules prior to assuming his/her duties.</w:t>
      </w:r>
      <w:bookmarkEnd w:id="3"/>
      <w:bookmarkEnd w:id="4"/>
    </w:p>
    <w:p w:rsidR="00886D1F" w:rsidRPr="007C0B39" w:rsidP="00886D1F" w14:paraId="2282EE29" w14:textId="77777777">
      <w:pPr>
        <w:pStyle w:val="ParaNum"/>
        <w:widowControl/>
        <w:rPr>
          <w:szCs w:val="22"/>
        </w:rPr>
      </w:pPr>
      <w:bookmarkStart w:id="5" w:name="_Ref357521857"/>
      <w:r w:rsidRPr="007C0B39">
        <w:rPr>
          <w:b/>
          <w:szCs w:val="22"/>
          <w:u w:val="single"/>
        </w:rPr>
        <w:t>Compliance Plan</w:t>
      </w:r>
      <w:r w:rsidRPr="007C0B39">
        <w:rPr>
          <w:szCs w:val="22"/>
        </w:rPr>
        <w:t xml:space="preserve">.  For purposes of settling the matters set forth herein, </w:t>
      </w:r>
      <w:r>
        <w:rPr>
          <w:szCs w:val="22"/>
        </w:rPr>
        <w:t>Shentel</w:t>
      </w:r>
      <w:r>
        <w:rPr>
          <w:szCs w:val="22"/>
        </w:rPr>
        <w:t xml:space="preserve"> </w:t>
      </w:r>
      <w:r w:rsidRPr="007C0B39">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w:t>
      </w:r>
      <w:r>
        <w:rPr>
          <w:szCs w:val="22"/>
        </w:rPr>
        <w:t xml:space="preserve">911 </w:t>
      </w:r>
      <w:r w:rsidRPr="007C0B39">
        <w:rPr>
          <w:szCs w:val="22"/>
        </w:rPr>
        <w:t xml:space="preserve">Rules, </w:t>
      </w:r>
      <w:r>
        <w:rPr>
          <w:szCs w:val="22"/>
        </w:rPr>
        <w:t>Shentel</w:t>
      </w:r>
      <w:r>
        <w:rPr>
          <w:szCs w:val="22"/>
        </w:rPr>
        <w:t xml:space="preserve"> shall</w:t>
      </w:r>
      <w:r w:rsidRPr="007C0B39">
        <w:rPr>
          <w:szCs w:val="22"/>
        </w:rPr>
        <w:t xml:space="preserve"> implement, at a minimum, the following procedures:</w:t>
      </w:r>
      <w:bookmarkEnd w:id="5"/>
    </w:p>
    <w:p w:rsidR="00886D1F" w:rsidP="00886D1F" w14:paraId="13F7550B" w14:textId="77777777">
      <w:pPr>
        <w:widowControl/>
        <w:numPr>
          <w:ilvl w:val="0"/>
          <w:numId w:val="48"/>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Shentel</w:t>
      </w:r>
      <w:r>
        <w:rPr>
          <w:szCs w:val="22"/>
        </w:rPr>
        <w:t xml:space="preserve"> </w:t>
      </w:r>
      <w:r w:rsidRPr="007C0B39">
        <w:rPr>
          <w:szCs w:val="22"/>
        </w:rPr>
        <w:t>shall establish Operating Procedures that all Covered Employees must follow to help ensure</w:t>
      </w:r>
      <w:r>
        <w:rPr>
          <w:szCs w:val="22"/>
        </w:rPr>
        <w:t xml:space="preserve"> </w:t>
      </w:r>
      <w:r>
        <w:rPr>
          <w:szCs w:val="22"/>
        </w:rPr>
        <w:t>Shentel’</w:t>
      </w:r>
      <w:r w:rsidRPr="007C0B39">
        <w:rPr>
          <w:szCs w:val="22"/>
        </w:rPr>
        <w:t>s</w:t>
      </w:r>
      <w:r w:rsidRPr="007C0B39">
        <w:rPr>
          <w:szCs w:val="22"/>
        </w:rPr>
        <w:t xml:space="preserve"> compliance with the </w:t>
      </w:r>
      <w:r>
        <w:rPr>
          <w:szCs w:val="22"/>
        </w:rPr>
        <w:t xml:space="preserve">911 </w:t>
      </w:r>
      <w:r w:rsidRPr="007C0B39">
        <w:rPr>
          <w:szCs w:val="22"/>
        </w:rPr>
        <w:t xml:space="preserve">Rules.  </w:t>
      </w:r>
      <w:r>
        <w:rPr>
          <w:szCs w:val="22"/>
        </w:rPr>
        <w:t xml:space="preserve">The Operating Procedures shall include, but are not limited to, the following: </w:t>
      </w:r>
    </w:p>
    <w:p w:rsidR="00886D1F" w:rsidRPr="003518D7" w:rsidP="00886D1F" w14:paraId="128638AD" w14:textId="77777777">
      <w:pPr>
        <w:widowControl/>
        <w:numPr>
          <w:ilvl w:val="2"/>
          <w:numId w:val="48"/>
        </w:numPr>
        <w:spacing w:after="120"/>
        <w:rPr>
          <w:szCs w:val="22"/>
        </w:rPr>
      </w:pPr>
      <w:bookmarkStart w:id="6" w:name="_Ref123828050"/>
      <w:r w:rsidRPr="00183C5A">
        <w:rPr>
          <w:b/>
          <w:bCs/>
          <w:szCs w:val="22"/>
          <w:u w:val="single"/>
        </w:rPr>
        <w:t>Develop</w:t>
      </w:r>
      <w:r>
        <w:rPr>
          <w:b/>
          <w:bCs/>
          <w:szCs w:val="22"/>
          <w:u w:val="single"/>
        </w:rPr>
        <w:t xml:space="preserve"> and Improve Upon</w:t>
      </w:r>
      <w:r w:rsidRPr="00183C5A">
        <w:rPr>
          <w:b/>
          <w:bCs/>
          <w:szCs w:val="22"/>
          <w:u w:val="single"/>
        </w:rPr>
        <w:t xml:space="preserve"> 911 Processes</w:t>
      </w:r>
      <w:r>
        <w:rPr>
          <w:bCs/>
          <w:szCs w:val="22"/>
        </w:rPr>
        <w:t xml:space="preserve">.  </w:t>
      </w:r>
      <w:r>
        <w:rPr>
          <w:bCs/>
          <w:szCs w:val="22"/>
        </w:rPr>
        <w:t>Shentel</w:t>
      </w:r>
      <w:r>
        <w:rPr>
          <w:bCs/>
          <w:szCs w:val="22"/>
        </w:rPr>
        <w:t xml:space="preserve"> shall develop and implement, or where processes already exist, improve upon, processes in the evolving 911 environment to (1) </w:t>
      </w:r>
      <w:r w:rsidRPr="003518D7">
        <w:rPr>
          <w:bCs/>
          <w:i/>
          <w:iCs/>
          <w:szCs w:val="22"/>
        </w:rPr>
        <w:t>Identify</w:t>
      </w:r>
      <w:r>
        <w:rPr>
          <w:bCs/>
          <w:szCs w:val="22"/>
        </w:rPr>
        <w:t xml:space="preserve"> risks that could result in disruptions to 911 service; (2) </w:t>
      </w:r>
      <w:r w:rsidRPr="003518D7">
        <w:rPr>
          <w:bCs/>
          <w:i/>
          <w:iCs/>
          <w:szCs w:val="22"/>
        </w:rPr>
        <w:t>Protect</w:t>
      </w:r>
      <w:r>
        <w:rPr>
          <w:bCs/>
          <w:szCs w:val="22"/>
        </w:rPr>
        <w:t xml:space="preserve"> against such risks; (3) </w:t>
      </w:r>
      <w:r w:rsidRPr="003518D7">
        <w:rPr>
          <w:bCs/>
          <w:i/>
          <w:iCs/>
          <w:szCs w:val="22"/>
        </w:rPr>
        <w:t>Detect</w:t>
      </w:r>
      <w:r>
        <w:rPr>
          <w:bCs/>
          <w:szCs w:val="22"/>
        </w:rPr>
        <w:t xml:space="preserve"> 911 outages when they occur; (4) </w:t>
      </w:r>
      <w:r w:rsidRPr="003518D7">
        <w:rPr>
          <w:bCs/>
          <w:i/>
          <w:iCs/>
          <w:szCs w:val="22"/>
        </w:rPr>
        <w:t>Respond</w:t>
      </w:r>
      <w:r>
        <w:rPr>
          <w:bCs/>
          <w:szCs w:val="22"/>
        </w:rPr>
        <w:t xml:space="preserve"> to such outages with remedial actions; and (5) </w:t>
      </w:r>
      <w:r w:rsidRPr="003518D7">
        <w:rPr>
          <w:bCs/>
          <w:i/>
          <w:iCs/>
          <w:szCs w:val="22"/>
        </w:rPr>
        <w:t>Recover</w:t>
      </w:r>
      <w:r>
        <w:rPr>
          <w:bCs/>
          <w:szCs w:val="22"/>
        </w:rPr>
        <w:t xml:space="preserve"> from such outages as soon as practicable.</w:t>
      </w:r>
      <w:bookmarkEnd w:id="6"/>
    </w:p>
    <w:p w:rsidR="00886D1F" w:rsidP="00886D1F" w14:paraId="423908BC" w14:textId="77777777">
      <w:pPr>
        <w:widowControl/>
        <w:numPr>
          <w:ilvl w:val="2"/>
          <w:numId w:val="48"/>
        </w:numPr>
        <w:spacing w:after="120"/>
        <w:rPr>
          <w:szCs w:val="22"/>
        </w:rPr>
      </w:pPr>
      <w:r w:rsidRPr="0085742E">
        <w:rPr>
          <w:b/>
          <w:bCs/>
          <w:szCs w:val="22"/>
          <w:u w:val="single"/>
        </w:rPr>
        <w:t xml:space="preserve">Develop </w:t>
      </w:r>
      <w:r w:rsidRPr="00183C5A">
        <w:rPr>
          <w:b/>
          <w:bCs/>
          <w:szCs w:val="22"/>
          <w:u w:val="single"/>
        </w:rPr>
        <w:t>Compliance Checklist</w:t>
      </w:r>
      <w:r>
        <w:rPr>
          <w:szCs w:val="22"/>
        </w:rPr>
        <w:t xml:space="preserve">.  </w:t>
      </w:r>
      <w:r>
        <w:rPr>
          <w:szCs w:val="22"/>
        </w:rPr>
        <w:t>Shentel</w:t>
      </w:r>
      <w:r>
        <w:rPr>
          <w:szCs w:val="22"/>
        </w:rPr>
        <w:t xml:space="preserve"> </w:t>
      </w:r>
      <w:r w:rsidRPr="007C0B39">
        <w:rPr>
          <w:szCs w:val="22"/>
        </w:rPr>
        <w:t xml:space="preserve">shall develop a </w:t>
      </w:r>
      <w:r>
        <w:rPr>
          <w:szCs w:val="22"/>
        </w:rPr>
        <w:t>c</w:t>
      </w:r>
      <w:r w:rsidRPr="007C0B39">
        <w:rPr>
          <w:szCs w:val="22"/>
        </w:rPr>
        <w:t xml:space="preserve">ompliance </w:t>
      </w:r>
      <w:r>
        <w:rPr>
          <w:szCs w:val="22"/>
        </w:rPr>
        <w:t>c</w:t>
      </w:r>
      <w:r w:rsidRPr="007C0B39">
        <w:rPr>
          <w:szCs w:val="22"/>
        </w:rPr>
        <w:t xml:space="preserve">hecklist that describes the steps that a Covered Employee must follow to ensure compliance with the </w:t>
      </w:r>
      <w:r>
        <w:rPr>
          <w:szCs w:val="22"/>
        </w:rPr>
        <w:t xml:space="preserve">911 </w:t>
      </w:r>
      <w:r w:rsidRPr="007C0B39">
        <w:rPr>
          <w:szCs w:val="22"/>
        </w:rPr>
        <w:t>Rules.</w:t>
      </w:r>
    </w:p>
    <w:p w:rsidR="00886D1F" w:rsidP="00886D1F" w14:paraId="2110DD81" w14:textId="77777777">
      <w:pPr>
        <w:widowControl/>
        <w:numPr>
          <w:ilvl w:val="2"/>
          <w:numId w:val="48"/>
        </w:numPr>
        <w:spacing w:after="120"/>
        <w:rPr>
          <w:szCs w:val="22"/>
        </w:rPr>
      </w:pPr>
      <w:r w:rsidRPr="00183C5A">
        <w:rPr>
          <w:b/>
          <w:bCs/>
          <w:szCs w:val="22"/>
          <w:u w:val="single"/>
        </w:rPr>
        <w:t>Implement Best Practices Relating to Testing Network Elements and Upgrades</w:t>
      </w:r>
      <w:r>
        <w:rPr>
          <w:szCs w:val="22"/>
        </w:rPr>
        <w:t xml:space="preserve">.  </w:t>
      </w:r>
      <w:r>
        <w:rPr>
          <w:szCs w:val="22"/>
        </w:rPr>
        <w:t>Shentel</w:t>
      </w:r>
      <w:r>
        <w:rPr>
          <w:szCs w:val="22"/>
        </w:rPr>
        <w:t xml:space="preserve"> shall establish and implement Operating Procedures (including, as necessary, reviewing and revising any existing procedures) to ensure that all planned maintenance activities, network upgrades, and network updates, (including all phases of such maintenance, upgrades, and updates) are tested in a laboratory or other test environment that simulates the target network and load (including, as applicable, interim operating states) prior to the first application in the network.  </w:t>
      </w:r>
      <w:r>
        <w:rPr>
          <w:szCs w:val="22"/>
        </w:rPr>
        <w:t>Shentel</w:t>
      </w:r>
      <w:r>
        <w:rPr>
          <w:szCs w:val="22"/>
        </w:rPr>
        <w:t xml:space="preserve"> shall do so in a manner consistent with any applicable FCC </w:t>
      </w:r>
      <w:r w:rsidRPr="004E6A49">
        <w:rPr>
          <w:i/>
          <w:iCs/>
          <w:szCs w:val="22"/>
        </w:rPr>
        <w:t>Communications Security, Reliability, and Interoperability Council</w:t>
      </w:r>
      <w:r>
        <w:rPr>
          <w:szCs w:val="22"/>
        </w:rPr>
        <w:t xml:space="preserve"> (CSRIC) best practices, relating to testing of network elements and upgrades.  These Operating Procedures shall, at a minimum, adhere to the following CSRIC best practices, and any future revisions thereto, relating to testing of network elements and upgrades:  13-10-0559 (“Network Operators, Service Providers, and Public Safety should consider validating upgrades, new procedures and commands in a lab or other test environment that simulates the target network and load prior to the first application in the field”) and 13-10-0600 (“Network Operators and Service Providers should establish and document a process to plan, test, evaluate and implement major change activities in their network”).</w:t>
      </w:r>
    </w:p>
    <w:p w:rsidR="00886D1F" w:rsidP="00886D1F" w14:paraId="1F0E6319" w14:textId="77777777">
      <w:pPr>
        <w:widowControl/>
        <w:numPr>
          <w:ilvl w:val="2"/>
          <w:numId w:val="48"/>
        </w:numPr>
        <w:spacing w:after="120"/>
        <w:rPr>
          <w:szCs w:val="22"/>
        </w:rPr>
      </w:pPr>
      <w:r w:rsidRPr="00183C5A">
        <w:rPr>
          <w:b/>
          <w:bCs/>
          <w:szCs w:val="22"/>
          <w:u w:val="single"/>
        </w:rPr>
        <w:t>Implement Best Practices to Manag</w:t>
      </w:r>
      <w:r>
        <w:rPr>
          <w:b/>
          <w:bCs/>
          <w:szCs w:val="22"/>
          <w:u w:val="single"/>
        </w:rPr>
        <w:t>e</w:t>
      </w:r>
      <w:r w:rsidRPr="00183C5A">
        <w:rPr>
          <w:b/>
          <w:bCs/>
          <w:szCs w:val="22"/>
          <w:u w:val="single"/>
        </w:rPr>
        <w:t xml:space="preserve"> 911 Disruptions</w:t>
      </w:r>
      <w:r>
        <w:rPr>
          <w:szCs w:val="22"/>
        </w:rPr>
        <w:t xml:space="preserve">.  </w:t>
      </w:r>
      <w:r>
        <w:rPr>
          <w:szCs w:val="22"/>
        </w:rPr>
        <w:t>Shentel</w:t>
      </w:r>
      <w:r>
        <w:rPr>
          <w:szCs w:val="22"/>
        </w:rPr>
        <w:t xml:space="preserve"> shall establish and implement Operating Procedures (including, as necessary, reviewing and revising any existing procedures) for developing, implementing, testing, evaluating, and updating plans for managing 911 disruptions.  These Operating Procedures shall adhere to the following CSRIC best practice, and any future revision to this best practice, relating to the testing and updating of plans for management of 911 disruptions:  13-9-0579 (“Network Operators, Service Providers, and Public Safety should routinely team to develop, implement, test, evaluate and update, as needed, plans for managing 9-1-1 disruptions (e.g., share </w:t>
      </w:r>
      <w:r>
        <w:rPr>
          <w:szCs w:val="22"/>
        </w:rPr>
        <w:t>information about network and system security and reliability where appropriate”)).</w:t>
      </w:r>
    </w:p>
    <w:p w:rsidR="00886D1F" w:rsidP="00886D1F" w14:paraId="05FC89A2" w14:textId="77777777">
      <w:pPr>
        <w:widowControl/>
        <w:numPr>
          <w:ilvl w:val="2"/>
          <w:numId w:val="48"/>
        </w:numPr>
        <w:spacing w:after="120"/>
        <w:rPr>
          <w:szCs w:val="22"/>
        </w:rPr>
      </w:pPr>
      <w:r w:rsidRPr="00183C5A">
        <w:rPr>
          <w:b/>
          <w:bCs/>
          <w:szCs w:val="22"/>
          <w:u w:val="single"/>
        </w:rPr>
        <w:t xml:space="preserve">Implement Best Practices </w:t>
      </w:r>
      <w:r>
        <w:rPr>
          <w:b/>
          <w:bCs/>
          <w:szCs w:val="22"/>
          <w:u w:val="single"/>
        </w:rPr>
        <w:t>for</w:t>
      </w:r>
      <w:r w:rsidRPr="00183C5A">
        <w:rPr>
          <w:b/>
          <w:bCs/>
          <w:szCs w:val="22"/>
          <w:u w:val="single"/>
        </w:rPr>
        <w:t xml:space="preserve"> 911 Network Components</w:t>
      </w:r>
      <w:r>
        <w:rPr>
          <w:szCs w:val="22"/>
        </w:rPr>
        <w:t xml:space="preserve">.  </w:t>
      </w:r>
      <w:r>
        <w:rPr>
          <w:szCs w:val="22"/>
        </w:rPr>
        <w:t>Shentel</w:t>
      </w:r>
      <w:r>
        <w:rPr>
          <w:szCs w:val="22"/>
        </w:rPr>
        <w:t xml:space="preserve"> shall establish and implement Operating Procedures (including, as necessary, reviewing and revising any existing procedures) for actively monitoring and managing the 911 network components using network management controls, where available, to quickly restore 911 service and provide priority repair during network failure events.  These Operating Procedures shall adhere to the following CSRIC best practice, and any future revision to this best practice, relating to monitoring and managing the 911 network components using network management controls, to quickly restore 911 service and provide priority repair during network failure events:  13</w:t>
      </w:r>
      <w:r>
        <w:rPr>
          <w:szCs w:val="22"/>
        </w:rPr>
        <w:noBreakHyphen/>
        <w:t>9-0574 (“Network Operators, Service Providers, and Public Safety should actively monitor and manage the 9-1-1 network components using network management controls, where available, to quickly restore 9-1-1 service and provide priority repair during network failure events.  When multiple interconnecting providers and vendors are involved, they will need to cooperate to provide end-to-end analysis of complex call-handling problems”).</w:t>
      </w:r>
    </w:p>
    <w:p w:rsidR="00886D1F" w:rsidP="00886D1F" w14:paraId="4438AD45" w14:textId="77777777">
      <w:pPr>
        <w:widowControl/>
        <w:numPr>
          <w:ilvl w:val="2"/>
          <w:numId w:val="48"/>
        </w:numPr>
        <w:spacing w:after="120"/>
        <w:rPr>
          <w:szCs w:val="22"/>
        </w:rPr>
      </w:pPr>
      <w:r w:rsidRPr="00183C5A">
        <w:rPr>
          <w:b/>
          <w:bCs/>
          <w:szCs w:val="22"/>
          <w:u w:val="single"/>
        </w:rPr>
        <w:t>Review and Implement New or Revised Best Practices</w:t>
      </w:r>
      <w:r>
        <w:rPr>
          <w:szCs w:val="22"/>
        </w:rPr>
        <w:t xml:space="preserve">.  Within thirty (30) calendar days of the release by CSRIC of any new best practices relating to the testing of network upgrades and network updates, </w:t>
      </w:r>
      <w:r>
        <w:rPr>
          <w:szCs w:val="22"/>
        </w:rPr>
        <w:t>Shentel</w:t>
      </w:r>
      <w:r>
        <w:rPr>
          <w:szCs w:val="22"/>
        </w:rPr>
        <w:t xml:space="preserve"> shall incorporate, where feasible, such new best practices into the Operating Procedures and shall establish a timeline for their incorporation into its test program.</w:t>
      </w:r>
    </w:p>
    <w:p w:rsidR="00886D1F" w:rsidRPr="003518D7" w:rsidP="00886D1F" w14:paraId="4D5C0A5B" w14:textId="77777777">
      <w:pPr>
        <w:widowControl/>
        <w:numPr>
          <w:ilvl w:val="2"/>
          <w:numId w:val="48"/>
        </w:numPr>
        <w:spacing w:after="120"/>
        <w:rPr>
          <w:szCs w:val="22"/>
        </w:rPr>
      </w:pPr>
      <w:r w:rsidRPr="00183C5A">
        <w:rPr>
          <w:b/>
          <w:bCs/>
          <w:szCs w:val="22"/>
          <w:u w:val="single"/>
        </w:rPr>
        <w:t xml:space="preserve">Review and Update </w:t>
      </w:r>
      <w:r>
        <w:rPr>
          <w:b/>
          <w:bCs/>
          <w:szCs w:val="22"/>
          <w:u w:val="single"/>
        </w:rPr>
        <w:t>Shentel’s</w:t>
      </w:r>
      <w:r w:rsidRPr="00183C5A">
        <w:rPr>
          <w:b/>
          <w:bCs/>
          <w:szCs w:val="22"/>
          <w:u w:val="single"/>
        </w:rPr>
        <w:t xml:space="preserve"> NORS Procedures</w:t>
      </w:r>
      <w:r>
        <w:rPr>
          <w:szCs w:val="22"/>
        </w:rPr>
        <w:t xml:space="preserve">.  </w:t>
      </w:r>
      <w:r>
        <w:rPr>
          <w:szCs w:val="22"/>
        </w:rPr>
        <w:t>Shentel</w:t>
      </w:r>
      <w:r>
        <w:rPr>
          <w:szCs w:val="22"/>
        </w:rPr>
        <w:t xml:space="preserve"> shall establish and implement Operating Procedures (including, as necessary, reviewing and revising any existing procedures) regarding the Commission’s Network Outage Reporting System (NORS) and 911 special facility reporting criteria are met under the 911 Rules.  Such training shall specifically include instruction on the method of calculating “user minutes” under section 4.7 of the 911 Rules. </w:t>
      </w:r>
    </w:p>
    <w:p w:rsidR="00886D1F" w:rsidP="00886D1F" w14:paraId="5F061A2D" w14:textId="77777777">
      <w:pPr>
        <w:widowControl/>
        <w:numPr>
          <w:ilvl w:val="0"/>
          <w:numId w:val="48"/>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 xml:space="preserve">911 Rules </w:t>
      </w:r>
      <w:r w:rsidRPr="007C0B39">
        <w:rPr>
          <w:szCs w:val="22"/>
        </w:rPr>
        <w:t xml:space="preserve">and set forth the Operating Procedures that Covered Employees shall follow to help ensure </w:t>
      </w:r>
      <w:r>
        <w:rPr>
          <w:szCs w:val="22"/>
        </w:rPr>
        <w:t>Shentel</w:t>
      </w:r>
      <w:r w:rsidRPr="007C0B39">
        <w:rPr>
          <w:szCs w:val="22"/>
        </w:rPr>
        <w:t>’s</w:t>
      </w:r>
      <w:r w:rsidRPr="007C0B39">
        <w:rPr>
          <w:szCs w:val="22"/>
        </w:rPr>
        <w:t xml:space="preserve"> compliance with the </w:t>
      </w:r>
      <w:r>
        <w:rPr>
          <w:szCs w:val="22"/>
        </w:rPr>
        <w:t xml:space="preserve">911 </w:t>
      </w:r>
      <w:r w:rsidRPr="007C0B39">
        <w:rPr>
          <w:szCs w:val="22"/>
        </w:rPr>
        <w:t>Rules</w:t>
      </w:r>
      <w:r>
        <w:rPr>
          <w:szCs w:val="22"/>
        </w:rPr>
        <w:t xml:space="preserve"> and this Consent Decree</w:t>
      </w:r>
      <w:r w:rsidRPr="007C0B39">
        <w:rPr>
          <w:szCs w:val="22"/>
        </w:rPr>
        <w:t xml:space="preserve">.  </w:t>
      </w:r>
      <w:r>
        <w:rPr>
          <w:szCs w:val="22"/>
        </w:rPr>
        <w:t>Shentel</w:t>
      </w:r>
      <w:r>
        <w:rPr>
          <w:szCs w:val="22"/>
        </w:rPr>
        <w:t xml:space="preserve"> </w:t>
      </w:r>
      <w:r w:rsidRPr="007C0B39">
        <w:rPr>
          <w:szCs w:val="22"/>
        </w:rPr>
        <w:t xml:space="preserve">shall periodically review and revise the Compliance Manual as necessary to ensure that the information set forth therein remains current and accurate.  </w:t>
      </w:r>
      <w:r>
        <w:rPr>
          <w:szCs w:val="22"/>
        </w:rPr>
        <w:t>Shentel</w:t>
      </w:r>
      <w:r>
        <w:rPr>
          <w:szCs w:val="22"/>
        </w:rPr>
        <w:t xml:space="preserve"> </w:t>
      </w:r>
      <w:r w:rsidRPr="007C0B39">
        <w:rPr>
          <w:szCs w:val="22"/>
        </w:rPr>
        <w:t>shall distribute any revisions to the Compliance Manual promptly to all Covered Employees.</w:t>
      </w:r>
    </w:p>
    <w:p w:rsidR="00886D1F" w:rsidRPr="007C0B39" w:rsidP="00886D1F" w14:paraId="08271761" w14:textId="77777777">
      <w:pPr>
        <w:widowControl/>
        <w:numPr>
          <w:ilvl w:val="0"/>
          <w:numId w:val="48"/>
        </w:numPr>
        <w:tabs>
          <w:tab w:val="clear" w:pos="1656"/>
        </w:tabs>
        <w:spacing w:after="120"/>
        <w:ind w:left="1886"/>
        <w:rPr>
          <w:szCs w:val="22"/>
        </w:rPr>
      </w:pPr>
      <w:r w:rsidRPr="007C0B39">
        <w:rPr>
          <w:b/>
          <w:szCs w:val="22"/>
          <w:u w:val="single"/>
        </w:rPr>
        <w:t>Compliance Training Program</w:t>
      </w:r>
      <w:r w:rsidRPr="007C0B39">
        <w:rPr>
          <w:szCs w:val="22"/>
        </w:rPr>
        <w:t xml:space="preserve">.  </w:t>
      </w:r>
      <w:r>
        <w:rPr>
          <w:szCs w:val="22"/>
        </w:rPr>
        <w:t>Shentel</w:t>
      </w:r>
      <w:r>
        <w:rPr>
          <w:szCs w:val="22"/>
        </w:rPr>
        <w:t xml:space="preserve"> </w:t>
      </w:r>
      <w:r w:rsidRPr="007C0B39">
        <w:rPr>
          <w:szCs w:val="22"/>
        </w:rPr>
        <w:t xml:space="preserve">shall establish and implement a Compliance Training Program on compliance with the </w:t>
      </w:r>
      <w:r>
        <w:rPr>
          <w:szCs w:val="22"/>
        </w:rPr>
        <w:t xml:space="preserve">911 </w:t>
      </w:r>
      <w:r w:rsidRPr="007C0B39">
        <w:rPr>
          <w:szCs w:val="22"/>
        </w:rPr>
        <w:t xml:space="preserve">Rules and the Operating Procedures.  As part of the Compliance Training Program, Covered Employees shall be advised of </w:t>
      </w:r>
      <w:r>
        <w:rPr>
          <w:szCs w:val="22"/>
        </w:rPr>
        <w:t>Shentel</w:t>
      </w:r>
      <w:r w:rsidRPr="007C0B39">
        <w:rPr>
          <w:szCs w:val="22"/>
        </w:rPr>
        <w:t>’s</w:t>
      </w:r>
      <w:r w:rsidRPr="007C0B39">
        <w:rPr>
          <w:szCs w:val="22"/>
        </w:rPr>
        <w:t xml:space="preserve"> obligation to report any noncompliance with the </w:t>
      </w:r>
      <w:r>
        <w:rPr>
          <w:szCs w:val="22"/>
        </w:rPr>
        <w:t xml:space="preserve">911 </w:t>
      </w:r>
      <w:r w:rsidRPr="007C0B39">
        <w:rPr>
          <w:szCs w:val="22"/>
        </w:rPr>
        <w:t xml:space="preserve">Rules under paragraph </w:t>
      </w:r>
      <w:r>
        <w:rPr>
          <w:szCs w:val="22"/>
        </w:rPr>
        <w:fldChar w:fldCharType="begin"/>
      </w:r>
      <w:r>
        <w:rPr>
          <w:szCs w:val="22"/>
        </w:rPr>
        <w:instrText xml:space="preserve"> REF _Ref123827806 \r \h </w:instrText>
      </w:r>
      <w:r>
        <w:rPr>
          <w:szCs w:val="22"/>
        </w:rPr>
        <w:fldChar w:fldCharType="separate"/>
      </w:r>
      <w:r>
        <w:rPr>
          <w:szCs w:val="22"/>
        </w:rPr>
        <w:t>13</w:t>
      </w:r>
      <w:r>
        <w:rPr>
          <w:szCs w:val="22"/>
        </w:rPr>
        <w:fldChar w:fldCharType="end"/>
      </w:r>
      <w:r>
        <w:rPr>
          <w:szCs w:val="22"/>
        </w:rPr>
        <w:t xml:space="preserve"> </w:t>
      </w:r>
      <w:r w:rsidRPr="007C0B39">
        <w:rPr>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Shentel</w:t>
      </w:r>
      <w:r>
        <w:rPr>
          <w:szCs w:val="22"/>
        </w:rPr>
        <w:t xml:space="preserve"> </w:t>
      </w:r>
      <w:r w:rsidRPr="007C0B39">
        <w:rPr>
          <w:szCs w:val="22"/>
        </w:rPr>
        <w:t xml:space="preserve">shall repeat compliance training on an annual basis and shall </w:t>
      </w:r>
      <w:r w:rsidRPr="007C0B39">
        <w:rPr>
          <w:szCs w:val="22"/>
        </w:rPr>
        <w:t>periodically review and revise the Compliance Training Program as necessary to ensure that it remains current and complete and to enhance its effectiveness.</w:t>
      </w:r>
      <w:r>
        <w:rPr>
          <w:szCs w:val="22"/>
        </w:rPr>
        <w:t xml:space="preserve">  Such Compliance Training Program shall include requirements that applicable Covered Employees possess and maintain network certifications from the network equipment manufacturers, if available, for equipment used in </w:t>
      </w:r>
      <w:r>
        <w:rPr>
          <w:szCs w:val="22"/>
        </w:rPr>
        <w:t>Shentel’s</w:t>
      </w:r>
      <w:r>
        <w:rPr>
          <w:szCs w:val="22"/>
        </w:rPr>
        <w:t xml:space="preserve"> network to transport 911 calls.</w:t>
      </w:r>
    </w:p>
    <w:p w:rsidR="00886D1F" w:rsidRPr="007C0B39" w:rsidP="00886D1F" w14:paraId="5EB88E59" w14:textId="77777777">
      <w:pPr>
        <w:pStyle w:val="ParaNum"/>
        <w:widowControl/>
      </w:pPr>
      <w:bookmarkStart w:id="7" w:name="_Ref321323028"/>
      <w:bookmarkStart w:id="8" w:name="_Ref123827806"/>
      <w:r w:rsidRPr="007C0B39">
        <w:rPr>
          <w:b/>
          <w:u w:val="single"/>
        </w:rPr>
        <w:t>Reporting Noncompliance</w:t>
      </w:r>
      <w:r w:rsidRPr="007C0B39">
        <w:t xml:space="preserve">.  </w:t>
      </w:r>
      <w:r>
        <w:t>Shentel</w:t>
      </w:r>
      <w:r>
        <w:t xml:space="preserve"> </w:t>
      </w:r>
      <w:r w:rsidRPr="007C0B39">
        <w:t xml:space="preserve">shall report any noncompliance with the </w:t>
      </w:r>
      <w:r>
        <w:t>911</w:t>
      </w:r>
      <w:r w:rsidRPr="007C0B39">
        <w:t xml:space="preserve"> Rules and with the terms and conditions of this Consent Decree within fifteen (15) calendar days after discovery of such noncompliance.  Such reports shall include a detailed explanation of:  (</w:t>
      </w:r>
      <w:r w:rsidRPr="007C0B39">
        <w:t>i</w:t>
      </w:r>
      <w:r w:rsidRPr="007C0B39">
        <w:t xml:space="preserve">) each instance of noncompliance; (ii) the steps that </w:t>
      </w:r>
      <w:r>
        <w:t>Shentel</w:t>
      </w:r>
      <w:r>
        <w:t xml:space="preserve"> </w:t>
      </w:r>
      <w:r w:rsidRPr="007C0B39">
        <w:t>has taken or will take to remedy such noncompliance; (iii) the schedule on which such remedial actions will be taken; and (iv) the steps that</w:t>
      </w:r>
      <w:r>
        <w:t xml:space="preserve"> </w:t>
      </w:r>
      <w:r>
        <w:t>Shentel</w:t>
      </w:r>
      <w:r>
        <w:t xml:space="preserve"> </w:t>
      </w:r>
      <w:r w:rsidRPr="007C0B39">
        <w:t xml:space="preserve">has taken or will take to prevent the recurrence of any such noncompliance.  All reports of noncompliance shall be submitted </w:t>
      </w:r>
      <w:r>
        <w:t xml:space="preserve">electronically </w:t>
      </w:r>
      <w:r w:rsidRPr="007C0B39">
        <w:t xml:space="preserve">to </w:t>
      </w:r>
      <w:r>
        <w:t xml:space="preserve">Chief, Spectrum Enforcement Division, Enforcement Bureau, Federal Communications Commission, via </w:t>
      </w:r>
      <w:hyperlink r:id="rId10" w:history="1">
        <w:r w:rsidRPr="00281E47">
          <w:rPr>
            <w:rStyle w:val="Hyperlink"/>
          </w:rPr>
          <w:t>Kathy.Harvey@fcc.gov</w:t>
        </w:r>
      </w:hyperlink>
      <w:r>
        <w:t xml:space="preserve"> and </w:t>
      </w:r>
      <w:hyperlink r:id="rId11" w:history="1">
        <w:r w:rsidRPr="00281E47">
          <w:rPr>
            <w:rStyle w:val="Hyperlink"/>
          </w:rPr>
          <w:t>EB-SED-Response@fcc.gov</w:t>
        </w:r>
      </w:hyperlink>
      <w:bookmarkEnd w:id="7"/>
      <w:r>
        <w:t>.</w:t>
      </w:r>
      <w:bookmarkEnd w:id="8"/>
      <w:r>
        <w:t xml:space="preserve">  </w:t>
      </w:r>
    </w:p>
    <w:p w:rsidR="00886D1F" w:rsidRPr="007C0B39" w:rsidP="00886D1F" w14:paraId="6939C951" w14:textId="77777777">
      <w:pPr>
        <w:pStyle w:val="ParaNum"/>
        <w:widowControl/>
        <w:rPr>
          <w:caps/>
        </w:rPr>
      </w:pPr>
      <w:bookmarkStart w:id="9" w:name="_Ref379202892"/>
      <w:r w:rsidRPr="007C0B39">
        <w:rPr>
          <w:b/>
          <w:u w:val="single"/>
        </w:rPr>
        <w:t>Compliance Reports</w:t>
      </w:r>
      <w:r w:rsidRPr="007C0B39">
        <w:t xml:space="preserve">.  </w:t>
      </w:r>
      <w:r>
        <w:t>Shentel</w:t>
      </w:r>
      <w:r>
        <w:t xml:space="preserve"> </w:t>
      </w:r>
      <w:r w:rsidRPr="007C0B39">
        <w:t>shall file compliance reports with the Commission ninety (90) calendar days after the Effective Date, twelve (12) months after the Effective Date, twenty-four (24) months after the Effective Date, and thirty-six (36) months after the Effective Date.</w:t>
      </w:r>
      <w:bookmarkEnd w:id="9"/>
      <w:r w:rsidRPr="007C0B39">
        <w:t xml:space="preserve">  </w:t>
      </w:r>
    </w:p>
    <w:p w:rsidR="00886D1F" w:rsidRPr="007C0B39" w:rsidP="00886D1F" w14:paraId="68ED1239" w14:textId="77777777">
      <w:pPr>
        <w:widowControl/>
        <w:numPr>
          <w:ilvl w:val="0"/>
          <w:numId w:val="49"/>
        </w:numPr>
        <w:tabs>
          <w:tab w:val="clear" w:pos="1782"/>
        </w:tabs>
        <w:spacing w:after="120"/>
        <w:ind w:left="1886"/>
        <w:rPr>
          <w:szCs w:val="22"/>
        </w:rPr>
      </w:pPr>
      <w:r w:rsidRPr="007C0B39">
        <w:rPr>
          <w:szCs w:val="22"/>
        </w:rPr>
        <w:t xml:space="preserve">Each Compliance Report shall include a detailed description of </w:t>
      </w:r>
      <w:r>
        <w:rPr>
          <w:szCs w:val="22"/>
        </w:rPr>
        <w:t>Shentel</w:t>
      </w:r>
      <w:r w:rsidRPr="007C0B39">
        <w:rPr>
          <w:szCs w:val="22"/>
        </w:rPr>
        <w:t>’s</w:t>
      </w:r>
      <w:r w:rsidRPr="007C0B39">
        <w:rPr>
          <w:szCs w:val="22"/>
        </w:rPr>
        <w:t xml:space="preserve"> efforts during the relevant period to comply with the terms and conditions of this Consent Decree and the </w:t>
      </w:r>
      <w:r>
        <w:rPr>
          <w:szCs w:val="22"/>
        </w:rPr>
        <w:t>911 R</w:t>
      </w:r>
      <w:r w:rsidRPr="007C0B39">
        <w:rPr>
          <w:szCs w:val="22"/>
        </w:rPr>
        <w:t xml:space="preserve">ules.  In addition, each Compliance Report shall include a certification by the Compliance Officer, as an agent of and on behalf of </w:t>
      </w:r>
      <w:r>
        <w:rPr>
          <w:szCs w:val="22"/>
        </w:rPr>
        <w:t>Shentel</w:t>
      </w:r>
      <w:r w:rsidRPr="007C0B39">
        <w:rPr>
          <w:szCs w:val="22"/>
        </w:rPr>
        <w:t xml:space="preserve">, stating that the Compliance Officer has personal knowledge that </w:t>
      </w:r>
      <w:r>
        <w:rPr>
          <w:szCs w:val="22"/>
        </w:rPr>
        <w:t>Shentel</w:t>
      </w:r>
      <w:r w:rsidRPr="007C0B39">
        <w:t>:</w:t>
      </w:r>
      <w:r w:rsidRPr="007C0B39">
        <w:rPr>
          <w:szCs w:val="22"/>
        </w:rPr>
        <w:t xml:space="preserve">  (</w:t>
      </w:r>
      <w:r w:rsidRPr="007C0B39">
        <w:rPr>
          <w:szCs w:val="22"/>
        </w:rPr>
        <w:t>i</w:t>
      </w:r>
      <w:r w:rsidRPr="007C0B39">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_Ref123827806 \r \h </w:instrText>
      </w:r>
      <w:r>
        <w:rPr>
          <w:szCs w:val="22"/>
        </w:rPr>
        <w:fldChar w:fldCharType="separate"/>
      </w:r>
      <w:r>
        <w:rPr>
          <w:szCs w:val="22"/>
        </w:rPr>
        <w:t>13</w:t>
      </w:r>
      <w:r>
        <w:rPr>
          <w:szCs w:val="22"/>
        </w:rPr>
        <w:fldChar w:fldCharType="end"/>
      </w:r>
      <w:r w:rsidRPr="007C0B39">
        <w:rPr>
          <w:b/>
          <w:szCs w:val="22"/>
        </w:rPr>
        <w:t xml:space="preserve"> </w:t>
      </w:r>
      <w:r w:rsidRPr="007C0B39">
        <w:rPr>
          <w:szCs w:val="22"/>
        </w:rPr>
        <w:t>of this Consent Decree.</w:t>
      </w:r>
    </w:p>
    <w:p w:rsidR="00886D1F" w:rsidRPr="007C0B39" w:rsidP="00886D1F" w14:paraId="69E100D4" w14:textId="77777777">
      <w:pPr>
        <w:widowControl/>
        <w:numPr>
          <w:ilvl w:val="0"/>
          <w:numId w:val="49"/>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18"/>
      </w:r>
    </w:p>
    <w:p w:rsidR="00886D1F" w:rsidRPr="007C0B39" w:rsidP="00886D1F" w14:paraId="77E9A2F9" w14:textId="77777777">
      <w:pPr>
        <w:widowControl/>
        <w:numPr>
          <w:ilvl w:val="0"/>
          <w:numId w:val="49"/>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Pr>
          <w:szCs w:val="22"/>
        </w:rPr>
        <w:t>Shentel</w:t>
      </w:r>
      <w:r w:rsidRPr="007C0B39">
        <w:rPr>
          <w:szCs w:val="22"/>
        </w:rPr>
        <w:t>, shall provide the Commission with a detailed explanation of the reason(s) why and describe fully:  (</w:t>
      </w:r>
      <w:r w:rsidRPr="007C0B39">
        <w:rPr>
          <w:szCs w:val="22"/>
        </w:rPr>
        <w:t>i</w:t>
      </w:r>
      <w:r w:rsidRPr="007C0B39">
        <w:rPr>
          <w:szCs w:val="22"/>
        </w:rPr>
        <w:t xml:space="preserve">) each instance of noncompliance; (ii) the steps that </w:t>
      </w:r>
      <w:r>
        <w:rPr>
          <w:szCs w:val="22"/>
        </w:rPr>
        <w:t>Shentel</w:t>
      </w:r>
      <w:r w:rsidRPr="007C0B39">
        <w:rPr>
          <w:szCs w:val="22"/>
        </w:rPr>
        <w:t xml:space="preserve"> has taken or will take to remedy such noncompliance, including the schedule on which proposed remedial actions will be taken; and (iii) the steps that </w:t>
      </w:r>
      <w:r>
        <w:rPr>
          <w:szCs w:val="22"/>
        </w:rPr>
        <w:t>Shentel</w:t>
      </w:r>
      <w:r>
        <w:rPr>
          <w:szCs w:val="22"/>
        </w:rPr>
        <w:t xml:space="preserve"> </w:t>
      </w:r>
      <w:r w:rsidRPr="007C0B39">
        <w:rPr>
          <w:szCs w:val="22"/>
        </w:rPr>
        <w:t>has taken or will take to prevent the recurrence of any such noncompliance, including the schedule on which such preventive action will be taken.</w:t>
      </w:r>
    </w:p>
    <w:p w:rsidR="00886D1F" w:rsidRPr="007C0B39" w:rsidP="00886D1F" w14:paraId="591E221E" w14:textId="77777777">
      <w:pPr>
        <w:widowControl/>
        <w:numPr>
          <w:ilvl w:val="0"/>
          <w:numId w:val="49"/>
        </w:numPr>
        <w:tabs>
          <w:tab w:val="clear" w:pos="1782"/>
        </w:tabs>
        <w:spacing w:after="120"/>
        <w:ind w:left="1886" w:hanging="450"/>
        <w:rPr>
          <w:szCs w:val="22"/>
        </w:rPr>
      </w:pPr>
      <w:r w:rsidRPr="007C0B39">
        <w:rPr>
          <w:szCs w:val="22"/>
        </w:rPr>
        <w:t xml:space="preserve">All Compliance Reports shall be submitted </w:t>
      </w:r>
      <w:r>
        <w:rPr>
          <w:szCs w:val="22"/>
        </w:rPr>
        <w:t xml:space="preserve">electronically to Chief, Spectrum Enforcement Division, Enforcement Bureau, Federal Communications Commission via </w:t>
      </w:r>
      <w:hyperlink r:id="rId10" w:history="1">
        <w:r w:rsidRPr="00281E47">
          <w:rPr>
            <w:rStyle w:val="Hyperlink"/>
            <w:szCs w:val="22"/>
          </w:rPr>
          <w:t>Kathy.Harvey@fcc.gov</w:t>
        </w:r>
      </w:hyperlink>
      <w:r>
        <w:rPr>
          <w:szCs w:val="22"/>
        </w:rPr>
        <w:t xml:space="preserve"> and </w:t>
      </w:r>
      <w:hyperlink r:id="rId11" w:history="1">
        <w:r w:rsidRPr="00281E47">
          <w:rPr>
            <w:rStyle w:val="Hyperlink"/>
            <w:szCs w:val="22"/>
          </w:rPr>
          <w:t>EB-SED-Response@fcc.gov</w:t>
        </w:r>
      </w:hyperlink>
      <w:r>
        <w:rPr>
          <w:szCs w:val="22"/>
        </w:rPr>
        <w:t xml:space="preserve">. </w:t>
      </w:r>
    </w:p>
    <w:p w:rsidR="00886D1F" w:rsidRPr="007C0B39" w:rsidP="00886D1F" w14:paraId="740FB5E2" w14:textId="77777777">
      <w:pPr>
        <w:pStyle w:val="ParaNum"/>
        <w:widowControl/>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fldChar w:fldCharType="begin"/>
      </w:r>
      <w:r>
        <w:rPr>
          <w:szCs w:val="22"/>
        </w:rPr>
        <w:instrText xml:space="preserve"> REF _Ref128158591 \r \h </w:instrText>
      </w:r>
      <w:r>
        <w:rPr>
          <w:szCs w:val="22"/>
        </w:rPr>
        <w:fldChar w:fldCharType="separate"/>
      </w:r>
      <w:r>
        <w:rPr>
          <w:szCs w:val="22"/>
        </w:rPr>
        <w:t>11</w:t>
      </w:r>
      <w:r>
        <w:rPr>
          <w:szCs w:val="22"/>
        </w:rPr>
        <w:fldChar w:fldCharType="end"/>
      </w:r>
      <w:r>
        <w:rPr>
          <w:szCs w:val="22"/>
        </w:rPr>
        <w:t xml:space="preserve"> </w:t>
      </w:r>
      <w:r w:rsidRPr="007C0B39">
        <w:rPr>
          <w:szCs w:val="22"/>
        </w:rPr>
        <w:t xml:space="preserve">through </w:t>
      </w:r>
      <w:r>
        <w:rPr>
          <w:szCs w:val="22"/>
        </w:rPr>
        <w:fldChar w:fldCharType="begin"/>
      </w:r>
      <w:r>
        <w:rPr>
          <w:szCs w:val="22"/>
        </w:rPr>
        <w:instrText xml:space="preserve"> REF _Ref379202892 \r \h </w:instrText>
      </w:r>
      <w:r>
        <w:rPr>
          <w:szCs w:val="22"/>
        </w:rPr>
        <w:fldChar w:fldCharType="separate"/>
      </w:r>
      <w:r>
        <w:rPr>
          <w:szCs w:val="22"/>
        </w:rPr>
        <w:t>14</w:t>
      </w:r>
      <w:r>
        <w:rPr>
          <w:szCs w:val="22"/>
        </w:rPr>
        <w:fldChar w:fldCharType="end"/>
      </w:r>
      <w:r>
        <w:rPr>
          <w:szCs w:val="22"/>
        </w:rPr>
        <w:t xml:space="preserve"> </w:t>
      </w:r>
      <w:r w:rsidRPr="007C0B39">
        <w:rPr>
          <w:szCs w:val="22"/>
        </w:rPr>
        <w:t xml:space="preserve">of this Consent Decree shall expire thirty-six (36) months after the Effective Date.  </w:t>
      </w:r>
    </w:p>
    <w:p w:rsidR="00886D1F" w:rsidRPr="00743F6D" w:rsidP="00886D1F" w14:paraId="19C188E7" w14:textId="77777777">
      <w:pPr>
        <w:pStyle w:val="ParaNum"/>
        <w:widowControl/>
        <w:rPr>
          <w:iCs/>
        </w:rPr>
      </w:pPr>
      <w:r w:rsidRPr="00743F6D">
        <w:rPr>
          <w:b/>
          <w:iCs/>
          <w:u w:val="single"/>
        </w:rPr>
        <w:t>Section 208 Complaints; Subsequent Investigations</w:t>
      </w:r>
      <w:r w:rsidRPr="00743F6D">
        <w:rPr>
          <w:iCs/>
        </w:rPr>
        <w:t>.</w:t>
      </w:r>
      <w:r w:rsidRPr="007C0B39">
        <w:rPr>
          <w:i/>
        </w:rPr>
        <w:t xml:space="preserve"> </w:t>
      </w:r>
      <w:r w:rsidRPr="00743F6D">
        <w:rPr>
          <w:iCs/>
        </w:rPr>
        <w:t xml:space="preserve"> Nothing in this Consent Decree shall prevent the Commission or its delegated authority from adjudicating complaints filed pursuant to section 208 of the Act</w:t>
      </w:r>
      <w:r>
        <w:rPr>
          <w:rStyle w:val="FootnoteReference"/>
          <w:iCs/>
          <w:szCs w:val="22"/>
        </w:rPr>
        <w:footnoteReference w:id="19"/>
      </w:r>
      <w:r w:rsidRPr="00743F6D">
        <w:rPr>
          <w:iCs/>
        </w:rPr>
        <w:t xml:space="preserve"> against </w:t>
      </w:r>
      <w:r>
        <w:rPr>
          <w:iCs/>
        </w:rPr>
        <w:t>Shentel</w:t>
      </w:r>
      <w:r>
        <w:rPr>
          <w:iCs/>
        </w:rPr>
        <w:t xml:space="preserve"> </w:t>
      </w:r>
      <w:r w:rsidRPr="00743F6D">
        <w:rPr>
          <w:iCs/>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Pr>
          <w:iCs/>
        </w:rPr>
        <w:t>Shentel</w:t>
      </w:r>
      <w:r>
        <w:rPr>
          <w:iCs/>
        </w:rPr>
        <w:t xml:space="preserve"> </w:t>
      </w:r>
      <w:r w:rsidRPr="00743F6D">
        <w:rPr>
          <w:iCs/>
        </w:rPr>
        <w:t>with the Communications Laws.</w:t>
      </w:r>
      <w:r w:rsidRPr="00743F6D">
        <w:rPr>
          <w:b/>
          <w:iCs/>
        </w:rPr>
        <w:t xml:space="preserve"> </w:t>
      </w:r>
    </w:p>
    <w:p w:rsidR="00886D1F" w:rsidRPr="009716F7" w:rsidP="00886D1F" w14:paraId="30ADCBAD" w14:textId="77777777">
      <w:pPr>
        <w:pStyle w:val="ParaNum"/>
        <w:widowControl/>
      </w:pPr>
      <w:bookmarkStart w:id="10" w:name="_Ref123827654"/>
      <w:bookmarkStart w:id="11" w:name="_Ref128035495"/>
      <w:bookmarkStart w:id="12" w:name="_Ref357521957"/>
      <w:r w:rsidRPr="005076A5">
        <w:rPr>
          <w:b/>
          <w:iCs/>
          <w:u w:val="single"/>
        </w:rPr>
        <w:t>Civil Penalty</w:t>
      </w:r>
      <w:r w:rsidRPr="007C0B39">
        <w:t xml:space="preserve">.  </w:t>
      </w:r>
      <w:r>
        <w:t>Shentel</w:t>
      </w:r>
      <w:r>
        <w:t xml:space="preserve"> </w:t>
      </w:r>
      <w:r w:rsidRPr="007C0B39">
        <w:t xml:space="preserve">will pay a civil penalty to the United States Treasury in the amount of </w:t>
      </w:r>
      <w:r>
        <w:t xml:space="preserve">Two Hundred Twenty-Seven Thousand Two Hundred Dollars </w:t>
      </w:r>
      <w:r w:rsidRPr="002755D1">
        <w:t>($</w:t>
      </w:r>
      <w:r>
        <w:t>227,200</w:t>
      </w:r>
      <w:r w:rsidRPr="005076A5">
        <w:rPr>
          <w:szCs w:val="22"/>
        </w:rPr>
        <w:t>)</w:t>
      </w:r>
      <w:r>
        <w:t xml:space="preserve"> </w:t>
      </w:r>
      <w:r w:rsidRPr="00C918AC">
        <w:t>within thirty (30) calendar days of the Effective Date</w:t>
      </w:r>
      <w:r>
        <w:t>.</w:t>
      </w:r>
      <w:bookmarkEnd w:id="10"/>
      <w:r>
        <w:t xml:space="preserve">  </w:t>
      </w:r>
      <w:bookmarkStart w:id="13" w:name="_Hlk89854419"/>
      <w:r w:rsidRPr="005076A5">
        <w:rPr>
          <w:szCs w:val="22"/>
        </w:rPr>
        <w:t>Shentel</w:t>
      </w:r>
      <w:r w:rsidRPr="005076A5">
        <w:rPr>
          <w:szCs w:val="22"/>
        </w:rPr>
        <w:t xml:space="preserve"> </w:t>
      </w:r>
      <w:bookmarkEnd w:id="13"/>
      <w:r w:rsidRPr="005076A5">
        <w:rPr>
          <w:szCs w:val="22"/>
        </w:rPr>
        <w:t>acknowledges and agrees that upon execution of this Consent Decree, the Civil Penalty shall become a “Claim” or “Debt” as defined in 31 U.S.C. § 3701(b)(1).</w:t>
      </w:r>
      <w:r>
        <w:rPr>
          <w:rStyle w:val="FootnoteReference"/>
          <w:szCs w:val="22"/>
        </w:rPr>
        <w:footnoteReference w:id="20"/>
      </w:r>
      <w:r w:rsidRPr="005076A5">
        <w:rPr>
          <w:szCs w:val="22"/>
        </w:rPr>
        <w:t xml:space="preserve">  Upon an Event of Default, all procedures for collection as permitted by law may, at the Commission’s discretion, be initiated.  </w:t>
      </w:r>
      <w:r w:rsidRPr="005076A5">
        <w:rPr>
          <w:szCs w:val="22"/>
        </w:rPr>
        <w:t>Shentel</w:t>
      </w:r>
      <w:r w:rsidRPr="005076A5">
        <w:rPr>
          <w:szCs w:val="22"/>
        </w:rPr>
        <w:t xml:space="preserve"> </w:t>
      </w:r>
      <w:r w:rsidRPr="007C0B39">
        <w:t xml:space="preserve">shall send electronic notification of payment to </w:t>
      </w:r>
      <w:hyperlink r:id="rId10" w:history="1">
        <w:r w:rsidRPr="00281E47">
          <w:rPr>
            <w:rStyle w:val="Hyperlink"/>
          </w:rPr>
          <w:t>Kathy.Harvey@fcc.gov</w:t>
        </w:r>
      </w:hyperlink>
      <w:r>
        <w:t xml:space="preserve"> and </w:t>
      </w:r>
      <w:hyperlink r:id="rId11" w:history="1">
        <w:r w:rsidRPr="00281E47">
          <w:rPr>
            <w:rStyle w:val="Hyperlink"/>
          </w:rPr>
          <w:t>EB-SED-Response@fcc.gov</w:t>
        </w:r>
      </w:hyperlink>
      <w:r>
        <w:t xml:space="preserve"> </w:t>
      </w:r>
      <w:r w:rsidRPr="007C0B39">
        <w:t xml:space="preserve">on the date said payment is made.  </w:t>
      </w:r>
      <w:r w:rsidRPr="00AD0726">
        <w:t>Payment of the Civil Penalty must be made by credit card</w:t>
      </w:r>
      <w:r>
        <w:t xml:space="preserve"> </w:t>
      </w:r>
      <w:r w:rsidRPr="009716F7">
        <w:t xml:space="preserve">using the Commission’s </w:t>
      </w:r>
      <w:r w:rsidRPr="004B6755">
        <w:t xml:space="preserve">Registration System (CORES) at </w:t>
      </w:r>
      <w:hyperlink r:id="rId12" w:history="1">
        <w:r w:rsidRPr="00D76723">
          <w:rPr>
            <w:rStyle w:val="Hyperlink"/>
          </w:rPr>
          <w:t>h</w:t>
        </w:r>
        <w:r w:rsidRPr="00DF5B5C">
          <w:rPr>
            <w:rStyle w:val="Hyperlink"/>
          </w:rPr>
          <w:t>ttps://apps.fcc.gov/cores/userLogin.do</w:t>
        </w:r>
      </w:hyperlink>
      <w:r w:rsidRPr="00AD0726">
        <w:t xml:space="preserve">, ACH (Automated Clearing House) debit from a bank </w:t>
      </w:r>
      <w:r>
        <w:t>account</w:t>
      </w:r>
      <w:r w:rsidRPr="009716F7">
        <w:t>, or by wire transfer</w:t>
      </w:r>
      <w:r>
        <w:t xml:space="preserve"> from a bank account.</w:t>
      </w:r>
      <w:r w:rsidRPr="009716F7">
        <w:t xml:space="preserve">  The Commission no longer accepts </w:t>
      </w:r>
      <w:r>
        <w:t>Civil Penalty</w:t>
      </w:r>
      <w:r w:rsidRPr="009716F7">
        <w:t xml:space="preserve"> payments by check or money order.  Below are instructions that payors should follow based on the form of payment selected:</w:t>
      </w:r>
      <w:r>
        <w:rPr>
          <w:rStyle w:val="FootnoteReference"/>
        </w:rPr>
        <w:footnoteReference w:id="21"/>
      </w:r>
      <w:bookmarkEnd w:id="11"/>
    </w:p>
    <w:p w:rsidR="00886D1F" w:rsidRPr="009716F7" w:rsidP="00886D1F" w14:paraId="166B89D0" w14:textId="77777777">
      <w:pPr>
        <w:widowControl/>
        <w:numPr>
          <w:ilvl w:val="0"/>
          <w:numId w:val="50"/>
        </w:numPr>
        <w:snapToGrid w:val="0"/>
        <w:spacing w:after="120"/>
        <w:ind w:left="720"/>
      </w:pPr>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22"/>
      </w:r>
      <w:r>
        <w:t xml:space="preserve"> or printed CORES form</w:t>
      </w:r>
      <w:r>
        <w:rPr>
          <w:rStyle w:val="FootnoteReference"/>
        </w:rPr>
        <w:footnoteReference w:id="23"/>
      </w:r>
      <w:r w:rsidRPr="009716F7">
        <w:t xml:space="preserve"> must be faxed to the Federal Communications Commission at 202-418-2843 or e-mailed to </w:t>
      </w:r>
      <w:hyperlink r:id="rId13"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24"/>
      </w:r>
      <w:r w:rsidRPr="009716F7">
        <w:t xml:space="preserve">  For additional detail and wire transfer instructions, go to </w:t>
      </w:r>
      <w:hyperlink r:id="rId14" w:history="1">
        <w:r w:rsidRPr="009716F7">
          <w:rPr>
            <w:rStyle w:val="Hyperlink"/>
          </w:rPr>
          <w:t>https://www.fcc.gov/licensing-databases/fees/wire-transfer</w:t>
        </w:r>
      </w:hyperlink>
      <w:r w:rsidRPr="009716F7">
        <w:t>. </w:t>
      </w:r>
    </w:p>
    <w:p w:rsidR="00886D1F" w:rsidRPr="009716F7" w:rsidP="00886D1F" w14:paraId="36929B7F" w14:textId="77777777">
      <w:pPr>
        <w:widowControl/>
        <w:numPr>
          <w:ilvl w:val="0"/>
          <w:numId w:val="50"/>
        </w:numPr>
        <w:snapToGrid w:val="0"/>
        <w:spacing w:after="120"/>
        <w:ind w:left="720"/>
      </w:pPr>
      <w:r w:rsidRPr="009716F7">
        <w:t xml:space="preserve">Payment by credit card must be made by using </w:t>
      </w:r>
      <w:r w:rsidRPr="004B6755">
        <w:t xml:space="preserve">CORES at </w:t>
      </w:r>
      <w:hyperlink r:id="rId12" w:history="1">
        <w:r w:rsidRPr="00D76723">
          <w:rPr>
            <w:rStyle w:val="Hyperlink"/>
          </w:rPr>
          <w:t>h</w:t>
        </w:r>
        <w:r w:rsidRPr="00DF5B5C">
          <w:rPr>
            <w:rStyle w:val="Hyperlink"/>
          </w:rPr>
          <w:t>ttps://apps.fcc.gov/cores/userLogin.do</w:t>
        </w:r>
      </w:hyperlink>
      <w:r w:rsidRPr="004B6755">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CD Acct. No.  The bill number is the CD Acct. No. with the first two digits excluded (e.g., CD 1912345678 would be associated with FCC Bill Number 12345678).  After selecting the bill for payment, choose the </w:t>
      </w:r>
      <w:r w:rsidRPr="004B6755">
        <w:t>“Pay by Credit Card” option.  Please note that there is a $24,999.99 limit on credit</w:t>
      </w:r>
      <w:r w:rsidRPr="009716F7">
        <w:t xml:space="preserve"> card transactions.</w:t>
      </w:r>
    </w:p>
    <w:p w:rsidR="00886D1F" w:rsidRPr="004864CE" w:rsidP="00886D1F" w14:paraId="3164340D" w14:textId="77777777">
      <w:pPr>
        <w:widowControl/>
        <w:numPr>
          <w:ilvl w:val="0"/>
          <w:numId w:val="50"/>
        </w:numPr>
        <w:snapToGrid w:val="0"/>
        <w:spacing w:after="120"/>
        <w:ind w:left="720"/>
      </w:pPr>
      <w:r w:rsidRPr="009716F7">
        <w:t xml:space="preserve">Payment by ACH must be made by using CORES at </w:t>
      </w:r>
      <w:hyperlink r:id="rId12" w:history="1">
        <w:r>
          <w:rPr>
            <w:rStyle w:val="Hyperlink"/>
          </w:rPr>
          <w:t>https://apps.fcc.gov/cores/userLogin.do</w:t>
        </w:r>
      </w:hyperlink>
      <w:r w:rsidRPr="009716F7">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86D1F" w:rsidRPr="00F810F3" w:rsidP="00886D1F" w14:paraId="6C2D9330" w14:textId="77777777">
      <w:pPr>
        <w:pStyle w:val="ParaNum"/>
        <w:widowControl/>
        <w:rPr>
          <w:rStyle w:val="ParaNumChar0"/>
        </w:rPr>
      </w:pPr>
      <w:r w:rsidRPr="004227E6">
        <w:rPr>
          <w:b/>
          <w:u w:val="single"/>
        </w:rPr>
        <w:t>Event of Default</w:t>
      </w:r>
      <w:r w:rsidRPr="004227E6">
        <w:t xml:space="preserve">.  </w:t>
      </w:r>
      <w:r>
        <w:t>Shentel</w:t>
      </w:r>
      <w:r>
        <w:t xml:space="preserve"> </w:t>
      </w:r>
      <w:r w:rsidRPr="004227E6">
        <w:t xml:space="preserve">agrees that an Event of Default shall occur upon the failure by </w:t>
      </w:r>
      <w:r>
        <w:t>Shentel</w:t>
      </w:r>
      <w:r>
        <w:t xml:space="preserve"> </w:t>
      </w:r>
      <w:r w:rsidRPr="004227E6">
        <w:t xml:space="preserve">to pay the </w:t>
      </w:r>
      <w:r>
        <w:t xml:space="preserve">full amount of the </w:t>
      </w:r>
      <w:r w:rsidRPr="004227E6">
        <w:t>Civil Penal</w:t>
      </w:r>
      <w:r>
        <w:t>t</w:t>
      </w:r>
      <w:r w:rsidRPr="004227E6">
        <w:t>y on or before the due date specified in this Consent Decree.</w:t>
      </w:r>
    </w:p>
    <w:p w:rsidR="00886D1F" w:rsidRPr="007C0B39" w:rsidP="00886D1F" w14:paraId="2B7488AF" w14:textId="77777777">
      <w:pPr>
        <w:pStyle w:val="ParaNum"/>
        <w:widowControl/>
      </w:pPr>
      <w:r w:rsidRPr="004227E6">
        <w:rPr>
          <w:b/>
          <w:szCs w:val="22"/>
          <w:u w:val="single"/>
        </w:rPr>
        <w:t>Interest, Charges for Collection, and Acceleration of Maturity Date</w:t>
      </w:r>
      <w:r w:rsidRPr="004227E6">
        <w:rPr>
          <w:szCs w:val="22"/>
        </w:rPr>
        <w:t xml:space="preserve">.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Pr>
          <w:szCs w:val="22"/>
        </w:rPr>
        <w:t>Shentel</w:t>
      </w:r>
      <w:r w:rsidRPr="004227E6">
        <w:rPr>
          <w:szCs w:val="22"/>
        </w:rPr>
        <w:t>.</w:t>
      </w:r>
    </w:p>
    <w:bookmarkEnd w:id="12"/>
    <w:p w:rsidR="00886D1F" w:rsidRPr="007C0B39" w:rsidP="00886D1F" w14:paraId="30AC58F3" w14:textId="77777777">
      <w:pPr>
        <w:pStyle w:val="ParaNum"/>
        <w:widowControl/>
      </w:pPr>
      <w:r w:rsidRPr="007C0B39">
        <w:rPr>
          <w:b/>
          <w:u w:val="single"/>
        </w:rPr>
        <w:t>Waivers</w:t>
      </w:r>
      <w:r w:rsidRPr="007C0B39">
        <w:t xml:space="preserve">.  As of the Effective Date, </w:t>
      </w:r>
      <w:r>
        <w:t>Shentel</w:t>
      </w:r>
      <w:r w:rsidRPr="007C0B39">
        <w:t xml:space="preserve"> waives any and all rights it may have to seek administrative or judicial reconsideration, review, appeal or stay, or to otherwise challenge or contest the validity of this Consent Decree and the Adopting Order.  </w:t>
      </w:r>
      <w:r>
        <w:t>Shentel</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Shentel</w:t>
      </w:r>
      <w:r>
        <w:t xml:space="preserve"> </w:t>
      </w:r>
      <w:r w:rsidRPr="007C0B39">
        <w:t xml:space="preserve">nor the Commission shall contest the validity of the Consent Decree or the Adopting Order, and </w:t>
      </w:r>
      <w:r>
        <w:t>Shentel</w:t>
      </w:r>
      <w:r>
        <w:t xml:space="preserve"> </w:t>
      </w:r>
      <w:r w:rsidRPr="007C0B39">
        <w:t xml:space="preserve">shall waive any statutory right to a trial </w:t>
      </w:r>
      <w:r w:rsidRPr="007C0B39">
        <w:rPr>
          <w:i/>
        </w:rPr>
        <w:t>de novo</w:t>
      </w:r>
      <w:r w:rsidRPr="007C0B39">
        <w:t xml:space="preserve">.  </w:t>
      </w:r>
      <w:r>
        <w:t>Shentel</w:t>
      </w:r>
      <w:r>
        <w:t xml:space="preserve"> </w:t>
      </w:r>
      <w:r w:rsidRPr="007C0B39">
        <w:t>hereby agrees to waive any claims it may otherwise have under the Equal Access to Justice Act</w:t>
      </w:r>
      <w:r>
        <w:rPr>
          <w:rStyle w:val="FootnoteReference"/>
          <w:szCs w:val="22"/>
        </w:rPr>
        <w:footnoteReference w:id="25"/>
      </w:r>
      <w:r w:rsidRPr="007C0B39">
        <w:t xml:space="preserve"> relating to the matters addressed in this Consent Decree.</w:t>
      </w:r>
    </w:p>
    <w:p w:rsidR="00886D1F" w:rsidRPr="007C0B39" w:rsidP="00886D1F" w14:paraId="5EDD1EAB" w14:textId="77777777">
      <w:pPr>
        <w:pStyle w:val="ParaNum"/>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86D1F" w:rsidRPr="007C0B39" w:rsidP="00886D1F" w14:paraId="63EE6F65" w14:textId="77777777">
      <w:pPr>
        <w:pStyle w:val="ParaNum"/>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886D1F" w:rsidRPr="007C0B39" w:rsidP="00886D1F" w14:paraId="4D345766" w14:textId="77777777">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t>Shentel</w:t>
      </w:r>
      <w:r w:rsidRPr="007C0B39">
        <w:rPr>
          <w:szCs w:val="22"/>
        </w:rPr>
        <w:t xml:space="preserve"> </w:t>
      </w:r>
      <w:r w:rsidRPr="007C0B39">
        <w:t xml:space="preserve">does not expressly consent) that provision will be superseded by such Rule or </w:t>
      </w:r>
      <w:r>
        <w:t>o</w:t>
      </w:r>
      <w:r w:rsidRPr="007C0B39">
        <w:t>rder.</w:t>
      </w:r>
    </w:p>
    <w:p w:rsidR="00886D1F" w:rsidRPr="007C0B39" w:rsidP="00886D1F" w14:paraId="6C09B87F" w14:textId="77777777">
      <w:pPr>
        <w:pStyle w:val="ParaNum"/>
        <w:widowControl/>
      </w:pPr>
      <w:r w:rsidRPr="007C0B39">
        <w:rPr>
          <w:b/>
          <w:u w:val="single"/>
        </w:rPr>
        <w:t>Successors and Assigns</w:t>
      </w:r>
      <w:r w:rsidRPr="007C0B39">
        <w:t xml:space="preserve">.  </w:t>
      </w:r>
      <w:r>
        <w:t>Shentel</w:t>
      </w:r>
      <w:r>
        <w:t xml:space="preserve"> </w:t>
      </w:r>
      <w:r w:rsidRPr="007C0B39">
        <w:t>agrees that the provisions of this Consent Decree shall be binding on its successors, assigns, and transferees.</w:t>
      </w:r>
    </w:p>
    <w:p w:rsidR="00886D1F" w:rsidRPr="007C0B39" w:rsidP="00886D1F" w14:paraId="4BF7D52D" w14:textId="77777777">
      <w:pPr>
        <w:pStyle w:val="ParaNum"/>
        <w:widowControl/>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Pr>
          <w:szCs w:val="22"/>
        </w:rPr>
        <w:t> </w:t>
      </w:r>
    </w:p>
    <w:p w:rsidR="00886D1F" w:rsidRPr="007C0B39" w:rsidP="00886D1F" w14:paraId="7DB9EEB1"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886D1F" w:rsidRPr="007C0B39" w:rsidP="00886D1F" w14:paraId="61070A37" w14:textId="77777777">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886D1F" w:rsidRPr="007C0B39" w:rsidP="00886D1F" w14:paraId="661FBB04" w14:textId="77777777">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86D1F" w:rsidRPr="007C0B39" w:rsidP="00886D1F" w14:paraId="6A567CE4" w14:textId="77777777">
      <w:pPr>
        <w:pStyle w:val="ParaNum"/>
        <w:widowControl/>
        <w:rPr>
          <w:szCs w:val="22"/>
        </w:rPr>
      </w:pPr>
      <w:r w:rsidRPr="005076A5">
        <w:rPr>
          <w:b/>
          <w:szCs w:val="22"/>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886D1F" w:rsidRPr="007C0B39" w:rsidP="00886D1F" w14:paraId="13021B03" w14:textId="77777777">
      <w:pPr>
        <w:keepNext/>
        <w:keepLines/>
        <w:widowControl/>
      </w:pPr>
    </w:p>
    <w:p w:rsidR="00886D1F" w:rsidRPr="007C0B39" w:rsidP="00886D1F" w14:paraId="52D2EFF2" w14:textId="77777777">
      <w:pPr>
        <w:keepNext/>
        <w:keepLines/>
        <w:widowControl/>
      </w:pPr>
    </w:p>
    <w:p w:rsidR="00886D1F" w:rsidRPr="007C0B39" w:rsidP="00886D1F" w14:paraId="014BF70D" w14:textId="77777777">
      <w:pPr>
        <w:keepNext/>
        <w:keepLines/>
        <w:widowControl/>
      </w:pPr>
      <w:r w:rsidRPr="007C0B39">
        <w:t>________________________________</w:t>
      </w:r>
    </w:p>
    <w:p w:rsidR="00886D1F" w:rsidRPr="007C0B39" w:rsidP="00886D1F" w14:paraId="5A5162EC" w14:textId="77777777">
      <w:pPr>
        <w:keepNext/>
        <w:keepLines/>
        <w:widowControl/>
      </w:pPr>
      <w:r>
        <w:t>Loyaan A. Egal</w:t>
      </w:r>
    </w:p>
    <w:p w:rsidR="00886D1F" w:rsidRPr="007C0B39" w:rsidP="00886D1F" w14:paraId="7F4CD039" w14:textId="77777777">
      <w:pPr>
        <w:keepNext/>
        <w:keepLines/>
        <w:widowControl/>
      </w:pPr>
      <w:r>
        <w:t>Chief</w:t>
      </w:r>
    </w:p>
    <w:p w:rsidR="00886D1F" w:rsidRPr="007C0B39" w:rsidP="00886D1F" w14:paraId="40DD13DE" w14:textId="77777777">
      <w:pPr>
        <w:keepNext/>
        <w:keepLines/>
        <w:widowControl/>
      </w:pPr>
      <w:r w:rsidRPr="007C0B39">
        <w:t>Enforcement Bureau</w:t>
      </w:r>
    </w:p>
    <w:p w:rsidR="00886D1F" w:rsidRPr="007C0B39" w:rsidP="00886D1F" w14:paraId="7C4FFA8B" w14:textId="77777777">
      <w:pPr>
        <w:keepNext/>
        <w:keepLines/>
        <w:widowControl/>
      </w:pPr>
    </w:p>
    <w:p w:rsidR="00886D1F" w:rsidRPr="007C0B39" w:rsidP="00886D1F" w14:paraId="234BB0F7" w14:textId="77777777">
      <w:pPr>
        <w:keepNext/>
        <w:keepLines/>
        <w:widowControl/>
      </w:pPr>
    </w:p>
    <w:p w:rsidR="00886D1F" w:rsidRPr="007C0B39" w:rsidP="00886D1F" w14:paraId="29D0C0FC" w14:textId="77777777">
      <w:pPr>
        <w:keepNext/>
        <w:keepLines/>
        <w:widowControl/>
      </w:pPr>
      <w:r w:rsidRPr="007C0B39">
        <w:t>________________________________</w:t>
      </w:r>
    </w:p>
    <w:p w:rsidR="00886D1F" w:rsidRPr="007C0B39" w:rsidP="00886D1F" w14:paraId="48884170" w14:textId="77777777">
      <w:pPr>
        <w:keepNext/>
        <w:keepLines/>
        <w:widowControl/>
      </w:pPr>
      <w:r w:rsidRPr="007C0B39">
        <w:t>Date</w:t>
      </w:r>
    </w:p>
    <w:p w:rsidR="00886D1F" w:rsidRPr="007C0B39" w:rsidP="00886D1F" w14:paraId="2E4340E0" w14:textId="77777777">
      <w:pPr>
        <w:keepNext/>
        <w:keepLines/>
        <w:widowControl/>
      </w:pPr>
    </w:p>
    <w:p w:rsidR="00886D1F" w:rsidRPr="007C0B39" w:rsidP="00886D1F" w14:paraId="651CAD63" w14:textId="77777777">
      <w:pPr>
        <w:keepLines/>
        <w:widowControl/>
      </w:pPr>
    </w:p>
    <w:p w:rsidR="00886D1F" w:rsidRPr="007C0B39" w:rsidP="00886D1F" w14:paraId="18348AE8" w14:textId="77777777">
      <w:pPr>
        <w:keepLines/>
        <w:widowControl/>
      </w:pPr>
    </w:p>
    <w:p w:rsidR="00886D1F" w:rsidRPr="007C0B39" w:rsidP="00886D1F" w14:paraId="32C194E3" w14:textId="77777777">
      <w:pPr>
        <w:keepLines/>
        <w:widowControl/>
      </w:pPr>
      <w:r w:rsidRPr="007C0B39">
        <w:t>________________________________</w:t>
      </w:r>
    </w:p>
    <w:p w:rsidR="00886D1F" w:rsidP="00886D1F" w14:paraId="4779A18E" w14:textId="77777777">
      <w:pPr>
        <w:keepLines/>
        <w:widowControl/>
      </w:pPr>
      <w:r>
        <w:t>Derek Rieger</w:t>
      </w:r>
    </w:p>
    <w:p w:rsidR="00886D1F" w:rsidRPr="007C0B39" w:rsidP="00886D1F" w14:paraId="20379D4E" w14:textId="77777777">
      <w:pPr>
        <w:keepLines/>
        <w:widowControl/>
      </w:pPr>
      <w:r>
        <w:t xml:space="preserve">Vice President - Legal &amp; General Counsel </w:t>
      </w:r>
    </w:p>
    <w:p w:rsidR="00886D1F" w:rsidRPr="007C0B39" w:rsidP="00886D1F" w14:paraId="109A6F36" w14:textId="77777777">
      <w:pPr>
        <w:keepLines/>
        <w:widowControl/>
      </w:pPr>
      <w:r>
        <w:t>Shenandoah Telecommunications Company</w:t>
      </w:r>
    </w:p>
    <w:p w:rsidR="00886D1F" w:rsidRPr="007C0B39" w:rsidP="00886D1F" w14:paraId="0FA93519" w14:textId="77777777">
      <w:pPr>
        <w:keepLines/>
        <w:widowControl/>
      </w:pPr>
    </w:p>
    <w:p w:rsidR="00886D1F" w:rsidRPr="007C0B39" w:rsidP="00886D1F" w14:paraId="6966C8AF" w14:textId="77777777">
      <w:pPr>
        <w:keepLines/>
        <w:widowControl/>
      </w:pPr>
      <w:r w:rsidRPr="007C0B39">
        <w:t>________________________________</w:t>
      </w:r>
    </w:p>
    <w:p w:rsidR="00886D1F" w:rsidRPr="002C00E8" w:rsidP="00886D1F" w14:paraId="272DE227" w14:textId="77777777">
      <w:pPr>
        <w:keepLines/>
        <w:widowControl/>
      </w:pPr>
      <w:r w:rsidRPr="007C0B39">
        <w:t>Date</w:t>
      </w:r>
    </w:p>
    <w:p w:rsidR="00886D1F" w:rsidRPr="006C7776" w:rsidP="00886D1F" w14:paraId="2649C052" w14:textId="77777777"/>
    <w:p w:rsidR="00412FC5" w:rsidRPr="008C4282" w:rsidP="00CF77B7" w14:paraId="0E16DFAB" w14:textId="77777777">
      <w:pPr>
        <w:rPr>
          <w:szCs w:val="22"/>
        </w:rPr>
      </w:pPr>
    </w:p>
    <w:sectPr w:rsidSect="0055614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09686033" w14:textId="77777777">
    <w:pPr>
      <w:pStyle w:val="Footer"/>
      <w:framePr w:wrap="around" w:vAnchor="text" w:hAnchor="margin" w:xAlign="center" w:y="1"/>
    </w:pPr>
    <w:r>
      <w:fldChar w:fldCharType="begin"/>
    </w:r>
    <w:r>
      <w:instrText xml:space="preserve">PAGE  </w:instrText>
    </w:r>
    <w:r w:rsidR="000D75B2">
      <w:fldChar w:fldCharType="separate"/>
    </w:r>
    <w:r>
      <w:fldChar w:fldCharType="end"/>
    </w:r>
  </w:p>
  <w:p w:rsidR="00676723" w14:paraId="043F2D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4166DE9F"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22775E0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236BC69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B238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286B9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385B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0DC714"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5AD4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012" w14:paraId="0E3566CA" w14:textId="77777777">
      <w:pPr>
        <w:rPr>
          <w:noProof/>
        </w:rPr>
      </w:pPr>
      <w:r>
        <w:rPr>
          <w:noProof/>
        </w:rPr>
        <w:separator/>
      </w:r>
    </w:p>
  </w:footnote>
  <w:footnote w:type="continuationSeparator" w:id="1">
    <w:p w:rsidR="000B5012" w14:paraId="09FFEA26" w14:textId="77777777">
      <w:pPr>
        <w:rPr>
          <w:sz w:val="20"/>
        </w:rPr>
      </w:pPr>
      <w:r>
        <w:rPr>
          <w:sz w:val="20"/>
        </w:rPr>
        <w:t xml:space="preserve">(Continued from previous page)  </w:t>
      </w:r>
      <w:r>
        <w:rPr>
          <w:sz w:val="20"/>
        </w:rPr>
        <w:separator/>
      </w:r>
    </w:p>
  </w:footnote>
  <w:footnote w:type="continuationNotice" w:id="2">
    <w:p w:rsidR="000B5012" w14:paraId="0A66D2FD" w14:textId="77777777">
      <w:pPr>
        <w:rPr>
          <w:sz w:val="20"/>
        </w:rPr>
      </w:pPr>
      <w:r>
        <w:rPr>
          <w:sz w:val="20"/>
        </w:rPr>
        <w:t>(continued….)</w:t>
      </w:r>
    </w:p>
  </w:footnote>
  <w:footnote w:id="3">
    <w:p w:rsidR="00B277A4" w:rsidRPr="00D84548" w14:paraId="674DEB45" w14:textId="77777777">
      <w:pPr>
        <w:pStyle w:val="FootnoteText"/>
      </w:pPr>
      <w:r w:rsidRPr="00D84548">
        <w:rPr>
          <w:rStyle w:val="FootnoteReference"/>
        </w:rPr>
        <w:footnoteRef/>
      </w:r>
      <w:r w:rsidRPr="00D84548">
        <w:t xml:space="preserve"> </w:t>
      </w:r>
      <w:r w:rsidR="005E4B8D">
        <w:rPr>
          <w:szCs w:val="22"/>
        </w:rPr>
        <w:t>47 CFR</w:t>
      </w:r>
      <w:r w:rsidRPr="00D84548">
        <w:rPr>
          <w:szCs w:val="22"/>
        </w:rPr>
        <w:t xml:space="preserve"> §</w:t>
      </w:r>
      <w:r w:rsidR="001A49C3">
        <w:rPr>
          <w:szCs w:val="22"/>
        </w:rPr>
        <w:t xml:space="preserve"> 9.11</w:t>
      </w:r>
      <w:r w:rsidRPr="00D84548">
        <w:rPr>
          <w:szCs w:val="22"/>
        </w:rPr>
        <w:t>.</w:t>
      </w:r>
    </w:p>
  </w:footnote>
  <w:footnote w:id="4">
    <w:p w:rsidR="00357044" w:rsidRPr="00F74D07" w14:paraId="334797ED" w14:textId="77777777">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5">
    <w:p w:rsidR="001A49C3" w:rsidRPr="00D84548" w:rsidP="001A49C3" w14:paraId="5C9C1B1D"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154(i)</w:t>
      </w:r>
      <w:r w:rsidRPr="00D84548">
        <w:rPr>
          <w:szCs w:val="22"/>
        </w:rPr>
        <w:t>.</w:t>
      </w:r>
    </w:p>
  </w:footnote>
  <w:footnote w:id="6">
    <w:p w:rsidR="009632A6" w14:paraId="6BC91454" w14:textId="77777777">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7">
    <w:p w:rsidR="00886D1F" w:rsidP="00886D1F" w14:paraId="7663CE92" w14:textId="77777777">
      <w:pPr>
        <w:pStyle w:val="FootnoteText"/>
      </w:pPr>
      <w:r>
        <w:rPr>
          <w:rStyle w:val="FootnoteReference"/>
        </w:rPr>
        <w:footnoteRef/>
      </w:r>
      <w:r>
        <w:t xml:space="preserve"> 47 CFR §§ 4.5, 4.7, 9.11(b).</w:t>
      </w:r>
    </w:p>
  </w:footnote>
  <w:footnote w:id="8">
    <w:p w:rsidR="00886D1F" w:rsidP="00886D1F" w14:paraId="6DF8AD80"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rsidR="00886D1F" w:rsidP="00886D1F" w14:paraId="7824E814" w14:textId="77777777">
      <w:pPr>
        <w:pStyle w:val="FootnoteText"/>
      </w:pPr>
      <w:r>
        <w:rPr>
          <w:rStyle w:val="FootnoteReference"/>
        </w:rPr>
        <w:footnoteRef/>
      </w:r>
      <w:r>
        <w:t xml:space="preserve"> 47 CFR. § 9.11(b)(2)(ii).</w:t>
      </w:r>
    </w:p>
  </w:footnote>
  <w:footnote w:id="10">
    <w:p w:rsidR="00886D1F" w:rsidRPr="00A64B0A" w:rsidP="00886D1F" w14:paraId="3AE84CB7" w14:textId="77777777">
      <w:pPr>
        <w:pStyle w:val="FootnoteText"/>
      </w:pPr>
      <w:r w:rsidRPr="00A64B0A">
        <w:rPr>
          <w:rStyle w:val="FootnoteReference"/>
        </w:rPr>
        <w:footnoteRef/>
      </w:r>
      <w:r w:rsidRPr="00A64B0A">
        <w:t xml:space="preserve"> Response to Letter of Inquiry from K.C. Halm, Counsel to Shenandoah Telecommunications Company, Davis Wright Tremaine LLP, to Elizabeth Y. Mumaw, Chief, Spectrum Enforcement Division, FCC Enforcement Bureau at 4, 5, 8 (Oct. 19, 2022) (on file in EB-SED-22-00034239)</w:t>
      </w:r>
      <w:r>
        <w:t xml:space="preserve"> (LOI Response)</w:t>
      </w:r>
      <w:r w:rsidRPr="00A64B0A">
        <w:t>.</w:t>
      </w:r>
    </w:p>
  </w:footnote>
  <w:footnote w:id="11">
    <w:p w:rsidR="00886D1F" w:rsidRPr="00F111D6" w:rsidP="00886D1F" w14:paraId="7CD3CF49" w14:textId="77777777">
      <w:pPr>
        <w:pStyle w:val="FootnoteText"/>
      </w:pPr>
      <w:r>
        <w:rPr>
          <w:rStyle w:val="FootnoteReference"/>
        </w:rPr>
        <w:footnoteRef/>
      </w:r>
      <w:r>
        <w:t xml:space="preserve"> </w:t>
      </w:r>
      <w:r>
        <w:rPr>
          <w:i/>
          <w:iCs/>
        </w:rPr>
        <w:t>See</w:t>
      </w:r>
      <w:r>
        <w:t xml:space="preserve"> 47 CFR § 9.3.</w:t>
      </w:r>
    </w:p>
  </w:footnote>
  <w:footnote w:id="12">
    <w:p w:rsidR="00886D1F" w:rsidRPr="00F111D6" w:rsidP="00886D1F" w14:paraId="64C4164F" w14:textId="77777777">
      <w:pPr>
        <w:pStyle w:val="FootnoteText"/>
      </w:pPr>
      <w:r>
        <w:rPr>
          <w:rStyle w:val="FootnoteReference"/>
        </w:rPr>
        <w:footnoteRef/>
      </w:r>
      <w:r>
        <w:t xml:space="preserve"> </w:t>
      </w:r>
      <w:r>
        <w:rPr>
          <w:i/>
          <w:iCs/>
        </w:rPr>
        <w:t>Id.</w:t>
      </w:r>
    </w:p>
  </w:footnote>
  <w:footnote w:id="13">
    <w:p w:rsidR="00886D1F" w:rsidRPr="00A64B0A" w:rsidP="00886D1F" w14:paraId="5198B907" w14:textId="77777777">
      <w:pPr>
        <w:pStyle w:val="FootnoteText"/>
      </w:pPr>
      <w:r w:rsidRPr="00A64B0A">
        <w:rPr>
          <w:rStyle w:val="FootnoteReference"/>
        </w:rPr>
        <w:footnoteRef/>
      </w:r>
      <w:r w:rsidRPr="00A64B0A">
        <w:t xml:space="preserve"> </w:t>
      </w:r>
      <w:r>
        <w:t>LOI Response at 4, 5, 8</w:t>
      </w:r>
      <w:r w:rsidRPr="00A64B0A">
        <w:t>.</w:t>
      </w:r>
    </w:p>
  </w:footnote>
  <w:footnote w:id="14">
    <w:p w:rsidR="00886D1F" w:rsidRPr="00A64B0A" w:rsidP="00886D1F" w14:paraId="6AFF23B2" w14:textId="77777777">
      <w:pPr>
        <w:pStyle w:val="FootnoteText"/>
      </w:pPr>
      <w:r w:rsidRPr="00A64B0A">
        <w:rPr>
          <w:rStyle w:val="FootnoteReference"/>
        </w:rPr>
        <w:footnoteRef/>
      </w:r>
      <w:r w:rsidRPr="00A64B0A">
        <w:t xml:space="preserve"> </w:t>
      </w:r>
      <w:r w:rsidRPr="00A64B0A">
        <w:rPr>
          <w:i/>
          <w:iCs/>
        </w:rPr>
        <w:t>Id</w:t>
      </w:r>
      <w:r w:rsidRPr="00A64B0A">
        <w:t>. at 8</w:t>
      </w:r>
      <w:r>
        <w:t>, Response to Inquiry 11.i</w:t>
      </w:r>
      <w:r w:rsidRPr="00A64B0A">
        <w:t>.</w:t>
      </w:r>
    </w:p>
  </w:footnote>
  <w:footnote w:id="15">
    <w:p w:rsidR="00886D1F" w:rsidRPr="00A64B0A" w:rsidP="00886D1F" w14:paraId="590961EB" w14:textId="77777777">
      <w:pPr>
        <w:pStyle w:val="FootnoteText"/>
      </w:pPr>
      <w:r w:rsidRPr="00A64B0A">
        <w:rPr>
          <w:rStyle w:val="FootnoteReference"/>
        </w:rPr>
        <w:footnoteRef/>
      </w:r>
      <w:r w:rsidRPr="00A64B0A">
        <w:t xml:space="preserve"> Letter of Inquiry from Elizabeth Y. Mumaw, Chief, Spectrum Enforcement Division, FCC Enforcement Bureau, to Christopher E. French, President and Chief Executive Officer, Shenandoah Telecommunications Company and K.C. Halm, Counsel to Shenandoah Telecommunications Company, Davis Wright Tremaine LLP (Sept. 15, 2022) (on file in EB-SED-22-00034239); E-mail from Kathy Harvey, Attorney Advisor, Spectrum Enforcement Division, FCC Enforcement Bureau, to K.C. Halm, Counsel to Shenandoah Telecommunications Company, Davis Wright Tremaine LLP, (Nov. 4, 2022 11:25 EDT) (on file in EB-SED-22-00034239); E-mail from Matthew Gibson, Deputy Chief, Spectrum Enforcement Division, FCC Enforcement Bureau to K.C. Halm, Counsel to Shenandoah Telecommunications Company, Davis Wright Tremaine LLP, (Dec. 8, 2022 16:24 EST) (on file in EB-SED-22-00034239).</w:t>
      </w:r>
    </w:p>
  </w:footnote>
  <w:footnote w:id="16">
    <w:p w:rsidR="00886D1F" w:rsidP="00886D1F" w14:paraId="57FE50C2" w14:textId="77777777">
      <w:pPr>
        <w:pStyle w:val="FootnoteText"/>
      </w:pPr>
      <w:r w:rsidRPr="00A64B0A">
        <w:rPr>
          <w:rStyle w:val="FootnoteReference"/>
        </w:rPr>
        <w:footnoteRef/>
      </w:r>
      <w:r w:rsidRPr="00A64B0A">
        <w:t xml:space="preserve"> LOI Response; Response to Supplemental Letter of Inquiry from K.C. Halm, Counsel to Shenandoah Telecommunications Company, Davis Wright Tremaine LLP, to Elizabeth Y. Mumaw, Chief, Spectrum Enforcement Division, FCC Enforcement Bureau (Nov. 18, 2022) (on file in EB-SED-22-00034239); Response to Supplemental Letter of Inquiry from K.C. Halm, Counsel to Shenandoah Telecommunications Company, Davis Wright Tremaine LLP, to Elizabeth Y. Mumaw, Chief, Spectrum Enforcement Division, FCC Enforcement Bureau (Dec. 14, 2022) (on file in EB-SED-22-00034239).</w:t>
      </w:r>
    </w:p>
  </w:footnote>
  <w:footnote w:id="17">
    <w:p w:rsidR="00886D1F" w:rsidP="00886D1F" w14:paraId="526CFAE4"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18">
    <w:p w:rsidR="00886D1F" w:rsidP="00886D1F" w14:paraId="39E1E38E" w14:textId="77777777">
      <w:pPr>
        <w:pStyle w:val="FootnoteText"/>
      </w:pPr>
      <w:r w:rsidRPr="00A07FCB">
        <w:rPr>
          <w:rStyle w:val="FootnoteReference"/>
        </w:rPr>
        <w:footnoteRef/>
      </w:r>
      <w:r w:rsidRPr="00A07FCB">
        <w:t xml:space="preserve"> 47 CFR § 1.16.</w:t>
      </w:r>
    </w:p>
  </w:footnote>
  <w:footnote w:id="19">
    <w:p w:rsidR="00886D1F" w:rsidP="00886D1F" w14:paraId="29E3998D" w14:textId="77777777">
      <w:pPr>
        <w:pStyle w:val="FootnoteText"/>
      </w:pPr>
      <w:r w:rsidRPr="00A07FCB">
        <w:rPr>
          <w:rStyle w:val="FootnoteReference"/>
        </w:rPr>
        <w:footnoteRef/>
      </w:r>
      <w:r w:rsidRPr="003F6349">
        <w:t xml:space="preserve"> </w:t>
      </w:r>
      <w:r w:rsidRPr="00A07FCB">
        <w:t>47 U.S.C. § 208.</w:t>
      </w:r>
    </w:p>
  </w:footnote>
  <w:footnote w:id="20">
    <w:p w:rsidR="00886D1F" w:rsidP="00886D1F" w14:paraId="1B867D55" w14:textId="77777777">
      <w:pPr>
        <w:pStyle w:val="FootnoteText"/>
      </w:pPr>
      <w:r>
        <w:rPr>
          <w:rStyle w:val="FootnoteReference"/>
        </w:rPr>
        <w:footnoteRef/>
      </w:r>
      <w:r>
        <w:t xml:space="preserve"> Debt Collection Improvement Act of 1996, Pub. L. No. 104-134, 110 Stat. 1321, 1358 (Apr. 26, 1996).</w:t>
      </w:r>
    </w:p>
  </w:footnote>
  <w:footnote w:id="21">
    <w:p w:rsidR="00886D1F" w:rsidRPr="003433FA" w:rsidP="00886D1F" w14:paraId="1182E7D2"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22">
    <w:p w:rsidR="00886D1F" w:rsidRPr="003433FA" w:rsidP="00886D1F" w14:paraId="660410C5" w14:textId="77777777">
      <w:pPr>
        <w:pStyle w:val="FootnoteText"/>
      </w:pPr>
      <w:r w:rsidRPr="003433FA">
        <w:rPr>
          <w:rStyle w:val="FootnoteReference"/>
        </w:rPr>
        <w:footnoteRef/>
      </w:r>
      <w:r w:rsidRPr="003433FA">
        <w:t xml:space="preserve"> FCC Form 159 is accessible at </w:t>
      </w:r>
      <w:hyperlink r:id="rId1" w:history="1">
        <w:r w:rsidRPr="003433FA">
          <w:rPr>
            <w:rStyle w:val="Hyperlink"/>
          </w:rPr>
          <w:t>https://www.fcc.gov/licensing-databases/fees/fcc-remittance-advice-form-159</w:t>
        </w:r>
      </w:hyperlink>
      <w:r w:rsidRPr="003433FA">
        <w:rPr>
          <w:rStyle w:val="Hyperlink"/>
        </w:rPr>
        <w:t>.</w:t>
      </w:r>
    </w:p>
  </w:footnote>
  <w:footnote w:id="23">
    <w:p w:rsidR="00886D1F" w:rsidRPr="009716F7" w:rsidP="00886D1F" w14:paraId="45043939"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2" w:history="1">
        <w:r w:rsidRPr="00D76723">
          <w:rPr>
            <w:rStyle w:val="Hyperlink"/>
          </w:rPr>
          <w:t>h</w:t>
        </w:r>
        <w:r w:rsidRPr="00DF5B5C">
          <w:rPr>
            <w:rStyle w:val="Hyperlink"/>
          </w:rPr>
          <w:t>ttps://apps.fcc.gov/cores/userLogin.do</w:t>
        </w:r>
      </w:hyperlink>
      <w:r w:rsidRPr="004B6755">
        <w:t>.</w:t>
      </w:r>
    </w:p>
  </w:footnote>
  <w:footnote w:id="24">
    <w:p w:rsidR="00886D1F" w:rsidP="00886D1F" w14:paraId="4E140983" w14:textId="77777777">
      <w:pPr>
        <w:pStyle w:val="FootnoteText"/>
      </w:pPr>
      <w:r w:rsidRPr="009716F7">
        <w:rPr>
          <w:rStyle w:val="FootnoteReference"/>
        </w:rPr>
        <w:footnoteRef/>
      </w:r>
      <w:r w:rsidRPr="009716F7">
        <w:t xml:space="preserve"> Instructions for completing the form may be obtained at </w:t>
      </w:r>
      <w:hyperlink r:id="rId3" w:history="1">
        <w:r w:rsidRPr="009716F7">
          <w:rPr>
            <w:rStyle w:val="Hyperlink"/>
          </w:rPr>
          <w:t>http://www.fcc.gov/Forms/Form159/159.pdf</w:t>
        </w:r>
      </w:hyperlink>
      <w:r w:rsidRPr="009716F7">
        <w:t xml:space="preserve">. </w:t>
      </w:r>
    </w:p>
  </w:footnote>
  <w:footnote w:id="25">
    <w:p w:rsidR="00886D1F" w:rsidP="00886D1F" w14:paraId="71BDBD34"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641BF1FA" w14:textId="7777777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BE174B">
      <w:rPr>
        <w:b/>
        <w:spacing w:val="-2"/>
      </w:rPr>
      <w:t>23</w:t>
    </w:r>
    <w:r>
      <w:rPr>
        <w:b/>
        <w:spacing w:val="-2"/>
      </w:rPr>
      <w:t>-</w:t>
    </w:r>
    <w:r w:rsidR="00A24038">
      <w:rPr>
        <w:b/>
        <w:spacing w:val="-2"/>
      </w:rPr>
      <w:t>337</w:t>
    </w:r>
  </w:p>
  <w:p w:rsidR="00676723" w:rsidRPr="00C438ED" w:rsidP="00C438ED" w14:paraId="1F1EE5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B318D0" w14:paraId="405F6197" w14:textId="77777777">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BE174B">
      <w:rPr>
        <w:spacing w:val="-2"/>
      </w:rPr>
      <w:t>23</w:t>
    </w:r>
    <w:r w:rsidRPr="002755D1">
      <w:rPr>
        <w:spacing w:val="-2"/>
      </w:rPr>
      <w:t>-</w:t>
    </w:r>
    <w:r w:rsidR="00A24038">
      <w:rPr>
        <w:spacing w:val="-2"/>
      </w:rPr>
      <w:t>337</w:t>
    </w:r>
  </w:p>
  <w:p w:rsidR="002E4C64" w:rsidP="007A247C" w14:paraId="262FB9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1354E8" w14:textId="77777777">
    <w:pPr>
      <w:pStyle w:val="Header"/>
      <w:rPr>
        <w:b w:val="0"/>
      </w:rPr>
    </w:pPr>
    <w:r>
      <w:tab/>
      <w:t>Federal Communications Commission</w:t>
    </w:r>
    <w:r>
      <w:tab/>
    </w:r>
    <w:r>
      <w:t>DA 23-337</w:t>
    </w:r>
  </w:p>
  <w:p w:rsidR="00D25FB5" w14:paraId="3AACE7AD" w14:textId="3518453D">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1640B5D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E51296" w14:textId="67E9F02C">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0D75B2">
      <w:tab/>
      <w:t>Federal Communications Commission</w:t>
    </w:r>
    <w:r w:rsidR="000D75B2">
      <w:tab/>
    </w:r>
    <w:r w:rsidR="000D75B2">
      <w:rPr>
        <w:spacing w:val="-2"/>
      </w:rPr>
      <w:t>DA</w:t>
    </w:r>
    <w:r w:rsidR="000D75B2">
      <w:rPr>
        <w:spacing w:val="-2"/>
      </w:rPr>
      <w:t xml:space="preserve"> 23-337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specVanish w:val="0"/>
        <w14:shadow w14:blurRad="0" w14:dist="0" w14:dir="0" w14:sx="0" w14:sy="0" w14:kx="0" w14:ky="0" w14:algn="none">
          <w14:srgbClr w14:val="000000"/>
        </w14:shadow>
        <w14:textOutline w14:w="0" w14:cap="rnd">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Jc w:val="left"/>
      <w:pPr>
        <w:ind w:left="0" w:firstLine="720"/>
      </w:pPr>
      <w:rPr>
        <w:rFonts w:hint="default"/>
        <w:color w:val="000000"/>
        <w:position w:val="0"/>
        <w:sz w:val="24"/>
      </w:rPr>
    </w:lvl>
    <w:lvl w:ilvl="3">
      <w:start w:val="1"/>
      <w:numFmt w:val="bullet"/>
      <w:suff w:val="nothing"/>
      <w:lvlJc w:val="left"/>
      <w:pPr>
        <w:ind w:left="0" w:firstLine="720"/>
      </w:pPr>
      <w:rPr>
        <w:rFonts w:hint="default"/>
        <w:color w:val="000000"/>
        <w:position w:val="0"/>
        <w:sz w:val="24"/>
      </w:rPr>
    </w:lvl>
    <w:lvl w:ilvl="4">
      <w:start w:val="1"/>
      <w:numFmt w:val="bullet"/>
      <w:suff w:val="nothing"/>
      <w:lvlJc w:val="left"/>
      <w:pPr>
        <w:ind w:left="0" w:firstLine="720"/>
      </w:pPr>
      <w:rPr>
        <w:rFonts w:hint="default"/>
        <w:color w:val="000000"/>
        <w:position w:val="0"/>
        <w:sz w:val="24"/>
      </w:rPr>
    </w:lvl>
    <w:lvl w:ilvl="5">
      <w:start w:val="1"/>
      <w:numFmt w:val="bullet"/>
      <w:suff w:val="nothing"/>
      <w:lvlJc w:val="left"/>
      <w:pPr>
        <w:ind w:left="0" w:firstLine="720"/>
      </w:pPr>
      <w:rPr>
        <w:rFonts w:hint="default"/>
        <w:color w:val="000000"/>
        <w:position w:val="0"/>
        <w:sz w:val="24"/>
      </w:rPr>
    </w:lvl>
    <w:lvl w:ilvl="6">
      <w:start w:val="1"/>
      <w:numFmt w:val="bullet"/>
      <w:suff w:val="nothing"/>
      <w:lvlJc w:val="left"/>
      <w:pPr>
        <w:ind w:left="0" w:firstLine="720"/>
      </w:pPr>
      <w:rPr>
        <w:rFonts w:hint="default"/>
        <w:color w:val="000000"/>
        <w:position w:val="0"/>
        <w:sz w:val="24"/>
      </w:rPr>
    </w:lvl>
    <w:lvl w:ilvl="7">
      <w:start w:val="1"/>
      <w:numFmt w:val="bullet"/>
      <w:suff w:val="nothing"/>
      <w:lvlJc w:val="left"/>
      <w:pPr>
        <w:ind w:left="0" w:firstLine="720"/>
      </w:pPr>
      <w:rPr>
        <w:rFonts w:hint="default"/>
        <w:color w:val="000000"/>
        <w:position w:val="0"/>
        <w:sz w:val="24"/>
      </w:rPr>
    </w:lvl>
    <w:lvl w:ilvl="8">
      <w:start w:val="1"/>
      <w:numFmt w:val="bullet"/>
      <w:suff w:val="nothing"/>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5">
    <w:nsid w:val="0E0B6C4F"/>
    <w:multiLevelType w:val="hybridMultilevel"/>
    <w:tmpl w:val="3AEAA554"/>
    <w:lvl w:ilvl="0">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6">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60F0118"/>
    <w:multiLevelType w:val="hybridMultilevel"/>
    <w:tmpl w:val="09E26F7A"/>
    <w:lvl w:ilvl="0">
      <w:start w:val="1"/>
      <w:numFmt w:val="lowerLetter"/>
      <w:lvlText w:val="%1)"/>
      <w:lvlJc w:val="left"/>
      <w:pPr>
        <w:tabs>
          <w:tab w:val="num" w:pos="1440"/>
        </w:tabs>
        <w:ind w:left="1440" w:hanging="360"/>
      </w:pPr>
      <w:rPr>
        <w:b w:val="0"/>
        <w:i w:val="0"/>
      </w:rPr>
    </w:lvl>
    <w:lvl w:ilvl="1">
      <w:start w:val="1"/>
      <w:numFmt w:val="lowerRoman"/>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49F448E3"/>
    <w:multiLevelType w:val="hybridMultilevel"/>
    <w:tmpl w:val="6EAC4E5A"/>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specVanish w:val="0"/>
        <w14:shadow w14:blurRad="0" w14:dist="0" w14:dir="0" w14:sx="0" w14:sy="0" w14:kx="0" w14:ky="0" w14:algn="none">
          <w14:srgbClr w14:val="000000"/>
        </w14:shadow>
        <w14:textOutline w14:w="0" w14:cap="rnd">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Jc w:val="left"/>
      <w:pPr>
        <w:ind w:left="0" w:firstLine="720"/>
      </w:pPr>
      <w:rPr>
        <w:rFonts w:hint="default"/>
        <w:color w:val="000000"/>
        <w:position w:val="0"/>
        <w:sz w:val="24"/>
      </w:rPr>
    </w:lvl>
    <w:lvl w:ilvl="3">
      <w:start w:val="1"/>
      <w:numFmt w:val="bullet"/>
      <w:suff w:val="nothing"/>
      <w:lvlJc w:val="left"/>
      <w:pPr>
        <w:ind w:left="0" w:firstLine="720"/>
      </w:pPr>
      <w:rPr>
        <w:rFonts w:hint="default"/>
        <w:color w:val="000000"/>
        <w:position w:val="0"/>
        <w:sz w:val="24"/>
      </w:rPr>
    </w:lvl>
    <w:lvl w:ilvl="4">
      <w:start w:val="1"/>
      <w:numFmt w:val="bullet"/>
      <w:suff w:val="nothing"/>
      <w:lvlJc w:val="left"/>
      <w:pPr>
        <w:ind w:left="0" w:firstLine="720"/>
      </w:pPr>
      <w:rPr>
        <w:rFonts w:hint="default"/>
        <w:color w:val="000000"/>
        <w:position w:val="0"/>
        <w:sz w:val="24"/>
      </w:rPr>
    </w:lvl>
    <w:lvl w:ilvl="5">
      <w:start w:val="1"/>
      <w:numFmt w:val="bullet"/>
      <w:suff w:val="nothing"/>
      <w:lvlJc w:val="left"/>
      <w:pPr>
        <w:ind w:left="0" w:firstLine="720"/>
      </w:pPr>
      <w:rPr>
        <w:rFonts w:hint="default"/>
        <w:color w:val="000000"/>
        <w:position w:val="0"/>
        <w:sz w:val="24"/>
      </w:rPr>
    </w:lvl>
    <w:lvl w:ilvl="6">
      <w:start w:val="1"/>
      <w:numFmt w:val="bullet"/>
      <w:suff w:val="nothing"/>
      <w:lvlJc w:val="left"/>
      <w:pPr>
        <w:ind w:left="0" w:firstLine="720"/>
      </w:pPr>
      <w:rPr>
        <w:rFonts w:hint="default"/>
        <w:color w:val="000000"/>
        <w:position w:val="0"/>
        <w:sz w:val="24"/>
      </w:rPr>
    </w:lvl>
    <w:lvl w:ilvl="7">
      <w:start w:val="1"/>
      <w:numFmt w:val="bullet"/>
      <w:suff w:val="nothing"/>
      <w:lvlJc w:val="left"/>
      <w:pPr>
        <w:ind w:left="0" w:firstLine="720"/>
      </w:pPr>
      <w:rPr>
        <w:rFonts w:hint="default"/>
        <w:color w:val="000000"/>
        <w:position w:val="0"/>
        <w:sz w:val="24"/>
      </w:rPr>
    </w:lvl>
    <w:lvl w:ilvl="8">
      <w:start w:val="1"/>
      <w:numFmt w:val="bullet"/>
      <w:suff w:val="nothing"/>
      <w:lvlJc w:val="left"/>
      <w:pPr>
        <w:ind w:left="0" w:firstLine="720"/>
      </w:pPr>
      <w:rPr>
        <w:rFonts w:hint="default"/>
        <w:color w:val="000000"/>
        <w:position w:val="0"/>
        <w:sz w:val="24"/>
      </w:rPr>
    </w:lvl>
  </w:abstractNum>
  <w:abstractNum w:abstractNumId="16">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19">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8"/>
  </w:num>
  <w:num w:numId="2">
    <w:abstractNumId w:val="17"/>
  </w:num>
  <w:num w:numId="3">
    <w:abstractNumId w:val="10"/>
  </w:num>
  <w:num w:numId="4">
    <w:abstractNumId w:val="0"/>
  </w:num>
  <w:num w:numId="5">
    <w:abstractNumId w:val="1"/>
  </w:num>
  <w:num w:numId="6">
    <w:abstractNumId w:val="12"/>
  </w:num>
  <w:num w:numId="7">
    <w:abstractNumId w:val="8"/>
  </w:num>
  <w:num w:numId="8">
    <w:abstractNumId w:val="0"/>
  </w:num>
  <w:num w:numId="9">
    <w:abstractNumId w:val="18"/>
  </w:num>
  <w:num w:numId="10">
    <w:abstractNumId w:val="2"/>
  </w:num>
  <w:num w:numId="11">
    <w:abstractNumId w:val="16"/>
  </w:num>
  <w:num w:numId="12">
    <w:abstractNumId w:val="13"/>
  </w:num>
  <w:num w:numId="13">
    <w:abstractNumId w:val="15"/>
  </w:num>
  <w:num w:numId="14">
    <w:abstractNumId w:val="5"/>
  </w:num>
  <w:num w:numId="15">
    <w:abstractNumId w:val="14"/>
  </w:num>
  <w:num w:numId="16">
    <w:abstractNumId w:val="9"/>
  </w:num>
  <w:num w:numId="17">
    <w:abstractNumId w:val="3"/>
  </w:num>
  <w:num w:numId="18">
    <w:abstractNumId w:val="10"/>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1"/>
  </w:num>
  <w:num w:numId="47">
    <w:abstractNumId w:val="6"/>
  </w:num>
  <w:num w:numId="48">
    <w:abstractNumId w:val="19"/>
  </w:num>
  <w:num w:numId="49">
    <w:abstractNumId w:val="4"/>
  </w:num>
  <w:num w:numId="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20926"/>
    <w:rsid w:val="00020F52"/>
    <w:rsid w:val="000239E2"/>
    <w:rsid w:val="00023CBD"/>
    <w:rsid w:val="00030F3B"/>
    <w:rsid w:val="00032EB3"/>
    <w:rsid w:val="00034A4C"/>
    <w:rsid w:val="00036039"/>
    <w:rsid w:val="00036EBB"/>
    <w:rsid w:val="00037506"/>
    <w:rsid w:val="00037F90"/>
    <w:rsid w:val="000409A7"/>
    <w:rsid w:val="00041FA4"/>
    <w:rsid w:val="0004267E"/>
    <w:rsid w:val="00043776"/>
    <w:rsid w:val="00044329"/>
    <w:rsid w:val="000474B4"/>
    <w:rsid w:val="000510A7"/>
    <w:rsid w:val="00051D08"/>
    <w:rsid w:val="000546E3"/>
    <w:rsid w:val="00060B19"/>
    <w:rsid w:val="00060E3B"/>
    <w:rsid w:val="00064FCE"/>
    <w:rsid w:val="00075DE2"/>
    <w:rsid w:val="00077556"/>
    <w:rsid w:val="00080528"/>
    <w:rsid w:val="000812CD"/>
    <w:rsid w:val="00084844"/>
    <w:rsid w:val="000875BF"/>
    <w:rsid w:val="00090DA5"/>
    <w:rsid w:val="00093012"/>
    <w:rsid w:val="00094FF2"/>
    <w:rsid w:val="00096D8C"/>
    <w:rsid w:val="000A1DBA"/>
    <w:rsid w:val="000A4143"/>
    <w:rsid w:val="000A69D0"/>
    <w:rsid w:val="000A747B"/>
    <w:rsid w:val="000A78D2"/>
    <w:rsid w:val="000B076B"/>
    <w:rsid w:val="000B4C5A"/>
    <w:rsid w:val="000B5012"/>
    <w:rsid w:val="000C0B65"/>
    <w:rsid w:val="000C3C46"/>
    <w:rsid w:val="000C4982"/>
    <w:rsid w:val="000C53CB"/>
    <w:rsid w:val="000C5E7E"/>
    <w:rsid w:val="000D2CE7"/>
    <w:rsid w:val="000D2FF2"/>
    <w:rsid w:val="000D4423"/>
    <w:rsid w:val="000D75B2"/>
    <w:rsid w:val="000E156D"/>
    <w:rsid w:val="000E1A32"/>
    <w:rsid w:val="000E3D42"/>
    <w:rsid w:val="000E57DB"/>
    <w:rsid w:val="000E5FE3"/>
    <w:rsid w:val="000F1739"/>
    <w:rsid w:val="000F2290"/>
    <w:rsid w:val="000F5AE0"/>
    <w:rsid w:val="000F71E7"/>
    <w:rsid w:val="00104AE7"/>
    <w:rsid w:val="00107438"/>
    <w:rsid w:val="00107BC7"/>
    <w:rsid w:val="00111B57"/>
    <w:rsid w:val="001130D9"/>
    <w:rsid w:val="001163D2"/>
    <w:rsid w:val="00116761"/>
    <w:rsid w:val="00122BD5"/>
    <w:rsid w:val="00122F40"/>
    <w:rsid w:val="00123544"/>
    <w:rsid w:val="00123DC5"/>
    <w:rsid w:val="001251A4"/>
    <w:rsid w:val="0012535E"/>
    <w:rsid w:val="00130E75"/>
    <w:rsid w:val="00131135"/>
    <w:rsid w:val="00133FD2"/>
    <w:rsid w:val="0013481A"/>
    <w:rsid w:val="0013545C"/>
    <w:rsid w:val="00143343"/>
    <w:rsid w:val="00150039"/>
    <w:rsid w:val="00151AF8"/>
    <w:rsid w:val="00152144"/>
    <w:rsid w:val="0015292D"/>
    <w:rsid w:val="00152E7C"/>
    <w:rsid w:val="001569B9"/>
    <w:rsid w:val="001609C7"/>
    <w:rsid w:val="00161F7D"/>
    <w:rsid w:val="00161FD5"/>
    <w:rsid w:val="00163419"/>
    <w:rsid w:val="00164854"/>
    <w:rsid w:val="001659BF"/>
    <w:rsid w:val="001664A0"/>
    <w:rsid w:val="0017171A"/>
    <w:rsid w:val="00172BF5"/>
    <w:rsid w:val="00174F9E"/>
    <w:rsid w:val="00176197"/>
    <w:rsid w:val="0017677C"/>
    <w:rsid w:val="00180D54"/>
    <w:rsid w:val="00182E46"/>
    <w:rsid w:val="00183C5A"/>
    <w:rsid w:val="001850F1"/>
    <w:rsid w:val="001877EB"/>
    <w:rsid w:val="00193512"/>
    <w:rsid w:val="001955C8"/>
    <w:rsid w:val="00196CFD"/>
    <w:rsid w:val="001A49C3"/>
    <w:rsid w:val="001A5074"/>
    <w:rsid w:val="001A6AEF"/>
    <w:rsid w:val="001A7A02"/>
    <w:rsid w:val="001B4BAE"/>
    <w:rsid w:val="001B63BB"/>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115D"/>
    <w:rsid w:val="00221D7C"/>
    <w:rsid w:val="00223374"/>
    <w:rsid w:val="00227276"/>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1E47"/>
    <w:rsid w:val="00284E12"/>
    <w:rsid w:val="00285017"/>
    <w:rsid w:val="00287BA4"/>
    <w:rsid w:val="00291DFD"/>
    <w:rsid w:val="0029201C"/>
    <w:rsid w:val="00295C0F"/>
    <w:rsid w:val="002A1D20"/>
    <w:rsid w:val="002A2D2E"/>
    <w:rsid w:val="002A6E38"/>
    <w:rsid w:val="002B22CB"/>
    <w:rsid w:val="002B2AA5"/>
    <w:rsid w:val="002B3194"/>
    <w:rsid w:val="002B4338"/>
    <w:rsid w:val="002B518C"/>
    <w:rsid w:val="002C00E8"/>
    <w:rsid w:val="002C0646"/>
    <w:rsid w:val="002C30EE"/>
    <w:rsid w:val="002C67F6"/>
    <w:rsid w:val="002D2357"/>
    <w:rsid w:val="002E4C64"/>
    <w:rsid w:val="002E5543"/>
    <w:rsid w:val="002F0F20"/>
    <w:rsid w:val="002F7BE9"/>
    <w:rsid w:val="0030082F"/>
    <w:rsid w:val="003016ED"/>
    <w:rsid w:val="00302BBF"/>
    <w:rsid w:val="003068B8"/>
    <w:rsid w:val="00320448"/>
    <w:rsid w:val="00320BE0"/>
    <w:rsid w:val="00327A56"/>
    <w:rsid w:val="00331532"/>
    <w:rsid w:val="003317A6"/>
    <w:rsid w:val="00334F59"/>
    <w:rsid w:val="00340918"/>
    <w:rsid w:val="003433FA"/>
    <w:rsid w:val="00343749"/>
    <w:rsid w:val="00343B8B"/>
    <w:rsid w:val="003447A3"/>
    <w:rsid w:val="003504B7"/>
    <w:rsid w:val="00351188"/>
    <w:rsid w:val="003518D7"/>
    <w:rsid w:val="00351C94"/>
    <w:rsid w:val="00352167"/>
    <w:rsid w:val="00355126"/>
    <w:rsid w:val="00357044"/>
    <w:rsid w:val="003578C6"/>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6D44"/>
    <w:rsid w:val="003A764B"/>
    <w:rsid w:val="003B0550"/>
    <w:rsid w:val="003B1CF4"/>
    <w:rsid w:val="003B5217"/>
    <w:rsid w:val="003B694F"/>
    <w:rsid w:val="003B6F58"/>
    <w:rsid w:val="003B739D"/>
    <w:rsid w:val="003C6DEB"/>
    <w:rsid w:val="003D49D5"/>
    <w:rsid w:val="003F1126"/>
    <w:rsid w:val="003F171C"/>
    <w:rsid w:val="003F6349"/>
    <w:rsid w:val="004008FF"/>
    <w:rsid w:val="00400BCE"/>
    <w:rsid w:val="00404B01"/>
    <w:rsid w:val="0041095B"/>
    <w:rsid w:val="00412FC5"/>
    <w:rsid w:val="00414A07"/>
    <w:rsid w:val="00414BD8"/>
    <w:rsid w:val="00414F00"/>
    <w:rsid w:val="004172DB"/>
    <w:rsid w:val="00422276"/>
    <w:rsid w:val="004227E6"/>
    <w:rsid w:val="004242F1"/>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4CE"/>
    <w:rsid w:val="00486ADC"/>
    <w:rsid w:val="00490FA1"/>
    <w:rsid w:val="00491CAC"/>
    <w:rsid w:val="00492284"/>
    <w:rsid w:val="00493908"/>
    <w:rsid w:val="0049610C"/>
    <w:rsid w:val="004A1DD7"/>
    <w:rsid w:val="004A25AB"/>
    <w:rsid w:val="004A296D"/>
    <w:rsid w:val="004A4478"/>
    <w:rsid w:val="004A55DF"/>
    <w:rsid w:val="004B441D"/>
    <w:rsid w:val="004B5795"/>
    <w:rsid w:val="004B5871"/>
    <w:rsid w:val="004B6755"/>
    <w:rsid w:val="004C2EE3"/>
    <w:rsid w:val="004C693C"/>
    <w:rsid w:val="004C6AC5"/>
    <w:rsid w:val="004C7120"/>
    <w:rsid w:val="004C7963"/>
    <w:rsid w:val="004D14D2"/>
    <w:rsid w:val="004D1DB2"/>
    <w:rsid w:val="004E2022"/>
    <w:rsid w:val="004E347E"/>
    <w:rsid w:val="004E4A22"/>
    <w:rsid w:val="004E5936"/>
    <w:rsid w:val="004E6A49"/>
    <w:rsid w:val="004F3A1A"/>
    <w:rsid w:val="004F4B62"/>
    <w:rsid w:val="004F5449"/>
    <w:rsid w:val="004F5E64"/>
    <w:rsid w:val="004F5E89"/>
    <w:rsid w:val="004F74CE"/>
    <w:rsid w:val="0050401D"/>
    <w:rsid w:val="005050D6"/>
    <w:rsid w:val="005076A5"/>
    <w:rsid w:val="0051080A"/>
    <w:rsid w:val="00511968"/>
    <w:rsid w:val="0051245D"/>
    <w:rsid w:val="005124D9"/>
    <w:rsid w:val="005145CB"/>
    <w:rsid w:val="005214D3"/>
    <w:rsid w:val="00522A30"/>
    <w:rsid w:val="00525103"/>
    <w:rsid w:val="00526103"/>
    <w:rsid w:val="0052710C"/>
    <w:rsid w:val="005278FD"/>
    <w:rsid w:val="005404E4"/>
    <w:rsid w:val="00540959"/>
    <w:rsid w:val="00541786"/>
    <w:rsid w:val="005419E0"/>
    <w:rsid w:val="00541F03"/>
    <w:rsid w:val="00545CF6"/>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122C"/>
    <w:rsid w:val="005D3ACE"/>
    <w:rsid w:val="005D3EF6"/>
    <w:rsid w:val="005E221D"/>
    <w:rsid w:val="005E2EA3"/>
    <w:rsid w:val="005E31E1"/>
    <w:rsid w:val="005E4B8D"/>
    <w:rsid w:val="005E667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1E1B"/>
    <w:rsid w:val="006225BE"/>
    <w:rsid w:val="00624FD7"/>
    <w:rsid w:val="00626EB6"/>
    <w:rsid w:val="0063094A"/>
    <w:rsid w:val="006313E2"/>
    <w:rsid w:val="006358B7"/>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C7776"/>
    <w:rsid w:val="006D015E"/>
    <w:rsid w:val="006D2DF3"/>
    <w:rsid w:val="006D6923"/>
    <w:rsid w:val="006E2904"/>
    <w:rsid w:val="006E4326"/>
    <w:rsid w:val="006E4A96"/>
    <w:rsid w:val="006E6CFC"/>
    <w:rsid w:val="006F35AB"/>
    <w:rsid w:val="006F6877"/>
    <w:rsid w:val="006F6AE9"/>
    <w:rsid w:val="006F7393"/>
    <w:rsid w:val="0070224F"/>
    <w:rsid w:val="0070289F"/>
    <w:rsid w:val="0070589D"/>
    <w:rsid w:val="00706C83"/>
    <w:rsid w:val="007114EA"/>
    <w:rsid w:val="007115F7"/>
    <w:rsid w:val="00714014"/>
    <w:rsid w:val="0071473B"/>
    <w:rsid w:val="00722CD3"/>
    <w:rsid w:val="00725C20"/>
    <w:rsid w:val="0072645F"/>
    <w:rsid w:val="007279D7"/>
    <w:rsid w:val="00733B04"/>
    <w:rsid w:val="00736852"/>
    <w:rsid w:val="00743F6D"/>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4B2E"/>
    <w:rsid w:val="007A7BA1"/>
    <w:rsid w:val="007B0C25"/>
    <w:rsid w:val="007B37B7"/>
    <w:rsid w:val="007B3BDA"/>
    <w:rsid w:val="007B4F15"/>
    <w:rsid w:val="007B4F9B"/>
    <w:rsid w:val="007C0B39"/>
    <w:rsid w:val="007C4B67"/>
    <w:rsid w:val="007C6255"/>
    <w:rsid w:val="007D3344"/>
    <w:rsid w:val="007D3BC9"/>
    <w:rsid w:val="007D70D5"/>
    <w:rsid w:val="007E10BA"/>
    <w:rsid w:val="007E1B57"/>
    <w:rsid w:val="007E2BD7"/>
    <w:rsid w:val="007E2D92"/>
    <w:rsid w:val="007E460A"/>
    <w:rsid w:val="007F25D2"/>
    <w:rsid w:val="008044E4"/>
    <w:rsid w:val="00805856"/>
    <w:rsid w:val="008067EA"/>
    <w:rsid w:val="00806BF4"/>
    <w:rsid w:val="00810B6F"/>
    <w:rsid w:val="00811D58"/>
    <w:rsid w:val="008128B3"/>
    <w:rsid w:val="00815E84"/>
    <w:rsid w:val="008217DF"/>
    <w:rsid w:val="00822CE0"/>
    <w:rsid w:val="00823DB9"/>
    <w:rsid w:val="00824015"/>
    <w:rsid w:val="0082410C"/>
    <w:rsid w:val="0082670C"/>
    <w:rsid w:val="0082735A"/>
    <w:rsid w:val="00831C59"/>
    <w:rsid w:val="008346E7"/>
    <w:rsid w:val="008378F9"/>
    <w:rsid w:val="00841AB1"/>
    <w:rsid w:val="0084387C"/>
    <w:rsid w:val="00843A5F"/>
    <w:rsid w:val="00844998"/>
    <w:rsid w:val="008472AC"/>
    <w:rsid w:val="00850DBC"/>
    <w:rsid w:val="008511B9"/>
    <w:rsid w:val="00852F69"/>
    <w:rsid w:val="0085742E"/>
    <w:rsid w:val="00860B3E"/>
    <w:rsid w:val="008644A6"/>
    <w:rsid w:val="0086518D"/>
    <w:rsid w:val="00867B1A"/>
    <w:rsid w:val="008731E7"/>
    <w:rsid w:val="00880BA8"/>
    <w:rsid w:val="00881DA6"/>
    <w:rsid w:val="00883302"/>
    <w:rsid w:val="0088377E"/>
    <w:rsid w:val="00886D1F"/>
    <w:rsid w:val="00887F97"/>
    <w:rsid w:val="00890101"/>
    <w:rsid w:val="00890EAE"/>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4E73"/>
    <w:rsid w:val="008F546F"/>
    <w:rsid w:val="008F5609"/>
    <w:rsid w:val="008F6354"/>
    <w:rsid w:val="008F66DD"/>
    <w:rsid w:val="009000B2"/>
    <w:rsid w:val="00900F76"/>
    <w:rsid w:val="00903487"/>
    <w:rsid w:val="00903E19"/>
    <w:rsid w:val="009052A4"/>
    <w:rsid w:val="009102C4"/>
    <w:rsid w:val="00910F04"/>
    <w:rsid w:val="00911882"/>
    <w:rsid w:val="00912507"/>
    <w:rsid w:val="00912A4B"/>
    <w:rsid w:val="0091764F"/>
    <w:rsid w:val="00917CD4"/>
    <w:rsid w:val="00921803"/>
    <w:rsid w:val="0092218F"/>
    <w:rsid w:val="00922F5C"/>
    <w:rsid w:val="00925EC6"/>
    <w:rsid w:val="00926373"/>
    <w:rsid w:val="00926503"/>
    <w:rsid w:val="0092745B"/>
    <w:rsid w:val="00927CE4"/>
    <w:rsid w:val="00931485"/>
    <w:rsid w:val="009317FB"/>
    <w:rsid w:val="009319F8"/>
    <w:rsid w:val="009332A1"/>
    <w:rsid w:val="0093490E"/>
    <w:rsid w:val="00935E3A"/>
    <w:rsid w:val="00935E6C"/>
    <w:rsid w:val="0094240B"/>
    <w:rsid w:val="00942EE8"/>
    <w:rsid w:val="00943560"/>
    <w:rsid w:val="00950EB7"/>
    <w:rsid w:val="00956027"/>
    <w:rsid w:val="00956337"/>
    <w:rsid w:val="00962945"/>
    <w:rsid w:val="009632A6"/>
    <w:rsid w:val="00964237"/>
    <w:rsid w:val="00966371"/>
    <w:rsid w:val="00966537"/>
    <w:rsid w:val="009676BC"/>
    <w:rsid w:val="00970C6B"/>
    <w:rsid w:val="009711A2"/>
    <w:rsid w:val="009716F7"/>
    <w:rsid w:val="0097256B"/>
    <w:rsid w:val="009741B1"/>
    <w:rsid w:val="00975449"/>
    <w:rsid w:val="00976233"/>
    <w:rsid w:val="0097651C"/>
    <w:rsid w:val="00980AD3"/>
    <w:rsid w:val="00981C93"/>
    <w:rsid w:val="00981F23"/>
    <w:rsid w:val="0098449D"/>
    <w:rsid w:val="00987FB6"/>
    <w:rsid w:val="0099140B"/>
    <w:rsid w:val="00992F4D"/>
    <w:rsid w:val="009942A1"/>
    <w:rsid w:val="009A40C2"/>
    <w:rsid w:val="009A4C16"/>
    <w:rsid w:val="009A7EE4"/>
    <w:rsid w:val="009B5A50"/>
    <w:rsid w:val="009D332B"/>
    <w:rsid w:val="009D66D5"/>
    <w:rsid w:val="009D7308"/>
    <w:rsid w:val="009E2677"/>
    <w:rsid w:val="009E3939"/>
    <w:rsid w:val="009E4E15"/>
    <w:rsid w:val="009E58C9"/>
    <w:rsid w:val="009E5BD6"/>
    <w:rsid w:val="009F04D5"/>
    <w:rsid w:val="009F286B"/>
    <w:rsid w:val="009F3A92"/>
    <w:rsid w:val="009F77E2"/>
    <w:rsid w:val="009F7C04"/>
    <w:rsid w:val="00A00B66"/>
    <w:rsid w:val="00A027EA"/>
    <w:rsid w:val="00A03DB3"/>
    <w:rsid w:val="00A05473"/>
    <w:rsid w:val="00A06134"/>
    <w:rsid w:val="00A06315"/>
    <w:rsid w:val="00A0704F"/>
    <w:rsid w:val="00A07FCB"/>
    <w:rsid w:val="00A12F28"/>
    <w:rsid w:val="00A15CBD"/>
    <w:rsid w:val="00A16466"/>
    <w:rsid w:val="00A17A3B"/>
    <w:rsid w:val="00A20FF3"/>
    <w:rsid w:val="00A214C3"/>
    <w:rsid w:val="00A23AF4"/>
    <w:rsid w:val="00A24038"/>
    <w:rsid w:val="00A27ACB"/>
    <w:rsid w:val="00A35CE8"/>
    <w:rsid w:val="00A36B4A"/>
    <w:rsid w:val="00A3732E"/>
    <w:rsid w:val="00A453E0"/>
    <w:rsid w:val="00A45F4F"/>
    <w:rsid w:val="00A4658E"/>
    <w:rsid w:val="00A5227B"/>
    <w:rsid w:val="00A5729D"/>
    <w:rsid w:val="00A57B31"/>
    <w:rsid w:val="00A600A9"/>
    <w:rsid w:val="00A60258"/>
    <w:rsid w:val="00A606BF"/>
    <w:rsid w:val="00A6117C"/>
    <w:rsid w:val="00A61ED7"/>
    <w:rsid w:val="00A64B0A"/>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726"/>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56F4"/>
    <w:rsid w:val="00B277A4"/>
    <w:rsid w:val="00B302CB"/>
    <w:rsid w:val="00B318D0"/>
    <w:rsid w:val="00B32157"/>
    <w:rsid w:val="00B44A4F"/>
    <w:rsid w:val="00B47311"/>
    <w:rsid w:val="00B508D0"/>
    <w:rsid w:val="00B517BE"/>
    <w:rsid w:val="00B5414A"/>
    <w:rsid w:val="00B64EC5"/>
    <w:rsid w:val="00B65EF8"/>
    <w:rsid w:val="00B66445"/>
    <w:rsid w:val="00B66F5A"/>
    <w:rsid w:val="00B67077"/>
    <w:rsid w:val="00B73945"/>
    <w:rsid w:val="00B75912"/>
    <w:rsid w:val="00B761CF"/>
    <w:rsid w:val="00B80DF6"/>
    <w:rsid w:val="00B811F7"/>
    <w:rsid w:val="00B816A7"/>
    <w:rsid w:val="00B84E6C"/>
    <w:rsid w:val="00B860D7"/>
    <w:rsid w:val="00B87679"/>
    <w:rsid w:val="00B925A8"/>
    <w:rsid w:val="00BA3B91"/>
    <w:rsid w:val="00BA5DC6"/>
    <w:rsid w:val="00BA6196"/>
    <w:rsid w:val="00BA7F12"/>
    <w:rsid w:val="00BB0606"/>
    <w:rsid w:val="00BB0C03"/>
    <w:rsid w:val="00BB365A"/>
    <w:rsid w:val="00BB5512"/>
    <w:rsid w:val="00BB627A"/>
    <w:rsid w:val="00BC2CFF"/>
    <w:rsid w:val="00BC5D56"/>
    <w:rsid w:val="00BC68DF"/>
    <w:rsid w:val="00BC6D8C"/>
    <w:rsid w:val="00BC76F9"/>
    <w:rsid w:val="00BD129C"/>
    <w:rsid w:val="00BD24F4"/>
    <w:rsid w:val="00BD257E"/>
    <w:rsid w:val="00BE174B"/>
    <w:rsid w:val="00BE2581"/>
    <w:rsid w:val="00BE2B2B"/>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38ED"/>
    <w:rsid w:val="00C447D2"/>
    <w:rsid w:val="00C473A8"/>
    <w:rsid w:val="00C47A0C"/>
    <w:rsid w:val="00C50D2B"/>
    <w:rsid w:val="00C518D0"/>
    <w:rsid w:val="00C523B9"/>
    <w:rsid w:val="00C52CF8"/>
    <w:rsid w:val="00C566EC"/>
    <w:rsid w:val="00C6071D"/>
    <w:rsid w:val="00C612AC"/>
    <w:rsid w:val="00C67932"/>
    <w:rsid w:val="00C700F9"/>
    <w:rsid w:val="00C713BD"/>
    <w:rsid w:val="00C7579F"/>
    <w:rsid w:val="00C76BB9"/>
    <w:rsid w:val="00C85DCF"/>
    <w:rsid w:val="00C90D6A"/>
    <w:rsid w:val="00C918AC"/>
    <w:rsid w:val="00C9246B"/>
    <w:rsid w:val="00C92F97"/>
    <w:rsid w:val="00C93A14"/>
    <w:rsid w:val="00C95D80"/>
    <w:rsid w:val="00CA21C0"/>
    <w:rsid w:val="00CA247E"/>
    <w:rsid w:val="00CA7078"/>
    <w:rsid w:val="00CB260B"/>
    <w:rsid w:val="00CB51FE"/>
    <w:rsid w:val="00CC2691"/>
    <w:rsid w:val="00CC28B3"/>
    <w:rsid w:val="00CC3356"/>
    <w:rsid w:val="00CC4A43"/>
    <w:rsid w:val="00CC532C"/>
    <w:rsid w:val="00CC596B"/>
    <w:rsid w:val="00CC72B6"/>
    <w:rsid w:val="00CC746A"/>
    <w:rsid w:val="00CD0180"/>
    <w:rsid w:val="00CD2C9B"/>
    <w:rsid w:val="00CD45F8"/>
    <w:rsid w:val="00CE1508"/>
    <w:rsid w:val="00CE1849"/>
    <w:rsid w:val="00CE1A0C"/>
    <w:rsid w:val="00CE428F"/>
    <w:rsid w:val="00CE632C"/>
    <w:rsid w:val="00CE76C6"/>
    <w:rsid w:val="00CE7D96"/>
    <w:rsid w:val="00CF1C0F"/>
    <w:rsid w:val="00CF2F47"/>
    <w:rsid w:val="00CF6B78"/>
    <w:rsid w:val="00CF77B7"/>
    <w:rsid w:val="00D00695"/>
    <w:rsid w:val="00D01108"/>
    <w:rsid w:val="00D0218D"/>
    <w:rsid w:val="00D03AD8"/>
    <w:rsid w:val="00D046D2"/>
    <w:rsid w:val="00D05A77"/>
    <w:rsid w:val="00D1069B"/>
    <w:rsid w:val="00D10745"/>
    <w:rsid w:val="00D15C14"/>
    <w:rsid w:val="00D23E19"/>
    <w:rsid w:val="00D257FE"/>
    <w:rsid w:val="00D25C5E"/>
    <w:rsid w:val="00D25ED7"/>
    <w:rsid w:val="00D25FB5"/>
    <w:rsid w:val="00D26289"/>
    <w:rsid w:val="00D3032A"/>
    <w:rsid w:val="00D31663"/>
    <w:rsid w:val="00D34498"/>
    <w:rsid w:val="00D34844"/>
    <w:rsid w:val="00D3490E"/>
    <w:rsid w:val="00D35731"/>
    <w:rsid w:val="00D377A5"/>
    <w:rsid w:val="00D42D5D"/>
    <w:rsid w:val="00D44381"/>
    <w:rsid w:val="00D44790"/>
    <w:rsid w:val="00D52151"/>
    <w:rsid w:val="00D52555"/>
    <w:rsid w:val="00D55448"/>
    <w:rsid w:val="00D5619D"/>
    <w:rsid w:val="00D56630"/>
    <w:rsid w:val="00D62D07"/>
    <w:rsid w:val="00D630D3"/>
    <w:rsid w:val="00D655B3"/>
    <w:rsid w:val="00D67F84"/>
    <w:rsid w:val="00D704AA"/>
    <w:rsid w:val="00D70822"/>
    <w:rsid w:val="00D71CDA"/>
    <w:rsid w:val="00D76723"/>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20D4"/>
    <w:rsid w:val="00DE2537"/>
    <w:rsid w:val="00DE31E5"/>
    <w:rsid w:val="00DE704A"/>
    <w:rsid w:val="00DE7126"/>
    <w:rsid w:val="00DF05A3"/>
    <w:rsid w:val="00DF1C0C"/>
    <w:rsid w:val="00DF4504"/>
    <w:rsid w:val="00DF465C"/>
    <w:rsid w:val="00DF47DF"/>
    <w:rsid w:val="00DF5AF8"/>
    <w:rsid w:val="00DF5B5C"/>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3616"/>
    <w:rsid w:val="00E76A80"/>
    <w:rsid w:val="00E76AE5"/>
    <w:rsid w:val="00E828C5"/>
    <w:rsid w:val="00E843BC"/>
    <w:rsid w:val="00E870C8"/>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19F"/>
    <w:rsid w:val="00ED48FF"/>
    <w:rsid w:val="00ED5746"/>
    <w:rsid w:val="00ED64B0"/>
    <w:rsid w:val="00EE0C8E"/>
    <w:rsid w:val="00EE6488"/>
    <w:rsid w:val="00EE7ECF"/>
    <w:rsid w:val="00EF1C44"/>
    <w:rsid w:val="00EF28F5"/>
    <w:rsid w:val="00EF3095"/>
    <w:rsid w:val="00EF4CF7"/>
    <w:rsid w:val="00EF505E"/>
    <w:rsid w:val="00EF7F44"/>
    <w:rsid w:val="00F021FA"/>
    <w:rsid w:val="00F038E2"/>
    <w:rsid w:val="00F04883"/>
    <w:rsid w:val="00F111D6"/>
    <w:rsid w:val="00F125D4"/>
    <w:rsid w:val="00F162E3"/>
    <w:rsid w:val="00F240C3"/>
    <w:rsid w:val="00F24FF8"/>
    <w:rsid w:val="00F360F9"/>
    <w:rsid w:val="00F361E6"/>
    <w:rsid w:val="00F3638F"/>
    <w:rsid w:val="00F3676D"/>
    <w:rsid w:val="00F41C5E"/>
    <w:rsid w:val="00F442BB"/>
    <w:rsid w:val="00F44F3A"/>
    <w:rsid w:val="00F62E97"/>
    <w:rsid w:val="00F64209"/>
    <w:rsid w:val="00F6525C"/>
    <w:rsid w:val="00F65CE9"/>
    <w:rsid w:val="00F70E6D"/>
    <w:rsid w:val="00F71F68"/>
    <w:rsid w:val="00F723E4"/>
    <w:rsid w:val="00F74871"/>
    <w:rsid w:val="00F74D07"/>
    <w:rsid w:val="00F80663"/>
    <w:rsid w:val="00F810BC"/>
    <w:rsid w:val="00F810F3"/>
    <w:rsid w:val="00F82C43"/>
    <w:rsid w:val="00F84126"/>
    <w:rsid w:val="00F84BCA"/>
    <w:rsid w:val="00F85400"/>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BB65A5"/>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AD3"/>
    <w:pPr>
      <w:widowControl w:val="0"/>
    </w:pPr>
    <w:rPr>
      <w:snapToGrid w:val="0"/>
      <w:kern w:val="28"/>
      <w:sz w:val="22"/>
    </w:rPr>
  </w:style>
  <w:style w:type="paragraph" w:styleId="Heading1">
    <w:name w:val="heading 1"/>
    <w:basedOn w:val="Normal"/>
    <w:next w:val="ParaNum"/>
    <w:link w:val="Heading1Char"/>
    <w:qFormat/>
    <w:rsid w:val="00980A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0AD3"/>
    <w:pPr>
      <w:keepNext/>
      <w:numPr>
        <w:ilvl w:val="1"/>
        <w:numId w:val="3"/>
      </w:numPr>
      <w:spacing w:after="120"/>
      <w:outlineLvl w:val="1"/>
    </w:pPr>
    <w:rPr>
      <w:b/>
    </w:rPr>
  </w:style>
  <w:style w:type="paragraph" w:styleId="Heading3">
    <w:name w:val="heading 3"/>
    <w:basedOn w:val="Normal"/>
    <w:next w:val="ParaNum"/>
    <w:qFormat/>
    <w:rsid w:val="00980AD3"/>
    <w:pPr>
      <w:keepNext/>
      <w:numPr>
        <w:ilvl w:val="2"/>
        <w:numId w:val="3"/>
      </w:numPr>
      <w:tabs>
        <w:tab w:val="left" w:pos="2160"/>
      </w:tabs>
      <w:spacing w:after="120"/>
      <w:outlineLvl w:val="2"/>
    </w:pPr>
    <w:rPr>
      <w:b/>
    </w:rPr>
  </w:style>
  <w:style w:type="paragraph" w:styleId="Heading4">
    <w:name w:val="heading 4"/>
    <w:basedOn w:val="Normal"/>
    <w:next w:val="ParaNum"/>
    <w:qFormat/>
    <w:rsid w:val="00980AD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80A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80AD3"/>
    <w:pPr>
      <w:numPr>
        <w:ilvl w:val="5"/>
        <w:numId w:val="3"/>
      </w:numPr>
      <w:tabs>
        <w:tab w:val="left" w:pos="4320"/>
      </w:tabs>
      <w:spacing w:after="120"/>
      <w:outlineLvl w:val="5"/>
    </w:pPr>
    <w:rPr>
      <w:b/>
    </w:rPr>
  </w:style>
  <w:style w:type="paragraph" w:styleId="Heading7">
    <w:name w:val="heading 7"/>
    <w:basedOn w:val="Normal"/>
    <w:next w:val="ParaNum"/>
    <w:qFormat/>
    <w:rsid w:val="00980A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80A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80A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0A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AD3"/>
  </w:style>
  <w:style w:type="paragraph" w:customStyle="1" w:styleId="ParaNum">
    <w:name w:val="ParaNum"/>
    <w:basedOn w:val="Normal"/>
    <w:link w:val="ParaNumChar0"/>
    <w:rsid w:val="00980AD3"/>
    <w:pPr>
      <w:numPr>
        <w:numId w:val="2"/>
      </w:numPr>
      <w:tabs>
        <w:tab w:val="clear" w:pos="1080"/>
        <w:tab w:val="num" w:pos="1440"/>
      </w:tabs>
      <w:spacing w:after="120"/>
    </w:pPr>
  </w:style>
  <w:style w:type="paragraph" w:styleId="EndnoteText">
    <w:name w:val="endnote text"/>
    <w:basedOn w:val="Normal"/>
    <w:semiHidden/>
    <w:rsid w:val="00980AD3"/>
    <w:rPr>
      <w:sz w:val="20"/>
    </w:rPr>
  </w:style>
  <w:style w:type="character" w:styleId="EndnoteReference">
    <w:name w:val="endnote reference"/>
    <w:semiHidden/>
    <w:rsid w:val="00980AD3"/>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80AD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80AD3"/>
    <w:rPr>
      <w:rFonts w:ascii="Times New Roman" w:hAnsi="Times New Roman"/>
      <w:dstrike w:val="0"/>
      <w:color w:val="auto"/>
      <w:sz w:val="20"/>
      <w:vertAlign w:val="superscript"/>
    </w:rPr>
  </w:style>
  <w:style w:type="paragraph" w:styleId="TOC1">
    <w:name w:val="toc 1"/>
    <w:basedOn w:val="Normal"/>
    <w:next w:val="Normal"/>
    <w:semiHidden/>
    <w:rsid w:val="00980A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0AD3"/>
    <w:pPr>
      <w:tabs>
        <w:tab w:val="left" w:pos="720"/>
        <w:tab w:val="right" w:leader="dot" w:pos="9360"/>
      </w:tabs>
      <w:suppressAutoHyphens/>
      <w:ind w:left="720" w:right="720" w:hanging="360"/>
    </w:pPr>
    <w:rPr>
      <w:noProof/>
    </w:rPr>
  </w:style>
  <w:style w:type="paragraph" w:styleId="TOC3">
    <w:name w:val="toc 3"/>
    <w:basedOn w:val="Normal"/>
    <w:next w:val="Normal"/>
    <w:semiHidden/>
    <w:rsid w:val="00980A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0A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0A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0A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0A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0A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0A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0AD3"/>
    <w:pPr>
      <w:tabs>
        <w:tab w:val="right" w:pos="9360"/>
      </w:tabs>
      <w:suppressAutoHyphens/>
    </w:pPr>
  </w:style>
  <w:style w:type="character" w:customStyle="1" w:styleId="EquationCaption">
    <w:name w:val="_Equation Caption"/>
    <w:rsid w:val="00980AD3"/>
  </w:style>
  <w:style w:type="paragraph" w:styleId="Header">
    <w:name w:val="header"/>
    <w:basedOn w:val="Normal"/>
    <w:link w:val="HeaderChar"/>
    <w:autoRedefine/>
    <w:rsid w:val="00980AD3"/>
    <w:pPr>
      <w:tabs>
        <w:tab w:val="center" w:pos="4680"/>
        <w:tab w:val="right" w:pos="9360"/>
      </w:tabs>
    </w:pPr>
    <w:rPr>
      <w:b/>
    </w:rPr>
  </w:style>
  <w:style w:type="paragraph" w:styleId="Footer">
    <w:name w:val="footer"/>
    <w:basedOn w:val="Normal"/>
    <w:link w:val="FooterChar"/>
    <w:uiPriority w:val="99"/>
    <w:rsid w:val="00980AD3"/>
    <w:pPr>
      <w:tabs>
        <w:tab w:val="center" w:pos="4320"/>
        <w:tab w:val="right" w:pos="8640"/>
      </w:tabs>
    </w:pPr>
  </w:style>
  <w:style w:type="character" w:styleId="PageNumber">
    <w:name w:val="page number"/>
    <w:basedOn w:val="DefaultParagraphFont"/>
    <w:rsid w:val="00980AD3"/>
  </w:style>
  <w:style w:type="paragraph" w:styleId="BlockText">
    <w:name w:val="Block Text"/>
    <w:basedOn w:val="Normal"/>
    <w:rsid w:val="00980AD3"/>
    <w:pPr>
      <w:spacing w:after="240"/>
      <w:ind w:left="1440" w:right="1440"/>
    </w:pPr>
  </w:style>
  <w:style w:type="paragraph" w:customStyle="1" w:styleId="Paratitle">
    <w:name w:val="Para title"/>
    <w:basedOn w:val="Normal"/>
    <w:rsid w:val="00980AD3"/>
    <w:pPr>
      <w:tabs>
        <w:tab w:val="center" w:pos="9270"/>
      </w:tabs>
      <w:spacing w:after="240"/>
    </w:pPr>
    <w:rPr>
      <w:spacing w:val="-2"/>
    </w:rPr>
  </w:style>
  <w:style w:type="paragraph" w:customStyle="1" w:styleId="Bullet">
    <w:name w:val="Bullet"/>
    <w:basedOn w:val="Normal"/>
    <w:rsid w:val="00980AD3"/>
    <w:pPr>
      <w:tabs>
        <w:tab w:val="left" w:pos="2160"/>
      </w:tabs>
      <w:spacing w:after="220"/>
      <w:ind w:left="2160" w:hanging="720"/>
    </w:pPr>
  </w:style>
  <w:style w:type="paragraph" w:customStyle="1" w:styleId="TableFormat">
    <w:name w:val="TableFormat"/>
    <w:basedOn w:val="Bullet"/>
    <w:rsid w:val="00980AD3"/>
    <w:pPr>
      <w:tabs>
        <w:tab w:val="clear" w:pos="2160"/>
        <w:tab w:val="left" w:pos="5040"/>
      </w:tabs>
      <w:ind w:left="5040" w:hanging="3600"/>
    </w:pPr>
  </w:style>
  <w:style w:type="paragraph" w:customStyle="1" w:styleId="TOCTitle">
    <w:name w:val="TOC Title"/>
    <w:basedOn w:val="Normal"/>
    <w:rsid w:val="00980A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0AD3"/>
    <w:pPr>
      <w:jc w:val="center"/>
    </w:pPr>
    <w:rPr>
      <w:rFonts w:ascii="Times New Roman Bold" w:hAnsi="Times New Roman Bold"/>
      <w:b/>
      <w:bCs/>
      <w:caps/>
      <w:szCs w:val="22"/>
    </w:rPr>
  </w:style>
  <w:style w:type="character" w:styleId="Hyperlink">
    <w:name w:val="Hyperlink"/>
    <w:rsid w:val="00980AD3"/>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133FD2"/>
    <w:rPr>
      <w:snapToGrid w:val="0"/>
      <w:kern w:val="28"/>
      <w:sz w:val="22"/>
    </w:rPr>
  </w:style>
  <w:style w:type="character" w:customStyle="1" w:styleId="FooterChar">
    <w:name w:val="Footer Char"/>
    <w:link w:val="Footer"/>
    <w:uiPriority w:val="99"/>
    <w:rsid w:val="00980AD3"/>
    <w:rPr>
      <w:snapToGrid w:val="0"/>
      <w:kern w:val="28"/>
      <w:sz w:val="22"/>
    </w:rPr>
  </w:style>
  <w:style w:type="character" w:customStyle="1" w:styleId="Heading1Char">
    <w:name w:val="Heading 1 Char"/>
    <w:link w:val="Heading1"/>
    <w:locked/>
    <w:rsid w:val="00886D1F"/>
    <w:rPr>
      <w:rFonts w:ascii="Times New Roman Bold" w:hAnsi="Times New Roman Bold"/>
      <w:b/>
      <w:caps/>
      <w:snapToGrid w:val="0"/>
      <w:kern w:val="28"/>
      <w:sz w:val="22"/>
    </w:rPr>
  </w:style>
  <w:style w:type="character" w:customStyle="1" w:styleId="markedcontent">
    <w:name w:val="markedcontent"/>
    <w:basedOn w:val="DefaultParagraphFont"/>
    <w:rsid w:val="0088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athy.Harvey@fcc.gov" TargetMode="External" /><Relationship Id="rId11" Type="http://schemas.openxmlformats.org/officeDocument/2006/relationships/hyperlink" Target="mailto:EB-SED-Response@fcc.gov" TargetMode="External" /><Relationship Id="rId12" Type="http://schemas.openxmlformats.org/officeDocument/2006/relationships/hyperlink" Target="https://apps.fcc.gov/cores/userLogin.do"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s/fees/wire-transfer"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