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87EC4" w:rsidRPr="00EF2C5A" w:rsidP="00E87EC4" w14:paraId="38F0F598" w14:textId="77777777">
      <w:pPr>
        <w:pStyle w:val="Title"/>
        <w:outlineLvl w:val="0"/>
        <w:rPr>
          <w:szCs w:val="22"/>
        </w:rPr>
      </w:pPr>
      <w:r w:rsidRPr="00EF2C5A">
        <w:rPr>
          <w:szCs w:val="22"/>
        </w:rPr>
        <w:t>Before the</w:t>
      </w:r>
    </w:p>
    <w:p w:rsidR="00E87EC4" w:rsidRPr="00142D97" w:rsidP="00E87EC4" w14:paraId="0F0A8E48" w14:textId="77777777">
      <w:pPr>
        <w:pStyle w:val="Subtitle"/>
        <w:ind w:firstLine="0"/>
        <w:outlineLvl w:val="0"/>
      </w:pPr>
      <w:r w:rsidRPr="00142D97">
        <w:t>Federal Communications Commission</w:t>
      </w:r>
    </w:p>
    <w:p w:rsidR="00E87EC4" w:rsidRPr="00142D97" w:rsidP="00E87EC4" w14:paraId="23010D44" w14:textId="77777777">
      <w:pPr>
        <w:jc w:val="center"/>
        <w:outlineLvl w:val="0"/>
        <w:rPr>
          <w:b/>
        </w:rPr>
      </w:pPr>
      <w:r w:rsidRPr="00142D97">
        <w:rPr>
          <w:b/>
        </w:rPr>
        <w:t>Washington, D.C. 20554</w:t>
      </w:r>
    </w:p>
    <w:p w:rsidR="00E87EC4" w:rsidRPr="00142D97" w:rsidP="00E87EC4" w14:paraId="7A66AA83" w14:textId="77777777">
      <w:pPr>
        <w:tabs>
          <w:tab w:val="left" w:pos="-720"/>
        </w:tabs>
        <w:suppressAutoHyphens/>
        <w:spacing w:line="227" w:lineRule="auto"/>
        <w:rPr>
          <w:spacing w:val="-2"/>
        </w:rPr>
      </w:pPr>
    </w:p>
    <w:tbl>
      <w:tblPr>
        <w:tblW w:w="9576" w:type="dxa"/>
        <w:tblLayout w:type="fixed"/>
        <w:tblLook w:val="0000"/>
      </w:tblPr>
      <w:tblGrid>
        <w:gridCol w:w="4698"/>
        <w:gridCol w:w="630"/>
        <w:gridCol w:w="4248"/>
      </w:tblGrid>
      <w:tr w14:paraId="1E651C41" w14:textId="77777777" w:rsidTr="00442324">
        <w:tblPrEx>
          <w:tblW w:w="9576" w:type="dxa"/>
          <w:tblLayout w:type="fixed"/>
          <w:tblLook w:val="0000"/>
        </w:tblPrEx>
        <w:tc>
          <w:tcPr>
            <w:tcW w:w="4698" w:type="dxa"/>
          </w:tcPr>
          <w:p w:rsidR="00E87EC4" w:rsidRPr="00142D97" w:rsidP="00CE1F45" w14:paraId="4FA8685D" w14:textId="77777777">
            <w:pPr>
              <w:pStyle w:val="TOAHeading"/>
              <w:tabs>
                <w:tab w:val="center" w:pos="4680"/>
                <w:tab w:val="clear" w:pos="9360"/>
              </w:tabs>
              <w:rPr>
                <w:spacing w:val="-2"/>
              </w:rPr>
            </w:pPr>
            <w:r w:rsidRPr="00142D97">
              <w:rPr>
                <w:spacing w:val="-2"/>
              </w:rPr>
              <w:t>In the Matter of</w:t>
            </w:r>
          </w:p>
          <w:p w:rsidR="00E87EC4" w:rsidRPr="00142D97" w:rsidP="00CE1F45" w14:paraId="0AB88C88" w14:textId="77777777">
            <w:pPr>
              <w:pStyle w:val="TOAHeading"/>
              <w:tabs>
                <w:tab w:val="center" w:pos="4680"/>
                <w:tab w:val="clear" w:pos="9360"/>
              </w:tabs>
              <w:rPr>
                <w:spacing w:val="-2"/>
              </w:rPr>
            </w:pPr>
          </w:p>
          <w:p w:rsidR="00E87EC4" w:rsidRPr="00EF2C5A" w:rsidP="00CE1F45" w14:paraId="64F40197" w14:textId="66F70D58">
            <w:pPr>
              <w:rPr>
                <w:szCs w:val="22"/>
              </w:rPr>
            </w:pPr>
            <w:r>
              <w:rPr>
                <w:szCs w:val="22"/>
              </w:rPr>
              <w:t>C</w:t>
            </w:r>
            <w:r w:rsidR="00104663">
              <w:rPr>
                <w:szCs w:val="22"/>
              </w:rPr>
              <w:t>lear Rate</w:t>
            </w:r>
            <w:r>
              <w:rPr>
                <w:szCs w:val="22"/>
              </w:rPr>
              <w:t xml:space="preserve"> Communication</w:t>
            </w:r>
            <w:r w:rsidR="00442324">
              <w:rPr>
                <w:szCs w:val="22"/>
              </w:rPr>
              <w:t>s</w:t>
            </w:r>
          </w:p>
          <w:p w:rsidR="00E87EC4" w:rsidRPr="00142D97" w:rsidP="00CE1F45" w14:paraId="7FEDE2EE" w14:textId="77777777">
            <w:pPr>
              <w:tabs>
                <w:tab w:val="center" w:pos="4680"/>
              </w:tabs>
              <w:suppressAutoHyphens/>
              <w:ind w:firstLine="720"/>
            </w:pPr>
          </w:p>
          <w:p w:rsidR="00E87EC4" w:rsidRPr="00142D97" w:rsidP="00CE1F45" w14:paraId="6427C5EF" w14:textId="77777777">
            <w:pPr>
              <w:pStyle w:val="TOAHeading"/>
              <w:tabs>
                <w:tab w:val="center" w:pos="4680"/>
                <w:tab w:val="clear" w:pos="9360"/>
              </w:tabs>
            </w:pPr>
            <w:r w:rsidRPr="00142D97">
              <w:t xml:space="preserve">Complaint Regarding </w:t>
            </w:r>
          </w:p>
          <w:p w:rsidR="00E87EC4" w:rsidRPr="00142D97" w:rsidP="00CE1F45" w14:paraId="64E15D3B" w14:textId="77777777">
            <w:pPr>
              <w:pStyle w:val="TOAHeading"/>
              <w:tabs>
                <w:tab w:val="center" w:pos="4680"/>
                <w:tab w:val="clear" w:pos="9360"/>
              </w:tabs>
            </w:pPr>
            <w:r w:rsidRPr="00142D97">
              <w:t>Unauthorized Change of</w:t>
            </w:r>
          </w:p>
          <w:p w:rsidR="00E87EC4" w:rsidRPr="00142D97" w:rsidP="00CE1F45" w14:paraId="34C2807E" w14:textId="37F92E8B">
            <w:pPr>
              <w:pStyle w:val="TOAHeading"/>
              <w:tabs>
                <w:tab w:val="center" w:pos="4680"/>
                <w:tab w:val="clear" w:pos="9360"/>
              </w:tabs>
            </w:pPr>
            <w:r w:rsidRPr="00EF2C5A">
              <w:rPr>
                <w:szCs w:val="22"/>
              </w:rPr>
              <w:t>Subscriber</w:t>
            </w:r>
            <w:r w:rsidR="00210356">
              <w:rPr>
                <w:szCs w:val="22"/>
              </w:rPr>
              <w:t>’s</w:t>
            </w:r>
            <w:r w:rsidRPr="00142D97">
              <w:t xml:space="preserve"> Telecommunications Carrier</w:t>
            </w:r>
          </w:p>
        </w:tc>
        <w:tc>
          <w:tcPr>
            <w:tcW w:w="630" w:type="dxa"/>
          </w:tcPr>
          <w:p w:rsidR="00E87EC4" w:rsidRPr="00142D97" w:rsidP="00CE1F45" w14:paraId="24C8365F" w14:textId="77777777">
            <w:pPr>
              <w:tabs>
                <w:tab w:val="center" w:pos="4680"/>
              </w:tabs>
              <w:suppressAutoHyphens/>
              <w:rPr>
                <w:b/>
                <w:spacing w:val="-2"/>
              </w:rPr>
            </w:pPr>
            <w:r w:rsidRPr="00142D97">
              <w:rPr>
                <w:b/>
                <w:spacing w:val="-2"/>
              </w:rPr>
              <w:t>)</w:t>
            </w:r>
          </w:p>
          <w:p w:rsidR="00E87EC4" w:rsidRPr="00142D97" w:rsidP="00CE1F45" w14:paraId="2FDA90C3" w14:textId="77777777">
            <w:pPr>
              <w:tabs>
                <w:tab w:val="center" w:pos="4680"/>
              </w:tabs>
              <w:suppressAutoHyphens/>
              <w:rPr>
                <w:b/>
                <w:spacing w:val="-2"/>
              </w:rPr>
            </w:pPr>
            <w:r w:rsidRPr="00142D97">
              <w:rPr>
                <w:b/>
                <w:spacing w:val="-2"/>
              </w:rPr>
              <w:t>)</w:t>
            </w:r>
          </w:p>
          <w:p w:rsidR="00E87EC4" w:rsidRPr="00142D97" w:rsidP="00CE1F45" w14:paraId="6EF04FCB" w14:textId="77777777">
            <w:pPr>
              <w:tabs>
                <w:tab w:val="center" w:pos="4680"/>
              </w:tabs>
              <w:suppressAutoHyphens/>
              <w:rPr>
                <w:b/>
                <w:spacing w:val="-2"/>
              </w:rPr>
            </w:pPr>
            <w:r w:rsidRPr="00142D97">
              <w:rPr>
                <w:b/>
                <w:spacing w:val="-2"/>
              </w:rPr>
              <w:t>)</w:t>
            </w:r>
          </w:p>
          <w:p w:rsidR="00E87EC4" w:rsidRPr="00142D97" w:rsidP="00CE1F45" w14:paraId="14321F7A" w14:textId="77777777">
            <w:pPr>
              <w:tabs>
                <w:tab w:val="center" w:pos="4680"/>
              </w:tabs>
              <w:suppressAutoHyphens/>
              <w:rPr>
                <w:b/>
                <w:spacing w:val="-2"/>
              </w:rPr>
            </w:pPr>
            <w:r w:rsidRPr="00142D97">
              <w:rPr>
                <w:b/>
                <w:spacing w:val="-2"/>
              </w:rPr>
              <w:t>)</w:t>
            </w:r>
          </w:p>
          <w:p w:rsidR="00E87EC4" w:rsidRPr="00142D97" w:rsidP="00CE1F45" w14:paraId="61EE4131" w14:textId="77777777">
            <w:pPr>
              <w:tabs>
                <w:tab w:val="center" w:pos="4680"/>
              </w:tabs>
              <w:suppressAutoHyphens/>
              <w:rPr>
                <w:b/>
                <w:spacing w:val="-2"/>
              </w:rPr>
            </w:pPr>
            <w:r w:rsidRPr="00142D97">
              <w:rPr>
                <w:b/>
                <w:spacing w:val="-2"/>
              </w:rPr>
              <w:t>)</w:t>
            </w:r>
          </w:p>
          <w:p w:rsidR="00E87EC4" w:rsidRPr="00142D97" w:rsidP="00CE1F45" w14:paraId="0C47E5A5" w14:textId="77777777">
            <w:pPr>
              <w:tabs>
                <w:tab w:val="center" w:pos="4680"/>
              </w:tabs>
              <w:suppressAutoHyphens/>
              <w:rPr>
                <w:b/>
                <w:spacing w:val="-2"/>
              </w:rPr>
            </w:pPr>
            <w:r w:rsidRPr="00142D97">
              <w:rPr>
                <w:b/>
                <w:spacing w:val="-2"/>
              </w:rPr>
              <w:t>)</w:t>
            </w:r>
          </w:p>
          <w:p w:rsidR="00E87EC4" w:rsidRPr="00142D97" w:rsidP="00CE1F45" w14:paraId="3D41B38C" w14:textId="77777777">
            <w:pPr>
              <w:tabs>
                <w:tab w:val="center" w:pos="4680"/>
              </w:tabs>
              <w:suppressAutoHyphens/>
              <w:rPr>
                <w:b/>
                <w:spacing w:val="-2"/>
              </w:rPr>
            </w:pPr>
            <w:r w:rsidRPr="00142D97">
              <w:rPr>
                <w:b/>
                <w:spacing w:val="-2"/>
              </w:rPr>
              <w:t>)</w:t>
            </w:r>
          </w:p>
          <w:p w:rsidR="00E87EC4" w:rsidRPr="003D1861" w:rsidP="00CE1F45" w14:paraId="1C91DC13" w14:textId="77777777">
            <w:pPr>
              <w:tabs>
                <w:tab w:val="center" w:pos="4680"/>
              </w:tabs>
              <w:suppressAutoHyphens/>
              <w:rPr>
                <w:b/>
                <w:spacing w:val="-2"/>
              </w:rPr>
            </w:pPr>
            <w:r>
              <w:rPr>
                <w:b/>
                <w:spacing w:val="-2"/>
              </w:rPr>
              <w:t xml:space="preserve">                 </w:t>
            </w:r>
          </w:p>
        </w:tc>
        <w:tc>
          <w:tcPr>
            <w:tcW w:w="4248" w:type="dxa"/>
          </w:tcPr>
          <w:p w:rsidR="00E87EC4" w:rsidRPr="00142D97" w:rsidP="00CE1F45" w14:paraId="22B4930E" w14:textId="77777777">
            <w:pPr>
              <w:tabs>
                <w:tab w:val="center" w:pos="4680"/>
              </w:tabs>
              <w:suppressAutoHyphens/>
              <w:rPr>
                <w:spacing w:val="-2"/>
              </w:rPr>
            </w:pPr>
          </w:p>
          <w:p w:rsidR="00E87EC4" w:rsidRPr="00142D97" w:rsidP="00CE1F45" w14:paraId="047A44E0" w14:textId="77777777">
            <w:pPr>
              <w:tabs>
                <w:tab w:val="center" w:pos="4680"/>
              </w:tabs>
              <w:suppressAutoHyphens/>
              <w:rPr>
                <w:spacing w:val="-2"/>
              </w:rPr>
            </w:pPr>
          </w:p>
          <w:p w:rsidR="00E87EC4" w:rsidP="00CE1F45" w14:paraId="61B0EF1C" w14:textId="50873B0F">
            <w:pPr>
              <w:pStyle w:val="TOAHeading"/>
              <w:rPr>
                <w:szCs w:val="22"/>
              </w:rPr>
            </w:pPr>
            <w:r>
              <w:rPr>
                <w:szCs w:val="22"/>
              </w:rPr>
              <w:t>Complaint No</w:t>
            </w:r>
            <w:r w:rsidRPr="00EF2C5A">
              <w:rPr>
                <w:szCs w:val="22"/>
              </w:rPr>
              <w:t>.</w:t>
            </w:r>
            <w:r w:rsidR="006F2F56">
              <w:rPr>
                <w:szCs w:val="22"/>
              </w:rPr>
              <w:t xml:space="preserve"> </w:t>
            </w:r>
            <w:r w:rsidR="00B6399A">
              <w:rPr>
                <w:szCs w:val="22"/>
              </w:rPr>
              <w:t>60</w:t>
            </w:r>
            <w:r w:rsidR="000D2670">
              <w:rPr>
                <w:szCs w:val="22"/>
              </w:rPr>
              <w:t>82153</w:t>
            </w:r>
          </w:p>
          <w:p w:rsidR="00E87EC4" w:rsidRPr="005F7CD1" w:rsidP="00CE1F45" w14:paraId="5BD1E5AE" w14:textId="77777777"/>
        </w:tc>
      </w:tr>
    </w:tbl>
    <w:p w:rsidR="00E87EC4" w:rsidRPr="00142D97" w:rsidP="00996AA4" w14:paraId="3AEF63AE" w14:textId="77777777">
      <w:pPr>
        <w:jc w:val="center"/>
        <w:rPr>
          <w:b/>
        </w:rPr>
      </w:pPr>
      <w:r w:rsidRPr="00142D97">
        <w:rPr>
          <w:b/>
        </w:rPr>
        <w:t>ORDER</w:t>
      </w:r>
    </w:p>
    <w:p w:rsidR="00E87EC4" w:rsidRPr="00142D97" w:rsidP="00E87EC4" w14:paraId="0CCFE6B7" w14:textId="77777777">
      <w:pPr>
        <w:tabs>
          <w:tab w:val="left" w:pos="-720"/>
        </w:tabs>
        <w:suppressAutoHyphens/>
        <w:spacing w:line="227" w:lineRule="auto"/>
        <w:ind w:left="720"/>
        <w:rPr>
          <w:spacing w:val="-2"/>
        </w:rPr>
      </w:pPr>
    </w:p>
    <w:p w:rsidR="00E87EC4" w:rsidRPr="00142D97" w:rsidP="00442324" w14:paraId="1ED2A3D8" w14:textId="1C9E48B6">
      <w:pPr>
        <w:tabs>
          <w:tab w:val="left" w:pos="0"/>
          <w:tab w:val="left" w:pos="5760"/>
          <w:tab w:val="left" w:pos="6390"/>
        </w:tabs>
        <w:suppressAutoHyphens/>
        <w:spacing w:line="227" w:lineRule="auto"/>
        <w:rPr>
          <w:spacing w:val="-2"/>
        </w:rPr>
      </w:pPr>
      <w:r w:rsidRPr="00142D97">
        <w:rPr>
          <w:b/>
          <w:spacing w:val="-2"/>
        </w:rPr>
        <w:t>Adopted:</w:t>
      </w:r>
      <w:r w:rsidR="00442324">
        <w:rPr>
          <w:b/>
          <w:spacing w:val="-2"/>
        </w:rPr>
        <w:t xml:space="preserve">  </w:t>
      </w:r>
      <w:r w:rsidR="000D2670">
        <w:rPr>
          <w:b/>
          <w:spacing w:val="-2"/>
        </w:rPr>
        <w:t>April</w:t>
      </w:r>
      <w:r w:rsidR="00B6399A">
        <w:rPr>
          <w:b/>
          <w:spacing w:val="-2"/>
        </w:rPr>
        <w:t xml:space="preserve"> </w:t>
      </w:r>
      <w:r w:rsidR="00EB0D42">
        <w:rPr>
          <w:b/>
          <w:spacing w:val="-2"/>
        </w:rPr>
        <w:t>19</w:t>
      </w:r>
      <w:r w:rsidRPr="00142D97">
        <w:rPr>
          <w:b/>
          <w:spacing w:val="-2"/>
        </w:rPr>
        <w:t>, 20</w:t>
      </w:r>
      <w:r w:rsidR="006D6CC3">
        <w:rPr>
          <w:b/>
          <w:spacing w:val="-2"/>
        </w:rPr>
        <w:t>2</w:t>
      </w:r>
      <w:r w:rsidR="00E40707">
        <w:rPr>
          <w:b/>
          <w:spacing w:val="-2"/>
        </w:rPr>
        <w:t>3</w:t>
      </w:r>
      <w:r w:rsidRPr="00142D97">
        <w:rPr>
          <w:b/>
          <w:spacing w:val="-2"/>
        </w:rPr>
        <w:tab/>
      </w:r>
      <w:r w:rsidR="008036CD">
        <w:rPr>
          <w:b/>
          <w:spacing w:val="-2"/>
        </w:rPr>
        <w:tab/>
      </w:r>
      <w:r w:rsidRPr="00142D97">
        <w:rPr>
          <w:b/>
          <w:spacing w:val="-2"/>
        </w:rPr>
        <w:t xml:space="preserve">Released: </w:t>
      </w:r>
      <w:r w:rsidR="00442324">
        <w:rPr>
          <w:b/>
          <w:spacing w:val="-2"/>
        </w:rPr>
        <w:t xml:space="preserve"> </w:t>
      </w:r>
      <w:r w:rsidR="000D2670">
        <w:rPr>
          <w:b/>
          <w:spacing w:val="-2"/>
        </w:rPr>
        <w:t>April</w:t>
      </w:r>
      <w:r w:rsidR="00B6399A">
        <w:rPr>
          <w:b/>
          <w:spacing w:val="-2"/>
        </w:rPr>
        <w:t xml:space="preserve"> </w:t>
      </w:r>
      <w:r w:rsidR="00EB0D42">
        <w:rPr>
          <w:b/>
          <w:spacing w:val="-2"/>
        </w:rPr>
        <w:t>20</w:t>
      </w:r>
      <w:r w:rsidRPr="00142D97">
        <w:rPr>
          <w:b/>
          <w:spacing w:val="-2"/>
        </w:rPr>
        <w:t>, 20</w:t>
      </w:r>
      <w:r w:rsidR="006D6CC3">
        <w:rPr>
          <w:b/>
          <w:spacing w:val="-2"/>
        </w:rPr>
        <w:t>2</w:t>
      </w:r>
      <w:r w:rsidR="00E40707">
        <w:rPr>
          <w:b/>
          <w:spacing w:val="-2"/>
        </w:rPr>
        <w:t>3</w:t>
      </w:r>
    </w:p>
    <w:p w:rsidR="00E87EC4" w:rsidRPr="00142D97" w:rsidP="00E87EC4" w14:paraId="11E45323" w14:textId="77777777"/>
    <w:p w:rsidR="00E87EC4" w:rsidRPr="00142D97" w:rsidP="00440166" w14:paraId="27E2BE03" w14:textId="0538E0F4">
      <w:pPr>
        <w:spacing w:after="120"/>
      </w:pPr>
      <w:r w:rsidRPr="00142D97">
        <w:t xml:space="preserve">By the </w:t>
      </w:r>
      <w:r w:rsidR="00442324">
        <w:t xml:space="preserve">Acting </w:t>
      </w:r>
      <w:r w:rsidRPr="00142D97">
        <w:t xml:space="preserve">Chief, Consumer Policy Division, Consumer </w:t>
      </w:r>
      <w:r>
        <w:t>and</w:t>
      </w:r>
      <w:r w:rsidRPr="00142D97">
        <w:t xml:space="preserve"> Governmental Affairs Bureau:</w:t>
      </w:r>
    </w:p>
    <w:p w:rsidR="00E87EC4" w:rsidRPr="00142D97" w:rsidP="00440166" w14:paraId="40A053FA" w14:textId="0A1F9AA8">
      <w:pPr>
        <w:numPr>
          <w:ilvl w:val="0"/>
          <w:numId w:val="7"/>
        </w:numPr>
        <w:tabs>
          <w:tab w:val="num" w:pos="0"/>
          <w:tab w:val="clear" w:pos="1440"/>
        </w:tabs>
        <w:spacing w:after="120"/>
        <w:ind w:left="0" w:firstLine="720"/>
      </w:pPr>
      <w:r w:rsidRPr="00142D97">
        <w:t xml:space="preserve">In this Order, we consider </w:t>
      </w:r>
      <w:r w:rsidR="004A7371">
        <w:t>a</w:t>
      </w:r>
      <w:r>
        <w:t xml:space="preserve"> </w:t>
      </w:r>
      <w:r w:rsidRPr="00142D97">
        <w:t>complaint</w:t>
      </w:r>
      <w:r w:rsidR="004A7371">
        <w:t xml:space="preserve"> </w:t>
      </w:r>
      <w:r w:rsidRPr="00142D97">
        <w:t>alleging that</w:t>
      </w:r>
      <w:r w:rsidR="003D262D">
        <w:t xml:space="preserve"> </w:t>
      </w:r>
      <w:r w:rsidR="00104663">
        <w:t>Clear Rate</w:t>
      </w:r>
      <w:r w:rsidR="003D262D">
        <w:t xml:space="preserve"> Communication</w:t>
      </w:r>
      <w:r w:rsidR="00442324">
        <w:t>s</w:t>
      </w:r>
      <w:r w:rsidR="006D6CC3">
        <w:t xml:space="preserve"> </w:t>
      </w:r>
      <w:r>
        <w:t>(</w:t>
      </w:r>
      <w:r w:rsidR="00104663">
        <w:t>Clear Rate</w:t>
      </w:r>
      <w:r>
        <w:t>) changed Complainant</w:t>
      </w:r>
      <w:r w:rsidR="004A7371">
        <w:t>’s</w:t>
      </w:r>
      <w:r w:rsidRPr="00142D97">
        <w:t xml:space="preserve"> telecommunications service provider without obtaining authorization and verification from Complainant </w:t>
      </w:r>
      <w:r w:rsidR="004A7371">
        <w:t xml:space="preserve">as required by </w:t>
      </w:r>
      <w:r w:rsidRPr="00142D97">
        <w:t>the Commission’s rules.</w:t>
      </w:r>
      <w:r>
        <w:rPr>
          <w:rStyle w:val="FootnoteReference"/>
          <w:szCs w:val="22"/>
        </w:rPr>
        <w:footnoteReference w:id="3"/>
      </w:r>
      <w:r w:rsidRPr="00142D97">
        <w:t xml:space="preserve">  We conclude that </w:t>
      </w:r>
      <w:r w:rsidR="00104663">
        <w:t>Clear Rate</w:t>
      </w:r>
      <w:r>
        <w:t xml:space="preserve">’s actions violated the Commission’s </w:t>
      </w:r>
      <w:r w:rsidR="004A7371">
        <w:t>slamming</w:t>
      </w:r>
      <w:r>
        <w:t xml:space="preserve"> rules, and we therefore grant Complainant’</w:t>
      </w:r>
      <w:r w:rsidR="006F2F56">
        <w:t>s</w:t>
      </w:r>
      <w:r>
        <w:t xml:space="preserve"> complaint</w:t>
      </w:r>
      <w:r w:rsidRPr="00142D97">
        <w:t>.</w:t>
      </w:r>
    </w:p>
    <w:p w:rsidR="00B82B45" w:rsidRPr="00142D97" w:rsidP="00440166" w14:paraId="59CAB3A0" w14:textId="71B00EF8">
      <w:pPr>
        <w:numPr>
          <w:ilvl w:val="0"/>
          <w:numId w:val="7"/>
        </w:numPr>
        <w:spacing w:after="120"/>
        <w:ind w:left="0" w:firstLine="720"/>
      </w:pPr>
      <w:r w:rsidRPr="00142D97">
        <w:t>Section 258 of the Communications Act of 1934</w:t>
      </w:r>
      <w:r w:rsidR="004A7371">
        <w:t>, as amended</w:t>
      </w:r>
      <w:r w:rsidRPr="00142D97">
        <w:t xml:space="preserve"> (</w:t>
      </w:r>
      <w:r w:rsidR="00484334">
        <w:t xml:space="preserve">the </w:t>
      </w:r>
      <w:r w:rsidRPr="00142D97">
        <w:t>Act),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3B341C">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0267DE">
        <w:t xml:space="preserve">also </w:t>
      </w:r>
      <w:r w:rsidRPr="00142D97">
        <w:t xml:space="preserve">adopted </w:t>
      </w:r>
      <w:r>
        <w:t>rules to limit the liability of subscribers when a</w:t>
      </w:r>
      <w:r w:rsidR="000267DE">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440166" w:rsidRPr="00440166" w:rsidP="00440166" w14:paraId="07E792E2" w14:textId="671EBF5B">
      <w:pPr>
        <w:pStyle w:val="ListParagraph"/>
        <w:widowControl/>
        <w:numPr>
          <w:ilvl w:val="0"/>
          <w:numId w:val="7"/>
        </w:numPr>
        <w:tabs>
          <w:tab w:val="clear" w:pos="1440"/>
        </w:tabs>
        <w:snapToGrid w:val="0"/>
        <w:spacing w:after="120"/>
        <w:ind w:left="0" w:firstLine="720"/>
        <w:contextualSpacing w:val="0"/>
        <w:rPr>
          <w:szCs w:val="22"/>
        </w:rPr>
      </w:pPr>
      <w:r>
        <w:rPr>
          <w:szCs w:val="22"/>
        </w:rPr>
        <w:t>T</w:t>
      </w:r>
      <w:r w:rsidRPr="00B82B45" w:rsidR="00B82B45">
        <w:rPr>
          <w:szCs w:val="22"/>
        </w:rPr>
        <w:t>he Commission</w:t>
      </w:r>
      <w:r>
        <w:rPr>
          <w:szCs w:val="22"/>
        </w:rPr>
        <w:t>’s slamming rules</w:t>
      </w:r>
      <w:r w:rsidRPr="00B82B45" w:rsidR="00B82B45">
        <w:rPr>
          <w:szCs w:val="22"/>
        </w:rPr>
        <w:t xml:space="preserve"> prohibit misrepresentations on sales calls to further reduce the incidence of slamming.</w:t>
      </w:r>
      <w:r>
        <w:rPr>
          <w:rStyle w:val="FootnoteReference"/>
          <w:szCs w:val="22"/>
        </w:rPr>
        <w:footnoteReference w:id="8"/>
      </w:r>
      <w:r w:rsidRPr="00B82B45" w:rsidR="00B82B45">
        <w:rPr>
          <w:rStyle w:val="FootnoteReference"/>
          <w:szCs w:val="22"/>
        </w:rPr>
        <w:t xml:space="preserve"> </w:t>
      </w:r>
      <w:r w:rsidRPr="00B82B45" w:rsidR="00B82B45">
        <w:rPr>
          <w:szCs w:val="22"/>
        </w:rPr>
        <w:t xml:space="preserve"> Under the rule</w:t>
      </w:r>
      <w:r>
        <w:rPr>
          <w:szCs w:val="22"/>
        </w:rPr>
        <w:t>s</w:t>
      </w:r>
      <w:r w:rsidRPr="00B82B45" w:rsidR="00B82B45">
        <w:rPr>
          <w:szCs w:val="22"/>
        </w:rPr>
        <w:t xml:space="preserve">, upon a finding of material misrepresentation during </w:t>
      </w:r>
      <w:r w:rsidRPr="00B82B45" w:rsidR="00B82B45">
        <w:rPr>
          <w:szCs w:val="22"/>
        </w:rPr>
        <w:t>the sales call, the consumer’s authorization to change carriers will be deemed invalid even if the carrier has some evidence of consumer authorization of a carrier switch, e.g., a third-party verification (TPV) recording.  Sales misrepresentations may not be cured by a facially valid TPV.</w:t>
      </w:r>
      <w:r>
        <w:rPr>
          <w:rStyle w:val="FootnoteReference"/>
          <w:szCs w:val="22"/>
        </w:rPr>
        <w:footnoteReference w:id="9"/>
      </w:r>
      <w:r w:rsidRPr="00B82B45" w:rsidR="00B82B45">
        <w:rPr>
          <w:szCs w:val="22"/>
        </w:rPr>
        <w:t xml:space="preserve">  The rule provides that a consumer’s credible allegation of misrepresentation shifts the burden of proof to the carrier to provide evidence to rebut the consumer’s claim regarding misrepresentation.  The Commission made clear that an accurate and complete recording of the sales call may be the carrier’s best</w:t>
      </w:r>
      <w:r>
        <w:rPr>
          <w:szCs w:val="22"/>
        </w:rPr>
        <w:t xml:space="preserve"> </w:t>
      </w:r>
      <w:r w:rsidRPr="00B82B45" w:rsidR="00B82B45">
        <w:rPr>
          <w:szCs w:val="22"/>
        </w:rPr>
        <w:t>persuasive evidence to rebut the consumer’s claim that a misrepresentation was made on the sales call.</w:t>
      </w:r>
      <w:r>
        <w:rPr>
          <w:rStyle w:val="FootnoteReference"/>
          <w:szCs w:val="22"/>
        </w:rPr>
        <w:footnoteReference w:id="10"/>
      </w:r>
    </w:p>
    <w:p w:rsidR="005F3ED0" w:rsidRPr="002270D6" w:rsidP="00440166" w14:paraId="5292A789" w14:textId="5CBDE3D6">
      <w:pPr>
        <w:pStyle w:val="ListParagraph"/>
        <w:widowControl/>
        <w:numPr>
          <w:ilvl w:val="0"/>
          <w:numId w:val="7"/>
        </w:numPr>
        <w:tabs>
          <w:tab w:val="clear" w:pos="1440"/>
        </w:tabs>
        <w:snapToGrid w:val="0"/>
        <w:spacing w:after="120"/>
        <w:ind w:left="0" w:firstLine="720"/>
        <w:contextualSpacing w:val="0"/>
        <w:rPr>
          <w:snapToGrid/>
          <w:szCs w:val="22"/>
        </w:rPr>
      </w:pPr>
      <w:r w:rsidRPr="002270D6">
        <w:rPr>
          <w:szCs w:val="22"/>
        </w:rPr>
        <w:t>We received Complainant’</w:t>
      </w:r>
      <w:r w:rsidRPr="002270D6" w:rsidR="004B41C6">
        <w:rPr>
          <w:szCs w:val="22"/>
        </w:rPr>
        <w:t>s</w:t>
      </w:r>
      <w:r w:rsidRPr="002270D6">
        <w:rPr>
          <w:szCs w:val="22"/>
        </w:rPr>
        <w:t xml:space="preserve"> complaint alleging that Complainant’</w:t>
      </w:r>
      <w:r w:rsidRPr="002270D6" w:rsidR="004B41C6">
        <w:rPr>
          <w:szCs w:val="22"/>
        </w:rPr>
        <w:t>s</w:t>
      </w:r>
      <w:r w:rsidRPr="002270D6">
        <w:rPr>
          <w:szCs w:val="22"/>
        </w:rPr>
        <w:t xml:space="preserve"> telecommunications service provider had been changed without</w:t>
      </w:r>
      <w:r w:rsidR="00F74AF2">
        <w:rPr>
          <w:szCs w:val="22"/>
        </w:rPr>
        <w:t xml:space="preserve"> her</w:t>
      </w:r>
      <w:r w:rsidRPr="002270D6">
        <w:rPr>
          <w:szCs w:val="22"/>
        </w:rPr>
        <w:t xml:space="preserve"> authorization.</w:t>
      </w:r>
      <w:r>
        <w:rPr>
          <w:rStyle w:val="FootnoteReference"/>
          <w:sz w:val="22"/>
          <w:szCs w:val="22"/>
        </w:rPr>
        <w:footnoteReference w:id="11"/>
      </w:r>
      <w:r w:rsidRPr="002270D6">
        <w:rPr>
          <w:szCs w:val="22"/>
        </w:rPr>
        <w:t xml:space="preserve">  </w:t>
      </w:r>
      <w:r w:rsidRPr="002270D6">
        <w:rPr>
          <w:szCs w:val="22"/>
        </w:rPr>
        <w:t xml:space="preserve">In the complaint, Complainant </w:t>
      </w:r>
      <w:r w:rsidRPr="002270D6" w:rsidR="000D2670">
        <w:rPr>
          <w:szCs w:val="22"/>
        </w:rPr>
        <w:t>states that she was contacted by “someone stating</w:t>
      </w:r>
      <w:r w:rsidRPr="002270D6" w:rsidR="003A7686">
        <w:rPr>
          <w:szCs w:val="22"/>
        </w:rPr>
        <w:t xml:space="preserve"> </w:t>
      </w:r>
      <w:r w:rsidRPr="002270D6" w:rsidR="000D2670">
        <w:rPr>
          <w:szCs w:val="22"/>
          <w:shd w:val="clear" w:color="auto" w:fill="FFFFFF"/>
        </w:rPr>
        <w:t>they were from Verizon and were offering our non-profit a cheaper rate per line and that we will [] have no problems with our services.”</w:t>
      </w:r>
      <w:r>
        <w:rPr>
          <w:rStyle w:val="FootnoteReference"/>
          <w:sz w:val="22"/>
          <w:szCs w:val="22"/>
          <w:shd w:val="clear" w:color="auto" w:fill="FFFFFF"/>
        </w:rPr>
        <w:footnoteReference w:id="12"/>
      </w:r>
      <w:r w:rsidRPr="002270D6" w:rsidR="000D2670">
        <w:rPr>
          <w:szCs w:val="22"/>
          <w:shd w:val="clear" w:color="auto" w:fill="FFFFFF"/>
        </w:rPr>
        <w:t> </w:t>
      </w:r>
      <w:r w:rsidRPr="002270D6" w:rsidR="003A7686">
        <w:rPr>
          <w:szCs w:val="22"/>
        </w:rPr>
        <w:t xml:space="preserve"> </w:t>
      </w:r>
      <w:r w:rsidRPr="002270D6" w:rsidR="000D2670">
        <w:rPr>
          <w:szCs w:val="22"/>
        </w:rPr>
        <w:t xml:space="preserve">Complainant also explained that she </w:t>
      </w:r>
      <w:r w:rsidRPr="002270D6" w:rsidR="000D2670">
        <w:rPr>
          <w:szCs w:val="22"/>
          <w:shd w:val="clear" w:color="auto" w:fill="FFFFFF"/>
        </w:rPr>
        <w:t xml:space="preserve">accepted </w:t>
      </w:r>
      <w:r w:rsidR="00F74AF2">
        <w:rPr>
          <w:szCs w:val="22"/>
          <w:shd w:val="clear" w:color="auto" w:fill="FFFFFF"/>
        </w:rPr>
        <w:t xml:space="preserve">the </w:t>
      </w:r>
      <w:r w:rsidRPr="002270D6" w:rsidR="000D2670">
        <w:rPr>
          <w:szCs w:val="22"/>
          <w:shd w:val="clear" w:color="auto" w:fill="FFFFFF"/>
        </w:rPr>
        <w:t>offer</w:t>
      </w:r>
      <w:r w:rsidR="00F74AF2">
        <w:rPr>
          <w:szCs w:val="22"/>
          <w:shd w:val="clear" w:color="auto" w:fill="FFFFFF"/>
        </w:rPr>
        <w:t xml:space="preserve"> in part</w:t>
      </w:r>
      <w:r w:rsidRPr="002270D6" w:rsidR="000D2670">
        <w:rPr>
          <w:szCs w:val="22"/>
          <w:shd w:val="clear" w:color="auto" w:fill="FFFFFF"/>
        </w:rPr>
        <w:t xml:space="preserve"> because the caller provided her non</w:t>
      </w:r>
      <w:r w:rsidR="00D0591E">
        <w:rPr>
          <w:szCs w:val="22"/>
          <w:shd w:val="clear" w:color="auto" w:fill="FFFFFF"/>
        </w:rPr>
        <w:t>-</w:t>
      </w:r>
      <w:r w:rsidRPr="002270D6" w:rsidR="000D2670">
        <w:rPr>
          <w:szCs w:val="22"/>
          <w:shd w:val="clear" w:color="auto" w:fill="FFFFFF"/>
        </w:rPr>
        <w:t xml:space="preserve">profit’s Verizon account number.  Complainant </w:t>
      </w:r>
      <w:r w:rsidR="00F74AF2">
        <w:rPr>
          <w:szCs w:val="22"/>
          <w:shd w:val="clear" w:color="auto" w:fill="FFFFFF"/>
        </w:rPr>
        <w:t xml:space="preserve">then </w:t>
      </w:r>
      <w:r w:rsidRPr="002270D6" w:rsidR="000D2670">
        <w:rPr>
          <w:szCs w:val="22"/>
          <w:shd w:val="clear" w:color="auto" w:fill="FFFFFF"/>
        </w:rPr>
        <w:t xml:space="preserve">discovered that her </w:t>
      </w:r>
      <w:r w:rsidR="00F74AF2">
        <w:rPr>
          <w:szCs w:val="22"/>
          <w:shd w:val="clear" w:color="auto" w:fill="FFFFFF"/>
        </w:rPr>
        <w:t>non-profit organization’s</w:t>
      </w:r>
      <w:r w:rsidRPr="002270D6" w:rsidR="000D2670">
        <w:rPr>
          <w:szCs w:val="22"/>
          <w:shd w:val="clear" w:color="auto" w:fill="FFFFFF"/>
        </w:rPr>
        <w:t xml:space="preserve"> telephone line had </w:t>
      </w:r>
      <w:r w:rsidRPr="002270D6" w:rsidR="009306F2">
        <w:rPr>
          <w:szCs w:val="22"/>
          <w:shd w:val="clear" w:color="auto" w:fill="FFFFFF"/>
        </w:rPr>
        <w:t xml:space="preserve">been switched when there was </w:t>
      </w:r>
      <w:r w:rsidRPr="002270D6" w:rsidR="000D2670">
        <w:rPr>
          <w:szCs w:val="22"/>
          <w:shd w:val="clear" w:color="auto" w:fill="FFFFFF"/>
        </w:rPr>
        <w:t>no dial tone</w:t>
      </w:r>
      <w:r w:rsidR="00F74AF2">
        <w:rPr>
          <w:szCs w:val="22"/>
          <w:shd w:val="clear" w:color="auto" w:fill="FFFFFF"/>
        </w:rPr>
        <w:t>.</w:t>
      </w:r>
      <w:r w:rsidRPr="002270D6" w:rsidR="009306F2">
        <w:rPr>
          <w:szCs w:val="22"/>
          <w:shd w:val="clear" w:color="auto" w:fill="FFFFFF"/>
        </w:rPr>
        <w:t xml:space="preserve"> </w:t>
      </w:r>
      <w:r w:rsidR="00F74AF2">
        <w:rPr>
          <w:szCs w:val="22"/>
          <w:shd w:val="clear" w:color="auto" w:fill="FFFFFF"/>
        </w:rPr>
        <w:t xml:space="preserve"> </w:t>
      </w:r>
      <w:r w:rsidRPr="002270D6" w:rsidR="009306F2">
        <w:rPr>
          <w:szCs w:val="22"/>
          <w:shd w:val="clear" w:color="auto" w:fill="FFFFFF"/>
        </w:rPr>
        <w:t>She immediately filed a complaint with the Commission,</w:t>
      </w:r>
      <w:r w:rsidR="00F74AF2">
        <w:rPr>
          <w:szCs w:val="22"/>
          <w:shd w:val="clear" w:color="auto" w:fill="FFFFFF"/>
        </w:rPr>
        <w:t xml:space="preserve"> stating</w:t>
      </w:r>
      <w:r w:rsidRPr="002270D6" w:rsidR="009306F2">
        <w:rPr>
          <w:szCs w:val="22"/>
          <w:shd w:val="clear" w:color="auto" w:fill="FFFFFF"/>
        </w:rPr>
        <w:t xml:space="preserve"> that “I never ordered anything but a discount rate” </w:t>
      </w:r>
      <w:r w:rsidR="00D0591E">
        <w:rPr>
          <w:szCs w:val="22"/>
          <w:shd w:val="clear" w:color="auto" w:fill="FFFFFF"/>
        </w:rPr>
        <w:t>when</w:t>
      </w:r>
      <w:r w:rsidRPr="002270D6" w:rsidR="009306F2">
        <w:rPr>
          <w:szCs w:val="22"/>
          <w:shd w:val="clear" w:color="auto" w:fill="FFFFFF"/>
        </w:rPr>
        <w:t xml:space="preserve"> “the [Clear Rate representative] clearly said she was calling </w:t>
      </w:r>
      <w:r w:rsidR="00D0591E">
        <w:rPr>
          <w:szCs w:val="22"/>
          <w:shd w:val="clear" w:color="auto" w:fill="FFFFFF"/>
        </w:rPr>
        <w:t>[</w:t>
      </w:r>
      <w:r w:rsidRPr="002270D6" w:rsidR="009306F2">
        <w:rPr>
          <w:szCs w:val="22"/>
          <w:shd w:val="clear" w:color="auto" w:fill="FFFFFF"/>
        </w:rPr>
        <w:t>from a] Verizon company.”</w:t>
      </w:r>
      <w:r>
        <w:rPr>
          <w:rStyle w:val="FootnoteReference"/>
          <w:sz w:val="22"/>
          <w:szCs w:val="22"/>
        </w:rPr>
        <w:footnoteReference w:id="13"/>
      </w:r>
    </w:p>
    <w:p w:rsidR="000C39CD" w:rsidRPr="000C39CD" w:rsidP="00A23350" w14:paraId="10163473" w14:textId="659AB1BB">
      <w:pPr>
        <w:numPr>
          <w:ilvl w:val="0"/>
          <w:numId w:val="7"/>
        </w:numPr>
        <w:tabs>
          <w:tab w:val="clear" w:pos="1440"/>
        </w:tabs>
        <w:spacing w:after="120"/>
        <w:ind w:left="0" w:firstLine="720"/>
      </w:pPr>
      <w:r w:rsidRPr="009306F2">
        <w:t xml:space="preserve">Pursuant </w:t>
      </w:r>
      <w:r w:rsidRPr="00126D53">
        <w:t xml:space="preserve">to our rules, we notified </w:t>
      </w:r>
      <w:r w:rsidRPr="00126D53" w:rsidR="00104663">
        <w:t>Clear Rate</w:t>
      </w:r>
      <w:r w:rsidRPr="00126D53">
        <w:t xml:space="preserve"> of the complaint.</w:t>
      </w:r>
      <w:r>
        <w:rPr>
          <w:rStyle w:val="FootnoteReference"/>
        </w:rPr>
        <w:footnoteReference w:id="14"/>
      </w:r>
      <w:r w:rsidRPr="00126D53">
        <w:t xml:space="preserve">  </w:t>
      </w:r>
      <w:r w:rsidR="00AC2250">
        <w:t>Clear Rate responded, stating that Complainant agreed to and authorized the carrier switch</w:t>
      </w:r>
      <w:r w:rsidR="00056089">
        <w:t>,</w:t>
      </w:r>
      <w:r w:rsidR="00F93F38">
        <w:t xml:space="preserve"> and that the terms and conditions of service were described in detail for Complainant</w:t>
      </w:r>
      <w:r w:rsidR="00056089">
        <w:t xml:space="preserve"> on the TPV call</w:t>
      </w:r>
      <w:r w:rsidR="00AC2250">
        <w:t>.</w:t>
      </w:r>
      <w:r>
        <w:rPr>
          <w:rStyle w:val="FootnoteReference"/>
        </w:rPr>
        <w:footnoteReference w:id="15"/>
      </w:r>
      <w:r w:rsidR="00AC2250">
        <w:t xml:space="preserve">  </w:t>
      </w:r>
      <w:r w:rsidR="00F93F38">
        <w:t>Clear Rate</w:t>
      </w:r>
      <w:r w:rsidR="00AC2250">
        <w:t xml:space="preserve"> also provided two audio recordings—</w:t>
      </w:r>
      <w:r w:rsidR="00056089">
        <w:t>the</w:t>
      </w:r>
      <w:r w:rsidR="00AC2250">
        <w:t xml:space="preserve"> </w:t>
      </w:r>
      <w:r w:rsidR="003A7686">
        <w:t>TPV</w:t>
      </w:r>
      <w:r w:rsidR="00AC2250">
        <w:t xml:space="preserve"> recording</w:t>
      </w:r>
      <w:r w:rsidR="003A7686">
        <w:t xml:space="preserve"> </w:t>
      </w:r>
      <w:r w:rsidR="00AC2250">
        <w:t>and a recording Clear Rate characterized as a “quality assurance call.”</w:t>
      </w:r>
      <w:r>
        <w:rPr>
          <w:rStyle w:val="FootnoteReference"/>
        </w:rPr>
        <w:footnoteReference w:id="16"/>
      </w:r>
      <w:r w:rsidR="00AC2250">
        <w:t xml:space="preserve">  Clear Rate did not provide a recording of the sales call or any other evidence related to the sales call.</w:t>
      </w:r>
    </w:p>
    <w:p w:rsidR="00E87EC4" w:rsidP="00A23350" w14:paraId="7E5B2A35" w14:textId="188D6125">
      <w:pPr>
        <w:numPr>
          <w:ilvl w:val="0"/>
          <w:numId w:val="7"/>
        </w:numPr>
        <w:tabs>
          <w:tab w:val="clear" w:pos="1440"/>
        </w:tabs>
        <w:spacing w:after="120"/>
        <w:ind w:left="0" w:firstLine="720"/>
      </w:pPr>
      <w:r w:rsidRPr="00126D53">
        <w:rPr>
          <w:szCs w:val="24"/>
        </w:rPr>
        <w:t>The Division thoroughly</w:t>
      </w:r>
      <w:r w:rsidRPr="00CB7D2F">
        <w:rPr>
          <w:szCs w:val="24"/>
        </w:rPr>
        <w:t xml:space="preserve"> reviewed all the evidence provided by both the Complainant and </w:t>
      </w:r>
      <w:r w:rsidR="00104663">
        <w:rPr>
          <w:szCs w:val="24"/>
        </w:rPr>
        <w:t>Clear Rate</w:t>
      </w:r>
      <w:r w:rsidRPr="00CB7D2F">
        <w:rPr>
          <w:szCs w:val="24"/>
        </w:rPr>
        <w:t xml:space="preserve">. </w:t>
      </w:r>
      <w:r w:rsidRPr="00CB7D2F">
        <w:rPr>
          <w:szCs w:val="22"/>
        </w:rPr>
        <w:t xml:space="preserve"> Based on the evidence in the record, we find Complainant’s allegation of a sales call misrepresentation to be credible.  </w:t>
      </w:r>
      <w:r w:rsidRPr="00CB7D2F" w:rsidR="0059509C">
        <w:rPr>
          <w:szCs w:val="22"/>
        </w:rPr>
        <w:t xml:space="preserve">We </w:t>
      </w:r>
      <w:r w:rsidR="0059509C">
        <w:rPr>
          <w:szCs w:val="22"/>
        </w:rPr>
        <w:t xml:space="preserve">further </w:t>
      </w:r>
      <w:r w:rsidRPr="00CB7D2F" w:rsidR="0059509C">
        <w:rPr>
          <w:szCs w:val="22"/>
        </w:rPr>
        <w:t xml:space="preserve">find that </w:t>
      </w:r>
      <w:r w:rsidR="00104663">
        <w:rPr>
          <w:szCs w:val="22"/>
        </w:rPr>
        <w:t>Clear Rate</w:t>
      </w:r>
      <w:r w:rsidRPr="00CB7D2F" w:rsidR="0059509C">
        <w:rPr>
          <w:szCs w:val="22"/>
        </w:rPr>
        <w:t xml:space="preserve"> has failed to provide persuasive evidence to rebut Complainant’s </w:t>
      </w:r>
      <w:r w:rsidR="0059509C">
        <w:rPr>
          <w:szCs w:val="22"/>
        </w:rPr>
        <w:t xml:space="preserve">misrepresentation </w:t>
      </w:r>
      <w:r w:rsidRPr="00CB7D2F" w:rsidR="0059509C">
        <w:rPr>
          <w:szCs w:val="22"/>
        </w:rPr>
        <w:t>claim and therefore that Complainant’s authorization to change carriers is invalid</w:t>
      </w:r>
      <w:r w:rsidRPr="001211C2" w:rsidR="0059509C">
        <w:rPr>
          <w:szCs w:val="22"/>
        </w:rPr>
        <w:t>.</w:t>
      </w:r>
      <w:r w:rsidRPr="001211C2" w:rsidR="001211C2">
        <w:rPr>
          <w:szCs w:val="22"/>
        </w:rPr>
        <w:t xml:space="preserve">  </w:t>
      </w:r>
      <w:r w:rsidRPr="00FA1C98">
        <w:rPr>
          <w:szCs w:val="22"/>
        </w:rPr>
        <w:t xml:space="preserve">As the Commission stated in the </w:t>
      </w:r>
      <w:r w:rsidRPr="00FA1C98">
        <w:rPr>
          <w:i/>
          <w:szCs w:val="22"/>
        </w:rPr>
        <w:t>2018 Slamming Order</w:t>
      </w:r>
      <w:r w:rsidRPr="00FA1C98">
        <w:rPr>
          <w:szCs w:val="22"/>
        </w:rPr>
        <w:t xml:space="preserve">, “[w]hen a consumer’s decision to switch carriers is predicated on false information provided in a sales call, that </w:t>
      </w:r>
      <w:r w:rsidRPr="00FA1C98">
        <w:rPr>
          <w:szCs w:val="22"/>
        </w:rPr>
        <w:t>consumer’s authorization to switch carriers can no longer be considered binding.”</w:t>
      </w:r>
      <w:r>
        <w:rPr>
          <w:rStyle w:val="FootnoteReference"/>
          <w:szCs w:val="22"/>
        </w:rPr>
        <w:footnoteReference w:id="17"/>
      </w:r>
      <w:r w:rsidRPr="00CB7D2F">
        <w:rPr>
          <w:szCs w:val="22"/>
        </w:rPr>
        <w:t xml:space="preserve">  We therefore find that </w:t>
      </w:r>
      <w:r w:rsidR="00104663">
        <w:rPr>
          <w:szCs w:val="22"/>
        </w:rPr>
        <w:t>Clear Rate</w:t>
      </w:r>
      <w:r w:rsidRPr="00CB7D2F">
        <w:rPr>
          <w:szCs w:val="22"/>
        </w:rPr>
        <w:t xml:space="preserve">’s actions resulted in an unauthorized change in Complainant’s telecommunications service provider, as defined by the rules, and we discuss </w:t>
      </w:r>
      <w:r w:rsidR="00104663">
        <w:rPr>
          <w:szCs w:val="22"/>
        </w:rPr>
        <w:t>Clear Rate</w:t>
      </w:r>
      <w:r w:rsidRPr="00CB7D2F">
        <w:rPr>
          <w:szCs w:val="22"/>
        </w:rPr>
        <w:t>’s liability below.</w:t>
      </w:r>
      <w:r>
        <w:rPr>
          <w:rStyle w:val="FootnoteReference"/>
          <w:szCs w:val="22"/>
        </w:rPr>
        <w:footnoteReference w:id="18"/>
      </w:r>
      <w:r w:rsidRPr="00A23350" w:rsidR="00FD5F16">
        <w:rPr>
          <w:szCs w:val="24"/>
        </w:rPr>
        <w:t xml:space="preserve">  </w:t>
      </w:r>
    </w:p>
    <w:p w:rsidR="00E87EC4" w:rsidP="004A1870" w14:paraId="0A6F2D17" w14:textId="1269D977">
      <w:pPr>
        <w:widowControl/>
        <w:numPr>
          <w:ilvl w:val="0"/>
          <w:numId w:val="7"/>
        </w:numPr>
        <w:tabs>
          <w:tab w:val="clear" w:pos="1440"/>
        </w:tabs>
        <w:spacing w:after="120"/>
        <w:ind w:left="0" w:firstLine="720"/>
      </w:pPr>
      <w:r>
        <w:t>Clear Rate</w:t>
      </w:r>
      <w:r>
        <w:t xml:space="preserve"> must remove all charges incurred for service provided to Complainant for the first thirty days after the alleged unauthorized change in accordance with the Commission’s liability rules.</w:t>
      </w:r>
      <w:r>
        <w:rPr>
          <w:rStyle w:val="FootnoteReference"/>
        </w:rPr>
        <w:footnoteReference w:id="19"/>
      </w:r>
      <w:r>
        <w:t xml:space="preserve">  We have determined that Complainant </w:t>
      </w:r>
      <w:r w:rsidR="004B41C6">
        <w:t>is</w:t>
      </w:r>
      <w:r>
        <w:t xml:space="preserve"> entitled to absolution for the charges incurred during the first thirty days after the unauthorized change occurred and that neither the Complainant</w:t>
      </w:r>
      <w:r w:rsidR="004B41C6">
        <w:t>’</w:t>
      </w:r>
      <w:r>
        <w:t xml:space="preserve">s authorized carrier nor </w:t>
      </w:r>
      <w:r>
        <w:t>Clear Rate</w:t>
      </w:r>
      <w:r>
        <w:t xml:space="preserve"> may pursue any collection against Complainant for those charges.</w:t>
      </w:r>
      <w:r>
        <w:rPr>
          <w:rStyle w:val="FootnoteReference"/>
        </w:rPr>
        <w:footnoteReference w:id="20"/>
      </w:r>
      <w:r>
        <w:t xml:space="preserve">  Any charges imposed by </w:t>
      </w:r>
      <w:r>
        <w:t>Clear Rate</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21"/>
      </w:r>
    </w:p>
    <w:p w:rsidR="00E87EC4" w:rsidP="008A32BF" w14:paraId="66218C51" w14:textId="0D98FA99">
      <w:pPr>
        <w:numPr>
          <w:ilvl w:val="0"/>
          <w:numId w:val="7"/>
        </w:numPr>
        <w:tabs>
          <w:tab w:val="num" w:pos="0"/>
          <w:tab w:val="clear" w:pos="1440"/>
        </w:tabs>
        <w:spacing w:after="120"/>
        <w:ind w:left="0" w:firstLine="720"/>
      </w:pPr>
      <w:r w:rsidRPr="00142D97">
        <w:t xml:space="preserve">Accordingly, IT IS ORDERED that, pursuant to </w:t>
      </w:r>
      <w:r w:rsidR="000A1D19">
        <w:t>s</w:t>
      </w:r>
      <w:r w:rsidRPr="00142D97">
        <w:t xml:space="preserve">ection 258 of the Communications Act of 1934, as amended, 47 U.S.C. § 258, and </w:t>
      </w:r>
      <w:r w:rsidR="000A1D19">
        <w:t>s</w:t>
      </w:r>
      <w:r w:rsidRPr="00142D97">
        <w:t>ections 0.141, 0.361</w:t>
      </w:r>
      <w:r>
        <w:t>,</w:t>
      </w:r>
      <w:r w:rsidRPr="00142D97">
        <w:t xml:space="preserve"> and 1.719 of the Commission’s rules, 47 C</w:t>
      </w:r>
      <w:r>
        <w:t>F</w:t>
      </w:r>
      <w:r w:rsidRPr="00142D97">
        <w:t>R §§ 0.1</w:t>
      </w:r>
      <w:r>
        <w:t>41, 0.361, 1.719, the complaint</w:t>
      </w:r>
      <w:r w:rsidRPr="00142D97">
        <w:t xml:space="preserve"> </w:t>
      </w:r>
      <w:r w:rsidR="008A32BF">
        <w:t xml:space="preserve">filed </w:t>
      </w:r>
      <w:r w:rsidRPr="00142D97">
        <w:t xml:space="preserve">against </w:t>
      </w:r>
      <w:r w:rsidR="00104663">
        <w:t>Clear Rate</w:t>
      </w:r>
      <w:r w:rsidR="00FD5F16">
        <w:t xml:space="preserve"> Communication</w:t>
      </w:r>
      <w:r w:rsidR="00F2035B">
        <w:t>s</w:t>
      </w:r>
      <w:r w:rsidRPr="006D6CC3">
        <w:t xml:space="preserve"> </w:t>
      </w:r>
      <w:r w:rsidR="004B41C6">
        <w:t>IS</w:t>
      </w:r>
      <w:r>
        <w:t xml:space="preserve"> GRANTED</w:t>
      </w:r>
      <w:r w:rsidRPr="00142D97">
        <w:t>.</w:t>
      </w:r>
    </w:p>
    <w:p w:rsidR="004B41C6" w:rsidRPr="00FD5F16" w:rsidP="00FD5F16" w14:paraId="7FDD1154" w14:textId="3F77E708">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sidR="000A1D19">
        <w:rPr>
          <w:szCs w:val="22"/>
        </w:rPr>
        <w:t>s</w:t>
      </w:r>
      <w:r w:rsidRPr="00ED0DB7">
        <w:rPr>
          <w:szCs w:val="22"/>
        </w:rPr>
        <w:t xml:space="preserve">ection 64.1170(d) of the Commission’s rules, 47 CFR </w:t>
      </w:r>
      <w:r w:rsidRPr="00C525ED">
        <w:rPr>
          <w:szCs w:val="22"/>
        </w:rPr>
        <w:t xml:space="preserve">§ 64.1170(d), Complainant </w:t>
      </w:r>
      <w:r>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sidR="00104663">
        <w:rPr>
          <w:szCs w:val="22"/>
        </w:rPr>
        <w:t>Clear Rate</w:t>
      </w:r>
      <w:r w:rsidR="0044528B">
        <w:rPr>
          <w:szCs w:val="22"/>
        </w:rPr>
        <w:t xml:space="preserve"> </w:t>
      </w:r>
      <w:r w:rsidR="00FD5F16">
        <w:rPr>
          <w:szCs w:val="22"/>
        </w:rPr>
        <w:t>Communication</w:t>
      </w:r>
      <w:r w:rsidR="00F2035B">
        <w:rPr>
          <w:szCs w:val="22"/>
        </w:rPr>
        <w:t>s</w:t>
      </w:r>
      <w:r w:rsidR="002F77BE">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E87EC4" w:rsidRPr="00142D97" w:rsidP="008A32BF" w14:paraId="03E2C8C3" w14:textId="77777777">
      <w:pPr>
        <w:numPr>
          <w:ilvl w:val="0"/>
          <w:numId w:val="7"/>
        </w:numPr>
        <w:tabs>
          <w:tab w:val="num" w:pos="0"/>
          <w:tab w:val="clear" w:pos="1440"/>
        </w:tabs>
        <w:spacing w:after="120"/>
        <w:ind w:left="0" w:firstLine="720"/>
      </w:pPr>
      <w:r>
        <w:t>IT IS FURTHER ORDERED that this Order is effective upon release.</w:t>
      </w:r>
    </w:p>
    <w:p w:rsidR="00E87EC4" w:rsidP="008A32BF" w14:paraId="287DD5AB" w14:textId="3EBE6F2B">
      <w:pPr>
        <w:spacing w:after="120"/>
        <w:ind w:right="270"/>
      </w:pPr>
      <w:r w:rsidRPr="00142D97">
        <w:tab/>
      </w:r>
      <w:r w:rsidRPr="00142D97">
        <w:tab/>
      </w:r>
      <w:r w:rsidR="008A32BF">
        <w:tab/>
      </w:r>
      <w:r w:rsidR="008A32BF">
        <w:tab/>
      </w:r>
      <w:r w:rsidR="008A32BF">
        <w:tab/>
      </w:r>
      <w:r w:rsidR="0037166F">
        <w:tab/>
      </w:r>
      <w:r w:rsidRPr="00142D97">
        <w:t>FEDERAL COMMUNICATIONS COMMISSION</w:t>
      </w:r>
    </w:p>
    <w:p w:rsidR="00E87EC4" w:rsidRPr="001C1F54" w:rsidP="00E87EC4" w14:paraId="7E7AD004" w14:textId="77777777">
      <w:pPr>
        <w:ind w:left="3600" w:right="270"/>
        <w:outlineLvl w:val="0"/>
      </w:pPr>
    </w:p>
    <w:p w:rsidR="00E87EC4" w:rsidRPr="00EF2C5A" w:rsidP="00E87EC4" w14:paraId="488B33EC" w14:textId="77777777">
      <w:pPr>
        <w:ind w:right="270"/>
        <w:rPr>
          <w:szCs w:val="22"/>
        </w:rPr>
      </w:pPr>
    </w:p>
    <w:p w:rsidR="00E87EC4" w:rsidP="00E87EC4" w14:paraId="1F53B1FD" w14:textId="77777777">
      <w:pPr>
        <w:ind w:left="2880" w:right="270" w:firstLine="720"/>
        <w:outlineLvl w:val="0"/>
      </w:pPr>
    </w:p>
    <w:p w:rsidR="00F2035B" w:rsidP="00384F89" w14:paraId="1F6C4CAC" w14:textId="77777777">
      <w:pPr>
        <w:ind w:left="3600" w:right="270" w:firstLine="720"/>
        <w:outlineLvl w:val="0"/>
      </w:pPr>
    </w:p>
    <w:p w:rsidR="00E87EC4" w:rsidP="00384F89" w14:paraId="72BF37A8" w14:textId="2199AC1B">
      <w:pPr>
        <w:ind w:left="3600" w:right="270" w:firstLine="720"/>
        <w:outlineLvl w:val="0"/>
        <w:rPr>
          <w:szCs w:val="22"/>
        </w:rPr>
      </w:pPr>
      <w:r>
        <w:t>K</w:t>
      </w:r>
      <w:r w:rsidR="003D262D">
        <w:t>risti Thornton</w:t>
      </w:r>
      <w:r w:rsidR="003D262D">
        <w:tab/>
      </w:r>
      <w:r w:rsidRPr="00EF2C5A">
        <w:rPr>
          <w:szCs w:val="22"/>
        </w:rPr>
        <w:t xml:space="preserve"> </w:t>
      </w:r>
    </w:p>
    <w:p w:rsidR="00E87EC4" w:rsidRPr="00142D97" w:rsidP="0037166F" w14:paraId="2CC72A68" w14:textId="329070CC">
      <w:pPr>
        <w:ind w:left="3600" w:right="270" w:firstLine="720"/>
      </w:pPr>
      <w:r>
        <w:t xml:space="preserve">Acting </w:t>
      </w:r>
      <w:r w:rsidRPr="00142D97">
        <w:t>Chief</w:t>
      </w:r>
    </w:p>
    <w:p w:rsidR="00E87EC4" w:rsidRPr="00142D97" w:rsidP="0037166F" w14:paraId="6FB2B3B7" w14:textId="77777777">
      <w:pPr>
        <w:ind w:left="3600" w:right="270" w:firstLine="720"/>
      </w:pPr>
      <w:r w:rsidRPr="00142D97">
        <w:t>Consumer Policy Division</w:t>
      </w:r>
    </w:p>
    <w:p w:rsidR="00E87EC4" w:rsidP="00384F89" w14:paraId="1ED8542B" w14:textId="6A4DB4EB">
      <w:pPr>
        <w:ind w:left="3600" w:firstLine="720"/>
      </w:pPr>
      <w:r>
        <w:t xml:space="preserve">Consumer and </w:t>
      </w:r>
      <w:r w:rsidRPr="00142D97">
        <w:t>Governmental Affairs Burea</w:t>
      </w:r>
      <w:r w:rsidR="0037166F">
        <w:t>u</w:t>
      </w:r>
    </w:p>
    <w:p w:rsidR="00E87EC4" w:rsidRPr="002C00E8" w:rsidP="00384F89" w14:paraId="40A67BD7"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C97E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15D4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8E2D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96B64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186F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EC4" w14:paraId="4DE9B781" w14:textId="77777777">
      <w:r>
        <w:separator/>
      </w:r>
    </w:p>
  </w:footnote>
  <w:footnote w:type="continuationSeparator" w:id="1">
    <w:p w:rsidR="00E87EC4" w:rsidP="00C721AC" w14:paraId="7DB596A8" w14:textId="77777777">
      <w:pPr>
        <w:spacing w:before="120"/>
        <w:rPr>
          <w:sz w:val="20"/>
        </w:rPr>
      </w:pPr>
      <w:r>
        <w:rPr>
          <w:sz w:val="20"/>
        </w:rPr>
        <w:t xml:space="preserve">(Continued from previous page)  </w:t>
      </w:r>
      <w:r>
        <w:rPr>
          <w:sz w:val="20"/>
        </w:rPr>
        <w:separator/>
      </w:r>
    </w:p>
  </w:footnote>
  <w:footnote w:type="continuationNotice" w:id="2">
    <w:p w:rsidR="00E87EC4" w:rsidRPr="00B91DEB" w:rsidP="00B91DEB" w14:paraId="4CE231ED" w14:textId="77777777">
      <w:pPr>
        <w:pStyle w:val="Footer"/>
      </w:pPr>
    </w:p>
  </w:footnote>
  <w:footnote w:id="3">
    <w:p w:rsidR="004A7371" w:rsidRPr="006F2F56" w:rsidP="004A7371" w14:paraId="167A3D51" w14:textId="07BAE690">
      <w:pPr>
        <w:pStyle w:val="FootnoteText"/>
      </w:pPr>
      <w:r>
        <w:rPr>
          <w:rStyle w:val="FootnoteReference"/>
        </w:rPr>
        <w:footnoteRef/>
      </w:r>
      <w:bookmarkStart w:id="0" w:name="_Hlk515530738"/>
      <w:r>
        <w:rPr>
          <w:i/>
        </w:rPr>
        <w:t xml:space="preserve"> </w:t>
      </w:r>
      <w:bookmarkEnd w:id="0"/>
      <w:r>
        <w:rPr>
          <w:i/>
        </w:rPr>
        <w:t xml:space="preserve">See </w:t>
      </w:r>
      <w:r>
        <w:t xml:space="preserve">Informal Complaint No. </w:t>
      </w:r>
      <w:r w:rsidR="00B6399A">
        <w:t>60</w:t>
      </w:r>
      <w:r w:rsidR="000D2670">
        <w:t>82153</w:t>
      </w:r>
      <w:r>
        <w:t xml:space="preserve"> (filed </w:t>
      </w:r>
      <w:r w:rsidR="000D2670">
        <w:t>Mar</w:t>
      </w:r>
      <w:r w:rsidR="00B6399A">
        <w:t xml:space="preserve">. </w:t>
      </w:r>
      <w:r w:rsidR="000D2670">
        <w:t>8</w:t>
      </w:r>
      <w:r>
        <w:t>, 202</w:t>
      </w:r>
      <w:r w:rsidR="00B6399A">
        <w:t>3</w:t>
      </w:r>
      <w:r>
        <w:t xml:space="preserve">); </w:t>
      </w:r>
      <w:r>
        <w:rPr>
          <w:i/>
        </w:rPr>
        <w:t>see also</w:t>
      </w:r>
      <w:r>
        <w:t xml:space="preserve"> 47 CFR §§ 64.1100 – 64.1190.</w:t>
      </w:r>
    </w:p>
  </w:footnote>
  <w:footnote w:id="4">
    <w:p w:rsidR="00E87EC4" w:rsidP="00E87EC4" w14:paraId="50774D4A" w14:textId="77777777">
      <w:pPr>
        <w:pStyle w:val="FootnoteText"/>
      </w:pPr>
      <w:r>
        <w:rPr>
          <w:rStyle w:val="FootnoteReference"/>
        </w:rPr>
        <w:footnoteRef/>
      </w:r>
      <w:r>
        <w:t xml:space="preserve"> </w:t>
      </w:r>
      <w:r w:rsidRPr="00F86B2C">
        <w:t>47 U.S.C. § 258(a).</w:t>
      </w:r>
    </w:p>
  </w:footnote>
  <w:footnote w:id="5">
    <w:p w:rsidR="00E87EC4" w:rsidP="00E87EC4" w14:paraId="0BDD0287"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E87EC4" w:rsidP="00E87EC4" w14:paraId="38B6A513" w14:textId="77777777">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E87EC4" w:rsidRPr="00CF10D8" w:rsidP="00E87EC4" w14:paraId="51E78DF0" w14:textId="680F6658">
      <w:pPr>
        <w:pStyle w:val="FootnoteText"/>
      </w:pPr>
      <w:r>
        <w:rPr>
          <w:rStyle w:val="FootnoteReference"/>
        </w:rPr>
        <w:footnoteRef/>
      </w:r>
      <w:r>
        <w:t xml:space="preserve"> </w:t>
      </w:r>
      <w:r w:rsidRPr="00142D97">
        <w:t xml:space="preserve">These rules require the </w:t>
      </w:r>
      <w:r w:rsidR="000267DE">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B82B45" w:rsidP="00B82B45" w14:paraId="066A2918" w14:textId="77777777">
      <w:pPr>
        <w:pStyle w:val="FootnoteText"/>
      </w:pPr>
      <w:r>
        <w:rPr>
          <w:rStyle w:val="FootnoteReference"/>
        </w:rPr>
        <w:footnoteRef/>
      </w:r>
      <w:r>
        <w:t xml:space="preserve"> </w:t>
      </w:r>
      <w:r w:rsidRPr="009F6F0E">
        <w:rPr>
          <w:i/>
        </w:rPr>
        <w:t>Id</w:t>
      </w:r>
      <w:r>
        <w:t>. § 64.1120(a)(1)(</w:t>
      </w:r>
      <w:r>
        <w:t>i</w:t>
      </w:r>
      <w:r>
        <w:t xml:space="preserve">)(A).  </w:t>
      </w:r>
    </w:p>
  </w:footnote>
  <w:footnote w:id="9">
    <w:p w:rsidR="00B82B45" w:rsidP="00B82B45" w14:paraId="31B74068" w14:textId="0DB647F7">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 (</w:t>
      </w:r>
      <w:r w:rsidRPr="00305DCB">
        <w:rPr>
          <w:i/>
        </w:rPr>
        <w:t>2018 Slamming Order</w:t>
      </w:r>
      <w:r>
        <w:t>); 47 CFR § 64.1120(a)(1)(</w:t>
      </w:r>
      <w:r>
        <w:t>i</w:t>
      </w:r>
      <w:r>
        <w:t xml:space="preserve">)(A).  </w:t>
      </w:r>
    </w:p>
  </w:footnote>
  <w:footnote w:id="10">
    <w:p w:rsidR="00B82B45" w:rsidP="00B82B45" w14:paraId="5E2EA295" w14:textId="77777777">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0C7E88" w14:paraId="778CD5ED" w14:textId="5CD2AF8B">
      <w:pPr>
        <w:pStyle w:val="FootnoteText"/>
      </w:pPr>
      <w:r>
        <w:rPr>
          <w:rStyle w:val="FootnoteReference"/>
        </w:rPr>
        <w:footnoteRef/>
      </w:r>
      <w:r>
        <w:t xml:space="preserve"> </w:t>
      </w:r>
      <w:r w:rsidRPr="000C7E88">
        <w:rPr>
          <w:i/>
          <w:iCs/>
        </w:rPr>
        <w:t>See</w:t>
      </w:r>
      <w:r>
        <w:t xml:space="preserve"> Informal Complaint No. </w:t>
      </w:r>
      <w:r w:rsidR="00B6399A">
        <w:t>60</w:t>
      </w:r>
      <w:r w:rsidR="000D2670">
        <w:t>82153</w:t>
      </w:r>
      <w:r>
        <w:t>.</w:t>
      </w:r>
    </w:p>
  </w:footnote>
  <w:footnote w:id="12">
    <w:p w:rsidR="000D2670" w:rsidRPr="000D2670" w14:paraId="14BEFB06" w14:textId="4242AAD8">
      <w:pPr>
        <w:pStyle w:val="FootnoteText"/>
        <w:rPr>
          <w:i/>
          <w:iCs/>
        </w:rPr>
      </w:pPr>
      <w:r>
        <w:rPr>
          <w:rStyle w:val="FootnoteReference"/>
        </w:rPr>
        <w:footnoteRef/>
      </w:r>
      <w:r>
        <w:t xml:space="preserve"> </w:t>
      </w:r>
      <w:r w:rsidRPr="000D2670">
        <w:rPr>
          <w:i/>
          <w:iCs/>
        </w:rPr>
        <w:t>Id.</w:t>
      </w:r>
    </w:p>
  </w:footnote>
  <w:footnote w:id="13">
    <w:p w:rsidR="003A7686" w14:paraId="7BCD711A" w14:textId="0EBF3C13">
      <w:pPr>
        <w:pStyle w:val="FootnoteText"/>
      </w:pPr>
      <w:r>
        <w:rPr>
          <w:rStyle w:val="FootnoteReference"/>
        </w:rPr>
        <w:footnoteRef/>
      </w:r>
      <w:r>
        <w:t xml:space="preserve"> </w:t>
      </w:r>
      <w:r w:rsidRPr="003A7686">
        <w:rPr>
          <w:i/>
          <w:iCs/>
        </w:rPr>
        <w:t>Id.</w:t>
      </w:r>
    </w:p>
  </w:footnote>
  <w:footnote w:id="14">
    <w:p w:rsidR="00E87EC4" w:rsidP="00E87EC4" w14:paraId="3B3D0754" w14:textId="71643AF2">
      <w:pPr>
        <w:pStyle w:val="FootnoteText"/>
      </w:pPr>
      <w:r>
        <w:rPr>
          <w:rStyle w:val="FootnoteReference"/>
        </w:rPr>
        <w:footnoteRef/>
      </w:r>
      <w:r>
        <w:t xml:space="preserve"> </w:t>
      </w:r>
      <w:r w:rsidRPr="00F86B2C">
        <w:t xml:space="preserve">47 CFR § 1.719 (Commission procedure for informal complaints filed pursuant to </w:t>
      </w:r>
      <w:r w:rsidR="00D22481">
        <w:t>s</w:t>
      </w:r>
      <w:r w:rsidRPr="00F86B2C">
        <w:t xml:space="preserve">ection 258 of the Act); </w:t>
      </w:r>
      <w:r w:rsidRPr="00A15D6E">
        <w:rPr>
          <w:i/>
        </w:rPr>
        <w:t>id.</w:t>
      </w:r>
      <w:r w:rsidRPr="00F86B2C">
        <w:t xml:space="preserve"> § 64.1150 (procedures for resolution of unauthorized changes in preferred carrier).</w:t>
      </w:r>
      <w:r w:rsidR="005734DB">
        <w:t xml:space="preserve">  In the notification, we directed Clear Rate to respond to the specific misrepresentation allegation and to provide any evidence to rebut it.   </w:t>
      </w:r>
    </w:p>
  </w:footnote>
  <w:footnote w:id="15">
    <w:p w:rsidR="00AC2250" w:rsidP="00AC2250" w14:paraId="14984A76" w14:textId="2D4AD8E3">
      <w:pPr>
        <w:pStyle w:val="FootnoteText"/>
      </w:pPr>
      <w:r>
        <w:rPr>
          <w:rStyle w:val="FootnoteReference"/>
        </w:rPr>
        <w:footnoteRef/>
      </w:r>
      <w:r>
        <w:rPr>
          <w:i/>
        </w:rPr>
        <w:t xml:space="preserve"> See </w:t>
      </w:r>
      <w:r>
        <w:t xml:space="preserve">Clear Rate Response to Informal Complaint No. </w:t>
      </w:r>
      <w:r w:rsidR="00B6399A">
        <w:t>60</w:t>
      </w:r>
      <w:r w:rsidR="00DF42CC">
        <w:t>82153</w:t>
      </w:r>
      <w:r>
        <w:t xml:space="preserve"> (filed </w:t>
      </w:r>
      <w:r w:rsidR="00DF42CC">
        <w:t>Mar</w:t>
      </w:r>
      <w:r>
        <w:t xml:space="preserve">. </w:t>
      </w:r>
      <w:r w:rsidR="00DF42CC">
        <w:t>27</w:t>
      </w:r>
      <w:r>
        <w:t>, 2023)</w:t>
      </w:r>
      <w:r w:rsidR="00DF42CC">
        <w:t xml:space="preserve"> (also stating that the final balance due on the account is $2,090.03 which include</w:t>
      </w:r>
      <w:r w:rsidR="00056089">
        <w:t>s</w:t>
      </w:r>
      <w:r w:rsidR="00DF42CC">
        <w:t xml:space="preserve"> charges for three days of service (3/8/23 – 3/10/23) and early termination fees</w:t>
      </w:r>
      <w:r>
        <w:t xml:space="preserve">; </w:t>
      </w:r>
      <w:r w:rsidRPr="00504345">
        <w:rPr>
          <w:i/>
        </w:rPr>
        <w:t>see also</w:t>
      </w:r>
      <w:r>
        <w:t xml:space="preserve"> 47 CFR § 64.1160.    </w:t>
      </w:r>
    </w:p>
  </w:footnote>
  <w:footnote w:id="16">
    <w:p w:rsidR="002270D6" w14:paraId="6CE1C5EB" w14:textId="328CC9D9">
      <w:pPr>
        <w:pStyle w:val="FootnoteText"/>
      </w:pPr>
      <w:r>
        <w:rPr>
          <w:rStyle w:val="FootnoteReference"/>
        </w:rPr>
        <w:footnoteRef/>
      </w:r>
      <w:r>
        <w:t xml:space="preserve"> We note that on the “quality assurance call,” the Clear Rate representative states that “you will not have any interruptions in your current service.  This is through a contract agreement between Verizon and Clear Rate</w:t>
      </w:r>
      <w:r w:rsidR="001023DE">
        <w:t xml:space="preserve">; </w:t>
      </w:r>
      <w:r>
        <w:t>that Clear Rate will</w:t>
      </w:r>
      <w:r w:rsidR="001023DE">
        <w:t xml:space="preserve"> just provide your</w:t>
      </w:r>
      <w:r>
        <w:t xml:space="preserve"> billing </w:t>
      </w:r>
      <w:r w:rsidR="001023DE">
        <w:t xml:space="preserve">at a wholesale rate </w:t>
      </w:r>
      <w:r>
        <w:t xml:space="preserve">and </w:t>
      </w:r>
      <w:r w:rsidR="001023DE">
        <w:t xml:space="preserve">manage your </w:t>
      </w:r>
      <w:r>
        <w:t xml:space="preserve">customer service </w:t>
      </w:r>
      <w:r w:rsidR="001023DE">
        <w:t xml:space="preserve">needs in a more timely manner.”  </w:t>
      </w:r>
      <w:r>
        <w:t>During the call, Complainant asks, “there will be no</w:t>
      </w:r>
      <w:r w:rsidR="001023DE">
        <w:t xml:space="preserve"> extra</w:t>
      </w:r>
      <w:r>
        <w:t xml:space="preserve"> charges for that second company, right?” The Clear Rate</w:t>
      </w:r>
      <w:r w:rsidR="001023DE">
        <w:t xml:space="preserve"> representative</w:t>
      </w:r>
      <w:r>
        <w:t xml:space="preserve"> </w:t>
      </w:r>
      <w:r w:rsidR="001023DE">
        <w:t>responds</w:t>
      </w:r>
      <w:r>
        <w:t>, “</w:t>
      </w:r>
      <w:r w:rsidR="001023DE">
        <w:t>right</w:t>
      </w:r>
      <w:r>
        <w:t>.”</w:t>
      </w:r>
    </w:p>
  </w:footnote>
  <w:footnote w:id="17">
    <w:p w:rsidR="006D7D9E" w:rsidP="006D7D9E" w14:paraId="53B236F8" w14:textId="77777777">
      <w:pPr>
        <w:pStyle w:val="FootnoteText"/>
      </w:pPr>
      <w:r>
        <w:rPr>
          <w:rStyle w:val="FootnoteReference"/>
        </w:rPr>
        <w:footnoteRef/>
      </w:r>
      <w:r>
        <w:t xml:space="preserve"> </w:t>
      </w:r>
      <w:r w:rsidRPr="002F09DF">
        <w:rPr>
          <w:i/>
        </w:rPr>
        <w:t>2018 Slamming Order</w:t>
      </w:r>
      <w:r>
        <w:t xml:space="preserve">, 33 FCC </w:t>
      </w:r>
      <w:r>
        <w:t>Rcd</w:t>
      </w:r>
      <w:r>
        <w:t xml:space="preserve"> at 5779, para. 18 (citing </w:t>
      </w:r>
      <w:r w:rsidRPr="002F09DF">
        <w:rPr>
          <w:i/>
        </w:rPr>
        <w:t>Advantage Forfeiture Order</w:t>
      </w:r>
      <w:r>
        <w:t xml:space="preserve">, 32 FCC </w:t>
      </w:r>
      <w:r>
        <w:t>Rcd</w:t>
      </w:r>
      <w:r>
        <w:t xml:space="preserve"> 3723, 3725-30, paras. 7-13 (2017) (finding that the carrier’s TPV recordings did not disprove that unlawful misrepresentations were made during the telemarketing calls and further, that questions posed during the separate TPV calls did not cure those misrepresentations)).  </w:t>
      </w:r>
    </w:p>
  </w:footnote>
  <w:footnote w:id="18">
    <w:p w:rsidR="006D7D9E" w:rsidP="006D7D9E" w14:paraId="76F398F1" w14:textId="77777777">
      <w:pPr>
        <w:pStyle w:val="FootnoteText"/>
      </w:pPr>
      <w:r>
        <w:rPr>
          <w:rStyle w:val="FootnoteReference"/>
        </w:rPr>
        <w:footnoteRef/>
      </w:r>
      <w:r>
        <w:t xml:space="preserve"> If Complainant is unsatisfied with the resolution of the complaint, the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19">
    <w:p w:rsidR="00E87EC4" w:rsidP="00E87EC4" w14:paraId="4F3D9E70" w14:textId="60C57C37">
      <w:pPr>
        <w:pStyle w:val="FootnoteText"/>
      </w:pPr>
      <w:r>
        <w:rPr>
          <w:rStyle w:val="FootnoteReference"/>
        </w:rPr>
        <w:footnoteRef/>
      </w:r>
      <w:r>
        <w:t xml:space="preserve"> </w:t>
      </w:r>
      <w:r w:rsidRPr="003D1861">
        <w:rPr>
          <w:i/>
        </w:rPr>
        <w:t>See</w:t>
      </w:r>
      <w:r>
        <w:rPr>
          <w:i/>
        </w:rPr>
        <w:t xml:space="preserve"> id.</w:t>
      </w:r>
      <w:r>
        <w:t xml:space="preserve"> § 64.1160(b).</w:t>
      </w:r>
    </w:p>
  </w:footnote>
  <w:footnote w:id="20">
    <w:p w:rsidR="00E87EC4" w:rsidP="00E87EC4" w14:paraId="09F40622"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21">
    <w:p w:rsidR="00E87EC4" w:rsidP="00E87EC4" w14:paraId="719BF8DA" w14:textId="77777777">
      <w:pPr>
        <w:pStyle w:val="FootnoteText"/>
      </w:pPr>
      <w:r>
        <w:rPr>
          <w:rStyle w:val="FootnoteReference"/>
        </w:rPr>
        <w:footnoteRef/>
      </w:r>
      <w:r>
        <w:t xml:space="preserve"> </w:t>
      </w:r>
      <w:r w:rsidRPr="003D1861">
        <w:rPr>
          <w:i/>
        </w:rPr>
        <w:t>See</w:t>
      </w:r>
      <w:r>
        <w:rPr>
          <w:i/>
        </w:rPr>
        <w:t xml:space="preserve"> id.</w:t>
      </w:r>
      <w:r>
        <w:t xml:space="preserve"> §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634EC8" w14:textId="0F5A0582">
    <w:pPr>
      <w:pStyle w:val="Header"/>
      <w:rPr>
        <w:b w:val="0"/>
      </w:rPr>
    </w:pPr>
    <w:r>
      <w:tab/>
      <w:t>Federal Communications Commission</w:t>
    </w:r>
    <w:r>
      <w:tab/>
    </w:r>
    <w:r w:rsidR="00AE241C">
      <w:t xml:space="preserve">DA </w:t>
    </w:r>
    <w:r w:rsidR="003D262D">
      <w:t>2</w:t>
    </w:r>
    <w:r w:rsidR="00E40707">
      <w:t>3</w:t>
    </w:r>
    <w:r w:rsidR="003D262D">
      <w:t>-</w:t>
    </w:r>
    <w:r w:rsidR="00EB0D42">
      <w:t>341</w:t>
    </w:r>
  </w:p>
  <w:p w:rsidR="00D25FB5" w14:paraId="0DD228C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73E1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EBB497" w14:textId="04E0813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41C">
      <w:rPr>
        <w:spacing w:val="-2"/>
      </w:rPr>
      <w:t xml:space="preserve">DA </w:t>
    </w:r>
    <w:r w:rsidR="006D6CC3">
      <w:rPr>
        <w:spacing w:val="-2"/>
      </w:rPr>
      <w:t>2</w:t>
    </w:r>
    <w:r w:rsidR="00E40707">
      <w:rPr>
        <w:spacing w:val="-2"/>
      </w:rPr>
      <w:t>3</w:t>
    </w:r>
    <w:r w:rsidR="003D262D">
      <w:rPr>
        <w:spacing w:val="-2"/>
      </w:rPr>
      <w:t>-</w:t>
    </w:r>
    <w:r w:rsidR="00EB0D42">
      <w:rPr>
        <w:spacing w:val="-2"/>
      </w:rPr>
      <w:t>341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237AB"/>
    <w:rsid w:val="000267DE"/>
    <w:rsid w:val="00036039"/>
    <w:rsid w:val="00037F90"/>
    <w:rsid w:val="000409FA"/>
    <w:rsid w:val="00056089"/>
    <w:rsid w:val="00056F0B"/>
    <w:rsid w:val="000875BF"/>
    <w:rsid w:val="00096D8C"/>
    <w:rsid w:val="000A1D19"/>
    <w:rsid w:val="000C0B65"/>
    <w:rsid w:val="000C39CD"/>
    <w:rsid w:val="000C7E88"/>
    <w:rsid w:val="000D2670"/>
    <w:rsid w:val="000E05FE"/>
    <w:rsid w:val="000E3D42"/>
    <w:rsid w:val="001023DE"/>
    <w:rsid w:val="00104663"/>
    <w:rsid w:val="001211C2"/>
    <w:rsid w:val="00122BD5"/>
    <w:rsid w:val="00126D53"/>
    <w:rsid w:val="00133F79"/>
    <w:rsid w:val="00142D97"/>
    <w:rsid w:val="00185C9A"/>
    <w:rsid w:val="00194A66"/>
    <w:rsid w:val="001B0806"/>
    <w:rsid w:val="001B7B64"/>
    <w:rsid w:val="001C1F54"/>
    <w:rsid w:val="001D51E5"/>
    <w:rsid w:val="001D6BCF"/>
    <w:rsid w:val="001E01CA"/>
    <w:rsid w:val="001E09ED"/>
    <w:rsid w:val="001F3959"/>
    <w:rsid w:val="00210356"/>
    <w:rsid w:val="0022382B"/>
    <w:rsid w:val="002270D6"/>
    <w:rsid w:val="00275CF5"/>
    <w:rsid w:val="0028301F"/>
    <w:rsid w:val="0028304E"/>
    <w:rsid w:val="00285017"/>
    <w:rsid w:val="002A2D2E"/>
    <w:rsid w:val="002C00E8"/>
    <w:rsid w:val="002C43CB"/>
    <w:rsid w:val="002F09DF"/>
    <w:rsid w:val="002F77BE"/>
    <w:rsid w:val="00305DCB"/>
    <w:rsid w:val="00343749"/>
    <w:rsid w:val="003605AE"/>
    <w:rsid w:val="003660ED"/>
    <w:rsid w:val="0037166F"/>
    <w:rsid w:val="00384F89"/>
    <w:rsid w:val="003A7686"/>
    <w:rsid w:val="003B0550"/>
    <w:rsid w:val="003B341C"/>
    <w:rsid w:val="003B694F"/>
    <w:rsid w:val="003D1861"/>
    <w:rsid w:val="003D262D"/>
    <w:rsid w:val="003F171C"/>
    <w:rsid w:val="00412FC5"/>
    <w:rsid w:val="00422276"/>
    <w:rsid w:val="004242F1"/>
    <w:rsid w:val="00424582"/>
    <w:rsid w:val="00440166"/>
    <w:rsid w:val="00442324"/>
    <w:rsid w:val="0044528B"/>
    <w:rsid w:val="00445A00"/>
    <w:rsid w:val="00451B0F"/>
    <w:rsid w:val="00466997"/>
    <w:rsid w:val="00484334"/>
    <w:rsid w:val="004A1870"/>
    <w:rsid w:val="004A7371"/>
    <w:rsid w:val="004B41C6"/>
    <w:rsid w:val="004C2EE3"/>
    <w:rsid w:val="004E4A22"/>
    <w:rsid w:val="00504345"/>
    <w:rsid w:val="00511968"/>
    <w:rsid w:val="0055614C"/>
    <w:rsid w:val="00566D06"/>
    <w:rsid w:val="005734DB"/>
    <w:rsid w:val="00585569"/>
    <w:rsid w:val="0059509C"/>
    <w:rsid w:val="005E14C2"/>
    <w:rsid w:val="005F3ED0"/>
    <w:rsid w:val="005F7CD1"/>
    <w:rsid w:val="00607BA5"/>
    <w:rsid w:val="0061180A"/>
    <w:rsid w:val="00626EB6"/>
    <w:rsid w:val="00653ADB"/>
    <w:rsid w:val="00655D03"/>
    <w:rsid w:val="00683388"/>
    <w:rsid w:val="00683F84"/>
    <w:rsid w:val="006A6A81"/>
    <w:rsid w:val="006D6CC3"/>
    <w:rsid w:val="006D7D9E"/>
    <w:rsid w:val="006F2F56"/>
    <w:rsid w:val="006F7393"/>
    <w:rsid w:val="0070224F"/>
    <w:rsid w:val="007115F7"/>
    <w:rsid w:val="007257B8"/>
    <w:rsid w:val="00763B1E"/>
    <w:rsid w:val="00766B85"/>
    <w:rsid w:val="00785689"/>
    <w:rsid w:val="0079754B"/>
    <w:rsid w:val="007A1BC6"/>
    <w:rsid w:val="007A1E6D"/>
    <w:rsid w:val="007B0EB2"/>
    <w:rsid w:val="007D5686"/>
    <w:rsid w:val="008036CD"/>
    <w:rsid w:val="00810B6F"/>
    <w:rsid w:val="00820AE3"/>
    <w:rsid w:val="00822CE0"/>
    <w:rsid w:val="00841AB1"/>
    <w:rsid w:val="00855334"/>
    <w:rsid w:val="00856985"/>
    <w:rsid w:val="008A178E"/>
    <w:rsid w:val="008A32BF"/>
    <w:rsid w:val="008A4A8D"/>
    <w:rsid w:val="008B5281"/>
    <w:rsid w:val="008C68F1"/>
    <w:rsid w:val="009040A3"/>
    <w:rsid w:val="00910DFB"/>
    <w:rsid w:val="00921803"/>
    <w:rsid w:val="00923668"/>
    <w:rsid w:val="00926503"/>
    <w:rsid w:val="009306F2"/>
    <w:rsid w:val="00955FC0"/>
    <w:rsid w:val="009726D8"/>
    <w:rsid w:val="00990DB6"/>
    <w:rsid w:val="00996AA4"/>
    <w:rsid w:val="009D7308"/>
    <w:rsid w:val="009F0064"/>
    <w:rsid w:val="009F6F0E"/>
    <w:rsid w:val="009F76DB"/>
    <w:rsid w:val="00A15D6E"/>
    <w:rsid w:val="00A23350"/>
    <w:rsid w:val="00A32C3B"/>
    <w:rsid w:val="00A45F4F"/>
    <w:rsid w:val="00A600A9"/>
    <w:rsid w:val="00A8283A"/>
    <w:rsid w:val="00A92978"/>
    <w:rsid w:val="00AA55B7"/>
    <w:rsid w:val="00AA5B9E"/>
    <w:rsid w:val="00AB2407"/>
    <w:rsid w:val="00AB53DF"/>
    <w:rsid w:val="00AC2250"/>
    <w:rsid w:val="00AE241C"/>
    <w:rsid w:val="00B06C6D"/>
    <w:rsid w:val="00B07E5C"/>
    <w:rsid w:val="00B205BD"/>
    <w:rsid w:val="00B30D69"/>
    <w:rsid w:val="00B469CE"/>
    <w:rsid w:val="00B6399A"/>
    <w:rsid w:val="00B64743"/>
    <w:rsid w:val="00B811F7"/>
    <w:rsid w:val="00B82B45"/>
    <w:rsid w:val="00B841CA"/>
    <w:rsid w:val="00B91DEB"/>
    <w:rsid w:val="00BA5DC6"/>
    <w:rsid w:val="00BA6196"/>
    <w:rsid w:val="00BC6D8C"/>
    <w:rsid w:val="00C34006"/>
    <w:rsid w:val="00C36B4C"/>
    <w:rsid w:val="00C426B1"/>
    <w:rsid w:val="00C525ED"/>
    <w:rsid w:val="00C66160"/>
    <w:rsid w:val="00C721AC"/>
    <w:rsid w:val="00C849DD"/>
    <w:rsid w:val="00C90D6A"/>
    <w:rsid w:val="00CA247E"/>
    <w:rsid w:val="00CA3F31"/>
    <w:rsid w:val="00CA6D21"/>
    <w:rsid w:val="00CB7D2F"/>
    <w:rsid w:val="00CC72B6"/>
    <w:rsid w:val="00CE1F45"/>
    <w:rsid w:val="00CE5BF4"/>
    <w:rsid w:val="00CF10D8"/>
    <w:rsid w:val="00D0218D"/>
    <w:rsid w:val="00D0591E"/>
    <w:rsid w:val="00D22481"/>
    <w:rsid w:val="00D25FB5"/>
    <w:rsid w:val="00D26C2C"/>
    <w:rsid w:val="00D44223"/>
    <w:rsid w:val="00D60674"/>
    <w:rsid w:val="00D64893"/>
    <w:rsid w:val="00DA2529"/>
    <w:rsid w:val="00DB130A"/>
    <w:rsid w:val="00DB2EBB"/>
    <w:rsid w:val="00DC10A1"/>
    <w:rsid w:val="00DC655F"/>
    <w:rsid w:val="00DD0B59"/>
    <w:rsid w:val="00DD7EBD"/>
    <w:rsid w:val="00DF42CC"/>
    <w:rsid w:val="00DF62B6"/>
    <w:rsid w:val="00E07225"/>
    <w:rsid w:val="00E32F24"/>
    <w:rsid w:val="00E40707"/>
    <w:rsid w:val="00E5409F"/>
    <w:rsid w:val="00E86D82"/>
    <w:rsid w:val="00E87EC4"/>
    <w:rsid w:val="00EB0A91"/>
    <w:rsid w:val="00EB0D42"/>
    <w:rsid w:val="00ED0DB7"/>
    <w:rsid w:val="00EE6488"/>
    <w:rsid w:val="00EF2C5A"/>
    <w:rsid w:val="00F021FA"/>
    <w:rsid w:val="00F2035B"/>
    <w:rsid w:val="00F62E97"/>
    <w:rsid w:val="00F64209"/>
    <w:rsid w:val="00F74AF2"/>
    <w:rsid w:val="00F86B2C"/>
    <w:rsid w:val="00F93BF5"/>
    <w:rsid w:val="00F93F38"/>
    <w:rsid w:val="00FA1C98"/>
    <w:rsid w:val="00FA75A5"/>
    <w:rsid w:val="00FC7284"/>
    <w:rsid w:val="00FD5F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4589FA"/>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4A7371"/>
  </w:style>
  <w:style w:type="paragraph" w:styleId="BalloonText">
    <w:name w:val="Balloon Text"/>
    <w:basedOn w:val="Normal"/>
    <w:link w:val="BalloonTextChar"/>
    <w:semiHidden/>
    <w:unhideWhenUsed/>
    <w:rsid w:val="00424582"/>
    <w:rPr>
      <w:rFonts w:ascii="Segoe UI" w:hAnsi="Segoe UI" w:cs="Segoe UI"/>
      <w:sz w:val="18"/>
      <w:szCs w:val="18"/>
    </w:rPr>
  </w:style>
  <w:style w:type="character" w:customStyle="1" w:styleId="BalloonTextChar">
    <w:name w:val="Balloon Text Char"/>
    <w:basedOn w:val="DefaultParagraphFont"/>
    <w:link w:val="BalloonText"/>
    <w:semiHidden/>
    <w:rsid w:val="00424582"/>
    <w:rPr>
      <w:rFonts w:ascii="Segoe UI" w:hAnsi="Segoe UI" w:cs="Segoe UI"/>
      <w:snapToGrid w:val="0"/>
      <w:kern w:val="28"/>
      <w:sz w:val="18"/>
      <w:szCs w:val="18"/>
    </w:rPr>
  </w:style>
  <w:style w:type="paragraph" w:styleId="ListParagraph">
    <w:name w:val="List Paragraph"/>
    <w:basedOn w:val="Normal"/>
    <w:uiPriority w:val="34"/>
    <w:qFormat/>
    <w:rsid w:val="00B8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