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33B58" w:rsidRPr="00BC4319" w:rsidP="00733B58" w14:paraId="235DE941" w14:textId="1C6D8ACD">
      <w:pPr>
        <w:jc w:val="center"/>
        <w:rPr>
          <w:b/>
          <w:szCs w:val="22"/>
        </w:rPr>
      </w:pPr>
      <w:r w:rsidRPr="00BC4319">
        <w:rPr>
          <w:b/>
          <w:szCs w:val="22"/>
        </w:rPr>
        <w:t>Before the</w:t>
      </w:r>
    </w:p>
    <w:p w:rsidR="00733B58" w:rsidRPr="00BC4319" w:rsidP="00733B58" w14:paraId="64CA151D"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14:paraId="3798E3B6" w14:textId="77777777">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14:paraId="7F647F5A" w14:textId="77777777">
      <w:pPr>
        <w:rPr>
          <w:szCs w:val="22"/>
        </w:rPr>
      </w:pPr>
    </w:p>
    <w:p w:rsidR="00733B58" w:rsidRPr="00BC4319" w:rsidP="00733B58" w14:paraId="4D768F6A" w14:textId="77777777">
      <w:pPr>
        <w:rPr>
          <w:szCs w:val="22"/>
        </w:rPr>
      </w:pPr>
    </w:p>
    <w:tbl>
      <w:tblPr>
        <w:tblW w:w="0" w:type="auto"/>
        <w:tblLayout w:type="fixed"/>
        <w:tblLook w:val="0000"/>
      </w:tblPr>
      <w:tblGrid>
        <w:gridCol w:w="4698"/>
        <w:gridCol w:w="630"/>
        <w:gridCol w:w="4248"/>
      </w:tblGrid>
      <w:tr w14:paraId="1BC14779" w14:textId="77777777" w:rsidTr="00630074">
        <w:tblPrEx>
          <w:tblW w:w="0" w:type="auto"/>
          <w:tblLayout w:type="fixed"/>
          <w:tblLook w:val="0000"/>
        </w:tblPrEx>
        <w:trPr>
          <w:trHeight w:val="1350"/>
        </w:trPr>
        <w:tc>
          <w:tcPr>
            <w:tcW w:w="4698" w:type="dxa"/>
          </w:tcPr>
          <w:p w:rsidR="00733B58" w:rsidRPr="00BC4319" w:rsidP="00E735D1" w14:paraId="5868A8C1" w14:textId="77777777">
            <w:pPr>
              <w:tabs>
                <w:tab w:val="center" w:pos="4680"/>
              </w:tabs>
              <w:suppressAutoHyphens/>
              <w:rPr>
                <w:spacing w:val="-2"/>
                <w:szCs w:val="22"/>
              </w:rPr>
            </w:pPr>
            <w:r w:rsidRPr="00BC4319">
              <w:rPr>
                <w:spacing w:val="-2"/>
                <w:szCs w:val="22"/>
              </w:rPr>
              <w:t>In the Matter of</w:t>
            </w:r>
          </w:p>
          <w:p w:rsidR="00733B58" w:rsidRPr="00BC4319" w:rsidP="00E735D1" w14:paraId="421EC662" w14:textId="77777777">
            <w:pPr>
              <w:tabs>
                <w:tab w:val="center" w:pos="4680"/>
              </w:tabs>
              <w:suppressAutoHyphens/>
              <w:rPr>
                <w:spacing w:val="-2"/>
                <w:szCs w:val="22"/>
              </w:rPr>
            </w:pPr>
          </w:p>
          <w:p w:rsidR="00BA1D6D" w:rsidP="00E735D1" w14:paraId="64C306FF" w14:textId="77777777">
            <w:pPr>
              <w:tabs>
                <w:tab w:val="left" w:pos="3430"/>
              </w:tabs>
              <w:suppressAutoHyphens/>
              <w:rPr>
                <w:szCs w:val="22"/>
              </w:rPr>
            </w:pPr>
            <w:r w:rsidRPr="00BA1D6D">
              <w:rPr>
                <w:szCs w:val="22"/>
              </w:rPr>
              <w:t xml:space="preserve">Communications Assistance </w:t>
            </w:r>
          </w:p>
          <w:p w:rsidR="00BA1D6D" w:rsidP="00E735D1" w14:paraId="1620E1FB" w14:textId="77777777">
            <w:pPr>
              <w:tabs>
                <w:tab w:val="left" w:pos="3430"/>
              </w:tabs>
              <w:suppressAutoHyphens/>
              <w:rPr>
                <w:szCs w:val="22"/>
              </w:rPr>
            </w:pPr>
            <w:r w:rsidRPr="00BA1D6D">
              <w:rPr>
                <w:szCs w:val="22"/>
              </w:rPr>
              <w:t xml:space="preserve">for Law Enforcement Act </w:t>
            </w:r>
          </w:p>
          <w:p w:rsidR="00733B58" w:rsidRPr="00BC4319" w:rsidP="00E735D1" w14:paraId="14AE3CE4" w14:textId="64DD3AAD">
            <w:pPr>
              <w:tabs>
                <w:tab w:val="left" w:pos="3430"/>
              </w:tabs>
              <w:suppressAutoHyphens/>
              <w:rPr>
                <w:spacing w:val="-2"/>
                <w:szCs w:val="22"/>
              </w:rPr>
            </w:pPr>
            <w:r w:rsidRPr="00BA1D6D">
              <w:rPr>
                <w:szCs w:val="22"/>
              </w:rPr>
              <w:t>Electronic Filing System (CEFS)</w:t>
            </w:r>
            <w:r w:rsidRPr="00BC4319" w:rsidR="0005555C">
              <w:rPr>
                <w:szCs w:val="22"/>
              </w:rPr>
              <w:tab/>
            </w:r>
          </w:p>
        </w:tc>
        <w:tc>
          <w:tcPr>
            <w:tcW w:w="630" w:type="dxa"/>
          </w:tcPr>
          <w:p w:rsidR="00733B58" w:rsidRPr="00BC4319" w:rsidP="00E735D1" w14:paraId="7B62A6A1" w14:textId="77777777">
            <w:pPr>
              <w:tabs>
                <w:tab w:val="center" w:pos="4680"/>
              </w:tabs>
              <w:suppressAutoHyphens/>
              <w:rPr>
                <w:b/>
                <w:spacing w:val="-2"/>
                <w:szCs w:val="22"/>
              </w:rPr>
            </w:pPr>
            <w:r w:rsidRPr="00BC4319">
              <w:rPr>
                <w:b/>
                <w:spacing w:val="-2"/>
                <w:szCs w:val="22"/>
              </w:rPr>
              <w:t>)</w:t>
            </w:r>
          </w:p>
          <w:p w:rsidR="00733B58" w:rsidRPr="00BC4319" w:rsidP="00E735D1" w14:paraId="129F6A59" w14:textId="77777777">
            <w:pPr>
              <w:tabs>
                <w:tab w:val="center" w:pos="4680"/>
              </w:tabs>
              <w:suppressAutoHyphens/>
              <w:rPr>
                <w:b/>
                <w:spacing w:val="-2"/>
                <w:szCs w:val="22"/>
              </w:rPr>
            </w:pPr>
            <w:r w:rsidRPr="00BC4319">
              <w:rPr>
                <w:b/>
                <w:spacing w:val="-2"/>
                <w:szCs w:val="22"/>
              </w:rPr>
              <w:t>)</w:t>
            </w:r>
          </w:p>
          <w:p w:rsidR="00733B58" w:rsidRPr="00BC4319" w:rsidP="00E735D1" w14:paraId="08BF958D" w14:textId="77777777">
            <w:pPr>
              <w:tabs>
                <w:tab w:val="center" w:pos="4680"/>
              </w:tabs>
              <w:suppressAutoHyphens/>
              <w:rPr>
                <w:b/>
                <w:spacing w:val="-2"/>
                <w:szCs w:val="22"/>
              </w:rPr>
            </w:pPr>
            <w:r w:rsidRPr="00BC4319">
              <w:rPr>
                <w:b/>
                <w:spacing w:val="-2"/>
                <w:szCs w:val="22"/>
              </w:rPr>
              <w:t>)</w:t>
            </w:r>
          </w:p>
          <w:p w:rsidR="00733B58" w:rsidRPr="00BC4319" w:rsidP="00E735D1" w14:paraId="38D9050F" w14:textId="77777777">
            <w:pPr>
              <w:tabs>
                <w:tab w:val="center" w:pos="4680"/>
              </w:tabs>
              <w:suppressAutoHyphens/>
              <w:rPr>
                <w:b/>
                <w:spacing w:val="-2"/>
                <w:szCs w:val="22"/>
              </w:rPr>
            </w:pPr>
            <w:r w:rsidRPr="00BC4319">
              <w:rPr>
                <w:b/>
                <w:spacing w:val="-2"/>
                <w:szCs w:val="22"/>
              </w:rPr>
              <w:t>)</w:t>
            </w:r>
          </w:p>
          <w:p w:rsidR="00C15B9B" w:rsidRPr="00BC4319" w:rsidP="00E735D1" w14:paraId="78A3EB2F" w14:textId="77777777">
            <w:pPr>
              <w:tabs>
                <w:tab w:val="center" w:pos="4680"/>
              </w:tabs>
              <w:suppressAutoHyphens/>
              <w:rPr>
                <w:b/>
                <w:spacing w:val="-2"/>
                <w:szCs w:val="22"/>
              </w:rPr>
            </w:pPr>
            <w:r w:rsidRPr="00BC4319">
              <w:rPr>
                <w:b/>
                <w:spacing w:val="-2"/>
                <w:szCs w:val="22"/>
              </w:rPr>
              <w:t>)</w:t>
            </w:r>
          </w:p>
        </w:tc>
        <w:tc>
          <w:tcPr>
            <w:tcW w:w="4248" w:type="dxa"/>
          </w:tcPr>
          <w:p w:rsidR="00733B58" w:rsidRPr="00BC4319" w:rsidP="00E735D1" w14:paraId="43826901" w14:textId="77777777">
            <w:pPr>
              <w:tabs>
                <w:tab w:val="center" w:pos="4680"/>
              </w:tabs>
              <w:suppressAutoHyphens/>
              <w:rPr>
                <w:spacing w:val="-2"/>
                <w:szCs w:val="22"/>
              </w:rPr>
            </w:pPr>
          </w:p>
          <w:p w:rsidR="00054DA8" w:rsidRPr="005B6304" w:rsidP="00054DA8" w14:paraId="7D0319CF" w14:textId="77777777">
            <w:pPr>
              <w:pStyle w:val="TOAHeading"/>
              <w:tabs>
                <w:tab w:val="left" w:pos="915"/>
                <w:tab w:val="clear" w:pos="9360"/>
              </w:tabs>
              <w:rPr>
                <w:spacing w:val="-2"/>
                <w:szCs w:val="22"/>
              </w:rPr>
            </w:pPr>
            <w:r>
              <w:rPr>
                <w:spacing w:val="-2"/>
                <w:szCs w:val="22"/>
              </w:rPr>
              <w:tab/>
            </w:r>
          </w:p>
          <w:p w:rsidR="00733B58" w:rsidRPr="005B6304" w:rsidP="00630074" w14:paraId="7B022137" w14:textId="200F5BF5">
            <w:pPr>
              <w:tabs>
                <w:tab w:val="left" w:pos="960"/>
              </w:tabs>
              <w:suppressAutoHyphens/>
              <w:rPr>
                <w:spacing w:val="-2"/>
                <w:szCs w:val="22"/>
              </w:rPr>
            </w:pPr>
            <w:r w:rsidRPr="00B2351E">
              <w:rPr>
                <w:spacing w:val="-2"/>
                <w:szCs w:val="22"/>
              </w:rPr>
              <w:t>PS Docket No. 22-217</w:t>
            </w:r>
          </w:p>
        </w:tc>
      </w:tr>
    </w:tbl>
    <w:p w:rsidR="00733B58" w:rsidRPr="001B4B42" w:rsidP="00733B58" w14:paraId="60DFB69C" w14:textId="77777777">
      <w:pPr>
        <w:rPr>
          <w:szCs w:val="22"/>
        </w:rPr>
      </w:pPr>
    </w:p>
    <w:p w:rsidR="00733B58" w:rsidRPr="005B6304" w:rsidP="00733B58" w14:paraId="016D6DB8" w14:textId="77777777">
      <w:pPr>
        <w:pStyle w:val="StyleBoldCentered"/>
        <w:rPr>
          <w:rFonts w:ascii="Times New Roman" w:hAnsi="Times New Roman"/>
        </w:rPr>
      </w:pPr>
      <w:r w:rsidRPr="005B6304">
        <w:rPr>
          <w:rFonts w:ascii="Times New Roman" w:hAnsi="Times New Roman"/>
        </w:rPr>
        <w:t>Order</w:t>
      </w:r>
    </w:p>
    <w:p w:rsidR="00733B58" w:rsidRPr="001B4B42" w:rsidP="00733B58" w14:paraId="5E16E6A9" w14:textId="77777777">
      <w:pPr>
        <w:tabs>
          <w:tab w:val="left" w:pos="-720"/>
        </w:tabs>
        <w:suppressAutoHyphens/>
        <w:spacing w:line="227" w:lineRule="auto"/>
        <w:rPr>
          <w:spacing w:val="-2"/>
          <w:szCs w:val="22"/>
        </w:rPr>
      </w:pPr>
    </w:p>
    <w:p w:rsidR="00733B58" w:rsidRPr="005B6304" w:rsidP="007F1CCC" w14:paraId="2F9BD1CA" w14:textId="1D7A71E6">
      <w:pPr>
        <w:tabs>
          <w:tab w:val="left" w:pos="720"/>
          <w:tab w:val="right" w:pos="9360"/>
        </w:tabs>
        <w:suppressAutoHyphens/>
        <w:spacing w:line="228" w:lineRule="auto"/>
        <w:rPr>
          <w:spacing w:val="-2"/>
          <w:szCs w:val="22"/>
        </w:rPr>
      </w:pPr>
      <w:r w:rsidRPr="005B6304">
        <w:rPr>
          <w:b/>
          <w:spacing w:val="-2"/>
          <w:szCs w:val="22"/>
        </w:rPr>
        <w:t xml:space="preserve">Adopted:  </w:t>
      </w:r>
      <w:r w:rsidR="006015B0">
        <w:rPr>
          <w:b/>
          <w:spacing w:val="-2"/>
          <w:szCs w:val="22"/>
        </w:rPr>
        <w:t xml:space="preserve">May 15, </w:t>
      </w:r>
      <w:r w:rsidR="00131C92">
        <w:rPr>
          <w:b/>
          <w:spacing w:val="-2"/>
          <w:szCs w:val="22"/>
        </w:rPr>
        <w:t>20</w:t>
      </w:r>
      <w:r w:rsidR="001D0685">
        <w:rPr>
          <w:b/>
          <w:spacing w:val="-2"/>
          <w:szCs w:val="22"/>
        </w:rPr>
        <w:t>2</w:t>
      </w:r>
      <w:r w:rsidR="00EC0167">
        <w:rPr>
          <w:b/>
          <w:spacing w:val="-2"/>
          <w:szCs w:val="22"/>
        </w:rPr>
        <w:t>3</w:t>
      </w:r>
      <w:r w:rsidRPr="005B6304">
        <w:rPr>
          <w:b/>
          <w:spacing w:val="-2"/>
          <w:szCs w:val="22"/>
        </w:rPr>
        <w:tab/>
        <w:t>Released:</w:t>
      </w:r>
      <w:r w:rsidR="00131C92">
        <w:rPr>
          <w:b/>
          <w:spacing w:val="-2"/>
          <w:szCs w:val="22"/>
        </w:rPr>
        <w:t xml:space="preserve"> </w:t>
      </w:r>
      <w:r w:rsidR="00D55D40">
        <w:rPr>
          <w:b/>
          <w:spacing w:val="-2"/>
          <w:szCs w:val="22"/>
        </w:rPr>
        <w:t>May 15</w:t>
      </w:r>
      <w:r w:rsidR="00131C92">
        <w:rPr>
          <w:b/>
          <w:spacing w:val="-2"/>
          <w:szCs w:val="22"/>
        </w:rPr>
        <w:t>, 2</w:t>
      </w:r>
      <w:r w:rsidR="00C458F6">
        <w:rPr>
          <w:b/>
          <w:spacing w:val="-2"/>
          <w:szCs w:val="22"/>
        </w:rPr>
        <w:t>0</w:t>
      </w:r>
      <w:r w:rsidR="001D0685">
        <w:rPr>
          <w:b/>
          <w:spacing w:val="-2"/>
          <w:szCs w:val="22"/>
        </w:rPr>
        <w:t>2</w:t>
      </w:r>
      <w:r w:rsidR="00EC0167">
        <w:rPr>
          <w:b/>
          <w:spacing w:val="-2"/>
          <w:szCs w:val="22"/>
        </w:rPr>
        <w:t>3</w:t>
      </w:r>
      <w:r w:rsidRPr="005B6304">
        <w:rPr>
          <w:b/>
          <w:spacing w:val="-2"/>
          <w:szCs w:val="22"/>
        </w:rPr>
        <w:t xml:space="preserve"> </w:t>
      </w:r>
    </w:p>
    <w:p w:rsidR="00733B58" w:rsidRPr="005B6304" w:rsidP="00733B58" w14:paraId="07CC0302" w14:textId="77777777">
      <w:pPr>
        <w:rPr>
          <w:szCs w:val="22"/>
        </w:rPr>
      </w:pPr>
    </w:p>
    <w:p w:rsidR="00733B58" w:rsidRPr="001B4B42" w:rsidP="00733B58" w14:paraId="389C2849" w14:textId="6A44CED6">
      <w:pPr>
        <w:rPr>
          <w:spacing w:val="-2"/>
          <w:szCs w:val="22"/>
        </w:rPr>
      </w:pPr>
      <w:r w:rsidRPr="005B6304">
        <w:rPr>
          <w:szCs w:val="22"/>
        </w:rPr>
        <w:t>By the</w:t>
      </w:r>
      <w:r w:rsidRPr="005B6304">
        <w:rPr>
          <w:spacing w:val="-2"/>
          <w:szCs w:val="22"/>
        </w:rPr>
        <w:t xml:space="preserve"> Chief, Public Safety and Homeland Security Bureau:</w:t>
      </w:r>
    </w:p>
    <w:p w:rsidR="00733B58" w:rsidRPr="001B4B42" w:rsidP="00733B58" w14:paraId="59C25A13" w14:textId="77777777">
      <w:pPr>
        <w:rPr>
          <w:szCs w:val="22"/>
        </w:rPr>
      </w:pPr>
    </w:p>
    <w:p w:rsidR="00733B58" w:rsidRPr="00BE4E1E" w:rsidP="00733B58" w14:paraId="100677C7" w14:textId="77777777">
      <w:pPr>
        <w:pStyle w:val="Heading1"/>
        <w:rPr>
          <w:rFonts w:ascii="Times New Roman" w:hAnsi="Times New Roman"/>
          <w:szCs w:val="22"/>
        </w:rPr>
      </w:pPr>
      <w:r w:rsidRPr="00BE4E1E">
        <w:rPr>
          <w:rFonts w:ascii="Times New Roman" w:hAnsi="Times New Roman"/>
          <w:szCs w:val="22"/>
        </w:rPr>
        <w:t>introduction</w:t>
      </w:r>
    </w:p>
    <w:p w:rsidR="00EC0167" w:rsidRPr="001B4B42" w:rsidP="0056445C" w14:paraId="549ED3C3" w14:textId="38FD4868">
      <w:pPr>
        <w:pStyle w:val="ParaNum"/>
      </w:pPr>
      <w:r w:rsidRPr="00AC09AF">
        <w:rPr>
          <w:kern w:val="28"/>
          <w:szCs w:val="22"/>
        </w:rPr>
        <w:t xml:space="preserve">In this Order, </w:t>
      </w:r>
      <w:r w:rsidR="0056158B">
        <w:rPr>
          <w:kern w:val="28"/>
          <w:szCs w:val="22"/>
        </w:rPr>
        <w:t>we</w:t>
      </w:r>
      <w:r w:rsidRPr="00AC09AF" w:rsidR="00CF79B2">
        <w:rPr>
          <w:szCs w:val="22"/>
        </w:rPr>
        <w:t xml:space="preserve"> </w:t>
      </w:r>
      <w:r w:rsidR="00150ED8">
        <w:rPr>
          <w:szCs w:val="22"/>
        </w:rPr>
        <w:t xml:space="preserve">amend the Commission’s </w:t>
      </w:r>
      <w:r w:rsidRPr="00AC09AF" w:rsidR="00635820">
        <w:rPr>
          <w:szCs w:val="22"/>
        </w:rPr>
        <w:t xml:space="preserve">rules </w:t>
      </w:r>
      <w:r w:rsidR="00150ED8">
        <w:rPr>
          <w:szCs w:val="22"/>
        </w:rPr>
        <w:t>to require</w:t>
      </w:r>
      <w:r w:rsidRPr="00AC09AF" w:rsidR="00635820">
        <w:rPr>
          <w:szCs w:val="22"/>
        </w:rPr>
        <w:t xml:space="preserve"> </w:t>
      </w:r>
      <w:r w:rsidR="00150ED8">
        <w:rPr>
          <w:szCs w:val="22"/>
        </w:rPr>
        <w:t xml:space="preserve">electronic </w:t>
      </w:r>
      <w:r w:rsidRPr="00AC09AF" w:rsidR="00635820">
        <w:rPr>
          <w:szCs w:val="22"/>
        </w:rPr>
        <w:t xml:space="preserve">filing </w:t>
      </w:r>
      <w:r w:rsidR="00150ED8">
        <w:rPr>
          <w:szCs w:val="22"/>
        </w:rPr>
        <w:t xml:space="preserve">of </w:t>
      </w:r>
      <w:r w:rsidRPr="00AC09AF" w:rsidR="00635820">
        <w:rPr>
          <w:szCs w:val="22"/>
        </w:rPr>
        <w:t xml:space="preserve">new and updated System Security and Integrity Policies and Procedures (SSI Plans) by covered entities under the Communications </w:t>
      </w:r>
      <w:r w:rsidRPr="00AC09AF" w:rsidR="00FD50FB">
        <w:rPr>
          <w:szCs w:val="22"/>
        </w:rPr>
        <w:t>Assistance</w:t>
      </w:r>
      <w:r w:rsidR="0089026A">
        <w:rPr>
          <w:szCs w:val="22"/>
        </w:rPr>
        <w:t xml:space="preserve"> for</w:t>
      </w:r>
      <w:r w:rsidRPr="00AC09AF" w:rsidR="00635820">
        <w:rPr>
          <w:szCs w:val="22"/>
        </w:rPr>
        <w:t xml:space="preserve"> Law Enforcement Act (CALEA).</w:t>
      </w:r>
      <w:r>
        <w:rPr>
          <w:rStyle w:val="FootnoteReference"/>
          <w:szCs w:val="22"/>
        </w:rPr>
        <w:footnoteReference w:id="3"/>
      </w:r>
      <w:r w:rsidRPr="00AC09AF" w:rsidR="00635820">
        <w:rPr>
          <w:szCs w:val="22"/>
        </w:rPr>
        <w:t xml:space="preserve">  </w:t>
      </w:r>
      <w:r w:rsidR="0006034D">
        <w:rPr>
          <w:kern w:val="28"/>
          <w:szCs w:val="22"/>
        </w:rPr>
        <w:t>T</w:t>
      </w:r>
      <w:r w:rsidR="0006034D">
        <w:t xml:space="preserve">he new rule, 47 CFR § </w:t>
      </w:r>
      <w:r w:rsidR="00EC7561">
        <w:t>1</w:t>
      </w:r>
      <w:r w:rsidR="0006034D">
        <w:t xml:space="preserve">.20005(c), </w:t>
      </w:r>
      <w:r w:rsidR="005819D4">
        <w:t xml:space="preserve">will </w:t>
      </w:r>
      <w:r w:rsidR="0006034D">
        <w:rPr>
          <w:szCs w:val="22"/>
        </w:rPr>
        <w:t>require</w:t>
      </w:r>
      <w:r w:rsidRPr="00AC09AF" w:rsidR="0006034D">
        <w:rPr>
          <w:szCs w:val="22"/>
        </w:rPr>
        <w:t xml:space="preserve"> </w:t>
      </w:r>
      <w:r w:rsidR="0006034D">
        <w:rPr>
          <w:szCs w:val="22"/>
        </w:rPr>
        <w:t xml:space="preserve">electronic </w:t>
      </w:r>
      <w:r w:rsidRPr="00AC09AF" w:rsidR="0006034D">
        <w:rPr>
          <w:szCs w:val="22"/>
        </w:rPr>
        <w:t xml:space="preserve">filing </w:t>
      </w:r>
      <w:r w:rsidR="0006034D">
        <w:rPr>
          <w:szCs w:val="22"/>
        </w:rPr>
        <w:t xml:space="preserve">of SSI Plans in the </w:t>
      </w:r>
      <w:r w:rsidRPr="00BF11F5" w:rsidR="0006034D">
        <w:rPr>
          <w:szCs w:val="22"/>
        </w:rPr>
        <w:t>new CALEA Electronic Filing System (CEFS</w:t>
      </w:r>
      <w:r w:rsidR="005819D4">
        <w:rPr>
          <w:szCs w:val="22"/>
        </w:rPr>
        <w:t>)</w:t>
      </w:r>
      <w:r>
        <w:rPr>
          <w:rStyle w:val="FootnoteReference"/>
          <w:szCs w:val="22"/>
        </w:rPr>
        <w:footnoteReference w:id="4"/>
      </w:r>
      <w:r w:rsidR="004D7537">
        <w:rPr>
          <w:szCs w:val="22"/>
        </w:rPr>
        <w:t xml:space="preserve"> </w:t>
      </w:r>
      <w:r w:rsidR="005819D4">
        <w:rPr>
          <w:szCs w:val="22"/>
        </w:rPr>
        <w:t xml:space="preserve">and </w:t>
      </w:r>
      <w:r w:rsidR="0006034D">
        <w:t xml:space="preserve">become effective 30 days after </w:t>
      </w:r>
      <w:r w:rsidR="001222DD">
        <w:t xml:space="preserve">it is </w:t>
      </w:r>
      <w:r w:rsidR="0006034D">
        <w:t>publish</w:t>
      </w:r>
      <w:r w:rsidR="001222DD">
        <w:t>ed</w:t>
      </w:r>
      <w:r w:rsidR="0006034D">
        <w:t xml:space="preserve"> in the Federal Register.</w:t>
      </w:r>
      <w:r w:rsidR="003D3D19">
        <w:t xml:space="preserve">  </w:t>
      </w:r>
      <w:r w:rsidR="00EC7561">
        <w:rPr>
          <w:szCs w:val="22"/>
        </w:rPr>
        <w:t xml:space="preserve">After publication in the Federal Register, we will </w:t>
      </w:r>
      <w:r w:rsidR="001222DD">
        <w:rPr>
          <w:szCs w:val="22"/>
        </w:rPr>
        <w:t xml:space="preserve">issue a Public Notice to </w:t>
      </w:r>
      <w:r w:rsidR="00EC7561">
        <w:rPr>
          <w:szCs w:val="22"/>
        </w:rPr>
        <w:t>announce t</w:t>
      </w:r>
      <w:r w:rsidR="005819D4">
        <w:rPr>
          <w:szCs w:val="22"/>
        </w:rPr>
        <w:t>h</w:t>
      </w:r>
      <w:r w:rsidR="00484DE2">
        <w:rPr>
          <w:szCs w:val="22"/>
        </w:rPr>
        <w:t xml:space="preserve">e </w:t>
      </w:r>
      <w:r w:rsidR="005819D4">
        <w:rPr>
          <w:szCs w:val="22"/>
        </w:rPr>
        <w:t xml:space="preserve">specific </w:t>
      </w:r>
      <w:r w:rsidR="00484DE2">
        <w:rPr>
          <w:szCs w:val="22"/>
        </w:rPr>
        <w:t xml:space="preserve">date for mandatory electronic filing of SSI Plans. </w:t>
      </w:r>
      <w:r w:rsidR="003D3D19">
        <w:rPr>
          <w:szCs w:val="22"/>
        </w:rPr>
        <w:t xml:space="preserve"> </w:t>
      </w:r>
      <w:r w:rsidRPr="00BF11F5" w:rsidR="00FD50FB">
        <w:rPr>
          <w:szCs w:val="22"/>
        </w:rPr>
        <w:t xml:space="preserve">Filers can </w:t>
      </w:r>
      <w:r w:rsidR="00EC7561">
        <w:rPr>
          <w:szCs w:val="22"/>
        </w:rPr>
        <w:t xml:space="preserve">continue to </w:t>
      </w:r>
      <w:r w:rsidRPr="00BF11F5" w:rsidR="00FD50FB">
        <w:rPr>
          <w:szCs w:val="22"/>
        </w:rPr>
        <w:t>choose to voluntarily file their SSI Plan electronically in CEFS or by paper u</w:t>
      </w:r>
      <w:r w:rsidRPr="00BF11F5" w:rsidR="00267DF4">
        <w:rPr>
          <w:szCs w:val="22"/>
        </w:rPr>
        <w:t>ntil th</w:t>
      </w:r>
      <w:r w:rsidRPr="00BF11F5" w:rsidR="00FD50FB">
        <w:rPr>
          <w:szCs w:val="22"/>
        </w:rPr>
        <w:t>e</w:t>
      </w:r>
      <w:r w:rsidRPr="00BF11F5" w:rsidR="00267DF4">
        <w:rPr>
          <w:szCs w:val="22"/>
        </w:rPr>
        <w:t xml:space="preserve"> </w:t>
      </w:r>
      <w:r w:rsidR="004D7537">
        <w:rPr>
          <w:szCs w:val="22"/>
        </w:rPr>
        <w:t>new rule becomes effective</w:t>
      </w:r>
      <w:r w:rsidR="00EC7561">
        <w:rPr>
          <w:szCs w:val="22"/>
        </w:rPr>
        <w:t xml:space="preserve">, after which paper filings will no longer be accepted.  </w:t>
      </w:r>
      <w:r w:rsidRPr="00AC09AF">
        <w:rPr>
          <w:snapToGrid w:val="0"/>
          <w:szCs w:val="22"/>
        </w:rPr>
        <w:t xml:space="preserve">  </w:t>
      </w:r>
    </w:p>
    <w:p w:rsidR="00EC0167" w:rsidRPr="00EC0167" w:rsidP="00EC0167" w14:paraId="2EF22BDD" w14:textId="22318C0C">
      <w:pPr>
        <w:pStyle w:val="Heading1"/>
        <w:rPr>
          <w:rFonts w:ascii="Times New Roman" w:hAnsi="Times New Roman"/>
          <w:szCs w:val="22"/>
        </w:rPr>
      </w:pPr>
      <w:r>
        <w:rPr>
          <w:rFonts w:ascii="Times New Roman" w:hAnsi="Times New Roman"/>
          <w:szCs w:val="22"/>
        </w:rPr>
        <w:t>Background</w:t>
      </w:r>
    </w:p>
    <w:p w:rsidR="00EC0167" w:rsidP="00EC0167" w14:paraId="2C22E5B2" w14:textId="72D23DCB">
      <w:pPr>
        <w:pStyle w:val="ParaNum"/>
      </w:pPr>
      <w:r w:rsidRPr="00D8114F">
        <w:t xml:space="preserve">Section 105 of the Communications Assistance for Law Enforcement Act, 47 U.S.C. § 1004, and section 229(b) of the Communications Act, 47 U.S.C. § 229(b), require all </w:t>
      </w:r>
      <w:r>
        <w:t xml:space="preserve">covered entities </w:t>
      </w:r>
      <w:r w:rsidRPr="00D8114F">
        <w:t>to file SSI Plans with the Federal Communications Commission (Commission).</w:t>
      </w:r>
      <w:r>
        <w:rPr>
          <w:rStyle w:val="FootnoteReference"/>
          <w:szCs w:val="22"/>
        </w:rPr>
        <w:footnoteReference w:id="5"/>
      </w:r>
      <w:r w:rsidRPr="00D8114F">
        <w:t xml:space="preserve">  </w:t>
      </w:r>
      <w:r>
        <w:t xml:space="preserve">The Commission first specified the requirements for telecommunications carriers’ SSI </w:t>
      </w:r>
      <w:r w:rsidRPr="00E763FA">
        <w:t>Plans in 1999.</w:t>
      </w:r>
      <w:r>
        <w:rPr>
          <w:rStyle w:val="FootnoteReference"/>
          <w:szCs w:val="22"/>
        </w:rPr>
        <w:footnoteReference w:id="6"/>
      </w:r>
      <w:r w:rsidRPr="00E763FA">
        <w:t xml:space="preserve">  Pursuant to section 1.20005 of the Commission’s rules,</w:t>
      </w:r>
      <w:r>
        <w:rPr>
          <w:rStyle w:val="FootnoteReference"/>
          <w:szCs w:val="22"/>
        </w:rPr>
        <w:footnoteReference w:id="7"/>
      </w:r>
      <w:r w:rsidRPr="00E763FA">
        <w:t xml:space="preserve"> all providers subject to CALEA must file their SSI Plans prior to commencing service and must re-file a complete updated SSI Plan within 90 days following any changes to </w:t>
      </w:r>
      <w:r w:rsidRPr="00E763FA">
        <w:t>information contained in a previously-filed SSI Plan.</w:t>
      </w:r>
      <w:r>
        <w:rPr>
          <w:rStyle w:val="FootnoteReference"/>
          <w:szCs w:val="22"/>
        </w:rPr>
        <w:footnoteReference w:id="8"/>
      </w:r>
      <w:r w:rsidRPr="00E763FA">
        <w:t xml:space="preserve">  All SSI Plans must contain all information listed under sections 1.20003 and 1.20004 of the Commission’s rules.</w:t>
      </w:r>
      <w:r>
        <w:rPr>
          <w:rStyle w:val="FootnoteReference"/>
          <w:szCs w:val="22"/>
        </w:rPr>
        <w:footnoteReference w:id="9"/>
      </w:r>
      <w:r w:rsidRPr="00E763FA">
        <w:t xml:space="preserve">  </w:t>
      </w:r>
    </w:p>
    <w:p w:rsidR="009A0CC5" w:rsidRPr="009A0CC5" w:rsidP="009F0766" w14:paraId="03AF9C1B" w14:textId="00CA3E38">
      <w:pPr>
        <w:pStyle w:val="ParaNum"/>
        <w:rPr>
          <w:rFonts w:eastAsia="Times"/>
          <w:b/>
          <w:bCs/>
          <w:i/>
          <w:iCs/>
          <w:color w:val="000000"/>
          <w:szCs w:val="22"/>
        </w:rPr>
      </w:pPr>
      <w:r w:rsidRPr="006B18AE">
        <w:rPr>
          <w:szCs w:val="22"/>
        </w:rPr>
        <w:t xml:space="preserve">On June 1, 2022, </w:t>
      </w:r>
      <w:r w:rsidRPr="006B18AE" w:rsidR="00D4307D">
        <w:rPr>
          <w:szCs w:val="22"/>
        </w:rPr>
        <w:t xml:space="preserve">the </w:t>
      </w:r>
      <w:r w:rsidRPr="006B18AE" w:rsidR="009746B3">
        <w:rPr>
          <w:szCs w:val="22"/>
        </w:rPr>
        <w:t xml:space="preserve">Public Safety and Homeland Security Bureau (Bureau) </w:t>
      </w:r>
      <w:r w:rsidRPr="006B18AE">
        <w:rPr>
          <w:szCs w:val="22"/>
        </w:rPr>
        <w:t>announced the launch of CEFS</w:t>
      </w:r>
      <w:r w:rsidRPr="006B18AE" w:rsidR="007C3AAF">
        <w:rPr>
          <w:szCs w:val="22"/>
        </w:rPr>
        <w:t>, which allow</w:t>
      </w:r>
      <w:r w:rsidRPr="006B18AE" w:rsidR="0094042B">
        <w:rPr>
          <w:szCs w:val="22"/>
        </w:rPr>
        <w:t>s</w:t>
      </w:r>
      <w:r w:rsidRPr="006B18AE" w:rsidR="007C3AAF">
        <w:rPr>
          <w:szCs w:val="22"/>
        </w:rPr>
        <w:t xml:space="preserve"> covered entities to file SSI Plans confidentially and securely online, eliminating the need for </w:t>
      </w:r>
      <w:r w:rsidRPr="006B18AE" w:rsidR="007C3AAF">
        <w:rPr>
          <w:color w:val="000000"/>
          <w:szCs w:val="22"/>
        </w:rPr>
        <w:t>paper filing</w:t>
      </w:r>
      <w:r w:rsidRPr="006B18AE">
        <w:rPr>
          <w:szCs w:val="22"/>
        </w:rPr>
        <w:t>.</w:t>
      </w:r>
      <w:r>
        <w:rPr>
          <w:vertAlign w:val="superscript"/>
        </w:rPr>
        <w:footnoteReference w:id="10"/>
      </w:r>
      <w:r w:rsidRPr="006B18AE">
        <w:rPr>
          <w:szCs w:val="22"/>
        </w:rPr>
        <w:t xml:space="preserve">  </w:t>
      </w:r>
      <w:r w:rsidRPr="006B18AE" w:rsidR="00B32A9B">
        <w:rPr>
          <w:rFonts w:eastAsia="Times"/>
          <w:color w:val="000000"/>
          <w:szCs w:val="22"/>
        </w:rPr>
        <w:t>T</w:t>
      </w:r>
      <w:r w:rsidRPr="006B18AE">
        <w:rPr>
          <w:rFonts w:eastAsia="Times"/>
          <w:color w:val="000000"/>
          <w:szCs w:val="22"/>
        </w:rPr>
        <w:t>he system allow</w:t>
      </w:r>
      <w:r w:rsidRPr="006B18AE" w:rsidR="00B32A9B">
        <w:rPr>
          <w:rFonts w:eastAsia="Times"/>
          <w:color w:val="000000"/>
          <w:szCs w:val="22"/>
        </w:rPr>
        <w:t>s</w:t>
      </w:r>
      <w:r w:rsidRPr="006B18AE">
        <w:rPr>
          <w:rFonts w:eastAsia="Times"/>
          <w:color w:val="000000"/>
          <w:szCs w:val="22"/>
        </w:rPr>
        <w:t xml:space="preserve"> users to file SSI Plans electronically and, once they have electronically filed a plan in CEFS, to log back in to CEFS and retrieve and view that filing.  CEFS encourage</w:t>
      </w:r>
      <w:r w:rsidRPr="006B18AE" w:rsidR="0059694A">
        <w:rPr>
          <w:rFonts w:eastAsia="Times"/>
          <w:color w:val="000000"/>
          <w:szCs w:val="22"/>
        </w:rPr>
        <w:t>s</w:t>
      </w:r>
      <w:r w:rsidRPr="006B18AE">
        <w:rPr>
          <w:rFonts w:eastAsia="Times"/>
          <w:color w:val="000000"/>
          <w:szCs w:val="22"/>
        </w:rPr>
        <w:t xml:space="preserve"> timely filings of new SSI Plans and updated SSI Plans and </w:t>
      </w:r>
      <w:r w:rsidR="0012229F">
        <w:rPr>
          <w:rFonts w:eastAsia="Times"/>
          <w:color w:val="000000"/>
          <w:szCs w:val="22"/>
        </w:rPr>
        <w:t xml:space="preserve">reduces the risk of </w:t>
      </w:r>
      <w:r w:rsidR="00EC312D">
        <w:rPr>
          <w:rFonts w:eastAsia="Times"/>
          <w:color w:val="000000"/>
          <w:szCs w:val="22"/>
        </w:rPr>
        <w:t xml:space="preserve">filing </w:t>
      </w:r>
      <w:r w:rsidRPr="006B18AE">
        <w:rPr>
          <w:rFonts w:eastAsia="Times"/>
          <w:color w:val="000000"/>
          <w:szCs w:val="22"/>
        </w:rPr>
        <w:t>errors</w:t>
      </w:r>
      <w:r w:rsidR="0012229F">
        <w:rPr>
          <w:rFonts w:eastAsia="Times"/>
          <w:color w:val="000000"/>
          <w:szCs w:val="22"/>
        </w:rPr>
        <w:t xml:space="preserve"> </w:t>
      </w:r>
      <w:r w:rsidRPr="006B18AE">
        <w:rPr>
          <w:rFonts w:eastAsia="Times"/>
          <w:color w:val="000000"/>
          <w:szCs w:val="22"/>
        </w:rPr>
        <w:t xml:space="preserve">that require re-submission.  </w:t>
      </w:r>
      <w:r w:rsidR="00327AE6">
        <w:rPr>
          <w:szCs w:val="22"/>
        </w:rPr>
        <w:t xml:space="preserve">In </w:t>
      </w:r>
      <w:r w:rsidRPr="006B18AE" w:rsidR="00AF50E2">
        <w:rPr>
          <w:szCs w:val="22"/>
        </w:rPr>
        <w:t xml:space="preserve">the </w:t>
      </w:r>
      <w:r w:rsidRPr="006B18AE" w:rsidR="00AF50E2">
        <w:rPr>
          <w:i/>
          <w:iCs/>
          <w:szCs w:val="22"/>
        </w:rPr>
        <w:t>CEFS Announcement Public Notice</w:t>
      </w:r>
      <w:r w:rsidR="00327AE6">
        <w:rPr>
          <w:szCs w:val="22"/>
        </w:rPr>
        <w:t xml:space="preserve">, the Bureau stated that </w:t>
      </w:r>
      <w:r w:rsidR="00B92ABD">
        <w:rPr>
          <w:szCs w:val="22"/>
        </w:rPr>
        <w:t>electronic filing</w:t>
      </w:r>
      <w:r w:rsidR="0039411B">
        <w:rPr>
          <w:szCs w:val="22"/>
        </w:rPr>
        <w:t xml:space="preserve"> of SSI Plans </w:t>
      </w:r>
      <w:r w:rsidR="00B92ABD">
        <w:rPr>
          <w:szCs w:val="22"/>
        </w:rPr>
        <w:t xml:space="preserve">in CEFS would initially be voluntary </w:t>
      </w:r>
      <w:r w:rsidR="0039411B">
        <w:rPr>
          <w:szCs w:val="22"/>
        </w:rPr>
        <w:t xml:space="preserve">and </w:t>
      </w:r>
      <w:r w:rsidR="0043445D">
        <w:rPr>
          <w:szCs w:val="22"/>
        </w:rPr>
        <w:t xml:space="preserve">proposed to make </w:t>
      </w:r>
      <w:r w:rsidRPr="006B18AE" w:rsidR="00AF50E2">
        <w:rPr>
          <w:color w:val="000000"/>
          <w:szCs w:val="22"/>
        </w:rPr>
        <w:t>electronic filing mandatory six months after activation.</w:t>
      </w:r>
      <w:r>
        <w:rPr>
          <w:rStyle w:val="FootnoteReference"/>
          <w:szCs w:val="22"/>
        </w:rPr>
        <w:footnoteReference w:id="11"/>
      </w:r>
      <w:r w:rsidRPr="006B18AE" w:rsidR="00AF50E2">
        <w:rPr>
          <w:color w:val="000000"/>
          <w:szCs w:val="22"/>
        </w:rPr>
        <w:t xml:space="preserve">  </w:t>
      </w:r>
      <w:r w:rsidR="001F6C80">
        <w:rPr>
          <w:rFonts w:eastAsia="Times"/>
          <w:color w:val="000000"/>
          <w:szCs w:val="22"/>
        </w:rPr>
        <w:t>O</w:t>
      </w:r>
      <w:r w:rsidRPr="006B18AE">
        <w:rPr>
          <w:rFonts w:eastAsia="Times"/>
          <w:color w:val="000000"/>
          <w:szCs w:val="22"/>
        </w:rPr>
        <w:t xml:space="preserve">n December 12, 2022, </w:t>
      </w:r>
      <w:r w:rsidR="00636DC3">
        <w:rPr>
          <w:rFonts w:eastAsia="Times"/>
          <w:color w:val="000000"/>
          <w:szCs w:val="22"/>
        </w:rPr>
        <w:t xml:space="preserve">the Bureau </w:t>
      </w:r>
      <w:r w:rsidRPr="006B18AE">
        <w:rPr>
          <w:rFonts w:eastAsia="Times"/>
          <w:color w:val="000000"/>
          <w:szCs w:val="22"/>
        </w:rPr>
        <w:t>announced the availability of CEFS for voluntary filing of SSI Plans.</w:t>
      </w:r>
      <w:r>
        <w:rPr>
          <w:rStyle w:val="FootnoteReference"/>
          <w:rFonts w:eastAsia="Times"/>
          <w:szCs w:val="22"/>
        </w:rPr>
        <w:footnoteReference w:id="12"/>
      </w:r>
      <w:r w:rsidRPr="006B18AE">
        <w:rPr>
          <w:rFonts w:eastAsia="Times"/>
          <w:color w:val="000000"/>
          <w:szCs w:val="22"/>
        </w:rPr>
        <w:t xml:space="preserve"> </w:t>
      </w:r>
      <w:r w:rsidRPr="006B18AE" w:rsidR="00EC0167">
        <w:rPr>
          <w:rFonts w:eastAsia="Times"/>
          <w:color w:val="000000"/>
          <w:szCs w:val="22"/>
        </w:rPr>
        <w:t xml:space="preserve"> </w:t>
      </w:r>
    </w:p>
    <w:p w:rsidR="002E105B" w:rsidRPr="009A0CC5" w:rsidP="009F0766" w14:paraId="561708D6" w14:textId="74D912C8">
      <w:pPr>
        <w:pStyle w:val="ParaNum"/>
        <w:rPr>
          <w:rFonts w:eastAsia="Times"/>
          <w:b/>
          <w:bCs/>
          <w:i/>
          <w:iCs/>
          <w:color w:val="000000"/>
          <w:szCs w:val="22"/>
        </w:rPr>
      </w:pPr>
      <w:r w:rsidRPr="009A0CC5">
        <w:rPr>
          <w:rFonts w:eastAsia="Times"/>
          <w:i/>
          <w:iCs/>
          <w:color w:val="000000"/>
          <w:szCs w:val="22"/>
        </w:rPr>
        <w:t xml:space="preserve"> </w:t>
      </w:r>
      <w:r w:rsidR="009A0CC5">
        <w:t xml:space="preserve">In response to the </w:t>
      </w:r>
      <w:r w:rsidR="009A0CC5">
        <w:rPr>
          <w:i/>
          <w:iCs/>
        </w:rPr>
        <w:t>CEFS Announcement Public Notice</w:t>
      </w:r>
      <w:r w:rsidR="009A0CC5">
        <w:t xml:space="preserve">, </w:t>
      </w:r>
      <w:r w:rsidR="009A0CC5">
        <w:rPr>
          <w:rFonts w:eastAsia="Times"/>
          <w:color w:val="000000"/>
        </w:rPr>
        <w:t>w</w:t>
      </w:r>
      <w:r w:rsidRPr="002252D7" w:rsidR="009A0CC5">
        <w:rPr>
          <w:szCs w:val="22"/>
        </w:rPr>
        <w:t>e receive</w:t>
      </w:r>
      <w:r w:rsidR="009A0CC5">
        <w:rPr>
          <w:szCs w:val="22"/>
        </w:rPr>
        <w:t xml:space="preserve">d no </w:t>
      </w:r>
      <w:r w:rsidRPr="002252D7" w:rsidR="009A0CC5">
        <w:rPr>
          <w:szCs w:val="22"/>
        </w:rPr>
        <w:t xml:space="preserve">comments regarding the proposal </w:t>
      </w:r>
      <w:r w:rsidR="00457E63">
        <w:rPr>
          <w:szCs w:val="22"/>
        </w:rPr>
        <w:t xml:space="preserve">to </w:t>
      </w:r>
      <w:r w:rsidR="0096315C">
        <w:rPr>
          <w:szCs w:val="22"/>
        </w:rPr>
        <w:t>ma</w:t>
      </w:r>
      <w:r w:rsidR="00611FAB">
        <w:rPr>
          <w:szCs w:val="22"/>
        </w:rPr>
        <w:t xml:space="preserve">ndate </w:t>
      </w:r>
      <w:r w:rsidRPr="002252D7" w:rsidR="009A0CC5">
        <w:rPr>
          <w:szCs w:val="22"/>
        </w:rPr>
        <w:t>electronic filing of SSI Plans or the timing of th</w:t>
      </w:r>
      <w:r w:rsidR="00057C68">
        <w:rPr>
          <w:szCs w:val="22"/>
        </w:rPr>
        <w:t xml:space="preserve">e proposed </w:t>
      </w:r>
      <w:r w:rsidRPr="002252D7" w:rsidR="009A0CC5">
        <w:rPr>
          <w:szCs w:val="22"/>
        </w:rPr>
        <w:t>requirement</w:t>
      </w:r>
      <w:r w:rsidR="0096315C">
        <w:rPr>
          <w:szCs w:val="22"/>
        </w:rPr>
        <w:t xml:space="preserve">. </w:t>
      </w:r>
      <w:r w:rsidR="004E52BD">
        <w:rPr>
          <w:szCs w:val="22"/>
        </w:rPr>
        <w:t xml:space="preserve"> </w:t>
      </w:r>
      <w:r w:rsidR="00057C68">
        <w:rPr>
          <w:szCs w:val="22"/>
        </w:rPr>
        <w:t>We</w:t>
      </w:r>
      <w:r w:rsidRPr="00EC0167" w:rsidR="00057C68">
        <w:rPr>
          <w:szCs w:val="22"/>
        </w:rPr>
        <w:t xml:space="preserve"> received one comment from </w:t>
      </w:r>
      <w:r w:rsidRPr="00EC0167" w:rsidR="00057C68">
        <w:rPr>
          <w:szCs w:val="22"/>
        </w:rPr>
        <w:t>Subsentio</w:t>
      </w:r>
      <w:r w:rsidRPr="00EC0167" w:rsidR="00057C68">
        <w:rPr>
          <w:szCs w:val="22"/>
        </w:rPr>
        <w:t xml:space="preserve">, LLC </w:t>
      </w:r>
      <w:r w:rsidR="00534558">
        <w:rPr>
          <w:szCs w:val="22"/>
        </w:rPr>
        <w:t>(</w:t>
      </w:r>
      <w:r w:rsidRPr="00EC0167" w:rsidR="00057C68">
        <w:rPr>
          <w:szCs w:val="22"/>
        </w:rPr>
        <w:t>Subsentio</w:t>
      </w:r>
      <w:r w:rsidR="00534558">
        <w:rPr>
          <w:szCs w:val="22"/>
        </w:rPr>
        <w:t>)</w:t>
      </w:r>
      <w:r w:rsidR="00D95171">
        <w:rPr>
          <w:szCs w:val="22"/>
        </w:rPr>
        <w:t>,</w:t>
      </w:r>
      <w:r w:rsidRPr="00EC0167" w:rsidR="00057C68">
        <w:rPr>
          <w:szCs w:val="22"/>
        </w:rPr>
        <w:t xml:space="preserve"> which serves as a Trusted Third Party (TTP) for entities subject to CALEA, </w:t>
      </w:r>
      <w:bookmarkStart w:id="0" w:name="_Hlk129613478"/>
      <w:r w:rsidRPr="00EC0167" w:rsidR="00057C68">
        <w:rPr>
          <w:szCs w:val="22"/>
        </w:rPr>
        <w:t>request</w:t>
      </w:r>
      <w:r w:rsidR="00057C68">
        <w:rPr>
          <w:szCs w:val="22"/>
        </w:rPr>
        <w:t>ing</w:t>
      </w:r>
      <w:r w:rsidRPr="00EC0167" w:rsidR="00057C68">
        <w:rPr>
          <w:szCs w:val="22"/>
        </w:rPr>
        <w:t xml:space="preserve"> that </w:t>
      </w:r>
      <w:r w:rsidR="00AD35E7">
        <w:rPr>
          <w:szCs w:val="22"/>
        </w:rPr>
        <w:t>CE</w:t>
      </w:r>
      <w:r w:rsidRPr="00EC0167" w:rsidR="00057C68">
        <w:rPr>
          <w:szCs w:val="22"/>
        </w:rPr>
        <w:t>FS implementation include the ability for TTPs to continue to file SSI Plans on behalf of multiple clients</w:t>
      </w:r>
      <w:bookmarkEnd w:id="0"/>
      <w:r w:rsidRPr="00EC0167" w:rsidR="00057C68">
        <w:rPr>
          <w:szCs w:val="22"/>
        </w:rPr>
        <w:t>.</w:t>
      </w:r>
      <w:r>
        <w:rPr>
          <w:rStyle w:val="FootnoteReference"/>
          <w:szCs w:val="22"/>
        </w:rPr>
        <w:footnoteReference w:id="13"/>
      </w:r>
      <w:r w:rsidRPr="00EC0167" w:rsidR="00057C68">
        <w:rPr>
          <w:szCs w:val="22"/>
        </w:rPr>
        <w:t xml:space="preserve">  </w:t>
      </w:r>
    </w:p>
    <w:p w:rsidR="002E105B" w:rsidP="002E105B" w14:paraId="3A86DC6F" w14:textId="65575985">
      <w:pPr>
        <w:pStyle w:val="Heading1"/>
        <w:rPr>
          <w:rFonts w:eastAsia="Times"/>
        </w:rPr>
      </w:pPr>
      <w:r>
        <w:rPr>
          <w:rFonts w:eastAsia="Times"/>
        </w:rPr>
        <w:t>Discussion</w:t>
      </w:r>
    </w:p>
    <w:p w:rsidR="009B04E1" w:rsidRPr="002252D7" w:rsidP="002252D7" w14:paraId="4ECD90C5" w14:textId="3CB7BD91">
      <w:pPr>
        <w:pStyle w:val="ParaNum"/>
        <w:tabs>
          <w:tab w:val="num" w:pos="1260"/>
        </w:tabs>
      </w:pPr>
      <w:r w:rsidRPr="006826F1">
        <w:rPr>
          <w:rFonts w:eastAsia="Times"/>
          <w:b/>
          <w:bCs/>
          <w:i/>
          <w:iCs/>
          <w:color w:val="000000"/>
          <w:szCs w:val="22"/>
        </w:rPr>
        <w:t>Mandatory</w:t>
      </w:r>
      <w:r w:rsidRPr="006826F1">
        <w:rPr>
          <w:rFonts w:eastAsia="Times"/>
          <w:b/>
          <w:bCs/>
          <w:i/>
          <w:iCs/>
          <w:color w:val="000000"/>
        </w:rPr>
        <w:t xml:space="preserve"> Electronic Filing.</w:t>
      </w:r>
      <w:r w:rsidR="00DE0812">
        <w:rPr>
          <w:rFonts w:eastAsia="Times"/>
          <w:b/>
          <w:bCs/>
          <w:i/>
          <w:iCs/>
          <w:color w:val="000000"/>
        </w:rPr>
        <w:t xml:space="preserve">  </w:t>
      </w:r>
      <w:r w:rsidRPr="0043445D" w:rsidR="0043445D">
        <w:rPr>
          <w:rFonts w:eastAsia="Times"/>
          <w:color w:val="000000"/>
        </w:rPr>
        <w:t>As proposed, w</w:t>
      </w:r>
      <w:r w:rsidRPr="0043445D" w:rsidR="002252D7">
        <w:t>e</w:t>
      </w:r>
      <w:r w:rsidRPr="00FF4CD7" w:rsidR="006826F1">
        <w:t xml:space="preserve"> </w:t>
      </w:r>
      <w:r w:rsidR="00E7612A">
        <w:t xml:space="preserve">add </w:t>
      </w:r>
      <w:r w:rsidR="002F3816">
        <w:t xml:space="preserve">a </w:t>
      </w:r>
      <w:r w:rsidR="00E7612A">
        <w:t>new</w:t>
      </w:r>
      <w:r w:rsidRPr="00FF4CD7" w:rsidR="006826F1">
        <w:t xml:space="preserve"> </w:t>
      </w:r>
      <w:r w:rsidR="002F3816">
        <w:t xml:space="preserve">provision </w:t>
      </w:r>
      <w:r w:rsidR="003413B6">
        <w:t>to</w:t>
      </w:r>
      <w:r w:rsidR="002F3816">
        <w:t xml:space="preserve"> the Commission’s rules </w:t>
      </w:r>
      <w:r w:rsidR="006826F1">
        <w:t>to require electronic filing</w:t>
      </w:r>
      <w:r w:rsidR="004E5980">
        <w:t xml:space="preserve"> of SSI Plans in CEFS</w:t>
      </w:r>
      <w:r w:rsidR="005819D4">
        <w:t>,</w:t>
      </w:r>
      <w:r w:rsidR="006826F1">
        <w:t xml:space="preserve"> </w:t>
      </w:r>
      <w:r w:rsidR="00484DE2">
        <w:t>which will become effective 30 days after</w:t>
      </w:r>
      <w:r w:rsidR="003D3D19">
        <w:t xml:space="preserve"> we publish</w:t>
      </w:r>
      <w:r w:rsidR="00484DE2">
        <w:t xml:space="preserve"> notice in the Federal Register.</w:t>
      </w:r>
      <w:r w:rsidR="003D3D19">
        <w:t xml:space="preserve">  </w:t>
      </w:r>
      <w:r w:rsidR="002538AD">
        <w:t>T</w:t>
      </w:r>
      <w:r w:rsidR="009E47C6">
        <w:t xml:space="preserve">hus, </w:t>
      </w:r>
      <w:r w:rsidRPr="002252D7">
        <w:rPr>
          <w:snapToGrid w:val="0"/>
        </w:rPr>
        <w:t xml:space="preserve">all covered entities that update their SSI Plans or file new SSI Plans </w:t>
      </w:r>
      <w:r w:rsidR="00484DE2">
        <w:rPr>
          <w:snapToGrid w:val="0"/>
        </w:rPr>
        <w:t>after th</w:t>
      </w:r>
      <w:r w:rsidR="005819D4">
        <w:rPr>
          <w:snapToGrid w:val="0"/>
        </w:rPr>
        <w:t>at</w:t>
      </w:r>
      <w:r w:rsidR="00484DE2">
        <w:rPr>
          <w:snapToGrid w:val="0"/>
        </w:rPr>
        <w:t xml:space="preserve"> time </w:t>
      </w:r>
      <w:r w:rsidR="00AB2E91">
        <w:rPr>
          <w:snapToGrid w:val="0"/>
        </w:rPr>
        <w:t xml:space="preserve">will be </w:t>
      </w:r>
      <w:r w:rsidR="000D0947">
        <w:rPr>
          <w:snapToGrid w:val="0"/>
        </w:rPr>
        <w:t>required to do so electronically</w:t>
      </w:r>
      <w:r w:rsidRPr="002252D7">
        <w:rPr>
          <w:snapToGrid w:val="0"/>
        </w:rPr>
        <w:t>.</w:t>
      </w:r>
      <w:r>
        <w:rPr>
          <w:rStyle w:val="FootnoteReference"/>
          <w:snapToGrid w:val="0"/>
        </w:rPr>
        <w:footnoteReference w:id="14"/>
      </w:r>
      <w:r w:rsidRPr="002252D7">
        <w:rPr>
          <w:snapToGrid w:val="0"/>
        </w:rPr>
        <w:t xml:space="preserve"> </w:t>
      </w:r>
      <w:r w:rsidR="003D3D19">
        <w:rPr>
          <w:snapToGrid w:val="0"/>
        </w:rPr>
        <w:t xml:space="preserve"> </w:t>
      </w:r>
      <w:r w:rsidR="00B17D73">
        <w:rPr>
          <w:snapToGrid w:val="0"/>
          <w:kern w:val="28"/>
        </w:rPr>
        <w:t>By providi</w:t>
      </w:r>
      <w:r w:rsidR="006562B3">
        <w:rPr>
          <w:snapToGrid w:val="0"/>
          <w:kern w:val="28"/>
        </w:rPr>
        <w:t xml:space="preserve">ng a </w:t>
      </w:r>
      <w:r w:rsidRPr="002252D7">
        <w:rPr>
          <w:snapToGrid w:val="0"/>
          <w:kern w:val="28"/>
        </w:rPr>
        <w:t xml:space="preserve">transition </w:t>
      </w:r>
      <w:r w:rsidR="000C0414">
        <w:rPr>
          <w:snapToGrid w:val="0"/>
          <w:kern w:val="28"/>
        </w:rPr>
        <w:t>period</w:t>
      </w:r>
      <w:r w:rsidR="000810B2">
        <w:rPr>
          <w:snapToGrid w:val="0"/>
          <w:kern w:val="28"/>
        </w:rPr>
        <w:t>, as proposed,</w:t>
      </w:r>
      <w:r w:rsidR="000C0414">
        <w:rPr>
          <w:snapToGrid w:val="0"/>
          <w:kern w:val="28"/>
        </w:rPr>
        <w:t xml:space="preserve"> </w:t>
      </w:r>
      <w:r w:rsidR="006562B3">
        <w:rPr>
          <w:snapToGrid w:val="0"/>
          <w:kern w:val="28"/>
        </w:rPr>
        <w:t>since voluntary filing commenced on December 12, 2022</w:t>
      </w:r>
      <w:r w:rsidR="000810B2">
        <w:rPr>
          <w:snapToGrid w:val="0"/>
          <w:kern w:val="28"/>
        </w:rPr>
        <w:t xml:space="preserve">, we </w:t>
      </w:r>
      <w:r w:rsidRPr="002252D7">
        <w:rPr>
          <w:snapToGrid w:val="0"/>
          <w:kern w:val="28"/>
        </w:rPr>
        <w:t xml:space="preserve">give covered entities sufficient time to familiarize themselves with CEFS and </w:t>
      </w:r>
      <w:r w:rsidR="00374F61">
        <w:rPr>
          <w:snapToGrid w:val="0"/>
          <w:kern w:val="28"/>
        </w:rPr>
        <w:t xml:space="preserve">the </w:t>
      </w:r>
      <w:r w:rsidRPr="00AD17C6" w:rsidR="00AD17C6">
        <w:rPr>
          <w:snapToGrid w:val="0"/>
          <w:kern w:val="28"/>
        </w:rPr>
        <w:t>Commission Registration System (CORES)</w:t>
      </w:r>
      <w:r w:rsidRPr="002252D7">
        <w:rPr>
          <w:snapToGrid w:val="0"/>
          <w:kern w:val="28"/>
        </w:rPr>
        <w:t>, if necessary, and obtain FCC Usernames and FCC User Registration Numbers (FRN) needed to file in CEFS.</w:t>
      </w:r>
      <w:r>
        <w:rPr>
          <w:rStyle w:val="FootnoteReference"/>
          <w:snapToGrid w:val="0"/>
          <w:kern w:val="28"/>
          <w:szCs w:val="22"/>
        </w:rPr>
        <w:footnoteReference w:id="15"/>
      </w:r>
      <w:r w:rsidRPr="002252D7">
        <w:rPr>
          <w:snapToGrid w:val="0"/>
          <w:kern w:val="28"/>
        </w:rPr>
        <w:t xml:space="preserve">  Further, the transition period </w:t>
      </w:r>
      <w:r w:rsidRPr="002252D7">
        <w:rPr>
          <w:rFonts w:eastAsia="Times"/>
          <w:color w:val="000000"/>
        </w:rPr>
        <w:t>provide</w:t>
      </w:r>
      <w:r w:rsidR="00EA2BF9">
        <w:rPr>
          <w:rFonts w:eastAsia="Times"/>
          <w:color w:val="000000"/>
        </w:rPr>
        <w:t>s</w:t>
      </w:r>
      <w:r w:rsidRPr="002252D7">
        <w:rPr>
          <w:rFonts w:eastAsia="Times"/>
          <w:color w:val="000000"/>
        </w:rPr>
        <w:t xml:space="preserve"> </w:t>
      </w:r>
      <w:r w:rsidR="001430D3">
        <w:rPr>
          <w:rFonts w:eastAsia="Times"/>
          <w:color w:val="000000"/>
        </w:rPr>
        <w:t>us</w:t>
      </w:r>
      <w:r w:rsidRPr="002252D7">
        <w:rPr>
          <w:rFonts w:eastAsia="Times"/>
          <w:color w:val="000000"/>
        </w:rPr>
        <w:t xml:space="preserve"> the opportunity to </w:t>
      </w:r>
      <w:r w:rsidR="00DB4CE5">
        <w:rPr>
          <w:rFonts w:eastAsia="Times"/>
          <w:color w:val="000000"/>
        </w:rPr>
        <w:t xml:space="preserve">continue </w:t>
      </w:r>
      <w:r w:rsidRPr="002252D7">
        <w:rPr>
          <w:rFonts w:eastAsia="Times"/>
          <w:color w:val="000000"/>
        </w:rPr>
        <w:t>implement</w:t>
      </w:r>
      <w:r w:rsidR="00DB4CE5">
        <w:rPr>
          <w:rFonts w:eastAsia="Times"/>
          <w:color w:val="000000"/>
        </w:rPr>
        <w:t>ing</w:t>
      </w:r>
      <w:r w:rsidRPr="002252D7">
        <w:rPr>
          <w:rFonts w:eastAsia="Times"/>
          <w:color w:val="000000"/>
        </w:rPr>
        <w:t xml:space="preserve">  necessary enhancements to CEFS for optimal functioning before its use becomes mandatory.  </w:t>
      </w:r>
    </w:p>
    <w:p w:rsidR="002E105B" w:rsidRPr="004926AB" w:rsidP="002E105B" w14:paraId="544FB84B" w14:textId="2E0954A6">
      <w:pPr>
        <w:pStyle w:val="ParaNum"/>
        <w:rPr>
          <w:rFonts w:eastAsia="Times"/>
        </w:rPr>
      </w:pPr>
      <w:r w:rsidRPr="00C67845">
        <w:rPr>
          <w:b/>
          <w:bCs/>
          <w:i/>
          <w:iCs/>
          <w:szCs w:val="22"/>
        </w:rPr>
        <w:t>Trusted Third Parties</w:t>
      </w:r>
      <w:r w:rsidRPr="00C67845">
        <w:rPr>
          <w:b/>
          <w:bCs/>
          <w:szCs w:val="22"/>
        </w:rPr>
        <w:t>.</w:t>
      </w:r>
      <w:r>
        <w:rPr>
          <w:szCs w:val="22"/>
        </w:rPr>
        <w:t xml:space="preserve">  </w:t>
      </w:r>
      <w:bookmarkStart w:id="1" w:name="_Hlk129615360"/>
      <w:r w:rsidR="001430D3">
        <w:rPr>
          <w:szCs w:val="22"/>
        </w:rPr>
        <w:t>We</w:t>
      </w:r>
      <w:r w:rsidR="00EA2BF9">
        <w:rPr>
          <w:szCs w:val="22"/>
        </w:rPr>
        <w:t xml:space="preserve"> agree with</w:t>
      </w:r>
      <w:r w:rsidRPr="00EC0167">
        <w:rPr>
          <w:szCs w:val="22"/>
        </w:rPr>
        <w:t xml:space="preserve"> </w:t>
      </w:r>
      <w:r w:rsidRPr="00EC0167">
        <w:rPr>
          <w:szCs w:val="22"/>
        </w:rPr>
        <w:t>Subsentio</w:t>
      </w:r>
      <w:r w:rsidRPr="00EC0167">
        <w:rPr>
          <w:szCs w:val="22"/>
        </w:rPr>
        <w:t xml:space="preserve"> that CEFS implementation </w:t>
      </w:r>
      <w:r w:rsidR="00C41238">
        <w:rPr>
          <w:szCs w:val="22"/>
        </w:rPr>
        <w:t xml:space="preserve">should </w:t>
      </w:r>
      <w:r w:rsidRPr="00EC0167">
        <w:rPr>
          <w:szCs w:val="22"/>
        </w:rPr>
        <w:t>include the ability for TTPs to continue to file SSI Plans on behalf of multiple clients</w:t>
      </w:r>
      <w:bookmarkEnd w:id="1"/>
      <w:r w:rsidRPr="00EC0167">
        <w:rPr>
          <w:szCs w:val="22"/>
        </w:rPr>
        <w:t xml:space="preserve">.  </w:t>
      </w:r>
      <w:r w:rsidR="000039F4">
        <w:rPr>
          <w:szCs w:val="22"/>
        </w:rPr>
        <w:t>A</w:t>
      </w:r>
      <w:r>
        <w:rPr>
          <w:szCs w:val="22"/>
        </w:rPr>
        <w:t xml:space="preserve">s explained in the CEFS </w:t>
      </w:r>
      <w:r w:rsidR="009865A6">
        <w:rPr>
          <w:szCs w:val="22"/>
        </w:rPr>
        <w:t>U</w:t>
      </w:r>
      <w:r>
        <w:rPr>
          <w:szCs w:val="22"/>
        </w:rPr>
        <w:t xml:space="preserve">ser </w:t>
      </w:r>
      <w:r w:rsidR="009865A6">
        <w:rPr>
          <w:szCs w:val="22"/>
        </w:rPr>
        <w:t>M</w:t>
      </w:r>
      <w:r>
        <w:rPr>
          <w:szCs w:val="22"/>
        </w:rPr>
        <w:t>anual</w:t>
      </w:r>
      <w:r w:rsidR="000039F4">
        <w:rPr>
          <w:szCs w:val="22"/>
        </w:rPr>
        <w:t>,</w:t>
      </w:r>
      <w:r w:rsidR="004412DB">
        <w:rPr>
          <w:szCs w:val="22"/>
        </w:rPr>
        <w:t xml:space="preserve"> </w:t>
      </w:r>
      <w:r>
        <w:rPr>
          <w:szCs w:val="22"/>
        </w:rPr>
        <w:t>TTPs may continue to file SSI Plans for multiple clients in CEFS using the features of CEFS and CORES</w:t>
      </w:r>
      <w:r w:rsidR="003D2A34">
        <w:rPr>
          <w:szCs w:val="22"/>
        </w:rPr>
        <w:t xml:space="preserve">, which allows regulated </w:t>
      </w:r>
      <w:r>
        <w:rPr>
          <w:szCs w:val="22"/>
        </w:rPr>
        <w:t xml:space="preserve">entities to grant permission to authorized users to conduct </w:t>
      </w:r>
      <w:r>
        <w:rPr>
          <w:szCs w:val="22"/>
        </w:rPr>
        <w:t>Commission business on their behalf.</w:t>
      </w:r>
      <w:r>
        <w:rPr>
          <w:rStyle w:val="FootnoteReference"/>
          <w:szCs w:val="22"/>
        </w:rPr>
        <w:footnoteReference w:id="16"/>
      </w:r>
      <w:r>
        <w:rPr>
          <w:szCs w:val="22"/>
        </w:rPr>
        <w:t xml:space="preserve">  </w:t>
      </w:r>
      <w:r w:rsidR="009B04E1">
        <w:rPr>
          <w:szCs w:val="22"/>
        </w:rPr>
        <w:t>T</w:t>
      </w:r>
      <w:r w:rsidRPr="009B04E1" w:rsidR="009B04E1">
        <w:rPr>
          <w:szCs w:val="22"/>
        </w:rPr>
        <w:t xml:space="preserve">he transition </w:t>
      </w:r>
      <w:r w:rsidR="004412DB">
        <w:rPr>
          <w:szCs w:val="22"/>
        </w:rPr>
        <w:t xml:space="preserve">period also </w:t>
      </w:r>
      <w:r w:rsidR="005F4C65">
        <w:rPr>
          <w:szCs w:val="22"/>
        </w:rPr>
        <w:t xml:space="preserve">enables </w:t>
      </w:r>
      <w:r w:rsidR="00AC2990">
        <w:rPr>
          <w:szCs w:val="22"/>
        </w:rPr>
        <w:t xml:space="preserve">TTPs </w:t>
      </w:r>
      <w:r w:rsidRPr="009B04E1" w:rsidR="009B04E1">
        <w:rPr>
          <w:szCs w:val="22"/>
        </w:rPr>
        <w:t>without an associated or existing FCC User</w:t>
      </w:r>
      <w:r w:rsidR="005345D8">
        <w:rPr>
          <w:szCs w:val="22"/>
        </w:rPr>
        <w:t>name</w:t>
      </w:r>
      <w:r w:rsidRPr="009B04E1" w:rsidR="009B04E1">
        <w:rPr>
          <w:szCs w:val="22"/>
        </w:rPr>
        <w:t xml:space="preserve"> to create an account and, with the carrier’s approval, associate that FCC Username with the carrier’s FRN.  </w:t>
      </w:r>
    </w:p>
    <w:p w:rsidR="006620A0" w:rsidP="004926AB" w14:paraId="01EA1543" w14:textId="69C191E7">
      <w:pPr>
        <w:pStyle w:val="ParaNum"/>
      </w:pPr>
      <w:r w:rsidRPr="004926AB">
        <w:rPr>
          <w:b/>
          <w:bCs/>
          <w:i/>
          <w:iCs/>
          <w:snapToGrid w:val="0"/>
          <w:kern w:val="28"/>
        </w:rPr>
        <w:t>Paper Filings.</w:t>
      </w:r>
      <w:r w:rsidRPr="004926AB">
        <w:rPr>
          <w:snapToGrid w:val="0"/>
          <w:kern w:val="28"/>
        </w:rPr>
        <w:t xml:space="preserve">  </w:t>
      </w:r>
      <w:r w:rsidR="00D35F5F">
        <w:rPr>
          <w:snapToGrid w:val="0"/>
          <w:kern w:val="28"/>
        </w:rPr>
        <w:t xml:space="preserve">Although </w:t>
      </w:r>
      <w:r w:rsidR="0001109F">
        <w:rPr>
          <w:snapToGrid w:val="0"/>
          <w:kern w:val="28"/>
        </w:rPr>
        <w:t xml:space="preserve">we encourage voluntary electronic filing </w:t>
      </w:r>
      <w:r w:rsidR="00C02232">
        <w:rPr>
          <w:snapToGrid w:val="0"/>
          <w:kern w:val="28"/>
        </w:rPr>
        <w:t xml:space="preserve">of SSI Plans </w:t>
      </w:r>
      <w:r w:rsidR="0001109F">
        <w:rPr>
          <w:snapToGrid w:val="0"/>
          <w:kern w:val="28"/>
        </w:rPr>
        <w:t xml:space="preserve">until mandatory </w:t>
      </w:r>
      <w:r w:rsidR="00254FBE">
        <w:rPr>
          <w:snapToGrid w:val="0"/>
          <w:kern w:val="28"/>
        </w:rPr>
        <w:t>electronic filing takes effect, w</w:t>
      </w:r>
      <w:r w:rsidRPr="004926AB" w:rsidR="00601313">
        <w:rPr>
          <w:snapToGrid w:val="0"/>
          <w:kern w:val="28"/>
        </w:rPr>
        <w:t>e</w:t>
      </w:r>
      <w:r w:rsidRPr="004926AB" w:rsidR="00EC0167">
        <w:rPr>
          <w:snapToGrid w:val="0"/>
          <w:kern w:val="28"/>
        </w:rPr>
        <w:t xml:space="preserve"> will continue to accept paper filings until </w:t>
      </w:r>
      <w:r w:rsidR="00484DE2">
        <w:rPr>
          <w:snapToGrid w:val="0"/>
          <w:kern w:val="28"/>
        </w:rPr>
        <w:t xml:space="preserve">the </w:t>
      </w:r>
      <w:r w:rsidR="00620C34">
        <w:rPr>
          <w:snapToGrid w:val="0"/>
          <w:kern w:val="28"/>
        </w:rPr>
        <w:t xml:space="preserve">requirement </w:t>
      </w:r>
      <w:r w:rsidR="00484DE2">
        <w:rPr>
          <w:snapToGrid w:val="0"/>
          <w:kern w:val="28"/>
        </w:rPr>
        <w:t xml:space="preserve">becomes effective. </w:t>
      </w:r>
      <w:r w:rsidR="00254FBE">
        <w:rPr>
          <w:snapToGrid w:val="0"/>
          <w:kern w:val="28"/>
        </w:rPr>
        <w:t xml:space="preserve"> </w:t>
      </w:r>
      <w:r w:rsidR="00484DE2">
        <w:rPr>
          <w:snapToGrid w:val="0"/>
          <w:kern w:val="28"/>
        </w:rPr>
        <w:t>P</w:t>
      </w:r>
      <w:r w:rsidR="00803694">
        <w:t xml:space="preserve">arties submitting </w:t>
      </w:r>
      <w:r w:rsidRPr="00D815E9">
        <w:t xml:space="preserve">paper filings </w:t>
      </w:r>
      <w:r w:rsidR="00484DE2">
        <w:t xml:space="preserve">after mandatory filing </w:t>
      </w:r>
      <w:r w:rsidR="00DB4CE5">
        <w:t xml:space="preserve">takes effect </w:t>
      </w:r>
      <w:r w:rsidRPr="00D815E9">
        <w:t xml:space="preserve">will receive a </w:t>
      </w:r>
      <w:r w:rsidR="00803694">
        <w:t xml:space="preserve">notification </w:t>
      </w:r>
      <w:r w:rsidRPr="00D815E9">
        <w:t xml:space="preserve">to </w:t>
      </w:r>
      <w:r w:rsidRPr="00D815E9" w:rsidR="004412DB">
        <w:t xml:space="preserve">submit </w:t>
      </w:r>
      <w:r w:rsidRPr="00D815E9">
        <w:t xml:space="preserve">the SSI Plan </w:t>
      </w:r>
      <w:r w:rsidRPr="00D815E9" w:rsidR="004412DB">
        <w:t xml:space="preserve">electronically through </w:t>
      </w:r>
      <w:r w:rsidRPr="00D815E9">
        <w:t>CEFS</w:t>
      </w:r>
      <w:r w:rsidR="00D815E9">
        <w:t>.</w:t>
      </w:r>
      <w:r w:rsidRPr="00D815E9">
        <w:t xml:space="preserve"> </w:t>
      </w:r>
      <w:r w:rsidR="00C02232">
        <w:t xml:space="preserve"> </w:t>
      </w:r>
      <w:r w:rsidR="000856B7">
        <w:rPr>
          <w:snapToGrid w:val="0"/>
          <w:kern w:val="28"/>
        </w:rPr>
        <w:t>C</w:t>
      </w:r>
      <w:r w:rsidRPr="004926AB" w:rsidR="000856B7">
        <w:rPr>
          <w:snapToGrid w:val="0"/>
        </w:rPr>
        <w:t xml:space="preserve">overed entities that have already filed their SSI </w:t>
      </w:r>
      <w:r w:rsidR="00C02232">
        <w:rPr>
          <w:snapToGrid w:val="0"/>
        </w:rPr>
        <w:t>P</w:t>
      </w:r>
      <w:r w:rsidRPr="004926AB" w:rsidR="000856B7">
        <w:rPr>
          <w:snapToGrid w:val="0"/>
        </w:rPr>
        <w:t xml:space="preserve">lans by paper are not required to re-file them in CEFS, unless </w:t>
      </w:r>
      <w:r w:rsidR="000856B7">
        <w:rPr>
          <w:snapToGrid w:val="0"/>
        </w:rPr>
        <w:t xml:space="preserve">and until </w:t>
      </w:r>
      <w:r w:rsidRPr="004926AB" w:rsidR="000856B7">
        <w:rPr>
          <w:snapToGrid w:val="0"/>
        </w:rPr>
        <w:t xml:space="preserve">the </w:t>
      </w:r>
      <w:r w:rsidR="000856B7">
        <w:rPr>
          <w:snapToGrid w:val="0"/>
        </w:rPr>
        <w:t xml:space="preserve">covered entity’s </w:t>
      </w:r>
      <w:r w:rsidRPr="004926AB" w:rsidR="000856B7">
        <w:rPr>
          <w:snapToGrid w:val="0"/>
        </w:rPr>
        <w:t xml:space="preserve">SSI </w:t>
      </w:r>
      <w:r w:rsidR="00C02232">
        <w:rPr>
          <w:snapToGrid w:val="0"/>
        </w:rPr>
        <w:t>P</w:t>
      </w:r>
      <w:r w:rsidRPr="004926AB" w:rsidR="000856B7">
        <w:rPr>
          <w:snapToGrid w:val="0"/>
        </w:rPr>
        <w:t xml:space="preserve">lan needs to be updated.  </w:t>
      </w:r>
    </w:p>
    <w:p w:rsidR="002E105B" w:rsidRPr="002E105B" w:rsidP="00EC0167" w14:paraId="4EBCD4DA" w14:textId="569DE1BE">
      <w:pPr>
        <w:pStyle w:val="Heading1"/>
      </w:pPr>
      <w:r>
        <w:t>PROCEDURAL MATTERS</w:t>
      </w:r>
    </w:p>
    <w:p w:rsidR="002E105B" w:rsidP="002E105B" w14:paraId="794F9EC7" w14:textId="2624115A">
      <w:pPr>
        <w:pStyle w:val="ParaNum"/>
      </w:pPr>
      <w:r w:rsidRPr="00CA74EA">
        <w:rPr>
          <w:b/>
          <w:i/>
        </w:rPr>
        <w:t>Paperwork Reduction Act.</w:t>
      </w:r>
      <w:r>
        <w:rPr>
          <w:b/>
          <w:bCs/>
          <w:i/>
          <w:iCs/>
        </w:rPr>
        <w:t xml:space="preserve"> </w:t>
      </w:r>
      <w:r>
        <w:rPr>
          <w:i/>
          <w:iCs/>
        </w:rPr>
        <w:t xml:space="preserve"> </w:t>
      </w:r>
      <w:r>
        <w:t>This document does not adopt or propose new or substantively modified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iCs/>
        </w:rPr>
        <w:t>see</w:t>
      </w:r>
      <w:r>
        <w:t> 44 U.S.C. 3506(c)(4).</w:t>
      </w:r>
      <w:r w:rsidR="005B5197">
        <w:t xml:space="preserve">  </w:t>
      </w:r>
      <w:r w:rsidR="00D10D9A">
        <w:t xml:space="preserve">This document may contain </w:t>
      </w:r>
      <w:r w:rsidR="007F1AE3">
        <w:t>non-substantive modifications to an approved information collection.</w:t>
      </w:r>
      <w:r>
        <w:rPr>
          <w:rStyle w:val="FootnoteReference"/>
        </w:rPr>
        <w:footnoteReference w:id="17"/>
      </w:r>
      <w:r w:rsidR="00415894">
        <w:t xml:space="preserve"> </w:t>
      </w:r>
      <w:r w:rsidR="007F1AE3">
        <w:t xml:space="preserve">  Any such modifications will be submitted to</w:t>
      </w:r>
      <w:r w:rsidR="00347A5B">
        <w:t xml:space="preserve"> the Office of Management and Budget for review </w:t>
      </w:r>
      <w:r w:rsidR="0020399C">
        <w:t>pursuant to OMB’s non-substantive modification process.</w:t>
      </w:r>
      <w:r w:rsidR="005B463F">
        <w:t xml:space="preserve"> </w:t>
      </w:r>
    </w:p>
    <w:p w:rsidR="00616596" w:rsidRPr="00616596" w:rsidP="00616596" w14:paraId="198D7EC9" w14:textId="77777777">
      <w:pPr>
        <w:pStyle w:val="ParaNum"/>
        <w:rPr>
          <w:szCs w:val="22"/>
        </w:rPr>
      </w:pPr>
      <w:r w:rsidRPr="00616596">
        <w:rPr>
          <w:b/>
          <w:i/>
          <w:color w:val="000000"/>
          <w:szCs w:val="22"/>
        </w:rPr>
        <w:t>Final Regulatory Flexibility Certification</w:t>
      </w:r>
      <w:r w:rsidRPr="00616596">
        <w:rPr>
          <w:b/>
          <w:color w:val="000000"/>
          <w:szCs w:val="22"/>
        </w:rPr>
        <w:t>.</w:t>
      </w:r>
      <w:r w:rsidRPr="00616596">
        <w:rPr>
          <w:color w:val="000000"/>
          <w:szCs w:val="22"/>
        </w:rPr>
        <w:t xml:space="preserve">  The Regulatory Flexibility Act of 1980, as amended (RFA),</w:t>
      </w:r>
      <w:r>
        <w:rPr>
          <w:color w:val="000000"/>
          <w:szCs w:val="22"/>
          <w:vertAlign w:val="superscript"/>
        </w:rPr>
        <w:footnoteReference w:id="18"/>
      </w:r>
      <w:r w:rsidRPr="00616596">
        <w:rPr>
          <w:color w:val="000000"/>
          <w:szCs w:val="22"/>
        </w:rPr>
        <w:t xml:space="preserve"> requires that an agency prepare a regulatory flexibility analysis for notice and comment rulemakings, unless the agency certifies that the proposed or final rule(s) “will not, if promulgated, have a significant economic impact on a substantial number of small entities.”</w:t>
      </w:r>
      <w:r>
        <w:rPr>
          <w:color w:val="000000"/>
          <w:szCs w:val="22"/>
          <w:vertAlign w:val="superscript"/>
        </w:rPr>
        <w:footnoteReference w:id="19"/>
      </w:r>
      <w:r w:rsidRPr="00616596">
        <w:rPr>
          <w:color w:val="000000"/>
          <w:szCs w:val="22"/>
        </w:rPr>
        <w:t xml:space="preserve">  </w:t>
      </w:r>
      <w:r w:rsidRPr="00616596">
        <w:rPr>
          <w:szCs w:val="22"/>
        </w:rPr>
        <w:t>The RFA generally defines the term “small entity” as having the same meaning as the terms “small business,” “small organization,” and “small governmental jurisdiction.”</w:t>
      </w:r>
      <w:r>
        <w:rPr>
          <w:szCs w:val="22"/>
          <w:vertAlign w:val="superscript"/>
        </w:rPr>
        <w:footnoteReference w:id="20"/>
      </w:r>
      <w:r w:rsidRPr="00616596">
        <w:rPr>
          <w:szCs w:val="22"/>
        </w:rPr>
        <w:t xml:space="preserve">  In addition, the term “small business” has the same meaning as the term “small business concerns” under the Small Business Act.</w:t>
      </w:r>
      <w:r>
        <w:rPr>
          <w:szCs w:val="22"/>
          <w:vertAlign w:val="superscript"/>
        </w:rPr>
        <w:footnoteReference w:id="21"/>
      </w:r>
      <w:r w:rsidRPr="00616596">
        <w:rPr>
          <w:szCs w:val="22"/>
        </w:rPr>
        <w:t xml:space="preserve">  A “small business concern” is one that:  (1) is independently owned and operated; (2) is not dominant in its field of operation; and (3) satisfies any additional criteria established by the Small Business Administration (SBA).</w:t>
      </w:r>
      <w:r>
        <w:rPr>
          <w:szCs w:val="22"/>
          <w:vertAlign w:val="superscript"/>
        </w:rPr>
        <w:footnoteReference w:id="22"/>
      </w:r>
      <w:r w:rsidRPr="00616596">
        <w:rPr>
          <w:szCs w:val="22"/>
        </w:rPr>
        <w:t xml:space="preserve">   </w:t>
      </w:r>
      <w:r w:rsidRPr="00616596">
        <w:rPr>
          <w:color w:val="000000"/>
          <w:szCs w:val="22"/>
        </w:rPr>
        <w:t xml:space="preserve">If an agency files a certification with a rulemaking, </w:t>
      </w:r>
      <w:r w:rsidRPr="00616596">
        <w:rPr>
          <w:szCs w:val="22"/>
        </w:rPr>
        <w:t xml:space="preserve">the certification must contain a statement </w:t>
      </w:r>
      <w:r w:rsidRPr="00616596">
        <w:rPr>
          <w:szCs w:val="22"/>
        </w:rPr>
        <w:t>that provides a factual basis for its conclusion that there will not be significant economic impact on a substantial number of small entities.</w:t>
      </w:r>
      <w:r>
        <w:rPr>
          <w:szCs w:val="22"/>
          <w:vertAlign w:val="superscript"/>
        </w:rPr>
        <w:footnoteReference w:id="23"/>
      </w:r>
      <w:r w:rsidRPr="00616596">
        <w:rPr>
          <w:szCs w:val="22"/>
        </w:rPr>
        <w:t xml:space="preserve">  </w:t>
      </w:r>
    </w:p>
    <w:p w:rsidR="00616596" w:rsidRPr="00616596" w:rsidP="00616596" w14:paraId="6445B2DE" w14:textId="5093C183">
      <w:pPr>
        <w:pStyle w:val="ParaNum"/>
        <w:rPr>
          <w:szCs w:val="22"/>
        </w:rPr>
      </w:pPr>
      <w:r w:rsidRPr="00616596">
        <w:rPr>
          <w:szCs w:val="22"/>
        </w:rPr>
        <w:t xml:space="preserve">In the </w:t>
      </w:r>
      <w:r w:rsidRPr="00616596">
        <w:rPr>
          <w:i/>
          <w:iCs/>
          <w:szCs w:val="22"/>
        </w:rPr>
        <w:t>CEFS Announcement Public Notice</w:t>
      </w:r>
      <w:r w:rsidRPr="00616596">
        <w:rPr>
          <w:szCs w:val="22"/>
        </w:rPr>
        <w:t xml:space="preserve">, the Commission </w:t>
      </w:r>
      <w:r w:rsidR="004B5E10">
        <w:rPr>
          <w:szCs w:val="22"/>
        </w:rPr>
        <w:t>included</w:t>
      </w:r>
      <w:r w:rsidRPr="00616596" w:rsidR="004B5E10">
        <w:rPr>
          <w:szCs w:val="22"/>
        </w:rPr>
        <w:t xml:space="preserve"> </w:t>
      </w:r>
      <w:r w:rsidRPr="00616596">
        <w:rPr>
          <w:szCs w:val="22"/>
        </w:rPr>
        <w:t xml:space="preserve">an Initial Regulatory Flexibility Certification (IRFC) certifying that the rules and policy changes proposed would not have a </w:t>
      </w:r>
      <w:r w:rsidRPr="00616596">
        <w:rPr>
          <w:rFonts w:eastAsia="Calibri"/>
          <w:color w:val="000000"/>
        </w:rPr>
        <w:t>significant</w:t>
      </w:r>
      <w:r w:rsidRPr="00616596">
        <w:rPr>
          <w:szCs w:val="22"/>
        </w:rPr>
        <w:t xml:space="preserve"> economic impact on a substantial number of small entities.</w:t>
      </w:r>
      <w:r>
        <w:rPr>
          <w:szCs w:val="22"/>
          <w:vertAlign w:val="superscript"/>
        </w:rPr>
        <w:footnoteReference w:id="24"/>
      </w:r>
      <w:r w:rsidRPr="00616596">
        <w:rPr>
          <w:szCs w:val="22"/>
        </w:rPr>
        <w:t xml:space="preserve">  No comments were filed addressing the Initial Regulatory Flexibility Certification.  For the reasons discussed below, the Commission has determined that the changes adopted in this </w:t>
      </w:r>
      <w:r w:rsidRPr="00616596">
        <w:rPr>
          <w:i/>
          <w:iCs/>
          <w:szCs w:val="22"/>
        </w:rPr>
        <w:t>CALEA Implementation Public Notice</w:t>
      </w:r>
      <w:r w:rsidRPr="00616596">
        <w:rPr>
          <w:szCs w:val="22"/>
        </w:rPr>
        <w:t xml:space="preserve"> will not have a significant economic impact on a substantial number of small entities and has prepared this Final Regulatory Flexibility Certification (FRFC).  </w:t>
      </w:r>
    </w:p>
    <w:p w:rsidR="00616596" w:rsidRPr="00616596" w:rsidP="00616596" w14:paraId="60EBE449" w14:textId="77777777">
      <w:pPr>
        <w:pStyle w:val="ParaNum"/>
        <w:rPr>
          <w:snapToGrid w:val="0"/>
          <w:kern w:val="28"/>
          <w:szCs w:val="22"/>
        </w:rPr>
      </w:pPr>
      <w:r w:rsidRPr="00616596">
        <w:rPr>
          <w:snapToGrid w:val="0"/>
          <w:kern w:val="28"/>
          <w:szCs w:val="22"/>
        </w:rPr>
        <w:t>Telecommunications carriers must file and maintain up-to-date System Security and Integrity (SSI) plans with the Commission, as those plans are described in 47 CFR § 1.20005.  This information includes a description of how the service provider complies with CALEA, and carrier contact information.  The FCC does not divulge SSI Plans to the public but may share the covered entity’s responsible personnel and contact information from the SSI Plan with law enforcement agencies when appropriate.</w:t>
      </w:r>
      <w:r>
        <w:rPr>
          <w:snapToGrid w:val="0"/>
          <w:kern w:val="28"/>
          <w:szCs w:val="22"/>
          <w:vertAlign w:val="superscript"/>
        </w:rPr>
        <w:footnoteReference w:id="25"/>
      </w:r>
      <w:r w:rsidRPr="00616596">
        <w:rPr>
          <w:snapToGrid w:val="0"/>
          <w:kern w:val="28"/>
          <w:szCs w:val="22"/>
        </w:rPr>
        <w:t xml:space="preserve">  The Commission has recognized that SSI plans are sensitive in nature.</w:t>
      </w:r>
      <w:r>
        <w:rPr>
          <w:snapToGrid w:val="0"/>
          <w:kern w:val="28"/>
          <w:szCs w:val="22"/>
          <w:vertAlign w:val="superscript"/>
        </w:rPr>
        <w:footnoteReference w:id="26"/>
      </w:r>
      <w:r w:rsidRPr="00616596">
        <w:rPr>
          <w:snapToGrid w:val="0"/>
          <w:kern w:val="28"/>
          <w:szCs w:val="22"/>
        </w:rPr>
        <w:t xml:space="preserve"> </w:t>
      </w:r>
      <w:r w:rsidRPr="00616596">
        <w:rPr>
          <w:i/>
          <w:iCs/>
          <w:snapToGrid w:val="0"/>
          <w:kern w:val="28"/>
          <w:szCs w:val="22"/>
        </w:rPr>
        <w:t xml:space="preserve"> </w:t>
      </w:r>
      <w:r w:rsidRPr="00616596">
        <w:rPr>
          <w:snapToGrid w:val="0"/>
          <w:kern w:val="28"/>
          <w:szCs w:val="22"/>
        </w:rPr>
        <w:t>This information collection has been approved by the Office of Management and Budget, control number 3060-0809.</w:t>
      </w:r>
      <w:r>
        <w:rPr>
          <w:snapToGrid w:val="0"/>
          <w:kern w:val="28"/>
          <w:szCs w:val="22"/>
          <w:vertAlign w:val="superscript"/>
        </w:rPr>
        <w:footnoteReference w:id="27"/>
      </w:r>
    </w:p>
    <w:p w:rsidR="00616596" w:rsidRPr="00616596" w:rsidP="00616596" w14:paraId="54A1A51A" w14:textId="2D9B1CB8">
      <w:pPr>
        <w:pStyle w:val="ParaNum"/>
        <w:rPr>
          <w:snapToGrid w:val="0"/>
          <w:kern w:val="28"/>
          <w:szCs w:val="22"/>
        </w:rPr>
      </w:pPr>
      <w:r w:rsidRPr="00616596">
        <w:rPr>
          <w:snapToGrid w:val="0"/>
          <w:kern w:val="28"/>
          <w:szCs w:val="22"/>
        </w:rPr>
        <w:t xml:space="preserve">In the </w:t>
      </w:r>
      <w:r w:rsidRPr="00616596">
        <w:rPr>
          <w:i/>
          <w:iCs/>
          <w:snapToGrid w:val="0"/>
          <w:kern w:val="28"/>
          <w:szCs w:val="22"/>
        </w:rPr>
        <w:t>CEFS Announcement</w:t>
      </w:r>
      <w:r w:rsidRPr="00616596">
        <w:rPr>
          <w:snapToGrid w:val="0"/>
          <w:kern w:val="28"/>
          <w:szCs w:val="22"/>
        </w:rPr>
        <w:t xml:space="preserve"> </w:t>
      </w:r>
      <w:r w:rsidRPr="00616596">
        <w:rPr>
          <w:i/>
          <w:iCs/>
          <w:snapToGrid w:val="0"/>
          <w:kern w:val="28"/>
          <w:szCs w:val="22"/>
        </w:rPr>
        <w:t>Public Notice,</w:t>
      </w:r>
      <w:r w:rsidRPr="00616596">
        <w:rPr>
          <w:snapToGrid w:val="0"/>
          <w:kern w:val="28"/>
          <w:szCs w:val="22"/>
        </w:rPr>
        <w:t xml:space="preserve"> we proposed to modernize the Commission’s procedures governing the filing of CALEA SSI plans that telecommunications carriers must follow to submit their plans for Commission review.  We proposed to require telecommunications carriers to submit CALEA SSI plans electronically in the CALEA Electronic Filing System (CEFS) rather than by paper.  We also proposed that mandatory filing begin six months after the Bureau announces the availability of CEFS for voluntary filing.  We believe the new filing system will streamline the process for filing CALEA SSI plans for telecommunications carriers.  The entities subject to the new electronic filing requirement are new telecommunications carriers and telecommunications carriers that must update their SSI plans.  Consequently, the streamlined filing process is specific to those entities and their obligations under CALEA.  </w:t>
      </w:r>
    </w:p>
    <w:p w:rsidR="00616596" w:rsidRPr="00616596" w:rsidP="00616596" w14:paraId="5847B574" w14:textId="566ABE83">
      <w:pPr>
        <w:pStyle w:val="ParaNum"/>
        <w:rPr>
          <w:snapToGrid w:val="0"/>
          <w:kern w:val="28"/>
          <w:szCs w:val="22"/>
        </w:rPr>
      </w:pPr>
      <w:r w:rsidRPr="00616596">
        <w:rPr>
          <w:snapToGrid w:val="0"/>
          <w:kern w:val="28"/>
          <w:szCs w:val="22"/>
        </w:rPr>
        <w:t>The electronic filing process does not impose increased reporting burdens on small entities or other telecommunications carriers</w:t>
      </w:r>
      <w:r w:rsidR="00592746">
        <w:rPr>
          <w:snapToGrid w:val="0"/>
          <w:kern w:val="28"/>
          <w:szCs w:val="22"/>
        </w:rPr>
        <w:t>,</w:t>
      </w:r>
      <w:r w:rsidRPr="00616596">
        <w:rPr>
          <w:snapToGrid w:val="0"/>
          <w:kern w:val="28"/>
          <w:szCs w:val="22"/>
        </w:rPr>
        <w:t xml:space="preserve"> </w:t>
      </w:r>
      <w:r w:rsidR="00056A16">
        <w:rPr>
          <w:snapToGrid w:val="0"/>
          <w:kern w:val="28"/>
          <w:szCs w:val="22"/>
        </w:rPr>
        <w:t>n</w:t>
      </w:r>
      <w:r w:rsidRPr="00616596">
        <w:rPr>
          <w:snapToGrid w:val="0"/>
          <w:kern w:val="28"/>
          <w:szCs w:val="22"/>
        </w:rPr>
        <w:t xml:space="preserve">or do we expect the electronic filing process to result in increased costs for impacted carriers.  In fact, the new electronic database will reduce paperwork and the time burden on small entities.  For example, we approximate that that the estimated paper filing burden of 7.5 hours will be reduced to 5 hours with electronic filing.  Further, the CEFS presents a public-facing web form containing data entry fields for collection of key portions of the required data that will help ensure filers supply necessary information in their SSI Plans.  The use of the web form and electronic filing will not only reduce the time burden imposed on small entities for filing SSI Plans but also reduce the time </w:t>
      </w:r>
      <w:r w:rsidRPr="00616596">
        <w:rPr>
          <w:snapToGrid w:val="0"/>
          <w:kern w:val="28"/>
          <w:szCs w:val="22"/>
        </w:rPr>
        <w:t xml:space="preserve">burden for when a SSI plans requires additional information to sufficiently meet CALEA compliance requirements.  </w:t>
      </w:r>
    </w:p>
    <w:p w:rsidR="00616596" w:rsidRPr="00616596" w:rsidP="00616596" w14:paraId="52090944" w14:textId="53BC9AF1">
      <w:pPr>
        <w:pStyle w:val="ParaNum"/>
        <w:rPr>
          <w:snapToGrid w:val="0"/>
          <w:kern w:val="28"/>
          <w:szCs w:val="22"/>
        </w:rPr>
      </w:pPr>
      <w:r w:rsidRPr="00616596">
        <w:rPr>
          <w:snapToGrid w:val="0"/>
          <w:kern w:val="28"/>
          <w:szCs w:val="22"/>
        </w:rPr>
        <w:t>In addition, the automated CEFS for SSI Plan submission replaces a cumbersome and space-consuming paper process, streamlines the review process using a web-based checklist system, and enhances recordkeeping and retrieval capabilities for small entities.</w:t>
      </w:r>
      <w:r w:rsidR="00782766">
        <w:rPr>
          <w:snapToGrid w:val="0"/>
          <w:kern w:val="28"/>
          <w:szCs w:val="22"/>
        </w:rPr>
        <w:t xml:space="preserve"> </w:t>
      </w:r>
      <w:r w:rsidRPr="00616596">
        <w:rPr>
          <w:snapToGrid w:val="0"/>
          <w:kern w:val="28"/>
          <w:szCs w:val="22"/>
        </w:rPr>
        <w:t xml:space="preserve"> Consequently, consistent with our IRFC, we conclude that </w:t>
      </w:r>
      <w:r w:rsidR="00F7539B">
        <w:rPr>
          <w:snapToGrid w:val="0"/>
          <w:kern w:val="28"/>
          <w:szCs w:val="22"/>
        </w:rPr>
        <w:t xml:space="preserve">mandating electronic filing </w:t>
      </w:r>
      <w:r w:rsidRPr="00616596">
        <w:rPr>
          <w:snapToGrid w:val="0"/>
          <w:kern w:val="28"/>
          <w:szCs w:val="22"/>
        </w:rPr>
        <w:t xml:space="preserve">will not </w:t>
      </w:r>
      <w:r w:rsidR="00F7539B">
        <w:rPr>
          <w:snapToGrid w:val="0"/>
          <w:kern w:val="28"/>
          <w:szCs w:val="22"/>
        </w:rPr>
        <w:t xml:space="preserve">cause </w:t>
      </w:r>
      <w:r w:rsidRPr="00616596">
        <w:rPr>
          <w:snapToGrid w:val="0"/>
          <w:kern w:val="28"/>
          <w:szCs w:val="22"/>
        </w:rPr>
        <w:t xml:space="preserve">a significant economic impact on a substantial number of small entities.  Therefore, we certify that the changes adopted </w:t>
      </w:r>
      <w:r w:rsidR="00092361">
        <w:rPr>
          <w:snapToGrid w:val="0"/>
          <w:kern w:val="28"/>
          <w:szCs w:val="22"/>
        </w:rPr>
        <w:t xml:space="preserve">here </w:t>
      </w:r>
      <w:r w:rsidRPr="00616596">
        <w:rPr>
          <w:snapToGrid w:val="0"/>
          <w:kern w:val="28"/>
          <w:szCs w:val="22"/>
        </w:rPr>
        <w:t xml:space="preserve">will not have a significant economic impact on a substantial number of small entities.  </w:t>
      </w:r>
    </w:p>
    <w:p w:rsidR="00616596" w:rsidRPr="00616596" w:rsidP="006D7EE7" w14:paraId="3FB565A5" w14:textId="5C21F1A3">
      <w:pPr>
        <w:pStyle w:val="ParaNum"/>
        <w:jc w:val="both"/>
        <w:rPr>
          <w:snapToGrid w:val="0"/>
          <w:kern w:val="28"/>
          <w:szCs w:val="22"/>
        </w:rPr>
      </w:pPr>
      <w:r>
        <w:rPr>
          <w:i/>
          <w:iCs/>
          <w:snapToGrid w:val="0"/>
          <w:kern w:val="28"/>
          <w:szCs w:val="22"/>
        </w:rPr>
        <w:t xml:space="preserve">Congressional Review Act.  </w:t>
      </w:r>
      <w:r w:rsidRPr="00616596">
        <w:rPr>
          <w:snapToGrid w:val="0"/>
          <w:kern w:val="28"/>
          <w:szCs w:val="22"/>
        </w:rPr>
        <w:t>The Commission</w:t>
      </w:r>
      <w:r w:rsidR="00530CB6">
        <w:rPr>
          <w:snapToGrid w:val="0"/>
          <w:kern w:val="28"/>
          <w:szCs w:val="22"/>
        </w:rPr>
        <w:t xml:space="preserve"> has determined, and the Administrator of the Office of Information and Regulatory Affairs, Office of Management and Budget,</w:t>
      </w:r>
      <w:r w:rsidR="00953131">
        <w:rPr>
          <w:snapToGrid w:val="0"/>
          <w:kern w:val="28"/>
          <w:szCs w:val="22"/>
        </w:rPr>
        <w:t xml:space="preserve"> concurs, that this rule is non-major under the Congressional Review Act, 5 U.S.C</w:t>
      </w:r>
      <w:r w:rsidR="008349C7">
        <w:rPr>
          <w:snapToGrid w:val="0"/>
          <w:kern w:val="28"/>
          <w:szCs w:val="22"/>
        </w:rPr>
        <w:t>. § 804(2).  The Commission</w:t>
      </w:r>
      <w:r w:rsidRPr="00616596">
        <w:rPr>
          <w:snapToGrid w:val="0"/>
          <w:kern w:val="28"/>
          <w:szCs w:val="22"/>
        </w:rPr>
        <w:t xml:space="preserve"> will send a copy of this </w:t>
      </w:r>
      <w:r w:rsidR="00092361">
        <w:rPr>
          <w:snapToGrid w:val="0"/>
          <w:kern w:val="28"/>
          <w:szCs w:val="22"/>
        </w:rPr>
        <w:t xml:space="preserve">Order </w:t>
      </w:r>
      <w:r w:rsidRPr="00616596">
        <w:rPr>
          <w:snapToGrid w:val="0"/>
          <w:kern w:val="28"/>
          <w:szCs w:val="22"/>
        </w:rPr>
        <w:t>to Congress</w:t>
      </w:r>
      <w:r w:rsidR="00665170">
        <w:rPr>
          <w:snapToGrid w:val="0"/>
          <w:kern w:val="28"/>
          <w:szCs w:val="22"/>
        </w:rPr>
        <w:t xml:space="preserve"> and the Government Accountability Office</w:t>
      </w:r>
      <w:r w:rsidRPr="00616596">
        <w:rPr>
          <w:snapToGrid w:val="0"/>
          <w:kern w:val="28"/>
          <w:szCs w:val="22"/>
        </w:rPr>
        <w:t xml:space="preserve"> pursuant to </w:t>
      </w:r>
      <w:r w:rsidR="00CB6FFD">
        <w:rPr>
          <w:snapToGrid w:val="0"/>
          <w:kern w:val="28"/>
          <w:szCs w:val="22"/>
        </w:rPr>
        <w:t>5 U.S.C. § 801(a)(1)(A)</w:t>
      </w:r>
      <w:r w:rsidRPr="00616596">
        <w:rPr>
          <w:snapToGrid w:val="0"/>
          <w:kern w:val="28"/>
          <w:szCs w:val="22"/>
        </w:rPr>
        <w:t xml:space="preserve">.  </w:t>
      </w:r>
    </w:p>
    <w:p w:rsidR="00EC0167" w:rsidRPr="00C50D7F" w:rsidP="002E105B" w14:paraId="3C5DD634" w14:textId="2AF45F4E">
      <w:pPr>
        <w:pStyle w:val="ParaNum"/>
      </w:pPr>
      <w:bookmarkStart w:id="2" w:name="_Toc378863297"/>
      <w:bookmarkStart w:id="3" w:name="_Toc378868614"/>
      <w:bookmarkStart w:id="4" w:name="_Toc379787524"/>
      <w:bookmarkStart w:id="5" w:name="_Toc379902606"/>
      <w:bookmarkStart w:id="6" w:name="_Toc379903292"/>
      <w:bookmarkStart w:id="7" w:name="_Toc379907071"/>
      <w:bookmarkStart w:id="8" w:name="_Toc380482112"/>
      <w:bookmarkStart w:id="9" w:name="_Toc380483105"/>
      <w:bookmarkStart w:id="10" w:name="_Toc380569178"/>
      <w:bookmarkStart w:id="11" w:name="_Toc380580366"/>
      <w:bookmarkStart w:id="12" w:name="_Toc380581434"/>
      <w:bookmarkStart w:id="13" w:name="_Toc380584424"/>
      <w:bookmarkStart w:id="14" w:name="_Toc380673902"/>
      <w:bookmarkStart w:id="15" w:name="_Toc383514781"/>
      <w:bookmarkStart w:id="16" w:name="_Toc384814354"/>
      <w:bookmarkStart w:id="17" w:name="_Toc384814433"/>
      <w:bookmarkStart w:id="18" w:name="_Toc384814867"/>
      <w:bookmarkStart w:id="19" w:name="_Toc384817909"/>
      <w:bookmarkStart w:id="20" w:name="_Toc387054613"/>
      <w:bookmarkStart w:id="21" w:name="_Toc387154759"/>
      <w:bookmarkStart w:id="22" w:name="_Toc387155784"/>
      <w:bookmarkStart w:id="23" w:name="_Toc387222348"/>
      <w:bookmarkStart w:id="24" w:name="_Toc416948213"/>
      <w:bookmarkStart w:id="25" w:name="_Toc416953270"/>
      <w:bookmarkStart w:id="26" w:name="_Toc417049396"/>
      <w:bookmarkStart w:id="27" w:name="_Toc417049528"/>
      <w:bookmarkStart w:id="28" w:name="_Toc417052028"/>
      <w:bookmarkStart w:id="29" w:name="_Toc417571490"/>
      <w:bookmarkStart w:id="30" w:name="_Toc417571658"/>
      <w:bookmarkStart w:id="31" w:name="_Toc417571762"/>
      <w:bookmarkStart w:id="32" w:name="_Toc417571851"/>
      <w:bookmarkStart w:id="33" w:name="_Toc417571962"/>
      <w:bookmarkStart w:id="34" w:name="_Toc417572017"/>
      <w:bookmarkStart w:id="35" w:name="_Toc417654857"/>
      <w:bookmarkStart w:id="36" w:name="_Toc418178676"/>
      <w:bookmarkStart w:id="37" w:name="_Toc418178786"/>
      <w:bookmarkStart w:id="38" w:name="_Toc418239083"/>
      <w:bookmarkStart w:id="39" w:name="_Toc418861063"/>
      <w:bookmarkStart w:id="40" w:name="_Toc418861131"/>
      <w:bookmarkStart w:id="41" w:name="_Toc419106293"/>
      <w:bookmarkStart w:id="42" w:name="_Toc419106334"/>
      <w:bookmarkStart w:id="43" w:name="_Toc419106395"/>
      <w:bookmarkStart w:id="44" w:name="_Toc419458993"/>
      <w:bookmarkStart w:id="45" w:name="_Toc419466196"/>
      <w:bookmarkStart w:id="46" w:name="_Toc419734066"/>
      <w:bookmarkStart w:id="47" w:name="_Toc420570512"/>
      <w:r w:rsidRPr="00CA74EA">
        <w:rPr>
          <w:b/>
          <w:bCs/>
          <w:i/>
          <w:iCs/>
          <w:szCs w:val="22"/>
        </w:rPr>
        <w:t>Further Information</w:t>
      </w:r>
      <w:r w:rsidRPr="00CA74EA">
        <w:rPr>
          <w:b/>
          <w:bCs/>
          <w:szCs w:val="22"/>
        </w:rPr>
        <w:t>:</w:t>
      </w:r>
      <w:r>
        <w:rPr>
          <w:szCs w:val="22"/>
        </w:rPr>
        <w:t xml:space="preserve"> </w:t>
      </w:r>
      <w:r w:rsidR="00483372">
        <w:rPr>
          <w:szCs w:val="22"/>
        </w:rPr>
        <w:t xml:space="preserve"> </w:t>
      </w:r>
      <w:r w:rsidRPr="002E105B">
        <w:rPr>
          <w:szCs w:val="22"/>
        </w:rPr>
        <w:t xml:space="preserve">For further information regarding this </w:t>
      </w:r>
      <w:r w:rsidR="0038235A">
        <w:rPr>
          <w:i/>
          <w:szCs w:val="22"/>
        </w:rPr>
        <w:t>Order</w:t>
      </w:r>
      <w:r w:rsidRPr="002E105B">
        <w:rPr>
          <w:szCs w:val="22"/>
        </w:rPr>
        <w:t xml:space="preserve">, please contact Rosemary Cabral, Attorney Advisor, Policy and Licensing Division, Public Safety and Homeland Security Bureau, at (202) 418-0662 or </w:t>
      </w:r>
      <w:hyperlink r:id="rId5" w:history="1">
        <w:r w:rsidRPr="00D30AE3" w:rsidR="00267DF4">
          <w:rPr>
            <w:rStyle w:val="Hyperlink"/>
            <w:szCs w:val="22"/>
          </w:rPr>
          <w:t>Rosemary.Cabral@fcc.gov</w:t>
        </w:r>
      </w:hyperlink>
      <w:r w:rsidRPr="002E105B">
        <w:rPr>
          <w:szCs w:val="22"/>
        </w:rPr>
        <w:t>; or Chris</w:t>
      </w:r>
      <w:r w:rsidR="002F1B46">
        <w:rPr>
          <w:szCs w:val="22"/>
        </w:rPr>
        <w:t>topher</w:t>
      </w:r>
      <w:r w:rsidRPr="002E105B">
        <w:rPr>
          <w:szCs w:val="22"/>
        </w:rPr>
        <w:t xml:space="preserve"> Fedeli, Attorney Advisor, Policy and Licensing Division, Public Safety and Homeland Security Bureau, at (202) 418-1514 or </w:t>
      </w:r>
      <w:hyperlink r:id="rId6" w:history="1">
        <w:r w:rsidRPr="002E105B">
          <w:rPr>
            <w:rStyle w:val="Hyperlink"/>
            <w:szCs w:val="22"/>
          </w:rPr>
          <w:t>Christopher.Fedeli@fcc.gov</w:t>
        </w:r>
      </w:hyperlink>
      <w:r w:rsidRPr="002E105B">
        <w:rPr>
          <w:szCs w:val="22"/>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733B58" w:rsidRPr="00897370" w:rsidP="00733B58" w14:paraId="2826B9D1" w14:textId="77777777">
      <w:pPr>
        <w:pStyle w:val="Heading1"/>
        <w:rPr>
          <w:rFonts w:ascii="Times New Roman" w:hAnsi="Times New Roman"/>
          <w:szCs w:val="22"/>
        </w:rPr>
      </w:pPr>
      <w:r w:rsidRPr="00897370">
        <w:rPr>
          <w:rFonts w:ascii="Times New Roman" w:hAnsi="Times New Roman"/>
          <w:szCs w:val="22"/>
        </w:rPr>
        <w:t>Ordering clause</w:t>
      </w:r>
      <w:r w:rsidRPr="00897370" w:rsidR="004D0295">
        <w:rPr>
          <w:rFonts w:ascii="Times New Roman" w:hAnsi="Times New Roman"/>
          <w:szCs w:val="22"/>
        </w:rPr>
        <w:t>S</w:t>
      </w:r>
    </w:p>
    <w:p w:rsidR="00035411" w:rsidRPr="0038235A" w:rsidP="006E7F4C" w14:paraId="70B345F0" w14:textId="2A5CE614">
      <w:pPr>
        <w:pStyle w:val="ParaNum"/>
        <w:rPr>
          <w:spacing w:val="-2"/>
        </w:rPr>
      </w:pPr>
      <w:r w:rsidRPr="4439A411">
        <w:t xml:space="preserve"> Accordingly, IT IS ORDERED, pursuant to Sections 4(i) and </w:t>
      </w:r>
      <w:r w:rsidRPr="008B6CCE" w:rsidR="002E105B">
        <w:rPr>
          <w:szCs w:val="22"/>
        </w:rPr>
        <w:t>229</w:t>
      </w:r>
      <w:r w:rsidR="008B6CCE">
        <w:rPr>
          <w:szCs w:val="22"/>
        </w:rPr>
        <w:t>(b)(3)</w:t>
      </w:r>
      <w:r w:rsidRPr="008B6CCE">
        <w:rPr>
          <w:szCs w:val="22"/>
        </w:rPr>
        <w:t xml:space="preserve"> of the Communications Act of 1934, as amended, 47 U.S.C. §§ 154(i), </w:t>
      </w:r>
      <w:r w:rsidRPr="008B6CCE" w:rsidR="002E105B">
        <w:rPr>
          <w:szCs w:val="22"/>
        </w:rPr>
        <w:t>229</w:t>
      </w:r>
      <w:r w:rsidR="008B6CCE">
        <w:rPr>
          <w:szCs w:val="22"/>
        </w:rPr>
        <w:t>(b)(3)</w:t>
      </w:r>
      <w:r w:rsidRPr="008B6CCE">
        <w:rPr>
          <w:szCs w:val="22"/>
        </w:rPr>
        <w:t xml:space="preserve">, and Section </w:t>
      </w:r>
      <w:r w:rsidRPr="008B6CCE" w:rsidR="008B6CCE">
        <w:rPr>
          <w:szCs w:val="22"/>
        </w:rPr>
        <w:t xml:space="preserve">1.49(f)(3) </w:t>
      </w:r>
      <w:r w:rsidRPr="008B6CCE">
        <w:rPr>
          <w:szCs w:val="22"/>
        </w:rPr>
        <w:t>of t</w:t>
      </w:r>
      <w:r w:rsidRPr="008B6CCE" w:rsidR="00CB50C8">
        <w:rPr>
          <w:szCs w:val="22"/>
        </w:rPr>
        <w:t>he Commission’s rules, 47 CFR §</w:t>
      </w:r>
      <w:r w:rsidRPr="008B6CCE">
        <w:rPr>
          <w:szCs w:val="22"/>
        </w:rPr>
        <w:t xml:space="preserve"> </w:t>
      </w:r>
      <w:r w:rsidR="008B6CCE">
        <w:rPr>
          <w:szCs w:val="22"/>
        </w:rPr>
        <w:t>1.49(f)(3)</w:t>
      </w:r>
      <w:r w:rsidRPr="008B6CCE">
        <w:rPr>
          <w:szCs w:val="22"/>
        </w:rPr>
        <w:t xml:space="preserve">, that </w:t>
      </w:r>
      <w:r w:rsidRPr="008B6CCE" w:rsidR="00B47F16">
        <w:rPr>
          <w:szCs w:val="22"/>
        </w:rPr>
        <w:t>Part 1 of the Commission’s rules IS AMENDED, as set forth in Appendix A, and that this Order, including the amended rule, SHALL BE EFFECTIVE</w:t>
      </w:r>
      <w:r w:rsidR="00B47F16">
        <w:t xml:space="preserve"> 30 days after publication in the Federal Register</w:t>
      </w:r>
      <w:r w:rsidR="004D1D19">
        <w:t xml:space="preserve">, which </w:t>
      </w:r>
      <w:r w:rsidR="00103BE0">
        <w:t xml:space="preserve">will not occur until after the Office of Management and Budget has completed review </w:t>
      </w:r>
      <w:r w:rsidR="00E86833">
        <w:t>of any non-substantive change to an information collection under the Paperwork Reduction Act</w:t>
      </w:r>
      <w:r w:rsidR="00B47F16">
        <w:t xml:space="preserve">. </w:t>
      </w:r>
    </w:p>
    <w:p w:rsidR="00B61ABB" w:rsidP="0038235A" w14:paraId="4690A093" w14:textId="0119C917">
      <w:pPr>
        <w:pStyle w:val="ParaNum"/>
        <w:widowControl w:val="0"/>
      </w:pPr>
      <w:r>
        <w:t xml:space="preserve">IT IS FURTHER ORDERED that the Commission’s Consumer and Governmental Affairs Bureau, Reference Information Center, SHALL SEND a copy of the Report and Order, including the Final Regulatory Flexibility </w:t>
      </w:r>
      <w:r w:rsidR="002459BC">
        <w:t>Certificat</w:t>
      </w:r>
      <w:r w:rsidR="0091322A">
        <w:t>ion</w:t>
      </w:r>
      <w:r>
        <w:t>, to the Chief Counsel for Advocacy of the Small Business Administration</w:t>
      </w:r>
    </w:p>
    <w:p w:rsidR="0038235A" w:rsidP="0038235A" w14:paraId="734EE40E" w14:textId="71AB31C9">
      <w:pPr>
        <w:pStyle w:val="ParaNum"/>
        <w:widowControl w:val="0"/>
      </w:pPr>
      <w:r>
        <w:t xml:space="preserve">IT IS FURTHER ORDERED that the Office of the Managing Director, Performance Evaluation and Records Management, SHALL SEND </w:t>
      </w:r>
      <w:r w:rsidR="0002509B">
        <w:t xml:space="preserve">a copy of this Order in a report to be sent to Congress and the Government Accountability Office </w:t>
      </w:r>
      <w:r w:rsidR="004E7A03">
        <w:t>pursuant to the Congressional Review Act, 5 U.S.C. § 801(a)(1)(A).</w:t>
      </w:r>
    </w:p>
    <w:p w:rsidR="00733B58" w:rsidP="00733B58" w14:paraId="288EFF2D" w14:textId="71799077">
      <w:pPr>
        <w:pStyle w:val="ParaNum"/>
      </w:pPr>
      <w:r>
        <w:t xml:space="preserve">This action is taken under delegated authority pursuant to Sections 0.191 and 0.392 of the Commission’s rules, 47 CFR §§ 0.191, 0.392.  </w:t>
      </w:r>
    </w:p>
    <w:p w:rsidR="008E5B20" w:rsidP="008E5B20" w14:paraId="5FA815D9" w14:textId="77777777">
      <w:pPr>
        <w:pStyle w:val="ParaNum"/>
        <w:numPr>
          <w:ilvl w:val="0"/>
          <w:numId w:val="0"/>
        </w:numPr>
        <w:ind w:left="720"/>
      </w:pPr>
    </w:p>
    <w:p w:rsidR="00733B58" w:rsidRPr="001B4B42" w:rsidP="00733B58" w14:paraId="10E025E9" w14:textId="77777777">
      <w:pPr>
        <w:pStyle w:val="ParaNum"/>
        <w:keepNext/>
        <w:keepLines/>
        <w:numPr>
          <w:ilvl w:val="0"/>
          <w:numId w:val="0"/>
        </w:numPr>
        <w:spacing w:after="0"/>
        <w:ind w:left="3600" w:firstLine="720"/>
        <w:rPr>
          <w:szCs w:val="22"/>
        </w:rPr>
      </w:pPr>
      <w:r w:rsidRPr="001B4B42">
        <w:rPr>
          <w:szCs w:val="22"/>
        </w:rPr>
        <w:t xml:space="preserve">FEDERAL COMMUNICATIONS COMMISSION </w:t>
      </w:r>
    </w:p>
    <w:p w:rsidR="00733B58" w:rsidRPr="001B4B42" w:rsidP="00733B58" w14:paraId="021B16D8" w14:textId="77777777">
      <w:pPr>
        <w:pStyle w:val="ParaNum"/>
        <w:keepNext/>
        <w:keepLines/>
        <w:numPr>
          <w:ilvl w:val="0"/>
          <w:numId w:val="0"/>
        </w:numPr>
        <w:spacing w:after="0"/>
        <w:ind w:left="720"/>
        <w:rPr>
          <w:szCs w:val="22"/>
        </w:rPr>
      </w:pPr>
    </w:p>
    <w:p w:rsidR="00733B58" w:rsidRPr="001B4B42" w:rsidP="00733B58" w14:paraId="6447FC9C" w14:textId="77777777">
      <w:pPr>
        <w:pStyle w:val="ParaNum"/>
        <w:keepNext/>
        <w:keepLines/>
        <w:numPr>
          <w:ilvl w:val="0"/>
          <w:numId w:val="0"/>
        </w:numPr>
        <w:spacing w:after="0"/>
        <w:ind w:left="720"/>
        <w:rPr>
          <w:szCs w:val="22"/>
        </w:rPr>
      </w:pPr>
    </w:p>
    <w:p w:rsidR="00733B58" w:rsidRPr="001B4B42" w:rsidP="002E105B" w14:paraId="42C61B18" w14:textId="22532CC1">
      <w:pPr>
        <w:pStyle w:val="ParaNum"/>
        <w:keepNext/>
        <w:keepLines/>
        <w:numPr>
          <w:ilvl w:val="0"/>
          <w:numId w:val="0"/>
        </w:numPr>
        <w:spacing w:after="0"/>
        <w:rPr>
          <w:szCs w:val="22"/>
        </w:rPr>
      </w:pPr>
    </w:p>
    <w:p w:rsidR="00733B58" w:rsidRPr="001B4B42" w:rsidP="00733B58" w14:paraId="450A3F4F" w14:textId="01EE41AE">
      <w:pPr>
        <w:pStyle w:val="ParaNum"/>
        <w:keepNext/>
        <w:keepLines/>
        <w:numPr>
          <w:ilvl w:val="0"/>
          <w:numId w:val="0"/>
        </w:numPr>
        <w:spacing w:after="0"/>
        <w:ind w:left="3600" w:firstLine="720"/>
        <w:rPr>
          <w:szCs w:val="22"/>
        </w:rPr>
      </w:pPr>
      <w:r>
        <w:rPr>
          <w:szCs w:val="22"/>
        </w:rPr>
        <w:t>Debra Jordan</w:t>
      </w:r>
    </w:p>
    <w:p w:rsidR="00EC0167" w:rsidP="00733B58" w14:paraId="65B9306E" w14:textId="334EBD4E">
      <w:pPr>
        <w:pStyle w:val="ParaNum"/>
        <w:keepNext/>
        <w:keepLines/>
        <w:numPr>
          <w:ilvl w:val="0"/>
          <w:numId w:val="0"/>
        </w:numPr>
        <w:spacing w:after="0"/>
        <w:ind w:left="3600" w:firstLine="720"/>
        <w:rPr>
          <w:szCs w:val="22"/>
        </w:rPr>
      </w:pPr>
      <w:r w:rsidRPr="001B4B42">
        <w:rPr>
          <w:szCs w:val="22"/>
        </w:rPr>
        <w:t>Chief, Public Safety and Homeland Security Bureau</w:t>
      </w:r>
    </w:p>
    <w:p w:rsidR="00EC0167" w14:paraId="135A6DB7" w14:textId="77777777">
      <w:pPr>
        <w:spacing w:after="160" w:line="259" w:lineRule="auto"/>
        <w:rPr>
          <w:szCs w:val="22"/>
        </w:rPr>
      </w:pPr>
      <w:r>
        <w:rPr>
          <w:szCs w:val="22"/>
        </w:rPr>
        <w:br w:type="page"/>
      </w:r>
    </w:p>
    <w:p w:rsidR="002E105B" w:rsidP="00B47F16" w14:paraId="7AA66FCF" w14:textId="1BA02F06">
      <w:pPr>
        <w:spacing w:after="160" w:line="259" w:lineRule="auto"/>
        <w:jc w:val="center"/>
        <w:rPr>
          <w:b/>
        </w:rPr>
      </w:pPr>
      <w:r w:rsidRPr="00B03E47">
        <w:rPr>
          <w:b/>
        </w:rPr>
        <w:t>APPENDI</w:t>
      </w:r>
      <w:r>
        <w:rPr>
          <w:b/>
        </w:rPr>
        <w:t>X A</w:t>
      </w:r>
    </w:p>
    <w:p w:rsidR="00B47F16" w:rsidRPr="008068A1" w:rsidP="00B47F16" w14:paraId="7BEAB0AB" w14:textId="77777777">
      <w:pPr>
        <w:jc w:val="center"/>
        <w:rPr>
          <w:b/>
          <w:szCs w:val="22"/>
        </w:rPr>
      </w:pPr>
      <w:r>
        <w:rPr>
          <w:b/>
          <w:szCs w:val="22"/>
        </w:rPr>
        <w:t>Final</w:t>
      </w:r>
      <w:r w:rsidRPr="008068A1">
        <w:rPr>
          <w:b/>
          <w:szCs w:val="22"/>
        </w:rPr>
        <w:t xml:space="preserve"> Rules</w:t>
      </w:r>
    </w:p>
    <w:p w:rsidR="00B47F16" w:rsidRPr="008068A1" w:rsidP="00B47F16" w14:paraId="75889351" w14:textId="77777777">
      <w:pPr>
        <w:jc w:val="center"/>
        <w:rPr>
          <w:b/>
          <w:szCs w:val="22"/>
        </w:rPr>
      </w:pPr>
    </w:p>
    <w:p w:rsidR="00B47F16" w:rsidP="00B47F16" w14:paraId="788B909C" w14:textId="2A8B7169">
      <w:pPr>
        <w:rPr>
          <w:szCs w:val="22"/>
        </w:rPr>
      </w:pPr>
      <w:r w:rsidRPr="008068A1">
        <w:rPr>
          <w:szCs w:val="22"/>
        </w:rPr>
        <w:t xml:space="preserve">For the reasons discussed in the preamble, the </w:t>
      </w:r>
      <w:r>
        <w:rPr>
          <w:szCs w:val="22"/>
        </w:rPr>
        <w:t>Federal Commu</w:t>
      </w:r>
      <w:r w:rsidR="00172AC9">
        <w:rPr>
          <w:szCs w:val="22"/>
        </w:rPr>
        <w:t>ni</w:t>
      </w:r>
      <w:r w:rsidR="00DA484E">
        <w:rPr>
          <w:szCs w:val="22"/>
        </w:rPr>
        <w:t>c</w:t>
      </w:r>
      <w:r>
        <w:rPr>
          <w:szCs w:val="22"/>
        </w:rPr>
        <w:t>ations Commission</w:t>
      </w:r>
      <w:r w:rsidRPr="008068A1">
        <w:rPr>
          <w:szCs w:val="22"/>
        </w:rPr>
        <w:t xml:space="preserve"> amends 47 CFR Part 1 to read as follows: </w:t>
      </w:r>
    </w:p>
    <w:p w:rsidR="00B47F16" w:rsidRPr="006E233A" w:rsidP="00B47F16" w14:paraId="1D37B718" w14:textId="58EF1EE1">
      <w:pPr>
        <w:spacing w:before="100" w:beforeAutospacing="1" w:after="100" w:afterAutospacing="1"/>
        <w:textAlignment w:val="baseline"/>
        <w:rPr>
          <w:rFonts w:eastAsia="Calibri"/>
          <w:szCs w:val="22"/>
          <w:lang w:bidi="he-IL"/>
        </w:rPr>
      </w:pPr>
      <w:r w:rsidRPr="006E233A">
        <w:rPr>
          <w:rFonts w:eastAsia="Calibri"/>
          <w:b/>
          <w:bCs/>
          <w:szCs w:val="22"/>
          <w:lang w:bidi="he-IL"/>
        </w:rPr>
        <w:t xml:space="preserve">PART 1 – </w:t>
      </w:r>
      <w:r>
        <w:rPr>
          <w:rFonts w:eastAsia="Calibri"/>
          <w:b/>
          <w:bCs/>
          <w:szCs w:val="22"/>
          <w:lang w:bidi="he-IL"/>
        </w:rPr>
        <w:t>PRACTICE AND PROCEDURE</w:t>
      </w:r>
      <w:r w:rsidRPr="006E233A">
        <w:rPr>
          <w:rFonts w:eastAsia="Calibri"/>
          <w:szCs w:val="22"/>
          <w:lang w:bidi="he-IL"/>
        </w:rPr>
        <w:t> </w:t>
      </w:r>
    </w:p>
    <w:p w:rsidR="00B47F16" w:rsidRPr="008E5B20" w:rsidP="00B47F16" w14:paraId="7D77E876" w14:textId="5AECA259">
      <w:pPr>
        <w:spacing w:before="100" w:beforeAutospacing="1" w:after="100" w:afterAutospacing="1"/>
        <w:textAlignment w:val="baseline"/>
        <w:rPr>
          <w:rFonts w:eastAsia="Calibri"/>
          <w:szCs w:val="22"/>
          <w:lang w:bidi="he-IL"/>
        </w:rPr>
      </w:pPr>
      <w:r w:rsidRPr="008E5B20">
        <w:rPr>
          <w:rFonts w:eastAsia="Calibri"/>
          <w:szCs w:val="22"/>
          <w:lang w:bidi="he-IL"/>
        </w:rPr>
        <w:t xml:space="preserve">1. The authority citation for </w:t>
      </w:r>
      <w:r w:rsidR="00C9339B">
        <w:rPr>
          <w:rFonts w:eastAsia="Calibri"/>
          <w:szCs w:val="22"/>
          <w:lang w:bidi="he-IL"/>
        </w:rPr>
        <w:t>p</w:t>
      </w:r>
      <w:r w:rsidRPr="008E5B20">
        <w:rPr>
          <w:rFonts w:eastAsia="Calibri"/>
          <w:szCs w:val="22"/>
          <w:lang w:bidi="he-IL"/>
        </w:rPr>
        <w:t>art 1 continues to read as follows:  </w:t>
      </w:r>
    </w:p>
    <w:p w:rsidR="00B47F16" w:rsidRPr="008E5B20" w:rsidP="00B47F16" w14:paraId="7C1DE169" w14:textId="62FBB40B">
      <w:pPr>
        <w:spacing w:before="100" w:beforeAutospacing="1" w:after="100" w:afterAutospacing="1"/>
        <w:textAlignment w:val="baseline"/>
        <w:rPr>
          <w:rFonts w:eastAsia="Calibri"/>
          <w:szCs w:val="22"/>
          <w:lang w:bidi="he-IL"/>
        </w:rPr>
      </w:pPr>
      <w:r w:rsidRPr="008E5B20">
        <w:rPr>
          <w:rFonts w:eastAsia="Calibri"/>
          <w:szCs w:val="22"/>
          <w:lang w:bidi="he-IL"/>
        </w:rPr>
        <w:t xml:space="preserve">Authority: </w:t>
      </w:r>
      <w:r w:rsidRPr="008E5B20" w:rsidR="00794259">
        <w:rPr>
          <w:rFonts w:eastAsia="Calibri"/>
          <w:szCs w:val="22"/>
          <w:lang w:bidi="he-IL"/>
        </w:rPr>
        <w:t xml:space="preserve">47 U.S.C. </w:t>
      </w:r>
      <w:r w:rsidRPr="008E5B20" w:rsidR="00794259">
        <w:rPr>
          <w:rFonts w:eastAsia="Calibri"/>
          <w:szCs w:val="22"/>
          <w:lang w:bidi="he-IL"/>
        </w:rPr>
        <w:t>chs</w:t>
      </w:r>
      <w:r w:rsidRPr="008E5B20" w:rsidR="00794259">
        <w:rPr>
          <w:rFonts w:eastAsia="Calibri"/>
          <w:szCs w:val="22"/>
          <w:lang w:bidi="he-IL"/>
        </w:rPr>
        <w:t>. 2, 5, 9, 13; 28 U.S.C. 2461 note, unless otherwise noted.</w:t>
      </w:r>
    </w:p>
    <w:p w:rsidR="00494916" w:rsidP="00AC09AF" w14:paraId="16BA5F57" w14:textId="3E21DDA4">
      <w:pPr>
        <w:spacing w:after="160" w:line="259" w:lineRule="auto"/>
        <w:rPr>
          <w:szCs w:val="22"/>
        </w:rPr>
      </w:pPr>
      <w:hyperlink r:id="rId7" w:history="1">
        <w:r w:rsidRPr="008E5B20" w:rsidR="00897370">
          <w:rPr>
            <w:rStyle w:val="Hyperlink"/>
            <w:rFonts w:eastAsia="Calibri"/>
            <w:color w:val="000000" w:themeColor="text1"/>
            <w:szCs w:val="22"/>
            <w:u w:val="none"/>
          </w:rPr>
          <w:t>Subpart Z - Communications Assistance for Law Enforcement Act</w:t>
        </w:r>
      </w:hyperlink>
    </w:p>
    <w:p w:rsidR="00494916" w:rsidP="00AC09AF" w14:paraId="085D2B54" w14:textId="5D669929">
      <w:pPr>
        <w:spacing w:after="160" w:line="259" w:lineRule="auto"/>
        <w:rPr>
          <w:szCs w:val="22"/>
        </w:rPr>
      </w:pPr>
      <w:r>
        <w:rPr>
          <w:szCs w:val="22"/>
        </w:rPr>
        <w:t xml:space="preserve">2. </w:t>
      </w:r>
      <w:r w:rsidR="005C40C5">
        <w:rPr>
          <w:szCs w:val="22"/>
        </w:rPr>
        <w:t>A</w:t>
      </w:r>
      <w:r w:rsidR="00CF08BE">
        <w:rPr>
          <w:szCs w:val="22"/>
        </w:rPr>
        <w:t xml:space="preserve">mend </w:t>
      </w:r>
      <w:r w:rsidR="005C40C5">
        <w:rPr>
          <w:szCs w:val="22"/>
        </w:rPr>
        <w:t xml:space="preserve">§ 1.20005 </w:t>
      </w:r>
      <w:r w:rsidR="00CF08BE">
        <w:rPr>
          <w:szCs w:val="22"/>
        </w:rPr>
        <w:t xml:space="preserve">by revising paragraph (a) and adding paragraph (c) </w:t>
      </w:r>
      <w:r w:rsidR="005C40C5">
        <w:rPr>
          <w:szCs w:val="22"/>
        </w:rPr>
        <w:t>to read as follows:</w:t>
      </w:r>
    </w:p>
    <w:p w:rsidR="005C40C5" w:rsidRPr="00E93212" w:rsidP="00AC09AF" w14:paraId="6FA069C3" w14:textId="15491DDC">
      <w:pPr>
        <w:spacing w:after="160" w:line="259" w:lineRule="auto"/>
        <w:rPr>
          <w:b/>
          <w:bCs/>
          <w:szCs w:val="22"/>
        </w:rPr>
      </w:pPr>
      <w:r w:rsidRPr="00E93212">
        <w:rPr>
          <w:b/>
          <w:bCs/>
          <w:szCs w:val="22"/>
        </w:rPr>
        <w:t xml:space="preserve">§ 1.20005 </w:t>
      </w:r>
      <w:r w:rsidRPr="00E93212" w:rsidR="00E93212">
        <w:rPr>
          <w:b/>
          <w:bCs/>
          <w:szCs w:val="22"/>
        </w:rPr>
        <w:t>Submission of policies and procedures and Commission review.</w:t>
      </w:r>
    </w:p>
    <w:p w:rsidR="001C2E18" w:rsidP="00AC09AF" w14:paraId="1AF3EAAA" w14:textId="2BC2152C">
      <w:pPr>
        <w:spacing w:after="160" w:line="259" w:lineRule="auto"/>
        <w:rPr>
          <w:szCs w:val="22"/>
        </w:rPr>
      </w:pPr>
      <w:r>
        <w:rPr>
          <w:szCs w:val="22"/>
        </w:rPr>
        <w:t>(a) E</w:t>
      </w:r>
      <w:r w:rsidRPr="001C2E18">
        <w:rPr>
          <w:szCs w:val="22"/>
        </w:rPr>
        <w:t xml:space="preserve">ach telecommunications carrier shall file with the Commission the policies and procedures it uses to comply with the requirements of this </w:t>
      </w:r>
      <w:r w:rsidR="007D4FB6">
        <w:rPr>
          <w:szCs w:val="22"/>
        </w:rPr>
        <w:t>subpart</w:t>
      </w:r>
      <w:r w:rsidRPr="001C2E18">
        <w:rPr>
          <w:szCs w:val="22"/>
        </w:rPr>
        <w:t xml:space="preserve">. These policies and procedures shall be filed </w:t>
      </w:r>
      <w:r w:rsidR="00B41031">
        <w:rPr>
          <w:szCs w:val="22"/>
        </w:rPr>
        <w:t xml:space="preserve">before commencing service </w:t>
      </w:r>
      <w:r w:rsidRPr="001C2E18">
        <w:rPr>
          <w:szCs w:val="22"/>
        </w:rPr>
        <w:t>and</w:t>
      </w:r>
      <w:r w:rsidR="00BB3DEC">
        <w:rPr>
          <w:szCs w:val="22"/>
        </w:rPr>
        <w:t>,</w:t>
      </w:r>
      <w:r w:rsidRPr="001C2E18">
        <w:rPr>
          <w:szCs w:val="22"/>
        </w:rPr>
        <w:t xml:space="preserve"> thereafter, within 90 days of a carrier</w:t>
      </w:r>
      <w:r w:rsidR="0004465D">
        <w:rPr>
          <w:szCs w:val="22"/>
        </w:rPr>
        <w:t>’</w:t>
      </w:r>
      <w:r w:rsidRPr="001C2E18">
        <w:rPr>
          <w:szCs w:val="22"/>
        </w:rPr>
        <w:t>s merger or divestiture or a carrier</w:t>
      </w:r>
      <w:r w:rsidR="0004465D">
        <w:rPr>
          <w:szCs w:val="22"/>
        </w:rPr>
        <w:t>’</w:t>
      </w:r>
      <w:r w:rsidRPr="001C2E18">
        <w:rPr>
          <w:szCs w:val="22"/>
        </w:rPr>
        <w:t>s amendment of its existing policies and procedures.</w:t>
      </w:r>
    </w:p>
    <w:p w:rsidR="00E93212" w:rsidP="00AC09AF" w14:paraId="310B3D77" w14:textId="187350EA">
      <w:pPr>
        <w:spacing w:after="160" w:line="259" w:lineRule="auto"/>
        <w:rPr>
          <w:szCs w:val="22"/>
        </w:rPr>
      </w:pPr>
      <w:r>
        <w:rPr>
          <w:szCs w:val="22"/>
        </w:rPr>
        <w:t>* * * * *</w:t>
      </w:r>
    </w:p>
    <w:p w:rsidR="00DB4CE5" w:rsidP="00DB4CE5" w14:paraId="77819C8B" w14:textId="5F9405B6">
      <w:pPr>
        <w:spacing w:after="160" w:line="252" w:lineRule="auto"/>
      </w:pPr>
      <w:r>
        <w:t xml:space="preserve">c) As of </w:t>
      </w:r>
      <w:r>
        <w:rPr>
          <w:b/>
          <w:bCs/>
        </w:rPr>
        <w:t>[INSERT DATE THIRTY DAYS AFTER DATE OF PUBLICATION IN THE FEDERAL REGISTER]</w:t>
      </w:r>
      <w:r>
        <w:t>, any filings required by paragraph (a) of this section shall be submitted electronically through the Commission’s CALEA Electronic Filing System (CEFS).</w:t>
      </w:r>
    </w:p>
    <w:p w:rsidR="00DB4CE5" w:rsidRPr="001B4B42" w:rsidP="00AC09AF" w14:paraId="6DE6BD37" w14:textId="77777777">
      <w:pPr>
        <w:spacing w:after="160" w:line="259" w:lineRule="auto"/>
        <w:rPr>
          <w:szCs w:val="2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BB1C1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306F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9364F7" w14:textId="77777777">
    <w:pPr>
      <w:pStyle w:val="Footer"/>
      <w:framePr w:wrap="around" w:vAnchor="text" w:hAnchor="margin" w:xAlign="center" w:y="1"/>
    </w:pPr>
    <w:r>
      <w:fldChar w:fldCharType="begin"/>
    </w:r>
    <w:r>
      <w:instrText xml:space="preserve">PAGE  </w:instrText>
    </w:r>
    <w:r>
      <w:fldChar w:fldCharType="separate"/>
    </w:r>
    <w:r w:rsidR="00856BBF">
      <w:rPr>
        <w:noProof/>
      </w:rPr>
      <w:t>2</w:t>
    </w:r>
    <w:r>
      <w:fldChar w:fldCharType="end"/>
    </w:r>
  </w:p>
  <w:p w:rsidR="00D25FB5" w14:paraId="0595374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1374F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7A03" w:rsidP="00733B58" w14:paraId="1B2AD489" w14:textId="77777777">
      <w:r>
        <w:separator/>
      </w:r>
    </w:p>
  </w:footnote>
  <w:footnote w:type="continuationSeparator" w:id="1">
    <w:p w:rsidR="00107A03" w:rsidP="00733B58" w14:paraId="04C71D49" w14:textId="77777777">
      <w:r>
        <w:continuationSeparator/>
      </w:r>
    </w:p>
  </w:footnote>
  <w:footnote w:type="continuationNotice" w:id="2">
    <w:p w:rsidR="00107A03" w14:paraId="5960BCCE" w14:textId="77777777"/>
  </w:footnote>
  <w:footnote w:id="3">
    <w:p w:rsidR="00635820" w:rsidRPr="00EC5E35" w:rsidP="00635820" w14:paraId="62243ADD" w14:textId="530290E8">
      <w:pPr>
        <w:pStyle w:val="FootnoteText"/>
      </w:pPr>
      <w:r>
        <w:rPr>
          <w:rStyle w:val="FootnoteReference"/>
        </w:rPr>
        <w:footnoteRef/>
      </w:r>
      <w:r>
        <w:t xml:space="preserve"> </w:t>
      </w:r>
      <w:r w:rsidRPr="000D3E8C">
        <w:rPr>
          <w:szCs w:val="18"/>
        </w:rPr>
        <w:t xml:space="preserve">CALEA’s requirements apply to </w:t>
      </w:r>
      <w:r w:rsidRPr="00131BDF">
        <w:t xml:space="preserve">common carriers, </w:t>
      </w:r>
      <w:r w:rsidRPr="00AB110A">
        <w:t xml:space="preserve">facilities-based broadband Internet access </w:t>
      </w:r>
      <w:r w:rsidR="00F3107D">
        <w:t xml:space="preserve">service </w:t>
      </w:r>
      <w:r w:rsidRPr="00AB110A">
        <w:t>providers and interconnected Voice over Internet Protocol (VoIP) service providers</w:t>
      </w:r>
      <w:r>
        <w:t xml:space="preserve">.  </w:t>
      </w:r>
      <w:r w:rsidRPr="00E763FA">
        <w:rPr>
          <w:i/>
          <w:iCs/>
        </w:rPr>
        <w:t>See</w:t>
      </w:r>
      <w:r w:rsidRPr="00E763FA">
        <w:t xml:space="preserve"> </w:t>
      </w:r>
      <w:r w:rsidRPr="00E763FA">
        <w:rPr>
          <w:i/>
        </w:rPr>
        <w:t>Communications Assistance for Law Enforcement Act and Broadband Access and Services</w:t>
      </w:r>
      <w:r w:rsidRPr="00E763FA">
        <w:t xml:space="preserve">, </w:t>
      </w:r>
      <w:r w:rsidR="00EA69D8">
        <w:t xml:space="preserve">First Report and Order and Further Notice of Proposed Rulemaking, </w:t>
      </w:r>
      <w:r w:rsidRPr="001C07C1" w:rsidR="00EA69D8">
        <w:t>20 FCC Rcd 14989</w:t>
      </w:r>
      <w:r w:rsidR="00EA69D8">
        <w:t xml:space="preserve"> (2005) (concluding that CALEA </w:t>
      </w:r>
      <w:r w:rsidRPr="00965B78" w:rsidR="00EA69D8">
        <w:t xml:space="preserve">applies to facilities-based broadband Internet access providers and providers of interconnected </w:t>
      </w:r>
      <w:r w:rsidR="00967994">
        <w:t>VoIP</w:t>
      </w:r>
      <w:r w:rsidRPr="00965B78" w:rsidR="00EA69D8">
        <w:t xml:space="preserve"> service</w:t>
      </w:r>
      <w:r w:rsidR="00EA69D8">
        <w:t xml:space="preserve">); </w:t>
      </w:r>
      <w:r w:rsidRPr="00E763FA">
        <w:t>Second Report and Order and Memorandum Opinion and Order, 21 FCC Rcd 5360, 539</w:t>
      </w:r>
      <w:r w:rsidR="001F6F4D">
        <w:t>4-9</w:t>
      </w:r>
      <w:r w:rsidRPr="00E763FA">
        <w:t>5, para</w:t>
      </w:r>
      <w:r w:rsidR="001F6F4D">
        <w:t>s</w:t>
      </w:r>
      <w:r w:rsidRPr="00E763FA">
        <w:t xml:space="preserve">. </w:t>
      </w:r>
      <w:r w:rsidR="001F6F4D">
        <w:t>75-</w:t>
      </w:r>
      <w:r w:rsidRPr="00E763FA">
        <w:t>76 (2006) (requir</w:t>
      </w:r>
      <w:r w:rsidR="00CB0A7A">
        <w:t>ing</w:t>
      </w:r>
      <w:r w:rsidRPr="00E763FA">
        <w:t xml:space="preserve"> facilities-based broadband Internet access providers and interconnected Voice over Internet Protocol (VoIP) service providers to also file SSI Plans</w:t>
      </w:r>
      <w:r w:rsidRPr="00B26A97">
        <w:t>).</w:t>
      </w:r>
      <w:r>
        <w:t xml:space="preserve">  </w:t>
      </w:r>
    </w:p>
  </w:footnote>
  <w:footnote w:id="4">
    <w:p w:rsidR="00EC7561" w14:paraId="1300BAD6" w14:textId="3416FAC2">
      <w:pPr>
        <w:pStyle w:val="FootnoteText"/>
      </w:pPr>
      <w:r>
        <w:rPr>
          <w:rStyle w:val="FootnoteReference"/>
        </w:rPr>
        <w:footnoteRef/>
      </w:r>
      <w:r>
        <w:t xml:space="preserve"> </w:t>
      </w:r>
      <w:r w:rsidRPr="004D7537">
        <w:rPr>
          <w:szCs w:val="22"/>
        </w:rPr>
        <w:t xml:space="preserve">CEFS is available at: </w:t>
      </w:r>
      <w:hyperlink r:id="rId1" w:history="1">
        <w:r w:rsidRPr="004D7537">
          <w:rPr>
            <w:rStyle w:val="Hyperlink"/>
            <w:szCs w:val="22"/>
          </w:rPr>
          <w:t>https://www.fcc.gov/cefs</w:t>
        </w:r>
      </w:hyperlink>
      <w:r>
        <w:rPr>
          <w:szCs w:val="22"/>
        </w:rPr>
        <w:t xml:space="preserve">.  </w:t>
      </w:r>
    </w:p>
  </w:footnote>
  <w:footnote w:id="5">
    <w:p w:rsidR="00EC0167" w:rsidRPr="002F24E4" w:rsidP="00EC0167" w14:paraId="64B30FDE" w14:textId="0DA3766B">
      <w:pPr>
        <w:pStyle w:val="FootnoteText"/>
        <w:rPr>
          <w:b/>
        </w:rPr>
      </w:pPr>
      <w:r w:rsidRPr="00D44008">
        <w:rPr>
          <w:rStyle w:val="FootnoteReference"/>
        </w:rPr>
        <w:footnoteRef/>
      </w:r>
      <w:r w:rsidRPr="002F24E4">
        <w:t xml:space="preserve"> </w:t>
      </w:r>
      <w:r w:rsidRPr="00D44008">
        <w:t xml:space="preserve">The rules governing SSI Plans are set out at 47 CFR </w:t>
      </w:r>
      <w:r w:rsidR="00211280">
        <w:t>Part 1, Subpart Z.</w:t>
      </w:r>
    </w:p>
  </w:footnote>
  <w:footnote w:id="6">
    <w:p w:rsidR="00EC0167" w:rsidRPr="002F24E4" w:rsidP="00EC0167" w14:paraId="4474A784" w14:textId="4DAD90F8">
      <w:pPr>
        <w:pStyle w:val="FootnoteText"/>
      </w:pPr>
      <w:r w:rsidRPr="00D44008">
        <w:rPr>
          <w:rStyle w:val="FootnoteReference"/>
        </w:rPr>
        <w:footnoteRef/>
      </w:r>
      <w:r w:rsidRPr="002F24E4">
        <w:t xml:space="preserve"> </w:t>
      </w:r>
      <w:r w:rsidRPr="00D44008">
        <w:rPr>
          <w:i/>
          <w:iCs/>
        </w:rPr>
        <w:t>Communications Assistance for Law Enforcement Act</w:t>
      </w:r>
      <w:r w:rsidRPr="00D44008">
        <w:t>, Report and Order, 14 FCC Rcd 4151, 4159-77, paras. 19-56 (1999).</w:t>
      </w:r>
    </w:p>
  </w:footnote>
  <w:footnote w:id="7">
    <w:p w:rsidR="00EC0167" w:rsidRPr="002F24E4" w:rsidP="00EC0167" w14:paraId="46E4ACE0" w14:textId="77777777">
      <w:pPr>
        <w:pStyle w:val="FootnoteText"/>
      </w:pPr>
      <w:r w:rsidRPr="00D44008">
        <w:rPr>
          <w:rStyle w:val="FootnoteReference"/>
        </w:rPr>
        <w:footnoteRef/>
      </w:r>
      <w:r w:rsidRPr="002F24E4">
        <w:t xml:space="preserve"> </w:t>
      </w:r>
      <w:r w:rsidRPr="00D44008">
        <w:t>47 CFR § 1.20005.</w:t>
      </w:r>
    </w:p>
  </w:footnote>
  <w:footnote w:id="8">
    <w:p w:rsidR="00EC0167" w:rsidRPr="00764462" w:rsidP="00EC0167" w14:paraId="4DC8D6A8" w14:textId="77777777">
      <w:pPr>
        <w:pStyle w:val="FootnoteText"/>
      </w:pPr>
      <w:r w:rsidRPr="00D44008">
        <w:rPr>
          <w:rStyle w:val="FootnoteReference"/>
        </w:rPr>
        <w:footnoteRef/>
      </w:r>
      <w:r w:rsidRPr="002F24E4">
        <w:t xml:space="preserve"> </w:t>
      </w:r>
      <w:r w:rsidRPr="00D44008">
        <w:t>47 CFR § 1.20005(a).</w:t>
      </w:r>
    </w:p>
  </w:footnote>
  <w:footnote w:id="9">
    <w:p w:rsidR="00EC0167" w:rsidRPr="00887D25" w:rsidP="00EC0167" w14:paraId="2CDFB73C" w14:textId="56519345">
      <w:pPr>
        <w:pStyle w:val="FootnoteText"/>
      </w:pPr>
      <w:r w:rsidRPr="00D44008">
        <w:rPr>
          <w:rStyle w:val="FootnoteReference"/>
        </w:rPr>
        <w:footnoteRef/>
      </w:r>
      <w:r w:rsidRPr="00887D25">
        <w:t xml:space="preserve"> 47 CFR §§ 1.20003, 1.20004</w:t>
      </w:r>
      <w:r w:rsidR="00C94EEA">
        <w:t xml:space="preserve">, </w:t>
      </w:r>
      <w:r w:rsidRPr="00D44008" w:rsidR="00C94EEA">
        <w:t>1.20005(</w:t>
      </w:r>
      <w:r w:rsidR="00C94EEA">
        <w:t>b</w:t>
      </w:r>
      <w:r w:rsidRPr="00D44008" w:rsidR="00C94EEA">
        <w:t>)</w:t>
      </w:r>
      <w:r w:rsidRPr="00887D25">
        <w:t xml:space="preserve">.  </w:t>
      </w:r>
    </w:p>
  </w:footnote>
  <w:footnote w:id="10">
    <w:p w:rsidR="000777AF" w:rsidRPr="00D44008" w:rsidP="000777AF" w14:paraId="18B3C870" w14:textId="77777777">
      <w:pPr>
        <w:shd w:val="clear" w:color="auto" w:fill="FFFFFF"/>
        <w:spacing w:after="120"/>
        <w:rPr>
          <w:sz w:val="20"/>
        </w:rPr>
      </w:pPr>
      <w:r w:rsidRPr="00D44008">
        <w:rPr>
          <w:rStyle w:val="FootnoteReference"/>
        </w:rPr>
        <w:footnoteRef/>
      </w:r>
      <w:r w:rsidRPr="00D44008">
        <w:rPr>
          <w:sz w:val="20"/>
        </w:rPr>
        <w:t xml:space="preserve"> </w:t>
      </w:r>
      <w:r w:rsidRPr="00D44008">
        <w:rPr>
          <w:i/>
          <w:iCs/>
          <w:sz w:val="20"/>
        </w:rPr>
        <w:t>Public Safety Homeland Security Bureau Provides Information on Implementation of Voluntary Electronic Filing of CALEA System Security and Integrity Plans and Seeks Comment on Mandatory Electronic Filing</w:t>
      </w:r>
      <w:r w:rsidRPr="00D44008">
        <w:rPr>
          <w:sz w:val="20"/>
        </w:rPr>
        <w:t xml:space="preserve">, Public Notice, DA </w:t>
      </w:r>
      <w:r w:rsidRPr="00D44008">
        <w:rPr>
          <w:bCs/>
          <w:sz w:val="20"/>
        </w:rPr>
        <w:t>22-592</w:t>
      </w:r>
      <w:r w:rsidRPr="00D44008">
        <w:rPr>
          <w:sz w:val="20"/>
        </w:rPr>
        <w:t xml:space="preserve"> (PSHSB rel. June 1, 2022) (</w:t>
      </w:r>
      <w:r w:rsidRPr="00D44008">
        <w:rPr>
          <w:i/>
          <w:iCs/>
          <w:sz w:val="20"/>
        </w:rPr>
        <w:t>CEFS Announcement</w:t>
      </w:r>
      <w:r w:rsidRPr="00D44008">
        <w:rPr>
          <w:sz w:val="20"/>
        </w:rPr>
        <w:t xml:space="preserve"> </w:t>
      </w:r>
      <w:r w:rsidRPr="00D44008">
        <w:rPr>
          <w:i/>
          <w:sz w:val="20"/>
        </w:rPr>
        <w:t>Public Notice</w:t>
      </w:r>
      <w:r w:rsidRPr="00D44008">
        <w:rPr>
          <w:sz w:val="20"/>
        </w:rPr>
        <w:t>).</w:t>
      </w:r>
    </w:p>
  </w:footnote>
  <w:footnote w:id="11">
    <w:p w:rsidR="00AF50E2" w:rsidRPr="00887D25" w:rsidP="00AF50E2" w14:paraId="73959745" w14:textId="77777777">
      <w:pPr>
        <w:pStyle w:val="FootnoteText"/>
      </w:pPr>
      <w:r w:rsidRPr="00887D25">
        <w:rPr>
          <w:rStyle w:val="FootnoteReference"/>
        </w:rPr>
        <w:footnoteRef/>
      </w:r>
      <w:r w:rsidRPr="00887D25">
        <w:t xml:space="preserve"> </w:t>
      </w:r>
      <w:r w:rsidRPr="00887D25">
        <w:rPr>
          <w:i/>
        </w:rPr>
        <w:t>See</w:t>
      </w:r>
      <w:r w:rsidRPr="00887D25">
        <w:t xml:space="preserve"> </w:t>
      </w:r>
      <w:r w:rsidRPr="00887D25">
        <w:rPr>
          <w:i/>
        </w:rPr>
        <w:t>CEFS Announcement</w:t>
      </w:r>
      <w:r w:rsidRPr="00887D25">
        <w:t xml:space="preserve"> </w:t>
      </w:r>
      <w:r w:rsidRPr="00887D25">
        <w:rPr>
          <w:i/>
        </w:rPr>
        <w:t xml:space="preserve">Public Notice </w:t>
      </w:r>
      <w:r w:rsidRPr="00887D25">
        <w:t>at p. 1.</w:t>
      </w:r>
    </w:p>
  </w:footnote>
  <w:footnote w:id="12">
    <w:p w:rsidR="000777AF" w:rsidP="00FD50FB" w14:paraId="7404DCC7" w14:textId="00D55747">
      <w:pPr>
        <w:shd w:val="clear" w:color="auto" w:fill="FFFFFF"/>
        <w:spacing w:after="120"/>
      </w:pPr>
      <w:r>
        <w:rPr>
          <w:rStyle w:val="FootnoteReference"/>
        </w:rPr>
        <w:footnoteRef/>
      </w:r>
      <w:r>
        <w:t xml:space="preserve"> </w:t>
      </w:r>
      <w:r w:rsidRPr="00D44008">
        <w:rPr>
          <w:i/>
          <w:iCs/>
          <w:sz w:val="20"/>
        </w:rPr>
        <w:t xml:space="preserve">Public Safety Homeland Security Bureau </w:t>
      </w:r>
      <w:r w:rsidRPr="00522501">
        <w:rPr>
          <w:color w:val="1D2B3E"/>
          <w:sz w:val="20"/>
        </w:rPr>
        <w:t xml:space="preserve">Announces </w:t>
      </w:r>
      <w:r w:rsidRPr="00522501">
        <w:rPr>
          <w:i/>
          <w:iCs/>
          <w:color w:val="1D2B3E"/>
          <w:sz w:val="20"/>
        </w:rPr>
        <w:t>Availability Of CALEA Electronic Filing System (CEFS) For Voluntary Filing Of System Security And Integrity Plan</w:t>
      </w:r>
      <w:r w:rsidRPr="00D44008">
        <w:rPr>
          <w:sz w:val="20"/>
        </w:rPr>
        <w:t xml:space="preserve">, Public Notice, </w:t>
      </w:r>
      <w:r w:rsidRPr="00522501">
        <w:rPr>
          <w:sz w:val="20"/>
        </w:rPr>
        <w:t xml:space="preserve">DA </w:t>
      </w:r>
      <w:r w:rsidRPr="00522501">
        <w:rPr>
          <w:color w:val="1D2B3E"/>
          <w:sz w:val="20"/>
        </w:rPr>
        <w:t>22-1299</w:t>
      </w:r>
      <w:r w:rsidRPr="00D44008">
        <w:rPr>
          <w:sz w:val="20"/>
        </w:rPr>
        <w:t xml:space="preserve"> (PSHSB rel. </w:t>
      </w:r>
      <w:r>
        <w:rPr>
          <w:sz w:val="20"/>
        </w:rPr>
        <w:t>Dec. 12</w:t>
      </w:r>
      <w:r w:rsidRPr="00D44008">
        <w:rPr>
          <w:sz w:val="20"/>
        </w:rPr>
        <w:t>, 2022) (</w:t>
      </w:r>
      <w:r w:rsidRPr="00D44008">
        <w:rPr>
          <w:i/>
          <w:iCs/>
          <w:sz w:val="20"/>
        </w:rPr>
        <w:t xml:space="preserve">CEFS </w:t>
      </w:r>
      <w:r w:rsidR="001739C0">
        <w:rPr>
          <w:i/>
          <w:iCs/>
          <w:sz w:val="20"/>
        </w:rPr>
        <w:t>I</w:t>
      </w:r>
      <w:r>
        <w:rPr>
          <w:i/>
          <w:iCs/>
          <w:sz w:val="20"/>
        </w:rPr>
        <w:t>mplementation P</w:t>
      </w:r>
      <w:r w:rsidRPr="00D44008">
        <w:rPr>
          <w:i/>
          <w:sz w:val="20"/>
        </w:rPr>
        <w:t>ublic Notice</w:t>
      </w:r>
      <w:r w:rsidRPr="00D44008">
        <w:rPr>
          <w:sz w:val="20"/>
        </w:rPr>
        <w:t>).</w:t>
      </w:r>
    </w:p>
  </w:footnote>
  <w:footnote w:id="13">
    <w:p w:rsidR="00534558" w:rsidRPr="00150E58" w:rsidP="00534558" w14:paraId="67DD0763" w14:textId="77777777">
      <w:pPr>
        <w:spacing w:after="120"/>
        <w:rPr>
          <w:sz w:val="20"/>
        </w:rPr>
      </w:pPr>
      <w:r>
        <w:rPr>
          <w:rStyle w:val="FootnoteReference"/>
        </w:rPr>
        <w:footnoteRef/>
      </w:r>
      <w:r>
        <w:t xml:space="preserve"> </w:t>
      </w:r>
      <w:r w:rsidRPr="00B3719A">
        <w:rPr>
          <w:i/>
          <w:iCs/>
          <w:sz w:val="20"/>
        </w:rPr>
        <w:t>See</w:t>
      </w:r>
      <w:r>
        <w:t xml:space="preserve"> </w:t>
      </w:r>
      <w:r w:rsidRPr="00150E58">
        <w:rPr>
          <w:sz w:val="20"/>
        </w:rPr>
        <w:t>Subsentio</w:t>
      </w:r>
      <w:r w:rsidRPr="00150E58">
        <w:rPr>
          <w:sz w:val="20"/>
        </w:rPr>
        <w:t xml:space="preserve">, LLC comment, Letter from </w:t>
      </w:r>
      <w:r w:rsidRPr="00150E58">
        <w:rPr>
          <w:rFonts w:cs="Arial"/>
          <w:sz w:val="20"/>
        </w:rPr>
        <w:t xml:space="preserve">Stephen Pfeiffer, </w:t>
      </w:r>
      <w:r w:rsidRPr="00150E58">
        <w:rPr>
          <w:sz w:val="20"/>
        </w:rPr>
        <w:t>July 21, 2022</w:t>
      </w:r>
      <w:r>
        <w:rPr>
          <w:sz w:val="20"/>
        </w:rPr>
        <w:t>.</w:t>
      </w:r>
    </w:p>
  </w:footnote>
  <w:footnote w:id="14">
    <w:p w:rsidR="004E0B46" w14:paraId="36930749" w14:textId="7454455D">
      <w:pPr>
        <w:pStyle w:val="FootnoteText"/>
      </w:pPr>
      <w:r>
        <w:rPr>
          <w:rStyle w:val="FootnoteReference"/>
        </w:rPr>
        <w:footnoteRef/>
      </w:r>
      <w:r>
        <w:t xml:space="preserve"> </w:t>
      </w:r>
      <w:r w:rsidRPr="0095309E" w:rsidR="00BE1245">
        <w:t xml:space="preserve">Filers </w:t>
      </w:r>
      <w:r w:rsidR="00334DC3">
        <w:t xml:space="preserve">are </w:t>
      </w:r>
      <w:r w:rsidR="00073C6E">
        <w:t>required to file SSI Plans directly in CEFS</w:t>
      </w:r>
      <w:r w:rsidR="000B5BCE">
        <w:t>,</w:t>
      </w:r>
      <w:r w:rsidRPr="00073C6E" w:rsidR="00073C6E">
        <w:t xml:space="preserve"> </w:t>
      </w:r>
      <w:r w:rsidR="00073C6E">
        <w:t xml:space="preserve">which is </w:t>
      </w:r>
      <w:r w:rsidRPr="00073C6E" w:rsidR="00073C6E">
        <w:t>a secure, confidential electronic filing system</w:t>
      </w:r>
      <w:r w:rsidR="00073C6E">
        <w:t xml:space="preserve">, and </w:t>
      </w:r>
      <w:r w:rsidR="00334DC3">
        <w:t xml:space="preserve">should not file plans </w:t>
      </w:r>
      <w:r w:rsidR="009E277D">
        <w:t xml:space="preserve">through </w:t>
      </w:r>
      <w:r w:rsidR="00073C6E">
        <w:t>t</w:t>
      </w:r>
      <w:r w:rsidRPr="0095309E" w:rsidR="00073C6E">
        <w:rPr>
          <w:color w:val="000000"/>
          <w:bdr w:val="none" w:sz="0" w:space="0" w:color="auto" w:frame="1"/>
        </w:rPr>
        <w:t>he Electronic Comment Filing System (ECFS)</w:t>
      </w:r>
      <w:r w:rsidR="00147508">
        <w:rPr>
          <w:color w:val="000000"/>
          <w:bdr w:val="none" w:sz="0" w:space="0" w:color="auto" w:frame="1"/>
        </w:rPr>
        <w:t>,</w:t>
      </w:r>
      <w:r w:rsidRPr="0095309E" w:rsidR="00073C6E">
        <w:rPr>
          <w:color w:val="000000"/>
          <w:bdr w:val="none" w:sz="0" w:space="0" w:color="auto" w:frame="1"/>
        </w:rPr>
        <w:t xml:space="preserve"> </w:t>
      </w:r>
      <w:r w:rsidR="00073C6E">
        <w:rPr>
          <w:color w:val="000000"/>
          <w:bdr w:val="none" w:sz="0" w:space="0" w:color="auto" w:frame="1"/>
        </w:rPr>
        <w:t xml:space="preserve">which is a repository for docketed proceedings </w:t>
      </w:r>
      <w:r w:rsidRPr="0095309E" w:rsidR="00073C6E">
        <w:rPr>
          <w:color w:val="000000"/>
          <w:bdr w:val="none" w:sz="0" w:space="0" w:color="auto" w:frame="1"/>
        </w:rPr>
        <w:t>that is publicly available.</w:t>
      </w:r>
      <w:r w:rsidR="00073C6E">
        <w:rPr>
          <w:color w:val="000000"/>
          <w:bdr w:val="none" w:sz="0" w:space="0" w:color="auto" w:frame="1"/>
        </w:rPr>
        <w:t xml:space="preserve">  </w:t>
      </w:r>
      <w:r w:rsidRPr="0095309E" w:rsidR="00073C6E">
        <w:rPr>
          <w:color w:val="000000"/>
          <w:bdr w:val="none" w:sz="0" w:space="0" w:color="auto" w:frame="1"/>
        </w:rPr>
        <w:t xml:space="preserve">The Commission has recognized that SSI plans are sensitive in nature. </w:t>
      </w:r>
      <w:r w:rsidR="001B170D">
        <w:rPr>
          <w:color w:val="000000"/>
          <w:bdr w:val="none" w:sz="0" w:space="0" w:color="auto" w:frame="1"/>
        </w:rPr>
        <w:t xml:space="preserve"> </w:t>
      </w:r>
      <w:r w:rsidRPr="0095309E" w:rsidR="00073C6E">
        <w:rPr>
          <w:i/>
          <w:iCs/>
          <w:color w:val="000000"/>
          <w:bdr w:val="none" w:sz="0" w:space="0" w:color="auto" w:frame="1"/>
        </w:rPr>
        <w:t>See</w:t>
      </w:r>
      <w:r w:rsidRPr="0095309E" w:rsidR="00073C6E">
        <w:rPr>
          <w:color w:val="000000"/>
          <w:bdr w:val="none" w:sz="0" w:space="0" w:color="auto" w:frame="1"/>
        </w:rPr>
        <w:t xml:space="preserve"> </w:t>
      </w:r>
      <w:r w:rsidRPr="004F0807" w:rsidR="00073C6E">
        <w:rPr>
          <w:i/>
          <w:iCs/>
          <w:color w:val="000000"/>
          <w:bdr w:val="none" w:sz="0" w:space="0" w:color="auto" w:frame="1"/>
        </w:rPr>
        <w:t>Communications Assistance for Law Enforcement Act</w:t>
      </w:r>
      <w:r w:rsidRPr="0095309E" w:rsidR="00073C6E">
        <w:rPr>
          <w:color w:val="000000"/>
          <w:bdr w:val="none" w:sz="0" w:space="0" w:color="auto" w:frame="1"/>
        </w:rPr>
        <w:t>, Report and Order, 14 FCC Rcd 4151, 4177, para. 57 (1999).</w:t>
      </w:r>
      <w:r w:rsidR="00073C6E">
        <w:rPr>
          <w:color w:val="000000"/>
          <w:bdr w:val="none" w:sz="0" w:space="0" w:color="auto" w:frame="1"/>
        </w:rPr>
        <w:t xml:space="preserve"> </w:t>
      </w:r>
    </w:p>
  </w:footnote>
  <w:footnote w:id="15">
    <w:p w:rsidR="009B04E1" w:rsidP="009B04E1" w14:paraId="057E9C06" w14:textId="77777777">
      <w:pPr>
        <w:pStyle w:val="FootnoteText"/>
      </w:pPr>
      <w:r>
        <w:rPr>
          <w:rStyle w:val="FootnoteReference"/>
        </w:rPr>
        <w:footnoteRef/>
      </w:r>
      <w:r>
        <w:t xml:space="preserve"> The FCC Registration Number (FRN) is a 10-digit unique identifying number that is assigned to entities doing business with the Commission.  47 CFR § 1.8001.</w:t>
      </w:r>
    </w:p>
  </w:footnote>
  <w:footnote w:id="16">
    <w:p w:rsidR="004412DB" w14:paraId="66EB2753" w14:textId="0F32DC64">
      <w:pPr>
        <w:pStyle w:val="FootnoteText"/>
      </w:pPr>
      <w:r>
        <w:rPr>
          <w:rStyle w:val="FootnoteReference"/>
        </w:rPr>
        <w:footnoteRef/>
      </w:r>
      <w:r>
        <w:t xml:space="preserve"> The CEFS Manual can be found here: </w:t>
      </w:r>
      <w:hyperlink r:id="rId2" w:tgtFrame="_blank" w:history="1">
        <w:r w:rsidRPr="004412DB">
          <w:rPr>
            <w:rStyle w:val="Hyperlink"/>
          </w:rPr>
          <w:t>https://www.fcc.gov/cefs/user-manual</w:t>
        </w:r>
      </w:hyperlink>
      <w:r>
        <w:t>.</w:t>
      </w:r>
      <w:r w:rsidR="00902DD2">
        <w:t xml:space="preserve"> </w:t>
      </w:r>
      <w:r w:rsidR="002D47FC">
        <w:t xml:space="preserve"> </w:t>
      </w:r>
      <w:r w:rsidR="00902DD2">
        <w:t xml:space="preserve">Additional information can also be found at: </w:t>
      </w:r>
      <w:hyperlink r:id="rId3" w:history="1">
        <w:r w:rsidRPr="0021796C" w:rsidR="002D47FC">
          <w:rPr>
            <w:rStyle w:val="Hyperlink"/>
          </w:rPr>
          <w:t>https://www.fcc.gov/calea</w:t>
        </w:r>
      </w:hyperlink>
      <w:r w:rsidR="00902DD2">
        <w:t xml:space="preserve">. </w:t>
      </w:r>
    </w:p>
  </w:footnote>
  <w:footnote w:id="17">
    <w:p w:rsidR="00415894" w:rsidP="00415894" w14:paraId="24F4086B" w14:textId="77777777">
      <w:pPr>
        <w:pStyle w:val="FootnoteText"/>
      </w:pPr>
      <w:r>
        <w:rPr>
          <w:rStyle w:val="FootnoteReference"/>
        </w:rPr>
        <w:footnoteRef/>
      </w:r>
      <w:r>
        <w:t xml:space="preserve"> </w:t>
      </w:r>
      <w:r w:rsidRPr="008207CB">
        <w:rPr>
          <w:i/>
          <w:iCs/>
        </w:rPr>
        <w:t xml:space="preserve">See </w:t>
      </w:r>
      <w:r w:rsidRPr="008207CB">
        <w:t>OMB Approvals for Non-Substantive Changes to Currently Approved Information Collections (OMB Control Nos. 3060-0809, 3060-0917, 3060-0918, 3060-0862), May 6, 2022</w:t>
      </w:r>
      <w:r>
        <w:t xml:space="preserve">; </w:t>
      </w:r>
      <w:r w:rsidRPr="008F3D0C">
        <w:rPr>
          <w:i/>
          <w:iCs/>
        </w:rPr>
        <w:t>s</w:t>
      </w:r>
      <w:r w:rsidRPr="00BB11F7">
        <w:rPr>
          <w:i/>
          <w:iCs/>
        </w:rPr>
        <w:t xml:space="preserve">ee </w:t>
      </w:r>
      <w:r>
        <w:rPr>
          <w:i/>
          <w:iCs/>
        </w:rPr>
        <w:t xml:space="preserve">also </w:t>
      </w:r>
      <w:r w:rsidRPr="00BB11F7">
        <w:t>OMB Approvals for Extension without Change of a currently approved collection for Control No. 3060-0809</w:t>
      </w:r>
      <w:r>
        <w:t xml:space="preserve"> (approved through Oct. 31, 2025)</w:t>
      </w:r>
      <w:r w:rsidRPr="00BB11F7">
        <w:t>, Oct. 18, 2022.</w:t>
      </w:r>
    </w:p>
  </w:footnote>
  <w:footnote w:id="18">
    <w:p w:rsidR="00616596" w:rsidRPr="00917474" w:rsidP="00616596" w14:paraId="21492A76" w14:textId="77777777">
      <w:pPr>
        <w:pStyle w:val="FootnoteText"/>
      </w:pPr>
      <w:r w:rsidRPr="00335ACA">
        <w:rPr>
          <w:rStyle w:val="FootnoteReference"/>
        </w:rPr>
        <w:footnoteRef/>
      </w:r>
      <w:r w:rsidRPr="00335ACA">
        <w:t xml:space="preserve"> </w:t>
      </w:r>
      <w:r w:rsidRPr="00D44008">
        <w:t xml:space="preserve">5 U.S.C. § 603.  The RFA, 5 U.S.C. §§ 601–612, was amended by the Small Business Regulatory Enforcement Fairness Act of </w:t>
      </w:r>
      <w:r w:rsidRPr="00917474">
        <w:t>1996 (SBREFA), Pub. L. No. 104-121, Title II, 110 Stat. 857 (1996).</w:t>
      </w:r>
    </w:p>
  </w:footnote>
  <w:footnote w:id="19">
    <w:p w:rsidR="00616596" w:rsidRPr="00917474" w:rsidP="00616596" w14:paraId="0EEEBCFF" w14:textId="71E2C100">
      <w:pPr>
        <w:pStyle w:val="FootnoteText"/>
      </w:pPr>
      <w:r w:rsidRPr="00917474">
        <w:rPr>
          <w:rStyle w:val="FootnoteReference"/>
        </w:rPr>
        <w:footnoteRef/>
      </w:r>
      <w:r>
        <w:t xml:space="preserve"> </w:t>
      </w:r>
      <w:r>
        <w:rPr>
          <w:i/>
          <w:iCs/>
        </w:rPr>
        <w:t xml:space="preserve">Id. </w:t>
      </w:r>
      <w:r w:rsidRPr="00917474">
        <w:t xml:space="preserve">§ 605(b).  </w:t>
      </w:r>
    </w:p>
  </w:footnote>
  <w:footnote w:id="20">
    <w:p w:rsidR="00616596" w:rsidRPr="00917474" w:rsidP="00616596" w14:paraId="77D54B17" w14:textId="77777777">
      <w:pPr>
        <w:pStyle w:val="FootnoteText"/>
      </w:pPr>
      <w:r w:rsidRPr="00F13D82">
        <w:rPr>
          <w:rStyle w:val="FootnoteReference"/>
        </w:rPr>
        <w:footnoteRef/>
      </w:r>
      <w:r w:rsidRPr="00F13D82">
        <w:t xml:space="preserve"> </w:t>
      </w:r>
      <w:r w:rsidRPr="00917474">
        <w:rPr>
          <w:i/>
          <w:iCs/>
        </w:rPr>
        <w:t>Id.</w:t>
      </w:r>
      <w:r w:rsidRPr="00917474">
        <w:t xml:space="preserve"> § 601(6).</w:t>
      </w:r>
    </w:p>
  </w:footnote>
  <w:footnote w:id="21">
    <w:p w:rsidR="00616596" w:rsidRPr="001903A4" w:rsidP="00616596" w14:paraId="4CAEA3FF" w14:textId="77777777">
      <w:pPr>
        <w:pStyle w:val="FootnoteText"/>
      </w:pPr>
      <w:r w:rsidRPr="00F13D82">
        <w:rPr>
          <w:rStyle w:val="FootnoteReference"/>
        </w:rPr>
        <w:footnoteRef/>
      </w:r>
      <w:r w:rsidRPr="00F13D82">
        <w:t xml:space="preserve"> </w:t>
      </w:r>
      <w:r w:rsidRPr="00917474">
        <w:rPr>
          <w:i/>
          <w:iCs/>
        </w:rPr>
        <w:t xml:space="preserve">Id. </w:t>
      </w:r>
      <w:r w:rsidRPr="00917474">
        <w:t>§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w:t>
      </w:r>
      <w:r w:rsidRPr="008207CB">
        <w:t xml:space="preserve"> comment, establishes one or more definitions of such term which are appropriate to the activities of the agency and </w:t>
      </w:r>
      <w:r w:rsidRPr="001903A4">
        <w:t>publishes such definition(s) in the Federal Register.”</w:t>
      </w:r>
    </w:p>
  </w:footnote>
  <w:footnote w:id="22">
    <w:p w:rsidR="00616596" w:rsidRPr="00F13D82" w:rsidP="00616596" w14:paraId="62D6442D" w14:textId="77777777">
      <w:pPr>
        <w:pStyle w:val="FootnoteText"/>
      </w:pPr>
      <w:r w:rsidRPr="00F13D82">
        <w:rPr>
          <w:rStyle w:val="FootnoteReference"/>
        </w:rPr>
        <w:footnoteRef/>
      </w:r>
      <w:r w:rsidRPr="00F13D82">
        <w:t xml:space="preserve"> </w:t>
      </w:r>
      <w:r w:rsidRPr="001903A4">
        <w:t>15 U.S.C. § 632.</w:t>
      </w:r>
    </w:p>
  </w:footnote>
  <w:footnote w:id="23">
    <w:p w:rsidR="00616596" w:rsidRPr="001903A4" w:rsidP="00616596" w14:paraId="51026AAF" w14:textId="6102D44C">
      <w:pPr>
        <w:pStyle w:val="FootnoteText"/>
      </w:pPr>
      <w:r w:rsidRPr="001903A4">
        <w:rPr>
          <w:rStyle w:val="FootnoteReference"/>
        </w:rPr>
        <w:footnoteRef/>
      </w:r>
      <w:r w:rsidRPr="001903A4">
        <w:t xml:space="preserve"> </w:t>
      </w:r>
      <w:r w:rsidRPr="00D44008">
        <w:t>5 U.S.C. § 60</w:t>
      </w:r>
      <w:r>
        <w:t>5(b).</w:t>
      </w:r>
      <w:r w:rsidR="00CA74EA">
        <w:t xml:space="preserve">  Although not required in this particular situation, we are </w:t>
      </w:r>
      <w:r w:rsidR="000E0F96">
        <w:t xml:space="preserve">optionally </w:t>
      </w:r>
      <w:r w:rsidR="00CA74EA">
        <w:t xml:space="preserve">including a Final Regulatory Flexibility Certification here since an </w:t>
      </w:r>
      <w:r w:rsidRPr="00F45EE6" w:rsidR="00CA74EA">
        <w:t>Initial Regulatory Flexibility Certification</w:t>
      </w:r>
      <w:r w:rsidR="00CA74EA">
        <w:t xml:space="preserve"> was included in the </w:t>
      </w:r>
      <w:r w:rsidRPr="00A91AE2" w:rsidR="00CA74EA">
        <w:rPr>
          <w:i/>
          <w:iCs/>
        </w:rPr>
        <w:t>CEFS Announcement PN</w:t>
      </w:r>
      <w:r w:rsidR="00CA74EA">
        <w:rPr>
          <w:i/>
          <w:iCs/>
        </w:rPr>
        <w:t>.</w:t>
      </w:r>
      <w:r w:rsidR="00CA74EA">
        <w:t xml:space="preserve"> </w:t>
      </w:r>
      <w:r w:rsidR="00655E9A">
        <w:t xml:space="preserve"> </w:t>
      </w:r>
      <w:r w:rsidRPr="000E0F96" w:rsidR="000E0F96">
        <w:rPr>
          <w:i/>
          <w:iCs/>
        </w:rPr>
        <w:t>See</w:t>
      </w:r>
      <w:r w:rsidR="000E0F96">
        <w:t xml:space="preserve"> </w:t>
      </w:r>
      <w:r w:rsidRPr="000E0F96" w:rsidR="000E0F96">
        <w:t>5 U.S.C. §§ 603, 604 (</w:t>
      </w:r>
      <w:r w:rsidR="00EF1904">
        <w:t xml:space="preserve">initial and </w:t>
      </w:r>
      <w:r w:rsidR="00196F19">
        <w:t xml:space="preserve">final regulatory flexibility </w:t>
      </w:r>
      <w:r w:rsidR="00773E1F">
        <w:t xml:space="preserve">analyses </w:t>
      </w:r>
      <w:r w:rsidRPr="000E0F96" w:rsidR="000E0F96">
        <w:t>are required only when the APA requires the agency to follow APA notice-and-comment procedures).</w:t>
      </w:r>
    </w:p>
  </w:footnote>
  <w:footnote w:id="24">
    <w:p w:rsidR="00616596" w:rsidRPr="00F13D82" w:rsidP="00616596" w14:paraId="64C38A79" w14:textId="42E02FEB">
      <w:pPr>
        <w:pStyle w:val="FootnoteText"/>
      </w:pPr>
      <w:r w:rsidRPr="00F13D82">
        <w:rPr>
          <w:rStyle w:val="FootnoteReference"/>
        </w:rPr>
        <w:footnoteRef/>
      </w:r>
      <w:r w:rsidRPr="00F13D82">
        <w:t xml:space="preserve"> </w:t>
      </w:r>
      <w:r w:rsidRPr="00616596">
        <w:rPr>
          <w:i/>
          <w:iCs/>
          <w:color w:val="000000"/>
        </w:rPr>
        <w:t>CEFS Announcement Public Notice</w:t>
      </w:r>
      <w:r w:rsidR="00001272">
        <w:rPr>
          <w:color w:val="000000"/>
        </w:rPr>
        <w:t xml:space="preserve"> at 7-8</w:t>
      </w:r>
      <w:r w:rsidRPr="00616596">
        <w:rPr>
          <w:color w:val="000000"/>
        </w:rPr>
        <w:t xml:space="preserve">; </w:t>
      </w:r>
      <w:r w:rsidRPr="00616596">
        <w:rPr>
          <w:i/>
          <w:iCs/>
          <w:color w:val="000000"/>
        </w:rPr>
        <w:t>see also</w:t>
      </w:r>
      <w:r w:rsidRPr="00616596">
        <w:rPr>
          <w:color w:val="000000"/>
        </w:rPr>
        <w:t xml:space="preserve"> Public Safety And Homeland Security Bureau Announces Comment And Reply Comment Dates For The Implementation Of Electronic Filing Of CALEA System Security And Integrity Plans, Public Notice, DA 22-681 (PSHSB rel. June 28, 2022). </w:t>
      </w:r>
    </w:p>
  </w:footnote>
  <w:footnote w:id="25">
    <w:p w:rsidR="00616596" w:rsidRPr="00DE0812" w:rsidP="00616596" w14:paraId="3CA42810" w14:textId="2DFB0C78">
      <w:pPr>
        <w:autoSpaceDE w:val="0"/>
        <w:autoSpaceDN w:val="0"/>
        <w:adjustRightInd w:val="0"/>
        <w:spacing w:after="120"/>
        <w:rPr>
          <w:sz w:val="20"/>
        </w:rPr>
      </w:pPr>
      <w:r w:rsidRPr="00F13D82">
        <w:rPr>
          <w:rStyle w:val="FootnoteReference"/>
        </w:rPr>
        <w:footnoteRef/>
      </w:r>
      <w:r w:rsidRPr="00F13D82">
        <w:rPr>
          <w:sz w:val="20"/>
        </w:rPr>
        <w:t xml:space="preserve"> </w:t>
      </w:r>
      <w:r w:rsidRPr="00DE0812">
        <w:rPr>
          <w:sz w:val="20"/>
        </w:rPr>
        <w:t xml:space="preserve">Communications Assistance for Law Enforcement Act, </w:t>
      </w:r>
      <w:r w:rsidRPr="00DE0812">
        <w:rPr>
          <w:rStyle w:val="cf01"/>
          <w:rFonts w:ascii="Times New Roman" w:hAnsi="Times New Roman" w:cs="Times New Roman"/>
          <w:sz w:val="20"/>
          <w:szCs w:val="20"/>
        </w:rPr>
        <w:t>Second Order on Reconsideration</w:t>
      </w:r>
      <w:r w:rsidR="00A37ED8">
        <w:rPr>
          <w:rStyle w:val="cf01"/>
          <w:rFonts w:ascii="Times New Roman" w:hAnsi="Times New Roman" w:cs="Times New Roman"/>
          <w:i w:val="0"/>
          <w:iCs w:val="0"/>
          <w:sz w:val="20"/>
          <w:szCs w:val="20"/>
        </w:rPr>
        <w:t>,</w:t>
      </w:r>
      <w:r w:rsidRPr="00DE0812">
        <w:rPr>
          <w:rStyle w:val="cf11"/>
          <w:rFonts w:ascii="Times New Roman" w:hAnsi="Times New Roman" w:cs="Times New Roman"/>
          <w:sz w:val="20"/>
          <w:szCs w:val="20"/>
        </w:rPr>
        <w:t xml:space="preserve"> FCC 01-126, </w:t>
      </w:r>
      <w:r w:rsidRPr="00DE0812">
        <w:rPr>
          <w:color w:val="1D2B3E"/>
          <w:sz w:val="20"/>
        </w:rPr>
        <w:t>16 FCC Rcd 8959, </w:t>
      </w:r>
      <w:r w:rsidRPr="004900EC" w:rsidR="004900EC">
        <w:rPr>
          <w:color w:val="1D2B3E"/>
          <w:sz w:val="20"/>
        </w:rPr>
        <w:t>8968</w:t>
      </w:r>
      <w:r w:rsidRPr="004900EC" w:rsidR="0068097D">
        <w:rPr>
          <w:color w:val="1D2B3E"/>
          <w:sz w:val="20"/>
        </w:rPr>
        <w:t>,</w:t>
      </w:r>
      <w:r w:rsidRPr="00DE0812">
        <w:rPr>
          <w:rStyle w:val="cf11"/>
          <w:rFonts w:ascii="Times New Roman" w:hAnsi="Times New Roman" w:cs="Times New Roman"/>
          <w:sz w:val="20"/>
          <w:szCs w:val="20"/>
        </w:rPr>
        <w:t xml:space="preserve"> </w:t>
      </w:r>
      <w:r w:rsidRPr="00DE0812" w:rsidR="00DE0812">
        <w:rPr>
          <w:rStyle w:val="cf11"/>
          <w:rFonts w:ascii="Times New Roman" w:hAnsi="Times New Roman" w:cs="Times New Roman"/>
          <w:sz w:val="20"/>
          <w:szCs w:val="20"/>
        </w:rPr>
        <w:t>paras.</w:t>
      </w:r>
      <w:r w:rsidR="00790619">
        <w:rPr>
          <w:rStyle w:val="cf11"/>
          <w:rFonts w:ascii="Times New Roman" w:hAnsi="Times New Roman" w:cs="Times New Roman"/>
          <w:sz w:val="20"/>
          <w:szCs w:val="20"/>
        </w:rPr>
        <w:t xml:space="preserve"> </w:t>
      </w:r>
      <w:r w:rsidRPr="00DE0812">
        <w:rPr>
          <w:rStyle w:val="cf11"/>
          <w:rFonts w:ascii="Times New Roman" w:hAnsi="Times New Roman" w:cs="Times New Roman"/>
          <w:sz w:val="20"/>
          <w:szCs w:val="20"/>
        </w:rPr>
        <w:t>26, 30 (2001).</w:t>
      </w:r>
    </w:p>
  </w:footnote>
  <w:footnote w:id="26">
    <w:p w:rsidR="00616596" w:rsidRPr="00F13D82" w:rsidP="00616596" w14:paraId="00A1BB11" w14:textId="6D98A457">
      <w:pPr>
        <w:pStyle w:val="FootnoteText"/>
      </w:pPr>
      <w:r w:rsidRPr="00F13D82">
        <w:rPr>
          <w:rStyle w:val="FootnoteReference"/>
        </w:rPr>
        <w:footnoteRef/>
      </w:r>
      <w:r w:rsidRPr="00F13D82">
        <w:t xml:space="preserve"> </w:t>
      </w:r>
      <w:r w:rsidRPr="001903A4">
        <w:rPr>
          <w:i/>
          <w:iCs/>
        </w:rPr>
        <w:t xml:space="preserve">See </w:t>
      </w:r>
      <w:r w:rsidRPr="001903A4">
        <w:t xml:space="preserve">Communications Assistance for Law Enforcement Act, CC Docket No. 97-213, </w:t>
      </w:r>
      <w:r w:rsidRPr="001903A4">
        <w:rPr>
          <w:i/>
          <w:iCs/>
        </w:rPr>
        <w:t>Report and Order</w:t>
      </w:r>
      <w:r w:rsidRPr="001903A4">
        <w:t>, 14 FCC Rcd 4151, 4177</w:t>
      </w:r>
      <w:r w:rsidR="00BA1C86">
        <w:t>,</w:t>
      </w:r>
      <w:r w:rsidRPr="001903A4">
        <w:t xml:space="preserve"> </w:t>
      </w:r>
      <w:r w:rsidR="002802A4">
        <w:t>para.</w:t>
      </w:r>
      <w:r w:rsidR="00790619">
        <w:t xml:space="preserve"> </w:t>
      </w:r>
      <w:r w:rsidRPr="001903A4">
        <w:t>57 (1999).</w:t>
      </w:r>
    </w:p>
  </w:footnote>
  <w:footnote w:id="27">
    <w:p w:rsidR="00616596" w:rsidRPr="00F13D82" w:rsidP="00616596" w14:paraId="57923911" w14:textId="77777777">
      <w:pPr>
        <w:pStyle w:val="FootnoteText"/>
      </w:pPr>
      <w:r w:rsidRPr="00F13D82">
        <w:rPr>
          <w:rStyle w:val="FootnoteReference"/>
        </w:rPr>
        <w:footnoteRef/>
      </w:r>
      <w:r w:rsidRPr="00F13D82">
        <w:t xml:space="preserve"> </w:t>
      </w:r>
      <w:r w:rsidRPr="001903A4">
        <w:rPr>
          <w:i/>
          <w:iCs/>
        </w:rPr>
        <w:t xml:space="preserve">See </w:t>
      </w:r>
      <w:r w:rsidRPr="001903A4">
        <w:t xml:space="preserve">OMB Approvals for Non-Substantive Changes to Currently Approved Information Collections (OMB Control Nos. 3060-0809, 3060-0917, 3060-0918, 3060-0862), May 6, 2022; </w:t>
      </w:r>
      <w:r w:rsidRPr="001903A4">
        <w:rPr>
          <w:i/>
          <w:iCs/>
        </w:rPr>
        <w:t xml:space="preserve">see also </w:t>
      </w:r>
      <w:r w:rsidRPr="001903A4">
        <w:t>OMB Approvals for Extension without Change of a currently approved collection for Control No. 3060-0809 (approved through Oct. 31, 2025), Oct. 18,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A2DE7" w14:paraId="42B3BAEE" w14:textId="2F75522A">
    <w:pPr>
      <w:pStyle w:val="Header"/>
    </w:pPr>
    <w:r>
      <w:tab/>
      <w:t>Federal Communications Commission</w:t>
    </w:r>
    <w:r>
      <w:tab/>
      <w:t xml:space="preserve">DA </w:t>
    </w:r>
    <w:r w:rsidR="007F1CCC">
      <w:t>2</w:t>
    </w:r>
    <w:r w:rsidR="00EC0167">
      <w:t>3</w:t>
    </w:r>
    <w:r w:rsidR="007F1CCC">
      <w:t>-</w:t>
    </w:r>
    <w:r w:rsidR="00AA2DE7">
      <w:t>392</w:t>
    </w:r>
  </w:p>
  <w:p w:rsidR="00D25FB5" w14:paraId="0417257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703FF8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76301" w:rsidP="00AA2DE7" w14:paraId="7066B232" w14:textId="6B4AB6C5">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rsidRPr="00F76301">
      <w:t>Federal Communications Commission</w:t>
    </w:r>
    <w:r w:rsidRPr="00F76301">
      <w:tab/>
    </w:r>
    <w:r w:rsidRPr="00F76301">
      <w:rPr>
        <w:spacing w:val="-2"/>
      </w:rPr>
      <w:t xml:space="preserve">DA </w:t>
    </w:r>
    <w:r w:rsidRPr="00F76301" w:rsidR="001D0685">
      <w:rPr>
        <w:spacing w:val="-2"/>
      </w:rPr>
      <w:t>2</w:t>
    </w:r>
    <w:r w:rsidRPr="00F76301" w:rsidR="00EC0167">
      <w:rPr>
        <w:spacing w:val="-2"/>
      </w:rPr>
      <w:t>3</w:t>
    </w:r>
    <w:r w:rsidRPr="00F76301" w:rsidR="00F76301">
      <w:rPr>
        <w:spacing w:val="-2"/>
      </w:rPr>
      <w:t>-</w:t>
    </w:r>
    <w:r w:rsidRPr="00F76301" w:rsidR="00F76301">
      <w:t>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1A4FA8"/>
    <w:multiLevelType w:val="hybridMultilevel"/>
    <w:tmpl w:val="323A594E"/>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1">
    <w:nsid w:val="0ED372BF"/>
    <w:multiLevelType w:val="multilevel"/>
    <w:tmpl w:val="8DE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F4D6462"/>
    <w:multiLevelType w:val="multilevel"/>
    <w:tmpl w:val="C124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255820CC"/>
    <w:lvl w:ilvl="0">
      <w:start w:val="1"/>
      <w:numFmt w:val="decimal"/>
      <w:pStyle w:val="ParaNum"/>
      <w:lvlText w:val="%1."/>
      <w:lvlJc w:val="left"/>
      <w:pPr>
        <w:tabs>
          <w:tab w:val="num" w:pos="1080"/>
        </w:tabs>
        <w:ind w:left="0" w:firstLine="720"/>
      </w:pPr>
      <w:rPr>
        <w:b w:val="0"/>
        <w:i w:val="0"/>
        <w:iCs w:val="0"/>
      </w:rPr>
    </w:lvl>
  </w:abstractNum>
  <w:abstractNum w:abstractNumId="7">
    <w:nsid w:val="63B6130F"/>
    <w:multiLevelType w:val="hybridMultilevel"/>
    <w:tmpl w:val="02E0A350"/>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A0E498C"/>
    <w:multiLevelType w:val="multilevel"/>
    <w:tmpl w:val="681A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9"/>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5"/>
  </w:num>
  <w:num w:numId="10">
    <w:abstractNumId w:val="7"/>
  </w:num>
  <w:num w:numId="11">
    <w:abstractNumId w:val="6"/>
    <w:lvlOverride w:ilvl="0">
      <w:startOverride w:val="1"/>
    </w:lvlOverride>
  </w:num>
  <w:num w:numId="12">
    <w:abstractNumId w:val="6"/>
    <w:lvlOverride w:ilvl="0">
      <w:startOverride w:val="1"/>
    </w:lvlOverride>
  </w:num>
  <w:num w:numId="13">
    <w:abstractNumId w:val="6"/>
  </w:num>
  <w:num w:numId="14">
    <w:abstractNumId w:val="8"/>
  </w:num>
  <w:num w:numId="15">
    <w:abstractNumId w:val="1"/>
  </w:num>
  <w:num w:numId="16">
    <w:abstractNumId w:val="3"/>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lvlOverride w:ilvl="0">
      <w:startOverride w:val="1"/>
    </w:lvlOverride>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NotTrackFormatting/>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8"/>
    <w:rsid w:val="000006C7"/>
    <w:rsid w:val="00001272"/>
    <w:rsid w:val="000039F4"/>
    <w:rsid w:val="00004AA9"/>
    <w:rsid w:val="000062FF"/>
    <w:rsid w:val="00010793"/>
    <w:rsid w:val="0001109F"/>
    <w:rsid w:val="00015FAC"/>
    <w:rsid w:val="00016372"/>
    <w:rsid w:val="0001738A"/>
    <w:rsid w:val="00017FE3"/>
    <w:rsid w:val="00021100"/>
    <w:rsid w:val="00023DF1"/>
    <w:rsid w:val="0002507A"/>
    <w:rsid w:val="0002509B"/>
    <w:rsid w:val="00026913"/>
    <w:rsid w:val="00031444"/>
    <w:rsid w:val="00032266"/>
    <w:rsid w:val="000324F8"/>
    <w:rsid w:val="00035411"/>
    <w:rsid w:val="000431C6"/>
    <w:rsid w:val="0004465D"/>
    <w:rsid w:val="0005031D"/>
    <w:rsid w:val="00053EE3"/>
    <w:rsid w:val="00054D75"/>
    <w:rsid w:val="00054DA8"/>
    <w:rsid w:val="0005555C"/>
    <w:rsid w:val="00056A16"/>
    <w:rsid w:val="00057C68"/>
    <w:rsid w:val="0006034D"/>
    <w:rsid w:val="00065C7F"/>
    <w:rsid w:val="00071AD9"/>
    <w:rsid w:val="00073C6E"/>
    <w:rsid w:val="000777AF"/>
    <w:rsid w:val="00080B67"/>
    <w:rsid w:val="00080E8F"/>
    <w:rsid w:val="000810B2"/>
    <w:rsid w:val="000856B7"/>
    <w:rsid w:val="00085A0A"/>
    <w:rsid w:val="000867FC"/>
    <w:rsid w:val="00092361"/>
    <w:rsid w:val="000A1B5E"/>
    <w:rsid w:val="000A3738"/>
    <w:rsid w:val="000A38CF"/>
    <w:rsid w:val="000A60EF"/>
    <w:rsid w:val="000B34ED"/>
    <w:rsid w:val="000B5BCE"/>
    <w:rsid w:val="000C0414"/>
    <w:rsid w:val="000D0947"/>
    <w:rsid w:val="000D0F86"/>
    <w:rsid w:val="000D2442"/>
    <w:rsid w:val="000D2817"/>
    <w:rsid w:val="000D366E"/>
    <w:rsid w:val="000D3E8C"/>
    <w:rsid w:val="000D41E4"/>
    <w:rsid w:val="000E0F96"/>
    <w:rsid w:val="000E1E05"/>
    <w:rsid w:val="000E2871"/>
    <w:rsid w:val="000E4BAC"/>
    <w:rsid w:val="000E7788"/>
    <w:rsid w:val="000F2E4C"/>
    <w:rsid w:val="000F7ACE"/>
    <w:rsid w:val="001031AD"/>
    <w:rsid w:val="00103BE0"/>
    <w:rsid w:val="001066CE"/>
    <w:rsid w:val="00107192"/>
    <w:rsid w:val="001076F4"/>
    <w:rsid w:val="00107A03"/>
    <w:rsid w:val="00112EF4"/>
    <w:rsid w:val="0011455A"/>
    <w:rsid w:val="0012229F"/>
    <w:rsid w:val="001222DD"/>
    <w:rsid w:val="0012401D"/>
    <w:rsid w:val="00125E99"/>
    <w:rsid w:val="001310E3"/>
    <w:rsid w:val="00131BDF"/>
    <w:rsid w:val="00131C92"/>
    <w:rsid w:val="001352B3"/>
    <w:rsid w:val="00136E9C"/>
    <w:rsid w:val="001409C0"/>
    <w:rsid w:val="00141D12"/>
    <w:rsid w:val="001430D3"/>
    <w:rsid w:val="001434FC"/>
    <w:rsid w:val="00143F34"/>
    <w:rsid w:val="00145BEA"/>
    <w:rsid w:val="00147508"/>
    <w:rsid w:val="00147C41"/>
    <w:rsid w:val="0015034D"/>
    <w:rsid w:val="001503E6"/>
    <w:rsid w:val="00150A04"/>
    <w:rsid w:val="00150E58"/>
    <w:rsid w:val="00150ED8"/>
    <w:rsid w:val="00155964"/>
    <w:rsid w:val="00156F97"/>
    <w:rsid w:val="0016435A"/>
    <w:rsid w:val="0016492F"/>
    <w:rsid w:val="00170486"/>
    <w:rsid w:val="00172AC9"/>
    <w:rsid w:val="001739C0"/>
    <w:rsid w:val="00173F92"/>
    <w:rsid w:val="00174146"/>
    <w:rsid w:val="00177913"/>
    <w:rsid w:val="00182210"/>
    <w:rsid w:val="001825B6"/>
    <w:rsid w:val="001903A4"/>
    <w:rsid w:val="001910CD"/>
    <w:rsid w:val="00192E02"/>
    <w:rsid w:val="001956AA"/>
    <w:rsid w:val="001960DD"/>
    <w:rsid w:val="00196F19"/>
    <w:rsid w:val="001A0629"/>
    <w:rsid w:val="001A1A4C"/>
    <w:rsid w:val="001A1A81"/>
    <w:rsid w:val="001A226A"/>
    <w:rsid w:val="001A48A0"/>
    <w:rsid w:val="001A7BC7"/>
    <w:rsid w:val="001A7BC8"/>
    <w:rsid w:val="001B170D"/>
    <w:rsid w:val="001B2FDD"/>
    <w:rsid w:val="001B3A00"/>
    <w:rsid w:val="001B4B42"/>
    <w:rsid w:val="001B7C18"/>
    <w:rsid w:val="001C07C1"/>
    <w:rsid w:val="001C0A01"/>
    <w:rsid w:val="001C2E18"/>
    <w:rsid w:val="001C48BE"/>
    <w:rsid w:val="001C7BF1"/>
    <w:rsid w:val="001D0685"/>
    <w:rsid w:val="001D42EE"/>
    <w:rsid w:val="001E0EB5"/>
    <w:rsid w:val="001E70E2"/>
    <w:rsid w:val="001E73D3"/>
    <w:rsid w:val="001F6C80"/>
    <w:rsid w:val="001F6F4D"/>
    <w:rsid w:val="00200A7E"/>
    <w:rsid w:val="00202DAB"/>
    <w:rsid w:val="0020399C"/>
    <w:rsid w:val="002048E0"/>
    <w:rsid w:val="00211280"/>
    <w:rsid w:val="00211E0B"/>
    <w:rsid w:val="00213B87"/>
    <w:rsid w:val="00213BD6"/>
    <w:rsid w:val="0021796C"/>
    <w:rsid w:val="002252D7"/>
    <w:rsid w:val="00230A13"/>
    <w:rsid w:val="002346E5"/>
    <w:rsid w:val="002420D1"/>
    <w:rsid w:val="002459BC"/>
    <w:rsid w:val="002530AF"/>
    <w:rsid w:val="002538AD"/>
    <w:rsid w:val="002544BC"/>
    <w:rsid w:val="00254FBE"/>
    <w:rsid w:val="00261288"/>
    <w:rsid w:val="00267DF4"/>
    <w:rsid w:val="00274428"/>
    <w:rsid w:val="002802A4"/>
    <w:rsid w:val="0029269D"/>
    <w:rsid w:val="0029512A"/>
    <w:rsid w:val="002A0365"/>
    <w:rsid w:val="002A7EE6"/>
    <w:rsid w:val="002B50FB"/>
    <w:rsid w:val="002C00F8"/>
    <w:rsid w:val="002C27F6"/>
    <w:rsid w:val="002D05AF"/>
    <w:rsid w:val="002D1252"/>
    <w:rsid w:val="002D19FD"/>
    <w:rsid w:val="002D3137"/>
    <w:rsid w:val="002D47FC"/>
    <w:rsid w:val="002D5274"/>
    <w:rsid w:val="002E105B"/>
    <w:rsid w:val="002E185A"/>
    <w:rsid w:val="002E3A33"/>
    <w:rsid w:val="002F1B46"/>
    <w:rsid w:val="002F24E4"/>
    <w:rsid w:val="002F3816"/>
    <w:rsid w:val="002F420C"/>
    <w:rsid w:val="002F4DE7"/>
    <w:rsid w:val="003140D6"/>
    <w:rsid w:val="003146C7"/>
    <w:rsid w:val="00320C3F"/>
    <w:rsid w:val="00321260"/>
    <w:rsid w:val="00327AE6"/>
    <w:rsid w:val="00334DC3"/>
    <w:rsid w:val="00335ACA"/>
    <w:rsid w:val="003409A1"/>
    <w:rsid w:val="003413B6"/>
    <w:rsid w:val="0034505C"/>
    <w:rsid w:val="00347A5B"/>
    <w:rsid w:val="00355994"/>
    <w:rsid w:val="00356EE0"/>
    <w:rsid w:val="0035701C"/>
    <w:rsid w:val="00364455"/>
    <w:rsid w:val="0036495B"/>
    <w:rsid w:val="00365599"/>
    <w:rsid w:val="00374F61"/>
    <w:rsid w:val="00380145"/>
    <w:rsid w:val="00380376"/>
    <w:rsid w:val="003803FF"/>
    <w:rsid w:val="0038235A"/>
    <w:rsid w:val="00384904"/>
    <w:rsid w:val="00391F4D"/>
    <w:rsid w:val="0039411B"/>
    <w:rsid w:val="0039575E"/>
    <w:rsid w:val="003A5DB8"/>
    <w:rsid w:val="003A6E3E"/>
    <w:rsid w:val="003B1C49"/>
    <w:rsid w:val="003B4E3A"/>
    <w:rsid w:val="003B5825"/>
    <w:rsid w:val="003C33F5"/>
    <w:rsid w:val="003C5745"/>
    <w:rsid w:val="003D2A34"/>
    <w:rsid w:val="003D3D19"/>
    <w:rsid w:val="003D51A8"/>
    <w:rsid w:val="003E07F4"/>
    <w:rsid w:val="003E7125"/>
    <w:rsid w:val="003E79CD"/>
    <w:rsid w:val="003F1577"/>
    <w:rsid w:val="004018B3"/>
    <w:rsid w:val="00406568"/>
    <w:rsid w:val="00415894"/>
    <w:rsid w:val="004278FC"/>
    <w:rsid w:val="0043445D"/>
    <w:rsid w:val="004412DB"/>
    <w:rsid w:val="00443253"/>
    <w:rsid w:val="00445931"/>
    <w:rsid w:val="00446B5E"/>
    <w:rsid w:val="00451C3E"/>
    <w:rsid w:val="00453CB6"/>
    <w:rsid w:val="00455798"/>
    <w:rsid w:val="00457E63"/>
    <w:rsid w:val="00462A59"/>
    <w:rsid w:val="00465DE8"/>
    <w:rsid w:val="0046679D"/>
    <w:rsid w:val="00475A9E"/>
    <w:rsid w:val="004828C5"/>
    <w:rsid w:val="00483372"/>
    <w:rsid w:val="00484DE2"/>
    <w:rsid w:val="0048765C"/>
    <w:rsid w:val="00487987"/>
    <w:rsid w:val="00490025"/>
    <w:rsid w:val="004900EC"/>
    <w:rsid w:val="00490761"/>
    <w:rsid w:val="004926AB"/>
    <w:rsid w:val="00493951"/>
    <w:rsid w:val="0049432D"/>
    <w:rsid w:val="00494916"/>
    <w:rsid w:val="00497C83"/>
    <w:rsid w:val="004A53DB"/>
    <w:rsid w:val="004A7412"/>
    <w:rsid w:val="004B5E10"/>
    <w:rsid w:val="004C0EB7"/>
    <w:rsid w:val="004C17DA"/>
    <w:rsid w:val="004C2798"/>
    <w:rsid w:val="004C5D3D"/>
    <w:rsid w:val="004C74AB"/>
    <w:rsid w:val="004C7BD5"/>
    <w:rsid w:val="004D0295"/>
    <w:rsid w:val="004D1D19"/>
    <w:rsid w:val="004D289D"/>
    <w:rsid w:val="004D7537"/>
    <w:rsid w:val="004E0B46"/>
    <w:rsid w:val="004E1277"/>
    <w:rsid w:val="004E52BD"/>
    <w:rsid w:val="004E5639"/>
    <w:rsid w:val="004E5980"/>
    <w:rsid w:val="004E7A03"/>
    <w:rsid w:val="004F0807"/>
    <w:rsid w:val="004F1D61"/>
    <w:rsid w:val="004F2969"/>
    <w:rsid w:val="004F31B1"/>
    <w:rsid w:val="004F3A8F"/>
    <w:rsid w:val="00500438"/>
    <w:rsid w:val="00504E7E"/>
    <w:rsid w:val="00522501"/>
    <w:rsid w:val="00523828"/>
    <w:rsid w:val="005267E3"/>
    <w:rsid w:val="00530CB6"/>
    <w:rsid w:val="00534558"/>
    <w:rsid w:val="005345D8"/>
    <w:rsid w:val="00535D87"/>
    <w:rsid w:val="0054089B"/>
    <w:rsid w:val="00542B23"/>
    <w:rsid w:val="00544F80"/>
    <w:rsid w:val="00545CDC"/>
    <w:rsid w:val="00550982"/>
    <w:rsid w:val="00551811"/>
    <w:rsid w:val="00551D8E"/>
    <w:rsid w:val="00552705"/>
    <w:rsid w:val="005533E1"/>
    <w:rsid w:val="0055614C"/>
    <w:rsid w:val="00556336"/>
    <w:rsid w:val="00556527"/>
    <w:rsid w:val="0056158B"/>
    <w:rsid w:val="0056445C"/>
    <w:rsid w:val="00564514"/>
    <w:rsid w:val="00564F9F"/>
    <w:rsid w:val="00565E93"/>
    <w:rsid w:val="00577FF4"/>
    <w:rsid w:val="005819D4"/>
    <w:rsid w:val="00583EC2"/>
    <w:rsid w:val="00592746"/>
    <w:rsid w:val="0059303D"/>
    <w:rsid w:val="005952C4"/>
    <w:rsid w:val="0059694A"/>
    <w:rsid w:val="005A0822"/>
    <w:rsid w:val="005A35DB"/>
    <w:rsid w:val="005A68D9"/>
    <w:rsid w:val="005B3E3D"/>
    <w:rsid w:val="005B463F"/>
    <w:rsid w:val="005B5197"/>
    <w:rsid w:val="005B6304"/>
    <w:rsid w:val="005B63E9"/>
    <w:rsid w:val="005B7681"/>
    <w:rsid w:val="005C08AC"/>
    <w:rsid w:val="005C40C5"/>
    <w:rsid w:val="005C48E8"/>
    <w:rsid w:val="005C7258"/>
    <w:rsid w:val="005D0E12"/>
    <w:rsid w:val="005D6854"/>
    <w:rsid w:val="005E55F4"/>
    <w:rsid w:val="005F4C65"/>
    <w:rsid w:val="00601313"/>
    <w:rsid w:val="006015B0"/>
    <w:rsid w:val="00611FAB"/>
    <w:rsid w:val="00616596"/>
    <w:rsid w:val="00620AAF"/>
    <w:rsid w:val="00620C34"/>
    <w:rsid w:val="00622448"/>
    <w:rsid w:val="00630074"/>
    <w:rsid w:val="00632A92"/>
    <w:rsid w:val="00635820"/>
    <w:rsid w:val="00636DC3"/>
    <w:rsid w:val="0064471E"/>
    <w:rsid w:val="00655447"/>
    <w:rsid w:val="00655E9A"/>
    <w:rsid w:val="006562B3"/>
    <w:rsid w:val="00660821"/>
    <w:rsid w:val="006620A0"/>
    <w:rsid w:val="00664EF6"/>
    <w:rsid w:val="00665170"/>
    <w:rsid w:val="006717C4"/>
    <w:rsid w:val="0068097D"/>
    <w:rsid w:val="006826F1"/>
    <w:rsid w:val="00686C35"/>
    <w:rsid w:val="00692BA6"/>
    <w:rsid w:val="006B18AE"/>
    <w:rsid w:val="006B4C65"/>
    <w:rsid w:val="006C7C20"/>
    <w:rsid w:val="006D7AFE"/>
    <w:rsid w:val="006D7EE7"/>
    <w:rsid w:val="006E233A"/>
    <w:rsid w:val="006E6CAF"/>
    <w:rsid w:val="006E760B"/>
    <w:rsid w:val="006E7F4C"/>
    <w:rsid w:val="006F5C6F"/>
    <w:rsid w:val="006F7E28"/>
    <w:rsid w:val="007012EF"/>
    <w:rsid w:val="00703D9A"/>
    <w:rsid w:val="007060C1"/>
    <w:rsid w:val="007132A7"/>
    <w:rsid w:val="00717F12"/>
    <w:rsid w:val="00722932"/>
    <w:rsid w:val="00733B58"/>
    <w:rsid w:val="0073591F"/>
    <w:rsid w:val="00744004"/>
    <w:rsid w:val="0074676A"/>
    <w:rsid w:val="00750C73"/>
    <w:rsid w:val="00750EE1"/>
    <w:rsid w:val="00751691"/>
    <w:rsid w:val="007519F9"/>
    <w:rsid w:val="0075438F"/>
    <w:rsid w:val="00757125"/>
    <w:rsid w:val="00763FCB"/>
    <w:rsid w:val="00764462"/>
    <w:rsid w:val="007717E4"/>
    <w:rsid w:val="00773E1F"/>
    <w:rsid w:val="00774BEB"/>
    <w:rsid w:val="00777FBE"/>
    <w:rsid w:val="00782766"/>
    <w:rsid w:val="007878D0"/>
    <w:rsid w:val="00790619"/>
    <w:rsid w:val="00791CD9"/>
    <w:rsid w:val="00793D07"/>
    <w:rsid w:val="00794259"/>
    <w:rsid w:val="00796FA2"/>
    <w:rsid w:val="007A1E13"/>
    <w:rsid w:val="007B1D50"/>
    <w:rsid w:val="007B205D"/>
    <w:rsid w:val="007B2D02"/>
    <w:rsid w:val="007B35BF"/>
    <w:rsid w:val="007B3FB9"/>
    <w:rsid w:val="007B474F"/>
    <w:rsid w:val="007B4974"/>
    <w:rsid w:val="007B676C"/>
    <w:rsid w:val="007C17B7"/>
    <w:rsid w:val="007C33B4"/>
    <w:rsid w:val="007C3AAF"/>
    <w:rsid w:val="007C4858"/>
    <w:rsid w:val="007C7110"/>
    <w:rsid w:val="007D4FB6"/>
    <w:rsid w:val="007D7BC7"/>
    <w:rsid w:val="007E43DB"/>
    <w:rsid w:val="007E665B"/>
    <w:rsid w:val="007F0B1B"/>
    <w:rsid w:val="007F1AE3"/>
    <w:rsid w:val="007F1CCC"/>
    <w:rsid w:val="007F495A"/>
    <w:rsid w:val="008030CC"/>
    <w:rsid w:val="00803694"/>
    <w:rsid w:val="008068A1"/>
    <w:rsid w:val="00807C00"/>
    <w:rsid w:val="00810B6F"/>
    <w:rsid w:val="0081363C"/>
    <w:rsid w:val="00813858"/>
    <w:rsid w:val="008207CB"/>
    <w:rsid w:val="008216F0"/>
    <w:rsid w:val="00826C1A"/>
    <w:rsid w:val="00832EE9"/>
    <w:rsid w:val="008349C7"/>
    <w:rsid w:val="00843F7F"/>
    <w:rsid w:val="00844ADE"/>
    <w:rsid w:val="00846FB6"/>
    <w:rsid w:val="00856BBF"/>
    <w:rsid w:val="0085760C"/>
    <w:rsid w:val="00863CF8"/>
    <w:rsid w:val="00865C6E"/>
    <w:rsid w:val="008716AA"/>
    <w:rsid w:val="00872F7E"/>
    <w:rsid w:val="008766E1"/>
    <w:rsid w:val="00887D25"/>
    <w:rsid w:val="0089026A"/>
    <w:rsid w:val="008916B4"/>
    <w:rsid w:val="00897370"/>
    <w:rsid w:val="008A11C2"/>
    <w:rsid w:val="008A12B2"/>
    <w:rsid w:val="008B11F8"/>
    <w:rsid w:val="008B4A1B"/>
    <w:rsid w:val="008B6AFD"/>
    <w:rsid w:val="008B6CCE"/>
    <w:rsid w:val="008B6EEC"/>
    <w:rsid w:val="008B76A2"/>
    <w:rsid w:val="008C26B3"/>
    <w:rsid w:val="008C42E8"/>
    <w:rsid w:val="008C7082"/>
    <w:rsid w:val="008C7BF3"/>
    <w:rsid w:val="008D3E8D"/>
    <w:rsid w:val="008D56FD"/>
    <w:rsid w:val="008E5B20"/>
    <w:rsid w:val="008F1A85"/>
    <w:rsid w:val="008F314A"/>
    <w:rsid w:val="008F38EE"/>
    <w:rsid w:val="008F3D0C"/>
    <w:rsid w:val="008F4F60"/>
    <w:rsid w:val="008F7876"/>
    <w:rsid w:val="009000C3"/>
    <w:rsid w:val="00900B9F"/>
    <w:rsid w:val="00902DD2"/>
    <w:rsid w:val="00903A09"/>
    <w:rsid w:val="009118B5"/>
    <w:rsid w:val="0091322A"/>
    <w:rsid w:val="00917377"/>
    <w:rsid w:val="00917474"/>
    <w:rsid w:val="00920C67"/>
    <w:rsid w:val="009246D4"/>
    <w:rsid w:val="00927BBF"/>
    <w:rsid w:val="00940059"/>
    <w:rsid w:val="0094042B"/>
    <w:rsid w:val="00942A51"/>
    <w:rsid w:val="00944314"/>
    <w:rsid w:val="0095309E"/>
    <w:rsid w:val="00953131"/>
    <w:rsid w:val="009605FE"/>
    <w:rsid w:val="009607DA"/>
    <w:rsid w:val="0096315C"/>
    <w:rsid w:val="00965B78"/>
    <w:rsid w:val="00967994"/>
    <w:rsid w:val="009746B3"/>
    <w:rsid w:val="009746EF"/>
    <w:rsid w:val="00981A14"/>
    <w:rsid w:val="00985EBC"/>
    <w:rsid w:val="009865A6"/>
    <w:rsid w:val="00996A3B"/>
    <w:rsid w:val="009A0CC5"/>
    <w:rsid w:val="009A21BE"/>
    <w:rsid w:val="009A25D8"/>
    <w:rsid w:val="009A2D97"/>
    <w:rsid w:val="009A6689"/>
    <w:rsid w:val="009A6C47"/>
    <w:rsid w:val="009B04C7"/>
    <w:rsid w:val="009B04E1"/>
    <w:rsid w:val="009B137B"/>
    <w:rsid w:val="009B360F"/>
    <w:rsid w:val="009B3F39"/>
    <w:rsid w:val="009C365B"/>
    <w:rsid w:val="009C6D55"/>
    <w:rsid w:val="009D750B"/>
    <w:rsid w:val="009E277D"/>
    <w:rsid w:val="009E47C6"/>
    <w:rsid w:val="009E6385"/>
    <w:rsid w:val="009F0766"/>
    <w:rsid w:val="009F658D"/>
    <w:rsid w:val="00A00390"/>
    <w:rsid w:val="00A03FE4"/>
    <w:rsid w:val="00A10E91"/>
    <w:rsid w:val="00A15D2B"/>
    <w:rsid w:val="00A1739D"/>
    <w:rsid w:val="00A1771F"/>
    <w:rsid w:val="00A17DB5"/>
    <w:rsid w:val="00A229D3"/>
    <w:rsid w:val="00A25A8B"/>
    <w:rsid w:val="00A26839"/>
    <w:rsid w:val="00A26BB0"/>
    <w:rsid w:val="00A26BBC"/>
    <w:rsid w:val="00A31557"/>
    <w:rsid w:val="00A3621A"/>
    <w:rsid w:val="00A372A8"/>
    <w:rsid w:val="00A37ED8"/>
    <w:rsid w:val="00A40DE3"/>
    <w:rsid w:val="00A4447B"/>
    <w:rsid w:val="00A4697F"/>
    <w:rsid w:val="00A47EBD"/>
    <w:rsid w:val="00A51DF8"/>
    <w:rsid w:val="00A55130"/>
    <w:rsid w:val="00A60575"/>
    <w:rsid w:val="00A61F23"/>
    <w:rsid w:val="00A6517D"/>
    <w:rsid w:val="00A74C7F"/>
    <w:rsid w:val="00A8117C"/>
    <w:rsid w:val="00A848CE"/>
    <w:rsid w:val="00A9001C"/>
    <w:rsid w:val="00A91AE2"/>
    <w:rsid w:val="00A930EE"/>
    <w:rsid w:val="00A93431"/>
    <w:rsid w:val="00A93EE6"/>
    <w:rsid w:val="00A93F40"/>
    <w:rsid w:val="00AA2147"/>
    <w:rsid w:val="00AA2DE7"/>
    <w:rsid w:val="00AA3D92"/>
    <w:rsid w:val="00AB0057"/>
    <w:rsid w:val="00AB110A"/>
    <w:rsid w:val="00AB2E91"/>
    <w:rsid w:val="00AC09AF"/>
    <w:rsid w:val="00AC2990"/>
    <w:rsid w:val="00AD17C6"/>
    <w:rsid w:val="00AD1B29"/>
    <w:rsid w:val="00AD35E7"/>
    <w:rsid w:val="00AE23E5"/>
    <w:rsid w:val="00AE5853"/>
    <w:rsid w:val="00AE5F10"/>
    <w:rsid w:val="00AF46E1"/>
    <w:rsid w:val="00AF50E2"/>
    <w:rsid w:val="00B00F5C"/>
    <w:rsid w:val="00B036F7"/>
    <w:rsid w:val="00B03E47"/>
    <w:rsid w:val="00B065CE"/>
    <w:rsid w:val="00B107C5"/>
    <w:rsid w:val="00B12986"/>
    <w:rsid w:val="00B17D73"/>
    <w:rsid w:val="00B2351E"/>
    <w:rsid w:val="00B26A97"/>
    <w:rsid w:val="00B317FA"/>
    <w:rsid w:val="00B32A9B"/>
    <w:rsid w:val="00B33A26"/>
    <w:rsid w:val="00B37031"/>
    <w:rsid w:val="00B3719A"/>
    <w:rsid w:val="00B374D6"/>
    <w:rsid w:val="00B37D52"/>
    <w:rsid w:val="00B41031"/>
    <w:rsid w:val="00B41D24"/>
    <w:rsid w:val="00B442C9"/>
    <w:rsid w:val="00B446D0"/>
    <w:rsid w:val="00B47F16"/>
    <w:rsid w:val="00B50D20"/>
    <w:rsid w:val="00B5154B"/>
    <w:rsid w:val="00B54763"/>
    <w:rsid w:val="00B5649C"/>
    <w:rsid w:val="00B61ABB"/>
    <w:rsid w:val="00B63961"/>
    <w:rsid w:val="00B639A2"/>
    <w:rsid w:val="00B658A0"/>
    <w:rsid w:val="00B73266"/>
    <w:rsid w:val="00B754AC"/>
    <w:rsid w:val="00B764CA"/>
    <w:rsid w:val="00B820BC"/>
    <w:rsid w:val="00B927F8"/>
    <w:rsid w:val="00B92ABD"/>
    <w:rsid w:val="00BA1C86"/>
    <w:rsid w:val="00BA1D6D"/>
    <w:rsid w:val="00BA2F95"/>
    <w:rsid w:val="00BA4AD5"/>
    <w:rsid w:val="00BA65E4"/>
    <w:rsid w:val="00BA69DB"/>
    <w:rsid w:val="00BA6FBF"/>
    <w:rsid w:val="00BB11F7"/>
    <w:rsid w:val="00BB3DEC"/>
    <w:rsid w:val="00BB4551"/>
    <w:rsid w:val="00BC11A8"/>
    <w:rsid w:val="00BC1496"/>
    <w:rsid w:val="00BC2358"/>
    <w:rsid w:val="00BC4319"/>
    <w:rsid w:val="00BC6795"/>
    <w:rsid w:val="00BD15F9"/>
    <w:rsid w:val="00BD5555"/>
    <w:rsid w:val="00BD57BB"/>
    <w:rsid w:val="00BD683A"/>
    <w:rsid w:val="00BD76D6"/>
    <w:rsid w:val="00BE0155"/>
    <w:rsid w:val="00BE1245"/>
    <w:rsid w:val="00BE445F"/>
    <w:rsid w:val="00BE4E1E"/>
    <w:rsid w:val="00BF0F53"/>
    <w:rsid w:val="00BF11F5"/>
    <w:rsid w:val="00BF2D35"/>
    <w:rsid w:val="00BF4649"/>
    <w:rsid w:val="00BF59A5"/>
    <w:rsid w:val="00BF6AC2"/>
    <w:rsid w:val="00C01E63"/>
    <w:rsid w:val="00C02232"/>
    <w:rsid w:val="00C056A8"/>
    <w:rsid w:val="00C07E2C"/>
    <w:rsid w:val="00C14370"/>
    <w:rsid w:val="00C15B9B"/>
    <w:rsid w:val="00C1654B"/>
    <w:rsid w:val="00C16DD3"/>
    <w:rsid w:val="00C1768D"/>
    <w:rsid w:val="00C226CF"/>
    <w:rsid w:val="00C23EFD"/>
    <w:rsid w:val="00C2593C"/>
    <w:rsid w:val="00C32155"/>
    <w:rsid w:val="00C41238"/>
    <w:rsid w:val="00C458F6"/>
    <w:rsid w:val="00C45F55"/>
    <w:rsid w:val="00C50D7F"/>
    <w:rsid w:val="00C52FD5"/>
    <w:rsid w:val="00C537DC"/>
    <w:rsid w:val="00C61B76"/>
    <w:rsid w:val="00C63E46"/>
    <w:rsid w:val="00C67845"/>
    <w:rsid w:val="00C7197B"/>
    <w:rsid w:val="00C7643F"/>
    <w:rsid w:val="00C84E79"/>
    <w:rsid w:val="00C90711"/>
    <w:rsid w:val="00C9339B"/>
    <w:rsid w:val="00C94EEA"/>
    <w:rsid w:val="00C95843"/>
    <w:rsid w:val="00C962B5"/>
    <w:rsid w:val="00C9788A"/>
    <w:rsid w:val="00CA74EA"/>
    <w:rsid w:val="00CB0A7A"/>
    <w:rsid w:val="00CB2235"/>
    <w:rsid w:val="00CB4353"/>
    <w:rsid w:val="00CB50C8"/>
    <w:rsid w:val="00CB6FFD"/>
    <w:rsid w:val="00CB71D1"/>
    <w:rsid w:val="00CC02B3"/>
    <w:rsid w:val="00CC0724"/>
    <w:rsid w:val="00CD0A76"/>
    <w:rsid w:val="00CD3B6A"/>
    <w:rsid w:val="00CE021F"/>
    <w:rsid w:val="00CE5A4A"/>
    <w:rsid w:val="00CE64B5"/>
    <w:rsid w:val="00CF08BE"/>
    <w:rsid w:val="00CF5CF0"/>
    <w:rsid w:val="00CF5DE7"/>
    <w:rsid w:val="00CF6182"/>
    <w:rsid w:val="00CF79B2"/>
    <w:rsid w:val="00D05049"/>
    <w:rsid w:val="00D10D9A"/>
    <w:rsid w:val="00D113A8"/>
    <w:rsid w:val="00D21FD7"/>
    <w:rsid w:val="00D257E2"/>
    <w:rsid w:val="00D25FB5"/>
    <w:rsid w:val="00D30AE3"/>
    <w:rsid w:val="00D30B22"/>
    <w:rsid w:val="00D35F5F"/>
    <w:rsid w:val="00D4307D"/>
    <w:rsid w:val="00D43805"/>
    <w:rsid w:val="00D44008"/>
    <w:rsid w:val="00D477DF"/>
    <w:rsid w:val="00D55D40"/>
    <w:rsid w:val="00D60396"/>
    <w:rsid w:val="00D641D3"/>
    <w:rsid w:val="00D71F6E"/>
    <w:rsid w:val="00D74307"/>
    <w:rsid w:val="00D76E2A"/>
    <w:rsid w:val="00D77805"/>
    <w:rsid w:val="00D8114F"/>
    <w:rsid w:val="00D815E9"/>
    <w:rsid w:val="00D843EA"/>
    <w:rsid w:val="00D84DD9"/>
    <w:rsid w:val="00D864DE"/>
    <w:rsid w:val="00D87938"/>
    <w:rsid w:val="00D95171"/>
    <w:rsid w:val="00D97717"/>
    <w:rsid w:val="00DA214C"/>
    <w:rsid w:val="00DA484E"/>
    <w:rsid w:val="00DB1E16"/>
    <w:rsid w:val="00DB2F69"/>
    <w:rsid w:val="00DB4CE5"/>
    <w:rsid w:val="00DB67DF"/>
    <w:rsid w:val="00DD0CA8"/>
    <w:rsid w:val="00DD4D5F"/>
    <w:rsid w:val="00DE0812"/>
    <w:rsid w:val="00DE2381"/>
    <w:rsid w:val="00DE6D8F"/>
    <w:rsid w:val="00DF690D"/>
    <w:rsid w:val="00E00835"/>
    <w:rsid w:val="00E0748A"/>
    <w:rsid w:val="00E10B7B"/>
    <w:rsid w:val="00E1206B"/>
    <w:rsid w:val="00E24FA7"/>
    <w:rsid w:val="00E259E1"/>
    <w:rsid w:val="00E26EFD"/>
    <w:rsid w:val="00E31799"/>
    <w:rsid w:val="00E34018"/>
    <w:rsid w:val="00E3522D"/>
    <w:rsid w:val="00E42EE1"/>
    <w:rsid w:val="00E434CF"/>
    <w:rsid w:val="00E46441"/>
    <w:rsid w:val="00E57D24"/>
    <w:rsid w:val="00E57F57"/>
    <w:rsid w:val="00E620C9"/>
    <w:rsid w:val="00E62F7B"/>
    <w:rsid w:val="00E70501"/>
    <w:rsid w:val="00E713C1"/>
    <w:rsid w:val="00E735D1"/>
    <w:rsid w:val="00E7612A"/>
    <w:rsid w:val="00E763FA"/>
    <w:rsid w:val="00E76D5B"/>
    <w:rsid w:val="00E86833"/>
    <w:rsid w:val="00E86EC2"/>
    <w:rsid w:val="00E872EF"/>
    <w:rsid w:val="00E876A6"/>
    <w:rsid w:val="00E90AF0"/>
    <w:rsid w:val="00E93212"/>
    <w:rsid w:val="00EA14B0"/>
    <w:rsid w:val="00EA1A59"/>
    <w:rsid w:val="00EA2BF9"/>
    <w:rsid w:val="00EA69D8"/>
    <w:rsid w:val="00EB02AE"/>
    <w:rsid w:val="00EC014E"/>
    <w:rsid w:val="00EC0167"/>
    <w:rsid w:val="00EC312D"/>
    <w:rsid w:val="00EC5E35"/>
    <w:rsid w:val="00EC7561"/>
    <w:rsid w:val="00ED0294"/>
    <w:rsid w:val="00ED2B03"/>
    <w:rsid w:val="00ED5E00"/>
    <w:rsid w:val="00ED7FCC"/>
    <w:rsid w:val="00EE02AC"/>
    <w:rsid w:val="00EF1904"/>
    <w:rsid w:val="00EF3475"/>
    <w:rsid w:val="00EF7312"/>
    <w:rsid w:val="00EF7C86"/>
    <w:rsid w:val="00F0676C"/>
    <w:rsid w:val="00F12705"/>
    <w:rsid w:val="00F13D82"/>
    <w:rsid w:val="00F1483D"/>
    <w:rsid w:val="00F27B9E"/>
    <w:rsid w:val="00F30ED5"/>
    <w:rsid w:val="00F3107D"/>
    <w:rsid w:val="00F326D5"/>
    <w:rsid w:val="00F37126"/>
    <w:rsid w:val="00F40199"/>
    <w:rsid w:val="00F45C78"/>
    <w:rsid w:val="00F45EE6"/>
    <w:rsid w:val="00F60A53"/>
    <w:rsid w:val="00F6264C"/>
    <w:rsid w:val="00F64CAF"/>
    <w:rsid w:val="00F654F2"/>
    <w:rsid w:val="00F65590"/>
    <w:rsid w:val="00F7539B"/>
    <w:rsid w:val="00F76301"/>
    <w:rsid w:val="00F76966"/>
    <w:rsid w:val="00F821A1"/>
    <w:rsid w:val="00F821FE"/>
    <w:rsid w:val="00F82BE0"/>
    <w:rsid w:val="00F85056"/>
    <w:rsid w:val="00F872AB"/>
    <w:rsid w:val="00F91B4B"/>
    <w:rsid w:val="00F958EC"/>
    <w:rsid w:val="00F971E6"/>
    <w:rsid w:val="00FA10FB"/>
    <w:rsid w:val="00FB669E"/>
    <w:rsid w:val="00FC0789"/>
    <w:rsid w:val="00FC1001"/>
    <w:rsid w:val="00FC3A04"/>
    <w:rsid w:val="00FC58C9"/>
    <w:rsid w:val="00FC7821"/>
    <w:rsid w:val="00FD50FB"/>
    <w:rsid w:val="00FE23A4"/>
    <w:rsid w:val="00FE3C1C"/>
    <w:rsid w:val="00FE450D"/>
    <w:rsid w:val="00FF0A57"/>
    <w:rsid w:val="00FF1C64"/>
    <w:rsid w:val="00FF4CD7"/>
    <w:rsid w:val="4439A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FF95A1"/>
  <w15:chartTrackingRefBased/>
  <w15:docId w15:val="{2265A526-A3F8-4512-AA1D-C701653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uiPriority w:val="99"/>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UNDERRUBRIK 1-2 Char,h2 Char"/>
    <w:basedOn w:val="Normal"/>
    <w:next w:val="ParaNum"/>
    <w:link w:val="Heading2Char"/>
    <w:autoRedefine/>
    <w:uiPriority w:val="99"/>
    <w:qFormat/>
    <w:rsid w:val="00733B58"/>
    <w:pPr>
      <w:keepNext/>
      <w:numPr>
        <w:ilvl w:val="1"/>
        <w:numId w:val="3"/>
      </w:numPr>
      <w:spacing w:after="120"/>
      <w:outlineLvl w:val="1"/>
    </w:pPr>
    <w:rPr>
      <w:b/>
    </w:rPr>
  </w:style>
  <w:style w:type="paragraph" w:styleId="Heading3">
    <w:name w:val="heading 3"/>
    <w:aliases w:val="1,1 Char,3,3 Char,31,31 Char,?? 3,?? 3 Char,Heading 3 Char Char,Heading 3 Char1,Titre 3,Titre 3 Char,Titre 31,Titre 31 Char"/>
    <w:basedOn w:val="Normal"/>
    <w:next w:val="ParaNum"/>
    <w:link w:val="Heading3Char"/>
    <w:uiPriority w:val="99"/>
    <w:qFormat/>
    <w:rsid w:val="00733B58"/>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1,Heading 4 Char1 Char,Heading 4 Char2"/>
    <w:basedOn w:val="Normal"/>
    <w:next w:val="ParaNum"/>
    <w:link w:val="Heading4Char"/>
    <w:uiPriority w:val="99"/>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733B5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uiPriority w:val="99"/>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uiPriority w:val="99"/>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aliases w:val="UNDERRUBRIK 1-2 Char Char,h2 Char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aliases w:val="1 Char Char,1 Char1,3 Char Char,3 Char1,31 Char Char,31 Char1,?? 3 Char Char,?? 3 Char1,Heading 3 Char Char Char,Heading 3 Char1 Char,Titre 3 Char Char,Titre 3 Char1,Titre 31 Char Char,Titre 31 Char1"/>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aliases w:val="Heading 4 Char Char Char Char,Heading 4 Char Char Char1,Heading 4 Char Char1 Char,Heading 4 Char1 Char Char,Heading 4 Char1 Char1,Heading 4 Char2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aliases w:val="h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aliases w:val="9 Char,Heading 9.table Char,Titre 9 Char,Topic Char,t Char,table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rsid w:val="00733B58"/>
    <w:pPr>
      <w:numPr>
        <w:numId w:val="2"/>
      </w:numPr>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qFormat/>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AA2DE7"/>
    <w:pPr>
      <w:tabs>
        <w:tab w:val="center" w:pos="4680"/>
        <w:tab w:val="right" w:pos="9360"/>
      </w:tabs>
    </w:pPr>
    <w:rPr>
      <w:b/>
      <w:u w:val="single"/>
    </w:rPr>
  </w:style>
  <w:style w:type="character" w:customStyle="1" w:styleId="HeaderChar">
    <w:name w:val="Header Char"/>
    <w:basedOn w:val="DefaultParagraphFont"/>
    <w:link w:val="Header"/>
    <w:rsid w:val="00AA2DE7"/>
    <w:rPr>
      <w:rFonts w:ascii="Times New Roman" w:eastAsia="Times New Roman" w:hAnsi="Times New Roman" w:cs="Times New Roman"/>
      <w:b/>
      <w:szCs w:val="20"/>
      <w:u w:val="single"/>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unhideWhenUsed/>
    <w:rsid w:val="00D74307"/>
    <w:rPr>
      <w:sz w:val="20"/>
    </w:rPr>
  </w:style>
  <w:style w:type="character" w:customStyle="1" w:styleId="CommentTextChar">
    <w:name w:val="Comment Text Char"/>
    <w:basedOn w:val="DefaultParagraphFont"/>
    <w:link w:val="CommentText"/>
    <w:uiPriority w:val="99"/>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192E02"/>
    <w:rPr>
      <w:color w:val="605E5C"/>
      <w:shd w:val="clear" w:color="auto" w:fill="E1DFDD"/>
    </w:rPr>
  </w:style>
  <w:style w:type="character" w:customStyle="1" w:styleId="FootnoteTextChar1">
    <w:name w:val="Footnote Text Char1"/>
    <w:aliases w:val="Footnote Text Char Char Char Char Char Char,Footnote Text Char2 Char Char Char Char Char Char,Footnote Text Char2 Char1 Char Char,fn Char"/>
    <w:basedOn w:val="DefaultParagraphFont"/>
    <w:locked/>
    <w:rsid w:val="00EC0167"/>
    <w:rPr>
      <w:sz w:val="22"/>
    </w:rPr>
  </w:style>
  <w:style w:type="character" w:customStyle="1" w:styleId="StyleFootnoteReferenceTimesNewRoman11pt">
    <w:name w:val="Style Footnote Reference + Times New Roman 11 pt"/>
    <w:rsid w:val="00EC0167"/>
    <w:rPr>
      <w:rFonts w:ascii="Times New Roman" w:hAnsi="Times New Roman"/>
      <w:dstrike w:val="0"/>
      <w:color w:val="auto"/>
      <w:sz w:val="20"/>
      <w:vertAlign w:val="superscript"/>
    </w:rPr>
  </w:style>
  <w:style w:type="paragraph" w:customStyle="1" w:styleId="hd3-paragraph">
    <w:name w:val="hd3-paragraph"/>
    <w:basedOn w:val="Normal"/>
    <w:rsid w:val="00EC0167"/>
    <w:pPr>
      <w:spacing w:before="100" w:beforeAutospacing="1" w:after="100" w:afterAutospacing="1"/>
    </w:pPr>
    <w:rPr>
      <w:rFonts w:ascii="Calibri" w:eastAsia="Calibri" w:hAnsi="Calibri" w:cs="Calibri"/>
      <w:szCs w:val="22"/>
    </w:rPr>
  </w:style>
  <w:style w:type="character" w:customStyle="1" w:styleId="cf01">
    <w:name w:val="cf01"/>
    <w:basedOn w:val="DefaultParagraphFont"/>
    <w:rsid w:val="00EC0167"/>
    <w:rPr>
      <w:rFonts w:ascii="Segoe UI" w:hAnsi="Segoe UI" w:cs="Segoe UI" w:hint="default"/>
      <w:i/>
      <w:iCs/>
      <w:sz w:val="18"/>
      <w:szCs w:val="18"/>
    </w:rPr>
  </w:style>
  <w:style w:type="character" w:customStyle="1" w:styleId="cf11">
    <w:name w:val="cf11"/>
    <w:basedOn w:val="DefaultParagraphFont"/>
    <w:rsid w:val="00EC0167"/>
    <w:rPr>
      <w:rFonts w:ascii="Segoe UI" w:hAnsi="Segoe UI" w:cs="Segoe UI" w:hint="default"/>
      <w:sz w:val="18"/>
      <w:szCs w:val="18"/>
    </w:rPr>
  </w:style>
  <w:style w:type="character" w:styleId="UnresolvedMention">
    <w:name w:val="Unresolved Mention"/>
    <w:basedOn w:val="DefaultParagraphFont"/>
    <w:uiPriority w:val="99"/>
    <w:rsid w:val="00267DF4"/>
    <w:rPr>
      <w:color w:val="605E5C"/>
      <w:shd w:val="clear" w:color="auto" w:fill="E1DFDD"/>
    </w:rPr>
  </w:style>
  <w:style w:type="paragraph" w:customStyle="1" w:styleId="menu-item">
    <w:name w:val="menu-item"/>
    <w:basedOn w:val="Normal"/>
    <w:rsid w:val="00897370"/>
    <w:pPr>
      <w:spacing w:before="100" w:beforeAutospacing="1" w:after="100" w:afterAutospacing="1"/>
    </w:pPr>
    <w:rPr>
      <w:sz w:val="24"/>
      <w:szCs w:val="24"/>
    </w:rPr>
  </w:style>
  <w:style w:type="paragraph" w:customStyle="1" w:styleId="breadcrumb-item">
    <w:name w:val="breadcrumb-item"/>
    <w:basedOn w:val="Normal"/>
    <w:rsid w:val="00897370"/>
    <w:pPr>
      <w:spacing w:before="100" w:beforeAutospacing="1" w:after="100" w:afterAutospacing="1"/>
    </w:pPr>
    <w:rPr>
      <w:sz w:val="24"/>
      <w:szCs w:val="24"/>
    </w:rPr>
  </w:style>
  <w:style w:type="paragraph" w:customStyle="1" w:styleId="active">
    <w:name w:val="active"/>
    <w:basedOn w:val="Normal"/>
    <w:rsid w:val="00897370"/>
    <w:pPr>
      <w:spacing w:before="100" w:beforeAutospacing="1" w:after="100" w:afterAutospacing="1"/>
    </w:pPr>
    <w:rPr>
      <w:sz w:val="24"/>
      <w:szCs w:val="24"/>
    </w:rPr>
  </w:style>
  <w:style w:type="paragraph" w:customStyle="1" w:styleId="psection-1">
    <w:name w:val="psection-1"/>
    <w:basedOn w:val="Normal"/>
    <w:rsid w:val="00897370"/>
    <w:pPr>
      <w:spacing w:before="100" w:beforeAutospacing="1" w:after="100" w:afterAutospacing="1"/>
    </w:pPr>
    <w:rPr>
      <w:sz w:val="24"/>
      <w:szCs w:val="24"/>
    </w:rPr>
  </w:style>
  <w:style w:type="character" w:customStyle="1" w:styleId="enumxml">
    <w:name w:val="enumxml"/>
    <w:basedOn w:val="DefaultParagraphFont"/>
    <w:rsid w:val="00897370"/>
  </w:style>
  <w:style w:type="paragraph" w:customStyle="1" w:styleId="psection-2">
    <w:name w:val="psection-2"/>
    <w:basedOn w:val="Normal"/>
    <w:rsid w:val="00897370"/>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4C5D3D"/>
    <w:rPr>
      <w:color w:val="954F72" w:themeColor="followedHyperlink"/>
      <w:u w:val="single"/>
    </w:rPr>
  </w:style>
  <w:style w:type="paragraph" w:styleId="EndnoteText">
    <w:name w:val="endnote text"/>
    <w:basedOn w:val="Normal"/>
    <w:link w:val="EndnoteTextChar"/>
    <w:uiPriority w:val="99"/>
    <w:semiHidden/>
    <w:unhideWhenUsed/>
    <w:rsid w:val="00EC7561"/>
    <w:rPr>
      <w:sz w:val="20"/>
    </w:rPr>
  </w:style>
  <w:style w:type="character" w:customStyle="1" w:styleId="EndnoteTextChar">
    <w:name w:val="Endnote Text Char"/>
    <w:basedOn w:val="DefaultParagraphFont"/>
    <w:link w:val="EndnoteText"/>
    <w:uiPriority w:val="99"/>
    <w:semiHidden/>
    <w:rsid w:val="00EC756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C7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semary.Cabral@fcc.gov" TargetMode="External" /><Relationship Id="rId6" Type="http://schemas.openxmlformats.org/officeDocument/2006/relationships/hyperlink" Target="mailto:Christopher.Fedeli@fcc.gov" TargetMode="External" /><Relationship Id="rId7" Type="http://schemas.openxmlformats.org/officeDocument/2006/relationships/hyperlink" Target="https://www.law.cornell.edu/cfr/text/47/part-1/subpart-Z"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efs" TargetMode="External" /><Relationship Id="rId2" Type="http://schemas.openxmlformats.org/officeDocument/2006/relationships/hyperlink" Target="https://www.fcc.gov/cefs/user-manual" TargetMode="External" /><Relationship Id="rId3" Type="http://schemas.openxmlformats.org/officeDocument/2006/relationships/hyperlink" Target="https://www.fcc.gov/cale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