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A5440" w:rsidP="006D64F8" w14:paraId="760BCC40" w14:textId="77777777">
      <w:pPr>
        <w:widowControl/>
        <w:jc w:val="center"/>
        <w:rPr>
          <w:b/>
        </w:rPr>
      </w:pPr>
      <w:r w:rsidRPr="0070224F">
        <w:rPr>
          <w:rFonts w:ascii="Times New Roman Bold" w:hAnsi="Times New Roman Bold"/>
          <w:b/>
          <w:kern w:val="0"/>
          <w:szCs w:val="22"/>
        </w:rPr>
        <w:t>Before</w:t>
      </w:r>
      <w:r>
        <w:rPr>
          <w:b/>
        </w:rPr>
        <w:t xml:space="preserve"> the</w:t>
      </w:r>
    </w:p>
    <w:p w:rsidR="00AA5440" w:rsidP="006D64F8" w14:paraId="3DA7B6D3" w14:textId="77777777">
      <w:pPr>
        <w:pStyle w:val="StyleBoldCentered"/>
        <w:widowControl/>
      </w:pPr>
      <w:r>
        <w:t>F</w:t>
      </w:r>
      <w:r>
        <w:rPr>
          <w:caps w:val="0"/>
        </w:rPr>
        <w:t>ederal Communications Commission</w:t>
      </w:r>
    </w:p>
    <w:p w:rsidR="00AA5440" w:rsidP="006D64F8" w14:paraId="661D94FE" w14:textId="77777777">
      <w:pPr>
        <w:pStyle w:val="StyleBoldCentered"/>
        <w:widowControl/>
      </w:pPr>
      <w:r>
        <w:rPr>
          <w:caps w:val="0"/>
        </w:rPr>
        <w:t>Washington, D.C. 20554</w:t>
      </w:r>
    </w:p>
    <w:p w:rsidR="00AA5440" w:rsidP="006D64F8" w14:paraId="17E9B409" w14:textId="77777777">
      <w:pPr>
        <w:widowControl/>
      </w:pPr>
    </w:p>
    <w:p w:rsidR="00AA5440" w:rsidP="006D64F8" w14:paraId="7BAC75FD" w14:textId="77777777">
      <w:pPr>
        <w:widowControl/>
      </w:pPr>
    </w:p>
    <w:tbl>
      <w:tblPr>
        <w:tblW w:w="0" w:type="auto"/>
        <w:tblLayout w:type="fixed"/>
        <w:tblLook w:val="0000"/>
      </w:tblPr>
      <w:tblGrid>
        <w:gridCol w:w="4698"/>
        <w:gridCol w:w="630"/>
        <w:gridCol w:w="4248"/>
      </w:tblGrid>
      <w:tr w14:paraId="60CC6865" w14:textId="77777777" w:rsidTr="00B217CA">
        <w:tblPrEx>
          <w:tblW w:w="0" w:type="auto"/>
          <w:tblLayout w:type="fixed"/>
          <w:tblLook w:val="0000"/>
        </w:tblPrEx>
        <w:tc>
          <w:tcPr>
            <w:tcW w:w="4698" w:type="dxa"/>
          </w:tcPr>
          <w:p w:rsidR="00AA5440" w:rsidP="006D64F8" w14:paraId="22375802" w14:textId="77777777">
            <w:pPr>
              <w:widowControl/>
              <w:tabs>
                <w:tab w:val="center" w:pos="4680"/>
              </w:tabs>
              <w:suppressAutoHyphens/>
              <w:rPr>
                <w:spacing w:val="-2"/>
              </w:rPr>
            </w:pPr>
            <w:r>
              <w:rPr>
                <w:spacing w:val="-2"/>
              </w:rPr>
              <w:t>In the Matter of</w:t>
            </w:r>
          </w:p>
          <w:p w:rsidR="00AA5440" w:rsidP="006D64F8" w14:paraId="40380A2F" w14:textId="77777777">
            <w:pPr>
              <w:widowControl/>
              <w:tabs>
                <w:tab w:val="center" w:pos="4680"/>
              </w:tabs>
              <w:suppressAutoHyphens/>
              <w:rPr>
                <w:spacing w:val="-2"/>
              </w:rPr>
            </w:pPr>
          </w:p>
          <w:p w:rsidR="00376B3F" w:rsidP="006D64F8" w14:paraId="4C169628" w14:textId="77777777">
            <w:pPr>
              <w:widowControl/>
              <w:tabs>
                <w:tab w:val="center" w:pos="4680"/>
              </w:tabs>
              <w:suppressAutoHyphens/>
              <w:rPr>
                <w:szCs w:val="22"/>
              </w:rPr>
            </w:pPr>
            <w:bookmarkStart w:id="0" w:name="_Hlk31634982"/>
            <w:r>
              <w:rPr>
                <w:szCs w:val="22"/>
              </w:rPr>
              <w:t>Town of Acus</w:t>
            </w:r>
            <w:r>
              <w:rPr>
                <w:szCs w:val="22"/>
              </w:rPr>
              <w:t>hnet, Massachusetts</w:t>
            </w:r>
          </w:p>
          <w:p w:rsidR="00AA5440" w:rsidP="006D64F8" w14:paraId="28D41776" w14:textId="60A74B37">
            <w:pPr>
              <w:widowControl/>
              <w:tabs>
                <w:tab w:val="center" w:pos="4680"/>
              </w:tabs>
              <w:suppressAutoHyphens/>
              <w:rPr>
                <w:szCs w:val="22"/>
              </w:rPr>
            </w:pPr>
            <w:r>
              <w:rPr>
                <w:szCs w:val="22"/>
              </w:rPr>
              <w:t>Town of Fairhave</w:t>
            </w:r>
            <w:r w:rsidR="009A3AB8">
              <w:rPr>
                <w:szCs w:val="22"/>
              </w:rPr>
              <w:t>n, Massachusetts</w:t>
            </w:r>
          </w:p>
          <w:p w:rsidR="00376B3F" w:rsidP="006D64F8" w14:paraId="70348E39" w14:textId="3616995F">
            <w:pPr>
              <w:widowControl/>
              <w:tabs>
                <w:tab w:val="center" w:pos="4680"/>
              </w:tabs>
              <w:suppressAutoHyphens/>
              <w:rPr>
                <w:szCs w:val="22"/>
              </w:rPr>
            </w:pPr>
            <w:r>
              <w:rPr>
                <w:szCs w:val="22"/>
              </w:rPr>
              <w:t xml:space="preserve">Town of </w:t>
            </w:r>
            <w:r w:rsidR="00BA3D45">
              <w:rPr>
                <w:szCs w:val="22"/>
              </w:rPr>
              <w:t>Mattapoisett</w:t>
            </w:r>
            <w:r>
              <w:rPr>
                <w:szCs w:val="22"/>
              </w:rPr>
              <w:t>, Massachusetts</w:t>
            </w:r>
          </w:p>
          <w:bookmarkEnd w:id="0"/>
          <w:p w:rsidR="00AA5440" w:rsidP="006D64F8" w14:paraId="6B94E547" w14:textId="77777777">
            <w:pPr>
              <w:widowControl/>
              <w:tabs>
                <w:tab w:val="center" w:pos="4680"/>
              </w:tabs>
              <w:suppressAutoHyphens/>
              <w:rPr>
                <w:szCs w:val="22"/>
              </w:rPr>
            </w:pPr>
          </w:p>
          <w:p w:rsidR="00AA5440" w:rsidRPr="007115F7" w:rsidP="006D64F8" w14:paraId="4A2CC5B6" w14:textId="7D4A6AAF">
            <w:pPr>
              <w:widowControl/>
              <w:tabs>
                <w:tab w:val="center" w:pos="4680"/>
              </w:tabs>
              <w:suppressAutoHyphens/>
              <w:rPr>
                <w:spacing w:val="-2"/>
              </w:rPr>
            </w:pPr>
            <w:r>
              <w:rPr>
                <w:spacing w:val="-2"/>
              </w:rPr>
              <w:t>Request</w:t>
            </w:r>
            <w:r w:rsidR="00644106">
              <w:rPr>
                <w:spacing w:val="-2"/>
              </w:rPr>
              <w:t>s</w:t>
            </w:r>
            <w:r>
              <w:rPr>
                <w:spacing w:val="-2"/>
              </w:rPr>
              <w:t xml:space="preserve"> for Waiver of </w:t>
            </w:r>
            <w:r w:rsidR="005E6A5D">
              <w:rPr>
                <w:spacing w:val="-2"/>
              </w:rPr>
              <w:t>Section</w:t>
            </w:r>
            <w:r w:rsidR="007933E4">
              <w:rPr>
                <w:spacing w:val="-2"/>
              </w:rPr>
              <w:t>s</w:t>
            </w:r>
            <w:r w:rsidR="005E6A5D">
              <w:rPr>
                <w:spacing w:val="-2"/>
              </w:rPr>
              <w:t xml:space="preserve"> 90.305(a)</w:t>
            </w:r>
            <w:r w:rsidR="007933E4">
              <w:rPr>
                <w:spacing w:val="-2"/>
              </w:rPr>
              <w:t xml:space="preserve"> and 90.307(d)</w:t>
            </w:r>
            <w:r w:rsidR="005E6A5D">
              <w:rPr>
                <w:spacing w:val="-2"/>
              </w:rPr>
              <w:t xml:space="preserve"> of the Commission’s Rule</w:t>
            </w:r>
            <w:r w:rsidR="00F548B4">
              <w:rPr>
                <w:spacing w:val="-2"/>
              </w:rPr>
              <w:t>s</w:t>
            </w:r>
          </w:p>
        </w:tc>
        <w:tc>
          <w:tcPr>
            <w:tcW w:w="630" w:type="dxa"/>
          </w:tcPr>
          <w:p w:rsidR="00AA5440" w:rsidP="006D64F8" w14:paraId="32A9A6C4" w14:textId="77777777">
            <w:pPr>
              <w:widowControl/>
              <w:tabs>
                <w:tab w:val="center" w:pos="4680"/>
              </w:tabs>
              <w:suppressAutoHyphens/>
              <w:rPr>
                <w:b/>
                <w:spacing w:val="-2"/>
              </w:rPr>
            </w:pPr>
            <w:r>
              <w:rPr>
                <w:b/>
                <w:spacing w:val="-2"/>
              </w:rPr>
              <w:t>)</w:t>
            </w:r>
          </w:p>
          <w:p w:rsidR="00AA5440" w:rsidP="006D64F8" w14:paraId="316F8A44" w14:textId="77777777">
            <w:pPr>
              <w:widowControl/>
              <w:tabs>
                <w:tab w:val="center" w:pos="4680"/>
              </w:tabs>
              <w:suppressAutoHyphens/>
              <w:rPr>
                <w:b/>
                <w:spacing w:val="-2"/>
              </w:rPr>
            </w:pPr>
            <w:r>
              <w:rPr>
                <w:b/>
                <w:spacing w:val="-2"/>
              </w:rPr>
              <w:t>)</w:t>
            </w:r>
          </w:p>
          <w:p w:rsidR="00AA5440" w:rsidP="006D64F8" w14:paraId="1F181D1C" w14:textId="77777777">
            <w:pPr>
              <w:widowControl/>
              <w:tabs>
                <w:tab w:val="center" w:pos="4680"/>
              </w:tabs>
              <w:suppressAutoHyphens/>
              <w:rPr>
                <w:b/>
                <w:spacing w:val="-2"/>
              </w:rPr>
            </w:pPr>
            <w:r>
              <w:rPr>
                <w:b/>
                <w:spacing w:val="-2"/>
              </w:rPr>
              <w:t>)</w:t>
            </w:r>
          </w:p>
          <w:p w:rsidR="00AA5440" w:rsidP="006D64F8" w14:paraId="679B289E" w14:textId="667979EC">
            <w:pPr>
              <w:widowControl/>
              <w:tabs>
                <w:tab w:val="center" w:pos="4680"/>
              </w:tabs>
              <w:suppressAutoHyphens/>
              <w:rPr>
                <w:b/>
                <w:spacing w:val="-2"/>
              </w:rPr>
            </w:pPr>
            <w:r>
              <w:rPr>
                <w:b/>
                <w:spacing w:val="-2"/>
              </w:rPr>
              <w:t>)</w:t>
            </w:r>
          </w:p>
          <w:p w:rsidR="00AA5440" w:rsidP="006D64F8" w14:paraId="5DEC9BB8" w14:textId="77777777">
            <w:pPr>
              <w:widowControl/>
              <w:tabs>
                <w:tab w:val="center" w:pos="4680"/>
              </w:tabs>
              <w:suppressAutoHyphens/>
              <w:rPr>
                <w:b/>
                <w:spacing w:val="-2"/>
              </w:rPr>
            </w:pPr>
            <w:r>
              <w:rPr>
                <w:b/>
                <w:spacing w:val="-2"/>
              </w:rPr>
              <w:t>)</w:t>
            </w:r>
          </w:p>
          <w:p w:rsidR="00AC7027" w:rsidP="006D64F8" w14:paraId="5BD50F65" w14:textId="77777777">
            <w:pPr>
              <w:widowControl/>
              <w:tabs>
                <w:tab w:val="center" w:pos="4680"/>
              </w:tabs>
              <w:suppressAutoHyphens/>
              <w:rPr>
                <w:b/>
                <w:spacing w:val="-2"/>
              </w:rPr>
            </w:pPr>
            <w:r>
              <w:rPr>
                <w:b/>
                <w:spacing w:val="-2"/>
              </w:rPr>
              <w:t>)</w:t>
            </w:r>
          </w:p>
          <w:p w:rsidR="00AC7027" w:rsidP="006D64F8" w14:paraId="406E12BB" w14:textId="77777777">
            <w:pPr>
              <w:widowControl/>
              <w:tabs>
                <w:tab w:val="center" w:pos="4680"/>
              </w:tabs>
              <w:suppressAutoHyphens/>
              <w:rPr>
                <w:b/>
                <w:spacing w:val="-2"/>
              </w:rPr>
            </w:pPr>
            <w:r>
              <w:rPr>
                <w:b/>
                <w:spacing w:val="-2"/>
              </w:rPr>
              <w:t>)</w:t>
            </w:r>
          </w:p>
          <w:p w:rsidR="005E6A5D" w:rsidRPr="00D87909" w:rsidP="006D64F8" w14:paraId="46722B09" w14:textId="59D16DAB">
            <w:pPr>
              <w:widowControl/>
              <w:tabs>
                <w:tab w:val="center" w:pos="4680"/>
              </w:tabs>
              <w:suppressAutoHyphens/>
              <w:rPr>
                <w:b/>
                <w:spacing w:val="-2"/>
              </w:rPr>
            </w:pPr>
            <w:r>
              <w:rPr>
                <w:b/>
                <w:spacing w:val="-2"/>
              </w:rPr>
              <w:t>)</w:t>
            </w:r>
          </w:p>
        </w:tc>
        <w:tc>
          <w:tcPr>
            <w:tcW w:w="4248" w:type="dxa"/>
          </w:tcPr>
          <w:p w:rsidR="00AA5440" w:rsidRPr="009D420F" w:rsidP="006D64F8" w14:paraId="24E9D8DB" w14:textId="77777777">
            <w:pPr>
              <w:widowControl/>
              <w:tabs>
                <w:tab w:val="center" w:pos="4680"/>
              </w:tabs>
              <w:suppressAutoHyphens/>
              <w:rPr>
                <w:spacing w:val="-2"/>
                <w:lang w:val="es-ES"/>
              </w:rPr>
            </w:pPr>
          </w:p>
          <w:p w:rsidR="00AA5440" w:rsidRPr="009D420F" w:rsidP="006D64F8" w14:paraId="3A310234" w14:textId="77777777">
            <w:pPr>
              <w:pStyle w:val="TOAHeading"/>
              <w:widowControl/>
              <w:tabs>
                <w:tab w:val="center" w:pos="4680"/>
                <w:tab w:val="clear" w:pos="9360"/>
              </w:tabs>
              <w:rPr>
                <w:spacing w:val="-2"/>
                <w:lang w:val="es-ES"/>
              </w:rPr>
            </w:pPr>
          </w:p>
          <w:p w:rsidR="00AA5440" w:rsidRPr="009D420F" w:rsidP="006D64F8" w14:paraId="5A574E1E" w14:textId="75C9577A">
            <w:pPr>
              <w:widowControl/>
              <w:tabs>
                <w:tab w:val="center" w:pos="4680"/>
              </w:tabs>
              <w:suppressAutoHyphens/>
              <w:rPr>
                <w:lang w:val="es-ES"/>
              </w:rPr>
            </w:pPr>
            <w:bookmarkStart w:id="1" w:name="_Hlk31628773"/>
            <w:r w:rsidRPr="009D420F">
              <w:rPr>
                <w:lang w:val="es-ES"/>
              </w:rPr>
              <w:t xml:space="preserve">File No. </w:t>
            </w:r>
            <w:r w:rsidRPr="009D420F" w:rsidR="005E6A5D">
              <w:rPr>
                <w:lang w:val="es-ES"/>
              </w:rPr>
              <w:t>0009464539</w:t>
            </w:r>
          </w:p>
          <w:p w:rsidR="00D95C3C" w:rsidRPr="009D420F" w:rsidP="006D64F8" w14:paraId="26BF1256" w14:textId="31123209">
            <w:pPr>
              <w:widowControl/>
              <w:tabs>
                <w:tab w:val="center" w:pos="4680"/>
              </w:tabs>
              <w:suppressAutoHyphens/>
              <w:rPr>
                <w:lang w:val="es-ES"/>
              </w:rPr>
            </w:pPr>
            <w:r w:rsidRPr="009D420F">
              <w:rPr>
                <w:lang w:val="es-ES"/>
              </w:rPr>
              <w:t xml:space="preserve">File No. </w:t>
            </w:r>
            <w:r w:rsidRPr="009D420F" w:rsidR="005E6A5D">
              <w:rPr>
                <w:lang w:val="es-ES"/>
              </w:rPr>
              <w:t>0009464605</w:t>
            </w:r>
          </w:p>
          <w:p w:rsidR="00D95C3C" w:rsidRPr="009D420F" w:rsidP="006D64F8" w14:paraId="052E6B06" w14:textId="0097340E">
            <w:pPr>
              <w:widowControl/>
              <w:tabs>
                <w:tab w:val="center" w:pos="4680"/>
              </w:tabs>
              <w:suppressAutoHyphens/>
              <w:rPr>
                <w:lang w:val="es-ES"/>
              </w:rPr>
            </w:pPr>
            <w:r w:rsidRPr="009D420F">
              <w:rPr>
                <w:lang w:val="es-ES"/>
              </w:rPr>
              <w:t xml:space="preserve">File No. </w:t>
            </w:r>
            <w:r w:rsidRPr="009D420F" w:rsidR="005E6A5D">
              <w:rPr>
                <w:lang w:val="es-ES"/>
              </w:rPr>
              <w:t>0009464724</w:t>
            </w:r>
            <w:bookmarkEnd w:id="1"/>
          </w:p>
        </w:tc>
      </w:tr>
    </w:tbl>
    <w:p w:rsidR="00AA5440" w:rsidRPr="009D420F" w:rsidP="006D64F8" w14:paraId="1CCDD2C5" w14:textId="77777777">
      <w:pPr>
        <w:widowControl/>
        <w:rPr>
          <w:lang w:val="es-ES"/>
        </w:rPr>
      </w:pPr>
    </w:p>
    <w:p w:rsidR="00AA5440" w:rsidP="006D64F8" w14:paraId="1F1B8E82" w14:textId="77777777">
      <w:pPr>
        <w:pStyle w:val="StyleBoldCentered"/>
        <w:widowControl/>
      </w:pPr>
      <w:r>
        <w:t>ORDER</w:t>
      </w:r>
    </w:p>
    <w:p w:rsidR="00AA5440" w:rsidP="006D64F8" w14:paraId="7F36DAE1" w14:textId="77777777">
      <w:pPr>
        <w:widowControl/>
        <w:tabs>
          <w:tab w:val="left" w:pos="-720"/>
        </w:tabs>
        <w:suppressAutoHyphens/>
        <w:spacing w:line="227" w:lineRule="auto"/>
        <w:rPr>
          <w:spacing w:val="-2"/>
        </w:rPr>
      </w:pPr>
    </w:p>
    <w:p w:rsidR="00AA5440" w:rsidP="006D64F8" w14:paraId="7677D8C7" w14:textId="25461C6E">
      <w:pPr>
        <w:widowControl/>
        <w:tabs>
          <w:tab w:val="left" w:pos="720"/>
          <w:tab w:val="right" w:pos="9360"/>
        </w:tabs>
        <w:suppressAutoHyphens/>
        <w:spacing w:line="227" w:lineRule="auto"/>
        <w:rPr>
          <w:spacing w:val="-2"/>
        </w:rPr>
      </w:pPr>
      <w:r>
        <w:rPr>
          <w:b/>
          <w:spacing w:val="-2"/>
        </w:rPr>
        <w:t xml:space="preserve">Adopted:  </w:t>
      </w:r>
      <w:r w:rsidR="00FA5329">
        <w:rPr>
          <w:b/>
          <w:spacing w:val="-2"/>
        </w:rPr>
        <w:t>May 11</w:t>
      </w:r>
      <w:r w:rsidR="003148E4">
        <w:rPr>
          <w:b/>
          <w:spacing w:val="-2"/>
        </w:rPr>
        <w:t>, 2023</w:t>
      </w:r>
      <w:r>
        <w:rPr>
          <w:b/>
          <w:spacing w:val="-2"/>
        </w:rPr>
        <w:tab/>
        <w:t xml:space="preserve">Released:  </w:t>
      </w:r>
      <w:r w:rsidR="00FA5329">
        <w:rPr>
          <w:b/>
          <w:spacing w:val="-2"/>
        </w:rPr>
        <w:t>May 11</w:t>
      </w:r>
      <w:r w:rsidR="003148E4">
        <w:rPr>
          <w:b/>
          <w:spacing w:val="-2"/>
        </w:rPr>
        <w:t>, 2023</w:t>
      </w:r>
    </w:p>
    <w:p w:rsidR="00AA5440" w:rsidP="006D64F8" w14:paraId="6EC451FC" w14:textId="77777777">
      <w:pPr>
        <w:widowControl/>
      </w:pPr>
    </w:p>
    <w:p w:rsidR="00AA5440" w:rsidP="006D64F8" w14:paraId="7C8A2EF3" w14:textId="0C6C5280">
      <w:pPr>
        <w:widowControl/>
        <w:rPr>
          <w:spacing w:val="-2"/>
        </w:rPr>
      </w:pPr>
      <w:r>
        <w:t xml:space="preserve">By the </w:t>
      </w:r>
      <w:r>
        <w:rPr>
          <w:spacing w:val="-2"/>
        </w:rPr>
        <w:t>Chief, Policy and Licensing Division</w:t>
      </w:r>
      <w:r w:rsidR="005E6A5D">
        <w:rPr>
          <w:spacing w:val="-2"/>
        </w:rPr>
        <w:t>,</w:t>
      </w:r>
      <w:r>
        <w:rPr>
          <w:spacing w:val="-2"/>
        </w:rPr>
        <w:t xml:space="preserve"> Public Safety and Homeland Security Bureau:</w:t>
      </w:r>
    </w:p>
    <w:p w:rsidR="00AA5440" w:rsidP="006D64F8" w14:paraId="5C380A99" w14:textId="77777777">
      <w:pPr>
        <w:widowControl/>
      </w:pPr>
    </w:p>
    <w:p w:rsidR="00AA5440" w:rsidP="006D64F8" w14:paraId="6CFB8631" w14:textId="4EB2076F">
      <w:pPr>
        <w:pStyle w:val="Heading1"/>
        <w:widowControl/>
      </w:pPr>
      <w:r>
        <w:t>I</w:t>
      </w:r>
      <w:r>
        <w:t>ntroduction</w:t>
      </w:r>
    </w:p>
    <w:p w:rsidR="00AA5440" w:rsidP="00EF7F70" w14:paraId="0857F440" w14:textId="1439D5CA">
      <w:pPr>
        <w:pStyle w:val="ParaNum"/>
        <w:widowControl/>
      </w:pPr>
      <w:r w:rsidRPr="00EF3325">
        <w:t xml:space="preserve">On </w:t>
      </w:r>
      <w:r w:rsidR="00345D1A">
        <w:t>September 20, 2019</w:t>
      </w:r>
      <w:r w:rsidRPr="00EF3325">
        <w:t xml:space="preserve">, the </w:t>
      </w:r>
      <w:r w:rsidR="00015E1F">
        <w:t>Town</w:t>
      </w:r>
      <w:r w:rsidR="0080250C">
        <w:t>s</w:t>
      </w:r>
      <w:r w:rsidR="00015E1F">
        <w:t xml:space="preserve"> of </w:t>
      </w:r>
      <w:r w:rsidR="0080250C">
        <w:t xml:space="preserve">Acushnet, </w:t>
      </w:r>
      <w:r w:rsidR="00015E1F">
        <w:t xml:space="preserve">Fairhaven, </w:t>
      </w:r>
      <w:r w:rsidR="0080250C">
        <w:t>and Mattapoisett</w:t>
      </w:r>
      <w:r w:rsidR="00CA0D0F">
        <w:t xml:space="preserve">, </w:t>
      </w:r>
      <w:r w:rsidR="00F96611">
        <w:t>Massachusetts</w:t>
      </w:r>
      <w:r w:rsidR="004E1A05">
        <w:t xml:space="preserve"> </w:t>
      </w:r>
      <w:r w:rsidR="00F96611">
        <w:t>(</w:t>
      </w:r>
      <w:r w:rsidR="00F9045B">
        <w:t>collectively, the Town</w:t>
      </w:r>
      <w:r w:rsidR="002A3207">
        <w:t>s</w:t>
      </w:r>
      <w:r w:rsidR="00F96611">
        <w:t xml:space="preserve">) </w:t>
      </w:r>
      <w:r w:rsidR="004E1A05">
        <w:t xml:space="preserve">filed </w:t>
      </w:r>
      <w:r w:rsidR="002A3207">
        <w:t>modification</w:t>
      </w:r>
      <w:r w:rsidR="004E1A05">
        <w:t xml:space="preserve"> application</w:t>
      </w:r>
      <w:r w:rsidR="002A3207">
        <w:t>s</w:t>
      </w:r>
      <w:r w:rsidR="005D481E">
        <w:t xml:space="preserve"> for stations KZM468, WBN818, and WBN819</w:t>
      </w:r>
      <w:r w:rsidR="003609D4">
        <w:t>,</w:t>
      </w:r>
      <w:r w:rsidR="008F4BFE">
        <w:t xml:space="preserve"> which operate </w:t>
      </w:r>
      <w:r w:rsidRPr="00EF3325">
        <w:t>in the 470-512 MHz band (T-Band)</w:t>
      </w:r>
      <w:r w:rsidR="006B50D1">
        <w:t>, accompanied by two waiver requests</w:t>
      </w:r>
      <w:r w:rsidRPr="00EF3325">
        <w:t>.</w:t>
      </w:r>
      <w:r>
        <w:rPr>
          <w:rStyle w:val="FootnoteReference"/>
        </w:rPr>
        <w:footnoteReference w:id="3"/>
      </w:r>
      <w:r w:rsidRPr="00EF3325">
        <w:t xml:space="preserve">  </w:t>
      </w:r>
      <w:r w:rsidR="00F46BB6">
        <w:t>Th</w:t>
      </w:r>
      <w:r w:rsidR="006206D7">
        <w:t xml:space="preserve">e Towns </w:t>
      </w:r>
      <w:r w:rsidR="008069A3">
        <w:t>s</w:t>
      </w:r>
      <w:r w:rsidR="006206D7">
        <w:t>eek</w:t>
      </w:r>
      <w:r w:rsidRPr="00EF3325">
        <w:t xml:space="preserve"> waiver</w:t>
      </w:r>
      <w:r w:rsidR="007933E4">
        <w:t>s</w:t>
      </w:r>
      <w:r w:rsidRPr="00EF3325">
        <w:t xml:space="preserve"> of </w:t>
      </w:r>
      <w:r w:rsidR="003A281A">
        <w:t>section</w:t>
      </w:r>
      <w:r w:rsidR="007933E4">
        <w:t>s</w:t>
      </w:r>
      <w:r w:rsidR="003A281A">
        <w:t xml:space="preserve"> 90.305(a) </w:t>
      </w:r>
      <w:r w:rsidR="007933E4">
        <w:t xml:space="preserve">and 90.307(d) </w:t>
      </w:r>
      <w:r w:rsidR="003A281A">
        <w:t>of the Commission’s rules.</w:t>
      </w:r>
      <w:r>
        <w:rPr>
          <w:vertAlign w:val="superscript"/>
        </w:rPr>
        <w:footnoteReference w:id="4"/>
      </w:r>
      <w:r w:rsidR="0010718C">
        <w:t xml:space="preserve">  For the reasons below, we grant the requested waiver</w:t>
      </w:r>
      <w:r w:rsidR="007933E4">
        <w:t>s</w:t>
      </w:r>
      <w:r w:rsidR="0021067F">
        <w:t xml:space="preserve"> as conditioned herein</w:t>
      </w:r>
      <w:r w:rsidR="0010718C">
        <w:t>.</w:t>
      </w:r>
      <w:r>
        <w:t xml:space="preserve">  </w:t>
      </w:r>
    </w:p>
    <w:p w:rsidR="00AA5440" w14:paraId="3141E4D6" w14:textId="48ECB35E">
      <w:pPr>
        <w:pStyle w:val="Heading1"/>
        <w:widowControl/>
      </w:pPr>
      <w:r>
        <w:t>B</w:t>
      </w:r>
      <w:r>
        <w:t>ackground</w:t>
      </w:r>
    </w:p>
    <w:p w:rsidR="003609D4" w:rsidP="00EF7F70" w14:paraId="71B22936" w14:textId="3B645B06">
      <w:pPr>
        <w:pStyle w:val="ParaNum"/>
        <w:widowControl/>
      </w:pPr>
      <w:r>
        <w:t>The Towns share a radio system</w:t>
      </w:r>
      <w:r>
        <w:rPr>
          <w:rStyle w:val="FootnoteReference"/>
        </w:rPr>
        <w:footnoteReference w:id="5"/>
      </w:r>
      <w:r>
        <w:t xml:space="preserve"> that operates on T-Band frequenc</w:t>
      </w:r>
      <w:r w:rsidR="007933E4">
        <w:t xml:space="preserve">y pair </w:t>
      </w:r>
      <w:r>
        <w:t xml:space="preserve">482/485.8125 </w:t>
      </w:r>
      <w:r>
        <w:t>MHz.</w:t>
      </w:r>
      <w:r>
        <w:t xml:space="preserve">  </w:t>
      </w:r>
      <w:r w:rsidR="007933E4">
        <w:t xml:space="preserve">The Towns seek to replace its single base station with a two-site, simulcast system.  </w:t>
      </w:r>
      <w:r>
        <w:t xml:space="preserve">The Towns seek a waiver </w:t>
      </w:r>
      <w:r w:rsidR="007933E4">
        <w:t xml:space="preserve">for one of the </w:t>
      </w:r>
      <w:r w:rsidR="005C13E5">
        <w:t xml:space="preserve">two </w:t>
      </w:r>
      <w:r w:rsidR="00460471">
        <w:t>fixed s</w:t>
      </w:r>
      <w:r w:rsidR="00751A4B">
        <w:t>ites</w:t>
      </w:r>
      <w:r w:rsidR="00460471">
        <w:t xml:space="preserve"> </w:t>
      </w:r>
      <w:r w:rsidR="005C13E5">
        <w:t xml:space="preserve">to be </w:t>
      </w:r>
      <w:r w:rsidR="00460471">
        <w:t xml:space="preserve">located </w:t>
      </w:r>
      <w:r w:rsidR="00722663">
        <w:t>0.8 kilometers (</w:t>
      </w:r>
      <w:r w:rsidR="00191F1E">
        <w:t>0.</w:t>
      </w:r>
      <w:r w:rsidR="00675B88">
        <w:t>5</w:t>
      </w:r>
      <w:r w:rsidR="00191F1E">
        <w:t xml:space="preserve"> </w:t>
      </w:r>
      <w:r w:rsidR="00675B88">
        <w:t>miles</w:t>
      </w:r>
      <w:r w:rsidR="00722663">
        <w:t>)</w:t>
      </w:r>
      <w:r w:rsidR="00675B88">
        <w:t xml:space="preserve"> </w:t>
      </w:r>
      <w:r>
        <w:t xml:space="preserve">outside </w:t>
      </w:r>
      <w:r w:rsidR="00191F1E">
        <w:t xml:space="preserve">the </w:t>
      </w:r>
      <w:r w:rsidR="00722663">
        <w:t>80-kilometer (</w:t>
      </w:r>
      <w:r w:rsidR="00675B88">
        <w:t>50-mile</w:t>
      </w:r>
      <w:r w:rsidR="00722663">
        <w:t>)</w:t>
      </w:r>
      <w:r w:rsidR="00675B88">
        <w:t xml:space="preserve"> </w:t>
      </w:r>
      <w:r>
        <w:t xml:space="preserve">radius </w:t>
      </w:r>
      <w:r w:rsidR="00675B88">
        <w:t>area</w:t>
      </w:r>
      <w:r w:rsidR="00794D4B">
        <w:t xml:space="preserve"> around Boston, Massachusetts</w:t>
      </w:r>
      <w:r w:rsidR="00675B88">
        <w:t xml:space="preserve"> in which fixed stations are normally authorized under the rules</w:t>
      </w:r>
      <w:r>
        <w:t>.</w:t>
      </w:r>
      <w:r>
        <w:rPr>
          <w:rStyle w:val="FootnoteReference"/>
        </w:rPr>
        <w:footnoteReference w:id="6"/>
      </w:r>
      <w:r w:rsidR="007933E4">
        <w:t xml:space="preserve">  The Towns also seek a waiver </w:t>
      </w:r>
      <w:r w:rsidR="00197CF5">
        <w:t xml:space="preserve">of section 90.307(d) to locate </w:t>
      </w:r>
      <w:r w:rsidR="00751A4B">
        <w:t>the sites</w:t>
      </w:r>
      <w:r w:rsidR="003D2664">
        <w:t xml:space="preserve"> </w:t>
      </w:r>
      <w:r w:rsidR="00197CF5">
        <w:t xml:space="preserve">76.3 </w:t>
      </w:r>
      <w:r w:rsidR="005C13E5">
        <w:t xml:space="preserve">and 77.9 </w:t>
      </w:r>
      <w:r w:rsidR="00197CF5">
        <w:t>kilometers</w:t>
      </w:r>
      <w:r w:rsidR="005C13E5">
        <w:t>, respectively,</w:t>
      </w:r>
      <w:r w:rsidR="00197CF5">
        <w:t xml:space="preserve"> from broadcast </w:t>
      </w:r>
      <w:r w:rsidR="003D2664">
        <w:t xml:space="preserve">television (TV) </w:t>
      </w:r>
      <w:r w:rsidR="00197CF5">
        <w:t xml:space="preserve">station </w:t>
      </w:r>
      <w:r w:rsidR="007933E4">
        <w:t>WPXQ-TV</w:t>
      </w:r>
      <w:r w:rsidR="00197CF5">
        <w:t>, TV Channel 17, Newport, Rhode Island</w:t>
      </w:r>
      <w:r w:rsidR="007933E4">
        <w:t>.</w:t>
      </w:r>
      <w:r w:rsidR="00722663">
        <w:t xml:space="preserve">  </w:t>
      </w:r>
      <w:r w:rsidR="00722663">
        <w:rPr>
          <w:color w:val="000000"/>
          <w:szCs w:val="22"/>
        </w:rPr>
        <w:t xml:space="preserve">Section </w:t>
      </w:r>
      <w:r w:rsidR="00722663">
        <w:t xml:space="preserve">90.307(d) requires a </w:t>
      </w:r>
      <w:r w:rsidR="00187E89">
        <w:t>Private Land Mobile Radio Service (</w:t>
      </w:r>
      <w:r w:rsidR="00722663">
        <w:t>PLMRS</w:t>
      </w:r>
      <w:r w:rsidR="00187E89">
        <w:t>)</w:t>
      </w:r>
      <w:r w:rsidR="00722663">
        <w:t xml:space="preserve"> base station which has associated mobile units to be spaced at least 145 kilometers from a protected adjacent </w:t>
      </w:r>
      <w:r w:rsidR="00722663">
        <w:t>channel TV station.</w:t>
      </w:r>
      <w:r>
        <w:rPr>
          <w:rStyle w:val="FootnoteReference"/>
        </w:rPr>
        <w:footnoteReference w:id="7"/>
      </w:r>
      <w:r w:rsidR="008A6FA0">
        <w:t xml:space="preserve">  The </w:t>
      </w:r>
      <w:r w:rsidR="00583AEE">
        <w:t>T</w:t>
      </w:r>
      <w:r w:rsidR="008A6FA0">
        <w:t>owns have special temporary authority (STA) to operate at the two proposed sites.</w:t>
      </w:r>
      <w:r>
        <w:rPr>
          <w:rStyle w:val="FootnoteReference"/>
        </w:rPr>
        <w:footnoteReference w:id="8"/>
      </w:r>
    </w:p>
    <w:p w:rsidR="00DB1883" w:rsidP="00EF7F70" w14:paraId="6DE8732F" w14:textId="62EF8F16">
      <w:pPr>
        <w:pStyle w:val="ParaNum"/>
        <w:widowControl/>
      </w:pPr>
      <w:r>
        <w:t xml:space="preserve">On December 15, 2022, the </w:t>
      </w:r>
      <w:r>
        <w:rPr>
          <w:spacing w:val="-2"/>
        </w:rPr>
        <w:t xml:space="preserve">Public Safety and Homeland Security Bureau </w:t>
      </w:r>
      <w:r w:rsidR="00451AB8">
        <w:t>(Bureau) issued a public notice</w:t>
      </w:r>
      <w:r>
        <w:rPr>
          <w:rStyle w:val="FootnoteReference"/>
        </w:rPr>
        <w:footnoteReference w:id="9"/>
      </w:r>
      <w:r w:rsidR="00451AB8">
        <w:t xml:space="preserve"> seeking comment on the applications and Waiver Request.  The Enterprise Wireless Alliance filed comments in support of the Towns</w:t>
      </w:r>
      <w:r w:rsidR="00CB792F">
        <w:t>’</w:t>
      </w:r>
      <w:r w:rsidR="00451AB8">
        <w:t xml:space="preserve"> request</w:t>
      </w:r>
      <w:r w:rsidR="00CB792F">
        <w:t>s</w:t>
      </w:r>
      <w:r w:rsidR="00451AB8">
        <w:t>.</w:t>
      </w:r>
      <w:r>
        <w:rPr>
          <w:rStyle w:val="FootnoteReference"/>
        </w:rPr>
        <w:footnoteReference w:id="10"/>
      </w:r>
    </w:p>
    <w:p w:rsidR="00AA5440" w14:paraId="124FB559" w14:textId="562B70AE">
      <w:pPr>
        <w:pStyle w:val="Heading1"/>
        <w:widowControl/>
      </w:pPr>
      <w:r>
        <w:t>D</w:t>
      </w:r>
      <w:r>
        <w:t>iscussion</w:t>
      </w:r>
    </w:p>
    <w:p w:rsidR="00AA5440" w14:paraId="16ECDA78" w14:textId="6390784D">
      <w:pPr>
        <w:pStyle w:val="ParaNum"/>
        <w:widowControl/>
      </w:pPr>
      <w:r w:rsidRPr="00EF3325">
        <w:t>To obtain a waiver, a petitioner must demonstrate either that: (</w:t>
      </w:r>
      <w:r w:rsidRPr="00EF3325">
        <w:t>i</w:t>
      </w:r>
      <w:r w:rsidRPr="00EF3325">
        <w:t>) the underlying purpose of the rule(s) would not be served or would be frustrated by application to the present case, and that a grant of the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1"/>
      </w:r>
      <w:r w:rsidRPr="00EF3325">
        <w:t xml:space="preserve">  An applicant seeking a waiver faces a high hurdle and must plead with particularity the facts and circumstances that warrant a waiver.</w:t>
      </w:r>
      <w:r>
        <w:rPr>
          <w:rStyle w:val="FootnoteReference"/>
        </w:rPr>
        <w:footnoteReference w:id="12"/>
      </w:r>
    </w:p>
    <w:p w:rsidR="00AD5191" w:rsidP="000E6B29" w14:paraId="70156993" w14:textId="53977184">
      <w:pPr>
        <w:pStyle w:val="ParaNum"/>
        <w:widowControl/>
        <w:tabs>
          <w:tab w:val="num" w:pos="1440"/>
        </w:tabs>
      </w:pPr>
      <w:r>
        <w:t xml:space="preserve">The Towns </w:t>
      </w:r>
      <w:r w:rsidR="00D07567">
        <w:t xml:space="preserve">note </w:t>
      </w:r>
      <w:r>
        <w:t xml:space="preserve">that </w:t>
      </w:r>
      <w:r w:rsidR="009D4851">
        <w:t>the</w:t>
      </w:r>
      <w:r w:rsidR="003609D4">
        <w:t xml:space="preserve">ir use of </w:t>
      </w:r>
      <w:r w:rsidR="009D4851">
        <w:t xml:space="preserve">a single radio channel </w:t>
      </w:r>
      <w:r w:rsidR="009D1B32">
        <w:t xml:space="preserve">pair to support public safety communications for three towns </w:t>
      </w:r>
      <w:r w:rsidR="009D4851">
        <w:t>is spectrally efficient and promotes the conservation of valuable and finite spectrum.</w:t>
      </w:r>
      <w:r>
        <w:rPr>
          <w:rStyle w:val="FootnoteReference"/>
        </w:rPr>
        <w:footnoteReference w:id="13"/>
      </w:r>
      <w:r w:rsidR="009D4851">
        <w:t xml:space="preserve">  However, </w:t>
      </w:r>
      <w:r w:rsidR="00596057">
        <w:t xml:space="preserve">because of </w:t>
      </w:r>
      <w:r>
        <w:t>increased urban density and the greater reliance on hand</w:t>
      </w:r>
      <w:r w:rsidR="00DA5779">
        <w:t>-</w:t>
      </w:r>
      <w:r>
        <w:t xml:space="preserve">held subscriber units, the </w:t>
      </w:r>
      <w:r w:rsidR="00465085">
        <w:t xml:space="preserve">Towns contend that the </w:t>
      </w:r>
      <w:r>
        <w:t>current single</w:t>
      </w:r>
      <w:r w:rsidR="00D07567">
        <w:t>-</w:t>
      </w:r>
      <w:r>
        <w:t xml:space="preserve">site system does not provide </w:t>
      </w:r>
      <w:r w:rsidR="00D07567">
        <w:t xml:space="preserve">adequate </w:t>
      </w:r>
      <w:r>
        <w:t>coverage for</w:t>
      </w:r>
      <w:r w:rsidR="00111707">
        <w:t xml:space="preserve"> </w:t>
      </w:r>
      <w:r>
        <w:t>first responder personnel in all areas of the three towns.</w:t>
      </w:r>
      <w:r>
        <w:rPr>
          <w:rStyle w:val="FootnoteReference"/>
        </w:rPr>
        <w:footnoteReference w:id="14"/>
      </w:r>
      <w:r>
        <w:t xml:space="preserve"> </w:t>
      </w:r>
      <w:r w:rsidR="003A7ED1">
        <w:t xml:space="preserve"> </w:t>
      </w:r>
      <w:r w:rsidR="00D07567">
        <w:t xml:space="preserve">The Towns therefore propose to modify their radio system by removing the currently licensed site and establishing two new </w:t>
      </w:r>
      <w:r w:rsidR="00FD17FA">
        <w:t xml:space="preserve">simulcast </w:t>
      </w:r>
      <w:r w:rsidR="00D07567">
        <w:t>transmitter sites</w:t>
      </w:r>
      <w:r w:rsidRPr="00D07567" w:rsidR="00D07567">
        <w:t xml:space="preserve"> </w:t>
      </w:r>
      <w:r w:rsidR="00D07567">
        <w:t>located 43.4 and 50.5 miles from the center of Boston.</w:t>
      </w:r>
      <w:r>
        <w:rPr>
          <w:rStyle w:val="FootnoteReference"/>
        </w:rPr>
        <w:footnoteReference w:id="15"/>
      </w:r>
      <w:r w:rsidR="00D07567">
        <w:t xml:space="preserve">  The</w:t>
      </w:r>
      <w:r w:rsidR="00FD17FA">
        <w:t xml:space="preserve"> proposed sites meet separation requirements from other existing stations, and the Towns </w:t>
      </w:r>
      <w:r w:rsidR="00D07567">
        <w:t>contend that the</w:t>
      </w:r>
      <w:r w:rsidR="00FD17FA">
        <w:t xml:space="preserve">y </w:t>
      </w:r>
      <w:r w:rsidR="00D07567">
        <w:t xml:space="preserve">are the most appropriate locations to </w:t>
      </w:r>
      <w:r w:rsidR="00FD17FA">
        <w:t>effectively</w:t>
      </w:r>
      <w:r w:rsidR="00D07567">
        <w:t xml:space="preserve"> serve all three towns</w:t>
      </w:r>
      <w:r w:rsidR="00FD17FA">
        <w:t>.</w:t>
      </w:r>
      <w:r>
        <w:rPr>
          <w:rStyle w:val="FootnoteReference"/>
        </w:rPr>
        <w:footnoteReference w:id="16"/>
      </w:r>
      <w:r w:rsidR="00FD17FA">
        <w:t xml:space="preserve">  </w:t>
      </w:r>
      <w:r>
        <w:t xml:space="preserve">The Towns </w:t>
      </w:r>
      <w:r w:rsidR="00FD17FA">
        <w:t xml:space="preserve">also </w:t>
      </w:r>
      <w:r w:rsidR="003A7ED1">
        <w:t>state that</w:t>
      </w:r>
      <w:r w:rsidR="00DA5779">
        <w:t xml:space="preserve"> </w:t>
      </w:r>
      <w:r w:rsidR="00FD17FA">
        <w:t xml:space="preserve">the </w:t>
      </w:r>
      <w:r w:rsidR="00EC3165">
        <w:t xml:space="preserve">proposed </w:t>
      </w:r>
      <w:r w:rsidR="00FD17FA">
        <w:t xml:space="preserve">modification is the only reasonable alternative available because </w:t>
      </w:r>
      <w:r w:rsidR="00DA5779">
        <w:t xml:space="preserve">they </w:t>
      </w:r>
      <w:r>
        <w:t>lack the resources to completely replace the radio system with a</w:t>
      </w:r>
      <w:r w:rsidR="00111707">
        <w:t xml:space="preserve"> </w:t>
      </w:r>
      <w:r>
        <w:t>new system in an alternate frequency band.</w:t>
      </w:r>
      <w:r>
        <w:rPr>
          <w:rStyle w:val="FootnoteReference"/>
        </w:rPr>
        <w:footnoteReference w:id="17"/>
      </w:r>
      <w:r w:rsidR="004747FF">
        <w:t xml:space="preserve"> </w:t>
      </w:r>
      <w:r>
        <w:t xml:space="preserve"> The</w:t>
      </w:r>
      <w:r w:rsidR="00DA5779">
        <w:t xml:space="preserve"> Towns </w:t>
      </w:r>
      <w:r w:rsidR="009D1B32">
        <w:t xml:space="preserve">also </w:t>
      </w:r>
      <w:r w:rsidR="003A7ED1">
        <w:t>submit that</w:t>
      </w:r>
      <w:r w:rsidR="00367D3C">
        <w:t xml:space="preserve"> m</w:t>
      </w:r>
      <w:r>
        <w:t xml:space="preserve">oving </w:t>
      </w:r>
      <w:r w:rsidR="00FD17FA">
        <w:t xml:space="preserve">out of </w:t>
      </w:r>
      <w:r w:rsidR="005B53C3">
        <w:t xml:space="preserve">the </w:t>
      </w:r>
      <w:r>
        <w:t xml:space="preserve">T-Band would </w:t>
      </w:r>
      <w:r w:rsidR="00FD17FA">
        <w:t>impair their ability to int</w:t>
      </w:r>
      <w:r w:rsidR="009D1B32">
        <w:t>eropera</w:t>
      </w:r>
      <w:r w:rsidR="00FD17FA">
        <w:t xml:space="preserve">te </w:t>
      </w:r>
      <w:r w:rsidR="009D1B32">
        <w:t xml:space="preserve">with </w:t>
      </w:r>
      <w:r>
        <w:t xml:space="preserve">neighboring public safety </w:t>
      </w:r>
      <w:r w:rsidR="009D1B32">
        <w:t>systems</w:t>
      </w:r>
      <w:r w:rsidR="00FD17FA">
        <w:t xml:space="preserve"> that</w:t>
      </w:r>
      <w:r w:rsidR="009D1B32">
        <w:t xml:space="preserve"> </w:t>
      </w:r>
      <w:r w:rsidR="00FD17FA">
        <w:t xml:space="preserve">use </w:t>
      </w:r>
      <w:r w:rsidR="004747FF">
        <w:t>the T-Band</w:t>
      </w:r>
      <w:r>
        <w:t>.</w:t>
      </w:r>
      <w:r>
        <w:rPr>
          <w:rStyle w:val="FootnoteReference"/>
        </w:rPr>
        <w:footnoteReference w:id="18"/>
      </w:r>
      <w:r>
        <w:t xml:space="preserve"> </w:t>
      </w:r>
    </w:p>
    <w:p w:rsidR="00AA5440" w:rsidP="000E6B29" w14:paraId="1785FDD8" w14:textId="18A357B0">
      <w:pPr>
        <w:pStyle w:val="ParaNum"/>
        <w:widowControl/>
        <w:tabs>
          <w:tab w:val="num" w:pos="1440"/>
        </w:tabs>
      </w:pPr>
      <w:r>
        <w:t xml:space="preserve">The Towns acknowledge that </w:t>
      </w:r>
      <w:r w:rsidR="00451523">
        <w:t>one of the sites would be 0.</w:t>
      </w:r>
      <w:r w:rsidR="00563B1F">
        <w:t>5</w:t>
      </w:r>
      <w:r w:rsidR="00451523">
        <w:t xml:space="preserve"> </w:t>
      </w:r>
      <w:r w:rsidR="00563B1F">
        <w:t>miles</w:t>
      </w:r>
      <w:r w:rsidR="00451523">
        <w:t xml:space="preserve"> beyond the </w:t>
      </w:r>
      <w:r w:rsidR="00563B1F">
        <w:t>50</w:t>
      </w:r>
      <w:r w:rsidR="00305293">
        <w:t>-</w:t>
      </w:r>
      <w:r w:rsidR="00563B1F">
        <w:t xml:space="preserve">mile </w:t>
      </w:r>
      <w:r w:rsidR="00451523">
        <w:t xml:space="preserve">radius </w:t>
      </w:r>
      <w:r w:rsidR="00A206D2">
        <w:t xml:space="preserve">where </w:t>
      </w:r>
      <w:r w:rsidR="00451523">
        <w:t xml:space="preserve">fixed transmitters </w:t>
      </w:r>
      <w:r w:rsidR="00A206D2">
        <w:t xml:space="preserve">are allowed </w:t>
      </w:r>
      <w:r w:rsidR="00451523">
        <w:t>in the Boston area</w:t>
      </w:r>
      <w:r>
        <w:t>.</w:t>
      </w:r>
      <w:r>
        <w:rPr>
          <w:rStyle w:val="FootnoteReference"/>
        </w:rPr>
        <w:footnoteReference w:id="19"/>
      </w:r>
      <w:r>
        <w:t xml:space="preserve">  However, </w:t>
      </w:r>
      <w:r w:rsidR="003A7ED1">
        <w:t xml:space="preserve">the Towns contend that </w:t>
      </w:r>
      <w:r w:rsidR="0084128C">
        <w:t xml:space="preserve">these modifications will not materially change the </w:t>
      </w:r>
      <w:r w:rsidR="001E4EBD">
        <w:t>current</w:t>
      </w:r>
      <w:r w:rsidR="0084128C">
        <w:t xml:space="preserve"> landscape </w:t>
      </w:r>
      <w:r w:rsidR="001E4EBD">
        <w:t>of the T-Band allocations</w:t>
      </w:r>
      <w:r w:rsidR="007E68B7">
        <w:t>.</w:t>
      </w:r>
      <w:r>
        <w:rPr>
          <w:rStyle w:val="FootnoteReference"/>
        </w:rPr>
        <w:footnoteReference w:id="20"/>
      </w:r>
      <w:r w:rsidR="007E68B7">
        <w:t xml:space="preserve">  The Towns further contend that </w:t>
      </w:r>
      <w:r w:rsidR="00A206D2">
        <w:t xml:space="preserve">locating </w:t>
      </w:r>
      <w:r w:rsidR="00AE42BC">
        <w:t>one of the two s</w:t>
      </w:r>
      <w:r w:rsidR="00967D24">
        <w:t>ites</w:t>
      </w:r>
      <w:r w:rsidR="00947F8C">
        <w:t xml:space="preserve"> </w:t>
      </w:r>
      <w:r w:rsidR="00A206D2">
        <w:t>0.5 mile</w:t>
      </w:r>
      <w:r w:rsidR="00947F8C">
        <w:t>s</w:t>
      </w:r>
      <w:r w:rsidR="00A206D2">
        <w:t xml:space="preserve"> </w:t>
      </w:r>
      <w:r w:rsidR="00947F8C">
        <w:t xml:space="preserve">beyond the </w:t>
      </w:r>
      <w:r w:rsidR="00A206D2">
        <w:t>50</w:t>
      </w:r>
      <w:r w:rsidR="00305293">
        <w:t>-</w:t>
      </w:r>
      <w:r w:rsidR="00A206D2">
        <w:t xml:space="preserve">mile radius </w:t>
      </w:r>
      <w:r w:rsidR="00947F8C">
        <w:t xml:space="preserve">is a </w:t>
      </w:r>
      <w:r w:rsidRPr="00563B1F" w:rsidR="006D6090">
        <w:rPr>
          <w:i/>
          <w:iCs/>
        </w:rPr>
        <w:t>de minimis</w:t>
      </w:r>
      <w:r w:rsidR="006D6090">
        <w:t xml:space="preserve"> </w:t>
      </w:r>
      <w:r w:rsidR="0084128C">
        <w:t>change</w:t>
      </w:r>
      <w:r w:rsidR="006D6090">
        <w:t>.</w:t>
      </w:r>
      <w:r>
        <w:rPr>
          <w:rStyle w:val="FootnoteReference"/>
        </w:rPr>
        <w:footnoteReference w:id="21"/>
      </w:r>
      <w:r w:rsidR="001B4548">
        <w:t xml:space="preserve">  </w:t>
      </w:r>
      <w:r w:rsidR="001E4EBD">
        <w:t>The requested site would share a tower with FM Station WJFD, New Bedford, Massachusetts.</w:t>
      </w:r>
      <w:r>
        <w:rPr>
          <w:rStyle w:val="FootnoteReference"/>
        </w:rPr>
        <w:footnoteReference w:id="22"/>
      </w:r>
    </w:p>
    <w:p w:rsidR="00B55206" w:rsidRPr="008B60D2" w:rsidP="008C69A3" w14:paraId="1CB4AFF1" w14:textId="52DF9E4F">
      <w:pPr>
        <w:pStyle w:val="ParaNum"/>
        <w:widowControl/>
        <w:rPr>
          <w:snapToGrid/>
          <w:kern w:val="0"/>
          <w:sz w:val="24"/>
          <w:szCs w:val="24"/>
        </w:rPr>
      </w:pPr>
      <w:bookmarkStart w:id="2" w:name="_Ref129937431"/>
      <w:r>
        <w:t>Regarding the Siting Waiver Request, w</w:t>
      </w:r>
      <w:r w:rsidR="00817240">
        <w:t>e find that the Towns</w:t>
      </w:r>
      <w:r w:rsidRPr="00EF3325" w:rsidR="00817240">
        <w:t xml:space="preserve"> satisfy the first prong of the waiver standard</w:t>
      </w:r>
      <w:r w:rsidR="00CF6775">
        <w:t xml:space="preserve">, in that </w:t>
      </w:r>
      <w:r w:rsidR="00817240">
        <w:t>they</w:t>
      </w:r>
      <w:r w:rsidRPr="00EF3325" w:rsidR="00AA5440">
        <w:t xml:space="preserve"> </w:t>
      </w:r>
      <w:r w:rsidR="0088354A">
        <w:t xml:space="preserve">have </w:t>
      </w:r>
      <w:r w:rsidRPr="00EF3325" w:rsidR="00AA5440">
        <w:t xml:space="preserve">shown that the underlying purpose of </w:t>
      </w:r>
      <w:r w:rsidR="0011315C">
        <w:t>section 90.305</w:t>
      </w:r>
      <w:r w:rsidR="00D812E2">
        <w:t>(a)</w:t>
      </w:r>
      <w:r w:rsidRPr="00EF3325" w:rsidR="0011315C">
        <w:t xml:space="preserve"> </w:t>
      </w:r>
      <w:r w:rsidRPr="00EF3325" w:rsidR="00AA5440">
        <w:t xml:space="preserve">would not be frustrated by </w:t>
      </w:r>
      <w:r w:rsidR="00CF6775">
        <w:t xml:space="preserve">grant of a waiver in </w:t>
      </w:r>
      <w:r w:rsidRPr="00EF3325" w:rsidR="00AA5440">
        <w:t>the present case</w:t>
      </w:r>
      <w:r w:rsidR="0011315C">
        <w:t xml:space="preserve">.  </w:t>
      </w:r>
      <w:r w:rsidR="008B0DC2">
        <w:t>In the 2001</w:t>
      </w:r>
      <w:r w:rsidRPr="008B60D2" w:rsidR="008B0DC2">
        <w:rPr>
          <w:i/>
        </w:rPr>
        <w:t xml:space="preserve"> </w:t>
      </w:r>
      <w:r w:rsidRPr="008B60D2" w:rsidR="008B0DC2">
        <w:rPr>
          <w:i/>
        </w:rPr>
        <w:t>Goosetown</w:t>
      </w:r>
      <w:r w:rsidRPr="008B60D2" w:rsidR="008B0DC2">
        <w:rPr>
          <w:i/>
        </w:rPr>
        <w:t xml:space="preserve"> </w:t>
      </w:r>
      <w:r w:rsidR="008B0DC2">
        <w:t>decision, the Commission stated that it would be “more inclined to consider favorably requests for waiver of Section 90.305(a) when the applicant proposes to contain its area of operation within 80 miles of the geographic center of the urban area in question.”</w:t>
      </w:r>
      <w:r>
        <w:rPr>
          <w:rStyle w:val="FootnoteReference"/>
          <w:szCs w:val="22"/>
        </w:rPr>
        <w:footnoteReference w:id="23"/>
      </w:r>
      <w:r w:rsidRPr="008B60D2" w:rsidR="008B0DC2">
        <w:rPr>
          <w:rStyle w:val="documentbody1"/>
          <w:szCs w:val="22"/>
        </w:rPr>
        <w:t xml:space="preserve">  </w:t>
      </w:r>
      <w:r w:rsidR="008B0DC2">
        <w:t>Such operation, the Commission stated, “would not adversely impact television stations because televisions stations are already required to protect land mobile stations operating within that area.”</w:t>
      </w:r>
      <w:r>
        <w:rPr>
          <w:rStyle w:val="FootnoteReference"/>
          <w:szCs w:val="22"/>
        </w:rPr>
        <w:footnoteReference w:id="24"/>
      </w:r>
      <w:r w:rsidRPr="008B60D2" w:rsidR="008B0DC2">
        <w:rPr>
          <w:rStyle w:val="documentbody1"/>
          <w:rFonts w:ascii="Times New Roman" w:hAnsi="Times New Roman"/>
          <w:sz w:val="22"/>
          <w:szCs w:val="22"/>
        </w:rPr>
        <w:t xml:space="preserve">  Because the Towns’ proposed base station and mobile area of operation are located within 80 miles of Boston, we are inclined to consider favorably the Towns’ Siting </w:t>
      </w:r>
      <w:r w:rsidR="00967D24">
        <w:rPr>
          <w:rStyle w:val="documentbody1"/>
          <w:rFonts w:ascii="Times New Roman" w:hAnsi="Times New Roman"/>
          <w:sz w:val="22"/>
          <w:szCs w:val="22"/>
        </w:rPr>
        <w:t>W</w:t>
      </w:r>
      <w:r w:rsidRPr="008B60D2" w:rsidR="008B0DC2">
        <w:rPr>
          <w:rStyle w:val="documentbody1"/>
          <w:rFonts w:ascii="Times New Roman" w:hAnsi="Times New Roman"/>
          <w:sz w:val="22"/>
          <w:szCs w:val="22"/>
        </w:rPr>
        <w:t xml:space="preserve">aiver </w:t>
      </w:r>
      <w:r w:rsidR="00967D24">
        <w:rPr>
          <w:rStyle w:val="documentbody1"/>
          <w:rFonts w:ascii="Times New Roman" w:hAnsi="Times New Roman"/>
          <w:sz w:val="22"/>
          <w:szCs w:val="22"/>
        </w:rPr>
        <w:t>R</w:t>
      </w:r>
      <w:r w:rsidRPr="008B60D2" w:rsidR="008B0DC2">
        <w:rPr>
          <w:rStyle w:val="documentbody1"/>
          <w:rFonts w:ascii="Times New Roman" w:hAnsi="Times New Roman"/>
          <w:sz w:val="22"/>
          <w:szCs w:val="22"/>
        </w:rPr>
        <w:t>equest.</w:t>
      </w:r>
      <w:r w:rsidRPr="008B60D2" w:rsidR="008B60D2">
        <w:rPr>
          <w:rStyle w:val="documentbody1"/>
          <w:rFonts w:ascii="Times New Roman" w:hAnsi="Times New Roman"/>
          <w:sz w:val="22"/>
          <w:szCs w:val="22"/>
        </w:rPr>
        <w:t xml:space="preserve">  </w:t>
      </w:r>
      <w:r w:rsidR="008B60D2">
        <w:t>Specifically, the proposed s</w:t>
      </w:r>
      <w:r w:rsidR="00967D24">
        <w:t>ite</w:t>
      </w:r>
      <w:r w:rsidR="008B60D2">
        <w:t xml:space="preserve"> location 0.5 miles beyond the 50-mile limit is </w:t>
      </w:r>
      <w:r w:rsidRPr="008B60D2" w:rsidR="008B60D2">
        <w:rPr>
          <w:i/>
          <w:iCs/>
        </w:rPr>
        <w:t xml:space="preserve">de minimis </w:t>
      </w:r>
      <w:r w:rsidR="008B60D2">
        <w:t>and unlikely to interfere with television reception.</w:t>
      </w:r>
      <w:r w:rsidRPr="008B60D2" w:rsidR="008B60D2">
        <w:rPr>
          <w:i/>
          <w:iCs/>
        </w:rPr>
        <w:t xml:space="preserve"> </w:t>
      </w:r>
      <w:r w:rsidR="008B60D2">
        <w:t xml:space="preserve"> Moreover, we have waived section 90.305</w:t>
      </w:r>
      <w:r w:rsidR="00AC0D01">
        <w:t>(a)</w:t>
      </w:r>
      <w:r w:rsidR="008B60D2">
        <w:t xml:space="preserve"> previously under similar circumstances.</w:t>
      </w:r>
      <w:r>
        <w:rPr>
          <w:rStyle w:val="FootnoteReference"/>
        </w:rPr>
        <w:footnoteReference w:id="25"/>
      </w:r>
      <w:bookmarkEnd w:id="2"/>
      <w:r w:rsidR="008B60D2">
        <w:t xml:space="preserve">  </w:t>
      </w:r>
    </w:p>
    <w:p w:rsidR="00AA5440" w:rsidP="00B55206" w14:paraId="2FEEFED1" w14:textId="364C004F">
      <w:pPr>
        <w:pStyle w:val="ParaNum"/>
        <w:widowControl/>
      </w:pPr>
      <w:r>
        <w:t>Finally</w:t>
      </w:r>
      <w:r w:rsidR="00180981">
        <w:t xml:space="preserve">, the Towns have shown that a waiver is in the public interest by improving the Towns’ radio coverage for first responders, allowing continued use of a spectrally-efficient shared radio system, and maintaining interoperability with other T-Band public safety agencies in the greater Boston metropolitan area.  </w:t>
      </w:r>
      <w:r w:rsidRPr="00EF3325" w:rsidR="00C53738">
        <w:t xml:space="preserve">Accordingly, </w:t>
      </w:r>
      <w:r w:rsidR="00817240">
        <w:t xml:space="preserve">we grant </w:t>
      </w:r>
      <w:r w:rsidR="00C53738">
        <w:t>the Towns</w:t>
      </w:r>
      <w:r w:rsidR="009C35AB">
        <w:t>’</w:t>
      </w:r>
      <w:r w:rsidRPr="00EF3325" w:rsidR="00C53738">
        <w:t xml:space="preserve"> </w:t>
      </w:r>
      <w:r w:rsidR="00DC0148">
        <w:t>Siting W</w:t>
      </w:r>
      <w:r w:rsidR="00817240">
        <w:t xml:space="preserve">aiver </w:t>
      </w:r>
      <w:r w:rsidR="00DC0148">
        <w:t>R</w:t>
      </w:r>
      <w:r w:rsidR="009C35AB">
        <w:t>equest</w:t>
      </w:r>
      <w:r w:rsidR="00947F8C">
        <w:t>.</w:t>
      </w:r>
      <w:r w:rsidR="009C35AB">
        <w:t xml:space="preserve"> </w:t>
      </w:r>
    </w:p>
    <w:p w:rsidR="004C3944" w:rsidP="00817240" w14:paraId="56BAB7C0" w14:textId="562AEA66">
      <w:pPr>
        <w:pStyle w:val="ParaNum"/>
        <w:widowControl/>
      </w:pPr>
      <w:r>
        <w:t>Regarding the TV Spacing Waiver Request, w</w:t>
      </w:r>
      <w:r>
        <w:t>e have independently reviewed the Towns’ engineering analysis and agree with its conclusions.</w:t>
      </w:r>
      <w:r>
        <w:rPr>
          <w:b/>
        </w:rPr>
        <w:t xml:space="preserve">  </w:t>
      </w:r>
      <w:r>
        <w:rPr>
          <w:color w:val="000000"/>
          <w:szCs w:val="22"/>
        </w:rPr>
        <w:t>The generally accepted protection criterion for a contour analysis between a PLMR station and an adjacent channel TV station is zero dB at the TV station’s Grade B contour.</w:t>
      </w:r>
      <w:r>
        <w:rPr>
          <w:rStyle w:val="FootnoteReference"/>
          <w:szCs w:val="22"/>
        </w:rPr>
        <w:footnoteReference w:id="26"/>
      </w:r>
      <w:r>
        <w:rPr>
          <w:color w:val="000000"/>
          <w:szCs w:val="22"/>
        </w:rPr>
        <w:t xml:space="preserve">  Based on the non-overlap of the Towns’ 64 </w:t>
      </w:r>
      <w:r>
        <w:rPr>
          <w:color w:val="000000"/>
          <w:szCs w:val="22"/>
        </w:rPr>
        <w:t>dBu</w:t>
      </w:r>
      <w:r>
        <w:rPr>
          <w:color w:val="000000"/>
          <w:szCs w:val="22"/>
        </w:rPr>
        <w:t xml:space="preserve"> interfering contour with Station WPXQ-TV’s 64 </w:t>
      </w:r>
      <w:r>
        <w:rPr>
          <w:color w:val="000000"/>
          <w:szCs w:val="22"/>
        </w:rPr>
        <w:t>dBu</w:t>
      </w:r>
      <w:r>
        <w:rPr>
          <w:color w:val="000000"/>
          <w:szCs w:val="22"/>
        </w:rPr>
        <w:t xml:space="preserve"> Grade B service contour, </w:t>
      </w:r>
      <w:r w:rsidRPr="004C3944">
        <w:rPr>
          <w:color w:val="000000"/>
          <w:szCs w:val="22"/>
        </w:rPr>
        <w:t xml:space="preserve">we agree that </w:t>
      </w:r>
      <w:r>
        <w:rPr>
          <w:color w:val="000000"/>
          <w:szCs w:val="22"/>
        </w:rPr>
        <w:t xml:space="preserve">the Towns </w:t>
      </w:r>
      <w:r w:rsidRPr="004C3944">
        <w:rPr>
          <w:color w:val="000000"/>
          <w:szCs w:val="22"/>
        </w:rPr>
        <w:t xml:space="preserve">would provide the requisite </w:t>
      </w:r>
      <w:r w:rsidR="007E531C">
        <w:rPr>
          <w:color w:val="000000"/>
          <w:szCs w:val="22"/>
        </w:rPr>
        <w:t>zero</w:t>
      </w:r>
      <w:r w:rsidRPr="004C3944">
        <w:rPr>
          <w:color w:val="000000"/>
          <w:szCs w:val="22"/>
        </w:rPr>
        <w:t xml:space="preserve"> dB protection to </w:t>
      </w:r>
      <w:r>
        <w:rPr>
          <w:color w:val="000000"/>
          <w:szCs w:val="22"/>
        </w:rPr>
        <w:t>the TV s</w:t>
      </w:r>
      <w:r w:rsidRPr="004C3944">
        <w:rPr>
          <w:color w:val="000000"/>
          <w:szCs w:val="22"/>
        </w:rPr>
        <w:t>tation</w:t>
      </w:r>
      <w:r>
        <w:rPr>
          <w:color w:val="000000"/>
          <w:szCs w:val="22"/>
        </w:rPr>
        <w:t>.</w:t>
      </w:r>
      <w:r>
        <w:rPr>
          <w:rStyle w:val="FootnoteReference"/>
          <w:szCs w:val="22"/>
        </w:rPr>
        <w:footnoteReference w:id="27"/>
      </w:r>
      <w:r>
        <w:rPr>
          <w:color w:val="000000"/>
          <w:szCs w:val="22"/>
        </w:rPr>
        <w:t xml:space="preserve">  </w:t>
      </w:r>
      <w:r w:rsidR="001D019C">
        <w:rPr>
          <w:color w:val="000000"/>
          <w:szCs w:val="22"/>
        </w:rPr>
        <w:t xml:space="preserve">Moreover, the Towns’ existing base station has operated short-spaced to Station WPXQ-TV with no reported interference issues.  </w:t>
      </w:r>
      <w:r>
        <w:rPr>
          <w:color w:val="000000"/>
          <w:szCs w:val="22"/>
        </w:rPr>
        <w:t xml:space="preserve">We conditionally grant the </w:t>
      </w:r>
      <w:r w:rsidR="00DC0148">
        <w:rPr>
          <w:color w:val="000000"/>
          <w:szCs w:val="22"/>
        </w:rPr>
        <w:t xml:space="preserve">TV-Spacing Waiver Request </w:t>
      </w:r>
      <w:r>
        <w:rPr>
          <w:color w:val="000000"/>
          <w:szCs w:val="22"/>
        </w:rPr>
        <w:t>with a requirement</w:t>
      </w:r>
      <w:r w:rsidR="00DC0148">
        <w:rPr>
          <w:color w:val="000000"/>
          <w:szCs w:val="22"/>
        </w:rPr>
        <w:t xml:space="preserve"> that the Towns </w:t>
      </w:r>
      <w:r w:rsidR="00DC0148">
        <w:t>must accept any interference caused by full-power and other primary television stations, and must eliminate any interference caused by its facilities to Station WPXQ-TV’s viewers</w:t>
      </w:r>
      <w:r>
        <w:t>.</w:t>
      </w:r>
    </w:p>
    <w:p w:rsidR="001D019C" w14:paraId="1D02A0B2" w14:textId="36BB18B0">
      <w:pPr>
        <w:pStyle w:val="Heading1"/>
        <w:widowControl/>
      </w:pPr>
      <w:r>
        <w:t>Conclusion</w:t>
      </w:r>
    </w:p>
    <w:p w:rsidR="001D019C" w:rsidP="00847C5E" w14:paraId="42AEEDCE" w14:textId="5F552B26">
      <w:pPr>
        <w:pStyle w:val="ParaNum"/>
        <w:widowControl/>
      </w:pPr>
      <w:r>
        <w:t xml:space="preserve">Based on the information before us, we conclude that the </w:t>
      </w:r>
      <w:r w:rsidR="00967D24">
        <w:t>T</w:t>
      </w:r>
      <w:r>
        <w:t>owns have demonstrated the criteria set forth under section 1.925, and that grant of their requests for waiver of Commission rules to enable them to modify their shared public safety radio system as proposed is warranted.  We therefore grant the requests for waiver, subject to the following condition:</w:t>
      </w:r>
    </w:p>
    <w:p w:rsidR="001D019C" w:rsidRPr="001D019C" w:rsidP="001D019C" w14:paraId="1A07FC3C" w14:textId="0D39610C">
      <w:pPr>
        <w:spacing w:after="120"/>
        <w:ind w:left="720"/>
      </w:pPr>
      <w:r>
        <w:t>The licensees must accept any interference caused by full-power and other primary television stations, and must eliminate any interference caused by its facilities to viewers located within Station WPXQ-TV</w:t>
      </w:r>
      <w:r w:rsidR="00D83ACC">
        <w:t>’s</w:t>
      </w:r>
      <w:r>
        <w:t xml:space="preserve"> </w:t>
      </w:r>
      <w:r w:rsidR="00752737">
        <w:t xml:space="preserve">noise-limited </w:t>
      </w:r>
      <w:r>
        <w:t>service contour</w:t>
      </w:r>
      <w:r w:rsidR="00794D4B">
        <w:t xml:space="preserve"> (NLSC)</w:t>
      </w:r>
      <w:r w:rsidR="00752737">
        <w:t xml:space="preserve">, 41 </w:t>
      </w:r>
      <w:r w:rsidR="00752737">
        <w:t>dBu</w:t>
      </w:r>
      <w:r w:rsidR="00752737">
        <w:t xml:space="preserve"> F(50,90)</w:t>
      </w:r>
      <w:r>
        <w:t>.</w:t>
      </w:r>
    </w:p>
    <w:p w:rsidR="00AA5440" w14:paraId="7EB25A15" w14:textId="05E77F13">
      <w:pPr>
        <w:pStyle w:val="Heading1"/>
        <w:widowControl/>
      </w:pPr>
      <w:r>
        <w:t>O</w:t>
      </w:r>
      <w:r>
        <w:t xml:space="preserve">rdering </w:t>
      </w:r>
      <w:r>
        <w:t>C</w:t>
      </w:r>
      <w:r>
        <w:t>lauses</w:t>
      </w:r>
    </w:p>
    <w:p w:rsidR="00AA5440" w:rsidP="009C35AB" w14:paraId="1B36E6BF" w14:textId="625E6A1D">
      <w:pPr>
        <w:pStyle w:val="ParaNum"/>
        <w:widowControl/>
        <w:tabs>
          <w:tab w:val="num" w:pos="1440"/>
        </w:tabs>
      </w:pPr>
      <w:r>
        <w:t xml:space="preserve">Accordingly, </w:t>
      </w:r>
      <w:r w:rsidRPr="009C35AB">
        <w:rPr>
          <w:b/>
          <w:bCs/>
        </w:rPr>
        <w:t>IT IS ORDERED</w:t>
      </w:r>
      <w:r>
        <w:t xml:space="preserve"> that, pursuant to Sections 1, 4(</w:t>
      </w:r>
      <w:r>
        <w:t>i</w:t>
      </w:r>
      <w:r>
        <w:t>) and 303(r) of the Communications Act of 1934, as amended, 47 U.S.C. §§ 151, 154(</w:t>
      </w:r>
      <w:r>
        <w:t>i</w:t>
      </w:r>
      <w:r>
        <w:t xml:space="preserve">), and 303(r), and </w:t>
      </w:r>
      <w:r>
        <w:t>s</w:t>
      </w:r>
      <w:r>
        <w:t xml:space="preserve">ection 1.925 of the Commission’s rules, 47 CFR § 1.925, the </w:t>
      </w:r>
      <w:r w:rsidR="0040137C">
        <w:t xml:space="preserve">March 22, 2021 </w:t>
      </w:r>
      <w:r w:rsidR="00DC0148">
        <w:t>Siting</w:t>
      </w:r>
      <w:r w:rsidR="0040137C">
        <w:t xml:space="preserve"> </w:t>
      </w:r>
      <w:r>
        <w:t xml:space="preserve">Waiver Request </w:t>
      </w:r>
      <w:r w:rsidR="0040137C">
        <w:t xml:space="preserve">and the April 29, 2021 TV Spacing Waiver Request, filed </w:t>
      </w:r>
      <w:r>
        <w:t xml:space="preserve">by the </w:t>
      </w:r>
      <w:r w:rsidR="001978D1">
        <w:t>Town of Acushnet, Massachusetts</w:t>
      </w:r>
      <w:r w:rsidR="00031080">
        <w:t xml:space="preserve">, the </w:t>
      </w:r>
      <w:r w:rsidR="001978D1">
        <w:t>Town of Fairhaven, Massachusetts</w:t>
      </w:r>
      <w:r w:rsidR="00031080">
        <w:t xml:space="preserve">, and the </w:t>
      </w:r>
      <w:r w:rsidR="001978D1">
        <w:t>Town of Mattapoisett, Massachusetts</w:t>
      </w:r>
      <w:r>
        <w:t xml:space="preserve">, </w:t>
      </w:r>
      <w:r w:rsidR="00C10C5F">
        <w:t>ARE</w:t>
      </w:r>
      <w:r>
        <w:t xml:space="preserve"> </w:t>
      </w:r>
      <w:r w:rsidR="001978D1">
        <w:t>GRANTED</w:t>
      </w:r>
      <w:r w:rsidR="001D019C">
        <w:t xml:space="preserve"> as conditioned herein</w:t>
      </w:r>
      <w:r>
        <w:t>.</w:t>
      </w:r>
    </w:p>
    <w:p w:rsidR="00AA5440" w:rsidP="004D1176" w14:paraId="243EDE77" w14:textId="039A3D11">
      <w:pPr>
        <w:pStyle w:val="ParaNum"/>
        <w:widowControl/>
      </w:pPr>
      <w:r w:rsidRPr="0041534B">
        <w:rPr>
          <w:b/>
          <w:bCs/>
        </w:rPr>
        <w:t>IT IS FURTHER ORDERED</w:t>
      </w:r>
      <w:r>
        <w:t>, that the application</w:t>
      </w:r>
      <w:r w:rsidR="002C12BA">
        <w:t>s</w:t>
      </w:r>
      <w:r>
        <w:t xml:space="preserve">, </w:t>
      </w:r>
      <w:r w:rsidR="002C12BA">
        <w:t>File No</w:t>
      </w:r>
      <w:r w:rsidR="0041534B">
        <w:t>s</w:t>
      </w:r>
      <w:r w:rsidR="002C12BA">
        <w:t xml:space="preserve">. </w:t>
      </w:r>
      <w:r w:rsidR="0041534B">
        <w:t>0009464539, 0009464605, and 0009464724</w:t>
      </w:r>
      <w:r>
        <w:t xml:space="preserve">, SHALL BE </w:t>
      </w:r>
      <w:r w:rsidR="006E44B2">
        <w:t xml:space="preserve">PROCESSED in accordance with this </w:t>
      </w:r>
      <w:r w:rsidR="00FC29BB">
        <w:t>O</w:t>
      </w:r>
      <w:r w:rsidR="006E44B2">
        <w:t>rder</w:t>
      </w:r>
      <w:r w:rsidR="001D019C">
        <w:t xml:space="preserve"> and the Commission’s rules</w:t>
      </w:r>
      <w:r>
        <w:t>.</w:t>
      </w:r>
    </w:p>
    <w:p w:rsidR="00AA5440" w:rsidRPr="00EF3325" w14:paraId="1AE95419" w14:textId="77777777">
      <w:pPr>
        <w:pStyle w:val="ParaNum"/>
        <w:keepNext/>
        <w:keepLines/>
        <w:widowControl/>
      </w:pPr>
      <w:r>
        <w:t>This action is taken under delegated authority pursuant to Sections 0.191(f) and 0.392 of the Commission’s rules, 47 CFR §§ 0.191(f) and 0.392.</w:t>
      </w:r>
    </w:p>
    <w:p w:rsidR="00AA5440" w:rsidRPr="0098599D" w:rsidP="009C35AB" w14:paraId="044C06E5" w14:textId="77777777">
      <w:pPr>
        <w:pStyle w:val="ParaNum"/>
        <w:keepNext/>
        <w:keepLines/>
        <w:widowControl/>
        <w:numPr>
          <w:ilvl w:val="0"/>
          <w:numId w:val="0"/>
        </w:numPr>
        <w:spacing w:after="0"/>
        <w:ind w:firstLine="720"/>
        <w:rPr>
          <w:szCs w:val="22"/>
        </w:rPr>
      </w:pPr>
    </w:p>
    <w:p w:rsidR="00AA5440" w:rsidRPr="0098599D" w14:paraId="73B1416D" w14:textId="77777777">
      <w:pPr>
        <w:keepNext/>
        <w:keepLines/>
        <w:widowControl/>
        <w:ind w:left="4320"/>
        <w:rPr>
          <w:szCs w:val="22"/>
        </w:rPr>
      </w:pPr>
      <w:r w:rsidRPr="0098599D">
        <w:rPr>
          <w:szCs w:val="22"/>
        </w:rPr>
        <w:t>FEDERAL COMMUNICATIONS COMMISSION</w:t>
      </w:r>
    </w:p>
    <w:p w:rsidR="00AA5440" w14:paraId="7227E250" w14:textId="77777777">
      <w:pPr>
        <w:keepNext/>
        <w:keepLines/>
        <w:widowControl/>
        <w:ind w:left="4320"/>
        <w:rPr>
          <w:szCs w:val="22"/>
        </w:rPr>
      </w:pPr>
    </w:p>
    <w:p w:rsidR="00AA5440" w14:paraId="7F2210AB" w14:textId="77777777">
      <w:pPr>
        <w:keepNext/>
        <w:keepLines/>
        <w:widowControl/>
        <w:ind w:left="4320"/>
        <w:rPr>
          <w:szCs w:val="22"/>
        </w:rPr>
      </w:pPr>
    </w:p>
    <w:p w:rsidR="00AA5440" w14:paraId="58E668D4" w14:textId="77777777">
      <w:pPr>
        <w:keepNext/>
        <w:keepLines/>
        <w:widowControl/>
        <w:ind w:left="4320"/>
        <w:rPr>
          <w:szCs w:val="22"/>
        </w:rPr>
      </w:pPr>
    </w:p>
    <w:p w:rsidR="00AA5440" w:rsidRPr="0098599D" w14:paraId="1A507ED6" w14:textId="77777777">
      <w:pPr>
        <w:keepNext/>
        <w:keepLines/>
        <w:widowControl/>
        <w:ind w:left="4320"/>
        <w:rPr>
          <w:szCs w:val="22"/>
        </w:rPr>
      </w:pPr>
    </w:p>
    <w:p w:rsidR="00AA5440" w:rsidRPr="0098599D" w14:paraId="1D1E87D9" w14:textId="2D8162D6">
      <w:pPr>
        <w:keepNext/>
        <w:keepLines/>
        <w:widowControl/>
        <w:ind w:left="4320"/>
        <w:rPr>
          <w:szCs w:val="22"/>
        </w:rPr>
      </w:pPr>
      <w:r>
        <w:rPr>
          <w:szCs w:val="22"/>
        </w:rPr>
        <w:t>John A. Evanoff</w:t>
      </w:r>
    </w:p>
    <w:p w:rsidR="00AA5440" w:rsidRPr="0098599D" w14:paraId="374E5AD6" w14:textId="77777777">
      <w:pPr>
        <w:keepNext/>
        <w:keepLines/>
        <w:widowControl/>
        <w:ind w:left="4320"/>
        <w:rPr>
          <w:szCs w:val="22"/>
        </w:rPr>
      </w:pPr>
      <w:r w:rsidRPr="0098599D">
        <w:rPr>
          <w:szCs w:val="22"/>
        </w:rPr>
        <w:t>Chief, Policy and Licensing Division</w:t>
      </w:r>
    </w:p>
    <w:p w:rsidR="00412FC5" w:rsidRPr="00AA5440" w14:paraId="53FF96C3" w14:textId="77777777">
      <w:pPr>
        <w:keepNext/>
        <w:keepLines/>
        <w:widowControl/>
        <w:ind w:left="4320"/>
        <w:rPr>
          <w:szCs w:val="22"/>
        </w:rPr>
      </w:pPr>
      <w:r w:rsidRPr="0098599D">
        <w:rPr>
          <w:szCs w:val="22"/>
        </w:rPr>
        <w:t>Public Safety and Homeland Security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DD67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1C891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737BCE" w14:textId="77777777">
    <w:pPr>
      <w:pStyle w:val="Footer"/>
      <w:jc w:val="center"/>
    </w:pPr>
    <w:r>
      <w:fldChar w:fldCharType="begin"/>
    </w:r>
    <w:r>
      <w:instrText xml:space="preserve"> PAGE   \* MERGEFORMAT </w:instrText>
    </w:r>
    <w:r>
      <w:fldChar w:fldCharType="separate"/>
    </w:r>
    <w:r w:rsidR="002A41A7">
      <w:rPr>
        <w:noProof/>
      </w:rPr>
      <w:t>2</w:t>
    </w:r>
    <w:r>
      <w:rPr>
        <w:noProof/>
      </w:rPr>
      <w:fldChar w:fldCharType="end"/>
    </w:r>
  </w:p>
  <w:p w:rsidR="00D25FB5" w14:paraId="1361513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2C99A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712F" w14:paraId="5DF64C73" w14:textId="77777777">
      <w:r>
        <w:separator/>
      </w:r>
    </w:p>
  </w:footnote>
  <w:footnote w:type="continuationSeparator" w:id="1">
    <w:p w:rsidR="006E712F" w:rsidP="00C721AC" w14:paraId="3D37C5DD" w14:textId="77777777">
      <w:pPr>
        <w:spacing w:before="120"/>
        <w:rPr>
          <w:sz w:val="20"/>
        </w:rPr>
      </w:pPr>
      <w:r>
        <w:rPr>
          <w:sz w:val="20"/>
        </w:rPr>
        <w:t xml:space="preserve">(Continued from previous page)  </w:t>
      </w:r>
      <w:r>
        <w:rPr>
          <w:sz w:val="20"/>
        </w:rPr>
        <w:separator/>
      </w:r>
    </w:p>
  </w:footnote>
  <w:footnote w:type="continuationNotice" w:id="2">
    <w:p w:rsidR="006E712F" w:rsidP="00C721AC" w14:paraId="04D82D6C" w14:textId="77777777">
      <w:pPr>
        <w:jc w:val="right"/>
        <w:rPr>
          <w:sz w:val="20"/>
        </w:rPr>
      </w:pPr>
    </w:p>
  </w:footnote>
  <w:footnote w:id="3">
    <w:p w:rsidR="00AA5440" w:rsidP="0076770D" w14:paraId="029B5226" w14:textId="3F4809F9">
      <w:pPr>
        <w:pStyle w:val="FootnoteText"/>
      </w:pPr>
      <w:r>
        <w:rPr>
          <w:rStyle w:val="FootnoteReference"/>
        </w:rPr>
        <w:footnoteRef/>
      </w:r>
      <w:r>
        <w:t xml:space="preserve"> </w:t>
      </w:r>
      <w:r w:rsidR="00983B8C">
        <w:rPr>
          <w:i/>
          <w:iCs/>
        </w:rPr>
        <w:t xml:space="preserve">See </w:t>
      </w:r>
      <w:r w:rsidRPr="0041534B" w:rsidR="0041534B">
        <w:t>File Nos. 0009464539</w:t>
      </w:r>
      <w:r w:rsidR="00152B23">
        <w:t>,</w:t>
      </w:r>
      <w:r w:rsidRPr="0041534B" w:rsidR="0041534B">
        <w:t xml:space="preserve"> 0009464605, and 0009464724</w:t>
      </w:r>
      <w:r w:rsidR="00152B23">
        <w:t xml:space="preserve"> (filed Mar. 22, 2021, amended Apr. 29, 2021), attached Waiver - Expedited Action Requested</w:t>
      </w:r>
      <w:r w:rsidR="000A0451">
        <w:t xml:space="preserve"> </w:t>
      </w:r>
      <w:r w:rsidRPr="000A0451" w:rsidR="000A0451">
        <w:t>Involving Licensing in the 470-512 MHz Band</w:t>
      </w:r>
      <w:r w:rsidR="00152B23">
        <w:t xml:space="preserve"> (filed Mar. 22, 2021) (</w:t>
      </w:r>
      <w:r w:rsidR="00DC0148">
        <w:t>Siting</w:t>
      </w:r>
      <w:r w:rsidR="000A0451">
        <w:t xml:space="preserve"> </w:t>
      </w:r>
      <w:r w:rsidR="00152B23">
        <w:t>Waiver Request)</w:t>
      </w:r>
      <w:r w:rsidR="000A0451">
        <w:t xml:space="preserve">; Waiver - Expedited Action Requested </w:t>
      </w:r>
      <w:r w:rsidRPr="000A0451" w:rsidR="000A0451">
        <w:t>Involving TV Protection in the 470-512 MHz Band</w:t>
      </w:r>
      <w:r w:rsidR="000A0451">
        <w:t xml:space="preserve"> (filed Apr. 29, 2021) (TV Spacing Waiver Request)</w:t>
      </w:r>
      <w:r w:rsidR="004E6833">
        <w:t>.</w:t>
      </w:r>
    </w:p>
  </w:footnote>
  <w:footnote w:id="4">
    <w:p w:rsidR="0010718C" w:rsidRPr="00000196" w:rsidP="0010718C" w14:paraId="2875FFFF" w14:textId="525B1EDE">
      <w:pPr>
        <w:pStyle w:val="FootnoteText"/>
      </w:pPr>
      <w:r>
        <w:rPr>
          <w:rStyle w:val="FootnoteReference"/>
        </w:rPr>
        <w:footnoteRef/>
      </w:r>
      <w:r>
        <w:rPr>
          <w:i/>
        </w:rPr>
        <w:t xml:space="preserve"> </w:t>
      </w:r>
      <w:r w:rsidR="00EC61F0">
        <w:t>47 CFR §</w:t>
      </w:r>
      <w:r w:rsidR="007933E4">
        <w:t>§</w:t>
      </w:r>
      <w:r w:rsidR="00EC61F0">
        <w:t xml:space="preserve"> 90.305(a)</w:t>
      </w:r>
      <w:r w:rsidR="007933E4">
        <w:t>, 90.307(d)</w:t>
      </w:r>
      <w:r w:rsidR="00E12D4D">
        <w:t xml:space="preserve"> (</w:t>
      </w:r>
      <w:r w:rsidR="004D4708">
        <w:t xml:space="preserve">respectively stating that the transmitter site(s) for </w:t>
      </w:r>
      <w:r w:rsidRPr="004D4708" w:rsidR="004D4708">
        <w:t xml:space="preserve">base stations </w:t>
      </w:r>
      <w:r w:rsidR="004D4708">
        <w:t xml:space="preserve">shall </w:t>
      </w:r>
      <w:r w:rsidRPr="004D4708" w:rsidR="004D4708">
        <w:t xml:space="preserve">be located </w:t>
      </w:r>
      <w:r w:rsidR="004D4708">
        <w:t xml:space="preserve">not more than 80 </w:t>
      </w:r>
      <w:r w:rsidRPr="004D4708" w:rsidR="004D4708">
        <w:t>kilometers (</w:t>
      </w:r>
      <w:r w:rsidR="004D4708">
        <w:t xml:space="preserve">50 </w:t>
      </w:r>
      <w:r w:rsidRPr="004D4708" w:rsidR="004D4708">
        <w:t xml:space="preserve">miles) of the geographic centers of the urbanized areas listed in </w:t>
      </w:r>
      <w:r w:rsidR="004D4708">
        <w:t xml:space="preserve">47 CFR § </w:t>
      </w:r>
      <w:r w:rsidRPr="004D4708" w:rsidR="004D4708">
        <w:t>90.303</w:t>
      </w:r>
      <w:r w:rsidR="004D4708">
        <w:t xml:space="preserve">; and the minimum distance between a land mobile </w:t>
      </w:r>
      <w:r w:rsidRPr="004D4708" w:rsidR="004D4708">
        <w:t xml:space="preserve">base station </w:t>
      </w:r>
      <w:r w:rsidR="004D4708">
        <w:t xml:space="preserve">which has associated mobile units and a protected </w:t>
      </w:r>
      <w:r w:rsidRPr="004D4708" w:rsidR="004D4708">
        <w:t xml:space="preserve">adjacent channel television station </w:t>
      </w:r>
      <w:r w:rsidR="004D4708">
        <w:t>is 1</w:t>
      </w:r>
      <w:r w:rsidRPr="004D4708" w:rsidR="004D4708">
        <w:t>45 kilometers (</w:t>
      </w:r>
      <w:r w:rsidR="004D4708">
        <w:t xml:space="preserve">90 </w:t>
      </w:r>
      <w:r w:rsidRPr="004D4708" w:rsidR="004D4708">
        <w:t>miles)</w:t>
      </w:r>
      <w:r w:rsidR="00E12D4D">
        <w:t>)</w:t>
      </w:r>
      <w:r w:rsidR="00EC61F0">
        <w:t>.</w:t>
      </w:r>
      <w:r>
        <w:rPr>
          <w:spacing w:val="-2"/>
        </w:rPr>
        <w:t xml:space="preserve">  </w:t>
      </w:r>
    </w:p>
  </w:footnote>
  <w:footnote w:id="5">
    <w:p w:rsidR="003B3CFD" w:rsidRPr="003B3CFD" w14:paraId="4460B772" w14:textId="090685FA">
      <w:pPr>
        <w:pStyle w:val="FootnoteText"/>
      </w:pPr>
      <w:r>
        <w:rPr>
          <w:rStyle w:val="FootnoteReference"/>
        </w:rPr>
        <w:footnoteRef/>
      </w:r>
      <w:r>
        <w:t xml:space="preserve"> </w:t>
      </w:r>
      <w:r>
        <w:rPr>
          <w:i/>
          <w:iCs/>
        </w:rPr>
        <w:t>See</w:t>
      </w:r>
      <w:r>
        <w:t xml:space="preserve"> 47 CFR § 90.185 (setting forth the rules for multiple eligible licensees to share a single radio system).</w:t>
      </w:r>
    </w:p>
  </w:footnote>
  <w:footnote w:id="6">
    <w:p w:rsidR="003609D4" w:rsidP="003609D4" w14:paraId="25E69FCE" w14:textId="1FEEE400">
      <w:pPr>
        <w:pStyle w:val="FootnoteText"/>
      </w:pPr>
      <w:r>
        <w:rPr>
          <w:rStyle w:val="FootnoteReference"/>
        </w:rPr>
        <w:footnoteRef/>
      </w:r>
      <w:r>
        <w:t xml:space="preserve"> </w:t>
      </w:r>
      <w:r w:rsidR="00DC0148">
        <w:t>Siting</w:t>
      </w:r>
      <w:r w:rsidR="00010D30">
        <w:t xml:space="preserve"> </w:t>
      </w:r>
      <w:r>
        <w:t xml:space="preserve">Waiver Request at 1.  </w:t>
      </w:r>
      <w:r w:rsidRPr="00EC5E41">
        <w:rPr>
          <w:i/>
          <w:iCs/>
        </w:rPr>
        <w:t>See also</w:t>
      </w:r>
      <w:r>
        <w:t xml:space="preserve"> 47 CFR §</w:t>
      </w:r>
      <w:r w:rsidR="009066C6">
        <w:t>§</w:t>
      </w:r>
      <w:r w:rsidR="00A505EC">
        <w:t xml:space="preserve"> </w:t>
      </w:r>
      <w:r>
        <w:t>90.305</w:t>
      </w:r>
      <w:r w:rsidR="00EC61F0">
        <w:t>(a)</w:t>
      </w:r>
      <w:r w:rsidR="009066C6">
        <w:t>, 90.307(d)</w:t>
      </w:r>
      <w:r w:rsidR="00C3259D">
        <w:t>.</w:t>
      </w:r>
    </w:p>
  </w:footnote>
  <w:footnote w:id="7">
    <w:p w:rsidR="00722663" w:rsidP="00722663" w14:paraId="4508C6DB" w14:textId="08AE8BE2">
      <w:pPr>
        <w:pStyle w:val="FootnoteText"/>
      </w:pPr>
      <w:r>
        <w:rPr>
          <w:rStyle w:val="FootnoteReference"/>
        </w:rPr>
        <w:footnoteRef/>
      </w:r>
      <w:r>
        <w:t xml:space="preserve"> </w:t>
      </w:r>
      <w:r>
        <w:t xml:space="preserve">47 CFR § 90.307(d).  </w:t>
      </w:r>
      <w:r w:rsidR="00507817">
        <w:t xml:space="preserve">The smallest separation distance to the proposed sites is 76.3 km.  </w:t>
      </w:r>
      <w:r w:rsidR="00507817">
        <w:rPr>
          <w:i/>
          <w:iCs/>
        </w:rPr>
        <w:t>See</w:t>
      </w:r>
      <w:r w:rsidRPr="00507817" w:rsidR="00507817">
        <w:t xml:space="preserve"> </w:t>
      </w:r>
      <w:r w:rsidR="00507817">
        <w:t>TV Spacing Waiver Request at 3.</w:t>
      </w:r>
    </w:p>
  </w:footnote>
  <w:footnote w:id="8">
    <w:p w:rsidR="008A6FA0" w:rsidRPr="008A6FA0" w14:paraId="6C5E7869" w14:textId="54A1D1FC">
      <w:pPr>
        <w:pStyle w:val="FootnoteText"/>
      </w:pPr>
      <w:r>
        <w:rPr>
          <w:rStyle w:val="FootnoteReference"/>
        </w:rPr>
        <w:footnoteRef/>
      </w:r>
      <w:r>
        <w:t xml:space="preserve"> </w:t>
      </w:r>
      <w:r>
        <w:rPr>
          <w:i/>
          <w:iCs/>
        </w:rPr>
        <w:t>See</w:t>
      </w:r>
      <w:r>
        <w:t xml:space="preserve"> STA call sign</w:t>
      </w:r>
      <w:r w:rsidR="000A0451">
        <w:t xml:space="preserve"> WRHT244</w:t>
      </w:r>
      <w:r w:rsidR="00614841">
        <w:t xml:space="preserve"> (expires </w:t>
      </w:r>
      <w:r w:rsidR="00FA5329">
        <w:t>Oct. 15</w:t>
      </w:r>
      <w:r w:rsidR="00614841">
        <w:t>, 202</w:t>
      </w:r>
      <w:r w:rsidR="003148E4">
        <w:t>3</w:t>
      </w:r>
      <w:r w:rsidR="00614841">
        <w:t>)</w:t>
      </w:r>
      <w:r>
        <w:t>.</w:t>
      </w:r>
    </w:p>
  </w:footnote>
  <w:footnote w:id="9">
    <w:p w:rsidR="00451AB8" w:rsidP="00451AB8" w14:paraId="06CA0EDE" w14:textId="31169435">
      <w:pPr>
        <w:pStyle w:val="FootnoteText"/>
        <w:rPr>
          <w:i/>
        </w:rPr>
      </w:pPr>
      <w:r>
        <w:rPr>
          <w:rStyle w:val="FootnoteReference"/>
        </w:rPr>
        <w:footnoteRef/>
      </w:r>
      <w:r>
        <w:t xml:space="preserve"> </w:t>
      </w:r>
      <w:r>
        <w:rPr>
          <w:i/>
        </w:rPr>
        <w:t xml:space="preserve">See </w:t>
      </w:r>
      <w:r w:rsidRPr="0001281D" w:rsidR="008D7E9E">
        <w:rPr>
          <w:bCs/>
          <w:i/>
          <w:iCs/>
        </w:rPr>
        <w:t>Public Safety And Homeland Security Bureau Seeks Comment on Requests for Waiver Filed by the Towns of Acushnet, Fairhaven, and Mattapoisett, Massachusetts to Operate Two T-Band Base Stations</w:t>
      </w:r>
      <w:r>
        <w:t xml:space="preserve">, </w:t>
      </w:r>
      <w:r w:rsidRPr="0001281D">
        <w:rPr>
          <w:iCs/>
        </w:rPr>
        <w:t>Public Notice</w:t>
      </w:r>
      <w:r>
        <w:t xml:space="preserve">, </w:t>
      </w:r>
      <w:r w:rsidR="008D7E9E">
        <w:t>DA 22</w:t>
      </w:r>
      <w:r w:rsidR="00E42A71">
        <w:noBreakHyphen/>
      </w:r>
      <w:r w:rsidR="008D7E9E">
        <w:t>1328</w:t>
      </w:r>
      <w:r>
        <w:t xml:space="preserve"> (PSHSB</w:t>
      </w:r>
      <w:r w:rsidR="00836831">
        <w:t xml:space="preserve"> Dec. 15, </w:t>
      </w:r>
      <w:r>
        <w:t>20</w:t>
      </w:r>
      <w:r w:rsidR="008D7E9E">
        <w:t>2</w:t>
      </w:r>
      <w:r>
        <w:t>2).</w:t>
      </w:r>
    </w:p>
  </w:footnote>
  <w:footnote w:id="10">
    <w:p w:rsidR="00451AB8" w:rsidRPr="009807A6" w:rsidP="00451AB8" w14:paraId="0F455595" w14:textId="61652985">
      <w:pPr>
        <w:pStyle w:val="FootnoteText"/>
      </w:pPr>
      <w:r>
        <w:rPr>
          <w:rStyle w:val="FootnoteReference"/>
        </w:rPr>
        <w:footnoteRef/>
      </w:r>
      <w:r>
        <w:t xml:space="preserve"> </w:t>
      </w:r>
      <w:r>
        <w:t>File No</w:t>
      </w:r>
      <w:r w:rsidR="008D7E9E">
        <w:t>s</w:t>
      </w:r>
      <w:r>
        <w:t xml:space="preserve">. </w:t>
      </w:r>
      <w:r w:rsidRPr="0041534B" w:rsidR="008D7E9E">
        <w:t>0009464539</w:t>
      </w:r>
      <w:r w:rsidR="008D7E9E">
        <w:t>,</w:t>
      </w:r>
      <w:r w:rsidRPr="0041534B" w:rsidR="008D7E9E">
        <w:t xml:space="preserve"> 0009464605, and 0009464724</w:t>
      </w:r>
      <w:r>
        <w:rPr>
          <w:spacing w:val="-2"/>
          <w:szCs w:val="22"/>
        </w:rPr>
        <w:t xml:space="preserve">, Comments of the Enterprise Wireless Alliance, </w:t>
      </w:r>
      <w:r w:rsidR="0072352D">
        <w:rPr>
          <w:spacing w:val="-2"/>
          <w:szCs w:val="22"/>
        </w:rPr>
        <w:t>(</w:t>
      </w:r>
      <w:r>
        <w:rPr>
          <w:spacing w:val="-2"/>
          <w:szCs w:val="22"/>
        </w:rPr>
        <w:t>filed Jan. 17, 2023</w:t>
      </w:r>
      <w:r w:rsidR="0072352D">
        <w:rPr>
          <w:spacing w:val="-2"/>
          <w:szCs w:val="22"/>
        </w:rPr>
        <w:t>)</w:t>
      </w:r>
      <w:r w:rsidR="001A6B64">
        <w:rPr>
          <w:spacing w:val="-2"/>
          <w:szCs w:val="22"/>
        </w:rPr>
        <w:t xml:space="preserve"> (stating </w:t>
      </w:r>
      <w:r w:rsidR="00644309">
        <w:rPr>
          <w:spacing w:val="-2"/>
          <w:szCs w:val="22"/>
        </w:rPr>
        <w:t xml:space="preserve">that </w:t>
      </w:r>
      <w:r w:rsidR="001A6B64">
        <w:rPr>
          <w:spacing w:val="-2"/>
          <w:szCs w:val="22"/>
        </w:rPr>
        <w:t xml:space="preserve">the Towns’ requests are consistent with the </w:t>
      </w:r>
      <w:r w:rsidR="009D15ED">
        <w:rPr>
          <w:spacing w:val="-2"/>
          <w:szCs w:val="22"/>
        </w:rPr>
        <w:t xml:space="preserve">Commission’s </w:t>
      </w:r>
      <w:r w:rsidR="00967D24">
        <w:rPr>
          <w:spacing w:val="-2"/>
          <w:szCs w:val="22"/>
        </w:rPr>
        <w:t>conclusion</w:t>
      </w:r>
      <w:r w:rsidR="001A6B64">
        <w:rPr>
          <w:spacing w:val="-2"/>
          <w:szCs w:val="22"/>
        </w:rPr>
        <w:t xml:space="preserve"> in granting waiver relief for </w:t>
      </w:r>
      <w:r w:rsidR="001A6B64">
        <w:rPr>
          <w:spacing w:val="-2"/>
          <w:szCs w:val="22"/>
        </w:rPr>
        <w:t>Goosetown</w:t>
      </w:r>
      <w:r w:rsidR="001A6B64">
        <w:rPr>
          <w:spacing w:val="-2"/>
          <w:szCs w:val="22"/>
        </w:rPr>
        <w:t xml:space="preserve"> Enterprises, Inc. [</w:t>
      </w:r>
      <w:r w:rsidRPr="009D15ED" w:rsidR="001A6B64">
        <w:rPr>
          <w:i/>
          <w:iCs/>
          <w:spacing w:val="-2"/>
          <w:szCs w:val="22"/>
        </w:rPr>
        <w:t>see infra</w:t>
      </w:r>
      <w:r w:rsidR="001A6B64">
        <w:rPr>
          <w:spacing w:val="-2"/>
          <w:szCs w:val="22"/>
        </w:rPr>
        <w:t xml:space="preserve"> para. </w:t>
      </w:r>
      <w:r w:rsidR="001A6B64">
        <w:rPr>
          <w:spacing w:val="-2"/>
          <w:szCs w:val="22"/>
        </w:rPr>
        <w:fldChar w:fldCharType="begin"/>
      </w:r>
      <w:r w:rsidR="001A6B64">
        <w:rPr>
          <w:spacing w:val="-2"/>
          <w:szCs w:val="22"/>
        </w:rPr>
        <w:instrText xml:space="preserve"> REF _Ref129937431 \r \h </w:instrText>
      </w:r>
      <w:r w:rsidR="001A6B64">
        <w:rPr>
          <w:spacing w:val="-2"/>
          <w:szCs w:val="22"/>
        </w:rPr>
        <w:fldChar w:fldCharType="separate"/>
      </w:r>
      <w:r w:rsidR="001A6B64">
        <w:rPr>
          <w:spacing w:val="-2"/>
          <w:szCs w:val="22"/>
        </w:rPr>
        <w:t>7</w:t>
      </w:r>
      <w:r w:rsidR="001A6B64">
        <w:rPr>
          <w:spacing w:val="-2"/>
          <w:szCs w:val="22"/>
        </w:rPr>
        <w:fldChar w:fldCharType="end"/>
      </w:r>
      <w:r w:rsidR="001A6B64">
        <w:rPr>
          <w:spacing w:val="-2"/>
          <w:szCs w:val="22"/>
        </w:rPr>
        <w:t>]</w:t>
      </w:r>
      <w:r w:rsidR="009807A6">
        <w:rPr>
          <w:spacing w:val="-2"/>
          <w:szCs w:val="22"/>
        </w:rPr>
        <w:t xml:space="preserve">; </w:t>
      </w:r>
      <w:r w:rsidR="00644309">
        <w:rPr>
          <w:spacing w:val="-2"/>
          <w:szCs w:val="22"/>
        </w:rPr>
        <w:t xml:space="preserve">the Towns’ extension beyond 80 kilometers is </w:t>
      </w:r>
      <w:r w:rsidRPr="000E0A8A" w:rsidR="00644309">
        <w:rPr>
          <w:i/>
          <w:iCs/>
          <w:spacing w:val="-2"/>
          <w:szCs w:val="22"/>
        </w:rPr>
        <w:t>de minimis</w:t>
      </w:r>
      <w:r w:rsidR="00644309">
        <w:rPr>
          <w:spacing w:val="-2"/>
          <w:szCs w:val="22"/>
        </w:rPr>
        <w:t xml:space="preserve">; </w:t>
      </w:r>
      <w:r w:rsidR="009807A6">
        <w:rPr>
          <w:spacing w:val="-2"/>
          <w:szCs w:val="22"/>
        </w:rPr>
        <w:t>and the Towns have demonstrated that they do not overlap contours with TV Station WPXQ-TV</w:t>
      </w:r>
      <w:r w:rsidR="001A6B64">
        <w:rPr>
          <w:spacing w:val="-2"/>
          <w:szCs w:val="22"/>
        </w:rPr>
        <w:t>)</w:t>
      </w:r>
      <w:r>
        <w:rPr>
          <w:spacing w:val="-2"/>
          <w:szCs w:val="22"/>
        </w:rPr>
        <w:t>.</w:t>
      </w:r>
      <w:r w:rsidR="009807A6">
        <w:rPr>
          <w:spacing w:val="-2"/>
          <w:szCs w:val="22"/>
        </w:rPr>
        <w:t xml:space="preserve">  </w:t>
      </w:r>
      <w:r w:rsidR="009807A6">
        <w:rPr>
          <w:i/>
          <w:iCs/>
          <w:spacing w:val="-2"/>
          <w:szCs w:val="22"/>
        </w:rPr>
        <w:t>Id</w:t>
      </w:r>
      <w:r w:rsidR="009807A6">
        <w:rPr>
          <w:spacing w:val="-2"/>
          <w:szCs w:val="22"/>
        </w:rPr>
        <w:t>. at 2-5.</w:t>
      </w:r>
    </w:p>
  </w:footnote>
  <w:footnote w:id="11">
    <w:p w:rsidR="00AA5440" w:rsidP="00AA5440" w14:paraId="5D7D0085" w14:textId="69E33A4A">
      <w:pPr>
        <w:pStyle w:val="FootnoteText"/>
      </w:pPr>
      <w:r>
        <w:rPr>
          <w:rStyle w:val="FootnoteReference"/>
        </w:rPr>
        <w:footnoteRef/>
      </w:r>
      <w:r>
        <w:t xml:space="preserve"> </w:t>
      </w:r>
      <w:r>
        <w:t>47 CFR § 1.925(b)(3)(</w:t>
      </w:r>
      <w:r>
        <w:t>i</w:t>
      </w:r>
      <w:r w:rsidR="00767D9E">
        <w:t>-ii</w:t>
      </w:r>
      <w:r>
        <w:t>)</w:t>
      </w:r>
      <w:r w:rsidRPr="007C2047">
        <w:t>.</w:t>
      </w:r>
    </w:p>
  </w:footnote>
  <w:footnote w:id="12">
    <w:p w:rsidR="00AA5440" w:rsidP="00AA5440" w14:paraId="1F89DAF7" w14:textId="68D7C43D">
      <w:pPr>
        <w:pStyle w:val="FootnoteText"/>
      </w:pPr>
      <w:r>
        <w:rPr>
          <w:rStyle w:val="FootnoteReference"/>
        </w:rPr>
        <w:footnoteRef/>
      </w:r>
      <w:r>
        <w:t xml:space="preserve"> </w:t>
      </w:r>
      <w:r w:rsidRPr="007C2047">
        <w:rPr>
          <w:i/>
        </w:rPr>
        <w:t>WAIT Radio v. FCC</w:t>
      </w:r>
      <w:r w:rsidRPr="007C2047">
        <w:t>, 413 F.2d 1153, 1157 (D.C. Cir. 1969)</w:t>
      </w:r>
      <w:r>
        <w:t>,</w:t>
      </w:r>
      <w:r w:rsidRPr="007C2047">
        <w:t xml:space="preserve"> </w:t>
      </w:r>
      <w:r w:rsidRPr="007C2047">
        <w:rPr>
          <w:i/>
        </w:rPr>
        <w:t>aff'd</w:t>
      </w:r>
      <w:r w:rsidRPr="007C2047">
        <w:t xml:space="preserve">, 459 F.2d 1203 (1973), </w:t>
      </w:r>
      <w:r w:rsidRPr="007C2047">
        <w:rPr>
          <w:i/>
        </w:rPr>
        <w:t>cert. denied</w:t>
      </w:r>
      <w:r w:rsidRPr="007C2047">
        <w:t>, 409 U.S. 1027 (1972) (</w:t>
      </w:r>
      <w:r w:rsidRPr="007C2047">
        <w:rPr>
          <w:i/>
        </w:rPr>
        <w:t>citing Rio Grande Family Radio Fellowship, Inc. v. FCC</w:t>
      </w:r>
      <w:r w:rsidRPr="007C2047">
        <w:t>, 406 F.2d 664 (D.C. Cir. 1968</w:t>
      </w:r>
      <w:r w:rsidR="00794D4B">
        <w:t>)</w:t>
      </w:r>
      <w:r w:rsidRPr="00794D4B">
        <w:rPr>
          <w:iCs/>
        </w:rPr>
        <w:t>)</w:t>
      </w:r>
      <w:r w:rsidRPr="007C2047">
        <w:rPr>
          <w:i/>
        </w:rPr>
        <w:t xml:space="preserve">; </w:t>
      </w:r>
      <w:r w:rsidRPr="007C2047">
        <w:rPr>
          <w:i/>
        </w:rPr>
        <w:t>Birach</w:t>
      </w:r>
      <w:r w:rsidRPr="007C2047">
        <w:rPr>
          <w:i/>
        </w:rPr>
        <w:t xml:space="preserve"> Broad. Corp.,</w:t>
      </w:r>
      <w:r w:rsidRPr="007C2047">
        <w:t xml:space="preserve"> Memorandum Opinion and Order, 18 FCC Rcd 1414, 1415 (2003).</w:t>
      </w:r>
    </w:p>
  </w:footnote>
  <w:footnote w:id="13">
    <w:p w:rsidR="004E6833" w14:paraId="2CF28785" w14:textId="47FBE869">
      <w:pPr>
        <w:pStyle w:val="FootnoteText"/>
      </w:pPr>
      <w:r>
        <w:rPr>
          <w:rStyle w:val="FootnoteReference"/>
        </w:rPr>
        <w:footnoteRef/>
      </w:r>
      <w:r>
        <w:t xml:space="preserve"> </w:t>
      </w:r>
      <w:r w:rsidR="00DC0148">
        <w:t>Siting</w:t>
      </w:r>
      <w:r w:rsidR="00010D30">
        <w:t xml:space="preserve"> </w:t>
      </w:r>
      <w:r>
        <w:t xml:space="preserve">Waiver Request at </w:t>
      </w:r>
      <w:r w:rsidR="00A505EC">
        <w:t>2</w:t>
      </w:r>
      <w:r>
        <w:t>.</w:t>
      </w:r>
    </w:p>
  </w:footnote>
  <w:footnote w:id="14">
    <w:p w:rsidR="00DA5779" w:rsidRPr="003A281A" w14:paraId="2B4B5A9E" w14:textId="22D6E440">
      <w:pPr>
        <w:pStyle w:val="FootnoteText"/>
      </w:pPr>
      <w:r>
        <w:rPr>
          <w:rStyle w:val="FootnoteReference"/>
        </w:rPr>
        <w:footnoteRef/>
      </w:r>
      <w:r>
        <w:t xml:space="preserve"> </w:t>
      </w:r>
      <w:r w:rsidR="003A281A">
        <w:rPr>
          <w:i/>
          <w:iCs/>
        </w:rPr>
        <w:t>Id</w:t>
      </w:r>
      <w:r w:rsidR="00EC1335">
        <w:t>.</w:t>
      </w:r>
    </w:p>
  </w:footnote>
  <w:footnote w:id="15">
    <w:p w:rsidR="00D07567" w:rsidP="00D07567" w14:paraId="0EF6776B" w14:textId="5942523A">
      <w:pPr>
        <w:pStyle w:val="FootnoteText"/>
      </w:pPr>
      <w:r>
        <w:rPr>
          <w:rStyle w:val="FootnoteReference"/>
        </w:rPr>
        <w:footnoteRef/>
      </w:r>
      <w:r>
        <w:t xml:space="preserve"> </w:t>
      </w:r>
      <w:r w:rsidR="00A505EC">
        <w:rPr>
          <w:i/>
          <w:iCs/>
        </w:rPr>
        <w:t>Id</w:t>
      </w:r>
      <w:r w:rsidR="00A505EC">
        <w:t>.</w:t>
      </w:r>
      <w:r>
        <w:t xml:space="preserve"> at</w:t>
      </w:r>
      <w:r w:rsidR="00A505EC">
        <w:t xml:space="preserve"> 3</w:t>
      </w:r>
      <w:r>
        <w:t>.</w:t>
      </w:r>
    </w:p>
  </w:footnote>
  <w:footnote w:id="16">
    <w:p w:rsidR="0060435F" w14:paraId="73EAC352" w14:textId="5C6A774D">
      <w:pPr>
        <w:pStyle w:val="FootnoteText"/>
      </w:pPr>
      <w:r>
        <w:rPr>
          <w:rStyle w:val="FootnoteReference"/>
        </w:rPr>
        <w:footnoteRef/>
      </w:r>
      <w:r>
        <w:t xml:space="preserve"> </w:t>
      </w:r>
      <w:r>
        <w:rPr>
          <w:i/>
          <w:iCs/>
        </w:rPr>
        <w:t>Id</w:t>
      </w:r>
      <w:r>
        <w:t>.</w:t>
      </w:r>
    </w:p>
  </w:footnote>
  <w:footnote w:id="17">
    <w:p w:rsidR="004E6833" w:rsidRPr="004E6833" w14:paraId="53662C29" w14:textId="3728CB84">
      <w:pPr>
        <w:pStyle w:val="FootnoteText"/>
      </w:pPr>
      <w:r>
        <w:rPr>
          <w:rStyle w:val="FootnoteReference"/>
        </w:rPr>
        <w:footnoteRef/>
      </w:r>
      <w:r>
        <w:t xml:space="preserve"> </w:t>
      </w:r>
      <w:r w:rsidR="001E4EBD">
        <w:rPr>
          <w:i/>
          <w:iCs/>
        </w:rPr>
        <w:t>Id</w:t>
      </w:r>
      <w:r w:rsidR="001E4EBD">
        <w:t>. at 2.</w:t>
      </w:r>
    </w:p>
  </w:footnote>
  <w:footnote w:id="18">
    <w:p w:rsidR="00367D3C" w:rsidRPr="00367D3C" w14:paraId="5196D789" w14:textId="301CDA0F">
      <w:pPr>
        <w:pStyle w:val="FootnoteText"/>
        <w:rPr>
          <w:i/>
          <w:iCs/>
        </w:rPr>
      </w:pPr>
      <w:r>
        <w:rPr>
          <w:rStyle w:val="FootnoteReference"/>
        </w:rPr>
        <w:footnoteRef/>
      </w:r>
      <w:r>
        <w:t xml:space="preserve"> </w:t>
      </w:r>
      <w:r w:rsidR="001E4EBD">
        <w:rPr>
          <w:i/>
          <w:iCs/>
        </w:rPr>
        <w:t>Id</w:t>
      </w:r>
      <w:r w:rsidR="001E4EBD">
        <w:t>.</w:t>
      </w:r>
    </w:p>
  </w:footnote>
  <w:footnote w:id="19">
    <w:p w:rsidR="001E4EBD" w14:paraId="6242DCD6" w14:textId="4F9EC7FA">
      <w:pPr>
        <w:pStyle w:val="FootnoteText"/>
      </w:pPr>
      <w:r>
        <w:rPr>
          <w:rStyle w:val="FootnoteReference"/>
        </w:rPr>
        <w:footnoteRef/>
      </w:r>
      <w:r>
        <w:t xml:space="preserve"> </w:t>
      </w:r>
      <w:r>
        <w:rPr>
          <w:i/>
          <w:iCs/>
        </w:rPr>
        <w:t>Id</w:t>
      </w:r>
      <w:r>
        <w:t>. at 3.</w:t>
      </w:r>
    </w:p>
  </w:footnote>
  <w:footnote w:id="20">
    <w:p w:rsidR="001E4EBD" w14:paraId="5C92530F" w14:textId="196AA687">
      <w:pPr>
        <w:pStyle w:val="FootnoteText"/>
      </w:pPr>
      <w:r>
        <w:rPr>
          <w:rStyle w:val="FootnoteReference"/>
        </w:rPr>
        <w:footnoteRef/>
      </w:r>
      <w:r>
        <w:t xml:space="preserve"> </w:t>
      </w:r>
      <w:r>
        <w:rPr>
          <w:i/>
          <w:iCs/>
        </w:rPr>
        <w:t>Id</w:t>
      </w:r>
      <w:r>
        <w:t>.</w:t>
      </w:r>
    </w:p>
  </w:footnote>
  <w:footnote w:id="21">
    <w:p w:rsidR="00AB6BF1" w:rsidRPr="00AB6BF1" w14:paraId="3512921E" w14:textId="0320D606">
      <w:pPr>
        <w:pStyle w:val="FootnoteText"/>
        <w:rPr>
          <w:i/>
          <w:iCs/>
        </w:rPr>
      </w:pPr>
      <w:r>
        <w:rPr>
          <w:rStyle w:val="FootnoteReference"/>
        </w:rPr>
        <w:footnoteRef/>
      </w:r>
      <w:r>
        <w:t xml:space="preserve"> </w:t>
      </w:r>
      <w:r w:rsidR="001E4EBD">
        <w:rPr>
          <w:i/>
          <w:iCs/>
        </w:rPr>
        <w:t>Id</w:t>
      </w:r>
      <w:r w:rsidR="001E4EBD">
        <w:t>.</w:t>
      </w:r>
    </w:p>
  </w:footnote>
  <w:footnote w:id="22">
    <w:p w:rsidR="005D44E1" w:rsidRPr="005D44E1" w14:paraId="06EF085E" w14:textId="57DAEBA6">
      <w:pPr>
        <w:pStyle w:val="FootnoteText"/>
      </w:pPr>
      <w:r>
        <w:rPr>
          <w:rStyle w:val="FootnoteReference"/>
        </w:rPr>
        <w:footnoteRef/>
      </w:r>
      <w:r>
        <w:t xml:space="preserve"> </w:t>
      </w:r>
      <w:r>
        <w:rPr>
          <w:i/>
          <w:iCs/>
        </w:rPr>
        <w:t>Id</w:t>
      </w:r>
      <w:r>
        <w:t>.</w:t>
      </w:r>
    </w:p>
  </w:footnote>
  <w:footnote w:id="23">
    <w:p w:rsidR="008B0DC2" w:rsidP="008B0DC2" w14:paraId="130EE744" w14:textId="26874E08">
      <w:pPr>
        <w:pStyle w:val="FootnoteText"/>
      </w:pPr>
      <w:r>
        <w:rPr>
          <w:rStyle w:val="FootnoteReference"/>
        </w:rPr>
        <w:footnoteRef/>
      </w:r>
      <w:r>
        <w:t xml:space="preserve"> </w:t>
      </w:r>
      <w:r w:rsidRPr="003E4101">
        <w:rPr>
          <w:i/>
          <w:iCs/>
        </w:rPr>
        <w:t>Goosetown</w:t>
      </w:r>
      <w:r w:rsidRPr="003E4101">
        <w:rPr>
          <w:i/>
          <w:iCs/>
        </w:rPr>
        <w:t xml:space="preserve"> Enterprises, Inc</w:t>
      </w:r>
      <w:r>
        <w:t xml:space="preserve">., </w:t>
      </w:r>
      <w:r w:rsidRPr="003E4101">
        <w:rPr>
          <w:iCs/>
        </w:rPr>
        <w:t>Memorandum Opinion and Order</w:t>
      </w:r>
      <w:r>
        <w:t xml:space="preserve">, 16 FCC Rcd 12792, 12797 </w:t>
      </w:r>
      <w:r w:rsidR="005B437D">
        <w:t>para.</w:t>
      </w:r>
      <w:r>
        <w:t xml:space="preserve"> 13 (2001) (</w:t>
      </w:r>
      <w:r>
        <w:rPr>
          <w:i/>
        </w:rPr>
        <w:t>Goosetown</w:t>
      </w:r>
      <w:r>
        <w:t>).</w:t>
      </w:r>
    </w:p>
  </w:footnote>
  <w:footnote w:id="24">
    <w:p w:rsidR="008B0DC2" w:rsidP="008B0DC2" w14:paraId="3DCAE1C3" w14:textId="795ABA18">
      <w:pPr>
        <w:pStyle w:val="FootnoteText"/>
      </w:pPr>
      <w:r>
        <w:rPr>
          <w:rStyle w:val="FootnoteReference"/>
        </w:rPr>
        <w:footnoteRef/>
      </w:r>
      <w:r>
        <w:t xml:space="preserve"> </w:t>
      </w:r>
      <w:r>
        <w:rPr>
          <w:i/>
        </w:rPr>
        <w:t>Id</w:t>
      </w:r>
      <w:r>
        <w:t xml:space="preserve">; </w:t>
      </w:r>
      <w:r>
        <w:rPr>
          <w:i/>
        </w:rPr>
        <w:t>see</w:t>
      </w:r>
      <w:r>
        <w:t xml:space="preserve"> 47 </w:t>
      </w:r>
      <w:r w:rsidR="00CF199C">
        <w:t>CFR</w:t>
      </w:r>
      <w:r>
        <w:t xml:space="preserve"> §§ 73.623(e), 74.709.</w:t>
      </w:r>
    </w:p>
  </w:footnote>
  <w:footnote w:id="25">
    <w:p w:rsidR="008B60D2" w:rsidP="008B60D2" w14:paraId="46843C81" w14:textId="2FC96226">
      <w:pPr>
        <w:pStyle w:val="FootnoteText"/>
      </w:pPr>
      <w:r>
        <w:rPr>
          <w:rStyle w:val="FootnoteReference"/>
        </w:rPr>
        <w:footnoteRef/>
      </w:r>
      <w:r>
        <w:t xml:space="preserve"> </w:t>
      </w:r>
      <w:r w:rsidRPr="009C35AB" w:rsidR="00847C5E">
        <w:rPr>
          <w:i/>
          <w:iCs/>
        </w:rPr>
        <w:t>See</w:t>
      </w:r>
      <w:r w:rsidR="00847C5E">
        <w:rPr>
          <w:i/>
          <w:iCs/>
        </w:rPr>
        <w:t>, e.g</w:t>
      </w:r>
      <w:r w:rsidR="00847C5E">
        <w:t xml:space="preserve">., </w:t>
      </w:r>
      <w:r w:rsidR="00EE4CAD">
        <w:rPr>
          <w:i/>
          <w:iCs/>
        </w:rPr>
        <w:t xml:space="preserve">New Brunswick Parking Authority of New Brunswick, New Jersey, </w:t>
      </w:r>
      <w:r w:rsidR="00EE4CAD">
        <w:t>Order, 2</w:t>
      </w:r>
      <w:r w:rsidRPr="005A7577" w:rsidR="00EE4CAD">
        <w:t xml:space="preserve">3 FCC Rcd 6865 </w:t>
      </w:r>
      <w:r w:rsidR="00EE4CAD">
        <w:t xml:space="preserve">(PSHSB 2008) (granting a waiver of section 90.305(a) for a base station located three miles beyond the 50-mile limit from Philadelphia, Pennsylvania); </w:t>
      </w:r>
      <w:r w:rsidRPr="00C80467" w:rsidR="00847C5E">
        <w:rPr>
          <w:i/>
          <w:iCs/>
        </w:rPr>
        <w:t>County of Monmouth, New Jersey</w:t>
      </w:r>
      <w:r w:rsidR="00847C5E">
        <w:t xml:space="preserve">, Order, </w:t>
      </w:r>
      <w:r w:rsidRPr="00C80467" w:rsidR="00847C5E">
        <w:t>25 FCC Rcd 7176</w:t>
      </w:r>
      <w:r w:rsidR="00847C5E">
        <w:t xml:space="preserve">, 7182-83 </w:t>
      </w:r>
      <w:r w:rsidR="005B437D">
        <w:t>para.</w:t>
      </w:r>
      <w:r w:rsidR="00847C5E">
        <w:t xml:space="preserve"> 17 (PSHSB PD 2010) (granting a waiver of section 90.305(a) because all operations would be contained within 80 miles of Philadelphia, Pennsylvania, consistent with the </w:t>
      </w:r>
      <w:r w:rsidR="00847C5E">
        <w:rPr>
          <w:i/>
          <w:iCs/>
        </w:rPr>
        <w:t>Goosetown</w:t>
      </w:r>
      <w:r w:rsidR="00847C5E">
        <w:rPr>
          <w:i/>
          <w:iCs/>
        </w:rPr>
        <w:t xml:space="preserve"> MO&amp;O</w:t>
      </w:r>
      <w:r w:rsidR="00847C5E">
        <w:t>).</w:t>
      </w:r>
    </w:p>
  </w:footnote>
  <w:footnote w:id="26">
    <w:p w:rsidR="004C3944" w:rsidP="004C3944" w14:paraId="24E97DFD" w14:textId="4F256D39">
      <w:pPr>
        <w:pStyle w:val="FootnoteText"/>
      </w:pPr>
      <w:r>
        <w:rPr>
          <w:rStyle w:val="FootnoteReference"/>
        </w:rPr>
        <w:footnoteRef/>
      </w:r>
      <w:r>
        <w:t xml:space="preserve"> </w:t>
      </w:r>
      <w:r w:rsidR="00134634">
        <w:rPr>
          <w:i/>
        </w:rPr>
        <w:t>See</w:t>
      </w:r>
      <w:r w:rsidR="00134634">
        <w:t xml:space="preserve"> </w:t>
      </w:r>
      <w:r w:rsidR="00134634">
        <w:rPr>
          <w:spacing w:val="-2"/>
        </w:rPr>
        <w:t xml:space="preserve">Private Land Mobile Operations in the 470-512 MHz Band, </w:t>
      </w:r>
      <w:r w:rsidR="00134634">
        <w:rPr>
          <w:i/>
          <w:spacing w:val="-2"/>
        </w:rPr>
        <w:t>Public Notice</w:t>
      </w:r>
      <w:r w:rsidR="00134634">
        <w:rPr>
          <w:spacing w:val="-2"/>
        </w:rPr>
        <w:t xml:space="preserve"> No. 20291 (rel. Oct. 22, 1991) at 1.</w:t>
      </w:r>
    </w:p>
  </w:footnote>
  <w:footnote w:id="27">
    <w:p w:rsidR="006566A0" w14:paraId="0C68374F" w14:textId="4551E44C">
      <w:pPr>
        <w:pStyle w:val="FootnoteText"/>
      </w:pPr>
      <w:r>
        <w:rPr>
          <w:rStyle w:val="FootnoteReference"/>
        </w:rPr>
        <w:footnoteRef/>
      </w:r>
      <w:r>
        <w:t xml:space="preserve"> </w:t>
      </w:r>
      <w:r>
        <w:t>TV Spacing Waiver Request at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932226" w14:textId="32B6FCB4">
    <w:pPr>
      <w:pStyle w:val="Header"/>
      <w:rPr>
        <w:b w:val="0"/>
      </w:rPr>
    </w:pPr>
    <w:r>
      <w:tab/>
    </w:r>
    <w:r>
      <w:t>Federal Communications Commission</w:t>
    </w:r>
    <w:r>
      <w:tab/>
    </w:r>
    <w:r w:rsidR="008C174F">
      <w:t xml:space="preserve">DA </w:t>
    </w:r>
    <w:r w:rsidR="00FA5329">
      <w:rPr>
        <w:spacing w:val="-2"/>
      </w:rPr>
      <w:t>23-394</w:t>
    </w:r>
  </w:p>
  <w:p w:rsidR="00D25FB5" w14:paraId="5F91C4D3" w14:textId="670D8F3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638B54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A02441" w14:textId="6FD66D2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8C174F">
      <w:rPr>
        <w:spacing w:val="-2"/>
      </w:rPr>
      <w:t xml:space="preserve">DA </w:t>
    </w:r>
    <w:r w:rsidR="00FA5329">
      <w:rPr>
        <w:spacing w:val="-2"/>
      </w:rPr>
      <w:t>23-394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6A533C"/>
    <w:multiLevelType w:val="hybridMultilevel"/>
    <w:tmpl w:val="E312EDD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250"/>
        </w:tabs>
        <w:ind w:left="225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BD87069"/>
    <w:multiLevelType w:val="hybridMultilevel"/>
    <w:tmpl w:val="CD4A29AE"/>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ascii="Times New Roman" w:eastAsia="PMingLiU" w:hAnsi="Times New Roman" w:cs="Times New Roman"/>
        <w:i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B315F77"/>
    <w:multiLevelType w:val="hybridMultilevel"/>
    <w:tmpl w:val="3F2CD2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8"/>
  </w:num>
  <w:num w:numId="9">
    <w:abstractNumId w:val="7"/>
  </w:num>
  <w:num w:numId="10">
    <w:abstractNumId w:val="7"/>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40"/>
    <w:rsid w:val="00000196"/>
    <w:rsid w:val="00000A2E"/>
    <w:rsid w:val="00010D30"/>
    <w:rsid w:val="0001281D"/>
    <w:rsid w:val="00015E1F"/>
    <w:rsid w:val="00025D0E"/>
    <w:rsid w:val="000274A6"/>
    <w:rsid w:val="00031070"/>
    <w:rsid w:val="00031080"/>
    <w:rsid w:val="00031AC0"/>
    <w:rsid w:val="0003270C"/>
    <w:rsid w:val="00033407"/>
    <w:rsid w:val="00036039"/>
    <w:rsid w:val="00037F90"/>
    <w:rsid w:val="000875BF"/>
    <w:rsid w:val="00096D8C"/>
    <w:rsid w:val="000A0451"/>
    <w:rsid w:val="000A142E"/>
    <w:rsid w:val="000A1942"/>
    <w:rsid w:val="000B2C57"/>
    <w:rsid w:val="000B2CB3"/>
    <w:rsid w:val="000C0B65"/>
    <w:rsid w:val="000D72A2"/>
    <w:rsid w:val="000D77E9"/>
    <w:rsid w:val="000E05FE"/>
    <w:rsid w:val="000E0A8A"/>
    <w:rsid w:val="000E1D26"/>
    <w:rsid w:val="000E3D42"/>
    <w:rsid w:val="000E6B29"/>
    <w:rsid w:val="00103A47"/>
    <w:rsid w:val="00105223"/>
    <w:rsid w:val="0010718C"/>
    <w:rsid w:val="00111707"/>
    <w:rsid w:val="0011315C"/>
    <w:rsid w:val="00122BD5"/>
    <w:rsid w:val="001335DF"/>
    <w:rsid w:val="00133F79"/>
    <w:rsid w:val="00134634"/>
    <w:rsid w:val="00144AE0"/>
    <w:rsid w:val="00152B23"/>
    <w:rsid w:val="00154048"/>
    <w:rsid w:val="00154E50"/>
    <w:rsid w:val="00163279"/>
    <w:rsid w:val="00180981"/>
    <w:rsid w:val="0018310F"/>
    <w:rsid w:val="00187E89"/>
    <w:rsid w:val="00191F1E"/>
    <w:rsid w:val="00194A0F"/>
    <w:rsid w:val="00194A66"/>
    <w:rsid w:val="0019637C"/>
    <w:rsid w:val="0019640B"/>
    <w:rsid w:val="0019654F"/>
    <w:rsid w:val="001978D1"/>
    <w:rsid w:val="00197CF5"/>
    <w:rsid w:val="001A5DB2"/>
    <w:rsid w:val="001A6B64"/>
    <w:rsid w:val="001B4548"/>
    <w:rsid w:val="001C4884"/>
    <w:rsid w:val="001D019C"/>
    <w:rsid w:val="001D6BCF"/>
    <w:rsid w:val="001E01CA"/>
    <w:rsid w:val="001E4B0A"/>
    <w:rsid w:val="001E4EBD"/>
    <w:rsid w:val="00201A3F"/>
    <w:rsid w:val="0021067F"/>
    <w:rsid w:val="00212D5C"/>
    <w:rsid w:val="00224E9F"/>
    <w:rsid w:val="00246698"/>
    <w:rsid w:val="00254C64"/>
    <w:rsid w:val="00265619"/>
    <w:rsid w:val="0026583F"/>
    <w:rsid w:val="00266E5A"/>
    <w:rsid w:val="00275CF5"/>
    <w:rsid w:val="00276346"/>
    <w:rsid w:val="0028301F"/>
    <w:rsid w:val="00285017"/>
    <w:rsid w:val="00291BF8"/>
    <w:rsid w:val="002A2D2E"/>
    <w:rsid w:val="002A3207"/>
    <w:rsid w:val="002A41A7"/>
    <w:rsid w:val="002C00E8"/>
    <w:rsid w:val="002C12BA"/>
    <w:rsid w:val="002D554A"/>
    <w:rsid w:val="002E042F"/>
    <w:rsid w:val="002F1E83"/>
    <w:rsid w:val="00305293"/>
    <w:rsid w:val="003148E4"/>
    <w:rsid w:val="00343749"/>
    <w:rsid w:val="00345D1A"/>
    <w:rsid w:val="003505FD"/>
    <w:rsid w:val="003571DC"/>
    <w:rsid w:val="003609D4"/>
    <w:rsid w:val="00363136"/>
    <w:rsid w:val="003660ED"/>
    <w:rsid w:val="00367D3C"/>
    <w:rsid w:val="00376B3F"/>
    <w:rsid w:val="003802E2"/>
    <w:rsid w:val="003A0D5E"/>
    <w:rsid w:val="003A281A"/>
    <w:rsid w:val="003A378D"/>
    <w:rsid w:val="003A4637"/>
    <w:rsid w:val="003A700D"/>
    <w:rsid w:val="003A7ED1"/>
    <w:rsid w:val="003B0550"/>
    <w:rsid w:val="003B3CFD"/>
    <w:rsid w:val="003B694F"/>
    <w:rsid w:val="003D2664"/>
    <w:rsid w:val="003E2D93"/>
    <w:rsid w:val="003E4101"/>
    <w:rsid w:val="003F171C"/>
    <w:rsid w:val="003F2411"/>
    <w:rsid w:val="003F7FAB"/>
    <w:rsid w:val="0040137C"/>
    <w:rsid w:val="00403048"/>
    <w:rsid w:val="00412FC5"/>
    <w:rsid w:val="0041534B"/>
    <w:rsid w:val="00422276"/>
    <w:rsid w:val="00423356"/>
    <w:rsid w:val="004242F1"/>
    <w:rsid w:val="004337A2"/>
    <w:rsid w:val="00445A00"/>
    <w:rsid w:val="00451523"/>
    <w:rsid w:val="00451AB8"/>
    <w:rsid w:val="00451B0F"/>
    <w:rsid w:val="00460471"/>
    <w:rsid w:val="00465085"/>
    <w:rsid w:val="004716DA"/>
    <w:rsid w:val="004741E0"/>
    <w:rsid w:val="004747FF"/>
    <w:rsid w:val="004A69DF"/>
    <w:rsid w:val="004B0E09"/>
    <w:rsid w:val="004B14D1"/>
    <w:rsid w:val="004C2EE3"/>
    <w:rsid w:val="004C3944"/>
    <w:rsid w:val="004C3FD1"/>
    <w:rsid w:val="004D0ADE"/>
    <w:rsid w:val="004D1176"/>
    <w:rsid w:val="004D4708"/>
    <w:rsid w:val="004E1A05"/>
    <w:rsid w:val="004E4A22"/>
    <w:rsid w:val="004E6833"/>
    <w:rsid w:val="004F4822"/>
    <w:rsid w:val="004F5052"/>
    <w:rsid w:val="00500EDD"/>
    <w:rsid w:val="00507817"/>
    <w:rsid w:val="00511968"/>
    <w:rsid w:val="00523B2D"/>
    <w:rsid w:val="0053389D"/>
    <w:rsid w:val="00540272"/>
    <w:rsid w:val="00546883"/>
    <w:rsid w:val="0055614C"/>
    <w:rsid w:val="00563B1F"/>
    <w:rsid w:val="00566D06"/>
    <w:rsid w:val="005708E0"/>
    <w:rsid w:val="00583AEE"/>
    <w:rsid w:val="00586029"/>
    <w:rsid w:val="00593CAB"/>
    <w:rsid w:val="00596057"/>
    <w:rsid w:val="00596264"/>
    <w:rsid w:val="005A7577"/>
    <w:rsid w:val="005B0D89"/>
    <w:rsid w:val="005B437D"/>
    <w:rsid w:val="005B53C3"/>
    <w:rsid w:val="005B5853"/>
    <w:rsid w:val="005B6FB9"/>
    <w:rsid w:val="005C13E5"/>
    <w:rsid w:val="005C420C"/>
    <w:rsid w:val="005D44E1"/>
    <w:rsid w:val="005D481E"/>
    <w:rsid w:val="005D7704"/>
    <w:rsid w:val="005E14C2"/>
    <w:rsid w:val="005E6A5D"/>
    <w:rsid w:val="0060435F"/>
    <w:rsid w:val="0060745D"/>
    <w:rsid w:val="00607BA5"/>
    <w:rsid w:val="0061180A"/>
    <w:rsid w:val="00614841"/>
    <w:rsid w:val="006156D7"/>
    <w:rsid w:val="006206D7"/>
    <w:rsid w:val="00626EB6"/>
    <w:rsid w:val="00644106"/>
    <w:rsid w:val="00644309"/>
    <w:rsid w:val="0064560D"/>
    <w:rsid w:val="00655D03"/>
    <w:rsid w:val="006566A0"/>
    <w:rsid w:val="006632C8"/>
    <w:rsid w:val="0067181E"/>
    <w:rsid w:val="00675B88"/>
    <w:rsid w:val="00681152"/>
    <w:rsid w:val="00683388"/>
    <w:rsid w:val="00683F84"/>
    <w:rsid w:val="00685273"/>
    <w:rsid w:val="00695A93"/>
    <w:rsid w:val="006A6A81"/>
    <w:rsid w:val="006B50D1"/>
    <w:rsid w:val="006C0189"/>
    <w:rsid w:val="006C1E80"/>
    <w:rsid w:val="006C6072"/>
    <w:rsid w:val="006C6777"/>
    <w:rsid w:val="006D6090"/>
    <w:rsid w:val="006D64F8"/>
    <w:rsid w:val="006E41C5"/>
    <w:rsid w:val="006E44B2"/>
    <w:rsid w:val="006E712F"/>
    <w:rsid w:val="006F7393"/>
    <w:rsid w:val="0070224F"/>
    <w:rsid w:val="007115F7"/>
    <w:rsid w:val="00722663"/>
    <w:rsid w:val="0072352D"/>
    <w:rsid w:val="007417A7"/>
    <w:rsid w:val="0074326F"/>
    <w:rsid w:val="00750E59"/>
    <w:rsid w:val="00751A4B"/>
    <w:rsid w:val="00752737"/>
    <w:rsid w:val="0076770D"/>
    <w:rsid w:val="00767D9E"/>
    <w:rsid w:val="00781C94"/>
    <w:rsid w:val="00785689"/>
    <w:rsid w:val="007933E4"/>
    <w:rsid w:val="00794D4B"/>
    <w:rsid w:val="0079754B"/>
    <w:rsid w:val="00797D9F"/>
    <w:rsid w:val="007A1E6D"/>
    <w:rsid w:val="007A502F"/>
    <w:rsid w:val="007B0EB2"/>
    <w:rsid w:val="007C1E3E"/>
    <w:rsid w:val="007C2047"/>
    <w:rsid w:val="007C3E2A"/>
    <w:rsid w:val="007E531C"/>
    <w:rsid w:val="007E68B7"/>
    <w:rsid w:val="007F177E"/>
    <w:rsid w:val="007F394E"/>
    <w:rsid w:val="00800C2B"/>
    <w:rsid w:val="0080250C"/>
    <w:rsid w:val="008036BB"/>
    <w:rsid w:val="008069A3"/>
    <w:rsid w:val="00810B6F"/>
    <w:rsid w:val="00817240"/>
    <w:rsid w:val="00822CE0"/>
    <w:rsid w:val="0082431B"/>
    <w:rsid w:val="00824F3B"/>
    <w:rsid w:val="0083456E"/>
    <w:rsid w:val="00835B76"/>
    <w:rsid w:val="00836831"/>
    <w:rsid w:val="0084128C"/>
    <w:rsid w:val="00841AB1"/>
    <w:rsid w:val="00847C5E"/>
    <w:rsid w:val="008663D7"/>
    <w:rsid w:val="0088354A"/>
    <w:rsid w:val="008927EB"/>
    <w:rsid w:val="008A2374"/>
    <w:rsid w:val="008A6FA0"/>
    <w:rsid w:val="008B0DC2"/>
    <w:rsid w:val="008B1001"/>
    <w:rsid w:val="008B60D2"/>
    <w:rsid w:val="008B69B2"/>
    <w:rsid w:val="008C174F"/>
    <w:rsid w:val="008C68F1"/>
    <w:rsid w:val="008C69A3"/>
    <w:rsid w:val="008C7F4D"/>
    <w:rsid w:val="008D0D97"/>
    <w:rsid w:val="008D5765"/>
    <w:rsid w:val="008D7E9E"/>
    <w:rsid w:val="008F4BFE"/>
    <w:rsid w:val="008F5150"/>
    <w:rsid w:val="008F591C"/>
    <w:rsid w:val="00902048"/>
    <w:rsid w:val="009066C6"/>
    <w:rsid w:val="00921803"/>
    <w:rsid w:val="00921C0D"/>
    <w:rsid w:val="00926503"/>
    <w:rsid w:val="009375AC"/>
    <w:rsid w:val="00943DFA"/>
    <w:rsid w:val="00945734"/>
    <w:rsid w:val="00947F8C"/>
    <w:rsid w:val="00962A75"/>
    <w:rsid w:val="00967D24"/>
    <w:rsid w:val="00971226"/>
    <w:rsid w:val="009726D8"/>
    <w:rsid w:val="009807A6"/>
    <w:rsid w:val="00983A45"/>
    <w:rsid w:val="00983B8C"/>
    <w:rsid w:val="0098599D"/>
    <w:rsid w:val="00995A4F"/>
    <w:rsid w:val="009A3AB8"/>
    <w:rsid w:val="009A7058"/>
    <w:rsid w:val="009C35AB"/>
    <w:rsid w:val="009D15ED"/>
    <w:rsid w:val="009D1B32"/>
    <w:rsid w:val="009D420F"/>
    <w:rsid w:val="009D4851"/>
    <w:rsid w:val="009D7308"/>
    <w:rsid w:val="009E7B3E"/>
    <w:rsid w:val="009F0904"/>
    <w:rsid w:val="009F76DB"/>
    <w:rsid w:val="00A02F07"/>
    <w:rsid w:val="00A03C06"/>
    <w:rsid w:val="00A206D2"/>
    <w:rsid w:val="00A26554"/>
    <w:rsid w:val="00A32C3B"/>
    <w:rsid w:val="00A4152D"/>
    <w:rsid w:val="00A45F4F"/>
    <w:rsid w:val="00A505EC"/>
    <w:rsid w:val="00A600A9"/>
    <w:rsid w:val="00A65BD6"/>
    <w:rsid w:val="00A82BBF"/>
    <w:rsid w:val="00AA5440"/>
    <w:rsid w:val="00AA55B7"/>
    <w:rsid w:val="00AA5B9E"/>
    <w:rsid w:val="00AB2407"/>
    <w:rsid w:val="00AB53DF"/>
    <w:rsid w:val="00AB6BF1"/>
    <w:rsid w:val="00AC0D01"/>
    <w:rsid w:val="00AC7027"/>
    <w:rsid w:val="00AD2661"/>
    <w:rsid w:val="00AD5191"/>
    <w:rsid w:val="00AE42BC"/>
    <w:rsid w:val="00AE4FF6"/>
    <w:rsid w:val="00AE5F73"/>
    <w:rsid w:val="00B03C68"/>
    <w:rsid w:val="00B04EB9"/>
    <w:rsid w:val="00B0613D"/>
    <w:rsid w:val="00B07E5C"/>
    <w:rsid w:val="00B33A7E"/>
    <w:rsid w:val="00B343BF"/>
    <w:rsid w:val="00B375C7"/>
    <w:rsid w:val="00B46760"/>
    <w:rsid w:val="00B55206"/>
    <w:rsid w:val="00B730C5"/>
    <w:rsid w:val="00B7342D"/>
    <w:rsid w:val="00B811F7"/>
    <w:rsid w:val="00B83A8B"/>
    <w:rsid w:val="00BA1700"/>
    <w:rsid w:val="00BA3B70"/>
    <w:rsid w:val="00BA3D45"/>
    <w:rsid w:val="00BA5DC6"/>
    <w:rsid w:val="00BA6196"/>
    <w:rsid w:val="00BC3CB9"/>
    <w:rsid w:val="00BC6D8C"/>
    <w:rsid w:val="00BD27A2"/>
    <w:rsid w:val="00BD6853"/>
    <w:rsid w:val="00BE1A82"/>
    <w:rsid w:val="00BF006D"/>
    <w:rsid w:val="00BF3B23"/>
    <w:rsid w:val="00C10C5F"/>
    <w:rsid w:val="00C20B76"/>
    <w:rsid w:val="00C27548"/>
    <w:rsid w:val="00C3259D"/>
    <w:rsid w:val="00C34006"/>
    <w:rsid w:val="00C36B4C"/>
    <w:rsid w:val="00C426B1"/>
    <w:rsid w:val="00C47407"/>
    <w:rsid w:val="00C4762D"/>
    <w:rsid w:val="00C53738"/>
    <w:rsid w:val="00C5669F"/>
    <w:rsid w:val="00C66160"/>
    <w:rsid w:val="00C721AC"/>
    <w:rsid w:val="00C80467"/>
    <w:rsid w:val="00C83151"/>
    <w:rsid w:val="00C90D6A"/>
    <w:rsid w:val="00C91F5B"/>
    <w:rsid w:val="00C951C0"/>
    <w:rsid w:val="00CA0D0F"/>
    <w:rsid w:val="00CA247E"/>
    <w:rsid w:val="00CA6D21"/>
    <w:rsid w:val="00CB3AF7"/>
    <w:rsid w:val="00CB5D57"/>
    <w:rsid w:val="00CB792F"/>
    <w:rsid w:val="00CC72B6"/>
    <w:rsid w:val="00CC7885"/>
    <w:rsid w:val="00CE6BDC"/>
    <w:rsid w:val="00CE7479"/>
    <w:rsid w:val="00CF17F5"/>
    <w:rsid w:val="00CF199C"/>
    <w:rsid w:val="00CF6775"/>
    <w:rsid w:val="00D0218D"/>
    <w:rsid w:val="00D0562D"/>
    <w:rsid w:val="00D07567"/>
    <w:rsid w:val="00D1384F"/>
    <w:rsid w:val="00D25FB5"/>
    <w:rsid w:val="00D26F35"/>
    <w:rsid w:val="00D32B4C"/>
    <w:rsid w:val="00D43715"/>
    <w:rsid w:val="00D44223"/>
    <w:rsid w:val="00D4574A"/>
    <w:rsid w:val="00D731FE"/>
    <w:rsid w:val="00D812E2"/>
    <w:rsid w:val="00D83ACC"/>
    <w:rsid w:val="00D86848"/>
    <w:rsid w:val="00D87909"/>
    <w:rsid w:val="00D901D4"/>
    <w:rsid w:val="00D95C3C"/>
    <w:rsid w:val="00DA2529"/>
    <w:rsid w:val="00DA5779"/>
    <w:rsid w:val="00DB10B5"/>
    <w:rsid w:val="00DB130A"/>
    <w:rsid w:val="00DB1883"/>
    <w:rsid w:val="00DB2EBB"/>
    <w:rsid w:val="00DB55DF"/>
    <w:rsid w:val="00DB6610"/>
    <w:rsid w:val="00DC0148"/>
    <w:rsid w:val="00DC0336"/>
    <w:rsid w:val="00DC10A1"/>
    <w:rsid w:val="00DC655F"/>
    <w:rsid w:val="00DD0B59"/>
    <w:rsid w:val="00DD7EBD"/>
    <w:rsid w:val="00DE62BA"/>
    <w:rsid w:val="00DF62B6"/>
    <w:rsid w:val="00E026AA"/>
    <w:rsid w:val="00E07225"/>
    <w:rsid w:val="00E12D4D"/>
    <w:rsid w:val="00E221B6"/>
    <w:rsid w:val="00E3159B"/>
    <w:rsid w:val="00E4144A"/>
    <w:rsid w:val="00E42A71"/>
    <w:rsid w:val="00E5409F"/>
    <w:rsid w:val="00E71180"/>
    <w:rsid w:val="00E75CE7"/>
    <w:rsid w:val="00E8111D"/>
    <w:rsid w:val="00E85B98"/>
    <w:rsid w:val="00E905E5"/>
    <w:rsid w:val="00EA24E9"/>
    <w:rsid w:val="00EA7932"/>
    <w:rsid w:val="00EB6B8C"/>
    <w:rsid w:val="00EC1335"/>
    <w:rsid w:val="00EC2173"/>
    <w:rsid w:val="00EC3165"/>
    <w:rsid w:val="00EC5E41"/>
    <w:rsid w:val="00EC61F0"/>
    <w:rsid w:val="00ED4676"/>
    <w:rsid w:val="00ED5DCE"/>
    <w:rsid w:val="00EE4CAD"/>
    <w:rsid w:val="00EE6488"/>
    <w:rsid w:val="00EF3325"/>
    <w:rsid w:val="00EF7F70"/>
    <w:rsid w:val="00F021FA"/>
    <w:rsid w:val="00F051DE"/>
    <w:rsid w:val="00F163C3"/>
    <w:rsid w:val="00F31E73"/>
    <w:rsid w:val="00F46BB6"/>
    <w:rsid w:val="00F5404B"/>
    <w:rsid w:val="00F548B4"/>
    <w:rsid w:val="00F628AB"/>
    <w:rsid w:val="00F62E97"/>
    <w:rsid w:val="00F64209"/>
    <w:rsid w:val="00F64B02"/>
    <w:rsid w:val="00F72B04"/>
    <w:rsid w:val="00F739B5"/>
    <w:rsid w:val="00F8790E"/>
    <w:rsid w:val="00F9045B"/>
    <w:rsid w:val="00F93BF5"/>
    <w:rsid w:val="00F94877"/>
    <w:rsid w:val="00F955C6"/>
    <w:rsid w:val="00F96611"/>
    <w:rsid w:val="00FA5329"/>
    <w:rsid w:val="00FB5418"/>
    <w:rsid w:val="00FC29BB"/>
    <w:rsid w:val="00FD0477"/>
    <w:rsid w:val="00FD0E8F"/>
    <w:rsid w:val="00FD17FA"/>
    <w:rsid w:val="00FD648E"/>
    <w:rsid w:val="00FF00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764B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544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 w:val="clear" w:pos="2250"/>
      </w:tabs>
      <w:spacing w:after="120"/>
      <w:ind w:left="216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F7F70"/>
    <w:pPr>
      <w:numPr>
        <w:numId w:val="2"/>
      </w:numPr>
      <w:tabs>
        <w:tab w:val="clear" w:pos="108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 Char Char,Footnote Text Char Char3 Char,Footnote Text Char1,Footnote Text Char1 Char Char Char,Footnote Text Char1 Char1,Footnote Text Char2,Footnote Text Char2 Char Char Char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3 Char Char,Footnote Text Char1 Char,Footnote Text Char1 Char Char Char Char,Footnote Text Char1 Char1 Char,Footnote Text Char2 Char,Footnote Text Char2 Char Char Char Char Char"/>
    <w:link w:val="FootnoteText"/>
    <w:rsid w:val="00AA5440"/>
  </w:style>
  <w:style w:type="character" w:styleId="FollowedHyperlink">
    <w:name w:val="FollowedHyperlink"/>
    <w:rsid w:val="008036BB"/>
    <w:rPr>
      <w:color w:val="954F72"/>
      <w:u w:val="single"/>
    </w:rPr>
  </w:style>
  <w:style w:type="paragraph" w:styleId="BalloonText">
    <w:name w:val="Balloon Text"/>
    <w:basedOn w:val="Normal"/>
    <w:link w:val="BalloonTextChar"/>
    <w:semiHidden/>
    <w:unhideWhenUsed/>
    <w:rsid w:val="00AE4FF6"/>
    <w:rPr>
      <w:rFonts w:ascii="Segoe UI" w:hAnsi="Segoe UI" w:cs="Segoe UI"/>
      <w:sz w:val="18"/>
      <w:szCs w:val="18"/>
    </w:rPr>
  </w:style>
  <w:style w:type="character" w:customStyle="1" w:styleId="BalloonTextChar">
    <w:name w:val="Balloon Text Char"/>
    <w:link w:val="BalloonText"/>
    <w:semiHidden/>
    <w:rsid w:val="00AE4FF6"/>
    <w:rPr>
      <w:rFonts w:ascii="Segoe UI" w:hAnsi="Segoe UI" w:cs="Segoe UI"/>
      <w:snapToGrid w:val="0"/>
      <w:kern w:val="28"/>
      <w:sz w:val="18"/>
      <w:szCs w:val="18"/>
    </w:rPr>
  </w:style>
  <w:style w:type="character" w:styleId="CommentReference">
    <w:name w:val="annotation reference"/>
    <w:basedOn w:val="DefaultParagraphFont"/>
    <w:rsid w:val="004716DA"/>
    <w:rPr>
      <w:sz w:val="16"/>
      <w:szCs w:val="16"/>
    </w:rPr>
  </w:style>
  <w:style w:type="paragraph" w:styleId="CommentText">
    <w:name w:val="annotation text"/>
    <w:basedOn w:val="Normal"/>
    <w:link w:val="CommentTextChar"/>
    <w:rsid w:val="004716DA"/>
    <w:rPr>
      <w:sz w:val="20"/>
    </w:rPr>
  </w:style>
  <w:style w:type="character" w:customStyle="1" w:styleId="CommentTextChar">
    <w:name w:val="Comment Text Char"/>
    <w:basedOn w:val="DefaultParagraphFont"/>
    <w:link w:val="CommentText"/>
    <w:rsid w:val="004716DA"/>
    <w:rPr>
      <w:snapToGrid w:val="0"/>
      <w:kern w:val="28"/>
    </w:rPr>
  </w:style>
  <w:style w:type="paragraph" w:styleId="CommentSubject">
    <w:name w:val="annotation subject"/>
    <w:basedOn w:val="CommentText"/>
    <w:next w:val="CommentText"/>
    <w:link w:val="CommentSubjectChar"/>
    <w:semiHidden/>
    <w:unhideWhenUsed/>
    <w:rsid w:val="004716DA"/>
    <w:rPr>
      <w:b/>
      <w:bCs/>
    </w:rPr>
  </w:style>
  <w:style w:type="character" w:customStyle="1" w:styleId="CommentSubjectChar">
    <w:name w:val="Comment Subject Char"/>
    <w:basedOn w:val="CommentTextChar"/>
    <w:link w:val="CommentSubject"/>
    <w:semiHidden/>
    <w:rsid w:val="004716DA"/>
    <w:rPr>
      <w:b/>
      <w:bCs/>
      <w:snapToGrid w:val="0"/>
      <w:kern w:val="28"/>
    </w:rPr>
  </w:style>
  <w:style w:type="character" w:styleId="UnresolvedMention">
    <w:name w:val="Unresolved Mention"/>
    <w:basedOn w:val="DefaultParagraphFont"/>
    <w:uiPriority w:val="99"/>
    <w:semiHidden/>
    <w:unhideWhenUsed/>
    <w:rsid w:val="00FD0477"/>
    <w:rPr>
      <w:color w:val="605E5C"/>
      <w:shd w:val="clear" w:color="auto" w:fill="E1DFDD"/>
    </w:rPr>
  </w:style>
  <w:style w:type="paragraph" w:styleId="TOCHeading">
    <w:name w:val="TOC Heading"/>
    <w:basedOn w:val="Heading1"/>
    <w:next w:val="Normal"/>
    <w:uiPriority w:val="39"/>
    <w:unhideWhenUsed/>
    <w:qFormat/>
    <w:rsid w:val="00A206D2"/>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F5496" w:themeColor="accent1" w:themeShade="BF"/>
      <w:kern w:val="0"/>
      <w:sz w:val="32"/>
      <w:szCs w:val="32"/>
    </w:rPr>
  </w:style>
  <w:style w:type="paragraph" w:styleId="Revision">
    <w:name w:val="Revision"/>
    <w:hidden/>
    <w:uiPriority w:val="99"/>
    <w:semiHidden/>
    <w:rsid w:val="0021067F"/>
    <w:rPr>
      <w:snapToGrid w:val="0"/>
      <w:kern w:val="28"/>
      <w:sz w:val="22"/>
    </w:rPr>
  </w:style>
  <w:style w:type="character" w:customStyle="1" w:styleId="documentbody1">
    <w:name w:val="documentbody1"/>
    <w:basedOn w:val="DefaultParagraphFont"/>
    <w:rsid w:val="008B0DC2"/>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