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0A53399B" w14:textId="1E949767">
      <w:pPr>
        <w:jc w:val="right"/>
        <w:rPr>
          <w:b/>
          <w:sz w:val="24"/>
        </w:rPr>
      </w:pPr>
      <w:r>
        <w:rPr>
          <w:b/>
          <w:sz w:val="24"/>
        </w:rPr>
        <w:t>DA 23-39</w:t>
      </w:r>
    </w:p>
    <w:p w:rsidR="00013A8B" w:rsidRPr="00B20363" w:rsidP="00013A8B" w14:paraId="35D5B07F" w14:textId="399E1C3A">
      <w:pPr>
        <w:spacing w:before="60"/>
        <w:jc w:val="right"/>
        <w:rPr>
          <w:b/>
          <w:sz w:val="24"/>
        </w:rPr>
      </w:pPr>
      <w:r>
        <w:rPr>
          <w:b/>
          <w:sz w:val="24"/>
        </w:rPr>
        <w:t xml:space="preserve">Released:  </w:t>
      </w:r>
      <w:r w:rsidR="00E32D53">
        <w:rPr>
          <w:b/>
          <w:sz w:val="24"/>
        </w:rPr>
        <w:t>January 17, 2023</w:t>
      </w:r>
    </w:p>
    <w:p w:rsidR="00013A8B" w:rsidP="00013A8B" w14:paraId="61E0D306" w14:textId="77777777">
      <w:pPr>
        <w:jc w:val="right"/>
        <w:rPr>
          <w:sz w:val="24"/>
        </w:rPr>
      </w:pPr>
    </w:p>
    <w:p w:rsidR="00013A8B" w:rsidRPr="00B20363" w:rsidP="00013A8B" w14:paraId="090C73AF" w14:textId="1CDF237D">
      <w:pPr>
        <w:spacing w:after="240"/>
        <w:jc w:val="center"/>
        <w:rPr>
          <w:rFonts w:ascii="Times New Roman Bold" w:hAnsi="Times New Roman Bold"/>
          <w:b/>
          <w:caps/>
          <w:sz w:val="24"/>
        </w:rPr>
      </w:pPr>
      <w:r>
        <w:rPr>
          <w:b/>
          <w:color w:val="000000"/>
          <w:sz w:val="24"/>
          <w:szCs w:val="22"/>
        </w:rPr>
        <w:t>WIRELINE COMPETITION BUREAU APPROVES FURTHER REVISED</w:t>
      </w:r>
      <w:r w:rsidRPr="00C760A9">
        <w:rPr>
          <w:b/>
          <w:color w:val="000000"/>
          <w:sz w:val="24"/>
          <w:szCs w:val="22"/>
        </w:rPr>
        <w:t xml:space="preserve"> </w:t>
      </w:r>
      <w:r>
        <w:rPr>
          <w:b/>
          <w:color w:val="000000"/>
          <w:sz w:val="24"/>
          <w:szCs w:val="22"/>
        </w:rPr>
        <w:t>ALASKA PLAN PERFORMANCE PLAN FOR</w:t>
      </w:r>
      <w:r w:rsidRPr="00C760A9">
        <w:rPr>
          <w:b/>
          <w:color w:val="000000"/>
          <w:sz w:val="24"/>
          <w:szCs w:val="22"/>
        </w:rPr>
        <w:t xml:space="preserve"> </w:t>
      </w:r>
      <w:r>
        <w:rPr>
          <w:b/>
          <w:color w:val="000000"/>
          <w:sz w:val="24"/>
          <w:szCs w:val="22"/>
        </w:rPr>
        <w:t>ARCTIC SLOPE TELEPHONE COOPERATIVE</w:t>
      </w:r>
    </w:p>
    <w:p w:rsidR="00E32D53" w:rsidRPr="0062385C" w:rsidP="00E32D53" w14:paraId="1B0D5777" w14:textId="77777777">
      <w:pPr>
        <w:jc w:val="center"/>
        <w:rPr>
          <w:b/>
          <w:sz w:val="24"/>
        </w:rPr>
      </w:pPr>
      <w:bookmarkStart w:id="0" w:name="TOChere"/>
      <w:r w:rsidRPr="0062385C">
        <w:rPr>
          <w:b/>
          <w:sz w:val="24"/>
        </w:rPr>
        <w:t>WC Docket No. 10-90</w:t>
      </w:r>
    </w:p>
    <w:p w:rsidR="00E32D53" w:rsidP="00E32D53" w14:paraId="69E13B4E" w14:textId="6BA8EA42">
      <w:pPr>
        <w:jc w:val="center"/>
        <w:rPr>
          <w:b/>
          <w:sz w:val="24"/>
        </w:rPr>
      </w:pPr>
      <w:r w:rsidRPr="0062385C">
        <w:rPr>
          <w:b/>
          <w:sz w:val="24"/>
        </w:rPr>
        <w:t>WC Docket No. 16-271</w:t>
      </w:r>
    </w:p>
    <w:p w:rsidR="00E32D53" w:rsidRPr="0062385C" w:rsidP="00E32D53" w14:paraId="4A2FE7C1" w14:textId="77777777">
      <w:pPr>
        <w:jc w:val="center"/>
        <w:rPr>
          <w:b/>
          <w:sz w:val="24"/>
        </w:rPr>
      </w:pPr>
    </w:p>
    <w:p w:rsidR="00E32D53" w:rsidP="00E32D53" w14:paraId="17EBE7A1" w14:textId="77777777">
      <w:pPr>
        <w:spacing w:after="120"/>
        <w:ind w:firstLine="720"/>
      </w:pPr>
      <w:r>
        <w:t xml:space="preserve">In this Public Notice, the Wireline Competition Bureau (Bureau) approves a revised performance plan for rate-of-return Alaska Plan participant Arctic Slope Telephone Cooperative (ASTAC) (SAC 613001). </w:t>
      </w:r>
    </w:p>
    <w:p w:rsidR="00E32D53" w:rsidP="00E32D53" w14:paraId="5021BE10" w14:textId="77777777">
      <w:pPr>
        <w:spacing w:after="120"/>
        <w:ind w:firstLine="720"/>
        <w:rPr>
          <w:szCs w:val="22"/>
        </w:rPr>
      </w:pPr>
      <w:r>
        <w:rPr>
          <w:szCs w:val="22"/>
        </w:rPr>
        <w:t xml:space="preserve">In the </w:t>
      </w:r>
      <w:r w:rsidRPr="007340FA">
        <w:rPr>
          <w:i/>
          <w:szCs w:val="22"/>
        </w:rPr>
        <w:t>Alaska Plan Order</w:t>
      </w:r>
      <w:r>
        <w:rPr>
          <w:szCs w:val="22"/>
        </w:rPr>
        <w:t xml:space="preserve">, the Commission </w:t>
      </w:r>
      <w:r>
        <w:t>provided a one-time opportunity for Alaskan rate-of-return carriers to elect to receive support frozen at adjusted 2011 levels for a 10-year term in exchange for meeting individualized performance obligations—offering voice and broadband services at specified minimum speeds by five-year and 10-year service milestones to a specified number of locations.</w:t>
      </w:r>
      <w:r>
        <w:rPr>
          <w:rStyle w:val="FootnoteReference"/>
        </w:rPr>
        <w:footnoteReference w:id="3"/>
      </w:r>
      <w:r>
        <w:t xml:space="preserve">  </w:t>
      </w:r>
      <w:r>
        <w:rPr>
          <w:szCs w:val="22"/>
        </w:rPr>
        <w:t xml:space="preserve">On December 16, 2016, </w:t>
      </w:r>
      <w:r w:rsidRPr="004734AE">
        <w:rPr>
          <w:szCs w:val="22"/>
        </w:rPr>
        <w:t xml:space="preserve">the Bureau </w:t>
      </w:r>
      <w:r>
        <w:rPr>
          <w:szCs w:val="22"/>
        </w:rPr>
        <w:t xml:space="preserve">authorized the </w:t>
      </w:r>
      <w:r>
        <w:t>individualized performance obligations and support amounts for 13 rate-of-return companies in Alaska.</w:t>
      </w:r>
      <w:r>
        <w:rPr>
          <w:rStyle w:val="FootnoteReference"/>
          <w:szCs w:val="22"/>
        </w:rPr>
        <w:footnoteReference w:id="4"/>
      </w:r>
      <w:r>
        <w:t xml:space="preserve">  </w:t>
      </w:r>
      <w:r>
        <w:rPr>
          <w:szCs w:val="22"/>
        </w:rPr>
        <w:t xml:space="preserve">The Commission directed the Bureau “to </w:t>
      </w:r>
      <w:r w:rsidRPr="00170233">
        <w:rPr>
          <w:szCs w:val="22"/>
        </w:rPr>
        <w:t>reassess the deployment</w:t>
      </w:r>
      <w:r>
        <w:rPr>
          <w:szCs w:val="22"/>
        </w:rPr>
        <w:t xml:space="preserve"> </w:t>
      </w:r>
      <w:r w:rsidRPr="00170233">
        <w:rPr>
          <w:szCs w:val="22"/>
        </w:rPr>
        <w:t>obligations in the approved performance plans before the end of the fifth year of support</w:t>
      </w:r>
      <w:r>
        <w:rPr>
          <w:szCs w:val="22"/>
        </w:rPr>
        <w:t xml:space="preserve">,” that is, 2021, and </w:t>
      </w:r>
      <w:r w:rsidRPr="00EC1282">
        <w:rPr>
          <w:szCs w:val="22"/>
        </w:rPr>
        <w:t>require</w:t>
      </w:r>
      <w:r>
        <w:rPr>
          <w:szCs w:val="22"/>
        </w:rPr>
        <w:t>d</w:t>
      </w:r>
      <w:r w:rsidRPr="00EC1282">
        <w:rPr>
          <w:szCs w:val="22"/>
        </w:rPr>
        <w:t xml:space="preserve"> that </w:t>
      </w:r>
      <w:r>
        <w:rPr>
          <w:szCs w:val="22"/>
        </w:rPr>
        <w:t>“</w:t>
      </w:r>
      <w:r w:rsidRPr="00EC1282">
        <w:rPr>
          <w:szCs w:val="22"/>
        </w:rPr>
        <w:t>participating carriers update their end-of-term commitments no later than the end of the fourt</w:t>
      </w:r>
      <w:r>
        <w:rPr>
          <w:szCs w:val="22"/>
        </w:rPr>
        <w:t xml:space="preserve">h </w:t>
      </w:r>
      <w:r w:rsidRPr="00EC1282">
        <w:rPr>
          <w:szCs w:val="22"/>
        </w:rPr>
        <w:t>year of support</w:t>
      </w:r>
      <w:r>
        <w:rPr>
          <w:szCs w:val="22"/>
        </w:rPr>
        <w:t>.”</w:t>
      </w:r>
      <w:r>
        <w:rPr>
          <w:rStyle w:val="FootnoteReference"/>
          <w:szCs w:val="22"/>
        </w:rPr>
        <w:footnoteReference w:id="5"/>
      </w:r>
      <w:r>
        <w:rPr>
          <w:szCs w:val="22"/>
        </w:rPr>
        <w:t xml:space="preserve">  The Commission further </w:t>
      </w:r>
      <w:r w:rsidRPr="00EC1282">
        <w:rPr>
          <w:szCs w:val="22"/>
        </w:rPr>
        <w:t>delegate</w:t>
      </w:r>
      <w:r>
        <w:rPr>
          <w:szCs w:val="22"/>
        </w:rPr>
        <w:t>d</w:t>
      </w:r>
      <w:r w:rsidRPr="00EC1282">
        <w:rPr>
          <w:szCs w:val="22"/>
        </w:rPr>
        <w:t xml:space="preserve"> </w:t>
      </w:r>
      <w:r>
        <w:rPr>
          <w:szCs w:val="22"/>
        </w:rPr>
        <w:t xml:space="preserve">to the </w:t>
      </w:r>
      <w:r w:rsidRPr="00EC1282">
        <w:rPr>
          <w:szCs w:val="22"/>
        </w:rPr>
        <w:t xml:space="preserve">Bureau the </w:t>
      </w:r>
      <w:r>
        <w:rPr>
          <w:szCs w:val="22"/>
        </w:rPr>
        <w:t>“</w:t>
      </w:r>
      <w:r w:rsidRPr="00EC1282">
        <w:rPr>
          <w:szCs w:val="22"/>
        </w:rPr>
        <w:t>authority to review and approve</w:t>
      </w:r>
      <w:r>
        <w:rPr>
          <w:szCs w:val="22"/>
        </w:rPr>
        <w:t xml:space="preserve"> </w:t>
      </w:r>
      <w:r w:rsidRPr="00EC1282">
        <w:rPr>
          <w:szCs w:val="22"/>
        </w:rPr>
        <w:t>modifications that serve the public interest</w:t>
      </w:r>
      <w:r>
        <w:rPr>
          <w:szCs w:val="22"/>
        </w:rPr>
        <w:t>,”</w:t>
      </w:r>
      <w:r>
        <w:rPr>
          <w:rStyle w:val="FootnoteReference"/>
          <w:szCs w:val="22"/>
        </w:rPr>
        <w:footnoteReference w:id="6"/>
      </w:r>
      <w:r>
        <w:rPr>
          <w:szCs w:val="22"/>
        </w:rPr>
        <w:t xml:space="preserve"> including deployment obligations if changes are necessary based on changed circumstances.</w:t>
      </w:r>
      <w:r>
        <w:rPr>
          <w:rStyle w:val="FootnoteReference"/>
          <w:szCs w:val="22"/>
        </w:rPr>
        <w:footnoteReference w:id="7"/>
      </w:r>
      <w:r>
        <w:rPr>
          <w:szCs w:val="22"/>
        </w:rPr>
        <w:t xml:space="preserve">  </w:t>
      </w:r>
    </w:p>
    <w:p w:rsidR="00E32D53" w:rsidRPr="00DB6772" w:rsidP="00E32D53" w14:paraId="39855CF4" w14:textId="77777777">
      <w:pPr>
        <w:widowControl/>
        <w:spacing w:after="120"/>
        <w:ind w:firstLine="720"/>
      </w:pPr>
      <w:r w:rsidRPr="00EF0E7F">
        <w:t>On December 23, 2021, the Bureau announced the performance obligations for rate-of-return Alaska Plan carriers as part of the five-year midterm review.</w:t>
      </w:r>
      <w:r>
        <w:rPr>
          <w:rStyle w:val="FootnoteReference"/>
        </w:rPr>
        <w:footnoteReference w:id="8"/>
      </w:r>
      <w:r w:rsidRPr="00EF0E7F">
        <w:t xml:space="preserve">  As</w:t>
      </w:r>
      <w:r>
        <w:t xml:space="preserve"> part </w:t>
      </w:r>
      <w:r w:rsidRPr="00EF0E7F">
        <w:t xml:space="preserve">of its mid-term review, </w:t>
      </w:r>
      <w:r>
        <w:t xml:space="preserve">the Bureau </w:t>
      </w:r>
      <w:r>
        <w:t xml:space="preserve">approved revised performance obligations for </w:t>
      </w:r>
      <w:r w:rsidRPr="00EF0E7F">
        <w:t>ASTAC</w:t>
      </w:r>
      <w:r>
        <w:t>,</w:t>
      </w:r>
      <w:r>
        <w:rPr>
          <w:rStyle w:val="FootnoteReference"/>
        </w:rPr>
        <w:footnoteReference w:id="9"/>
      </w:r>
      <w:r w:rsidRPr="00EF0E7F">
        <w:t xml:space="preserve"> </w:t>
      </w:r>
      <w:r>
        <w:t>which</w:t>
      </w:r>
      <w:r w:rsidRPr="00EF0E7F">
        <w:t xml:space="preserve"> </w:t>
      </w:r>
      <w:r>
        <w:t>ASTAC certified to meeting.  On November 18, 2022, ASTAC submitted updated wireline performance obligations,</w:t>
      </w:r>
      <w:r>
        <w:rPr>
          <w:rStyle w:val="FootnoteReference"/>
          <w:szCs w:val="22"/>
        </w:rPr>
        <w:footnoteReference w:id="10"/>
      </w:r>
      <w:r w:rsidRPr="00EF0E7F">
        <w:rPr>
          <w:szCs w:val="22"/>
        </w:rPr>
        <w:t xml:space="preserve"> </w:t>
      </w:r>
      <w:r>
        <w:t>and supplemented those on December 19, 2022.</w:t>
      </w:r>
      <w:r>
        <w:rPr>
          <w:rStyle w:val="FootnoteReference"/>
        </w:rPr>
        <w:footnoteReference w:id="11"/>
      </w:r>
      <w:r>
        <w:t xml:space="preserve">  ASTAC </w:t>
      </w:r>
      <w:r>
        <w:rPr>
          <w:szCs w:val="22"/>
        </w:rPr>
        <w:t>states</w:t>
      </w:r>
      <w:r w:rsidRPr="00EF0E7F">
        <w:rPr>
          <w:szCs w:val="22"/>
        </w:rPr>
        <w:t xml:space="preserve"> that it was able to </w:t>
      </w:r>
      <w:r>
        <w:rPr>
          <w:szCs w:val="22"/>
        </w:rPr>
        <w:t xml:space="preserve">(1) </w:t>
      </w:r>
      <w:r w:rsidRPr="00EF0E7F">
        <w:rPr>
          <w:szCs w:val="22"/>
        </w:rPr>
        <w:t>negotiate access to fiber middle mile capacity at a lower rate</w:t>
      </w:r>
      <w:r>
        <w:rPr>
          <w:szCs w:val="22"/>
        </w:rPr>
        <w:t>,</w:t>
      </w:r>
      <w:r w:rsidRPr="00EF0E7F">
        <w:rPr>
          <w:szCs w:val="22"/>
        </w:rPr>
        <w:t xml:space="preserve"> allowing </w:t>
      </w:r>
      <w:r>
        <w:rPr>
          <w:szCs w:val="22"/>
        </w:rPr>
        <w:t>ASTAC to offer</w:t>
      </w:r>
      <w:r w:rsidRPr="00EF0E7F">
        <w:rPr>
          <w:szCs w:val="22"/>
        </w:rPr>
        <w:t xml:space="preserve"> service at higher speeds,</w:t>
      </w:r>
      <w:r>
        <w:rPr>
          <w:szCs w:val="22"/>
        </w:rPr>
        <w:t xml:space="preserve"> i.e., at least 100/20 Mbps, in many areas, and (2) move service in Atqasuk from satellite to fiber middle mile resulting in an additional 78 newly deployed/upgraded locations by the end of the 10-year term.</w:t>
      </w:r>
      <w:r>
        <w:rPr>
          <w:rStyle w:val="FootnoteReference"/>
          <w:szCs w:val="22"/>
        </w:rPr>
        <w:footnoteReference w:id="12"/>
      </w:r>
      <w:r w:rsidRPr="00EF0E7F">
        <w:rPr>
          <w:szCs w:val="22"/>
        </w:rPr>
        <w:t xml:space="preserve"> </w:t>
      </w:r>
    </w:p>
    <w:p w:rsidR="00E32D53" w:rsidP="00E32D53" w14:paraId="4C4BE11E" w14:textId="77777777">
      <w:pPr>
        <w:spacing w:after="120"/>
        <w:ind w:firstLine="720"/>
        <w:rPr>
          <w:szCs w:val="22"/>
        </w:rPr>
      </w:pPr>
      <w:r>
        <w:rPr>
          <w:szCs w:val="22"/>
        </w:rPr>
        <w:t xml:space="preserve">We </w:t>
      </w:r>
      <w:r w:rsidRPr="00407B68">
        <w:rPr>
          <w:szCs w:val="22"/>
        </w:rPr>
        <w:t xml:space="preserve">find it is in the public interest to </w:t>
      </w:r>
      <w:r>
        <w:rPr>
          <w:szCs w:val="22"/>
        </w:rPr>
        <w:t xml:space="preserve">approve ASTAC’s revised </w:t>
      </w:r>
      <w:r>
        <w:t>performance obligations, which are in Appendix A to this Public Notice.  Appendix B to this Public</w:t>
      </w:r>
      <w:r>
        <w:t xml:space="preserve"> </w:t>
      </w:r>
      <w:r>
        <w:t xml:space="preserve">Notice provides the minimum number of locations to be reported in the High-Cost Universal Broadband portal, or HUBB, i.e., newly deployed and upgraded locations over the term of the Alaska Plan, by speed and middle-mile, at the five-year and 10-year service milestones.  </w:t>
      </w:r>
      <w:r w:rsidRPr="00407B68">
        <w:rPr>
          <w:szCs w:val="22"/>
        </w:rPr>
        <w:t>The performance obligations we approve today replace the performance obligations the Bureau approved for ASTAC on December 23, 2021.</w:t>
      </w:r>
      <w:r>
        <w:rPr>
          <w:rStyle w:val="FootnoteReference"/>
          <w:szCs w:val="22"/>
        </w:rPr>
        <w:footnoteReference w:id="13"/>
      </w:r>
      <w:r>
        <w:rPr>
          <w:szCs w:val="22"/>
        </w:rPr>
        <w:t xml:space="preserve">   </w:t>
      </w:r>
    </w:p>
    <w:p w:rsidR="00E32D53" w:rsidP="00E32D53" w14:paraId="16082BFE" w14:textId="77777777">
      <w:pPr>
        <w:widowControl/>
        <w:spacing w:after="120"/>
        <w:ind w:firstLine="720"/>
      </w:pPr>
      <w:r>
        <w:t xml:space="preserve">For additional information on this proceeding, contact Rebekah Douglas, Wireline Competition Bureau, at </w:t>
      </w:r>
      <w:hyperlink r:id="rId5" w:history="1">
        <w:r w:rsidRPr="00131133">
          <w:rPr>
            <w:rStyle w:val="Hyperlink"/>
          </w:rPr>
          <w:t>rebekah.douglas@fcc.gov</w:t>
        </w:r>
      </w:hyperlink>
      <w:r>
        <w:t xml:space="preserve"> </w:t>
      </w:r>
      <w:r w:rsidRPr="00AB42EA">
        <w:t>or</w:t>
      </w:r>
      <w:r w:rsidRPr="00AB42EA">
        <w:rPr>
          <w:rStyle w:val="Hyperlink"/>
          <w:u w:val="none"/>
        </w:rPr>
        <w:t xml:space="preserve"> </w:t>
      </w:r>
      <w:r>
        <w:t>(202) 418-7931.</w:t>
      </w:r>
    </w:p>
    <w:p w:rsidR="00E32D53" w:rsidRPr="00CF32CC" w:rsidP="00E32D53" w14:paraId="528C7EEC" w14:textId="77777777">
      <w:pPr>
        <w:widowControl/>
        <w:spacing w:after="120"/>
        <w:ind w:firstLine="720"/>
      </w:pPr>
    </w:p>
    <w:p w:rsidR="00930ECF" w:rsidP="00022B9A" w14:paraId="6F672BD2" w14:textId="219F4D23">
      <w:pPr>
        <w:jc w:val="center"/>
        <w:rPr>
          <w:b/>
          <w:szCs w:val="22"/>
        </w:rPr>
      </w:pPr>
      <w:r w:rsidRPr="00FB3181">
        <w:rPr>
          <w:b/>
          <w:szCs w:val="22"/>
        </w:rPr>
        <w:t xml:space="preserve">- FCC </w:t>
      </w:r>
      <w:r>
        <w:rPr>
          <w:b/>
          <w:szCs w:val="22"/>
        </w:rPr>
        <w:t xml:space="preserve">- </w:t>
      </w:r>
      <w:bookmarkEnd w:id="0"/>
    </w:p>
    <w:p w:rsidR="00814545" w:rsidP="00022B9A" w14:paraId="1EFA28AE" w14:textId="77777777">
      <w:pPr>
        <w:jc w:val="center"/>
        <w:rPr>
          <w:b/>
          <w:szCs w:val="22"/>
        </w:rPr>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pPr>
    </w:p>
    <w:p w:rsidR="00814545" w:rsidP="00814545" w14:paraId="6384D1DB" w14:textId="08732FD8">
      <w:pPr>
        <w:spacing w:after="120"/>
        <w:jc w:val="center"/>
        <w:rPr>
          <w:b/>
          <w:bCs/>
          <w:sz w:val="24"/>
        </w:rPr>
      </w:pPr>
      <w:r w:rsidRPr="006F21C5">
        <w:rPr>
          <w:b/>
          <w:bCs/>
          <w:sz w:val="24"/>
        </w:rPr>
        <w:t>APPENDIX A</w:t>
      </w:r>
    </w:p>
    <w:p w:rsidR="00814545" w:rsidRPr="006F21C5" w:rsidP="00814545" w14:paraId="7973B3F8" w14:textId="77777777">
      <w:pPr>
        <w:spacing w:after="120"/>
        <w:jc w:val="center"/>
        <w:rPr>
          <w:b/>
          <w:bCs/>
          <w:sz w:val="24"/>
        </w:rPr>
      </w:pPr>
      <w:r>
        <w:rPr>
          <w:b/>
          <w:bCs/>
          <w:sz w:val="24"/>
        </w:rPr>
        <w:t>PERFORMANCE OBLIGATIONS</w:t>
      </w:r>
    </w:p>
    <w:p w:rsidR="00814545" w:rsidP="00814545" w14:paraId="66CC2322" w14:textId="77777777">
      <w:pPr>
        <w:rPr>
          <w:sz w:val="24"/>
        </w:rPr>
      </w:pPr>
    </w:p>
    <w:p w:rsidR="00814545" w:rsidRPr="006F21C5" w:rsidP="00814545" w14:paraId="406CBAE0" w14:textId="77777777">
      <w:pPr>
        <w:rPr>
          <w:b/>
          <w:bCs/>
        </w:rPr>
      </w:pPr>
      <w:r w:rsidRPr="006F21C5">
        <w:rPr>
          <w:b/>
          <w:bCs/>
        </w:rPr>
        <w:t>Arctic Slope Telephone Cooperative</w:t>
      </w:r>
    </w:p>
    <w:p w:rsidR="00814545" w:rsidP="00814545" w14:paraId="2649EFF4" w14:textId="77777777">
      <w:pPr>
        <w:rPr>
          <w:sz w:val="24"/>
        </w:rPr>
      </w:pPr>
    </w:p>
    <w:p w:rsidR="00814545" w:rsidP="00022B9A" w14:paraId="775F0DCE" w14:textId="7505790F">
      <w:pPr>
        <w:jc w:val="center"/>
        <w:rPr>
          <w:noProof/>
          <w:snapToGrid/>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Table&#10;&#10;Description automatically generated" style="width:483pt;height:273.75pt;mso-wrap-style:square;visibility:visible">
            <v:imagedata r:id="rId11" o:title="Table&#10;&#10;Description automatically generated"/>
          </v:shape>
        </w:pict>
      </w:r>
    </w:p>
    <w:p w:rsidR="00814545" w:rsidP="00814545" w14:paraId="6E02212B" w14:textId="62BF5E0A">
      <w:pPr>
        <w:rPr>
          <w:noProof/>
          <w:snapToGrid/>
        </w:rPr>
      </w:pPr>
    </w:p>
    <w:p w:rsidR="00814545" w:rsidP="00814545" w14:paraId="19E87A32" w14:textId="77777777">
      <w:pPr>
        <w:tabs>
          <w:tab w:val="left" w:pos="4155"/>
        </w:tabs>
        <w:rPr>
          <w:szCs w:val="22"/>
        </w:rPr>
        <w:sectPr w:rsidSect="00814545">
          <w:endnotePr>
            <w:numFmt w:val="decimal"/>
          </w:endnotePr>
          <w:pgSz w:w="12240" w:h="15840"/>
          <w:pgMar w:top="1440" w:right="1440" w:bottom="720" w:left="1440" w:header="630" w:footer="720" w:gutter="0"/>
          <w:cols w:space="720"/>
          <w:noEndnote/>
          <w:docGrid w:linePitch="299"/>
        </w:sectPr>
      </w:pPr>
      <w:r>
        <w:rPr>
          <w:szCs w:val="22"/>
        </w:rPr>
        <w:tab/>
      </w:r>
    </w:p>
    <w:p w:rsidR="00814545" w:rsidRPr="006F21C5" w:rsidP="00814545" w14:paraId="0895F034" w14:textId="07384B2B">
      <w:pPr>
        <w:spacing w:after="120"/>
        <w:jc w:val="center"/>
        <w:rPr>
          <w:b/>
          <w:bCs/>
          <w:sz w:val="24"/>
        </w:rPr>
      </w:pPr>
      <w:r w:rsidRPr="006F21C5">
        <w:rPr>
          <w:b/>
          <w:bCs/>
          <w:sz w:val="24"/>
        </w:rPr>
        <w:t>APPENDIX B</w:t>
      </w:r>
    </w:p>
    <w:p w:rsidR="00814545" w:rsidRPr="00814545" w:rsidP="00814545" w14:paraId="7B134A5D" w14:textId="40B6F28D">
      <w:pPr>
        <w:spacing w:after="120"/>
        <w:jc w:val="center"/>
        <w:rPr>
          <w:b/>
          <w:bCs/>
          <w:sz w:val="24"/>
        </w:rPr>
      </w:pPr>
      <w:r w:rsidRPr="006F21C5">
        <w:rPr>
          <w:b/>
          <w:bCs/>
          <w:sz w:val="24"/>
        </w:rPr>
        <w:t>HUBB LOCATIONS</w:t>
      </w:r>
    </w:p>
    <w:p w:rsidR="00814545" w:rsidP="00814545" w14:paraId="2E18BB5C" w14:textId="77777777">
      <w:pPr>
        <w:rPr>
          <w:sz w:val="24"/>
        </w:rPr>
      </w:pPr>
    </w:p>
    <w:p w:rsidR="006311DE" w:rsidP="00EC79FE" w14:paraId="72828944" w14:textId="77777777">
      <w:pPr>
        <w:rPr>
          <w:b/>
          <w:bCs/>
          <w:sz w:val="20"/>
        </w:rPr>
        <w:sectPr w:rsidSect="00814545">
          <w:endnotePr>
            <w:numFmt w:val="decimal"/>
          </w:endnotePr>
          <w:pgSz w:w="12240" w:h="15840"/>
          <w:pgMar w:top="1440" w:right="1440" w:bottom="720" w:left="1440" w:header="630" w:footer="720" w:gutter="0"/>
          <w:cols w:space="720"/>
          <w:noEndnote/>
          <w:docGrid w:linePitch="299"/>
        </w:sectPr>
      </w:pPr>
    </w:p>
    <w:p w:rsidR="006311DE" w:rsidP="00EC79FE" w14:paraId="14D8F3E3" w14:textId="77777777">
      <w:pPr>
        <w:rPr>
          <w:b/>
          <w:bCs/>
          <w:sz w:val="20"/>
        </w:rPr>
        <w:sectPr w:rsidSect="006311DE">
          <w:endnotePr>
            <w:numFmt w:val="decimal"/>
          </w:endnotePr>
          <w:type w:val="continuous"/>
          <w:pgSz w:w="12240" w:h="15840"/>
          <w:pgMar w:top="1440" w:right="1440" w:bottom="720" w:left="1440" w:header="630" w:footer="720" w:gutter="0"/>
          <w:cols w:space="720"/>
          <w:noEndnote/>
          <w:docGrid w:linePitch="299"/>
        </w:sectPr>
      </w:pPr>
    </w:p>
    <w:tbl>
      <w:tblPr>
        <w:tblStyle w:val="TableGrid"/>
        <w:tblW w:w="10033" w:type="dxa"/>
        <w:tblLook w:val="04A0"/>
      </w:tblPr>
      <w:tblGrid>
        <w:gridCol w:w="1012"/>
        <w:gridCol w:w="1006"/>
        <w:gridCol w:w="1550"/>
        <w:gridCol w:w="1053"/>
        <w:gridCol w:w="1390"/>
        <w:gridCol w:w="1316"/>
        <w:gridCol w:w="1390"/>
        <w:gridCol w:w="1316"/>
      </w:tblGrid>
      <w:tr w14:paraId="109BC370" w14:textId="77777777" w:rsidTr="00814545">
        <w:tblPrEx>
          <w:tblW w:w="10033" w:type="dxa"/>
          <w:tblLook w:val="04A0"/>
        </w:tblPrEx>
        <w:trPr>
          <w:trHeight w:val="1673"/>
        </w:trPr>
        <w:tc>
          <w:tcPr>
            <w:tcW w:w="1012" w:type="dxa"/>
            <w:shd w:val="clear" w:color="auto" w:fill="D9D9D9"/>
            <w:vAlign w:val="bottom"/>
          </w:tcPr>
          <w:p w:rsidR="00814545" w:rsidRPr="00424572" w:rsidP="00EC79FE" w14:paraId="05D88FB8" w14:textId="77777777">
            <w:pPr>
              <w:rPr>
                <w:b/>
                <w:bCs/>
                <w:sz w:val="20"/>
              </w:rPr>
            </w:pPr>
            <w:r w:rsidRPr="00424572">
              <w:rPr>
                <w:b/>
                <w:bCs/>
                <w:sz w:val="20"/>
              </w:rPr>
              <w:t>Admin SAC</w:t>
            </w:r>
          </w:p>
        </w:tc>
        <w:tc>
          <w:tcPr>
            <w:tcW w:w="1006" w:type="dxa"/>
            <w:shd w:val="clear" w:color="auto" w:fill="D9D9D9"/>
            <w:vAlign w:val="bottom"/>
          </w:tcPr>
          <w:p w:rsidR="00814545" w:rsidRPr="00424572" w:rsidP="00EC79FE" w14:paraId="600E2A68" w14:textId="77777777">
            <w:pPr>
              <w:rPr>
                <w:b/>
                <w:bCs/>
                <w:sz w:val="20"/>
              </w:rPr>
            </w:pPr>
            <w:r w:rsidRPr="00424572">
              <w:rPr>
                <w:b/>
                <w:bCs/>
                <w:sz w:val="20"/>
              </w:rPr>
              <w:t>Carrier Name</w:t>
            </w:r>
          </w:p>
        </w:tc>
        <w:tc>
          <w:tcPr>
            <w:tcW w:w="1550" w:type="dxa"/>
            <w:shd w:val="clear" w:color="auto" w:fill="D9D9D9"/>
            <w:vAlign w:val="bottom"/>
          </w:tcPr>
          <w:p w:rsidR="00814545" w:rsidRPr="00424572" w:rsidP="00EC79FE" w14:paraId="1A7DCA33" w14:textId="77777777">
            <w:pPr>
              <w:rPr>
                <w:b/>
                <w:bCs/>
                <w:sz w:val="20"/>
              </w:rPr>
            </w:pPr>
            <w:r w:rsidRPr="00424572">
              <w:rPr>
                <w:b/>
                <w:bCs/>
                <w:sz w:val="20"/>
              </w:rPr>
              <w:t>Speed (Mbps)</w:t>
            </w:r>
          </w:p>
        </w:tc>
        <w:tc>
          <w:tcPr>
            <w:tcW w:w="1053" w:type="dxa"/>
            <w:shd w:val="clear" w:color="auto" w:fill="D9D9D9"/>
            <w:vAlign w:val="bottom"/>
          </w:tcPr>
          <w:p w:rsidR="00814545" w:rsidRPr="00424572" w:rsidP="00EC79FE" w14:paraId="66C2C803" w14:textId="77777777">
            <w:pPr>
              <w:rPr>
                <w:b/>
                <w:bCs/>
                <w:sz w:val="20"/>
              </w:rPr>
            </w:pPr>
            <w:r w:rsidRPr="00424572">
              <w:rPr>
                <w:b/>
                <w:bCs/>
                <w:sz w:val="20"/>
              </w:rPr>
              <w:t>Middle Mile</w:t>
            </w:r>
          </w:p>
        </w:tc>
        <w:tc>
          <w:tcPr>
            <w:tcW w:w="1390" w:type="dxa"/>
            <w:shd w:val="clear" w:color="auto" w:fill="D9D9D9"/>
            <w:vAlign w:val="bottom"/>
          </w:tcPr>
          <w:p w:rsidR="00814545" w:rsidRPr="00424572" w:rsidP="00EC79FE" w14:paraId="598011DA" w14:textId="77777777">
            <w:pPr>
              <w:rPr>
                <w:b/>
                <w:bCs/>
                <w:sz w:val="20"/>
              </w:rPr>
            </w:pPr>
            <w:r w:rsidRPr="00424572">
              <w:rPr>
                <w:b/>
                <w:bCs/>
                <w:sz w:val="20"/>
              </w:rPr>
              <w:t>5 Year Obligation Newly Deployed, Upgraded Locations by Dec. 31, 2021</w:t>
            </w:r>
          </w:p>
        </w:tc>
        <w:tc>
          <w:tcPr>
            <w:tcW w:w="1316" w:type="dxa"/>
            <w:shd w:val="clear" w:color="auto" w:fill="D9D9D9"/>
            <w:vAlign w:val="bottom"/>
          </w:tcPr>
          <w:p w:rsidR="00814545" w:rsidRPr="00424572" w:rsidP="00EC79FE" w14:paraId="2139AE37" w14:textId="77777777">
            <w:pPr>
              <w:rPr>
                <w:b/>
                <w:bCs/>
                <w:sz w:val="20"/>
              </w:rPr>
            </w:pPr>
            <w:r w:rsidRPr="00424572">
              <w:rPr>
                <w:b/>
                <w:bCs/>
                <w:sz w:val="20"/>
              </w:rPr>
              <w:t>Minimum Total Locations Certified in the HUBB by Mar. 1, 2022</w:t>
            </w:r>
            <w:r>
              <w:rPr>
                <w:rStyle w:val="FootnoteReference"/>
                <w:b/>
                <w:bCs/>
              </w:rPr>
              <w:footnoteReference w:id="14"/>
            </w:r>
          </w:p>
        </w:tc>
        <w:tc>
          <w:tcPr>
            <w:tcW w:w="1390" w:type="dxa"/>
            <w:shd w:val="clear" w:color="auto" w:fill="D9D9D9"/>
            <w:vAlign w:val="bottom"/>
          </w:tcPr>
          <w:p w:rsidR="00814545" w:rsidRPr="00424572" w:rsidP="00EC79FE" w14:paraId="3CDD3B8A" w14:textId="77777777">
            <w:pPr>
              <w:rPr>
                <w:b/>
                <w:bCs/>
                <w:sz w:val="20"/>
              </w:rPr>
            </w:pPr>
            <w:r w:rsidRPr="00424572">
              <w:rPr>
                <w:b/>
                <w:bCs/>
                <w:sz w:val="20"/>
              </w:rPr>
              <w:t>10 Year Obligation Newly Deployed, Upgraded Locations by Dec. 31, 2026</w:t>
            </w:r>
          </w:p>
        </w:tc>
        <w:tc>
          <w:tcPr>
            <w:tcW w:w="1316" w:type="dxa"/>
            <w:shd w:val="clear" w:color="auto" w:fill="D9D9D9"/>
            <w:vAlign w:val="bottom"/>
          </w:tcPr>
          <w:p w:rsidR="00814545" w:rsidRPr="00424572" w:rsidP="00EC79FE" w14:paraId="0E41E285" w14:textId="77777777">
            <w:pPr>
              <w:rPr>
                <w:b/>
                <w:bCs/>
                <w:sz w:val="20"/>
              </w:rPr>
            </w:pPr>
            <w:r w:rsidRPr="00424572">
              <w:rPr>
                <w:b/>
                <w:bCs/>
                <w:sz w:val="20"/>
              </w:rPr>
              <w:t>Minimum Total Locations Certified in the HUBB by Mar. 1, 2027</w:t>
            </w:r>
          </w:p>
        </w:tc>
      </w:tr>
      <w:tr w14:paraId="2ED6DEA9" w14:textId="77777777" w:rsidTr="00814545">
        <w:tblPrEx>
          <w:tblW w:w="10033" w:type="dxa"/>
          <w:tblLook w:val="04A0"/>
        </w:tblPrEx>
        <w:trPr>
          <w:trHeight w:val="297"/>
        </w:trPr>
        <w:tc>
          <w:tcPr>
            <w:tcW w:w="1012" w:type="dxa"/>
          </w:tcPr>
          <w:p w:rsidR="00814545" w:rsidRPr="00424572" w:rsidP="00EC79FE" w14:paraId="42A55F3A" w14:textId="77777777">
            <w:pPr>
              <w:rPr>
                <w:sz w:val="20"/>
              </w:rPr>
            </w:pPr>
            <w:r w:rsidRPr="00424572">
              <w:rPr>
                <w:sz w:val="20"/>
              </w:rPr>
              <w:t>613001</w:t>
            </w:r>
          </w:p>
        </w:tc>
        <w:tc>
          <w:tcPr>
            <w:tcW w:w="1006" w:type="dxa"/>
          </w:tcPr>
          <w:p w:rsidR="00814545" w:rsidRPr="00424572" w:rsidP="00EC79FE" w14:paraId="5D430F1B" w14:textId="77777777">
            <w:pPr>
              <w:rPr>
                <w:sz w:val="20"/>
              </w:rPr>
            </w:pPr>
            <w:r w:rsidRPr="00424572">
              <w:rPr>
                <w:sz w:val="20"/>
              </w:rPr>
              <w:t>ARTC</w:t>
            </w:r>
          </w:p>
        </w:tc>
        <w:tc>
          <w:tcPr>
            <w:tcW w:w="1550" w:type="dxa"/>
          </w:tcPr>
          <w:p w:rsidR="00814545" w:rsidRPr="00424572" w:rsidP="00EC79FE" w14:paraId="70A7733F" w14:textId="77777777">
            <w:pPr>
              <w:rPr>
                <w:sz w:val="20"/>
              </w:rPr>
            </w:pPr>
            <w:r w:rsidRPr="00424572">
              <w:rPr>
                <w:sz w:val="20"/>
              </w:rPr>
              <w:t>25/5</w:t>
            </w:r>
          </w:p>
        </w:tc>
        <w:tc>
          <w:tcPr>
            <w:tcW w:w="1053" w:type="dxa"/>
          </w:tcPr>
          <w:p w:rsidR="00814545" w:rsidRPr="00424572" w:rsidP="00EC79FE" w14:paraId="62FD1C10" w14:textId="77777777">
            <w:pPr>
              <w:rPr>
                <w:sz w:val="20"/>
              </w:rPr>
            </w:pPr>
            <w:r w:rsidRPr="00424572">
              <w:rPr>
                <w:sz w:val="20"/>
              </w:rPr>
              <w:t>Hybrid</w:t>
            </w:r>
          </w:p>
        </w:tc>
        <w:tc>
          <w:tcPr>
            <w:tcW w:w="1390" w:type="dxa"/>
          </w:tcPr>
          <w:p w:rsidR="00814545" w:rsidRPr="00424572" w:rsidP="00EC79FE" w14:paraId="232A8C79" w14:textId="77777777">
            <w:pPr>
              <w:rPr>
                <w:sz w:val="20"/>
              </w:rPr>
            </w:pPr>
            <w:r w:rsidRPr="00424572">
              <w:rPr>
                <w:sz w:val="20"/>
              </w:rPr>
              <w:t>161</w:t>
            </w:r>
          </w:p>
        </w:tc>
        <w:tc>
          <w:tcPr>
            <w:tcW w:w="1316" w:type="dxa"/>
            <w:vMerge w:val="restart"/>
            <w:shd w:val="clear" w:color="auto" w:fill="808080"/>
          </w:tcPr>
          <w:p w:rsidR="00814545" w:rsidRPr="00424572" w:rsidP="00EC79FE" w14:paraId="325BBEB2" w14:textId="77777777">
            <w:pPr>
              <w:rPr>
                <w:sz w:val="20"/>
              </w:rPr>
            </w:pPr>
          </w:p>
        </w:tc>
        <w:tc>
          <w:tcPr>
            <w:tcW w:w="1390" w:type="dxa"/>
          </w:tcPr>
          <w:p w:rsidR="00814545" w:rsidRPr="00424572" w:rsidP="00EC79FE" w14:paraId="04AF8A1C" w14:textId="77777777">
            <w:pPr>
              <w:rPr>
                <w:sz w:val="20"/>
              </w:rPr>
            </w:pPr>
            <w:r w:rsidRPr="00424572">
              <w:rPr>
                <w:sz w:val="20"/>
              </w:rPr>
              <w:t>161</w:t>
            </w:r>
          </w:p>
        </w:tc>
        <w:tc>
          <w:tcPr>
            <w:tcW w:w="1316" w:type="dxa"/>
            <w:vMerge w:val="restart"/>
            <w:shd w:val="clear" w:color="auto" w:fill="808080"/>
          </w:tcPr>
          <w:p w:rsidR="00814545" w:rsidRPr="00424572" w:rsidP="00EC79FE" w14:paraId="5D5206AC" w14:textId="77777777">
            <w:pPr>
              <w:rPr>
                <w:sz w:val="20"/>
              </w:rPr>
            </w:pPr>
          </w:p>
        </w:tc>
      </w:tr>
      <w:tr w14:paraId="25C8C49B" w14:textId="77777777" w:rsidTr="00814545">
        <w:tblPrEx>
          <w:tblW w:w="10033" w:type="dxa"/>
          <w:tblLook w:val="04A0"/>
        </w:tblPrEx>
        <w:trPr>
          <w:trHeight w:val="297"/>
        </w:trPr>
        <w:tc>
          <w:tcPr>
            <w:tcW w:w="1012" w:type="dxa"/>
          </w:tcPr>
          <w:p w:rsidR="00814545" w:rsidRPr="00424572" w:rsidP="00EC79FE" w14:paraId="0428BBA3" w14:textId="77777777">
            <w:pPr>
              <w:rPr>
                <w:sz w:val="20"/>
              </w:rPr>
            </w:pPr>
            <w:r w:rsidRPr="00424572">
              <w:rPr>
                <w:sz w:val="20"/>
              </w:rPr>
              <w:t>613001</w:t>
            </w:r>
          </w:p>
        </w:tc>
        <w:tc>
          <w:tcPr>
            <w:tcW w:w="1006" w:type="dxa"/>
          </w:tcPr>
          <w:p w:rsidR="00814545" w:rsidRPr="00424572" w:rsidP="00EC79FE" w14:paraId="29B2FF35" w14:textId="77777777">
            <w:pPr>
              <w:rPr>
                <w:sz w:val="20"/>
              </w:rPr>
            </w:pPr>
            <w:r w:rsidRPr="00424572">
              <w:rPr>
                <w:sz w:val="20"/>
              </w:rPr>
              <w:t>ARTC</w:t>
            </w:r>
          </w:p>
        </w:tc>
        <w:tc>
          <w:tcPr>
            <w:tcW w:w="1550" w:type="dxa"/>
          </w:tcPr>
          <w:p w:rsidR="00814545" w:rsidRPr="00424572" w:rsidP="00EC79FE" w14:paraId="52F5676C" w14:textId="77777777">
            <w:pPr>
              <w:rPr>
                <w:sz w:val="20"/>
              </w:rPr>
            </w:pPr>
            <w:r w:rsidRPr="00424572">
              <w:rPr>
                <w:sz w:val="20"/>
              </w:rPr>
              <w:t>25/5</w:t>
            </w:r>
          </w:p>
        </w:tc>
        <w:tc>
          <w:tcPr>
            <w:tcW w:w="1053" w:type="dxa"/>
          </w:tcPr>
          <w:p w:rsidR="00814545" w:rsidRPr="00424572" w:rsidP="00EC79FE" w14:paraId="2B8D8BE7" w14:textId="77777777">
            <w:pPr>
              <w:rPr>
                <w:sz w:val="20"/>
              </w:rPr>
            </w:pPr>
            <w:r w:rsidRPr="00424572">
              <w:rPr>
                <w:sz w:val="20"/>
              </w:rPr>
              <w:t>Fiber</w:t>
            </w:r>
          </w:p>
        </w:tc>
        <w:tc>
          <w:tcPr>
            <w:tcW w:w="1390" w:type="dxa"/>
          </w:tcPr>
          <w:p w:rsidR="00814545" w:rsidRPr="00424572" w:rsidP="00EC79FE" w14:paraId="703CE572" w14:textId="77777777">
            <w:pPr>
              <w:rPr>
                <w:sz w:val="20"/>
              </w:rPr>
            </w:pPr>
            <w:r w:rsidRPr="00424572">
              <w:rPr>
                <w:sz w:val="20"/>
              </w:rPr>
              <w:t>2156</w:t>
            </w:r>
          </w:p>
        </w:tc>
        <w:tc>
          <w:tcPr>
            <w:tcW w:w="1316" w:type="dxa"/>
            <w:vMerge/>
            <w:shd w:val="clear" w:color="auto" w:fill="808080"/>
          </w:tcPr>
          <w:p w:rsidR="00814545" w:rsidRPr="00424572" w:rsidP="00EC79FE" w14:paraId="6B3B4005" w14:textId="77777777">
            <w:pPr>
              <w:rPr>
                <w:sz w:val="20"/>
              </w:rPr>
            </w:pPr>
          </w:p>
        </w:tc>
        <w:tc>
          <w:tcPr>
            <w:tcW w:w="1390" w:type="dxa"/>
          </w:tcPr>
          <w:p w:rsidR="00814545" w:rsidRPr="00424572" w:rsidP="00EC79FE" w14:paraId="5B13F886" w14:textId="77777777">
            <w:pPr>
              <w:rPr>
                <w:sz w:val="20"/>
              </w:rPr>
            </w:pPr>
            <w:r w:rsidRPr="00424572">
              <w:rPr>
                <w:sz w:val="20"/>
              </w:rPr>
              <w:t>0</w:t>
            </w:r>
          </w:p>
        </w:tc>
        <w:tc>
          <w:tcPr>
            <w:tcW w:w="1316" w:type="dxa"/>
            <w:vMerge/>
            <w:shd w:val="clear" w:color="auto" w:fill="808080"/>
          </w:tcPr>
          <w:p w:rsidR="00814545" w:rsidRPr="00424572" w:rsidP="00EC79FE" w14:paraId="28321E7F" w14:textId="77777777">
            <w:pPr>
              <w:rPr>
                <w:sz w:val="20"/>
              </w:rPr>
            </w:pPr>
          </w:p>
        </w:tc>
      </w:tr>
      <w:tr w14:paraId="7E2C2525" w14:textId="77777777" w:rsidTr="00814545">
        <w:tblPrEx>
          <w:tblW w:w="10033" w:type="dxa"/>
          <w:tblLook w:val="04A0"/>
        </w:tblPrEx>
        <w:trPr>
          <w:trHeight w:val="297"/>
        </w:trPr>
        <w:tc>
          <w:tcPr>
            <w:tcW w:w="1012" w:type="dxa"/>
          </w:tcPr>
          <w:p w:rsidR="00814545" w:rsidRPr="00424572" w:rsidP="00EC79FE" w14:paraId="222B3950" w14:textId="77777777">
            <w:pPr>
              <w:rPr>
                <w:sz w:val="20"/>
              </w:rPr>
            </w:pPr>
            <w:r w:rsidRPr="00424572">
              <w:rPr>
                <w:sz w:val="20"/>
              </w:rPr>
              <w:t>613001</w:t>
            </w:r>
          </w:p>
        </w:tc>
        <w:tc>
          <w:tcPr>
            <w:tcW w:w="1006" w:type="dxa"/>
          </w:tcPr>
          <w:p w:rsidR="00814545" w:rsidRPr="00424572" w:rsidP="00EC79FE" w14:paraId="6F428515" w14:textId="77777777">
            <w:pPr>
              <w:rPr>
                <w:sz w:val="20"/>
              </w:rPr>
            </w:pPr>
            <w:r w:rsidRPr="00424572">
              <w:rPr>
                <w:sz w:val="20"/>
              </w:rPr>
              <w:t>ARTC</w:t>
            </w:r>
          </w:p>
        </w:tc>
        <w:tc>
          <w:tcPr>
            <w:tcW w:w="1550" w:type="dxa"/>
          </w:tcPr>
          <w:p w:rsidR="00814545" w:rsidRPr="00424572" w:rsidP="00EC79FE" w14:paraId="65F85A5B" w14:textId="77777777">
            <w:pPr>
              <w:rPr>
                <w:sz w:val="20"/>
              </w:rPr>
            </w:pPr>
            <w:r w:rsidRPr="00424572">
              <w:rPr>
                <w:sz w:val="20"/>
              </w:rPr>
              <w:t>100/20</w:t>
            </w:r>
          </w:p>
        </w:tc>
        <w:tc>
          <w:tcPr>
            <w:tcW w:w="1053" w:type="dxa"/>
          </w:tcPr>
          <w:p w:rsidR="00814545" w:rsidRPr="00424572" w:rsidP="00EC79FE" w14:paraId="03AF4C46" w14:textId="77777777">
            <w:pPr>
              <w:rPr>
                <w:sz w:val="20"/>
              </w:rPr>
            </w:pPr>
            <w:r w:rsidRPr="00424572">
              <w:rPr>
                <w:sz w:val="20"/>
              </w:rPr>
              <w:t>Fiber</w:t>
            </w:r>
          </w:p>
        </w:tc>
        <w:tc>
          <w:tcPr>
            <w:tcW w:w="1390" w:type="dxa"/>
          </w:tcPr>
          <w:p w:rsidR="00814545" w:rsidRPr="00424572" w:rsidP="00EC79FE" w14:paraId="770DCC87" w14:textId="77777777">
            <w:pPr>
              <w:rPr>
                <w:sz w:val="20"/>
              </w:rPr>
            </w:pPr>
            <w:r w:rsidRPr="00424572">
              <w:rPr>
                <w:sz w:val="20"/>
              </w:rPr>
              <w:t>0</w:t>
            </w:r>
          </w:p>
        </w:tc>
        <w:tc>
          <w:tcPr>
            <w:tcW w:w="1316" w:type="dxa"/>
            <w:vMerge/>
            <w:shd w:val="clear" w:color="auto" w:fill="808080"/>
          </w:tcPr>
          <w:p w:rsidR="00814545" w:rsidRPr="00424572" w:rsidP="00EC79FE" w14:paraId="676C5299" w14:textId="77777777">
            <w:pPr>
              <w:rPr>
                <w:sz w:val="20"/>
              </w:rPr>
            </w:pPr>
          </w:p>
        </w:tc>
        <w:tc>
          <w:tcPr>
            <w:tcW w:w="1390" w:type="dxa"/>
          </w:tcPr>
          <w:p w:rsidR="00814545" w:rsidRPr="00424572" w:rsidP="00EC79FE" w14:paraId="41A9A5A7" w14:textId="77777777">
            <w:pPr>
              <w:rPr>
                <w:sz w:val="20"/>
              </w:rPr>
            </w:pPr>
            <w:r w:rsidRPr="00424572">
              <w:rPr>
                <w:sz w:val="20"/>
              </w:rPr>
              <w:t>2234</w:t>
            </w:r>
          </w:p>
        </w:tc>
        <w:tc>
          <w:tcPr>
            <w:tcW w:w="1316" w:type="dxa"/>
            <w:vMerge/>
            <w:shd w:val="clear" w:color="auto" w:fill="808080"/>
          </w:tcPr>
          <w:p w:rsidR="00814545" w:rsidRPr="00424572" w:rsidP="00EC79FE" w14:paraId="2444CAFE" w14:textId="77777777">
            <w:pPr>
              <w:rPr>
                <w:sz w:val="20"/>
              </w:rPr>
            </w:pPr>
          </w:p>
        </w:tc>
      </w:tr>
      <w:tr w14:paraId="6A12BC87" w14:textId="77777777" w:rsidTr="00814545">
        <w:tblPrEx>
          <w:tblW w:w="10033" w:type="dxa"/>
          <w:tblLook w:val="04A0"/>
        </w:tblPrEx>
        <w:trPr>
          <w:trHeight w:val="297"/>
        </w:trPr>
        <w:tc>
          <w:tcPr>
            <w:tcW w:w="1012" w:type="dxa"/>
            <w:shd w:val="clear" w:color="auto" w:fill="F2F2F2"/>
          </w:tcPr>
          <w:p w:rsidR="00814545" w:rsidRPr="00424572" w:rsidP="00EC79FE" w14:paraId="7E9A0974" w14:textId="77777777">
            <w:pPr>
              <w:rPr>
                <w:b/>
                <w:bCs/>
                <w:sz w:val="20"/>
              </w:rPr>
            </w:pPr>
          </w:p>
        </w:tc>
        <w:tc>
          <w:tcPr>
            <w:tcW w:w="1006" w:type="dxa"/>
            <w:shd w:val="clear" w:color="auto" w:fill="F2F2F2"/>
          </w:tcPr>
          <w:p w:rsidR="00814545" w:rsidRPr="00424572" w:rsidP="00EC79FE" w14:paraId="7669A1A5" w14:textId="77777777">
            <w:pPr>
              <w:rPr>
                <w:b/>
                <w:bCs/>
                <w:sz w:val="20"/>
              </w:rPr>
            </w:pPr>
          </w:p>
        </w:tc>
        <w:tc>
          <w:tcPr>
            <w:tcW w:w="1550" w:type="dxa"/>
            <w:shd w:val="clear" w:color="auto" w:fill="F2F2F2"/>
          </w:tcPr>
          <w:p w:rsidR="00814545" w:rsidRPr="00424572" w:rsidP="00EC79FE" w14:paraId="4D6B368B" w14:textId="77777777">
            <w:pPr>
              <w:rPr>
                <w:b/>
                <w:bCs/>
                <w:sz w:val="20"/>
              </w:rPr>
            </w:pPr>
          </w:p>
        </w:tc>
        <w:tc>
          <w:tcPr>
            <w:tcW w:w="1053" w:type="dxa"/>
            <w:shd w:val="clear" w:color="auto" w:fill="F2F2F2"/>
          </w:tcPr>
          <w:p w:rsidR="00814545" w:rsidRPr="00424572" w:rsidP="00EC79FE" w14:paraId="2518593A" w14:textId="77777777">
            <w:pPr>
              <w:rPr>
                <w:b/>
                <w:bCs/>
                <w:sz w:val="20"/>
              </w:rPr>
            </w:pPr>
          </w:p>
        </w:tc>
        <w:tc>
          <w:tcPr>
            <w:tcW w:w="1390" w:type="dxa"/>
            <w:shd w:val="clear" w:color="auto" w:fill="F2F2F2"/>
          </w:tcPr>
          <w:p w:rsidR="00814545" w:rsidRPr="00424572" w:rsidP="00EC79FE" w14:paraId="3223BAAC" w14:textId="77777777">
            <w:pPr>
              <w:rPr>
                <w:b/>
                <w:bCs/>
                <w:sz w:val="20"/>
              </w:rPr>
            </w:pPr>
          </w:p>
        </w:tc>
        <w:tc>
          <w:tcPr>
            <w:tcW w:w="1316" w:type="dxa"/>
            <w:shd w:val="clear" w:color="auto" w:fill="F2F2F2"/>
          </w:tcPr>
          <w:p w:rsidR="00814545" w:rsidRPr="00424572" w:rsidP="00EC79FE" w14:paraId="1FBD1F98" w14:textId="77777777">
            <w:pPr>
              <w:rPr>
                <w:b/>
                <w:bCs/>
                <w:sz w:val="20"/>
              </w:rPr>
            </w:pPr>
            <w:r w:rsidRPr="00424572">
              <w:rPr>
                <w:b/>
                <w:bCs/>
                <w:sz w:val="20"/>
              </w:rPr>
              <w:t>2317</w:t>
            </w:r>
          </w:p>
        </w:tc>
        <w:tc>
          <w:tcPr>
            <w:tcW w:w="1390" w:type="dxa"/>
            <w:shd w:val="clear" w:color="auto" w:fill="F2F2F2"/>
          </w:tcPr>
          <w:p w:rsidR="00814545" w:rsidRPr="00424572" w:rsidP="00EC79FE" w14:paraId="3571CC28" w14:textId="77777777">
            <w:pPr>
              <w:rPr>
                <w:b/>
                <w:bCs/>
                <w:sz w:val="20"/>
              </w:rPr>
            </w:pPr>
          </w:p>
        </w:tc>
        <w:tc>
          <w:tcPr>
            <w:tcW w:w="1316" w:type="dxa"/>
            <w:shd w:val="clear" w:color="auto" w:fill="F2F2F2"/>
          </w:tcPr>
          <w:p w:rsidR="00814545" w:rsidRPr="00424572" w:rsidP="00EC79FE" w14:paraId="69B1EE60" w14:textId="77777777">
            <w:pPr>
              <w:rPr>
                <w:b/>
                <w:bCs/>
                <w:sz w:val="20"/>
              </w:rPr>
            </w:pPr>
            <w:r w:rsidRPr="00424572">
              <w:rPr>
                <w:b/>
                <w:bCs/>
                <w:sz w:val="20"/>
              </w:rPr>
              <w:t>2395</w:t>
            </w:r>
          </w:p>
        </w:tc>
      </w:tr>
    </w:tbl>
    <w:p w:rsidR="00814545" w:rsidP="00814545" w14:paraId="6BD77735" w14:textId="77777777">
      <w:pPr>
        <w:rPr>
          <w:sz w:val="24"/>
        </w:rPr>
      </w:pPr>
    </w:p>
    <w:p w:rsidR="00814545" w:rsidRPr="00814545" w:rsidP="00814545" w14:paraId="6287835E" w14:textId="03C78FE8">
      <w:pPr>
        <w:tabs>
          <w:tab w:val="left" w:pos="4155"/>
        </w:tabs>
        <w:rPr>
          <w:szCs w:val="22"/>
        </w:rPr>
      </w:pPr>
    </w:p>
    <w:sectPr w:rsidSect="006311DE">
      <w:footnotePr>
        <w:numRestart w:val="eachSect"/>
      </w:footnotePr>
      <w:endnotePr>
        <w:numFmt w:val="decimal"/>
      </w:endnotePr>
      <w:type w:val="continuous"/>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18B8EF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1F878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308F76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AC9386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2D53" w14:paraId="640901D6" w14:textId="77777777">
      <w:r>
        <w:separator/>
      </w:r>
    </w:p>
  </w:footnote>
  <w:footnote w:type="continuationSeparator" w:id="1">
    <w:p w:rsidR="00E32D53" w14:paraId="16DA3A25" w14:textId="77777777">
      <w:pPr>
        <w:rPr>
          <w:sz w:val="20"/>
        </w:rPr>
      </w:pPr>
      <w:r>
        <w:rPr>
          <w:sz w:val="20"/>
        </w:rPr>
        <w:t xml:space="preserve">(Continued from previous page)  </w:t>
      </w:r>
      <w:r>
        <w:rPr>
          <w:sz w:val="20"/>
        </w:rPr>
        <w:separator/>
      </w:r>
    </w:p>
  </w:footnote>
  <w:footnote w:type="continuationNotice" w:id="2">
    <w:p w:rsidR="00E32D53" w:rsidP="00910F12" w14:paraId="7DF9AD54" w14:textId="77777777">
      <w:pPr>
        <w:jc w:val="right"/>
        <w:rPr>
          <w:sz w:val="20"/>
        </w:rPr>
      </w:pPr>
      <w:r>
        <w:rPr>
          <w:sz w:val="20"/>
        </w:rPr>
        <w:t>(continued….)</w:t>
      </w:r>
    </w:p>
  </w:footnote>
  <w:footnote w:id="3">
    <w:p w:rsidR="00E32D53" w:rsidP="00E32D53" w14:paraId="2FA15C84" w14:textId="77777777">
      <w:pPr>
        <w:pStyle w:val="FootnoteText"/>
      </w:pPr>
      <w:r>
        <w:rPr>
          <w:rStyle w:val="FootnoteReference"/>
        </w:rPr>
        <w:footnoteRef/>
      </w:r>
      <w:r>
        <w:t xml:space="preserve"> </w:t>
      </w:r>
      <w:r w:rsidRPr="007340FA">
        <w:rPr>
          <w:i/>
        </w:rPr>
        <w:t>Connect America Fund, et al.</w:t>
      </w:r>
      <w:r>
        <w:t>, WC Docket No. 10-90 et al., Report and Order and Further Notice of Proposed Rulemaking, 31 FCC Rcd 10139 (2016) (</w:t>
      </w:r>
      <w:r w:rsidRPr="007340FA">
        <w:rPr>
          <w:i/>
        </w:rPr>
        <w:t>Alaska Plan Order</w:t>
      </w:r>
      <w:r>
        <w:t xml:space="preserve">); 47 CFR </w:t>
      </w:r>
      <w:r w:rsidRPr="003D4F11">
        <w:t>§</w:t>
      </w:r>
      <w:r>
        <w:t xml:space="preserve"> 54.306(b).</w:t>
      </w:r>
    </w:p>
  </w:footnote>
  <w:footnote w:id="4">
    <w:p w:rsidR="00E32D53" w:rsidRPr="00026755" w:rsidP="00E32D53" w14:paraId="5C66F5AA" w14:textId="77777777">
      <w:pPr>
        <w:pStyle w:val="FootnoteText"/>
      </w:pPr>
      <w:r w:rsidRPr="00AB42EA">
        <w:rPr>
          <w:rStyle w:val="FootnoteReference"/>
        </w:rPr>
        <w:footnoteRef/>
      </w:r>
      <w:r w:rsidRPr="00AB42EA">
        <w:t xml:space="preserve"> </w:t>
      </w:r>
      <w:r w:rsidRPr="00AB42EA">
        <w:rPr>
          <w:i/>
        </w:rPr>
        <w:t>Wireline Competition Bureau Authorizes Alaska Plan Support for 13 Alaskan Rate-of-Return Companies</w:t>
      </w:r>
      <w:r w:rsidRPr="00AB42EA">
        <w:t>, WC Docket Nos. 10-90, 16-271, Public Notice, 31 FCC Rcd 13347 (WCB 2016) (</w:t>
      </w:r>
      <w:r w:rsidRPr="00AB42EA">
        <w:rPr>
          <w:i/>
        </w:rPr>
        <w:t>Alaska Plan Wireline Authorization Public Notice</w:t>
      </w:r>
      <w:r w:rsidRPr="00AB42EA">
        <w:t xml:space="preserve">).  </w:t>
      </w:r>
      <w:r w:rsidRPr="00AB42EA">
        <w:rPr>
          <w:i/>
        </w:rPr>
        <w:t xml:space="preserve">See also </w:t>
      </w:r>
      <w:r w:rsidRPr="00AB42EA">
        <w:rPr>
          <w:i/>
          <w:iCs/>
        </w:rPr>
        <w:t>Connect America Fund</w:t>
      </w:r>
      <w:r w:rsidRPr="00AB42EA">
        <w:t>, WC Docket No. 10-90, Order on Reconsideration, 34 FCC Rcd 10109, 10143-44, paras. 93-94 (2019) (imposing additional reporting obligations on Alaska Plan carriers).</w:t>
      </w:r>
      <w:r>
        <w:t xml:space="preserve">   </w:t>
      </w:r>
    </w:p>
  </w:footnote>
  <w:footnote w:id="5">
    <w:p w:rsidR="00E32D53" w:rsidP="00E32D53" w14:paraId="74EB600F" w14:textId="77777777">
      <w:pPr>
        <w:pStyle w:val="FootnoteText"/>
      </w:pPr>
      <w:r>
        <w:rPr>
          <w:rStyle w:val="FootnoteReference"/>
        </w:rPr>
        <w:footnoteRef/>
      </w:r>
      <w:r>
        <w:t xml:space="preserve"> </w:t>
      </w:r>
      <w:r>
        <w:rPr>
          <w:i/>
          <w:iCs/>
        </w:rPr>
        <w:t>Alaska Plan Order</w:t>
      </w:r>
      <w:r>
        <w:t>, 31 FCC Rcd at 10158, para. 61.</w:t>
      </w:r>
    </w:p>
  </w:footnote>
  <w:footnote w:id="6">
    <w:p w:rsidR="00E32D53" w:rsidP="00E32D53" w14:paraId="04D10F79" w14:textId="77777777">
      <w:pPr>
        <w:pStyle w:val="FootnoteText"/>
      </w:pPr>
      <w:r>
        <w:rPr>
          <w:rStyle w:val="FootnoteReference"/>
        </w:rPr>
        <w:footnoteRef/>
      </w:r>
      <w:r>
        <w:t xml:space="preserve"> </w:t>
      </w:r>
      <w:r w:rsidRPr="00173955">
        <w:rPr>
          <w:i/>
          <w:iCs/>
        </w:rPr>
        <w:t>Id.</w:t>
      </w:r>
      <w:r>
        <w:t xml:space="preserve">  Carriers with approved plans to maintain existing service</w:t>
      </w:r>
      <w:r w:rsidRPr="00CA06D6">
        <w:t xml:space="preserve"> </w:t>
      </w:r>
      <w:r>
        <w:t xml:space="preserve">levels are subject to biennial review.  </w:t>
      </w:r>
      <w:r>
        <w:rPr>
          <w:i/>
        </w:rPr>
        <w:t>See Alaska Plan Order</w:t>
      </w:r>
      <w:r>
        <w:t xml:space="preserve">, 31 FCC Rcd at 10158, paras. 61-62.  This midterm review also encompasses the Bureau’s biennial review.  47 CFR </w:t>
      </w:r>
      <w:r w:rsidRPr="003D4F11">
        <w:t>§</w:t>
      </w:r>
      <w:r>
        <w:t xml:space="preserve"> 54.306(b).</w:t>
      </w:r>
    </w:p>
  </w:footnote>
  <w:footnote w:id="7">
    <w:p w:rsidR="00E32D53" w:rsidP="00E32D53" w14:paraId="634B3759" w14:textId="77777777">
      <w:pPr>
        <w:pStyle w:val="FootnoteText"/>
      </w:pPr>
      <w:r>
        <w:rPr>
          <w:rStyle w:val="FootnoteReference"/>
        </w:rPr>
        <w:footnoteRef/>
      </w:r>
      <w:r>
        <w:t xml:space="preserve"> </w:t>
      </w:r>
      <w:r>
        <w:rPr>
          <w:i/>
          <w:iCs/>
        </w:rPr>
        <w:t>Alaska Plan Order</w:t>
      </w:r>
      <w:r>
        <w:t>, 31 FCC Rcd at 10158-59, para. 63.</w:t>
      </w:r>
    </w:p>
  </w:footnote>
  <w:footnote w:id="8">
    <w:p w:rsidR="00E32D53" w:rsidP="00E32D53" w14:paraId="5797397B" w14:textId="2EAE30E3">
      <w:pPr>
        <w:pStyle w:val="FootnoteText"/>
      </w:pPr>
      <w:r>
        <w:rPr>
          <w:rStyle w:val="FootnoteReference"/>
        </w:rPr>
        <w:footnoteRef/>
      </w:r>
      <w:r>
        <w:t xml:space="preserve"> </w:t>
      </w:r>
      <w:r w:rsidRPr="00AB42EA">
        <w:rPr>
          <w:i/>
          <w:iCs/>
        </w:rPr>
        <w:t>Wireline Competition Bureau Announces Performance Obligations for Rate-Of-Return Alaska Plan Recipients After the Midterm Review</w:t>
      </w:r>
      <w:r>
        <w:t xml:space="preserve">, WC Docket Nos. 10-90, 16-271, Public Notice, DA 21-1642 (WCB </w:t>
      </w:r>
      <w:r w:rsidR="00574A6D">
        <w:t xml:space="preserve">Dec. 23, </w:t>
      </w:r>
      <w:r>
        <w:t>2021) (</w:t>
      </w:r>
      <w:r w:rsidRPr="00AF1755">
        <w:rPr>
          <w:i/>
          <w:iCs/>
        </w:rPr>
        <w:t>Midterm Review Public Notice</w:t>
      </w:r>
      <w:r>
        <w:t>).</w:t>
      </w:r>
    </w:p>
  </w:footnote>
  <w:footnote w:id="9">
    <w:p w:rsidR="00E32D53" w:rsidRPr="002C6F22" w:rsidP="00E32D53" w14:paraId="5F850FF4" w14:textId="77777777">
      <w:pPr>
        <w:pStyle w:val="FootnoteText"/>
      </w:pPr>
      <w:r>
        <w:rPr>
          <w:rStyle w:val="FootnoteReference"/>
        </w:rPr>
        <w:footnoteRef/>
      </w:r>
      <w:r>
        <w:t xml:space="preserve"> </w:t>
      </w:r>
      <w:r w:rsidRPr="00AF1755">
        <w:rPr>
          <w:i/>
          <w:iCs/>
        </w:rPr>
        <w:t>See Midterm Review Public Notice</w:t>
      </w:r>
      <w:r>
        <w:rPr>
          <w:i/>
          <w:iCs/>
        </w:rPr>
        <w:t xml:space="preserve"> </w:t>
      </w:r>
      <w:r>
        <w:t>at 3, Appendix A.  The fifth year of support ended on December 31, 2021.</w:t>
      </w:r>
    </w:p>
  </w:footnote>
  <w:footnote w:id="10">
    <w:p w:rsidR="00E32D53" w:rsidP="00E32D53" w14:paraId="0EC1EF8A" w14:textId="77777777">
      <w:pPr>
        <w:pStyle w:val="FootnoteText"/>
      </w:pPr>
      <w:r w:rsidRPr="00995DC6">
        <w:rPr>
          <w:rStyle w:val="FootnoteReference"/>
        </w:rPr>
        <w:footnoteRef/>
      </w:r>
      <w:r w:rsidRPr="00995DC6">
        <w:t xml:space="preserve"> </w:t>
      </w:r>
      <w:r w:rsidRPr="00995DC6">
        <w:rPr>
          <w:iCs/>
        </w:rPr>
        <w:t>Letter from Jeffry H. Smith, VP Public Policy and Advocacy, Vantage Point, Jens Laipenieks, ASTAC CEO to Marlene Dortch, Secretary, Federal Communications Commission</w:t>
      </w:r>
      <w:r w:rsidRPr="00995DC6">
        <w:t xml:space="preserve">, WC Docket No. 16-271 (filed Nov. 18, 2022) (including Attachment ASTAC WCBs Update DC 111522) (ASTAC </w:t>
      </w:r>
      <w:r w:rsidRPr="00995DC6">
        <w:rPr>
          <w:i/>
          <w:iCs/>
        </w:rPr>
        <w:t>Ex Parte</w:t>
      </w:r>
      <w:r w:rsidRPr="00995DC6">
        <w:t xml:space="preserve"> Letter).</w:t>
      </w:r>
    </w:p>
  </w:footnote>
  <w:footnote w:id="11">
    <w:p w:rsidR="00E32D53" w:rsidP="00E32D53" w14:paraId="410F4A30" w14:textId="77777777">
      <w:pPr>
        <w:pStyle w:val="FootnoteText"/>
      </w:pPr>
      <w:r>
        <w:rPr>
          <w:rStyle w:val="FootnoteReference"/>
        </w:rPr>
        <w:footnoteRef/>
      </w:r>
      <w:r>
        <w:t xml:space="preserve"> </w:t>
      </w:r>
      <w:r w:rsidRPr="00995DC6">
        <w:rPr>
          <w:iCs/>
        </w:rPr>
        <w:t>Letter from Jeffry H. Smith, VP Public Policy and Advocacy, to Marlene Dortch, Secretary, Federal Communications Commission</w:t>
      </w:r>
      <w:r w:rsidRPr="00995DC6">
        <w:t xml:space="preserve">, WC Docket No. 16-271 (filed </w:t>
      </w:r>
      <w:r>
        <w:t>Dec. 19</w:t>
      </w:r>
      <w:r w:rsidRPr="00995DC6">
        <w:t>, 2022) (including Attachment ASTAC</w:t>
      </w:r>
      <w:r>
        <w:t xml:space="preserve"> Updates Obligations 121622).</w:t>
      </w:r>
    </w:p>
  </w:footnote>
  <w:footnote w:id="12">
    <w:p w:rsidR="00E32D53" w:rsidP="00E32D53" w14:paraId="029DF11A" w14:textId="77777777">
      <w:pPr>
        <w:pStyle w:val="FootnoteText"/>
      </w:pPr>
      <w:r>
        <w:rPr>
          <w:rStyle w:val="FootnoteReference"/>
        </w:rPr>
        <w:footnoteRef/>
      </w:r>
      <w:r>
        <w:t xml:space="preserve"> </w:t>
      </w:r>
      <w:r w:rsidRPr="006F21C5">
        <w:rPr>
          <w:i/>
          <w:iCs/>
        </w:rPr>
        <w:t>Id</w:t>
      </w:r>
      <w:r>
        <w:t xml:space="preserve">. Other fiber projects are planned for 2023-2025. </w:t>
      </w:r>
      <w:r w:rsidRPr="000F4E3D">
        <w:rPr>
          <w:i/>
          <w:iCs/>
        </w:rPr>
        <w:t>See</w:t>
      </w:r>
      <w:r>
        <w:t xml:space="preserve"> ASTAC </w:t>
      </w:r>
      <w:r w:rsidRPr="005C5414">
        <w:rPr>
          <w:i/>
          <w:iCs/>
        </w:rPr>
        <w:t>Ex Parte</w:t>
      </w:r>
      <w:r>
        <w:t xml:space="preserve"> Letter Attachment.</w:t>
      </w:r>
    </w:p>
  </w:footnote>
  <w:footnote w:id="13">
    <w:p w:rsidR="00E32D53" w:rsidRPr="00BC4B4C" w:rsidP="00E32D53" w14:paraId="003727E0" w14:textId="77777777">
      <w:pPr>
        <w:pStyle w:val="FootnoteText"/>
      </w:pPr>
      <w:r w:rsidRPr="00AB42EA">
        <w:rPr>
          <w:rStyle w:val="FootnoteReference"/>
        </w:rPr>
        <w:footnoteRef/>
      </w:r>
      <w:r w:rsidRPr="00AB42EA">
        <w:t xml:space="preserve"> </w:t>
      </w:r>
      <w:r w:rsidRPr="00CF32CC">
        <w:rPr>
          <w:i/>
          <w:iCs/>
        </w:rPr>
        <w:t>See</w:t>
      </w:r>
      <w:r>
        <w:t xml:space="preserve"> Appendix A.  </w:t>
      </w:r>
      <w:r w:rsidRPr="00AB42EA">
        <w:rPr>
          <w:i/>
          <w:iCs/>
        </w:rPr>
        <w:t>See</w:t>
      </w:r>
      <w:r>
        <w:rPr>
          <w:i/>
          <w:iCs/>
        </w:rPr>
        <w:t xml:space="preserve"> also</w:t>
      </w:r>
      <w:r w:rsidRPr="00AB42EA">
        <w:rPr>
          <w:i/>
          <w:iCs/>
        </w:rPr>
        <w:t xml:space="preserve"> Midterm Review Public Notice </w:t>
      </w:r>
      <w:r w:rsidRPr="00AB42EA">
        <w:t>at 3, Appendix A</w:t>
      </w:r>
      <w:r w:rsidRPr="00AB42EA">
        <w:rPr>
          <w:i/>
        </w:rPr>
        <w:t>.  See also</w:t>
      </w:r>
      <w:r w:rsidRPr="00AB42EA">
        <w:t xml:space="preserve"> </w:t>
      </w:r>
      <w:r w:rsidRPr="00AB42EA">
        <w:rPr>
          <w:i/>
        </w:rPr>
        <w:t>Alaska Plan Wireline Authorization Public Notice</w:t>
      </w:r>
      <w:r w:rsidRPr="00AB42EA">
        <w:t xml:space="preserve">, 31 FCC Rcd at 13354, Appendix B; </w:t>
      </w:r>
      <w:r w:rsidRPr="00AB42EA">
        <w:rPr>
          <w:i/>
          <w:iCs/>
        </w:rPr>
        <w:t>supra</w:t>
      </w:r>
      <w:r w:rsidRPr="00AB42EA">
        <w:t xml:space="preserve"> note 2.</w:t>
      </w:r>
    </w:p>
  </w:footnote>
  <w:footnote w:id="14">
    <w:p w:rsidR="00814545" w:rsidP="00814545" w14:paraId="4405293C" w14:textId="47D31F2E">
      <w:pPr>
        <w:pStyle w:val="FootnoteText"/>
      </w:pPr>
      <w:r>
        <w:rPr>
          <w:rStyle w:val="FootnoteReference"/>
        </w:rPr>
        <w:footnoteRef/>
      </w:r>
      <w:r>
        <w:t xml:space="preserve"> </w:t>
      </w:r>
      <w:r w:rsidRPr="002A21A9">
        <w:rPr>
          <w:i/>
          <w:iCs/>
        </w:rPr>
        <w:t>Wireline Competition Bureau Announces The HUBB Certification Deadline for Deployed Fixed Locations for Alaska Plan Carriers ADAK, ASTAC, and MTA</w:t>
      </w:r>
      <w:r>
        <w:t>, WC Docket Nos. 10-90, 16-271, Public Notice, DA 22-618 (</w:t>
      </w:r>
      <w:r w:rsidR="00574A6D">
        <w:t xml:space="preserve">WCB </w:t>
      </w:r>
      <w:r>
        <w:t xml:space="preserve">June </w:t>
      </w:r>
      <w:r w:rsidR="006311DE">
        <w:t xml:space="preserve">7, </w:t>
      </w:r>
      <w:r>
        <w:t xml:space="preserve">2022); </w:t>
      </w:r>
      <w:r w:rsidRPr="006311DE">
        <w:rPr>
          <w:i/>
          <w:iCs/>
        </w:rPr>
        <w:t>Wireline Competition Bureau Further Extends the HUBB Certification Deadline for Deployed Fixed Locations For Alaska Plan Carriers ADAK, ASTAC, and MTA and Announces New Deadline</w:t>
      </w:r>
      <w:r>
        <w:t>, WC Docket Nos. 10-90, 16-271, Public Notice, DA 22-846 (</w:t>
      </w:r>
      <w:r w:rsidR="006311DE">
        <w:t xml:space="preserve">WCB </w:t>
      </w:r>
      <w:r>
        <w:t xml:space="preserve">Aug. </w:t>
      </w:r>
      <w:r w:rsidR="006311DE">
        <w:t xml:space="preserve">10, </w:t>
      </w:r>
      <w:r>
        <w:t>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ADF8DCA" w14:textId="1C1C9219">
    <w:pPr>
      <w:tabs>
        <w:tab w:val="center" w:pos="4680"/>
        <w:tab w:val="right" w:pos="9360"/>
      </w:tabs>
    </w:pPr>
    <w:r w:rsidRPr="009838BC">
      <w:rPr>
        <w:b/>
      </w:rPr>
      <w:tab/>
      <w:t>Federal Communications Commission</w:t>
    </w:r>
    <w:r w:rsidRPr="009838BC">
      <w:rPr>
        <w:b/>
      </w:rPr>
      <w:tab/>
    </w:r>
    <w:r w:rsidR="00F675D5">
      <w:rPr>
        <w:b/>
      </w:rPr>
      <w:t>DA 23-39</w:t>
    </w:r>
  </w:p>
  <w:p w:rsidR="009838BC" w:rsidRPr="009838BC" w:rsidP="009838BC" w14:paraId="1D4F7539"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0C50C27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0338E2D"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2C6FD65D" w14:textId="77777777">
                <w:pPr>
                  <w:rPr>
                    <w:rFonts w:ascii="Arial" w:hAnsi="Arial"/>
                    <w:b/>
                    <w:snapToGrid/>
                  </w:rPr>
                </w:pPr>
                <w:r>
                  <w:rPr>
                    <w:rFonts w:ascii="Arial" w:hAnsi="Arial"/>
                    <w:b/>
                  </w:rPr>
                  <w:t>Federal Communications Commission</w:t>
                </w:r>
              </w:p>
              <w:p w:rsidR="00DE0AB8" w:rsidP="00DE0AB8" w14:paraId="597F6CF3" w14:textId="77777777">
                <w:pPr>
                  <w:rPr>
                    <w:rFonts w:ascii="Arial" w:hAnsi="Arial"/>
                    <w:b/>
                  </w:rPr>
                </w:pPr>
                <w:r>
                  <w:rPr>
                    <w:rFonts w:ascii="Arial" w:hAnsi="Arial"/>
                    <w:b/>
                  </w:rPr>
                  <w:t>45 L Street NE</w:t>
                </w:r>
              </w:p>
              <w:p w:rsidR="009838BC" w:rsidP="00DE0AB8" w14:paraId="088384D7"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64E22485"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6A60598A" w14:textId="77777777">
                <w:pPr>
                  <w:spacing w:before="40"/>
                  <w:jc w:val="right"/>
                  <w:rPr>
                    <w:rFonts w:ascii="Arial" w:hAnsi="Arial"/>
                    <w:b/>
                    <w:sz w:val="16"/>
                  </w:rPr>
                </w:pPr>
                <w:r>
                  <w:rPr>
                    <w:rFonts w:ascii="Arial" w:hAnsi="Arial"/>
                    <w:b/>
                    <w:sz w:val="16"/>
                  </w:rPr>
                  <w:t>News Media Information 202 / 418-0500</w:t>
                </w:r>
              </w:p>
              <w:p w:rsidR="009838BC" w:rsidP="009838BC" w14:paraId="0D57E8F7"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0090F971" w14:textId="77777777">
                <w:pPr>
                  <w:jc w:val="right"/>
                </w:pPr>
                <w:r>
                  <w:rPr>
                    <w:rFonts w:ascii="Arial" w:hAnsi="Arial"/>
                    <w:b/>
                    <w:sz w:val="16"/>
                  </w:rPr>
                  <w:t>TTY: 1-888-835-5322</w:t>
                </w:r>
              </w:p>
            </w:txbxContent>
          </v:textbox>
        </v:shape>
      </w:pict>
    </w:r>
  </w:p>
  <w:p w:rsidR="006F7393" w:rsidRPr="009838BC" w:rsidP="009838BC" w14:paraId="529FE9C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53"/>
    <w:rsid w:val="000072CE"/>
    <w:rsid w:val="00013A8B"/>
    <w:rsid w:val="00021445"/>
    <w:rsid w:val="00022B9A"/>
    <w:rsid w:val="00026755"/>
    <w:rsid w:val="00036039"/>
    <w:rsid w:val="00037F90"/>
    <w:rsid w:val="000875BF"/>
    <w:rsid w:val="00096D8C"/>
    <w:rsid w:val="000C0B65"/>
    <w:rsid w:val="000E3D42"/>
    <w:rsid w:val="000E5884"/>
    <w:rsid w:val="000F4E3D"/>
    <w:rsid w:val="00122BD5"/>
    <w:rsid w:val="00131133"/>
    <w:rsid w:val="00170233"/>
    <w:rsid w:val="00173955"/>
    <w:rsid w:val="001979D9"/>
    <w:rsid w:val="001D6BCF"/>
    <w:rsid w:val="001E01CA"/>
    <w:rsid w:val="002060D9"/>
    <w:rsid w:val="00226822"/>
    <w:rsid w:val="00260594"/>
    <w:rsid w:val="00285017"/>
    <w:rsid w:val="002A21A9"/>
    <w:rsid w:val="002A2D2E"/>
    <w:rsid w:val="002C6F22"/>
    <w:rsid w:val="00343749"/>
    <w:rsid w:val="00357D50"/>
    <w:rsid w:val="003925DC"/>
    <w:rsid w:val="003B0550"/>
    <w:rsid w:val="003B694F"/>
    <w:rsid w:val="003D4F11"/>
    <w:rsid w:val="003F171C"/>
    <w:rsid w:val="00407B68"/>
    <w:rsid w:val="00412FC5"/>
    <w:rsid w:val="00422276"/>
    <w:rsid w:val="004242F1"/>
    <w:rsid w:val="00424572"/>
    <w:rsid w:val="00445A00"/>
    <w:rsid w:val="00451B0F"/>
    <w:rsid w:val="0046125F"/>
    <w:rsid w:val="004734AE"/>
    <w:rsid w:val="00487524"/>
    <w:rsid w:val="00496106"/>
    <w:rsid w:val="004C12D0"/>
    <w:rsid w:val="004C2EE3"/>
    <w:rsid w:val="004E4A22"/>
    <w:rsid w:val="00511968"/>
    <w:rsid w:val="0055614C"/>
    <w:rsid w:val="00574A6D"/>
    <w:rsid w:val="005C5414"/>
    <w:rsid w:val="00607BA5"/>
    <w:rsid w:val="0062385C"/>
    <w:rsid w:val="00626EB6"/>
    <w:rsid w:val="006311DE"/>
    <w:rsid w:val="006353A3"/>
    <w:rsid w:val="00655D03"/>
    <w:rsid w:val="00683F84"/>
    <w:rsid w:val="006A6A81"/>
    <w:rsid w:val="006E26AF"/>
    <w:rsid w:val="006F21C5"/>
    <w:rsid w:val="006F7393"/>
    <w:rsid w:val="0070224F"/>
    <w:rsid w:val="007115F7"/>
    <w:rsid w:val="007340FA"/>
    <w:rsid w:val="00785689"/>
    <w:rsid w:val="0079754B"/>
    <w:rsid w:val="007A1E6D"/>
    <w:rsid w:val="00814545"/>
    <w:rsid w:val="00822CE0"/>
    <w:rsid w:val="00837C62"/>
    <w:rsid w:val="00841AB1"/>
    <w:rsid w:val="008C22FD"/>
    <w:rsid w:val="00910F12"/>
    <w:rsid w:val="00926503"/>
    <w:rsid w:val="00930ECF"/>
    <w:rsid w:val="009838BC"/>
    <w:rsid w:val="00995DC6"/>
    <w:rsid w:val="00A45F4F"/>
    <w:rsid w:val="00A600A9"/>
    <w:rsid w:val="00A866AC"/>
    <w:rsid w:val="00AA55B7"/>
    <w:rsid w:val="00AA5B9E"/>
    <w:rsid w:val="00AB2407"/>
    <w:rsid w:val="00AB42EA"/>
    <w:rsid w:val="00AB53DF"/>
    <w:rsid w:val="00AF1755"/>
    <w:rsid w:val="00B07E5C"/>
    <w:rsid w:val="00B20363"/>
    <w:rsid w:val="00B326E3"/>
    <w:rsid w:val="00B811F7"/>
    <w:rsid w:val="00BA5DC6"/>
    <w:rsid w:val="00BA6196"/>
    <w:rsid w:val="00BC4B4C"/>
    <w:rsid w:val="00BC6D8C"/>
    <w:rsid w:val="00C16AF2"/>
    <w:rsid w:val="00C34006"/>
    <w:rsid w:val="00C426B1"/>
    <w:rsid w:val="00C760A9"/>
    <w:rsid w:val="00C82B6B"/>
    <w:rsid w:val="00C90D6A"/>
    <w:rsid w:val="00CA06D6"/>
    <w:rsid w:val="00CC72B6"/>
    <w:rsid w:val="00CF32CC"/>
    <w:rsid w:val="00D0218D"/>
    <w:rsid w:val="00D216CD"/>
    <w:rsid w:val="00DA2529"/>
    <w:rsid w:val="00DB130A"/>
    <w:rsid w:val="00DB6772"/>
    <w:rsid w:val="00DC10A1"/>
    <w:rsid w:val="00DC655F"/>
    <w:rsid w:val="00DD7EBD"/>
    <w:rsid w:val="00DE0AB8"/>
    <w:rsid w:val="00DF62B6"/>
    <w:rsid w:val="00E07225"/>
    <w:rsid w:val="00E155B7"/>
    <w:rsid w:val="00E32D53"/>
    <w:rsid w:val="00E5409F"/>
    <w:rsid w:val="00EC0185"/>
    <w:rsid w:val="00EC1282"/>
    <w:rsid w:val="00EC79FE"/>
    <w:rsid w:val="00EF0E7F"/>
    <w:rsid w:val="00F021FA"/>
    <w:rsid w:val="00F57ACA"/>
    <w:rsid w:val="00F62E97"/>
    <w:rsid w:val="00F64209"/>
    <w:rsid w:val="00F675D5"/>
    <w:rsid w:val="00F86E0D"/>
    <w:rsid w:val="00F93BF5"/>
    <w:rsid w:val="00F96F63"/>
    <w:rsid w:val="00FB31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9DA00C4"/>
  <w15:chartTrackingRefBased/>
  <w15:docId w15:val="{A1094D24-B71B-437E-8622-A53C07E0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 Char,Footnote Text Char Char Char Char,Footnote Text Char1,Footnote Text Char1 Char Char,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n Char Char Char,fn Char Char1"/>
    <w:basedOn w:val="DefaultParagraphFont"/>
    <w:link w:val="FootnoteText"/>
    <w:rsid w:val="00E32D53"/>
  </w:style>
  <w:style w:type="table" w:styleId="TableGrid">
    <w:name w:val="Table Grid"/>
    <w:basedOn w:val="TableNormal"/>
    <w:uiPriority w:val="59"/>
    <w:rsid w:val="00814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image" Target="media/image2.png"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ebekah.dougla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