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273E3" w:rsidRPr="00BE70CC" w:rsidP="00B05719" w14:paraId="7F11F4C7" w14:textId="77777777">
      <w:pPr>
        <w:widowControl/>
        <w:jc w:val="center"/>
        <w:rPr>
          <w:b/>
        </w:rPr>
      </w:pPr>
      <w:r w:rsidRPr="00BE70CC">
        <w:rPr>
          <w:b/>
          <w:kern w:val="0"/>
          <w:szCs w:val="22"/>
        </w:rPr>
        <w:t>Before</w:t>
      </w:r>
      <w:r w:rsidRPr="00BE70CC">
        <w:rPr>
          <w:b/>
        </w:rPr>
        <w:t xml:space="preserve"> the</w:t>
      </w:r>
    </w:p>
    <w:p w:rsidR="00E273E3" w:rsidRPr="00BE70CC" w:rsidP="00B05719" w14:paraId="6EE86569"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B05719" w14:paraId="6487555E" w14:textId="45E3F2E8">
      <w:pPr>
        <w:pStyle w:val="StyleBoldCentered"/>
        <w:widowControl/>
        <w:rPr>
          <w:rFonts w:ascii="Times New Roman" w:hAnsi="Times New Roman"/>
        </w:rPr>
      </w:pPr>
      <w:r w:rsidRPr="00BE70CC">
        <w:rPr>
          <w:rFonts w:ascii="Times New Roman" w:hAnsi="Times New Roman"/>
          <w:caps w:val="0"/>
        </w:rPr>
        <w:t>Washington</w:t>
      </w:r>
      <w:r w:rsidR="00BD0B73">
        <w:rPr>
          <w:rFonts w:ascii="Times New Roman" w:hAnsi="Times New Roman"/>
        </w:rPr>
        <w:t>, D</w:t>
      </w:r>
      <w:r w:rsidR="001D2E23">
        <w:rPr>
          <w:rFonts w:ascii="Times New Roman" w:hAnsi="Times New Roman"/>
        </w:rPr>
        <w:t>.</w:t>
      </w:r>
      <w:r w:rsidR="00BD0B73">
        <w:rPr>
          <w:rFonts w:ascii="Times New Roman" w:hAnsi="Times New Roman"/>
        </w:rPr>
        <w:t>C</w:t>
      </w:r>
      <w:r w:rsidR="001D2E23">
        <w:rPr>
          <w:rFonts w:ascii="Times New Roman" w:hAnsi="Times New Roman"/>
        </w:rPr>
        <w:t>.</w:t>
      </w:r>
      <w:r w:rsidRPr="00BE70CC">
        <w:rPr>
          <w:rFonts w:ascii="Times New Roman" w:hAnsi="Times New Roman"/>
        </w:rPr>
        <w:t xml:space="preserve"> 20554</w:t>
      </w:r>
    </w:p>
    <w:p w:rsidR="00E273E3" w:rsidRPr="00BE70CC" w:rsidP="00B05719" w14:paraId="36E2EA77" w14:textId="77777777">
      <w:pPr>
        <w:widowControl/>
      </w:pPr>
    </w:p>
    <w:tbl>
      <w:tblPr>
        <w:tblW w:w="0" w:type="auto"/>
        <w:tblLayout w:type="fixed"/>
        <w:tblLook w:val="0000"/>
      </w:tblPr>
      <w:tblGrid>
        <w:gridCol w:w="4698"/>
        <w:gridCol w:w="630"/>
        <w:gridCol w:w="4248"/>
      </w:tblGrid>
      <w:tr w14:paraId="130714DD" w14:textId="77777777">
        <w:tblPrEx>
          <w:tblW w:w="0" w:type="auto"/>
          <w:tblLayout w:type="fixed"/>
          <w:tblLook w:val="0000"/>
        </w:tblPrEx>
        <w:tc>
          <w:tcPr>
            <w:tcW w:w="4698" w:type="dxa"/>
          </w:tcPr>
          <w:p w:rsidR="00E273E3" w:rsidRPr="00BE70CC" w:rsidP="00B05719" w14:paraId="3A499F9D" w14:textId="77777777">
            <w:pPr>
              <w:widowControl/>
              <w:suppressAutoHyphens/>
              <w:rPr>
                <w:spacing w:val="-2"/>
              </w:rPr>
            </w:pPr>
            <w:r w:rsidRPr="00BE70CC">
              <w:rPr>
                <w:spacing w:val="-2"/>
              </w:rPr>
              <w:t>In the Matter of</w:t>
            </w:r>
          </w:p>
          <w:p w:rsidR="00E273E3" w:rsidRPr="00BE70CC" w:rsidP="00B05719" w14:paraId="357D0F58" w14:textId="77777777">
            <w:pPr>
              <w:widowControl/>
              <w:suppressAutoHyphens/>
              <w:rPr>
                <w:spacing w:val="-2"/>
              </w:rPr>
            </w:pPr>
          </w:p>
          <w:p w:rsidR="00797B4A" w:rsidP="00B05719" w14:paraId="708A668D" w14:textId="151C826F">
            <w:pPr>
              <w:widowControl/>
              <w:suppressAutoHyphens/>
              <w:rPr>
                <w:spacing w:val="-2"/>
              </w:rPr>
            </w:pPr>
            <w:r w:rsidRPr="009813DF">
              <w:rPr>
                <w:spacing w:val="-2"/>
              </w:rPr>
              <w:t>Luis Martinez</w:t>
            </w:r>
          </w:p>
          <w:p w:rsidR="00E273E3" w:rsidRPr="00BE70CC" w:rsidP="00B05719" w14:paraId="19C27D7C" w14:textId="12A0F317">
            <w:pPr>
              <w:widowControl/>
              <w:suppressAutoHyphens/>
              <w:rPr>
                <w:spacing w:val="-2"/>
              </w:rPr>
            </w:pPr>
            <w:r w:rsidRPr="009813DF">
              <w:rPr>
                <w:spacing w:val="-2"/>
              </w:rPr>
              <w:t>York, Pennsylvania</w:t>
            </w:r>
            <w:r w:rsidRPr="00BE70CC" w:rsidR="006C5844">
              <w:rPr>
                <w:spacing w:val="-2"/>
              </w:rPr>
              <w:t xml:space="preserve"> </w:t>
            </w:r>
          </w:p>
        </w:tc>
        <w:tc>
          <w:tcPr>
            <w:tcW w:w="630" w:type="dxa"/>
          </w:tcPr>
          <w:p w:rsidR="00E273E3" w:rsidRPr="00BE70CC" w:rsidP="00B05719" w14:paraId="5554C1B5" w14:textId="77777777">
            <w:pPr>
              <w:widowControl/>
              <w:suppressAutoHyphens/>
              <w:rPr>
                <w:spacing w:val="-2"/>
              </w:rPr>
            </w:pPr>
            <w:r w:rsidRPr="00BE70CC">
              <w:rPr>
                <w:spacing w:val="-2"/>
              </w:rPr>
              <w:t>)</w:t>
            </w:r>
          </w:p>
          <w:p w:rsidR="00E273E3" w:rsidRPr="00BE70CC" w:rsidP="00B05719" w14:paraId="2F98176B" w14:textId="77777777">
            <w:pPr>
              <w:widowControl/>
              <w:suppressAutoHyphens/>
              <w:rPr>
                <w:spacing w:val="-2"/>
              </w:rPr>
            </w:pPr>
            <w:r w:rsidRPr="00BE70CC">
              <w:rPr>
                <w:spacing w:val="-2"/>
              </w:rPr>
              <w:t>)</w:t>
            </w:r>
          </w:p>
          <w:p w:rsidR="00E273E3" w:rsidRPr="00BE70CC" w:rsidP="00B05719" w14:paraId="78C73577" w14:textId="77777777">
            <w:pPr>
              <w:widowControl/>
              <w:suppressAutoHyphens/>
              <w:rPr>
                <w:spacing w:val="-2"/>
              </w:rPr>
            </w:pPr>
            <w:r w:rsidRPr="00BE70CC">
              <w:rPr>
                <w:spacing w:val="-2"/>
              </w:rPr>
              <w:t>)</w:t>
            </w:r>
          </w:p>
          <w:p w:rsidR="00E273E3" w:rsidP="00B05719" w14:paraId="0D5B0F05" w14:textId="29FBDB41">
            <w:pPr>
              <w:widowControl/>
              <w:suppressAutoHyphens/>
              <w:rPr>
                <w:spacing w:val="-2"/>
              </w:rPr>
            </w:pPr>
            <w:r w:rsidRPr="00BE70CC">
              <w:rPr>
                <w:spacing w:val="-2"/>
              </w:rPr>
              <w:t>)</w:t>
            </w:r>
          </w:p>
          <w:p w:rsidR="00C4700E" w:rsidP="00B05719" w14:paraId="3E1703D6" w14:textId="1EDE4878">
            <w:pPr>
              <w:widowControl/>
              <w:suppressAutoHyphens/>
              <w:rPr>
                <w:spacing w:val="-2"/>
              </w:rPr>
            </w:pPr>
            <w:r w:rsidRPr="00BE70CC">
              <w:rPr>
                <w:spacing w:val="-2"/>
              </w:rPr>
              <w:t>)</w:t>
            </w:r>
          </w:p>
          <w:p w:rsidR="00C4700E" w:rsidRPr="00BE70CC" w:rsidP="00B05719" w14:paraId="508EDE30" w14:textId="13EEB2EE">
            <w:pPr>
              <w:widowControl/>
              <w:suppressAutoHyphens/>
              <w:rPr>
                <w:spacing w:val="-2"/>
              </w:rPr>
            </w:pPr>
            <w:r w:rsidRPr="00BE70CC">
              <w:rPr>
                <w:spacing w:val="-2"/>
              </w:rPr>
              <w:t>)</w:t>
            </w:r>
          </w:p>
          <w:p w:rsidR="00E273E3" w:rsidRPr="00BE70CC" w:rsidP="00B05719" w14:paraId="795BDECC" w14:textId="77777777">
            <w:pPr>
              <w:widowControl/>
              <w:suppressAutoHyphens/>
              <w:rPr>
                <w:spacing w:val="-2"/>
              </w:rPr>
            </w:pPr>
          </w:p>
        </w:tc>
        <w:tc>
          <w:tcPr>
            <w:tcW w:w="4248" w:type="dxa"/>
          </w:tcPr>
          <w:p w:rsidR="00E273E3" w:rsidRPr="00BE70CC" w:rsidP="00B05719" w14:paraId="547F29DA" w14:textId="77777777">
            <w:pPr>
              <w:widowControl/>
              <w:suppressAutoHyphens/>
              <w:rPr>
                <w:spacing w:val="-2"/>
              </w:rPr>
            </w:pPr>
          </w:p>
          <w:p w:rsidR="00E273E3" w:rsidRPr="00BE70CC" w:rsidP="00B05719" w14:paraId="2D755FD8" w14:textId="77777777">
            <w:pPr>
              <w:widowControl/>
              <w:suppressAutoHyphens/>
              <w:rPr>
                <w:spacing w:val="-2"/>
              </w:rPr>
            </w:pPr>
          </w:p>
          <w:p w:rsidR="00E273E3" w:rsidRPr="00BE70CC" w:rsidP="00B05719" w14:paraId="0AEABE89" w14:textId="6D4F436B">
            <w:pPr>
              <w:widowControl/>
              <w:suppressAutoHyphens/>
              <w:ind w:left="432"/>
              <w:rPr>
                <w:spacing w:val="-2"/>
              </w:rPr>
            </w:pPr>
            <w:r w:rsidRPr="00BE70CC">
              <w:rPr>
                <w:spacing w:val="-2"/>
              </w:rPr>
              <w:t>File No.:  EB-</w:t>
            </w:r>
            <w:r w:rsidR="00CA1F23">
              <w:rPr>
                <w:spacing w:val="-2"/>
              </w:rPr>
              <w:t>FIELDNER-22-00033</w:t>
            </w:r>
            <w:r w:rsidR="009813DF">
              <w:rPr>
                <w:spacing w:val="-2"/>
              </w:rPr>
              <w:t>924</w:t>
            </w:r>
          </w:p>
          <w:p w:rsidR="00E273E3" w:rsidRPr="00BE70CC" w:rsidP="00B05719" w14:paraId="6A9C31CF" w14:textId="6CD3729D">
            <w:pPr>
              <w:widowControl/>
              <w:suppressAutoHyphens/>
              <w:ind w:left="432"/>
              <w:rPr>
                <w:spacing w:val="-2"/>
              </w:rPr>
            </w:pPr>
          </w:p>
          <w:p w:rsidR="00E273E3" w:rsidRPr="00BE70CC" w:rsidP="00B05719" w14:paraId="052FBA34" w14:textId="77777777">
            <w:pPr>
              <w:widowControl/>
              <w:suppressAutoHyphens/>
              <w:ind w:left="432"/>
              <w:rPr>
                <w:spacing w:val="-2"/>
              </w:rPr>
            </w:pPr>
          </w:p>
        </w:tc>
      </w:tr>
    </w:tbl>
    <w:p w:rsidR="00E273E3" w:rsidRPr="00BE70CC" w:rsidP="00B05719" w14:paraId="11B83010" w14:textId="77777777">
      <w:pPr>
        <w:pStyle w:val="StyleBoldCentered"/>
        <w:widowControl/>
        <w:spacing w:after="220"/>
      </w:pPr>
      <w:r w:rsidRPr="00BE70CC">
        <w:t>CITATION AND ORDER</w:t>
      </w:r>
    </w:p>
    <w:p w:rsidR="005321F0" w:rsidRPr="00BE70CC" w:rsidP="00B05719" w14:paraId="62189E1E" w14:textId="2C1036E6">
      <w:pPr>
        <w:widowControl/>
        <w:spacing w:after="240"/>
        <w:jc w:val="center"/>
        <w:rPr>
          <w:b/>
          <w:szCs w:val="22"/>
        </w:rPr>
      </w:pPr>
      <w:r>
        <w:rPr>
          <w:b/>
          <w:szCs w:val="22"/>
        </w:rPr>
        <w:t>Surveillance Device</w:t>
      </w:r>
      <w:r w:rsidR="0035599F">
        <w:rPr>
          <w:b/>
          <w:szCs w:val="22"/>
        </w:rPr>
        <w:t>s</w:t>
      </w:r>
      <w:r>
        <w:rPr>
          <w:b/>
          <w:szCs w:val="22"/>
        </w:rPr>
        <w:t xml:space="preserve"> </w:t>
      </w:r>
      <w:r w:rsidR="006C5844">
        <w:rPr>
          <w:b/>
          <w:szCs w:val="22"/>
        </w:rPr>
        <w:t xml:space="preserve">Causing </w:t>
      </w:r>
      <w:r w:rsidR="00CC397B">
        <w:rPr>
          <w:b/>
          <w:szCs w:val="22"/>
        </w:rPr>
        <w:t>Harmful Interference</w:t>
      </w:r>
      <w:r w:rsidR="006C5844">
        <w:rPr>
          <w:b/>
          <w:szCs w:val="22"/>
        </w:rPr>
        <w:t xml:space="preserve"> to </w:t>
      </w:r>
      <w:r w:rsidR="004F257E">
        <w:rPr>
          <w:b/>
          <w:szCs w:val="22"/>
        </w:rPr>
        <w:t xml:space="preserve">Fixed Wireless Broadband </w:t>
      </w:r>
      <w:r w:rsidR="006C5844">
        <w:rPr>
          <w:b/>
          <w:szCs w:val="22"/>
        </w:rPr>
        <w:t>Communications</w:t>
      </w:r>
    </w:p>
    <w:p w:rsidR="00E273E3" w:rsidRPr="00BE70CC" w:rsidP="00B05719" w14:paraId="6576C99A" w14:textId="3BABEB62">
      <w:pPr>
        <w:widowControl/>
        <w:tabs>
          <w:tab w:val="right" w:pos="9360"/>
        </w:tabs>
        <w:suppressAutoHyphens/>
        <w:rPr>
          <w:spacing w:val="-2"/>
        </w:rPr>
      </w:pPr>
      <w:r w:rsidRPr="00BE70CC">
        <w:rPr>
          <w:b/>
          <w:spacing w:val="-2"/>
        </w:rPr>
        <w:t xml:space="preserve">Adopted:  </w:t>
      </w:r>
      <w:r w:rsidR="00A13306">
        <w:rPr>
          <w:b/>
          <w:spacing w:val="-2"/>
        </w:rPr>
        <w:t xml:space="preserve">May </w:t>
      </w:r>
      <w:r w:rsidR="00746E1D">
        <w:rPr>
          <w:b/>
          <w:spacing w:val="-2"/>
        </w:rPr>
        <w:t>18</w:t>
      </w:r>
      <w:r w:rsidR="00484C57">
        <w:rPr>
          <w:b/>
          <w:spacing w:val="-2"/>
        </w:rPr>
        <w:t>,</w:t>
      </w:r>
      <w:r w:rsidR="000E05E2">
        <w:rPr>
          <w:b/>
          <w:spacing w:val="-2"/>
        </w:rPr>
        <w:t xml:space="preserve"> 202</w:t>
      </w:r>
      <w:r w:rsidR="00BD4998">
        <w:rPr>
          <w:b/>
          <w:spacing w:val="-2"/>
        </w:rPr>
        <w:t>3</w:t>
      </w:r>
      <w:r w:rsidRPr="00BE70CC" w:rsidR="006D2212">
        <w:rPr>
          <w:b/>
          <w:spacing w:val="-2"/>
        </w:rPr>
        <w:tab/>
        <w:t xml:space="preserve">Released:  </w:t>
      </w:r>
      <w:r w:rsidR="00A13306">
        <w:rPr>
          <w:b/>
          <w:spacing w:val="-2"/>
        </w:rPr>
        <w:t>May</w:t>
      </w:r>
      <w:r w:rsidR="00484C57">
        <w:rPr>
          <w:b/>
          <w:spacing w:val="-2"/>
        </w:rPr>
        <w:t xml:space="preserve"> </w:t>
      </w:r>
      <w:r w:rsidR="00746E1D">
        <w:rPr>
          <w:b/>
          <w:spacing w:val="-2"/>
        </w:rPr>
        <w:t>19</w:t>
      </w:r>
      <w:r w:rsidR="00484C57">
        <w:rPr>
          <w:b/>
          <w:spacing w:val="-2"/>
        </w:rPr>
        <w:t>,</w:t>
      </w:r>
      <w:r w:rsidR="000E05E2">
        <w:rPr>
          <w:b/>
          <w:spacing w:val="-2"/>
        </w:rPr>
        <w:t xml:space="preserve"> 202</w:t>
      </w:r>
      <w:r w:rsidR="00BD4998">
        <w:rPr>
          <w:b/>
          <w:spacing w:val="-2"/>
        </w:rPr>
        <w:t>3</w:t>
      </w:r>
    </w:p>
    <w:p w:rsidR="00E273E3" w:rsidRPr="00BE70CC" w:rsidP="00B05719" w14:paraId="1920F795" w14:textId="77777777">
      <w:pPr>
        <w:widowControl/>
        <w:jc w:val="center"/>
      </w:pPr>
    </w:p>
    <w:p w:rsidR="00E273E3" w:rsidRPr="00BE70CC" w:rsidP="00B05719" w14:paraId="20C6D26B" w14:textId="2F62F42A">
      <w:pPr>
        <w:widowControl/>
        <w:rPr>
          <w:spacing w:val="-2"/>
        </w:rPr>
      </w:pPr>
      <w:r w:rsidRPr="00BE70CC">
        <w:t xml:space="preserve">By the </w:t>
      </w:r>
      <w:r w:rsidR="009B122B">
        <w:t>Regional Director, Region One</w:t>
      </w:r>
      <w:r w:rsidRPr="006D73F2" w:rsidR="00EE36BE">
        <w:rPr>
          <w:spacing w:val="-2"/>
          <w:szCs w:val="22"/>
        </w:rPr>
        <w:t>:</w:t>
      </w:r>
    </w:p>
    <w:p w:rsidR="00E273E3" w:rsidRPr="00BE70CC" w:rsidP="00B05719" w14:paraId="06830AB2" w14:textId="77777777">
      <w:pPr>
        <w:widowControl/>
        <w:rPr>
          <w:spacing w:val="-2"/>
        </w:rPr>
      </w:pPr>
    </w:p>
    <w:p w:rsidR="00E273E3" w:rsidRPr="00BE70CC" w:rsidP="00B05719" w14:paraId="6C3E0E80" w14:textId="77777777">
      <w:pPr>
        <w:pStyle w:val="Heading1"/>
        <w:widowControl/>
      </w:pPr>
      <w:bookmarkStart w:id="0" w:name="_Toc379288998"/>
      <w:bookmarkStart w:id="1" w:name="_Toc379365499"/>
      <w:r w:rsidRPr="00BE70CC">
        <w:t>NOTICE OF CITATION</w:t>
      </w:r>
      <w:bookmarkEnd w:id="0"/>
      <w:bookmarkEnd w:id="1"/>
    </w:p>
    <w:p w:rsidR="00A204BA" w:rsidRPr="00BE70CC" w:rsidP="00B05719" w14:paraId="23BF3B6A" w14:textId="62473079">
      <w:pPr>
        <w:pStyle w:val="ParaNum"/>
        <w:widowControl/>
        <w:tabs>
          <w:tab w:val="clear" w:pos="1080"/>
        </w:tabs>
      </w:pPr>
      <w:r>
        <w:t>T</w:t>
      </w:r>
      <w:r w:rsidRPr="00BE70CC" w:rsidR="00500FF2">
        <w:t xml:space="preserve">his </w:t>
      </w:r>
      <w:r w:rsidRPr="00BE70CC" w:rsidR="00500FF2">
        <w:rPr>
          <w:b/>
        </w:rPr>
        <w:t>CITATION AND ORDER</w:t>
      </w:r>
      <w:r w:rsidRPr="00BE70CC" w:rsidR="00716E89">
        <w:rPr>
          <w:b/>
        </w:rPr>
        <w:t xml:space="preserve"> </w:t>
      </w:r>
      <w:r w:rsidRPr="00BE70CC" w:rsidR="00716E89">
        <w:t>(Citation)</w:t>
      </w:r>
      <w:r>
        <w:t>, notifies</w:t>
      </w:r>
      <w:r w:rsidRPr="00BE70CC" w:rsidR="00500FF2">
        <w:t xml:space="preserve"> </w:t>
      </w:r>
      <w:r w:rsidR="001233E8">
        <w:t>Luis Martinez</w:t>
      </w:r>
      <w:r w:rsidR="009B122B">
        <w:t xml:space="preserve"> (</w:t>
      </w:r>
      <w:r w:rsidR="001233E8">
        <w:t>Martinez</w:t>
      </w:r>
      <w:r w:rsidR="009B122B">
        <w:t xml:space="preserve">) </w:t>
      </w:r>
      <w:r w:rsidRPr="00BE70CC" w:rsidR="00500FF2">
        <w:t xml:space="preserve">that </w:t>
      </w:r>
      <w:r w:rsidR="002E1897">
        <w:t xml:space="preserve">he </w:t>
      </w:r>
      <w:r w:rsidR="00A34FD6">
        <w:t>operated radio</w:t>
      </w:r>
      <w:r w:rsidR="007F7B75">
        <w:t xml:space="preserve"> </w:t>
      </w:r>
      <w:r w:rsidR="00A34FD6">
        <w:t>frequency device</w:t>
      </w:r>
      <w:r w:rsidR="00172DB1">
        <w:t>s</w:t>
      </w:r>
      <w:r w:rsidR="00A34FD6">
        <w:t xml:space="preserve"> </w:t>
      </w:r>
      <w:r w:rsidR="00A4631F">
        <w:t>at</w:t>
      </w:r>
      <w:r w:rsidR="00A34FD6">
        <w:t xml:space="preserve"> his </w:t>
      </w:r>
      <w:r w:rsidR="00FE5476">
        <w:t>residence</w:t>
      </w:r>
      <w:r w:rsidR="00A34FD6">
        <w:t xml:space="preserve"> that caused harmful interference to </w:t>
      </w:r>
      <w:r w:rsidR="004A3F5B">
        <w:t>a Commission licensee</w:t>
      </w:r>
      <w:r w:rsidR="008733F1">
        <w:t xml:space="preserve">.  </w:t>
      </w:r>
      <w:r w:rsidRPr="00BE70CC" w:rsidR="00500FF2">
        <w:t xml:space="preserve">We therefore direct </w:t>
      </w:r>
      <w:r w:rsidR="001233E8">
        <w:t>Martinez</w:t>
      </w:r>
      <w:r w:rsidR="002E1897">
        <w:t xml:space="preserve"> </w:t>
      </w:r>
      <w:r w:rsidR="006B3B78">
        <w:t xml:space="preserve">to </w:t>
      </w:r>
      <w:r w:rsidRPr="00BE70CC" w:rsidR="00500FF2">
        <w:t>immediate</w:t>
      </w:r>
      <w:r w:rsidR="006B3B78">
        <w:t>ly</w:t>
      </w:r>
      <w:r w:rsidRPr="00BE70CC" w:rsidR="00500FF2">
        <w:t xml:space="preserve"> </w:t>
      </w:r>
      <w:r w:rsidRPr="00BE70CC" w:rsidR="008B27C1">
        <w:t>ceas</w:t>
      </w:r>
      <w:r w:rsidRPr="00BE70CC" w:rsidR="00D51005">
        <w:t xml:space="preserve">e and desist from </w:t>
      </w:r>
      <w:r w:rsidR="006B3B78">
        <w:t>using the</w:t>
      </w:r>
      <w:r w:rsidR="00023C98">
        <w:t xml:space="preserve"> </w:t>
      </w:r>
      <w:r w:rsidR="00C02891">
        <w:t xml:space="preserve">devices </w:t>
      </w:r>
      <w:r w:rsidR="0006438A">
        <w:t xml:space="preserve">and to comply with </w:t>
      </w:r>
      <w:r w:rsidR="00281819">
        <w:t xml:space="preserve">Federal Communications Commission (Commission or </w:t>
      </w:r>
      <w:r w:rsidR="0006438A">
        <w:t>FCC</w:t>
      </w:r>
      <w:r w:rsidR="00281819">
        <w:t>)</w:t>
      </w:r>
      <w:r w:rsidR="0006438A">
        <w:t xml:space="preserve"> interference regulations.  </w:t>
      </w:r>
      <w:r w:rsidRPr="00BE70CC" w:rsidR="00500FF2">
        <w:t xml:space="preserve">If </w:t>
      </w:r>
      <w:r w:rsidR="005459B9">
        <w:t>Martinez</w:t>
      </w:r>
      <w:r w:rsidR="00433444">
        <w:t xml:space="preserve"> </w:t>
      </w:r>
      <w:r w:rsidRPr="00BE70CC" w:rsidR="00500FF2">
        <w:t xml:space="preserve">fails to comply with these laws, </w:t>
      </w:r>
      <w:r w:rsidR="00433444">
        <w:t xml:space="preserve">he </w:t>
      </w:r>
      <w:r w:rsidRPr="00BE70CC" w:rsidR="00500FF2">
        <w:t>may be liable for significant fines</w:t>
      </w:r>
      <w:r w:rsidR="00BC462D">
        <w:t xml:space="preserve"> up to $</w:t>
      </w:r>
      <w:r w:rsidR="00B45920">
        <w:rPr>
          <w:rFonts w:ascii="TimesNewRomanPSMT" w:hAnsi="TimesNewRomanPSMT" w:cs="TimesNewRomanPSMT"/>
          <w:kern w:val="0"/>
          <w:szCs w:val="22"/>
        </w:rPr>
        <w:t>23,727</w:t>
      </w:r>
      <w:r w:rsidR="00956EDC">
        <w:rPr>
          <w:rFonts w:ascii="TimesNewRomanPSMT" w:hAnsi="TimesNewRomanPSMT" w:cs="TimesNewRomanPSMT"/>
          <w:kern w:val="0"/>
          <w:szCs w:val="22"/>
        </w:rPr>
        <w:t xml:space="preserve"> </w:t>
      </w:r>
      <w:r w:rsidR="00342115">
        <w:t>per day</w:t>
      </w:r>
      <w:r w:rsidRPr="00BE70CC" w:rsidR="008B27C1">
        <w:t xml:space="preserve">. </w:t>
      </w:r>
    </w:p>
    <w:p w:rsidR="00EF1FDD" w:rsidRPr="00BE70CC" w:rsidP="00B05719" w14:paraId="5C41C403" w14:textId="16CF6CB9">
      <w:pPr>
        <w:pStyle w:val="ParaNum"/>
        <w:widowControl/>
        <w:tabs>
          <w:tab w:val="clear" w:pos="1080"/>
          <w:tab w:val="num" w:pos="1440"/>
        </w:tabs>
      </w:pPr>
      <w:r w:rsidRPr="00BE70CC">
        <w:rPr>
          <w:b/>
          <w:i/>
        </w:rPr>
        <w:t xml:space="preserve">Notice of Duty to Comply with </w:t>
      </w:r>
      <w:r w:rsidRPr="00BE70CC" w:rsidR="00F6754D">
        <w:rPr>
          <w:b/>
          <w:i/>
        </w:rPr>
        <w:t>the Law</w:t>
      </w:r>
      <w:r w:rsidRPr="00BE70CC">
        <w:t xml:space="preserve">:  </w:t>
      </w:r>
      <w:r w:rsidRPr="00BE70CC" w:rsidR="00716E89">
        <w:t xml:space="preserve">We issue this Citation pursuant to </w:t>
      </w:r>
      <w:r w:rsidR="002141E6">
        <w:t>s</w:t>
      </w:r>
      <w:r w:rsidRPr="00BE70CC" w:rsidR="00716E89">
        <w:t xml:space="preserve">ection 503(b)(5) of the Communications Act of 1934, as amended (Act), which </w:t>
      </w:r>
      <w:r w:rsidRPr="00BE70CC" w:rsidR="00727F4F">
        <w:t xml:space="preserve">states that the Commission may not impose </w:t>
      </w:r>
      <w:r w:rsidRPr="00BE70CC" w:rsidR="00716E89">
        <w:t>monetary forfeitures against non-</w:t>
      </w:r>
      <w:r w:rsidRPr="00BE70CC" w:rsidR="00716E89">
        <w:t>regulatees</w:t>
      </w:r>
      <w:r w:rsidRPr="00BE70CC" w:rsidR="00716E89">
        <w:t xml:space="preserve"> who violate Commission rules or the Act</w:t>
      </w:r>
      <w:r w:rsidRPr="00BE70CC" w:rsidR="00727F4F">
        <w:t xml:space="preserve"> </w:t>
      </w:r>
      <w:r w:rsidRPr="00BE70CC" w:rsidR="00C42D39">
        <w:t>unless and until</w:t>
      </w:r>
      <w:r w:rsidRPr="00BE70CC" w:rsidR="00BF39AF">
        <w:t xml:space="preserve">: </w:t>
      </w:r>
      <w:r w:rsidRPr="00BE70CC" w:rsidR="00716E89">
        <w:t xml:space="preserve"> (a)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3"/>
      </w:r>
      <w:r w:rsidRPr="00BE70CC" w:rsidR="00716E89">
        <w:t xml:space="preserve">  </w:t>
      </w:r>
      <w:r w:rsidRPr="00BE70CC" w:rsidR="006E6234">
        <w:t xml:space="preserve">Accordingly, </w:t>
      </w:r>
      <w:r w:rsidR="001246CF">
        <w:t>Martinez</w:t>
      </w:r>
      <w:r w:rsidR="00D676F0">
        <w:t xml:space="preserve"> </w:t>
      </w:r>
      <w:r w:rsidRPr="00BE70CC" w:rsidR="00BF790E">
        <w:rPr>
          <w:kern w:val="2"/>
        </w:rPr>
        <w:t xml:space="preserve">is hereby on notice that </w:t>
      </w:r>
      <w:r w:rsidR="00EC7760">
        <w:rPr>
          <w:kern w:val="2"/>
        </w:rPr>
        <w:t>he</w:t>
      </w:r>
      <w:r w:rsidRPr="00BE70CC" w:rsidR="00BF790E">
        <w:rPr>
          <w:kern w:val="2"/>
        </w:rPr>
        <w:t xml:space="preserve"> must comply with </w:t>
      </w:r>
      <w:r w:rsidR="002141E6">
        <w:rPr>
          <w:kern w:val="2"/>
        </w:rPr>
        <w:t>s</w:t>
      </w:r>
      <w:r w:rsidRPr="00BE70CC" w:rsidR="0027183B">
        <w:rPr>
          <w:kern w:val="2"/>
        </w:rPr>
        <w:t>ection</w:t>
      </w:r>
      <w:r w:rsidR="007335C5">
        <w:rPr>
          <w:kern w:val="2"/>
        </w:rPr>
        <w:t xml:space="preserve">s </w:t>
      </w:r>
      <w:r w:rsidR="00D30E4B">
        <w:rPr>
          <w:kern w:val="2"/>
        </w:rPr>
        <w:t>301 and 333</w:t>
      </w:r>
      <w:r w:rsidR="00066ECE">
        <w:rPr>
          <w:kern w:val="2"/>
        </w:rPr>
        <w:t xml:space="preserve"> </w:t>
      </w:r>
      <w:r w:rsidRPr="00BE70CC" w:rsidR="0027183B">
        <w:rPr>
          <w:color w:val="000000"/>
          <w:kern w:val="2"/>
        </w:rPr>
        <w:t>of the Act</w:t>
      </w:r>
      <w:r>
        <w:rPr>
          <w:rStyle w:val="FootnoteReference"/>
          <w:kern w:val="2"/>
        </w:rPr>
        <w:footnoteReference w:id="4"/>
      </w:r>
      <w:r w:rsidR="00FA1E28">
        <w:rPr>
          <w:color w:val="000000"/>
          <w:kern w:val="2"/>
        </w:rPr>
        <w:t xml:space="preserve"> and sections 15</w:t>
      </w:r>
      <w:r w:rsidR="00E63908">
        <w:rPr>
          <w:color w:val="000000"/>
          <w:kern w:val="2"/>
        </w:rPr>
        <w:t>.5</w:t>
      </w:r>
      <w:r w:rsidR="00CF1DDB">
        <w:rPr>
          <w:color w:val="000000"/>
          <w:kern w:val="2"/>
        </w:rPr>
        <w:t>(b) and 15</w:t>
      </w:r>
      <w:r w:rsidR="00E63908">
        <w:rPr>
          <w:color w:val="000000"/>
          <w:kern w:val="2"/>
        </w:rPr>
        <w:t>.5</w:t>
      </w:r>
      <w:r w:rsidR="00CF1DDB">
        <w:rPr>
          <w:color w:val="000000"/>
          <w:kern w:val="2"/>
        </w:rPr>
        <w:t>(c) of the Commission’s rules.</w:t>
      </w:r>
      <w:r>
        <w:rPr>
          <w:rStyle w:val="FootnoteReference"/>
          <w:kern w:val="2"/>
        </w:rPr>
        <w:footnoteReference w:id="5"/>
      </w:r>
      <w:r w:rsidR="00CF1DDB">
        <w:rPr>
          <w:color w:val="000000"/>
          <w:kern w:val="2"/>
        </w:rPr>
        <w:t xml:space="preserve"> </w:t>
      </w:r>
      <w:r w:rsidRPr="00BE70CC" w:rsidR="00BF790E">
        <w:rPr>
          <w:color w:val="000000"/>
          <w:kern w:val="2"/>
        </w:rPr>
        <w:t xml:space="preserve"> I</w:t>
      </w:r>
      <w:r w:rsidRPr="00BE70CC" w:rsidR="00BF790E">
        <w:t xml:space="preserve">f </w:t>
      </w:r>
      <w:r w:rsidR="001246CF">
        <w:t>Martinez</w:t>
      </w:r>
      <w:r w:rsidR="00D676F0">
        <w:t xml:space="preserve"> </w:t>
      </w:r>
      <w:r w:rsidRPr="00BE70CC" w:rsidR="00BF790E">
        <w:rPr>
          <w:kern w:val="2"/>
        </w:rPr>
        <w:t xml:space="preserve">subsequently engages in any conduct </w:t>
      </w:r>
      <w:r w:rsidR="001246CF">
        <w:rPr>
          <w:kern w:val="2"/>
        </w:rPr>
        <w:t xml:space="preserve">described in this </w:t>
      </w:r>
      <w:r w:rsidRPr="00BE70CC" w:rsidR="00C42D39">
        <w:rPr>
          <w:kern w:val="2"/>
        </w:rPr>
        <w:t>Citation</w:t>
      </w:r>
      <w:r w:rsidRPr="00BE70CC" w:rsidR="00BF790E">
        <w:rPr>
          <w:kern w:val="2"/>
        </w:rPr>
        <w:t xml:space="preserve"> —</w:t>
      </w:r>
      <w:r w:rsidRPr="00BE70CC" w:rsidR="00C42D39">
        <w:rPr>
          <w:kern w:val="2"/>
        </w:rPr>
        <w:t xml:space="preserve"> </w:t>
      </w:r>
      <w:r w:rsidR="002A708E">
        <w:rPr>
          <w:kern w:val="2"/>
        </w:rPr>
        <w:t>including</w:t>
      </w:r>
      <w:r w:rsidRPr="00BE70CC" w:rsidR="002A708E">
        <w:rPr>
          <w:kern w:val="2"/>
        </w:rPr>
        <w:t xml:space="preserve"> </w:t>
      </w:r>
      <w:r w:rsidRPr="00BE70CC" w:rsidR="00BF790E">
        <w:rPr>
          <w:kern w:val="2"/>
        </w:rPr>
        <w:t xml:space="preserve">specifically any violation of </w:t>
      </w:r>
      <w:r w:rsidR="00F2087E">
        <w:rPr>
          <w:kern w:val="2"/>
        </w:rPr>
        <w:t>section</w:t>
      </w:r>
      <w:r w:rsidR="000B4B1D">
        <w:rPr>
          <w:kern w:val="2"/>
        </w:rPr>
        <w:t>s</w:t>
      </w:r>
      <w:r w:rsidR="00F2087E">
        <w:rPr>
          <w:kern w:val="2"/>
        </w:rPr>
        <w:t xml:space="preserve"> 301</w:t>
      </w:r>
      <w:r w:rsidR="000B4B1D">
        <w:rPr>
          <w:kern w:val="2"/>
        </w:rPr>
        <w:t xml:space="preserve"> and 333</w:t>
      </w:r>
      <w:r w:rsidR="00F2087E">
        <w:rPr>
          <w:kern w:val="2"/>
        </w:rPr>
        <w:t xml:space="preserve"> of the Act </w:t>
      </w:r>
      <w:r w:rsidR="00EC7760">
        <w:rPr>
          <w:kern w:val="2"/>
        </w:rPr>
        <w:t>or</w:t>
      </w:r>
      <w:r w:rsidR="00F2087E">
        <w:rPr>
          <w:kern w:val="2"/>
        </w:rPr>
        <w:t xml:space="preserve"> sections 15</w:t>
      </w:r>
      <w:r w:rsidR="00E63908">
        <w:rPr>
          <w:kern w:val="2"/>
        </w:rPr>
        <w:t>.5</w:t>
      </w:r>
      <w:r w:rsidR="00F2087E">
        <w:rPr>
          <w:kern w:val="2"/>
        </w:rPr>
        <w:t xml:space="preserve">(b) </w:t>
      </w:r>
      <w:r w:rsidR="00EC7760">
        <w:rPr>
          <w:kern w:val="2"/>
        </w:rPr>
        <w:t>or</w:t>
      </w:r>
      <w:r w:rsidR="00F2087E">
        <w:rPr>
          <w:kern w:val="2"/>
        </w:rPr>
        <w:t xml:space="preserve"> 15</w:t>
      </w:r>
      <w:r w:rsidR="00E63908">
        <w:rPr>
          <w:kern w:val="2"/>
        </w:rPr>
        <w:t>.5</w:t>
      </w:r>
      <w:r w:rsidR="00F2087E">
        <w:rPr>
          <w:kern w:val="2"/>
        </w:rPr>
        <w:t xml:space="preserve">(c) of the Commission’s rules </w:t>
      </w:r>
      <w:r w:rsidRPr="00BE70CC" w:rsidR="00BF790E">
        <w:t>—</w:t>
      </w:r>
      <w:r w:rsidRPr="00BE70CC" w:rsidR="00C42D39">
        <w:t xml:space="preserve"> </w:t>
      </w:r>
      <w:r w:rsidR="00225A8D">
        <w:t>he</w:t>
      </w:r>
      <w:r w:rsidR="00E63908">
        <w:t xml:space="preserve"> </w:t>
      </w:r>
      <w:r w:rsidRPr="00BE70CC" w:rsidR="00BF790E">
        <w:rPr>
          <w:kern w:val="2"/>
        </w:rPr>
        <w:t xml:space="preserve">may be subject to civil penalties, including but not limited to, substantial monetary forfeitures.  In assessing such forfeitures, the Commission may consider both the conduct that led to this Citation and the conduct following </w:t>
      </w:r>
      <w:r w:rsidR="00863E45">
        <w:rPr>
          <w:kern w:val="2"/>
        </w:rPr>
        <w:t>the Citation</w:t>
      </w:r>
      <w:r w:rsidRPr="00BE70CC" w:rsidR="00BF790E">
        <w:rPr>
          <w:kern w:val="2"/>
        </w:rPr>
        <w:t>.</w:t>
      </w:r>
      <w:r>
        <w:rPr>
          <w:kern w:val="2"/>
          <w:vertAlign w:val="superscript"/>
        </w:rPr>
        <w:footnoteReference w:id="6"/>
      </w:r>
      <w:r w:rsidR="001246CF">
        <w:rPr>
          <w:kern w:val="2"/>
        </w:rPr>
        <w:t xml:space="preserve">  Martinez should take immediate steps to come into compliance with the Commission’s rules, including eliminating the interference.</w:t>
      </w:r>
    </w:p>
    <w:p w:rsidR="008B27C1" w:rsidRPr="00BE70CC" w:rsidP="00B05719" w14:paraId="23E2E245" w14:textId="41C975BB">
      <w:pPr>
        <w:pStyle w:val="ParaNum"/>
        <w:widowControl/>
        <w:tabs>
          <w:tab w:val="clear" w:pos="1080"/>
          <w:tab w:val="num" w:pos="1440"/>
        </w:tabs>
      </w:pPr>
      <w:r w:rsidRPr="00BE70CC">
        <w:rPr>
          <w:b/>
          <w:i/>
        </w:rPr>
        <w:t xml:space="preserve">Notice of Duty to </w:t>
      </w:r>
      <w:r>
        <w:rPr>
          <w:b/>
          <w:i/>
        </w:rPr>
        <w:t>Provide Information</w:t>
      </w:r>
      <w:r w:rsidRPr="00BE70CC">
        <w:t>:</w:t>
      </w:r>
      <w:r>
        <w:t xml:space="preserve">  </w:t>
      </w:r>
      <w:r w:rsidRPr="00BE70CC" w:rsidR="006C5844">
        <w:rPr>
          <w:szCs w:val="22"/>
        </w:rPr>
        <w:t xml:space="preserve">Pursuant to </w:t>
      </w:r>
      <w:r w:rsidR="002141E6">
        <w:rPr>
          <w:szCs w:val="22"/>
        </w:rPr>
        <w:t>s</w:t>
      </w:r>
      <w:r w:rsidRPr="00BE70CC" w:rsidR="006C5844">
        <w:rPr>
          <w:szCs w:val="22"/>
        </w:rPr>
        <w:t>ections 4(i), 4(j), and 403 of the Act</w:t>
      </w:r>
      <w:r w:rsidR="00EE36BE">
        <w:rPr>
          <w:szCs w:val="22"/>
        </w:rPr>
        <w:t>,</w:t>
      </w:r>
      <w:r>
        <w:rPr>
          <w:rStyle w:val="FootnoteReference"/>
          <w:szCs w:val="22"/>
        </w:rPr>
        <w:footnoteReference w:id="7"/>
      </w:r>
      <w:r w:rsidRPr="00BE70CC" w:rsidR="006C5844">
        <w:rPr>
          <w:kern w:val="0"/>
        </w:rPr>
        <w:t xml:space="preserve"> </w:t>
      </w:r>
      <w:r w:rsidRPr="00BE70CC" w:rsidR="00F6754D">
        <w:t xml:space="preserve">we direct </w:t>
      </w:r>
      <w:r>
        <w:t>Martinez</w:t>
      </w:r>
      <w:r w:rsidR="00BD67D4">
        <w:t xml:space="preserve"> </w:t>
      </w:r>
      <w:r w:rsidRPr="00BE70CC" w:rsidR="00F6754D">
        <w:t>to res</w:t>
      </w:r>
      <w:r w:rsidRPr="00BE70CC" w:rsidR="00A83EFC">
        <w:t xml:space="preserve">pond in writing, within </w:t>
      </w:r>
      <w:r w:rsidR="00863E45">
        <w:t>thirty (</w:t>
      </w:r>
      <w:r w:rsidRPr="00BE70CC" w:rsidR="00F6754D">
        <w:t>30</w:t>
      </w:r>
      <w:r w:rsidR="00863E45">
        <w:t>)</w:t>
      </w:r>
      <w:r w:rsidRPr="00BE70CC" w:rsidR="00F6754D">
        <w:t xml:space="preserve"> calendar days after the release date of this Citation, </w:t>
      </w:r>
      <w:r w:rsidRPr="00BE70CC" w:rsidR="00122BB3">
        <w:t>to</w:t>
      </w:r>
      <w:r w:rsidRPr="00BE70CC" w:rsidR="00BF790E">
        <w:t xml:space="preserve"> the questions</w:t>
      </w:r>
      <w:r w:rsidRPr="00BE70CC" w:rsidR="00A83EFC">
        <w:t xml:space="preserve"> and requests for documents</w:t>
      </w:r>
      <w:r w:rsidRPr="00BE70CC" w:rsidR="00BF790E">
        <w:t xml:space="preserve"> set out in </w:t>
      </w:r>
      <w:r>
        <w:t>Section IV of this Citation</w:t>
      </w:r>
      <w:r w:rsidRPr="00BE70CC" w:rsidR="00EF7A32">
        <w:t>.</w:t>
      </w:r>
    </w:p>
    <w:p w:rsidR="00E273E3" w:rsidRPr="00BE70CC" w:rsidP="00B05719" w14:paraId="520F37DF" w14:textId="77777777">
      <w:pPr>
        <w:pStyle w:val="Heading1"/>
        <w:widowControl/>
      </w:pPr>
      <w:bookmarkStart w:id="2" w:name="_Toc379288999"/>
      <w:bookmarkStart w:id="3" w:name="_Toc379365500"/>
      <w:r w:rsidRPr="00BE70CC">
        <w:t>BACKGROUND</w:t>
      </w:r>
      <w:bookmarkEnd w:id="2"/>
      <w:bookmarkEnd w:id="3"/>
      <w:r w:rsidRPr="00BE70CC" w:rsidR="00A8604A">
        <w:t xml:space="preserve"> </w:t>
      </w:r>
    </w:p>
    <w:p w:rsidR="00B67009" w:rsidP="00B05719" w14:paraId="581C61A7" w14:textId="1231FB8A">
      <w:pPr>
        <w:pStyle w:val="ParaNum"/>
        <w:widowControl/>
        <w:numPr>
          <w:ilvl w:val="0"/>
          <w:numId w:val="1"/>
        </w:numPr>
        <w:tabs>
          <w:tab w:val="clear" w:pos="1080"/>
          <w:tab w:val="num" w:pos="1440"/>
        </w:tabs>
        <w:rPr>
          <w:szCs w:val="22"/>
        </w:rPr>
      </w:pPr>
      <w:bookmarkStart w:id="4" w:name="_Ref132190746"/>
      <w:r>
        <w:t xml:space="preserve">The Commission is charged with protecting licensed radio operations from harmful interference.  </w:t>
      </w:r>
      <w:r w:rsidRPr="00AD0161">
        <w:rPr>
          <w:szCs w:val="22"/>
        </w:rPr>
        <w:t>Harmful</w:t>
      </w:r>
      <w:r>
        <w:t xml:space="preserve"> interference to wireless providers, such as </w:t>
      </w:r>
      <w:r>
        <w:rPr>
          <w:szCs w:val="22"/>
        </w:rPr>
        <w:t xml:space="preserve">T-Mobile USA, Inc. </w:t>
      </w:r>
      <w:r>
        <w:t xml:space="preserve">(T-Mobile), </w:t>
      </w:r>
      <w:r w:rsidRPr="00411B66">
        <w:rPr>
          <w:szCs w:val="22"/>
        </w:rPr>
        <w:t>is</w:t>
      </w:r>
      <w:r>
        <w:rPr>
          <w:szCs w:val="22"/>
        </w:rPr>
        <w:t xml:space="preserve"> </w:t>
      </w:r>
      <w:r w:rsidRPr="000F0CFF">
        <w:rPr>
          <w:szCs w:val="22"/>
        </w:rPr>
        <w:t>particularly problematic in that it can interfere with 911 service</w:t>
      </w:r>
      <w:r w:rsidR="00D26298">
        <w:rPr>
          <w:szCs w:val="22"/>
        </w:rPr>
        <w:t xml:space="preserve"> and undermines the Commission’s ability </w:t>
      </w:r>
      <w:r w:rsidRPr="00D26298" w:rsidR="00D26298">
        <w:rPr>
          <w:szCs w:val="22"/>
        </w:rPr>
        <w:t>to manage the nation's radio spectrum</w:t>
      </w:r>
      <w:r>
        <w:rPr>
          <w:szCs w:val="22"/>
        </w:rPr>
        <w:t xml:space="preserve">.  </w:t>
      </w:r>
      <w:r w:rsidR="00FE64B7">
        <w:rPr>
          <w:szCs w:val="22"/>
        </w:rPr>
        <w:t xml:space="preserve">On </w:t>
      </w:r>
      <w:r w:rsidR="003C0EAA">
        <w:rPr>
          <w:szCs w:val="22"/>
        </w:rPr>
        <w:t>May 25</w:t>
      </w:r>
      <w:r w:rsidR="006C5844">
        <w:rPr>
          <w:szCs w:val="22"/>
        </w:rPr>
        <w:t>, 202</w:t>
      </w:r>
      <w:r w:rsidR="003C0EAA">
        <w:rPr>
          <w:szCs w:val="22"/>
        </w:rPr>
        <w:t>2</w:t>
      </w:r>
      <w:r w:rsidR="006C5844">
        <w:rPr>
          <w:szCs w:val="22"/>
        </w:rPr>
        <w:t xml:space="preserve">, </w:t>
      </w:r>
      <w:r w:rsidR="00345B93">
        <w:rPr>
          <w:szCs w:val="22"/>
        </w:rPr>
        <w:t xml:space="preserve">T-Mobile </w:t>
      </w:r>
      <w:r w:rsidR="006C5844">
        <w:rPr>
          <w:szCs w:val="22"/>
        </w:rPr>
        <w:t xml:space="preserve">filed a complaint with the Commission </w:t>
      </w:r>
      <w:r w:rsidR="003D1CD4">
        <w:rPr>
          <w:szCs w:val="22"/>
        </w:rPr>
        <w:t xml:space="preserve">concerning interference to its cellular communication system operating in the </w:t>
      </w:r>
      <w:r w:rsidR="00CE2E83">
        <w:rPr>
          <w:szCs w:val="22"/>
        </w:rPr>
        <w:t>2500</w:t>
      </w:r>
      <w:r w:rsidR="003D1CD4">
        <w:rPr>
          <w:szCs w:val="22"/>
        </w:rPr>
        <w:t xml:space="preserve"> MHz band.  </w:t>
      </w:r>
      <w:r w:rsidR="003C0EAA">
        <w:rPr>
          <w:szCs w:val="22"/>
        </w:rPr>
        <w:t>T-Mobile</w:t>
      </w:r>
      <w:r w:rsidR="00962054">
        <w:rPr>
          <w:szCs w:val="22"/>
        </w:rPr>
        <w:t xml:space="preserve"> noted that the interference appeared to </w:t>
      </w:r>
      <w:r w:rsidR="003174BD">
        <w:rPr>
          <w:szCs w:val="22"/>
        </w:rPr>
        <w:t xml:space="preserve">be emanating from </w:t>
      </w:r>
      <w:r w:rsidR="007930C0">
        <w:rPr>
          <w:szCs w:val="22"/>
        </w:rPr>
        <w:t xml:space="preserve">a </w:t>
      </w:r>
      <w:r w:rsidR="00C86754">
        <w:rPr>
          <w:szCs w:val="22"/>
        </w:rPr>
        <w:t>surveillance camera</w:t>
      </w:r>
      <w:r w:rsidR="007930C0">
        <w:rPr>
          <w:szCs w:val="22"/>
        </w:rPr>
        <w:t xml:space="preserve"> system</w:t>
      </w:r>
      <w:r w:rsidR="00C86754">
        <w:rPr>
          <w:szCs w:val="22"/>
        </w:rPr>
        <w:t xml:space="preserve"> located at a </w:t>
      </w:r>
      <w:r w:rsidR="00B67669">
        <w:rPr>
          <w:szCs w:val="22"/>
        </w:rPr>
        <w:t>single-family home</w:t>
      </w:r>
      <w:r w:rsidR="003174BD">
        <w:rPr>
          <w:szCs w:val="22"/>
        </w:rPr>
        <w:t xml:space="preserve"> </w:t>
      </w:r>
      <w:r w:rsidR="006D3254">
        <w:rPr>
          <w:szCs w:val="22"/>
        </w:rPr>
        <w:t xml:space="preserve">in </w:t>
      </w:r>
      <w:r w:rsidR="003174BD">
        <w:rPr>
          <w:szCs w:val="22"/>
        </w:rPr>
        <w:t>York</w:t>
      </w:r>
      <w:r w:rsidR="006D3254">
        <w:rPr>
          <w:szCs w:val="22"/>
        </w:rPr>
        <w:t xml:space="preserve">, </w:t>
      </w:r>
      <w:r w:rsidR="00E610E4">
        <w:rPr>
          <w:szCs w:val="22"/>
        </w:rPr>
        <w:t>Pennsylvania</w:t>
      </w:r>
      <w:r w:rsidR="00281819">
        <w:rPr>
          <w:szCs w:val="22"/>
        </w:rPr>
        <w:t xml:space="preserve"> (Martinez Residence)</w:t>
      </w:r>
      <w:r w:rsidR="006D3254">
        <w:rPr>
          <w:szCs w:val="22"/>
        </w:rPr>
        <w:t xml:space="preserve">.  </w:t>
      </w:r>
      <w:r w:rsidR="00E610E4">
        <w:rPr>
          <w:szCs w:val="22"/>
        </w:rPr>
        <w:t>T-Mobile</w:t>
      </w:r>
      <w:r w:rsidR="00333F90">
        <w:rPr>
          <w:szCs w:val="22"/>
        </w:rPr>
        <w:t xml:space="preserve"> contacted the FCC </w:t>
      </w:r>
      <w:r w:rsidR="00981439">
        <w:rPr>
          <w:szCs w:val="22"/>
        </w:rPr>
        <w:t xml:space="preserve">to notify it that </w:t>
      </w:r>
      <w:r w:rsidR="001B0A57">
        <w:rPr>
          <w:szCs w:val="22"/>
        </w:rPr>
        <w:t xml:space="preserve">the residents of that building failed to take </w:t>
      </w:r>
      <w:r w:rsidR="00333F90">
        <w:rPr>
          <w:szCs w:val="22"/>
        </w:rPr>
        <w:t xml:space="preserve">corrective action after </w:t>
      </w:r>
      <w:r w:rsidR="00C86754">
        <w:rPr>
          <w:szCs w:val="22"/>
        </w:rPr>
        <w:t xml:space="preserve">being </w:t>
      </w:r>
      <w:r w:rsidR="00E610E4">
        <w:rPr>
          <w:szCs w:val="22"/>
        </w:rPr>
        <w:t>previously</w:t>
      </w:r>
      <w:r w:rsidR="00333F90">
        <w:rPr>
          <w:szCs w:val="22"/>
        </w:rPr>
        <w:t xml:space="preserve"> </w:t>
      </w:r>
      <w:r w:rsidR="00E610E4">
        <w:rPr>
          <w:szCs w:val="22"/>
        </w:rPr>
        <w:t>contacted by T-Mobile</w:t>
      </w:r>
      <w:r w:rsidR="00333F90">
        <w:rPr>
          <w:szCs w:val="22"/>
        </w:rPr>
        <w:t xml:space="preserve">.  </w:t>
      </w:r>
      <w:r w:rsidR="00E610E4">
        <w:rPr>
          <w:szCs w:val="22"/>
        </w:rPr>
        <w:t>T-Mobile</w:t>
      </w:r>
      <w:r w:rsidR="00333F90">
        <w:rPr>
          <w:szCs w:val="22"/>
        </w:rPr>
        <w:t xml:space="preserve"> uses the </w:t>
      </w:r>
      <w:r w:rsidR="00E610E4">
        <w:rPr>
          <w:szCs w:val="22"/>
        </w:rPr>
        <w:t>2500</w:t>
      </w:r>
      <w:r w:rsidR="00333F90">
        <w:rPr>
          <w:szCs w:val="22"/>
        </w:rPr>
        <w:t xml:space="preserve"> MHz band to provide </w:t>
      </w:r>
      <w:r w:rsidR="0076199B">
        <w:rPr>
          <w:szCs w:val="22"/>
        </w:rPr>
        <w:t xml:space="preserve">wireless </w:t>
      </w:r>
      <w:r w:rsidR="00333F90">
        <w:rPr>
          <w:szCs w:val="22"/>
        </w:rPr>
        <w:t>service to business and residential customer</w:t>
      </w:r>
      <w:r w:rsidR="00A77092">
        <w:rPr>
          <w:szCs w:val="22"/>
        </w:rPr>
        <w:t>s.</w:t>
      </w:r>
      <w:bookmarkEnd w:id="4"/>
      <w:r w:rsidR="00A77092">
        <w:rPr>
          <w:szCs w:val="22"/>
        </w:rPr>
        <w:t xml:space="preserve">  </w:t>
      </w:r>
    </w:p>
    <w:p w:rsidR="00713F25" w:rsidP="00B05719" w14:paraId="0123D533" w14:textId="21BBF1A5">
      <w:pPr>
        <w:pStyle w:val="ParaNum"/>
        <w:widowControl/>
        <w:numPr>
          <w:ilvl w:val="0"/>
          <w:numId w:val="1"/>
        </w:numPr>
        <w:tabs>
          <w:tab w:val="clear" w:pos="1080"/>
          <w:tab w:val="num" w:pos="1440"/>
        </w:tabs>
        <w:rPr>
          <w:szCs w:val="22"/>
        </w:rPr>
      </w:pPr>
      <w:r w:rsidRPr="002E5D9A">
        <w:rPr>
          <w:szCs w:val="22"/>
        </w:rPr>
        <w:t>On June 8, 2022, agents from the</w:t>
      </w:r>
      <w:r w:rsidR="00281819">
        <w:rPr>
          <w:szCs w:val="22"/>
        </w:rPr>
        <w:t xml:space="preserve"> Enforcement</w:t>
      </w:r>
      <w:r w:rsidRPr="002E5D9A">
        <w:rPr>
          <w:szCs w:val="22"/>
        </w:rPr>
        <w:t xml:space="preserve"> Bureau’s Columbia</w:t>
      </w:r>
      <w:r w:rsidR="00042407">
        <w:rPr>
          <w:szCs w:val="22"/>
        </w:rPr>
        <w:t>, MD</w:t>
      </w:r>
      <w:r w:rsidR="00CD6004">
        <w:rPr>
          <w:szCs w:val="22"/>
        </w:rPr>
        <w:t>,</w:t>
      </w:r>
      <w:r w:rsidRPr="002E5D9A">
        <w:rPr>
          <w:szCs w:val="22"/>
        </w:rPr>
        <w:t xml:space="preserve"> Field Office</w:t>
      </w:r>
      <w:r w:rsidR="00285745">
        <w:rPr>
          <w:szCs w:val="22"/>
        </w:rPr>
        <w:t xml:space="preserve"> (Columbia Office)</w:t>
      </w:r>
      <w:r w:rsidRPr="002E5D9A">
        <w:rPr>
          <w:szCs w:val="22"/>
        </w:rPr>
        <w:t xml:space="preserve"> went to York, Pennsylvania in response to T-Mobile’s complaint about interference.  </w:t>
      </w:r>
      <w:r w:rsidR="00280706">
        <w:rPr>
          <w:szCs w:val="22"/>
        </w:rPr>
        <w:t xml:space="preserve">Using </w:t>
      </w:r>
      <w:r w:rsidRPr="002E5D9A">
        <w:rPr>
          <w:szCs w:val="22"/>
        </w:rPr>
        <w:t>direction-finding techniques</w:t>
      </w:r>
      <w:r w:rsidR="00280706">
        <w:rPr>
          <w:szCs w:val="22"/>
        </w:rPr>
        <w:t xml:space="preserve">, the agents </w:t>
      </w:r>
      <w:r w:rsidRPr="002E5D9A">
        <w:rPr>
          <w:szCs w:val="22"/>
        </w:rPr>
        <w:t xml:space="preserve">confirmed that the source of the interference was </w:t>
      </w:r>
      <w:r w:rsidR="007930C0">
        <w:rPr>
          <w:szCs w:val="22"/>
        </w:rPr>
        <w:t>a device</w:t>
      </w:r>
      <w:r w:rsidRPr="002E5D9A">
        <w:rPr>
          <w:szCs w:val="22"/>
        </w:rPr>
        <w:t xml:space="preserve"> </w:t>
      </w:r>
      <w:r w:rsidR="003E5F0D">
        <w:rPr>
          <w:szCs w:val="22"/>
        </w:rPr>
        <w:t xml:space="preserve">or devices </w:t>
      </w:r>
      <w:r w:rsidRPr="002E5D9A">
        <w:rPr>
          <w:szCs w:val="22"/>
        </w:rPr>
        <w:t>located at the Martinez Residence.</w:t>
      </w:r>
      <w:r w:rsidR="006C5844">
        <w:rPr>
          <w:szCs w:val="22"/>
        </w:rPr>
        <w:t xml:space="preserve">  </w:t>
      </w:r>
      <w:r w:rsidR="007F7159">
        <w:rPr>
          <w:szCs w:val="22"/>
        </w:rPr>
        <w:t>Agents observed potential sources of the interference</w:t>
      </w:r>
      <w:r w:rsidRPr="007F7159" w:rsidR="007F7159">
        <w:rPr>
          <w:szCs w:val="22"/>
        </w:rPr>
        <w:t>—</w:t>
      </w:r>
      <w:r w:rsidR="007F7159">
        <w:rPr>
          <w:szCs w:val="22"/>
        </w:rPr>
        <w:t>security cameras at both the front of the rear of the Martinez Residence.</w:t>
      </w:r>
    </w:p>
    <w:p w:rsidR="00EE6E00" w:rsidRPr="00BC43EC" w:rsidP="00484C57" w14:paraId="0F5E94CE" w14:textId="1D4EFFD1">
      <w:pPr>
        <w:pStyle w:val="ParaNum"/>
        <w:widowControl/>
        <w:numPr>
          <w:ilvl w:val="0"/>
          <w:numId w:val="1"/>
        </w:numPr>
        <w:tabs>
          <w:tab w:val="clear" w:pos="1080"/>
          <w:tab w:val="num" w:pos="1440"/>
        </w:tabs>
        <w:rPr>
          <w:szCs w:val="22"/>
        </w:rPr>
      </w:pPr>
      <w:r w:rsidRPr="00BC43EC">
        <w:rPr>
          <w:szCs w:val="22"/>
        </w:rPr>
        <w:t xml:space="preserve">On June 15, 2022, </w:t>
      </w:r>
      <w:r w:rsidRPr="00BC43EC" w:rsidR="00BC43EC">
        <w:rPr>
          <w:szCs w:val="22"/>
        </w:rPr>
        <w:t xml:space="preserve">after </w:t>
      </w:r>
      <w:r w:rsidRPr="00BC43EC">
        <w:rPr>
          <w:szCs w:val="22"/>
        </w:rPr>
        <w:t xml:space="preserve">agents </w:t>
      </w:r>
      <w:r w:rsidRPr="00BC43EC" w:rsidR="007930C0">
        <w:rPr>
          <w:szCs w:val="22"/>
        </w:rPr>
        <w:t>trace</w:t>
      </w:r>
      <w:r w:rsidRPr="00BC43EC" w:rsidR="00BC43EC">
        <w:rPr>
          <w:szCs w:val="22"/>
        </w:rPr>
        <w:t>d</w:t>
      </w:r>
      <w:r w:rsidRPr="00BC43EC" w:rsidR="007930C0">
        <w:rPr>
          <w:szCs w:val="22"/>
        </w:rPr>
        <w:t xml:space="preserve"> </w:t>
      </w:r>
      <w:r w:rsidRPr="00BC43EC">
        <w:rPr>
          <w:szCs w:val="22"/>
        </w:rPr>
        <w:t xml:space="preserve">the interfering signal to surveillance </w:t>
      </w:r>
      <w:r w:rsidRPr="00BC43EC" w:rsidR="003E5F0D">
        <w:rPr>
          <w:szCs w:val="22"/>
        </w:rPr>
        <w:t xml:space="preserve">devices </w:t>
      </w:r>
      <w:r w:rsidRPr="00BC43EC">
        <w:rPr>
          <w:szCs w:val="22"/>
        </w:rPr>
        <w:t xml:space="preserve">located </w:t>
      </w:r>
      <w:r w:rsidRPr="00BC43EC" w:rsidR="003E5F0D">
        <w:rPr>
          <w:szCs w:val="22"/>
        </w:rPr>
        <w:t xml:space="preserve">in a tree at </w:t>
      </w:r>
      <w:r w:rsidRPr="00BC43EC">
        <w:rPr>
          <w:szCs w:val="22"/>
        </w:rPr>
        <w:t xml:space="preserve">the </w:t>
      </w:r>
      <w:r w:rsidRPr="00BC43EC" w:rsidR="003E5F0D">
        <w:rPr>
          <w:szCs w:val="22"/>
        </w:rPr>
        <w:t xml:space="preserve">rear of the </w:t>
      </w:r>
      <w:r w:rsidRPr="00BC43EC">
        <w:rPr>
          <w:szCs w:val="22"/>
        </w:rPr>
        <w:t>Martinez Residence</w:t>
      </w:r>
      <w:r w:rsidR="00BC43EC">
        <w:rPr>
          <w:szCs w:val="22"/>
        </w:rPr>
        <w:t>, t</w:t>
      </w:r>
      <w:r w:rsidRPr="0011002B">
        <w:t xml:space="preserve">he Enforcement Bureau </w:t>
      </w:r>
      <w:r w:rsidR="00CA6573">
        <w:t xml:space="preserve">(Bureau) </w:t>
      </w:r>
      <w:r w:rsidR="008F243F">
        <w:t>issued</w:t>
      </w:r>
      <w:r w:rsidRPr="0011002B" w:rsidR="008F243F">
        <w:t xml:space="preserve"> </w:t>
      </w:r>
      <w:r w:rsidRPr="0011002B">
        <w:t>a warning letter to Martinez</w:t>
      </w:r>
      <w:r w:rsidR="00BC43EC">
        <w:t>.</w:t>
      </w:r>
      <w:r>
        <w:rPr>
          <w:vertAlign w:val="superscript"/>
        </w:rPr>
        <w:footnoteReference w:id="8"/>
      </w:r>
      <w:r w:rsidRPr="0011002B" w:rsidR="00BC43EC">
        <w:t xml:space="preserve">  </w:t>
      </w:r>
      <w:r w:rsidR="00BC43EC">
        <w:t xml:space="preserve"> The letter </w:t>
      </w:r>
      <w:r w:rsidRPr="0011002B">
        <w:t>inform</w:t>
      </w:r>
      <w:r w:rsidR="00BC43EC">
        <w:t>ed</w:t>
      </w:r>
      <w:r w:rsidRPr="0011002B">
        <w:t xml:space="preserve"> </w:t>
      </w:r>
      <w:r w:rsidR="00BC43EC">
        <w:t>Martinez</w:t>
      </w:r>
      <w:r w:rsidRPr="0011002B" w:rsidR="00BC43EC">
        <w:t xml:space="preserve"> </w:t>
      </w:r>
      <w:r w:rsidRPr="0011002B">
        <w:t>that</w:t>
      </w:r>
      <w:r w:rsidRPr="00BC43EC" w:rsidR="00C4616E">
        <w:rPr>
          <w:szCs w:val="22"/>
        </w:rPr>
        <w:t xml:space="preserve"> that unauthorized radio emissions were emanating from his residence causing harmful interference to T-Mobile</w:t>
      </w:r>
      <w:r w:rsidR="00285745">
        <w:rPr>
          <w:szCs w:val="22"/>
        </w:rPr>
        <w:t>’s</w:t>
      </w:r>
      <w:r w:rsidRPr="00BC43EC" w:rsidR="00C4616E">
        <w:rPr>
          <w:szCs w:val="22"/>
        </w:rPr>
        <w:t xml:space="preserve"> licensed operations and requested that he take steps to identify the source and eliminate the interference</w:t>
      </w:r>
      <w:r w:rsidRPr="0011002B">
        <w:t>.</w:t>
      </w:r>
      <w:r>
        <w:rPr>
          <w:vertAlign w:val="superscript"/>
        </w:rPr>
        <w:footnoteReference w:id="9"/>
      </w:r>
      <w:r w:rsidRPr="0011002B">
        <w:t xml:space="preserve">  On July 26, 2022, T-Mobile provided the Bureau’s agents with a video containing instructions on how to change the camera</w:t>
      </w:r>
      <w:r w:rsidR="00CA6573">
        <w:t>s’</w:t>
      </w:r>
      <w:r w:rsidRPr="0011002B">
        <w:t xml:space="preserve"> settings to a mode that </w:t>
      </w:r>
      <w:r w:rsidR="00CA6573">
        <w:t>T-Mobile</w:t>
      </w:r>
      <w:r w:rsidRPr="0011002B" w:rsidR="00CA6573">
        <w:t xml:space="preserve"> </w:t>
      </w:r>
      <w:r w:rsidRPr="0011002B">
        <w:t xml:space="preserve">believed </w:t>
      </w:r>
      <w:r w:rsidR="00CA6573">
        <w:t>would</w:t>
      </w:r>
      <w:r w:rsidRPr="0011002B" w:rsidR="00CA6573">
        <w:t xml:space="preserve"> </w:t>
      </w:r>
      <w:r w:rsidRPr="0011002B">
        <w:t xml:space="preserve">not cause interference.  The agents shared the video with Martinez, who acknowledged disconnecting the camera </w:t>
      </w:r>
      <w:r w:rsidR="00CB741E">
        <w:t xml:space="preserve">at the rear of his residence </w:t>
      </w:r>
      <w:r w:rsidRPr="0011002B">
        <w:t xml:space="preserve">after receiving the warning letter.  However, </w:t>
      </w:r>
      <w:r w:rsidR="00BD12FB">
        <w:t xml:space="preserve">Martinez did not </w:t>
      </w:r>
      <w:r w:rsidR="00280706">
        <w:t>disconnect</w:t>
      </w:r>
      <w:r w:rsidR="00BD12FB">
        <w:t xml:space="preserve"> two other surveillance cameras at his residence and</w:t>
      </w:r>
      <w:r w:rsidR="007F3978">
        <w:t xml:space="preserve">, according to T-Mobile, </w:t>
      </w:r>
      <w:r w:rsidRPr="0011002B">
        <w:t xml:space="preserve">the interference </w:t>
      </w:r>
      <w:r w:rsidR="00CA6573">
        <w:t>continued</w:t>
      </w:r>
      <w:r w:rsidRPr="0011002B">
        <w:t xml:space="preserve">. </w:t>
      </w:r>
      <w:r w:rsidR="00BE58ED">
        <w:t xml:space="preserve"> </w:t>
      </w:r>
    </w:p>
    <w:p w:rsidR="007C78CD" w:rsidP="00B05719" w14:paraId="135C5CE0" w14:textId="4D065DD1">
      <w:pPr>
        <w:pStyle w:val="ParaNum"/>
        <w:widowControl/>
        <w:numPr>
          <w:ilvl w:val="0"/>
          <w:numId w:val="1"/>
        </w:numPr>
        <w:tabs>
          <w:tab w:val="clear" w:pos="1080"/>
          <w:tab w:val="num" w:pos="1440"/>
        </w:tabs>
        <w:rPr>
          <w:szCs w:val="22"/>
        </w:rPr>
      </w:pPr>
      <w:r w:rsidRPr="00E308BE">
        <w:rPr>
          <w:szCs w:val="22"/>
        </w:rPr>
        <w:t xml:space="preserve">On October 12, 2022, an agent from the </w:t>
      </w:r>
      <w:r w:rsidR="00285745">
        <w:rPr>
          <w:szCs w:val="22"/>
        </w:rPr>
        <w:t>Columbia Office</w:t>
      </w:r>
      <w:r w:rsidRPr="00E308BE" w:rsidR="00285745">
        <w:rPr>
          <w:szCs w:val="22"/>
        </w:rPr>
        <w:t xml:space="preserve"> </w:t>
      </w:r>
      <w:r w:rsidRPr="00E308BE">
        <w:rPr>
          <w:szCs w:val="22"/>
        </w:rPr>
        <w:t xml:space="preserve">contacted Martinez in response to T- Mobile’s report that the interference had not been resolved.  Martinez claimed to have followed </w:t>
      </w:r>
      <w:r w:rsidR="00BD12FB">
        <w:rPr>
          <w:szCs w:val="22"/>
        </w:rPr>
        <w:t>T</w:t>
      </w:r>
      <w:r w:rsidR="00771B42">
        <w:rPr>
          <w:szCs w:val="22"/>
        </w:rPr>
        <w:noBreakHyphen/>
      </w:r>
      <w:r w:rsidR="00BD12FB">
        <w:rPr>
          <w:szCs w:val="22"/>
        </w:rPr>
        <w:t>Mobile’s</w:t>
      </w:r>
      <w:r w:rsidRPr="00E308BE" w:rsidR="00BD12FB">
        <w:rPr>
          <w:szCs w:val="22"/>
        </w:rPr>
        <w:t xml:space="preserve"> </w:t>
      </w:r>
      <w:r w:rsidRPr="00E308BE">
        <w:rPr>
          <w:szCs w:val="22"/>
        </w:rPr>
        <w:t xml:space="preserve">instructions and changed the </w:t>
      </w:r>
      <w:r w:rsidR="00BD12FB">
        <w:rPr>
          <w:szCs w:val="22"/>
        </w:rPr>
        <w:t xml:space="preserve">remaining two </w:t>
      </w:r>
      <w:r w:rsidRPr="00E308BE">
        <w:rPr>
          <w:szCs w:val="22"/>
        </w:rPr>
        <w:t>cameras</w:t>
      </w:r>
      <w:r w:rsidR="00BD12FB">
        <w:rPr>
          <w:szCs w:val="22"/>
        </w:rPr>
        <w:t>’</w:t>
      </w:r>
      <w:r w:rsidRPr="00E308BE">
        <w:rPr>
          <w:szCs w:val="22"/>
        </w:rPr>
        <w:t xml:space="preserve"> settings</w:t>
      </w:r>
      <w:r w:rsidR="00285745">
        <w:rPr>
          <w:szCs w:val="22"/>
        </w:rPr>
        <w:t xml:space="preserve"> in an attempt to end the interference</w:t>
      </w:r>
      <w:r w:rsidRPr="00E308BE">
        <w:rPr>
          <w:szCs w:val="22"/>
        </w:rPr>
        <w:t xml:space="preserve">.  </w:t>
      </w:r>
      <w:r w:rsidR="00BD12FB">
        <w:rPr>
          <w:szCs w:val="22"/>
        </w:rPr>
        <w:t>The</w:t>
      </w:r>
      <w:r w:rsidRPr="00E308BE">
        <w:rPr>
          <w:szCs w:val="22"/>
        </w:rPr>
        <w:t xml:space="preserve"> agent informed Martinez that </w:t>
      </w:r>
      <w:r w:rsidR="00017F90">
        <w:rPr>
          <w:szCs w:val="22"/>
        </w:rPr>
        <w:t xml:space="preserve">T-Mobile reported that </w:t>
      </w:r>
      <w:r w:rsidRPr="00E308BE">
        <w:rPr>
          <w:szCs w:val="22"/>
        </w:rPr>
        <w:t>the interference</w:t>
      </w:r>
      <w:r w:rsidR="00BD12FB">
        <w:rPr>
          <w:szCs w:val="22"/>
        </w:rPr>
        <w:t>,</w:t>
      </w:r>
      <w:r w:rsidRPr="00E308BE">
        <w:rPr>
          <w:szCs w:val="22"/>
        </w:rPr>
        <w:t xml:space="preserve"> </w:t>
      </w:r>
      <w:r w:rsidR="00BD12FB">
        <w:rPr>
          <w:szCs w:val="22"/>
        </w:rPr>
        <w:t xml:space="preserve">nevertheless, </w:t>
      </w:r>
      <w:r w:rsidRPr="00E308BE">
        <w:rPr>
          <w:szCs w:val="22"/>
        </w:rPr>
        <w:t xml:space="preserve">still persisted.  The agent also warned Martinez that if the Commission determined that the interference was still caused by his surveillance camera system, he could face fines for continued operation.  </w:t>
      </w:r>
      <w:r w:rsidR="00BC43EC">
        <w:rPr>
          <w:szCs w:val="22"/>
        </w:rPr>
        <w:t>In</w:t>
      </w:r>
      <w:r w:rsidRPr="00E308BE">
        <w:rPr>
          <w:szCs w:val="22"/>
        </w:rPr>
        <w:t xml:space="preserve"> response to this warning, Martinez agreed to an on/off test</w:t>
      </w:r>
      <w:r w:rsidR="00285745">
        <w:rPr>
          <w:szCs w:val="22"/>
        </w:rPr>
        <w:t xml:space="preserve"> to determine whether his equipment continued to be the cause of the interference</w:t>
      </w:r>
      <w:r w:rsidRPr="00E308BE">
        <w:rPr>
          <w:szCs w:val="22"/>
        </w:rPr>
        <w:t>.</w:t>
      </w:r>
      <w:r>
        <w:rPr>
          <w:szCs w:val="22"/>
        </w:rPr>
        <w:t xml:space="preserve"> </w:t>
      </w:r>
    </w:p>
    <w:p w:rsidR="007C78CD" w:rsidP="00B05719" w14:paraId="7F8B15E7" w14:textId="1479FB28">
      <w:pPr>
        <w:pStyle w:val="ParaNum"/>
        <w:widowControl/>
        <w:numPr>
          <w:ilvl w:val="0"/>
          <w:numId w:val="1"/>
        </w:numPr>
        <w:tabs>
          <w:tab w:val="clear" w:pos="1080"/>
          <w:tab w:val="num" w:pos="1440"/>
        </w:tabs>
        <w:rPr>
          <w:szCs w:val="22"/>
        </w:rPr>
      </w:pPr>
      <w:r w:rsidRPr="00E308BE">
        <w:rPr>
          <w:szCs w:val="22"/>
        </w:rPr>
        <w:t xml:space="preserve">On October 17, 2022, agents from the </w:t>
      </w:r>
      <w:r w:rsidR="00B265D9">
        <w:rPr>
          <w:szCs w:val="22"/>
        </w:rPr>
        <w:t>Columbia Office</w:t>
      </w:r>
      <w:r w:rsidRPr="00E308BE">
        <w:rPr>
          <w:szCs w:val="22"/>
        </w:rPr>
        <w:t xml:space="preserve"> returned to the Martinez Residence to conduct </w:t>
      </w:r>
      <w:r w:rsidR="00285745">
        <w:rPr>
          <w:szCs w:val="22"/>
        </w:rPr>
        <w:t>the</w:t>
      </w:r>
      <w:r w:rsidRPr="00E308BE">
        <w:rPr>
          <w:szCs w:val="22"/>
        </w:rPr>
        <w:t xml:space="preserve"> on/off test.  They observed that when the camera system base was turned off, the interfering signal disappeared.  The agents then confirmed with T-Mobile personnel that </w:t>
      </w:r>
      <w:r w:rsidR="00CB741E">
        <w:rPr>
          <w:szCs w:val="22"/>
        </w:rPr>
        <w:t xml:space="preserve">the interference had ceased </w:t>
      </w:r>
      <w:r w:rsidR="008F243F">
        <w:rPr>
          <w:szCs w:val="22"/>
        </w:rPr>
        <w:t>after</w:t>
      </w:r>
      <w:r w:rsidR="00CB741E">
        <w:rPr>
          <w:szCs w:val="22"/>
        </w:rPr>
        <w:t xml:space="preserve"> the surveillance system was deactivated and </w:t>
      </w:r>
      <w:r w:rsidR="00C4616E">
        <w:rPr>
          <w:szCs w:val="22"/>
        </w:rPr>
        <w:t xml:space="preserve">concluded </w:t>
      </w:r>
      <w:r w:rsidR="00CB741E">
        <w:rPr>
          <w:szCs w:val="22"/>
        </w:rPr>
        <w:t>that the system</w:t>
      </w:r>
      <w:r w:rsidR="00017F90">
        <w:rPr>
          <w:szCs w:val="22"/>
        </w:rPr>
        <w:t>’s cameras</w:t>
      </w:r>
      <w:r w:rsidR="00CB741E">
        <w:rPr>
          <w:szCs w:val="22"/>
        </w:rPr>
        <w:t xml:space="preserve"> </w:t>
      </w:r>
      <w:r w:rsidR="00017F90">
        <w:rPr>
          <w:szCs w:val="22"/>
        </w:rPr>
        <w:t>were</w:t>
      </w:r>
      <w:r w:rsidR="00CB741E">
        <w:rPr>
          <w:szCs w:val="22"/>
        </w:rPr>
        <w:t>, therefore,</w:t>
      </w:r>
      <w:r w:rsidRPr="00E308BE">
        <w:rPr>
          <w:szCs w:val="22"/>
        </w:rPr>
        <w:t xml:space="preserve"> the source of the interference to T-Mobile.  </w:t>
      </w:r>
      <w:r w:rsidR="00CB741E">
        <w:rPr>
          <w:szCs w:val="22"/>
        </w:rPr>
        <w:t xml:space="preserve">A T-Mobile representative gave Martinez further instructions on </w:t>
      </w:r>
      <w:r w:rsidR="00017F90">
        <w:rPr>
          <w:szCs w:val="22"/>
        </w:rPr>
        <w:t>methods</w:t>
      </w:r>
      <w:r w:rsidR="00CB741E">
        <w:rPr>
          <w:szCs w:val="22"/>
        </w:rPr>
        <w:t xml:space="preserve"> to </w:t>
      </w:r>
      <w:r w:rsidR="00017F90">
        <w:rPr>
          <w:szCs w:val="22"/>
        </w:rPr>
        <w:t xml:space="preserve">potentially </w:t>
      </w:r>
      <w:r w:rsidR="00CB741E">
        <w:rPr>
          <w:szCs w:val="22"/>
        </w:rPr>
        <w:t xml:space="preserve">eliminate the interference, but the agents warned </w:t>
      </w:r>
      <w:r w:rsidR="007F7159">
        <w:rPr>
          <w:szCs w:val="22"/>
        </w:rPr>
        <w:t>Martinez</w:t>
      </w:r>
      <w:r w:rsidR="00285745">
        <w:rPr>
          <w:szCs w:val="22"/>
        </w:rPr>
        <w:t xml:space="preserve"> again</w:t>
      </w:r>
      <w:r w:rsidR="00CB741E">
        <w:rPr>
          <w:szCs w:val="22"/>
        </w:rPr>
        <w:t xml:space="preserve"> that</w:t>
      </w:r>
      <w:r w:rsidR="00D82684">
        <w:rPr>
          <w:szCs w:val="22"/>
        </w:rPr>
        <w:t xml:space="preserve"> if the interference was not eliminated, he would have to deactivate or replace his surveillance system. </w:t>
      </w:r>
      <w:r>
        <w:rPr>
          <w:szCs w:val="22"/>
        </w:rPr>
        <w:t xml:space="preserve"> </w:t>
      </w:r>
      <w:r w:rsidR="00D82684">
        <w:rPr>
          <w:szCs w:val="22"/>
        </w:rPr>
        <w:t>On October 2</w:t>
      </w:r>
      <w:r w:rsidR="0071623C">
        <w:rPr>
          <w:szCs w:val="22"/>
        </w:rPr>
        <w:t>5th</w:t>
      </w:r>
      <w:r w:rsidR="004D76E9">
        <w:rPr>
          <w:szCs w:val="22"/>
        </w:rPr>
        <w:t>, 2022</w:t>
      </w:r>
      <w:r w:rsidR="00D82684">
        <w:rPr>
          <w:szCs w:val="22"/>
        </w:rPr>
        <w:t xml:space="preserve">, an agent called Martinez to inform him that T-Mobile had confirmed that the interference continued and that he would have to cease operating </w:t>
      </w:r>
      <w:r w:rsidR="008F243F">
        <w:rPr>
          <w:szCs w:val="22"/>
        </w:rPr>
        <w:t>his</w:t>
      </w:r>
      <w:r w:rsidR="00D82684">
        <w:rPr>
          <w:szCs w:val="22"/>
        </w:rPr>
        <w:t xml:space="preserve"> surveillance system.</w:t>
      </w:r>
    </w:p>
    <w:p w:rsidR="00361219" w:rsidP="00B05719" w14:paraId="7F7E0828" w14:textId="648D1171">
      <w:pPr>
        <w:pStyle w:val="ParaNum"/>
        <w:widowControl/>
        <w:numPr>
          <w:ilvl w:val="0"/>
          <w:numId w:val="1"/>
        </w:numPr>
        <w:tabs>
          <w:tab w:val="clear" w:pos="1080"/>
          <w:tab w:val="num" w:pos="1440"/>
        </w:tabs>
        <w:rPr>
          <w:szCs w:val="22"/>
        </w:rPr>
      </w:pPr>
      <w:bookmarkStart w:id="5" w:name="_Ref132190756"/>
      <w:r w:rsidRPr="00E308BE">
        <w:rPr>
          <w:szCs w:val="22"/>
        </w:rPr>
        <w:t xml:space="preserve">On November 7, 2022, and February 22, 2023, agents from the Columbia Office </w:t>
      </w:r>
      <w:r w:rsidR="00285745">
        <w:rPr>
          <w:szCs w:val="22"/>
        </w:rPr>
        <w:t>returned</w:t>
      </w:r>
      <w:r w:rsidRPr="00E308BE">
        <w:rPr>
          <w:szCs w:val="22"/>
        </w:rPr>
        <w:t xml:space="preserve"> to York, Pennsylvania to conduct on-scene investigations in response to continuing complaints from T-</w:t>
      </w:r>
      <w:r w:rsidRPr="00E308BE">
        <w:rPr>
          <w:szCs w:val="22"/>
        </w:rPr>
        <w:t xml:space="preserve">Mobile that the interference </w:t>
      </w:r>
      <w:r w:rsidR="00285745">
        <w:rPr>
          <w:szCs w:val="22"/>
        </w:rPr>
        <w:t xml:space="preserve">to its cellular service </w:t>
      </w:r>
      <w:r w:rsidRPr="00E308BE">
        <w:rPr>
          <w:szCs w:val="22"/>
        </w:rPr>
        <w:t xml:space="preserve">had not been resolved.  </w:t>
      </w:r>
      <w:r w:rsidR="00A21BCF">
        <w:rPr>
          <w:szCs w:val="22"/>
        </w:rPr>
        <w:t>Using</w:t>
      </w:r>
      <w:r w:rsidRPr="00E308BE" w:rsidR="00A21BCF">
        <w:rPr>
          <w:szCs w:val="22"/>
        </w:rPr>
        <w:t xml:space="preserve"> </w:t>
      </w:r>
      <w:r w:rsidRPr="00E308BE">
        <w:rPr>
          <w:szCs w:val="22"/>
        </w:rPr>
        <w:t xml:space="preserve">direction-finding techniques, the agents </w:t>
      </w:r>
      <w:r w:rsidR="00D82684">
        <w:rPr>
          <w:szCs w:val="22"/>
        </w:rPr>
        <w:t>confirmed</w:t>
      </w:r>
      <w:r w:rsidRPr="00E308BE">
        <w:rPr>
          <w:szCs w:val="22"/>
        </w:rPr>
        <w:t xml:space="preserve"> that the surveillance cameras located at the Martinez Residence were </w:t>
      </w:r>
      <w:r w:rsidR="00D82684">
        <w:rPr>
          <w:szCs w:val="22"/>
        </w:rPr>
        <w:t xml:space="preserve">still </w:t>
      </w:r>
      <w:r w:rsidRPr="00E308BE">
        <w:rPr>
          <w:szCs w:val="22"/>
        </w:rPr>
        <w:t>the source of the interference</w:t>
      </w:r>
      <w:r w:rsidR="008F243F">
        <w:rPr>
          <w:szCs w:val="22"/>
        </w:rPr>
        <w:t xml:space="preserve"> to T-Mobile</w:t>
      </w:r>
      <w:r w:rsidR="00017F90">
        <w:rPr>
          <w:szCs w:val="22"/>
        </w:rPr>
        <w:t>’s cellular network</w:t>
      </w:r>
      <w:r w:rsidRPr="00E308BE">
        <w:rPr>
          <w:szCs w:val="22"/>
        </w:rPr>
        <w:t>.</w:t>
      </w:r>
      <w:bookmarkEnd w:id="5"/>
    </w:p>
    <w:p w:rsidR="0096675D" w:rsidRPr="00BE70CC" w:rsidP="00B05719" w14:paraId="3A7F5EA1" w14:textId="77777777">
      <w:pPr>
        <w:pStyle w:val="Heading1"/>
        <w:widowControl/>
      </w:pPr>
      <w:r w:rsidRPr="00BE70CC">
        <w:t xml:space="preserve">aPPLICABLE LAW </w:t>
      </w:r>
      <w:r w:rsidRPr="00BE70CC" w:rsidR="00654D13">
        <w:t>and violations</w:t>
      </w:r>
    </w:p>
    <w:p w:rsidR="005F769F" w:rsidP="00B05719" w14:paraId="65C56EF7" w14:textId="7026AA3B">
      <w:pPr>
        <w:pStyle w:val="ParaNum"/>
        <w:widowControl/>
        <w:numPr>
          <w:ilvl w:val="0"/>
          <w:numId w:val="1"/>
        </w:numPr>
        <w:tabs>
          <w:tab w:val="clear" w:pos="1080"/>
          <w:tab w:val="num" w:pos="1440"/>
        </w:tabs>
      </w:pPr>
      <w:r w:rsidRPr="005032F1">
        <w:t xml:space="preserve">The Commission is charged with protecting licensed radio operations from harmful interference. </w:t>
      </w:r>
      <w:r>
        <w:t xml:space="preserve"> </w:t>
      </w:r>
      <w:r w:rsidRPr="005032F1">
        <w:t xml:space="preserve">Harmful interference to wireless providers, such as </w:t>
      </w:r>
      <w:r w:rsidRPr="007B7F6A">
        <w:rPr>
          <w:szCs w:val="22"/>
        </w:rPr>
        <w:t>T-Mobile</w:t>
      </w:r>
      <w:r w:rsidRPr="005032F1">
        <w:t>, is particularly problematic in that it can interfere with 911 service</w:t>
      </w:r>
      <w:r w:rsidR="00D26298">
        <w:t xml:space="preserve"> </w:t>
      </w:r>
      <w:r w:rsidR="00D26298">
        <w:rPr>
          <w:szCs w:val="22"/>
        </w:rPr>
        <w:t xml:space="preserve">and undermines the Commission’s ability </w:t>
      </w:r>
      <w:r w:rsidRPr="00D26298" w:rsidR="00D26298">
        <w:rPr>
          <w:szCs w:val="22"/>
        </w:rPr>
        <w:t>to manage the nation's radio spectrum</w:t>
      </w:r>
      <w:r w:rsidRPr="005032F1">
        <w:t>.</w:t>
      </w:r>
      <w:r>
        <w:t xml:space="preserve">  </w:t>
      </w:r>
      <w:r w:rsidR="00022AA8">
        <w:t>Section 333 of the Act states that “[n]</w:t>
      </w:r>
      <w:r w:rsidRPr="005F6963" w:rsidR="00022AA8">
        <w:t>o person shall willfully or maliciously interfere with or cause interference to any radio communications of any station licensed or authorized by or under this chapter or operated by the United States Government.</w:t>
      </w:r>
      <w:r w:rsidR="00022AA8">
        <w:t>”</w:t>
      </w:r>
      <w:r>
        <w:rPr>
          <w:rStyle w:val="FootnoteReference"/>
        </w:rPr>
        <w:footnoteReference w:id="10"/>
      </w:r>
      <w:r w:rsidR="00022AA8">
        <w:t xml:space="preserve">  </w:t>
      </w:r>
      <w:r w:rsidRPr="00FE3F7A" w:rsidR="006C5844">
        <w:t>Section 301 of the Act states that “[n]o person shall use or operate any apparatus for the transmission of energy or communications or signals by radio”</w:t>
      </w:r>
      <w:r>
        <w:rPr>
          <w:rStyle w:val="FootnoteReference"/>
        </w:rPr>
        <w:footnoteReference w:id="11"/>
      </w:r>
      <w:r w:rsidRPr="00FE3F7A" w:rsidR="006C5844">
        <w:t xml:space="preserve"> within the United States or its territories without a license granted by the Commission. </w:t>
      </w:r>
      <w:r w:rsidR="002A708E">
        <w:t xml:space="preserve"> </w:t>
      </w:r>
      <w:r w:rsidRPr="00FE3F7A" w:rsidR="006C5844">
        <w:t xml:space="preserve">Part 15 of the Commission’s rules provides an exception to this general section 301 license requirement and sets forth conditions under which devices may operate without an individual </w:t>
      </w:r>
      <w:r w:rsidR="000049BB">
        <w:t>license</w:t>
      </w:r>
      <w:r w:rsidRPr="00FE3F7A" w:rsidR="006C5844">
        <w:t>.</w:t>
      </w:r>
      <w:r>
        <w:rPr>
          <w:rStyle w:val="FootnoteReference"/>
        </w:rPr>
        <w:footnoteReference w:id="12"/>
      </w:r>
      <w:r w:rsidRPr="00FE3F7A" w:rsidR="006C5844">
        <w:t xml:space="preserve"> </w:t>
      </w:r>
      <w:r w:rsidR="006C5844">
        <w:t xml:space="preserve"> </w:t>
      </w:r>
      <w:r w:rsidRPr="00FE3F7A" w:rsidR="006C5844">
        <w:t>Section 15.5(b) of the Commission’s rules requires that “[o]</w:t>
      </w:r>
      <w:r w:rsidRPr="00FE3F7A" w:rsidR="006C5844">
        <w:t>peration</w:t>
      </w:r>
      <w:r w:rsidRPr="00FE3F7A" w:rsidR="006C5844">
        <w:t xml:space="preserve"> of an intentional, unintentional, or incidental radiator is subject to the conditions that no harmful interference is caused . . . .”</w:t>
      </w:r>
      <w:r>
        <w:rPr>
          <w:rStyle w:val="FootnoteReference"/>
        </w:rPr>
        <w:footnoteReference w:id="13"/>
      </w:r>
      <w:r w:rsidRPr="00FE3F7A" w:rsidR="006C5844">
        <w:t xml:space="preserve"> </w:t>
      </w:r>
      <w:r w:rsidR="006C5844">
        <w:t xml:space="preserve"> </w:t>
      </w:r>
      <w:r w:rsidRPr="00FE3F7A" w:rsidR="006C5844">
        <w:t xml:space="preserve">Similarly, section 15.5(c) of the Commission’s rules states that the “operator of a radio frequency device shall be required to cease operating the device upon notification by a Commission representative that the device is causing harmful interference. </w:t>
      </w:r>
      <w:r w:rsidR="006C5844">
        <w:t xml:space="preserve"> </w:t>
      </w:r>
      <w:r w:rsidRPr="00FE3F7A" w:rsidR="006C5844">
        <w:t>Operation shall not resume until the condition causing the harmful interference has been corrected.”</w:t>
      </w:r>
      <w:r>
        <w:rPr>
          <w:rStyle w:val="FootnoteReference"/>
        </w:rPr>
        <w:footnoteReference w:id="14"/>
      </w:r>
      <w:r w:rsidRPr="00FE3F7A" w:rsidR="006C5844">
        <w:t xml:space="preserve"> </w:t>
      </w:r>
      <w:r>
        <w:t xml:space="preserve"> </w:t>
      </w:r>
      <w:r w:rsidRPr="00FE3F7A" w:rsidR="006C5844">
        <w:t>Section 15.3(m)’s definition of harmful interference includes “[a]</w:t>
      </w:r>
      <w:r w:rsidRPr="00FE3F7A" w:rsidR="006C5844">
        <w:t>ny</w:t>
      </w:r>
      <w:r w:rsidRPr="00FE3F7A" w:rsidR="006C5844">
        <w:t xml:space="preserve"> emission, radiation or induction that . . . obstructs or repeatedly interrupts a radiocommunications service operating in accordance with this chapter.”</w:t>
      </w:r>
      <w:r>
        <w:rPr>
          <w:rStyle w:val="FootnoteReference"/>
        </w:rPr>
        <w:footnoteReference w:id="15"/>
      </w:r>
      <w:r w:rsidR="00377A5B">
        <w:t xml:space="preserve">  </w:t>
      </w:r>
    </w:p>
    <w:p w:rsidR="00753BD2" w:rsidRPr="00BE70CC" w:rsidP="00B05719" w14:paraId="0CC04B8E" w14:textId="19F4C138">
      <w:pPr>
        <w:pStyle w:val="ParaNum"/>
        <w:widowControl/>
        <w:numPr>
          <w:ilvl w:val="0"/>
          <w:numId w:val="1"/>
        </w:numPr>
        <w:tabs>
          <w:tab w:val="clear" w:pos="1080"/>
          <w:tab w:val="num" w:pos="1440"/>
        </w:tabs>
      </w:pPr>
      <w:r>
        <w:rPr>
          <w:szCs w:val="22"/>
        </w:rPr>
        <w:t xml:space="preserve">We find that </w:t>
      </w:r>
      <w:r w:rsidR="007B4756">
        <w:rPr>
          <w:szCs w:val="22"/>
        </w:rPr>
        <w:t>Martinez</w:t>
      </w:r>
      <w:r>
        <w:rPr>
          <w:szCs w:val="22"/>
        </w:rPr>
        <w:t xml:space="preserve"> </w:t>
      </w:r>
      <w:r w:rsidRPr="003F7EE6" w:rsidR="003F7EE6">
        <w:rPr>
          <w:szCs w:val="22"/>
        </w:rPr>
        <w:t>violated section</w:t>
      </w:r>
      <w:r w:rsidR="00022AA8">
        <w:rPr>
          <w:szCs w:val="22"/>
        </w:rPr>
        <w:t xml:space="preserve">s </w:t>
      </w:r>
      <w:r w:rsidR="00E6199D">
        <w:rPr>
          <w:szCs w:val="22"/>
        </w:rPr>
        <w:t>301 and 333</w:t>
      </w:r>
      <w:r w:rsidR="003A6AA4">
        <w:rPr>
          <w:szCs w:val="22"/>
        </w:rPr>
        <w:t xml:space="preserve"> of the Act and section</w:t>
      </w:r>
      <w:r w:rsidRPr="003F7EE6" w:rsidR="003F7EE6">
        <w:rPr>
          <w:szCs w:val="22"/>
        </w:rPr>
        <w:t xml:space="preserve">s 15.5(b) and </w:t>
      </w:r>
      <w:r>
        <w:rPr>
          <w:szCs w:val="22"/>
        </w:rPr>
        <w:t>15.5</w:t>
      </w:r>
      <w:r w:rsidRPr="003F7EE6" w:rsidR="003F7EE6">
        <w:rPr>
          <w:szCs w:val="22"/>
        </w:rPr>
        <w:t>(c) of the Commission’s rules by operating device</w:t>
      </w:r>
      <w:r w:rsidR="000049BB">
        <w:rPr>
          <w:szCs w:val="22"/>
        </w:rPr>
        <w:t>s</w:t>
      </w:r>
      <w:r w:rsidR="00D86C7B">
        <w:rPr>
          <w:szCs w:val="22"/>
        </w:rPr>
        <w:t xml:space="preserve"> </w:t>
      </w:r>
      <w:r w:rsidR="00FF536A">
        <w:rPr>
          <w:szCs w:val="22"/>
        </w:rPr>
        <w:t>caus</w:t>
      </w:r>
      <w:r w:rsidR="00D86C7B">
        <w:rPr>
          <w:szCs w:val="22"/>
        </w:rPr>
        <w:t>ing</w:t>
      </w:r>
      <w:r w:rsidR="00FF536A">
        <w:rPr>
          <w:szCs w:val="22"/>
        </w:rPr>
        <w:t xml:space="preserve"> </w:t>
      </w:r>
      <w:r w:rsidRPr="003F7EE6" w:rsidR="003F7EE6">
        <w:rPr>
          <w:szCs w:val="22"/>
        </w:rPr>
        <w:t xml:space="preserve">harmful interference to </w:t>
      </w:r>
      <w:r w:rsidRPr="00E308BE" w:rsidR="00D57981">
        <w:rPr>
          <w:szCs w:val="22"/>
        </w:rPr>
        <w:t>T-Mobile</w:t>
      </w:r>
      <w:r w:rsidR="00D57981">
        <w:rPr>
          <w:szCs w:val="22"/>
        </w:rPr>
        <w:t>’s</w:t>
      </w:r>
      <w:r w:rsidRPr="003F7EE6" w:rsidR="00D57981">
        <w:rPr>
          <w:szCs w:val="22"/>
        </w:rPr>
        <w:t xml:space="preserve"> </w:t>
      </w:r>
      <w:r w:rsidRPr="003F7EE6" w:rsidR="003F7EE6">
        <w:rPr>
          <w:szCs w:val="22"/>
        </w:rPr>
        <w:t>licensed operations</w:t>
      </w:r>
      <w:r w:rsidR="00956EDC">
        <w:rPr>
          <w:szCs w:val="22"/>
        </w:rPr>
        <w:t xml:space="preserve">, </w:t>
      </w:r>
      <w:r w:rsidR="000049BB">
        <w:rPr>
          <w:szCs w:val="22"/>
        </w:rPr>
        <w:t xml:space="preserve">by </w:t>
      </w:r>
      <w:r w:rsidRPr="003F7EE6" w:rsidR="003F7EE6">
        <w:rPr>
          <w:szCs w:val="22"/>
        </w:rPr>
        <w:t>failing to promptly eliminate the interference upon notification by a Commission representative</w:t>
      </w:r>
      <w:r w:rsidR="00017F90">
        <w:rPr>
          <w:szCs w:val="22"/>
        </w:rPr>
        <w:t>,</w:t>
      </w:r>
      <w:r w:rsidR="00922FB1">
        <w:rPr>
          <w:szCs w:val="22"/>
        </w:rPr>
        <w:t xml:space="preserve"> and </w:t>
      </w:r>
      <w:r w:rsidR="00956EDC">
        <w:rPr>
          <w:szCs w:val="22"/>
        </w:rPr>
        <w:t xml:space="preserve">by failing </w:t>
      </w:r>
      <w:r w:rsidRPr="00FE3F7A" w:rsidR="00922FB1">
        <w:t>to cease operating the device</w:t>
      </w:r>
      <w:r w:rsidR="00922FB1">
        <w:t>s</w:t>
      </w:r>
      <w:r w:rsidRPr="00FE3F7A" w:rsidR="00922FB1">
        <w:t xml:space="preserve"> upon notification by a Commission representative that the device</w:t>
      </w:r>
      <w:r w:rsidR="00922FB1">
        <w:t>s</w:t>
      </w:r>
      <w:r w:rsidRPr="00FE3F7A" w:rsidR="00922FB1">
        <w:t xml:space="preserve"> </w:t>
      </w:r>
      <w:r w:rsidR="00922FB1">
        <w:t xml:space="preserve">were </w:t>
      </w:r>
      <w:r w:rsidRPr="00FE3F7A" w:rsidR="00922FB1">
        <w:t>causing harmful interference</w:t>
      </w:r>
      <w:r w:rsidRPr="003F7EE6" w:rsidR="003F7EE6">
        <w:rPr>
          <w:szCs w:val="22"/>
        </w:rPr>
        <w:t>.</w:t>
      </w:r>
      <w:r>
        <w:rPr>
          <w:rStyle w:val="FootnoteReference"/>
          <w:szCs w:val="22"/>
        </w:rPr>
        <w:footnoteReference w:id="16"/>
      </w:r>
    </w:p>
    <w:p w:rsidR="00E273E3" w:rsidRPr="00BE70CC" w:rsidP="00B05719" w14:paraId="481F31AB" w14:textId="77777777">
      <w:pPr>
        <w:pStyle w:val="Heading1"/>
        <w:widowControl/>
      </w:pPr>
      <w:r w:rsidRPr="00BE70CC">
        <w:t xml:space="preserve">Request </w:t>
      </w:r>
      <w:r w:rsidRPr="00BE70CC" w:rsidR="00B85F3E">
        <w:t xml:space="preserve">FOR INFORMATION </w:t>
      </w:r>
    </w:p>
    <w:p w:rsidR="006E6234" w:rsidRPr="00BE70CC" w:rsidP="00B05719" w14:paraId="67589FAE" w14:textId="57607CEB">
      <w:pPr>
        <w:pStyle w:val="ParaNum"/>
        <w:widowControl/>
        <w:tabs>
          <w:tab w:val="clear" w:pos="1080"/>
          <w:tab w:val="num" w:pos="1440"/>
        </w:tabs>
      </w:pPr>
      <w:bookmarkStart w:id="6" w:name="_Ref94275975"/>
      <w:r w:rsidRPr="0019058B">
        <w:t xml:space="preserve">Pursuant to sections 4(i), 4(j), and 403 of the Act, we direct </w:t>
      </w:r>
      <w:r w:rsidR="00765D2B">
        <w:t>Martinez</w:t>
      </w:r>
      <w:r w:rsidRPr="0019058B">
        <w:t xml:space="preserve"> to confirm in writing, within thirty (30) days of the release of this Citation, that he has taken the corrective measures to eliminate the harmful interference, as well as provide a timeline for any pending corrective actions.  Failure to respond in writing, or the provision of an inadequate, incomplete, or misleading response, may subject </w:t>
      </w:r>
      <w:r w:rsidR="00765D2B">
        <w:t>Martinez</w:t>
      </w:r>
      <w:r w:rsidRPr="0019058B">
        <w:t xml:space="preserve"> to additional sanctions.</w:t>
      </w:r>
      <w:bookmarkEnd w:id="6"/>
      <w:r w:rsidRPr="00BE70CC" w:rsidR="005942FC">
        <w:t xml:space="preserve"> </w:t>
      </w:r>
    </w:p>
    <w:p w:rsidR="004D3233" w:rsidRPr="00BE70CC" w:rsidP="00B05719" w14:paraId="58BEC999" w14:textId="77777777">
      <w:pPr>
        <w:pStyle w:val="Heading1"/>
        <w:widowControl/>
      </w:pPr>
      <w:bookmarkStart w:id="7" w:name="SR;716"/>
      <w:bookmarkStart w:id="8" w:name="SR;717"/>
      <w:bookmarkEnd w:id="7"/>
      <w:bookmarkEnd w:id="8"/>
      <w:r w:rsidRPr="00BE70CC">
        <w:t>Op</w:t>
      </w:r>
      <w:r w:rsidRPr="00BE70CC" w:rsidR="0096675D">
        <w:t>portunity</w:t>
      </w:r>
      <w:r w:rsidRPr="00BE70CC">
        <w:t xml:space="preserve"> to respond to this citation</w:t>
      </w:r>
    </w:p>
    <w:p w:rsidR="00AA76BF" w:rsidP="00B05719" w14:paraId="47942334" w14:textId="4BC7D56C">
      <w:pPr>
        <w:pStyle w:val="ParaNum"/>
        <w:widowControl/>
        <w:tabs>
          <w:tab w:val="clear" w:pos="1080"/>
          <w:tab w:val="num" w:pos="1440"/>
        </w:tabs>
        <w:rPr>
          <w:kern w:val="2"/>
        </w:rPr>
      </w:pPr>
      <w:r>
        <w:t>Martinez</w:t>
      </w:r>
      <w:r w:rsidR="006C5844">
        <w:t xml:space="preserve"> </w:t>
      </w:r>
      <w:r w:rsidR="000A67B3">
        <w:t>must</w:t>
      </w:r>
      <w:r w:rsidRPr="00BE70CC" w:rsidR="00886C3A">
        <w:rPr>
          <w:kern w:val="2"/>
          <w:szCs w:val="22"/>
        </w:rPr>
        <w:t xml:space="preserve"> respond to this Citation within 30 calendar days from the </w:t>
      </w:r>
      <w:r w:rsidRPr="00BE70CC" w:rsidR="00B122C3">
        <w:rPr>
          <w:kern w:val="2"/>
          <w:szCs w:val="22"/>
        </w:rPr>
        <w:t>release date of this Citation</w:t>
      </w:r>
      <w:r w:rsidR="000A67B3">
        <w:rPr>
          <w:kern w:val="2"/>
          <w:szCs w:val="22"/>
        </w:rPr>
        <w:t xml:space="preserve">.  Martinez may respond </w:t>
      </w:r>
      <w:r w:rsidRPr="00BE70CC" w:rsidR="00B122C3">
        <w:rPr>
          <w:kern w:val="2"/>
          <w:szCs w:val="22"/>
        </w:rPr>
        <w:t>by any of the following methods</w:t>
      </w:r>
      <w:r w:rsidRPr="00BE70CC">
        <w:rPr>
          <w:kern w:val="2"/>
          <w:szCs w:val="22"/>
        </w:rPr>
        <w:t>:</w:t>
      </w:r>
      <w:r w:rsidR="00D57981">
        <w:rPr>
          <w:kern w:val="2"/>
          <w:szCs w:val="22"/>
        </w:rPr>
        <w:t xml:space="preserve"> </w:t>
      </w:r>
      <w:r w:rsidRPr="00BE70CC">
        <w:rPr>
          <w:kern w:val="2"/>
          <w:szCs w:val="22"/>
        </w:rPr>
        <w:t xml:space="preserve"> (</w:t>
      </w:r>
      <w:r w:rsidRPr="00BE70CC" w:rsidR="00886C3A">
        <w:rPr>
          <w:kern w:val="2"/>
          <w:szCs w:val="22"/>
        </w:rPr>
        <w:t xml:space="preserve">1) </w:t>
      </w:r>
      <w:r w:rsidRPr="00BE70CC" w:rsidR="00B122C3">
        <w:rPr>
          <w:kern w:val="2"/>
          <w:szCs w:val="22"/>
        </w:rPr>
        <w:t xml:space="preserve">a </w:t>
      </w:r>
      <w:r w:rsidRPr="00BE70CC" w:rsidR="00886C3A">
        <w:rPr>
          <w:kern w:val="2"/>
          <w:szCs w:val="22"/>
        </w:rPr>
        <w:t xml:space="preserve">written statement, (2) a teleconference interview, or (3) a personal interview at the Commission Field Office nearest to </w:t>
      </w:r>
      <w:r>
        <w:rPr>
          <w:kern w:val="2"/>
          <w:szCs w:val="22"/>
        </w:rPr>
        <w:t>Martinez</w:t>
      </w:r>
      <w:r w:rsidR="005B3F53">
        <w:rPr>
          <w:kern w:val="2"/>
          <w:szCs w:val="22"/>
        </w:rPr>
        <w:t>’s residence.</w:t>
      </w:r>
      <w:r w:rsidR="0090510E">
        <w:rPr>
          <w:kern w:val="2"/>
          <w:szCs w:val="22"/>
        </w:rPr>
        <w:t xml:space="preserve">  T</w:t>
      </w:r>
      <w:r w:rsidRPr="00BE70CC" w:rsidR="00F22E6D">
        <w:rPr>
          <w:kern w:val="2"/>
          <w:szCs w:val="22"/>
        </w:rPr>
        <w:t>he Commission Field Office nearest</w:t>
      </w:r>
      <w:r w:rsidR="000A67B3">
        <w:rPr>
          <w:kern w:val="2"/>
          <w:szCs w:val="22"/>
        </w:rPr>
        <w:t xml:space="preserve"> </w:t>
      </w:r>
      <w:r w:rsidR="00D57981">
        <w:rPr>
          <w:kern w:val="2"/>
          <w:szCs w:val="22"/>
        </w:rPr>
        <w:t xml:space="preserve">to </w:t>
      </w:r>
      <w:r>
        <w:rPr>
          <w:kern w:val="2"/>
          <w:szCs w:val="22"/>
        </w:rPr>
        <w:t>Martinez</w:t>
      </w:r>
      <w:r w:rsidR="00D57981">
        <w:rPr>
          <w:kern w:val="2"/>
          <w:szCs w:val="22"/>
        </w:rPr>
        <w:t>’s r</w:t>
      </w:r>
      <w:r w:rsidR="005B3F53">
        <w:rPr>
          <w:kern w:val="2"/>
          <w:szCs w:val="22"/>
        </w:rPr>
        <w:t xml:space="preserve">esidence is located in </w:t>
      </w:r>
      <w:r>
        <w:rPr>
          <w:kern w:val="2"/>
          <w:szCs w:val="22"/>
        </w:rPr>
        <w:t>Columbia</w:t>
      </w:r>
      <w:r w:rsidR="005B3F53">
        <w:rPr>
          <w:kern w:val="2"/>
          <w:szCs w:val="22"/>
        </w:rPr>
        <w:t xml:space="preserve">, </w:t>
      </w:r>
      <w:r>
        <w:rPr>
          <w:kern w:val="2"/>
          <w:szCs w:val="22"/>
        </w:rPr>
        <w:t>Maryland</w:t>
      </w:r>
      <w:r w:rsidR="005B3F53">
        <w:rPr>
          <w:kern w:val="2"/>
          <w:szCs w:val="22"/>
        </w:rPr>
        <w:t>.</w:t>
      </w:r>
      <w:r w:rsidRPr="00BE70CC" w:rsidR="00886C3A">
        <w:rPr>
          <w:kern w:val="2"/>
          <w:szCs w:val="22"/>
        </w:rPr>
        <w:t xml:space="preserve">  </w:t>
      </w:r>
    </w:p>
    <w:p w:rsidR="00AA76BF" w:rsidP="00B05719" w14:paraId="04153805" w14:textId="7891C00D">
      <w:pPr>
        <w:pStyle w:val="ParaNum"/>
        <w:widowControl/>
        <w:tabs>
          <w:tab w:val="clear" w:pos="1080"/>
          <w:tab w:val="num" w:pos="1440"/>
        </w:tabs>
        <w:rPr>
          <w:kern w:val="2"/>
        </w:rPr>
      </w:pPr>
      <w:r w:rsidRPr="005B3F53">
        <w:t xml:space="preserve">If </w:t>
      </w:r>
      <w:r w:rsidR="00765D2B">
        <w:t>Martinez</w:t>
      </w:r>
      <w:r w:rsidRPr="005B3F53" w:rsidR="005B3F53">
        <w:t xml:space="preserve"> </w:t>
      </w:r>
      <w:r w:rsidRPr="005B3F53" w:rsidR="00F22E6D">
        <w:t>requests</w:t>
      </w:r>
      <w:r w:rsidRPr="005B3F53">
        <w:t xml:space="preserve"> a teleconference or pers</w:t>
      </w:r>
      <w:r w:rsidRPr="005B3F53" w:rsidR="00F22E6D">
        <w:t xml:space="preserve">onal interview, </w:t>
      </w:r>
      <w:r w:rsidR="00D57981">
        <w:t xml:space="preserve">please </w:t>
      </w:r>
      <w:r w:rsidRPr="005B3F53">
        <w:t xml:space="preserve">contact </w:t>
      </w:r>
      <w:r w:rsidR="00D57981">
        <w:t>David C. Dombrowski, by telephone</w:t>
      </w:r>
      <w:r w:rsidR="000A67B3">
        <w:t xml:space="preserve"> at</w:t>
      </w:r>
      <w:r w:rsidR="00D57981">
        <w:t>:</w:t>
      </w:r>
      <w:r w:rsidR="000A67B3">
        <w:t xml:space="preserve"> </w:t>
      </w:r>
      <w:r w:rsidR="00D57981">
        <w:t>(</w:t>
      </w:r>
      <w:r w:rsidRPr="00AA76BF" w:rsidR="009F7FBE">
        <w:rPr>
          <w:kern w:val="2"/>
          <w:szCs w:val="22"/>
        </w:rPr>
        <w:t>301</w:t>
      </w:r>
      <w:r w:rsidR="00D57981">
        <w:rPr>
          <w:kern w:val="2"/>
          <w:szCs w:val="22"/>
        </w:rPr>
        <w:t xml:space="preserve">) </w:t>
      </w:r>
      <w:r w:rsidRPr="00AA76BF" w:rsidR="009F7FBE">
        <w:rPr>
          <w:kern w:val="2"/>
          <w:szCs w:val="22"/>
        </w:rPr>
        <w:t>725-1996.</w:t>
      </w:r>
      <w:r w:rsidRPr="005B3F53">
        <w:t xml:space="preserve">  </w:t>
      </w:r>
      <w:r w:rsidRPr="005B3F53" w:rsidR="00F22E6D">
        <w:t xml:space="preserve">We </w:t>
      </w:r>
      <w:r w:rsidRPr="005B3F53">
        <w:t xml:space="preserve">note that such teleconference or interview must take place within 30 calendar days of the </w:t>
      </w:r>
      <w:r w:rsidRPr="005B3F53" w:rsidR="00C22E21">
        <w:t xml:space="preserve">release </w:t>
      </w:r>
      <w:r w:rsidRPr="005B3F53">
        <w:t xml:space="preserve">date of this Citation.  If </w:t>
      </w:r>
      <w:r w:rsidR="00765D2B">
        <w:t>Martinez</w:t>
      </w:r>
      <w:r w:rsidR="009F7FBE">
        <w:t xml:space="preserve"> </w:t>
      </w:r>
      <w:r w:rsidRPr="005B3F53">
        <w:t xml:space="preserve">prefers to submit a written response with supporting documentation, </w:t>
      </w:r>
      <w:r w:rsidR="00981439">
        <w:t>he</w:t>
      </w:r>
      <w:r w:rsidRPr="005B3F53">
        <w:t xml:space="preserve"> must send the response within 30 calendar days of the </w:t>
      </w:r>
      <w:r w:rsidRPr="005B3F53" w:rsidR="00C22E21">
        <w:t xml:space="preserve">release </w:t>
      </w:r>
      <w:r w:rsidRPr="005B3F53">
        <w:t>date of this Citation to the contact and address provided in paragraph</w:t>
      </w:r>
      <w:r w:rsidRPr="005B3F53" w:rsidR="00D82A8B">
        <w:t xml:space="preserve"> </w:t>
      </w:r>
      <w:r w:rsidR="006821B2">
        <w:fldChar w:fldCharType="begin"/>
      </w:r>
      <w:r w:rsidR="006821B2">
        <w:instrText xml:space="preserve"> REF _Ref132194202 \r \h </w:instrText>
      </w:r>
      <w:r w:rsidR="006821B2">
        <w:fldChar w:fldCharType="separate"/>
      </w:r>
      <w:r w:rsidR="006821B2">
        <w:t>15</w:t>
      </w:r>
      <w:r w:rsidR="006821B2">
        <w:fldChar w:fldCharType="end"/>
      </w:r>
      <w:r w:rsidR="003C4309">
        <w:t xml:space="preserve"> </w:t>
      </w:r>
      <w:r w:rsidRPr="005B3F53">
        <w:t>below.</w:t>
      </w:r>
    </w:p>
    <w:p w:rsidR="00886C3A" w:rsidRPr="00AA76BF" w:rsidP="00484C57" w14:paraId="3CB35E8E" w14:textId="1212ED94">
      <w:pPr>
        <w:pStyle w:val="ParaNum"/>
        <w:keepNext/>
        <w:widowControl/>
        <w:tabs>
          <w:tab w:val="clear" w:pos="1080"/>
          <w:tab w:val="num" w:pos="1440"/>
        </w:tabs>
        <w:rPr>
          <w:kern w:val="2"/>
        </w:rPr>
      </w:pPr>
      <w:bookmarkStart w:id="9" w:name="_Ref132194202"/>
      <w:r w:rsidRPr="00AA76BF">
        <w:rPr>
          <w:kern w:val="2"/>
          <w:szCs w:val="22"/>
        </w:rPr>
        <w:t xml:space="preserve">All written communications should be sent to the </w:t>
      </w:r>
      <w:r w:rsidR="00765D2B">
        <w:rPr>
          <w:kern w:val="2"/>
          <w:szCs w:val="22"/>
        </w:rPr>
        <w:t xml:space="preserve">mailing and e-mail </w:t>
      </w:r>
      <w:r w:rsidRPr="00AA76BF">
        <w:rPr>
          <w:kern w:val="2"/>
          <w:szCs w:val="22"/>
        </w:rPr>
        <w:t>address below</w:t>
      </w:r>
      <w:r w:rsidR="00765D2B">
        <w:rPr>
          <w:kern w:val="2"/>
          <w:szCs w:val="22"/>
        </w:rPr>
        <w:t xml:space="preserve"> and reference File Number </w:t>
      </w:r>
      <w:r w:rsidRPr="00765D2B" w:rsidR="00765D2B">
        <w:rPr>
          <w:kern w:val="2"/>
          <w:szCs w:val="22"/>
        </w:rPr>
        <w:t>EB-FIELDNER-22-00033924</w:t>
      </w:r>
      <w:r w:rsidRPr="00AA76BF">
        <w:rPr>
          <w:kern w:val="2"/>
          <w:szCs w:val="22"/>
        </w:rPr>
        <w:t>.</w:t>
      </w:r>
      <w:bookmarkEnd w:id="9"/>
    </w:p>
    <w:p w:rsidR="00875AF8" w:rsidP="00484C57" w14:paraId="16E8D9BF" w14:textId="77777777">
      <w:pPr>
        <w:keepNext/>
        <w:widowControl/>
        <w:rPr>
          <w:noProof/>
        </w:rPr>
      </w:pPr>
      <w:r w:rsidRPr="00BE70CC">
        <w:rPr>
          <w:noProof/>
        </w:rPr>
        <w:tab/>
      </w:r>
      <w:r w:rsidRPr="00BE70CC">
        <w:rPr>
          <w:noProof/>
        </w:rPr>
        <w:tab/>
      </w:r>
      <w:r w:rsidRPr="00BE70CC">
        <w:rPr>
          <w:noProof/>
        </w:rPr>
        <w:tab/>
      </w:r>
      <w:r>
        <w:rPr>
          <w:noProof/>
        </w:rPr>
        <w:t>Federal Communications Commission</w:t>
      </w:r>
    </w:p>
    <w:p w:rsidR="00875AF8" w:rsidP="00484C57" w14:paraId="48755C46" w14:textId="18B44A92">
      <w:pPr>
        <w:keepNext/>
        <w:widowControl/>
        <w:ind w:left="1440" w:firstLine="720"/>
        <w:rPr>
          <w:noProof/>
        </w:rPr>
      </w:pPr>
      <w:r>
        <w:rPr>
          <w:noProof/>
        </w:rPr>
        <w:t>EB Columbia Regional Office</w:t>
      </w:r>
    </w:p>
    <w:p w:rsidR="00E13AC1" w:rsidP="00484C57" w14:paraId="0170E61C" w14:textId="77777777">
      <w:pPr>
        <w:keepNext/>
        <w:widowControl/>
        <w:ind w:left="2160"/>
        <w:rPr>
          <w:noProof/>
        </w:rPr>
      </w:pPr>
      <w:r>
        <w:rPr>
          <w:noProof/>
        </w:rPr>
        <w:t>Attn:  David C. Dombrowski</w:t>
      </w:r>
    </w:p>
    <w:p w:rsidR="00886C3A" w:rsidRPr="00BE70CC" w:rsidP="00484C57" w14:paraId="483F4BFF" w14:textId="4E1E1C8B">
      <w:pPr>
        <w:keepNext/>
        <w:widowControl/>
        <w:ind w:left="2160"/>
        <w:rPr>
          <w:noProof/>
        </w:rPr>
      </w:pPr>
      <w:r>
        <w:rPr>
          <w:noProof/>
        </w:rPr>
        <w:t>9050</w:t>
      </w:r>
      <w:r w:rsidR="009D6D36">
        <w:rPr>
          <w:noProof/>
        </w:rPr>
        <w:t xml:space="preserve"> Junction Drive</w:t>
      </w:r>
    </w:p>
    <w:p w:rsidR="00765D2B" w:rsidP="00484C57" w14:paraId="7F6FBD94" w14:textId="77777777">
      <w:pPr>
        <w:keepNext/>
        <w:widowControl/>
      </w:pPr>
      <w:r w:rsidRPr="00BE70CC">
        <w:rPr>
          <w:noProof/>
        </w:rPr>
        <w:tab/>
      </w:r>
      <w:r w:rsidRPr="00BE70CC">
        <w:rPr>
          <w:noProof/>
        </w:rPr>
        <w:tab/>
      </w:r>
      <w:r w:rsidRPr="00BE70CC">
        <w:rPr>
          <w:noProof/>
        </w:rPr>
        <w:tab/>
      </w:r>
      <w:r w:rsidR="003D421E">
        <w:t>Annapolis Junction, Maryland 20701</w:t>
      </w:r>
    </w:p>
    <w:p w:rsidR="00765D2B" w:rsidRPr="00BE70CC" w:rsidP="00484C57" w14:paraId="36290E66" w14:textId="1FFE7232">
      <w:pPr>
        <w:keepNext/>
        <w:widowControl/>
        <w:ind w:left="1440" w:firstLine="720"/>
      </w:pPr>
      <w:r>
        <w:t>FIELD@FCC.GOV</w:t>
      </w:r>
    </w:p>
    <w:p w:rsidR="00886C3A" w:rsidRPr="00BE70CC" w:rsidP="00484C57" w14:paraId="022DCB46" w14:textId="57A2B5B1">
      <w:pPr>
        <w:widowControl/>
        <w:spacing w:after="120"/>
        <w:ind w:left="1440" w:firstLine="720"/>
        <w:rPr>
          <w:noProof/>
        </w:rPr>
      </w:pPr>
      <w:r w:rsidRPr="00BE70CC">
        <w:rPr>
          <w:b/>
          <w:noProof/>
        </w:rPr>
        <w:t xml:space="preserve">Re: </w:t>
      </w:r>
      <w:r w:rsidRPr="00765D2B" w:rsidR="00765D2B">
        <w:rPr>
          <w:b/>
          <w:noProof/>
        </w:rPr>
        <w:t>EB-FIELDNER-22-00033924</w:t>
      </w:r>
    </w:p>
    <w:p w:rsidR="00886C3A" w:rsidRPr="00BE70CC" w:rsidP="00B05719" w14:paraId="31DBF228" w14:textId="4A422C56">
      <w:pPr>
        <w:pStyle w:val="ParaNum"/>
        <w:widowControl/>
        <w:tabs>
          <w:tab w:val="clear" w:pos="1080"/>
          <w:tab w:val="num" w:pos="1440"/>
        </w:tabs>
        <w:rPr>
          <w:kern w:val="2"/>
          <w:szCs w:val="22"/>
        </w:rPr>
      </w:pPr>
      <w:r w:rsidRPr="00AA76BF">
        <w:t>Upon</w:t>
      </w:r>
      <w:r w:rsidRPr="00BE70CC">
        <w:rPr>
          <w:kern w:val="2"/>
          <w:szCs w:val="22"/>
        </w:rPr>
        <w:t xml:space="preserve"> request, the Commission will make reasonable accommodations for persons with disabilities.  If applicable, </w:t>
      </w:r>
      <w:r w:rsidR="002E5215">
        <w:rPr>
          <w:kern w:val="2"/>
          <w:szCs w:val="22"/>
        </w:rPr>
        <w:t>Martinez</w:t>
      </w:r>
      <w:r w:rsidR="00750B48">
        <w:rPr>
          <w:kern w:val="2"/>
          <w:szCs w:val="22"/>
        </w:rPr>
        <w:t xml:space="preserve"> </w:t>
      </w:r>
      <w:r w:rsidRPr="00BE70CC">
        <w:rPr>
          <w:kern w:val="2"/>
          <w:szCs w:val="22"/>
        </w:rPr>
        <w:t xml:space="preserve">should provide a description of the accommodation required, and include as much detail as possible, and also provide </w:t>
      </w:r>
      <w:r w:rsidRPr="00BE70CC" w:rsidR="00C22E21">
        <w:rPr>
          <w:kern w:val="2"/>
          <w:szCs w:val="22"/>
        </w:rPr>
        <w:t xml:space="preserve">a telephone number and other </w:t>
      </w:r>
      <w:r w:rsidRPr="00BE70CC">
        <w:rPr>
          <w:kern w:val="2"/>
          <w:szCs w:val="22"/>
        </w:rPr>
        <w:t xml:space="preserve">contact information.  </w:t>
      </w:r>
      <w:r w:rsidR="002E5215">
        <w:rPr>
          <w:kern w:val="2"/>
          <w:szCs w:val="22"/>
        </w:rPr>
        <w:t>Martinez</w:t>
      </w:r>
      <w:r w:rsidR="00750B48">
        <w:rPr>
          <w:kern w:val="2"/>
          <w:szCs w:val="22"/>
        </w:rPr>
        <w:t xml:space="preserve"> </w:t>
      </w:r>
      <w:r w:rsidRPr="00BE70CC" w:rsidR="00436E88">
        <w:rPr>
          <w:kern w:val="2"/>
          <w:szCs w:val="22"/>
        </w:rPr>
        <w:t xml:space="preserve">should allow at least five </w:t>
      </w:r>
      <w:r w:rsidRPr="00BE70CC">
        <w:rPr>
          <w:kern w:val="2"/>
          <w:szCs w:val="22"/>
        </w:rPr>
        <w:t xml:space="preserve">business days advance notice; last minute requests will be </w:t>
      </w:r>
      <w:r w:rsidRPr="00BE70CC" w:rsidR="002E5215">
        <w:rPr>
          <w:kern w:val="2"/>
          <w:szCs w:val="22"/>
        </w:rPr>
        <w:t>accepted but</w:t>
      </w:r>
      <w:r w:rsidRPr="00BE70CC">
        <w:rPr>
          <w:kern w:val="2"/>
          <w:szCs w:val="22"/>
        </w:rPr>
        <w:t xml:space="preserve"> may be impossible to fill.  </w:t>
      </w:r>
      <w:r w:rsidR="002E5215">
        <w:rPr>
          <w:kern w:val="2"/>
          <w:szCs w:val="22"/>
        </w:rPr>
        <w:t>Martinez</w:t>
      </w:r>
      <w:r w:rsidRPr="00BE70CC">
        <w:t xml:space="preserve"> </w:t>
      </w:r>
      <w:r w:rsidRPr="00BE70CC">
        <w:rPr>
          <w:kern w:val="2"/>
          <w:szCs w:val="22"/>
        </w:rPr>
        <w:t xml:space="preserve">should send an e-mail to fcc504@fcc.gov or call the FCC’s Consumer </w:t>
      </w:r>
      <w:r w:rsidR="002E5215">
        <w:rPr>
          <w:kern w:val="2"/>
          <w:szCs w:val="22"/>
        </w:rPr>
        <w:t xml:space="preserve">and </w:t>
      </w:r>
      <w:r w:rsidRPr="00BE70CC">
        <w:rPr>
          <w:kern w:val="2"/>
          <w:szCs w:val="22"/>
        </w:rPr>
        <w:t>Governmental Affairs Bureau:</w:t>
      </w:r>
    </w:p>
    <w:p w:rsidR="00886C3A" w:rsidRPr="00BE70CC" w:rsidP="00B05719" w14:paraId="5DE5A513" w14:textId="77777777">
      <w:pPr>
        <w:widowControl/>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P="00B05719" w14:paraId="4DFAB1C1" w14:textId="111486FE">
      <w:pPr>
        <w:widowControl/>
        <w:spacing w:after="220"/>
        <w:rPr>
          <w:kern w:val="2"/>
          <w:szCs w:val="22"/>
        </w:rPr>
      </w:pPr>
      <w:r w:rsidRPr="00BE70CC">
        <w:rPr>
          <w:kern w:val="2"/>
          <w:szCs w:val="22"/>
        </w:rPr>
        <w:tab/>
      </w:r>
      <w:r w:rsidRPr="00BE70CC">
        <w:rPr>
          <w:kern w:val="2"/>
          <w:szCs w:val="22"/>
        </w:rPr>
        <w:tab/>
      </w:r>
      <w:r w:rsidR="00B76070">
        <w:rPr>
          <w:kern w:val="2"/>
          <w:szCs w:val="22"/>
        </w:rPr>
        <w:t>(</w:t>
      </w:r>
      <w:r w:rsidRPr="00BE70CC">
        <w:rPr>
          <w:kern w:val="2"/>
          <w:szCs w:val="22"/>
        </w:rPr>
        <w:t>202</w:t>
      </w:r>
      <w:r w:rsidR="00B76070">
        <w:rPr>
          <w:kern w:val="2"/>
          <w:szCs w:val="22"/>
        </w:rPr>
        <w:t xml:space="preserve">) </w:t>
      </w:r>
      <w:r w:rsidRPr="00BE70CC">
        <w:rPr>
          <w:kern w:val="2"/>
          <w:szCs w:val="22"/>
        </w:rPr>
        <w:t xml:space="preserve">418-0530 (voice), </w:t>
      </w:r>
      <w:r w:rsidR="00B76070">
        <w:rPr>
          <w:kern w:val="2"/>
          <w:szCs w:val="22"/>
        </w:rPr>
        <w:t>(</w:t>
      </w:r>
      <w:r w:rsidRPr="00BE70CC">
        <w:rPr>
          <w:kern w:val="2"/>
          <w:szCs w:val="22"/>
        </w:rPr>
        <w:t>202</w:t>
      </w:r>
      <w:r w:rsidR="00B76070">
        <w:rPr>
          <w:kern w:val="2"/>
          <w:szCs w:val="22"/>
        </w:rPr>
        <w:t xml:space="preserve">) </w:t>
      </w:r>
      <w:r w:rsidRPr="00BE70CC">
        <w:rPr>
          <w:kern w:val="2"/>
          <w:szCs w:val="22"/>
        </w:rPr>
        <w:t>418-0432 (</w:t>
      </w:r>
      <w:r w:rsidRPr="00BE70CC">
        <w:rPr>
          <w:kern w:val="2"/>
          <w:szCs w:val="22"/>
        </w:rPr>
        <w:t>tty</w:t>
      </w:r>
      <w:r w:rsidRPr="00BE70CC">
        <w:rPr>
          <w:kern w:val="2"/>
          <w:szCs w:val="22"/>
        </w:rPr>
        <w:t>);</w:t>
      </w:r>
      <w:r w:rsidR="002E5215">
        <w:rPr>
          <w:kern w:val="2"/>
          <w:szCs w:val="22"/>
        </w:rPr>
        <w:t xml:space="preserve"> and</w:t>
      </w:r>
    </w:p>
    <w:p w:rsidR="00886C3A" w:rsidRPr="00BE70CC" w:rsidP="00B05719" w14:paraId="25820983" w14:textId="640808ED">
      <w:pPr>
        <w:widowControl/>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r>
      <w:r w:rsidR="00B76070">
        <w:rPr>
          <w:kern w:val="2"/>
          <w:szCs w:val="22"/>
        </w:rPr>
        <w:t>(</w:t>
      </w:r>
      <w:r w:rsidRPr="00BE70CC">
        <w:rPr>
          <w:kern w:val="2"/>
          <w:szCs w:val="22"/>
        </w:rPr>
        <w:t>202</w:t>
      </w:r>
      <w:r w:rsidR="00B76070">
        <w:rPr>
          <w:kern w:val="2"/>
          <w:szCs w:val="22"/>
        </w:rPr>
        <w:t xml:space="preserve">) </w:t>
      </w:r>
      <w:r w:rsidRPr="00BE70CC">
        <w:rPr>
          <w:kern w:val="2"/>
          <w:szCs w:val="22"/>
        </w:rPr>
        <w:t xml:space="preserve">418-0531 (voice), </w:t>
      </w:r>
      <w:r w:rsidR="00B76070">
        <w:rPr>
          <w:kern w:val="2"/>
          <w:szCs w:val="22"/>
        </w:rPr>
        <w:t>(</w:t>
      </w:r>
      <w:r w:rsidRPr="00BE70CC">
        <w:rPr>
          <w:kern w:val="2"/>
          <w:szCs w:val="22"/>
        </w:rPr>
        <w:t>202</w:t>
      </w:r>
      <w:r w:rsidR="00B76070">
        <w:rPr>
          <w:kern w:val="2"/>
          <w:szCs w:val="22"/>
        </w:rPr>
        <w:t xml:space="preserve">) </w:t>
      </w:r>
      <w:r w:rsidRPr="00BE70CC">
        <w:rPr>
          <w:kern w:val="2"/>
          <w:szCs w:val="22"/>
        </w:rPr>
        <w:t>418-7365 (</w:t>
      </w:r>
      <w:r w:rsidRPr="00BE70CC">
        <w:rPr>
          <w:kern w:val="2"/>
          <w:szCs w:val="22"/>
        </w:rPr>
        <w:t>tty</w:t>
      </w:r>
      <w:r w:rsidRPr="00BE70CC">
        <w:rPr>
          <w:kern w:val="2"/>
          <w:szCs w:val="22"/>
        </w:rPr>
        <w:t>).</w:t>
      </w:r>
      <w:r w:rsidRPr="00BE70CC">
        <w:rPr>
          <w:b/>
          <w:kern w:val="2"/>
          <w:szCs w:val="22"/>
        </w:rPr>
        <w:t xml:space="preserve">  </w:t>
      </w:r>
    </w:p>
    <w:p w:rsidR="00886C3A" w:rsidRPr="00BE70CC" w:rsidP="00B05719" w14:paraId="08B3BC9C" w14:textId="60745F4A">
      <w:pPr>
        <w:pStyle w:val="ParaNum"/>
        <w:widowControl/>
        <w:tabs>
          <w:tab w:val="clear" w:pos="1080"/>
          <w:tab w:val="num" w:pos="1440"/>
        </w:tabs>
        <w:rPr>
          <w:szCs w:val="22"/>
        </w:rPr>
      </w:pPr>
      <w:r w:rsidRPr="00AA76BF">
        <w:t>We</w:t>
      </w:r>
      <w:r w:rsidRPr="00BE70CC">
        <w:rPr>
          <w:kern w:val="2"/>
          <w:szCs w:val="22"/>
        </w:rPr>
        <w:t xml:space="preserve"> advise </w:t>
      </w:r>
      <w:r w:rsidR="002E5215">
        <w:rPr>
          <w:kern w:val="2"/>
          <w:szCs w:val="22"/>
        </w:rPr>
        <w:t>Martinez</w:t>
      </w:r>
      <w:r w:rsidRPr="00BE70CC">
        <w:t xml:space="preserve"> </w:t>
      </w:r>
      <w:r w:rsidRPr="00BE70CC">
        <w:rPr>
          <w:kern w:val="2"/>
          <w:szCs w:val="22"/>
        </w:rPr>
        <w:t>th</w:t>
      </w:r>
      <w:r w:rsidRPr="00BE70CC">
        <w:rPr>
          <w:szCs w:val="22"/>
        </w:rPr>
        <w:t xml:space="preserve">at it is a violation of </w:t>
      </w:r>
      <w:r w:rsidR="002141E6">
        <w:rPr>
          <w:szCs w:val="22"/>
        </w:rPr>
        <w:t>s</w:t>
      </w:r>
      <w:r w:rsidRPr="00BE70CC">
        <w:rPr>
          <w:szCs w:val="22"/>
        </w:rPr>
        <w:t xml:space="preserve">ection 1.17 of the </w:t>
      </w:r>
      <w:r w:rsidR="002141E6">
        <w:rPr>
          <w:szCs w:val="22"/>
        </w:rPr>
        <w:t>Commission’s r</w:t>
      </w:r>
      <w:r w:rsidRPr="00BE70CC">
        <w:rPr>
          <w:szCs w:val="22"/>
        </w:rPr>
        <w:t>ules</w:t>
      </w:r>
      <w:r>
        <w:rPr>
          <w:rStyle w:val="FootnoteReference"/>
          <w:szCs w:val="22"/>
        </w:rPr>
        <w:footnoteReference w:id="17"/>
      </w:r>
      <w:r w:rsidRPr="00BE70CC">
        <w:rPr>
          <w:szCs w:val="22"/>
        </w:rPr>
        <w:t xml:space="preserve"> for any person to make any false or misleading written or oral statement of fact</w:t>
      </w:r>
      <w:r w:rsidR="00BE70CC">
        <w:rPr>
          <w:szCs w:val="22"/>
        </w:rPr>
        <w:t xml:space="preserve"> to the Commission</w:t>
      </w:r>
      <w:r w:rsidRPr="00BE70CC">
        <w:rPr>
          <w:szCs w:val="22"/>
        </w:rPr>
        <w:t>.  Specifically, no person shall:</w:t>
      </w:r>
    </w:p>
    <w:p w:rsidR="00886C3A" w:rsidRPr="00BE70CC" w:rsidP="00B05719" w14:paraId="7257743A" w14:textId="77777777">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BE70CC" w:rsidP="00B05719" w14:paraId="2012C0D2" w14:textId="77777777">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AA76BF" w:rsidP="00B05719" w14:paraId="2580900F" w14:textId="77777777">
      <w:pPr>
        <w:pStyle w:val="ParaNum"/>
        <w:widowControl/>
        <w:tabs>
          <w:tab w:val="clear" w:pos="1080"/>
          <w:tab w:val="num" w:pos="1440"/>
        </w:tabs>
        <w:rPr>
          <w:kern w:val="2"/>
          <w:szCs w:val="22"/>
        </w:rPr>
      </w:pPr>
      <w:r w:rsidRPr="00BE70CC">
        <w:rPr>
          <w:kern w:val="2"/>
          <w:szCs w:val="22"/>
        </w:rPr>
        <w:t>Further, the knowing and willful making of any false statement, or the concealment of any material fact, in reply to this Citation is punishable by fine or imprisonment</w:t>
      </w:r>
      <w:r w:rsidR="0090510E">
        <w:rPr>
          <w:kern w:val="2"/>
          <w:szCs w:val="22"/>
        </w:rPr>
        <w:t>.</w:t>
      </w:r>
      <w:r>
        <w:rPr>
          <w:rStyle w:val="FootnoteReference"/>
          <w:kern w:val="2"/>
          <w:szCs w:val="22"/>
        </w:rPr>
        <w:footnoteReference w:id="18"/>
      </w:r>
    </w:p>
    <w:p w:rsidR="00AA76BF" w:rsidP="00B05719" w14:paraId="2430D658" w14:textId="77777777">
      <w:pPr>
        <w:pStyle w:val="ParaNum"/>
        <w:widowControl/>
        <w:tabs>
          <w:tab w:val="clear" w:pos="1080"/>
          <w:tab w:val="num" w:pos="1440"/>
        </w:tabs>
        <w:rPr>
          <w:kern w:val="2"/>
          <w:szCs w:val="22"/>
        </w:rPr>
      </w:pPr>
      <w:r w:rsidRPr="00AA76BF">
        <w:rPr>
          <w:kern w:val="2"/>
          <w:szCs w:val="22"/>
        </w:rPr>
        <w:t xml:space="preserve">Violations of </w:t>
      </w:r>
      <w:r w:rsidRPr="00AA76BF" w:rsidR="002141E6">
        <w:rPr>
          <w:kern w:val="2"/>
          <w:szCs w:val="22"/>
        </w:rPr>
        <w:t>s</w:t>
      </w:r>
      <w:r w:rsidRPr="00AA76BF">
        <w:rPr>
          <w:kern w:val="2"/>
          <w:szCs w:val="22"/>
        </w:rPr>
        <w:t xml:space="preserve">ection 1.17 of the </w:t>
      </w:r>
      <w:r w:rsidRPr="00AA76BF" w:rsidR="002141E6">
        <w:rPr>
          <w:kern w:val="2"/>
          <w:szCs w:val="22"/>
        </w:rPr>
        <w:t>Commission’s r</w:t>
      </w:r>
      <w:r w:rsidRPr="00AA76BF">
        <w:rPr>
          <w:kern w:val="2"/>
          <w:szCs w:val="22"/>
        </w:rPr>
        <w:t xml:space="preserve">ules or the criminal statute referenced above may result in further legal action, including monetary forfeitures pursuant to </w:t>
      </w:r>
      <w:r w:rsidRPr="00AA76BF" w:rsidR="002141E6">
        <w:rPr>
          <w:kern w:val="2"/>
          <w:szCs w:val="22"/>
        </w:rPr>
        <w:t>s</w:t>
      </w:r>
      <w:r w:rsidRPr="00AA76BF">
        <w:rPr>
          <w:kern w:val="2"/>
          <w:szCs w:val="22"/>
        </w:rPr>
        <w:t>ection 503 of the</w:t>
      </w:r>
      <w:r w:rsidRPr="00AA76BF" w:rsidR="003C4AD3">
        <w:rPr>
          <w:kern w:val="2"/>
          <w:szCs w:val="22"/>
        </w:rPr>
        <w:t xml:space="preserve"> </w:t>
      </w:r>
      <w:r w:rsidRPr="00AA76BF">
        <w:rPr>
          <w:kern w:val="2"/>
          <w:szCs w:val="22"/>
        </w:rPr>
        <w:t>Act.</w:t>
      </w:r>
    </w:p>
    <w:p w:rsidR="004D3233" w:rsidRPr="00AA76BF" w:rsidP="00B05719" w14:paraId="16076265" w14:textId="498D7719">
      <w:pPr>
        <w:pStyle w:val="ParaNum"/>
        <w:widowControl/>
        <w:tabs>
          <w:tab w:val="clear" w:pos="1080"/>
          <w:tab w:val="num" w:pos="1440"/>
        </w:tabs>
        <w:rPr>
          <w:kern w:val="2"/>
          <w:szCs w:val="22"/>
        </w:rPr>
      </w:pPr>
      <w:r w:rsidRPr="00AA76BF">
        <w:rPr>
          <w:kern w:val="2"/>
          <w:szCs w:val="22"/>
        </w:rPr>
        <w:t xml:space="preserve">Finally, we warn </w:t>
      </w:r>
      <w:r w:rsidR="006A503A">
        <w:rPr>
          <w:kern w:val="2"/>
          <w:szCs w:val="22"/>
        </w:rPr>
        <w:t>Martinez</w:t>
      </w:r>
      <w:r w:rsidRPr="00AA76BF" w:rsidR="00750B48">
        <w:rPr>
          <w:kern w:val="2"/>
          <w:szCs w:val="22"/>
        </w:rPr>
        <w:t xml:space="preserve"> </w:t>
      </w:r>
      <w:r w:rsidRPr="00AA76BF">
        <w:rPr>
          <w:kern w:val="2"/>
          <w:szCs w:val="22"/>
        </w:rPr>
        <w:t xml:space="preserve">that, under the </w:t>
      </w:r>
      <w:r w:rsidRPr="00AA76BF" w:rsidR="00436E88">
        <w:rPr>
          <w:kern w:val="2"/>
          <w:szCs w:val="22"/>
        </w:rPr>
        <w:t>Privacy Act of 1974</w:t>
      </w:r>
      <w:r w:rsidRPr="00AA76BF" w:rsidR="003C4AD3">
        <w:rPr>
          <w:kern w:val="2"/>
          <w:szCs w:val="22"/>
        </w:rPr>
        <w:t>,</w:t>
      </w:r>
      <w:r>
        <w:rPr>
          <w:rStyle w:val="FootnoteReference"/>
          <w:kern w:val="2"/>
          <w:szCs w:val="22"/>
        </w:rPr>
        <w:footnoteReference w:id="19"/>
      </w:r>
      <w:r w:rsidRPr="00AA76BF" w:rsidR="00436E88">
        <w:rPr>
          <w:kern w:val="2"/>
          <w:szCs w:val="22"/>
        </w:rPr>
        <w:t xml:space="preserve"> </w:t>
      </w:r>
      <w:r w:rsidRPr="00AA76BF">
        <w:rPr>
          <w:kern w:val="2"/>
          <w:szCs w:val="22"/>
        </w:rPr>
        <w:t xml:space="preserve">Commission staff will use all relevant material information before it, including information disclosed </w:t>
      </w:r>
      <w:r w:rsidRPr="00AA76BF" w:rsidR="00BE70CC">
        <w:rPr>
          <w:kern w:val="2"/>
          <w:szCs w:val="22"/>
        </w:rPr>
        <w:t>in</w:t>
      </w:r>
      <w:r w:rsidRPr="00AA76BF">
        <w:rPr>
          <w:kern w:val="2"/>
          <w:szCs w:val="22"/>
        </w:rPr>
        <w:t xml:space="preserve"> interviews or written </w:t>
      </w:r>
      <w:r w:rsidRPr="00AA76BF">
        <w:rPr>
          <w:kern w:val="2"/>
          <w:szCs w:val="22"/>
        </w:rPr>
        <w:t xml:space="preserve">statements, to determine what, if any, enforcement action is required to ensure </w:t>
      </w:r>
      <w:r w:rsidR="006A503A">
        <w:rPr>
          <w:kern w:val="2"/>
          <w:szCs w:val="22"/>
        </w:rPr>
        <w:t>Martinez</w:t>
      </w:r>
      <w:r w:rsidRPr="00AA76BF">
        <w:rPr>
          <w:kern w:val="2"/>
          <w:szCs w:val="22"/>
        </w:rPr>
        <w:t xml:space="preserve">’s compliance with the Act and </w:t>
      </w:r>
      <w:r w:rsidRPr="00AA76BF" w:rsidR="002141E6">
        <w:rPr>
          <w:kern w:val="2"/>
          <w:szCs w:val="22"/>
        </w:rPr>
        <w:t>the Commission’s r</w:t>
      </w:r>
      <w:r w:rsidRPr="00AA76BF">
        <w:rPr>
          <w:kern w:val="2"/>
          <w:szCs w:val="22"/>
        </w:rPr>
        <w:t>ules.</w:t>
      </w:r>
      <w:bookmarkStart w:id="10" w:name="_Hlk62649332"/>
      <w:r>
        <w:rPr>
          <w:rStyle w:val="FootnoteReference"/>
        </w:rPr>
        <w:footnoteReference w:id="20"/>
      </w:r>
      <w:bookmarkEnd w:id="10"/>
    </w:p>
    <w:p w:rsidR="003343CA" w:rsidRPr="00BE70CC" w:rsidP="00B05719" w14:paraId="34568B84" w14:textId="77777777">
      <w:pPr>
        <w:pStyle w:val="Heading1"/>
        <w:widowControl/>
      </w:pPr>
      <w:r w:rsidRPr="00BE70CC">
        <w:t>future violations</w:t>
      </w:r>
    </w:p>
    <w:p w:rsidR="005B4CEA" w:rsidRPr="00BE70CC" w:rsidP="00B05719" w14:paraId="77332416" w14:textId="0E420415">
      <w:pPr>
        <w:pStyle w:val="ParaNum"/>
        <w:widowControl/>
        <w:tabs>
          <w:tab w:val="clear" w:pos="1080"/>
          <w:tab w:val="num" w:pos="1440"/>
        </w:tabs>
      </w:pPr>
      <w:r w:rsidRPr="00BE70CC">
        <w:t xml:space="preserve">If, after receipt of this Citation, </w:t>
      </w:r>
      <w:r w:rsidR="006A503A">
        <w:t>Martinez</w:t>
      </w:r>
      <w:r w:rsidR="00897CDB">
        <w:t xml:space="preserve"> </w:t>
      </w:r>
      <w:r w:rsidRPr="00BE70CC">
        <w:t xml:space="preserve">again violates </w:t>
      </w:r>
      <w:r w:rsidR="002141E6">
        <w:t>s</w:t>
      </w:r>
      <w:r w:rsidRPr="00BE70CC" w:rsidR="0096675D">
        <w:t>ection</w:t>
      </w:r>
      <w:r w:rsidR="00771B42">
        <w:t>s</w:t>
      </w:r>
      <w:r w:rsidRPr="00BE70CC" w:rsidR="0096675D">
        <w:t xml:space="preserve"> </w:t>
      </w:r>
      <w:r w:rsidR="00DC2EEB">
        <w:t>301</w:t>
      </w:r>
      <w:r w:rsidR="00771B42">
        <w:t xml:space="preserve"> or 333</w:t>
      </w:r>
      <w:r w:rsidR="00DC2EEB">
        <w:t xml:space="preserve"> </w:t>
      </w:r>
      <w:r w:rsidRPr="00BE70CC">
        <w:t xml:space="preserve">of the </w:t>
      </w:r>
      <w:r w:rsidR="003C4AD3">
        <w:t>Act</w:t>
      </w:r>
      <w:r w:rsidR="008A6553">
        <w:t>, and/</w:t>
      </w:r>
      <w:r w:rsidR="005C7F21">
        <w:t>or sections 15</w:t>
      </w:r>
      <w:r w:rsidR="00E00A5B">
        <w:t>.5</w:t>
      </w:r>
      <w:r w:rsidR="005C7F21">
        <w:t xml:space="preserve">(b) or </w:t>
      </w:r>
      <w:r w:rsidR="008A6553">
        <w:t>15</w:t>
      </w:r>
      <w:r w:rsidR="00E00A5B">
        <w:t>.5</w:t>
      </w:r>
      <w:r w:rsidR="005C7F21">
        <w:t>(c)</w:t>
      </w:r>
      <w:r w:rsidRPr="00BE70CC">
        <w:t xml:space="preserve"> </w:t>
      </w:r>
      <w:r w:rsidR="008A6553">
        <w:t xml:space="preserve">of the Commission’s rules </w:t>
      </w:r>
      <w:r w:rsidRPr="00BE70CC">
        <w:t xml:space="preserve">by engaging in conduct of the type described herein, the Commission may impose </w:t>
      </w:r>
      <w:r w:rsidRPr="00BE70CC" w:rsidR="00D05B66">
        <w:t xml:space="preserve">sanctions </w:t>
      </w:r>
      <w:r w:rsidRPr="00BE70CC">
        <w:t xml:space="preserve">for each such violation.  For example, the </w:t>
      </w:r>
      <w:r w:rsidRPr="00BE70CC" w:rsidR="00D05B66">
        <w:t>Commission m</w:t>
      </w:r>
      <w:r w:rsidRPr="00BE70CC" w:rsidR="00654D13">
        <w:t xml:space="preserve">ay impose monetary forfeitures. </w:t>
      </w:r>
      <w:r w:rsidRPr="00BE70CC" w:rsidR="00D05B66">
        <w:t xml:space="preserve"> </w:t>
      </w:r>
      <w:r w:rsidRPr="003C4AD3" w:rsidR="00654D13">
        <w:rPr>
          <w:kern w:val="2"/>
          <w:szCs w:val="22"/>
        </w:rPr>
        <w:t>The Commission may impose forfeitures not to exceed $</w:t>
      </w:r>
      <w:r w:rsidR="00B45920">
        <w:rPr>
          <w:rFonts w:ascii="TimesNewRomanPSMT" w:hAnsi="TimesNewRomanPSMT" w:cs="TimesNewRomanPSMT"/>
          <w:kern w:val="0"/>
          <w:szCs w:val="22"/>
        </w:rPr>
        <w:t>23,727</w:t>
      </w:r>
      <w:r w:rsidR="00956EDC">
        <w:rPr>
          <w:rFonts w:ascii="TimesNewRomanPSMT" w:hAnsi="TimesNewRomanPSMT" w:cs="TimesNewRomanPSMT"/>
          <w:kern w:val="0"/>
          <w:szCs w:val="22"/>
        </w:rPr>
        <w:t xml:space="preserve"> </w:t>
      </w:r>
      <w:r w:rsidRPr="003C4AD3" w:rsidR="00654D13">
        <w:rPr>
          <w:szCs w:val="22"/>
        </w:rPr>
        <w:t xml:space="preserve">for each such violation or each day of a continuing violation, and up to </w:t>
      </w:r>
      <w:r w:rsidRPr="003C4AD3" w:rsidR="00BE70CC">
        <w:rPr>
          <w:szCs w:val="22"/>
        </w:rPr>
        <w:t>$</w:t>
      </w:r>
      <w:r w:rsidR="00B45920">
        <w:rPr>
          <w:rFonts w:ascii="TimesNewRomanPSMT" w:hAnsi="TimesNewRomanPSMT" w:cs="TimesNewRomanPSMT"/>
          <w:kern w:val="0"/>
          <w:szCs w:val="22"/>
        </w:rPr>
        <w:t>177,951</w:t>
      </w:r>
      <w:r w:rsidR="005214A3">
        <w:rPr>
          <w:rFonts w:ascii="TimesNewRomanPSMT" w:hAnsi="TimesNewRomanPSMT" w:cs="TimesNewRomanPSMT"/>
          <w:kern w:val="0"/>
          <w:szCs w:val="22"/>
        </w:rPr>
        <w:t xml:space="preserve"> </w:t>
      </w:r>
      <w:r w:rsidRPr="003C4AD3" w:rsidR="00654D13">
        <w:rPr>
          <w:szCs w:val="22"/>
        </w:rPr>
        <w:t>for any single act or failure to act.</w:t>
      </w:r>
      <w:r>
        <w:rPr>
          <w:szCs w:val="22"/>
          <w:vertAlign w:val="superscript"/>
        </w:rPr>
        <w:footnoteReference w:id="21"/>
      </w:r>
      <w:r w:rsidRPr="00BE70CC" w:rsidR="0096675D">
        <w:t xml:space="preserve">  </w:t>
      </w:r>
      <w:r w:rsidRPr="00BE70CC">
        <w:t>The Commission may fur</w:t>
      </w:r>
      <w:r w:rsidRPr="00BE70CC" w:rsidR="00C22E21">
        <w:t xml:space="preserve">ther adjust the forfeiture reflecting </w:t>
      </w:r>
      <w:r w:rsidRPr="00BE70CC">
        <w:t xml:space="preserve">enumerated statutory factors, </w:t>
      </w:r>
      <w:r w:rsidRPr="003C4AD3">
        <w:rPr>
          <w:szCs w:val="22"/>
        </w:rPr>
        <w:t>which include the nature, circumstances, extent, and gravity of the violation, and with respect to the violator, the degree of culpability, any history of prior offenses, ability to pay, and other such matters as justice may require</w:t>
      </w:r>
      <w:r w:rsidRPr="00BE70CC">
        <w:t>.</w:t>
      </w:r>
      <w:r>
        <w:rPr>
          <w:rStyle w:val="FootnoteReference"/>
          <w:szCs w:val="22"/>
        </w:rPr>
        <w:footnoteReference w:id="22"/>
      </w:r>
      <w:r w:rsidRPr="00BE70CC">
        <w:t xml:space="preserve">  </w:t>
      </w:r>
      <w:r w:rsidRPr="00BE70CC" w:rsidR="00E00A5B">
        <w:t>Further, as discussed above, the Commission may assess forfeitures on both the conduct that led to this Citation and the conduct following it.</w:t>
      </w:r>
      <w:r>
        <w:rPr>
          <w:rStyle w:val="FootnoteReference"/>
          <w:szCs w:val="22"/>
        </w:rPr>
        <w:footnoteReference w:id="23"/>
      </w:r>
      <w:r w:rsidRPr="00BE70CC" w:rsidR="00E00A5B">
        <w:t xml:space="preserve">  </w:t>
      </w:r>
      <w:r w:rsidRPr="003C4AD3" w:rsidR="00E00A5B">
        <w:rPr>
          <w:szCs w:val="22"/>
        </w:rPr>
        <w:t xml:space="preserve">In addition, future violations may subject </w:t>
      </w:r>
      <w:r w:rsidR="003518EB">
        <w:rPr>
          <w:szCs w:val="22"/>
        </w:rPr>
        <w:t>Martinez</w:t>
      </w:r>
      <w:r w:rsidRPr="00BE70CC" w:rsidR="00E00A5B">
        <w:t xml:space="preserve"> to</w:t>
      </w:r>
      <w:r w:rsidRPr="003C4AD3" w:rsidR="00E00A5B">
        <w:rPr>
          <w:szCs w:val="22"/>
        </w:rPr>
        <w:t xml:space="preserve"> seizure of equipment through </w:t>
      </w:r>
      <w:r w:rsidRPr="003C4AD3" w:rsidR="00E00A5B">
        <w:rPr>
          <w:i/>
          <w:szCs w:val="22"/>
        </w:rPr>
        <w:t>in rem</w:t>
      </w:r>
      <w:r w:rsidRPr="003C4AD3" w:rsidR="00E00A5B">
        <w:rPr>
          <w:szCs w:val="22"/>
        </w:rPr>
        <w:t xml:space="preserve"> forfeiture actions,</w:t>
      </w:r>
      <w:r>
        <w:rPr>
          <w:rStyle w:val="FootnoteReference"/>
          <w:szCs w:val="22"/>
        </w:rPr>
        <w:footnoteReference w:id="24"/>
      </w:r>
      <w:r w:rsidRPr="003C4AD3" w:rsidR="00E00A5B">
        <w:rPr>
          <w:szCs w:val="22"/>
        </w:rPr>
        <w:t xml:space="preserve"> as well as criminal sanctions, including imprisonment.</w:t>
      </w:r>
      <w:r>
        <w:rPr>
          <w:rStyle w:val="FootnoteReference"/>
          <w:szCs w:val="22"/>
        </w:rPr>
        <w:footnoteReference w:id="25"/>
      </w:r>
    </w:p>
    <w:p w:rsidR="003343CA" w:rsidRPr="00BE70CC" w:rsidP="00B05719" w14:paraId="7FFC57B9" w14:textId="77777777">
      <w:pPr>
        <w:pStyle w:val="Heading1"/>
        <w:widowControl/>
      </w:pPr>
      <w:r w:rsidRPr="00BE70CC">
        <w:t>ORDERING CLAUSES</w:t>
      </w:r>
    </w:p>
    <w:p w:rsidR="0077073F" w:rsidRPr="00BE70CC" w:rsidP="00B05719" w14:paraId="0EBE5E9A" w14:textId="29B3C240">
      <w:pPr>
        <w:pStyle w:val="ParaNum"/>
        <w:widowControl/>
        <w:tabs>
          <w:tab w:val="clear" w:pos="1080"/>
          <w:tab w:val="num" w:pos="1440"/>
        </w:tabs>
        <w:rPr>
          <w:kern w:val="2"/>
          <w:szCs w:val="22"/>
        </w:rPr>
      </w:pPr>
      <w:r w:rsidRPr="00BE70CC">
        <w:t xml:space="preserve">Accordingly, </w:t>
      </w:r>
      <w:r w:rsidRPr="00BE70CC">
        <w:rPr>
          <w:b/>
        </w:rPr>
        <w:t>IT IS ORDERED</w:t>
      </w:r>
      <w:r w:rsidRPr="00BE70CC">
        <w:t xml:space="preserve"> that, pursuant to </w:t>
      </w:r>
      <w:r>
        <w:t>s</w:t>
      </w:r>
      <w:r w:rsidRPr="00BE70CC">
        <w:rPr>
          <w:noProof/>
          <w:color w:val="000000"/>
          <w:szCs w:val="22"/>
        </w:rPr>
        <w:t xml:space="preserve">ections 4(i) and 4(j) of the </w:t>
      </w:r>
      <w:r>
        <w:rPr>
          <w:noProof/>
          <w:color w:val="000000"/>
          <w:szCs w:val="22"/>
        </w:rPr>
        <w:t>Act</w:t>
      </w:r>
      <w:r w:rsidRPr="00BE70CC">
        <w:rPr>
          <w:noProof/>
          <w:color w:val="000000"/>
          <w:szCs w:val="22"/>
        </w:rPr>
        <w:t>,</w:t>
      </w:r>
      <w:r w:rsidRPr="007B31D2" w:rsidR="007B31D2">
        <w:t xml:space="preserve"> </w:t>
      </w:r>
      <w:r w:rsidRPr="007B31D2" w:rsidR="007B31D2">
        <w:rPr>
          <w:noProof/>
          <w:color w:val="000000"/>
          <w:szCs w:val="22"/>
        </w:rPr>
        <w:t>47 U.S.C. § 154(i), (j)</w:t>
      </w:r>
      <w:r w:rsidR="007B31D2">
        <w:rPr>
          <w:noProof/>
          <w:color w:val="000000"/>
          <w:szCs w:val="22"/>
        </w:rPr>
        <w:t>,</w:t>
      </w:r>
      <w:r w:rsidRPr="00BE70CC">
        <w:rPr>
          <w:noProof/>
          <w:color w:val="000000"/>
          <w:szCs w:val="22"/>
        </w:rPr>
        <w:t xml:space="preserve"> </w:t>
      </w:r>
      <w:r>
        <w:rPr>
          <w:noProof/>
          <w:color w:val="000000"/>
          <w:szCs w:val="22"/>
        </w:rPr>
        <w:t xml:space="preserve">Luis Martinez </w:t>
      </w:r>
      <w:r w:rsidRPr="00BE70CC">
        <w:rPr>
          <w:noProof/>
          <w:color w:val="000000"/>
          <w:szCs w:val="22"/>
        </w:rPr>
        <w:t xml:space="preserve">must cease and desist from </w:t>
      </w:r>
      <w:r>
        <w:rPr>
          <w:noProof/>
          <w:color w:val="000000"/>
          <w:szCs w:val="22"/>
        </w:rPr>
        <w:t>causing harmful interference</w:t>
      </w:r>
      <w:r w:rsidR="00022AA8">
        <w:rPr>
          <w:noProof/>
          <w:color w:val="000000"/>
          <w:szCs w:val="22"/>
        </w:rPr>
        <w:t xml:space="preserve"> in violation of section 333 of the Act</w:t>
      </w:r>
      <w:r w:rsidR="00D91680">
        <w:rPr>
          <w:noProof/>
          <w:color w:val="000000"/>
          <w:szCs w:val="22"/>
        </w:rPr>
        <w:t xml:space="preserve">, 47 U.S.C. </w:t>
      </w:r>
      <w:r w:rsidR="00D91680">
        <w:t>§ 333,</w:t>
      </w:r>
      <w:r w:rsidR="00022AA8">
        <w:rPr>
          <w:noProof/>
          <w:color w:val="000000"/>
          <w:szCs w:val="22"/>
        </w:rPr>
        <w:t xml:space="preserve"> and operating without authorization</w:t>
      </w:r>
      <w:r>
        <w:rPr>
          <w:noProof/>
          <w:color w:val="000000"/>
          <w:szCs w:val="22"/>
        </w:rPr>
        <w:t xml:space="preserve"> in violation of section 301 of the Act</w:t>
      </w:r>
      <w:r w:rsidR="007B31D2">
        <w:rPr>
          <w:noProof/>
          <w:color w:val="000000"/>
          <w:szCs w:val="22"/>
        </w:rPr>
        <w:t xml:space="preserve">, </w:t>
      </w:r>
      <w:r w:rsidR="007B31D2">
        <w:t>47 U.S.C. § 301,</w:t>
      </w:r>
      <w:r>
        <w:rPr>
          <w:noProof/>
          <w:color w:val="000000"/>
          <w:szCs w:val="22"/>
        </w:rPr>
        <w:t xml:space="preserve"> and sections 15(b) and 15(c) of the Commission’s rules</w:t>
      </w:r>
      <w:r w:rsidR="007B31D2">
        <w:rPr>
          <w:noProof/>
          <w:color w:val="000000"/>
          <w:szCs w:val="22"/>
        </w:rPr>
        <w:t xml:space="preserve">, </w:t>
      </w:r>
      <w:r w:rsidRPr="007B31D2" w:rsidR="007B31D2">
        <w:rPr>
          <w:noProof/>
          <w:color w:val="000000"/>
          <w:szCs w:val="22"/>
        </w:rPr>
        <w:t>47 CFR § 15.5(b)-(c)</w:t>
      </w:r>
      <w:r>
        <w:rPr>
          <w:noProof/>
          <w:color w:val="000000"/>
          <w:szCs w:val="22"/>
        </w:rPr>
        <w:t>.</w:t>
      </w:r>
      <w:r w:rsidRPr="00BE70CC" w:rsidR="00C93DFC">
        <w:rPr>
          <w:noProof/>
          <w:color w:val="000000"/>
          <w:szCs w:val="22"/>
        </w:rPr>
        <w:t xml:space="preserve">  </w:t>
      </w:r>
    </w:p>
    <w:p w:rsidR="003343CA" w:rsidRPr="00BE70CC" w:rsidP="00B05719" w14:paraId="3840004E" w14:textId="0A81B0D5">
      <w:pPr>
        <w:pStyle w:val="ParaNum"/>
        <w:widowControl/>
        <w:tabs>
          <w:tab w:val="clear" w:pos="1080"/>
          <w:tab w:val="num" w:pos="1440"/>
        </w:tabs>
        <w:rPr>
          <w:noProof/>
        </w:rPr>
      </w:pPr>
      <w:r w:rsidRPr="00BE70CC">
        <w:rPr>
          <w:b/>
          <w:noProof/>
        </w:rPr>
        <w:t>IT IS FURTHER ORDERED</w:t>
      </w:r>
      <w:r w:rsidRPr="00BE70CC">
        <w:rPr>
          <w:noProof/>
        </w:rPr>
        <w:t xml:space="preserve"> that, pursuant to </w:t>
      </w:r>
      <w:r w:rsidR="002141E6">
        <w:rPr>
          <w:noProof/>
        </w:rPr>
        <w:t>s</w:t>
      </w:r>
      <w:r w:rsidRPr="00BE70CC" w:rsidR="008F21BF">
        <w:rPr>
          <w:noProof/>
        </w:rPr>
        <w:t>ections 4(i), 4(j), and 403 of the Act</w:t>
      </w:r>
      <w:r w:rsidRPr="00BE70CC">
        <w:rPr>
          <w:noProof/>
        </w:rPr>
        <w:t>,</w:t>
      </w:r>
      <w:r>
        <w:rPr>
          <w:rStyle w:val="FootnoteReference"/>
          <w:noProof/>
          <w:szCs w:val="22"/>
        </w:rPr>
        <w:footnoteReference w:id="26"/>
      </w:r>
      <w:r w:rsidRPr="00BE70CC">
        <w:rPr>
          <w:noProof/>
        </w:rPr>
        <w:t xml:space="preserve">  </w:t>
      </w:r>
      <w:r>
        <w:rPr>
          <w:noProof/>
        </w:rPr>
        <w:t>Luis Martinez</w:t>
      </w:r>
      <w:r w:rsidR="00120BA1">
        <w:rPr>
          <w:noProof/>
        </w:rPr>
        <w:t xml:space="preserve"> </w:t>
      </w:r>
      <w:r w:rsidRPr="00BE70CC">
        <w:rPr>
          <w:noProof/>
        </w:rPr>
        <w:t>must provide the written info</w:t>
      </w:r>
      <w:r w:rsidRPr="00BE70CC" w:rsidR="00DE45C6">
        <w:rPr>
          <w:noProof/>
        </w:rPr>
        <w:t xml:space="preserve">rmation requested in paragraph </w:t>
      </w:r>
      <w:r w:rsidR="006821B2">
        <w:rPr>
          <w:noProof/>
        </w:rPr>
        <w:fldChar w:fldCharType="begin"/>
      </w:r>
      <w:r w:rsidR="006821B2">
        <w:rPr>
          <w:noProof/>
        </w:rPr>
        <w:instrText xml:space="preserve"> REF _Ref94275975 \r \h </w:instrText>
      </w:r>
      <w:r w:rsidR="006821B2">
        <w:rPr>
          <w:noProof/>
        </w:rPr>
        <w:fldChar w:fldCharType="separate"/>
      </w:r>
      <w:r w:rsidR="006821B2">
        <w:rPr>
          <w:noProof/>
        </w:rPr>
        <w:t>12</w:t>
      </w:r>
      <w:r w:rsidR="006821B2">
        <w:rPr>
          <w:noProof/>
        </w:rPr>
        <w:fldChar w:fldCharType="end"/>
      </w:r>
      <w:r w:rsidR="003C4309">
        <w:rPr>
          <w:noProof/>
        </w:rPr>
        <w:t xml:space="preserve"> </w:t>
      </w:r>
      <w:r w:rsidRPr="00BE70CC" w:rsidR="00350389">
        <w:rPr>
          <w:noProof/>
        </w:rPr>
        <w:t xml:space="preserve">above.  </w:t>
      </w:r>
      <w:r>
        <w:rPr>
          <w:noProof/>
        </w:rPr>
        <w:t>Luis Martinez</w:t>
      </w:r>
      <w:r w:rsidR="005867FC">
        <w:rPr>
          <w:noProof/>
        </w:rPr>
        <w:t xml:space="preserve"> </w:t>
      </w:r>
      <w:r w:rsidRPr="00BE70CC" w:rsidR="00350389">
        <w:rPr>
          <w:noProof/>
        </w:rPr>
        <w:t xml:space="preserve">must </w:t>
      </w:r>
      <w:r w:rsidRPr="00BE70CC" w:rsidR="00350389">
        <w:rPr>
          <w:noProof/>
          <w:color w:val="000000"/>
          <w:szCs w:val="22"/>
        </w:rPr>
        <w:t xml:space="preserve">support </w:t>
      </w:r>
      <w:r w:rsidR="005867FC">
        <w:rPr>
          <w:noProof/>
          <w:color w:val="000000"/>
          <w:szCs w:val="22"/>
        </w:rPr>
        <w:t>his</w:t>
      </w:r>
      <w:r w:rsidRPr="00BE70CC" w:rsidR="00350389">
        <w:rPr>
          <w:noProof/>
          <w:color w:val="000000"/>
          <w:szCs w:val="22"/>
        </w:rPr>
        <w:t xml:space="preserve"> responses with an affidavit or declaration under penalty of perjury, signed and dat</w:t>
      </w:r>
      <w:r w:rsidRPr="00BE70CC" w:rsidR="008E2010">
        <w:rPr>
          <w:noProof/>
          <w:color w:val="000000"/>
          <w:szCs w:val="22"/>
        </w:rPr>
        <w:t xml:space="preserve">ed by </w:t>
      </w:r>
      <w:r>
        <w:rPr>
          <w:noProof/>
        </w:rPr>
        <w:t>Luis Martinez</w:t>
      </w:r>
      <w:r w:rsidR="00ED4596">
        <w:rPr>
          <w:noProof/>
          <w:color w:val="000000"/>
          <w:szCs w:val="22"/>
        </w:rPr>
        <w:t xml:space="preserve">, attesting </w:t>
      </w:r>
      <w:r w:rsidRPr="00BE70CC" w:rsidR="00350389">
        <w:rPr>
          <w:noProof/>
          <w:color w:val="000000"/>
          <w:szCs w:val="22"/>
        </w:rPr>
        <w:t xml:space="preserve"> personal knowledge of the representations provided in the </w:t>
      </w:r>
      <w:r w:rsidRPr="00BE70CC" w:rsidR="008E2010">
        <w:rPr>
          <w:noProof/>
          <w:color w:val="000000"/>
          <w:szCs w:val="22"/>
        </w:rPr>
        <w:t>res</w:t>
      </w:r>
      <w:r w:rsidRPr="00BE70CC" w:rsidR="00350389">
        <w:rPr>
          <w:noProof/>
          <w:color w:val="000000"/>
          <w:szCs w:val="22"/>
        </w:rPr>
        <w:t xml:space="preserve">ponse, verifying the truth and accuracy of the information therein and that all of the </w:t>
      </w:r>
      <w:r w:rsidRPr="00BE70CC" w:rsidR="008E2010">
        <w:rPr>
          <w:noProof/>
          <w:color w:val="000000"/>
          <w:szCs w:val="22"/>
        </w:rPr>
        <w:t xml:space="preserve">information requested </w:t>
      </w:r>
      <w:r w:rsidRPr="00BE70CC" w:rsidR="00350389">
        <w:rPr>
          <w:noProof/>
          <w:color w:val="000000"/>
          <w:szCs w:val="22"/>
        </w:rPr>
        <w:t>ha</w:t>
      </w:r>
      <w:r w:rsidRPr="00BE70CC" w:rsidR="008E2010">
        <w:rPr>
          <w:noProof/>
          <w:color w:val="000000"/>
          <w:szCs w:val="22"/>
        </w:rPr>
        <w:t>s</w:t>
      </w:r>
      <w:r w:rsidRPr="00BE70CC" w:rsidR="00350389">
        <w:rPr>
          <w:noProof/>
          <w:color w:val="000000"/>
          <w:szCs w:val="22"/>
        </w:rPr>
        <w:t xml:space="preserve"> been produced</w:t>
      </w:r>
      <w:r w:rsidRPr="00BE70CC" w:rsidR="00350389">
        <w:rPr>
          <w:noProof/>
        </w:rPr>
        <w:t xml:space="preserve">.  </w:t>
      </w:r>
      <w:r w:rsidRPr="00BE70CC" w:rsidR="008E2010">
        <w:rPr>
          <w:szCs w:val="24"/>
        </w:rPr>
        <w:t xml:space="preserve">All such declarations provided must comply with </w:t>
      </w:r>
      <w:r w:rsidR="002141E6">
        <w:rPr>
          <w:szCs w:val="24"/>
        </w:rPr>
        <w:t>s</w:t>
      </w:r>
      <w:r w:rsidRPr="00BE70CC" w:rsidR="008E2010">
        <w:rPr>
          <w:szCs w:val="24"/>
        </w:rPr>
        <w:t>ection</w:t>
      </w:r>
      <w:r w:rsidR="002D63C3">
        <w:rPr>
          <w:szCs w:val="24"/>
        </w:rPr>
        <w:t xml:space="preserve"> 1.16 of the </w:t>
      </w:r>
      <w:r w:rsidR="002141E6">
        <w:rPr>
          <w:szCs w:val="24"/>
        </w:rPr>
        <w:t>Commission’s r</w:t>
      </w:r>
      <w:r w:rsidR="002D63C3">
        <w:rPr>
          <w:szCs w:val="24"/>
        </w:rPr>
        <w:t>ules</w:t>
      </w:r>
      <w:r w:rsidRPr="00BE70CC" w:rsidR="008E2010">
        <w:rPr>
          <w:szCs w:val="24"/>
        </w:rPr>
        <w:t xml:space="preserve"> and be substantially in the form set forth therein.</w:t>
      </w:r>
      <w:r>
        <w:rPr>
          <w:szCs w:val="24"/>
          <w:vertAlign w:val="superscript"/>
        </w:rPr>
        <w:footnoteReference w:id="27"/>
      </w:r>
      <w:r w:rsidRPr="00BE70CC" w:rsidR="008E2010">
        <w:rPr>
          <w:szCs w:val="24"/>
        </w:rPr>
        <w:t xml:space="preserve">  </w:t>
      </w:r>
      <w:r w:rsidRPr="00BE70CC" w:rsidR="00350389">
        <w:rPr>
          <w:noProof/>
        </w:rPr>
        <w:t xml:space="preserve">The </w:t>
      </w:r>
      <w:r>
        <w:rPr>
          <w:noProof/>
        </w:rPr>
        <w:t>Commission</w:t>
      </w:r>
      <w:r w:rsidR="002D63C3">
        <w:rPr>
          <w:noProof/>
        </w:rPr>
        <w:t xml:space="preserve"> must receive the response within </w:t>
      </w:r>
      <w:r w:rsidR="002E6E6F">
        <w:rPr>
          <w:noProof/>
        </w:rPr>
        <w:t>t</w:t>
      </w:r>
      <w:r>
        <w:rPr>
          <w:noProof/>
        </w:rPr>
        <w:t>hirty (</w:t>
      </w:r>
      <w:r w:rsidR="002D63C3">
        <w:rPr>
          <w:noProof/>
        </w:rPr>
        <w:t>30</w:t>
      </w:r>
      <w:r>
        <w:rPr>
          <w:noProof/>
        </w:rPr>
        <w:t>)</w:t>
      </w:r>
      <w:r w:rsidRPr="00BE70CC">
        <w:rPr>
          <w:noProof/>
        </w:rPr>
        <w:t xml:space="preserve"> calendar days</w:t>
      </w:r>
      <w:r w:rsidR="002D63C3">
        <w:rPr>
          <w:noProof/>
        </w:rPr>
        <w:t xml:space="preserve"> of </w:t>
      </w:r>
      <w:r w:rsidRPr="00BE70CC">
        <w:rPr>
          <w:noProof/>
        </w:rPr>
        <w:t>the release date of this Citation and Order.</w:t>
      </w:r>
    </w:p>
    <w:p w:rsidR="003343CA" w:rsidRPr="00BE70CC" w:rsidP="00B05719" w14:paraId="0A587952" w14:textId="5856D24D">
      <w:pPr>
        <w:pStyle w:val="ParaNum"/>
        <w:keepNext/>
        <w:widowControl/>
        <w:tabs>
          <w:tab w:val="clear" w:pos="1080"/>
          <w:tab w:val="num" w:pos="1440"/>
        </w:tabs>
      </w:pPr>
      <w:r w:rsidRPr="00BE70CC">
        <w:rPr>
          <w:b/>
        </w:rPr>
        <w:t>IT IS FURTHER ORDERED</w:t>
      </w:r>
      <w:r w:rsidRPr="00BE70CC">
        <w:t xml:space="preserve"> that a copy of this </w:t>
      </w:r>
      <w:r w:rsidRPr="00BE70CC" w:rsidR="009E53A5">
        <w:t>Citation and</w:t>
      </w:r>
      <w:r w:rsidRPr="00BE70CC">
        <w:t xml:space="preserve"> Order </w:t>
      </w:r>
      <w:r w:rsidRPr="00380C37" w:rsidR="00EE36BE">
        <w:rPr>
          <w:color w:val="000000" w:themeColor="text1"/>
          <w:szCs w:val="22"/>
        </w:rPr>
        <w:t xml:space="preserve">shall be sent by first class mail and certified mail, return receipt requested, to </w:t>
      </w:r>
      <w:r>
        <w:rPr>
          <w:noProof/>
        </w:rPr>
        <w:t>Luis Martinez</w:t>
      </w:r>
      <w:r w:rsidR="00ED4596">
        <w:rPr>
          <w:color w:val="000000" w:themeColor="text1"/>
          <w:szCs w:val="22"/>
        </w:rPr>
        <w:t xml:space="preserve"> </w:t>
      </w:r>
      <w:r w:rsidR="00BA1F0F">
        <w:rPr>
          <w:color w:val="000000" w:themeColor="text1"/>
          <w:szCs w:val="22"/>
        </w:rPr>
        <w:t xml:space="preserve">at his residence in </w:t>
      </w:r>
      <w:r>
        <w:rPr>
          <w:color w:val="000000" w:themeColor="text1"/>
          <w:szCs w:val="22"/>
        </w:rPr>
        <w:t>York</w:t>
      </w:r>
      <w:r w:rsidR="00BA1F0F">
        <w:rPr>
          <w:color w:val="000000" w:themeColor="text1"/>
          <w:szCs w:val="22"/>
        </w:rPr>
        <w:t xml:space="preserve">, </w:t>
      </w:r>
      <w:r>
        <w:rPr>
          <w:color w:val="000000" w:themeColor="text1"/>
          <w:szCs w:val="22"/>
        </w:rPr>
        <w:t>Pennsylvania</w:t>
      </w:r>
      <w:r w:rsidR="00BA1F0F">
        <w:rPr>
          <w:color w:val="000000" w:themeColor="text1"/>
          <w:szCs w:val="22"/>
        </w:rPr>
        <w:t xml:space="preserve">.  </w:t>
      </w:r>
    </w:p>
    <w:p w:rsidR="003343CA" w:rsidRPr="00BE70CC" w:rsidP="00B05719" w14:paraId="7F32EF1D" w14:textId="77777777">
      <w:pPr>
        <w:keepNext/>
        <w:widowControl/>
      </w:pPr>
    </w:p>
    <w:p w:rsidR="003343CA" w:rsidRPr="00BE70CC" w:rsidP="00B05719" w14:paraId="600C31CE" w14:textId="77777777">
      <w:pPr>
        <w:keepNext/>
        <w:widowControl/>
      </w:pPr>
    </w:p>
    <w:p w:rsidR="003343CA" w:rsidRPr="00BE70CC" w:rsidP="00B05719" w14:paraId="4EDF98DB" w14:textId="6A2829C2">
      <w:pPr>
        <w:keepNext/>
        <w:widowControl/>
        <w:ind w:left="3600" w:firstLine="720"/>
      </w:pPr>
      <w:r w:rsidRPr="00BE70CC">
        <w:t>FEDERAL COMMUNICATIONS COMMISSION</w:t>
      </w:r>
    </w:p>
    <w:p w:rsidR="003343CA" w:rsidRPr="00BE70CC" w:rsidP="00B05719" w14:paraId="72F7EE69" w14:textId="063B93CB">
      <w:pPr>
        <w:keepNext/>
        <w:widowControl/>
        <w:ind w:left="4410"/>
      </w:pPr>
    </w:p>
    <w:p w:rsidR="003343CA" w:rsidRPr="00BE70CC" w:rsidP="00B05719" w14:paraId="2C821EB8" w14:textId="6CAE6009">
      <w:pPr>
        <w:keepNext/>
        <w:widowControl/>
        <w:ind w:left="4410"/>
      </w:pPr>
    </w:p>
    <w:p w:rsidR="003343CA" w:rsidRPr="00BE70CC" w:rsidP="00B05719" w14:paraId="16E133F7" w14:textId="2D89951E">
      <w:pPr>
        <w:keepNext/>
        <w:widowControl/>
        <w:ind w:left="4410"/>
      </w:pPr>
    </w:p>
    <w:p w:rsidR="003343CA" w:rsidRPr="00BE70CC" w:rsidP="00B05719" w14:paraId="58934A45" w14:textId="77777777">
      <w:pPr>
        <w:keepNext/>
        <w:widowControl/>
        <w:ind w:left="4410"/>
      </w:pPr>
    </w:p>
    <w:p w:rsidR="00EE36BE" w:rsidRPr="006D73F2" w:rsidP="00B05719" w14:paraId="2595141B" w14:textId="294A2400">
      <w:pPr>
        <w:keepNext/>
        <w:widowControl/>
        <w:tabs>
          <w:tab w:val="left" w:pos="0"/>
          <w:tab w:val="left" w:pos="720"/>
          <w:tab w:val="left" w:pos="1440"/>
        </w:tabs>
        <w:suppressAutoHyphens/>
        <w:spacing w:line="240" w:lineRule="atLeast"/>
        <w:ind w:left="4320"/>
        <w:rPr>
          <w:szCs w:val="22"/>
        </w:rPr>
      </w:pPr>
      <w:r>
        <w:rPr>
          <w:szCs w:val="22"/>
        </w:rPr>
        <w:t>David C. Dombrowski</w:t>
      </w:r>
    </w:p>
    <w:p w:rsidR="00BA1F0F" w:rsidP="00B05719" w14:paraId="17B497A8" w14:textId="5AC252F1">
      <w:pPr>
        <w:keepNext/>
        <w:widowControl/>
        <w:ind w:left="4320"/>
        <w:rPr>
          <w:szCs w:val="22"/>
        </w:rPr>
      </w:pPr>
      <w:r>
        <w:rPr>
          <w:szCs w:val="22"/>
        </w:rPr>
        <w:t xml:space="preserve">Regional Director, Region </w:t>
      </w:r>
      <w:r w:rsidR="003A6AA4">
        <w:rPr>
          <w:szCs w:val="22"/>
        </w:rPr>
        <w:t>One</w:t>
      </w:r>
    </w:p>
    <w:p w:rsidR="00EE36BE" w:rsidRPr="006D73F2" w:rsidP="00B05719" w14:paraId="6E544B47" w14:textId="26B56370">
      <w:pPr>
        <w:keepNext/>
        <w:widowControl/>
        <w:ind w:left="4320"/>
        <w:rPr>
          <w:szCs w:val="22"/>
        </w:rPr>
      </w:pPr>
      <w:r w:rsidRPr="006D73F2">
        <w:rPr>
          <w:szCs w:val="22"/>
        </w:rPr>
        <w:t>Enforcement Bureau</w:t>
      </w:r>
    </w:p>
    <w:p w:rsidR="00EE36BE" w:rsidRPr="006D73F2" w:rsidP="00B05719" w14:paraId="32D8DD60" w14:textId="4F9AA696">
      <w:pPr>
        <w:keepNext/>
        <w:widowControl/>
        <w:ind w:left="4320"/>
        <w:rPr>
          <w:szCs w:val="22"/>
        </w:rPr>
      </w:pPr>
      <w:r>
        <w:t>Federal Communications Commission</w:t>
      </w:r>
    </w:p>
    <w:p w:rsidR="00E273E3" w:rsidP="00B05719" w14:paraId="19B3C8DC" w14:textId="77777777">
      <w:pPr>
        <w:pStyle w:val="ParaNum"/>
        <w:widowControl/>
        <w:numPr>
          <w:ilvl w:val="0"/>
          <w:numId w:val="0"/>
        </w:numPr>
        <w:ind w:left="720"/>
        <w:rPr>
          <w:szCs w:val="22"/>
        </w:rPr>
      </w:pPr>
    </w:p>
    <w:sectPr w:rsidSect="00F50F55">
      <w:headerReference w:type="default" r:id="rId5"/>
      <w:footerReference w:type="even" r:id="rId6"/>
      <w:footerReference w:type="default" r:id="rId7"/>
      <w:headerReference w:type="first" r:id="rId8"/>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42559EDB" w14:textId="77777777">
    <w:pPr>
      <w:pStyle w:val="Footer"/>
      <w:framePr w:wrap="around" w:vAnchor="text" w:hAnchor="margin" w:xAlign="center" w:y="1"/>
    </w:pPr>
    <w:r>
      <w:fldChar w:fldCharType="begin"/>
    </w:r>
    <w:r>
      <w:instrText xml:space="preserve">PAGE  </w:instrText>
    </w:r>
    <w:r w:rsidR="00C26F02">
      <w:fldChar w:fldCharType="separate"/>
    </w:r>
    <w:r>
      <w:fldChar w:fldCharType="end"/>
    </w:r>
  </w:p>
  <w:p w:rsidR="005D1BA6" w14:paraId="69BC1A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615F0C13" w14:textId="77777777">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14:paraId="165F0C59"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7BB2" w14:paraId="38F090C4" w14:textId="77777777">
      <w:r>
        <w:separator/>
      </w:r>
    </w:p>
  </w:footnote>
  <w:footnote w:type="continuationSeparator" w:id="1">
    <w:p w:rsidR="00987BB2" w14:paraId="7A4EDC38" w14:textId="77777777">
      <w:pPr>
        <w:rPr>
          <w:sz w:val="20"/>
        </w:rPr>
      </w:pPr>
      <w:r>
        <w:rPr>
          <w:sz w:val="20"/>
        </w:rPr>
        <w:t xml:space="preserve">(Continued from previous page)  </w:t>
      </w:r>
      <w:r>
        <w:rPr>
          <w:sz w:val="20"/>
        </w:rPr>
        <w:separator/>
      </w:r>
    </w:p>
  </w:footnote>
  <w:footnote w:type="continuationNotice" w:id="2">
    <w:p w:rsidR="00987BB2" w14:paraId="0440CF29" w14:textId="77777777">
      <w:pPr>
        <w:rPr>
          <w:sz w:val="20"/>
        </w:rPr>
      </w:pPr>
      <w:r>
        <w:rPr>
          <w:sz w:val="20"/>
        </w:rPr>
        <w:t>(continued….)</w:t>
      </w:r>
    </w:p>
  </w:footnote>
  <w:footnote w:id="3">
    <w:p w:rsidR="005D1BA6" w:rsidRPr="002D63C3" w:rsidP="003C4AD3" w14:paraId="598C1AEA"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4">
    <w:p w:rsidR="005D1BA6" w:rsidRPr="002D63C3" w:rsidP="003C4AD3" w14:paraId="6EF165C3" w14:textId="5A0D09BF">
      <w:pPr>
        <w:pStyle w:val="FootnoteText"/>
      </w:pPr>
      <w:r w:rsidRPr="002D63C3">
        <w:rPr>
          <w:rStyle w:val="FootnoteReference"/>
        </w:rPr>
        <w:footnoteRef/>
      </w:r>
      <w:r w:rsidRPr="002D63C3" w:rsidR="00C42D39">
        <w:t xml:space="preserve"> 47 U.S.C.</w:t>
      </w:r>
      <w:r w:rsidRPr="002D63C3">
        <w:t xml:space="preserve"> § </w:t>
      </w:r>
      <w:r w:rsidR="00CF1DDB">
        <w:t>301</w:t>
      </w:r>
      <w:r w:rsidRPr="002D63C3">
        <w:t xml:space="preserve">. </w:t>
      </w:r>
    </w:p>
  </w:footnote>
  <w:footnote w:id="5">
    <w:p w:rsidR="00CF1DDB" w14:paraId="284D5D0E" w14:textId="14EE8AF1">
      <w:pPr>
        <w:pStyle w:val="FootnoteText"/>
      </w:pPr>
      <w:r>
        <w:rPr>
          <w:rStyle w:val="FootnoteReference"/>
        </w:rPr>
        <w:footnoteRef/>
      </w:r>
      <w:r>
        <w:t xml:space="preserve"> 47 CFR § 15.5(b)</w:t>
      </w:r>
      <w:r w:rsidR="00C02891">
        <w:t>-</w:t>
      </w:r>
      <w:r>
        <w:t xml:space="preserve">(c). </w:t>
      </w:r>
    </w:p>
  </w:footnote>
  <w:footnote w:id="6">
    <w:p w:rsidR="005D1BA6" w:rsidRPr="002D63C3" w:rsidP="003C4AD3" w14:paraId="3DD9D31D"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7">
    <w:p w:rsidR="00EE36BE" w:rsidP="003C4AD3" w14:paraId="6884E150" w14:textId="702FDECC">
      <w:pPr>
        <w:pStyle w:val="FootnoteText"/>
      </w:pPr>
      <w:r>
        <w:rPr>
          <w:rStyle w:val="FootnoteReference"/>
        </w:rPr>
        <w:footnoteRef/>
      </w:r>
      <w:r>
        <w:t xml:space="preserve"> </w:t>
      </w:r>
      <w:r w:rsidRPr="00BE70CC">
        <w:rPr>
          <w:kern w:val="20"/>
        </w:rPr>
        <w:t>47 U.S.C. §§ 154(i), (j), 403</w:t>
      </w:r>
      <w:r>
        <w:rPr>
          <w:kern w:val="20"/>
        </w:rPr>
        <w:t>.</w:t>
      </w:r>
    </w:p>
  </w:footnote>
  <w:footnote w:id="8">
    <w:p w:rsidR="00BC43EC" w:rsidRPr="002D63C3" w:rsidP="00BC43EC" w14:paraId="1070A80E"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Pr>
          <w:i/>
          <w:color w:val="000000"/>
          <w:kern w:val="20"/>
        </w:rPr>
        <w:t>Luis Martinez,</w:t>
      </w:r>
      <w:r w:rsidRPr="00F50F55">
        <w:rPr>
          <w:color w:val="000000"/>
          <w:kern w:val="20"/>
        </w:rPr>
        <w:t xml:space="preserve"> </w:t>
      </w:r>
      <w:r>
        <w:rPr>
          <w:color w:val="000000"/>
          <w:kern w:val="20"/>
        </w:rPr>
        <w:t xml:space="preserve">Warning for Interference to Licensed Communications, (July 15, 2022) (on file in </w:t>
      </w:r>
      <w:r w:rsidRPr="000D2DCC">
        <w:rPr>
          <w:color w:val="000000"/>
          <w:kern w:val="20"/>
        </w:rPr>
        <w:t>EB-FIELDNER-22-00033924</w:t>
      </w:r>
      <w:r w:rsidRPr="002D63C3">
        <w:rPr>
          <w:color w:val="000000"/>
          <w:kern w:val="20"/>
        </w:rPr>
        <w:t>).</w:t>
      </w:r>
    </w:p>
  </w:footnote>
  <w:footnote w:id="9">
    <w:p w:rsidR="0011002B" w:rsidRPr="002D63C3" w:rsidP="0011002B" w14:paraId="22C406B5" w14:textId="39D2EC7F">
      <w:pPr>
        <w:pStyle w:val="FootnoteText"/>
        <w:rPr>
          <w:color w:val="000000"/>
        </w:rPr>
      </w:pPr>
      <w:r w:rsidRPr="002D63C3">
        <w:rPr>
          <w:rStyle w:val="FootnoteReference"/>
          <w:color w:val="000000"/>
          <w:kern w:val="20"/>
        </w:rPr>
        <w:footnoteRef/>
      </w:r>
      <w:r w:rsidRPr="002D63C3">
        <w:rPr>
          <w:color w:val="000000"/>
          <w:kern w:val="20"/>
        </w:rPr>
        <w:t xml:space="preserve"> </w:t>
      </w:r>
      <w:r w:rsidR="00BC43EC">
        <w:rPr>
          <w:i/>
          <w:color w:val="000000"/>
          <w:kern w:val="20"/>
        </w:rPr>
        <w:t>Id.</w:t>
      </w:r>
    </w:p>
  </w:footnote>
  <w:footnote w:id="10">
    <w:p w:rsidR="00022AA8" w:rsidP="00022AA8" w14:paraId="446D6561" w14:textId="77777777">
      <w:pPr>
        <w:pStyle w:val="FootnoteText"/>
      </w:pPr>
      <w:r>
        <w:rPr>
          <w:rStyle w:val="FootnoteReference"/>
        </w:rPr>
        <w:footnoteRef/>
      </w:r>
      <w:r>
        <w:t xml:space="preserve"> 47 U.S.C. § 333.</w:t>
      </w:r>
    </w:p>
  </w:footnote>
  <w:footnote w:id="11">
    <w:p w:rsidR="005F769F" w14:paraId="1C1ED405" w14:textId="719013C7">
      <w:pPr>
        <w:pStyle w:val="FootnoteText"/>
      </w:pPr>
      <w:r>
        <w:rPr>
          <w:rStyle w:val="FootnoteReference"/>
        </w:rPr>
        <w:footnoteRef/>
      </w:r>
      <w:r>
        <w:t xml:space="preserve"> </w:t>
      </w:r>
      <w:r w:rsidR="00C85B21">
        <w:t>47 U.S.C. § 301.</w:t>
      </w:r>
    </w:p>
  </w:footnote>
  <w:footnote w:id="12">
    <w:p w:rsidR="005F769F" w:rsidRPr="00C85B21" w14:paraId="25F9E197" w14:textId="1395BB81">
      <w:pPr>
        <w:pStyle w:val="FootnoteText"/>
      </w:pPr>
      <w:r>
        <w:rPr>
          <w:rStyle w:val="FootnoteReference"/>
        </w:rPr>
        <w:footnoteRef/>
      </w:r>
      <w:r>
        <w:t xml:space="preserve"> </w:t>
      </w:r>
      <w:r w:rsidR="00C85B21">
        <w:t xml:space="preserve">47 CFR § 15.1 </w:t>
      </w:r>
      <w:r w:rsidR="00C85B21">
        <w:rPr>
          <w:i/>
          <w:iCs/>
        </w:rPr>
        <w:t>et seq.</w:t>
      </w:r>
    </w:p>
  </w:footnote>
  <w:footnote w:id="13">
    <w:p w:rsidR="005F769F" w14:paraId="54F0C4D7" w14:textId="6572975F">
      <w:pPr>
        <w:pStyle w:val="FootnoteText"/>
      </w:pPr>
      <w:r>
        <w:rPr>
          <w:rStyle w:val="FootnoteReference"/>
        </w:rPr>
        <w:footnoteRef/>
      </w:r>
      <w:r>
        <w:t xml:space="preserve"> </w:t>
      </w:r>
      <w:r w:rsidR="00D97EC8">
        <w:t>47 CFR § 15.5(b).</w:t>
      </w:r>
    </w:p>
  </w:footnote>
  <w:footnote w:id="14">
    <w:p w:rsidR="005F769F" w14:paraId="7B35FF03" w14:textId="70BBDC98">
      <w:pPr>
        <w:pStyle w:val="FootnoteText"/>
      </w:pPr>
      <w:r>
        <w:rPr>
          <w:rStyle w:val="FootnoteReference"/>
        </w:rPr>
        <w:footnoteRef/>
      </w:r>
      <w:r>
        <w:t xml:space="preserve"> </w:t>
      </w:r>
      <w:r w:rsidR="00D97EC8">
        <w:t>47 CFR § 15.5(c).</w:t>
      </w:r>
    </w:p>
  </w:footnote>
  <w:footnote w:id="15">
    <w:p w:rsidR="005F769F" w14:paraId="0003F442" w14:textId="65A101B7">
      <w:pPr>
        <w:pStyle w:val="FootnoteText"/>
      </w:pPr>
      <w:r>
        <w:rPr>
          <w:rStyle w:val="FootnoteReference"/>
        </w:rPr>
        <w:footnoteRef/>
      </w:r>
      <w:r>
        <w:t xml:space="preserve"> </w:t>
      </w:r>
      <w:r w:rsidR="00D97EC8">
        <w:t>47 CFR § 15.3(m)</w:t>
      </w:r>
      <w:r w:rsidR="003A6AA4">
        <w:t xml:space="preserve">; </w:t>
      </w:r>
      <w:r w:rsidR="003A6AA4">
        <w:rPr>
          <w:i/>
          <w:iCs/>
        </w:rPr>
        <w:t>see also</w:t>
      </w:r>
      <w:r w:rsidR="003A6AA4">
        <w:t xml:space="preserve"> 47 CFR § 2.1(c).</w:t>
      </w:r>
    </w:p>
  </w:footnote>
  <w:footnote w:id="16">
    <w:p w:rsidR="00A05793" w14:paraId="5DE77018" w14:textId="7783383C">
      <w:pPr>
        <w:pStyle w:val="FootnoteText"/>
      </w:pPr>
      <w:r>
        <w:rPr>
          <w:rStyle w:val="FootnoteReference"/>
        </w:rPr>
        <w:footnoteRef/>
      </w:r>
      <w:r>
        <w:t xml:space="preserve"> 47 CFR § 15.5(b)</w:t>
      </w:r>
      <w:r w:rsidR="00C02891">
        <w:t>-</w:t>
      </w:r>
      <w:r>
        <w:t>(c).</w:t>
      </w:r>
    </w:p>
  </w:footnote>
  <w:footnote w:id="17">
    <w:p w:rsidR="0090510E" w14:paraId="3266F1A9" w14:textId="77777777">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18">
    <w:p w:rsidR="0090510E" w14:paraId="3251AFF8"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19">
    <w:p w:rsidR="003C4AD3" w14:paraId="02D89331" w14:textId="00114705">
      <w:pPr>
        <w:pStyle w:val="FootnoteText"/>
      </w:pPr>
      <w:r>
        <w:rPr>
          <w:rStyle w:val="FootnoteReference"/>
        </w:rPr>
        <w:footnoteRef/>
      </w:r>
      <w:r>
        <w:t xml:space="preserve"> </w:t>
      </w:r>
      <w:r w:rsidRPr="00BE70CC">
        <w:rPr>
          <w:kern w:val="2"/>
          <w:szCs w:val="22"/>
        </w:rPr>
        <w:t>5 U.S.C. §</w:t>
      </w:r>
      <w:r w:rsidR="00E405DB">
        <w:rPr>
          <w:kern w:val="2"/>
          <w:szCs w:val="22"/>
        </w:rPr>
        <w:t xml:space="preserve"> </w:t>
      </w:r>
      <w:r w:rsidRPr="00BE70CC">
        <w:rPr>
          <w:kern w:val="2"/>
          <w:szCs w:val="22"/>
        </w:rPr>
        <w:t>552a(e)(3)</w:t>
      </w:r>
      <w:r>
        <w:rPr>
          <w:kern w:val="2"/>
          <w:szCs w:val="22"/>
        </w:rPr>
        <w:t>.</w:t>
      </w:r>
    </w:p>
  </w:footnote>
  <w:footnote w:id="20">
    <w:p w:rsidR="00CB0620" w:rsidP="00CB0620" w14:paraId="499366F6"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21">
    <w:p w:rsidR="005D1BA6" w:rsidRPr="002D63C3" w14:paraId="10685323" w14:textId="32EF389D">
      <w:pPr>
        <w:pStyle w:val="FootnoteText"/>
      </w:pPr>
      <w:r w:rsidRPr="002D63C3">
        <w:rPr>
          <w:rStyle w:val="FootnoteReference"/>
        </w:rPr>
        <w:footnoteRef/>
      </w:r>
      <w:r w:rsidRPr="002D63C3">
        <w:t xml:space="preserve"> </w:t>
      </w:r>
      <w:r w:rsidRPr="002D63C3">
        <w:rPr>
          <w:i/>
        </w:rPr>
        <w:t xml:space="preserve">See </w:t>
      </w:r>
      <w:r w:rsidRPr="002D63C3">
        <w:t xml:space="preserve">47 U.S.C. § 503; 47 </w:t>
      </w:r>
      <w:r w:rsidR="000516D6">
        <w:t>CFR</w:t>
      </w:r>
      <w:r w:rsidRPr="002D63C3">
        <w:t xml:space="preserve"> § 1.80(b).  </w:t>
      </w:r>
      <w:r w:rsidRPr="00A54DA7" w:rsidR="00A54DA7">
        <w:t>Th</w:t>
      </w:r>
      <w:r w:rsidR="00771B42">
        <w:t>ese</w:t>
      </w:r>
      <w:r w:rsidRPr="00A54DA7" w:rsidR="00A54DA7">
        <w:t xml:space="preserve"> amount</w:t>
      </w:r>
      <w:r w:rsidR="00771B42">
        <w:t>s are</w:t>
      </w:r>
      <w:r w:rsidRPr="00A54DA7" w:rsidR="00A54DA7">
        <w:t xml:space="preserve"> subject to further adjustment for inflation</w:t>
      </w:r>
      <w:r w:rsidRPr="00B45920" w:rsidR="00B45920">
        <w:t>.</w:t>
      </w:r>
    </w:p>
  </w:footnote>
  <w:footnote w:id="22">
    <w:p w:rsidR="005D1BA6" w:rsidRPr="002D63C3" w14:paraId="0D4A18AB" w14:textId="3C09B0DA">
      <w:pPr>
        <w:pStyle w:val="FootnoteText"/>
      </w:pPr>
      <w:r w:rsidRPr="002D63C3">
        <w:rPr>
          <w:rStyle w:val="FootnoteReference"/>
        </w:rPr>
        <w:footnoteRef/>
      </w:r>
      <w:r w:rsidRPr="002D63C3">
        <w:t xml:space="preserve"> </w:t>
      </w:r>
      <w:r w:rsidRPr="002D63C3">
        <w:rPr>
          <w:i/>
        </w:rPr>
        <w:t>See</w:t>
      </w:r>
      <w:r w:rsidRPr="002D63C3">
        <w:t xml:space="preserve"> 47 U.S.C. § 503(b)(2)(E); 47 </w:t>
      </w:r>
      <w:r w:rsidR="000516D6">
        <w:t>CFR</w:t>
      </w:r>
      <w:r w:rsidRPr="002D63C3">
        <w:t xml:space="preserve"> § 1.80(b)(</w:t>
      </w:r>
      <w:r w:rsidR="002176F9">
        <w:t>10</w:t>
      </w:r>
      <w:r w:rsidRPr="002D63C3">
        <w:t>).</w:t>
      </w:r>
    </w:p>
  </w:footnote>
  <w:footnote w:id="23">
    <w:p w:rsidR="00E00A5B" w:rsidRPr="002D63C3" w:rsidP="00E00A5B" w14:paraId="7B1B9C41" w14:textId="30165FDC">
      <w:pPr>
        <w:pStyle w:val="FootnoteText"/>
      </w:pPr>
      <w:r w:rsidRPr="002D63C3">
        <w:rPr>
          <w:rStyle w:val="FootnoteReference"/>
        </w:rPr>
        <w:footnoteRef/>
      </w:r>
      <w:r w:rsidRPr="002D63C3">
        <w:t xml:space="preserve"> </w:t>
      </w:r>
      <w:r w:rsidRPr="002D63C3">
        <w:rPr>
          <w:i/>
        </w:rPr>
        <w:t>See</w:t>
      </w:r>
      <w:r w:rsidRPr="002D63C3">
        <w:t xml:space="preserve"> </w:t>
      </w:r>
      <w:r w:rsidRPr="002D63C3">
        <w:rPr>
          <w:i/>
        </w:rPr>
        <w:t xml:space="preserve">supra </w:t>
      </w:r>
      <w:r w:rsidRPr="002D63C3">
        <w:t>paragraph</w:t>
      </w:r>
      <w:r>
        <w:t xml:space="preserve">s </w:t>
      </w:r>
      <w:r w:rsidR="00D82684">
        <w:fldChar w:fldCharType="begin"/>
      </w:r>
      <w:r w:rsidR="00D82684">
        <w:instrText xml:space="preserve"> REF _Ref132190746 \r \h </w:instrText>
      </w:r>
      <w:r w:rsidR="00D82684">
        <w:fldChar w:fldCharType="separate"/>
      </w:r>
      <w:r w:rsidR="00D82684">
        <w:t>4</w:t>
      </w:r>
      <w:r w:rsidR="00D82684">
        <w:fldChar w:fldCharType="end"/>
      </w:r>
      <w:r w:rsidR="00D82684">
        <w:t>-</w:t>
      </w:r>
      <w:r w:rsidR="003C4309">
        <w:fldChar w:fldCharType="begin"/>
      </w:r>
      <w:r w:rsidR="003C4309">
        <w:instrText xml:space="preserve"> REF _Ref132190756 \r \h </w:instrText>
      </w:r>
      <w:r w:rsidR="003C4309">
        <w:fldChar w:fldCharType="separate"/>
      </w:r>
      <w:r w:rsidR="003C4309">
        <w:t>9</w:t>
      </w:r>
      <w:r w:rsidR="003C4309">
        <w:fldChar w:fldCharType="end"/>
      </w:r>
      <w:r>
        <w:t xml:space="preserve">. </w:t>
      </w:r>
      <w:r w:rsidRPr="002D63C3">
        <w:t xml:space="preserve">  </w:t>
      </w:r>
    </w:p>
  </w:footnote>
  <w:footnote w:id="24">
    <w:p w:rsidR="00E00A5B" w:rsidRPr="002D63C3" w:rsidP="00E00A5B" w14:paraId="6D465249" w14:textId="77777777">
      <w:pPr>
        <w:pStyle w:val="FootnoteText"/>
      </w:pPr>
      <w:r w:rsidRPr="002D63C3">
        <w:rPr>
          <w:rStyle w:val="FootnoteReference"/>
        </w:rPr>
        <w:footnoteRef/>
      </w:r>
      <w:r w:rsidRPr="002D63C3">
        <w:t xml:space="preserve"> </w:t>
      </w:r>
      <w:r w:rsidRPr="002D63C3">
        <w:rPr>
          <w:i/>
          <w:iCs/>
        </w:rPr>
        <w:t>See</w:t>
      </w:r>
      <w:r w:rsidRPr="002D63C3">
        <w:t xml:space="preserve"> 47 U.S.C. § 510.</w:t>
      </w:r>
    </w:p>
  </w:footnote>
  <w:footnote w:id="25">
    <w:p w:rsidR="00E00A5B" w:rsidRPr="002D63C3" w:rsidP="00E00A5B" w14:paraId="3DCFB148" w14:textId="77777777">
      <w:pPr>
        <w:pStyle w:val="FootnoteText"/>
      </w:pPr>
      <w:r w:rsidRPr="002D63C3">
        <w:rPr>
          <w:rStyle w:val="FootnoteReference"/>
        </w:rPr>
        <w:footnoteRef/>
      </w:r>
      <w:r w:rsidRPr="002D63C3">
        <w:t xml:space="preserve"> </w:t>
      </w:r>
      <w:r w:rsidRPr="002D63C3">
        <w:rPr>
          <w:i/>
          <w:iCs/>
        </w:rPr>
        <w:t xml:space="preserve">See </w:t>
      </w:r>
      <w:r w:rsidRPr="002D63C3">
        <w:t>47 U.S.C. §§ 401, 501.</w:t>
      </w:r>
    </w:p>
  </w:footnote>
  <w:footnote w:id="26">
    <w:p w:rsidR="003518EB" w:rsidRPr="002D63C3" w:rsidP="003518EB" w14:paraId="53D84CD6" w14:textId="77777777">
      <w:pPr>
        <w:pStyle w:val="FootnoteText"/>
      </w:pPr>
      <w:r w:rsidRPr="002D63C3">
        <w:rPr>
          <w:rStyle w:val="FootnoteReference"/>
        </w:rPr>
        <w:footnoteRef/>
      </w:r>
      <w:r w:rsidRPr="002D63C3">
        <w:t xml:space="preserve"> 47 U.S.C. §§ 154(i)</w:t>
      </w:r>
      <w:r>
        <w:t xml:space="preserve">, </w:t>
      </w:r>
      <w:r w:rsidRPr="002D63C3">
        <w:t>(j), 403.</w:t>
      </w:r>
    </w:p>
  </w:footnote>
  <w:footnote w:id="27">
    <w:p w:rsidR="005D1BA6" w14:paraId="1CAE055B" w14:textId="77777777">
      <w:pPr>
        <w:pStyle w:val="FootnoteText"/>
      </w:pPr>
      <w:r w:rsidRPr="002D63C3">
        <w:rPr>
          <w:rStyle w:val="FootnoteReference"/>
        </w:rPr>
        <w:footnoteRef/>
      </w:r>
      <w:r w:rsidRPr="002D63C3">
        <w:t xml:space="preserve"> 47 </w:t>
      </w:r>
      <w:r w:rsidR="000516D6">
        <w:t>CFR</w:t>
      </w:r>
      <w:r w:rsidRPr="002D63C3">
        <w:t xml:space="preserve"> §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E64096" w14:paraId="13BCB7E2" w14:textId="6C78D47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 xml:space="preserve">DA </w:t>
    </w:r>
    <w:r w:rsidR="00AA4F13">
      <w:rPr>
        <w:spacing w:val="-2"/>
      </w:rPr>
      <w:t>2</w:t>
    </w:r>
    <w:r w:rsidR="00C4700E">
      <w:rPr>
        <w:spacing w:val="-2"/>
      </w:rPr>
      <w:t>3</w:t>
    </w:r>
    <w:r w:rsidR="00AA4F13">
      <w:rPr>
        <w:spacing w:val="-2"/>
      </w:rPr>
      <w:t>-</w:t>
    </w:r>
    <w:r w:rsidR="00746E1D">
      <w:rPr>
        <w:spacing w:val="-2"/>
      </w:rPr>
      <w:t>412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E64096" w14:paraId="5582DE02" w14:textId="5A78DD01">
    <w:pPr>
      <w:pStyle w:val="Heade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CA1F23">
      <w:rPr>
        <w:spacing w:val="-2"/>
      </w:rPr>
      <w:t>2</w:t>
    </w:r>
    <w:r w:rsidR="00C4700E">
      <w:rPr>
        <w:spacing w:val="-2"/>
      </w:rPr>
      <w:t>3</w:t>
    </w:r>
    <w:r w:rsidR="00CA1F23">
      <w:rPr>
        <w:spacing w:val="-2"/>
      </w:rPr>
      <w:t>-</w:t>
    </w:r>
    <w:r w:rsidR="00746E1D">
      <w:rPr>
        <w:spacing w:val="-2"/>
      </w:rPr>
      <w:t>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9">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0">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7FCE5D29"/>
    <w:multiLevelType w:val="hybridMultilevel"/>
    <w:tmpl w:val="5590D0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6"/>
  </w:num>
  <w:num w:numId="5">
    <w:abstractNumId w:val="1"/>
  </w:num>
  <w:num w:numId="6">
    <w:abstractNumId w:val="4"/>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8"/>
  </w:num>
  <w:num w:numId="9">
    <w:abstractNumId w:val="7"/>
  </w:num>
  <w:num w:numId="10">
    <w:abstractNumId w:val="5"/>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lvlOverride w:ilvl="0">
      <w:startOverride w:val="1"/>
    </w:lvlOverride>
  </w:num>
  <w:num w:numId="18">
    <w:abstractNumId w:val="9"/>
    <w:lvlOverride w:ilvl="0">
      <w:startOverride w:val="1"/>
    </w:lvlOverride>
  </w:num>
  <w:num w:numId="19">
    <w:abstractNumId w:val="9"/>
  </w:num>
  <w:num w:numId="20">
    <w:abstractNumId w:val="1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lvlOverride w:ilvl="0">
      <w:startOverride w:val="14"/>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49BB"/>
    <w:rsid w:val="00005148"/>
    <w:rsid w:val="00012BFC"/>
    <w:rsid w:val="00014462"/>
    <w:rsid w:val="0001556F"/>
    <w:rsid w:val="000174F9"/>
    <w:rsid w:val="00017F90"/>
    <w:rsid w:val="00022AA8"/>
    <w:rsid w:val="00022C58"/>
    <w:rsid w:val="00023C98"/>
    <w:rsid w:val="00024D02"/>
    <w:rsid w:val="000264B4"/>
    <w:rsid w:val="00031AE8"/>
    <w:rsid w:val="0003312E"/>
    <w:rsid w:val="00036D58"/>
    <w:rsid w:val="00042407"/>
    <w:rsid w:val="00046E05"/>
    <w:rsid w:val="000516D6"/>
    <w:rsid w:val="00053CF6"/>
    <w:rsid w:val="000604EB"/>
    <w:rsid w:val="0006278C"/>
    <w:rsid w:val="00062C44"/>
    <w:rsid w:val="0006351A"/>
    <w:rsid w:val="0006438A"/>
    <w:rsid w:val="000649FE"/>
    <w:rsid w:val="00066ECE"/>
    <w:rsid w:val="00071A40"/>
    <w:rsid w:val="00071E3F"/>
    <w:rsid w:val="00072D7D"/>
    <w:rsid w:val="00074717"/>
    <w:rsid w:val="00080535"/>
    <w:rsid w:val="000824AC"/>
    <w:rsid w:val="000853AD"/>
    <w:rsid w:val="00086824"/>
    <w:rsid w:val="00091AE4"/>
    <w:rsid w:val="00092506"/>
    <w:rsid w:val="000962DF"/>
    <w:rsid w:val="00097330"/>
    <w:rsid w:val="00097F82"/>
    <w:rsid w:val="000A3E68"/>
    <w:rsid w:val="000A4776"/>
    <w:rsid w:val="000A67B3"/>
    <w:rsid w:val="000B14C3"/>
    <w:rsid w:val="000B1C2B"/>
    <w:rsid w:val="000B29ED"/>
    <w:rsid w:val="000B3FB1"/>
    <w:rsid w:val="000B4B1D"/>
    <w:rsid w:val="000B6BA1"/>
    <w:rsid w:val="000B7657"/>
    <w:rsid w:val="000C6050"/>
    <w:rsid w:val="000C6159"/>
    <w:rsid w:val="000D1391"/>
    <w:rsid w:val="000D24DF"/>
    <w:rsid w:val="000D2DCC"/>
    <w:rsid w:val="000E05E2"/>
    <w:rsid w:val="000E1951"/>
    <w:rsid w:val="000E2707"/>
    <w:rsid w:val="000E3600"/>
    <w:rsid w:val="000F0CFF"/>
    <w:rsid w:val="000F1155"/>
    <w:rsid w:val="00100646"/>
    <w:rsid w:val="00105A35"/>
    <w:rsid w:val="00107EEA"/>
    <w:rsid w:val="0011002B"/>
    <w:rsid w:val="00111822"/>
    <w:rsid w:val="0011337B"/>
    <w:rsid w:val="00114F5D"/>
    <w:rsid w:val="001164C6"/>
    <w:rsid w:val="0011687C"/>
    <w:rsid w:val="00116DD7"/>
    <w:rsid w:val="001205FE"/>
    <w:rsid w:val="00120BA1"/>
    <w:rsid w:val="00122BB3"/>
    <w:rsid w:val="001233E8"/>
    <w:rsid w:val="0012427E"/>
    <w:rsid w:val="001246CF"/>
    <w:rsid w:val="00126C88"/>
    <w:rsid w:val="00133D36"/>
    <w:rsid w:val="00135F7F"/>
    <w:rsid w:val="00136476"/>
    <w:rsid w:val="001426F0"/>
    <w:rsid w:val="00143971"/>
    <w:rsid w:val="00145E08"/>
    <w:rsid w:val="00146E6E"/>
    <w:rsid w:val="00151659"/>
    <w:rsid w:val="00152248"/>
    <w:rsid w:val="001532B1"/>
    <w:rsid w:val="00153904"/>
    <w:rsid w:val="00153CE0"/>
    <w:rsid w:val="00162161"/>
    <w:rsid w:val="00162CA0"/>
    <w:rsid w:val="00164D9B"/>
    <w:rsid w:val="001715BD"/>
    <w:rsid w:val="00172DB1"/>
    <w:rsid w:val="001740BB"/>
    <w:rsid w:val="00180026"/>
    <w:rsid w:val="00180A1B"/>
    <w:rsid w:val="001819AF"/>
    <w:rsid w:val="001829BE"/>
    <w:rsid w:val="0019058B"/>
    <w:rsid w:val="00192DF0"/>
    <w:rsid w:val="001A29EF"/>
    <w:rsid w:val="001A2F40"/>
    <w:rsid w:val="001A38A4"/>
    <w:rsid w:val="001A69BA"/>
    <w:rsid w:val="001A79FB"/>
    <w:rsid w:val="001B048F"/>
    <w:rsid w:val="001B0A57"/>
    <w:rsid w:val="001B0E37"/>
    <w:rsid w:val="001C21D0"/>
    <w:rsid w:val="001C3156"/>
    <w:rsid w:val="001C3B35"/>
    <w:rsid w:val="001C42B3"/>
    <w:rsid w:val="001D0601"/>
    <w:rsid w:val="001D1CEF"/>
    <w:rsid w:val="001D26B9"/>
    <w:rsid w:val="001D293A"/>
    <w:rsid w:val="001D2E23"/>
    <w:rsid w:val="001D3825"/>
    <w:rsid w:val="001D5C85"/>
    <w:rsid w:val="001D6C80"/>
    <w:rsid w:val="001E011F"/>
    <w:rsid w:val="001E135C"/>
    <w:rsid w:val="001E1765"/>
    <w:rsid w:val="001E1906"/>
    <w:rsid w:val="001E36EE"/>
    <w:rsid w:val="001E401B"/>
    <w:rsid w:val="001F2B76"/>
    <w:rsid w:val="001F5AA4"/>
    <w:rsid w:val="001F7EE0"/>
    <w:rsid w:val="0021315C"/>
    <w:rsid w:val="002141E6"/>
    <w:rsid w:val="002146E2"/>
    <w:rsid w:val="0021475A"/>
    <w:rsid w:val="002176F9"/>
    <w:rsid w:val="00223173"/>
    <w:rsid w:val="00225A8D"/>
    <w:rsid w:val="00225DB5"/>
    <w:rsid w:val="00226191"/>
    <w:rsid w:val="0022665A"/>
    <w:rsid w:val="00236820"/>
    <w:rsid w:val="00246222"/>
    <w:rsid w:val="00247894"/>
    <w:rsid w:val="00250EDF"/>
    <w:rsid w:val="00252799"/>
    <w:rsid w:val="00256862"/>
    <w:rsid w:val="00256904"/>
    <w:rsid w:val="00256B42"/>
    <w:rsid w:val="002578BF"/>
    <w:rsid w:val="0026212C"/>
    <w:rsid w:val="002659F3"/>
    <w:rsid w:val="00265FC9"/>
    <w:rsid w:val="00270CD1"/>
    <w:rsid w:val="002710C5"/>
    <w:rsid w:val="0027183B"/>
    <w:rsid w:val="002718D7"/>
    <w:rsid w:val="00273DB7"/>
    <w:rsid w:val="00276909"/>
    <w:rsid w:val="00280706"/>
    <w:rsid w:val="00281819"/>
    <w:rsid w:val="00283E59"/>
    <w:rsid w:val="00285745"/>
    <w:rsid w:val="00287564"/>
    <w:rsid w:val="00291193"/>
    <w:rsid w:val="002966A1"/>
    <w:rsid w:val="00297424"/>
    <w:rsid w:val="002A1963"/>
    <w:rsid w:val="002A467F"/>
    <w:rsid w:val="002A708E"/>
    <w:rsid w:val="002B04CB"/>
    <w:rsid w:val="002B7493"/>
    <w:rsid w:val="002C12AD"/>
    <w:rsid w:val="002C2218"/>
    <w:rsid w:val="002C66A2"/>
    <w:rsid w:val="002D3A88"/>
    <w:rsid w:val="002D44FF"/>
    <w:rsid w:val="002D4CD9"/>
    <w:rsid w:val="002D63C3"/>
    <w:rsid w:val="002D6A81"/>
    <w:rsid w:val="002D74C4"/>
    <w:rsid w:val="002E046E"/>
    <w:rsid w:val="002E1671"/>
    <w:rsid w:val="002E1897"/>
    <w:rsid w:val="002E3DE5"/>
    <w:rsid w:val="002E42D7"/>
    <w:rsid w:val="002E43B6"/>
    <w:rsid w:val="002E5215"/>
    <w:rsid w:val="002E5D9A"/>
    <w:rsid w:val="002E6027"/>
    <w:rsid w:val="002E6E6F"/>
    <w:rsid w:val="002F2ACB"/>
    <w:rsid w:val="002F7557"/>
    <w:rsid w:val="00306C34"/>
    <w:rsid w:val="00306C50"/>
    <w:rsid w:val="003174BD"/>
    <w:rsid w:val="0032053D"/>
    <w:rsid w:val="0032244D"/>
    <w:rsid w:val="00325463"/>
    <w:rsid w:val="00327CDE"/>
    <w:rsid w:val="00331B47"/>
    <w:rsid w:val="00331D4E"/>
    <w:rsid w:val="00332D35"/>
    <w:rsid w:val="00333F90"/>
    <w:rsid w:val="003343CA"/>
    <w:rsid w:val="003368A3"/>
    <w:rsid w:val="003368E2"/>
    <w:rsid w:val="003400E9"/>
    <w:rsid w:val="00340246"/>
    <w:rsid w:val="00342115"/>
    <w:rsid w:val="00344871"/>
    <w:rsid w:val="00345B93"/>
    <w:rsid w:val="00345F40"/>
    <w:rsid w:val="00346DCB"/>
    <w:rsid w:val="003472A7"/>
    <w:rsid w:val="00347397"/>
    <w:rsid w:val="00350389"/>
    <w:rsid w:val="003518EB"/>
    <w:rsid w:val="00353E9D"/>
    <w:rsid w:val="0035599F"/>
    <w:rsid w:val="00361219"/>
    <w:rsid w:val="00361B43"/>
    <w:rsid w:val="003623B1"/>
    <w:rsid w:val="00367723"/>
    <w:rsid w:val="00376DF6"/>
    <w:rsid w:val="00377A5B"/>
    <w:rsid w:val="00380C37"/>
    <w:rsid w:val="00380EFF"/>
    <w:rsid w:val="00383C2B"/>
    <w:rsid w:val="0039682C"/>
    <w:rsid w:val="0039768C"/>
    <w:rsid w:val="003A07BF"/>
    <w:rsid w:val="003A4346"/>
    <w:rsid w:val="003A4767"/>
    <w:rsid w:val="003A5530"/>
    <w:rsid w:val="003A6AA4"/>
    <w:rsid w:val="003A6F0A"/>
    <w:rsid w:val="003B18EB"/>
    <w:rsid w:val="003B4544"/>
    <w:rsid w:val="003B5341"/>
    <w:rsid w:val="003B5EF6"/>
    <w:rsid w:val="003B6F75"/>
    <w:rsid w:val="003B7879"/>
    <w:rsid w:val="003C0BCF"/>
    <w:rsid w:val="003C0EAA"/>
    <w:rsid w:val="003C4309"/>
    <w:rsid w:val="003C4AD3"/>
    <w:rsid w:val="003C6559"/>
    <w:rsid w:val="003D1CD4"/>
    <w:rsid w:val="003D421E"/>
    <w:rsid w:val="003D5B63"/>
    <w:rsid w:val="003D5BD6"/>
    <w:rsid w:val="003E36EC"/>
    <w:rsid w:val="003E3782"/>
    <w:rsid w:val="003E4BA1"/>
    <w:rsid w:val="003E5CB1"/>
    <w:rsid w:val="003E5F0D"/>
    <w:rsid w:val="003E7003"/>
    <w:rsid w:val="003F191F"/>
    <w:rsid w:val="003F2F66"/>
    <w:rsid w:val="003F7EE6"/>
    <w:rsid w:val="004016AD"/>
    <w:rsid w:val="00403B86"/>
    <w:rsid w:val="00407BB2"/>
    <w:rsid w:val="00411B66"/>
    <w:rsid w:val="00415670"/>
    <w:rsid w:val="00416F51"/>
    <w:rsid w:val="004200CE"/>
    <w:rsid w:val="0042056B"/>
    <w:rsid w:val="00426316"/>
    <w:rsid w:val="00431572"/>
    <w:rsid w:val="00433444"/>
    <w:rsid w:val="00436A9E"/>
    <w:rsid w:val="00436E88"/>
    <w:rsid w:val="0044074C"/>
    <w:rsid w:val="00440BA9"/>
    <w:rsid w:val="00450B73"/>
    <w:rsid w:val="00452C14"/>
    <w:rsid w:val="00457AE7"/>
    <w:rsid w:val="00466CC6"/>
    <w:rsid w:val="00467066"/>
    <w:rsid w:val="0047119C"/>
    <w:rsid w:val="0047221C"/>
    <w:rsid w:val="0047314C"/>
    <w:rsid w:val="004736A1"/>
    <w:rsid w:val="004806B5"/>
    <w:rsid w:val="00484C57"/>
    <w:rsid w:val="00494E42"/>
    <w:rsid w:val="004A3F5B"/>
    <w:rsid w:val="004C0F13"/>
    <w:rsid w:val="004C0F46"/>
    <w:rsid w:val="004C3EDB"/>
    <w:rsid w:val="004C4957"/>
    <w:rsid w:val="004D2D37"/>
    <w:rsid w:val="004D3233"/>
    <w:rsid w:val="004D76E9"/>
    <w:rsid w:val="004E0FB2"/>
    <w:rsid w:val="004E218D"/>
    <w:rsid w:val="004E2C83"/>
    <w:rsid w:val="004E4FD9"/>
    <w:rsid w:val="004E5D01"/>
    <w:rsid w:val="004E7472"/>
    <w:rsid w:val="004F0990"/>
    <w:rsid w:val="004F257E"/>
    <w:rsid w:val="004F6A54"/>
    <w:rsid w:val="00500FF2"/>
    <w:rsid w:val="005032F1"/>
    <w:rsid w:val="00505616"/>
    <w:rsid w:val="005068D2"/>
    <w:rsid w:val="00512A5C"/>
    <w:rsid w:val="00514466"/>
    <w:rsid w:val="00514B5F"/>
    <w:rsid w:val="00516E0C"/>
    <w:rsid w:val="005214A3"/>
    <w:rsid w:val="005214C9"/>
    <w:rsid w:val="00522727"/>
    <w:rsid w:val="00526086"/>
    <w:rsid w:val="00526174"/>
    <w:rsid w:val="005321F0"/>
    <w:rsid w:val="00535D18"/>
    <w:rsid w:val="00537EE6"/>
    <w:rsid w:val="005415C8"/>
    <w:rsid w:val="0054220C"/>
    <w:rsid w:val="005440C1"/>
    <w:rsid w:val="005459B9"/>
    <w:rsid w:val="00545D3F"/>
    <w:rsid w:val="00545EF8"/>
    <w:rsid w:val="00547654"/>
    <w:rsid w:val="00552923"/>
    <w:rsid w:val="00554CFD"/>
    <w:rsid w:val="00557B96"/>
    <w:rsid w:val="00557BF1"/>
    <w:rsid w:val="00560703"/>
    <w:rsid w:val="0056704D"/>
    <w:rsid w:val="00567C95"/>
    <w:rsid w:val="00567D8D"/>
    <w:rsid w:val="00574FC8"/>
    <w:rsid w:val="0057519F"/>
    <w:rsid w:val="005867FC"/>
    <w:rsid w:val="005942FC"/>
    <w:rsid w:val="0059732E"/>
    <w:rsid w:val="005A6BCE"/>
    <w:rsid w:val="005A72DD"/>
    <w:rsid w:val="005B1C29"/>
    <w:rsid w:val="005B3158"/>
    <w:rsid w:val="005B3F53"/>
    <w:rsid w:val="005B4CEA"/>
    <w:rsid w:val="005B5ADB"/>
    <w:rsid w:val="005B67ED"/>
    <w:rsid w:val="005B69D4"/>
    <w:rsid w:val="005C2A5A"/>
    <w:rsid w:val="005C30D4"/>
    <w:rsid w:val="005C7F21"/>
    <w:rsid w:val="005D1BA6"/>
    <w:rsid w:val="005D250F"/>
    <w:rsid w:val="005D364B"/>
    <w:rsid w:val="005D4F7D"/>
    <w:rsid w:val="005E00C7"/>
    <w:rsid w:val="005E09E9"/>
    <w:rsid w:val="005E3D9F"/>
    <w:rsid w:val="005E6F60"/>
    <w:rsid w:val="005F3F07"/>
    <w:rsid w:val="005F6963"/>
    <w:rsid w:val="005F769F"/>
    <w:rsid w:val="005F7995"/>
    <w:rsid w:val="005F79FC"/>
    <w:rsid w:val="00600EA1"/>
    <w:rsid w:val="006020E8"/>
    <w:rsid w:val="00603106"/>
    <w:rsid w:val="00615988"/>
    <w:rsid w:val="006168A4"/>
    <w:rsid w:val="00622396"/>
    <w:rsid w:val="0062244D"/>
    <w:rsid w:val="00624EEA"/>
    <w:rsid w:val="0063038A"/>
    <w:rsid w:val="00634F84"/>
    <w:rsid w:val="00637D3F"/>
    <w:rsid w:val="00640EAA"/>
    <w:rsid w:val="00642117"/>
    <w:rsid w:val="006430F6"/>
    <w:rsid w:val="00644983"/>
    <w:rsid w:val="0064498D"/>
    <w:rsid w:val="006472F4"/>
    <w:rsid w:val="00650C92"/>
    <w:rsid w:val="00653DFB"/>
    <w:rsid w:val="00654D13"/>
    <w:rsid w:val="006557D7"/>
    <w:rsid w:val="0065677C"/>
    <w:rsid w:val="006606A3"/>
    <w:rsid w:val="00661DE5"/>
    <w:rsid w:val="00662835"/>
    <w:rsid w:val="00662D5F"/>
    <w:rsid w:val="0066537F"/>
    <w:rsid w:val="00671666"/>
    <w:rsid w:val="00672014"/>
    <w:rsid w:val="006733A8"/>
    <w:rsid w:val="00673674"/>
    <w:rsid w:val="00674B18"/>
    <w:rsid w:val="006821B2"/>
    <w:rsid w:val="00683E53"/>
    <w:rsid w:val="00686968"/>
    <w:rsid w:val="006877E7"/>
    <w:rsid w:val="006956FE"/>
    <w:rsid w:val="006A503A"/>
    <w:rsid w:val="006A6FD0"/>
    <w:rsid w:val="006B080E"/>
    <w:rsid w:val="006B31E1"/>
    <w:rsid w:val="006B3B78"/>
    <w:rsid w:val="006B730D"/>
    <w:rsid w:val="006C1DED"/>
    <w:rsid w:val="006C5844"/>
    <w:rsid w:val="006D0E53"/>
    <w:rsid w:val="006D219A"/>
    <w:rsid w:val="006D2212"/>
    <w:rsid w:val="006D3254"/>
    <w:rsid w:val="006D33EE"/>
    <w:rsid w:val="006D550A"/>
    <w:rsid w:val="006D636A"/>
    <w:rsid w:val="006D73F2"/>
    <w:rsid w:val="006D7FF3"/>
    <w:rsid w:val="006E25BF"/>
    <w:rsid w:val="006E3B0D"/>
    <w:rsid w:val="006E6234"/>
    <w:rsid w:val="006E728E"/>
    <w:rsid w:val="00704843"/>
    <w:rsid w:val="00705BBD"/>
    <w:rsid w:val="00710962"/>
    <w:rsid w:val="007115F7"/>
    <w:rsid w:val="00713F25"/>
    <w:rsid w:val="00714FD7"/>
    <w:rsid w:val="00715666"/>
    <w:rsid w:val="0071623C"/>
    <w:rsid w:val="00716E89"/>
    <w:rsid w:val="00726463"/>
    <w:rsid w:val="0072776E"/>
    <w:rsid w:val="00727F4F"/>
    <w:rsid w:val="00731211"/>
    <w:rsid w:val="0073326F"/>
    <w:rsid w:val="007335C5"/>
    <w:rsid w:val="00734E80"/>
    <w:rsid w:val="00743885"/>
    <w:rsid w:val="00743CDB"/>
    <w:rsid w:val="00745AB4"/>
    <w:rsid w:val="00746E1D"/>
    <w:rsid w:val="007470E1"/>
    <w:rsid w:val="007479D6"/>
    <w:rsid w:val="00750B48"/>
    <w:rsid w:val="00752D0E"/>
    <w:rsid w:val="00753BD2"/>
    <w:rsid w:val="007543BF"/>
    <w:rsid w:val="00755564"/>
    <w:rsid w:val="00757E63"/>
    <w:rsid w:val="0076199B"/>
    <w:rsid w:val="00763BE6"/>
    <w:rsid w:val="00765619"/>
    <w:rsid w:val="00765D2B"/>
    <w:rsid w:val="00765DBD"/>
    <w:rsid w:val="0077073F"/>
    <w:rsid w:val="0077103F"/>
    <w:rsid w:val="00771B42"/>
    <w:rsid w:val="0077224C"/>
    <w:rsid w:val="007742AF"/>
    <w:rsid w:val="00774542"/>
    <w:rsid w:val="00782257"/>
    <w:rsid w:val="007836D6"/>
    <w:rsid w:val="00785772"/>
    <w:rsid w:val="007878F3"/>
    <w:rsid w:val="00787DBC"/>
    <w:rsid w:val="00791577"/>
    <w:rsid w:val="007930C0"/>
    <w:rsid w:val="00797B4A"/>
    <w:rsid w:val="007A2AF2"/>
    <w:rsid w:val="007A4004"/>
    <w:rsid w:val="007A400F"/>
    <w:rsid w:val="007B1B20"/>
    <w:rsid w:val="007B1C3F"/>
    <w:rsid w:val="007B25BE"/>
    <w:rsid w:val="007B31D2"/>
    <w:rsid w:val="007B4756"/>
    <w:rsid w:val="007B7F6A"/>
    <w:rsid w:val="007C197B"/>
    <w:rsid w:val="007C3555"/>
    <w:rsid w:val="007C3802"/>
    <w:rsid w:val="007C3FB4"/>
    <w:rsid w:val="007C416C"/>
    <w:rsid w:val="007C78CD"/>
    <w:rsid w:val="007D5BA0"/>
    <w:rsid w:val="007E040F"/>
    <w:rsid w:val="007E39BB"/>
    <w:rsid w:val="007E4906"/>
    <w:rsid w:val="007E5664"/>
    <w:rsid w:val="007F18F5"/>
    <w:rsid w:val="007F3978"/>
    <w:rsid w:val="007F3C22"/>
    <w:rsid w:val="007F7159"/>
    <w:rsid w:val="007F7B75"/>
    <w:rsid w:val="00801367"/>
    <w:rsid w:val="0080144D"/>
    <w:rsid w:val="008025DF"/>
    <w:rsid w:val="00804AA7"/>
    <w:rsid w:val="00806AEF"/>
    <w:rsid w:val="008165D0"/>
    <w:rsid w:val="00817123"/>
    <w:rsid w:val="008174CF"/>
    <w:rsid w:val="008218CC"/>
    <w:rsid w:val="00823395"/>
    <w:rsid w:val="00835377"/>
    <w:rsid w:val="00836DF6"/>
    <w:rsid w:val="0084691E"/>
    <w:rsid w:val="00854197"/>
    <w:rsid w:val="008564BE"/>
    <w:rsid w:val="008626BE"/>
    <w:rsid w:val="0086293F"/>
    <w:rsid w:val="00862B6D"/>
    <w:rsid w:val="008635E6"/>
    <w:rsid w:val="00863E45"/>
    <w:rsid w:val="008661A4"/>
    <w:rsid w:val="008666BC"/>
    <w:rsid w:val="00873208"/>
    <w:rsid w:val="008733F1"/>
    <w:rsid w:val="00874CFC"/>
    <w:rsid w:val="00875AF8"/>
    <w:rsid w:val="0087665A"/>
    <w:rsid w:val="00884BD9"/>
    <w:rsid w:val="00884F95"/>
    <w:rsid w:val="00886C3A"/>
    <w:rsid w:val="00890DC3"/>
    <w:rsid w:val="00891AAC"/>
    <w:rsid w:val="00897CDB"/>
    <w:rsid w:val="008A1A2C"/>
    <w:rsid w:val="008A6553"/>
    <w:rsid w:val="008B1964"/>
    <w:rsid w:val="008B27C1"/>
    <w:rsid w:val="008B7FFE"/>
    <w:rsid w:val="008C0FB2"/>
    <w:rsid w:val="008D5B9D"/>
    <w:rsid w:val="008D6AFE"/>
    <w:rsid w:val="008E0D87"/>
    <w:rsid w:val="008E2010"/>
    <w:rsid w:val="008E3653"/>
    <w:rsid w:val="008F0F79"/>
    <w:rsid w:val="008F21BF"/>
    <w:rsid w:val="008F243F"/>
    <w:rsid w:val="008F3480"/>
    <w:rsid w:val="009012DC"/>
    <w:rsid w:val="00901EA9"/>
    <w:rsid w:val="0090510E"/>
    <w:rsid w:val="00913674"/>
    <w:rsid w:val="009150E9"/>
    <w:rsid w:val="00920FB9"/>
    <w:rsid w:val="00922BC7"/>
    <w:rsid w:val="00922FB1"/>
    <w:rsid w:val="00924198"/>
    <w:rsid w:val="009244F0"/>
    <w:rsid w:val="009353CF"/>
    <w:rsid w:val="0093638C"/>
    <w:rsid w:val="00937483"/>
    <w:rsid w:val="00937A4E"/>
    <w:rsid w:val="0095542A"/>
    <w:rsid w:val="00955661"/>
    <w:rsid w:val="009569D6"/>
    <w:rsid w:val="00956EDC"/>
    <w:rsid w:val="00962054"/>
    <w:rsid w:val="0096675D"/>
    <w:rsid w:val="009714F0"/>
    <w:rsid w:val="0097633D"/>
    <w:rsid w:val="009803CA"/>
    <w:rsid w:val="00980AA0"/>
    <w:rsid w:val="009813DF"/>
    <w:rsid w:val="00981439"/>
    <w:rsid w:val="00981A39"/>
    <w:rsid w:val="00985084"/>
    <w:rsid w:val="009868EF"/>
    <w:rsid w:val="00987BB2"/>
    <w:rsid w:val="00992A29"/>
    <w:rsid w:val="009959CC"/>
    <w:rsid w:val="009A01CF"/>
    <w:rsid w:val="009A09C6"/>
    <w:rsid w:val="009A31E8"/>
    <w:rsid w:val="009A323D"/>
    <w:rsid w:val="009A3AE5"/>
    <w:rsid w:val="009A4C09"/>
    <w:rsid w:val="009B1061"/>
    <w:rsid w:val="009B122B"/>
    <w:rsid w:val="009B2C59"/>
    <w:rsid w:val="009B3E58"/>
    <w:rsid w:val="009B6F55"/>
    <w:rsid w:val="009B78FB"/>
    <w:rsid w:val="009C2411"/>
    <w:rsid w:val="009C3321"/>
    <w:rsid w:val="009C46AB"/>
    <w:rsid w:val="009C6AD9"/>
    <w:rsid w:val="009D0C63"/>
    <w:rsid w:val="009D152D"/>
    <w:rsid w:val="009D5355"/>
    <w:rsid w:val="009D6D36"/>
    <w:rsid w:val="009E44EE"/>
    <w:rsid w:val="009E53A5"/>
    <w:rsid w:val="009E708F"/>
    <w:rsid w:val="009E73FC"/>
    <w:rsid w:val="009F5CD2"/>
    <w:rsid w:val="009F77B2"/>
    <w:rsid w:val="009F7FBE"/>
    <w:rsid w:val="00A002F4"/>
    <w:rsid w:val="00A00AE0"/>
    <w:rsid w:val="00A00D36"/>
    <w:rsid w:val="00A01D1A"/>
    <w:rsid w:val="00A047AF"/>
    <w:rsid w:val="00A0567A"/>
    <w:rsid w:val="00A05793"/>
    <w:rsid w:val="00A10460"/>
    <w:rsid w:val="00A112E6"/>
    <w:rsid w:val="00A13306"/>
    <w:rsid w:val="00A134D5"/>
    <w:rsid w:val="00A14E35"/>
    <w:rsid w:val="00A174D4"/>
    <w:rsid w:val="00A204BA"/>
    <w:rsid w:val="00A20570"/>
    <w:rsid w:val="00A21BCF"/>
    <w:rsid w:val="00A223C9"/>
    <w:rsid w:val="00A230E1"/>
    <w:rsid w:val="00A238D0"/>
    <w:rsid w:val="00A24CD1"/>
    <w:rsid w:val="00A26C54"/>
    <w:rsid w:val="00A27C24"/>
    <w:rsid w:val="00A34177"/>
    <w:rsid w:val="00A34FD6"/>
    <w:rsid w:val="00A350F9"/>
    <w:rsid w:val="00A35532"/>
    <w:rsid w:val="00A35D97"/>
    <w:rsid w:val="00A3796D"/>
    <w:rsid w:val="00A41565"/>
    <w:rsid w:val="00A42341"/>
    <w:rsid w:val="00A426F4"/>
    <w:rsid w:val="00A45420"/>
    <w:rsid w:val="00A4631F"/>
    <w:rsid w:val="00A501C7"/>
    <w:rsid w:val="00A52CEE"/>
    <w:rsid w:val="00A54DA7"/>
    <w:rsid w:val="00A61BE3"/>
    <w:rsid w:val="00A76D23"/>
    <w:rsid w:val="00A77092"/>
    <w:rsid w:val="00A83EFC"/>
    <w:rsid w:val="00A8604A"/>
    <w:rsid w:val="00A92C53"/>
    <w:rsid w:val="00A95983"/>
    <w:rsid w:val="00AA19E7"/>
    <w:rsid w:val="00AA1C42"/>
    <w:rsid w:val="00AA4F13"/>
    <w:rsid w:val="00AA614F"/>
    <w:rsid w:val="00AA76BF"/>
    <w:rsid w:val="00AB19D9"/>
    <w:rsid w:val="00AB2A81"/>
    <w:rsid w:val="00AB3FF0"/>
    <w:rsid w:val="00AB736F"/>
    <w:rsid w:val="00AC08EF"/>
    <w:rsid w:val="00AC0A30"/>
    <w:rsid w:val="00AC262E"/>
    <w:rsid w:val="00AC7682"/>
    <w:rsid w:val="00AC7905"/>
    <w:rsid w:val="00AC799E"/>
    <w:rsid w:val="00AD0161"/>
    <w:rsid w:val="00AD1B7B"/>
    <w:rsid w:val="00AD35D3"/>
    <w:rsid w:val="00AD525D"/>
    <w:rsid w:val="00AE4E71"/>
    <w:rsid w:val="00AE6CDF"/>
    <w:rsid w:val="00AF0DF3"/>
    <w:rsid w:val="00AF15B0"/>
    <w:rsid w:val="00AF2483"/>
    <w:rsid w:val="00AF4F6C"/>
    <w:rsid w:val="00AF6122"/>
    <w:rsid w:val="00B046DF"/>
    <w:rsid w:val="00B05719"/>
    <w:rsid w:val="00B0601B"/>
    <w:rsid w:val="00B06E8D"/>
    <w:rsid w:val="00B102D9"/>
    <w:rsid w:val="00B106C6"/>
    <w:rsid w:val="00B122C3"/>
    <w:rsid w:val="00B12CE8"/>
    <w:rsid w:val="00B13432"/>
    <w:rsid w:val="00B20811"/>
    <w:rsid w:val="00B21753"/>
    <w:rsid w:val="00B23185"/>
    <w:rsid w:val="00B246DD"/>
    <w:rsid w:val="00B265D9"/>
    <w:rsid w:val="00B26603"/>
    <w:rsid w:val="00B2660E"/>
    <w:rsid w:val="00B307A4"/>
    <w:rsid w:val="00B3592B"/>
    <w:rsid w:val="00B45920"/>
    <w:rsid w:val="00B52F5E"/>
    <w:rsid w:val="00B661C1"/>
    <w:rsid w:val="00B67009"/>
    <w:rsid w:val="00B67669"/>
    <w:rsid w:val="00B700A4"/>
    <w:rsid w:val="00B70A0B"/>
    <w:rsid w:val="00B72191"/>
    <w:rsid w:val="00B72A6B"/>
    <w:rsid w:val="00B7385F"/>
    <w:rsid w:val="00B76070"/>
    <w:rsid w:val="00B8042F"/>
    <w:rsid w:val="00B84DAA"/>
    <w:rsid w:val="00B85F3E"/>
    <w:rsid w:val="00B93A4C"/>
    <w:rsid w:val="00BA0DEA"/>
    <w:rsid w:val="00BA1F0F"/>
    <w:rsid w:val="00BA62EE"/>
    <w:rsid w:val="00BB18C9"/>
    <w:rsid w:val="00BB2B10"/>
    <w:rsid w:val="00BB4888"/>
    <w:rsid w:val="00BB6D6F"/>
    <w:rsid w:val="00BC09DE"/>
    <w:rsid w:val="00BC3C88"/>
    <w:rsid w:val="00BC3FB6"/>
    <w:rsid w:val="00BC43EC"/>
    <w:rsid w:val="00BC462D"/>
    <w:rsid w:val="00BD0B73"/>
    <w:rsid w:val="00BD12FB"/>
    <w:rsid w:val="00BD4998"/>
    <w:rsid w:val="00BD5C10"/>
    <w:rsid w:val="00BD67D4"/>
    <w:rsid w:val="00BD747D"/>
    <w:rsid w:val="00BE58ED"/>
    <w:rsid w:val="00BE70CC"/>
    <w:rsid w:val="00BF0CB5"/>
    <w:rsid w:val="00BF288C"/>
    <w:rsid w:val="00BF39AF"/>
    <w:rsid w:val="00BF790E"/>
    <w:rsid w:val="00C02572"/>
    <w:rsid w:val="00C02891"/>
    <w:rsid w:val="00C054D4"/>
    <w:rsid w:val="00C063BE"/>
    <w:rsid w:val="00C07DC3"/>
    <w:rsid w:val="00C07DF8"/>
    <w:rsid w:val="00C11CF4"/>
    <w:rsid w:val="00C128B3"/>
    <w:rsid w:val="00C135FF"/>
    <w:rsid w:val="00C14EBB"/>
    <w:rsid w:val="00C211BD"/>
    <w:rsid w:val="00C22E21"/>
    <w:rsid w:val="00C2400C"/>
    <w:rsid w:val="00C26770"/>
    <w:rsid w:val="00C26850"/>
    <w:rsid w:val="00C26F02"/>
    <w:rsid w:val="00C30219"/>
    <w:rsid w:val="00C30B5C"/>
    <w:rsid w:val="00C319A8"/>
    <w:rsid w:val="00C32B5E"/>
    <w:rsid w:val="00C35852"/>
    <w:rsid w:val="00C42D39"/>
    <w:rsid w:val="00C4616E"/>
    <w:rsid w:val="00C4700E"/>
    <w:rsid w:val="00C54428"/>
    <w:rsid w:val="00C5575E"/>
    <w:rsid w:val="00C56DF8"/>
    <w:rsid w:val="00C61D78"/>
    <w:rsid w:val="00C710A4"/>
    <w:rsid w:val="00C7583B"/>
    <w:rsid w:val="00C8027D"/>
    <w:rsid w:val="00C80AB7"/>
    <w:rsid w:val="00C81248"/>
    <w:rsid w:val="00C816FA"/>
    <w:rsid w:val="00C81DFC"/>
    <w:rsid w:val="00C82A24"/>
    <w:rsid w:val="00C835A2"/>
    <w:rsid w:val="00C84AF0"/>
    <w:rsid w:val="00C855E5"/>
    <w:rsid w:val="00C85B21"/>
    <w:rsid w:val="00C86754"/>
    <w:rsid w:val="00C930F0"/>
    <w:rsid w:val="00C93DFC"/>
    <w:rsid w:val="00C9559E"/>
    <w:rsid w:val="00C9673A"/>
    <w:rsid w:val="00C97F25"/>
    <w:rsid w:val="00CA1F23"/>
    <w:rsid w:val="00CA6573"/>
    <w:rsid w:val="00CA74A0"/>
    <w:rsid w:val="00CB0620"/>
    <w:rsid w:val="00CB5446"/>
    <w:rsid w:val="00CB6E37"/>
    <w:rsid w:val="00CB741E"/>
    <w:rsid w:val="00CC397B"/>
    <w:rsid w:val="00CC660D"/>
    <w:rsid w:val="00CC6B2D"/>
    <w:rsid w:val="00CD080B"/>
    <w:rsid w:val="00CD3156"/>
    <w:rsid w:val="00CD6004"/>
    <w:rsid w:val="00CD78AB"/>
    <w:rsid w:val="00CD7A1B"/>
    <w:rsid w:val="00CE2E83"/>
    <w:rsid w:val="00CE3004"/>
    <w:rsid w:val="00CE5C5B"/>
    <w:rsid w:val="00CF0BCD"/>
    <w:rsid w:val="00CF1DDB"/>
    <w:rsid w:val="00CF2340"/>
    <w:rsid w:val="00CF537E"/>
    <w:rsid w:val="00CF6882"/>
    <w:rsid w:val="00CF6B67"/>
    <w:rsid w:val="00D03F1E"/>
    <w:rsid w:val="00D05B66"/>
    <w:rsid w:val="00D137D5"/>
    <w:rsid w:val="00D15C2F"/>
    <w:rsid w:val="00D21695"/>
    <w:rsid w:val="00D23943"/>
    <w:rsid w:val="00D249F3"/>
    <w:rsid w:val="00D260D6"/>
    <w:rsid w:val="00D26298"/>
    <w:rsid w:val="00D30E4B"/>
    <w:rsid w:val="00D33821"/>
    <w:rsid w:val="00D417DA"/>
    <w:rsid w:val="00D438E1"/>
    <w:rsid w:val="00D51005"/>
    <w:rsid w:val="00D55192"/>
    <w:rsid w:val="00D57981"/>
    <w:rsid w:val="00D603A8"/>
    <w:rsid w:val="00D645FE"/>
    <w:rsid w:val="00D676F0"/>
    <w:rsid w:val="00D70675"/>
    <w:rsid w:val="00D708C9"/>
    <w:rsid w:val="00D70FC6"/>
    <w:rsid w:val="00D75823"/>
    <w:rsid w:val="00D75D1C"/>
    <w:rsid w:val="00D76BDD"/>
    <w:rsid w:val="00D77881"/>
    <w:rsid w:val="00D82684"/>
    <w:rsid w:val="00D82A8B"/>
    <w:rsid w:val="00D83A50"/>
    <w:rsid w:val="00D85DDD"/>
    <w:rsid w:val="00D86C7B"/>
    <w:rsid w:val="00D91680"/>
    <w:rsid w:val="00D96440"/>
    <w:rsid w:val="00D97EC8"/>
    <w:rsid w:val="00DB04B0"/>
    <w:rsid w:val="00DB110F"/>
    <w:rsid w:val="00DB209B"/>
    <w:rsid w:val="00DC26DA"/>
    <w:rsid w:val="00DC2EEB"/>
    <w:rsid w:val="00DC68F5"/>
    <w:rsid w:val="00DD066D"/>
    <w:rsid w:val="00DD17B4"/>
    <w:rsid w:val="00DD355E"/>
    <w:rsid w:val="00DE45C6"/>
    <w:rsid w:val="00DF275C"/>
    <w:rsid w:val="00DF2FC3"/>
    <w:rsid w:val="00DF461A"/>
    <w:rsid w:val="00DF49C5"/>
    <w:rsid w:val="00E00A5B"/>
    <w:rsid w:val="00E01DF0"/>
    <w:rsid w:val="00E03C5E"/>
    <w:rsid w:val="00E0401A"/>
    <w:rsid w:val="00E136B4"/>
    <w:rsid w:val="00E13AC1"/>
    <w:rsid w:val="00E20614"/>
    <w:rsid w:val="00E216B3"/>
    <w:rsid w:val="00E22ABB"/>
    <w:rsid w:val="00E273E3"/>
    <w:rsid w:val="00E308BE"/>
    <w:rsid w:val="00E32B89"/>
    <w:rsid w:val="00E35FB5"/>
    <w:rsid w:val="00E36342"/>
    <w:rsid w:val="00E365E4"/>
    <w:rsid w:val="00E37301"/>
    <w:rsid w:val="00E40344"/>
    <w:rsid w:val="00E405DB"/>
    <w:rsid w:val="00E4131A"/>
    <w:rsid w:val="00E41348"/>
    <w:rsid w:val="00E44BA5"/>
    <w:rsid w:val="00E513A9"/>
    <w:rsid w:val="00E51553"/>
    <w:rsid w:val="00E51F9F"/>
    <w:rsid w:val="00E57A5F"/>
    <w:rsid w:val="00E57ED1"/>
    <w:rsid w:val="00E610E4"/>
    <w:rsid w:val="00E61780"/>
    <w:rsid w:val="00E6199D"/>
    <w:rsid w:val="00E63908"/>
    <w:rsid w:val="00E64096"/>
    <w:rsid w:val="00E64D28"/>
    <w:rsid w:val="00E650AE"/>
    <w:rsid w:val="00E6792A"/>
    <w:rsid w:val="00E70F78"/>
    <w:rsid w:val="00E70FE6"/>
    <w:rsid w:val="00E7258D"/>
    <w:rsid w:val="00E74600"/>
    <w:rsid w:val="00E87690"/>
    <w:rsid w:val="00E9402D"/>
    <w:rsid w:val="00E95342"/>
    <w:rsid w:val="00EA7BC5"/>
    <w:rsid w:val="00EB5C8E"/>
    <w:rsid w:val="00EB73B3"/>
    <w:rsid w:val="00EC01C8"/>
    <w:rsid w:val="00EC389E"/>
    <w:rsid w:val="00EC43A5"/>
    <w:rsid w:val="00EC59F7"/>
    <w:rsid w:val="00EC6192"/>
    <w:rsid w:val="00EC7760"/>
    <w:rsid w:val="00ED001A"/>
    <w:rsid w:val="00ED0C26"/>
    <w:rsid w:val="00ED4596"/>
    <w:rsid w:val="00ED5A07"/>
    <w:rsid w:val="00ED7CB9"/>
    <w:rsid w:val="00ED7F11"/>
    <w:rsid w:val="00EE05DB"/>
    <w:rsid w:val="00EE194C"/>
    <w:rsid w:val="00EE36BE"/>
    <w:rsid w:val="00EE6E00"/>
    <w:rsid w:val="00EF1FDD"/>
    <w:rsid w:val="00EF23E9"/>
    <w:rsid w:val="00EF2D22"/>
    <w:rsid w:val="00EF3412"/>
    <w:rsid w:val="00EF49F0"/>
    <w:rsid w:val="00EF5B91"/>
    <w:rsid w:val="00EF7A32"/>
    <w:rsid w:val="00F0262C"/>
    <w:rsid w:val="00F03DF9"/>
    <w:rsid w:val="00F122FD"/>
    <w:rsid w:val="00F128D3"/>
    <w:rsid w:val="00F14821"/>
    <w:rsid w:val="00F156C3"/>
    <w:rsid w:val="00F15E74"/>
    <w:rsid w:val="00F16485"/>
    <w:rsid w:val="00F2087E"/>
    <w:rsid w:val="00F210F9"/>
    <w:rsid w:val="00F22E6D"/>
    <w:rsid w:val="00F23CA3"/>
    <w:rsid w:val="00F35991"/>
    <w:rsid w:val="00F419C5"/>
    <w:rsid w:val="00F4581E"/>
    <w:rsid w:val="00F50F55"/>
    <w:rsid w:val="00F51AF3"/>
    <w:rsid w:val="00F53EAC"/>
    <w:rsid w:val="00F6754D"/>
    <w:rsid w:val="00F80BCB"/>
    <w:rsid w:val="00F8226D"/>
    <w:rsid w:val="00F83951"/>
    <w:rsid w:val="00F84343"/>
    <w:rsid w:val="00F85D8D"/>
    <w:rsid w:val="00F8613C"/>
    <w:rsid w:val="00F90362"/>
    <w:rsid w:val="00F93126"/>
    <w:rsid w:val="00F9326A"/>
    <w:rsid w:val="00FA1E28"/>
    <w:rsid w:val="00FA2BC9"/>
    <w:rsid w:val="00FA3463"/>
    <w:rsid w:val="00FA581C"/>
    <w:rsid w:val="00FB450C"/>
    <w:rsid w:val="00FC1C58"/>
    <w:rsid w:val="00FC3735"/>
    <w:rsid w:val="00FC7FFE"/>
    <w:rsid w:val="00FD0A5B"/>
    <w:rsid w:val="00FD2585"/>
    <w:rsid w:val="00FE3F7A"/>
    <w:rsid w:val="00FE5476"/>
    <w:rsid w:val="00FE64B7"/>
    <w:rsid w:val="00FE74AF"/>
    <w:rsid w:val="00FF0865"/>
    <w:rsid w:val="00FF10F5"/>
    <w:rsid w:val="00FF536A"/>
    <w:rsid w:val="00FF6E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9BB3EB4"/>
  <w15:docId w15:val="{10CA5769-A9BA-4A60-A034-3BB2A53C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 Char1,Footnote Text Char1 Char,Footnote Text Char1 Char Char Char,Footnote Text Char3 Char1 Char"/>
    <w:basedOn w:val="DefaultParagraphFont"/>
    <w:link w:val="FootnoteText"/>
    <w:locked/>
    <w:rsid w:val="009B2C59"/>
    <w:rPr>
      <w:rFonts w:cs="Times New Roman"/>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E64096"/>
    <w:pPr>
      <w:tabs>
        <w:tab w:val="center" w:pos="4680"/>
        <w:tab w:val="right" w:pos="9360"/>
      </w:tabs>
      <w:spacing w:after="120"/>
    </w:pPr>
    <w:rPr>
      <w:b/>
    </w:rPr>
  </w:style>
  <w:style w:type="character" w:customStyle="1" w:styleId="HeaderChar">
    <w:name w:val="Header Char"/>
    <w:basedOn w:val="DefaultParagraphFont"/>
    <w:link w:val="Header"/>
    <w:locked/>
    <w:rsid w:val="00E64096"/>
    <w:rPr>
      <w:b/>
      <w:kern w:val="28"/>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paragraph" w:styleId="Revision">
    <w:name w:val="Revision"/>
    <w:hidden/>
    <w:uiPriority w:val="99"/>
    <w:semiHidden/>
    <w:rsid w:val="00734E80"/>
    <w:rPr>
      <w:kern w:val="28"/>
      <w:szCs w:val="20"/>
    </w:rPr>
  </w:style>
  <w:style w:type="character" w:styleId="UnresolvedMention">
    <w:name w:val="Unresolved Mention"/>
    <w:basedOn w:val="DefaultParagraphFont"/>
    <w:uiPriority w:val="99"/>
    <w:rsid w:val="000B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