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E233DBF"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7A3609" w:rsidRPr="007A3609" w:rsidP="007A3609" w14:paraId="2BDDD008" w14:textId="7078E62C">
      <w:pPr>
        <w:widowControl w:val="0"/>
        <w:jc w:val="right"/>
        <w:rPr>
          <w:snapToGrid w:val="0"/>
          <w:kern w:val="28"/>
          <w:sz w:val="24"/>
          <w:szCs w:val="24"/>
        </w:rPr>
      </w:pPr>
      <w:r w:rsidRPr="007A3609">
        <w:rPr>
          <w:b/>
          <w:snapToGrid w:val="0"/>
          <w:kern w:val="28"/>
        </w:rPr>
        <w:t>DA 23-</w:t>
      </w:r>
      <w:r w:rsidR="00BE42EC">
        <w:rPr>
          <w:b/>
          <w:snapToGrid w:val="0"/>
          <w:kern w:val="28"/>
        </w:rPr>
        <w:t>42</w:t>
      </w:r>
    </w:p>
    <w:p w:rsidR="007A3609" w:rsidRPr="007A3609" w:rsidP="007A3609" w14:paraId="77827A6D" w14:textId="77777777">
      <w:pPr>
        <w:suppressAutoHyphens/>
        <w:spacing w:after="240"/>
        <w:jc w:val="right"/>
        <w:rPr>
          <w:b/>
          <w:snapToGrid w:val="0"/>
          <w:kern w:val="28"/>
        </w:rPr>
      </w:pPr>
      <w:r w:rsidRPr="007A3609">
        <w:rPr>
          <w:b/>
          <w:snapToGrid w:val="0"/>
          <w:kern w:val="28"/>
        </w:rPr>
        <w:t>Released:  January 18, 2023</w:t>
      </w:r>
    </w:p>
    <w:p w:rsidR="007A3609" w:rsidRPr="007A3609" w:rsidP="007A3609" w14:paraId="639F984A" w14:textId="77777777">
      <w:pPr>
        <w:widowControl w:val="0"/>
        <w:autoSpaceDE w:val="0"/>
        <w:autoSpaceDN w:val="0"/>
        <w:adjustRightInd w:val="0"/>
        <w:jc w:val="center"/>
        <w:rPr>
          <w:b/>
          <w:snapToGrid w:val="0"/>
          <w:kern w:val="28"/>
          <w:szCs w:val="22"/>
        </w:rPr>
      </w:pPr>
      <w:r w:rsidRPr="007A3609">
        <w:rPr>
          <w:b/>
          <w:snapToGrid w:val="0"/>
          <w:kern w:val="28"/>
          <w:szCs w:val="22"/>
        </w:rPr>
        <w:t xml:space="preserve">DOMESTIC SECTION 214 APPLICATION GRANTED </w:t>
      </w:r>
    </w:p>
    <w:p w:rsidR="007A3609" w:rsidRPr="007A3609" w:rsidP="007A3609" w14:paraId="7CA22FE9" w14:textId="77777777">
      <w:pPr>
        <w:widowControl w:val="0"/>
        <w:autoSpaceDE w:val="0"/>
        <w:autoSpaceDN w:val="0"/>
        <w:adjustRightInd w:val="0"/>
        <w:jc w:val="center"/>
        <w:rPr>
          <w:b/>
          <w:bCs/>
          <w:snapToGrid w:val="0"/>
          <w:kern w:val="28"/>
          <w:szCs w:val="22"/>
        </w:rPr>
      </w:pPr>
      <w:r w:rsidRPr="007A3609">
        <w:rPr>
          <w:b/>
          <w:snapToGrid w:val="0"/>
          <w:kern w:val="28"/>
          <w:szCs w:val="22"/>
        </w:rPr>
        <w:t>FOR THE TRANSFER OF CONTROL OF IDEATEK TELCOM</w:t>
      </w:r>
      <w:r w:rsidRPr="007A3609">
        <w:rPr>
          <w:b/>
          <w:bCs/>
          <w:snapToGrid w:val="0"/>
          <w:kern w:val="28"/>
          <w:szCs w:val="22"/>
        </w:rPr>
        <w:t xml:space="preserve">, LLC </w:t>
      </w:r>
    </w:p>
    <w:p w:rsidR="007A3609" w:rsidRPr="007A3609" w:rsidP="007A3609" w14:paraId="75150676" w14:textId="77777777">
      <w:pPr>
        <w:widowControl w:val="0"/>
        <w:autoSpaceDE w:val="0"/>
        <w:autoSpaceDN w:val="0"/>
        <w:adjustRightInd w:val="0"/>
        <w:rPr>
          <w:b/>
          <w:snapToGrid w:val="0"/>
          <w:kern w:val="28"/>
          <w:szCs w:val="22"/>
        </w:rPr>
      </w:pPr>
    </w:p>
    <w:p w:rsidR="007A3609" w:rsidRPr="007A3609" w:rsidP="007A3609" w14:paraId="42A5D0C8" w14:textId="77777777">
      <w:pPr>
        <w:widowControl w:val="0"/>
        <w:autoSpaceDE w:val="0"/>
        <w:autoSpaceDN w:val="0"/>
        <w:adjustRightInd w:val="0"/>
        <w:jc w:val="center"/>
        <w:rPr>
          <w:b/>
          <w:snapToGrid w:val="0"/>
          <w:kern w:val="28"/>
          <w:szCs w:val="22"/>
        </w:rPr>
      </w:pPr>
      <w:r w:rsidRPr="007A3609">
        <w:rPr>
          <w:b/>
          <w:snapToGrid w:val="0"/>
          <w:kern w:val="28"/>
          <w:szCs w:val="22"/>
        </w:rPr>
        <w:t>WC Docket No. 22-391</w:t>
      </w:r>
    </w:p>
    <w:p w:rsidR="007A3609" w:rsidRPr="007A3609" w:rsidP="007A3609" w14:paraId="6E47627E" w14:textId="77777777">
      <w:pPr>
        <w:suppressAutoHyphens/>
        <w:rPr>
          <w:b/>
          <w:snapToGrid w:val="0"/>
          <w:kern w:val="28"/>
        </w:rPr>
      </w:pPr>
    </w:p>
    <w:p w:rsidR="007A3609" w:rsidRPr="007A3609" w:rsidP="007A3609" w14:paraId="439A73CF" w14:textId="77777777">
      <w:pPr>
        <w:autoSpaceDE w:val="0"/>
        <w:autoSpaceDN w:val="0"/>
        <w:adjustRightInd w:val="0"/>
        <w:spacing w:after="120"/>
        <w:ind w:firstLine="720"/>
        <w:rPr>
          <w:szCs w:val="22"/>
        </w:rPr>
      </w:pPr>
      <w:r w:rsidRPr="007A3609">
        <w:rPr>
          <w:szCs w:val="22"/>
        </w:rPr>
        <w:t xml:space="preserve">By this Public Notice, the Wireline Competition Bureau (Bureau) grants an application filed by </w:t>
      </w:r>
      <w:bookmarkStart w:id="1" w:name="_Hlk73713070"/>
      <w:bookmarkStart w:id="2" w:name="_Hlk67917977"/>
      <w:r w:rsidRPr="007A3609">
        <w:rPr>
          <w:szCs w:val="22"/>
        </w:rPr>
        <w:t>Daniel P. Friesen and IdeaTek Telcom, LLC (IdeaTek) (collectively, Applicants), pursuant to section 214 of the Communications Act of 1934, as amended, and sections 63.03-04 of the Commission’s rules,</w:t>
      </w:r>
      <w:r>
        <w:rPr>
          <w:szCs w:val="22"/>
          <w:vertAlign w:val="superscript"/>
        </w:rPr>
        <w:footnoteReference w:id="3"/>
      </w:r>
      <w:r w:rsidRPr="007A3609">
        <w:rPr>
          <w:szCs w:val="22"/>
        </w:rPr>
        <w:t xml:space="preserve"> requesting consent to transfer control of IdeaTek.</w:t>
      </w:r>
      <w:bookmarkEnd w:id="1"/>
      <w:bookmarkEnd w:id="2"/>
      <w:r>
        <w:rPr>
          <w:szCs w:val="22"/>
          <w:vertAlign w:val="superscript"/>
        </w:rPr>
        <w:footnoteReference w:id="4"/>
      </w:r>
      <w:r w:rsidRPr="007A3609">
        <w:rPr>
          <w:szCs w:val="22"/>
        </w:rPr>
        <w:t xml:space="preserve"> </w:t>
      </w:r>
    </w:p>
    <w:p w:rsidR="007A3609" w:rsidRPr="007A3609" w:rsidP="007A3609" w14:paraId="1759A5BE" w14:textId="77777777">
      <w:pPr>
        <w:autoSpaceDE w:val="0"/>
        <w:autoSpaceDN w:val="0"/>
        <w:adjustRightInd w:val="0"/>
        <w:spacing w:after="120"/>
        <w:ind w:firstLine="720"/>
        <w:rPr>
          <w:szCs w:val="22"/>
        </w:rPr>
      </w:pPr>
      <w:r w:rsidRPr="007A3609">
        <w:rPr>
          <w:snapToGrid w:val="0"/>
          <w:kern w:val="28"/>
          <w:szCs w:val="22"/>
        </w:rPr>
        <w:t>On December 9, 2022, the Bureau released a Public Notice seeking comment on the Application.</w:t>
      </w:r>
      <w:r>
        <w:rPr>
          <w:snapToGrid w:val="0"/>
          <w:kern w:val="28"/>
          <w:szCs w:val="22"/>
          <w:vertAlign w:val="superscript"/>
        </w:rPr>
        <w:footnoteReference w:id="5"/>
      </w:r>
      <w:r w:rsidRPr="007A3609">
        <w:rPr>
          <w:snapToGrid w:val="0"/>
          <w:kern w:val="28"/>
          <w:szCs w:val="22"/>
        </w:rPr>
        <w:t xml:space="preserve">  The Bureau did not receive comments or petitions in opposition to the Application.</w:t>
      </w:r>
      <w:r w:rsidRPr="007A3609">
        <w:rPr>
          <w:szCs w:val="22"/>
        </w:rPr>
        <w:t xml:space="preserve"> </w:t>
      </w:r>
    </w:p>
    <w:p w:rsidR="007A3609" w:rsidRPr="007A3609" w:rsidP="007A3609" w14:paraId="65381FD2" w14:textId="77777777">
      <w:pPr>
        <w:autoSpaceDE w:val="0"/>
        <w:autoSpaceDN w:val="0"/>
        <w:adjustRightInd w:val="0"/>
        <w:spacing w:after="120"/>
        <w:rPr>
          <w:b/>
          <w:bCs/>
          <w:szCs w:val="22"/>
          <w:u w:val="single"/>
        </w:rPr>
      </w:pPr>
      <w:r w:rsidRPr="007A3609">
        <w:rPr>
          <w:b/>
          <w:bCs/>
          <w:szCs w:val="22"/>
          <w:u w:val="single"/>
        </w:rPr>
        <w:t>Applicants and Description of Transaction</w:t>
      </w:r>
    </w:p>
    <w:p w:rsidR="007A3609" w:rsidRPr="007A3609" w:rsidP="007A3609" w14:paraId="3529A52A" w14:textId="77777777">
      <w:pPr>
        <w:autoSpaceDE w:val="0"/>
        <w:autoSpaceDN w:val="0"/>
        <w:adjustRightInd w:val="0"/>
        <w:spacing w:after="120"/>
        <w:ind w:firstLine="720"/>
        <w:rPr>
          <w:szCs w:val="22"/>
        </w:rPr>
      </w:pPr>
      <w:r w:rsidRPr="007A3609">
        <w:rPr>
          <w:szCs w:val="22"/>
        </w:rPr>
        <w:t>IdeaTek, a Kansas limited liability company, provides competitive voice and broadband services and is a competitive local exchange carrier serving approximately 15,000 subscribers in Kansas.</w:t>
      </w:r>
      <w:r>
        <w:rPr>
          <w:szCs w:val="22"/>
          <w:vertAlign w:val="superscript"/>
        </w:rPr>
        <w:footnoteReference w:id="6"/>
      </w:r>
      <w:r w:rsidRPr="007A3609">
        <w:rPr>
          <w:szCs w:val="22"/>
        </w:rPr>
        <w:t xml:space="preserve">  IdeaTek is an Eligible Telecommunications Carrier (ETC) and receives Connect America Fund (CAF) Phase II Auction 903 support in Kansas.</w:t>
      </w:r>
      <w:r>
        <w:rPr>
          <w:szCs w:val="22"/>
          <w:vertAlign w:val="superscript"/>
        </w:rPr>
        <w:footnoteReference w:id="7"/>
      </w:r>
      <w:r w:rsidRPr="007A3609">
        <w:rPr>
          <w:szCs w:val="22"/>
        </w:rPr>
        <w:t xml:space="preserve">  On March 15, 2022, the Bureau also authorized IdeaTek to receive $23,590.60 in Rural Digital Opportunity Fund (RDOF) Auction 904 support to provide service to </w:t>
      </w:r>
      <w:r w:rsidRPr="007A3609">
        <w:rPr>
          <w:szCs w:val="22"/>
        </w:rPr>
        <w:t>an estimated 89 locations in Kansas.</w:t>
      </w:r>
      <w:r>
        <w:rPr>
          <w:szCs w:val="22"/>
          <w:vertAlign w:val="superscript"/>
        </w:rPr>
        <w:footnoteReference w:id="8"/>
      </w:r>
      <w:r w:rsidRPr="007A3609">
        <w:rPr>
          <w:szCs w:val="22"/>
        </w:rPr>
        <w:t xml:space="preserve">  Daniel Friesen, a U.S. citizen, currently owns 53.21% of IdeaTek and is the sole manager, and Jerrod Reimer, a U.S. citizen, owns 13.54% of the company.</w:t>
      </w:r>
      <w:r>
        <w:rPr>
          <w:szCs w:val="22"/>
          <w:vertAlign w:val="superscript"/>
        </w:rPr>
        <w:footnoteReference w:id="9"/>
      </w:r>
      <w:r w:rsidRPr="007A3609">
        <w:rPr>
          <w:szCs w:val="22"/>
        </w:rPr>
        <w:t xml:space="preserve">  </w:t>
      </w:r>
    </w:p>
    <w:p w:rsidR="007A3609" w:rsidRPr="007A3609" w:rsidP="007A3609" w14:paraId="19B208FD" w14:textId="77777777">
      <w:pPr>
        <w:autoSpaceDE w:val="0"/>
        <w:autoSpaceDN w:val="0"/>
        <w:adjustRightInd w:val="0"/>
        <w:spacing w:after="120"/>
        <w:ind w:firstLine="720"/>
        <w:rPr>
          <w:szCs w:val="22"/>
        </w:rPr>
      </w:pPr>
      <w:r w:rsidRPr="007A3609">
        <w:rPr>
          <w:rFonts w:ascii="TimesNewRomanPSMT" w:hAnsi="TimesNewRomanPSMT" w:cs="TimesNewRomanPSMT"/>
          <w:szCs w:val="22"/>
        </w:rPr>
        <w:t>Applicants state that “Pursuant to the terms of a Convertible Secured Promissory Note (‘Convertible Note’) and a Convertible Note Purchase Agreement (‘Purchase Agreement’), Peppertree Capital Fund IX, LP, a Delaware limited partnership, Peppertree Capital Fund IX QP, LP, a Delaware limited partnership, and Peppertree Capital FIX Co-Investors, LLC, (collectively, the ‘Peppertree Funds’), an Ohio limited liability company, made a significant debt investment in IdeaTek and acquired the right to convert its debt into ownership of up to a total of 49.5% in IdeaTek, subject to the prior consent of the Commission to a transfer of control of IdeaTek’s domestic section 214 authorization and wireless licenses.”</w:t>
      </w:r>
      <w:r>
        <w:rPr>
          <w:rFonts w:ascii="TimesNewRomanPSMT" w:hAnsi="TimesNewRomanPSMT" w:cs="TimesNewRomanPSMT"/>
          <w:szCs w:val="22"/>
          <w:vertAlign w:val="superscript"/>
        </w:rPr>
        <w:footnoteReference w:id="10"/>
      </w:r>
      <w:r w:rsidRPr="007A3609">
        <w:rPr>
          <w:rFonts w:ascii="TimesNewRomanPSMT" w:hAnsi="TimesNewRomanPSMT" w:cs="TimesNewRomanPSMT"/>
          <w:szCs w:val="22"/>
        </w:rPr>
        <w:t xml:space="preserve">  </w:t>
      </w:r>
      <w:bookmarkStart w:id="7" w:name="_Hlk121397426"/>
      <w:r w:rsidRPr="007A3609">
        <w:rPr>
          <w:rFonts w:ascii="TimesNewRomanPSMT" w:hAnsi="TimesNewRomanPSMT" w:cs="TimesNewRomanPSMT"/>
          <w:szCs w:val="22"/>
        </w:rPr>
        <w:t xml:space="preserve">Following consummation of the proposed transaction, Peppertree Capital Fund IX QP, LP </w:t>
      </w:r>
      <w:bookmarkEnd w:id="7"/>
      <w:r w:rsidRPr="007A3609">
        <w:rPr>
          <w:rFonts w:ascii="TimesNewRomanPSMT" w:hAnsi="TimesNewRomanPSMT" w:cs="TimesNewRomanPSMT"/>
          <w:szCs w:val="22"/>
        </w:rPr>
        <w:t>would own approximately 47.3% of IdeaTek, and the two other funds each would own approximately 1%.</w:t>
      </w:r>
      <w:r>
        <w:rPr>
          <w:rFonts w:ascii="TimesNewRomanPSMT" w:hAnsi="TimesNewRomanPSMT" w:cs="TimesNewRomanPSMT"/>
          <w:szCs w:val="22"/>
          <w:vertAlign w:val="superscript"/>
        </w:rPr>
        <w:footnoteReference w:id="11"/>
      </w:r>
      <w:r w:rsidRPr="007A3609">
        <w:rPr>
          <w:rFonts w:ascii="TimesNewRomanPSMT" w:hAnsi="TimesNewRomanPSMT" w:cs="TimesNewRomanPSMT"/>
          <w:szCs w:val="22"/>
        </w:rPr>
        <w:t xml:space="preserve">  </w:t>
      </w:r>
      <w:r w:rsidRPr="007A3609">
        <w:rPr>
          <w:szCs w:val="22"/>
        </w:rPr>
        <w:t>The Peppertree Funds are managed by Peppertree Capital Management, Inc. (PCMI), an Ohio private equity firm controlled by United States citizens.</w:t>
      </w:r>
      <w:r>
        <w:rPr>
          <w:szCs w:val="22"/>
          <w:vertAlign w:val="superscript"/>
        </w:rPr>
        <w:footnoteReference w:id="12"/>
      </w:r>
      <w:r w:rsidRPr="007A3609">
        <w:rPr>
          <w:szCs w:val="22"/>
        </w:rPr>
        <w:t xml:space="preserve">  </w:t>
      </w:r>
      <w:r w:rsidRPr="007A3609">
        <w:rPr>
          <w:rFonts w:ascii="TimesNewRomanPSMT" w:hAnsi="TimesNewRomanPSMT" w:cs="TimesNewRomanPSMT"/>
          <w:szCs w:val="22"/>
        </w:rPr>
        <w:t>Upon consummation of the proposed transaction, the Convertible Note will convert to equity in IdeaTek, and Daniel P. Friesen’s interest will be reduced from 53.21% to 24.46%, thereby effectuating a transfer of control of IdeaTek.</w:t>
      </w:r>
      <w:r>
        <w:rPr>
          <w:rFonts w:ascii="TimesNewRomanPSMT" w:hAnsi="TimesNewRomanPSMT" w:cs="TimesNewRomanPSMT"/>
          <w:szCs w:val="22"/>
          <w:vertAlign w:val="superscript"/>
        </w:rPr>
        <w:footnoteReference w:id="13"/>
      </w:r>
      <w:r w:rsidRPr="007A3609">
        <w:rPr>
          <w:rFonts w:ascii="TimesNewRomanPSMT" w:hAnsi="TimesNewRomanPSMT" w:cs="TimesNewRomanPSMT"/>
          <w:szCs w:val="22"/>
        </w:rPr>
        <w:t xml:space="preserve">  Applicants state that the PCMI entities and their affiliates do not provide any telecommunications services.</w:t>
      </w:r>
      <w:r>
        <w:rPr>
          <w:rFonts w:ascii="TimesNewRomanPSMT" w:hAnsi="TimesNewRomanPSMT" w:cs="TimesNewRomanPSMT"/>
          <w:szCs w:val="22"/>
          <w:vertAlign w:val="superscript"/>
        </w:rPr>
        <w:footnoteReference w:id="14"/>
      </w:r>
    </w:p>
    <w:p w:rsidR="007A3609" w:rsidRPr="007A3609" w:rsidP="007A3609" w14:paraId="5E0F8562" w14:textId="77777777">
      <w:pPr>
        <w:autoSpaceDE w:val="0"/>
        <w:autoSpaceDN w:val="0"/>
        <w:adjustRightInd w:val="0"/>
        <w:spacing w:after="120"/>
        <w:ind w:firstLine="720"/>
        <w:rPr>
          <w:bCs/>
          <w:szCs w:val="22"/>
        </w:rPr>
      </w:pPr>
      <w:r w:rsidRPr="007A3609">
        <w:rPr>
          <w:bCs/>
          <w:szCs w:val="22"/>
        </w:rPr>
        <w:t>Applicants assert that a grant of the Application would serve the public interest, convenience, and necessity, and that PCMI’s capital investment will enhance IdeaTek’s ability to meet and accelerate service obligations for its CAF and RDOF locations under the company’s existing management.</w:t>
      </w:r>
      <w:r>
        <w:rPr>
          <w:bCs/>
          <w:szCs w:val="22"/>
          <w:vertAlign w:val="superscript"/>
        </w:rPr>
        <w:footnoteReference w:id="15"/>
      </w:r>
      <w:r w:rsidRPr="007A3609">
        <w:rPr>
          <w:bCs/>
          <w:szCs w:val="22"/>
        </w:rPr>
        <w:t xml:space="preserve">  </w:t>
      </w:r>
    </w:p>
    <w:p w:rsidR="007A3609" w:rsidRPr="007A3609" w:rsidP="007A3609" w14:paraId="147CF8A4" w14:textId="77777777">
      <w:pPr>
        <w:autoSpaceDE w:val="0"/>
        <w:autoSpaceDN w:val="0"/>
        <w:adjustRightInd w:val="0"/>
        <w:spacing w:after="120"/>
        <w:rPr>
          <w:b/>
          <w:bCs/>
          <w:snapToGrid w:val="0"/>
          <w:kern w:val="28"/>
          <w:szCs w:val="22"/>
          <w:u w:val="single"/>
        </w:rPr>
      </w:pPr>
      <w:r w:rsidRPr="007A3609">
        <w:rPr>
          <w:b/>
          <w:bCs/>
          <w:snapToGrid w:val="0"/>
          <w:kern w:val="28"/>
          <w:szCs w:val="22"/>
          <w:u w:val="single"/>
        </w:rPr>
        <w:t>Discussion</w:t>
      </w:r>
    </w:p>
    <w:p w:rsidR="007A3609" w:rsidRPr="007A3609" w:rsidP="007A3609" w14:paraId="195B5E9B" w14:textId="77777777">
      <w:pPr>
        <w:autoSpaceDE w:val="0"/>
        <w:autoSpaceDN w:val="0"/>
        <w:adjustRightInd w:val="0"/>
        <w:spacing w:after="120"/>
        <w:ind w:firstLine="720"/>
        <w:rPr>
          <w:snapToGrid w:val="0"/>
          <w:color w:val="000000"/>
          <w:kern w:val="28"/>
        </w:rPr>
      </w:pPr>
      <w:r w:rsidRPr="007A3609">
        <w:rPr>
          <w:snapToGrid w:val="0"/>
          <w:kern w:val="28"/>
          <w:szCs w:val="22"/>
        </w:rPr>
        <w:t xml:space="preserve">We find, upon consideration of the record, that a grant of the Application will serve the public interest, convenience, and necessity.  To make this determination under Commission precedent, </w:t>
      </w:r>
      <w:r w:rsidRPr="007A3609">
        <w:rPr>
          <w:snapToGrid w:val="0"/>
          <w:kern w:val="28"/>
        </w:rPr>
        <w:t>we consider whether the proposed transaction could result in public interest harms by substantially frustrating or impairing the objectives or implementation of the Act or related statutes.</w:t>
      </w:r>
      <w:r>
        <w:rPr>
          <w:snapToGrid w:val="0"/>
          <w:kern w:val="28"/>
          <w:sz w:val="20"/>
          <w:vertAlign w:val="superscript"/>
        </w:rPr>
        <w:footnoteReference w:id="16"/>
      </w:r>
      <w:r w:rsidRPr="007A3609">
        <w:rPr>
          <w:snapToGrid w:val="0"/>
          <w:kern w:val="28"/>
        </w:rPr>
        <w:t xml:space="preserve">  </w:t>
      </w:r>
      <w:r w:rsidRPr="007A3609">
        <w:rPr>
          <w:snapToGrid w:val="0"/>
          <w:color w:val="000000"/>
          <w:kern w:val="28"/>
        </w:rPr>
        <w:t xml:space="preserve">We then employ a </w:t>
      </w:r>
      <w:r w:rsidRPr="007A3609">
        <w:rPr>
          <w:snapToGrid w:val="0"/>
          <w:color w:val="000000"/>
          <w:kern w:val="28"/>
        </w:rPr>
        <w:t>balancing test that weighs any potential public interest harms of the proposed transaction against any potential public interest benefits.</w:t>
      </w:r>
      <w:r>
        <w:rPr>
          <w:snapToGrid w:val="0"/>
          <w:color w:val="000000"/>
          <w:kern w:val="28"/>
          <w:sz w:val="20"/>
          <w:vertAlign w:val="superscript"/>
        </w:rPr>
        <w:footnoteReference w:id="17"/>
      </w:r>
      <w:r w:rsidRPr="007A3609">
        <w:rPr>
          <w:snapToGrid w:val="0"/>
          <w:color w:val="000000"/>
          <w:kern w:val="28"/>
        </w:rPr>
        <w:t xml:space="preserve">  The Applicants bear the burden of proving, by a preponderance of the evidence, that the proposed transaction, on balance, serves the public interest.</w:t>
      </w:r>
      <w:r>
        <w:rPr>
          <w:snapToGrid w:val="0"/>
          <w:color w:val="000000"/>
          <w:kern w:val="28"/>
          <w:sz w:val="20"/>
          <w:vertAlign w:val="superscript"/>
        </w:rPr>
        <w:footnoteReference w:id="18"/>
      </w:r>
    </w:p>
    <w:p w:rsidR="007A3609" w:rsidRPr="007A3609" w:rsidP="007A3609" w14:paraId="61492E88" w14:textId="77777777">
      <w:pPr>
        <w:autoSpaceDE w:val="0"/>
        <w:autoSpaceDN w:val="0"/>
        <w:adjustRightInd w:val="0"/>
        <w:spacing w:after="120"/>
        <w:ind w:firstLine="720"/>
        <w:rPr>
          <w:szCs w:val="22"/>
        </w:rPr>
      </w:pPr>
      <w:r w:rsidRPr="007A3609">
        <w:rPr>
          <w:szCs w:val="22"/>
        </w:rPr>
        <w:t xml:space="preserve">We find that the record contains no evidence of any potential public interest harms. </w:t>
      </w:r>
      <w:r w:rsidRPr="007A3609">
        <w:rPr>
          <w:snapToGrid w:val="0"/>
          <w:color w:val="000000"/>
          <w:kern w:val="28"/>
        </w:rPr>
        <w:t xml:space="preserve"> First, the proposed transaction will </w:t>
      </w:r>
      <w:r w:rsidRPr="007A3609">
        <w:rPr>
          <w:szCs w:val="22"/>
        </w:rPr>
        <w:t>not result in a reduction of competition.  The PCMI entities are not affiliated with any domestic telecommunications carriers,</w:t>
      </w:r>
      <w:r>
        <w:rPr>
          <w:snapToGrid w:val="0"/>
          <w:szCs w:val="22"/>
          <w:vertAlign w:val="superscript"/>
        </w:rPr>
        <w:footnoteReference w:id="19"/>
      </w:r>
      <w:r w:rsidRPr="007A3609">
        <w:rPr>
          <w:szCs w:val="22"/>
        </w:rPr>
        <w:t xml:space="preserve"> and there will thus be no physical overlap or reduction in service providers in any markets as a result of the transaction.  Further, Applicants state that the transaction will “not impact IdeaTek’s customers” and will have “no adverse –or, indeed, any— impact on customers and will not alter the planned manner of service delivery or billing.”</w:t>
      </w:r>
      <w:r>
        <w:rPr>
          <w:snapToGrid w:val="0"/>
          <w:szCs w:val="22"/>
          <w:vertAlign w:val="superscript"/>
        </w:rPr>
        <w:footnoteReference w:id="20"/>
      </w:r>
      <w:r w:rsidRPr="007A3609">
        <w:rPr>
          <w:szCs w:val="22"/>
        </w:rPr>
        <w:t xml:space="preserve">  Applicants state further that no changes are planned to IdeaTek’s rates, terms, and conditions of services,</w:t>
      </w:r>
      <w:r>
        <w:rPr>
          <w:snapToGrid w:val="0"/>
          <w:szCs w:val="22"/>
          <w:vertAlign w:val="superscript"/>
        </w:rPr>
        <w:footnoteReference w:id="21"/>
      </w:r>
      <w:r w:rsidRPr="007A3609">
        <w:rPr>
          <w:szCs w:val="22"/>
        </w:rPr>
        <w:t xml:space="preserve"> and we thus expect no potential harm to existing customers to result from the transaction.</w:t>
      </w:r>
    </w:p>
    <w:p w:rsidR="007A3609" w:rsidRPr="007A3609" w:rsidP="007A3609" w14:paraId="4F8B0985" w14:textId="77777777">
      <w:pPr>
        <w:autoSpaceDE w:val="0"/>
        <w:autoSpaceDN w:val="0"/>
        <w:adjustRightInd w:val="0"/>
        <w:spacing w:after="120"/>
        <w:ind w:firstLine="720"/>
        <w:rPr>
          <w:snapToGrid w:val="0"/>
          <w:kern w:val="28"/>
        </w:rPr>
      </w:pPr>
      <w:r w:rsidRPr="007A3609">
        <w:rPr>
          <w:szCs w:val="22"/>
        </w:rPr>
        <w:t>Second, IdeaTek will remain financially, managerially, and technically obligated to meet all public interest and performance obligations associated with the receipt of CAF Phase II and RDOF funding in accordance with the Commission’s pre-transaction approval of its qualifications, and we expect that the proposed transaction will not negatively impact these obligations.</w:t>
      </w:r>
      <w:r>
        <w:rPr>
          <w:snapToGrid w:val="0"/>
          <w:szCs w:val="22"/>
          <w:vertAlign w:val="superscript"/>
        </w:rPr>
        <w:footnoteReference w:id="22"/>
      </w:r>
      <w:r w:rsidRPr="007A3609">
        <w:rPr>
          <w:bCs/>
          <w:szCs w:val="22"/>
        </w:rPr>
        <w:t xml:space="preserve">  </w:t>
      </w:r>
      <w:r w:rsidRPr="007A3609">
        <w:rPr>
          <w:szCs w:val="22"/>
        </w:rPr>
        <w:t xml:space="preserve">Applicants have confirmed that the proposed transaction will not affect IdeaTek’s </w:t>
      </w:r>
      <w:r w:rsidRPr="007A3609">
        <w:rPr>
          <w:snapToGrid w:val="0"/>
          <w:kern w:val="28"/>
        </w:rPr>
        <w:t>deployment plans.</w:t>
      </w:r>
      <w:r>
        <w:rPr>
          <w:snapToGrid w:val="0"/>
          <w:kern w:val="28"/>
          <w:vertAlign w:val="superscript"/>
        </w:rPr>
        <w:footnoteReference w:id="23"/>
      </w:r>
      <w:r w:rsidRPr="007A3609">
        <w:rPr>
          <w:snapToGrid w:val="0"/>
          <w:kern w:val="28"/>
        </w:rPr>
        <w:t xml:space="preserve">  Specifically, </w:t>
      </w:r>
      <w:r w:rsidRPr="007A3609">
        <w:rPr>
          <w:snapToGrid w:val="0"/>
          <w:color w:val="000000"/>
          <w:kern w:val="28"/>
        </w:rPr>
        <w:t>Applicants state: “The debt conversion will not adversely impact IdeaTek’s ability to meet its CAF or RDOF commitments and, in fact, provides additional liquidity to accelerate buildout and growth and facilitate additional investment should it be necessary.  The funds loaned to IdeaTek under the Convertible Note enabled IdeaTek to retire approximately 30% of its existing bank debt, and the conversion of the loan to equity will enhance IdeaTek’s access to other sources of capital.”</w:t>
      </w:r>
      <w:r>
        <w:rPr>
          <w:snapToGrid w:val="0"/>
          <w:kern w:val="28"/>
          <w:vertAlign w:val="superscript"/>
        </w:rPr>
        <w:footnoteReference w:id="24"/>
      </w:r>
      <w:r w:rsidRPr="007A3609">
        <w:rPr>
          <w:snapToGrid w:val="0"/>
          <w:color w:val="000000"/>
          <w:kern w:val="28"/>
        </w:rPr>
        <w:t xml:space="preserve">  Applicants </w:t>
      </w:r>
      <w:r w:rsidRPr="007A3609">
        <w:rPr>
          <w:snapToGrid w:val="0"/>
          <w:kern w:val="28"/>
        </w:rPr>
        <w:t>have also confirmed that “there will be no changes in the management of IdeaTek or the technology used by IdeaTek to provide service as a result of the proposed Transaction.”</w:t>
      </w:r>
      <w:r>
        <w:rPr>
          <w:snapToGrid w:val="0"/>
          <w:kern w:val="28"/>
          <w:vertAlign w:val="superscript"/>
        </w:rPr>
        <w:footnoteReference w:id="25"/>
      </w:r>
      <w:r w:rsidRPr="007A3609">
        <w:rPr>
          <w:snapToGrid w:val="0"/>
          <w:kern w:val="28"/>
        </w:rPr>
        <w:t xml:space="preserve">  Overall, we conclude that the record in this proceeding does not support a finding of a public interest harm.</w:t>
      </w:r>
    </w:p>
    <w:p w:rsidR="007A3609" w:rsidRPr="007A3609" w:rsidP="007A3609" w14:paraId="23F925A9" w14:textId="77777777">
      <w:pPr>
        <w:widowControl w:val="0"/>
        <w:autoSpaceDE w:val="0"/>
        <w:autoSpaceDN w:val="0"/>
        <w:adjustRightInd w:val="0"/>
        <w:spacing w:after="120"/>
        <w:ind w:firstLine="720"/>
        <w:rPr>
          <w:snapToGrid w:val="0"/>
          <w:kern w:val="28"/>
        </w:rPr>
      </w:pPr>
      <w:r w:rsidRPr="007A3609">
        <w:rPr>
          <w:snapToGrid w:val="0"/>
          <w:kern w:val="28"/>
        </w:rPr>
        <w:t>We next consider whether the proposed transaction is likely to generate verifiable, transaction-</w:t>
      </w:r>
      <w:r w:rsidRPr="007A3609">
        <w:rPr>
          <w:snapToGrid w:val="0"/>
          <w:kern w:val="28"/>
        </w:rPr>
        <w:t>specific public interest benefits.</w:t>
      </w:r>
      <w:r>
        <w:rPr>
          <w:snapToGrid w:val="0"/>
          <w:kern w:val="28"/>
          <w:vertAlign w:val="superscript"/>
        </w:rPr>
        <w:footnoteReference w:id="26"/>
      </w:r>
      <w:r w:rsidRPr="007A3609">
        <w:rPr>
          <w:snapToGrid w:val="0"/>
          <w:kern w:val="28"/>
        </w:rPr>
        <w:t xml:space="preserve">  Applicants must provide evidence of a claimed benefit to allow the Commission to verify its likelihood and magnitude.</w:t>
      </w:r>
      <w:r>
        <w:rPr>
          <w:snapToGrid w:val="0"/>
          <w:kern w:val="28"/>
          <w:vertAlign w:val="superscript"/>
        </w:rPr>
        <w:footnoteReference w:id="27"/>
      </w:r>
      <w:r w:rsidRPr="007A3609">
        <w:rPr>
          <w:snapToGrid w:val="0"/>
          <w:kern w:val="28"/>
        </w:rPr>
        <w:t xml:space="preserve">  Where potential harms appear unlikely, as is the case with the Application before us here, the Commission accepts a lesser degree of magnitude and likelihood than when harms are present.</w:t>
      </w:r>
      <w:r>
        <w:rPr>
          <w:snapToGrid w:val="0"/>
          <w:kern w:val="28"/>
          <w:vertAlign w:val="superscript"/>
        </w:rPr>
        <w:footnoteReference w:id="28"/>
      </w:r>
      <w:r w:rsidRPr="007A3609">
        <w:rPr>
          <w:snapToGrid w:val="0"/>
          <w:kern w:val="28"/>
        </w:rPr>
        <w:t xml:space="preserve">  </w:t>
      </w:r>
    </w:p>
    <w:p w:rsidR="007A3609" w:rsidRPr="007A3609" w:rsidP="007A3609" w14:paraId="28267EEA" w14:textId="77777777">
      <w:pPr>
        <w:widowControl w:val="0"/>
        <w:autoSpaceDE w:val="0"/>
        <w:autoSpaceDN w:val="0"/>
        <w:adjustRightInd w:val="0"/>
        <w:spacing w:after="120"/>
        <w:ind w:firstLine="720"/>
        <w:rPr>
          <w:snapToGrid w:val="0"/>
          <w:kern w:val="28"/>
        </w:rPr>
      </w:pPr>
      <w:r w:rsidRPr="007A3609">
        <w:rPr>
          <w:snapToGrid w:val="0"/>
          <w:kern w:val="28"/>
        </w:rPr>
        <w:t>Applicants assert that the proposed transaction will “provide significant additional capital for IdeaTek to continue its ongoing expansion of Gigabit broadband services in Kansas”</w:t>
      </w:r>
      <w:r w:rsidRPr="007A3609">
        <w:rPr>
          <w:snapToGrid w:val="0"/>
          <w:kern w:val="28"/>
          <w:szCs w:val="22"/>
        </w:rPr>
        <w:t xml:space="preserve"> and, with regard to the RDOF program, will provide funding that “far exceeds the amount of money IdeaTek will need to complete its CAF and RDOF deployment obligations.”</w:t>
      </w:r>
      <w:r>
        <w:rPr>
          <w:snapToGrid w:val="0"/>
          <w:kern w:val="28"/>
          <w:szCs w:val="22"/>
          <w:vertAlign w:val="superscript"/>
        </w:rPr>
        <w:footnoteReference w:id="29"/>
      </w:r>
      <w:r w:rsidRPr="007A3609">
        <w:rPr>
          <w:snapToGrid w:val="0"/>
          <w:kern w:val="28"/>
        </w:rPr>
        <w:t xml:space="preserve">  Applicants state that “the Peppertree Funds’ capital infusion is helping, and will continue to help, accelerate the planned deployment and customer benefits.”</w:t>
      </w:r>
      <w:r>
        <w:rPr>
          <w:snapToGrid w:val="0"/>
          <w:kern w:val="28"/>
          <w:vertAlign w:val="superscript"/>
        </w:rPr>
        <w:footnoteReference w:id="30"/>
      </w:r>
      <w:r w:rsidRPr="007A3609">
        <w:rPr>
          <w:snapToGrid w:val="0"/>
          <w:kern w:val="28"/>
        </w:rPr>
        <w:t xml:space="preserve">  Applicants further state: “IdeaTek has completed its CAF network deployment to more than 76% of the required locations – well in excess of the 40% required by the end of 2022 – and has reduced the amount of its CAF letter of credit by 50%.  In addition, IdeaTek has timely submitted required speed and latency pre-testing and testing results to USAC.”</w:t>
      </w:r>
      <w:r>
        <w:rPr>
          <w:snapToGrid w:val="0"/>
          <w:kern w:val="28"/>
          <w:vertAlign w:val="superscript"/>
        </w:rPr>
        <w:footnoteReference w:id="31"/>
      </w:r>
      <w:r w:rsidRPr="007A3609">
        <w:rPr>
          <w:snapToGrid w:val="0"/>
          <w:kern w:val="28"/>
        </w:rPr>
        <w:t xml:space="preserve">  Applicants state that the proposed transaction will further IdeaTek’s progress moving forward and “enhance IdeaTek’s ability to perform its CAF and RDOF obligations and achieve its growth objectives.”</w:t>
      </w:r>
      <w:r>
        <w:rPr>
          <w:snapToGrid w:val="0"/>
          <w:kern w:val="28"/>
          <w:vertAlign w:val="superscript"/>
        </w:rPr>
        <w:footnoteReference w:id="32"/>
      </w:r>
      <w:r w:rsidRPr="007A3609">
        <w:rPr>
          <w:snapToGrid w:val="0"/>
          <w:kern w:val="28"/>
        </w:rPr>
        <w:t xml:space="preserve"> </w:t>
      </w:r>
    </w:p>
    <w:p w:rsidR="007A3609" w:rsidRPr="007A3609" w:rsidP="007A3609" w14:paraId="67DFAB86" w14:textId="77777777">
      <w:pPr>
        <w:widowControl w:val="0"/>
        <w:autoSpaceDE w:val="0"/>
        <w:autoSpaceDN w:val="0"/>
        <w:adjustRightInd w:val="0"/>
        <w:spacing w:after="120"/>
        <w:ind w:firstLine="720"/>
        <w:rPr>
          <w:szCs w:val="22"/>
        </w:rPr>
      </w:pPr>
      <w:r w:rsidRPr="007A3609">
        <w:rPr>
          <w:snapToGrid w:val="0"/>
          <w:kern w:val="28"/>
        </w:rPr>
        <w:t>The Commission has specified that ensuring consumers receive new or additional services is an important public interest factor,</w:t>
      </w:r>
      <w:r>
        <w:rPr>
          <w:snapToGrid w:val="0"/>
          <w:kern w:val="28"/>
          <w:vertAlign w:val="superscript"/>
        </w:rPr>
        <w:footnoteReference w:id="33"/>
      </w:r>
      <w:r w:rsidRPr="007A3609">
        <w:rPr>
          <w:snapToGrid w:val="0"/>
          <w:kern w:val="28"/>
        </w:rPr>
        <w:t xml:space="preserve"> and </w:t>
      </w:r>
      <w:r w:rsidRPr="007A3609">
        <w:rPr>
          <w:snapToGrid w:val="0"/>
          <w:color w:val="000000"/>
          <w:kern w:val="28"/>
        </w:rPr>
        <w:t>accelerating private sector deployment of advanced services is one of the aims of the Act.</w:t>
      </w:r>
      <w:r>
        <w:rPr>
          <w:snapToGrid w:val="0"/>
          <w:color w:val="000000"/>
          <w:kern w:val="28"/>
          <w:sz w:val="20"/>
          <w:vertAlign w:val="superscript"/>
        </w:rPr>
        <w:footnoteReference w:id="34"/>
      </w:r>
      <w:r w:rsidRPr="007A3609">
        <w:rPr>
          <w:snapToGrid w:val="0"/>
          <w:color w:val="000000"/>
          <w:kern w:val="28"/>
        </w:rPr>
        <w:t xml:space="preserve">  </w:t>
      </w:r>
      <w:r w:rsidRPr="007A3609">
        <w:rPr>
          <w:bCs/>
          <w:szCs w:val="22"/>
        </w:rPr>
        <w:t>In light of the Applicants’ commitments to meet all of Licensees’ federal high cost funding obligations</w:t>
      </w:r>
      <w:r>
        <w:rPr>
          <w:bCs/>
          <w:snapToGrid w:val="0"/>
          <w:szCs w:val="22"/>
          <w:vertAlign w:val="superscript"/>
        </w:rPr>
        <w:footnoteReference w:id="35"/>
      </w:r>
      <w:r w:rsidRPr="007A3609">
        <w:rPr>
          <w:bCs/>
          <w:szCs w:val="22"/>
        </w:rPr>
        <w:t xml:space="preserve"> and the fact that Applicants are prepared to devote additional capital to accelerate facilities-based service offerings,</w:t>
      </w:r>
      <w:r>
        <w:rPr>
          <w:bCs/>
          <w:snapToGrid w:val="0"/>
          <w:szCs w:val="22"/>
          <w:vertAlign w:val="superscript"/>
        </w:rPr>
        <w:footnoteReference w:id="36"/>
      </w:r>
      <w:r w:rsidRPr="007A3609">
        <w:rPr>
          <w:bCs/>
          <w:szCs w:val="22"/>
        </w:rPr>
        <w:t xml:space="preserve"> we find it likely that the proposed transaction would result in some public interest benefits.  </w:t>
      </w:r>
      <w:r w:rsidRPr="007A3609">
        <w:rPr>
          <w:szCs w:val="22"/>
        </w:rPr>
        <w:t>Absent any potential harms, and considering that the proposed transaction is likely to yield some benefits, we find, on balance, that the proposed transaction serves the public interest.</w:t>
      </w:r>
    </w:p>
    <w:p w:rsidR="007A3609" w:rsidRPr="007A3609" w:rsidP="007A3609" w14:paraId="0AC42FB1" w14:textId="77777777">
      <w:pPr>
        <w:autoSpaceDE w:val="0"/>
        <w:autoSpaceDN w:val="0"/>
        <w:adjustRightInd w:val="0"/>
        <w:spacing w:after="120"/>
        <w:ind w:firstLine="720"/>
        <w:rPr>
          <w:snapToGrid w:val="0"/>
          <w:kern w:val="28"/>
          <w:sz w:val="12"/>
          <w:szCs w:val="12"/>
        </w:rPr>
      </w:pPr>
      <w:r w:rsidRPr="007A3609">
        <w:rPr>
          <w:snapToGrid w:val="0"/>
          <w:kern w:val="28"/>
          <w:szCs w:val="22"/>
        </w:rPr>
        <w:t xml:space="preserve">Therefore, pursuant to section 214 of the Act, 47 U.S.C. § 214, and sections 0.91, 0.291, </w:t>
      </w:r>
      <w:r w:rsidRPr="007A3609">
        <w:rPr>
          <w:szCs w:val="22"/>
        </w:rPr>
        <w:t>63.03, and 63.04</w:t>
      </w:r>
      <w:r w:rsidRPr="007A3609">
        <w:rPr>
          <w:snapToGrid w:val="0"/>
          <w:kern w:val="28"/>
          <w:szCs w:val="22"/>
        </w:rPr>
        <w:t xml:space="preserve"> of the Commission’s rules, 47 CFR §§ 0.91, 0.291, 63.03, and 63.04, the Bureau hereby grants </w:t>
      </w:r>
      <w:r w:rsidRPr="007A3609">
        <w:rPr>
          <w:snapToGrid w:val="0"/>
          <w:kern w:val="28"/>
          <w:szCs w:val="22"/>
        </w:rPr>
        <w:t>the Application discussed in this Public Notice,</w:t>
      </w:r>
      <w:r w:rsidRPr="007A3609">
        <w:rPr>
          <w:szCs w:val="22"/>
        </w:rPr>
        <w:t xml:space="preserve"> subject to Applicants’ compliance with all applicable obligations.</w:t>
      </w:r>
      <w:r>
        <w:rPr>
          <w:snapToGrid w:val="0"/>
          <w:szCs w:val="22"/>
          <w:vertAlign w:val="superscript"/>
        </w:rPr>
        <w:footnoteReference w:id="37"/>
      </w:r>
      <w:r w:rsidRPr="007A3609">
        <w:rPr>
          <w:snapToGrid w:val="0"/>
          <w:kern w:val="28"/>
          <w:szCs w:val="22"/>
        </w:rPr>
        <w:t xml:space="preserve"> </w:t>
      </w:r>
    </w:p>
    <w:p w:rsidR="007A3609" w:rsidRPr="007A3609" w:rsidP="007A3609" w14:paraId="23663E05" w14:textId="77777777">
      <w:pPr>
        <w:autoSpaceDE w:val="0"/>
        <w:autoSpaceDN w:val="0"/>
        <w:adjustRightInd w:val="0"/>
        <w:spacing w:after="120"/>
        <w:ind w:firstLine="720"/>
        <w:rPr>
          <w:snapToGrid w:val="0"/>
          <w:kern w:val="28"/>
          <w:szCs w:val="22"/>
        </w:rPr>
      </w:pPr>
      <w:r w:rsidRPr="007A3609">
        <w:rPr>
          <w:snapToGrid w:val="0"/>
          <w:kern w:val="28"/>
          <w:szCs w:val="22"/>
        </w:rPr>
        <w:t>Pursuant to section 1.103 of the Commission’s rules, 47 CFR § 1.103, the grant is effective upon release of this Public Notice.</w:t>
      </w:r>
      <w:r>
        <w:rPr>
          <w:snapToGrid w:val="0"/>
          <w:kern w:val="28"/>
          <w:szCs w:val="22"/>
          <w:vertAlign w:val="superscript"/>
        </w:rPr>
        <w:footnoteReference w:id="38"/>
      </w:r>
      <w:r w:rsidRPr="007A3609">
        <w:rPr>
          <w:snapToGrid w:val="0"/>
          <w:kern w:val="28"/>
          <w:szCs w:val="22"/>
        </w:rPr>
        <w:t xml:space="preserve">  Petitions for reconsideration under section 1.106 or applications for review under section 1.115 of the Commission’s rules, 47 CFR §§ 1.106, 1.115, may be filed within 30 days of the date of this Public Notice.</w:t>
      </w:r>
      <w:bookmarkStart w:id="10" w:name="FN[FN9]"/>
      <w:bookmarkStart w:id="11" w:name="sp_999_1"/>
      <w:bookmarkStart w:id="12" w:name="SDU_1"/>
      <w:bookmarkStart w:id="13" w:name="sp_999_2"/>
      <w:bookmarkStart w:id="14" w:name="SDU_2"/>
      <w:bookmarkEnd w:id="10"/>
      <w:bookmarkEnd w:id="11"/>
      <w:bookmarkEnd w:id="12"/>
      <w:bookmarkEnd w:id="13"/>
      <w:bookmarkEnd w:id="14"/>
      <w:r w:rsidRPr="007A3609">
        <w:rPr>
          <w:snapToGrid w:val="0"/>
          <w:kern w:val="28"/>
          <w:szCs w:val="22"/>
        </w:rPr>
        <w:t xml:space="preserve">  For further information, please contact Dennis Johnson, Wireline Competition Bureau, Competition Policy Division, (202) 418-0809.</w:t>
      </w:r>
    </w:p>
    <w:p w:rsidR="007A3609" w:rsidRPr="007A3609" w:rsidP="007A3609" w14:paraId="2465F972" w14:textId="77777777">
      <w:pPr>
        <w:autoSpaceDE w:val="0"/>
        <w:autoSpaceDN w:val="0"/>
        <w:adjustRightInd w:val="0"/>
        <w:spacing w:after="120"/>
        <w:ind w:firstLine="720"/>
        <w:rPr>
          <w:snapToGrid w:val="0"/>
          <w:kern w:val="28"/>
          <w:szCs w:val="22"/>
        </w:rPr>
      </w:pPr>
      <w:r w:rsidRPr="007A3609">
        <w:rPr>
          <w:snapToGrid w:val="0"/>
          <w:kern w:val="28"/>
          <w:szCs w:val="22"/>
        </w:rPr>
        <w:t xml:space="preserve"> </w:t>
      </w:r>
    </w:p>
    <w:p w:rsidR="007A3609" w:rsidRPr="007A3609" w:rsidP="007A3609" w14:paraId="771F43A8" w14:textId="77777777">
      <w:pPr>
        <w:autoSpaceDE w:val="0"/>
        <w:autoSpaceDN w:val="0"/>
        <w:adjustRightInd w:val="0"/>
        <w:jc w:val="center"/>
        <w:rPr>
          <w:b/>
          <w:bCs/>
          <w:szCs w:val="22"/>
        </w:rPr>
      </w:pPr>
      <w:r w:rsidRPr="007A3609">
        <w:rPr>
          <w:b/>
          <w:bCs/>
          <w:szCs w:val="22"/>
        </w:rPr>
        <w:t>-FCC-</w:t>
      </w:r>
    </w:p>
    <w:p w:rsidR="00524D79" w:rsidP="007A3609" w14:paraId="76F365BB" w14:textId="50677419">
      <w:pPr>
        <w:widowControl w:val="0"/>
        <w:jc w:val="right"/>
        <w:rPr>
          <w:color w:val="000000"/>
          <w:szCs w:val="22"/>
        </w:rPr>
      </w:pPr>
    </w:p>
    <w:sectPr w:rsidSect="007A3609">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D0C3758" w14:textId="79FA89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3A3C">
      <w:rPr>
        <w:rStyle w:val="PageNumber"/>
        <w:noProof/>
      </w:rPr>
      <w:t>2</w:t>
    </w:r>
    <w:r>
      <w:rPr>
        <w:rStyle w:val="PageNumber"/>
      </w:rPr>
      <w:fldChar w:fldCharType="end"/>
    </w:r>
  </w:p>
  <w:p w:rsidR="005E21F5" w14:paraId="08B42E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0159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5AE365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65658AE" w14:textId="77777777">
    <w:pPr>
      <w:pStyle w:val="Footer"/>
      <w:framePr w:wrap="around" w:vAnchor="text" w:hAnchor="margin" w:xAlign="center" w:y="1"/>
    </w:pPr>
    <w:r>
      <w:fldChar w:fldCharType="begin"/>
    </w:r>
    <w:r>
      <w:instrText xml:space="preserve">PAGE  </w:instrText>
    </w:r>
    <w:r w:rsidR="00BE42EC">
      <w:fldChar w:fldCharType="separate"/>
    </w:r>
    <w:r>
      <w:fldChar w:fldCharType="end"/>
    </w:r>
  </w:p>
  <w:p w:rsidR="00D43260" w14:paraId="7994E66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1353B6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46D4D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B583F" w14:paraId="31B8F032" w14:textId="77777777">
      <w:r>
        <w:separator/>
      </w:r>
    </w:p>
  </w:footnote>
  <w:footnote w:type="continuationSeparator" w:id="1">
    <w:p w:rsidR="00AB583F" w14:paraId="16E8C270" w14:textId="77777777">
      <w:r>
        <w:continuationSeparator/>
      </w:r>
    </w:p>
  </w:footnote>
  <w:footnote w:type="continuationNotice" w:id="2">
    <w:p w:rsidR="00AB583F" w14:paraId="6A6755AE" w14:textId="77777777"/>
  </w:footnote>
  <w:footnote w:id="3">
    <w:p w:rsidR="007A3609" w:rsidRPr="007A3609" w:rsidP="007A3609" w14:paraId="05737B8C" w14:textId="77777777">
      <w:pPr>
        <w:spacing w:after="120"/>
        <w:rPr>
          <w:bCs/>
          <w:sz w:val="20"/>
        </w:rPr>
      </w:pPr>
      <w:r w:rsidRPr="007A3609">
        <w:rPr>
          <w:rStyle w:val="FootnoteReference"/>
          <w:sz w:val="20"/>
        </w:rPr>
        <w:footnoteRef/>
      </w:r>
      <w:r w:rsidRPr="007A3609">
        <w:rPr>
          <w:sz w:val="20"/>
        </w:rPr>
        <w:t xml:space="preserve"> </w:t>
      </w:r>
      <w:r w:rsidRPr="007A3609">
        <w:rPr>
          <w:i/>
          <w:sz w:val="20"/>
        </w:rPr>
        <w:t>See</w:t>
      </w:r>
      <w:r w:rsidRPr="007A3609">
        <w:rPr>
          <w:sz w:val="20"/>
        </w:rPr>
        <w:t xml:space="preserve"> 47 U.S.C. § 214; 47 CFR §§ 63.03-04.</w:t>
      </w:r>
    </w:p>
  </w:footnote>
  <w:footnote w:id="4">
    <w:p w:rsidR="007A3609" w:rsidRPr="007A3609" w:rsidP="007A3609" w14:paraId="3A57528C" w14:textId="77777777">
      <w:pPr>
        <w:spacing w:after="120"/>
        <w:rPr>
          <w:bCs/>
          <w:sz w:val="20"/>
        </w:rPr>
      </w:pPr>
      <w:r w:rsidRPr="007A3609">
        <w:rPr>
          <w:rStyle w:val="FootnoteReference"/>
          <w:sz w:val="20"/>
        </w:rPr>
        <w:footnoteRef/>
      </w:r>
      <w:r w:rsidRPr="007A3609">
        <w:rPr>
          <w:sz w:val="20"/>
        </w:rPr>
        <w:t xml:space="preserve"> Application of Daniel P. Friesen, IdeaTek Telcom, LLC for Consent to Transfer Control of Domestic Section 214 Authorization, WC Docket No. 22-391 (filed Nov. 8, 2022) (Application).  Applicants filed supplements to their application on December 6, 2022 and December 12, 2022.  </w:t>
      </w:r>
      <w:bookmarkStart w:id="3" w:name="_Hlk124175020"/>
      <w:r w:rsidRPr="007A3609">
        <w:rPr>
          <w:sz w:val="20"/>
        </w:rPr>
        <w:t>Letter from Stephen E. Coran, Counsel to IdeaTek Telcom, LLC, to Marlene H. Dortch, Secretary, FCC, WC Docket No. 22-391 (filed Dec. 6, 2022)</w:t>
      </w:r>
      <w:bookmarkEnd w:id="3"/>
      <w:r w:rsidRPr="007A3609">
        <w:rPr>
          <w:sz w:val="20"/>
        </w:rPr>
        <w:t>; Letter from Stephen E. Coran, Counsel to IdeaTek Telcom, LLC, to Marlene H. Dortch, Secretary, FCC, WC Docket No. 22-391 (filed Dec. 12, 2022) (Dec. 12 Supplement).  Applicants also filed applications for the transfer of wireless licenses.  Any action on this domestic section 214 application is without prejudice to Commission action on other related, pending applications</w:t>
      </w:r>
      <w:r w:rsidRPr="007A3609">
        <w:rPr>
          <w:bCs/>
          <w:sz w:val="20"/>
        </w:rPr>
        <w:t>.</w:t>
      </w:r>
    </w:p>
  </w:footnote>
  <w:footnote w:id="5">
    <w:p w:rsidR="007A3609" w:rsidRPr="007A3609" w:rsidP="007A3609" w14:paraId="43069089"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 xml:space="preserve">See </w:t>
      </w:r>
      <w:r w:rsidRPr="007A3609">
        <w:rPr>
          <w:i/>
          <w:sz w:val="20"/>
        </w:rPr>
        <w:t xml:space="preserve">Domestic Section 214 </w:t>
      </w:r>
      <w:r w:rsidRPr="007A3609">
        <w:rPr>
          <w:i/>
          <w:iCs/>
          <w:sz w:val="20"/>
        </w:rPr>
        <w:t>Application Filed for the Transfer of Control of IdeaTek Telcom, LLC</w:t>
      </w:r>
      <w:r w:rsidRPr="007A3609">
        <w:rPr>
          <w:sz w:val="20"/>
        </w:rPr>
        <w:t>, WC Docket No. 22-391, Public Notice, DA 22-1285 (WCB Dec. 9, 2022).</w:t>
      </w:r>
    </w:p>
  </w:footnote>
  <w:footnote w:id="6">
    <w:p w:rsidR="007A3609" w:rsidRPr="007A3609" w:rsidP="007A3609" w14:paraId="6DE3C324" w14:textId="77777777">
      <w:pPr>
        <w:pStyle w:val="FootnoteText"/>
        <w:rPr>
          <w:sz w:val="20"/>
        </w:rPr>
      </w:pPr>
      <w:r w:rsidRPr="007A3609">
        <w:rPr>
          <w:rStyle w:val="FootnoteReference"/>
          <w:sz w:val="20"/>
        </w:rPr>
        <w:footnoteRef/>
      </w:r>
      <w:r w:rsidRPr="007A3609">
        <w:rPr>
          <w:sz w:val="20"/>
        </w:rPr>
        <w:t xml:space="preserve"> Application at 2.</w:t>
      </w:r>
    </w:p>
  </w:footnote>
  <w:footnote w:id="7">
    <w:p w:rsidR="007A3609" w:rsidRPr="007A3609" w:rsidP="007A3609" w14:paraId="55C22115"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IdeaTek was the winning bidder for $6,186,881.60 of CAF Phase II Auction 903 support to serve 2,490 locations in Kansas.  </w:t>
      </w:r>
      <w:bookmarkStart w:id="4" w:name="_Hlk124430142"/>
      <w:r w:rsidRPr="007A3609">
        <w:rPr>
          <w:i/>
          <w:iCs/>
          <w:sz w:val="20"/>
        </w:rPr>
        <w:t>See Connect America Fund Phase II Auction Support Authorized for 856 Winning Bids</w:t>
      </w:r>
      <w:r w:rsidRPr="007A3609">
        <w:rPr>
          <w:sz w:val="20"/>
        </w:rPr>
        <w:t xml:space="preserve">, WC Docket No. 10-90, AU Docket No. 17-182, Public Notice, </w:t>
      </w:r>
      <w:bookmarkStart w:id="5" w:name="_Hlk124418407"/>
      <w:r w:rsidRPr="007A3609">
        <w:rPr>
          <w:sz w:val="20"/>
        </w:rPr>
        <w:t>34 FCC Rcd 4725</w:t>
      </w:r>
      <w:bookmarkEnd w:id="5"/>
      <w:r w:rsidRPr="007A3609">
        <w:rPr>
          <w:sz w:val="20"/>
        </w:rPr>
        <w:t xml:space="preserve">, </w:t>
      </w:r>
      <w:bookmarkStart w:id="6" w:name="_Hlk121395440"/>
      <w:r w:rsidRPr="007A3609">
        <w:rPr>
          <w:sz w:val="20"/>
        </w:rPr>
        <w:t>Attach. A (Authorized Long-Form Applicants and Winning Bids) (WCB 2019)</w:t>
      </w:r>
      <w:bookmarkEnd w:id="6"/>
      <w:r w:rsidRPr="007A3609">
        <w:rPr>
          <w:sz w:val="20"/>
        </w:rPr>
        <w:t xml:space="preserve"> (</w:t>
      </w:r>
      <w:r w:rsidRPr="007A3609">
        <w:rPr>
          <w:i/>
          <w:iCs/>
          <w:sz w:val="20"/>
        </w:rPr>
        <w:t>CAF Phase II Public Notice</w:t>
      </w:r>
      <w:r w:rsidRPr="007A3609">
        <w:rPr>
          <w:sz w:val="20"/>
        </w:rPr>
        <w:t xml:space="preserve">).  </w:t>
      </w:r>
      <w:bookmarkEnd w:id="4"/>
    </w:p>
  </w:footnote>
  <w:footnote w:id="8">
    <w:p w:rsidR="007A3609" w:rsidRPr="007A3609" w:rsidP="007A3609" w14:paraId="137BF6C7" w14:textId="77777777">
      <w:pPr>
        <w:pStyle w:val="FootnoteText"/>
        <w:rPr>
          <w:sz w:val="20"/>
        </w:rPr>
      </w:pPr>
      <w:r w:rsidRPr="007A3609">
        <w:rPr>
          <w:rStyle w:val="FootnoteReference"/>
          <w:sz w:val="20"/>
        </w:rPr>
        <w:footnoteRef/>
      </w:r>
      <w:r w:rsidRPr="007A3609">
        <w:rPr>
          <w:sz w:val="20"/>
        </w:rPr>
        <w:t xml:space="preserve"> Application at 3; </w:t>
      </w:r>
      <w:r w:rsidRPr="007A3609">
        <w:rPr>
          <w:i/>
          <w:iCs/>
          <w:sz w:val="20"/>
        </w:rPr>
        <w:t>see also Rural Digital Opportunity Fund Support Authorized for 5,657 Winning Bids</w:t>
      </w:r>
      <w:r w:rsidRPr="007A3609">
        <w:rPr>
          <w:sz w:val="20"/>
        </w:rPr>
        <w:t>, AU Docket No. 20-34, WC Docket Nos. 19-126, 10-90, Public Notice, DA 22-280 at Attach. A (Authorized Long-Form Applicants and Winning Bids) (WCB 2022) (</w:t>
      </w:r>
      <w:r w:rsidRPr="007A3609">
        <w:rPr>
          <w:i/>
          <w:iCs/>
          <w:sz w:val="20"/>
        </w:rPr>
        <w:t>RDOF Public Notice</w:t>
      </w:r>
      <w:r w:rsidRPr="007A3609">
        <w:rPr>
          <w:sz w:val="20"/>
        </w:rPr>
        <w:t xml:space="preserve">). </w:t>
      </w:r>
    </w:p>
  </w:footnote>
  <w:footnote w:id="9">
    <w:p w:rsidR="007A3609" w:rsidRPr="007A3609" w:rsidP="007A3609" w14:paraId="15B6E319" w14:textId="77777777">
      <w:pPr>
        <w:pStyle w:val="FootnoteText"/>
        <w:rPr>
          <w:sz w:val="20"/>
        </w:rPr>
      </w:pPr>
      <w:r w:rsidRPr="007A3609">
        <w:rPr>
          <w:rStyle w:val="FootnoteReference"/>
          <w:sz w:val="20"/>
        </w:rPr>
        <w:footnoteRef/>
      </w:r>
      <w:r w:rsidRPr="007A3609">
        <w:rPr>
          <w:sz w:val="20"/>
        </w:rPr>
        <w:t xml:space="preserve"> Application at 11-12. </w:t>
      </w:r>
    </w:p>
  </w:footnote>
  <w:footnote w:id="10">
    <w:p w:rsidR="007A3609" w:rsidRPr="007A3609" w:rsidP="007A3609" w14:paraId="2432EF67"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3. </w:t>
      </w:r>
    </w:p>
  </w:footnote>
  <w:footnote w:id="11">
    <w:p w:rsidR="007A3609" w:rsidRPr="007A3609" w:rsidP="007A3609" w14:paraId="51171A88"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at 2, Exh. A. (Post-Transaction Corporate Ownership Structure).</w:t>
      </w:r>
    </w:p>
  </w:footnote>
  <w:footnote w:id="12">
    <w:p w:rsidR="007A3609" w:rsidRPr="007A3609" w:rsidP="007A3609" w14:paraId="7E61C49F"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4, 12. </w:t>
      </w:r>
    </w:p>
  </w:footnote>
  <w:footnote w:id="13">
    <w:p w:rsidR="007A3609" w:rsidRPr="007A3609" w:rsidP="007A3609" w14:paraId="07C0F336"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5; Dec. 12 Supplement (Verification).  Separately, Mr. Reimer’s interest will fall below 10%, and after consummation, IdeaTek will be managed by a five-person board consisting of Mr. Friesen, Mr. Reimer, and Mr. Daniel Solomon, all of whom are current officers of the company, along with two members appointed by PCMI.  </w:t>
      </w:r>
      <w:r w:rsidRPr="007A3609">
        <w:rPr>
          <w:i/>
          <w:iCs/>
          <w:sz w:val="20"/>
        </w:rPr>
        <w:t>Id</w:t>
      </w:r>
      <w:r w:rsidRPr="007A3609">
        <w:rPr>
          <w:sz w:val="20"/>
        </w:rPr>
        <w:t>.</w:t>
      </w:r>
    </w:p>
  </w:footnote>
  <w:footnote w:id="14">
    <w:p w:rsidR="007A3609" w:rsidRPr="007A3609" w:rsidP="007A3609" w14:paraId="103F2461"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13; </w:t>
      </w:r>
      <w:bookmarkStart w:id="8" w:name="_Hlk124783158"/>
      <w:r w:rsidRPr="007A3609">
        <w:rPr>
          <w:sz w:val="20"/>
        </w:rPr>
        <w:t>Dec. 12 Supplement (Verification)</w:t>
      </w:r>
      <w:bookmarkEnd w:id="8"/>
      <w:r w:rsidRPr="007A3609">
        <w:rPr>
          <w:sz w:val="20"/>
        </w:rPr>
        <w:t xml:space="preserve">.  </w:t>
      </w:r>
    </w:p>
  </w:footnote>
  <w:footnote w:id="15">
    <w:p w:rsidR="007A3609" w:rsidRPr="007A3609" w:rsidP="007A3609" w14:paraId="616354D5" w14:textId="77777777">
      <w:pPr>
        <w:pStyle w:val="FootnoteText"/>
        <w:rPr>
          <w:sz w:val="20"/>
        </w:rPr>
      </w:pPr>
      <w:r w:rsidRPr="007A3609">
        <w:rPr>
          <w:rStyle w:val="FootnoteReference"/>
          <w:sz w:val="20"/>
        </w:rPr>
        <w:footnoteRef/>
      </w:r>
      <w:r w:rsidRPr="007A3609">
        <w:rPr>
          <w:sz w:val="20"/>
        </w:rPr>
        <w:t xml:space="preserve"> Application at 7-11.</w:t>
      </w:r>
    </w:p>
  </w:footnote>
  <w:footnote w:id="16">
    <w:p w:rsidR="007A3609" w:rsidRPr="007A3609" w:rsidP="007A3609" w14:paraId="3ABA670A" w14:textId="77777777">
      <w:pPr>
        <w:pStyle w:val="FootnoteText"/>
        <w:widowControl w:val="0"/>
        <w:rPr>
          <w:sz w:val="20"/>
        </w:rPr>
      </w:pPr>
      <w:r w:rsidRPr="007A3609">
        <w:rPr>
          <w:rStyle w:val="FootnoteReference"/>
          <w:sz w:val="20"/>
        </w:rPr>
        <w:footnoteRef/>
      </w:r>
      <w:r w:rsidRPr="007A3609">
        <w:rPr>
          <w:sz w:val="20"/>
        </w:rPr>
        <w:t xml:space="preserve"> </w:t>
      </w:r>
      <w:r w:rsidRPr="007A3609">
        <w:rPr>
          <w:i/>
          <w:sz w:val="20"/>
        </w:rPr>
        <w:t>See, e.g.</w:t>
      </w:r>
      <w:r w:rsidRPr="007A3609">
        <w:rPr>
          <w:sz w:val="20"/>
        </w:rPr>
        <w:t xml:space="preserve">, </w:t>
      </w:r>
      <w:r w:rsidRPr="007A3609">
        <w:rPr>
          <w:i/>
          <w:iCs/>
          <w:sz w:val="20"/>
        </w:rPr>
        <w:t xml:space="preserve">Application of Verizon Communications Inc. and </w:t>
      </w:r>
      <w:r w:rsidRPr="007A3609">
        <w:rPr>
          <w:rStyle w:val="markedcontent"/>
          <w:i/>
          <w:iCs/>
          <w:sz w:val="20"/>
        </w:rPr>
        <w:t>América Móvil S.A.B. de C.V for Consent to Transfer Control of International Section 214 Authorization</w:t>
      </w:r>
      <w:r w:rsidRPr="007A3609">
        <w:rPr>
          <w:rStyle w:val="markedcontent"/>
          <w:sz w:val="20"/>
        </w:rPr>
        <w:t xml:space="preserve">, GN Docket No. 21-112, </w:t>
      </w:r>
      <w:r w:rsidRPr="007A3609">
        <w:rPr>
          <w:sz w:val="20"/>
        </w:rPr>
        <w:t xml:space="preserve">IBFS File No. ITC-T/C-20200930-00173, </w:t>
      </w:r>
      <w:r w:rsidRPr="007A3609">
        <w:rPr>
          <w:rStyle w:val="markedcontent"/>
          <w:sz w:val="20"/>
        </w:rPr>
        <w:t>Memorandum Opinion and Order, 36 FCC Rcd 16994, 16996, para. 21 (2021) (</w:t>
      </w:r>
      <w:r w:rsidRPr="007A3609">
        <w:rPr>
          <w:rStyle w:val="markedcontent"/>
          <w:i/>
          <w:iCs/>
          <w:sz w:val="20"/>
        </w:rPr>
        <w:t>Verizon-TracFone Order</w:t>
      </w:r>
      <w:r w:rsidRPr="007A3609">
        <w:rPr>
          <w:rStyle w:val="markedcontent"/>
          <w:sz w:val="20"/>
        </w:rPr>
        <w:t xml:space="preserve">) </w:t>
      </w:r>
      <w:r w:rsidRPr="007A3609">
        <w:rPr>
          <w:sz w:val="20"/>
        </w:rPr>
        <w:t xml:space="preserve">(citing </w:t>
      </w:r>
      <w:r w:rsidRPr="007A3609">
        <w:rPr>
          <w:i/>
          <w:sz w:val="20"/>
        </w:rPr>
        <w:t>China Mobile International (USA) Inc., Application for Global Facilities-Based and Global Resale International Telecommunications Authority Pursuant to Section 214 of the Communications Act of 1934, as Amended</w:t>
      </w:r>
      <w:r w:rsidRPr="007A3609">
        <w:rPr>
          <w:sz w:val="20"/>
        </w:rPr>
        <w:t xml:space="preserve">, ITC-214-20110901-00289, Memorandum Opinion and Order, 34 FCC Rcd 3361, 3366, para. 9 (2019); </w:t>
      </w:r>
      <w:r w:rsidRPr="007A3609">
        <w:rPr>
          <w:i/>
          <w:sz w:val="20"/>
        </w:rPr>
        <w:t>Applications for Consent to the Assignment and/or Transfer of Control of Licenses, Adelphia Communications Corporation (and Subsidiaries, Debtors-in-Possession), Assignors, to Time Warner Cable Inc. (Subsidiaries), Assignees; Adelphia Communications Corporation, (and Subsidiaries, Debtors-in-Possession), Assignors and Transferors et al</w:t>
      </w:r>
      <w:r w:rsidRPr="007A3609">
        <w:rPr>
          <w:sz w:val="20"/>
        </w:rPr>
        <w:t>., MB Docket No. 05-192, Memorandum Opinion and Order, 21 FCC Rcd 8203, 8219-21, paras. 27-28 (2006) (</w:t>
      </w:r>
      <w:r w:rsidRPr="007A3609">
        <w:rPr>
          <w:i/>
          <w:iCs/>
          <w:sz w:val="20"/>
        </w:rPr>
        <w:t>Adelphia-TWC Order</w:t>
      </w:r>
      <w:r w:rsidRPr="007A3609">
        <w:rPr>
          <w:sz w:val="20"/>
        </w:rPr>
        <w:t>)).</w:t>
      </w:r>
    </w:p>
  </w:footnote>
  <w:footnote w:id="17">
    <w:p w:rsidR="007A3609" w:rsidRPr="007A3609" w:rsidP="007A3609" w14:paraId="1C0FC78C" w14:textId="77777777">
      <w:pPr>
        <w:pStyle w:val="FootnoteText"/>
        <w:rPr>
          <w:sz w:val="20"/>
        </w:rPr>
      </w:pPr>
      <w:r w:rsidRPr="007A3609">
        <w:rPr>
          <w:rStyle w:val="FootnoteReference"/>
          <w:sz w:val="20"/>
        </w:rPr>
        <w:footnoteRef/>
      </w:r>
      <w:r w:rsidRPr="007A3609">
        <w:rPr>
          <w:sz w:val="20"/>
        </w:rPr>
        <w:t xml:space="preserve"> </w:t>
      </w:r>
      <w:r w:rsidRPr="007A3609">
        <w:rPr>
          <w:i/>
          <w:sz w:val="20"/>
        </w:rPr>
        <w:t>See Verizon-TracFone Order</w:t>
      </w:r>
      <w:r w:rsidRPr="007A3609">
        <w:rPr>
          <w:iCs/>
          <w:sz w:val="20"/>
        </w:rPr>
        <w:t xml:space="preserve">, </w:t>
      </w:r>
      <w:r w:rsidRPr="007A3609">
        <w:rPr>
          <w:rStyle w:val="markedcontent"/>
          <w:sz w:val="20"/>
        </w:rPr>
        <w:t>36 FCC Rcd at 16996</w:t>
      </w:r>
      <w:r w:rsidRPr="007A3609">
        <w:rPr>
          <w:iCs/>
          <w:sz w:val="20"/>
        </w:rPr>
        <w:t xml:space="preserve">, para. 21 (citing </w:t>
      </w:r>
      <w:r w:rsidRPr="007A3609">
        <w:rPr>
          <w:i/>
          <w:sz w:val="20"/>
        </w:rPr>
        <w:t xml:space="preserve">Applications of </w:t>
      </w:r>
      <w:r w:rsidRPr="007A3609">
        <w:rPr>
          <w:i/>
          <w:iCs/>
          <w:sz w:val="20"/>
        </w:rPr>
        <w:t>AT&amp;T</w:t>
      </w:r>
      <w:r w:rsidRPr="007A3609">
        <w:rPr>
          <w:i/>
          <w:sz w:val="20"/>
        </w:rPr>
        <w:t xml:space="preserve"> Inc. and </w:t>
      </w:r>
      <w:r w:rsidRPr="007A3609">
        <w:rPr>
          <w:i/>
          <w:iCs/>
          <w:sz w:val="20"/>
        </w:rPr>
        <w:t xml:space="preserve">DIRECTV </w:t>
      </w:r>
      <w:r w:rsidRPr="007A3609">
        <w:rPr>
          <w:i/>
          <w:sz w:val="20"/>
        </w:rPr>
        <w:t>for Consent to Assign or Transfer Control of Licenses and Authorizations</w:t>
      </w:r>
      <w:r w:rsidRPr="007A3609">
        <w:rPr>
          <w:sz w:val="20"/>
        </w:rPr>
        <w:t xml:space="preserve">, MB Docket No. 14-90, Memorandum Opinion and Order, 30 </w:t>
      </w:r>
      <w:r w:rsidRPr="007A3609">
        <w:rPr>
          <w:iCs/>
          <w:sz w:val="20"/>
        </w:rPr>
        <w:t xml:space="preserve">FCC Rcd </w:t>
      </w:r>
      <w:r w:rsidRPr="007A3609">
        <w:rPr>
          <w:sz w:val="20"/>
        </w:rPr>
        <w:t>9131,</w:t>
      </w:r>
      <w:r w:rsidRPr="007A3609">
        <w:rPr>
          <w:iCs/>
          <w:sz w:val="20"/>
        </w:rPr>
        <w:t xml:space="preserve"> 9140, para. 18</w:t>
      </w:r>
      <w:r w:rsidRPr="007A3609">
        <w:rPr>
          <w:sz w:val="20"/>
        </w:rPr>
        <w:t xml:space="preserve"> (2015) (</w:t>
      </w:r>
      <w:r w:rsidRPr="007A3609">
        <w:rPr>
          <w:i/>
          <w:iCs/>
          <w:sz w:val="20"/>
        </w:rPr>
        <w:t>AT&amp;T-DIRECTV Order</w:t>
      </w:r>
      <w:r w:rsidRPr="007A3609">
        <w:rPr>
          <w:iCs/>
          <w:sz w:val="20"/>
        </w:rPr>
        <w:t>)) (further citations omitted).</w:t>
      </w:r>
    </w:p>
  </w:footnote>
  <w:footnote w:id="18">
    <w:p w:rsidR="007A3609" w:rsidRPr="007A3609" w:rsidP="007A3609" w14:paraId="24670254" w14:textId="77777777">
      <w:pPr>
        <w:pStyle w:val="FootnoteText"/>
        <w:rPr>
          <w:sz w:val="20"/>
        </w:rPr>
      </w:pPr>
      <w:r w:rsidRPr="007A3609">
        <w:rPr>
          <w:rStyle w:val="FootnoteReference"/>
          <w:sz w:val="20"/>
        </w:rPr>
        <w:footnoteRef/>
      </w:r>
      <w:r w:rsidRPr="007A3609">
        <w:rPr>
          <w:sz w:val="20"/>
        </w:rPr>
        <w:t xml:space="preserve"> </w:t>
      </w:r>
      <w:r w:rsidRPr="007A3609">
        <w:rPr>
          <w:i/>
          <w:sz w:val="20"/>
        </w:rPr>
        <w:t>See Verizon-TracFone Order</w:t>
      </w:r>
      <w:r w:rsidRPr="007A3609">
        <w:rPr>
          <w:iCs/>
          <w:sz w:val="20"/>
        </w:rPr>
        <w:t>, 36 FCC Rcd at 16996, para. 21 (citing</w:t>
      </w:r>
      <w:r w:rsidRPr="007A3609">
        <w:rPr>
          <w:sz w:val="20"/>
        </w:rPr>
        <w:t xml:space="preserve"> </w:t>
      </w:r>
      <w:r w:rsidRPr="007A3609">
        <w:rPr>
          <w:i/>
          <w:iCs/>
          <w:sz w:val="20"/>
        </w:rPr>
        <w:t>AT&amp;T-DIRECTV Order</w:t>
      </w:r>
      <w:r w:rsidRPr="007A3609">
        <w:rPr>
          <w:iCs/>
          <w:sz w:val="20"/>
        </w:rPr>
        <w:t xml:space="preserve">, </w:t>
      </w:r>
      <w:r w:rsidRPr="007A3609">
        <w:rPr>
          <w:sz w:val="20"/>
        </w:rPr>
        <w:t xml:space="preserve">30 </w:t>
      </w:r>
      <w:r w:rsidRPr="007A3609">
        <w:rPr>
          <w:iCs/>
          <w:sz w:val="20"/>
        </w:rPr>
        <w:t xml:space="preserve">FCC Rcd at 9140, para. 18; </w:t>
      </w:r>
      <w:r w:rsidRPr="007A3609">
        <w:rPr>
          <w:i/>
          <w:sz w:val="20"/>
        </w:rPr>
        <w:t>Adelphia-TWC Order</w:t>
      </w:r>
      <w:r w:rsidRPr="007A3609">
        <w:rPr>
          <w:sz w:val="20"/>
        </w:rPr>
        <w:t xml:space="preserve">, 21 FCC Rcd at 8217, para. 23; </w:t>
      </w:r>
      <w:r w:rsidRPr="007A3609">
        <w:rPr>
          <w:i/>
          <w:sz w:val="20"/>
        </w:rPr>
        <w:t>Application of EchoStar Communications Corp., General Motors Corp., and Hughes Electronics Corp., Transferors, and EchoStar Communications Corp., Transferee</w:t>
      </w:r>
      <w:r w:rsidRPr="007A3609">
        <w:rPr>
          <w:sz w:val="20"/>
        </w:rPr>
        <w:t xml:space="preserve">, CS Docket No. 01-348, Hearing Designation Order, 17 FCC Rcd 20559, </w:t>
      </w:r>
      <w:r w:rsidRPr="007A3609">
        <w:rPr>
          <w:snapToGrid w:val="0"/>
          <w:sz w:val="20"/>
        </w:rPr>
        <w:t>20574, para.</w:t>
      </w:r>
      <w:r w:rsidRPr="007A3609">
        <w:rPr>
          <w:sz w:val="20"/>
        </w:rPr>
        <w:t xml:space="preserve"> 25 (2002)) </w:t>
      </w:r>
      <w:r w:rsidRPr="007A3609">
        <w:rPr>
          <w:iCs/>
          <w:sz w:val="20"/>
        </w:rPr>
        <w:t>(further citations omitted)</w:t>
      </w:r>
      <w:r w:rsidRPr="007A3609">
        <w:rPr>
          <w:sz w:val="20"/>
        </w:rPr>
        <w:t>.</w:t>
      </w:r>
    </w:p>
  </w:footnote>
  <w:footnote w:id="19">
    <w:p w:rsidR="007A3609" w:rsidRPr="007A3609" w:rsidP="007A3609" w14:paraId="1ED11A66" w14:textId="77777777">
      <w:pPr>
        <w:pStyle w:val="FootnoteText"/>
        <w:rPr>
          <w:sz w:val="20"/>
        </w:rPr>
      </w:pPr>
      <w:r w:rsidRPr="007A3609">
        <w:rPr>
          <w:rStyle w:val="FootnoteReference"/>
          <w:sz w:val="20"/>
        </w:rPr>
        <w:footnoteRef/>
      </w:r>
      <w:r w:rsidRPr="007A3609">
        <w:rPr>
          <w:sz w:val="20"/>
        </w:rPr>
        <w:t xml:space="preserve"> Dec. 12 Supplement at 1.</w:t>
      </w:r>
    </w:p>
  </w:footnote>
  <w:footnote w:id="20">
    <w:p w:rsidR="007A3609" w:rsidRPr="007A3609" w:rsidP="007A3609" w14:paraId="56EE7247" w14:textId="77777777">
      <w:pPr>
        <w:pStyle w:val="FootnoteText"/>
        <w:rPr>
          <w:sz w:val="20"/>
        </w:rPr>
      </w:pPr>
      <w:r w:rsidRPr="007A3609">
        <w:rPr>
          <w:rStyle w:val="FootnoteReference"/>
          <w:sz w:val="20"/>
        </w:rPr>
        <w:footnoteRef/>
      </w:r>
      <w:r w:rsidRPr="007A3609">
        <w:rPr>
          <w:sz w:val="20"/>
        </w:rPr>
        <w:t xml:space="preserve"> Application at 7.</w:t>
      </w:r>
    </w:p>
  </w:footnote>
  <w:footnote w:id="21">
    <w:p w:rsidR="007A3609" w:rsidRPr="007A3609" w:rsidP="007A3609" w14:paraId="14A2E29D"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at 5.</w:t>
      </w:r>
    </w:p>
  </w:footnote>
  <w:footnote w:id="22">
    <w:p w:rsidR="007A3609" w:rsidRPr="007A3609" w:rsidP="007A3609" w14:paraId="47DC6C30"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See</w:t>
      </w:r>
      <w:r w:rsidRPr="007A3609">
        <w:rPr>
          <w:sz w:val="20"/>
        </w:rPr>
        <w:t xml:space="preserve"> </w:t>
      </w:r>
      <w:r w:rsidRPr="007A3609">
        <w:rPr>
          <w:i/>
          <w:iCs/>
          <w:sz w:val="20"/>
        </w:rPr>
        <w:t>id</w:t>
      </w:r>
      <w:r w:rsidRPr="007A3609">
        <w:rPr>
          <w:sz w:val="20"/>
        </w:rPr>
        <w:t xml:space="preserve">. at 10. </w:t>
      </w:r>
    </w:p>
  </w:footnote>
  <w:footnote w:id="23">
    <w:p w:rsidR="007A3609" w:rsidRPr="007A3609" w:rsidP="007A3609" w14:paraId="6E2F4E64"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at 6.</w:t>
      </w:r>
    </w:p>
  </w:footnote>
  <w:footnote w:id="24">
    <w:p w:rsidR="007A3609" w:rsidRPr="007A3609" w:rsidP="007A3609" w14:paraId="27DF542E"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9.  </w:t>
      </w:r>
    </w:p>
  </w:footnote>
  <w:footnote w:id="25">
    <w:p w:rsidR="007A3609" w:rsidRPr="007A3609" w:rsidP="007A3609" w14:paraId="3DAD3A4F"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at 6.</w:t>
      </w:r>
    </w:p>
  </w:footnote>
  <w:footnote w:id="26">
    <w:p w:rsidR="007A3609" w:rsidRPr="007A3609" w:rsidP="007A3609" w14:paraId="39A2BB1F"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See AT&amp;T/DIRECTV Order</w:t>
      </w:r>
      <w:r w:rsidRPr="007A3609">
        <w:rPr>
          <w:sz w:val="20"/>
        </w:rPr>
        <w:t>, 30 FCC Rcd at 9237, paras. 273-74.</w:t>
      </w:r>
    </w:p>
  </w:footnote>
  <w:footnote w:id="27">
    <w:p w:rsidR="007A3609" w:rsidRPr="007A3609" w:rsidP="007A3609" w14:paraId="32F1669C"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See id</w:t>
      </w:r>
      <w:r w:rsidRPr="007A3609">
        <w:rPr>
          <w:sz w:val="20"/>
        </w:rPr>
        <w:t>. at 9237-38, paras. 275-76.</w:t>
      </w:r>
    </w:p>
  </w:footnote>
  <w:footnote w:id="28">
    <w:p w:rsidR="007A3609" w:rsidRPr="007A3609" w:rsidP="007A3609" w14:paraId="71FA3A0C"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See id</w:t>
      </w:r>
      <w:r w:rsidRPr="007A3609">
        <w:rPr>
          <w:sz w:val="20"/>
        </w:rPr>
        <w:t>.</w:t>
      </w:r>
    </w:p>
  </w:footnote>
  <w:footnote w:id="29">
    <w:p w:rsidR="007A3609" w:rsidRPr="007A3609" w:rsidP="007A3609" w14:paraId="2791D439" w14:textId="77777777">
      <w:pPr>
        <w:pStyle w:val="FootnoteText"/>
        <w:rPr>
          <w:sz w:val="20"/>
        </w:rPr>
      </w:pPr>
      <w:r w:rsidRPr="007A3609">
        <w:rPr>
          <w:rStyle w:val="FootnoteReference"/>
          <w:sz w:val="20"/>
        </w:rPr>
        <w:footnoteRef/>
      </w:r>
      <w:r w:rsidRPr="007A3609">
        <w:rPr>
          <w:sz w:val="20"/>
        </w:rPr>
        <w:t xml:space="preserve"> Application at 10.</w:t>
      </w:r>
    </w:p>
  </w:footnote>
  <w:footnote w:id="30">
    <w:p w:rsidR="007A3609" w:rsidRPr="007A3609" w:rsidP="007A3609" w14:paraId="20875DE9"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9. </w:t>
      </w:r>
    </w:p>
  </w:footnote>
  <w:footnote w:id="31">
    <w:p w:rsidR="007A3609" w:rsidRPr="007A3609" w:rsidP="007A3609" w14:paraId="042A66E6"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w:t>
      </w:r>
    </w:p>
  </w:footnote>
  <w:footnote w:id="32">
    <w:p w:rsidR="007A3609" w:rsidRPr="007A3609" w:rsidP="007A3609" w14:paraId="69BA4252"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xml:space="preserve"> at 7.</w:t>
      </w:r>
    </w:p>
  </w:footnote>
  <w:footnote w:id="33">
    <w:p w:rsidR="007A3609" w:rsidRPr="007A3609" w:rsidP="007A3609" w14:paraId="298F298B"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See, e.g.</w:t>
      </w:r>
      <w:r w:rsidRPr="007A3609">
        <w:rPr>
          <w:sz w:val="20"/>
        </w:rPr>
        <w:t>,</w:t>
      </w:r>
      <w:r w:rsidRPr="007A3609">
        <w:rPr>
          <w:i/>
          <w:iCs/>
          <w:sz w:val="20"/>
        </w:rPr>
        <w:t xml:space="preserve"> AT&amp;T-DIRECTV Order</w:t>
      </w:r>
      <w:r w:rsidRPr="007A3609">
        <w:rPr>
          <w:iCs/>
          <w:sz w:val="20"/>
        </w:rPr>
        <w:t xml:space="preserve">, </w:t>
      </w:r>
      <w:r w:rsidRPr="007A3609">
        <w:rPr>
          <w:sz w:val="20"/>
        </w:rPr>
        <w:t xml:space="preserve">30 </w:t>
      </w:r>
      <w:r w:rsidRPr="007A3609">
        <w:rPr>
          <w:iCs/>
          <w:sz w:val="20"/>
        </w:rPr>
        <w:t>FCC Rcd at 9140, para. 19.</w:t>
      </w:r>
    </w:p>
  </w:footnote>
  <w:footnote w:id="34">
    <w:p w:rsidR="007A3609" w:rsidRPr="007A3609" w:rsidP="007A3609" w14:paraId="74398698" w14:textId="77777777">
      <w:pPr>
        <w:pStyle w:val="FootnoteText"/>
        <w:rPr>
          <w:sz w:val="20"/>
        </w:rPr>
      </w:pPr>
      <w:r w:rsidRPr="007A3609">
        <w:rPr>
          <w:rStyle w:val="FootnoteReference"/>
          <w:sz w:val="20"/>
        </w:rPr>
        <w:footnoteRef/>
      </w:r>
      <w:r w:rsidRPr="007A3609">
        <w:rPr>
          <w:sz w:val="20"/>
        </w:rPr>
        <w:t xml:space="preserve"> </w:t>
      </w:r>
      <w:r w:rsidRPr="007A3609">
        <w:rPr>
          <w:i/>
          <w:sz w:val="20"/>
        </w:rPr>
        <w:t>See Verizon-TracFone Order</w:t>
      </w:r>
      <w:r w:rsidRPr="007A3609">
        <w:rPr>
          <w:iCs/>
          <w:sz w:val="20"/>
        </w:rPr>
        <w:t>,</w:t>
      </w:r>
      <w:r w:rsidRPr="007A3609">
        <w:rPr>
          <w:i/>
          <w:sz w:val="20"/>
        </w:rPr>
        <w:t xml:space="preserve"> </w:t>
      </w:r>
      <w:r w:rsidRPr="007A3609">
        <w:rPr>
          <w:rStyle w:val="markedcontent"/>
          <w:sz w:val="20"/>
        </w:rPr>
        <w:t>36 FCC Rcd at 16996-97</w:t>
      </w:r>
      <w:r w:rsidRPr="007A3609">
        <w:rPr>
          <w:iCs/>
          <w:sz w:val="20"/>
        </w:rPr>
        <w:t xml:space="preserve">, para. 22 (citing </w:t>
      </w:r>
      <w:r w:rsidRPr="007A3609">
        <w:rPr>
          <w:sz w:val="20"/>
        </w:rPr>
        <w:t>47 U.S.C. §§ 254, 332(c)(7), 1302; Telecommunications Act of 1996, Pub. L. No. 104-104, Preamble, 110 Stat. 56 (1996) (one purpose of the Act is to “accelerate rapidly private sector deployment of advanced telecommunications and information technologies and services”)).</w:t>
      </w:r>
    </w:p>
  </w:footnote>
  <w:footnote w:id="35">
    <w:p w:rsidR="007A3609" w:rsidRPr="007A3609" w:rsidP="007A3609" w14:paraId="5DED71E6" w14:textId="77777777">
      <w:pPr>
        <w:pStyle w:val="FootnoteText"/>
        <w:rPr>
          <w:sz w:val="20"/>
        </w:rPr>
      </w:pPr>
      <w:r w:rsidRPr="007A3609">
        <w:rPr>
          <w:rStyle w:val="FootnoteReference"/>
          <w:sz w:val="20"/>
        </w:rPr>
        <w:footnoteRef/>
      </w:r>
      <w:r w:rsidRPr="007A3609">
        <w:rPr>
          <w:sz w:val="20"/>
        </w:rPr>
        <w:t xml:space="preserve"> Application at 10.</w:t>
      </w:r>
    </w:p>
  </w:footnote>
  <w:footnote w:id="36">
    <w:p w:rsidR="007A3609" w:rsidRPr="007A3609" w:rsidP="007A3609" w14:paraId="793767FB"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Id</w:t>
      </w:r>
      <w:r w:rsidRPr="007A3609">
        <w:rPr>
          <w:sz w:val="20"/>
        </w:rPr>
        <w:t>. at 9-10.</w:t>
      </w:r>
    </w:p>
  </w:footnote>
  <w:footnote w:id="37">
    <w:p w:rsidR="007A3609" w:rsidRPr="007A3609" w:rsidP="007A3609" w14:paraId="5D9D09CF" w14:textId="77777777">
      <w:pPr>
        <w:pStyle w:val="FootnoteText"/>
        <w:rPr>
          <w:sz w:val="20"/>
        </w:rPr>
      </w:pPr>
      <w:r w:rsidRPr="007A3609">
        <w:rPr>
          <w:rStyle w:val="FootnoteReference"/>
          <w:sz w:val="20"/>
        </w:rPr>
        <w:footnoteRef/>
      </w:r>
      <w:r w:rsidRPr="007A3609">
        <w:rPr>
          <w:sz w:val="20"/>
        </w:rPr>
        <w:t xml:space="preserve"> </w:t>
      </w:r>
      <w:r w:rsidRPr="007A3609">
        <w:rPr>
          <w:i/>
          <w:iCs/>
          <w:sz w:val="20"/>
        </w:rPr>
        <w:t>See CAF Phase II Public Notice</w:t>
      </w:r>
      <w:r w:rsidRPr="007A3609">
        <w:rPr>
          <w:sz w:val="20"/>
        </w:rPr>
        <w:t>, 34 FCC Rcd at 4726-30</w:t>
      </w:r>
      <w:r w:rsidRPr="007A3609">
        <w:rPr>
          <w:i/>
          <w:iCs/>
          <w:sz w:val="20"/>
        </w:rPr>
        <w:t xml:space="preserve"> </w:t>
      </w:r>
      <w:r w:rsidRPr="007A3609">
        <w:rPr>
          <w:sz w:val="20"/>
        </w:rPr>
        <w:t>(listing obligations of CAF authorized support recipients);</w:t>
      </w:r>
      <w:r w:rsidRPr="007A3609">
        <w:rPr>
          <w:i/>
          <w:iCs/>
          <w:sz w:val="20"/>
        </w:rPr>
        <w:t xml:space="preserve"> RDOF Public Notice</w:t>
      </w:r>
      <w:r w:rsidRPr="007A3609">
        <w:rPr>
          <w:sz w:val="20"/>
        </w:rPr>
        <w:t xml:space="preserve"> at 1-9</w:t>
      </w:r>
      <w:r w:rsidRPr="007A3609">
        <w:rPr>
          <w:i/>
          <w:iCs/>
          <w:sz w:val="20"/>
        </w:rPr>
        <w:t xml:space="preserve"> </w:t>
      </w:r>
      <w:bookmarkStart w:id="9" w:name="_Hlk124432836"/>
      <w:r w:rsidRPr="007A3609">
        <w:rPr>
          <w:sz w:val="20"/>
        </w:rPr>
        <w:t>(listing obligations of RDOF authorized support recipients)</w:t>
      </w:r>
      <w:bookmarkEnd w:id="9"/>
      <w:r w:rsidRPr="007A3609">
        <w:rPr>
          <w:sz w:val="20"/>
        </w:rPr>
        <w:t xml:space="preserve">. </w:t>
      </w:r>
    </w:p>
  </w:footnote>
  <w:footnote w:id="38">
    <w:p w:rsidR="007A3609" w:rsidRPr="007A3609" w:rsidP="007A3609" w14:paraId="6C8E2D54" w14:textId="77777777">
      <w:pPr>
        <w:pStyle w:val="FootnoteText"/>
        <w:rPr>
          <w:sz w:val="20"/>
        </w:rPr>
      </w:pPr>
      <w:r w:rsidRPr="007A3609">
        <w:rPr>
          <w:rStyle w:val="FootnoteReference"/>
          <w:sz w:val="20"/>
        </w:rPr>
        <w:footnoteRef/>
      </w:r>
      <w:r w:rsidRPr="007A3609">
        <w:rPr>
          <w:sz w:val="20"/>
        </w:rPr>
        <w:t xml:space="preserve"> We direct Applicants to submit, within 30 days of closing the proposed transaction, a notice in WC Docket No. 22-391 that the proposed transaction has closed, with the consummation date, and also provide a courtesy copy of the notice to </w:t>
      </w:r>
      <w:hyperlink r:id="rId1" w:history="1">
        <w:r w:rsidRPr="007A3609">
          <w:rPr>
            <w:rStyle w:val="Hyperlink"/>
            <w:sz w:val="20"/>
          </w:rPr>
          <w:t>hcinfo@usac.org</w:t>
        </w:r>
      </w:hyperlink>
      <w:r w:rsidRPr="007A3609">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1662683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33307F35" w14:textId="77777777">
                <w:pPr>
                  <w:rPr>
                    <w:rFonts w:ascii="Arial" w:hAnsi="Arial"/>
                    <w:b/>
                  </w:rPr>
                </w:pPr>
                <w:r>
                  <w:rPr>
                    <w:rFonts w:ascii="Arial" w:hAnsi="Arial"/>
                    <w:b/>
                  </w:rPr>
                  <w:t>Federal Communications Commission</w:t>
                </w:r>
              </w:p>
              <w:p w:rsidR="005E21F5" w14:paraId="668CD969" w14:textId="77777777">
                <w:pPr>
                  <w:rPr>
                    <w:rFonts w:ascii="Arial" w:hAnsi="Arial"/>
                    <w:b/>
                  </w:rPr>
                </w:pPr>
                <w:r>
                  <w:rPr>
                    <w:rFonts w:ascii="Arial" w:hAnsi="Arial"/>
                    <w:b/>
                  </w:rPr>
                  <w:t>45 L St., N.E.</w:t>
                </w:r>
              </w:p>
              <w:p w:rsidR="005E21F5" w14:paraId="447D8416"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5845B284"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40722A1B" w14:textId="77777777">
                <w:pPr>
                  <w:spacing w:before="40"/>
                  <w:jc w:val="right"/>
                  <w:rPr>
                    <w:rFonts w:ascii="Arial" w:hAnsi="Arial"/>
                    <w:b/>
                    <w:sz w:val="16"/>
                  </w:rPr>
                </w:pPr>
                <w:r>
                  <w:rPr>
                    <w:rFonts w:ascii="Arial" w:hAnsi="Arial"/>
                    <w:b/>
                    <w:sz w:val="16"/>
                  </w:rPr>
                  <w:t>News Media Information 202 / 418-0500</w:t>
                </w:r>
              </w:p>
              <w:p w:rsidR="005E21F5" w14:paraId="76C62672" w14:textId="5FE4B0B4">
                <w:pPr>
                  <w:jc w:val="right"/>
                  <w:rPr>
                    <w:rFonts w:ascii="Arial" w:hAnsi="Arial"/>
                    <w:b/>
                    <w:sz w:val="16"/>
                  </w:rPr>
                </w:pPr>
                <w:r>
                  <w:rPr>
                    <w:rFonts w:ascii="Arial" w:hAnsi="Arial"/>
                    <w:b/>
                    <w:sz w:val="16"/>
                  </w:rPr>
                  <w:tab/>
                  <w:t xml:space="preserve">Internet: </w:t>
                </w:r>
                <w:bookmarkStart w:id="0" w:name="_Hlt233824"/>
                <w:hyperlink r:id="rId2" w:history="1">
                  <w:r w:rsidRPr="00116026" w:rsidR="004A3A3C">
                    <w:rPr>
                      <w:rStyle w:val="Hyperlink"/>
                      <w:rFonts w:ascii="Arial" w:hAnsi="Arial"/>
                      <w:b/>
                      <w:sz w:val="16"/>
                    </w:rPr>
                    <w:t>h</w:t>
                  </w:r>
                  <w:bookmarkEnd w:id="0"/>
                  <w:r w:rsidRPr="00116026" w:rsidR="004A3A3C">
                    <w:rPr>
                      <w:rStyle w:val="Hyperlink"/>
                      <w:rFonts w:ascii="Arial" w:hAnsi="Arial"/>
                      <w:b/>
                      <w:sz w:val="16"/>
                    </w:rPr>
                    <w:t>ttp://www.fcc.gov</w:t>
                  </w:r>
                </w:hyperlink>
              </w:p>
              <w:p w:rsidR="004A3A3C" w14:paraId="721B78E3" w14:textId="77777777">
                <w:pPr>
                  <w:jc w:val="right"/>
                  <w:rPr>
                    <w:rFonts w:ascii="Arial" w:hAnsi="Arial"/>
                    <w:b/>
                    <w:sz w:val="16"/>
                  </w:rPr>
                </w:pPr>
              </w:p>
              <w:p w:rsidR="005E21F5" w14:paraId="2ABDDF0C" w14:textId="77777777">
                <w:pPr>
                  <w:jc w:val="right"/>
                  <w:rPr>
                    <w:rFonts w:ascii="Arial" w:hAnsi="Arial"/>
                    <w:b/>
                    <w:sz w:val="16"/>
                  </w:rPr>
                </w:pPr>
              </w:p>
              <w:p w:rsidR="005E21F5" w14:paraId="51229E1C" w14:textId="77777777">
                <w:pPr>
                  <w:jc w:val="right"/>
                </w:pPr>
              </w:p>
            </w:txbxContent>
          </v:textbox>
        </v:shape>
      </w:pict>
    </w:r>
  </w:p>
  <w:p w:rsidR="005E21F5" w14:paraId="04DE614D"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56DD545"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095D06DF" w14:textId="77777777">
    <w:pPr>
      <w:pStyle w:val="Header"/>
    </w:pPr>
    <w:r>
      <w:rPr>
        <w:noProof/>
      </w:rPr>
      <w:drawing>
        <wp:inline distT="0" distB="0" distL="0" distR="0">
          <wp:extent cx="5943600" cy="1460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6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allowSpaceOfSameStyleInTable/>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0124"/>
    <w:rsid w:val="000629CF"/>
    <w:rsid w:val="000639C7"/>
    <w:rsid w:val="00063CA5"/>
    <w:rsid w:val="00064092"/>
    <w:rsid w:val="00064C7D"/>
    <w:rsid w:val="000656F9"/>
    <w:rsid w:val="0006624C"/>
    <w:rsid w:val="00066D12"/>
    <w:rsid w:val="000677D9"/>
    <w:rsid w:val="000721D3"/>
    <w:rsid w:val="00073173"/>
    <w:rsid w:val="000735C8"/>
    <w:rsid w:val="00075D57"/>
    <w:rsid w:val="00077E64"/>
    <w:rsid w:val="00080F60"/>
    <w:rsid w:val="0008381D"/>
    <w:rsid w:val="00086D16"/>
    <w:rsid w:val="00087205"/>
    <w:rsid w:val="00092A4E"/>
    <w:rsid w:val="000946FB"/>
    <w:rsid w:val="0009534A"/>
    <w:rsid w:val="00097AB0"/>
    <w:rsid w:val="000A24AA"/>
    <w:rsid w:val="000A2EEF"/>
    <w:rsid w:val="000A3019"/>
    <w:rsid w:val="000A5FD3"/>
    <w:rsid w:val="000A65C4"/>
    <w:rsid w:val="000A671D"/>
    <w:rsid w:val="000B0795"/>
    <w:rsid w:val="000B1C31"/>
    <w:rsid w:val="000B2362"/>
    <w:rsid w:val="000B3146"/>
    <w:rsid w:val="000B390D"/>
    <w:rsid w:val="000B48A6"/>
    <w:rsid w:val="000B4EDD"/>
    <w:rsid w:val="000B5635"/>
    <w:rsid w:val="000B6839"/>
    <w:rsid w:val="000C004F"/>
    <w:rsid w:val="000C1460"/>
    <w:rsid w:val="000C7CA4"/>
    <w:rsid w:val="000D2383"/>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0C"/>
    <w:rsid w:val="0011599F"/>
    <w:rsid w:val="00116026"/>
    <w:rsid w:val="00117529"/>
    <w:rsid w:val="00117D06"/>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38C4"/>
    <w:rsid w:val="001551A7"/>
    <w:rsid w:val="00155CC3"/>
    <w:rsid w:val="00156EA3"/>
    <w:rsid w:val="00161A99"/>
    <w:rsid w:val="00165FDC"/>
    <w:rsid w:val="00171181"/>
    <w:rsid w:val="001736D0"/>
    <w:rsid w:val="00176BD0"/>
    <w:rsid w:val="0018581D"/>
    <w:rsid w:val="00187617"/>
    <w:rsid w:val="00190745"/>
    <w:rsid w:val="001916C0"/>
    <w:rsid w:val="00193234"/>
    <w:rsid w:val="001947E9"/>
    <w:rsid w:val="00194E1E"/>
    <w:rsid w:val="001A00A7"/>
    <w:rsid w:val="001A2DFA"/>
    <w:rsid w:val="001A3813"/>
    <w:rsid w:val="001A3E67"/>
    <w:rsid w:val="001A47EC"/>
    <w:rsid w:val="001A5568"/>
    <w:rsid w:val="001B1B08"/>
    <w:rsid w:val="001B1E25"/>
    <w:rsid w:val="001B2C26"/>
    <w:rsid w:val="001B2FBB"/>
    <w:rsid w:val="001B4C2F"/>
    <w:rsid w:val="001B57A4"/>
    <w:rsid w:val="001B69F9"/>
    <w:rsid w:val="001B6EFA"/>
    <w:rsid w:val="001C2314"/>
    <w:rsid w:val="001C3C98"/>
    <w:rsid w:val="001C5D07"/>
    <w:rsid w:val="001C78FB"/>
    <w:rsid w:val="001C7CD1"/>
    <w:rsid w:val="001D10A0"/>
    <w:rsid w:val="001D3F27"/>
    <w:rsid w:val="001E1210"/>
    <w:rsid w:val="001E16CA"/>
    <w:rsid w:val="001E2274"/>
    <w:rsid w:val="001E382D"/>
    <w:rsid w:val="001E659B"/>
    <w:rsid w:val="001E7604"/>
    <w:rsid w:val="001F024C"/>
    <w:rsid w:val="001F1508"/>
    <w:rsid w:val="001F33B5"/>
    <w:rsid w:val="001F6762"/>
    <w:rsid w:val="0020342F"/>
    <w:rsid w:val="002057AC"/>
    <w:rsid w:val="002073D2"/>
    <w:rsid w:val="00207926"/>
    <w:rsid w:val="00210341"/>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2673B"/>
    <w:rsid w:val="00226C9D"/>
    <w:rsid w:val="00226CC3"/>
    <w:rsid w:val="002308A9"/>
    <w:rsid w:val="00230D61"/>
    <w:rsid w:val="002344E7"/>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6187"/>
    <w:rsid w:val="00287432"/>
    <w:rsid w:val="00287FB9"/>
    <w:rsid w:val="0029098D"/>
    <w:rsid w:val="002923BD"/>
    <w:rsid w:val="00297F1D"/>
    <w:rsid w:val="002A1D13"/>
    <w:rsid w:val="002A30D9"/>
    <w:rsid w:val="002A7BD3"/>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5E"/>
    <w:rsid w:val="00334E6C"/>
    <w:rsid w:val="003357F4"/>
    <w:rsid w:val="0033631D"/>
    <w:rsid w:val="00340881"/>
    <w:rsid w:val="003416E5"/>
    <w:rsid w:val="00345CA2"/>
    <w:rsid w:val="003471AE"/>
    <w:rsid w:val="003479C9"/>
    <w:rsid w:val="00351689"/>
    <w:rsid w:val="00351D1D"/>
    <w:rsid w:val="00353CB5"/>
    <w:rsid w:val="0035663A"/>
    <w:rsid w:val="003570A6"/>
    <w:rsid w:val="00360A78"/>
    <w:rsid w:val="003632CF"/>
    <w:rsid w:val="00364590"/>
    <w:rsid w:val="00364DFB"/>
    <w:rsid w:val="00365194"/>
    <w:rsid w:val="00366BC6"/>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3E60"/>
    <w:rsid w:val="003B43C3"/>
    <w:rsid w:val="003B5CEE"/>
    <w:rsid w:val="003C18DA"/>
    <w:rsid w:val="003C2000"/>
    <w:rsid w:val="003C23FE"/>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3F58EA"/>
    <w:rsid w:val="00401B7B"/>
    <w:rsid w:val="0040580F"/>
    <w:rsid w:val="004076BA"/>
    <w:rsid w:val="004077D0"/>
    <w:rsid w:val="00412C94"/>
    <w:rsid w:val="00417052"/>
    <w:rsid w:val="00420995"/>
    <w:rsid w:val="00422B16"/>
    <w:rsid w:val="0042593D"/>
    <w:rsid w:val="00425FAF"/>
    <w:rsid w:val="00425FF2"/>
    <w:rsid w:val="0042603C"/>
    <w:rsid w:val="004272E4"/>
    <w:rsid w:val="00430AC0"/>
    <w:rsid w:val="00430E1C"/>
    <w:rsid w:val="00431E30"/>
    <w:rsid w:val="004331D7"/>
    <w:rsid w:val="00433D8C"/>
    <w:rsid w:val="00434899"/>
    <w:rsid w:val="00434C96"/>
    <w:rsid w:val="004354F6"/>
    <w:rsid w:val="0043596D"/>
    <w:rsid w:val="00436B4A"/>
    <w:rsid w:val="0044009A"/>
    <w:rsid w:val="00440989"/>
    <w:rsid w:val="004435EE"/>
    <w:rsid w:val="00444548"/>
    <w:rsid w:val="00446342"/>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BBB"/>
    <w:rsid w:val="00485D13"/>
    <w:rsid w:val="00490F6A"/>
    <w:rsid w:val="004913FF"/>
    <w:rsid w:val="00492290"/>
    <w:rsid w:val="00492A28"/>
    <w:rsid w:val="004951AE"/>
    <w:rsid w:val="004A3A3C"/>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2081"/>
    <w:rsid w:val="004E5AE8"/>
    <w:rsid w:val="004E6AC6"/>
    <w:rsid w:val="004E718B"/>
    <w:rsid w:val="004E74EE"/>
    <w:rsid w:val="004F1C11"/>
    <w:rsid w:val="004F2447"/>
    <w:rsid w:val="004F3603"/>
    <w:rsid w:val="004F3CEC"/>
    <w:rsid w:val="004F515D"/>
    <w:rsid w:val="004F686B"/>
    <w:rsid w:val="004F6F64"/>
    <w:rsid w:val="00500BD0"/>
    <w:rsid w:val="00501D17"/>
    <w:rsid w:val="00501F06"/>
    <w:rsid w:val="00504505"/>
    <w:rsid w:val="00504BF5"/>
    <w:rsid w:val="00505DA1"/>
    <w:rsid w:val="0050614C"/>
    <w:rsid w:val="005107DF"/>
    <w:rsid w:val="0051681C"/>
    <w:rsid w:val="00521FBD"/>
    <w:rsid w:val="005226C6"/>
    <w:rsid w:val="00522D66"/>
    <w:rsid w:val="00524D79"/>
    <w:rsid w:val="00526561"/>
    <w:rsid w:val="005273AB"/>
    <w:rsid w:val="005320B5"/>
    <w:rsid w:val="005336D7"/>
    <w:rsid w:val="00533917"/>
    <w:rsid w:val="00535877"/>
    <w:rsid w:val="00536ED2"/>
    <w:rsid w:val="0053732F"/>
    <w:rsid w:val="00540E25"/>
    <w:rsid w:val="00541D22"/>
    <w:rsid w:val="005424F4"/>
    <w:rsid w:val="005431A6"/>
    <w:rsid w:val="0054677E"/>
    <w:rsid w:val="005473A6"/>
    <w:rsid w:val="005505CE"/>
    <w:rsid w:val="00551202"/>
    <w:rsid w:val="00551ADB"/>
    <w:rsid w:val="005524B6"/>
    <w:rsid w:val="00554D90"/>
    <w:rsid w:val="00554E17"/>
    <w:rsid w:val="0055505D"/>
    <w:rsid w:val="0055684E"/>
    <w:rsid w:val="0056058F"/>
    <w:rsid w:val="0056467B"/>
    <w:rsid w:val="00567286"/>
    <w:rsid w:val="00570DA8"/>
    <w:rsid w:val="00573CA8"/>
    <w:rsid w:val="00576EDE"/>
    <w:rsid w:val="00580DBD"/>
    <w:rsid w:val="00581792"/>
    <w:rsid w:val="00585D57"/>
    <w:rsid w:val="0059084B"/>
    <w:rsid w:val="00591C54"/>
    <w:rsid w:val="00592F09"/>
    <w:rsid w:val="005932BA"/>
    <w:rsid w:val="00594A46"/>
    <w:rsid w:val="00594E8C"/>
    <w:rsid w:val="00597ABB"/>
    <w:rsid w:val="005A0D19"/>
    <w:rsid w:val="005A13D0"/>
    <w:rsid w:val="005A24CD"/>
    <w:rsid w:val="005A256B"/>
    <w:rsid w:val="005A3E2A"/>
    <w:rsid w:val="005A56D4"/>
    <w:rsid w:val="005A64A7"/>
    <w:rsid w:val="005B2105"/>
    <w:rsid w:val="005B2E8A"/>
    <w:rsid w:val="005B376F"/>
    <w:rsid w:val="005B3D27"/>
    <w:rsid w:val="005B4CA6"/>
    <w:rsid w:val="005B57F1"/>
    <w:rsid w:val="005B5B84"/>
    <w:rsid w:val="005C0AE1"/>
    <w:rsid w:val="005C2ADB"/>
    <w:rsid w:val="005C342C"/>
    <w:rsid w:val="005C3E2F"/>
    <w:rsid w:val="005C403A"/>
    <w:rsid w:val="005C44C6"/>
    <w:rsid w:val="005C5C55"/>
    <w:rsid w:val="005C740F"/>
    <w:rsid w:val="005C7DC4"/>
    <w:rsid w:val="005D1C91"/>
    <w:rsid w:val="005D4020"/>
    <w:rsid w:val="005D55CB"/>
    <w:rsid w:val="005D5B08"/>
    <w:rsid w:val="005D64C0"/>
    <w:rsid w:val="005D6BD0"/>
    <w:rsid w:val="005D709C"/>
    <w:rsid w:val="005D7F49"/>
    <w:rsid w:val="005E1BF3"/>
    <w:rsid w:val="005E21F5"/>
    <w:rsid w:val="005E40DD"/>
    <w:rsid w:val="005E4129"/>
    <w:rsid w:val="005E6383"/>
    <w:rsid w:val="005E65C4"/>
    <w:rsid w:val="005E7A72"/>
    <w:rsid w:val="005E7C21"/>
    <w:rsid w:val="005F0281"/>
    <w:rsid w:val="005F06C4"/>
    <w:rsid w:val="005F090A"/>
    <w:rsid w:val="005F189F"/>
    <w:rsid w:val="005F2812"/>
    <w:rsid w:val="005F73CF"/>
    <w:rsid w:val="00600B5F"/>
    <w:rsid w:val="0060105E"/>
    <w:rsid w:val="0060106A"/>
    <w:rsid w:val="0060110D"/>
    <w:rsid w:val="00601476"/>
    <w:rsid w:val="00601534"/>
    <w:rsid w:val="006034FD"/>
    <w:rsid w:val="00603880"/>
    <w:rsid w:val="00603E1E"/>
    <w:rsid w:val="00604A3C"/>
    <w:rsid w:val="00604CFF"/>
    <w:rsid w:val="0061117C"/>
    <w:rsid w:val="0061137C"/>
    <w:rsid w:val="00611B99"/>
    <w:rsid w:val="00611CD9"/>
    <w:rsid w:val="00611E7B"/>
    <w:rsid w:val="00615BB7"/>
    <w:rsid w:val="00616221"/>
    <w:rsid w:val="00616757"/>
    <w:rsid w:val="00617093"/>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65C2A"/>
    <w:rsid w:val="00667736"/>
    <w:rsid w:val="006703D5"/>
    <w:rsid w:val="0067115F"/>
    <w:rsid w:val="006768CC"/>
    <w:rsid w:val="00677DF3"/>
    <w:rsid w:val="0068067C"/>
    <w:rsid w:val="00680868"/>
    <w:rsid w:val="00684AB3"/>
    <w:rsid w:val="006876EF"/>
    <w:rsid w:val="00690EA9"/>
    <w:rsid w:val="00691832"/>
    <w:rsid w:val="006925E9"/>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160"/>
    <w:rsid w:val="006C5912"/>
    <w:rsid w:val="006C591C"/>
    <w:rsid w:val="006C6FE0"/>
    <w:rsid w:val="006D3591"/>
    <w:rsid w:val="006D49DF"/>
    <w:rsid w:val="006D4FB7"/>
    <w:rsid w:val="006E099D"/>
    <w:rsid w:val="006E3B3B"/>
    <w:rsid w:val="006E3C11"/>
    <w:rsid w:val="006E3E11"/>
    <w:rsid w:val="006E4EF0"/>
    <w:rsid w:val="006E61ED"/>
    <w:rsid w:val="006E643F"/>
    <w:rsid w:val="006E67A0"/>
    <w:rsid w:val="006E7452"/>
    <w:rsid w:val="006E77B7"/>
    <w:rsid w:val="006F2F1F"/>
    <w:rsid w:val="006F3441"/>
    <w:rsid w:val="006F4359"/>
    <w:rsid w:val="006F4360"/>
    <w:rsid w:val="006F4B1B"/>
    <w:rsid w:val="006F4D60"/>
    <w:rsid w:val="00702B72"/>
    <w:rsid w:val="00702B9D"/>
    <w:rsid w:val="00703543"/>
    <w:rsid w:val="007049BE"/>
    <w:rsid w:val="0070514A"/>
    <w:rsid w:val="007052BE"/>
    <w:rsid w:val="007067E2"/>
    <w:rsid w:val="00706D49"/>
    <w:rsid w:val="0070755C"/>
    <w:rsid w:val="0071041E"/>
    <w:rsid w:val="00710722"/>
    <w:rsid w:val="00710BAB"/>
    <w:rsid w:val="00710E57"/>
    <w:rsid w:val="0071176B"/>
    <w:rsid w:val="007124C8"/>
    <w:rsid w:val="00712BB0"/>
    <w:rsid w:val="00714887"/>
    <w:rsid w:val="00721062"/>
    <w:rsid w:val="00721165"/>
    <w:rsid w:val="00724722"/>
    <w:rsid w:val="0072750E"/>
    <w:rsid w:val="00733B9B"/>
    <w:rsid w:val="007349C4"/>
    <w:rsid w:val="007413DA"/>
    <w:rsid w:val="00741682"/>
    <w:rsid w:val="0074294F"/>
    <w:rsid w:val="00744022"/>
    <w:rsid w:val="00744E0C"/>
    <w:rsid w:val="00745559"/>
    <w:rsid w:val="00746FDA"/>
    <w:rsid w:val="00753889"/>
    <w:rsid w:val="0075392E"/>
    <w:rsid w:val="00756775"/>
    <w:rsid w:val="007569C5"/>
    <w:rsid w:val="00760269"/>
    <w:rsid w:val="00760571"/>
    <w:rsid w:val="007631B9"/>
    <w:rsid w:val="0076331F"/>
    <w:rsid w:val="0076359A"/>
    <w:rsid w:val="00766B00"/>
    <w:rsid w:val="00766D64"/>
    <w:rsid w:val="0077017E"/>
    <w:rsid w:val="00771214"/>
    <w:rsid w:val="0077396E"/>
    <w:rsid w:val="00774E30"/>
    <w:rsid w:val="00774F8B"/>
    <w:rsid w:val="007758B4"/>
    <w:rsid w:val="00775CD4"/>
    <w:rsid w:val="00776827"/>
    <w:rsid w:val="00776D7B"/>
    <w:rsid w:val="00777B41"/>
    <w:rsid w:val="00777F32"/>
    <w:rsid w:val="00780F55"/>
    <w:rsid w:val="007904D9"/>
    <w:rsid w:val="00790DDF"/>
    <w:rsid w:val="007915C7"/>
    <w:rsid w:val="00796E19"/>
    <w:rsid w:val="00796E54"/>
    <w:rsid w:val="007976EF"/>
    <w:rsid w:val="00797794"/>
    <w:rsid w:val="007A0A24"/>
    <w:rsid w:val="007A2155"/>
    <w:rsid w:val="007A3609"/>
    <w:rsid w:val="007A41CD"/>
    <w:rsid w:val="007A4B45"/>
    <w:rsid w:val="007A5BDB"/>
    <w:rsid w:val="007A6E5A"/>
    <w:rsid w:val="007B1EAE"/>
    <w:rsid w:val="007B3649"/>
    <w:rsid w:val="007B4269"/>
    <w:rsid w:val="007B430F"/>
    <w:rsid w:val="007B44C7"/>
    <w:rsid w:val="007B4683"/>
    <w:rsid w:val="007B4D1E"/>
    <w:rsid w:val="007B4DB8"/>
    <w:rsid w:val="007B5F97"/>
    <w:rsid w:val="007B7204"/>
    <w:rsid w:val="007C06D5"/>
    <w:rsid w:val="007C2014"/>
    <w:rsid w:val="007C263F"/>
    <w:rsid w:val="007C4108"/>
    <w:rsid w:val="007C4D2F"/>
    <w:rsid w:val="007D03E3"/>
    <w:rsid w:val="007D2657"/>
    <w:rsid w:val="007D27E1"/>
    <w:rsid w:val="007D2E71"/>
    <w:rsid w:val="007D31F7"/>
    <w:rsid w:val="007D3B6A"/>
    <w:rsid w:val="007D3B8F"/>
    <w:rsid w:val="007E0464"/>
    <w:rsid w:val="007E051A"/>
    <w:rsid w:val="007E44C2"/>
    <w:rsid w:val="007E47B5"/>
    <w:rsid w:val="007E64BB"/>
    <w:rsid w:val="007E6693"/>
    <w:rsid w:val="007F1CE8"/>
    <w:rsid w:val="007F23AB"/>
    <w:rsid w:val="007F3103"/>
    <w:rsid w:val="007F6E7B"/>
    <w:rsid w:val="007F7E7B"/>
    <w:rsid w:val="0080023C"/>
    <w:rsid w:val="0080055D"/>
    <w:rsid w:val="00803625"/>
    <w:rsid w:val="00804B53"/>
    <w:rsid w:val="008052CD"/>
    <w:rsid w:val="00805DF1"/>
    <w:rsid w:val="00806E02"/>
    <w:rsid w:val="00807040"/>
    <w:rsid w:val="0081108D"/>
    <w:rsid w:val="00813C6D"/>
    <w:rsid w:val="0081531F"/>
    <w:rsid w:val="008177D0"/>
    <w:rsid w:val="00817B2E"/>
    <w:rsid w:val="00817CEC"/>
    <w:rsid w:val="00821491"/>
    <w:rsid w:val="0082271C"/>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3ACD"/>
    <w:rsid w:val="0085536D"/>
    <w:rsid w:val="0085579D"/>
    <w:rsid w:val="00856944"/>
    <w:rsid w:val="008650A4"/>
    <w:rsid w:val="0086691C"/>
    <w:rsid w:val="008675C7"/>
    <w:rsid w:val="00870E07"/>
    <w:rsid w:val="00872D12"/>
    <w:rsid w:val="00873C90"/>
    <w:rsid w:val="0087554B"/>
    <w:rsid w:val="00876629"/>
    <w:rsid w:val="0087685F"/>
    <w:rsid w:val="00876BE1"/>
    <w:rsid w:val="00877D35"/>
    <w:rsid w:val="008850A3"/>
    <w:rsid w:val="00885BBC"/>
    <w:rsid w:val="00890CFD"/>
    <w:rsid w:val="00893308"/>
    <w:rsid w:val="00894B20"/>
    <w:rsid w:val="008950DE"/>
    <w:rsid w:val="008954D0"/>
    <w:rsid w:val="00895561"/>
    <w:rsid w:val="00895EC3"/>
    <w:rsid w:val="0089666B"/>
    <w:rsid w:val="008A103A"/>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196D"/>
    <w:rsid w:val="008D2804"/>
    <w:rsid w:val="008D29D5"/>
    <w:rsid w:val="008D51DE"/>
    <w:rsid w:val="008D55E0"/>
    <w:rsid w:val="008D5CEF"/>
    <w:rsid w:val="008E0514"/>
    <w:rsid w:val="008E1F98"/>
    <w:rsid w:val="008E27B4"/>
    <w:rsid w:val="008E3218"/>
    <w:rsid w:val="008E416A"/>
    <w:rsid w:val="008E6F5B"/>
    <w:rsid w:val="008E7011"/>
    <w:rsid w:val="008F1B26"/>
    <w:rsid w:val="008F1B9F"/>
    <w:rsid w:val="008F438E"/>
    <w:rsid w:val="008F4B15"/>
    <w:rsid w:val="008F4D2D"/>
    <w:rsid w:val="008F67DB"/>
    <w:rsid w:val="008F6981"/>
    <w:rsid w:val="009004A5"/>
    <w:rsid w:val="0090059F"/>
    <w:rsid w:val="00903154"/>
    <w:rsid w:val="00903330"/>
    <w:rsid w:val="00903DE0"/>
    <w:rsid w:val="009075DA"/>
    <w:rsid w:val="00907AE5"/>
    <w:rsid w:val="009101A4"/>
    <w:rsid w:val="00912D13"/>
    <w:rsid w:val="00913852"/>
    <w:rsid w:val="009161AD"/>
    <w:rsid w:val="009211C4"/>
    <w:rsid w:val="009236BF"/>
    <w:rsid w:val="0093491F"/>
    <w:rsid w:val="009375A4"/>
    <w:rsid w:val="0094117D"/>
    <w:rsid w:val="009416A6"/>
    <w:rsid w:val="00950639"/>
    <w:rsid w:val="00951B8C"/>
    <w:rsid w:val="0095318C"/>
    <w:rsid w:val="009558A7"/>
    <w:rsid w:val="00956255"/>
    <w:rsid w:val="009564D0"/>
    <w:rsid w:val="00960857"/>
    <w:rsid w:val="00963EF4"/>
    <w:rsid w:val="00963F91"/>
    <w:rsid w:val="00965889"/>
    <w:rsid w:val="00966264"/>
    <w:rsid w:val="00966EE1"/>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2ACA"/>
    <w:rsid w:val="009B5191"/>
    <w:rsid w:val="009B6797"/>
    <w:rsid w:val="009B6B9B"/>
    <w:rsid w:val="009B705E"/>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D7781"/>
    <w:rsid w:val="009E1797"/>
    <w:rsid w:val="009E312D"/>
    <w:rsid w:val="009E32B3"/>
    <w:rsid w:val="009E32BA"/>
    <w:rsid w:val="009E40EA"/>
    <w:rsid w:val="009E4467"/>
    <w:rsid w:val="009F4216"/>
    <w:rsid w:val="009F4470"/>
    <w:rsid w:val="009F52E2"/>
    <w:rsid w:val="00A00CAA"/>
    <w:rsid w:val="00A02787"/>
    <w:rsid w:val="00A07DE6"/>
    <w:rsid w:val="00A11865"/>
    <w:rsid w:val="00A132F3"/>
    <w:rsid w:val="00A14824"/>
    <w:rsid w:val="00A14FAC"/>
    <w:rsid w:val="00A15248"/>
    <w:rsid w:val="00A21A77"/>
    <w:rsid w:val="00A229F0"/>
    <w:rsid w:val="00A25AB6"/>
    <w:rsid w:val="00A25C41"/>
    <w:rsid w:val="00A26754"/>
    <w:rsid w:val="00A268CF"/>
    <w:rsid w:val="00A30C04"/>
    <w:rsid w:val="00A326BD"/>
    <w:rsid w:val="00A3545A"/>
    <w:rsid w:val="00A36DEA"/>
    <w:rsid w:val="00A37CD0"/>
    <w:rsid w:val="00A4540E"/>
    <w:rsid w:val="00A47815"/>
    <w:rsid w:val="00A47EA1"/>
    <w:rsid w:val="00A55996"/>
    <w:rsid w:val="00A55BA1"/>
    <w:rsid w:val="00A55F2F"/>
    <w:rsid w:val="00A569E4"/>
    <w:rsid w:val="00A64935"/>
    <w:rsid w:val="00A8041F"/>
    <w:rsid w:val="00A824AF"/>
    <w:rsid w:val="00A826F0"/>
    <w:rsid w:val="00A845DF"/>
    <w:rsid w:val="00A85921"/>
    <w:rsid w:val="00A91559"/>
    <w:rsid w:val="00A92C9E"/>
    <w:rsid w:val="00A930EF"/>
    <w:rsid w:val="00A94D7F"/>
    <w:rsid w:val="00A95B96"/>
    <w:rsid w:val="00A964BE"/>
    <w:rsid w:val="00A9705F"/>
    <w:rsid w:val="00AA04BA"/>
    <w:rsid w:val="00AA1CE3"/>
    <w:rsid w:val="00AA2F73"/>
    <w:rsid w:val="00AA461C"/>
    <w:rsid w:val="00AA50FB"/>
    <w:rsid w:val="00AA662F"/>
    <w:rsid w:val="00AA79C4"/>
    <w:rsid w:val="00AB2A9E"/>
    <w:rsid w:val="00AB582C"/>
    <w:rsid w:val="00AB583F"/>
    <w:rsid w:val="00AB61D8"/>
    <w:rsid w:val="00AB6787"/>
    <w:rsid w:val="00AC4CEF"/>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1DE"/>
    <w:rsid w:val="00B32670"/>
    <w:rsid w:val="00B32A8C"/>
    <w:rsid w:val="00B33058"/>
    <w:rsid w:val="00B335D6"/>
    <w:rsid w:val="00B3405E"/>
    <w:rsid w:val="00B353BC"/>
    <w:rsid w:val="00B41B3D"/>
    <w:rsid w:val="00B427E6"/>
    <w:rsid w:val="00B43A08"/>
    <w:rsid w:val="00B446D0"/>
    <w:rsid w:val="00B46FA7"/>
    <w:rsid w:val="00B500E9"/>
    <w:rsid w:val="00B506FC"/>
    <w:rsid w:val="00B50FF2"/>
    <w:rsid w:val="00B52C92"/>
    <w:rsid w:val="00B5576C"/>
    <w:rsid w:val="00B55A93"/>
    <w:rsid w:val="00B565D8"/>
    <w:rsid w:val="00B56E1B"/>
    <w:rsid w:val="00B57D2A"/>
    <w:rsid w:val="00B621AB"/>
    <w:rsid w:val="00B63B58"/>
    <w:rsid w:val="00B64D59"/>
    <w:rsid w:val="00B6681C"/>
    <w:rsid w:val="00B66A71"/>
    <w:rsid w:val="00B7010C"/>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0D9C"/>
    <w:rsid w:val="00BA42C4"/>
    <w:rsid w:val="00BA45FE"/>
    <w:rsid w:val="00BA47A9"/>
    <w:rsid w:val="00BA496C"/>
    <w:rsid w:val="00BA513A"/>
    <w:rsid w:val="00BA5CCA"/>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22A0"/>
    <w:rsid w:val="00BE42EC"/>
    <w:rsid w:val="00BE4C7C"/>
    <w:rsid w:val="00BF0215"/>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2710F"/>
    <w:rsid w:val="00C324E6"/>
    <w:rsid w:val="00C33788"/>
    <w:rsid w:val="00C35C48"/>
    <w:rsid w:val="00C3643D"/>
    <w:rsid w:val="00C3705B"/>
    <w:rsid w:val="00C37D69"/>
    <w:rsid w:val="00C404CF"/>
    <w:rsid w:val="00C405A1"/>
    <w:rsid w:val="00C42D1B"/>
    <w:rsid w:val="00C4446E"/>
    <w:rsid w:val="00C4607F"/>
    <w:rsid w:val="00C500B8"/>
    <w:rsid w:val="00C53E5E"/>
    <w:rsid w:val="00C60F32"/>
    <w:rsid w:val="00C612FD"/>
    <w:rsid w:val="00C64B14"/>
    <w:rsid w:val="00C64C79"/>
    <w:rsid w:val="00C64DFC"/>
    <w:rsid w:val="00C65747"/>
    <w:rsid w:val="00C66C4F"/>
    <w:rsid w:val="00C676AD"/>
    <w:rsid w:val="00C67FE7"/>
    <w:rsid w:val="00C70494"/>
    <w:rsid w:val="00C72423"/>
    <w:rsid w:val="00C744C3"/>
    <w:rsid w:val="00C749BC"/>
    <w:rsid w:val="00C75DF3"/>
    <w:rsid w:val="00C76B61"/>
    <w:rsid w:val="00C76C0E"/>
    <w:rsid w:val="00C76CCF"/>
    <w:rsid w:val="00C76DC9"/>
    <w:rsid w:val="00C80742"/>
    <w:rsid w:val="00C81DA7"/>
    <w:rsid w:val="00C82A4A"/>
    <w:rsid w:val="00C82D34"/>
    <w:rsid w:val="00C84A4A"/>
    <w:rsid w:val="00C8763B"/>
    <w:rsid w:val="00C9095A"/>
    <w:rsid w:val="00C930E0"/>
    <w:rsid w:val="00C9414E"/>
    <w:rsid w:val="00C950B4"/>
    <w:rsid w:val="00C9578D"/>
    <w:rsid w:val="00CA3644"/>
    <w:rsid w:val="00CA5169"/>
    <w:rsid w:val="00CB08EA"/>
    <w:rsid w:val="00CB1CBB"/>
    <w:rsid w:val="00CB56E5"/>
    <w:rsid w:val="00CB5D7D"/>
    <w:rsid w:val="00CB6B4E"/>
    <w:rsid w:val="00CC3327"/>
    <w:rsid w:val="00CC3DC6"/>
    <w:rsid w:val="00CC45A6"/>
    <w:rsid w:val="00CC70CB"/>
    <w:rsid w:val="00CC7E97"/>
    <w:rsid w:val="00CD20C1"/>
    <w:rsid w:val="00CD3CBE"/>
    <w:rsid w:val="00CD5614"/>
    <w:rsid w:val="00CD6760"/>
    <w:rsid w:val="00CD711A"/>
    <w:rsid w:val="00CE03DE"/>
    <w:rsid w:val="00CE2115"/>
    <w:rsid w:val="00CE3D85"/>
    <w:rsid w:val="00CE49B4"/>
    <w:rsid w:val="00CF1452"/>
    <w:rsid w:val="00CF2BC7"/>
    <w:rsid w:val="00CF569B"/>
    <w:rsid w:val="00CF6822"/>
    <w:rsid w:val="00CF6960"/>
    <w:rsid w:val="00D00C86"/>
    <w:rsid w:val="00D01A62"/>
    <w:rsid w:val="00D02269"/>
    <w:rsid w:val="00D04963"/>
    <w:rsid w:val="00D04DB0"/>
    <w:rsid w:val="00D05475"/>
    <w:rsid w:val="00D111DF"/>
    <w:rsid w:val="00D130E3"/>
    <w:rsid w:val="00D13A95"/>
    <w:rsid w:val="00D1542F"/>
    <w:rsid w:val="00D209FB"/>
    <w:rsid w:val="00D20D70"/>
    <w:rsid w:val="00D218FF"/>
    <w:rsid w:val="00D22738"/>
    <w:rsid w:val="00D23CB9"/>
    <w:rsid w:val="00D252B2"/>
    <w:rsid w:val="00D25A5D"/>
    <w:rsid w:val="00D261C4"/>
    <w:rsid w:val="00D30DAA"/>
    <w:rsid w:val="00D313A3"/>
    <w:rsid w:val="00D33FC7"/>
    <w:rsid w:val="00D343D8"/>
    <w:rsid w:val="00D347E0"/>
    <w:rsid w:val="00D34AD8"/>
    <w:rsid w:val="00D359B7"/>
    <w:rsid w:val="00D42D5A"/>
    <w:rsid w:val="00D4304C"/>
    <w:rsid w:val="00D43260"/>
    <w:rsid w:val="00D43850"/>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B0CA1"/>
    <w:rsid w:val="00DB15FB"/>
    <w:rsid w:val="00DB1A74"/>
    <w:rsid w:val="00DB59FD"/>
    <w:rsid w:val="00DB6614"/>
    <w:rsid w:val="00DC0024"/>
    <w:rsid w:val="00DC063D"/>
    <w:rsid w:val="00DC097A"/>
    <w:rsid w:val="00DC24AD"/>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5722"/>
    <w:rsid w:val="00DF635A"/>
    <w:rsid w:val="00DF6BB3"/>
    <w:rsid w:val="00E00DB4"/>
    <w:rsid w:val="00E015C4"/>
    <w:rsid w:val="00E042F4"/>
    <w:rsid w:val="00E04732"/>
    <w:rsid w:val="00E05096"/>
    <w:rsid w:val="00E07B1B"/>
    <w:rsid w:val="00E100F3"/>
    <w:rsid w:val="00E10C0C"/>
    <w:rsid w:val="00E11A1D"/>
    <w:rsid w:val="00E12C12"/>
    <w:rsid w:val="00E1390B"/>
    <w:rsid w:val="00E15BC9"/>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478CC"/>
    <w:rsid w:val="00E51A47"/>
    <w:rsid w:val="00E54085"/>
    <w:rsid w:val="00E54722"/>
    <w:rsid w:val="00E547F0"/>
    <w:rsid w:val="00E55A96"/>
    <w:rsid w:val="00E577F2"/>
    <w:rsid w:val="00E63C52"/>
    <w:rsid w:val="00E64254"/>
    <w:rsid w:val="00E6637B"/>
    <w:rsid w:val="00E67D1E"/>
    <w:rsid w:val="00E7033D"/>
    <w:rsid w:val="00E7095F"/>
    <w:rsid w:val="00E70C10"/>
    <w:rsid w:val="00E74981"/>
    <w:rsid w:val="00E76148"/>
    <w:rsid w:val="00E77553"/>
    <w:rsid w:val="00E77C88"/>
    <w:rsid w:val="00E825DA"/>
    <w:rsid w:val="00E8472C"/>
    <w:rsid w:val="00E84DF2"/>
    <w:rsid w:val="00E84F99"/>
    <w:rsid w:val="00E86FCB"/>
    <w:rsid w:val="00E87A1A"/>
    <w:rsid w:val="00E90A56"/>
    <w:rsid w:val="00E918BD"/>
    <w:rsid w:val="00E92F16"/>
    <w:rsid w:val="00E94F15"/>
    <w:rsid w:val="00E95E2E"/>
    <w:rsid w:val="00E97EEF"/>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B1A"/>
    <w:rsid w:val="00EC4D3D"/>
    <w:rsid w:val="00EC5A1B"/>
    <w:rsid w:val="00EC7ADB"/>
    <w:rsid w:val="00EC7DF9"/>
    <w:rsid w:val="00ED2A13"/>
    <w:rsid w:val="00ED40B2"/>
    <w:rsid w:val="00ED4E9F"/>
    <w:rsid w:val="00ED51D0"/>
    <w:rsid w:val="00ED6A08"/>
    <w:rsid w:val="00ED6E8F"/>
    <w:rsid w:val="00ED7DFD"/>
    <w:rsid w:val="00EE0450"/>
    <w:rsid w:val="00EE37C8"/>
    <w:rsid w:val="00EE59BC"/>
    <w:rsid w:val="00EE7A85"/>
    <w:rsid w:val="00EF03E8"/>
    <w:rsid w:val="00EF45D4"/>
    <w:rsid w:val="00EF59CB"/>
    <w:rsid w:val="00F0047B"/>
    <w:rsid w:val="00F005CF"/>
    <w:rsid w:val="00F016FA"/>
    <w:rsid w:val="00F02029"/>
    <w:rsid w:val="00F02173"/>
    <w:rsid w:val="00F02FD1"/>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44C2"/>
    <w:rsid w:val="00F257E5"/>
    <w:rsid w:val="00F25C6B"/>
    <w:rsid w:val="00F25E0D"/>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A04"/>
    <w:rsid w:val="00F639B0"/>
    <w:rsid w:val="00F644CD"/>
    <w:rsid w:val="00F65523"/>
    <w:rsid w:val="00F6664A"/>
    <w:rsid w:val="00F674FB"/>
    <w:rsid w:val="00F7052D"/>
    <w:rsid w:val="00F737C1"/>
    <w:rsid w:val="00F768B9"/>
    <w:rsid w:val="00F80D9C"/>
    <w:rsid w:val="00F825B6"/>
    <w:rsid w:val="00F83075"/>
    <w:rsid w:val="00F84F1C"/>
    <w:rsid w:val="00F859AF"/>
    <w:rsid w:val="00F91423"/>
    <w:rsid w:val="00FA093F"/>
    <w:rsid w:val="00FA32B6"/>
    <w:rsid w:val="00FA3E37"/>
    <w:rsid w:val="00FA453A"/>
    <w:rsid w:val="00FA546C"/>
    <w:rsid w:val="00FA68BC"/>
    <w:rsid w:val="00FA76F1"/>
    <w:rsid w:val="00FB15A3"/>
    <w:rsid w:val="00FB2DB4"/>
    <w:rsid w:val="00FB6CC3"/>
    <w:rsid w:val="00FB729A"/>
    <w:rsid w:val="00FC356C"/>
    <w:rsid w:val="00FC3E30"/>
    <w:rsid w:val="00FC45DC"/>
    <w:rsid w:val="00FC4B01"/>
    <w:rsid w:val="00FC4C9C"/>
    <w:rsid w:val="00FC55AB"/>
    <w:rsid w:val="00FC6A56"/>
    <w:rsid w:val="00FC74B1"/>
    <w:rsid w:val="00FD0D52"/>
    <w:rsid w:val="00FD107E"/>
    <w:rsid w:val="00FD40F2"/>
    <w:rsid w:val="00FD5090"/>
    <w:rsid w:val="00FD56ED"/>
    <w:rsid w:val="00FD5B3C"/>
    <w:rsid w:val="00FD5B6B"/>
    <w:rsid w:val="00FD6447"/>
    <w:rsid w:val="00FD7085"/>
    <w:rsid w:val="00FE122A"/>
    <w:rsid w:val="00FE2544"/>
    <w:rsid w:val="00FE41D5"/>
    <w:rsid w:val="00FE43B3"/>
    <w:rsid w:val="00FE48E3"/>
    <w:rsid w:val="00FE6F2D"/>
    <w:rsid w:val="00FF0927"/>
    <w:rsid w:val="00FF1466"/>
    <w:rsid w:val="00FF23CF"/>
    <w:rsid w:val="00FF29DC"/>
    <w:rsid w:val="00FF30FF"/>
    <w:rsid w:val="00FF411B"/>
    <w:rsid w:val="00FF437B"/>
    <w:rsid w:val="00FF44B1"/>
    <w:rsid w:val="00FF4D79"/>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0297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character" w:styleId="UnresolvedMention">
    <w:name w:val="Unresolved Mention"/>
    <w:basedOn w:val="DefaultParagraphFont"/>
    <w:rsid w:val="007E6693"/>
    <w:rPr>
      <w:color w:val="605E5C"/>
      <w:shd w:val="clear" w:color="auto" w:fill="E1DFDD"/>
    </w:rPr>
  </w:style>
  <w:style w:type="character" w:customStyle="1" w:styleId="xcontentpasted0">
    <w:name w:val="x_contentpasted0"/>
    <w:basedOn w:val="DefaultParagraphFont"/>
    <w:rsid w:val="009004A5"/>
  </w:style>
  <w:style w:type="character" w:customStyle="1" w:styleId="markedcontent">
    <w:name w:val="markedcontent"/>
    <w:basedOn w:val="DefaultParagraphFont"/>
    <w:rsid w:val="007A3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mailto:hcinfo@usac.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fcc.gov"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