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9DDC34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B9A8750" w14:textId="77777777">
      <w:pPr>
        <w:pStyle w:val="StyleBoldCentered"/>
      </w:pPr>
      <w:r>
        <w:t>F</w:t>
      </w:r>
      <w:r>
        <w:rPr>
          <w:caps w:val="0"/>
        </w:rPr>
        <w:t>ederal Communications Commission</w:t>
      </w:r>
    </w:p>
    <w:p w:rsidR="004C2EE3" w:rsidP="00096D8C" w14:paraId="5245EB31" w14:textId="77777777">
      <w:pPr>
        <w:pStyle w:val="StyleBoldCentered"/>
      </w:pPr>
      <w:r>
        <w:rPr>
          <w:caps w:val="0"/>
        </w:rPr>
        <w:t>Washington, D.C. 20554</w:t>
      </w:r>
    </w:p>
    <w:p w:rsidR="004C2EE3" w:rsidP="0070224F" w14:paraId="5F5C9C8D" w14:textId="77777777"/>
    <w:p w:rsidR="004C2EE3" w:rsidP="0070224F" w14:paraId="7EEEC0AF" w14:textId="77777777"/>
    <w:tbl>
      <w:tblPr>
        <w:tblW w:w="0" w:type="auto"/>
        <w:tblLayout w:type="fixed"/>
        <w:tblLook w:val="0000"/>
      </w:tblPr>
      <w:tblGrid>
        <w:gridCol w:w="4698"/>
        <w:gridCol w:w="630"/>
        <w:gridCol w:w="4248"/>
      </w:tblGrid>
      <w:tr w14:paraId="7FCA86A1" w14:textId="77777777">
        <w:tblPrEx>
          <w:tblW w:w="0" w:type="auto"/>
          <w:tblLayout w:type="fixed"/>
          <w:tblLook w:val="0000"/>
        </w:tblPrEx>
        <w:tc>
          <w:tcPr>
            <w:tcW w:w="4698" w:type="dxa"/>
          </w:tcPr>
          <w:p w:rsidR="004C2EE3" w14:paraId="2862F642" w14:textId="77777777">
            <w:pPr>
              <w:tabs>
                <w:tab w:val="center" w:pos="4680"/>
              </w:tabs>
              <w:suppressAutoHyphens/>
              <w:rPr>
                <w:spacing w:val="-2"/>
              </w:rPr>
            </w:pPr>
            <w:r>
              <w:rPr>
                <w:spacing w:val="-2"/>
              </w:rPr>
              <w:t>In the Matter of</w:t>
            </w:r>
          </w:p>
          <w:p w:rsidR="004C2EE3" w14:paraId="778DFF0A" w14:textId="77777777">
            <w:pPr>
              <w:tabs>
                <w:tab w:val="center" w:pos="4680"/>
              </w:tabs>
              <w:suppressAutoHyphens/>
              <w:rPr>
                <w:spacing w:val="-2"/>
              </w:rPr>
            </w:pPr>
          </w:p>
          <w:p w:rsidR="00B23622" w:rsidP="00B23622" w14:paraId="1B99C943" w14:textId="77777777">
            <w:pPr>
              <w:tabs>
                <w:tab w:val="center" w:pos="4680"/>
              </w:tabs>
              <w:suppressAutoHyphens/>
              <w:rPr>
                <w:spacing w:val="-2"/>
              </w:rPr>
            </w:pPr>
            <w:r>
              <w:rPr>
                <w:spacing w:val="-2"/>
              </w:rPr>
              <w:t>The Rural Digital Opportunity Fund Auction (Auction 904)</w:t>
            </w:r>
          </w:p>
          <w:p w:rsidR="00B23622" w:rsidP="00B23622" w14:paraId="75CAE13C" w14:textId="77777777">
            <w:pPr>
              <w:tabs>
                <w:tab w:val="center" w:pos="4680"/>
              </w:tabs>
              <w:suppressAutoHyphens/>
              <w:rPr>
                <w:spacing w:val="-2"/>
              </w:rPr>
            </w:pPr>
          </w:p>
          <w:p w:rsidR="004C2EE3" w:rsidRPr="007115F7" w:rsidP="00B23622" w14:paraId="1D7E2443" w14:textId="032FA918">
            <w:pPr>
              <w:tabs>
                <w:tab w:val="center" w:pos="4680"/>
              </w:tabs>
              <w:suppressAutoHyphens/>
              <w:rPr>
                <w:spacing w:val="-2"/>
              </w:rPr>
            </w:pPr>
            <w:r>
              <w:rPr>
                <w:spacing w:val="-2"/>
              </w:rPr>
              <w:t>Rural Digital Opportunity Fund</w:t>
            </w:r>
          </w:p>
        </w:tc>
        <w:tc>
          <w:tcPr>
            <w:tcW w:w="630" w:type="dxa"/>
          </w:tcPr>
          <w:p w:rsidR="004C2EE3" w14:paraId="0B41DB1C" w14:textId="77777777">
            <w:pPr>
              <w:tabs>
                <w:tab w:val="center" w:pos="4680"/>
              </w:tabs>
              <w:suppressAutoHyphens/>
              <w:rPr>
                <w:b/>
                <w:spacing w:val="-2"/>
              </w:rPr>
            </w:pPr>
            <w:r>
              <w:rPr>
                <w:b/>
                <w:spacing w:val="-2"/>
              </w:rPr>
              <w:t>)</w:t>
            </w:r>
          </w:p>
          <w:p w:rsidR="004C2EE3" w14:paraId="787F808F" w14:textId="77777777">
            <w:pPr>
              <w:tabs>
                <w:tab w:val="center" w:pos="4680"/>
              </w:tabs>
              <w:suppressAutoHyphens/>
              <w:rPr>
                <w:b/>
                <w:spacing w:val="-2"/>
              </w:rPr>
            </w:pPr>
            <w:r>
              <w:rPr>
                <w:b/>
                <w:spacing w:val="-2"/>
              </w:rPr>
              <w:t>)</w:t>
            </w:r>
          </w:p>
          <w:p w:rsidR="004C2EE3" w14:paraId="4E73E16A" w14:textId="77777777">
            <w:pPr>
              <w:tabs>
                <w:tab w:val="center" w:pos="4680"/>
              </w:tabs>
              <w:suppressAutoHyphens/>
              <w:rPr>
                <w:b/>
                <w:spacing w:val="-2"/>
              </w:rPr>
            </w:pPr>
            <w:r>
              <w:rPr>
                <w:b/>
                <w:spacing w:val="-2"/>
              </w:rPr>
              <w:t>)</w:t>
            </w:r>
          </w:p>
          <w:p w:rsidR="004C2EE3" w14:paraId="4E9B75E6" w14:textId="77777777">
            <w:pPr>
              <w:tabs>
                <w:tab w:val="center" w:pos="4680"/>
              </w:tabs>
              <w:suppressAutoHyphens/>
              <w:rPr>
                <w:b/>
                <w:spacing w:val="-2"/>
              </w:rPr>
            </w:pPr>
            <w:r>
              <w:rPr>
                <w:b/>
                <w:spacing w:val="-2"/>
              </w:rPr>
              <w:t>)</w:t>
            </w:r>
          </w:p>
          <w:p w:rsidR="004C2EE3" w14:paraId="3D06E2F4" w14:textId="77777777">
            <w:pPr>
              <w:tabs>
                <w:tab w:val="center" w:pos="4680"/>
              </w:tabs>
              <w:suppressAutoHyphens/>
              <w:rPr>
                <w:b/>
                <w:spacing w:val="-2"/>
              </w:rPr>
            </w:pPr>
            <w:r>
              <w:rPr>
                <w:b/>
                <w:spacing w:val="-2"/>
              </w:rPr>
              <w:t>)</w:t>
            </w:r>
          </w:p>
          <w:p w:rsidR="004C2EE3" w14:paraId="4C3D81C8" w14:textId="77777777">
            <w:pPr>
              <w:tabs>
                <w:tab w:val="center" w:pos="4680"/>
              </w:tabs>
              <w:suppressAutoHyphens/>
              <w:rPr>
                <w:b/>
                <w:spacing w:val="-2"/>
              </w:rPr>
            </w:pPr>
            <w:r>
              <w:rPr>
                <w:b/>
                <w:spacing w:val="-2"/>
              </w:rPr>
              <w:t>)</w:t>
            </w:r>
          </w:p>
          <w:p w:rsidR="004C2EE3" w14:paraId="6DAECA3B" w14:textId="77777777">
            <w:pPr>
              <w:tabs>
                <w:tab w:val="center" w:pos="4680"/>
              </w:tabs>
              <w:suppressAutoHyphens/>
              <w:rPr>
                <w:b/>
                <w:spacing w:val="-2"/>
              </w:rPr>
            </w:pPr>
            <w:r>
              <w:rPr>
                <w:b/>
                <w:spacing w:val="-2"/>
              </w:rPr>
              <w:t>)</w:t>
            </w:r>
          </w:p>
          <w:p w:rsidR="000A36D5" w:rsidRPr="00B23622" w14:paraId="6186A2C7" w14:textId="6591240E">
            <w:pPr>
              <w:tabs>
                <w:tab w:val="center" w:pos="4680"/>
              </w:tabs>
              <w:suppressAutoHyphens/>
              <w:rPr>
                <w:b/>
                <w:spacing w:val="-2"/>
              </w:rPr>
            </w:pPr>
            <w:r>
              <w:rPr>
                <w:b/>
                <w:spacing w:val="-2"/>
              </w:rPr>
              <w:t>)</w:t>
            </w:r>
          </w:p>
        </w:tc>
        <w:tc>
          <w:tcPr>
            <w:tcW w:w="4248" w:type="dxa"/>
          </w:tcPr>
          <w:p w:rsidR="004C2EE3" w14:paraId="051F8AB5" w14:textId="77777777">
            <w:pPr>
              <w:tabs>
                <w:tab w:val="center" w:pos="4680"/>
              </w:tabs>
              <w:suppressAutoHyphens/>
              <w:rPr>
                <w:spacing w:val="-2"/>
              </w:rPr>
            </w:pPr>
          </w:p>
          <w:p w:rsidR="004C2EE3" w14:paraId="2618F023" w14:textId="77777777">
            <w:pPr>
              <w:pStyle w:val="TOAHeading"/>
              <w:tabs>
                <w:tab w:val="center" w:pos="4680"/>
                <w:tab w:val="clear" w:pos="9360"/>
              </w:tabs>
              <w:rPr>
                <w:spacing w:val="-2"/>
              </w:rPr>
            </w:pPr>
          </w:p>
          <w:p w:rsidR="00B23622" w:rsidP="00B23622" w14:paraId="12799EA3" w14:textId="77777777">
            <w:pPr>
              <w:tabs>
                <w:tab w:val="center" w:pos="4680"/>
              </w:tabs>
              <w:suppressAutoHyphens/>
              <w:rPr>
                <w:spacing w:val="-2"/>
              </w:rPr>
            </w:pPr>
          </w:p>
          <w:p w:rsidR="00B23622" w:rsidP="00B23622" w14:paraId="6971A23A" w14:textId="0240FEBF">
            <w:pPr>
              <w:tabs>
                <w:tab w:val="center" w:pos="4680"/>
              </w:tabs>
              <w:suppressAutoHyphens/>
              <w:rPr>
                <w:spacing w:val="-2"/>
              </w:rPr>
            </w:pPr>
            <w:r>
              <w:rPr>
                <w:spacing w:val="-2"/>
              </w:rPr>
              <w:t>AU Docket No. 20-34</w:t>
            </w:r>
          </w:p>
          <w:p w:rsidR="00B23622" w:rsidP="00B23622" w14:paraId="476982E1" w14:textId="77777777">
            <w:pPr>
              <w:tabs>
                <w:tab w:val="center" w:pos="4680"/>
              </w:tabs>
              <w:suppressAutoHyphens/>
              <w:rPr>
                <w:spacing w:val="-2"/>
              </w:rPr>
            </w:pPr>
          </w:p>
          <w:p w:rsidR="00B23622" w:rsidP="00B23622" w14:paraId="35CEDC96" w14:textId="77777777">
            <w:pPr>
              <w:tabs>
                <w:tab w:val="center" w:pos="4680"/>
              </w:tabs>
              <w:suppressAutoHyphens/>
              <w:rPr>
                <w:spacing w:val="-2"/>
              </w:rPr>
            </w:pPr>
            <w:r>
              <w:rPr>
                <w:spacing w:val="-2"/>
              </w:rPr>
              <w:t>WC Docket No. 19-126</w:t>
            </w:r>
          </w:p>
          <w:p w:rsidR="004C2EE3" w14:paraId="25C132E7" w14:textId="29D848E7">
            <w:pPr>
              <w:tabs>
                <w:tab w:val="center" w:pos="4680"/>
              </w:tabs>
              <w:suppressAutoHyphens/>
              <w:rPr>
                <w:spacing w:val="-2"/>
              </w:rPr>
            </w:pPr>
          </w:p>
        </w:tc>
      </w:tr>
    </w:tbl>
    <w:p w:rsidR="004C2EE3" w:rsidP="0070224F" w14:paraId="179BCFF8" w14:textId="77777777"/>
    <w:p w:rsidR="00841AB1" w:rsidP="00F021FA" w14:paraId="4F860BC6" w14:textId="0F936312">
      <w:pPr>
        <w:pStyle w:val="StyleBoldCentered"/>
      </w:pPr>
      <w:r>
        <w:t>Order on Reconsideration</w:t>
      </w:r>
    </w:p>
    <w:p w:rsidR="004C2EE3" w14:paraId="647E8AFC" w14:textId="77777777">
      <w:pPr>
        <w:tabs>
          <w:tab w:val="left" w:pos="-720"/>
        </w:tabs>
        <w:suppressAutoHyphens/>
        <w:spacing w:line="227" w:lineRule="auto"/>
        <w:rPr>
          <w:spacing w:val="-2"/>
        </w:rPr>
      </w:pPr>
    </w:p>
    <w:p w:rsidR="004C2EE3" w:rsidP="00133F79" w14:paraId="65A6E081" w14:textId="0411B1A0">
      <w:pPr>
        <w:tabs>
          <w:tab w:val="left" w:pos="720"/>
          <w:tab w:val="right" w:pos="9360"/>
        </w:tabs>
        <w:suppressAutoHyphens/>
        <w:spacing w:line="227" w:lineRule="auto"/>
        <w:rPr>
          <w:spacing w:val="-2"/>
        </w:rPr>
      </w:pPr>
      <w:r>
        <w:rPr>
          <w:b/>
          <w:spacing w:val="-2"/>
        </w:rPr>
        <w:t xml:space="preserve">Adopted:  </w:t>
      </w:r>
      <w:r w:rsidR="00B23622">
        <w:rPr>
          <w:b/>
          <w:spacing w:val="-2"/>
        </w:rPr>
        <w:t>May 23,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23622">
        <w:rPr>
          <w:b/>
          <w:spacing w:val="-2"/>
        </w:rPr>
        <w:t>May 23, 2023</w:t>
      </w:r>
    </w:p>
    <w:p w:rsidR="00822CE0" w14:paraId="4DFF9179" w14:textId="77777777"/>
    <w:p w:rsidR="004C2EE3" w14:paraId="607CBC47" w14:textId="5E1AC882">
      <w:pPr>
        <w:rPr>
          <w:spacing w:val="-2"/>
        </w:rPr>
      </w:pPr>
      <w:r>
        <w:t xml:space="preserve">By </w:t>
      </w:r>
      <w:r w:rsidR="004E4A22">
        <w:t>the</w:t>
      </w:r>
      <w:r w:rsidR="002A2D2E">
        <w:t xml:space="preserve"> </w:t>
      </w:r>
      <w:r w:rsidR="00750B5D">
        <w:rPr>
          <w:spacing w:val="-2"/>
        </w:rPr>
        <w:t>Chief, Wireline Competition Bureau</w:t>
      </w:r>
      <w:r>
        <w:rPr>
          <w:spacing w:val="-2"/>
        </w:rPr>
        <w:t>:</w:t>
      </w:r>
    </w:p>
    <w:p w:rsidR="00822CE0" w14:paraId="2C4FCA28" w14:textId="77777777">
      <w:pPr>
        <w:rPr>
          <w:spacing w:val="-2"/>
        </w:rPr>
      </w:pPr>
    </w:p>
    <w:p w:rsidR="000A36D5" w:rsidP="000A36D5" w14:paraId="100A5CF4" w14:textId="77777777">
      <w:pPr>
        <w:pStyle w:val="ParaNum"/>
      </w:pPr>
      <w:r w:rsidRPr="00CC5630">
        <w:t xml:space="preserve">In this Order, the Wireline Competition Bureau (Bureau), in conjunction with the Office of Economics and Analytics (OEA), denies a petition for reconsideration submitted by </w:t>
      </w:r>
      <w:r>
        <w:t>Etheric Communications LLC</w:t>
      </w:r>
      <w:r>
        <w:rPr>
          <w:rStyle w:val="FootnoteReference"/>
        </w:rPr>
        <w:footnoteReference w:id="3"/>
      </w:r>
      <w:r>
        <w:t xml:space="preserve"> (Etheric) of the Bureau’s decision to dismiss as moot and alternatively deny </w:t>
      </w:r>
      <w:r>
        <w:t>Etheric’s</w:t>
      </w:r>
      <w:r>
        <w:t xml:space="preserve"> request for waiver of the eligible telecommunications carrier (</w:t>
      </w:r>
      <w:r>
        <w:t>ETC</w:t>
      </w:r>
      <w:r>
        <w:t>) designation documentation deadline.</w:t>
      </w:r>
      <w:r>
        <w:rPr>
          <w:rStyle w:val="FootnoteReference"/>
        </w:rPr>
        <w:footnoteReference w:id="4"/>
      </w:r>
      <w:r>
        <w:t xml:space="preserve">  We affirm the Bureau’s decision.</w:t>
      </w:r>
    </w:p>
    <w:p w:rsidR="000A36D5" w:rsidP="000A36D5" w14:paraId="789CAE17" w14:textId="35F70AE0">
      <w:pPr>
        <w:pStyle w:val="Heading1"/>
      </w:pPr>
      <w:r>
        <w:t>B</w:t>
      </w:r>
      <w:r>
        <w:t>ackground</w:t>
      </w:r>
    </w:p>
    <w:p w:rsidR="000A36D5" w:rsidRPr="0072731F" w:rsidP="000A36D5" w14:paraId="2DCFA410" w14:textId="77777777">
      <w:pPr>
        <w:pStyle w:val="ParaNum"/>
        <w:rPr>
          <w:color w:val="000000"/>
        </w:rPr>
      </w:pPr>
      <w:r w:rsidRPr="4F212E13">
        <w:rPr>
          <w:color w:val="000000"/>
        </w:rPr>
        <w:t xml:space="preserve">In the </w:t>
      </w:r>
      <w:r w:rsidRPr="4F212E13">
        <w:rPr>
          <w:i/>
          <w:color w:val="000000"/>
        </w:rPr>
        <w:t>Rural Digital Opportunity Fund Order</w:t>
      </w:r>
      <w:r w:rsidRPr="4F212E13">
        <w:rPr>
          <w:color w:val="000000"/>
        </w:rPr>
        <w:t xml:space="preserve">, </w:t>
      </w:r>
      <w:r w:rsidRPr="00226964">
        <w:t xml:space="preserve">the Commission </w:t>
      </w:r>
      <w:r>
        <w:t xml:space="preserve">determined that long-form applicants were required to obtain </w:t>
      </w:r>
      <w:r>
        <w:t>ETC</w:t>
      </w:r>
      <w:r>
        <w:t xml:space="preserve"> designations covering each of the geographic areas for which they sought to be authorized for support and established a deadline of June 7, 2021 for submitting the relevant documentation.</w:t>
      </w:r>
      <w:r>
        <w:rPr>
          <w:rStyle w:val="FootnoteReference"/>
        </w:rPr>
        <w:footnoteReference w:id="5"/>
      </w:r>
      <w:r>
        <w:t xml:space="preserve">  </w:t>
      </w:r>
      <w:r>
        <w:rPr>
          <w:color w:val="000000"/>
          <w:szCs w:val="22"/>
        </w:rPr>
        <w:t xml:space="preserve">The Commission recognized that, in some cases, applicants may face delays in obtaining their </w:t>
      </w:r>
      <w:r>
        <w:rPr>
          <w:color w:val="000000"/>
          <w:szCs w:val="22"/>
        </w:rPr>
        <w:t>ETC</w:t>
      </w:r>
      <w:r>
        <w:rPr>
          <w:color w:val="000000"/>
          <w:szCs w:val="22"/>
        </w:rPr>
        <w:t xml:space="preserve"> designations and explained that a long-form applicant could seek waiver of the </w:t>
      </w:r>
      <w:r>
        <w:rPr>
          <w:color w:val="000000"/>
          <w:szCs w:val="22"/>
        </w:rPr>
        <w:t>ETC</w:t>
      </w:r>
      <w:r>
        <w:rPr>
          <w:color w:val="000000"/>
          <w:szCs w:val="22"/>
        </w:rPr>
        <w:t xml:space="preserve"> deadline if it anticipated that it would not be able to obtain the required designations within 180 days.</w:t>
      </w:r>
      <w:r>
        <w:rPr>
          <w:rStyle w:val="FootnoteReference"/>
          <w:color w:val="000000"/>
          <w:szCs w:val="22"/>
        </w:rPr>
        <w:footnoteReference w:id="6"/>
      </w:r>
      <w:r>
        <w:rPr>
          <w:color w:val="000000"/>
          <w:szCs w:val="22"/>
        </w:rPr>
        <w:t xml:space="preserve">  Additionally, the Commission noted that </w:t>
      </w:r>
      <w:r w:rsidRPr="004262FD">
        <w:rPr>
          <w:color w:val="000000"/>
          <w:szCs w:val="22"/>
        </w:rPr>
        <w:t xml:space="preserve">it would </w:t>
      </w:r>
      <w:r>
        <w:t xml:space="preserve">presume that a long-form applicant acted in good faith if it filed its </w:t>
      </w:r>
      <w:r>
        <w:t>ETC</w:t>
      </w:r>
      <w:r>
        <w:t xml:space="preserve"> application with the relevant state authority within 30 days of the release of the public notice identifying Rural Digital Opportunity Fund auction (</w:t>
      </w:r>
      <w:r>
        <w:t>RDOF</w:t>
      </w:r>
      <w:r>
        <w:t xml:space="preserve"> or Auction 904) winning bidders.</w:t>
      </w:r>
      <w:r>
        <w:rPr>
          <w:rStyle w:val="FootnoteReference"/>
        </w:rPr>
        <w:footnoteReference w:id="7"/>
      </w:r>
      <w:r>
        <w:t xml:space="preserve">  </w:t>
      </w:r>
    </w:p>
    <w:p w:rsidR="000A36D5" w:rsidRPr="003B3713" w:rsidP="000A36D5" w14:paraId="11D5CF75" w14:textId="77777777">
      <w:pPr>
        <w:pStyle w:val="ParaNum"/>
        <w:widowControl/>
        <w:rPr>
          <w:rFonts w:ascii="TimesNewRomanPSMT" w:hAnsi="TimesNewRomanPSMT" w:cs="TimesNewRomanPSMT"/>
          <w:snapToGrid/>
          <w:kern w:val="0"/>
          <w:szCs w:val="22"/>
        </w:rPr>
      </w:pPr>
      <w:r w:rsidRPr="002C607E">
        <w:rPr>
          <w:i/>
        </w:rPr>
        <w:t>ETC</w:t>
      </w:r>
      <w:r w:rsidRPr="002C607E">
        <w:rPr>
          <w:i/>
        </w:rPr>
        <w:t xml:space="preserve"> Waiver </w:t>
      </w:r>
      <w:r>
        <w:rPr>
          <w:i/>
        </w:rPr>
        <w:t>Dismissal and Denial</w:t>
      </w:r>
      <w:r w:rsidRPr="002C607E">
        <w:rPr>
          <w:i/>
        </w:rPr>
        <w:t>.</w:t>
      </w:r>
      <w:r w:rsidRPr="002C607E">
        <w:t xml:space="preserve">  </w:t>
      </w:r>
      <w:r>
        <w:t>Etheric</w:t>
      </w:r>
      <w:r w:rsidRPr="002C607E">
        <w:t xml:space="preserve"> sought relief of the </w:t>
      </w:r>
      <w:r>
        <w:t xml:space="preserve">deadline for providing documentation of its </w:t>
      </w:r>
      <w:r>
        <w:t>ETC</w:t>
      </w:r>
      <w:r>
        <w:t xml:space="preserve"> designation in the state of California after filing its </w:t>
      </w:r>
      <w:r>
        <w:t>ETC</w:t>
      </w:r>
      <w:r>
        <w:t xml:space="preserve"> designation petition with the California Public Utilities Commission (CPUC) on January 5, 2021, within the 30-day “good faith presumption” window.</w:t>
      </w:r>
      <w:r>
        <w:rPr>
          <w:rStyle w:val="FootnoteReference"/>
        </w:rPr>
        <w:footnoteReference w:id="8"/>
      </w:r>
      <w:r>
        <w:t xml:space="preserve">  </w:t>
      </w:r>
      <w:r w:rsidRPr="00554F13">
        <w:t>On December 1</w:t>
      </w:r>
      <w:r>
        <w:t>6</w:t>
      </w:r>
      <w:r w:rsidRPr="00554F13">
        <w:t xml:space="preserve">, 2022, the </w:t>
      </w:r>
      <w:r>
        <w:t>CPUC issued</w:t>
      </w:r>
      <w:r w:rsidRPr="00554F13">
        <w:t xml:space="preserve"> a decision denying </w:t>
      </w:r>
      <w:r w:rsidRPr="00554F13">
        <w:t>Etheric’s</w:t>
      </w:r>
      <w:r w:rsidRPr="00554F13">
        <w:t xml:space="preserve"> request for an </w:t>
      </w:r>
      <w:r w:rsidRPr="00554F13">
        <w:t>ETC</w:t>
      </w:r>
      <w:r w:rsidRPr="00554F13">
        <w:t xml:space="preserve"> designation covering its Auction 904 winning bids in the state.</w:t>
      </w:r>
      <w:r>
        <w:rPr>
          <w:rStyle w:val="FootnoteReference"/>
        </w:rPr>
        <w:footnoteReference w:id="9"/>
      </w:r>
      <w:r w:rsidRPr="00554F13">
        <w:t xml:space="preserve">  </w:t>
      </w:r>
      <w:r>
        <w:t xml:space="preserve">Etheric then notified the Commission that it was “considering its options to respond to the CPUC Decision and further proceedings to obtain </w:t>
      </w:r>
      <w:r>
        <w:t>ETC</w:t>
      </w:r>
      <w:r>
        <w:t xml:space="preserve"> status in California” and urged the Commission “to defer final action on its pending long form application until any further proceeding it pursues to obtain </w:t>
      </w:r>
      <w:r>
        <w:t>ETC</w:t>
      </w:r>
      <w:r>
        <w:t xml:space="preserve"> status for California have been completed.”</w:t>
      </w:r>
      <w:r>
        <w:rPr>
          <w:rStyle w:val="FootnoteReference"/>
        </w:rPr>
        <w:footnoteReference w:id="10"/>
      </w:r>
      <w:r>
        <w:t xml:space="preserve">  Because the CPUC had denied </w:t>
      </w:r>
      <w:r>
        <w:t>Etheric’s</w:t>
      </w:r>
      <w:r>
        <w:t xml:space="preserve"> petition for </w:t>
      </w:r>
      <w:r>
        <w:t>ETC</w:t>
      </w:r>
      <w:r>
        <w:t xml:space="preserve"> designation, the Bureau dismissed </w:t>
      </w:r>
      <w:r>
        <w:t>Etheric’s</w:t>
      </w:r>
      <w:r>
        <w:t xml:space="preserve"> petition for waiver as moot on January 13, 2023.</w:t>
      </w:r>
      <w:r>
        <w:rPr>
          <w:rStyle w:val="FootnoteReference"/>
        </w:rPr>
        <w:footnoteReference w:id="11"/>
      </w:r>
      <w:r>
        <w:t xml:space="preserve">  Alternatively, the Bureau also denied </w:t>
      </w:r>
      <w:r>
        <w:t>Etheric’s</w:t>
      </w:r>
      <w:r>
        <w:t xml:space="preserve"> petition for waiver on the merits, finding “that it would not serve the public interest to delay action on </w:t>
      </w:r>
      <w:r>
        <w:t>Etheric’s</w:t>
      </w:r>
      <w:r>
        <w:t xml:space="preserve"> Rural Digital Opportunity Fund application indefinitely after the CPUC has already denied </w:t>
      </w:r>
      <w:r>
        <w:t>Etheric’s</w:t>
      </w:r>
      <w:r>
        <w:t xml:space="preserve"> </w:t>
      </w:r>
      <w:r>
        <w:t>ETC</w:t>
      </w:r>
      <w:r>
        <w:t xml:space="preserve"> petition and while Etheric considers its options for moving forward.”</w:t>
      </w:r>
      <w:r>
        <w:rPr>
          <w:rStyle w:val="FootnoteReference"/>
        </w:rPr>
        <w:footnoteReference w:id="12"/>
      </w:r>
    </w:p>
    <w:p w:rsidR="000A36D5" w:rsidRPr="009150E6" w:rsidP="000A36D5" w14:paraId="52848695" w14:textId="77777777">
      <w:pPr>
        <w:pStyle w:val="ParaNum"/>
        <w:rPr>
          <w:rFonts w:ascii="TimesNewRomanPSMT" w:hAnsi="TimesNewRomanPSMT" w:cs="TimesNewRomanPSMT"/>
          <w:snapToGrid/>
          <w:kern w:val="0"/>
          <w:szCs w:val="22"/>
        </w:rPr>
      </w:pPr>
      <w:r w:rsidRPr="005213A3">
        <w:rPr>
          <w:i/>
          <w:iCs/>
        </w:rPr>
        <w:t>Request for Reconsideration</w:t>
      </w:r>
      <w:r>
        <w:t>.  Etheric submitted a petition for reconsideration of the Bureau’s dismissal and/or denial of its waiver request.</w:t>
      </w:r>
      <w:r>
        <w:rPr>
          <w:rStyle w:val="FootnoteReference"/>
        </w:rPr>
        <w:footnoteReference w:id="13"/>
      </w:r>
      <w:r>
        <w:rPr>
          <w:color w:val="000000"/>
          <w:szCs w:val="22"/>
        </w:rPr>
        <w:t xml:space="preserve">  </w:t>
      </w:r>
      <w:r>
        <w:t xml:space="preserve">Etheric </w:t>
      </w:r>
      <w:r>
        <w:rPr>
          <w:color w:val="000000"/>
          <w:szCs w:val="22"/>
        </w:rPr>
        <w:t xml:space="preserve">argues that the Bureau “acted prematurely” on </w:t>
      </w:r>
      <w:r>
        <w:rPr>
          <w:color w:val="000000"/>
          <w:szCs w:val="22"/>
        </w:rPr>
        <w:t>Etheric’s</w:t>
      </w:r>
      <w:r>
        <w:rPr>
          <w:color w:val="000000"/>
          <w:szCs w:val="22"/>
        </w:rPr>
        <w:t xml:space="preserve"> request for waiver because it had “not exhausted California administrative remedies to reverse” the CPUC’s denial.</w:t>
      </w:r>
      <w:r>
        <w:rPr>
          <w:rStyle w:val="FootnoteReference"/>
          <w:szCs w:val="22"/>
        </w:rPr>
        <w:footnoteReference w:id="14"/>
      </w:r>
      <w:r>
        <w:rPr>
          <w:color w:val="000000"/>
          <w:szCs w:val="22"/>
        </w:rPr>
        <w:t xml:space="preserve">  Etheric also claims the Bureau erred by “fail[</w:t>
      </w:r>
      <w:r>
        <w:rPr>
          <w:color w:val="000000"/>
          <w:szCs w:val="22"/>
        </w:rPr>
        <w:t>ing</w:t>
      </w:r>
      <w:r>
        <w:rPr>
          <w:color w:val="000000"/>
          <w:szCs w:val="22"/>
        </w:rPr>
        <w:t xml:space="preserve">] to assess the CPUC Order denying Etheric </w:t>
      </w:r>
      <w:r>
        <w:rPr>
          <w:color w:val="000000"/>
          <w:szCs w:val="22"/>
        </w:rPr>
        <w:t>ETC</w:t>
      </w:r>
      <w:r>
        <w:rPr>
          <w:color w:val="000000"/>
          <w:szCs w:val="22"/>
        </w:rPr>
        <w:t xml:space="preserve"> status on its legal merits,” and asserts that the CPUC’s denial is “highly vulnerable to reversal upon further review.”</w:t>
      </w:r>
      <w:r>
        <w:rPr>
          <w:rStyle w:val="FootnoteReference"/>
          <w:szCs w:val="22"/>
        </w:rPr>
        <w:footnoteReference w:id="15"/>
      </w:r>
      <w:r>
        <w:rPr>
          <w:color w:val="000000"/>
          <w:szCs w:val="22"/>
        </w:rPr>
        <w:t xml:space="preserve">  Additionally, Etheric argues that the CPUC, in denying the </w:t>
      </w:r>
      <w:r>
        <w:rPr>
          <w:color w:val="000000"/>
          <w:szCs w:val="22"/>
        </w:rPr>
        <w:t>ETC</w:t>
      </w:r>
      <w:r>
        <w:rPr>
          <w:color w:val="000000"/>
          <w:szCs w:val="22"/>
        </w:rPr>
        <w:t xml:space="preserve"> petition, “establish[ed] their own unique eligibility and compliance criteria for universal service funding,” and that “the Commission’s rules provide no authority for a state agency unilaterally to preclude a provisional support recipient’s performance of its </w:t>
      </w:r>
      <w:r>
        <w:rPr>
          <w:color w:val="000000"/>
          <w:szCs w:val="22"/>
        </w:rPr>
        <w:t>RDOF</w:t>
      </w:r>
      <w:r>
        <w:rPr>
          <w:color w:val="000000"/>
          <w:szCs w:val="22"/>
        </w:rPr>
        <w:t xml:space="preserve"> obligations based on </w:t>
      </w:r>
      <w:r w:rsidRPr="00DA0EB2">
        <w:rPr>
          <w:i/>
          <w:iCs/>
          <w:color w:val="000000"/>
          <w:szCs w:val="22"/>
        </w:rPr>
        <w:t>sui generis</w:t>
      </w:r>
      <w:r>
        <w:rPr>
          <w:color w:val="000000"/>
          <w:szCs w:val="22"/>
        </w:rPr>
        <w:t xml:space="preserve"> review of the financial criteria set out in the [Federal Communications Commission’s] rules.”</w:t>
      </w:r>
      <w:r>
        <w:rPr>
          <w:rStyle w:val="FootnoteReference"/>
          <w:szCs w:val="22"/>
        </w:rPr>
        <w:footnoteReference w:id="16"/>
      </w:r>
      <w:r>
        <w:rPr>
          <w:color w:val="000000"/>
          <w:szCs w:val="22"/>
        </w:rPr>
        <w:t xml:space="preserve">  Finally, </w:t>
      </w:r>
      <w:r>
        <w:rPr>
          <w:color w:val="000000"/>
          <w:szCs w:val="22"/>
        </w:rPr>
        <w:t xml:space="preserve">Etheric claims that “the resolution of </w:t>
      </w:r>
      <w:r>
        <w:rPr>
          <w:color w:val="000000"/>
          <w:szCs w:val="22"/>
        </w:rPr>
        <w:t>Etheric’s</w:t>
      </w:r>
      <w:r>
        <w:rPr>
          <w:color w:val="000000"/>
          <w:szCs w:val="22"/>
        </w:rPr>
        <w:t xml:space="preserve"> California </w:t>
      </w:r>
      <w:r>
        <w:rPr>
          <w:color w:val="000000"/>
          <w:szCs w:val="22"/>
        </w:rPr>
        <w:t>ETC</w:t>
      </w:r>
      <w:r>
        <w:rPr>
          <w:color w:val="000000"/>
          <w:szCs w:val="22"/>
        </w:rPr>
        <w:t xml:space="preserve"> application provides a faster path for unserved areas” to become served than waiting for future funding programs, and that “a final decision on the pending </w:t>
      </w:r>
      <w:r>
        <w:rPr>
          <w:color w:val="000000"/>
          <w:szCs w:val="22"/>
        </w:rPr>
        <w:t>RDOF</w:t>
      </w:r>
      <w:r>
        <w:rPr>
          <w:color w:val="000000"/>
          <w:szCs w:val="22"/>
        </w:rPr>
        <w:t xml:space="preserve"> application can be rendered well in advance of any need to finalize eligibility for such future support programs.”</w:t>
      </w:r>
      <w:r>
        <w:rPr>
          <w:rStyle w:val="FootnoteReference"/>
          <w:szCs w:val="22"/>
        </w:rPr>
        <w:footnoteReference w:id="17"/>
      </w:r>
      <w:r>
        <w:rPr>
          <w:color w:val="000000"/>
          <w:szCs w:val="22"/>
        </w:rPr>
        <w:t xml:space="preserve">  </w:t>
      </w:r>
    </w:p>
    <w:p w:rsidR="000A36D5" w:rsidP="000A36D5" w14:paraId="412BDC1E" w14:textId="77777777">
      <w:pPr>
        <w:pStyle w:val="Heading1"/>
      </w:pPr>
      <w:r>
        <w:t>Discussion</w:t>
      </w:r>
    </w:p>
    <w:p w:rsidR="000A36D5" w:rsidP="000A36D5" w14:paraId="4AA84A82" w14:textId="77777777">
      <w:pPr>
        <w:pStyle w:val="ParaNum"/>
      </w:pPr>
      <w:r>
        <w:t>Generally, the Commission’s rules may be waived for good cause shown.</w:t>
      </w:r>
      <w:r>
        <w:rPr>
          <w:rStyle w:val="FootnoteReference"/>
        </w:rPr>
        <w:footnoteReference w:id="18"/>
      </w:r>
      <w:r>
        <w:t xml:space="preserve">  </w:t>
      </w:r>
      <w:r w:rsidRPr="00BB3C3D">
        <w:t>W</w:t>
      </w:r>
      <w:r w:rsidRPr="00C47CA8">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19"/>
      </w:r>
      <w:r w:rsidRPr="00F6751B">
        <w:t xml:space="preserve">  </w:t>
      </w:r>
      <w:r>
        <w:t>Further, the Commission may reconsider the record and change its decision if the facts in the record demonstrate a waiver is warranted and in the public interest.</w:t>
      </w:r>
      <w:r>
        <w:rPr>
          <w:rStyle w:val="FootnoteReference"/>
        </w:rPr>
        <w:footnoteReference w:id="20"/>
      </w:r>
      <w:r>
        <w:t xml:space="preserve">  However, a petition for reconsideration that relies on facts or arguments not previously presented may only be granted in certain circumstances.</w:t>
      </w:r>
      <w:r>
        <w:rPr>
          <w:rStyle w:val="FootnoteReference"/>
        </w:rPr>
        <w:footnoteReference w:id="21"/>
      </w:r>
      <w:r>
        <w:t xml:space="preserve">  As explained below, upon reconsideration, we affirm our previous decision and deny the petition for reconsideration filed by Etheric.</w:t>
      </w:r>
    </w:p>
    <w:p w:rsidR="000A36D5" w:rsidP="000A36D5" w14:paraId="353F2E60" w14:textId="77777777">
      <w:pPr>
        <w:pStyle w:val="ParaNum"/>
        <w:widowControl/>
      </w:pPr>
      <w:r>
        <w:t xml:space="preserve">We reject </w:t>
      </w:r>
      <w:r>
        <w:t>Etheric’s</w:t>
      </w:r>
      <w:r>
        <w:t xml:space="preserve"> claim that the Bureau erroneously concluded that Etheric has been “unable” to obtain its </w:t>
      </w:r>
      <w:r>
        <w:t>ETC</w:t>
      </w:r>
      <w:r>
        <w:t xml:space="preserve"> designation and should have waited until Etheric exhausted its administrative remedies prior to acting on </w:t>
      </w:r>
      <w:r>
        <w:t>Etheric’s</w:t>
      </w:r>
      <w:r>
        <w:t xml:space="preserve"> petition for waiver.</w:t>
      </w:r>
      <w:r>
        <w:rPr>
          <w:rStyle w:val="FootnoteReference"/>
        </w:rPr>
        <w:footnoteReference w:id="22"/>
      </w:r>
      <w:r>
        <w:t xml:space="preserve">  The Communications Act of 1934, as amended, gives state commissions the primary responsibility for granting </w:t>
      </w:r>
      <w:r>
        <w:t>ETC</w:t>
      </w:r>
      <w:r>
        <w:t xml:space="preserve"> designation to companies operating in their states.</w:t>
      </w:r>
      <w:r>
        <w:rPr>
          <w:rStyle w:val="FootnoteReference"/>
        </w:rPr>
        <w:footnoteReference w:id="23"/>
      </w:r>
      <w:r>
        <w:t xml:space="preserve">  As Etheric notes, “Congress intended that state regulators could ‘evaluate local factual situations in </w:t>
      </w:r>
      <w:r>
        <w:t>ETC</w:t>
      </w:r>
      <w:r>
        <w:t xml:space="preserve"> cases and exercise discretion in reaching their conclusions regarding the public interest, convenience and necessity,’” consistent with federal and other state law.</w:t>
      </w:r>
      <w:r>
        <w:rPr>
          <w:rStyle w:val="FootnoteReference"/>
        </w:rPr>
        <w:footnoteReference w:id="24"/>
      </w:r>
      <w:r>
        <w:t xml:space="preserve">  After lengthy and apparently thorough consideration, including several supplemental requests to and responses from Etheric, the CPUC on December 16, 2022, issued a decision denying </w:t>
      </w:r>
      <w:r>
        <w:t>Etheric’s</w:t>
      </w:r>
      <w:r>
        <w:t xml:space="preserve"> petition to obtain an </w:t>
      </w:r>
      <w:r>
        <w:t>ETC</w:t>
      </w:r>
      <w:r>
        <w:t xml:space="preserve"> designation.</w:t>
      </w:r>
      <w:r>
        <w:rPr>
          <w:rStyle w:val="FootnoteReference"/>
        </w:rPr>
        <w:footnoteReference w:id="25"/>
      </w:r>
      <w:r>
        <w:t xml:space="preserve">  While Etheric has sought rehearing, the CPUC’s decision is final and has not been stayed by the CPUC or a court.</w:t>
      </w:r>
      <w:r>
        <w:rPr>
          <w:rStyle w:val="FootnoteReference"/>
        </w:rPr>
        <w:footnoteReference w:id="26"/>
      </w:r>
      <w:r>
        <w:t xml:space="preserve">  The Bureau is required to heed the CPUC’s decision and thus reasonably determined that Etheric is unable to obtain an </w:t>
      </w:r>
      <w:r>
        <w:t>ETC</w:t>
      </w:r>
      <w:r>
        <w:t xml:space="preserve"> designation, and therefore </w:t>
      </w:r>
      <w:r>
        <w:t>Etheric’s</w:t>
      </w:r>
      <w:r>
        <w:t xml:space="preserve"> waiver petition is moot.  </w:t>
      </w:r>
    </w:p>
    <w:p w:rsidR="000A36D5" w:rsidP="000A36D5" w14:paraId="53E2E7D9" w14:textId="77777777">
      <w:pPr>
        <w:pStyle w:val="ParaNum"/>
        <w:widowControl/>
      </w:pPr>
      <w:r>
        <w:t xml:space="preserve">We also are not persuaded that we should have assessed the legal merits of the CPUC’s decision to deny </w:t>
      </w:r>
      <w:r>
        <w:t>Etheric’s</w:t>
      </w:r>
      <w:r>
        <w:t xml:space="preserve"> designation before dismissing and/or denying </w:t>
      </w:r>
      <w:r>
        <w:t>Etheric’s</w:t>
      </w:r>
      <w:r>
        <w:t xml:space="preserve"> waiver petition.</w:t>
      </w:r>
      <w:r>
        <w:rPr>
          <w:rStyle w:val="FootnoteReference"/>
        </w:rPr>
        <w:footnoteReference w:id="27"/>
      </w:r>
      <w:r>
        <w:t xml:space="preserve">  The Commission lacks jurisdiction to review a state’s decision to grant or deny an </w:t>
      </w:r>
      <w:r>
        <w:t>ETC</w:t>
      </w:r>
      <w:r>
        <w:t xml:space="preserve"> application.</w:t>
      </w:r>
      <w:r>
        <w:rPr>
          <w:rStyle w:val="FootnoteReference"/>
        </w:rPr>
        <w:footnoteReference w:id="28"/>
      </w:r>
      <w:r>
        <w:t xml:space="preserve">  Further, we note that the Fifth Circuit in </w:t>
      </w:r>
      <w:r w:rsidRPr="00B907C4">
        <w:rPr>
          <w:i/>
          <w:iCs/>
        </w:rPr>
        <w:t>Texas Office of Public Utility Counsel v. FCC</w:t>
      </w:r>
      <w:r>
        <w:t xml:space="preserve"> held that nothing in section 214(e)(2) prohibits states from imposing their own eligibility requirements on carriers seeking </w:t>
      </w:r>
      <w:r>
        <w:t>ETC</w:t>
      </w:r>
      <w:r>
        <w:t xml:space="preserve"> designations.</w:t>
      </w:r>
      <w:r>
        <w:rPr>
          <w:rStyle w:val="FootnoteReference"/>
        </w:rPr>
        <w:footnoteReference w:id="29"/>
      </w:r>
      <w:r>
        <w:t xml:space="preserve">  Thus, it appears that the CPUC is within its authority to consider, with respect to applications for </w:t>
      </w:r>
      <w:r>
        <w:t>ETC</w:t>
      </w:r>
      <w:r>
        <w:t xml:space="preserve"> designations to receive </w:t>
      </w:r>
      <w:r>
        <w:t>RDOF</w:t>
      </w:r>
      <w:r>
        <w:t xml:space="preserve"> support, “the local circumstances particular to each application,” including “the ability </w:t>
      </w:r>
      <w:r w:rsidRPr="007133B2">
        <w:t xml:space="preserve">of each applicant to carry out the </w:t>
      </w:r>
      <w:r w:rsidRPr="007133B2">
        <w:t>RDOF</w:t>
      </w:r>
      <w:r w:rsidRPr="007133B2">
        <w:t xml:space="preserve"> build with its existing financial, technical, and operational expertise</w:t>
      </w:r>
      <w:r>
        <w:t xml:space="preserve">,” consistent with the Commission’s </w:t>
      </w:r>
      <w:r>
        <w:t>RDOF</w:t>
      </w:r>
      <w:r>
        <w:t xml:space="preserve"> rules.</w:t>
      </w:r>
      <w:r>
        <w:rPr>
          <w:rStyle w:val="FootnoteReference"/>
        </w:rPr>
        <w:footnoteReference w:id="30"/>
      </w:r>
      <w:r>
        <w:t xml:space="preserve">  While the state’s authority over </w:t>
      </w:r>
      <w:r>
        <w:t>ETC</w:t>
      </w:r>
      <w:r>
        <w:t xml:space="preserve"> designations effectively may act “as a barrier to [the Commission’s] own </w:t>
      </w:r>
      <w:r>
        <w:t>decisionmaking</w:t>
      </w:r>
      <w:r>
        <w:t>”</w:t>
      </w:r>
      <w:r>
        <w:rPr>
          <w:rStyle w:val="FootnoteReference"/>
        </w:rPr>
        <w:footnoteReference w:id="31"/>
      </w:r>
      <w:r>
        <w:t xml:space="preserve"> where states determine, consistent with the Commission’s rules, that granting an application for </w:t>
      </w:r>
      <w:r>
        <w:t>ETC</w:t>
      </w:r>
      <w:r>
        <w:t xml:space="preserve"> designation may not be in the public interest, this cooperative federalism was intended by Congress.</w:t>
      </w:r>
      <w:r>
        <w:rPr>
          <w:rStyle w:val="FootnoteReference"/>
        </w:rPr>
        <w:footnoteReference w:id="32"/>
      </w:r>
      <w:r>
        <w:t xml:space="preserve">     </w:t>
      </w:r>
    </w:p>
    <w:p w:rsidR="000A36D5" w:rsidP="000A36D5" w14:paraId="42E55AE8" w14:textId="77777777">
      <w:pPr>
        <w:pStyle w:val="ParaNum"/>
      </w:pPr>
      <w:r>
        <w:t xml:space="preserve">Finally, we uphold the Bureau’s determination that </w:t>
      </w:r>
      <w:r>
        <w:t>Etheric’s</w:t>
      </w:r>
      <w:r>
        <w:t xml:space="preserve"> waiver petition should be denied on the alternative and independent grounds that it would not serve the public interest to delay action on </w:t>
      </w:r>
      <w:r>
        <w:t>Etheric’s</w:t>
      </w:r>
      <w:r>
        <w:t xml:space="preserve"> long-form application indefinitely while Etheric considered and pursued an appeal of the CPUC’s decision.</w:t>
      </w:r>
      <w:r>
        <w:rPr>
          <w:rStyle w:val="FootnoteReference"/>
        </w:rPr>
        <w:footnoteReference w:id="33"/>
      </w:r>
      <w:r>
        <w:t xml:space="preserve">  At the federal level alone, there are a number of programs that currently or soon </w:t>
      </w:r>
      <w:r>
        <w:t>will offer broadband funding for service providers.</w:t>
      </w:r>
      <w:r>
        <w:rPr>
          <w:rStyle w:val="FootnoteReference"/>
        </w:rPr>
        <w:footnoteReference w:id="34"/>
      </w:r>
      <w:r>
        <w:t xml:space="preserve">  The Commission must coordinate its broadband funding programs with those administered by other federal agencies to prevent or limit overlap and duplication among the various programs in order to maximize the efficient use of such funds.</w:t>
      </w:r>
      <w:r>
        <w:rPr>
          <w:rStyle w:val="FootnoteReference"/>
        </w:rPr>
        <w:footnoteReference w:id="35"/>
      </w:r>
      <w:r>
        <w:t xml:space="preserve">  If the status of the areas covered by </w:t>
      </w:r>
      <w:r>
        <w:t>Etheric’s</w:t>
      </w:r>
      <w:r>
        <w:t xml:space="preserve"> winning bids remains pending, other funding programs may not provide support in these areas, potentially leaving the consumers stranded in these areas without service if Etheric is not ultimately authorized for </w:t>
      </w:r>
      <w:r>
        <w:t>RDOF</w:t>
      </w:r>
      <w:r>
        <w:t xml:space="preserve"> support.  The Bureau’s decision made clear that no </w:t>
      </w:r>
      <w:r>
        <w:t>RDOF</w:t>
      </w:r>
      <w:r>
        <w:t xml:space="preserve"> support will be spent in the areas covered by </w:t>
      </w:r>
      <w:r>
        <w:t>Etheric’s</w:t>
      </w:r>
      <w:r>
        <w:t xml:space="preserve"> winning bids and, in doing so, reduces the risk that funding will be used inefficiently.  Etheric provides no support for its claims that “a final decision on the pending </w:t>
      </w:r>
      <w:r>
        <w:t>RDOF</w:t>
      </w:r>
      <w:r>
        <w:t xml:space="preserve"> application can be rendered well in advance of any need to finalize eligibility for . . . future support programs,” and that the areas covered by its winning bids would be served “faster” if Etheric is able to exhaust its administrative remedies in California than if the areas became eligible for a different funding program.</w:t>
      </w:r>
      <w:r>
        <w:rPr>
          <w:rStyle w:val="FootnoteReference"/>
        </w:rPr>
        <w:footnoteReference w:id="36"/>
      </w:r>
      <w:r>
        <w:t xml:space="preserve">  We are not persuaded by these speculative assertions.   </w:t>
      </w:r>
    </w:p>
    <w:p w:rsidR="000A36D5" w:rsidP="000A36D5" w14:paraId="73DD3F69" w14:textId="0116E464">
      <w:pPr>
        <w:pStyle w:val="Heading1"/>
      </w:pPr>
      <w:r>
        <w:t>O</w:t>
      </w:r>
      <w:r>
        <w:t xml:space="preserve">rdering </w:t>
      </w:r>
      <w:r>
        <w:t>C</w:t>
      </w:r>
      <w:r>
        <w:t>lauses</w:t>
      </w:r>
    </w:p>
    <w:p w:rsidR="000A36D5" w:rsidP="000A36D5" w14:paraId="09D683C7" w14:textId="77777777">
      <w:pPr>
        <w:pStyle w:val="ParaNum"/>
      </w:pPr>
      <w:r w:rsidRPr="0019242C">
        <w:t>Accordingly, IT IS ORDERED, pursuant to sections 1, 4(i), 5(c),</w:t>
      </w:r>
      <w:r>
        <w:t xml:space="preserve"> 214, </w:t>
      </w:r>
      <w:r w:rsidRPr="0019242C">
        <w:t>254</w:t>
      </w:r>
      <w:r>
        <w:t>, and 405</w:t>
      </w:r>
      <w:r w:rsidRPr="0019242C">
        <w:t xml:space="preserve"> of the Communications Act of 1934, as amended, 47 U.S.C. §§ 151, 154(i), 155(c), </w:t>
      </w:r>
      <w:r>
        <w:t xml:space="preserve">214, </w:t>
      </w:r>
      <w:r w:rsidRPr="0019242C">
        <w:t>254,</w:t>
      </w:r>
      <w:r>
        <w:t xml:space="preserve"> 405,</w:t>
      </w:r>
      <w:r w:rsidRPr="0019242C">
        <w:t xml:space="preserve"> and sections 0.91, </w:t>
      </w:r>
      <w:r>
        <w:t>0.271,</w:t>
      </w:r>
      <w:r w:rsidRPr="0019242C">
        <w:t xml:space="preserve"> 0.291,</w:t>
      </w:r>
      <w:r>
        <w:t xml:space="preserve"> 1.106 </w:t>
      </w:r>
      <w:r w:rsidRPr="0019242C">
        <w:t xml:space="preserve">and 1.3 of the Commission’s rules, 47 CFR §§ 0.91, </w:t>
      </w:r>
      <w:r>
        <w:t xml:space="preserve">0.271, </w:t>
      </w:r>
      <w:r w:rsidRPr="0019242C">
        <w:t>0.291,</w:t>
      </w:r>
      <w:r>
        <w:t xml:space="preserve"> 1.106, </w:t>
      </w:r>
      <w:r w:rsidRPr="0019242C">
        <w:t>1.3, that this Order IS ADOPTED.</w:t>
      </w:r>
    </w:p>
    <w:p w:rsidR="000A36D5" w:rsidRPr="00E20700" w:rsidP="000A36D5" w14:paraId="058A1AAD" w14:textId="77777777">
      <w:pPr>
        <w:pStyle w:val="ParaNum"/>
      </w:pPr>
      <w:r w:rsidRPr="00E20700">
        <w:t xml:space="preserve">IT IS FURTHER ORDERED that the petition for </w:t>
      </w:r>
      <w:r>
        <w:t xml:space="preserve">reconsideration of the deadline for providing documentation of </w:t>
      </w:r>
      <w:r>
        <w:t>ETC</w:t>
      </w:r>
      <w:r>
        <w:t xml:space="preserve"> designation for Auction 904 </w:t>
      </w:r>
      <w:r w:rsidRPr="00E20700">
        <w:t xml:space="preserve">filed by </w:t>
      </w:r>
      <w:r>
        <w:t>Etheric Communications LLC IS</w:t>
      </w:r>
      <w:r w:rsidRPr="00E20700">
        <w:t xml:space="preserve"> </w:t>
      </w:r>
      <w:r>
        <w:t xml:space="preserve">DENIED </w:t>
      </w:r>
      <w:r w:rsidRPr="00E20700">
        <w:t>as described herein.</w:t>
      </w:r>
    </w:p>
    <w:p w:rsidR="000A36D5" w:rsidP="000A36D5" w14:paraId="66C9FF9C" w14:textId="1F652978">
      <w:pPr>
        <w:pStyle w:val="ParaNum"/>
      </w:pPr>
      <w:r w:rsidRPr="0019242C">
        <w:t>IT IS FURTHER ORDERED that, pursuant to section 1.102(b)(1) of the Commission’s rules, 47 CFR § 1.102(b)(1), this Order SHALL BE EFFECTIVE upon release.</w:t>
      </w:r>
    </w:p>
    <w:p w:rsidR="000A36D5" w:rsidP="000A36D5" w14:paraId="16F44D66" w14:textId="77777777">
      <w:pPr>
        <w:pStyle w:val="ParaNum"/>
        <w:numPr>
          <w:ilvl w:val="0"/>
          <w:numId w:val="0"/>
        </w:numPr>
      </w:pPr>
    </w:p>
    <w:p w:rsidR="000A36D5" w:rsidP="000A36D5" w14:paraId="4DE631E7" w14:textId="77777777">
      <w:pPr>
        <w:pStyle w:val="ParaNum"/>
        <w:numPr>
          <w:ilvl w:val="0"/>
          <w:numId w:val="0"/>
        </w:numPr>
      </w:pPr>
    </w:p>
    <w:p w:rsidR="000A36D5" w:rsidP="0017296B" w14:paraId="1E967B3A" w14:textId="77777777">
      <w:r>
        <w:tab/>
      </w:r>
      <w:r>
        <w:tab/>
      </w:r>
      <w:r>
        <w:tab/>
      </w:r>
      <w:r>
        <w:tab/>
      </w:r>
      <w:r>
        <w:tab/>
      </w:r>
      <w:r>
        <w:tab/>
        <w:t>FEDERAL COMMUNICATIONS COMMISSION</w:t>
      </w:r>
    </w:p>
    <w:p w:rsidR="000A36D5" w:rsidP="0017296B" w14:paraId="0E021A4B" w14:textId="77777777"/>
    <w:p w:rsidR="000A36D5" w:rsidP="0017296B" w14:paraId="01B767E5" w14:textId="77777777"/>
    <w:p w:rsidR="000A36D5" w:rsidP="0017296B" w14:paraId="74197BF4" w14:textId="77777777"/>
    <w:p w:rsidR="000A36D5" w:rsidP="0017296B" w14:paraId="10B52F97" w14:textId="77777777"/>
    <w:p w:rsidR="000A36D5" w:rsidP="0017296B" w14:paraId="11EF6649" w14:textId="53E5D230">
      <w:r>
        <w:tab/>
      </w:r>
      <w:r>
        <w:tab/>
      </w:r>
      <w:r>
        <w:tab/>
      </w:r>
      <w:r>
        <w:tab/>
      </w:r>
      <w:r>
        <w:tab/>
      </w:r>
      <w:r>
        <w:tab/>
        <w:t>Trent B. Harkrader</w:t>
      </w:r>
    </w:p>
    <w:p w:rsidR="000A36D5" w:rsidP="0017296B" w14:paraId="2833BB5D" w14:textId="268395C2">
      <w:r>
        <w:tab/>
      </w:r>
      <w:r>
        <w:tab/>
      </w:r>
      <w:r>
        <w:tab/>
      </w:r>
      <w:r>
        <w:tab/>
      </w:r>
      <w:r>
        <w:tab/>
      </w:r>
      <w:r>
        <w:tab/>
        <w:t>Chief</w:t>
      </w:r>
    </w:p>
    <w:p w:rsidR="000A36D5" w:rsidP="0017296B" w14:paraId="1FDF2D5C" w14:textId="361AFE08">
      <w:r>
        <w:tab/>
      </w:r>
      <w:r>
        <w:tab/>
      </w:r>
      <w:r>
        <w:tab/>
      </w:r>
      <w:r>
        <w:tab/>
      </w:r>
      <w:r>
        <w:tab/>
      </w:r>
      <w:r>
        <w:tab/>
      </w:r>
      <w: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5913C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65884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8751A2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067DE1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3622" w14:paraId="26215C4E" w14:textId="77777777">
      <w:r>
        <w:separator/>
      </w:r>
    </w:p>
  </w:footnote>
  <w:footnote w:type="continuationSeparator" w:id="1">
    <w:p w:rsidR="00B23622" w:rsidP="00C721AC" w14:paraId="4B3DFD8A" w14:textId="77777777">
      <w:pPr>
        <w:spacing w:before="120"/>
        <w:rPr>
          <w:sz w:val="20"/>
        </w:rPr>
      </w:pPr>
      <w:r>
        <w:rPr>
          <w:sz w:val="20"/>
        </w:rPr>
        <w:t xml:space="preserve">(Continued from previous page)  </w:t>
      </w:r>
      <w:r>
        <w:rPr>
          <w:sz w:val="20"/>
        </w:rPr>
        <w:separator/>
      </w:r>
    </w:p>
  </w:footnote>
  <w:footnote w:type="continuationNotice" w:id="2">
    <w:p w:rsidR="00B23622" w:rsidP="00C721AC" w14:paraId="0A2C9A27" w14:textId="77777777">
      <w:pPr>
        <w:jc w:val="right"/>
        <w:rPr>
          <w:sz w:val="20"/>
        </w:rPr>
      </w:pPr>
      <w:r>
        <w:rPr>
          <w:sz w:val="20"/>
        </w:rPr>
        <w:t>(continued….)</w:t>
      </w:r>
    </w:p>
  </w:footnote>
  <w:footnote w:id="3">
    <w:p w:rsidR="000A36D5" w:rsidRPr="009150E6" w:rsidP="000A36D5" w14:paraId="05006901" w14:textId="77777777">
      <w:pPr>
        <w:pStyle w:val="FootnoteText"/>
      </w:pPr>
      <w:r w:rsidRPr="009150E6">
        <w:rPr>
          <w:rStyle w:val="FootnoteReference"/>
        </w:rPr>
        <w:footnoteRef/>
      </w:r>
      <w:r w:rsidRPr="009150E6">
        <w:t xml:space="preserve"> </w:t>
      </w:r>
      <w:r w:rsidRPr="009150E6">
        <w:rPr>
          <w:i/>
          <w:iCs/>
        </w:rPr>
        <w:t xml:space="preserve">See </w:t>
      </w:r>
      <w:r>
        <w:t>Etheric Communications LLC, Petition for Reconsideration, AU Docket No. 20-34 et al. (filed Feb. 13, 2023) (Etheric Petition for Reconsideration).</w:t>
      </w:r>
      <w:r w:rsidRPr="009150E6">
        <w:t xml:space="preserve"> </w:t>
      </w:r>
    </w:p>
  </w:footnote>
  <w:footnote w:id="4">
    <w:p w:rsidR="000A36D5" w:rsidRPr="0093688D" w:rsidP="000A36D5" w14:paraId="7BC905E1" w14:textId="77777777">
      <w:pPr>
        <w:widowControl/>
        <w:autoSpaceDE w:val="0"/>
        <w:autoSpaceDN w:val="0"/>
        <w:adjustRightInd w:val="0"/>
        <w:spacing w:after="120"/>
      </w:pPr>
      <w:r w:rsidRPr="009150E6">
        <w:rPr>
          <w:rStyle w:val="FootnoteReference"/>
        </w:rPr>
        <w:footnoteRef/>
      </w:r>
      <w:r w:rsidRPr="009150E6">
        <w:t xml:space="preserve"> </w:t>
      </w:r>
      <w:r>
        <w:rPr>
          <w:i/>
          <w:iCs/>
          <w:sz w:val="20"/>
        </w:rPr>
        <w:t xml:space="preserve">Rural Digital Opportunity Fund Support Authorized for 1,764 Winning Bids; Etheric Communications LLC’s Petition for Waiver of the June 7, 2021 Eligible Telecommunications Carrier Documentation Deadline Denied, </w:t>
      </w:r>
      <w:r>
        <w:rPr>
          <w:sz w:val="20"/>
        </w:rPr>
        <w:t>AU Docket No. 20-34 et al., Public Notice, DA 23-33 at 1-2 &amp; n.1 (WCB Jan. 13, 2023) (</w:t>
      </w:r>
      <w:r w:rsidRPr="00F32907">
        <w:rPr>
          <w:i/>
          <w:iCs/>
          <w:sz w:val="20"/>
        </w:rPr>
        <w:t>Etheric</w:t>
      </w:r>
      <w:r>
        <w:rPr>
          <w:i/>
          <w:iCs/>
          <w:sz w:val="20"/>
        </w:rPr>
        <w:t xml:space="preserve"> Dismissal and</w:t>
      </w:r>
      <w:r w:rsidRPr="00F32907">
        <w:rPr>
          <w:i/>
          <w:iCs/>
          <w:sz w:val="20"/>
        </w:rPr>
        <w:t xml:space="preserve"> Denial Public Notice</w:t>
      </w:r>
      <w:r>
        <w:rPr>
          <w:sz w:val="20"/>
        </w:rPr>
        <w:t xml:space="preserve">). </w:t>
      </w:r>
    </w:p>
  </w:footnote>
  <w:footnote w:id="5">
    <w:p w:rsidR="000A36D5" w:rsidRPr="009150E6" w:rsidP="000A36D5" w14:paraId="69F3839E" w14:textId="77777777">
      <w:pPr>
        <w:pStyle w:val="FootnoteText"/>
        <w:tabs>
          <w:tab w:val="left" w:pos="2760"/>
        </w:tabs>
        <w:rPr>
          <w:i/>
          <w:iCs/>
        </w:rPr>
      </w:pPr>
      <w:r w:rsidRPr="009150E6">
        <w:rPr>
          <w:rStyle w:val="FootnoteReference"/>
        </w:rPr>
        <w:footnoteRef/>
      </w:r>
      <w:r w:rsidRPr="009150E6">
        <w:rPr>
          <w:i/>
          <w:iCs/>
        </w:rPr>
        <w:t xml:space="preserve"> Connect America Fund</w:t>
      </w:r>
      <w:r w:rsidRPr="009150E6">
        <w:t>, Report and Order,</w:t>
      </w:r>
      <w:r>
        <w:t xml:space="preserve"> WC Docket No. 19-126 et al.,</w:t>
      </w:r>
      <w:r w:rsidRPr="009150E6">
        <w:t xml:space="preserve"> 35 FCC </w:t>
      </w:r>
      <w:r w:rsidRPr="009150E6">
        <w:t>Rcd</w:t>
      </w:r>
      <w:r w:rsidRPr="009150E6">
        <w:t xml:space="preserve"> 686, 727-28, para. 92. (2020) (</w:t>
      </w:r>
      <w:r w:rsidRPr="009150E6">
        <w:rPr>
          <w:i/>
          <w:iCs/>
        </w:rPr>
        <w:t>Rural Digital Opportunity Fund Order</w:t>
      </w:r>
      <w:r w:rsidRPr="009150E6">
        <w:t xml:space="preserve">); </w:t>
      </w:r>
      <w:r w:rsidRPr="009150E6">
        <w:rPr>
          <w:i/>
          <w:iCs/>
        </w:rPr>
        <w:t>see also</w:t>
      </w:r>
      <w:r w:rsidRPr="009150E6">
        <w:t xml:space="preserve"> </w:t>
      </w:r>
      <w:r w:rsidRPr="009150E6">
        <w:rPr>
          <w:i/>
          <w:iCs/>
        </w:rPr>
        <w:t>Rural Digital Opportunity Fund Phase I Auction (Auction 904) Closes, Winning Bidders Announced, FCC Form 683 Due January 29, 2021</w:t>
      </w:r>
      <w:r w:rsidRPr="009150E6">
        <w:t xml:space="preserve">, Public Notice, 35 FCC </w:t>
      </w:r>
      <w:r w:rsidRPr="009150E6">
        <w:t>Rcd</w:t>
      </w:r>
      <w:r w:rsidRPr="009150E6">
        <w:t xml:space="preserve"> 13888</w:t>
      </w:r>
      <w:r>
        <w:t>, 13894, para. 17</w:t>
      </w:r>
      <w:r w:rsidRPr="009150E6">
        <w:t xml:space="preserve"> (2020) (</w:t>
      </w:r>
      <w:r w:rsidRPr="009150E6">
        <w:rPr>
          <w:i/>
          <w:iCs/>
        </w:rPr>
        <w:t xml:space="preserve">Auction 904 Closing </w:t>
      </w:r>
      <w:r w:rsidRPr="009150E6">
        <w:rPr>
          <w:i/>
          <w:iCs/>
        </w:rPr>
        <w:t>PN</w:t>
      </w:r>
      <w:r w:rsidRPr="009150E6">
        <w:rPr>
          <w:i/>
          <w:iCs/>
        </w:rPr>
        <w:t>).</w:t>
      </w:r>
    </w:p>
  </w:footnote>
  <w:footnote w:id="6">
    <w:p w:rsidR="000A36D5" w:rsidRPr="009150E6" w:rsidP="000A36D5" w14:paraId="3E0D4068" w14:textId="77777777">
      <w:pPr>
        <w:pStyle w:val="FootnoteText"/>
      </w:pPr>
      <w:r w:rsidRPr="009150E6">
        <w:rPr>
          <w:rStyle w:val="FootnoteReference"/>
        </w:rPr>
        <w:footnoteRef/>
      </w:r>
      <w:r w:rsidRPr="009150E6">
        <w:t xml:space="preserve"> </w:t>
      </w:r>
      <w:r w:rsidRPr="009150E6">
        <w:rPr>
          <w:i/>
          <w:iCs/>
        </w:rPr>
        <w:t>See</w:t>
      </w:r>
      <w:r w:rsidRPr="009150E6">
        <w:t xml:space="preserve"> </w:t>
      </w:r>
      <w:r w:rsidRPr="009150E6">
        <w:rPr>
          <w:i/>
          <w:iCs/>
        </w:rPr>
        <w:t>Rural Digital Opportunity Fund Order</w:t>
      </w:r>
      <w:r w:rsidRPr="009150E6">
        <w:t xml:space="preserve">, 35 FCC </w:t>
      </w:r>
      <w:r w:rsidRPr="009150E6">
        <w:t>Rcd</w:t>
      </w:r>
      <w:r w:rsidRPr="009150E6">
        <w:t xml:space="preserve"> at 723, </w:t>
      </w:r>
      <w:r>
        <w:t xml:space="preserve">para. 81 </w:t>
      </w:r>
      <w:r w:rsidRPr="009150E6">
        <w:t xml:space="preserve">n.230.  </w:t>
      </w:r>
    </w:p>
  </w:footnote>
  <w:footnote w:id="7">
    <w:p w:rsidR="000A36D5" w:rsidRPr="009150E6" w:rsidP="000A36D5" w14:paraId="1D6CA0DD" w14:textId="77777777">
      <w:pPr>
        <w:pStyle w:val="FootnoteText"/>
      </w:pPr>
      <w:r w:rsidRPr="009150E6">
        <w:rPr>
          <w:rStyle w:val="FootnoteReference"/>
        </w:rPr>
        <w:footnoteRef/>
      </w:r>
      <w:r w:rsidRPr="009150E6">
        <w:t xml:space="preserve"> </w:t>
      </w:r>
      <w:r w:rsidRPr="009150E6">
        <w:rPr>
          <w:i/>
          <w:iCs/>
        </w:rPr>
        <w:t>Id.</w:t>
      </w:r>
      <w:r w:rsidRPr="009150E6">
        <w:t xml:space="preserve"> at 723, para. 81.  As this public notice was released on December 7, 2020, applicants had until January 6, 2021 to avail themselves of this “good faith” presumption.  </w:t>
      </w:r>
      <w:r w:rsidRPr="009150E6">
        <w:rPr>
          <w:i/>
          <w:iCs/>
        </w:rPr>
        <w:t>See</w:t>
      </w:r>
      <w:r w:rsidRPr="009150E6">
        <w:t xml:space="preserve"> </w:t>
      </w:r>
      <w:r w:rsidRPr="009150E6">
        <w:rPr>
          <w:i/>
          <w:iCs/>
        </w:rPr>
        <w:t xml:space="preserve">Auction 904 Closing </w:t>
      </w:r>
      <w:r w:rsidRPr="009150E6">
        <w:rPr>
          <w:i/>
          <w:iCs/>
        </w:rPr>
        <w:t>PN</w:t>
      </w:r>
      <w:r w:rsidRPr="009150E6">
        <w:rPr>
          <w:i/>
          <w:iCs/>
        </w:rPr>
        <w:t>.</w:t>
      </w:r>
    </w:p>
  </w:footnote>
  <w:footnote w:id="8">
    <w:p w:rsidR="000A36D5" w:rsidRPr="009150E6" w:rsidP="000A36D5" w14:paraId="6B63F1E9" w14:textId="77777777">
      <w:pPr>
        <w:pStyle w:val="FootnoteText"/>
      </w:pPr>
      <w:r w:rsidRPr="009150E6">
        <w:rPr>
          <w:rStyle w:val="FootnoteReference"/>
        </w:rPr>
        <w:footnoteRef/>
      </w:r>
      <w:r w:rsidRPr="009150E6">
        <w:t xml:space="preserve"> </w:t>
      </w:r>
      <w:r>
        <w:t xml:space="preserve">Application of Etheric Communications, LLC for a Certificate of Convenience and Necessity to Provide Full Facilities-Based and Resold Competitive Local Exchange and Non-Dominant Interexchange Service and Designation as an Eligible Telecommunications Carrier in California, Application 21-01-002 (filed Jan. 5, 2021); </w:t>
      </w:r>
      <w:r w:rsidRPr="00554F13">
        <w:t>Etheric Communications, LLC Petition for Waiver of Section 54.804(b)(3) of the Commission’s Rules, AU Docket No. 20-34 et al.</w:t>
      </w:r>
      <w:r>
        <w:t>, at 3</w:t>
      </w:r>
      <w:r w:rsidRPr="00554F13">
        <w:t xml:space="preserve"> (filed May 12, 2021) (Etheric </w:t>
      </w:r>
      <w:r w:rsidRPr="00554F13">
        <w:t>ETC</w:t>
      </w:r>
      <w:r w:rsidRPr="00554F13">
        <w:t xml:space="preserve"> </w:t>
      </w:r>
      <w:r>
        <w:t xml:space="preserve">Waiver </w:t>
      </w:r>
      <w:r w:rsidRPr="00554F13">
        <w:t xml:space="preserve">Petition).  We note that despite </w:t>
      </w:r>
      <w:r w:rsidRPr="00554F13">
        <w:t>Etheric’s</w:t>
      </w:r>
      <w:r w:rsidRPr="00554F13">
        <w:t xml:space="preserve"> reference to </w:t>
      </w:r>
      <w:r>
        <w:t xml:space="preserve">section </w:t>
      </w:r>
      <w:r w:rsidRPr="00554F13">
        <w:t>54.804(b)(3)</w:t>
      </w:r>
      <w:r>
        <w:t xml:space="preserve"> of the Commission’s rules</w:t>
      </w:r>
      <w:r w:rsidRPr="00554F13">
        <w:t xml:space="preserve"> (letter of credit commitment letter) in its request, </w:t>
      </w:r>
      <w:r>
        <w:t>Etheric acknowledged in its Petition for Reconsideration that the caption should be corrected to</w:t>
      </w:r>
      <w:r w:rsidRPr="00554F13">
        <w:t xml:space="preserve"> </w:t>
      </w:r>
      <w:r>
        <w:t xml:space="preserve">seek </w:t>
      </w:r>
      <w:r w:rsidRPr="00554F13">
        <w:t xml:space="preserve">waiver of </w:t>
      </w:r>
      <w:r>
        <w:t xml:space="preserve">section </w:t>
      </w:r>
      <w:r w:rsidRPr="00554F13">
        <w:t xml:space="preserve">54.804(b)(5) regarding the </w:t>
      </w:r>
      <w:r w:rsidRPr="00554F13">
        <w:t>ETC</w:t>
      </w:r>
      <w:r w:rsidRPr="00554F13">
        <w:t xml:space="preserve"> designation deadline.  </w:t>
      </w:r>
      <w:r>
        <w:t>Etheric Petition for Reconsideration at 1.n.4.</w:t>
      </w:r>
    </w:p>
  </w:footnote>
  <w:footnote w:id="9">
    <w:p w:rsidR="000A36D5" w:rsidP="000A36D5" w14:paraId="74445740" w14:textId="77777777">
      <w:pPr>
        <w:pStyle w:val="FootnoteText"/>
      </w:pPr>
      <w:r>
        <w:rPr>
          <w:rStyle w:val="FootnoteReference"/>
        </w:rPr>
        <w:footnoteRef/>
      </w:r>
      <w:r>
        <w:t xml:space="preserve"> </w:t>
      </w:r>
      <w:r w:rsidRPr="00554F13">
        <w:t>California Public Utilities Commission, Application of Etheric Communications, L</w:t>
      </w:r>
      <w:r>
        <w:t>L</w:t>
      </w:r>
      <w:r w:rsidRPr="00554F13">
        <w:t>C for a Certificate of Public Convenience and Necessity to Provide Full Facilities-Based and Resold Competitive Local Exchange and Non-Dominant Interexchange Service and Designation as an Eligible Telecommunications Carrier in California, Application 21-01-002, Decision Granting Etheric a Certificate of Public Convenience and Necessity in Order to Provide Full Facilities-Based and Resold Competitive Local Exchange Services and Resold Interexchange Services but Denying Designation as an Eligible Telecommunications Carrier, Decision 22-12-026 (Dec. 15, 2022)</w:t>
      </w:r>
      <w:r>
        <w:t xml:space="preserve"> (</w:t>
      </w:r>
      <w:r w:rsidRPr="004B33CE">
        <w:rPr>
          <w:i/>
          <w:iCs/>
        </w:rPr>
        <w:t>CPUC Denial Order</w:t>
      </w:r>
      <w:r>
        <w:t>)</w:t>
      </w:r>
      <w:r w:rsidRPr="00554F13">
        <w:t xml:space="preserve">.  </w:t>
      </w:r>
    </w:p>
  </w:footnote>
  <w:footnote w:id="10">
    <w:p w:rsidR="000A36D5" w:rsidP="000A36D5" w14:paraId="7CD429C2" w14:textId="77777777">
      <w:pPr>
        <w:pStyle w:val="FootnoteText"/>
      </w:pPr>
      <w:r>
        <w:rPr>
          <w:rStyle w:val="FootnoteReference"/>
        </w:rPr>
        <w:footnoteRef/>
      </w:r>
      <w:r>
        <w:t xml:space="preserve"> </w:t>
      </w:r>
      <w:r w:rsidRPr="00554F13">
        <w:rPr>
          <w:i/>
          <w:iCs/>
        </w:rPr>
        <w:t xml:space="preserve">See </w:t>
      </w:r>
      <w:r w:rsidRPr="00554F13">
        <w:t>Letter from Stephen E. Coran, Counsel to Etheric Communications LLC, to Marlene H. Dortch, Secretary, FCC, AU Docket No. 20-34 et al. (filed Dec. 21, 2022)</w:t>
      </w:r>
      <w:r>
        <w:t xml:space="preserve"> (Etheric Dec. 21, 2022 </w:t>
      </w:r>
      <w:r w:rsidRPr="00A839BC">
        <w:rPr>
          <w:i/>
          <w:iCs/>
        </w:rPr>
        <w:t xml:space="preserve">Ex </w:t>
      </w:r>
      <w:r w:rsidRPr="00A839BC">
        <w:rPr>
          <w:i/>
          <w:iCs/>
        </w:rPr>
        <w:t>Parte</w:t>
      </w:r>
      <w:r>
        <w:t>).</w:t>
      </w:r>
    </w:p>
  </w:footnote>
  <w:footnote w:id="11">
    <w:p w:rsidR="000A36D5" w:rsidRPr="005F50AE" w:rsidP="000A36D5" w14:paraId="7252ECE3" w14:textId="77777777">
      <w:pPr>
        <w:pStyle w:val="FootnoteText"/>
      </w:pPr>
      <w:r>
        <w:rPr>
          <w:rStyle w:val="FootnoteReference"/>
        </w:rPr>
        <w:footnoteRef/>
      </w:r>
      <w:r>
        <w:t xml:space="preserve"> </w:t>
      </w:r>
      <w:r w:rsidRPr="00F32907">
        <w:rPr>
          <w:i/>
          <w:iCs/>
        </w:rPr>
        <w:t>Etheric</w:t>
      </w:r>
      <w:r>
        <w:rPr>
          <w:i/>
          <w:iCs/>
        </w:rPr>
        <w:t xml:space="preserve"> Dismissal and</w:t>
      </w:r>
      <w:r w:rsidRPr="00F32907">
        <w:rPr>
          <w:i/>
          <w:iCs/>
        </w:rPr>
        <w:t xml:space="preserve"> Denial Public Notice</w:t>
      </w:r>
      <w:r>
        <w:rPr>
          <w:i/>
          <w:iCs/>
        </w:rPr>
        <w:t xml:space="preserve"> </w:t>
      </w:r>
      <w:r>
        <w:t>at 1 n.1.</w:t>
      </w:r>
    </w:p>
  </w:footnote>
  <w:footnote w:id="12">
    <w:p w:rsidR="000A36D5" w:rsidRPr="006218B7" w:rsidP="000A36D5" w14:paraId="7256B294" w14:textId="77777777">
      <w:pPr>
        <w:pStyle w:val="FootnoteText"/>
      </w:pPr>
      <w:r>
        <w:rPr>
          <w:rStyle w:val="FootnoteReference"/>
        </w:rPr>
        <w:footnoteRef/>
      </w:r>
      <w:r>
        <w:t xml:space="preserve"> </w:t>
      </w:r>
      <w:r>
        <w:rPr>
          <w:i/>
          <w:iCs/>
        </w:rPr>
        <w:t>Id.</w:t>
      </w:r>
      <w:r>
        <w:t xml:space="preserve"> at 1-2 n.1 (explaining that “[b]y denying </w:t>
      </w:r>
      <w:r>
        <w:t>Etheric’s</w:t>
      </w:r>
      <w:r>
        <w:t xml:space="preserve"> petition, [the Bureau] open[s] the relevant areas covered by </w:t>
      </w:r>
      <w:r>
        <w:t>Etheric’s</w:t>
      </w:r>
      <w:r>
        <w:t xml:space="preserve"> Auction 904 winning bids up to eligibility for future funding programs to the extent they remain unserved, rather than </w:t>
      </w:r>
      <w:r w:rsidRPr="00554F13">
        <w:t xml:space="preserve">tying up these areas for an indefinite period of time with no indication that Etheric will ultimately obtain an </w:t>
      </w:r>
      <w:r w:rsidRPr="00554F13">
        <w:t>ETC</w:t>
      </w:r>
      <w:r w:rsidRPr="00554F13">
        <w:t xml:space="preserve"> designation from California</w:t>
      </w:r>
      <w:r>
        <w:t>”).</w:t>
      </w:r>
    </w:p>
  </w:footnote>
  <w:footnote w:id="13">
    <w:p w:rsidR="000A36D5" w:rsidRPr="009150E6" w:rsidP="000A36D5" w14:paraId="030DCA2F" w14:textId="77777777">
      <w:pPr>
        <w:pStyle w:val="FootnoteText"/>
      </w:pPr>
      <w:r w:rsidRPr="009150E6">
        <w:rPr>
          <w:rStyle w:val="FootnoteReference"/>
        </w:rPr>
        <w:footnoteRef/>
      </w:r>
      <w:r w:rsidRPr="009150E6">
        <w:t xml:space="preserve"> </w:t>
      </w:r>
      <w:r w:rsidRPr="009150E6">
        <w:rPr>
          <w:i/>
          <w:iCs/>
        </w:rPr>
        <w:t>See</w:t>
      </w:r>
      <w:r w:rsidRPr="009150E6">
        <w:t xml:space="preserve"> </w:t>
      </w:r>
      <w:r w:rsidRPr="009150E6">
        <w:rPr>
          <w:i/>
          <w:iCs/>
        </w:rPr>
        <w:t>generally</w:t>
      </w:r>
      <w:r w:rsidRPr="009150E6">
        <w:t xml:space="preserve"> </w:t>
      </w:r>
      <w:r>
        <w:t>Etheric Petition for Reconsideration.</w:t>
      </w:r>
    </w:p>
  </w:footnote>
  <w:footnote w:id="14">
    <w:p w:rsidR="000A36D5" w:rsidRPr="009150E6" w:rsidP="000A36D5" w14:paraId="43122EA3" w14:textId="77777777">
      <w:pPr>
        <w:pStyle w:val="FootnoteText"/>
      </w:pPr>
      <w:r w:rsidRPr="009150E6">
        <w:rPr>
          <w:rStyle w:val="FootnoteReference"/>
        </w:rPr>
        <w:footnoteRef/>
      </w:r>
      <w:r w:rsidRPr="009150E6">
        <w:t xml:space="preserve"> </w:t>
      </w:r>
      <w:r w:rsidRPr="00CA2A93">
        <w:rPr>
          <w:i/>
          <w:iCs/>
        </w:rPr>
        <w:t>Id.</w:t>
      </w:r>
      <w:r>
        <w:t xml:space="preserve"> at 3</w:t>
      </w:r>
      <w:r w:rsidRPr="009150E6">
        <w:t>.</w:t>
      </w:r>
    </w:p>
  </w:footnote>
  <w:footnote w:id="15">
    <w:p w:rsidR="000A36D5" w:rsidP="000A36D5" w14:paraId="2B93FA96" w14:textId="77777777">
      <w:pPr>
        <w:pStyle w:val="FootnoteText"/>
      </w:pPr>
      <w:r>
        <w:rPr>
          <w:rStyle w:val="FootnoteReference"/>
        </w:rPr>
        <w:footnoteRef/>
      </w:r>
      <w:r>
        <w:t xml:space="preserve"> </w:t>
      </w:r>
      <w:r w:rsidRPr="008D3FC5">
        <w:rPr>
          <w:i/>
          <w:iCs/>
        </w:rPr>
        <w:t>Id.</w:t>
      </w:r>
      <w:r>
        <w:t xml:space="preserve"> at 4-8.</w:t>
      </w:r>
    </w:p>
  </w:footnote>
  <w:footnote w:id="16">
    <w:p w:rsidR="000A36D5" w:rsidP="000A36D5" w14:paraId="67010F07" w14:textId="77777777">
      <w:pPr>
        <w:pStyle w:val="FootnoteText"/>
      </w:pPr>
      <w:r>
        <w:rPr>
          <w:rStyle w:val="FootnoteReference"/>
        </w:rPr>
        <w:footnoteRef/>
      </w:r>
      <w:r>
        <w:t xml:space="preserve"> </w:t>
      </w:r>
      <w:r w:rsidRPr="00DA0EB2">
        <w:rPr>
          <w:i/>
          <w:iCs/>
        </w:rPr>
        <w:t xml:space="preserve">Id. </w:t>
      </w:r>
      <w:r>
        <w:t>at 8-9.</w:t>
      </w:r>
    </w:p>
  </w:footnote>
  <w:footnote w:id="17">
    <w:p w:rsidR="000A36D5" w:rsidP="000A36D5" w14:paraId="2EAA64C6" w14:textId="77777777">
      <w:pPr>
        <w:pStyle w:val="FootnoteText"/>
      </w:pPr>
      <w:r>
        <w:rPr>
          <w:rStyle w:val="FootnoteReference"/>
        </w:rPr>
        <w:footnoteRef/>
      </w:r>
      <w:r>
        <w:t xml:space="preserve"> </w:t>
      </w:r>
      <w:r w:rsidRPr="00DA0EB2">
        <w:rPr>
          <w:i/>
          <w:iCs/>
        </w:rPr>
        <w:t>Id.</w:t>
      </w:r>
      <w:r>
        <w:t xml:space="preserve"> at 9-10.</w:t>
      </w:r>
    </w:p>
  </w:footnote>
  <w:footnote w:id="18">
    <w:p w:rsidR="000A36D5" w:rsidRPr="009150E6" w:rsidP="000A36D5" w14:paraId="59E8C29D" w14:textId="77777777">
      <w:pPr>
        <w:pStyle w:val="FootnoteText"/>
      </w:pPr>
      <w:r w:rsidRPr="009150E6">
        <w:rPr>
          <w:rStyle w:val="FootnoteReference"/>
        </w:rPr>
        <w:footnoteRef/>
      </w:r>
      <w:r w:rsidRPr="009150E6">
        <w:t xml:space="preserve"> 47 CFR § 1.3.</w:t>
      </w:r>
    </w:p>
  </w:footnote>
  <w:footnote w:id="19">
    <w:p w:rsidR="000A36D5" w:rsidRPr="009150E6" w:rsidP="000A36D5" w14:paraId="517EF433" w14:textId="77777777">
      <w:pPr>
        <w:pStyle w:val="FootnoteText"/>
      </w:pPr>
      <w:r w:rsidRPr="009150E6">
        <w:rPr>
          <w:rStyle w:val="FootnoteReference"/>
        </w:rPr>
        <w:footnoteRef/>
      </w:r>
      <w:r w:rsidRPr="009150E6">
        <w:t xml:space="preserve"> </w:t>
      </w:r>
      <w:r w:rsidRPr="009150E6">
        <w:rPr>
          <w:i/>
        </w:rPr>
        <w:t>See Northeast Cellular Tel. Co. v. FCC</w:t>
      </w:r>
      <w:r w:rsidRPr="009150E6">
        <w:t xml:space="preserve">, 897 F.2d 1164, 1166 (D.C. Cir. 1990) (citing </w:t>
      </w:r>
      <w:r w:rsidRPr="009150E6">
        <w:rPr>
          <w:i/>
        </w:rPr>
        <w:t>WAIT Radio v. FCC</w:t>
      </w:r>
      <w:r w:rsidRPr="009150E6">
        <w:t xml:space="preserve">, 418 F.2d 1153, 1157-59 (D.C. Cir. 1969), </w:t>
      </w:r>
      <w:r w:rsidRPr="009150E6">
        <w:rPr>
          <w:i/>
        </w:rPr>
        <w:t>cert. denied</w:t>
      </w:r>
      <w:r w:rsidRPr="009150E6">
        <w:t xml:space="preserve">, 93 </w:t>
      </w:r>
      <w:r w:rsidRPr="009150E6">
        <w:t>S.Ct</w:t>
      </w:r>
      <w:r w:rsidRPr="009150E6">
        <w:t>. 461 (1972)).</w:t>
      </w:r>
      <w:r w:rsidRPr="009150E6">
        <w:rPr>
          <w:i/>
        </w:rPr>
        <w:t xml:space="preserve"> </w:t>
      </w:r>
    </w:p>
  </w:footnote>
  <w:footnote w:id="20">
    <w:p w:rsidR="000A36D5" w:rsidP="000A36D5" w14:paraId="0E6B2957" w14:textId="77777777">
      <w:pPr>
        <w:pStyle w:val="FootnoteText"/>
      </w:pPr>
      <w:r>
        <w:rPr>
          <w:rStyle w:val="FootnoteReference"/>
        </w:rPr>
        <w:footnoteRef/>
      </w:r>
      <w:r>
        <w:t xml:space="preserve"> </w:t>
      </w:r>
      <w:r w:rsidRPr="00101B01">
        <w:rPr>
          <w:i/>
          <w:iCs/>
        </w:rPr>
        <w:t>See</w:t>
      </w:r>
      <w:r>
        <w:t xml:space="preserve"> 47 CFR </w:t>
      </w:r>
      <w:r w:rsidRPr="009150E6">
        <w:t>§</w:t>
      </w:r>
      <w:r>
        <w:t xml:space="preserve"> 1.106(c)(2).</w:t>
      </w:r>
    </w:p>
  </w:footnote>
  <w:footnote w:id="21">
    <w:p w:rsidR="000A36D5" w:rsidP="000A36D5" w14:paraId="401D95CB" w14:textId="77777777">
      <w:pPr>
        <w:pStyle w:val="FootnoteText"/>
      </w:pPr>
      <w:r>
        <w:rPr>
          <w:rStyle w:val="FootnoteReference"/>
        </w:rPr>
        <w:footnoteRef/>
      </w:r>
      <w:r>
        <w:t xml:space="preserve"> 47 CFR § 1.106 (b)(2), (c) (these include that “[t]he</w:t>
      </w:r>
      <w:r w:rsidRPr="00FF391B">
        <w:t xml:space="preserve"> petition relies on facts or arguments which relate to events which have occurred or circumstances which have changed since the last opportunity to present such matters to the Commission;</w:t>
      </w:r>
      <w:r>
        <w:t xml:space="preserve">” “[t] </w:t>
      </w:r>
      <w:r w:rsidRPr="00FF391B">
        <w:t>he petition relies on facts or arguments unknown to petitioner until after his last opportunity to present them to the Commission, and he could not through the exercise of ordinary diligence have learned of the facts or arguments in question prior to such opportunity</w:t>
      </w:r>
      <w:r>
        <w:t>;” or “[t]</w:t>
      </w:r>
      <w:r w:rsidRPr="00FF391B">
        <w:t>he Commission or the designated authority determines that consideration of the facts or arguments relied on is required in the public interest</w:t>
      </w:r>
      <w:r>
        <w:t xml:space="preserve">”). </w:t>
      </w:r>
    </w:p>
  </w:footnote>
  <w:footnote w:id="22">
    <w:p w:rsidR="000A36D5" w:rsidP="000A36D5" w14:paraId="4A086683" w14:textId="77777777">
      <w:pPr>
        <w:pStyle w:val="FootnoteText"/>
      </w:pPr>
      <w:r>
        <w:rPr>
          <w:rStyle w:val="FootnoteReference"/>
        </w:rPr>
        <w:footnoteRef/>
      </w:r>
      <w:r>
        <w:t xml:space="preserve"> Etheric Petition for Reconsideration at 3.</w:t>
      </w:r>
    </w:p>
  </w:footnote>
  <w:footnote w:id="23">
    <w:p w:rsidR="000A36D5" w:rsidP="000A36D5" w14:paraId="3F517A4B" w14:textId="77777777">
      <w:pPr>
        <w:pStyle w:val="FootnoteText"/>
      </w:pPr>
      <w:r>
        <w:rPr>
          <w:rStyle w:val="FootnoteReference"/>
        </w:rPr>
        <w:footnoteRef/>
      </w:r>
      <w:r>
        <w:t xml:space="preserve"> 47 U.S.C. § 214(e).</w:t>
      </w:r>
    </w:p>
  </w:footnote>
  <w:footnote w:id="24">
    <w:p w:rsidR="000A36D5" w:rsidRPr="00504530" w:rsidP="000A36D5" w14:paraId="33CD6CC2" w14:textId="77777777">
      <w:pPr>
        <w:pStyle w:val="FootnoteText"/>
        <w:rPr>
          <w:i/>
          <w:iCs/>
        </w:rPr>
      </w:pPr>
      <w:r>
        <w:rPr>
          <w:rStyle w:val="FootnoteReference"/>
        </w:rPr>
        <w:footnoteRef/>
      </w:r>
      <w:r>
        <w:t xml:space="preserve"> Etheric Petition for Reconsideration at 5 (quoting </w:t>
      </w:r>
      <w:r w:rsidRPr="00B73DEA">
        <w:rPr>
          <w:i/>
          <w:iCs/>
        </w:rPr>
        <w:t>Federal-State Joint Board on Universal Service</w:t>
      </w:r>
      <w:r w:rsidRPr="00B73DEA">
        <w:t xml:space="preserve">, </w:t>
      </w:r>
      <w:r>
        <w:t xml:space="preserve">CC Docket No. 96-45, Report and Order, </w:t>
      </w:r>
      <w:r w:rsidRPr="00B73DEA">
        <w:t xml:space="preserve">20 FCC </w:t>
      </w:r>
      <w:r w:rsidRPr="00B73DEA">
        <w:t>Rcd</w:t>
      </w:r>
      <w:r w:rsidRPr="00B73DEA">
        <w:t xml:space="preserve"> 6371, 6397-98</w:t>
      </w:r>
      <w:r>
        <w:t xml:space="preserve">, para. </w:t>
      </w:r>
      <w:r w:rsidRPr="00B73DEA">
        <w:t xml:space="preserve">61 (2005) </w:t>
      </w:r>
      <w:r>
        <w:t>(citation omitted)).</w:t>
      </w:r>
    </w:p>
  </w:footnote>
  <w:footnote w:id="25">
    <w:p w:rsidR="000A36D5" w:rsidP="000A36D5" w14:paraId="6AD21C53" w14:textId="77777777">
      <w:pPr>
        <w:pStyle w:val="FootnoteText"/>
      </w:pPr>
      <w:r>
        <w:rPr>
          <w:rStyle w:val="FootnoteReference"/>
        </w:rPr>
        <w:footnoteRef/>
      </w:r>
      <w:r>
        <w:t xml:space="preserve"> </w:t>
      </w:r>
      <w:r w:rsidRPr="009D3512">
        <w:t>CPUC Denial Order</w:t>
      </w:r>
      <w:r>
        <w:t xml:space="preserve"> at 2-4, 20-28, 30</w:t>
      </w:r>
      <w:r w:rsidRPr="009D3512">
        <w:t>.</w:t>
      </w:r>
    </w:p>
  </w:footnote>
  <w:footnote w:id="26">
    <w:p w:rsidR="000A36D5" w:rsidP="000A36D5" w14:paraId="199591CB" w14:textId="77777777">
      <w:pPr>
        <w:pStyle w:val="FootnoteText"/>
      </w:pPr>
      <w:r>
        <w:rPr>
          <w:rStyle w:val="FootnoteReference"/>
        </w:rPr>
        <w:footnoteRef/>
      </w:r>
      <w:r>
        <w:t xml:space="preserve"> </w:t>
      </w:r>
      <w:r w:rsidRPr="009D3512">
        <w:rPr>
          <w:i/>
          <w:iCs/>
        </w:rPr>
        <w:t>See</w:t>
      </w:r>
      <w:r>
        <w:t xml:space="preserve"> 20 Cal. Code. Regs. § 16.1(b) (</w:t>
      </w:r>
      <w:r w:rsidRPr="009D3512">
        <w:t xml:space="preserve">“Filing of an application for rehearing shall not excuse compliance with an order or a decision.”).  The decision of the CPUC was effective upon release.  CPUC Denial Order at </w:t>
      </w:r>
      <w:r w:rsidRPr="00423946">
        <w:t>42</w:t>
      </w:r>
      <w:r w:rsidRPr="009D3512">
        <w:t>.</w:t>
      </w:r>
    </w:p>
  </w:footnote>
  <w:footnote w:id="27">
    <w:p w:rsidR="000A36D5" w:rsidP="000A36D5" w14:paraId="1A06D31E" w14:textId="77777777">
      <w:pPr>
        <w:pStyle w:val="FootnoteText"/>
      </w:pPr>
      <w:r>
        <w:rPr>
          <w:rStyle w:val="FootnoteReference"/>
        </w:rPr>
        <w:footnoteRef/>
      </w:r>
      <w:r>
        <w:t xml:space="preserve"> Etheric Petition for Reconsideration at 4-9.  As a threshold matter, these are new arguments that were not raised on the record prior to the Bureau making its decision, which precludes us from granting the petition on these grounds absent the circumstances specified in section 1.106 of the Commission’s rules.  47 CFR § 1.106(c).  Although Etheric notified the Commission it was pursuing its options “to respond” to the CPUC’s decision, Etheric did not supplement its petition for waiver, nor did it raise the arguments on the record about the claimed deficiencies in the CPUC’s decision that Etheric now makes in its petition for reconsideration.  Etheric Dec. 21, 2022 </w:t>
      </w:r>
      <w:r w:rsidRPr="0015189D">
        <w:rPr>
          <w:i/>
          <w:iCs/>
        </w:rPr>
        <w:t xml:space="preserve">Ex </w:t>
      </w:r>
      <w:r w:rsidRPr="0015189D">
        <w:rPr>
          <w:i/>
          <w:iCs/>
        </w:rPr>
        <w:t>Parte</w:t>
      </w:r>
      <w:r>
        <w:t xml:space="preserve"> at 1.  Etheric does not claim that these arguments “relate to events which have occurred or circumstances which have changed since the last opportunity to present such matters to the Commission” or that these arguments were “unknown” to Etheric “until after [its] last opportunity to present them to the Commission”.  47 CFR § 1.106(b)(2), (c)(1).  Because the Bureau released its decision almost a month after the CPUC denied </w:t>
      </w:r>
      <w:r>
        <w:t>Etheric’s</w:t>
      </w:r>
      <w:r>
        <w:t xml:space="preserve"> </w:t>
      </w:r>
      <w:r>
        <w:t>ETC</w:t>
      </w:r>
      <w:r>
        <w:t xml:space="preserve"> petition, Etheric had ample time to supplement its waiver petition to include such arguments.  </w:t>
      </w:r>
      <w:r>
        <w:rPr>
          <w:i/>
          <w:iCs/>
        </w:rPr>
        <w:t xml:space="preserve">See </w:t>
      </w:r>
      <w:r w:rsidRPr="00F32907">
        <w:rPr>
          <w:i/>
          <w:iCs/>
        </w:rPr>
        <w:t>Etheric</w:t>
      </w:r>
      <w:r>
        <w:rPr>
          <w:i/>
          <w:iCs/>
        </w:rPr>
        <w:t xml:space="preserve"> Dismissal and</w:t>
      </w:r>
      <w:r w:rsidRPr="00F32907">
        <w:rPr>
          <w:i/>
          <w:iCs/>
        </w:rPr>
        <w:t xml:space="preserve"> Denial Public Notic</w:t>
      </w:r>
      <w:r>
        <w:rPr>
          <w:i/>
          <w:iCs/>
        </w:rPr>
        <w:t xml:space="preserve">e, </w:t>
      </w:r>
      <w:r>
        <w:t>at</w:t>
      </w:r>
      <w:r>
        <w:rPr>
          <w:i/>
          <w:iCs/>
        </w:rPr>
        <w:t xml:space="preserve"> </w:t>
      </w:r>
      <w:r>
        <w:t xml:space="preserve">1-2 &amp; n.1; </w:t>
      </w:r>
      <w:r w:rsidRPr="004B33CE">
        <w:rPr>
          <w:i/>
          <w:iCs/>
        </w:rPr>
        <w:t>CPUC Denial Order</w:t>
      </w:r>
      <w:r>
        <w:t>.  And for the reasons described herein, we are not persuaded that it would serve the public interest to consider these arguments.  47 CFR § 1.106(c)(2).</w:t>
      </w:r>
    </w:p>
  </w:footnote>
  <w:footnote w:id="28">
    <w:p w:rsidR="000A36D5" w:rsidP="000A36D5" w14:paraId="12DDEC7C" w14:textId="77777777">
      <w:pPr>
        <w:pStyle w:val="FootnoteText"/>
      </w:pPr>
      <w:r>
        <w:rPr>
          <w:rStyle w:val="FootnoteReference"/>
        </w:rPr>
        <w:footnoteRef/>
      </w:r>
      <w:r>
        <w:t xml:space="preserve"> </w:t>
      </w:r>
      <w:r w:rsidRPr="00600119">
        <w:rPr>
          <w:i/>
          <w:iCs/>
        </w:rPr>
        <w:t>See, e.g.</w:t>
      </w:r>
      <w:r>
        <w:t xml:space="preserve">, </w:t>
      </w:r>
      <w:r w:rsidRPr="00600119">
        <w:rPr>
          <w:i/>
          <w:iCs/>
        </w:rPr>
        <w:t>Federal-State Joint Board on Universal Service</w:t>
      </w:r>
      <w:r>
        <w:t xml:space="preserve">, CC Docket No. 96-45, Report and Order, 20 FCC </w:t>
      </w:r>
      <w:r>
        <w:t>Rcd</w:t>
      </w:r>
      <w:r>
        <w:t xml:space="preserve"> 6371, 6374, 6379, paras. 8, 19 (2005) (explaining that the Commission “encourage[d]” rather than required state commissions to adopt the same conditions and analysis that the Commission adopted for its own </w:t>
      </w:r>
      <w:r>
        <w:t>ETC</w:t>
      </w:r>
      <w:r>
        <w:t xml:space="preserve"> designation process, while also noting that “[s]</w:t>
      </w:r>
      <w:r>
        <w:t>ection</w:t>
      </w:r>
      <w:r>
        <w:t xml:space="preserve"> 214(e)(2) of the Act provides state commissions with the primary responsibility for performing </w:t>
      </w:r>
      <w:r>
        <w:t>ETC</w:t>
      </w:r>
      <w:r>
        <w:t xml:space="preserve"> designations.”).  Of course, the Commission may preempt a state decision that unlawfully trenches on FCC authority.  But Etheric has not requested preemption, and in any event preemption is not warranted here, where (as explained below) the CPUC acted within its authority consistent with section 214(e) and the Fifth Circuit’s holding in </w:t>
      </w:r>
      <w:r w:rsidRPr="00B907C4">
        <w:rPr>
          <w:i/>
          <w:iCs/>
        </w:rPr>
        <w:t>Texas Office of Public Utility Counsel et al. v. Federal Communications Commission</w:t>
      </w:r>
      <w:r>
        <w:t xml:space="preserve">, 183 F.3d 393, 418 (5th Cir. 1999). </w:t>
      </w:r>
    </w:p>
  </w:footnote>
  <w:footnote w:id="29">
    <w:p w:rsidR="000A36D5" w:rsidP="000A36D5" w14:paraId="66C60891" w14:textId="77777777">
      <w:pPr>
        <w:pStyle w:val="FootnoteText"/>
      </w:pPr>
      <w:r>
        <w:rPr>
          <w:rStyle w:val="FootnoteReference"/>
        </w:rPr>
        <w:footnoteRef/>
      </w:r>
      <w:r>
        <w:t xml:space="preserve"> </w:t>
      </w:r>
      <w:r w:rsidRPr="00B907C4">
        <w:rPr>
          <w:i/>
          <w:iCs/>
        </w:rPr>
        <w:t>Texas Office of Public Utility Counsel et al.</w:t>
      </w:r>
      <w:r>
        <w:t>, 183 F.3d at 418.</w:t>
      </w:r>
    </w:p>
  </w:footnote>
  <w:footnote w:id="30">
    <w:p w:rsidR="000A36D5" w:rsidP="000A36D5" w14:paraId="5643935E" w14:textId="77777777">
      <w:pPr>
        <w:pStyle w:val="FootnoteText"/>
      </w:pPr>
      <w:r>
        <w:rPr>
          <w:rStyle w:val="FootnoteReference"/>
        </w:rPr>
        <w:footnoteRef/>
      </w:r>
      <w:r>
        <w:t xml:space="preserve"> CPUC Denial Order at 28.</w:t>
      </w:r>
    </w:p>
  </w:footnote>
  <w:footnote w:id="31">
    <w:p w:rsidR="000A36D5" w:rsidP="000A36D5" w14:paraId="79795E2D" w14:textId="77777777">
      <w:pPr>
        <w:pStyle w:val="FootnoteText"/>
      </w:pPr>
      <w:r>
        <w:rPr>
          <w:rStyle w:val="FootnoteReference"/>
        </w:rPr>
        <w:footnoteRef/>
      </w:r>
      <w:r>
        <w:t xml:space="preserve"> Etheric Petition for Reconsideration at 8-9.</w:t>
      </w:r>
    </w:p>
  </w:footnote>
  <w:footnote w:id="32">
    <w:p w:rsidR="000A36D5" w:rsidP="000A36D5" w14:paraId="401EED2B" w14:textId="77777777">
      <w:pPr>
        <w:pStyle w:val="FootnoteText"/>
      </w:pPr>
      <w:r>
        <w:rPr>
          <w:rStyle w:val="FootnoteReference"/>
        </w:rPr>
        <w:footnoteRef/>
      </w:r>
      <w:r>
        <w:t xml:space="preserve"> </w:t>
      </w:r>
      <w:r w:rsidRPr="00E930B7">
        <w:rPr>
          <w:i/>
          <w:iCs/>
        </w:rPr>
        <w:t>See</w:t>
      </w:r>
      <w:r>
        <w:t xml:space="preserve"> </w:t>
      </w:r>
      <w:r w:rsidRPr="009150E6">
        <w:rPr>
          <w:i/>
          <w:iCs/>
        </w:rPr>
        <w:t>Rural Digital Opportunity Fund Order</w:t>
      </w:r>
      <w:r>
        <w:t xml:space="preserve">, 35 FCC </w:t>
      </w:r>
      <w:r>
        <w:t>Rcd</w:t>
      </w:r>
      <w:r>
        <w:t xml:space="preserve"> at 727-28, para. 92 (adopting the same </w:t>
      </w:r>
      <w:r>
        <w:t>ETC</w:t>
      </w:r>
      <w:r>
        <w:t xml:space="preserve"> requirements for </w:t>
      </w:r>
      <w:r>
        <w:t>RDOF</w:t>
      </w:r>
      <w:r>
        <w:t xml:space="preserve"> that the Commission adopted for the Connect America Fund Phase II auction and stating “[w]e recognize the statutory role that Congress created for state commissions and the FCC with respect to </w:t>
      </w:r>
      <w:r>
        <w:t>ETC</w:t>
      </w:r>
      <w:r>
        <w:t xml:space="preserve"> designations, and we do not disturb that framework”).</w:t>
      </w:r>
    </w:p>
  </w:footnote>
  <w:footnote w:id="33">
    <w:p w:rsidR="000A36D5" w:rsidP="000A36D5" w14:paraId="7D7D582B" w14:textId="77777777">
      <w:pPr>
        <w:pStyle w:val="FootnoteText"/>
      </w:pPr>
      <w:r>
        <w:rPr>
          <w:rStyle w:val="FootnoteReference"/>
        </w:rPr>
        <w:footnoteRef/>
      </w:r>
      <w:r>
        <w:t xml:space="preserve"> Absent further action by the CPUC, Etheric may assume the CPUC has denied its application for rehearing within 60 days of filing and challenge the CPUC’s decision in court.  Cal. Pub. Util. Code §§ 1733, 1756.</w:t>
      </w:r>
    </w:p>
  </w:footnote>
  <w:footnote w:id="34">
    <w:p w:rsidR="000A36D5" w:rsidP="000A36D5" w14:paraId="4CAC69BF" w14:textId="77777777">
      <w:pPr>
        <w:pStyle w:val="FootnoteText"/>
      </w:pPr>
      <w:r>
        <w:rPr>
          <w:rStyle w:val="FootnoteReference"/>
        </w:rPr>
        <w:footnoteRef/>
      </w:r>
      <w:r>
        <w:t xml:space="preserve"> </w:t>
      </w:r>
      <w:r w:rsidRPr="00C975CE">
        <w:rPr>
          <w:i/>
          <w:iCs/>
        </w:rPr>
        <w:t>See, e.g.</w:t>
      </w:r>
      <w:r>
        <w:t xml:space="preserve">, United States Department of Agriculture, </w:t>
      </w:r>
      <w:r>
        <w:t>ReConnect</w:t>
      </w:r>
      <w:r>
        <w:t xml:space="preserve"> Loan and Grant Program, </w:t>
      </w:r>
      <w:hyperlink r:id="rId1" w:history="1">
        <w:r w:rsidRPr="00057CCE">
          <w:rPr>
            <w:rStyle w:val="Hyperlink"/>
          </w:rPr>
          <w:t>https://www.usda.gov/reconnect</w:t>
        </w:r>
      </w:hyperlink>
      <w:r>
        <w:t xml:space="preserve"> (last visited May 23, 2023); National Telecommunications and Information Administration, Broadband Equity, Access, and Deployment Program, Notice of Funding Opportunity, </w:t>
      </w:r>
      <w:hyperlink r:id="rId2" w:history="1">
        <w:r w:rsidRPr="00290546">
          <w:rPr>
            <w:rStyle w:val="Hyperlink"/>
          </w:rPr>
          <w:t>https://broadbandusa.ntia.doc.gov/broadband-equity-access-and-deployment-bead-program</w:t>
        </w:r>
      </w:hyperlink>
      <w:r>
        <w:t xml:space="preserve"> (last visited May 23, 2023) (BEAD </w:t>
      </w:r>
      <w:r>
        <w:t>NOFO</w:t>
      </w:r>
      <w:r>
        <w:t xml:space="preserve">); U.S. Department of the Treasury, Capital Projects Fund, </w:t>
      </w:r>
      <w:hyperlink r:id="rId3" w:history="1">
        <w:r w:rsidRPr="00057CCE">
          <w:rPr>
            <w:rStyle w:val="Hyperlink"/>
          </w:rPr>
          <w:t>https://home.treasury.gov/policy-issues/coronavirus/assistance-for-state-local-and-tribal-governments/capital-projects-fund</w:t>
        </w:r>
      </w:hyperlink>
      <w:r>
        <w:t xml:space="preserve"> (last visited May 23, 2023); Department of Treasury, Coronavirus State and Local Fiscal Recovery Funds, </w:t>
      </w:r>
      <w:hyperlink r:id="rId4" w:history="1">
        <w:r w:rsidRPr="00057CCE">
          <w:rPr>
            <w:rStyle w:val="Hyperlink"/>
          </w:rPr>
          <w:t>https://home.treasury.gov/policy-issues/coronavirus/assistance-for-state-local-and-tribal-governments/state-and-local-fiscal-recovery-funds</w:t>
        </w:r>
      </w:hyperlink>
      <w:r>
        <w:t xml:space="preserve"> (last visited May 23, 2023).    </w:t>
      </w:r>
    </w:p>
  </w:footnote>
  <w:footnote w:id="35">
    <w:p w:rsidR="000A36D5" w:rsidP="000A36D5" w14:paraId="0D61B59B" w14:textId="77777777">
      <w:pPr>
        <w:pStyle w:val="FootnoteText"/>
      </w:pPr>
      <w:r>
        <w:rPr>
          <w:rStyle w:val="FootnoteReference"/>
        </w:rPr>
        <w:footnoteRef/>
      </w:r>
      <w:r>
        <w:t xml:space="preserve"> </w:t>
      </w:r>
      <w:r w:rsidRPr="00C975CE">
        <w:rPr>
          <w:i/>
          <w:iCs/>
        </w:rPr>
        <w:t>See</w:t>
      </w:r>
      <w:r>
        <w:t xml:space="preserve"> Press Release, FCC et al., FCC, </w:t>
      </w:r>
      <w:r>
        <w:t>NTIA</w:t>
      </w:r>
      <w:r>
        <w:t xml:space="preserve">, USDA and Treasury Announce Interagency Agreement to Collaborate on Federal Broadband Funding (May 12, 2022), </w:t>
      </w:r>
      <w:r w:rsidRPr="00B07058">
        <w:t>https://www.fcc.gov/document/fcc-ntia-usda-treasury-announce-broadband-info-sharing-agreement</w:t>
      </w:r>
      <w:r>
        <w:t>.</w:t>
      </w:r>
    </w:p>
  </w:footnote>
  <w:footnote w:id="36">
    <w:p w:rsidR="000A36D5" w:rsidP="000A36D5" w14:paraId="7880C064" w14:textId="77777777">
      <w:pPr>
        <w:pStyle w:val="FootnoteText"/>
      </w:pPr>
      <w:r>
        <w:rPr>
          <w:rStyle w:val="FootnoteReference"/>
        </w:rPr>
        <w:footnoteRef/>
      </w:r>
      <w:r>
        <w:t xml:space="preserve"> Etheric Petition for Reconsideration at 9-10.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0D7D86" w14:textId="56D886A2">
    <w:pPr>
      <w:pStyle w:val="Header"/>
      <w:rPr>
        <w:b w:val="0"/>
      </w:rPr>
    </w:pPr>
    <w:r>
      <w:tab/>
      <w:t>Federal Communications Commission</w:t>
    </w:r>
    <w:r>
      <w:tab/>
    </w:r>
    <w:r w:rsidR="00144D89">
      <w:t>DA 23-430</w:t>
    </w:r>
  </w:p>
  <w:p w:rsidR="00D25FB5" w14:paraId="009574B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0AC688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D28A3A" w14:textId="7C7AF71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A36D5">
      <w:rPr>
        <w:spacing w:val="-2"/>
      </w:rPr>
      <w:t>DA 23-430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22"/>
    <w:rsid w:val="00036039"/>
    <w:rsid w:val="00037F90"/>
    <w:rsid w:val="00057CCE"/>
    <w:rsid w:val="000875BF"/>
    <w:rsid w:val="00096D8C"/>
    <w:rsid w:val="000A36D5"/>
    <w:rsid w:val="000C0B65"/>
    <w:rsid w:val="000E05FE"/>
    <w:rsid w:val="000E3D42"/>
    <w:rsid w:val="00101B01"/>
    <w:rsid w:val="00122BD5"/>
    <w:rsid w:val="00133F79"/>
    <w:rsid w:val="00144D89"/>
    <w:rsid w:val="0015189D"/>
    <w:rsid w:val="0017296B"/>
    <w:rsid w:val="00186DC8"/>
    <w:rsid w:val="0019242C"/>
    <w:rsid w:val="00194A66"/>
    <w:rsid w:val="001D6BCF"/>
    <w:rsid w:val="001E01CA"/>
    <w:rsid w:val="00226964"/>
    <w:rsid w:val="00275CF5"/>
    <w:rsid w:val="0028301F"/>
    <w:rsid w:val="00285017"/>
    <w:rsid w:val="00290546"/>
    <w:rsid w:val="002A2D2E"/>
    <w:rsid w:val="002C00E8"/>
    <w:rsid w:val="002C607E"/>
    <w:rsid w:val="00343749"/>
    <w:rsid w:val="003660ED"/>
    <w:rsid w:val="003B0550"/>
    <w:rsid w:val="003B3713"/>
    <w:rsid w:val="003B694F"/>
    <w:rsid w:val="003F171C"/>
    <w:rsid w:val="00412FC5"/>
    <w:rsid w:val="00422276"/>
    <w:rsid w:val="00423946"/>
    <w:rsid w:val="004242F1"/>
    <w:rsid w:val="004262FD"/>
    <w:rsid w:val="00445A00"/>
    <w:rsid w:val="00451B0F"/>
    <w:rsid w:val="004B33CE"/>
    <w:rsid w:val="004C2EE3"/>
    <w:rsid w:val="004E4A22"/>
    <w:rsid w:val="00504530"/>
    <w:rsid w:val="00511968"/>
    <w:rsid w:val="005213A3"/>
    <w:rsid w:val="00554F13"/>
    <w:rsid w:val="0055614C"/>
    <w:rsid w:val="00566D06"/>
    <w:rsid w:val="005E14C2"/>
    <w:rsid w:val="005F50AE"/>
    <w:rsid w:val="00600119"/>
    <w:rsid w:val="00607BA5"/>
    <w:rsid w:val="0061180A"/>
    <w:rsid w:val="006218B7"/>
    <w:rsid w:val="00626EB6"/>
    <w:rsid w:val="00655D03"/>
    <w:rsid w:val="00683388"/>
    <w:rsid w:val="00683F84"/>
    <w:rsid w:val="006A6A81"/>
    <w:rsid w:val="006F7393"/>
    <w:rsid w:val="0070224F"/>
    <w:rsid w:val="007115F7"/>
    <w:rsid w:val="007133B2"/>
    <w:rsid w:val="0072731F"/>
    <w:rsid w:val="00750B5D"/>
    <w:rsid w:val="00753EA8"/>
    <w:rsid w:val="00785689"/>
    <w:rsid w:val="0079754B"/>
    <w:rsid w:val="007A1E6D"/>
    <w:rsid w:val="007B0EB2"/>
    <w:rsid w:val="00810B6F"/>
    <w:rsid w:val="00822CE0"/>
    <w:rsid w:val="00841AB1"/>
    <w:rsid w:val="008C68F1"/>
    <w:rsid w:val="008D3FC5"/>
    <w:rsid w:val="009150E6"/>
    <w:rsid w:val="00921803"/>
    <w:rsid w:val="00926503"/>
    <w:rsid w:val="0093688D"/>
    <w:rsid w:val="009726D8"/>
    <w:rsid w:val="009D3512"/>
    <w:rsid w:val="009D7308"/>
    <w:rsid w:val="009F76DB"/>
    <w:rsid w:val="00A32C3B"/>
    <w:rsid w:val="00A45F4F"/>
    <w:rsid w:val="00A600A9"/>
    <w:rsid w:val="00A839BC"/>
    <w:rsid w:val="00AA55B7"/>
    <w:rsid w:val="00AA5B9E"/>
    <w:rsid w:val="00AB2407"/>
    <w:rsid w:val="00AB53DF"/>
    <w:rsid w:val="00B07058"/>
    <w:rsid w:val="00B07E5C"/>
    <w:rsid w:val="00B23622"/>
    <w:rsid w:val="00B73DEA"/>
    <w:rsid w:val="00B811F7"/>
    <w:rsid w:val="00B907C4"/>
    <w:rsid w:val="00BA5DC6"/>
    <w:rsid w:val="00BA6196"/>
    <w:rsid w:val="00BB3C3D"/>
    <w:rsid w:val="00BC6D8C"/>
    <w:rsid w:val="00C34006"/>
    <w:rsid w:val="00C36B4C"/>
    <w:rsid w:val="00C426B1"/>
    <w:rsid w:val="00C47CA8"/>
    <w:rsid w:val="00C66160"/>
    <w:rsid w:val="00C721AC"/>
    <w:rsid w:val="00C90D6A"/>
    <w:rsid w:val="00C975CE"/>
    <w:rsid w:val="00CA247E"/>
    <w:rsid w:val="00CA2A93"/>
    <w:rsid w:val="00CA6D21"/>
    <w:rsid w:val="00CC5630"/>
    <w:rsid w:val="00CC72B6"/>
    <w:rsid w:val="00D0218D"/>
    <w:rsid w:val="00D25FB5"/>
    <w:rsid w:val="00D44223"/>
    <w:rsid w:val="00DA0EB2"/>
    <w:rsid w:val="00DA2529"/>
    <w:rsid w:val="00DB130A"/>
    <w:rsid w:val="00DB2EBB"/>
    <w:rsid w:val="00DC10A1"/>
    <w:rsid w:val="00DC655F"/>
    <w:rsid w:val="00DD0B59"/>
    <w:rsid w:val="00DD7EBD"/>
    <w:rsid w:val="00DF62B6"/>
    <w:rsid w:val="00E07225"/>
    <w:rsid w:val="00E20700"/>
    <w:rsid w:val="00E5409F"/>
    <w:rsid w:val="00E930B7"/>
    <w:rsid w:val="00EE6488"/>
    <w:rsid w:val="00F021FA"/>
    <w:rsid w:val="00F32907"/>
    <w:rsid w:val="00F62E97"/>
    <w:rsid w:val="00F64209"/>
    <w:rsid w:val="00F6751B"/>
    <w:rsid w:val="00F93BF5"/>
    <w:rsid w:val="00FF391B"/>
    <w:rsid w:val="4F212E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8C96CC"/>
  <w15:chartTrackingRefBased/>
  <w15:docId w15:val="{A5E835BE-6C40-4B56-B427-9DB4E022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0A36D5"/>
    <w:rPr>
      <w:rFonts w:ascii="Times New Roman Bold" w:hAnsi="Times New Roman Bold"/>
      <w:b/>
      <w:caps/>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basedOn w:val="DefaultParagraphFont"/>
    <w:link w:val="FootnoteText"/>
    <w:rsid w:val="000A36D5"/>
  </w:style>
  <w:style w:type="character" w:customStyle="1" w:styleId="ParaNumChar">
    <w:name w:val="ParaNum Char"/>
    <w:link w:val="ParaNum"/>
    <w:uiPriority w:val="99"/>
    <w:locked/>
    <w:rsid w:val="000A36D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da.gov/reconnect" TargetMode="External" /><Relationship Id="rId2" Type="http://schemas.openxmlformats.org/officeDocument/2006/relationships/hyperlink" Target="https://broadbandusa.ntia.doc.gov/broadband-equity-access-and-deployment-bead-program" TargetMode="External" /><Relationship Id="rId3" Type="http://schemas.openxmlformats.org/officeDocument/2006/relationships/hyperlink" Target="https://home.treasury.gov/policy-issues/coronavirus/assistance-for-state-local-and-tribal-governments/capital-projects-fund" TargetMode="External" /><Relationship Id="rId4" Type="http://schemas.openxmlformats.org/officeDocument/2006/relationships/hyperlink" Target="https://home.treasury.gov/policy-issues/coronavirus/assistance-for-state-local-and-tribal-governments/state-and-local-fiscal-recovery-fund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