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1504F27A" w14:paraId="2EE8670F" w14:textId="6E5D3E3F">
      <w:pPr>
        <w:jc w:val="right"/>
        <w:rPr>
          <w:b/>
          <w:bCs/>
        </w:rPr>
      </w:pPr>
      <w:r w:rsidRPr="1504F27A">
        <w:rPr>
          <w:b/>
          <w:bCs/>
        </w:rPr>
        <w:t xml:space="preserve">DA </w:t>
      </w:r>
      <w:r w:rsidR="00DB2D9C">
        <w:rPr>
          <w:b/>
          <w:bCs/>
        </w:rPr>
        <w:t>23-443</w:t>
      </w:r>
    </w:p>
    <w:p w:rsidR="00334AD5" w:rsidRPr="0029562D" w:rsidP="00334AD5" w14:paraId="24C68663" w14:textId="34031048">
      <w:pPr>
        <w:spacing w:before="60"/>
        <w:jc w:val="right"/>
        <w:rPr>
          <w:b/>
          <w:szCs w:val="22"/>
        </w:rPr>
      </w:pPr>
      <w:r w:rsidRPr="00CA3425">
        <w:rPr>
          <w:b/>
          <w:szCs w:val="22"/>
        </w:rPr>
        <w:t xml:space="preserve">Released: </w:t>
      </w:r>
      <w:r w:rsidR="00DB2D9C">
        <w:rPr>
          <w:b/>
          <w:szCs w:val="22"/>
        </w:rPr>
        <w:t>May 24, 2023</w:t>
      </w:r>
    </w:p>
    <w:p w:rsidR="00334AD5" w:rsidRPr="0029562D" w:rsidP="00334AD5" w14:paraId="6F1E58EE" w14:textId="05B67E12">
      <w:pPr>
        <w:tabs>
          <w:tab w:val="left" w:pos="5900"/>
        </w:tabs>
        <w:rPr>
          <w:szCs w:val="22"/>
        </w:rPr>
      </w:pPr>
    </w:p>
    <w:p w:rsidR="006A2292" w:rsidP="006A2292" w14:paraId="36DAABE7" w14:textId="77777777">
      <w:pPr>
        <w:jc w:val="center"/>
        <w:rPr>
          <w:b/>
          <w:szCs w:val="22"/>
        </w:rPr>
      </w:pPr>
      <w:r>
        <w:rPr>
          <w:b/>
          <w:szCs w:val="22"/>
        </w:rPr>
        <w:t>INTERCONNECTED VOIP</w:t>
      </w:r>
      <w:r w:rsidRPr="0029562D">
        <w:rPr>
          <w:b/>
          <w:szCs w:val="22"/>
        </w:rPr>
        <w:t xml:space="preserve"> NUMBERING AUT</w:t>
      </w:r>
      <w:r>
        <w:rPr>
          <w:b/>
          <w:szCs w:val="22"/>
        </w:rPr>
        <w:t>HORIZATION APPLICATION FILED BY</w:t>
      </w:r>
    </w:p>
    <w:p w:rsidR="001E1D22" w:rsidP="006A2292" w14:paraId="477A9426" w14:textId="6419CCE7">
      <w:pPr>
        <w:jc w:val="center"/>
        <w:rPr>
          <w:b/>
          <w:szCs w:val="22"/>
        </w:rPr>
      </w:pPr>
      <w:r w:rsidRPr="006A2292">
        <w:rPr>
          <w:rStyle w:val="markedcontent"/>
          <w:b/>
          <w:bCs/>
        </w:rPr>
        <w:t>3 COM, LLC</w:t>
      </w:r>
      <w:r w:rsidR="0048618B">
        <w:rPr>
          <w:rStyle w:val="markedcontent"/>
          <w:b/>
          <w:bCs/>
        </w:rPr>
        <w:t>.</w:t>
      </w:r>
      <w:r w:rsidRPr="006A2292">
        <w:rPr>
          <w:rStyle w:val="markedcontent"/>
          <w:b/>
          <w:bCs/>
        </w:rPr>
        <w:t xml:space="preserve"> </w:t>
      </w:r>
      <w:r>
        <w:rPr>
          <w:b/>
          <w:szCs w:val="22"/>
        </w:rPr>
        <w:t>PURSUANT TO SECTION 52.15(g)(3) OF THE COMMISSION’S RULES</w:t>
      </w:r>
    </w:p>
    <w:p w:rsidR="001E1D22" w:rsidRPr="0029562D" w:rsidP="001E1D22" w14:paraId="44923EC9" w14:textId="77777777">
      <w:pPr>
        <w:jc w:val="center"/>
        <w:rPr>
          <w:b/>
          <w:szCs w:val="22"/>
        </w:rPr>
      </w:pPr>
    </w:p>
    <w:p w:rsidR="001E1D22" w:rsidRPr="0029562D" w:rsidP="001E1D22" w14:paraId="397F7BB6" w14:textId="5F02BF3E">
      <w:pPr>
        <w:jc w:val="center"/>
        <w:rPr>
          <w:b/>
          <w:szCs w:val="22"/>
        </w:rPr>
      </w:pPr>
      <w:r w:rsidRPr="0029562D">
        <w:rPr>
          <w:b/>
          <w:szCs w:val="22"/>
        </w:rPr>
        <w:t>STREAMLINED PLEADING CYCLE ESTABLISHED</w:t>
      </w:r>
    </w:p>
    <w:p w:rsidR="001E1D22" w:rsidRPr="0029562D" w:rsidP="001E1D22" w14:paraId="6AB9D506" w14:textId="77777777">
      <w:pPr>
        <w:jc w:val="center"/>
        <w:rPr>
          <w:b/>
          <w:szCs w:val="22"/>
        </w:rPr>
      </w:pPr>
    </w:p>
    <w:p w:rsidR="001E1D22" w:rsidRPr="0029562D" w:rsidP="001E1D22" w14:paraId="762E3433" w14:textId="20F89809">
      <w:pPr>
        <w:jc w:val="center"/>
        <w:rPr>
          <w:b/>
          <w:szCs w:val="22"/>
        </w:rPr>
      </w:pPr>
      <w:r w:rsidRPr="0029562D">
        <w:rPr>
          <w:b/>
          <w:szCs w:val="22"/>
        </w:rPr>
        <w:t xml:space="preserve">WC Docket No. </w:t>
      </w:r>
      <w:r w:rsidR="006F2B7A">
        <w:rPr>
          <w:b/>
          <w:szCs w:val="22"/>
        </w:rPr>
        <w:t>23-130</w:t>
      </w:r>
      <w:r>
        <w:rPr>
          <w:rStyle w:val="FootnoteReference"/>
          <w:b/>
          <w:szCs w:val="22"/>
        </w:rPr>
        <w:footnoteReference w:id="3"/>
      </w:r>
    </w:p>
    <w:p w:rsidR="00334AD5" w:rsidRPr="0029562D" w:rsidP="00334AD5" w14:paraId="06506B6F" w14:textId="77777777">
      <w:pPr>
        <w:jc w:val="center"/>
        <w:rPr>
          <w:szCs w:val="22"/>
        </w:rPr>
      </w:pPr>
    </w:p>
    <w:p w:rsidR="00334AD5" w:rsidRPr="0029562D" w:rsidP="00334AD5" w14:paraId="56363AB8" w14:textId="24FF0C59">
      <w:pPr>
        <w:pStyle w:val="NoSpacing"/>
        <w:rPr>
          <w:b/>
          <w:szCs w:val="22"/>
        </w:rPr>
      </w:pPr>
      <w:r w:rsidRPr="00CA3425">
        <w:rPr>
          <w:b/>
          <w:szCs w:val="22"/>
        </w:rPr>
        <w:t xml:space="preserve">Comments Due: </w:t>
      </w:r>
      <w:r w:rsidR="00DB2D9C">
        <w:rPr>
          <w:b/>
          <w:szCs w:val="22"/>
        </w:rPr>
        <w:t>June 8, 2023</w:t>
      </w:r>
    </w:p>
    <w:p w:rsidR="00334AD5" w:rsidRPr="0069551B" w:rsidP="00334AD5" w14:paraId="797783ED" w14:textId="77777777">
      <w:pPr>
        <w:pStyle w:val="NoSpacing"/>
        <w:rPr>
          <w:b/>
          <w:szCs w:val="22"/>
        </w:rPr>
      </w:pPr>
    </w:p>
    <w:p w:rsidR="00334AD5" w:rsidRPr="00452866" w:rsidP="00334AD5" w14:paraId="790D0831" w14:textId="74C27BF1">
      <w:pPr>
        <w:autoSpaceDE w:val="0"/>
        <w:autoSpaceDN w:val="0"/>
        <w:adjustRightInd w:val="0"/>
        <w:ind w:firstLine="720"/>
      </w:pPr>
      <w:r>
        <w:rPr>
          <w:rStyle w:val="markedcontent"/>
        </w:rPr>
        <w:t>3 Com, LLC. (3 Com)</w:t>
      </w:r>
      <w:r w:rsidR="00F958C2">
        <w:rPr>
          <w:szCs w:val="22"/>
        </w:rPr>
        <w:t>,</w:t>
      </w:r>
      <w:r w:rsidR="002E0692">
        <w:rPr>
          <w:szCs w:val="22"/>
        </w:rPr>
        <w:t xml:space="preserve"> </w:t>
      </w:r>
      <w:r w:rsidRPr="32CA4B82" w:rsidR="00165F87">
        <w:t>an interconnected Voice o</w:t>
      </w:r>
      <w:r w:rsidRPr="32CA4B82" w:rsidR="000E5799">
        <w:t>ver</w:t>
      </w:r>
      <w:r w:rsidRPr="32CA4B82" w:rsidR="00165F87">
        <w:t xml:space="preserve"> Internet Protocol (VoIP) provider</w:t>
      </w:r>
      <w:r w:rsidR="00234809">
        <w:t>,</w:t>
      </w:r>
      <w:r w:rsidRPr="32CA4B82" w:rsidR="00165F87">
        <w:t xml:space="preserve"> </w:t>
      </w:r>
      <w:r w:rsidRPr="32CA4B82" w:rsidR="002E0692">
        <w:t xml:space="preserve">filed a </w:t>
      </w:r>
      <w:r w:rsidR="007344A6">
        <w:t xml:space="preserve">Numbering Authorization </w:t>
      </w:r>
      <w:r w:rsidR="006B18EB">
        <w:t>A</w:t>
      </w:r>
      <w:r w:rsidRPr="32CA4B82" w:rsidR="002E0692">
        <w:t>pplication</w:t>
      </w:r>
      <w:r w:rsidR="002E0692">
        <w:rPr>
          <w:szCs w:val="22"/>
        </w:rPr>
        <w:t xml:space="preserve"> </w:t>
      </w:r>
      <w:r w:rsidR="007344A6">
        <w:rPr>
          <w:szCs w:val="22"/>
        </w:rPr>
        <w:t xml:space="preserve">(Application) </w:t>
      </w:r>
      <w:r w:rsidRPr="32CA4B82" w:rsidR="002E0692">
        <w:t>pursuant to section 52.15(g)(3) of the</w:t>
      </w:r>
      <w:r w:rsidR="00A75DFD">
        <w:t xml:space="preserve"> Federal Communications</w:t>
      </w:r>
      <w:r w:rsidRPr="32CA4B82" w:rsidR="002E0692">
        <w:t xml:space="preserve"> Commission’s rules, seeking authorization to obtain North American Numbering Plan telephone numbers directly from the Numbering Administrator.</w:t>
      </w:r>
      <w:r>
        <w:rPr>
          <w:rStyle w:val="FootnoteReference"/>
        </w:rPr>
        <w:footnoteReference w:id="4"/>
      </w:r>
      <w:r w:rsidRPr="00452866" w:rsidR="002E0692">
        <w:rPr>
          <w:szCs w:val="22"/>
        </w:rPr>
        <w:t xml:space="preserve">  </w:t>
      </w:r>
      <w:r w:rsidRPr="32CA4B82" w:rsidR="00165F87">
        <w:t xml:space="preserve">In its Application, </w:t>
      </w:r>
      <w:r>
        <w:t>3 Com</w:t>
      </w:r>
      <w:r w:rsidRPr="00B23E52" w:rsidR="00A75DFD">
        <w:t xml:space="preserve"> </w:t>
      </w:r>
      <w:r w:rsidRPr="32CA4B82" w:rsidR="00165F87">
        <w:t>indicates that it intends to initially request numbers in</w:t>
      </w:r>
      <w:r w:rsidR="00E352E4">
        <w:t xml:space="preserve"> New Jersey and New York</w:t>
      </w:r>
      <w:r w:rsidRPr="56957A14" w:rsidR="00165F87">
        <w:t>.</w:t>
      </w:r>
      <w:r>
        <w:rPr>
          <w:rStyle w:val="FootnoteReference"/>
        </w:rPr>
        <w:footnoteReference w:id="5"/>
      </w:r>
    </w:p>
    <w:p w:rsidR="00334AD5" w:rsidRPr="00452866" w:rsidP="00334AD5" w14:paraId="04002BA0" w14:textId="77777777">
      <w:pPr>
        <w:autoSpaceDE w:val="0"/>
        <w:autoSpaceDN w:val="0"/>
        <w:adjustRightInd w:val="0"/>
        <w:ind w:firstLine="720"/>
        <w:rPr>
          <w:szCs w:val="22"/>
        </w:rPr>
      </w:pPr>
    </w:p>
    <w:p w:rsidR="00334AD5" w:rsidRPr="00452866" w:rsidP="00974746" w14:paraId="15965B4A" w14:textId="2BE5032C">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6A2292">
        <w:t>3 Com</w:t>
      </w:r>
      <w:r w:rsidRPr="00B23E52" w:rsidR="00A75DFD">
        <w:t xml:space="preserve"> </w:t>
      </w:r>
      <w:r w:rsidRPr="00452866">
        <w:rPr>
          <w:szCs w:val="22"/>
        </w:rPr>
        <w:t>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6A2292">
        <w:t>3 Com</w:t>
      </w:r>
      <w:r w:rsidRPr="00B23E52" w:rsidR="00A75DFD">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6A2292">
        <w:t>3 Com</w:t>
      </w:r>
      <w:r w:rsidRPr="00B23E52" w:rsidR="00A75DFD">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6A2292">
        <w:t>3 Com</w:t>
      </w:r>
      <w:r w:rsidRPr="00B23E52" w:rsidR="00A75DFD">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6A2292">
        <w:t>3 Com</w:t>
      </w:r>
      <w:r w:rsidRPr="00B23E52" w:rsidR="00A75DFD">
        <w:t xml:space="preserve"> </w:t>
      </w:r>
      <w:r w:rsidR="00EC58FD">
        <w:rPr>
          <w:szCs w:val="22"/>
        </w:rPr>
        <w:t>further certifies</w:t>
      </w:r>
      <w:r w:rsidRPr="00452866">
        <w:rPr>
          <w:szCs w:val="22"/>
        </w:rPr>
        <w:t xml:space="preserve"> that none of its key management and technical personnel are being or have been investigated by the</w:t>
      </w:r>
      <w:r w:rsidR="00A75DFD">
        <w:rPr>
          <w:szCs w:val="22"/>
        </w:rPr>
        <w:t xml:space="preserve"> </w:t>
      </w:r>
      <w:r w:rsidRPr="00452866">
        <w:rPr>
          <w:szCs w:val="22"/>
        </w:rPr>
        <w:t>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6A2292">
        <w:t>3 Com</w:t>
      </w:r>
      <w:r w:rsidRPr="00B23E52" w:rsidR="00445073">
        <w:t xml:space="preserve"> </w:t>
      </w:r>
      <w:r w:rsidR="00EC58FD">
        <w:rPr>
          <w:szCs w:val="22"/>
        </w:rPr>
        <w:t xml:space="preserve">certifies </w:t>
      </w:r>
      <w:r w:rsidRPr="00452866">
        <w:rPr>
          <w:szCs w:val="22"/>
        </w:rPr>
        <w:t xml:space="preserve">that no party to the </w:t>
      </w:r>
      <w:r w:rsidR="00664BE6">
        <w:rPr>
          <w:szCs w:val="22"/>
        </w:rPr>
        <w:t>A</w:t>
      </w:r>
      <w:r w:rsidRPr="00452866">
        <w:rPr>
          <w:szCs w:val="22"/>
        </w:rPr>
        <w:t xml:space="preserve">pplication is </w:t>
      </w:r>
      <w:r w:rsidRPr="00452866">
        <w:rPr>
          <w:szCs w:val="22"/>
        </w:rPr>
        <w:t>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4438E845" w14:textId="77777777">
      <w:pPr>
        <w:autoSpaceDE w:val="0"/>
        <w:autoSpaceDN w:val="0"/>
        <w:adjustRightInd w:val="0"/>
        <w:ind w:firstLine="720"/>
        <w:rPr>
          <w:szCs w:val="22"/>
        </w:rPr>
      </w:pPr>
    </w:p>
    <w:p w:rsidR="00334AD5" w:rsidRPr="00452866" w:rsidP="00334AD5" w14:paraId="5633765B" w14:textId="77777777">
      <w:pPr>
        <w:ind w:right="720"/>
        <w:rPr>
          <w:szCs w:val="22"/>
        </w:rPr>
      </w:pPr>
      <w:r w:rsidRPr="00452866">
        <w:rPr>
          <w:b/>
          <w:szCs w:val="22"/>
          <w:u w:val="single"/>
        </w:rPr>
        <w:t>GENERAL INFORMATION</w:t>
      </w:r>
    </w:p>
    <w:p w:rsidR="00334AD5" w:rsidRPr="00452866" w:rsidP="00334AD5" w14:paraId="0F50725A" w14:textId="77777777">
      <w:pPr>
        <w:ind w:right="720"/>
        <w:rPr>
          <w:szCs w:val="22"/>
        </w:rPr>
      </w:pPr>
    </w:p>
    <w:p w:rsidR="00E21A3B" w:rsidP="001E0390" w14:paraId="7E189956" w14:textId="09356B73">
      <w:pPr>
        <w:ind w:firstLine="720"/>
        <w:rPr>
          <w:snapToGrid/>
          <w:kern w:val="0"/>
          <w:szCs w:val="22"/>
        </w:rPr>
      </w:pPr>
      <w:r w:rsidRPr="32CA4B82">
        <w:t xml:space="preserve">The Application identified herein has been found, upon initial review, to be acceptable for filing as a streamlined </w:t>
      </w:r>
      <w:r w:rsidR="00530289">
        <w:t>A</w:t>
      </w:r>
      <w:r w:rsidRPr="32CA4B82">
        <w:t xml:space="preserve">pplication.  The Commission reserves the right to return any Application if, upon further examination, it is determined to be defective and not in conformance with the Commission’s rules and policies.  Pursuant to section 52.15(g)(3)(ii) of the Commission’s rules, interested parties may file comments in WC Docket No. </w:t>
      </w:r>
      <w:r w:rsidR="00730519">
        <w:t xml:space="preserve">23-130 </w:t>
      </w:r>
      <w:r w:rsidRPr="32CA4B82">
        <w:rPr>
          <w:b/>
          <w:bCs/>
        </w:rPr>
        <w:t>on or befor</w:t>
      </w:r>
      <w:r w:rsidRPr="32CA4B82" w:rsidR="00BE1C1F">
        <w:rPr>
          <w:b/>
          <w:bCs/>
        </w:rPr>
        <w:t xml:space="preserve">e </w:t>
      </w:r>
      <w:r w:rsidR="00DB2D9C">
        <w:rPr>
          <w:b/>
          <w:bCs/>
        </w:rPr>
        <w:t>June 8, 2023</w:t>
      </w:r>
      <w:r w:rsidRPr="00CA3425">
        <w:rPr>
          <w:szCs w:val="22"/>
        </w:rPr>
        <w:t>.</w:t>
      </w:r>
      <w:r>
        <w:rPr>
          <w:rStyle w:val="FootnoteReference"/>
        </w:rPr>
        <w:footnoteReference w:id="12"/>
      </w:r>
      <w:r w:rsidR="00664BE6">
        <w:rPr>
          <w:szCs w:val="22"/>
        </w:rPr>
        <w:t xml:space="preserve">  Commenters must serve a copy of comments on </w:t>
      </w:r>
      <w:r w:rsidR="006A2292">
        <w:rPr>
          <w:szCs w:val="22"/>
        </w:rPr>
        <w:t>3 Com</w:t>
      </w:r>
      <w:r w:rsidR="00664BE6">
        <w:rPr>
          <w:szCs w:val="22"/>
        </w:rPr>
        <w:t xml:space="preserve"> no later than the above comment filing date.</w:t>
      </w:r>
      <w:r w:rsidRPr="0029562D" w:rsidR="00664BE6">
        <w:rPr>
          <w:szCs w:val="22"/>
        </w:rPr>
        <w:t xml:space="preserve">  </w:t>
      </w:r>
    </w:p>
    <w:p w:rsidR="00413500" w:rsidP="00E21A3B" w14:paraId="3D9C415D" w14:textId="77777777">
      <w:pPr>
        <w:widowControl/>
        <w:autoSpaceDE w:val="0"/>
        <w:autoSpaceDN w:val="0"/>
        <w:adjustRightInd w:val="0"/>
        <w:spacing w:after="120"/>
        <w:ind w:firstLine="720"/>
        <w:rPr>
          <w:snapToGrid/>
          <w:kern w:val="0"/>
          <w:szCs w:val="22"/>
        </w:rPr>
      </w:pPr>
    </w:p>
    <w:p w:rsidR="00E21A3B" w:rsidRPr="00E21A3B" w:rsidP="00E21A3B" w14:paraId="43F3BCB7" w14:textId="07BC3DB9">
      <w:pPr>
        <w:widowControl/>
        <w:autoSpaceDE w:val="0"/>
        <w:autoSpaceDN w:val="0"/>
        <w:adjustRightInd w:val="0"/>
        <w:spacing w:after="120"/>
        <w:ind w:firstLine="720"/>
        <w:rPr>
          <w:snapToGrid/>
          <w:kern w:val="0"/>
          <w:szCs w:val="22"/>
        </w:rPr>
      </w:pPr>
      <w:r>
        <w:rPr>
          <w:snapToGrid/>
          <w:kern w:val="0"/>
          <w:szCs w:val="22"/>
        </w:rPr>
        <w:t>P</w:t>
      </w:r>
      <w:r w:rsidRPr="00E21A3B">
        <w:rPr>
          <w:snapToGrid/>
          <w:kern w:val="0"/>
          <w:szCs w:val="22"/>
        </w:rPr>
        <w:t xml:space="preserve">arties to this proceeding should file any documents using the Commission’s Electronic Comment Filing System (ECFS):  http://apps.fcc.gov/ecfs/.  </w:t>
      </w:r>
    </w:p>
    <w:p w:rsidR="00E21A3B" w:rsidP="00E21A3B" w14:paraId="7854A6D7" w14:textId="77777777">
      <w:pPr>
        <w:rPr>
          <w:b/>
          <w:snapToGrid/>
          <w:kern w:val="0"/>
          <w:szCs w:val="22"/>
        </w:rPr>
      </w:pPr>
    </w:p>
    <w:p w:rsidR="00E21A3B" w:rsidRPr="0029562D" w:rsidP="00E21A3B" w14:paraId="5624D659" w14:textId="6CE06A23">
      <w:pPr>
        <w:rPr>
          <w:b/>
          <w:szCs w:val="22"/>
        </w:rPr>
      </w:pPr>
      <w:r w:rsidRPr="0029562D">
        <w:rPr>
          <w:b/>
          <w:szCs w:val="22"/>
        </w:rPr>
        <w:t>In addition, e-mail one copy of each pleading to each of the following:</w:t>
      </w:r>
    </w:p>
    <w:p w:rsidR="00E21A3B" w:rsidRPr="0029562D" w:rsidP="00E21A3B" w14:paraId="5E3FF643" w14:textId="77777777">
      <w:pPr>
        <w:rPr>
          <w:szCs w:val="22"/>
        </w:rPr>
      </w:pPr>
    </w:p>
    <w:p w:rsidR="00E21A3B" w:rsidP="00E21A3B" w14:paraId="56D751B0" w14:textId="77777777">
      <w:pPr>
        <w:widowControl/>
        <w:numPr>
          <w:ilvl w:val="0"/>
          <w:numId w:val="7"/>
        </w:numPr>
        <w:rPr>
          <w:szCs w:val="22"/>
        </w:rPr>
      </w:pPr>
      <w:hyperlink r:id="rId5" w:history="1">
        <w:r w:rsidRPr="005C6E9B">
          <w:rPr>
            <w:rStyle w:val="Hyperlink"/>
            <w:szCs w:val="22"/>
          </w:rPr>
          <w:t>DAA@fcc.gov</w:t>
        </w:r>
      </w:hyperlink>
      <w:r>
        <w:rPr>
          <w:szCs w:val="22"/>
        </w:rPr>
        <w:t xml:space="preserve">;   </w:t>
      </w:r>
    </w:p>
    <w:p w:rsidR="00E21A3B" w:rsidP="00E21A3B" w14:paraId="1D65B59D" w14:textId="77777777">
      <w:pPr>
        <w:ind w:left="720"/>
        <w:rPr>
          <w:szCs w:val="22"/>
        </w:rPr>
      </w:pPr>
    </w:p>
    <w:p w:rsidR="00E21A3B" w:rsidRPr="004944FA" w:rsidP="00E21A3B" w14:paraId="61F5185B" w14:textId="77777777">
      <w:pPr>
        <w:widowControl/>
        <w:numPr>
          <w:ilvl w:val="0"/>
          <w:numId w:val="7"/>
        </w:numPr>
        <w:rPr>
          <w:szCs w:val="22"/>
        </w:rPr>
      </w:pPr>
      <w:r w:rsidRPr="0029562D">
        <w:rPr>
          <w:szCs w:val="22"/>
        </w:rPr>
        <w:t xml:space="preserve">Margoux </w:t>
      </w:r>
      <w:r>
        <w:rPr>
          <w:szCs w:val="22"/>
        </w:rPr>
        <w:t>Newman</w:t>
      </w:r>
      <w:r w:rsidRPr="0029562D">
        <w:rPr>
          <w:szCs w:val="22"/>
        </w:rPr>
        <w:t xml:space="preserve">, Competition Policy Division, Wireline Competition Bureau, </w:t>
      </w:r>
      <w:hyperlink r:id="rId6" w:history="1">
        <w:r w:rsidRPr="001A0DED">
          <w:rPr>
            <w:rStyle w:val="Hyperlink"/>
            <w:szCs w:val="22"/>
          </w:rPr>
          <w:t>Margoux.Newman@fcc.gov</w:t>
        </w:r>
      </w:hyperlink>
      <w:r w:rsidRPr="0029562D">
        <w:rPr>
          <w:szCs w:val="22"/>
        </w:rPr>
        <w:t>;</w:t>
      </w:r>
      <w:r>
        <w:rPr>
          <w:szCs w:val="22"/>
        </w:rPr>
        <w:t xml:space="preserve"> </w:t>
      </w:r>
    </w:p>
    <w:p w:rsidR="00E21A3B" w:rsidP="00E21A3B" w14:paraId="12B45079" w14:textId="77777777">
      <w:pPr>
        <w:pStyle w:val="ListParagraph"/>
        <w:rPr>
          <w:szCs w:val="22"/>
        </w:rPr>
      </w:pPr>
    </w:p>
    <w:p w:rsidR="00E21A3B" w:rsidRPr="00CB05C6" w:rsidP="00E21A3B" w14:paraId="2A7FFDA3" w14:textId="77777777">
      <w:pPr>
        <w:widowControl/>
        <w:numPr>
          <w:ilvl w:val="0"/>
          <w:numId w:val="7"/>
        </w:numPr>
        <w:rPr>
          <w:szCs w:val="22"/>
        </w:rPr>
      </w:pPr>
      <w:r>
        <w:rPr>
          <w:szCs w:val="22"/>
        </w:rPr>
        <w:t>Michelle Sclater</w:t>
      </w:r>
      <w:r w:rsidRPr="0029562D">
        <w:rPr>
          <w:szCs w:val="22"/>
        </w:rPr>
        <w:t xml:space="preserve">, Competition Policy Division, Wireline Competition Bureau, </w:t>
      </w:r>
      <w:hyperlink r:id="rId7" w:history="1">
        <w:r w:rsidRPr="009C3861">
          <w:rPr>
            <w:rStyle w:val="Hyperlink"/>
            <w:szCs w:val="22"/>
          </w:rPr>
          <w:t>Michelle.Sclater@fcc.gov</w:t>
        </w:r>
      </w:hyperlink>
      <w:r>
        <w:rPr>
          <w:szCs w:val="22"/>
        </w:rPr>
        <w:t xml:space="preserve">. </w:t>
      </w:r>
    </w:p>
    <w:p w:rsidR="00E21A3B" w:rsidRPr="00E21A3B" w:rsidP="00E21A3B" w14:paraId="5984E00B" w14:textId="77777777">
      <w:pPr>
        <w:widowControl/>
        <w:autoSpaceDE w:val="0"/>
        <w:autoSpaceDN w:val="0"/>
        <w:adjustRightInd w:val="0"/>
        <w:spacing w:after="120"/>
        <w:ind w:firstLine="720"/>
        <w:rPr>
          <w:b/>
          <w:snapToGrid/>
          <w:kern w:val="0"/>
          <w:szCs w:val="22"/>
        </w:rPr>
      </w:pPr>
    </w:p>
    <w:p w:rsidR="00E21A3B" w:rsidRPr="00E21A3B" w:rsidP="00E21A3B" w14:paraId="1A1195A3" w14:textId="77777777">
      <w:pPr>
        <w:widowControl/>
        <w:autoSpaceDE w:val="0"/>
        <w:autoSpaceDN w:val="0"/>
        <w:adjustRightInd w:val="0"/>
        <w:spacing w:after="120"/>
        <w:ind w:firstLine="720"/>
        <w:rPr>
          <w:snapToGrid/>
          <w:kern w:val="0"/>
          <w:szCs w:val="22"/>
        </w:rPr>
      </w:pPr>
      <w:r w:rsidRPr="00E21A3B">
        <w:rPr>
          <w:snapToGrid/>
          <w:kern w:val="0"/>
          <w:szCs w:val="22"/>
        </w:rPr>
        <w:t>People with Disabilities:  We ask that requests for accommodations be made as soon as possible in order to allow the agency to satisfy such requests whenever possible.  Send an email to </w:t>
      </w:r>
      <w:hyperlink r:id="rId8" w:tgtFrame="_blank" w:history="1">
        <w:r w:rsidRPr="00E21A3B">
          <w:rPr>
            <w:snapToGrid/>
            <w:color w:val="0000FF"/>
            <w:kern w:val="0"/>
            <w:szCs w:val="22"/>
            <w:u w:val="single"/>
          </w:rPr>
          <w:t>fcc504@fcc.gov</w:t>
        </w:r>
      </w:hyperlink>
      <w:r w:rsidRPr="00E21A3B">
        <w:rPr>
          <w:snapToGrid/>
          <w:kern w:val="0"/>
          <w:szCs w:val="22"/>
        </w:rPr>
        <w:t> or call the Consumer and Governmental Affairs Bureau at (202) 418-0530.</w:t>
      </w:r>
    </w:p>
    <w:p w:rsidR="00E21A3B" w:rsidRPr="00E21A3B" w:rsidP="00E21A3B" w14:paraId="2FA660DD" w14:textId="77777777">
      <w:pPr>
        <w:widowControl/>
        <w:autoSpaceDE w:val="0"/>
        <w:autoSpaceDN w:val="0"/>
        <w:adjustRightInd w:val="0"/>
        <w:spacing w:after="120"/>
        <w:ind w:firstLine="720"/>
        <w:rPr>
          <w:snapToGrid/>
          <w:kern w:val="0"/>
          <w:szCs w:val="22"/>
        </w:rPr>
      </w:pPr>
      <w:r w:rsidRPr="00E21A3B">
        <w:rPr>
          <w:snapToGrid/>
          <w:kern w:val="0"/>
          <w:szCs w:val="22"/>
        </w:rPr>
        <w:t xml:space="preserve">The proceeding in this Notice shall be treated as a “permit-but-disclose” proceeding in accordance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  Persons making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are reminded that memoranda summarizing the presentation must (1) list all persons attending or otherwise participating in the meeting at which the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21A3B">
        <w:rPr>
          <w:i/>
          <w:snapToGrid/>
          <w:kern w:val="0"/>
          <w:szCs w:val="22"/>
        </w:rPr>
        <w:t xml:space="preserve">ex </w:t>
      </w:r>
      <w:r w:rsidRPr="00E21A3B">
        <w:rPr>
          <w:i/>
          <w:snapToGrid/>
          <w:kern w:val="0"/>
          <w:szCs w:val="22"/>
        </w:rPr>
        <w:t>parte</w:t>
      </w:r>
      <w:r w:rsidRPr="00E21A3B">
        <w:rPr>
          <w:snapToGrid/>
          <w:kern w:val="0"/>
          <w:szCs w:val="22"/>
        </w:rPr>
        <w:t xml:space="preserve"> meetings are deemed to be written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and must be filed consistent with rule 1.1206(b), 47 CFR § 1.1206(b).  Participants in this proceeding should familiarize themselves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w:t>
      </w:r>
    </w:p>
    <w:p w:rsidR="00334AD5" w:rsidRPr="00452866" w:rsidP="001E0390" w14:paraId="756D9B4F" w14:textId="250C980D">
      <w:pPr>
        <w:widowControl/>
        <w:autoSpaceDE w:val="0"/>
        <w:autoSpaceDN w:val="0"/>
        <w:adjustRightInd w:val="0"/>
        <w:spacing w:after="120"/>
        <w:ind w:firstLine="720"/>
        <w:rPr>
          <w:szCs w:val="22"/>
        </w:rPr>
      </w:pPr>
      <w:r w:rsidRPr="00E21A3B">
        <w:rPr>
          <w:snapToGrid/>
          <w:kern w:val="0"/>
          <w:szCs w:val="22"/>
        </w:rPr>
        <w:t xml:space="preserve">To allow the Commission to consider fully all substantive issues regarding the application in as timely and efficient a manner as possible, petitioners and commenters should raise all issues in their </w:t>
      </w:r>
      <w:r w:rsidRPr="00E21A3B">
        <w:rPr>
          <w:snapToGrid/>
          <w:kern w:val="0"/>
          <w:szCs w:val="22"/>
        </w:rPr>
        <w:t>initial filings. New issues may not be raised in responses or replies.</w:t>
      </w:r>
      <w:r>
        <w:rPr>
          <w:snapToGrid/>
          <w:kern w:val="0"/>
          <w:szCs w:val="22"/>
          <w:vertAlign w:val="superscript"/>
        </w:rPr>
        <w:footnoteReference w:id="13"/>
      </w:r>
      <w:r w:rsidRPr="00E21A3B">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D44CCB">
        <w:rPr>
          <w:snapToGrid/>
          <w:kern w:val="0"/>
          <w:szCs w:val="22"/>
        </w:rPr>
        <w:t>.</w:t>
      </w:r>
    </w:p>
    <w:p w:rsidR="00334AD5" w:rsidRPr="00452866" w:rsidP="00334AD5" w14:paraId="08EC11D3" w14:textId="038E500B">
      <w:r w:rsidRPr="00452866">
        <w:rPr>
          <w:szCs w:val="22"/>
        </w:rPr>
        <w:tab/>
      </w:r>
      <w:r w:rsidRPr="32CA4B82" w:rsidR="006F3C42">
        <w:t>P</w:t>
      </w:r>
      <w:r w:rsidRPr="32CA4B82" w:rsidR="00771312">
        <w:t>lease contact</w:t>
      </w:r>
      <w:r w:rsidR="00771312">
        <w:rPr>
          <w:szCs w:val="22"/>
        </w:rPr>
        <w:t xml:space="preserve"> </w:t>
      </w:r>
      <w:hyperlink r:id="rId5" w:history="1">
        <w:r w:rsidRPr="32CA4B82" w:rsidR="006F3C42">
          <w:rPr>
            <w:rStyle w:val="Hyperlink"/>
          </w:rPr>
          <w:t>DAA@fcc.gov</w:t>
        </w:r>
      </w:hyperlink>
      <w:r w:rsidR="006F3C42">
        <w:rPr>
          <w:szCs w:val="22"/>
        </w:rPr>
        <w:t xml:space="preserve">, </w:t>
      </w:r>
      <w:r w:rsidRPr="32CA4B82" w:rsidR="00771312">
        <w:t xml:space="preserve">Margoux </w:t>
      </w:r>
      <w:r w:rsidRPr="32CA4B82" w:rsidR="00B16755">
        <w:t>Newman</w:t>
      </w:r>
      <w:r w:rsidRPr="32CA4B82" w:rsidR="00771312">
        <w:t xml:space="preserve"> at </w:t>
      </w:r>
      <w:hyperlink r:id="rId6" w:history="1">
        <w:r w:rsidRPr="32CA4B82" w:rsidR="002B42D7">
          <w:rPr>
            <w:rStyle w:val="Hyperlink"/>
          </w:rPr>
          <w:t>Margoux.Newman@fcc.gov</w:t>
        </w:r>
      </w:hyperlink>
      <w:r w:rsidR="006F3C42">
        <w:rPr>
          <w:szCs w:val="22"/>
        </w:rPr>
        <w:t xml:space="preserve">, </w:t>
      </w:r>
      <w:r w:rsidRPr="32CA4B82" w:rsidR="00771312">
        <w:t xml:space="preserve">Michelle Sclater at </w:t>
      </w:r>
      <w:hyperlink r:id="rId7" w:history="1">
        <w:r w:rsidRPr="32CA4B82" w:rsidR="002B42D7">
          <w:rPr>
            <w:rStyle w:val="Hyperlink"/>
          </w:rPr>
          <w:t>Michelle.Sclater@fcc.gov</w:t>
        </w:r>
      </w:hyperlink>
      <w:r w:rsidR="005D5041">
        <w:rPr>
          <w:szCs w:val="22"/>
        </w:rPr>
        <w:t xml:space="preserve"> </w:t>
      </w:r>
      <w:r w:rsidRPr="32CA4B82" w:rsidR="006F3C42">
        <w:t>for further information</w:t>
      </w:r>
      <w:r w:rsidR="005F515B">
        <w:rPr>
          <w:szCs w:val="22"/>
        </w:rPr>
        <w:t>.</w:t>
      </w:r>
    </w:p>
    <w:p w:rsidR="00334AD5" w:rsidRPr="00452866" w:rsidP="00334AD5" w14:paraId="63748352" w14:textId="77777777">
      <w:pPr>
        <w:rPr>
          <w:szCs w:val="22"/>
        </w:rPr>
      </w:pPr>
    </w:p>
    <w:p w:rsidR="00334AD5" w:rsidRPr="00452866" w:rsidP="00334AD5" w14:paraId="07DEDF6C" w14:textId="77777777">
      <w:pPr>
        <w:rPr>
          <w:szCs w:val="22"/>
        </w:rPr>
      </w:pPr>
    </w:p>
    <w:p w:rsidR="00930ECF" w:rsidRPr="00930ECF" w:rsidP="00334AD5" w14:paraId="0C2DE4AA" w14:textId="77777777">
      <w:pPr>
        <w:jc w:val="center"/>
        <w:rPr>
          <w:sz w:val="24"/>
        </w:rPr>
      </w:pPr>
      <w:r w:rsidRPr="00452866">
        <w:rPr>
          <w:b/>
          <w:szCs w:val="22"/>
        </w:rPr>
        <w:t>- FCC -</w:t>
      </w: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2681BF" w14:textId="77777777">
    <w:pPr>
      <w:pStyle w:val="Footer"/>
      <w:framePr w:wrap="around" w:vAnchor="text" w:hAnchor="margin" w:xAlign="center" w:y="1"/>
    </w:pPr>
    <w:r>
      <w:fldChar w:fldCharType="begin"/>
    </w:r>
    <w:r>
      <w:instrText xml:space="preserve">PAGE  </w:instrText>
    </w:r>
    <w:r w:rsidR="00DB2D9C">
      <w:fldChar w:fldCharType="separate"/>
    </w:r>
    <w:r>
      <w:fldChar w:fldCharType="end"/>
    </w:r>
  </w:p>
  <w:p w:rsidR="006F7393" w14:paraId="254C4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3613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8FF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528" w14:paraId="16ED6C78" w14:textId="77777777">
      <w:r>
        <w:separator/>
      </w:r>
    </w:p>
  </w:footnote>
  <w:footnote w:type="continuationSeparator" w:id="1">
    <w:p w:rsidR="00435528" w14:paraId="60F5DBF8" w14:textId="77777777">
      <w:pPr>
        <w:rPr>
          <w:sz w:val="20"/>
        </w:rPr>
      </w:pPr>
      <w:r>
        <w:rPr>
          <w:sz w:val="20"/>
        </w:rPr>
        <w:t xml:space="preserve">(Continued from previous page)  </w:t>
      </w:r>
      <w:r>
        <w:rPr>
          <w:sz w:val="20"/>
        </w:rPr>
        <w:separator/>
      </w:r>
    </w:p>
  </w:footnote>
  <w:footnote w:type="continuationNotice" w:id="2">
    <w:p w:rsidR="00435528" w:rsidP="00910F12" w14:paraId="715D6E4E" w14:textId="77777777">
      <w:pPr>
        <w:jc w:val="right"/>
        <w:rPr>
          <w:sz w:val="20"/>
        </w:rPr>
      </w:pPr>
    </w:p>
  </w:footnote>
  <w:footnote w:id="3">
    <w:p w:rsidR="001E1D22" w:rsidP="001E1D22" w14:paraId="65956D61" w14:textId="310544E8">
      <w:pPr>
        <w:pStyle w:val="FootnoteText"/>
      </w:pPr>
      <w:r>
        <w:rPr>
          <w:rStyle w:val="FootnoteReference"/>
        </w:rPr>
        <w:footnoteRef/>
      </w:r>
      <w:r>
        <w:t xml:space="preserve"> </w:t>
      </w:r>
      <w:r w:rsidRPr="00CD4954">
        <w:t xml:space="preserve">We assign WC Docket No. </w:t>
      </w:r>
      <w:r w:rsidR="00730519">
        <w:t>23-130</w:t>
      </w:r>
      <w:r w:rsidRPr="00CD4954">
        <w:t xml:space="preserve"> for this </w:t>
      </w:r>
      <w:r w:rsidR="00664BE6">
        <w:t>A</w:t>
      </w:r>
      <w:r w:rsidRPr="00CD4954">
        <w:t xml:space="preserve">pplication and all related filings by the </w:t>
      </w:r>
      <w:r w:rsidR="00664BE6">
        <w:t>A</w:t>
      </w:r>
      <w:r w:rsidRPr="00CD4954">
        <w:t xml:space="preserve">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334AD5" w:rsidRPr="00442FF5" w:rsidP="00334AD5" w14:paraId="3392EA6D" w14:textId="626437BA">
      <w:pPr>
        <w:pStyle w:val="FootnoteText"/>
      </w:pPr>
      <w:r w:rsidRPr="00442FF5">
        <w:rPr>
          <w:rStyle w:val="FootnoteReference"/>
          <w:sz w:val="20"/>
        </w:rPr>
        <w:footnoteRef/>
      </w:r>
      <w:r w:rsidRPr="00442FF5">
        <w:t xml:space="preserve"> </w:t>
      </w:r>
      <w:r w:rsidRPr="00CD4954" w:rsidR="00664BE6">
        <w:rPr>
          <w:i/>
        </w:rPr>
        <w:t>See</w:t>
      </w:r>
      <w:r w:rsidRPr="00CD4954" w:rsidR="00664BE6">
        <w:t xml:space="preserve"> Application of </w:t>
      </w:r>
      <w:r w:rsidR="00730519">
        <w:t>3</w:t>
      </w:r>
      <w:r w:rsidR="00C6406F">
        <w:t xml:space="preserve"> </w:t>
      </w:r>
      <w:r w:rsidR="00730519">
        <w:t xml:space="preserve">Com </w:t>
      </w:r>
      <w:r w:rsidRPr="00CD4954" w:rsidR="00664BE6">
        <w:t xml:space="preserve">for Authorization to Obtain Numbering Resources, WC Docket No. </w:t>
      </w:r>
      <w:r w:rsidR="00730519">
        <w:t xml:space="preserve">23-130 </w:t>
      </w:r>
      <w:r w:rsidRPr="00CD4954" w:rsidR="00664BE6">
        <w:t xml:space="preserve">(filed </w:t>
      </w:r>
      <w:r w:rsidR="00730519">
        <w:t>Mar. 8, 2023</w:t>
      </w:r>
      <w:r w:rsidRPr="00CD4954" w:rsidR="00664BE6">
        <w:t>),</w:t>
      </w:r>
      <w:r w:rsidR="00664BE6">
        <w:t xml:space="preserve"> </w:t>
      </w:r>
      <w:hyperlink r:id="rId1" w:history="1">
        <w:r w:rsidRPr="008309A3" w:rsidR="00730519">
          <w:rPr>
            <w:rStyle w:val="Hyperlink"/>
          </w:rPr>
          <w:t>https://www.fcc.gov/ecfs/document/1030895951155/1</w:t>
        </w:r>
      </w:hyperlink>
      <w:r w:rsidR="001E0390">
        <w:t>;</w:t>
      </w:r>
      <w:r w:rsidR="00664BE6">
        <w:t xml:space="preserve"> </w:t>
      </w:r>
      <w:r w:rsidRPr="00442FF5" w:rsidR="00165F87">
        <w:rPr>
          <w:i/>
          <w:iCs/>
        </w:rPr>
        <w:t>see also</w:t>
      </w:r>
      <w:r w:rsidRPr="00442FF5" w:rsidR="00165F87">
        <w:t xml:space="preserve"> 47 CFR § 52.15(g)(3). </w:t>
      </w:r>
      <w:r w:rsidRPr="00442FF5">
        <w:t xml:space="preserve">  </w:t>
      </w:r>
    </w:p>
  </w:footnote>
  <w:footnote w:id="5">
    <w:p w:rsidR="00165F87" w:rsidRPr="00442FF5" w14:paraId="26381783" w14:textId="39BAC6D8">
      <w:pPr>
        <w:pStyle w:val="FootnoteText"/>
      </w:pPr>
      <w:r w:rsidRPr="00442FF5">
        <w:rPr>
          <w:rStyle w:val="FootnoteReference"/>
          <w:sz w:val="20"/>
        </w:rPr>
        <w:footnoteRef/>
      </w:r>
      <w:r w:rsidRPr="00442FF5">
        <w:t xml:space="preserve"> </w:t>
      </w:r>
      <w:r w:rsidRPr="00442FF5" w:rsidR="004971A4">
        <w:t>Application</w:t>
      </w:r>
      <w:r w:rsidRPr="00442FF5" w:rsidR="00EC58FD">
        <w:t xml:space="preserve"> at </w:t>
      </w:r>
      <w:r w:rsidR="00E352E4">
        <w:t>6</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50EAD41B" w14:textId="5886CC31">
      <w:pPr>
        <w:pStyle w:val="FootnoteText"/>
      </w:pPr>
      <w:r w:rsidRPr="00442FF5">
        <w:rPr>
          <w:rStyle w:val="FootnoteReference"/>
          <w:sz w:val="20"/>
        </w:rPr>
        <w:footnoteRef/>
      </w:r>
      <w:r w:rsidRPr="00442FF5">
        <w:t xml:space="preserve"> </w:t>
      </w:r>
      <w:r w:rsidRPr="00442FF5" w:rsidR="00EC58FD">
        <w:t xml:space="preserve">Application at </w:t>
      </w:r>
      <w:r w:rsidR="00C6406F">
        <w:t>5</w:t>
      </w:r>
      <w:r w:rsidRPr="00442FF5" w:rsidR="00EC58FD">
        <w:t xml:space="preserve">; </w:t>
      </w:r>
      <w:r w:rsidRPr="00442FF5" w:rsidR="00EC58FD">
        <w:rPr>
          <w:i/>
          <w:iCs/>
        </w:rPr>
        <w:t xml:space="preserve">see </w:t>
      </w:r>
      <w:r w:rsidRPr="00442FF5">
        <w:rPr>
          <w:rStyle w:val="FootnoteReference"/>
          <w:sz w:val="20"/>
          <w:vertAlign w:val="baseline"/>
        </w:rPr>
        <w:t>47 CFR § 52.15(g)(3)(i)(A)-(C).</w:t>
      </w:r>
    </w:p>
  </w:footnote>
  <w:footnote w:id="7">
    <w:p w:rsidR="00334AD5" w:rsidRPr="00442FF5" w:rsidP="00334AD5" w14:paraId="5BD7EFA4" w14:textId="46546132">
      <w:pPr>
        <w:pStyle w:val="FootnoteText"/>
      </w:pPr>
      <w:r w:rsidRPr="00442FF5">
        <w:rPr>
          <w:rStyle w:val="FootnoteReference"/>
          <w:sz w:val="20"/>
        </w:rPr>
        <w:footnoteRef/>
      </w:r>
      <w:r w:rsidRPr="00442FF5">
        <w:t xml:space="preserve"> </w:t>
      </w:r>
      <w:r w:rsidRPr="00442FF5" w:rsidR="00EC58FD">
        <w:t>Application at</w:t>
      </w:r>
      <w:r w:rsidR="003F1605">
        <w:t xml:space="preserve"> </w:t>
      </w:r>
      <w:r w:rsidR="00E352E4">
        <w:t>6</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06114CA2" w14:textId="2E219C7F">
      <w:pPr>
        <w:pStyle w:val="FootnoteText"/>
      </w:pPr>
      <w:r w:rsidRPr="00442FF5">
        <w:rPr>
          <w:rStyle w:val="FootnoteReference"/>
          <w:sz w:val="20"/>
        </w:rPr>
        <w:footnoteRef/>
      </w:r>
      <w:r w:rsidRPr="00442FF5">
        <w:t xml:space="preserve"> </w:t>
      </w:r>
      <w:r w:rsidRPr="00442FF5" w:rsidR="00EC58FD">
        <w:t>Application at</w:t>
      </w:r>
      <w:r w:rsidR="008A26E5">
        <w:t xml:space="preserve"> </w:t>
      </w:r>
      <w:r w:rsidR="00E352E4">
        <w:t>7</w:t>
      </w:r>
      <w:r w:rsidR="00E056ED">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60B5A576" w14:textId="5A7D8C1A">
      <w:pPr>
        <w:pStyle w:val="FootnoteText"/>
      </w:pPr>
      <w:r w:rsidRPr="00442FF5">
        <w:rPr>
          <w:rStyle w:val="FootnoteReference"/>
          <w:sz w:val="20"/>
        </w:rPr>
        <w:footnoteRef/>
      </w:r>
      <w:r w:rsidRPr="00442FF5">
        <w:t xml:space="preserve"> </w:t>
      </w:r>
      <w:r w:rsidRPr="00442FF5" w:rsidR="00EC58FD">
        <w:t xml:space="preserve">Application at </w:t>
      </w:r>
      <w:r w:rsidR="00E352E4">
        <w:t>7</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33998C11" w14:textId="1D74A4BA">
      <w:pPr>
        <w:pStyle w:val="FootnoteText"/>
      </w:pPr>
      <w:r w:rsidRPr="005321BE">
        <w:rPr>
          <w:rStyle w:val="FootnoteReference"/>
          <w:sz w:val="20"/>
        </w:rPr>
        <w:footnoteRef/>
      </w:r>
      <w:r w:rsidRPr="005321BE">
        <w:t xml:space="preserve"> </w:t>
      </w:r>
      <w:r w:rsidRPr="00442FF5" w:rsidR="006F3C42">
        <w:t xml:space="preserve">Application at </w:t>
      </w:r>
      <w:r w:rsidR="00E352E4">
        <w:t>8</w:t>
      </w:r>
      <w:r w:rsidRPr="00442FF5" w:rsidR="006F3C42">
        <w:t xml:space="preserve">; </w:t>
      </w:r>
      <w:r w:rsidRPr="00442FF5" w:rsidR="006F3C42">
        <w:rPr>
          <w:i/>
          <w:iCs/>
        </w:rPr>
        <w:t xml:space="preserve">see </w:t>
      </w:r>
      <w:r w:rsidRPr="00442FF5" w:rsidR="006F3C42">
        <w:t>47 CFR § 52.15(g)(3)(i)(F).</w:t>
      </w:r>
    </w:p>
  </w:footnote>
  <w:footnote w:id="11">
    <w:p w:rsidR="00334AD5" w:rsidRPr="005321BE" w:rsidP="00334AD5" w14:paraId="249F26BE" w14:textId="1EE040E6">
      <w:pPr>
        <w:pStyle w:val="FootnoteText"/>
      </w:pPr>
      <w:r w:rsidRPr="005321BE">
        <w:rPr>
          <w:rStyle w:val="FootnoteReference"/>
          <w:sz w:val="20"/>
        </w:rPr>
        <w:footnoteRef/>
      </w:r>
      <w:r w:rsidRPr="005321BE">
        <w:t xml:space="preserve"> </w:t>
      </w:r>
      <w:r w:rsidR="002429C4">
        <w:rPr>
          <w:szCs w:val="22"/>
        </w:rPr>
        <w:t>Application</w:t>
      </w:r>
      <w:r w:rsidR="00EC58FD">
        <w:t xml:space="preserve"> at </w:t>
      </w:r>
      <w:r w:rsidR="00E352E4">
        <w:t>8</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089E1434" w14:textId="77777777">
      <w:pPr>
        <w:pStyle w:val="FootnoteText"/>
      </w:pPr>
      <w:r w:rsidRPr="005321BE">
        <w:rPr>
          <w:rStyle w:val="FootnoteReference"/>
          <w:sz w:val="20"/>
        </w:rPr>
        <w:footnoteRef/>
      </w:r>
      <w:r w:rsidRPr="005321BE">
        <w:t xml:space="preserve"> 47 CFR § 52.15(g)(3)(ii).</w:t>
      </w:r>
    </w:p>
  </w:footnote>
  <w:footnote w:id="13">
    <w:p w:rsidR="00E21A3B" w:rsidRPr="00303480" w:rsidP="00E21A3B" w14:paraId="2858E05D" w14:textId="77777777">
      <w:pPr>
        <w:pStyle w:val="FootnoteText"/>
      </w:pPr>
      <w:r w:rsidRPr="00303480">
        <w:rPr>
          <w:rStyle w:val="FootnoteReference"/>
        </w:rPr>
        <w:footnoteRef/>
      </w:r>
      <w:r w:rsidRPr="00303480">
        <w:t xml:space="preserve"> </w:t>
      </w:r>
      <w:r w:rsidRPr="00303480">
        <w:rPr>
          <w:i/>
        </w:rPr>
        <w:t>See</w:t>
      </w:r>
      <w:r w:rsidRPr="00303480">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43C3636" w14:textId="6EF84482">
    <w:pPr>
      <w:tabs>
        <w:tab w:val="center" w:pos="4680"/>
        <w:tab w:val="right" w:pos="9360"/>
      </w:tabs>
    </w:pPr>
    <w:r w:rsidRPr="009838BC">
      <w:rPr>
        <w:b/>
      </w:rPr>
      <w:tab/>
    </w:r>
    <w:r w:rsidRPr="5972EE3F" w:rsidR="5972EE3F">
      <w:rPr>
        <w:b/>
        <w:bCs/>
      </w:rPr>
      <w:t>Federal Communications Commission</w:t>
    </w:r>
    <w:r w:rsidRPr="009838BC">
      <w:rPr>
        <w:b/>
      </w:rPr>
      <w:tab/>
    </w:r>
    <w:r w:rsidRPr="5972EE3F" w:rsidR="5972EE3F">
      <w:rPr>
        <w:b/>
        <w:bCs/>
      </w:rPr>
      <w:t xml:space="preserve">DA </w:t>
    </w:r>
    <w:r w:rsidR="00DB2D9C">
      <w:rPr>
        <w:b/>
        <w:bCs/>
      </w:rPr>
      <w:t>23-443</w:t>
    </w:r>
  </w:p>
  <w:p w:rsidR="009838BC" w:rsidRPr="009838BC" w:rsidP="009838BC" w14:paraId="44F8A9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925F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268F2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77777777">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F96826B" w14:textId="77777777">
                    <w:pPr>
                      <w:rPr>
                        <w:rFonts w:ascii="Arial" w:hAnsi="Arial"/>
                        <w:b/>
                      </w:rPr>
                    </w:pPr>
                    <w:r>
                      <w:rPr>
                        <w:rFonts w:ascii="Arial" w:hAnsi="Arial"/>
                        <w:b/>
                      </w:rPr>
                      <w:t>Federal Communications Commission</w:t>
                    </w:r>
                  </w:p>
                  <w:p w:rsidR="007E07A7" w:rsidRPr="007E07A7" w:rsidP="007E07A7" w14:paraId="6C15F3B9"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133EA88" w14:textId="77777777">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4F4C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EFF7C1C" w14:textId="77777777">
                    <w:pPr>
                      <w:spacing w:before="40"/>
                      <w:jc w:val="right"/>
                      <w:rPr>
                        <w:rFonts w:ascii="Arial" w:hAnsi="Arial"/>
                        <w:b/>
                        <w:sz w:val="16"/>
                      </w:rPr>
                    </w:pPr>
                    <w:r>
                      <w:rPr>
                        <w:rFonts w:ascii="Arial" w:hAnsi="Arial"/>
                        <w:b/>
                        <w:sz w:val="16"/>
                      </w:rPr>
                      <w:t>News Media Information 202 / 418-0500</w:t>
                    </w:r>
                  </w:p>
                  <w:p w:rsidR="009838BC" w:rsidP="009838BC" w14:paraId="0A49345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1025"/>
    <w:rsid w:val="00036039"/>
    <w:rsid w:val="00036560"/>
    <w:rsid w:val="00037F90"/>
    <w:rsid w:val="00061816"/>
    <w:rsid w:val="0006255C"/>
    <w:rsid w:val="000875BF"/>
    <w:rsid w:val="00091E51"/>
    <w:rsid w:val="00096D8C"/>
    <w:rsid w:val="000A4F31"/>
    <w:rsid w:val="000B2479"/>
    <w:rsid w:val="000C0B65"/>
    <w:rsid w:val="000E3D42"/>
    <w:rsid w:val="000E5799"/>
    <w:rsid w:val="000E5884"/>
    <w:rsid w:val="000F43D1"/>
    <w:rsid w:val="00103469"/>
    <w:rsid w:val="00122BD5"/>
    <w:rsid w:val="0013352D"/>
    <w:rsid w:val="00165C6D"/>
    <w:rsid w:val="00165F87"/>
    <w:rsid w:val="0017199B"/>
    <w:rsid w:val="001979D9"/>
    <w:rsid w:val="001A0DED"/>
    <w:rsid w:val="001A6026"/>
    <w:rsid w:val="001C06E1"/>
    <w:rsid w:val="001C6647"/>
    <w:rsid w:val="001D1F22"/>
    <w:rsid w:val="001D6BCF"/>
    <w:rsid w:val="001E01CA"/>
    <w:rsid w:val="001E0390"/>
    <w:rsid w:val="001E1D22"/>
    <w:rsid w:val="001E4947"/>
    <w:rsid w:val="001E5C95"/>
    <w:rsid w:val="001F3A77"/>
    <w:rsid w:val="002005DC"/>
    <w:rsid w:val="002060D9"/>
    <w:rsid w:val="00210F21"/>
    <w:rsid w:val="00226822"/>
    <w:rsid w:val="00230197"/>
    <w:rsid w:val="00234809"/>
    <w:rsid w:val="002429C4"/>
    <w:rsid w:val="00243CE0"/>
    <w:rsid w:val="00260594"/>
    <w:rsid w:val="00260B7F"/>
    <w:rsid w:val="00264B52"/>
    <w:rsid w:val="00281205"/>
    <w:rsid w:val="00285017"/>
    <w:rsid w:val="0029223C"/>
    <w:rsid w:val="00293241"/>
    <w:rsid w:val="00293E74"/>
    <w:rsid w:val="0029562D"/>
    <w:rsid w:val="002A1235"/>
    <w:rsid w:val="002A2D2E"/>
    <w:rsid w:val="002B42D7"/>
    <w:rsid w:val="002C3BE0"/>
    <w:rsid w:val="002E0692"/>
    <w:rsid w:val="002E6E4C"/>
    <w:rsid w:val="002F1170"/>
    <w:rsid w:val="00300468"/>
    <w:rsid w:val="00300C36"/>
    <w:rsid w:val="00301E58"/>
    <w:rsid w:val="00303480"/>
    <w:rsid w:val="00305DEC"/>
    <w:rsid w:val="00306710"/>
    <w:rsid w:val="003255EB"/>
    <w:rsid w:val="00334AD5"/>
    <w:rsid w:val="00335690"/>
    <w:rsid w:val="0033653B"/>
    <w:rsid w:val="00343749"/>
    <w:rsid w:val="00357D50"/>
    <w:rsid w:val="00371EC1"/>
    <w:rsid w:val="003872F5"/>
    <w:rsid w:val="003925DC"/>
    <w:rsid w:val="00394035"/>
    <w:rsid w:val="003A72C7"/>
    <w:rsid w:val="003A7D37"/>
    <w:rsid w:val="003B0550"/>
    <w:rsid w:val="003B694F"/>
    <w:rsid w:val="003C343B"/>
    <w:rsid w:val="003C5F2C"/>
    <w:rsid w:val="003D4940"/>
    <w:rsid w:val="003D66F8"/>
    <w:rsid w:val="003F1605"/>
    <w:rsid w:val="003F171C"/>
    <w:rsid w:val="003F2D9F"/>
    <w:rsid w:val="003F378A"/>
    <w:rsid w:val="004045A6"/>
    <w:rsid w:val="00405106"/>
    <w:rsid w:val="00412FC5"/>
    <w:rsid w:val="00413500"/>
    <w:rsid w:val="004220BE"/>
    <w:rsid w:val="00422276"/>
    <w:rsid w:val="004242F1"/>
    <w:rsid w:val="004335ED"/>
    <w:rsid w:val="00434DF5"/>
    <w:rsid w:val="00435528"/>
    <w:rsid w:val="00442FF5"/>
    <w:rsid w:val="00445073"/>
    <w:rsid w:val="00445A00"/>
    <w:rsid w:val="00451B0F"/>
    <w:rsid w:val="00452866"/>
    <w:rsid w:val="0046125F"/>
    <w:rsid w:val="00470FD3"/>
    <w:rsid w:val="00484052"/>
    <w:rsid w:val="0048612D"/>
    <w:rsid w:val="0048618B"/>
    <w:rsid w:val="00487524"/>
    <w:rsid w:val="004944FA"/>
    <w:rsid w:val="00496106"/>
    <w:rsid w:val="004971A4"/>
    <w:rsid w:val="004C12D0"/>
    <w:rsid w:val="004C2EE3"/>
    <w:rsid w:val="004D30CB"/>
    <w:rsid w:val="004E0884"/>
    <w:rsid w:val="004E4A22"/>
    <w:rsid w:val="0051077C"/>
    <w:rsid w:val="00511968"/>
    <w:rsid w:val="0051372F"/>
    <w:rsid w:val="00530289"/>
    <w:rsid w:val="005321BE"/>
    <w:rsid w:val="005329E9"/>
    <w:rsid w:val="0054053D"/>
    <w:rsid w:val="0055614C"/>
    <w:rsid w:val="00572CDD"/>
    <w:rsid w:val="0059197D"/>
    <w:rsid w:val="005B14DF"/>
    <w:rsid w:val="005C6E9B"/>
    <w:rsid w:val="005D5041"/>
    <w:rsid w:val="005D66B4"/>
    <w:rsid w:val="005E7F13"/>
    <w:rsid w:val="005F515B"/>
    <w:rsid w:val="00607BA5"/>
    <w:rsid w:val="006148B3"/>
    <w:rsid w:val="006177AB"/>
    <w:rsid w:val="00617FBB"/>
    <w:rsid w:val="00626EB6"/>
    <w:rsid w:val="006353A3"/>
    <w:rsid w:val="00650BB1"/>
    <w:rsid w:val="00652A86"/>
    <w:rsid w:val="00655D03"/>
    <w:rsid w:val="00660030"/>
    <w:rsid w:val="00664BE6"/>
    <w:rsid w:val="00683F84"/>
    <w:rsid w:val="0069551B"/>
    <w:rsid w:val="00697FC9"/>
    <w:rsid w:val="006A2292"/>
    <w:rsid w:val="006A6A81"/>
    <w:rsid w:val="006B18EB"/>
    <w:rsid w:val="006D74CF"/>
    <w:rsid w:val="006E26AF"/>
    <w:rsid w:val="006E2DB9"/>
    <w:rsid w:val="006F2B7A"/>
    <w:rsid w:val="006F3C42"/>
    <w:rsid w:val="006F7393"/>
    <w:rsid w:val="0070224F"/>
    <w:rsid w:val="007115F7"/>
    <w:rsid w:val="00730519"/>
    <w:rsid w:val="007344A6"/>
    <w:rsid w:val="007604E6"/>
    <w:rsid w:val="00771312"/>
    <w:rsid w:val="00785689"/>
    <w:rsid w:val="0079754B"/>
    <w:rsid w:val="007A16B7"/>
    <w:rsid w:val="007A1E6D"/>
    <w:rsid w:val="007A7E47"/>
    <w:rsid w:val="007C731E"/>
    <w:rsid w:val="007D6A97"/>
    <w:rsid w:val="007E07A7"/>
    <w:rsid w:val="007E63F9"/>
    <w:rsid w:val="00811E19"/>
    <w:rsid w:val="00816348"/>
    <w:rsid w:val="00821385"/>
    <w:rsid w:val="00822CE0"/>
    <w:rsid w:val="008309A3"/>
    <w:rsid w:val="00837C62"/>
    <w:rsid w:val="00841AB1"/>
    <w:rsid w:val="0086073F"/>
    <w:rsid w:val="00860D26"/>
    <w:rsid w:val="0088358F"/>
    <w:rsid w:val="008A26E5"/>
    <w:rsid w:val="008A302A"/>
    <w:rsid w:val="008B41CD"/>
    <w:rsid w:val="008B54CB"/>
    <w:rsid w:val="008B7B6C"/>
    <w:rsid w:val="008C22FD"/>
    <w:rsid w:val="008F4C4F"/>
    <w:rsid w:val="00904EE6"/>
    <w:rsid w:val="00906EF8"/>
    <w:rsid w:val="00910F12"/>
    <w:rsid w:val="00926503"/>
    <w:rsid w:val="00930ECF"/>
    <w:rsid w:val="00931735"/>
    <w:rsid w:val="00940190"/>
    <w:rsid w:val="00955204"/>
    <w:rsid w:val="009607DA"/>
    <w:rsid w:val="00962E5C"/>
    <w:rsid w:val="00963936"/>
    <w:rsid w:val="00974746"/>
    <w:rsid w:val="009838BC"/>
    <w:rsid w:val="009A5BDC"/>
    <w:rsid w:val="009B1B73"/>
    <w:rsid w:val="009C0AE2"/>
    <w:rsid w:val="009C3861"/>
    <w:rsid w:val="009D3D98"/>
    <w:rsid w:val="009F6627"/>
    <w:rsid w:val="00A0456B"/>
    <w:rsid w:val="00A1660F"/>
    <w:rsid w:val="00A410BF"/>
    <w:rsid w:val="00A42886"/>
    <w:rsid w:val="00A4546C"/>
    <w:rsid w:val="00A45F4F"/>
    <w:rsid w:val="00A600A9"/>
    <w:rsid w:val="00A75DFD"/>
    <w:rsid w:val="00A80584"/>
    <w:rsid w:val="00A866AC"/>
    <w:rsid w:val="00AA3FAE"/>
    <w:rsid w:val="00AA55B7"/>
    <w:rsid w:val="00AA5B9E"/>
    <w:rsid w:val="00AB14FF"/>
    <w:rsid w:val="00AB2407"/>
    <w:rsid w:val="00AB496D"/>
    <w:rsid w:val="00AB53DF"/>
    <w:rsid w:val="00AC1AD4"/>
    <w:rsid w:val="00AC2622"/>
    <w:rsid w:val="00AC71A9"/>
    <w:rsid w:val="00AD6BF4"/>
    <w:rsid w:val="00AE61FB"/>
    <w:rsid w:val="00AE73E0"/>
    <w:rsid w:val="00AF4646"/>
    <w:rsid w:val="00B07E5C"/>
    <w:rsid w:val="00B16755"/>
    <w:rsid w:val="00B23E52"/>
    <w:rsid w:val="00B326E3"/>
    <w:rsid w:val="00B3546F"/>
    <w:rsid w:val="00B36D8D"/>
    <w:rsid w:val="00B376F7"/>
    <w:rsid w:val="00B50DCA"/>
    <w:rsid w:val="00B61F76"/>
    <w:rsid w:val="00B811F7"/>
    <w:rsid w:val="00BA5DC6"/>
    <w:rsid w:val="00BA6196"/>
    <w:rsid w:val="00BB4CA6"/>
    <w:rsid w:val="00BC6D8C"/>
    <w:rsid w:val="00BE1C1F"/>
    <w:rsid w:val="00C16AF2"/>
    <w:rsid w:val="00C20DDC"/>
    <w:rsid w:val="00C228CE"/>
    <w:rsid w:val="00C2448D"/>
    <w:rsid w:val="00C27144"/>
    <w:rsid w:val="00C34006"/>
    <w:rsid w:val="00C426B1"/>
    <w:rsid w:val="00C52028"/>
    <w:rsid w:val="00C5789B"/>
    <w:rsid w:val="00C6406F"/>
    <w:rsid w:val="00C82B6B"/>
    <w:rsid w:val="00C8396D"/>
    <w:rsid w:val="00C90D6A"/>
    <w:rsid w:val="00C96E23"/>
    <w:rsid w:val="00CA3425"/>
    <w:rsid w:val="00CA7FB0"/>
    <w:rsid w:val="00CB05C6"/>
    <w:rsid w:val="00CC72B6"/>
    <w:rsid w:val="00CD4954"/>
    <w:rsid w:val="00D0218D"/>
    <w:rsid w:val="00D024C4"/>
    <w:rsid w:val="00D14207"/>
    <w:rsid w:val="00D216CD"/>
    <w:rsid w:val="00D42663"/>
    <w:rsid w:val="00D44CCB"/>
    <w:rsid w:val="00D51DD5"/>
    <w:rsid w:val="00D53316"/>
    <w:rsid w:val="00D53750"/>
    <w:rsid w:val="00D74217"/>
    <w:rsid w:val="00D76D42"/>
    <w:rsid w:val="00DA2529"/>
    <w:rsid w:val="00DB0386"/>
    <w:rsid w:val="00DB130A"/>
    <w:rsid w:val="00DB2D9C"/>
    <w:rsid w:val="00DB3422"/>
    <w:rsid w:val="00DC10A1"/>
    <w:rsid w:val="00DC655F"/>
    <w:rsid w:val="00DD7EBD"/>
    <w:rsid w:val="00DF62B6"/>
    <w:rsid w:val="00E056ED"/>
    <w:rsid w:val="00E07225"/>
    <w:rsid w:val="00E155B7"/>
    <w:rsid w:val="00E21A3B"/>
    <w:rsid w:val="00E352E4"/>
    <w:rsid w:val="00E46A77"/>
    <w:rsid w:val="00E5112E"/>
    <w:rsid w:val="00E5409F"/>
    <w:rsid w:val="00E548AC"/>
    <w:rsid w:val="00E760BA"/>
    <w:rsid w:val="00E90579"/>
    <w:rsid w:val="00E92EE1"/>
    <w:rsid w:val="00E948D1"/>
    <w:rsid w:val="00EB748E"/>
    <w:rsid w:val="00EC0185"/>
    <w:rsid w:val="00EC58FD"/>
    <w:rsid w:val="00ED037E"/>
    <w:rsid w:val="00ED3B05"/>
    <w:rsid w:val="00EF31E3"/>
    <w:rsid w:val="00F021FA"/>
    <w:rsid w:val="00F0255C"/>
    <w:rsid w:val="00F03059"/>
    <w:rsid w:val="00F16F14"/>
    <w:rsid w:val="00F57ACA"/>
    <w:rsid w:val="00F60919"/>
    <w:rsid w:val="00F62E97"/>
    <w:rsid w:val="00F64209"/>
    <w:rsid w:val="00F74BD6"/>
    <w:rsid w:val="00F93BF5"/>
    <w:rsid w:val="00F958C2"/>
    <w:rsid w:val="00F96F63"/>
    <w:rsid w:val="00FA6576"/>
    <w:rsid w:val="00FC343A"/>
    <w:rsid w:val="00FC608E"/>
    <w:rsid w:val="07B7A930"/>
    <w:rsid w:val="1504F27A"/>
    <w:rsid w:val="32CA4B82"/>
    <w:rsid w:val="3A6FCEEA"/>
    <w:rsid w:val="517DB9A2"/>
    <w:rsid w:val="56957A14"/>
    <w:rsid w:val="57CD5806"/>
    <w:rsid w:val="5972EE3F"/>
    <w:rsid w:val="5A755489"/>
    <w:rsid w:val="6C4B5008"/>
    <w:rsid w:val="725E6393"/>
    <w:rsid w:val="77CB3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22E7F"/>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UnresolvedMention">
    <w:name w:val="Unresolved Mention"/>
    <w:basedOn w:val="DefaultParagraphFont"/>
    <w:uiPriority w:val="99"/>
    <w:rsid w:val="001E4947"/>
    <w:rPr>
      <w:color w:val="605E5C"/>
      <w:shd w:val="clear" w:color="auto" w:fill="E1DFDD"/>
    </w:rPr>
  </w:style>
  <w:style w:type="paragraph" w:styleId="Revision">
    <w:name w:val="Revision"/>
    <w:hidden/>
    <w:uiPriority w:val="99"/>
    <w:semiHidden/>
    <w:rsid w:val="00E5112E"/>
    <w:rPr>
      <w:snapToGrid w:val="0"/>
      <w:kern w:val="28"/>
      <w:sz w:val="22"/>
    </w:rPr>
  </w:style>
  <w:style w:type="character" w:customStyle="1" w:styleId="markedcontent">
    <w:name w:val="markedcontent"/>
    <w:basedOn w:val="DefaultParagraphFont"/>
    <w:rsid w:val="006A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Michelle.Sclater@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0895951155/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