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B75FA" w14:paraId="35B6AE3A" w14:textId="77777777">
      <w:pPr>
        <w:jc w:val="right"/>
        <w:rPr>
          <w:sz w:val="24"/>
        </w:rPr>
      </w:pPr>
    </w:p>
    <w:p w:rsidR="00FB75FA" w:rsidRPr="008E5D5B" w:rsidP="31A61913" w14:paraId="0004CC19" w14:textId="7D3C3852">
      <w:pPr>
        <w:jc w:val="right"/>
        <w:rPr>
          <w:b/>
          <w:bCs/>
          <w:szCs w:val="22"/>
        </w:rPr>
      </w:pPr>
      <w:r w:rsidRPr="008E5D5B">
        <w:rPr>
          <w:b/>
          <w:bCs/>
          <w:szCs w:val="22"/>
        </w:rPr>
        <w:t xml:space="preserve">DA </w:t>
      </w:r>
      <w:r w:rsidRPr="008E5D5B" w:rsidR="008E5D5B">
        <w:rPr>
          <w:b/>
          <w:bCs/>
          <w:szCs w:val="22"/>
        </w:rPr>
        <w:t>23-44</w:t>
      </w:r>
    </w:p>
    <w:p w:rsidR="00FB75FA" w:rsidRPr="008E5D5B" w14:paraId="53169227" w14:textId="0A49A97D">
      <w:pPr>
        <w:spacing w:before="60"/>
        <w:jc w:val="right"/>
        <w:rPr>
          <w:b/>
          <w:szCs w:val="22"/>
        </w:rPr>
      </w:pPr>
      <w:r w:rsidRPr="008E5D5B">
        <w:rPr>
          <w:b/>
          <w:szCs w:val="22"/>
        </w:rPr>
        <w:t xml:space="preserve">Released:  </w:t>
      </w:r>
      <w:r w:rsidRPr="008E5D5B" w:rsidR="008E5D5B">
        <w:rPr>
          <w:b/>
          <w:szCs w:val="22"/>
        </w:rPr>
        <w:t>January 19, 2023</w:t>
      </w:r>
    </w:p>
    <w:p w:rsidR="00FB75FA" w:rsidRPr="008E5D5B" w14:paraId="23F1CF6B" w14:textId="77777777">
      <w:pPr>
        <w:jc w:val="right"/>
        <w:rPr>
          <w:szCs w:val="22"/>
        </w:rPr>
      </w:pPr>
    </w:p>
    <w:p w:rsidR="4A41A10F" w:rsidRPr="008E5D5B" w:rsidP="31A61913" w14:paraId="10D24935" w14:textId="2BFD5CFB">
      <w:pPr>
        <w:jc w:val="center"/>
        <w:rPr>
          <w:b/>
          <w:bCs/>
          <w:caps/>
          <w:szCs w:val="22"/>
        </w:rPr>
      </w:pPr>
      <w:r w:rsidRPr="008E5D5B">
        <w:rPr>
          <w:b/>
          <w:bCs/>
          <w:szCs w:val="22"/>
        </w:rPr>
        <w:t>OFFICE OF ENGINEERING AND TECHNOLOGY SEEKS COMMENT ON BLUEWIND MEDICAL LTD.  REQUEST FOR WAIVER OF SECTION 15.223(A) OF THE COMMISSION’S RULES FOR OPERATION ON 6.78 MHZ</w:t>
      </w:r>
    </w:p>
    <w:p w:rsidR="0085142F" w:rsidRPr="008E5D5B" w14:paraId="71E33D3B" w14:textId="77777777">
      <w:pPr>
        <w:jc w:val="center"/>
        <w:rPr>
          <w:b/>
          <w:szCs w:val="22"/>
        </w:rPr>
      </w:pPr>
    </w:p>
    <w:p w:rsidR="00FB75FA" w:rsidRPr="008E5D5B" w:rsidP="31A61913" w14:paraId="798521ED" w14:textId="6E198C66">
      <w:pPr>
        <w:jc w:val="center"/>
        <w:rPr>
          <w:b/>
          <w:bCs/>
          <w:szCs w:val="22"/>
        </w:rPr>
      </w:pPr>
      <w:r w:rsidRPr="008E5D5B">
        <w:rPr>
          <w:b/>
          <w:bCs/>
          <w:szCs w:val="22"/>
        </w:rPr>
        <w:t xml:space="preserve">ET Docket No. </w:t>
      </w:r>
      <w:r w:rsidRPr="008E5D5B" w:rsidR="008E5D5B">
        <w:rPr>
          <w:b/>
          <w:bCs/>
          <w:szCs w:val="22"/>
        </w:rPr>
        <w:t>23-27</w:t>
      </w:r>
    </w:p>
    <w:p w:rsidR="00FB75FA" w:rsidRPr="008E5D5B" w14:paraId="0373746B" w14:textId="77777777">
      <w:pPr>
        <w:rPr>
          <w:szCs w:val="22"/>
        </w:rPr>
      </w:pPr>
      <w:bookmarkStart w:id="0" w:name="TOChere"/>
    </w:p>
    <w:p w:rsidR="00FB75FA" w:rsidRPr="008E5D5B" w14:paraId="7F45CEF6" w14:textId="08E6E2EA">
      <w:pPr>
        <w:rPr>
          <w:b/>
          <w:bCs/>
          <w:szCs w:val="22"/>
        </w:rPr>
      </w:pPr>
      <w:r w:rsidRPr="008E5D5B">
        <w:rPr>
          <w:b/>
          <w:bCs/>
          <w:szCs w:val="22"/>
        </w:rPr>
        <w:t xml:space="preserve">Comment Date: </w:t>
      </w:r>
      <w:r w:rsidRPr="008E5D5B" w:rsidR="008E5D5B">
        <w:rPr>
          <w:b/>
          <w:bCs/>
          <w:szCs w:val="22"/>
        </w:rPr>
        <w:t xml:space="preserve">February 21, 2023 </w:t>
      </w:r>
    </w:p>
    <w:p w:rsidR="00DD4984" w:rsidRPr="008E5D5B" w14:paraId="52C956EB" w14:textId="1C9BD100">
      <w:pPr>
        <w:rPr>
          <w:b/>
          <w:bCs/>
          <w:szCs w:val="22"/>
        </w:rPr>
      </w:pPr>
      <w:r w:rsidRPr="008E5D5B">
        <w:rPr>
          <w:b/>
          <w:bCs/>
          <w:szCs w:val="22"/>
        </w:rPr>
        <w:t xml:space="preserve">Reply Comment Date: </w:t>
      </w:r>
      <w:r w:rsidRPr="008E5D5B" w:rsidR="008E5D5B">
        <w:rPr>
          <w:b/>
          <w:bCs/>
          <w:szCs w:val="22"/>
        </w:rPr>
        <w:t>March 8, 2023</w:t>
      </w:r>
    </w:p>
    <w:p w:rsidR="00FB75FA" w:rsidRPr="008E5D5B" w14:paraId="3421A602" w14:textId="77777777">
      <w:pPr>
        <w:rPr>
          <w:szCs w:val="22"/>
        </w:rPr>
      </w:pPr>
    </w:p>
    <w:bookmarkEnd w:id="0"/>
    <w:p w:rsidR="001B4955" w:rsidRPr="008E5D5B" w:rsidP="31A61913" w14:paraId="597E2F8B" w14:textId="3A6541FB">
      <w:pPr>
        <w:autoSpaceDE w:val="0"/>
        <w:autoSpaceDN w:val="0"/>
        <w:adjustRightInd w:val="0"/>
        <w:ind w:firstLine="720"/>
        <w:rPr>
          <w:szCs w:val="22"/>
        </w:rPr>
      </w:pPr>
      <w:r w:rsidRPr="008E5D5B">
        <w:rPr>
          <w:szCs w:val="22"/>
        </w:rPr>
        <w:t xml:space="preserve">By this public notice, we seek comment on a request by </w:t>
      </w:r>
      <w:r w:rsidRPr="008E5D5B" w:rsidR="027FEFDD">
        <w:rPr>
          <w:szCs w:val="22"/>
        </w:rPr>
        <w:t>Bluewind</w:t>
      </w:r>
      <w:r w:rsidRPr="008E5D5B" w:rsidR="027FEFDD">
        <w:rPr>
          <w:szCs w:val="22"/>
        </w:rPr>
        <w:t xml:space="preserve"> Medical Ltd. (</w:t>
      </w:r>
      <w:r w:rsidRPr="008E5D5B" w:rsidR="027FEFDD">
        <w:rPr>
          <w:szCs w:val="22"/>
        </w:rPr>
        <w:t>BlueWind</w:t>
      </w:r>
      <w:r w:rsidRPr="008E5D5B" w:rsidR="027FEFDD">
        <w:rPr>
          <w:szCs w:val="22"/>
        </w:rPr>
        <w:t xml:space="preserve"> Medical)</w:t>
      </w:r>
      <w:r w:rsidRPr="008E5D5B">
        <w:rPr>
          <w:szCs w:val="22"/>
        </w:rPr>
        <w:t xml:space="preserve"> </w:t>
      </w:r>
      <w:r w:rsidRPr="008E5D5B" w:rsidR="72AFD80C">
        <w:rPr>
          <w:szCs w:val="22"/>
        </w:rPr>
        <w:t xml:space="preserve">to </w:t>
      </w:r>
      <w:r w:rsidRPr="008E5D5B">
        <w:rPr>
          <w:szCs w:val="22"/>
        </w:rPr>
        <w:t xml:space="preserve">waive </w:t>
      </w:r>
      <w:r w:rsidRPr="008E5D5B" w:rsidR="2A02DC52">
        <w:rPr>
          <w:color w:val="000000" w:themeColor="text1"/>
          <w:szCs w:val="22"/>
        </w:rPr>
        <w:t>Section 15.223(a)</w:t>
      </w:r>
      <w:r w:rsidRPr="008E5D5B" w:rsidR="00E63962">
        <w:rPr>
          <w:szCs w:val="22"/>
        </w:rPr>
        <w:t xml:space="preserve"> </w:t>
      </w:r>
      <w:r w:rsidRPr="008E5D5B" w:rsidR="004E40AF">
        <w:rPr>
          <w:szCs w:val="22"/>
        </w:rPr>
        <w:t xml:space="preserve">of the Commission’s </w:t>
      </w:r>
      <w:r w:rsidRPr="008E5D5B" w:rsidR="00E63962">
        <w:rPr>
          <w:szCs w:val="22"/>
        </w:rPr>
        <w:t xml:space="preserve">rules </w:t>
      </w:r>
      <w:r w:rsidRPr="008E5D5B" w:rsidR="0B8E82C4">
        <w:rPr>
          <w:szCs w:val="22"/>
        </w:rPr>
        <w:t xml:space="preserve">to permit </w:t>
      </w:r>
      <w:r w:rsidRPr="008E5D5B" w:rsidR="5E0DCEC7">
        <w:rPr>
          <w:szCs w:val="22"/>
        </w:rPr>
        <w:t xml:space="preserve">its </w:t>
      </w:r>
      <w:r w:rsidRPr="008E5D5B" w:rsidR="0B8E82C4">
        <w:rPr>
          <w:szCs w:val="22"/>
        </w:rPr>
        <w:t>implantable medical device system (the “</w:t>
      </w:r>
      <w:r w:rsidRPr="008E5D5B" w:rsidR="0B8E82C4">
        <w:rPr>
          <w:szCs w:val="22"/>
        </w:rPr>
        <w:t>BlueWind</w:t>
      </w:r>
      <w:r w:rsidRPr="008E5D5B" w:rsidR="0B8E82C4">
        <w:rPr>
          <w:szCs w:val="22"/>
        </w:rPr>
        <w:t xml:space="preserve"> System”) </w:t>
      </w:r>
      <w:r w:rsidRPr="008E5D5B" w:rsidR="00770B43">
        <w:rPr>
          <w:szCs w:val="22"/>
        </w:rPr>
        <w:t xml:space="preserve">operating on the center frequency </w:t>
      </w:r>
      <w:r w:rsidRPr="008E5D5B" w:rsidR="00EF036F">
        <w:rPr>
          <w:szCs w:val="22"/>
        </w:rPr>
        <w:t xml:space="preserve">6.78 MHz </w:t>
      </w:r>
      <w:r w:rsidRPr="008E5D5B" w:rsidR="0B8E82C4">
        <w:rPr>
          <w:szCs w:val="22"/>
        </w:rPr>
        <w:t xml:space="preserve">to exceed the </w:t>
      </w:r>
      <w:r w:rsidRPr="008E5D5B" w:rsidR="007969DD">
        <w:rPr>
          <w:szCs w:val="22"/>
        </w:rPr>
        <w:t xml:space="preserve">1.705-10 MHz band </w:t>
      </w:r>
      <w:r w:rsidRPr="008E5D5B" w:rsidR="0B8E82C4">
        <w:rPr>
          <w:szCs w:val="22"/>
        </w:rPr>
        <w:t>emission limits.</w:t>
      </w:r>
      <w:r>
        <w:rPr>
          <w:rStyle w:val="FootnoteReference"/>
          <w:szCs w:val="22"/>
        </w:rPr>
        <w:footnoteReference w:id="3"/>
      </w:r>
      <w:r w:rsidRPr="008E5D5B" w:rsidR="0B8E82C4">
        <w:rPr>
          <w:szCs w:val="22"/>
        </w:rPr>
        <w:t xml:space="preserve">  </w:t>
      </w:r>
      <w:r w:rsidRPr="008E5D5B">
        <w:rPr>
          <w:szCs w:val="22"/>
        </w:rPr>
        <w:t xml:space="preserve">  </w:t>
      </w:r>
    </w:p>
    <w:p w:rsidR="00FA43F5" w:rsidRPr="008E5D5B" w:rsidP="001B4955" w14:paraId="1D8EDD16" w14:textId="0CC4591B">
      <w:pPr>
        <w:autoSpaceDE w:val="0"/>
        <w:autoSpaceDN w:val="0"/>
        <w:adjustRightInd w:val="0"/>
        <w:ind w:firstLine="720"/>
        <w:rPr>
          <w:szCs w:val="22"/>
        </w:rPr>
      </w:pPr>
    </w:p>
    <w:p w:rsidR="00FA43F5" w:rsidRPr="008E5D5B" w:rsidP="31A61913" w14:paraId="639B188E" w14:textId="7A8806A9">
      <w:pPr>
        <w:ind w:firstLine="720"/>
        <w:rPr>
          <w:rStyle w:val="FootnoteReference"/>
          <w:szCs w:val="22"/>
        </w:rPr>
      </w:pPr>
      <w:r w:rsidRPr="008E5D5B">
        <w:rPr>
          <w:szCs w:val="22"/>
        </w:rPr>
        <w:t>BlueWind</w:t>
      </w:r>
      <w:r w:rsidRPr="008E5D5B">
        <w:rPr>
          <w:szCs w:val="22"/>
        </w:rPr>
        <w:t xml:space="preserve"> Medical states </w:t>
      </w:r>
      <w:r w:rsidRPr="008E5D5B" w:rsidR="2FD7456C">
        <w:rPr>
          <w:szCs w:val="22"/>
        </w:rPr>
        <w:t xml:space="preserve">its </w:t>
      </w:r>
      <w:r w:rsidRPr="008E5D5B">
        <w:rPr>
          <w:szCs w:val="22"/>
        </w:rPr>
        <w:t xml:space="preserve">tibial neuromodulation system is intended to be used </w:t>
      </w:r>
      <w:r w:rsidRPr="008E5D5B" w:rsidR="007969DD">
        <w:rPr>
          <w:szCs w:val="22"/>
        </w:rPr>
        <w:t xml:space="preserve">to </w:t>
      </w:r>
      <w:r w:rsidRPr="008E5D5B">
        <w:rPr>
          <w:szCs w:val="22"/>
        </w:rPr>
        <w:t>treat</w:t>
      </w:r>
      <w:r w:rsidRPr="008E5D5B" w:rsidR="007969DD">
        <w:rPr>
          <w:szCs w:val="22"/>
        </w:rPr>
        <w:t xml:space="preserve"> </w:t>
      </w:r>
      <w:r w:rsidRPr="008E5D5B">
        <w:rPr>
          <w:szCs w:val="22"/>
        </w:rPr>
        <w:t>patients diagnosed with overactive bladder (OAB) and related symptoms.</w:t>
      </w:r>
      <w:r>
        <w:rPr>
          <w:rStyle w:val="FootnoteReference"/>
          <w:szCs w:val="22"/>
        </w:rPr>
        <w:footnoteReference w:id="4"/>
      </w:r>
      <w:r w:rsidRPr="008E5D5B">
        <w:rPr>
          <w:szCs w:val="22"/>
        </w:rPr>
        <w:t xml:space="preserve">  </w:t>
      </w:r>
      <w:r w:rsidRPr="008E5D5B">
        <w:rPr>
          <w:szCs w:val="22"/>
        </w:rPr>
        <w:t>BlueWind</w:t>
      </w:r>
      <w:r w:rsidRPr="008E5D5B">
        <w:rPr>
          <w:szCs w:val="22"/>
        </w:rPr>
        <w:t xml:space="preserve"> Medical's system is comprised of four units: an implant, the rechargeable External Control Unit (ECU), a software application, and a Hub unit.</w:t>
      </w:r>
      <w:r>
        <w:rPr>
          <w:rStyle w:val="FootnoteReference"/>
          <w:szCs w:val="22"/>
        </w:rPr>
        <w:footnoteReference w:id="5"/>
      </w:r>
      <w:r w:rsidRPr="008E5D5B">
        <w:rPr>
          <w:szCs w:val="22"/>
        </w:rPr>
        <w:t xml:space="preserve">  The implant uses electrical pulses to stimulate nerves innervating the bladder, urinary sphincter, and pelvic floor.</w:t>
      </w:r>
      <w:r>
        <w:rPr>
          <w:rStyle w:val="FootnoteReference"/>
          <w:szCs w:val="22"/>
        </w:rPr>
        <w:footnoteReference w:id="6"/>
      </w:r>
      <w:r w:rsidRPr="008E5D5B">
        <w:rPr>
          <w:szCs w:val="22"/>
        </w:rPr>
        <w:t xml:space="preserve">  The implant receives power </w:t>
      </w:r>
      <w:r w:rsidRPr="008E5D5B" w:rsidR="00625897">
        <w:rPr>
          <w:szCs w:val="22"/>
        </w:rPr>
        <w:t xml:space="preserve">and data </w:t>
      </w:r>
      <w:r w:rsidRPr="008E5D5B" w:rsidR="00850D16">
        <w:rPr>
          <w:szCs w:val="22"/>
        </w:rPr>
        <w:t xml:space="preserve">from the ECU </w:t>
      </w:r>
      <w:r w:rsidRPr="008E5D5B">
        <w:rPr>
          <w:szCs w:val="22"/>
        </w:rPr>
        <w:t xml:space="preserve">through near-field inductive coupling via </w:t>
      </w:r>
      <w:r w:rsidRPr="008E5D5B" w:rsidR="00625897">
        <w:rPr>
          <w:szCs w:val="22"/>
        </w:rPr>
        <w:t xml:space="preserve">pulse modulation of </w:t>
      </w:r>
      <w:r w:rsidRPr="008E5D5B">
        <w:rPr>
          <w:szCs w:val="22"/>
        </w:rPr>
        <w:t xml:space="preserve">a 6.78 MHz </w:t>
      </w:r>
      <w:r w:rsidRPr="008E5D5B" w:rsidR="00BD0B69">
        <w:rPr>
          <w:szCs w:val="22"/>
        </w:rPr>
        <w:t xml:space="preserve">carrier </w:t>
      </w:r>
      <w:r w:rsidRPr="008E5D5B">
        <w:rPr>
          <w:szCs w:val="22"/>
        </w:rPr>
        <w:t>signal</w:t>
      </w:r>
      <w:r w:rsidRPr="008E5D5B" w:rsidR="00625897">
        <w:rPr>
          <w:szCs w:val="22"/>
        </w:rPr>
        <w:t>,</w:t>
      </w:r>
      <w:r w:rsidRPr="008E5D5B">
        <w:rPr>
          <w:szCs w:val="22"/>
        </w:rPr>
        <w:t xml:space="preserve"> </w:t>
      </w:r>
      <w:r w:rsidRPr="008E5D5B" w:rsidR="00625897">
        <w:rPr>
          <w:szCs w:val="22"/>
        </w:rPr>
        <w:t>at rate of up to 30 Hz</w:t>
      </w:r>
      <w:r w:rsidRPr="008E5D5B" w:rsidR="1DA006B7">
        <w:rPr>
          <w:szCs w:val="22"/>
        </w:rPr>
        <w:t>.</w:t>
      </w:r>
      <w:r>
        <w:rPr>
          <w:rStyle w:val="FootnoteReference"/>
          <w:szCs w:val="22"/>
        </w:rPr>
        <w:footnoteReference w:id="7"/>
      </w:r>
      <w:r w:rsidRPr="008E5D5B" w:rsidR="1DA006B7">
        <w:rPr>
          <w:szCs w:val="22"/>
        </w:rPr>
        <w:t xml:space="preserve">  </w:t>
      </w:r>
      <w:r w:rsidRPr="008E5D5B" w:rsidR="1DA006B7">
        <w:rPr>
          <w:szCs w:val="22"/>
        </w:rPr>
        <w:t>BlueWind</w:t>
      </w:r>
      <w:r w:rsidRPr="008E5D5B" w:rsidR="1DA006B7">
        <w:rPr>
          <w:szCs w:val="22"/>
        </w:rPr>
        <w:t xml:space="preserve"> Medical claims </w:t>
      </w:r>
      <w:r w:rsidRPr="008E5D5B" w:rsidR="01263D10">
        <w:rPr>
          <w:szCs w:val="22"/>
        </w:rPr>
        <w:t>its</w:t>
      </w:r>
      <w:r w:rsidRPr="008E5D5B" w:rsidR="1DA006B7">
        <w:rPr>
          <w:szCs w:val="22"/>
        </w:rPr>
        <w:t xml:space="preserve"> system will provide substantial health benefits to millions of people and pose no threat of harmful interference.</w:t>
      </w:r>
      <w:r>
        <w:rPr>
          <w:rStyle w:val="FootnoteReference"/>
          <w:szCs w:val="22"/>
        </w:rPr>
        <w:footnoteReference w:id="8"/>
      </w:r>
      <w:r w:rsidRPr="008E5D5B" w:rsidR="1DA006B7">
        <w:rPr>
          <w:szCs w:val="22"/>
        </w:rPr>
        <w:t xml:space="preserve">  </w:t>
      </w:r>
    </w:p>
    <w:p w:rsidR="00BC2CD9" w:rsidRPr="008E5D5B" w:rsidP="005F75C4" w14:paraId="7A898298" w14:textId="0863EAA6">
      <w:pPr>
        <w:autoSpaceDE w:val="0"/>
        <w:autoSpaceDN w:val="0"/>
        <w:adjustRightInd w:val="0"/>
        <w:ind w:firstLine="720"/>
        <w:rPr>
          <w:szCs w:val="22"/>
        </w:rPr>
      </w:pPr>
    </w:p>
    <w:p w:rsidR="00BC2CD9" w:rsidRPr="008E5D5B" w:rsidP="5776D62C" w14:paraId="7C2D854B" w14:textId="695E768E">
      <w:pPr>
        <w:autoSpaceDE w:val="0"/>
        <w:autoSpaceDN w:val="0"/>
        <w:adjustRightInd w:val="0"/>
        <w:ind w:firstLine="720"/>
        <w:rPr>
          <w:szCs w:val="22"/>
        </w:rPr>
      </w:pPr>
      <w:r w:rsidRPr="008E5D5B">
        <w:rPr>
          <w:szCs w:val="22"/>
        </w:rPr>
        <w:t>Section 15.223(a) of the</w:t>
      </w:r>
      <w:r w:rsidRPr="008E5D5B" w:rsidR="00137333">
        <w:rPr>
          <w:szCs w:val="22"/>
        </w:rPr>
        <w:t xml:space="preserve"> Commission’s </w:t>
      </w:r>
      <w:r w:rsidRPr="008E5D5B">
        <w:rPr>
          <w:szCs w:val="22"/>
        </w:rPr>
        <w:t>rules limit</w:t>
      </w:r>
      <w:r w:rsidRPr="008E5D5B" w:rsidR="00850D16">
        <w:rPr>
          <w:szCs w:val="22"/>
        </w:rPr>
        <w:t>s</w:t>
      </w:r>
      <w:r w:rsidRPr="008E5D5B">
        <w:rPr>
          <w:szCs w:val="22"/>
        </w:rPr>
        <w:t xml:space="preserve"> the </w:t>
      </w:r>
      <w:r w:rsidRPr="008E5D5B" w:rsidR="00A94CFE">
        <w:rPr>
          <w:szCs w:val="22"/>
        </w:rPr>
        <w:t xml:space="preserve">field strength of any </w:t>
      </w:r>
      <w:r w:rsidRPr="008E5D5B">
        <w:rPr>
          <w:szCs w:val="22"/>
        </w:rPr>
        <w:t>emission in the 1.705-10 MHz frequency range</w:t>
      </w:r>
      <w:r w:rsidRPr="008E5D5B" w:rsidR="5E114251">
        <w:rPr>
          <w:szCs w:val="22"/>
        </w:rPr>
        <w:t xml:space="preserve"> to 100 microvolts per meter</w:t>
      </w:r>
      <w:r w:rsidRPr="008E5D5B" w:rsidR="00A94CFE">
        <w:rPr>
          <w:szCs w:val="22"/>
        </w:rPr>
        <w:t xml:space="preserve"> at a distance of 30 meters</w:t>
      </w:r>
      <w:r w:rsidRPr="008E5D5B">
        <w:rPr>
          <w:szCs w:val="22"/>
        </w:rPr>
        <w:t>.</w:t>
      </w:r>
      <w:r>
        <w:rPr>
          <w:rStyle w:val="FootnoteReference"/>
          <w:szCs w:val="22"/>
        </w:rPr>
        <w:footnoteReference w:id="9"/>
      </w:r>
      <w:r w:rsidRPr="008E5D5B">
        <w:rPr>
          <w:szCs w:val="22"/>
        </w:rPr>
        <w:t xml:space="preserve">  </w:t>
      </w:r>
      <w:r w:rsidRPr="008E5D5B" w:rsidR="00CE4CDC">
        <w:rPr>
          <w:szCs w:val="22"/>
        </w:rPr>
        <w:t>The rule further stipulate</w:t>
      </w:r>
      <w:r w:rsidRPr="008E5D5B" w:rsidR="0675F4F2">
        <w:rPr>
          <w:szCs w:val="22"/>
        </w:rPr>
        <w:t>s</w:t>
      </w:r>
      <w:r w:rsidRPr="008E5D5B" w:rsidR="00CE4CDC">
        <w:rPr>
          <w:szCs w:val="22"/>
        </w:rPr>
        <w:t xml:space="preserve"> that i</w:t>
      </w:r>
      <w:r w:rsidRPr="008E5D5B">
        <w:rPr>
          <w:szCs w:val="22"/>
        </w:rPr>
        <w:t>f the bandwidth of the emission is less than 10% of the center frequency, then the field strength measured at 30 meters shall not exceed 15 microvolts per meter</w:t>
      </w:r>
      <w:r w:rsidRPr="008E5D5B" w:rsidR="3E22119A">
        <w:rPr>
          <w:szCs w:val="22"/>
        </w:rPr>
        <w:t xml:space="preserve"> or (</w:t>
      </w:r>
      <w:r w:rsidRPr="008E5D5B" w:rsidR="0E26FA10">
        <w:rPr>
          <w:szCs w:val="22"/>
        </w:rPr>
        <w:t>bandwidth of the device in kHz) / (center frequency of device in MHz) microvolts per meter</w:t>
      </w:r>
      <w:r w:rsidRPr="008E5D5B" w:rsidR="2C545AC4">
        <w:rPr>
          <w:szCs w:val="22"/>
        </w:rPr>
        <w:t>, whichever value is higher</w:t>
      </w:r>
      <w:r w:rsidRPr="008E5D5B">
        <w:rPr>
          <w:szCs w:val="22"/>
        </w:rPr>
        <w:t>.</w:t>
      </w:r>
      <w:r>
        <w:rPr>
          <w:rStyle w:val="FootnoteReference"/>
          <w:szCs w:val="22"/>
        </w:rPr>
        <w:footnoteReference w:id="10"/>
      </w:r>
      <w:r w:rsidRPr="008E5D5B">
        <w:rPr>
          <w:szCs w:val="22"/>
        </w:rPr>
        <w:t xml:space="preserve">  </w:t>
      </w:r>
      <w:r w:rsidRPr="008E5D5B" w:rsidR="004D614C">
        <w:rPr>
          <w:szCs w:val="22"/>
        </w:rPr>
        <w:t>BlueWind</w:t>
      </w:r>
      <w:r w:rsidRPr="008E5D5B" w:rsidR="004D614C">
        <w:rPr>
          <w:szCs w:val="22"/>
        </w:rPr>
        <w:t xml:space="preserve"> </w:t>
      </w:r>
      <w:r w:rsidRPr="008E5D5B" w:rsidR="004D614C">
        <w:rPr>
          <w:szCs w:val="22"/>
        </w:rPr>
        <w:t xml:space="preserve">indicates </w:t>
      </w:r>
      <w:r w:rsidRPr="008E5D5B" w:rsidR="00850D16">
        <w:rPr>
          <w:szCs w:val="22"/>
        </w:rPr>
        <w:t xml:space="preserve">that </w:t>
      </w:r>
      <w:r w:rsidRPr="008E5D5B" w:rsidR="4F5E2646">
        <w:rPr>
          <w:szCs w:val="22"/>
        </w:rPr>
        <w:t>the applicable emission l</w:t>
      </w:r>
      <w:r w:rsidRPr="008E5D5B" w:rsidR="497BC204">
        <w:rPr>
          <w:szCs w:val="22"/>
        </w:rPr>
        <w:t xml:space="preserve">imit </w:t>
      </w:r>
      <w:r w:rsidRPr="008E5D5B" w:rsidR="00E20C18">
        <w:rPr>
          <w:szCs w:val="22"/>
        </w:rPr>
        <w:t xml:space="preserve">under the rule </w:t>
      </w:r>
      <w:r w:rsidRPr="008E5D5B" w:rsidR="00850D16">
        <w:rPr>
          <w:szCs w:val="22"/>
        </w:rPr>
        <w:t xml:space="preserve">would be </w:t>
      </w:r>
      <w:r w:rsidRPr="008E5D5B" w:rsidR="497BC204">
        <w:rPr>
          <w:szCs w:val="22"/>
        </w:rPr>
        <w:t>15 microvolts per meter</w:t>
      </w:r>
      <w:r w:rsidRPr="008E5D5B" w:rsidR="00C12A28">
        <w:rPr>
          <w:szCs w:val="22"/>
        </w:rPr>
        <w:t xml:space="preserve"> at 30 meters</w:t>
      </w:r>
      <w:r w:rsidRPr="008E5D5B" w:rsidR="00F96E58">
        <w:rPr>
          <w:szCs w:val="22"/>
        </w:rPr>
        <w:t>.</w:t>
      </w:r>
      <w:r>
        <w:rPr>
          <w:rStyle w:val="FootnoteReference"/>
          <w:szCs w:val="22"/>
        </w:rPr>
        <w:footnoteReference w:id="11"/>
      </w:r>
      <w:r w:rsidRPr="008E5D5B" w:rsidR="5C002FF9">
        <w:rPr>
          <w:szCs w:val="22"/>
        </w:rPr>
        <w:t xml:space="preserve"> </w:t>
      </w:r>
      <w:r w:rsidRPr="008E5D5B" w:rsidR="00850D16">
        <w:rPr>
          <w:szCs w:val="22"/>
        </w:rPr>
        <w:t xml:space="preserve"> </w:t>
      </w:r>
      <w:r w:rsidRPr="008E5D5B" w:rsidR="00850D16">
        <w:rPr>
          <w:szCs w:val="22"/>
        </w:rPr>
        <w:t>BlueWind</w:t>
      </w:r>
      <w:r w:rsidRPr="008E5D5B" w:rsidR="00850D16">
        <w:rPr>
          <w:szCs w:val="22"/>
        </w:rPr>
        <w:t xml:space="preserve"> </w:t>
      </w:r>
      <w:r w:rsidRPr="008E5D5B" w:rsidR="0024568D">
        <w:rPr>
          <w:szCs w:val="22"/>
        </w:rPr>
        <w:t xml:space="preserve">Medical states that the </w:t>
      </w:r>
      <w:r w:rsidRPr="008E5D5B">
        <w:rPr>
          <w:szCs w:val="22"/>
        </w:rPr>
        <w:t xml:space="preserve">ECU </w:t>
      </w:r>
      <w:r w:rsidRPr="008E5D5B" w:rsidR="0024568D">
        <w:rPr>
          <w:szCs w:val="22"/>
        </w:rPr>
        <w:t xml:space="preserve">produces </w:t>
      </w:r>
      <w:r w:rsidRPr="008E5D5B">
        <w:rPr>
          <w:szCs w:val="22"/>
        </w:rPr>
        <w:t>a maximum average field strength of 77 microvolts per meter.</w:t>
      </w:r>
      <w:r>
        <w:rPr>
          <w:rStyle w:val="FootnoteReference"/>
          <w:szCs w:val="22"/>
        </w:rPr>
        <w:footnoteReference w:id="12"/>
      </w:r>
      <w:r w:rsidRPr="008E5D5B">
        <w:rPr>
          <w:szCs w:val="22"/>
        </w:rPr>
        <w:t xml:space="preserve">  </w:t>
      </w:r>
      <w:r w:rsidRPr="008E5D5B" w:rsidR="0024568D">
        <w:rPr>
          <w:szCs w:val="22"/>
        </w:rPr>
        <w:t xml:space="preserve">However, to account for production tolerances, standard measurement uncertainty and potential adjustments for future generation designs, </w:t>
      </w:r>
      <w:r w:rsidRPr="008E5D5B">
        <w:rPr>
          <w:szCs w:val="22"/>
        </w:rPr>
        <w:t>BlueWind</w:t>
      </w:r>
      <w:r w:rsidRPr="008E5D5B">
        <w:rPr>
          <w:szCs w:val="22"/>
        </w:rPr>
        <w:t xml:space="preserve"> Medical is seeking a waiver to permit </w:t>
      </w:r>
      <w:r w:rsidRPr="008E5D5B" w:rsidR="5E84CEF5">
        <w:rPr>
          <w:szCs w:val="22"/>
        </w:rPr>
        <w:t xml:space="preserve">its </w:t>
      </w:r>
      <w:r w:rsidRPr="008E5D5B">
        <w:rPr>
          <w:szCs w:val="22"/>
        </w:rPr>
        <w:t xml:space="preserve">system </w:t>
      </w:r>
      <w:r w:rsidRPr="008E5D5B" w:rsidR="0024568D">
        <w:rPr>
          <w:szCs w:val="22"/>
        </w:rPr>
        <w:t xml:space="preserve">to be certified and marketed </w:t>
      </w:r>
      <w:r w:rsidRPr="008E5D5B">
        <w:rPr>
          <w:szCs w:val="22"/>
        </w:rPr>
        <w:t xml:space="preserve">with </w:t>
      </w:r>
      <w:r w:rsidRPr="008E5D5B" w:rsidR="0024568D">
        <w:rPr>
          <w:szCs w:val="22"/>
        </w:rPr>
        <w:t>ECU emission</w:t>
      </w:r>
      <w:r w:rsidRPr="008E5D5B" w:rsidR="004B7F69">
        <w:rPr>
          <w:szCs w:val="22"/>
        </w:rPr>
        <w:t>s</w:t>
      </w:r>
      <w:r w:rsidRPr="008E5D5B" w:rsidR="0024568D">
        <w:rPr>
          <w:szCs w:val="22"/>
        </w:rPr>
        <w:t xml:space="preserve"> to not exceed </w:t>
      </w:r>
      <w:r w:rsidRPr="008E5D5B" w:rsidR="004B7F69">
        <w:rPr>
          <w:szCs w:val="22"/>
        </w:rPr>
        <w:t xml:space="preserve">a </w:t>
      </w:r>
      <w:r w:rsidRPr="008E5D5B" w:rsidR="0024568D">
        <w:rPr>
          <w:szCs w:val="22"/>
        </w:rPr>
        <w:t xml:space="preserve">108.8 microvolts per meter </w:t>
      </w:r>
      <w:r w:rsidRPr="008E5D5B">
        <w:rPr>
          <w:szCs w:val="22"/>
        </w:rPr>
        <w:t>field strength</w:t>
      </w:r>
      <w:r w:rsidRPr="008E5D5B" w:rsidR="1F3C8094">
        <w:rPr>
          <w:szCs w:val="22"/>
        </w:rPr>
        <w:t>.</w:t>
      </w:r>
      <w:r>
        <w:rPr>
          <w:rStyle w:val="FootnoteReference"/>
          <w:szCs w:val="22"/>
        </w:rPr>
        <w:footnoteReference w:id="13"/>
      </w:r>
    </w:p>
    <w:p w:rsidR="000902BB" w:rsidRPr="008E5D5B" w:rsidP="31A61913" w14:paraId="4053EBBD" w14:textId="612137D0">
      <w:pPr>
        <w:ind w:firstLine="720"/>
        <w:rPr>
          <w:szCs w:val="22"/>
        </w:rPr>
      </w:pPr>
    </w:p>
    <w:p w:rsidR="00131BB7" w:rsidRPr="008E5D5B" w:rsidP="23D18E2E" w14:paraId="6D8989E6" w14:textId="4CBC70D7">
      <w:pPr>
        <w:autoSpaceDE w:val="0"/>
        <w:autoSpaceDN w:val="0"/>
        <w:adjustRightInd w:val="0"/>
        <w:ind w:firstLine="720"/>
        <w:rPr>
          <w:szCs w:val="22"/>
        </w:rPr>
      </w:pPr>
      <w:r w:rsidRPr="008E5D5B">
        <w:rPr>
          <w:szCs w:val="22"/>
        </w:rPr>
        <w:t>We</w:t>
      </w:r>
      <w:r w:rsidRPr="008E5D5B" w:rsidR="6B49F1CC">
        <w:rPr>
          <w:szCs w:val="22"/>
        </w:rPr>
        <w:t xml:space="preserve"> seek comment on </w:t>
      </w:r>
      <w:r w:rsidRPr="008E5D5B" w:rsidR="55EC2774">
        <w:rPr>
          <w:szCs w:val="22"/>
        </w:rPr>
        <w:t>BlueWind</w:t>
      </w:r>
      <w:r w:rsidRPr="008E5D5B" w:rsidR="55EC2774">
        <w:rPr>
          <w:szCs w:val="22"/>
        </w:rPr>
        <w:t xml:space="preserve"> Medical’s </w:t>
      </w:r>
      <w:r w:rsidRPr="008E5D5B" w:rsidR="6EFA0A67">
        <w:rPr>
          <w:szCs w:val="22"/>
        </w:rPr>
        <w:t>W</w:t>
      </w:r>
      <w:r w:rsidRPr="008E5D5B" w:rsidR="6B49F1CC">
        <w:rPr>
          <w:szCs w:val="22"/>
        </w:rPr>
        <w:t xml:space="preserve">aiver </w:t>
      </w:r>
      <w:r w:rsidRPr="008E5D5B" w:rsidR="79659D41">
        <w:rPr>
          <w:szCs w:val="22"/>
        </w:rPr>
        <w:t>R</w:t>
      </w:r>
      <w:r w:rsidRPr="008E5D5B" w:rsidR="6B49F1CC">
        <w:rPr>
          <w:szCs w:val="22"/>
        </w:rPr>
        <w:t xml:space="preserve">equest.  </w:t>
      </w:r>
      <w:r w:rsidRPr="008E5D5B" w:rsidR="082A1FD8">
        <w:rPr>
          <w:szCs w:val="22"/>
        </w:rPr>
        <w:t>T</w:t>
      </w:r>
      <w:r w:rsidRPr="008E5D5B" w:rsidR="6B49F1CC">
        <w:rPr>
          <w:szCs w:val="22"/>
        </w:rPr>
        <w:t xml:space="preserve">o develop a complete record on the issues presented by this request, this </w:t>
      </w:r>
      <w:r w:rsidRPr="008E5D5B" w:rsidR="6B49F1CC">
        <w:rPr>
          <w:spacing w:val="-3"/>
          <w:szCs w:val="22"/>
        </w:rPr>
        <w:t xml:space="preserve">proceeding will be treated, for </w:t>
      </w:r>
      <w:r w:rsidRPr="008E5D5B" w:rsidR="6B49F1CC">
        <w:rPr>
          <w:i/>
          <w:iCs/>
          <w:spacing w:val="-3"/>
          <w:szCs w:val="22"/>
        </w:rPr>
        <w:t xml:space="preserve">ex </w:t>
      </w:r>
      <w:r w:rsidRPr="008E5D5B" w:rsidR="6B49F1CC">
        <w:rPr>
          <w:i/>
          <w:iCs/>
          <w:spacing w:val="-3"/>
          <w:szCs w:val="22"/>
        </w:rPr>
        <w:t>parte</w:t>
      </w:r>
      <w:r w:rsidRPr="008E5D5B" w:rsidR="6B49F1CC">
        <w:rPr>
          <w:spacing w:val="-3"/>
          <w:szCs w:val="22"/>
        </w:rPr>
        <w:t xml:space="preserve"> purposes, as "permit-but-disclose" in accordance with Section 1.1200(a) of the Commission's rules, subject to the requirements under Section 1.1206(b).</w:t>
      </w:r>
      <w:r w:rsidRPr="008E5D5B" w:rsidR="087D4E38">
        <w:rPr>
          <w:spacing w:val="-3"/>
          <w:szCs w:val="22"/>
        </w:rPr>
        <w:t xml:space="preserve">  </w:t>
      </w:r>
      <w:r w:rsidRPr="008E5D5B" w:rsidR="4A3107F4">
        <w:rPr>
          <w:spacing w:val="-3"/>
          <w:szCs w:val="22"/>
        </w:rPr>
        <w:t>BlueWind</w:t>
      </w:r>
      <w:r w:rsidRPr="008E5D5B" w:rsidR="087D4E38">
        <w:rPr>
          <w:spacing w:val="-3"/>
          <w:szCs w:val="22"/>
        </w:rPr>
        <w:t xml:space="preserve"> </w:t>
      </w:r>
      <w:r w:rsidRPr="008E5D5B" w:rsidR="4A3107F4">
        <w:rPr>
          <w:spacing w:val="-3"/>
          <w:szCs w:val="22"/>
        </w:rPr>
        <w:t xml:space="preserve">Medical </w:t>
      </w:r>
      <w:r w:rsidRPr="008E5D5B" w:rsidR="087D4E38">
        <w:rPr>
          <w:spacing w:val="-3"/>
          <w:szCs w:val="22"/>
        </w:rPr>
        <w:t xml:space="preserve">filed its petition electronically as a non-docketed proceeding in the </w:t>
      </w:r>
      <w:r w:rsidRPr="008E5D5B" w:rsidR="5E960B9F">
        <w:rPr>
          <w:spacing w:val="-3"/>
          <w:szCs w:val="22"/>
        </w:rPr>
        <w:t>Commission’s</w:t>
      </w:r>
      <w:r w:rsidRPr="008E5D5B" w:rsidR="087D4E38">
        <w:rPr>
          <w:spacing w:val="-3"/>
          <w:szCs w:val="22"/>
        </w:rPr>
        <w:t xml:space="preserve"> Electronic Comment Filing System.</w:t>
      </w:r>
      <w:r>
        <w:rPr>
          <w:rStyle w:val="FootnoteReference"/>
          <w:szCs w:val="22"/>
        </w:rPr>
        <w:footnoteReference w:id="14"/>
      </w:r>
      <w:r w:rsidRPr="008E5D5B" w:rsidR="0D354A48">
        <w:rPr>
          <w:szCs w:val="22"/>
        </w:rPr>
        <w:t xml:space="preserve">  We have opened a new docket, </w:t>
      </w:r>
      <w:r w:rsidRPr="008E5D5B" w:rsidR="0D354A48">
        <w:rPr>
          <w:b/>
          <w:bCs/>
          <w:szCs w:val="22"/>
        </w:rPr>
        <w:t xml:space="preserve">ET Docket </w:t>
      </w:r>
      <w:r w:rsidRPr="008E5D5B" w:rsidR="008E5D5B">
        <w:rPr>
          <w:b/>
          <w:bCs/>
          <w:szCs w:val="22"/>
        </w:rPr>
        <w:t>23-27</w:t>
      </w:r>
      <w:r w:rsidR="00572F2F">
        <w:rPr>
          <w:b/>
          <w:bCs/>
          <w:szCs w:val="22"/>
        </w:rPr>
        <w:t xml:space="preserve"> </w:t>
      </w:r>
      <w:r w:rsidRPr="008E5D5B" w:rsidR="0D354A48">
        <w:rPr>
          <w:szCs w:val="22"/>
        </w:rPr>
        <w:t xml:space="preserve">to facilitate consideration of this request and have moved </w:t>
      </w:r>
      <w:r w:rsidRPr="008E5D5B" w:rsidR="27BDC583">
        <w:rPr>
          <w:szCs w:val="22"/>
        </w:rPr>
        <w:t>BlueWind</w:t>
      </w:r>
      <w:r w:rsidRPr="008E5D5B" w:rsidR="27BDC583">
        <w:rPr>
          <w:szCs w:val="22"/>
        </w:rPr>
        <w:t xml:space="preserve"> Medical</w:t>
      </w:r>
      <w:r w:rsidRPr="008E5D5B" w:rsidR="0D354A48">
        <w:rPr>
          <w:szCs w:val="22"/>
        </w:rPr>
        <w:t xml:space="preserve">’s submission into this docket.  Parties should file all comments and reply comments in </w:t>
      </w:r>
      <w:r w:rsidRPr="008E5D5B" w:rsidR="0D354A48">
        <w:rPr>
          <w:b/>
          <w:bCs/>
          <w:szCs w:val="22"/>
        </w:rPr>
        <w:t xml:space="preserve">ET Docket </w:t>
      </w:r>
      <w:r w:rsidRPr="008E5D5B" w:rsidR="008E5D5B">
        <w:rPr>
          <w:b/>
          <w:bCs/>
          <w:szCs w:val="22"/>
        </w:rPr>
        <w:t>23-27</w:t>
      </w:r>
      <w:r w:rsidRPr="008E5D5B" w:rsidR="0D354A48">
        <w:rPr>
          <w:szCs w:val="22"/>
        </w:rPr>
        <w:t>.</w:t>
      </w:r>
    </w:p>
    <w:p w:rsidR="00131BB7" w:rsidRPr="008E5D5B" w:rsidP="000902BB" w14:paraId="7F05CBA4" w14:textId="77777777">
      <w:pPr>
        <w:rPr>
          <w:szCs w:val="22"/>
        </w:rPr>
      </w:pPr>
    </w:p>
    <w:p w:rsidR="000902BB" w:rsidRPr="008E5D5B" w:rsidP="00511F1A" w14:paraId="6E62E136" w14:textId="33272010">
      <w:pPr>
        <w:ind w:firstLine="720"/>
        <w:rPr>
          <w:szCs w:val="22"/>
        </w:rPr>
      </w:pPr>
      <w:r w:rsidRPr="008E5D5B">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E5D5B">
        <w:rPr>
          <w:i/>
          <w:szCs w:val="22"/>
        </w:rPr>
        <w:t>See Electronic Filing of Documents in Rulemaking Proceedings</w:t>
      </w:r>
      <w:r w:rsidRPr="008E5D5B">
        <w:rPr>
          <w:szCs w:val="22"/>
        </w:rPr>
        <w:t>, 63 FR 24121 (1998).</w:t>
      </w:r>
    </w:p>
    <w:p w:rsidR="000902BB" w:rsidRPr="008E5D5B" w:rsidP="000902BB" w14:paraId="6266B5DF" w14:textId="77777777">
      <w:pPr>
        <w:rPr>
          <w:szCs w:val="22"/>
        </w:rPr>
      </w:pPr>
    </w:p>
    <w:p w:rsidR="000902BB" w:rsidRPr="008E5D5B" w:rsidP="00B840A7" w14:paraId="195C2386" w14:textId="38F8A031">
      <w:pPr>
        <w:pStyle w:val="ListParagraph"/>
        <w:numPr>
          <w:ilvl w:val="0"/>
          <w:numId w:val="8"/>
        </w:numPr>
        <w:ind w:left="720" w:hanging="360"/>
        <w:rPr>
          <w:szCs w:val="22"/>
        </w:rPr>
      </w:pPr>
      <w:r w:rsidRPr="008E5D5B">
        <w:rPr>
          <w:szCs w:val="22"/>
        </w:rPr>
        <w:t xml:space="preserve">Electronic Filers:  Comments may be filed electronically using the Internet by accessing the ECFS:  </w:t>
      </w:r>
      <w:hyperlink r:id="rId5" w:history="1">
        <w:r w:rsidRPr="008E5D5B" w:rsidR="00894C45">
          <w:rPr>
            <w:rStyle w:val="Hyperlink"/>
            <w:szCs w:val="22"/>
          </w:rPr>
          <w:t>http://apps.fcc.gov/ecfs/</w:t>
        </w:r>
      </w:hyperlink>
      <w:r w:rsidRPr="008E5D5B">
        <w:rPr>
          <w:szCs w:val="22"/>
        </w:rPr>
        <w:t>.</w:t>
      </w:r>
      <w:r w:rsidRPr="008E5D5B" w:rsidR="00894C45">
        <w:rPr>
          <w:szCs w:val="22"/>
        </w:rPr>
        <w:t xml:space="preserve"> </w:t>
      </w:r>
    </w:p>
    <w:p w:rsidR="000902BB" w:rsidRPr="008E5D5B" w:rsidP="000902BB" w14:paraId="7ECB9AA7" w14:textId="77777777">
      <w:pPr>
        <w:rPr>
          <w:szCs w:val="22"/>
        </w:rPr>
      </w:pPr>
    </w:p>
    <w:p w:rsidR="000902BB" w:rsidRPr="008E5D5B" w:rsidP="00B840A7" w14:paraId="63F8E3BD" w14:textId="3DF4F58D">
      <w:pPr>
        <w:pStyle w:val="ListParagraph"/>
        <w:numPr>
          <w:ilvl w:val="0"/>
          <w:numId w:val="8"/>
        </w:numPr>
        <w:ind w:left="720" w:hanging="360"/>
        <w:rPr>
          <w:szCs w:val="22"/>
        </w:rPr>
      </w:pPr>
      <w:r w:rsidRPr="008E5D5B">
        <w:rPr>
          <w:szCs w:val="22"/>
        </w:rPr>
        <w:t>Paper Filers:  Parties who choose to file by paper must file an original and one copy of each filing.</w:t>
      </w:r>
      <w:r w:rsidRPr="008E5D5B" w:rsidR="24BBF996">
        <w:rPr>
          <w:szCs w:val="22"/>
        </w:rPr>
        <w:t xml:space="preserve">  If more than one docket or rulemaking number appears in the caption of this proceeding, filers must submit two additional copies for each additional docket or rulemaking number.</w:t>
      </w:r>
    </w:p>
    <w:p w:rsidR="000902BB" w:rsidRPr="008E5D5B" w:rsidP="000902BB" w14:paraId="5E45B93A" w14:textId="77777777">
      <w:pPr>
        <w:rPr>
          <w:szCs w:val="22"/>
        </w:rPr>
      </w:pPr>
    </w:p>
    <w:p w:rsidR="000902BB" w:rsidRPr="008E5D5B" w:rsidP="00D96A2D" w14:paraId="33DFD1AB" w14:textId="21984458">
      <w:pPr>
        <w:pStyle w:val="ListParagraph"/>
        <w:numPr>
          <w:ilvl w:val="0"/>
          <w:numId w:val="8"/>
        </w:numPr>
        <w:ind w:left="720" w:hanging="360"/>
        <w:rPr>
          <w:szCs w:val="22"/>
        </w:rPr>
      </w:pPr>
      <w:r w:rsidRPr="008E5D5B">
        <w:rPr>
          <w:szCs w:val="22"/>
        </w:rPr>
        <w:t>Filings can be sent by commercial overnight courier, or by first-class or overnight U.S. Postal Service mail. All filings must be addressed to the Commission’s Secretary, Office of the Secretary, Federal Communications Commission.</w:t>
      </w:r>
    </w:p>
    <w:p w:rsidR="000902BB" w:rsidRPr="008E5D5B" w:rsidP="000902BB" w14:paraId="2C7B60AB" w14:textId="77777777">
      <w:pPr>
        <w:rPr>
          <w:szCs w:val="22"/>
        </w:rPr>
      </w:pPr>
    </w:p>
    <w:p w:rsidR="000902BB" w:rsidRPr="008E5D5B" w:rsidP="000902BB" w14:paraId="4E2B4335" w14:textId="7518DF42">
      <w:pPr>
        <w:pStyle w:val="ListParagraph"/>
        <w:numPr>
          <w:ilvl w:val="0"/>
          <w:numId w:val="8"/>
        </w:numPr>
        <w:ind w:left="720" w:hanging="360"/>
        <w:rPr>
          <w:szCs w:val="22"/>
        </w:rPr>
      </w:pPr>
      <w:r w:rsidRPr="008E5D5B">
        <w:rPr>
          <w:szCs w:val="22"/>
        </w:rPr>
        <w:t>Commercial overnight mail (other than U.S. Postal Service Express Mail and Priority Mail) must be sent to 9050 Junction Drive, Annapolis Junction, MD 20701.U.S. Postal Service first-class, Express, and Priority mail must be addressed to 45 L Street NE</w:t>
      </w:r>
      <w:r w:rsidRPr="008E5D5B" w:rsidR="00D96A2D">
        <w:rPr>
          <w:szCs w:val="22"/>
        </w:rPr>
        <w:t xml:space="preserve"> </w:t>
      </w:r>
      <w:r w:rsidRPr="008E5D5B">
        <w:rPr>
          <w:szCs w:val="22"/>
        </w:rPr>
        <w:t>Washington, DC  20554</w:t>
      </w:r>
    </w:p>
    <w:p w:rsidR="000902BB" w:rsidRPr="008E5D5B" w:rsidP="000902BB" w14:paraId="6CBE1D5F" w14:textId="77777777">
      <w:pPr>
        <w:rPr>
          <w:szCs w:val="22"/>
        </w:rPr>
      </w:pPr>
    </w:p>
    <w:p w:rsidR="000902BB" w:rsidRPr="008E5D5B" w:rsidP="00952B1D" w14:paraId="5479AC8A" w14:textId="31D36E20">
      <w:pPr>
        <w:pStyle w:val="ListParagraph"/>
        <w:numPr>
          <w:ilvl w:val="0"/>
          <w:numId w:val="8"/>
        </w:numPr>
        <w:ind w:left="720" w:hanging="360"/>
        <w:rPr>
          <w:szCs w:val="22"/>
        </w:rPr>
      </w:pPr>
      <w:r w:rsidRPr="008E5D5B">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5"/>
      </w:r>
      <w:r w:rsidRPr="008E5D5B">
        <w:rPr>
          <w:szCs w:val="22"/>
        </w:rPr>
        <w:t xml:space="preserve">  </w:t>
      </w:r>
      <w:r w:rsidRPr="008E5D5B" w:rsidR="11BA75F3">
        <w:rPr>
          <w:szCs w:val="22"/>
        </w:rPr>
        <w:t xml:space="preserve">  </w:t>
      </w:r>
    </w:p>
    <w:p w:rsidR="000902BB" w:rsidRPr="008E5D5B" w:rsidP="000902BB" w14:paraId="5ADCFAAE" w14:textId="77777777">
      <w:pPr>
        <w:rPr>
          <w:szCs w:val="22"/>
        </w:rPr>
      </w:pPr>
    </w:p>
    <w:p w:rsidR="000902BB" w:rsidRPr="008E5D5B" w:rsidP="008E5D5B" w14:paraId="20DCFE53" w14:textId="77777777">
      <w:pPr>
        <w:widowControl/>
        <w:rPr>
          <w:szCs w:val="22"/>
        </w:rPr>
      </w:pPr>
      <w:r w:rsidRPr="008E5D5B">
        <w:rPr>
          <w:szCs w:val="22"/>
        </w:rPr>
        <w:t xml:space="preserve">People with Disabilities:  To request materials in accessible formats for people with disabilities (braille, large print, electronic files, audio format), send an e-mail to </w:t>
      </w:r>
      <w:hyperlink r:id="rId6" w:history="1">
        <w:r w:rsidRPr="008E5D5B">
          <w:rPr>
            <w:color w:val="0000FF"/>
            <w:szCs w:val="22"/>
            <w:u w:val="single"/>
          </w:rPr>
          <w:t>fcc504@fcc.gov</w:t>
        </w:r>
      </w:hyperlink>
      <w:r w:rsidRPr="008E5D5B">
        <w:rPr>
          <w:szCs w:val="22"/>
        </w:rPr>
        <w:t xml:space="preserve"> or call the Consumer &amp; Governmental Affairs Bureau at 202-418-0530 (voice), 202-418-0432 (TTY).</w:t>
      </w:r>
    </w:p>
    <w:p w:rsidR="000902BB" w:rsidRPr="008E5D5B" w14:paraId="5F44D316" w14:textId="5C72DF71">
      <w:pPr>
        <w:rPr>
          <w:szCs w:val="22"/>
        </w:rPr>
      </w:pPr>
    </w:p>
    <w:p w:rsidR="00BA5F36" w:rsidRPr="008E5D5B" w:rsidP="00BA5F36" w14:paraId="0AA209DF" w14:textId="727058DC">
      <w:pPr>
        <w:widowControl/>
        <w:autoSpaceDE w:val="0"/>
        <w:autoSpaceDN w:val="0"/>
        <w:adjustRightInd w:val="0"/>
        <w:rPr>
          <w:szCs w:val="22"/>
        </w:rPr>
      </w:pPr>
      <w:r w:rsidRPr="008E5D5B">
        <w:rPr>
          <w:snapToGrid/>
          <w:kern w:val="0"/>
          <w:szCs w:val="22"/>
        </w:rPr>
        <w:t xml:space="preserve">Parties should also send a copy of their filings to </w:t>
      </w:r>
      <w:r w:rsidRPr="008E5D5B" w:rsidR="493B47AA">
        <w:rPr>
          <w:snapToGrid/>
          <w:kern w:val="0"/>
          <w:szCs w:val="22"/>
        </w:rPr>
        <w:t>Damian G. Ariza</w:t>
      </w:r>
      <w:r w:rsidRPr="008E5D5B">
        <w:rPr>
          <w:snapToGrid/>
          <w:kern w:val="0"/>
          <w:szCs w:val="22"/>
        </w:rPr>
        <w:t xml:space="preserve">, </w:t>
      </w:r>
      <w:r w:rsidRPr="008E5D5B">
        <w:rPr>
          <w:snapToGrid/>
          <w:kern w:val="0"/>
          <w:szCs w:val="22"/>
        </w:rPr>
        <w:t>Office of Engineering and Technology</w:t>
      </w:r>
      <w:r w:rsidRPr="008E5D5B" w:rsidR="00C063BB">
        <w:rPr>
          <w:snapToGrid/>
          <w:kern w:val="0"/>
          <w:szCs w:val="22"/>
        </w:rPr>
        <w:t xml:space="preserve">, Federal Communications Commission, 45 L Street, NE, Washington, DC  20554, or by e-mail to </w:t>
      </w:r>
      <w:hyperlink r:id="rId7" w:history="1">
        <w:r w:rsidRPr="008E5D5B" w:rsidR="004A2ECE">
          <w:rPr>
            <w:rStyle w:val="Hyperlink"/>
            <w:snapToGrid/>
            <w:kern w:val="0"/>
            <w:szCs w:val="22"/>
          </w:rPr>
          <w:t>damian.ariza@fcc.gov</w:t>
        </w:r>
      </w:hyperlink>
      <w:r w:rsidRPr="008E5D5B" w:rsidR="004B5579">
        <w:rPr>
          <w:snapToGrid/>
          <w:kern w:val="0"/>
          <w:szCs w:val="22"/>
        </w:rPr>
        <w:t xml:space="preserve">. </w:t>
      </w:r>
      <w:r w:rsidRPr="008E5D5B" w:rsidR="078E3C54">
        <w:rPr>
          <w:snapToGrid/>
          <w:kern w:val="0"/>
          <w:szCs w:val="22"/>
        </w:rPr>
        <w:t xml:space="preserve"> Documents associated with this docket will be available for public inspection through the Commission’s ECFS. </w:t>
      </w:r>
    </w:p>
    <w:p w:rsidR="00F57A99" w:rsidRPr="008E5D5B" w:rsidP="00BA5F36" w14:paraId="1E1372DF" w14:textId="77777777">
      <w:pPr>
        <w:widowControl/>
        <w:autoSpaceDE w:val="0"/>
        <w:autoSpaceDN w:val="0"/>
        <w:adjustRightInd w:val="0"/>
        <w:rPr>
          <w:snapToGrid/>
          <w:kern w:val="0"/>
          <w:szCs w:val="22"/>
        </w:rPr>
      </w:pPr>
    </w:p>
    <w:p w:rsidR="00BA5F36" w:rsidRPr="008E5D5B" w:rsidP="00BA5F36" w14:paraId="05616DC2" w14:textId="5DD8320E">
      <w:pPr>
        <w:widowControl/>
        <w:autoSpaceDE w:val="0"/>
        <w:autoSpaceDN w:val="0"/>
        <w:adjustRightInd w:val="0"/>
        <w:rPr>
          <w:snapToGrid/>
          <w:kern w:val="0"/>
          <w:szCs w:val="22"/>
        </w:rPr>
      </w:pPr>
      <w:r w:rsidRPr="008E5D5B">
        <w:rPr>
          <w:snapToGrid/>
          <w:kern w:val="0"/>
          <w:szCs w:val="22"/>
        </w:rPr>
        <w:t>By the Acting Chief, Office of Engineering and Technology</w:t>
      </w:r>
    </w:p>
    <w:p w:rsidR="00F57A99" w:rsidRPr="008E5D5B" w:rsidP="00BA5F36" w14:paraId="4A053953" w14:textId="77777777">
      <w:pPr>
        <w:widowControl/>
        <w:autoSpaceDE w:val="0"/>
        <w:autoSpaceDN w:val="0"/>
        <w:adjustRightInd w:val="0"/>
        <w:rPr>
          <w:snapToGrid/>
          <w:kern w:val="0"/>
          <w:szCs w:val="22"/>
        </w:rPr>
      </w:pPr>
    </w:p>
    <w:p w:rsidR="00BA5F36" w:rsidRPr="008E5D5B" w:rsidP="0072263B" w14:paraId="3DF2C6A5" w14:textId="6794505B">
      <w:pPr>
        <w:jc w:val="center"/>
        <w:rPr>
          <w:szCs w:val="22"/>
        </w:rPr>
      </w:pPr>
      <w:r w:rsidRPr="008E5D5B">
        <w:rPr>
          <w:snapToGrid/>
          <w:kern w:val="0"/>
          <w:szCs w:val="22"/>
        </w:rPr>
        <w:t>-FCC</w:t>
      </w:r>
      <w:r w:rsidRPr="008E5D5B" w:rsidR="0072263B">
        <w:rPr>
          <w:snapToGrid/>
          <w:kern w:val="0"/>
          <w:szCs w:val="22"/>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5FA" w14:paraId="282613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FB75FA" w14:paraId="57C97B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5FA" w14:paraId="622627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5FA" w14:paraId="5848B7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195F" w14:paraId="0BAFAABF" w14:textId="77777777">
      <w:r>
        <w:separator/>
      </w:r>
    </w:p>
  </w:footnote>
  <w:footnote w:type="continuationSeparator" w:id="1">
    <w:p w:rsidR="00B3195F" w14:paraId="4ED0F3B3" w14:textId="77777777">
      <w:pPr>
        <w:rPr>
          <w:sz w:val="20"/>
        </w:rPr>
      </w:pPr>
      <w:r>
        <w:rPr>
          <w:sz w:val="20"/>
        </w:rPr>
        <w:t xml:space="preserve">(Continued from previous page)  </w:t>
      </w:r>
      <w:r>
        <w:rPr>
          <w:sz w:val="20"/>
        </w:rPr>
        <w:separator/>
      </w:r>
    </w:p>
  </w:footnote>
  <w:footnote w:type="continuationNotice" w:id="2">
    <w:p w:rsidR="00B3195F" w14:paraId="4D47EC52" w14:textId="77777777">
      <w:pPr>
        <w:jc w:val="right"/>
        <w:rPr>
          <w:sz w:val="20"/>
        </w:rPr>
      </w:pPr>
      <w:r>
        <w:rPr>
          <w:sz w:val="20"/>
        </w:rPr>
        <w:t>(continued….)</w:t>
      </w:r>
    </w:p>
  </w:footnote>
  <w:footnote w:id="3">
    <w:p w:rsidR="00BD554C" w:rsidP="0B754DB6" w14:paraId="3A23B610" w14:textId="496E33CC">
      <w:pPr>
        <w:spacing w:after="120"/>
        <w:rPr>
          <w:color w:val="000000" w:themeColor="text1"/>
          <w:sz w:val="20"/>
        </w:rPr>
      </w:pPr>
      <w:r w:rsidRPr="31A61913">
        <w:rPr>
          <w:rStyle w:val="FootnoteReference"/>
        </w:rPr>
        <w:footnoteRef/>
      </w:r>
      <w:r w:rsidR="0B754DB6">
        <w:t xml:space="preserve"> </w:t>
      </w:r>
      <w:r w:rsidRPr="0B754DB6" w:rsidR="0B754DB6">
        <w:rPr>
          <w:color w:val="000000" w:themeColor="text1"/>
          <w:sz w:val="20"/>
        </w:rPr>
        <w:t>Bluewind</w:t>
      </w:r>
      <w:r w:rsidRPr="0B754DB6" w:rsidR="0B754DB6">
        <w:rPr>
          <w:color w:val="000000" w:themeColor="text1"/>
          <w:sz w:val="20"/>
        </w:rPr>
        <w:t xml:space="preserve"> Medical Ltd. Request for Waiver of Section 15.223(a) of the Commission’s Rules for Intentional Radiators, ET Docket No. </w:t>
      </w:r>
      <w:r w:rsidR="008E5D5B">
        <w:rPr>
          <w:color w:val="000000" w:themeColor="text1"/>
          <w:sz w:val="20"/>
        </w:rPr>
        <w:t>23-27</w:t>
      </w:r>
      <w:r w:rsidRPr="0B754DB6" w:rsidR="0B754DB6">
        <w:rPr>
          <w:color w:val="000000" w:themeColor="text1"/>
          <w:sz w:val="20"/>
        </w:rPr>
        <w:t xml:space="preserve"> (filed Dec. 23, 2022), </w:t>
      </w:r>
      <w:hyperlink r:id="rId1" w:history="1">
        <w:r w:rsidRPr="005C376F" w:rsidR="00D86CBB">
          <w:rPr>
            <w:rStyle w:val="Hyperlink"/>
            <w:sz w:val="20"/>
          </w:rPr>
          <w:t>https://www.fcc.gov/ecfs/document/12230049602107/1</w:t>
        </w:r>
      </w:hyperlink>
      <w:r w:rsidR="00D86CBB">
        <w:rPr>
          <w:color w:val="000000" w:themeColor="text1"/>
          <w:sz w:val="20"/>
        </w:rPr>
        <w:t xml:space="preserve"> </w:t>
      </w:r>
      <w:r w:rsidRPr="0B754DB6" w:rsidR="0B754DB6">
        <w:rPr>
          <w:color w:val="000000" w:themeColor="text1"/>
          <w:sz w:val="20"/>
        </w:rPr>
        <w:t xml:space="preserve"> (</w:t>
      </w:r>
      <w:r w:rsidRPr="0B754DB6" w:rsidR="0B754DB6">
        <w:rPr>
          <w:color w:val="000000" w:themeColor="text1"/>
          <w:sz w:val="20"/>
        </w:rPr>
        <w:t>BlueWind</w:t>
      </w:r>
      <w:r w:rsidRPr="0B754DB6" w:rsidR="0B754DB6">
        <w:rPr>
          <w:color w:val="000000" w:themeColor="text1"/>
          <w:sz w:val="20"/>
        </w:rPr>
        <w:t xml:space="preserve"> Waiver Request).</w:t>
      </w:r>
    </w:p>
  </w:footnote>
  <w:footnote w:id="4">
    <w:p w:rsidR="00410B40" w14:paraId="4F74887D" w14:textId="7811403D">
      <w:pPr>
        <w:pStyle w:val="FootnoteText"/>
      </w:pPr>
      <w:r>
        <w:rPr>
          <w:rStyle w:val="FootnoteReference"/>
        </w:rPr>
        <w:footnoteRef/>
      </w:r>
      <w:r w:rsidR="0B754DB6">
        <w:t xml:space="preserve"> </w:t>
      </w:r>
      <w:r w:rsidR="0B754DB6">
        <w:t>BlueWind</w:t>
      </w:r>
      <w:r w:rsidR="0B754DB6">
        <w:t xml:space="preserve"> Waiver Request at 1.</w:t>
      </w:r>
    </w:p>
  </w:footnote>
  <w:footnote w:id="5">
    <w:p w:rsidR="00625897" w:rsidP="1A58F87E" w14:paraId="405C6D6B" w14:textId="479718BD">
      <w:pPr>
        <w:pStyle w:val="FootnoteText"/>
        <w:rPr>
          <w:color w:val="000000" w:themeColor="text1"/>
        </w:rPr>
      </w:pPr>
      <w:r>
        <w:rPr>
          <w:rStyle w:val="FootnoteReference"/>
        </w:rPr>
        <w:footnoteRef/>
      </w:r>
      <w:r w:rsidR="0B754DB6">
        <w:t xml:space="preserve"> </w:t>
      </w:r>
      <w:r w:rsidRPr="0B754DB6" w:rsidR="0B754DB6">
        <w:rPr>
          <w:i/>
          <w:iCs/>
          <w:color w:val="000000" w:themeColor="text1"/>
        </w:rPr>
        <w:t>Id</w:t>
      </w:r>
      <w:r w:rsidR="0B754DB6">
        <w:rPr>
          <w:color w:val="000000" w:themeColor="text1"/>
        </w:rPr>
        <w:t>.</w:t>
      </w:r>
      <w:r w:rsidRPr="0B754DB6" w:rsidR="0B754DB6">
        <w:rPr>
          <w:i/>
          <w:iCs/>
          <w:color w:val="000000" w:themeColor="text1"/>
        </w:rPr>
        <w:t xml:space="preserve"> </w:t>
      </w:r>
      <w:r w:rsidRPr="31A61913" w:rsidR="0B754DB6">
        <w:rPr>
          <w:color w:val="000000" w:themeColor="text1"/>
        </w:rPr>
        <w:t xml:space="preserve">at </w:t>
      </w:r>
      <w:r w:rsidR="0B754DB6">
        <w:rPr>
          <w:color w:val="000000" w:themeColor="text1"/>
        </w:rPr>
        <w:t>3.</w:t>
      </w:r>
    </w:p>
  </w:footnote>
  <w:footnote w:id="6">
    <w:p w:rsidR="00BD554C" w:rsidP="31A61913" w14:paraId="001B6539" w14:textId="554A5284">
      <w:pPr>
        <w:pStyle w:val="FootnoteText"/>
        <w:rPr>
          <w:color w:val="000000" w:themeColor="text1"/>
        </w:rPr>
      </w:pPr>
      <w:r w:rsidRPr="31A61913">
        <w:rPr>
          <w:rStyle w:val="FootnoteReference"/>
        </w:rPr>
        <w:footnoteRef/>
      </w:r>
      <w:r w:rsidR="1A58F87E">
        <w:t xml:space="preserve"> </w:t>
      </w:r>
      <w:r w:rsidRPr="1A58F87E" w:rsidR="1A58F87E">
        <w:rPr>
          <w:i/>
          <w:iCs/>
          <w:color w:val="000000" w:themeColor="text1"/>
        </w:rPr>
        <w:t xml:space="preserve">Id. </w:t>
      </w:r>
      <w:r w:rsidRPr="31A61913" w:rsidR="1A58F87E">
        <w:rPr>
          <w:color w:val="000000" w:themeColor="text1"/>
        </w:rPr>
        <w:t>at</w:t>
      </w:r>
      <w:r w:rsidRPr="1A58F87E" w:rsidR="1A58F87E">
        <w:rPr>
          <w:i/>
          <w:iCs/>
          <w:color w:val="000000" w:themeColor="text1"/>
        </w:rPr>
        <w:t xml:space="preserve"> </w:t>
      </w:r>
      <w:r w:rsidR="1A58F87E">
        <w:rPr>
          <w:color w:val="000000" w:themeColor="text1"/>
        </w:rPr>
        <w:t>2</w:t>
      </w:r>
      <w:r w:rsidRPr="31A61913" w:rsidR="1A58F87E">
        <w:rPr>
          <w:color w:val="000000" w:themeColor="text1"/>
        </w:rPr>
        <w:t>.</w:t>
      </w:r>
    </w:p>
  </w:footnote>
  <w:footnote w:id="7">
    <w:p w:rsidR="00625897" w:rsidP="1A58F87E" w14:paraId="3B38B1B8" w14:textId="4AF88C87">
      <w:pPr>
        <w:pStyle w:val="FootnoteText"/>
        <w:rPr>
          <w:color w:val="000000" w:themeColor="text1"/>
        </w:rPr>
      </w:pPr>
      <w:r>
        <w:rPr>
          <w:rStyle w:val="FootnoteReference"/>
        </w:rPr>
        <w:footnoteRef/>
      </w:r>
      <w:r w:rsidR="1A58F87E">
        <w:t xml:space="preserve"> </w:t>
      </w:r>
      <w:r w:rsidRPr="1A58F87E" w:rsidR="1A58F87E">
        <w:rPr>
          <w:i/>
          <w:iCs/>
          <w:color w:val="000000" w:themeColor="text1"/>
        </w:rPr>
        <w:t>Id.</w:t>
      </w:r>
      <w:r w:rsidRPr="5776D62C" w:rsidR="1A58F87E">
        <w:rPr>
          <w:color w:val="000000" w:themeColor="text1"/>
        </w:rPr>
        <w:t xml:space="preserve"> at </w:t>
      </w:r>
      <w:r w:rsidR="1A58F87E">
        <w:rPr>
          <w:color w:val="000000" w:themeColor="text1"/>
        </w:rPr>
        <w:t>4</w:t>
      </w:r>
      <w:r w:rsidRPr="5776D62C" w:rsidR="1A58F87E">
        <w:rPr>
          <w:color w:val="000000" w:themeColor="text1"/>
        </w:rPr>
        <w:t xml:space="preserve">, n. </w:t>
      </w:r>
      <w:r w:rsidR="1A58F87E">
        <w:rPr>
          <w:color w:val="000000" w:themeColor="text1"/>
        </w:rPr>
        <w:t>5 and 6.</w:t>
      </w:r>
    </w:p>
  </w:footnote>
  <w:footnote w:id="8">
    <w:p w:rsidR="0092463C" w14:paraId="2B320876" w14:textId="2DB9F552">
      <w:pPr>
        <w:pStyle w:val="FootnoteText"/>
      </w:pPr>
      <w:r>
        <w:rPr>
          <w:rStyle w:val="FootnoteReference"/>
        </w:rPr>
        <w:footnoteRef/>
      </w:r>
      <w:r w:rsidR="0B754DB6">
        <w:t xml:space="preserve"> </w:t>
      </w:r>
      <w:r w:rsidRPr="0B754DB6" w:rsidR="0B754DB6">
        <w:rPr>
          <w:i/>
          <w:iCs/>
        </w:rPr>
        <w:t>Id.</w:t>
      </w:r>
      <w:r w:rsidRPr="0092463C" w:rsidR="0B754DB6">
        <w:t xml:space="preserve"> at </w:t>
      </w:r>
      <w:r w:rsidR="0B754DB6">
        <w:t>7.</w:t>
      </w:r>
    </w:p>
  </w:footnote>
  <w:footnote w:id="9">
    <w:p w:rsidR="679FF1E5" w:rsidRPr="000A2EEE" w:rsidP="000A2EEE" w14:paraId="6C62BF8F" w14:textId="1A3FD857">
      <w:pPr>
        <w:spacing w:after="120"/>
        <w:rPr>
          <w:color w:val="000000" w:themeColor="text1"/>
          <w:sz w:val="20"/>
        </w:rPr>
      </w:pPr>
      <w:r w:rsidRPr="679FF1E5">
        <w:rPr>
          <w:rStyle w:val="FootnoteReference"/>
        </w:rPr>
        <w:footnoteRef/>
      </w:r>
      <w:r>
        <w:t xml:space="preserve"> </w:t>
      </w:r>
      <w:r w:rsidRPr="679FF1E5">
        <w:rPr>
          <w:color w:val="000000" w:themeColor="text1"/>
          <w:sz w:val="20"/>
        </w:rPr>
        <w:t>47 CFR § 15.223(a).</w:t>
      </w:r>
    </w:p>
  </w:footnote>
  <w:footnote w:id="10">
    <w:p w:rsidR="00BD554C" w:rsidP="000A2EEE" w14:paraId="444921C8" w14:textId="1E5B3070">
      <w:pPr>
        <w:spacing w:after="120"/>
        <w:rPr>
          <w:color w:val="000000" w:themeColor="text1"/>
          <w:sz w:val="20"/>
        </w:rPr>
      </w:pPr>
      <w:r w:rsidRPr="31A61913">
        <w:rPr>
          <w:rStyle w:val="FootnoteReference"/>
        </w:rPr>
        <w:footnoteRef/>
      </w:r>
      <w:r w:rsidR="5776D62C">
        <w:t xml:space="preserve"> </w:t>
      </w:r>
      <w:r w:rsidRPr="5776D62C" w:rsidR="5776D62C">
        <w:rPr>
          <w:i/>
          <w:iCs/>
          <w:color w:val="000000" w:themeColor="text1"/>
          <w:sz w:val="20"/>
        </w:rPr>
        <w:t>Id</w:t>
      </w:r>
      <w:r w:rsidRPr="5776D62C" w:rsidR="5776D62C">
        <w:rPr>
          <w:color w:val="000000" w:themeColor="text1"/>
          <w:sz w:val="20"/>
        </w:rPr>
        <w:t>.</w:t>
      </w:r>
    </w:p>
  </w:footnote>
  <w:footnote w:id="11">
    <w:p w:rsidR="00C12A28" w14:paraId="5D87F25C" w14:textId="7A0B204A">
      <w:pPr>
        <w:pStyle w:val="FootnoteText"/>
      </w:pPr>
      <w:r>
        <w:rPr>
          <w:rStyle w:val="FootnoteReference"/>
        </w:rPr>
        <w:footnoteRef/>
      </w:r>
      <w:r>
        <w:t xml:space="preserve"> </w:t>
      </w:r>
      <w:r>
        <w:t>BlueWind</w:t>
      </w:r>
      <w:r>
        <w:t xml:space="preserve"> Waiver Request at 14</w:t>
      </w:r>
      <w:r w:rsidR="000606BD">
        <w:t>.</w:t>
      </w:r>
    </w:p>
  </w:footnote>
  <w:footnote w:id="12">
    <w:p w:rsidR="00BD554C" w:rsidRPr="000A2EEE" w:rsidP="0B754DB6" w14:paraId="0D435C97" w14:textId="17E2B284">
      <w:pPr>
        <w:spacing w:after="120"/>
        <w:rPr>
          <w:color w:val="000000" w:themeColor="text1"/>
          <w:sz w:val="20"/>
        </w:rPr>
      </w:pPr>
      <w:r w:rsidRPr="31A61913">
        <w:rPr>
          <w:rStyle w:val="FootnoteReference"/>
        </w:rPr>
        <w:footnoteRef/>
      </w:r>
      <w:r w:rsidR="0B754DB6">
        <w:t xml:space="preserve"> </w:t>
      </w:r>
      <w:r w:rsidRPr="00851C16" w:rsidR="00C12A28">
        <w:rPr>
          <w:i/>
          <w:iCs/>
          <w:color w:val="000000" w:themeColor="text1"/>
          <w:sz w:val="20"/>
        </w:rPr>
        <w:t>Id</w:t>
      </w:r>
      <w:r w:rsidR="00C12A28">
        <w:rPr>
          <w:color w:val="000000" w:themeColor="text1"/>
          <w:sz w:val="20"/>
        </w:rPr>
        <w:t>.</w:t>
      </w:r>
      <w:r w:rsidRPr="0B754DB6" w:rsidR="0B754DB6">
        <w:rPr>
          <w:color w:val="000000" w:themeColor="text1"/>
          <w:sz w:val="20"/>
        </w:rPr>
        <w:t xml:space="preserve"> at 13.</w:t>
      </w:r>
    </w:p>
  </w:footnote>
  <w:footnote w:id="13">
    <w:p w:rsidR="23D18E2E" w:rsidP="0B754DB6" w14:paraId="6EB2F9DE" w14:textId="06A92ADB">
      <w:pPr>
        <w:spacing w:after="120"/>
        <w:rPr>
          <w:color w:val="000000" w:themeColor="text1"/>
          <w:sz w:val="20"/>
        </w:rPr>
      </w:pPr>
      <w:r w:rsidRPr="23D18E2E">
        <w:rPr>
          <w:rStyle w:val="FootnoteReference"/>
        </w:rPr>
        <w:footnoteRef/>
      </w:r>
      <w:r w:rsidR="0B754DB6">
        <w:t xml:space="preserve"> </w:t>
      </w:r>
      <w:r w:rsidRPr="0B754DB6" w:rsidR="0B754DB6">
        <w:rPr>
          <w:i/>
          <w:iCs/>
          <w:color w:val="000000" w:themeColor="text1"/>
          <w:sz w:val="20"/>
        </w:rPr>
        <w:t xml:space="preserve">Id. </w:t>
      </w:r>
      <w:r w:rsidRPr="0B754DB6" w:rsidR="0B754DB6">
        <w:rPr>
          <w:color w:val="000000" w:themeColor="text1"/>
          <w:sz w:val="20"/>
        </w:rPr>
        <w:t>at</w:t>
      </w:r>
      <w:r w:rsidRPr="0B754DB6" w:rsidR="0B754DB6">
        <w:rPr>
          <w:i/>
          <w:iCs/>
          <w:color w:val="000000" w:themeColor="text1"/>
          <w:sz w:val="20"/>
        </w:rPr>
        <w:t xml:space="preserve"> </w:t>
      </w:r>
      <w:r w:rsidRPr="0B754DB6" w:rsidR="0B754DB6">
        <w:rPr>
          <w:color w:val="000000" w:themeColor="text1"/>
          <w:sz w:val="20"/>
        </w:rPr>
        <w:t>13-14</w:t>
      </w:r>
      <w:r w:rsidRPr="0B754DB6" w:rsidR="0B754DB6">
        <w:rPr>
          <w:i/>
          <w:iCs/>
          <w:color w:val="000000" w:themeColor="text1"/>
          <w:sz w:val="20"/>
        </w:rPr>
        <w:t>.</w:t>
      </w:r>
    </w:p>
  </w:footnote>
  <w:footnote w:id="14">
    <w:p w:rsidR="5776D62C" w:rsidP="5776D62C" w14:paraId="1ED6BEB3" w14:textId="4EEF23DF">
      <w:pPr>
        <w:pStyle w:val="FootnoteText"/>
      </w:pPr>
      <w:r w:rsidRPr="5776D62C">
        <w:rPr>
          <w:rStyle w:val="FootnoteReference"/>
        </w:rPr>
        <w:footnoteRef/>
      </w:r>
      <w:r w:rsidR="1A58F87E">
        <w:t xml:space="preserve"> </w:t>
      </w:r>
      <w:r w:rsidRPr="00535901" w:rsidR="1A58F87E">
        <w:t>BlueWind</w:t>
      </w:r>
      <w:r w:rsidR="1A58F87E">
        <w:t xml:space="preserve"> Medical</w:t>
      </w:r>
      <w:r w:rsidR="1A58F87E">
        <w:t xml:space="preserve"> filed its request in INBOX-PART15 (”Petition for Waiver of Part 15”), which is located under the Non-Docketed Filing tab in the Commission’s Electronic Comment Filing System (ECFS).</w:t>
      </w:r>
    </w:p>
  </w:footnote>
  <w:footnote w:id="15">
    <w:p w:rsidR="23D18E2E" w:rsidP="23D18E2E" w14:paraId="5D82A987" w14:textId="3AAE6668">
      <w:pPr>
        <w:pStyle w:val="FootnoteText"/>
      </w:pPr>
      <w:r w:rsidRPr="23D18E2E">
        <w:rPr>
          <w:rStyle w:val="FootnoteReference"/>
        </w:rPr>
        <w:footnoteRef/>
      </w:r>
      <w:r>
        <w:t xml:space="preserve"> </w:t>
      </w:r>
      <w:r w:rsidRPr="23D18E2E">
        <w:rPr>
          <w:i/>
          <w:iCs/>
        </w:rPr>
        <w:t>See FCC Announces Closure of FCC Headquarters Open Window and Change in Hand-Delivery Policy</w:t>
      </w:r>
      <w:r>
        <w:t xml:space="preserve">, Public Notice, 35 FCC </w:t>
      </w:r>
      <w:r>
        <w:t>Rcd</w:t>
      </w:r>
      <w:r>
        <w:t xml:space="preserve"> 2788 (OMD 2020), available at </w:t>
      </w:r>
      <w:hyperlink r:id="rId2">
        <w:r w:rsidRPr="23D18E2E">
          <w:rPr>
            <w:rStyle w:val="Hyperlink"/>
          </w:rPr>
          <w:t>https://docs.fcc.gov/public/attachments/DA-20-304A1.pdf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5FA" w14:paraId="692D615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5FA" w14:paraId="61C292B9" w14:textId="4AB1FB2C">
    <w:pPr>
      <w:pStyle w:val="Header"/>
    </w:pPr>
    <w:r>
      <w:rPr>
        <w:noProof/>
        <w:snapToGrid/>
      </w:rPr>
      <w:drawing>
        <wp:inline distT="0" distB="0" distL="0" distR="0">
          <wp:extent cx="5948680"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8680"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A40834"/>
    <w:multiLevelType w:val="hybridMultilevel"/>
    <w:tmpl w:val="25849310"/>
    <w:lvl w:ilvl="0">
      <w:start w:val="1"/>
      <w:numFmt w:val="bullet"/>
      <w:lvlText w:val=""/>
      <w:lvlJc w:val="left"/>
      <w:pPr>
        <w:ind w:left="1155" w:hanging="795"/>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01979B8"/>
    <w:multiLevelType w:val="hybridMultilevel"/>
    <w:tmpl w:val="8FAC2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9F"/>
    <w:rsid w:val="000076F0"/>
    <w:rsid w:val="00023AA2"/>
    <w:rsid w:val="0005339F"/>
    <w:rsid w:val="000568AE"/>
    <w:rsid w:val="000606BD"/>
    <w:rsid w:val="00064FDE"/>
    <w:rsid w:val="000902BB"/>
    <w:rsid w:val="00096167"/>
    <w:rsid w:val="000A178E"/>
    <w:rsid w:val="000A2EEE"/>
    <w:rsid w:val="000A3648"/>
    <w:rsid w:val="000B1072"/>
    <w:rsid w:val="000D72AB"/>
    <w:rsid w:val="000D7333"/>
    <w:rsid w:val="00107AD1"/>
    <w:rsid w:val="00131BB7"/>
    <w:rsid w:val="00137333"/>
    <w:rsid w:val="00150490"/>
    <w:rsid w:val="00152F27"/>
    <w:rsid w:val="00163200"/>
    <w:rsid w:val="00170B11"/>
    <w:rsid w:val="001749EE"/>
    <w:rsid w:val="00180CC9"/>
    <w:rsid w:val="001B4955"/>
    <w:rsid w:val="001C13EA"/>
    <w:rsid w:val="001C404C"/>
    <w:rsid w:val="001E1388"/>
    <w:rsid w:val="001E1758"/>
    <w:rsid w:val="001E519F"/>
    <w:rsid w:val="001F4429"/>
    <w:rsid w:val="00205C32"/>
    <w:rsid w:val="00205E33"/>
    <w:rsid w:val="00217F1E"/>
    <w:rsid w:val="002362A5"/>
    <w:rsid w:val="002400F0"/>
    <w:rsid w:val="0024568D"/>
    <w:rsid w:val="00245C50"/>
    <w:rsid w:val="00263453"/>
    <w:rsid w:val="00270BFF"/>
    <w:rsid w:val="00280D01"/>
    <w:rsid w:val="002A5C92"/>
    <w:rsid w:val="0035228E"/>
    <w:rsid w:val="00354377"/>
    <w:rsid w:val="0035644D"/>
    <w:rsid w:val="00371CD0"/>
    <w:rsid w:val="00373C88"/>
    <w:rsid w:val="00377AFF"/>
    <w:rsid w:val="00382288"/>
    <w:rsid w:val="003C6678"/>
    <w:rsid w:val="003E469F"/>
    <w:rsid w:val="003F3345"/>
    <w:rsid w:val="003F667C"/>
    <w:rsid w:val="00410B40"/>
    <w:rsid w:val="00417DBC"/>
    <w:rsid w:val="00422FBE"/>
    <w:rsid w:val="0045685B"/>
    <w:rsid w:val="0045710A"/>
    <w:rsid w:val="004764F6"/>
    <w:rsid w:val="004A2ECE"/>
    <w:rsid w:val="004B4971"/>
    <w:rsid w:val="004B5579"/>
    <w:rsid w:val="004B7F69"/>
    <w:rsid w:val="004D614C"/>
    <w:rsid w:val="004E40AF"/>
    <w:rsid w:val="004E6315"/>
    <w:rsid w:val="004E892E"/>
    <w:rsid w:val="004F75D0"/>
    <w:rsid w:val="00511F1A"/>
    <w:rsid w:val="00535901"/>
    <w:rsid w:val="00547C5D"/>
    <w:rsid w:val="005678DD"/>
    <w:rsid w:val="00572F2F"/>
    <w:rsid w:val="005832B7"/>
    <w:rsid w:val="005A3143"/>
    <w:rsid w:val="005C2079"/>
    <w:rsid w:val="005C282D"/>
    <w:rsid w:val="005C376F"/>
    <w:rsid w:val="005D0D62"/>
    <w:rsid w:val="005F75C4"/>
    <w:rsid w:val="00611152"/>
    <w:rsid w:val="00611692"/>
    <w:rsid w:val="00614A6B"/>
    <w:rsid w:val="00625897"/>
    <w:rsid w:val="00627CEC"/>
    <w:rsid w:val="00665843"/>
    <w:rsid w:val="006909BD"/>
    <w:rsid w:val="00697104"/>
    <w:rsid w:val="006A1A12"/>
    <w:rsid w:val="006B2248"/>
    <w:rsid w:val="006B373C"/>
    <w:rsid w:val="0072263B"/>
    <w:rsid w:val="007307DC"/>
    <w:rsid w:val="00742D34"/>
    <w:rsid w:val="00770B43"/>
    <w:rsid w:val="007969DD"/>
    <w:rsid w:val="007B13BC"/>
    <w:rsid w:val="007D2B06"/>
    <w:rsid w:val="008007A2"/>
    <w:rsid w:val="008052D6"/>
    <w:rsid w:val="00813308"/>
    <w:rsid w:val="008341A8"/>
    <w:rsid w:val="008405AF"/>
    <w:rsid w:val="00850D16"/>
    <w:rsid w:val="0085142F"/>
    <w:rsid w:val="00851C16"/>
    <w:rsid w:val="00894C45"/>
    <w:rsid w:val="008B36DE"/>
    <w:rsid w:val="008E5D5B"/>
    <w:rsid w:val="008F636F"/>
    <w:rsid w:val="0090176A"/>
    <w:rsid w:val="00903508"/>
    <w:rsid w:val="0092463C"/>
    <w:rsid w:val="009269CB"/>
    <w:rsid w:val="00952B1D"/>
    <w:rsid w:val="009544D7"/>
    <w:rsid w:val="00971D76"/>
    <w:rsid w:val="009733F5"/>
    <w:rsid w:val="00985062"/>
    <w:rsid w:val="009A4F47"/>
    <w:rsid w:val="009C65FC"/>
    <w:rsid w:val="009D2319"/>
    <w:rsid w:val="00A00F6E"/>
    <w:rsid w:val="00A012B3"/>
    <w:rsid w:val="00A64FD0"/>
    <w:rsid w:val="00A70116"/>
    <w:rsid w:val="00A94CFE"/>
    <w:rsid w:val="00A951DD"/>
    <w:rsid w:val="00A97B93"/>
    <w:rsid w:val="00AF2E63"/>
    <w:rsid w:val="00AF416D"/>
    <w:rsid w:val="00B126D9"/>
    <w:rsid w:val="00B3195F"/>
    <w:rsid w:val="00B806D3"/>
    <w:rsid w:val="00B840A7"/>
    <w:rsid w:val="00B92793"/>
    <w:rsid w:val="00B967F0"/>
    <w:rsid w:val="00BA5F36"/>
    <w:rsid w:val="00BC2CD9"/>
    <w:rsid w:val="00BD0B69"/>
    <w:rsid w:val="00BD554C"/>
    <w:rsid w:val="00C02FE1"/>
    <w:rsid w:val="00C0529C"/>
    <w:rsid w:val="00C063BB"/>
    <w:rsid w:val="00C12A28"/>
    <w:rsid w:val="00C3638B"/>
    <w:rsid w:val="00C9085F"/>
    <w:rsid w:val="00C97CA5"/>
    <w:rsid w:val="00CA1D09"/>
    <w:rsid w:val="00CC4CC9"/>
    <w:rsid w:val="00CC6B15"/>
    <w:rsid w:val="00CD7E7F"/>
    <w:rsid w:val="00CE4CDC"/>
    <w:rsid w:val="00CE5DC4"/>
    <w:rsid w:val="00CF2BB9"/>
    <w:rsid w:val="00D456ED"/>
    <w:rsid w:val="00D704CB"/>
    <w:rsid w:val="00D8017B"/>
    <w:rsid w:val="00D86CBB"/>
    <w:rsid w:val="00D96A2D"/>
    <w:rsid w:val="00DB18E4"/>
    <w:rsid w:val="00DC4068"/>
    <w:rsid w:val="00DC6500"/>
    <w:rsid w:val="00DD4984"/>
    <w:rsid w:val="00E10F24"/>
    <w:rsid w:val="00E11B6B"/>
    <w:rsid w:val="00E20C18"/>
    <w:rsid w:val="00E25BD1"/>
    <w:rsid w:val="00E50640"/>
    <w:rsid w:val="00E50ABA"/>
    <w:rsid w:val="00E564AC"/>
    <w:rsid w:val="00E63037"/>
    <w:rsid w:val="00E63962"/>
    <w:rsid w:val="00E675A0"/>
    <w:rsid w:val="00E70BE6"/>
    <w:rsid w:val="00EA62DE"/>
    <w:rsid w:val="00ED1049"/>
    <w:rsid w:val="00EF036F"/>
    <w:rsid w:val="00F1766E"/>
    <w:rsid w:val="00F24BDC"/>
    <w:rsid w:val="00F32D93"/>
    <w:rsid w:val="00F57A99"/>
    <w:rsid w:val="00F96E58"/>
    <w:rsid w:val="00FA382A"/>
    <w:rsid w:val="00FA43F5"/>
    <w:rsid w:val="00FB75FA"/>
    <w:rsid w:val="00FC1CF2"/>
    <w:rsid w:val="00FC570C"/>
    <w:rsid w:val="00FD2618"/>
    <w:rsid w:val="00FD377E"/>
    <w:rsid w:val="00FD79F8"/>
    <w:rsid w:val="00FF02F5"/>
    <w:rsid w:val="01263D10"/>
    <w:rsid w:val="012DACB3"/>
    <w:rsid w:val="01E39BF4"/>
    <w:rsid w:val="01EC1FF7"/>
    <w:rsid w:val="027FEFDD"/>
    <w:rsid w:val="02AD902A"/>
    <w:rsid w:val="02FBD76B"/>
    <w:rsid w:val="0313D0D8"/>
    <w:rsid w:val="037AB190"/>
    <w:rsid w:val="038A8AA6"/>
    <w:rsid w:val="03947B02"/>
    <w:rsid w:val="03BA4AAF"/>
    <w:rsid w:val="03D0EDEE"/>
    <w:rsid w:val="03DF0C8B"/>
    <w:rsid w:val="042779C3"/>
    <w:rsid w:val="04A97A1B"/>
    <w:rsid w:val="04D5AE4F"/>
    <w:rsid w:val="04EDA7BC"/>
    <w:rsid w:val="05232941"/>
    <w:rsid w:val="0542DD63"/>
    <w:rsid w:val="05476FEF"/>
    <w:rsid w:val="05D91882"/>
    <w:rsid w:val="0675F4F2"/>
    <w:rsid w:val="06B04E81"/>
    <w:rsid w:val="06B80936"/>
    <w:rsid w:val="07094D66"/>
    <w:rsid w:val="07198C1E"/>
    <w:rsid w:val="072146D3"/>
    <w:rsid w:val="07263F01"/>
    <w:rsid w:val="078D1FB9"/>
    <w:rsid w:val="078E3C54"/>
    <w:rsid w:val="07DFBA17"/>
    <w:rsid w:val="07E9AA73"/>
    <w:rsid w:val="082A1FD8"/>
    <w:rsid w:val="085673E5"/>
    <w:rsid w:val="087D4E38"/>
    <w:rsid w:val="08B669EB"/>
    <w:rsid w:val="08DBF927"/>
    <w:rsid w:val="08F36302"/>
    <w:rsid w:val="09E68E7D"/>
    <w:rsid w:val="09FA0993"/>
    <w:rsid w:val="0A119538"/>
    <w:rsid w:val="0A1D498A"/>
    <w:rsid w:val="0A40E7A9"/>
    <w:rsid w:val="0AB91F43"/>
    <w:rsid w:val="0B754DB6"/>
    <w:rsid w:val="0B86D089"/>
    <w:rsid w:val="0B8E82C4"/>
    <w:rsid w:val="0BC8E964"/>
    <w:rsid w:val="0BF7206E"/>
    <w:rsid w:val="0C110A28"/>
    <w:rsid w:val="0C22B197"/>
    <w:rsid w:val="0CF09A45"/>
    <w:rsid w:val="0CFA8AA1"/>
    <w:rsid w:val="0D354A48"/>
    <w:rsid w:val="0D50C6FF"/>
    <w:rsid w:val="0D5AA130"/>
    <w:rsid w:val="0D672142"/>
    <w:rsid w:val="0D6ADFE8"/>
    <w:rsid w:val="0D95BDEE"/>
    <w:rsid w:val="0DB14330"/>
    <w:rsid w:val="0DB8FDE5"/>
    <w:rsid w:val="0DFDF4D4"/>
    <w:rsid w:val="0E077F8E"/>
    <w:rsid w:val="0E26FA10"/>
    <w:rsid w:val="0E2FB7B3"/>
    <w:rsid w:val="0E5E0B63"/>
    <w:rsid w:val="0EA9580B"/>
    <w:rsid w:val="0ED2F52C"/>
    <w:rsid w:val="0EE932C9"/>
    <w:rsid w:val="0F2A9DE3"/>
    <w:rsid w:val="0F85BC44"/>
    <w:rsid w:val="0FBE69BB"/>
    <w:rsid w:val="10AB1040"/>
    <w:rsid w:val="10CCC738"/>
    <w:rsid w:val="10DCD31F"/>
    <w:rsid w:val="111BBDC6"/>
    <w:rsid w:val="114B8B32"/>
    <w:rsid w:val="11BA75F3"/>
    <w:rsid w:val="11BC8384"/>
    <w:rsid w:val="121E066C"/>
    <w:rsid w:val="121ECFBA"/>
    <w:rsid w:val="12678DD2"/>
    <w:rsid w:val="127D3CEF"/>
    <w:rsid w:val="1284E724"/>
    <w:rsid w:val="1294C03A"/>
    <w:rsid w:val="13A370F7"/>
    <w:rsid w:val="143D9D8D"/>
    <w:rsid w:val="1461E43B"/>
    <w:rsid w:val="14699EF0"/>
    <w:rsid w:val="155D2134"/>
    <w:rsid w:val="15CD35DD"/>
    <w:rsid w:val="15D8AF38"/>
    <w:rsid w:val="15E70A8F"/>
    <w:rsid w:val="15EDB34D"/>
    <w:rsid w:val="162B7C67"/>
    <w:rsid w:val="1678F759"/>
    <w:rsid w:val="16958352"/>
    <w:rsid w:val="16DEA4EB"/>
    <w:rsid w:val="171596FF"/>
    <w:rsid w:val="1753F696"/>
    <w:rsid w:val="175A8DEE"/>
    <w:rsid w:val="185F1B7E"/>
    <w:rsid w:val="18F4006F"/>
    <w:rsid w:val="18FEA8B2"/>
    <w:rsid w:val="196A97AA"/>
    <w:rsid w:val="1981DDD4"/>
    <w:rsid w:val="19944890"/>
    <w:rsid w:val="1A192F00"/>
    <w:rsid w:val="1A42E2BE"/>
    <w:rsid w:val="1A58F87E"/>
    <w:rsid w:val="1B07580F"/>
    <w:rsid w:val="1B243057"/>
    <w:rsid w:val="1B780FD0"/>
    <w:rsid w:val="1BF979AB"/>
    <w:rsid w:val="1CCE1461"/>
    <w:rsid w:val="1D11B522"/>
    <w:rsid w:val="1D3388C0"/>
    <w:rsid w:val="1DA006B7"/>
    <w:rsid w:val="1E200657"/>
    <w:rsid w:val="1E4528A4"/>
    <w:rsid w:val="1EEF17DB"/>
    <w:rsid w:val="1F3C8094"/>
    <w:rsid w:val="1F7D01C8"/>
    <w:rsid w:val="1FA9FF4A"/>
    <w:rsid w:val="2096C63E"/>
    <w:rsid w:val="209A84E4"/>
    <w:rsid w:val="20AD697D"/>
    <w:rsid w:val="2199FDA0"/>
    <w:rsid w:val="2225A483"/>
    <w:rsid w:val="22560F90"/>
    <w:rsid w:val="22BF519C"/>
    <w:rsid w:val="22C9CCD0"/>
    <w:rsid w:val="22FA582F"/>
    <w:rsid w:val="2301BA59"/>
    <w:rsid w:val="235A84E9"/>
    <w:rsid w:val="237DC4E0"/>
    <w:rsid w:val="23A09F35"/>
    <w:rsid w:val="23D18E2E"/>
    <w:rsid w:val="2475E889"/>
    <w:rsid w:val="24780805"/>
    <w:rsid w:val="249BE88A"/>
    <w:rsid w:val="24B61251"/>
    <w:rsid w:val="24BBF996"/>
    <w:rsid w:val="24BE387C"/>
    <w:rsid w:val="254A833F"/>
    <w:rsid w:val="257A7619"/>
    <w:rsid w:val="258E2400"/>
    <w:rsid w:val="25BF6D08"/>
    <w:rsid w:val="26055E99"/>
    <w:rsid w:val="26BB1C86"/>
    <w:rsid w:val="276456AF"/>
    <w:rsid w:val="27798FCA"/>
    <w:rsid w:val="27BDC583"/>
    <w:rsid w:val="28304859"/>
    <w:rsid w:val="288EA50E"/>
    <w:rsid w:val="29082163"/>
    <w:rsid w:val="2916F3C2"/>
    <w:rsid w:val="294327F6"/>
    <w:rsid w:val="29AD2EE1"/>
    <w:rsid w:val="2A02DC52"/>
    <w:rsid w:val="2A166C7E"/>
    <w:rsid w:val="2A25AF93"/>
    <w:rsid w:val="2A6BA225"/>
    <w:rsid w:val="2A93EF3A"/>
    <w:rsid w:val="2A940D1B"/>
    <w:rsid w:val="2B470704"/>
    <w:rsid w:val="2BA45FD0"/>
    <w:rsid w:val="2C1BEAB6"/>
    <w:rsid w:val="2C3FBC2B"/>
    <w:rsid w:val="2C545AC4"/>
    <w:rsid w:val="2CC241FA"/>
    <w:rsid w:val="2CC77961"/>
    <w:rsid w:val="2CDA5DFA"/>
    <w:rsid w:val="2CDBB428"/>
    <w:rsid w:val="2CF3AD95"/>
    <w:rsid w:val="2D25D616"/>
    <w:rsid w:val="2D412887"/>
    <w:rsid w:val="2D6F5F91"/>
    <w:rsid w:val="2E2F321F"/>
    <w:rsid w:val="2E68D968"/>
    <w:rsid w:val="2E80D2D5"/>
    <w:rsid w:val="2EC2D835"/>
    <w:rsid w:val="2F59752D"/>
    <w:rsid w:val="2F72615A"/>
    <w:rsid w:val="2FD7456C"/>
    <w:rsid w:val="2FE5BFF0"/>
    <w:rsid w:val="3043799A"/>
    <w:rsid w:val="304CA0A8"/>
    <w:rsid w:val="306171EC"/>
    <w:rsid w:val="308354E6"/>
    <w:rsid w:val="30A1D64F"/>
    <w:rsid w:val="30A43334"/>
    <w:rsid w:val="30AE14D0"/>
    <w:rsid w:val="31819AE9"/>
    <w:rsid w:val="31A61913"/>
    <w:rsid w:val="31EC9456"/>
    <w:rsid w:val="326C7532"/>
    <w:rsid w:val="3287742F"/>
    <w:rsid w:val="32D7D24B"/>
    <w:rsid w:val="33952232"/>
    <w:rsid w:val="33A38BB4"/>
    <w:rsid w:val="33C6F454"/>
    <w:rsid w:val="33DFE591"/>
    <w:rsid w:val="34102786"/>
    <w:rsid w:val="3470A3B7"/>
    <w:rsid w:val="3479EF42"/>
    <w:rsid w:val="34A5C6F7"/>
    <w:rsid w:val="34B1A92F"/>
    <w:rsid w:val="34E3D1B0"/>
    <w:rsid w:val="3562C4B5"/>
    <w:rsid w:val="35B3BD34"/>
    <w:rsid w:val="35B51362"/>
    <w:rsid w:val="35E6D641"/>
    <w:rsid w:val="3688BD8C"/>
    <w:rsid w:val="36A442CE"/>
    <w:rsid w:val="36EF38A2"/>
    <w:rsid w:val="36FA7F2C"/>
    <w:rsid w:val="36FDA967"/>
    <w:rsid w:val="370239E1"/>
    <w:rsid w:val="37178653"/>
    <w:rsid w:val="375EF76C"/>
    <w:rsid w:val="37976E49"/>
    <w:rsid w:val="38212956"/>
    <w:rsid w:val="382C533A"/>
    <w:rsid w:val="38C90F86"/>
    <w:rsid w:val="38D94E3E"/>
    <w:rsid w:val="38DE7173"/>
    <w:rsid w:val="391454D1"/>
    <w:rsid w:val="393964CD"/>
    <w:rsid w:val="396351A8"/>
    <w:rsid w:val="39CB0D60"/>
    <w:rsid w:val="39F44C3C"/>
    <w:rsid w:val="3A22B617"/>
    <w:rsid w:val="3A690334"/>
    <w:rsid w:val="3A8980A4"/>
    <w:rsid w:val="3B544129"/>
    <w:rsid w:val="3B8669AA"/>
    <w:rsid w:val="3C06672C"/>
    <w:rsid w:val="3C9B729A"/>
    <w:rsid w:val="3CA36845"/>
    <w:rsid w:val="3CED1295"/>
    <w:rsid w:val="3D2E180D"/>
    <w:rsid w:val="3D5B158F"/>
    <w:rsid w:val="3D5E0AE7"/>
    <w:rsid w:val="3D774F26"/>
    <w:rsid w:val="3DA4D1DB"/>
    <w:rsid w:val="3DCFFF58"/>
    <w:rsid w:val="3E1FED5A"/>
    <w:rsid w:val="3E22119A"/>
    <w:rsid w:val="3E302C12"/>
    <w:rsid w:val="3E497BAD"/>
    <w:rsid w:val="3EAD343C"/>
    <w:rsid w:val="3ED56C61"/>
    <w:rsid w:val="3F4DB2F7"/>
    <w:rsid w:val="3F6BA780"/>
    <w:rsid w:val="3FBA8C0B"/>
    <w:rsid w:val="4063CB29"/>
    <w:rsid w:val="40870B20"/>
    <w:rsid w:val="4123949B"/>
    <w:rsid w:val="413B8E08"/>
    <w:rsid w:val="41457E64"/>
    <w:rsid w:val="415F7C6C"/>
    <w:rsid w:val="419D7692"/>
    <w:rsid w:val="41D01CD4"/>
    <w:rsid w:val="41E0B1B1"/>
    <w:rsid w:val="41FA014C"/>
    <w:rsid w:val="42477C3E"/>
    <w:rsid w:val="4270BB1A"/>
    <w:rsid w:val="42CD78A5"/>
    <w:rsid w:val="4305EF82"/>
    <w:rsid w:val="431F5548"/>
    <w:rsid w:val="432F9400"/>
    <w:rsid w:val="436BEE99"/>
    <w:rsid w:val="43D355C1"/>
    <w:rsid w:val="441450C8"/>
    <w:rsid w:val="445947B7"/>
    <w:rsid w:val="45785202"/>
    <w:rsid w:val="459DFFBA"/>
    <w:rsid w:val="45DCAF6C"/>
    <w:rsid w:val="465CACEE"/>
    <w:rsid w:val="46ADF11E"/>
    <w:rsid w:val="46B67521"/>
    <w:rsid w:val="46C6B3D9"/>
    <w:rsid w:val="46F2B53C"/>
    <w:rsid w:val="46FD0B3A"/>
    <w:rsid w:val="47142263"/>
    <w:rsid w:val="47C7FE90"/>
    <w:rsid w:val="47E6CF73"/>
    <w:rsid w:val="48104E83"/>
    <w:rsid w:val="484506BA"/>
    <w:rsid w:val="488671D4"/>
    <w:rsid w:val="4887CBCB"/>
    <w:rsid w:val="48904C05"/>
    <w:rsid w:val="48A08ABD"/>
    <w:rsid w:val="492BB223"/>
    <w:rsid w:val="493B47AA"/>
    <w:rsid w:val="495679FE"/>
    <w:rsid w:val="497BC204"/>
    <w:rsid w:val="49B7FCE6"/>
    <w:rsid w:val="4A0D328D"/>
    <w:rsid w:val="4A3107F4"/>
    <w:rsid w:val="4A41A10F"/>
    <w:rsid w:val="4AA423B3"/>
    <w:rsid w:val="4AA75F23"/>
    <w:rsid w:val="4B4DA629"/>
    <w:rsid w:val="4BEB9BFD"/>
    <w:rsid w:val="4C31F7A1"/>
    <w:rsid w:val="4C40D1A4"/>
    <w:rsid w:val="4CAA0F41"/>
    <w:rsid w:val="4CD6F65E"/>
    <w:rsid w:val="4CF8F68C"/>
    <w:rsid w:val="4D53B141"/>
    <w:rsid w:val="4D5B3CEE"/>
    <w:rsid w:val="4DBDB82C"/>
    <w:rsid w:val="4E4F60BF"/>
    <w:rsid w:val="4E6A968A"/>
    <w:rsid w:val="4E6BECB8"/>
    <w:rsid w:val="4E6FDE2F"/>
    <w:rsid w:val="4E778637"/>
    <w:rsid w:val="4EFBDE26"/>
    <w:rsid w:val="4F1E12BB"/>
    <w:rsid w:val="4F4322B7"/>
    <w:rsid w:val="4F5E2646"/>
    <w:rsid w:val="4F6E00BD"/>
    <w:rsid w:val="4FA14830"/>
    <w:rsid w:val="4FD4CB4A"/>
    <w:rsid w:val="5013410C"/>
    <w:rsid w:val="50AFCA87"/>
    <w:rsid w:val="5105002E"/>
    <w:rsid w:val="51492DCF"/>
    <w:rsid w:val="517FE8DC"/>
    <w:rsid w:val="51BAEF6F"/>
    <w:rsid w:val="52145BE3"/>
    <w:rsid w:val="521B1C29"/>
    <w:rsid w:val="527962B3"/>
    <w:rsid w:val="52AADBC1"/>
    <w:rsid w:val="531FDC8A"/>
    <w:rsid w:val="5394C653"/>
    <w:rsid w:val="54680ADB"/>
    <w:rsid w:val="54D3E3C1"/>
    <w:rsid w:val="55306E7B"/>
    <w:rsid w:val="557BB3C6"/>
    <w:rsid w:val="559D9D8F"/>
    <w:rsid w:val="55A6502D"/>
    <w:rsid w:val="55BA5C59"/>
    <w:rsid w:val="55EC2774"/>
    <w:rsid w:val="56038228"/>
    <w:rsid w:val="5686D8AE"/>
    <w:rsid w:val="56D453A0"/>
    <w:rsid w:val="574F3C4E"/>
    <w:rsid w:val="5776D62C"/>
    <w:rsid w:val="57C8B8A3"/>
    <w:rsid w:val="5848B625"/>
    <w:rsid w:val="58AE2A84"/>
    <w:rsid w:val="58B59674"/>
    <w:rsid w:val="58CC55A7"/>
    <w:rsid w:val="58DAF535"/>
    <w:rsid w:val="5900F4E8"/>
    <w:rsid w:val="59C6051D"/>
    <w:rsid w:val="59DD961A"/>
    <w:rsid w:val="59F85870"/>
    <w:rsid w:val="5A6BBDE8"/>
    <w:rsid w:val="5A82B9C3"/>
    <w:rsid w:val="5AB10D73"/>
    <w:rsid w:val="5B5622D2"/>
    <w:rsid w:val="5B797113"/>
    <w:rsid w:val="5BB444D5"/>
    <w:rsid w:val="5C002FF9"/>
    <w:rsid w:val="5C162D5F"/>
    <w:rsid w:val="5C561139"/>
    <w:rsid w:val="5C6FF592"/>
    <w:rsid w:val="5CBB0A72"/>
    <w:rsid w:val="5CE7A1E2"/>
    <w:rsid w:val="5CFB4FC9"/>
    <w:rsid w:val="5D2970A8"/>
    <w:rsid w:val="5D9516BD"/>
    <w:rsid w:val="5DB9C30D"/>
    <w:rsid w:val="5E0DCEC7"/>
    <w:rsid w:val="5E114251"/>
    <w:rsid w:val="5E6551B8"/>
    <w:rsid w:val="5E84CEF5"/>
    <w:rsid w:val="5E960B9F"/>
    <w:rsid w:val="5EA65730"/>
    <w:rsid w:val="5EDFB5E2"/>
    <w:rsid w:val="5F64CA74"/>
    <w:rsid w:val="5FB3E490"/>
    <w:rsid w:val="60B020EE"/>
    <w:rsid w:val="60D563BB"/>
    <w:rsid w:val="61363A1F"/>
    <w:rsid w:val="613C4473"/>
    <w:rsid w:val="61576413"/>
    <w:rsid w:val="61839847"/>
    <w:rsid w:val="61929AAC"/>
    <w:rsid w:val="61C85C65"/>
    <w:rsid w:val="625B37B1"/>
    <w:rsid w:val="630136A8"/>
    <w:rsid w:val="6365F32E"/>
    <w:rsid w:val="63C2B907"/>
    <w:rsid w:val="641F1ECD"/>
    <w:rsid w:val="648DA40F"/>
    <w:rsid w:val="65045DDD"/>
    <w:rsid w:val="653873A3"/>
    <w:rsid w:val="654C1753"/>
    <w:rsid w:val="6581DB71"/>
    <w:rsid w:val="65999245"/>
    <w:rsid w:val="666C7321"/>
    <w:rsid w:val="66CB3382"/>
    <w:rsid w:val="6751958B"/>
    <w:rsid w:val="6789A6C6"/>
    <w:rsid w:val="679FF1E5"/>
    <w:rsid w:val="67D4EC11"/>
    <w:rsid w:val="67DD644E"/>
    <w:rsid w:val="68481A0A"/>
    <w:rsid w:val="6856231B"/>
    <w:rsid w:val="69155FAD"/>
    <w:rsid w:val="691F0638"/>
    <w:rsid w:val="69299A74"/>
    <w:rsid w:val="692FFEFB"/>
    <w:rsid w:val="69457928"/>
    <w:rsid w:val="694A17E4"/>
    <w:rsid w:val="699E843D"/>
    <w:rsid w:val="69D3D2F1"/>
    <w:rsid w:val="6A065027"/>
    <w:rsid w:val="6A44CB43"/>
    <w:rsid w:val="6ABAD699"/>
    <w:rsid w:val="6AD3B14F"/>
    <w:rsid w:val="6B49F1CC"/>
    <w:rsid w:val="6B80DF24"/>
    <w:rsid w:val="6BD887DB"/>
    <w:rsid w:val="6BE2620C"/>
    <w:rsid w:val="6C1ED4F8"/>
    <w:rsid w:val="6C43E4F4"/>
    <w:rsid w:val="6C56A6FA"/>
    <w:rsid w:val="6D0A12ED"/>
    <w:rsid w:val="6D9AD6F9"/>
    <w:rsid w:val="6DC5C3AA"/>
    <w:rsid w:val="6E0EDAF6"/>
    <w:rsid w:val="6EBA5B7E"/>
    <w:rsid w:val="6EC46D04"/>
    <w:rsid w:val="6EF920B7"/>
    <w:rsid w:val="6EFA0A67"/>
    <w:rsid w:val="6F3DB204"/>
    <w:rsid w:val="6FC884F5"/>
    <w:rsid w:val="70BA988C"/>
    <w:rsid w:val="70BE8A03"/>
    <w:rsid w:val="710FCE33"/>
    <w:rsid w:val="717CFD47"/>
    <w:rsid w:val="71BE02BF"/>
    <w:rsid w:val="71C1F436"/>
    <w:rsid w:val="71EDF599"/>
    <w:rsid w:val="720B7DB1"/>
    <w:rsid w:val="7237E4B6"/>
    <w:rsid w:val="729E5FCC"/>
    <w:rsid w:val="72AFD80C"/>
    <w:rsid w:val="73911ED6"/>
    <w:rsid w:val="7398958E"/>
    <w:rsid w:val="73BA32AB"/>
    <w:rsid w:val="73E55495"/>
    <w:rsid w:val="73F5934D"/>
    <w:rsid w:val="7461B8DF"/>
    <w:rsid w:val="749C0D24"/>
    <w:rsid w:val="75286E12"/>
    <w:rsid w:val="752CEF37"/>
    <w:rsid w:val="7533B49C"/>
    <w:rsid w:val="76F0CCB6"/>
    <w:rsid w:val="77DD21A0"/>
    <w:rsid w:val="781C096C"/>
    <w:rsid w:val="78789426"/>
    <w:rsid w:val="78B13DD4"/>
    <w:rsid w:val="78B8F889"/>
    <w:rsid w:val="78EFB396"/>
    <w:rsid w:val="79659D41"/>
    <w:rsid w:val="79672D15"/>
    <w:rsid w:val="797BFE59"/>
    <w:rsid w:val="79C4E6BF"/>
    <w:rsid w:val="79F0E822"/>
    <w:rsid w:val="7A00605A"/>
    <w:rsid w:val="7AACA17F"/>
    <w:rsid w:val="7AB0FFCE"/>
    <w:rsid w:val="7B11111F"/>
    <w:rsid w:val="7B465FD3"/>
    <w:rsid w:val="7B56080E"/>
    <w:rsid w:val="7B9975FE"/>
    <w:rsid w:val="7BA3502F"/>
    <w:rsid w:val="7BB2C599"/>
    <w:rsid w:val="7C45377A"/>
    <w:rsid w:val="7C5D1A78"/>
    <w:rsid w:val="7C68B7A8"/>
    <w:rsid w:val="7D4E6DC1"/>
    <w:rsid w:val="7DA4DCF0"/>
    <w:rsid w:val="7DA665EF"/>
    <w:rsid w:val="7DC424A1"/>
    <w:rsid w:val="7DDEA9FB"/>
    <w:rsid w:val="7EAEC850"/>
    <w:rsid w:val="7ECB871A"/>
    <w:rsid w:val="7EDA5979"/>
    <w:rsid w:val="7EFA0D9B"/>
    <w:rsid w:val="7F068DAD"/>
    <w:rsid w:val="7F3F048A"/>
    <w:rsid w:val="7FB880D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E0904E8"/>
  <w15:chartTrackingRefBased/>
  <w15:docId w15:val="{B109C0A4-D548-44B4-8E47-1C153360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023AA2"/>
    <w:pPr>
      <w:ind w:left="720"/>
      <w:contextualSpacing/>
    </w:pPr>
  </w:style>
  <w:style w:type="paragraph" w:styleId="Revision">
    <w:name w:val="Revision"/>
    <w:hidden/>
    <w:uiPriority w:val="99"/>
    <w:semiHidden/>
    <w:rsid w:val="00422FBE"/>
    <w:rPr>
      <w:snapToGrid w:val="0"/>
      <w:kern w:val="28"/>
      <w:sz w:val="22"/>
    </w:rPr>
  </w:style>
  <w:style w:type="paragraph" w:customStyle="1" w:styleId="Default">
    <w:name w:val="Default"/>
    <w:basedOn w:val="Normal"/>
    <w:rsid w:val="31A61913"/>
    <w:rPr>
      <w:color w:val="000000" w:themeColor="text1"/>
      <w:sz w:val="24"/>
      <w:szCs w:val="24"/>
    </w:rPr>
  </w:style>
  <w:style w:type="character" w:styleId="FollowedHyperlink">
    <w:name w:val="FollowedHyperlink"/>
    <w:basedOn w:val="DefaultParagraphFont"/>
    <w:uiPriority w:val="99"/>
    <w:semiHidden/>
    <w:unhideWhenUsed/>
    <w:rsid w:val="00EA62DE"/>
    <w:rPr>
      <w:color w:val="954F72" w:themeColor="followedHyperlink"/>
      <w:u w:val="single"/>
    </w:rPr>
  </w:style>
  <w:style w:type="character" w:styleId="CommentReference">
    <w:name w:val="annotation reference"/>
    <w:basedOn w:val="DefaultParagraphFont"/>
    <w:uiPriority w:val="99"/>
    <w:semiHidden/>
    <w:unhideWhenUsed/>
    <w:rsid w:val="00EF036F"/>
    <w:rPr>
      <w:sz w:val="16"/>
      <w:szCs w:val="16"/>
    </w:rPr>
  </w:style>
  <w:style w:type="paragraph" w:styleId="CommentText">
    <w:name w:val="annotation text"/>
    <w:basedOn w:val="Normal"/>
    <w:link w:val="CommentTextChar"/>
    <w:uiPriority w:val="99"/>
    <w:unhideWhenUsed/>
    <w:rsid w:val="00EF036F"/>
    <w:rPr>
      <w:sz w:val="20"/>
    </w:rPr>
  </w:style>
  <w:style w:type="character" w:customStyle="1" w:styleId="CommentTextChar">
    <w:name w:val="Comment Text Char"/>
    <w:basedOn w:val="DefaultParagraphFont"/>
    <w:link w:val="CommentText"/>
    <w:uiPriority w:val="99"/>
    <w:rsid w:val="00EF036F"/>
    <w:rPr>
      <w:snapToGrid w:val="0"/>
      <w:kern w:val="28"/>
    </w:rPr>
  </w:style>
  <w:style w:type="paragraph" w:styleId="CommentSubject">
    <w:name w:val="annotation subject"/>
    <w:basedOn w:val="CommentText"/>
    <w:next w:val="CommentText"/>
    <w:link w:val="CommentSubjectChar"/>
    <w:uiPriority w:val="99"/>
    <w:semiHidden/>
    <w:unhideWhenUsed/>
    <w:rsid w:val="00EF036F"/>
    <w:rPr>
      <w:b/>
      <w:bCs/>
    </w:rPr>
  </w:style>
  <w:style w:type="character" w:customStyle="1" w:styleId="CommentSubjectChar">
    <w:name w:val="Comment Subject Char"/>
    <w:basedOn w:val="CommentTextChar"/>
    <w:link w:val="CommentSubject"/>
    <w:uiPriority w:val="99"/>
    <w:semiHidden/>
    <w:rsid w:val="00EF036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amian.ariza@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230049602107/1" TargetMode="External" /><Relationship Id="rId2" Type="http://schemas.openxmlformats.org/officeDocument/2006/relationships/hyperlink" Target="https://docs.fcc.gov/public/attachments/DA-20-304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