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F85550" w:rsidP="00F85550" w14:paraId="53CF55CD" w14:textId="509A37AA">
      <w:pPr>
        <w:pStyle w:val="NoSpacing"/>
        <w:jc w:val="right"/>
        <w:rPr>
          <w:b/>
          <w:bCs/>
          <w:szCs w:val="22"/>
        </w:rPr>
      </w:pPr>
      <w:r w:rsidRPr="00F85550">
        <w:rPr>
          <w:b/>
          <w:bCs/>
          <w:szCs w:val="22"/>
        </w:rPr>
        <w:t xml:space="preserve">DA </w:t>
      </w:r>
      <w:r w:rsidRPr="00F85550" w:rsidR="003B004F">
        <w:rPr>
          <w:b/>
          <w:bCs/>
          <w:szCs w:val="22"/>
        </w:rPr>
        <w:t>2</w:t>
      </w:r>
      <w:r w:rsidR="00F85550">
        <w:rPr>
          <w:b/>
          <w:bCs/>
          <w:szCs w:val="22"/>
        </w:rPr>
        <w:t>3</w:t>
      </w:r>
      <w:r w:rsidRPr="00F85550">
        <w:rPr>
          <w:b/>
          <w:bCs/>
          <w:szCs w:val="22"/>
        </w:rPr>
        <w:t>-</w:t>
      </w:r>
      <w:r w:rsidR="006B221A">
        <w:rPr>
          <w:b/>
          <w:bCs/>
          <w:szCs w:val="22"/>
        </w:rPr>
        <w:t>461</w:t>
      </w:r>
    </w:p>
    <w:p w:rsidR="00013A8B" w:rsidRPr="00F85550" w:rsidP="00F85550" w14:paraId="541B8A9D" w14:textId="74F42FB0">
      <w:pPr>
        <w:pStyle w:val="NoSpacing"/>
        <w:jc w:val="right"/>
        <w:rPr>
          <w:b/>
          <w:bCs/>
          <w:szCs w:val="22"/>
        </w:rPr>
      </w:pPr>
      <w:r w:rsidRPr="00F85550">
        <w:rPr>
          <w:b/>
          <w:bCs/>
          <w:szCs w:val="22"/>
        </w:rPr>
        <w:t xml:space="preserve">Released:  </w:t>
      </w:r>
      <w:r w:rsidR="00F85550">
        <w:rPr>
          <w:b/>
          <w:bCs/>
          <w:szCs w:val="22"/>
        </w:rPr>
        <w:t>May 30</w:t>
      </w:r>
      <w:r w:rsidRPr="00F85550" w:rsidR="001D6C79">
        <w:rPr>
          <w:b/>
          <w:bCs/>
          <w:szCs w:val="22"/>
        </w:rPr>
        <w:t>, 20</w:t>
      </w:r>
      <w:r w:rsidRPr="00F85550" w:rsidR="003B004F">
        <w:rPr>
          <w:b/>
          <w:bCs/>
          <w:szCs w:val="22"/>
        </w:rPr>
        <w:t>2</w:t>
      </w:r>
      <w:r w:rsidR="00F85550">
        <w:rPr>
          <w:b/>
          <w:bCs/>
          <w:szCs w:val="22"/>
        </w:rPr>
        <w:t>3</w:t>
      </w:r>
    </w:p>
    <w:p w:rsidR="00013A8B" w:rsidRPr="00F85550" w:rsidP="00013A8B" w14:paraId="3FA18D84" w14:textId="77777777">
      <w:pPr>
        <w:jc w:val="right"/>
        <w:rPr>
          <w:szCs w:val="22"/>
        </w:rPr>
      </w:pPr>
    </w:p>
    <w:p w:rsidR="00013A8B" w:rsidRPr="00F85550" w:rsidP="00013A8B" w14:paraId="33BECAAF" w14:textId="77777777">
      <w:pPr>
        <w:spacing w:after="240"/>
        <w:jc w:val="center"/>
        <w:rPr>
          <w:rFonts w:ascii="Times New Roman Bold" w:hAnsi="Times New Roman Bold"/>
          <w:b/>
          <w:caps/>
          <w:szCs w:val="22"/>
        </w:rPr>
      </w:pPr>
      <w:r w:rsidRPr="00F85550">
        <w:rPr>
          <w:rFonts w:ascii="Times New Roman Bold" w:hAnsi="Times New Roman Bold"/>
          <w:b/>
          <w:caps/>
          <w:szCs w:val="22"/>
        </w:rPr>
        <w:t>COMMENTS INVITED ON SECTION 214 APPLICATION(S) TO DISCONTINUE DOMESTIC NON-DOMINANT CARRIER TELECOMMUNICATIONS SERVICES as part of a technology TRANSITION</w:t>
      </w:r>
    </w:p>
    <w:p w:rsidR="00013A8B" w:rsidRPr="00F85550" w:rsidP="00013A8B" w14:paraId="39726B39" w14:textId="6C35B579">
      <w:pPr>
        <w:spacing w:after="240"/>
        <w:jc w:val="center"/>
        <w:rPr>
          <w:b/>
          <w:szCs w:val="22"/>
        </w:rPr>
      </w:pPr>
      <w:r w:rsidRPr="00F85550">
        <w:rPr>
          <w:b/>
          <w:szCs w:val="22"/>
        </w:rPr>
        <w:t xml:space="preserve">WC Docket No(s). </w:t>
      </w:r>
      <w:r w:rsidRPr="00F85550" w:rsidR="00866B2A">
        <w:rPr>
          <w:b/>
          <w:szCs w:val="22"/>
        </w:rPr>
        <w:t>2</w:t>
      </w:r>
      <w:r w:rsidR="00F85550">
        <w:rPr>
          <w:b/>
          <w:szCs w:val="22"/>
        </w:rPr>
        <w:t>3</w:t>
      </w:r>
      <w:r w:rsidRPr="00F85550" w:rsidR="00866B2A">
        <w:rPr>
          <w:b/>
          <w:szCs w:val="22"/>
        </w:rPr>
        <w:t>-</w:t>
      </w:r>
      <w:r w:rsidR="00F85550">
        <w:rPr>
          <w:b/>
          <w:szCs w:val="22"/>
        </w:rPr>
        <w:t>155</w:t>
      </w:r>
    </w:p>
    <w:p w:rsidR="001D6C79" w:rsidRPr="00F85550" w:rsidP="001D6C79" w14:paraId="758846C4" w14:textId="76D44F7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sidRPr="00F85550">
        <w:rPr>
          <w:b/>
          <w:kern w:val="0"/>
          <w:szCs w:val="22"/>
        </w:rPr>
        <w:t xml:space="preserve">Comments Due:  </w:t>
      </w:r>
      <w:r w:rsidR="00F85550">
        <w:rPr>
          <w:b/>
          <w:kern w:val="0"/>
          <w:szCs w:val="22"/>
        </w:rPr>
        <w:t>June 14</w:t>
      </w:r>
      <w:r w:rsidRPr="00F85550">
        <w:rPr>
          <w:b/>
          <w:kern w:val="0"/>
          <w:szCs w:val="22"/>
        </w:rPr>
        <w:t>, 20</w:t>
      </w:r>
      <w:r w:rsidRPr="00F85550" w:rsidR="00866B2A">
        <w:rPr>
          <w:b/>
          <w:kern w:val="0"/>
          <w:szCs w:val="22"/>
        </w:rPr>
        <w:t>2</w:t>
      </w:r>
      <w:r w:rsidR="00F85550">
        <w:rPr>
          <w:b/>
          <w:kern w:val="0"/>
          <w:szCs w:val="22"/>
        </w:rPr>
        <w:t>3</w:t>
      </w:r>
    </w:p>
    <w:p w:rsidR="00CF580A" w:rsidRPr="00F85550" w:rsidP="00CF580A" w14:paraId="080FBDF9" w14:textId="77777777">
      <w:pPr>
        <w:rPr>
          <w:b/>
          <w:szCs w:val="22"/>
        </w:rPr>
      </w:pPr>
    </w:p>
    <w:p w:rsidR="00CF580A" w:rsidRPr="00047E2E" w:rsidP="00CF580A" w14:paraId="5EF7BB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0" w:name="TOChere"/>
      <w:r>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14:paraId="60D445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14:paraId="4A8B5EC0"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to be acceptable for filing and subject to the procedures set forth in Section 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14:paraId="5FBEDA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14:paraId="37DC7EEE" w14:textId="76474278">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00E40272">
        <w:rPr>
          <w:b/>
          <w:spacing w:val="-3"/>
          <w:szCs w:val="22"/>
        </w:rPr>
        <w:t>June 30</w:t>
      </w:r>
      <w:r w:rsidRPr="00E84F59">
        <w:rPr>
          <w:b/>
          <w:spacing w:val="-3"/>
          <w:szCs w:val="22"/>
        </w:rPr>
        <w:t>, 20</w:t>
      </w:r>
      <w:r w:rsidR="00866B2A">
        <w:rPr>
          <w:b/>
          <w:spacing w:val="-3"/>
          <w:szCs w:val="22"/>
        </w:rPr>
        <w:t>2</w:t>
      </w:r>
      <w:r w:rsidR="00E40272">
        <w:rPr>
          <w:b/>
          <w:spacing w:val="-3"/>
          <w:szCs w:val="22"/>
        </w:rPr>
        <w:t>3</w:t>
      </w:r>
      <w:r w:rsidRPr="00946191">
        <w:rPr>
          <w:spacing w:val="-3"/>
          <w:szCs w:val="22"/>
        </w:rPr>
        <w:t>,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Service Area(s) described in their application </w:t>
      </w:r>
      <w:r w:rsidRPr="00715A41">
        <w:rPr>
          <w:rFonts w:eastAsia="MS Mincho"/>
          <w:szCs w:val="22"/>
        </w:rPr>
        <w:t xml:space="preserve">on </w:t>
      </w:r>
      <w:r>
        <w:rPr>
          <w:rFonts w:eastAsia="MS Mincho"/>
          <w:bCs/>
          <w:szCs w:val="22"/>
        </w:rPr>
        <w:t>or after the authorized discontinuance date(s) listed in 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w:t>
      </w:r>
      <w:r w:rsidRPr="00792917">
        <w:rPr>
          <w:rFonts w:eastAsia="MS Mincho"/>
          <w:szCs w:val="22"/>
        </w:rPr>
        <w:t xml:space="preserve">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14:paraId="20FE3A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RPr="007D2E3D" w:rsidP="007D2E3D" w14:paraId="678EF1FA" w14:textId="3081FE7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D2E3D">
        <w:rPr>
          <w:szCs w:val="22"/>
        </w:rPr>
        <w:t xml:space="preserve">Comments objecting to any of the applications listed in the Appendix must be filed with the Commission on or before </w:t>
      </w:r>
      <w:r w:rsidR="00E40272">
        <w:rPr>
          <w:b/>
          <w:bCs/>
          <w:szCs w:val="22"/>
        </w:rPr>
        <w:t>June 14</w:t>
      </w:r>
      <w:r w:rsidRPr="007D2E3D">
        <w:rPr>
          <w:b/>
          <w:bCs/>
          <w:szCs w:val="22"/>
        </w:rPr>
        <w:t>, 202</w:t>
      </w:r>
      <w:r w:rsidR="00E40272">
        <w:rPr>
          <w:b/>
          <w:bCs/>
          <w:szCs w:val="22"/>
        </w:rPr>
        <w:t>3</w:t>
      </w:r>
      <w:r w:rsidRPr="007D2E3D">
        <w:rPr>
          <w:szCs w:val="22"/>
        </w:rPr>
        <w:t>.  Comments should refer to the specific WC Docket No. and Comp. Pol. File No. listed in the Appendix for the particular</w:t>
      </w:r>
      <w:r>
        <w:rPr>
          <w:szCs w:val="22"/>
        </w:rPr>
        <w:t xml:space="preserve"> </w:t>
      </w:r>
      <w:r w:rsidRPr="007D2E3D">
        <w:rPr>
          <w:szCs w:val="22"/>
        </w:rPr>
        <w:t>Section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sidRPr="007D2E3D">
        <w:rPr>
          <w:szCs w:val="22"/>
        </w:rPr>
        <w:t xml:space="preserve">   Comments may be filed electronically using the Internet by accessing the ECFS:  </w:t>
      </w:r>
      <w:hyperlink r:id="rId5" w:history="1">
        <w:r w:rsidRPr="007D2E3D">
          <w:rPr>
            <w:rStyle w:val="Hyperlink"/>
            <w:szCs w:val="22"/>
          </w:rPr>
          <w:t>http://apps.fcc.gov/ecfs</w:t>
        </w:r>
      </w:hyperlink>
      <w:r w:rsidRPr="007D2E3D">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7D2E3D" w:rsidRPr="007D2E3D" w:rsidP="007D2E3D" w14:paraId="71E5EB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RPr="007D2E3D" w:rsidP="007D2E3D" w14:paraId="1C8C1604" w14:textId="674CF2E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E3D">
        <w:rPr>
          <w:szCs w:val="22"/>
        </w:rPr>
        <w:tab/>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8"/>
      </w:r>
      <w:r w:rsidRPr="007D2E3D">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445 12th Street, S.W., Washington, D.C. 20554.</w:t>
      </w:r>
    </w:p>
    <w:p w:rsidR="007D2E3D" w:rsidRPr="007D2E3D" w:rsidP="007D2E3D" w14:paraId="45354B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P="007D2E3D" w14:paraId="513F9A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E3D">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CF580A" w:rsidP="00CF580A" w14:paraId="04ED79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254E8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 xml:space="preserve">These proceedings are considered “permit but disclose” proceedings for purposes of the Commission’s </w:t>
      </w:r>
      <w:r w:rsidRPr="00BF7680">
        <w:rPr>
          <w:i/>
          <w:iCs/>
          <w:szCs w:val="22"/>
        </w:rPr>
        <w:t>ex parte</w:t>
      </w:r>
      <w:r>
        <w:rPr>
          <w:szCs w:val="22"/>
        </w:rPr>
        <w:t xml:space="preserve"> rules.</w:t>
      </w:r>
      <w:r>
        <w:rPr>
          <w:rStyle w:val="FootnoteReference"/>
          <w:szCs w:val="22"/>
        </w:rPr>
        <w:footnoteReference w:id="9"/>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CF580A" w:rsidP="00CF580A" w14:paraId="4FDC0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14:paraId="484BCB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rPr>
          <w:szCs w:val="22"/>
        </w:rPr>
        <w:t xml:space="preserve"> or call the Consumer &amp; Governmental Affairs Bureau at (202) 418-0530 (voice), (888) 835-5322 (tty).</w:t>
      </w:r>
    </w:p>
    <w:p w:rsidR="00CF580A" w:rsidP="00CF580A" w14:paraId="1EDC7F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14:paraId="0C05B1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The tty number is </w:t>
      </w:r>
      <w:r>
        <w:rPr>
          <w:szCs w:val="22"/>
        </w:rPr>
        <w:t>(888) 835-5322</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14:paraId="5178B6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1EFD3A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14:paraId="73C43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14:paraId="4AD369F0" w14:textId="77777777">
      <w:pPr>
        <w:jc w:val="center"/>
        <w:rPr>
          <w:szCs w:val="22"/>
        </w:rPr>
      </w:pPr>
      <w:r>
        <w:rPr>
          <w:szCs w:val="22"/>
        </w:rPr>
        <w:br w:type="page"/>
      </w:r>
      <w:r w:rsidRPr="00AC52E0">
        <w:rPr>
          <w:b/>
          <w:szCs w:val="22"/>
        </w:rPr>
        <w:t>Appendix</w:t>
      </w:r>
    </w:p>
    <w:p w:rsidR="00CF580A" w:rsidP="00CF580A" w14:paraId="2B93F5E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57000" w:rsidRPr="00757000" w:rsidP="00757000" w14:paraId="664C7C79" w14:textId="4E8A13E3">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757000">
        <w:rPr>
          <w:b/>
          <w:szCs w:val="22"/>
        </w:rPr>
        <w:t xml:space="preserve">Applicant(s): </w:t>
      </w:r>
      <w:r w:rsidRPr="00D71479" w:rsidR="00D71479">
        <w:rPr>
          <w:b/>
          <w:szCs w:val="22"/>
        </w:rPr>
        <w:t>CenturyLink of Florida, Inc.</w:t>
      </w:r>
    </w:p>
    <w:p w:rsidR="00757000" w:rsidRPr="00757000" w:rsidP="00757000" w14:paraId="1F500F97" w14:textId="70991FF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WC Docket No. </w:t>
      </w:r>
      <w:r w:rsidR="00FF576F">
        <w:rPr>
          <w:b/>
          <w:szCs w:val="22"/>
        </w:rPr>
        <w:t>2</w:t>
      </w:r>
      <w:r w:rsidR="00D71479">
        <w:rPr>
          <w:b/>
          <w:szCs w:val="22"/>
        </w:rPr>
        <w:t>3</w:t>
      </w:r>
      <w:r w:rsidRPr="00757000">
        <w:rPr>
          <w:b/>
          <w:szCs w:val="22"/>
        </w:rPr>
        <w:t>-</w:t>
      </w:r>
      <w:r w:rsidR="00D71479">
        <w:rPr>
          <w:b/>
          <w:szCs w:val="22"/>
        </w:rPr>
        <w:t>155</w:t>
      </w:r>
      <w:r w:rsidRPr="00757000">
        <w:rPr>
          <w:b/>
          <w:szCs w:val="22"/>
        </w:rPr>
        <w:t>, Comp. Pol. File No. 1</w:t>
      </w:r>
      <w:r w:rsidR="00D71479">
        <w:rPr>
          <w:b/>
          <w:szCs w:val="22"/>
        </w:rPr>
        <w:t>843</w:t>
      </w:r>
    </w:p>
    <w:p w:rsidR="00D71479" w:rsidRPr="00757000" w:rsidP="00757000" w14:paraId="5DC1FA75" w14:textId="261BA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Link –</w:t>
      </w:r>
      <w:r>
        <w:rPr>
          <w:b/>
          <w:szCs w:val="22"/>
        </w:rPr>
        <w:t xml:space="preserve"> </w:t>
      </w:r>
      <w:hyperlink r:id="rId8" w:history="1">
        <w:r w:rsidRPr="000C77FA">
          <w:rPr>
            <w:rStyle w:val="Hyperlink"/>
            <w:bCs/>
            <w:szCs w:val="22"/>
          </w:rPr>
          <w:t>https://www.fcc.gov/ecfs/search/search-filings/results?q=(proceedings.name:(%2223-155%22))</w:t>
        </w:r>
      </w:hyperlink>
    </w:p>
    <w:p w:rsidR="00757000" w:rsidRPr="00757000" w:rsidP="00757000" w14:paraId="1B3B4CAD" w14:textId="345CC0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Affected Service(s) – </w:t>
      </w:r>
      <w:r w:rsidRPr="00A877A7" w:rsidR="00A877A7">
        <w:rPr>
          <w:bCs/>
          <w:szCs w:val="22"/>
        </w:rPr>
        <w:t>legacy voice service</w:t>
      </w:r>
    </w:p>
    <w:p w:rsidR="00757000" w:rsidRPr="00757000" w:rsidP="00757000" w14:paraId="4CF957AC" w14:textId="0EB97D3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Service Area(s) – </w:t>
      </w:r>
      <w:r w:rsidRPr="00D71479" w:rsidR="00D71479">
        <w:rPr>
          <w:bCs/>
          <w:szCs w:val="22"/>
        </w:rPr>
        <w:t>Cape Coral, Cypress Lake, and North Naples Florida</w:t>
      </w:r>
    </w:p>
    <w:p w:rsidR="00757000" w:rsidRPr="00757000" w:rsidP="00757000" w14:paraId="14A53EA0" w14:textId="6EEE29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Authorized Date(s) – </w:t>
      </w:r>
      <w:r w:rsidRPr="00757000">
        <w:rPr>
          <w:szCs w:val="22"/>
        </w:rPr>
        <w:t xml:space="preserve">on or after </w:t>
      </w:r>
      <w:r w:rsidR="00D71479">
        <w:rPr>
          <w:szCs w:val="22"/>
        </w:rPr>
        <w:t>June 30, 2023</w:t>
      </w:r>
    </w:p>
    <w:p w:rsidR="00A47A88" w:rsidP="00757000" w14:paraId="6CEBD7E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Contact(s) – </w:t>
      </w:r>
      <w:r w:rsidRPr="00757000">
        <w:rPr>
          <w:szCs w:val="22"/>
        </w:rPr>
        <w:t xml:space="preserve">Kimberly Jackson, (202) 418-7393 (voice), Kimberly.Jackson@fcc.gov, </w:t>
      </w:r>
    </w:p>
    <w:p w:rsidR="00757000" w:rsidRPr="00757000" w:rsidP="00757000" w14:paraId="22602B23" w14:textId="7B43A3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szCs w:val="22"/>
        </w:rPr>
        <w:t>of the Competition Policy Division, Wireline Competition Bureau</w:t>
      </w:r>
      <w:r w:rsidRPr="00757000">
        <w:rPr>
          <w:b/>
          <w:szCs w:val="22"/>
        </w:rPr>
        <w:t xml:space="preserve">  </w:t>
      </w:r>
    </w:p>
    <w:p w:rsidR="00757000" w:rsidP="00757000" w14:paraId="2E47052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p w:rsidR="00F96F63" w:rsidRPr="00930ECF" w:rsidP="00F96F63" w14:paraId="7ABDCCCA" w14:textId="77777777">
      <w:pPr>
        <w:rPr>
          <w:sz w:val="24"/>
        </w:rPr>
      </w:pPr>
    </w:p>
    <w:bookmarkEnd w:id="0"/>
    <w:p w:rsidR="00F96F63" w:rsidP="00F96F63" w14:paraId="5E6660AF" w14:textId="77777777">
      <w:pPr>
        <w:rPr>
          <w:sz w:val="24"/>
        </w:rPr>
      </w:pPr>
    </w:p>
    <w:p w:rsidR="00930ECF" w:rsidRPr="00930ECF" w:rsidP="00F96F63" w14:paraId="18980ACB"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8AED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9C202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D173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D4A5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14:paraId="1BE2D2D5" w14:textId="77777777">
      <w:r>
        <w:separator/>
      </w:r>
    </w:p>
  </w:footnote>
  <w:footnote w:type="continuationSeparator" w:id="1">
    <w:p w:rsidR="00CE4EEA" w14:paraId="24AF8BF0" w14:textId="77777777">
      <w:pPr>
        <w:rPr>
          <w:sz w:val="20"/>
        </w:rPr>
      </w:pPr>
      <w:r>
        <w:rPr>
          <w:sz w:val="20"/>
        </w:rPr>
        <w:t xml:space="preserve">(Continued from previous page)  </w:t>
      </w:r>
      <w:r>
        <w:rPr>
          <w:sz w:val="20"/>
        </w:rPr>
        <w:separator/>
      </w:r>
    </w:p>
  </w:footnote>
  <w:footnote w:type="continuationNotice" w:id="2">
    <w:p w:rsidR="00CE4EEA" w:rsidP="00910F12" w14:paraId="5177B0F2" w14:textId="77777777">
      <w:pPr>
        <w:jc w:val="right"/>
        <w:rPr>
          <w:sz w:val="20"/>
        </w:rPr>
      </w:pPr>
      <w:r>
        <w:rPr>
          <w:sz w:val="20"/>
        </w:rPr>
        <w:t>(continued….)</w:t>
      </w:r>
    </w:p>
  </w:footnote>
  <w:footnote w:id="3">
    <w:p w:rsidR="00CF580A" w:rsidRPr="00C91996" w:rsidP="00CF580A" w14:paraId="696AD01D" w14:textId="77777777">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14:paraId="41BEE8D0" w14:textId="77777777">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14:paraId="53F64C34" w14:textId="77777777">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14:paraId="2AD63C29" w14:textId="21898F07">
      <w:pPr>
        <w:pStyle w:val="FootnoteText"/>
      </w:pPr>
      <w:r w:rsidRPr="00EB0093">
        <w:rPr>
          <w:rStyle w:val="FootnoteReference"/>
        </w:rPr>
        <w:footnoteRef/>
      </w:r>
      <w:r w:rsidRPr="00EB0093">
        <w:t xml:space="preserve"> </w:t>
      </w:r>
      <w:r w:rsidRPr="00EB0093">
        <w:rPr>
          <w:i/>
        </w:rPr>
        <w:t xml:space="preserve">See </w:t>
      </w:r>
      <w:r w:rsidRPr="00EB0093">
        <w:t>47 CFR § 63.71(f)</w:t>
      </w:r>
      <w:r w:rsidR="00866B2A">
        <w:t>(1)</w:t>
      </w:r>
      <w:r w:rsidRPr="00EB0093">
        <w:t xml:space="preserve">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 (stating that “[a]</w:t>
      </w:r>
      <w:r w:rsidRPr="00C06C25">
        <w:t>n application to discontinue, reduce, or impair an existing retail service as part of a technology transition, as defined in §</w:t>
      </w:r>
      <w:r>
        <w:t xml:space="preserve"> </w:t>
      </w:r>
      <w:r w:rsidRPr="00C06C25">
        <w:t>63.60(i), may be automatically granted</w:t>
      </w:r>
      <w:r w:rsidR="006142A9">
        <w:t>…</w:t>
      </w:r>
      <w:r w:rsidRPr="00C06C25">
        <w:t xml:space="preserve"> if:</w:t>
      </w:r>
      <w:r>
        <w:t xml:space="preserve">  </w:t>
      </w:r>
      <w:r w:rsidRPr="00C06C25">
        <w:t>The applicant</w:t>
      </w:r>
      <w:r w:rsidR="00866B2A">
        <w:t xml:space="preserve"> provides affected customers with the notice required under paragraph</w:t>
      </w:r>
      <w:r w:rsidR="006142A9">
        <w:t xml:space="preserve"> </w:t>
      </w:r>
      <w:r w:rsidR="00866B2A">
        <w:t>(a)(6) of this section, and the application contains the showing or certification described in §</w:t>
      </w:r>
      <w:r w:rsidR="006142A9">
        <w:t xml:space="preserve"> </w:t>
      </w:r>
      <w:r w:rsidR="00866B2A">
        <w:t>63.602(b)</w:t>
      </w:r>
      <w:r>
        <w:t>”).</w:t>
      </w:r>
    </w:p>
  </w:footnote>
  <w:footnote w:id="7">
    <w:p w:rsidR="002C70CA" w14:paraId="3B5DAE0D" w14:textId="4CCAFCE5">
      <w:pPr>
        <w:pStyle w:val="FootnoteText"/>
      </w:pPr>
      <w:r>
        <w:rPr>
          <w:rStyle w:val="FootnoteReference"/>
        </w:rPr>
        <w:footnoteRef/>
      </w:r>
      <w:r>
        <w:t xml:space="preserve"> </w:t>
      </w:r>
      <w:r w:rsidRPr="002C70CA">
        <w:rPr>
          <w:i/>
          <w:iCs/>
        </w:rPr>
        <w:t>See Electronic Filing of Documents in Rulemaking Proceedings</w:t>
      </w:r>
      <w:r w:rsidRPr="002C70CA">
        <w:t>, 63 FR 24121 (1998).</w:t>
      </w:r>
    </w:p>
  </w:footnote>
  <w:footnote w:id="8">
    <w:p w:rsidR="00A754FF" w14:paraId="5646F267" w14:textId="31931809">
      <w:pPr>
        <w:pStyle w:val="FootnoteText"/>
      </w:pPr>
      <w:r>
        <w:rPr>
          <w:rStyle w:val="FootnoteReference"/>
        </w:rPr>
        <w:footnoteRef/>
      </w:r>
      <w:r>
        <w:t xml:space="preserve"> </w:t>
      </w:r>
      <w:r w:rsidRPr="00A754FF">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754FF">
        <w:rPr>
          <w:i/>
          <w:iCs/>
        </w:rPr>
        <w:t>See FCC Announces Closure of FCC Headquarters Open Window and Change in Hand-Delivery Filing, Public Notice</w:t>
      </w:r>
      <w:r w:rsidRPr="00A754FF">
        <w:t xml:space="preserve">, 35 FCC </w:t>
      </w:r>
      <w:r w:rsidRPr="00A754FF">
        <w:t>Rcd</w:t>
      </w:r>
      <w:r w:rsidRPr="00A754FF">
        <w:t xml:space="preserve"> 2788 (OMD 2020), </w:t>
      </w:r>
      <w:bookmarkStart w:id="1" w:name="_Hlk136003750"/>
      <w:hyperlink r:id="rId1" w:history="1">
        <w:r w:rsidRPr="006B1655">
          <w:rPr>
            <w:rStyle w:val="Hyperlink"/>
          </w:rPr>
          <w:t>https://www.fcc.gov/document/fcc-closes-headquarters-open-window-and-changes-hand-delivery-policy</w:t>
        </w:r>
        <w:bookmarkEnd w:id="1"/>
      </w:hyperlink>
      <w:r w:rsidRPr="00A754FF">
        <w:t>.</w:t>
      </w:r>
    </w:p>
    <w:p w:rsidR="00A754FF" w14:paraId="7655161C" w14:textId="77777777">
      <w:pPr>
        <w:pStyle w:val="FootnoteText"/>
      </w:pPr>
    </w:p>
  </w:footnote>
  <w:footnote w:id="9">
    <w:p w:rsidR="00CF580A" w:rsidRPr="007F5954" w:rsidP="00CF580A" w14:paraId="5195335E" w14:textId="77777777">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9F449B" w14:textId="39E530CE">
    <w:pPr>
      <w:tabs>
        <w:tab w:val="center" w:pos="4680"/>
        <w:tab w:val="right" w:pos="9360"/>
      </w:tabs>
    </w:pPr>
    <w:r w:rsidRPr="009838BC">
      <w:rPr>
        <w:b/>
      </w:rPr>
      <w:tab/>
      <w:t>Federal Communications Commission</w:t>
    </w:r>
    <w:r w:rsidRPr="009838BC">
      <w:rPr>
        <w:b/>
      </w:rPr>
      <w:tab/>
    </w:r>
    <w:r w:rsidR="003E15E1">
      <w:rPr>
        <w:b/>
      </w:rPr>
      <w:t xml:space="preserve">DA </w:t>
    </w:r>
    <w:r w:rsidR="007254AA">
      <w:rPr>
        <w:b/>
      </w:rPr>
      <w:t>2</w:t>
    </w:r>
    <w:r w:rsidR="00F85550">
      <w:rPr>
        <w:b/>
      </w:rPr>
      <w:t>3</w:t>
    </w:r>
    <w:r w:rsidR="003E15E1">
      <w:rPr>
        <w:b/>
      </w:rPr>
      <w:t>-</w:t>
    </w:r>
    <w:r w:rsidR="006B221A">
      <w:rPr>
        <w:b/>
      </w:rPr>
      <w:t>461</w:t>
    </w:r>
  </w:p>
  <w:p w:rsidR="009838BC" w:rsidRPr="009838BC" w:rsidP="009838BC" w14:paraId="6117B3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55B2E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A5F487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5D712DC" w14:textId="77777777">
                    <w:pPr>
                      <w:rPr>
                        <w:rFonts w:ascii="Arial" w:hAnsi="Arial"/>
                        <w:b/>
                      </w:rPr>
                    </w:pPr>
                    <w:r>
                      <w:rPr>
                        <w:rFonts w:ascii="Arial" w:hAnsi="Arial"/>
                        <w:b/>
                      </w:rPr>
                      <w:t>Federal Communications Commission</w:t>
                    </w:r>
                  </w:p>
                  <w:p w:rsidR="009838BC" w:rsidP="009838BC" w14:paraId="16FB44D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8C811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6C6D4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D47805C" w14:textId="77777777">
                    <w:pPr>
                      <w:spacing w:before="40"/>
                      <w:jc w:val="right"/>
                      <w:rPr>
                        <w:rFonts w:ascii="Arial" w:hAnsi="Arial"/>
                        <w:b/>
                        <w:sz w:val="16"/>
                      </w:rPr>
                    </w:pPr>
                    <w:r>
                      <w:rPr>
                        <w:rFonts w:ascii="Arial" w:hAnsi="Arial"/>
                        <w:b/>
                        <w:sz w:val="16"/>
                      </w:rPr>
                      <w:t>News Media Information 202 / 418-0500</w:t>
                    </w:r>
                  </w:p>
                  <w:p w:rsidR="009838BC" w:rsidP="009838BC" w14:paraId="3B143EF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2C1233D" w14:textId="77777777">
                    <w:pPr>
                      <w:jc w:val="right"/>
                    </w:pPr>
                    <w:r>
                      <w:rPr>
                        <w:rFonts w:ascii="Arial" w:hAnsi="Arial"/>
                        <w:b/>
                        <w:sz w:val="16"/>
                      </w:rPr>
                      <w:t>TTY: 1-888-835-5322</w:t>
                    </w:r>
                  </w:p>
                </w:txbxContent>
              </v:textbox>
            </v:shape>
          </w:pict>
        </mc:Fallback>
      </mc:AlternateContent>
    </w:r>
  </w:p>
  <w:p w:rsidR="006F7393" w:rsidRPr="009838BC" w:rsidP="009838BC" w14:paraId="3EA9FBE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6D8C"/>
    <w:rsid w:val="000B013D"/>
    <w:rsid w:val="000B7B6A"/>
    <w:rsid w:val="000C0B65"/>
    <w:rsid w:val="000C77FA"/>
    <w:rsid w:val="000D00C5"/>
    <w:rsid w:val="000E3D42"/>
    <w:rsid w:val="000E5884"/>
    <w:rsid w:val="00122BD5"/>
    <w:rsid w:val="001428FA"/>
    <w:rsid w:val="00176668"/>
    <w:rsid w:val="001979D9"/>
    <w:rsid w:val="001B2C47"/>
    <w:rsid w:val="001D6BCF"/>
    <w:rsid w:val="001D6C79"/>
    <w:rsid w:val="001E01CA"/>
    <w:rsid w:val="001E75F6"/>
    <w:rsid w:val="002060D9"/>
    <w:rsid w:val="00226822"/>
    <w:rsid w:val="00233844"/>
    <w:rsid w:val="00250ED7"/>
    <w:rsid w:val="00260594"/>
    <w:rsid w:val="0026597A"/>
    <w:rsid w:val="00285017"/>
    <w:rsid w:val="002A2D2E"/>
    <w:rsid w:val="002C70CA"/>
    <w:rsid w:val="002E1255"/>
    <w:rsid w:val="002E7B17"/>
    <w:rsid w:val="002F5103"/>
    <w:rsid w:val="00343749"/>
    <w:rsid w:val="0034665D"/>
    <w:rsid w:val="00357D50"/>
    <w:rsid w:val="003925DC"/>
    <w:rsid w:val="00396F6D"/>
    <w:rsid w:val="003B004F"/>
    <w:rsid w:val="003B0550"/>
    <w:rsid w:val="003B694F"/>
    <w:rsid w:val="003E15E1"/>
    <w:rsid w:val="003F171C"/>
    <w:rsid w:val="00412FC5"/>
    <w:rsid w:val="00422276"/>
    <w:rsid w:val="004242F1"/>
    <w:rsid w:val="00445A00"/>
    <w:rsid w:val="00451B0F"/>
    <w:rsid w:val="0046125F"/>
    <w:rsid w:val="00462313"/>
    <w:rsid w:val="0046249C"/>
    <w:rsid w:val="004634A5"/>
    <w:rsid w:val="00477625"/>
    <w:rsid w:val="00487524"/>
    <w:rsid w:val="00496106"/>
    <w:rsid w:val="004C12D0"/>
    <w:rsid w:val="004C2EE3"/>
    <w:rsid w:val="004E4A22"/>
    <w:rsid w:val="00511968"/>
    <w:rsid w:val="00533DE7"/>
    <w:rsid w:val="00545B81"/>
    <w:rsid w:val="0055614C"/>
    <w:rsid w:val="00556AE0"/>
    <w:rsid w:val="005B15D4"/>
    <w:rsid w:val="005B75CC"/>
    <w:rsid w:val="00602767"/>
    <w:rsid w:val="00607BA5"/>
    <w:rsid w:val="006142A9"/>
    <w:rsid w:val="00626EB6"/>
    <w:rsid w:val="006353A3"/>
    <w:rsid w:val="00655D03"/>
    <w:rsid w:val="006564AC"/>
    <w:rsid w:val="00665F81"/>
    <w:rsid w:val="00683F84"/>
    <w:rsid w:val="00685497"/>
    <w:rsid w:val="006A6A81"/>
    <w:rsid w:val="006B1655"/>
    <w:rsid w:val="006B221A"/>
    <w:rsid w:val="006E26AF"/>
    <w:rsid w:val="006F7393"/>
    <w:rsid w:val="0070224F"/>
    <w:rsid w:val="007032FD"/>
    <w:rsid w:val="007115F7"/>
    <w:rsid w:val="00715A41"/>
    <w:rsid w:val="00723788"/>
    <w:rsid w:val="007254AA"/>
    <w:rsid w:val="00737334"/>
    <w:rsid w:val="00757000"/>
    <w:rsid w:val="00757094"/>
    <w:rsid w:val="00785689"/>
    <w:rsid w:val="00792917"/>
    <w:rsid w:val="0079754B"/>
    <w:rsid w:val="007A1E6D"/>
    <w:rsid w:val="007D2E3D"/>
    <w:rsid w:val="007F5954"/>
    <w:rsid w:val="00822CE0"/>
    <w:rsid w:val="00837C62"/>
    <w:rsid w:val="00841AB1"/>
    <w:rsid w:val="00866B2A"/>
    <w:rsid w:val="008C22FD"/>
    <w:rsid w:val="008E1589"/>
    <w:rsid w:val="008F6CF8"/>
    <w:rsid w:val="00910F12"/>
    <w:rsid w:val="00926503"/>
    <w:rsid w:val="00930ECF"/>
    <w:rsid w:val="00946191"/>
    <w:rsid w:val="009838BC"/>
    <w:rsid w:val="009C26DE"/>
    <w:rsid w:val="009C502C"/>
    <w:rsid w:val="009D0D63"/>
    <w:rsid w:val="009E4E3E"/>
    <w:rsid w:val="00A41953"/>
    <w:rsid w:val="00A45F07"/>
    <w:rsid w:val="00A45F4F"/>
    <w:rsid w:val="00A47A88"/>
    <w:rsid w:val="00A600A9"/>
    <w:rsid w:val="00A754FF"/>
    <w:rsid w:val="00A866AC"/>
    <w:rsid w:val="00A877A7"/>
    <w:rsid w:val="00A951AE"/>
    <w:rsid w:val="00AA55B7"/>
    <w:rsid w:val="00AA5B9E"/>
    <w:rsid w:val="00AA6F46"/>
    <w:rsid w:val="00AB2407"/>
    <w:rsid w:val="00AB3DD1"/>
    <w:rsid w:val="00AB53DF"/>
    <w:rsid w:val="00AC52E0"/>
    <w:rsid w:val="00AD1AFA"/>
    <w:rsid w:val="00B07E5C"/>
    <w:rsid w:val="00B326E3"/>
    <w:rsid w:val="00B4402A"/>
    <w:rsid w:val="00B811F7"/>
    <w:rsid w:val="00B83336"/>
    <w:rsid w:val="00B9492F"/>
    <w:rsid w:val="00BA5DC6"/>
    <w:rsid w:val="00BA6196"/>
    <w:rsid w:val="00BB44C4"/>
    <w:rsid w:val="00BC6D8C"/>
    <w:rsid w:val="00BF7680"/>
    <w:rsid w:val="00C0179E"/>
    <w:rsid w:val="00C06C25"/>
    <w:rsid w:val="00C16AF2"/>
    <w:rsid w:val="00C34006"/>
    <w:rsid w:val="00C426B1"/>
    <w:rsid w:val="00C82B6B"/>
    <w:rsid w:val="00C90D6A"/>
    <w:rsid w:val="00C91996"/>
    <w:rsid w:val="00CC72B6"/>
    <w:rsid w:val="00CE4EEA"/>
    <w:rsid w:val="00CF580A"/>
    <w:rsid w:val="00D0218D"/>
    <w:rsid w:val="00D216CD"/>
    <w:rsid w:val="00D36E86"/>
    <w:rsid w:val="00D42B17"/>
    <w:rsid w:val="00D71479"/>
    <w:rsid w:val="00DA2529"/>
    <w:rsid w:val="00DB130A"/>
    <w:rsid w:val="00DC10A1"/>
    <w:rsid w:val="00DC655F"/>
    <w:rsid w:val="00DD7EBD"/>
    <w:rsid w:val="00DE43BB"/>
    <w:rsid w:val="00DF62B6"/>
    <w:rsid w:val="00E07225"/>
    <w:rsid w:val="00E155B7"/>
    <w:rsid w:val="00E31736"/>
    <w:rsid w:val="00E40272"/>
    <w:rsid w:val="00E5409F"/>
    <w:rsid w:val="00E5559C"/>
    <w:rsid w:val="00E84F59"/>
    <w:rsid w:val="00E91FB3"/>
    <w:rsid w:val="00EA3E81"/>
    <w:rsid w:val="00EB0093"/>
    <w:rsid w:val="00EC0185"/>
    <w:rsid w:val="00F021FA"/>
    <w:rsid w:val="00F57ACA"/>
    <w:rsid w:val="00F62E97"/>
    <w:rsid w:val="00F64209"/>
    <w:rsid w:val="00F85550"/>
    <w:rsid w:val="00F87845"/>
    <w:rsid w:val="00F92C2C"/>
    <w:rsid w:val="00F93BF5"/>
    <w:rsid w:val="00F96F63"/>
    <w:rsid w:val="00FC3073"/>
    <w:rsid w:val="00FC55DB"/>
    <w:rsid w:val="00FF3F7F"/>
    <w:rsid w:val="00FF5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DD58C8"/>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21A"/>
    <w:pPr>
      <w:widowControl w:val="0"/>
    </w:pPr>
    <w:rPr>
      <w:snapToGrid w:val="0"/>
      <w:kern w:val="28"/>
      <w:sz w:val="22"/>
    </w:rPr>
  </w:style>
  <w:style w:type="paragraph" w:styleId="Heading1">
    <w:name w:val="heading 1"/>
    <w:basedOn w:val="Normal"/>
    <w:next w:val="ParaNum"/>
    <w:qFormat/>
    <w:rsid w:val="006B22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221A"/>
    <w:pPr>
      <w:keepNext/>
      <w:numPr>
        <w:ilvl w:val="1"/>
        <w:numId w:val="3"/>
      </w:numPr>
      <w:spacing w:after="120"/>
      <w:outlineLvl w:val="1"/>
    </w:pPr>
    <w:rPr>
      <w:b/>
    </w:rPr>
  </w:style>
  <w:style w:type="paragraph" w:styleId="Heading3">
    <w:name w:val="heading 3"/>
    <w:basedOn w:val="Normal"/>
    <w:next w:val="ParaNum"/>
    <w:qFormat/>
    <w:rsid w:val="006B221A"/>
    <w:pPr>
      <w:keepNext/>
      <w:numPr>
        <w:ilvl w:val="2"/>
        <w:numId w:val="3"/>
      </w:numPr>
      <w:tabs>
        <w:tab w:val="left" w:pos="2160"/>
      </w:tabs>
      <w:spacing w:after="120"/>
      <w:outlineLvl w:val="2"/>
    </w:pPr>
    <w:rPr>
      <w:b/>
    </w:rPr>
  </w:style>
  <w:style w:type="paragraph" w:styleId="Heading4">
    <w:name w:val="heading 4"/>
    <w:basedOn w:val="Normal"/>
    <w:next w:val="ParaNum"/>
    <w:qFormat/>
    <w:rsid w:val="006B221A"/>
    <w:pPr>
      <w:keepNext/>
      <w:numPr>
        <w:ilvl w:val="3"/>
        <w:numId w:val="3"/>
      </w:numPr>
      <w:tabs>
        <w:tab w:val="left" w:pos="2880"/>
      </w:tabs>
      <w:spacing w:after="120"/>
      <w:outlineLvl w:val="3"/>
    </w:pPr>
    <w:rPr>
      <w:b/>
    </w:rPr>
  </w:style>
  <w:style w:type="paragraph" w:styleId="Heading5">
    <w:name w:val="heading 5"/>
    <w:basedOn w:val="Normal"/>
    <w:next w:val="ParaNum"/>
    <w:qFormat/>
    <w:rsid w:val="006B22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221A"/>
    <w:pPr>
      <w:numPr>
        <w:ilvl w:val="5"/>
        <w:numId w:val="3"/>
      </w:numPr>
      <w:tabs>
        <w:tab w:val="left" w:pos="4320"/>
      </w:tabs>
      <w:spacing w:after="120"/>
      <w:outlineLvl w:val="5"/>
    </w:pPr>
    <w:rPr>
      <w:b/>
    </w:rPr>
  </w:style>
  <w:style w:type="paragraph" w:styleId="Heading7">
    <w:name w:val="heading 7"/>
    <w:basedOn w:val="Normal"/>
    <w:next w:val="ParaNum"/>
    <w:qFormat/>
    <w:rsid w:val="006B22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22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22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B22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B221A"/>
  </w:style>
  <w:style w:type="paragraph" w:customStyle="1" w:styleId="ParaNum">
    <w:name w:val="ParaNum"/>
    <w:basedOn w:val="Normal"/>
    <w:rsid w:val="006B221A"/>
    <w:pPr>
      <w:numPr>
        <w:numId w:val="2"/>
      </w:numPr>
      <w:tabs>
        <w:tab w:val="clear" w:pos="1080"/>
        <w:tab w:val="num" w:pos="1440"/>
      </w:tabs>
      <w:spacing w:after="120"/>
    </w:pPr>
  </w:style>
  <w:style w:type="paragraph" w:styleId="EndnoteText">
    <w:name w:val="endnote text"/>
    <w:basedOn w:val="Normal"/>
    <w:semiHidden/>
    <w:rsid w:val="006B221A"/>
    <w:rPr>
      <w:sz w:val="20"/>
    </w:rPr>
  </w:style>
  <w:style w:type="character" w:styleId="EndnoteReference">
    <w:name w:val="endnote reference"/>
    <w:semiHidden/>
    <w:rsid w:val="006B221A"/>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6B221A"/>
    <w:pPr>
      <w:spacing w:after="120"/>
    </w:pPr>
  </w:style>
  <w:style w:type="character" w:styleId="FootnoteReference">
    <w:name w:val="footnote reference"/>
    <w:semiHidden/>
    <w:rsid w:val="006B221A"/>
    <w:rPr>
      <w:rFonts w:ascii="Times New Roman" w:hAnsi="Times New Roman"/>
      <w:dstrike w:val="0"/>
      <w:color w:val="auto"/>
      <w:sz w:val="22"/>
      <w:vertAlign w:val="superscript"/>
    </w:rPr>
  </w:style>
  <w:style w:type="paragraph" w:styleId="TOC1">
    <w:name w:val="toc 1"/>
    <w:basedOn w:val="Normal"/>
    <w:next w:val="Normal"/>
    <w:uiPriority w:val="39"/>
    <w:rsid w:val="006B22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221A"/>
    <w:pPr>
      <w:tabs>
        <w:tab w:val="left" w:pos="720"/>
        <w:tab w:val="right" w:leader="dot" w:pos="9360"/>
      </w:tabs>
      <w:suppressAutoHyphens/>
      <w:ind w:left="720" w:right="720" w:hanging="360"/>
    </w:pPr>
    <w:rPr>
      <w:noProof/>
    </w:rPr>
  </w:style>
  <w:style w:type="paragraph" w:styleId="TOC3">
    <w:name w:val="toc 3"/>
    <w:basedOn w:val="Normal"/>
    <w:next w:val="Normal"/>
    <w:semiHidden/>
    <w:rsid w:val="006B22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22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22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22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22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22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22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221A"/>
    <w:pPr>
      <w:tabs>
        <w:tab w:val="right" w:pos="9360"/>
      </w:tabs>
      <w:suppressAutoHyphens/>
    </w:pPr>
  </w:style>
  <w:style w:type="character" w:customStyle="1" w:styleId="EquationCaption">
    <w:name w:val="_Equation Caption"/>
    <w:rsid w:val="006B221A"/>
  </w:style>
  <w:style w:type="paragraph" w:styleId="Header">
    <w:name w:val="header"/>
    <w:basedOn w:val="Normal"/>
    <w:link w:val="HeaderChar"/>
    <w:autoRedefine/>
    <w:rsid w:val="006B221A"/>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B221A"/>
    <w:pPr>
      <w:tabs>
        <w:tab w:val="center" w:pos="4320"/>
        <w:tab w:val="right" w:pos="8640"/>
      </w:tabs>
    </w:pPr>
  </w:style>
  <w:style w:type="character" w:styleId="PageNumber">
    <w:name w:val="page number"/>
    <w:basedOn w:val="DefaultParagraphFont"/>
    <w:rsid w:val="006B221A"/>
  </w:style>
  <w:style w:type="paragraph" w:styleId="BlockText">
    <w:name w:val="Block Text"/>
    <w:basedOn w:val="Normal"/>
    <w:rsid w:val="006B221A"/>
    <w:pPr>
      <w:spacing w:after="240"/>
      <w:ind w:left="1440" w:right="1440"/>
    </w:pPr>
  </w:style>
  <w:style w:type="paragraph" w:customStyle="1" w:styleId="Paratitle">
    <w:name w:val="Para title"/>
    <w:basedOn w:val="Normal"/>
    <w:rsid w:val="006B221A"/>
    <w:pPr>
      <w:tabs>
        <w:tab w:val="center" w:pos="9270"/>
      </w:tabs>
      <w:spacing w:after="240"/>
    </w:pPr>
    <w:rPr>
      <w:spacing w:val="-2"/>
    </w:rPr>
  </w:style>
  <w:style w:type="paragraph" w:customStyle="1" w:styleId="Bullet">
    <w:name w:val="Bullet"/>
    <w:basedOn w:val="Normal"/>
    <w:rsid w:val="006B221A"/>
    <w:pPr>
      <w:numPr>
        <w:numId w:val="1"/>
      </w:numPr>
      <w:tabs>
        <w:tab w:val="clear" w:pos="360"/>
        <w:tab w:val="left" w:pos="2160"/>
      </w:tabs>
      <w:spacing w:after="220"/>
      <w:ind w:left="2160" w:hanging="720"/>
    </w:pPr>
  </w:style>
  <w:style w:type="paragraph" w:customStyle="1" w:styleId="TableFormat">
    <w:name w:val="TableFormat"/>
    <w:basedOn w:val="Bullet"/>
    <w:rsid w:val="006B221A"/>
    <w:pPr>
      <w:numPr>
        <w:numId w:val="0"/>
      </w:numPr>
      <w:tabs>
        <w:tab w:val="clear" w:pos="2160"/>
        <w:tab w:val="left" w:pos="5040"/>
      </w:tabs>
      <w:ind w:left="5040" w:hanging="3600"/>
    </w:pPr>
  </w:style>
  <w:style w:type="paragraph" w:customStyle="1" w:styleId="TOCTitle">
    <w:name w:val="TOC Title"/>
    <w:basedOn w:val="Normal"/>
    <w:rsid w:val="006B22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221A"/>
    <w:pPr>
      <w:jc w:val="center"/>
    </w:pPr>
    <w:rPr>
      <w:rFonts w:ascii="Times New Roman Bold" w:hAnsi="Times New Roman Bold"/>
      <w:b/>
      <w:bCs/>
      <w:caps/>
      <w:szCs w:val="22"/>
    </w:rPr>
  </w:style>
  <w:style w:type="character" w:styleId="Hyperlink">
    <w:name w:val="Hyperlink"/>
    <w:rsid w:val="006B221A"/>
    <w:rPr>
      <w:color w:val="0000FF"/>
      <w:u w:val="single"/>
    </w:rPr>
  </w:style>
  <w:style w:type="character" w:customStyle="1" w:styleId="FooterChar">
    <w:name w:val="Footer Char"/>
    <w:link w:val="Footer"/>
    <w:uiPriority w:val="99"/>
    <w:rsid w:val="006B221A"/>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styleId="UnresolvedMention">
    <w:name w:val="Unresolved Mention"/>
    <w:uiPriority w:val="99"/>
    <w:semiHidden/>
    <w:unhideWhenUsed/>
    <w:rsid w:val="006B221A"/>
    <w:rPr>
      <w:color w:val="605E5C"/>
      <w:shd w:val="clear" w:color="auto" w:fill="E1DFDD"/>
    </w:rPr>
  </w:style>
  <w:style w:type="paragraph" w:styleId="NoSpacing">
    <w:name w:val="No Spacing"/>
    <w:uiPriority w:val="1"/>
    <w:qFormat/>
    <w:rsid w:val="00F85550"/>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55%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