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322EF1" w14:paraId="10FE3806" w14:textId="6BB162E6">
      <w:pPr>
        <w:jc w:val="center"/>
        <w:rPr>
          <w:b/>
          <w:szCs w:val="22"/>
        </w:rPr>
      </w:pPr>
      <w:r w:rsidRPr="00322EF1">
        <w:rPr>
          <w:b/>
          <w:kern w:val="0"/>
          <w:szCs w:val="22"/>
        </w:rPr>
        <w:t>Before</w:t>
      </w:r>
      <w:r w:rsidRPr="00322EF1">
        <w:rPr>
          <w:b/>
          <w:szCs w:val="22"/>
        </w:rPr>
        <w:t xml:space="preserve"> the</w:t>
      </w:r>
    </w:p>
    <w:p w:rsidR="00921803" w:rsidRPr="00322EF1" w:rsidP="00921803" w14:paraId="03B806B7" w14:textId="77777777">
      <w:pPr>
        <w:pStyle w:val="StyleBoldCentered"/>
        <w:rPr>
          <w:rFonts w:ascii="Times New Roman" w:hAnsi="Times New Roman"/>
        </w:rPr>
      </w:pPr>
      <w:r w:rsidRPr="00322EF1">
        <w:rPr>
          <w:rFonts w:ascii="Times New Roman" w:hAnsi="Times New Roman"/>
        </w:rPr>
        <w:t>Federal Communications Commission</w:t>
      </w:r>
    </w:p>
    <w:p w:rsidR="004C2EE3" w:rsidRPr="00322EF1" w:rsidP="00096D8C" w14:paraId="45E652DD" w14:textId="77777777">
      <w:pPr>
        <w:pStyle w:val="StyleBoldCentered"/>
        <w:rPr>
          <w:rFonts w:ascii="Times New Roman" w:hAnsi="Times New Roman"/>
        </w:rPr>
      </w:pPr>
      <w:r w:rsidRPr="00322EF1">
        <w:rPr>
          <w:rFonts w:ascii="Times New Roman" w:hAnsi="Times New Roman"/>
        </w:rPr>
        <w:t>Washington, D.C. 20554</w:t>
      </w:r>
    </w:p>
    <w:p w:rsidR="004C2EE3" w:rsidRPr="00322EF1" w:rsidP="0070224F" w14:paraId="3005C935" w14:textId="77777777">
      <w:pPr>
        <w:rPr>
          <w:szCs w:val="22"/>
        </w:rPr>
      </w:pPr>
    </w:p>
    <w:p w:rsidR="004C2EE3" w:rsidRPr="00322EF1" w:rsidP="0070224F" w14:paraId="6904BB09" w14:textId="77777777">
      <w:pPr>
        <w:rPr>
          <w:szCs w:val="22"/>
        </w:rPr>
      </w:pPr>
    </w:p>
    <w:tbl>
      <w:tblPr>
        <w:tblW w:w="0" w:type="auto"/>
        <w:tblLayout w:type="fixed"/>
        <w:tblLook w:val="0000"/>
      </w:tblPr>
      <w:tblGrid>
        <w:gridCol w:w="4698"/>
        <w:gridCol w:w="630"/>
        <w:gridCol w:w="4248"/>
      </w:tblGrid>
      <w:tr w14:paraId="5C9A8021" w14:textId="77777777">
        <w:tblPrEx>
          <w:tblW w:w="0" w:type="auto"/>
          <w:tblLayout w:type="fixed"/>
          <w:tblLook w:val="0000"/>
        </w:tblPrEx>
        <w:tc>
          <w:tcPr>
            <w:tcW w:w="4698" w:type="dxa"/>
          </w:tcPr>
          <w:p w:rsidR="004C2EE3" w:rsidRPr="00322EF1" w14:paraId="75883EBA" w14:textId="2F718BC9">
            <w:pPr>
              <w:tabs>
                <w:tab w:val="center" w:pos="4680"/>
              </w:tabs>
              <w:suppressAutoHyphens/>
              <w:rPr>
                <w:spacing w:val="-2"/>
                <w:szCs w:val="22"/>
              </w:rPr>
            </w:pPr>
            <w:r w:rsidRPr="00322EF1">
              <w:rPr>
                <w:spacing w:val="-2"/>
                <w:szCs w:val="22"/>
              </w:rPr>
              <w:t>In the Matter of</w:t>
            </w:r>
          </w:p>
          <w:p w:rsidR="004C2EE3" w:rsidRPr="00322EF1" w14:paraId="06DB6C72" w14:textId="77777777">
            <w:pPr>
              <w:tabs>
                <w:tab w:val="center" w:pos="4680"/>
              </w:tabs>
              <w:suppressAutoHyphens/>
              <w:rPr>
                <w:spacing w:val="-2"/>
                <w:szCs w:val="22"/>
              </w:rPr>
            </w:pPr>
          </w:p>
          <w:p w:rsidR="003379CD" w:rsidP="007115F7" w14:paraId="3DB1C779" w14:textId="2FF90E30">
            <w:pPr>
              <w:tabs>
                <w:tab w:val="center" w:pos="4680"/>
              </w:tabs>
              <w:suppressAutoHyphens/>
              <w:rPr>
                <w:szCs w:val="22"/>
              </w:rPr>
            </w:pPr>
            <w:r>
              <w:rPr>
                <w:rFonts w:eastAsia="Calibri"/>
                <w:b/>
                <w:szCs w:val="22"/>
              </w:rPr>
              <w:t>Gendreau</w:t>
            </w:r>
            <w:r>
              <w:rPr>
                <w:rFonts w:eastAsia="Calibri"/>
                <w:b/>
                <w:szCs w:val="22"/>
              </w:rPr>
              <w:t xml:space="preserve"> Broadcast LLC</w:t>
            </w:r>
          </w:p>
          <w:p w:rsidR="00F22B7E" w:rsidP="007115F7" w14:paraId="685AED3F" w14:textId="77777777">
            <w:pPr>
              <w:tabs>
                <w:tab w:val="center" w:pos="4680"/>
              </w:tabs>
              <w:suppressAutoHyphens/>
              <w:rPr>
                <w:spacing w:val="-2"/>
                <w:szCs w:val="22"/>
              </w:rPr>
            </w:pPr>
          </w:p>
          <w:p w:rsidR="004A3CC2" w:rsidP="007115F7" w14:paraId="5996986C" w14:textId="3F83A91C">
            <w:pPr>
              <w:tabs>
                <w:tab w:val="center" w:pos="4680"/>
              </w:tabs>
              <w:suppressAutoHyphens/>
              <w:rPr>
                <w:spacing w:val="-2"/>
                <w:szCs w:val="22"/>
              </w:rPr>
            </w:pPr>
            <w:r>
              <w:rPr>
                <w:spacing w:val="-2"/>
                <w:szCs w:val="22"/>
              </w:rPr>
              <w:t xml:space="preserve">Application </w:t>
            </w:r>
            <w:r w:rsidR="00EB46DC">
              <w:rPr>
                <w:spacing w:val="-2"/>
                <w:szCs w:val="22"/>
              </w:rPr>
              <w:t>to Renew License for</w:t>
            </w:r>
          </w:p>
          <w:p w:rsidR="00EB46DC" w:rsidRPr="00322EF1" w:rsidP="00EB46DC" w14:paraId="2ADC0318" w14:textId="42BA95CA">
            <w:pPr>
              <w:tabs>
                <w:tab w:val="center" w:pos="4680"/>
              </w:tabs>
              <w:suppressAutoHyphens/>
              <w:rPr>
                <w:spacing w:val="-2"/>
                <w:szCs w:val="22"/>
              </w:rPr>
            </w:pPr>
            <w:r>
              <w:rPr>
                <w:spacing w:val="-2"/>
                <w:szCs w:val="22"/>
              </w:rPr>
              <w:t xml:space="preserve">KMCN(FM), Clinton, Iowa </w:t>
            </w:r>
          </w:p>
        </w:tc>
        <w:tc>
          <w:tcPr>
            <w:tcW w:w="630" w:type="dxa"/>
          </w:tcPr>
          <w:p w:rsidR="004C2EE3" w:rsidRPr="00322EF1" w14:paraId="556F739A" w14:textId="77777777">
            <w:pPr>
              <w:tabs>
                <w:tab w:val="center" w:pos="4680"/>
              </w:tabs>
              <w:suppressAutoHyphens/>
              <w:rPr>
                <w:b/>
                <w:szCs w:val="22"/>
              </w:rPr>
            </w:pPr>
            <w:r w:rsidRPr="00322EF1">
              <w:rPr>
                <w:b/>
                <w:spacing w:val="-2"/>
                <w:szCs w:val="22"/>
              </w:rPr>
              <w:t>)</w:t>
            </w:r>
          </w:p>
          <w:p w:rsidR="004C2EE3" w:rsidRPr="00322EF1" w14:paraId="2FB2CA84" w14:textId="77777777">
            <w:pPr>
              <w:tabs>
                <w:tab w:val="center" w:pos="4680"/>
              </w:tabs>
              <w:suppressAutoHyphens/>
              <w:rPr>
                <w:b/>
                <w:szCs w:val="22"/>
              </w:rPr>
            </w:pPr>
            <w:r w:rsidRPr="00322EF1">
              <w:rPr>
                <w:b/>
                <w:spacing w:val="-2"/>
                <w:szCs w:val="22"/>
              </w:rPr>
              <w:t>)</w:t>
            </w:r>
          </w:p>
          <w:p w:rsidR="004C2EE3" w:rsidRPr="00322EF1" w14:paraId="790FEF2F" w14:textId="77777777">
            <w:pPr>
              <w:tabs>
                <w:tab w:val="center" w:pos="4680"/>
              </w:tabs>
              <w:suppressAutoHyphens/>
              <w:rPr>
                <w:b/>
                <w:szCs w:val="22"/>
              </w:rPr>
            </w:pPr>
            <w:r w:rsidRPr="00322EF1">
              <w:rPr>
                <w:b/>
                <w:spacing w:val="-2"/>
                <w:szCs w:val="22"/>
              </w:rPr>
              <w:t>)</w:t>
            </w:r>
          </w:p>
          <w:p w:rsidR="004C2EE3" w:rsidRPr="00322EF1" w14:paraId="7357D7FB" w14:textId="77777777">
            <w:pPr>
              <w:tabs>
                <w:tab w:val="center" w:pos="4680"/>
              </w:tabs>
              <w:suppressAutoHyphens/>
              <w:rPr>
                <w:b/>
                <w:szCs w:val="22"/>
              </w:rPr>
            </w:pPr>
            <w:r w:rsidRPr="00322EF1">
              <w:rPr>
                <w:b/>
                <w:spacing w:val="-2"/>
                <w:szCs w:val="22"/>
              </w:rPr>
              <w:t>)</w:t>
            </w:r>
          </w:p>
          <w:p w:rsidR="00031F80" w:rsidRPr="00322EF1" w14:paraId="2226C113" w14:textId="77777777">
            <w:pPr>
              <w:tabs>
                <w:tab w:val="center" w:pos="4680"/>
              </w:tabs>
              <w:suppressAutoHyphens/>
              <w:rPr>
                <w:b/>
                <w:spacing w:val="-2"/>
                <w:szCs w:val="22"/>
              </w:rPr>
            </w:pPr>
            <w:r w:rsidRPr="00322EF1">
              <w:rPr>
                <w:b/>
                <w:spacing w:val="-2"/>
                <w:szCs w:val="22"/>
              </w:rPr>
              <w:t>)</w:t>
            </w:r>
          </w:p>
          <w:p w:rsidR="00E00669" w:rsidRPr="001966C0" w14:paraId="1092142B" w14:textId="430F49BC">
            <w:pPr>
              <w:tabs>
                <w:tab w:val="center" w:pos="4680"/>
              </w:tabs>
              <w:suppressAutoHyphens/>
              <w:rPr>
                <w:b/>
                <w:spacing w:val="-2"/>
                <w:szCs w:val="22"/>
              </w:rPr>
            </w:pPr>
            <w:r w:rsidRPr="00322EF1">
              <w:rPr>
                <w:b/>
                <w:spacing w:val="-2"/>
                <w:szCs w:val="22"/>
              </w:rPr>
              <w:t>)</w:t>
            </w:r>
          </w:p>
        </w:tc>
        <w:tc>
          <w:tcPr>
            <w:tcW w:w="4248" w:type="dxa"/>
          </w:tcPr>
          <w:p w:rsidR="00031F80" w:rsidRPr="00322EF1" w:rsidP="00031F80" w14:paraId="7DEB005B" w14:textId="77777777">
            <w:pPr>
              <w:widowControl/>
              <w:autoSpaceDE w:val="0"/>
              <w:autoSpaceDN w:val="0"/>
              <w:adjustRightInd w:val="0"/>
              <w:rPr>
                <w:snapToGrid/>
                <w:kern w:val="0"/>
                <w:szCs w:val="22"/>
              </w:rPr>
            </w:pPr>
          </w:p>
          <w:p w:rsidR="00031F80" w:rsidRPr="00322EF1" w:rsidP="00031F80" w14:paraId="7DC47538" w14:textId="16090260">
            <w:pPr>
              <w:widowControl/>
              <w:autoSpaceDE w:val="0"/>
              <w:autoSpaceDN w:val="0"/>
              <w:adjustRightInd w:val="0"/>
              <w:rPr>
                <w:snapToGrid/>
                <w:kern w:val="0"/>
                <w:szCs w:val="22"/>
              </w:rPr>
            </w:pPr>
            <w:r w:rsidRPr="00322EF1">
              <w:rPr>
                <w:snapToGrid/>
                <w:kern w:val="0"/>
                <w:szCs w:val="22"/>
              </w:rPr>
              <w:t xml:space="preserve">NAL/Acct. </w:t>
            </w:r>
            <w:r w:rsidRPr="008C74C0">
              <w:rPr>
                <w:snapToGrid/>
                <w:kern w:val="0"/>
                <w:szCs w:val="22"/>
              </w:rPr>
              <w:t xml:space="preserve">No. </w:t>
            </w:r>
            <w:r w:rsidRPr="00B151D6" w:rsidR="008C74C0">
              <w:rPr>
                <w:snapToGrid/>
                <w:kern w:val="0"/>
                <w:szCs w:val="22"/>
              </w:rPr>
              <w:t>MB</w:t>
            </w:r>
            <w:r w:rsidR="00B151D6">
              <w:rPr>
                <w:snapToGrid/>
                <w:kern w:val="0"/>
                <w:szCs w:val="22"/>
              </w:rPr>
              <w:t>-</w:t>
            </w:r>
            <w:r w:rsidR="00B151D6">
              <w:t>202341410008</w:t>
            </w:r>
          </w:p>
          <w:p w:rsidR="00031F80" w:rsidRPr="00322EF1" w:rsidP="00031F80" w14:paraId="08E92CBF" w14:textId="73F985D1">
            <w:pPr>
              <w:widowControl/>
              <w:autoSpaceDE w:val="0"/>
              <w:autoSpaceDN w:val="0"/>
              <w:adjustRightInd w:val="0"/>
              <w:rPr>
                <w:snapToGrid/>
                <w:kern w:val="0"/>
                <w:szCs w:val="22"/>
              </w:rPr>
            </w:pPr>
            <w:r w:rsidRPr="00322EF1">
              <w:rPr>
                <w:snapToGrid/>
                <w:kern w:val="0"/>
                <w:szCs w:val="22"/>
              </w:rPr>
              <w:t xml:space="preserve">FRN: </w:t>
            </w:r>
            <w:r w:rsidRPr="00322EF1" w:rsidR="00AE1741">
              <w:rPr>
                <w:snapToGrid/>
                <w:kern w:val="0"/>
                <w:szCs w:val="22"/>
              </w:rPr>
              <w:t xml:space="preserve"> </w:t>
            </w:r>
            <w:r w:rsidR="0090029B">
              <w:rPr>
                <w:snapToGrid/>
                <w:kern w:val="0"/>
                <w:szCs w:val="22"/>
              </w:rPr>
              <w:t>0027365139</w:t>
            </w:r>
          </w:p>
          <w:p w:rsidR="00E00669" w:rsidP="00031F80" w14:paraId="6A2B4658" w14:textId="77777777">
            <w:pPr>
              <w:widowControl/>
              <w:autoSpaceDE w:val="0"/>
              <w:autoSpaceDN w:val="0"/>
              <w:adjustRightInd w:val="0"/>
              <w:rPr>
                <w:snapToGrid/>
                <w:kern w:val="0"/>
                <w:szCs w:val="22"/>
              </w:rPr>
            </w:pPr>
          </w:p>
          <w:p w:rsidR="00031F80" w:rsidRPr="00322EF1" w:rsidP="00031F80" w14:paraId="306BFF8C" w14:textId="54891352">
            <w:pPr>
              <w:widowControl/>
              <w:autoSpaceDE w:val="0"/>
              <w:autoSpaceDN w:val="0"/>
              <w:adjustRightInd w:val="0"/>
              <w:rPr>
                <w:snapToGrid/>
                <w:kern w:val="0"/>
                <w:szCs w:val="22"/>
              </w:rPr>
            </w:pPr>
            <w:r w:rsidRPr="00322EF1">
              <w:rPr>
                <w:snapToGrid/>
                <w:kern w:val="0"/>
                <w:szCs w:val="22"/>
              </w:rPr>
              <w:t>Facility ID No</w:t>
            </w:r>
            <w:r w:rsidRPr="00322EF1">
              <w:rPr>
                <w:szCs w:val="22"/>
              </w:rPr>
              <w:t xml:space="preserve">. </w:t>
            </w:r>
            <w:r w:rsidR="00AD4CBA">
              <w:rPr>
                <w:szCs w:val="22"/>
              </w:rPr>
              <w:t>33054</w:t>
            </w:r>
          </w:p>
          <w:p w:rsidR="00031F80" w:rsidRPr="006B7A1B" w:rsidP="006B7A1B" w14:paraId="5A5149DA" w14:textId="19872F35">
            <w:pPr>
              <w:widowControl/>
              <w:autoSpaceDE w:val="0"/>
              <w:autoSpaceDN w:val="0"/>
              <w:adjustRightInd w:val="0"/>
              <w:rPr>
                <w:snapToGrid/>
                <w:kern w:val="0"/>
                <w:szCs w:val="22"/>
              </w:rPr>
            </w:pPr>
            <w:r w:rsidRPr="00322EF1">
              <w:rPr>
                <w:snapToGrid/>
                <w:kern w:val="0"/>
                <w:szCs w:val="22"/>
              </w:rPr>
              <w:t xml:space="preserve">Application File No. </w:t>
            </w:r>
            <w:r w:rsidR="00AD4CBA">
              <w:rPr>
                <w:snapToGrid/>
                <w:kern w:val="0"/>
                <w:szCs w:val="22"/>
              </w:rPr>
              <w:t>123953</w:t>
            </w:r>
          </w:p>
          <w:p w:rsidR="00D56C81" w:rsidRPr="00322EF1" w:rsidP="00031F80" w14:paraId="43317D23" w14:textId="06C69DDE">
            <w:pPr>
              <w:tabs>
                <w:tab w:val="center" w:pos="4680"/>
              </w:tabs>
              <w:suppressAutoHyphens/>
              <w:rPr>
                <w:spacing w:val="-2"/>
                <w:szCs w:val="22"/>
              </w:rPr>
            </w:pPr>
          </w:p>
        </w:tc>
      </w:tr>
    </w:tbl>
    <w:p w:rsidR="004C2EE3" w:rsidRPr="00322EF1" w:rsidP="0070224F" w14:paraId="2E3258B7" w14:textId="77777777">
      <w:pPr>
        <w:rPr>
          <w:szCs w:val="22"/>
        </w:rPr>
      </w:pPr>
    </w:p>
    <w:p w:rsidR="004C73CE" w:rsidP="00F021FA" w14:paraId="5D509F2E" w14:textId="77777777">
      <w:pPr>
        <w:pStyle w:val="StyleBoldCentered"/>
        <w:rPr>
          <w:rFonts w:ascii="Times New Roman" w:hAnsi="Times New Roman"/>
        </w:rPr>
      </w:pPr>
      <w:r>
        <w:rPr>
          <w:rFonts w:ascii="Times New Roman" w:hAnsi="Times New Roman"/>
        </w:rPr>
        <w:t>MEMORANDUM OPINION AND</w:t>
      </w:r>
      <w:r w:rsidR="00C82A82">
        <w:rPr>
          <w:rFonts w:ascii="Times New Roman" w:hAnsi="Times New Roman"/>
        </w:rPr>
        <w:t xml:space="preserve"> order</w:t>
      </w:r>
      <w:r>
        <w:rPr>
          <w:rFonts w:ascii="Times New Roman" w:hAnsi="Times New Roman"/>
        </w:rPr>
        <w:t xml:space="preserve"> AND </w:t>
      </w:r>
    </w:p>
    <w:p w:rsidR="00FA2382" w:rsidRPr="00322EF1" w:rsidP="00F021FA" w14:paraId="6F586C16" w14:textId="27A76EC1">
      <w:pPr>
        <w:pStyle w:val="StyleBoldCentered"/>
        <w:rPr>
          <w:rFonts w:ascii="Times New Roman" w:hAnsi="Times New Roman"/>
        </w:rPr>
      </w:pPr>
      <w:r>
        <w:rPr>
          <w:rFonts w:ascii="Times New Roman" w:hAnsi="Times New Roman"/>
        </w:rPr>
        <w:t>NOTICE OF apparent LIABILITY FOR FORFEITURE</w:t>
      </w:r>
    </w:p>
    <w:p w:rsidR="004C2EE3" w:rsidRPr="00322EF1" w:rsidP="0034190D" w14:paraId="0BC8BF86" w14:textId="5E6C3E1A">
      <w:pPr>
        <w:tabs>
          <w:tab w:val="left" w:pos="-720"/>
          <w:tab w:val="left" w:pos="8676"/>
        </w:tabs>
        <w:suppressAutoHyphens/>
        <w:spacing w:line="227" w:lineRule="auto"/>
        <w:rPr>
          <w:spacing w:val="-2"/>
          <w:szCs w:val="22"/>
        </w:rPr>
      </w:pPr>
      <w:r>
        <w:rPr>
          <w:spacing w:val="-2"/>
          <w:szCs w:val="22"/>
        </w:rPr>
        <w:tab/>
      </w:r>
    </w:p>
    <w:p w:rsidR="004C2EE3" w:rsidRPr="00322EF1" w:rsidP="00133F79" w14:paraId="2F68399E" w14:textId="630514D7">
      <w:pPr>
        <w:tabs>
          <w:tab w:val="left" w:pos="720"/>
          <w:tab w:val="right" w:pos="9360"/>
        </w:tabs>
        <w:suppressAutoHyphens/>
        <w:spacing w:line="227" w:lineRule="auto"/>
        <w:rPr>
          <w:spacing w:val="-2"/>
          <w:szCs w:val="22"/>
        </w:rPr>
      </w:pPr>
      <w:r w:rsidRPr="00322EF1">
        <w:rPr>
          <w:b/>
          <w:spacing w:val="-2"/>
          <w:szCs w:val="22"/>
        </w:rPr>
        <w:t xml:space="preserve">Adopted:  </w:t>
      </w:r>
      <w:r w:rsidR="00AF42D3">
        <w:rPr>
          <w:b/>
          <w:spacing w:val="-2"/>
          <w:szCs w:val="22"/>
        </w:rPr>
        <w:t>May</w:t>
      </w:r>
      <w:r w:rsidRPr="00322EF1" w:rsidR="00D900F0">
        <w:rPr>
          <w:b/>
          <w:spacing w:val="-2"/>
          <w:szCs w:val="22"/>
        </w:rPr>
        <w:t xml:space="preserve"> </w:t>
      </w:r>
      <w:r w:rsidR="0034190D">
        <w:rPr>
          <w:b/>
          <w:spacing w:val="-2"/>
          <w:szCs w:val="22"/>
        </w:rPr>
        <w:t>31</w:t>
      </w:r>
      <w:r w:rsidRPr="00322EF1" w:rsidR="006D2F83">
        <w:rPr>
          <w:b/>
          <w:spacing w:val="-2"/>
          <w:szCs w:val="22"/>
        </w:rPr>
        <w:t>, 20</w:t>
      </w:r>
      <w:r w:rsidRPr="00322EF1" w:rsidR="00FC6E9B">
        <w:rPr>
          <w:b/>
          <w:spacing w:val="-2"/>
          <w:szCs w:val="22"/>
        </w:rPr>
        <w:t>2</w:t>
      </w:r>
      <w:r w:rsidR="004C73CE">
        <w:rPr>
          <w:b/>
          <w:spacing w:val="-2"/>
          <w:szCs w:val="22"/>
        </w:rPr>
        <w:t>3</w:t>
      </w:r>
      <w:r w:rsidRPr="00322EF1">
        <w:rPr>
          <w:b/>
          <w:spacing w:val="-2"/>
          <w:szCs w:val="22"/>
        </w:rPr>
        <w:tab/>
      </w:r>
      <w:r w:rsidRPr="00322EF1" w:rsidR="00822CE0">
        <w:rPr>
          <w:b/>
          <w:spacing w:val="-2"/>
          <w:szCs w:val="22"/>
        </w:rPr>
        <w:t>Released</w:t>
      </w:r>
      <w:r w:rsidRPr="00322EF1">
        <w:rPr>
          <w:b/>
          <w:spacing w:val="-2"/>
          <w:szCs w:val="22"/>
        </w:rPr>
        <w:t>:</w:t>
      </w:r>
      <w:r w:rsidRPr="00322EF1" w:rsidR="00822CE0">
        <w:rPr>
          <w:b/>
          <w:spacing w:val="-2"/>
          <w:szCs w:val="22"/>
        </w:rPr>
        <w:t xml:space="preserve"> </w:t>
      </w:r>
      <w:r w:rsidRPr="00322EF1">
        <w:rPr>
          <w:b/>
          <w:spacing w:val="-2"/>
          <w:szCs w:val="22"/>
        </w:rPr>
        <w:t xml:space="preserve"> </w:t>
      </w:r>
      <w:r w:rsidR="00AF42D3">
        <w:rPr>
          <w:b/>
          <w:spacing w:val="-2"/>
          <w:szCs w:val="22"/>
        </w:rPr>
        <w:t>May</w:t>
      </w:r>
      <w:r w:rsidRPr="00322EF1" w:rsidR="00D900F0">
        <w:rPr>
          <w:b/>
          <w:spacing w:val="-2"/>
          <w:szCs w:val="22"/>
        </w:rPr>
        <w:t xml:space="preserve"> </w:t>
      </w:r>
      <w:r w:rsidR="0034190D">
        <w:rPr>
          <w:b/>
          <w:spacing w:val="-2"/>
          <w:szCs w:val="22"/>
        </w:rPr>
        <w:t>31</w:t>
      </w:r>
      <w:r w:rsidRPr="00322EF1" w:rsidR="0018575B">
        <w:rPr>
          <w:b/>
          <w:spacing w:val="-2"/>
          <w:szCs w:val="22"/>
        </w:rPr>
        <w:t>,</w:t>
      </w:r>
      <w:r w:rsidRPr="00322EF1" w:rsidR="006D2F83">
        <w:rPr>
          <w:b/>
          <w:spacing w:val="-2"/>
          <w:szCs w:val="22"/>
        </w:rPr>
        <w:t xml:space="preserve"> 20</w:t>
      </w:r>
      <w:r w:rsidRPr="00322EF1" w:rsidR="00FC6E9B">
        <w:rPr>
          <w:b/>
          <w:spacing w:val="-2"/>
          <w:szCs w:val="22"/>
        </w:rPr>
        <w:t>2</w:t>
      </w:r>
      <w:r w:rsidR="004C73CE">
        <w:rPr>
          <w:b/>
          <w:spacing w:val="-2"/>
          <w:szCs w:val="22"/>
        </w:rPr>
        <w:t>3</w:t>
      </w:r>
    </w:p>
    <w:p w:rsidR="00822CE0" w:rsidRPr="00322EF1" w14:paraId="4C77363E" w14:textId="77777777">
      <w:pPr>
        <w:rPr>
          <w:szCs w:val="22"/>
        </w:rPr>
      </w:pPr>
    </w:p>
    <w:p w:rsidR="00822CE0" w:rsidRPr="00322EF1" w14:paraId="136DCA85" w14:textId="2D3053C0">
      <w:pPr>
        <w:rPr>
          <w:spacing w:val="-2"/>
          <w:szCs w:val="22"/>
        </w:rPr>
      </w:pPr>
      <w:r w:rsidRPr="00322EF1">
        <w:rPr>
          <w:szCs w:val="22"/>
        </w:rPr>
        <w:t xml:space="preserve">By </w:t>
      </w:r>
      <w:r w:rsidRPr="00322EF1" w:rsidR="004E4A22">
        <w:rPr>
          <w:szCs w:val="22"/>
        </w:rPr>
        <w:t>the</w:t>
      </w:r>
      <w:r w:rsidRPr="00322EF1" w:rsidR="002A2D2E">
        <w:rPr>
          <w:szCs w:val="22"/>
        </w:rPr>
        <w:t xml:space="preserve"> </w:t>
      </w:r>
      <w:r w:rsidRPr="00322EF1" w:rsidR="006D2F83">
        <w:rPr>
          <w:spacing w:val="-2"/>
          <w:szCs w:val="22"/>
        </w:rPr>
        <w:t>Chief, Audio Division, Media Bureau</w:t>
      </w:r>
      <w:r w:rsidRPr="00322EF1">
        <w:rPr>
          <w:szCs w:val="22"/>
        </w:rPr>
        <w:t>:</w:t>
      </w:r>
    </w:p>
    <w:p w:rsidR="00412FC5" w:rsidRPr="00322EF1" w:rsidP="00412FC5" w14:paraId="75FF0091" w14:textId="77777777">
      <w:pPr>
        <w:rPr>
          <w:szCs w:val="22"/>
        </w:rPr>
      </w:pPr>
    </w:p>
    <w:p w:rsidR="00B35E7B" w:rsidRPr="00322EF1" w:rsidP="002C00E8" w14:paraId="3B7034F4" w14:textId="77777777">
      <w:pPr>
        <w:pStyle w:val="Heading1"/>
        <w:rPr>
          <w:rFonts w:ascii="Times New Roman" w:hAnsi="Times New Roman"/>
          <w:szCs w:val="22"/>
        </w:rPr>
      </w:pPr>
      <w:r w:rsidRPr="00322EF1">
        <w:rPr>
          <w:rFonts w:ascii="Times New Roman" w:hAnsi="Times New Roman"/>
          <w:szCs w:val="22"/>
        </w:rPr>
        <w:t>INTRODUCTION</w:t>
      </w:r>
    </w:p>
    <w:p w:rsidR="002B4EBD" w:rsidRPr="007C3DE8" w:rsidP="007C3DE8" w14:paraId="064CA8DE" w14:textId="49370B24">
      <w:pPr>
        <w:pStyle w:val="ParaNum"/>
        <w:rPr>
          <w:szCs w:val="22"/>
        </w:rPr>
      </w:pPr>
      <w:r>
        <w:rPr>
          <w:rFonts w:eastAsia="Calibri"/>
        </w:rPr>
        <w:t xml:space="preserve">We have before us </w:t>
      </w:r>
      <w:r w:rsidR="00557576">
        <w:rPr>
          <w:rFonts w:eastAsia="Calibri"/>
        </w:rPr>
        <w:t>an application</w:t>
      </w:r>
      <w:r w:rsidR="002902A5">
        <w:rPr>
          <w:rFonts w:eastAsia="Calibri"/>
        </w:rPr>
        <w:t xml:space="preserve"> (Renewal Application)</w:t>
      </w:r>
      <w:r>
        <w:rPr>
          <w:rFonts w:eastAsia="Calibri"/>
        </w:rPr>
        <w:t xml:space="preserve"> filed by </w:t>
      </w:r>
      <w:r>
        <w:rPr>
          <w:rFonts w:eastAsia="Calibri"/>
        </w:rPr>
        <w:t>Gendreau</w:t>
      </w:r>
      <w:r>
        <w:rPr>
          <w:rFonts w:eastAsia="Calibri"/>
        </w:rPr>
        <w:t xml:space="preserve"> Broadcast LLC (</w:t>
      </w:r>
      <w:r>
        <w:rPr>
          <w:rFonts w:eastAsia="Calibri"/>
        </w:rPr>
        <w:t>Gendreau</w:t>
      </w:r>
      <w:r>
        <w:rPr>
          <w:rFonts w:eastAsia="Calibri"/>
        </w:rPr>
        <w:t>) to renew the license for KMCN(FM), Clinton, Iowa</w:t>
      </w:r>
      <w:r w:rsidR="00557576">
        <w:rPr>
          <w:rFonts w:eastAsia="Calibri"/>
        </w:rPr>
        <w:t xml:space="preserve"> (</w:t>
      </w:r>
      <w:r w:rsidRPr="007053A3" w:rsidR="00557576">
        <w:rPr>
          <w:rFonts w:eastAsia="Calibri"/>
        </w:rPr>
        <w:t>Station</w:t>
      </w:r>
      <w:r>
        <w:rPr>
          <w:rFonts w:eastAsia="Calibri"/>
        </w:rPr>
        <w:t>).</w:t>
      </w:r>
      <w:r>
        <w:rPr>
          <w:rStyle w:val="FootnoteReference"/>
          <w:rFonts w:eastAsia="Calibri"/>
          <w:szCs w:val="22"/>
        </w:rPr>
        <w:footnoteReference w:id="3"/>
      </w:r>
      <w:r>
        <w:rPr>
          <w:rFonts w:eastAsia="Calibri"/>
        </w:rPr>
        <w:t xml:space="preserve">  Also before us </w:t>
      </w:r>
      <w:r w:rsidR="005E5B65">
        <w:rPr>
          <w:rFonts w:eastAsia="Calibri"/>
        </w:rPr>
        <w:t>are</w:t>
      </w:r>
      <w:r w:rsidR="00557576">
        <w:rPr>
          <w:rFonts w:eastAsia="Calibri"/>
        </w:rPr>
        <w:t xml:space="preserve"> an</w:t>
      </w:r>
      <w:r>
        <w:rPr>
          <w:rFonts w:eastAsia="Calibri"/>
        </w:rPr>
        <w:t xml:space="preserve"> informal objection</w:t>
      </w:r>
      <w:r w:rsidR="006B7C5B">
        <w:rPr>
          <w:rFonts w:eastAsia="Calibri"/>
        </w:rPr>
        <w:t xml:space="preserve"> </w:t>
      </w:r>
      <w:r w:rsidR="002902A5">
        <w:rPr>
          <w:rFonts w:eastAsia="Calibri"/>
        </w:rPr>
        <w:t>(</w:t>
      </w:r>
      <w:r w:rsidRPr="007053A3" w:rsidR="002902A5">
        <w:rPr>
          <w:rFonts w:eastAsia="Calibri"/>
        </w:rPr>
        <w:t>Objection</w:t>
      </w:r>
      <w:r w:rsidR="002902A5">
        <w:rPr>
          <w:rFonts w:eastAsia="Calibri"/>
        </w:rPr>
        <w:t xml:space="preserve">) </w:t>
      </w:r>
      <w:r w:rsidR="006B7C5B">
        <w:rPr>
          <w:rFonts w:eastAsia="Calibri"/>
        </w:rPr>
        <w:t>to the Renewal Application</w:t>
      </w:r>
      <w:r>
        <w:rPr>
          <w:rFonts w:eastAsia="Calibri"/>
        </w:rPr>
        <w:t xml:space="preserve"> filed by </w:t>
      </w:r>
      <w:r w:rsidR="006B7C5B">
        <w:rPr>
          <w:rFonts w:eastAsia="Calibri"/>
        </w:rPr>
        <w:t>Dave Vickers</w:t>
      </w:r>
      <w:r w:rsidR="00D714DD">
        <w:rPr>
          <w:rFonts w:eastAsia="Calibri"/>
        </w:rPr>
        <w:t xml:space="preserve"> (</w:t>
      </w:r>
      <w:r w:rsidRPr="007053A3" w:rsidR="00D714DD">
        <w:rPr>
          <w:rFonts w:eastAsia="Calibri"/>
        </w:rPr>
        <w:t>Vickers</w:t>
      </w:r>
      <w:r w:rsidR="00D714DD">
        <w:rPr>
          <w:rFonts w:eastAsia="Calibri"/>
        </w:rPr>
        <w:t>)</w:t>
      </w:r>
      <w:r w:rsidR="00A72459">
        <w:rPr>
          <w:rFonts w:eastAsia="Calibri"/>
        </w:rPr>
        <w:t>,</w:t>
      </w:r>
      <w:r>
        <w:rPr>
          <w:rStyle w:val="FootnoteReference"/>
          <w:rFonts w:eastAsia="Calibri"/>
          <w:szCs w:val="22"/>
        </w:rPr>
        <w:footnoteReference w:id="4"/>
      </w:r>
      <w:r>
        <w:rPr>
          <w:rFonts w:eastAsia="Calibri"/>
        </w:rPr>
        <w:t xml:space="preserve"> and </w:t>
      </w:r>
      <w:r>
        <w:rPr>
          <w:rFonts w:eastAsia="Calibri"/>
        </w:rPr>
        <w:t>Gendreau’s</w:t>
      </w:r>
      <w:r>
        <w:rPr>
          <w:rFonts w:eastAsia="Calibri"/>
        </w:rPr>
        <w:t xml:space="preserve"> response</w:t>
      </w:r>
      <w:r w:rsidR="000063C4">
        <w:rPr>
          <w:rFonts w:eastAsia="Calibri"/>
        </w:rPr>
        <w:t xml:space="preserve"> (LOI Response)</w:t>
      </w:r>
      <w:r>
        <w:rPr>
          <w:rStyle w:val="FootnoteReference"/>
          <w:rFonts w:eastAsia="Calibri"/>
        </w:rPr>
        <w:footnoteReference w:id="5"/>
      </w:r>
      <w:r>
        <w:rPr>
          <w:rFonts w:eastAsia="Calibri"/>
        </w:rPr>
        <w:t xml:space="preserve"> to a Letter of Inquiry (</w:t>
      </w:r>
      <w:r w:rsidRPr="00DB6C1A">
        <w:rPr>
          <w:rFonts w:eastAsia="Calibri"/>
        </w:rPr>
        <w:t>LOI</w:t>
      </w:r>
      <w:r>
        <w:rPr>
          <w:rFonts w:eastAsia="Calibri"/>
        </w:rPr>
        <w:t>) that we sent</w:t>
      </w:r>
      <w:r w:rsidR="00662E54">
        <w:rPr>
          <w:rFonts w:eastAsia="Calibri"/>
        </w:rPr>
        <w:t>, which requested that</w:t>
      </w:r>
      <w:r>
        <w:rPr>
          <w:rFonts w:eastAsia="Calibri"/>
        </w:rPr>
        <w:t xml:space="preserve"> </w:t>
      </w:r>
      <w:r w:rsidRPr="00FB0BE3">
        <w:rPr>
          <w:rFonts w:eastAsia="Calibri"/>
        </w:rPr>
        <w:t>Gendreau</w:t>
      </w:r>
      <w:r w:rsidRPr="00FB0BE3">
        <w:rPr>
          <w:rFonts w:eastAsia="Calibri"/>
        </w:rPr>
        <w:t xml:space="preserve"> respond to allegations made in the</w:t>
      </w:r>
      <w:r w:rsidRPr="00FB0BE3" w:rsidR="000346C8">
        <w:rPr>
          <w:rFonts w:eastAsia="Calibri"/>
        </w:rPr>
        <w:t xml:space="preserve"> Objection</w:t>
      </w:r>
      <w:r w:rsidRPr="00FB0BE3">
        <w:rPr>
          <w:rFonts w:eastAsia="Calibri"/>
        </w:rPr>
        <w:t>.</w:t>
      </w:r>
      <w:r>
        <w:rPr>
          <w:rStyle w:val="FootnoteReference"/>
          <w:rFonts w:eastAsia="Calibri"/>
        </w:rPr>
        <w:footnoteReference w:id="6"/>
      </w:r>
      <w:r w:rsidR="007C3DE8">
        <w:rPr>
          <w:szCs w:val="22"/>
        </w:rPr>
        <w:t xml:space="preserve">  </w:t>
      </w:r>
      <w:r w:rsidRPr="007C3DE8">
        <w:rPr>
          <w:szCs w:val="22"/>
        </w:rPr>
        <w:t xml:space="preserve">In this </w:t>
      </w:r>
      <w:r w:rsidRPr="007C3DE8">
        <w:rPr>
          <w:i/>
          <w:iCs/>
          <w:szCs w:val="22"/>
        </w:rPr>
        <w:t>Memorandum Opinion and Order and Notice of Apparent Liability for Forfeiture</w:t>
      </w:r>
      <w:r w:rsidRPr="007C3DE8">
        <w:rPr>
          <w:szCs w:val="22"/>
        </w:rPr>
        <w:t xml:space="preserve"> (</w:t>
      </w:r>
      <w:r w:rsidRPr="007C3DE8">
        <w:rPr>
          <w:i/>
          <w:iCs/>
          <w:szCs w:val="22"/>
        </w:rPr>
        <w:t>NAL</w:t>
      </w:r>
      <w:r w:rsidRPr="007C3DE8">
        <w:rPr>
          <w:szCs w:val="22"/>
        </w:rPr>
        <w:t>),</w:t>
      </w:r>
      <w:r>
        <w:rPr>
          <w:rStyle w:val="FootnoteReference"/>
          <w:sz w:val="22"/>
          <w:szCs w:val="22"/>
        </w:rPr>
        <w:footnoteReference w:id="7"/>
      </w:r>
      <w:r w:rsidRPr="007C3DE8">
        <w:rPr>
          <w:szCs w:val="22"/>
        </w:rPr>
        <w:t xml:space="preserve"> we find </w:t>
      </w:r>
      <w:r w:rsidRPr="007C3DE8" w:rsidR="00557576">
        <w:rPr>
          <w:szCs w:val="22"/>
        </w:rPr>
        <w:t>Gendreau</w:t>
      </w:r>
      <w:r w:rsidRPr="007C3DE8">
        <w:rPr>
          <w:szCs w:val="22"/>
        </w:rPr>
        <w:t xml:space="preserve"> </w:t>
      </w:r>
      <w:r w:rsidRPr="007C3DE8" w:rsidR="005F24AE">
        <w:rPr>
          <w:szCs w:val="22"/>
        </w:rPr>
        <w:t>apparently</w:t>
      </w:r>
      <w:r w:rsidRPr="007C3DE8" w:rsidR="00B64B03">
        <w:rPr>
          <w:szCs w:val="22"/>
        </w:rPr>
        <w:t xml:space="preserve"> (1)</w:t>
      </w:r>
      <w:r w:rsidRPr="007C3DE8" w:rsidR="005F24AE">
        <w:rPr>
          <w:szCs w:val="22"/>
        </w:rPr>
        <w:t xml:space="preserve"> </w:t>
      </w:r>
      <w:r w:rsidRPr="007C3DE8" w:rsidR="00557576">
        <w:rPr>
          <w:szCs w:val="22"/>
        </w:rPr>
        <w:t xml:space="preserve">willfully and repeatedly violated section </w:t>
      </w:r>
      <w:r w:rsidRPr="007C3DE8" w:rsidR="002C0B2B">
        <w:rPr>
          <w:szCs w:val="22"/>
        </w:rPr>
        <w:t xml:space="preserve">73.3526 of the Commission’s rules </w:t>
      </w:r>
      <w:r w:rsidRPr="007C3DE8" w:rsidR="00B64B03">
        <w:rPr>
          <w:szCs w:val="22"/>
        </w:rPr>
        <w:t>(</w:t>
      </w:r>
      <w:r w:rsidRPr="00DB6C1A" w:rsidR="00B64B03">
        <w:rPr>
          <w:szCs w:val="22"/>
        </w:rPr>
        <w:t>Rules</w:t>
      </w:r>
      <w:r w:rsidRPr="007C3DE8" w:rsidR="00B64B03">
        <w:rPr>
          <w:szCs w:val="22"/>
        </w:rPr>
        <w:t xml:space="preserve">) </w:t>
      </w:r>
      <w:r w:rsidRPr="007C3DE8" w:rsidR="002C0B2B">
        <w:rPr>
          <w:szCs w:val="22"/>
        </w:rPr>
        <w:t>by failing to timely upload or failing to upload required materials to the Station’s online public inspection file (</w:t>
      </w:r>
      <w:r w:rsidRPr="00DB6C1A" w:rsidR="002C0B2B">
        <w:rPr>
          <w:szCs w:val="22"/>
        </w:rPr>
        <w:t>OPIF</w:t>
      </w:r>
      <w:r w:rsidRPr="007C3DE8" w:rsidR="002C0B2B">
        <w:rPr>
          <w:szCs w:val="22"/>
        </w:rPr>
        <w:t xml:space="preserve">), </w:t>
      </w:r>
      <w:r w:rsidRPr="007C3DE8" w:rsidR="0023756A">
        <w:rPr>
          <w:szCs w:val="22"/>
        </w:rPr>
        <w:t>and</w:t>
      </w:r>
      <w:r w:rsidRPr="007C3DE8" w:rsidR="00846008">
        <w:rPr>
          <w:szCs w:val="22"/>
        </w:rPr>
        <w:t xml:space="preserve"> failing to include </w:t>
      </w:r>
      <w:r w:rsidR="007053A3">
        <w:rPr>
          <w:szCs w:val="22"/>
        </w:rPr>
        <w:t>a link to the Station’s OPIF</w:t>
      </w:r>
      <w:r w:rsidRPr="007C3DE8" w:rsidR="00846008">
        <w:rPr>
          <w:szCs w:val="22"/>
        </w:rPr>
        <w:t xml:space="preserve"> </w:t>
      </w:r>
      <w:r w:rsidRPr="007C3DE8" w:rsidR="00B64B03">
        <w:rPr>
          <w:szCs w:val="22"/>
        </w:rPr>
        <w:t>on the Station’s website,</w:t>
      </w:r>
      <w:r>
        <w:rPr>
          <w:rStyle w:val="FootnoteReference"/>
          <w:szCs w:val="22"/>
        </w:rPr>
        <w:footnoteReference w:id="8"/>
      </w:r>
      <w:r w:rsidRPr="007C3DE8" w:rsidR="00B64B03">
        <w:rPr>
          <w:szCs w:val="22"/>
        </w:rPr>
        <w:t xml:space="preserve"> </w:t>
      </w:r>
      <w:r w:rsidR="007053A3">
        <w:rPr>
          <w:szCs w:val="22"/>
        </w:rPr>
        <w:t xml:space="preserve">and </w:t>
      </w:r>
      <w:r w:rsidRPr="007C3DE8" w:rsidR="00B64B03">
        <w:rPr>
          <w:szCs w:val="22"/>
        </w:rPr>
        <w:t xml:space="preserve">(2) </w:t>
      </w:r>
      <w:r w:rsidRPr="007C3DE8" w:rsidR="005F24AE">
        <w:rPr>
          <w:szCs w:val="22"/>
        </w:rPr>
        <w:t xml:space="preserve">willfully </w:t>
      </w:r>
      <w:r w:rsidRPr="007C3DE8" w:rsidR="0023756A">
        <w:rPr>
          <w:szCs w:val="22"/>
        </w:rPr>
        <w:t xml:space="preserve">made </w:t>
      </w:r>
      <w:r w:rsidRPr="007C3DE8" w:rsidR="00B64B03">
        <w:rPr>
          <w:szCs w:val="22"/>
        </w:rPr>
        <w:t>a</w:t>
      </w:r>
      <w:r w:rsidR="007053A3">
        <w:rPr>
          <w:szCs w:val="22"/>
        </w:rPr>
        <w:t>n incorrect</w:t>
      </w:r>
      <w:r w:rsidRPr="007C3DE8" w:rsidR="0023756A">
        <w:rPr>
          <w:szCs w:val="22"/>
        </w:rPr>
        <w:t xml:space="preserve"> certification in </w:t>
      </w:r>
      <w:r w:rsidRPr="007C3DE8" w:rsidR="00B64B03">
        <w:rPr>
          <w:szCs w:val="22"/>
        </w:rPr>
        <w:t xml:space="preserve">the Renewal Application </w:t>
      </w:r>
      <w:r w:rsidRPr="007C3DE8" w:rsidR="007810F6">
        <w:rPr>
          <w:szCs w:val="22"/>
        </w:rPr>
        <w:t>in violation of section 1.17</w:t>
      </w:r>
      <w:r w:rsidRPr="007C3DE8" w:rsidR="00BF5631">
        <w:rPr>
          <w:szCs w:val="22"/>
        </w:rPr>
        <w:t>(a)(</w:t>
      </w:r>
      <w:r w:rsidRPr="007C3DE8" w:rsidR="00B64B03">
        <w:rPr>
          <w:szCs w:val="22"/>
        </w:rPr>
        <w:t>2</w:t>
      </w:r>
      <w:r w:rsidRPr="007C3DE8" w:rsidR="00BF5631">
        <w:rPr>
          <w:szCs w:val="22"/>
        </w:rPr>
        <w:t>)</w:t>
      </w:r>
      <w:r w:rsidRPr="007C3DE8" w:rsidR="00B64B03">
        <w:rPr>
          <w:szCs w:val="22"/>
        </w:rPr>
        <w:t xml:space="preserve"> of the Rules</w:t>
      </w:r>
      <w:r w:rsidR="007053A3">
        <w:rPr>
          <w:szCs w:val="22"/>
        </w:rPr>
        <w:t>.</w:t>
      </w:r>
      <w:r>
        <w:rPr>
          <w:rStyle w:val="FootnoteReference"/>
          <w:szCs w:val="22"/>
        </w:rPr>
        <w:footnoteReference w:id="9"/>
      </w:r>
      <w:r w:rsidRPr="007C3DE8" w:rsidR="00B64B03">
        <w:rPr>
          <w:szCs w:val="22"/>
        </w:rPr>
        <w:t xml:space="preserve"> </w:t>
      </w:r>
      <w:r w:rsidR="007053A3">
        <w:rPr>
          <w:szCs w:val="22"/>
        </w:rPr>
        <w:t xml:space="preserve"> </w:t>
      </w:r>
      <w:r w:rsidRPr="007C3DE8">
        <w:rPr>
          <w:szCs w:val="22"/>
        </w:rPr>
        <w:t xml:space="preserve">Based upon our review of the facts and circumstances before us, we grant in part and otherwise deny </w:t>
      </w:r>
      <w:r w:rsidRPr="007C3DE8" w:rsidR="00065D6B">
        <w:rPr>
          <w:szCs w:val="22"/>
        </w:rPr>
        <w:t>the</w:t>
      </w:r>
      <w:r w:rsidRPr="007C3DE8" w:rsidR="00D2538C">
        <w:rPr>
          <w:szCs w:val="22"/>
        </w:rPr>
        <w:t xml:space="preserve"> Objection</w:t>
      </w:r>
      <w:r w:rsidR="007053A3">
        <w:rPr>
          <w:szCs w:val="22"/>
        </w:rPr>
        <w:t>, and propose</w:t>
      </w:r>
      <w:r w:rsidRPr="007C3DE8">
        <w:rPr>
          <w:szCs w:val="22"/>
        </w:rPr>
        <w:t xml:space="preserve"> a monetary forfeiture in the amount of </w:t>
      </w:r>
      <w:r w:rsidRPr="006B7A1B" w:rsidR="006B7A1B">
        <w:rPr>
          <w:szCs w:val="22"/>
        </w:rPr>
        <w:t>eight</w:t>
      </w:r>
      <w:r w:rsidRPr="006B7A1B">
        <w:rPr>
          <w:szCs w:val="22"/>
        </w:rPr>
        <w:t xml:space="preserve"> thousand dollars </w:t>
      </w:r>
      <w:r w:rsidRPr="006B7A1B" w:rsidR="003A666D">
        <w:rPr>
          <w:szCs w:val="22"/>
        </w:rPr>
        <w:t>($</w:t>
      </w:r>
      <w:r w:rsidRPr="006B7A1B" w:rsidR="006B7A1B">
        <w:rPr>
          <w:szCs w:val="22"/>
        </w:rPr>
        <w:t>8</w:t>
      </w:r>
      <w:r w:rsidRPr="006B7A1B" w:rsidR="003A666D">
        <w:rPr>
          <w:szCs w:val="22"/>
        </w:rPr>
        <w:t>,000).</w:t>
      </w:r>
    </w:p>
    <w:p w:rsidR="002C00E8" w:rsidP="00806950" w14:paraId="52C5B9FA" w14:textId="469A2B5C">
      <w:pPr>
        <w:pStyle w:val="Heading1"/>
      </w:pPr>
      <w:r w:rsidRPr="00322EF1">
        <w:t>BACKGROUND</w:t>
      </w:r>
    </w:p>
    <w:p w:rsidR="007329CC" w:rsidP="005E5B65" w14:paraId="37146602" w14:textId="5D00FEC2">
      <w:pPr>
        <w:pStyle w:val="ParaNum"/>
        <w:widowControl/>
      </w:pPr>
      <w:r>
        <w:t>Gendreau</w:t>
      </w:r>
      <w:r>
        <w:t xml:space="preserve"> filed the Renewal Application on </w:t>
      </w:r>
      <w:r w:rsidR="00D714DD">
        <w:t>October 5, 2020</w:t>
      </w:r>
      <w:r>
        <w:t>.</w:t>
      </w:r>
      <w:r w:rsidR="00D714DD">
        <w:t xml:space="preserve">  Vickers then filed the Objection.  Therein, he alleged </w:t>
      </w:r>
      <w:r w:rsidR="00DE3D31">
        <w:t>that</w:t>
      </w:r>
      <w:r w:rsidR="007053A3">
        <w:t xml:space="preserve"> </w:t>
      </w:r>
      <w:r w:rsidR="007053A3">
        <w:t>Gendreau</w:t>
      </w:r>
      <w:r w:rsidR="00DE3D31">
        <w:t xml:space="preserve"> (1) had failed to upload information to the Station’</w:t>
      </w:r>
      <w:r w:rsidR="007053A3">
        <w:t>s</w:t>
      </w:r>
      <w:r w:rsidR="00DE3D31">
        <w:t xml:space="preserve"> </w:t>
      </w:r>
      <w:r w:rsidR="007053A3">
        <w:t>OPIF</w:t>
      </w:r>
      <w:r w:rsidR="00DE3D31">
        <w:t>,</w:t>
      </w:r>
      <w:r>
        <w:rPr>
          <w:rStyle w:val="FootnoteReference"/>
        </w:rPr>
        <w:footnoteReference w:id="10"/>
      </w:r>
      <w:r w:rsidR="00DE3D31">
        <w:t xml:space="preserve"> (2) had failed to include </w:t>
      </w:r>
      <w:r w:rsidR="00D5326D">
        <w:t>links</w:t>
      </w:r>
      <w:r w:rsidR="00DE3D31">
        <w:t xml:space="preserve"> to the Station</w:t>
      </w:r>
      <w:r w:rsidR="007053A3">
        <w:t>’s</w:t>
      </w:r>
      <w:r w:rsidR="00DE3D31">
        <w:t xml:space="preserve"> OPIF </w:t>
      </w:r>
      <w:r w:rsidR="00DC237D">
        <w:t xml:space="preserve">and most recent </w:t>
      </w:r>
      <w:r w:rsidR="00D5326D">
        <w:t xml:space="preserve">Equal Employment Opportunity </w:t>
      </w:r>
      <w:r w:rsidR="00D5326D">
        <w:t>(EEO)</w:t>
      </w:r>
      <w:r w:rsidR="00DC237D">
        <w:t xml:space="preserve"> Program Report </w:t>
      </w:r>
      <w:r w:rsidR="00DE3D31">
        <w:t xml:space="preserve">on the </w:t>
      </w:r>
      <w:r w:rsidR="007053A3">
        <w:t>S</w:t>
      </w:r>
      <w:r w:rsidR="00E94F8A">
        <w:t xml:space="preserve">tation’s </w:t>
      </w:r>
      <w:r w:rsidR="00DE3D31">
        <w:t>website</w:t>
      </w:r>
      <w:r w:rsidR="00DC237D">
        <w:t>,</w:t>
      </w:r>
      <w:r>
        <w:rPr>
          <w:rStyle w:val="FootnoteReference"/>
        </w:rPr>
        <w:footnoteReference w:id="11"/>
      </w:r>
      <w:r w:rsidR="00DC237D">
        <w:t xml:space="preserve"> </w:t>
      </w:r>
      <w:r w:rsidR="00E94F8A">
        <w:t xml:space="preserve">and </w:t>
      </w:r>
      <w:r w:rsidR="00982673">
        <w:t xml:space="preserve">(3) falsely certified in the Renewal Application that </w:t>
      </w:r>
      <w:r w:rsidR="00E94F8A">
        <w:t>the Station’s</w:t>
      </w:r>
      <w:r w:rsidR="00982673">
        <w:t xml:space="preserve"> OPIF contained the documentation required by the Rules</w:t>
      </w:r>
      <w:r w:rsidR="00E94F8A">
        <w:t>.</w:t>
      </w:r>
      <w:r>
        <w:rPr>
          <w:rStyle w:val="FootnoteReference"/>
        </w:rPr>
        <w:footnoteReference w:id="12"/>
      </w:r>
    </w:p>
    <w:p w:rsidR="00E40B35" w:rsidP="00E40B35" w14:paraId="1FB3FA4B" w14:textId="2066641E">
      <w:pPr>
        <w:pStyle w:val="ParaNum"/>
      </w:pPr>
      <w:r>
        <w:t>Gendreau</w:t>
      </w:r>
      <w:r>
        <w:t xml:space="preserve"> did not respond to the Objection.  Accordingly, we sent the LOI, which </w:t>
      </w:r>
      <w:r w:rsidR="00E02740">
        <w:t>requested that they</w:t>
      </w:r>
      <w:r>
        <w:t xml:space="preserve"> do so.</w:t>
      </w:r>
      <w:r w:rsidR="00141C19">
        <w:t xml:space="preserve">  </w:t>
      </w:r>
      <w:r w:rsidR="00441EE2">
        <w:t>In the LOI Response</w:t>
      </w:r>
      <w:r w:rsidR="00141C19">
        <w:t xml:space="preserve">, </w:t>
      </w:r>
      <w:r w:rsidR="00141C19">
        <w:t>Gendreau</w:t>
      </w:r>
      <w:r w:rsidR="00141C19">
        <w:t xml:space="preserve"> acknowledged that it had failed to upload information to the </w:t>
      </w:r>
      <w:r w:rsidR="003625FD">
        <w:t>Political Files section</w:t>
      </w:r>
      <w:r w:rsidR="002917BE">
        <w:t xml:space="preserve"> of the </w:t>
      </w:r>
      <w:r w:rsidR="003625FD">
        <w:t>Station’s</w:t>
      </w:r>
      <w:r w:rsidR="00141C19">
        <w:t xml:space="preserve"> OPIF</w:t>
      </w:r>
      <w:r w:rsidR="007223B9">
        <w:t>.</w:t>
      </w:r>
      <w:r>
        <w:rPr>
          <w:rStyle w:val="FootnoteReference"/>
        </w:rPr>
        <w:footnoteReference w:id="13"/>
      </w:r>
    </w:p>
    <w:p w:rsidR="007534FC" w:rsidP="007534FC" w14:paraId="31B44373" w14:textId="35790D3D">
      <w:pPr>
        <w:pStyle w:val="Heading1"/>
        <w:rPr>
          <w:rFonts w:ascii="Times New Roman" w:hAnsi="Times New Roman"/>
          <w:szCs w:val="22"/>
        </w:rPr>
      </w:pPr>
      <w:r w:rsidRPr="00322EF1">
        <w:rPr>
          <w:rFonts w:ascii="Times New Roman" w:hAnsi="Times New Roman"/>
          <w:szCs w:val="22"/>
        </w:rPr>
        <w:t>DISCUSSION</w:t>
      </w:r>
    </w:p>
    <w:p w:rsidR="00B85420" w:rsidP="000A4E97" w14:paraId="26551887" w14:textId="03394248">
      <w:pPr>
        <w:pStyle w:val="Heading2"/>
        <w:rPr>
          <w:snapToGrid/>
        </w:rPr>
      </w:pPr>
      <w:r>
        <w:rPr>
          <w:snapToGrid/>
        </w:rPr>
        <w:t>Online Public Inspection File</w:t>
      </w:r>
    </w:p>
    <w:p w:rsidR="00B64B03" w:rsidRPr="00B64B03" w:rsidP="00BC6FB6" w14:paraId="638978CE" w14:textId="609A0606">
      <w:pPr>
        <w:pStyle w:val="ParaNum"/>
      </w:pPr>
      <w:r>
        <w:t xml:space="preserve">We agree with Vickers that </w:t>
      </w:r>
      <w:r>
        <w:t>Gendreau</w:t>
      </w:r>
      <w:r>
        <w:t xml:space="preserve"> has failed to </w:t>
      </w:r>
      <w:r w:rsidR="00367246">
        <w:t>comply with certain requirements</w:t>
      </w:r>
      <w:r w:rsidR="00CD0A48">
        <w:t xml:space="preserve"> related to the Station’s OPIF</w:t>
      </w:r>
      <w:r w:rsidR="00751419">
        <w:t xml:space="preserve"> and set forth in section 73.3526 of the Rules</w:t>
      </w:r>
      <w:r>
        <w:t>.</w:t>
      </w:r>
      <w:r>
        <w:rPr>
          <w:rStyle w:val="FootnoteReference"/>
        </w:rPr>
        <w:footnoteReference w:id="14"/>
      </w:r>
      <w:r>
        <w:t xml:space="preserve">  </w:t>
      </w:r>
      <w:r w:rsidR="009B5F32">
        <w:t>Based on our review of the record, the Station’s OPIF, and the Station’s website, we conclude that</w:t>
      </w:r>
      <w:r>
        <w:t xml:space="preserve"> </w:t>
      </w:r>
      <w:r w:rsidR="00BC6FB6">
        <w:t>Gendreau</w:t>
      </w:r>
      <w:r w:rsidR="00BC6FB6">
        <w:t xml:space="preserve"> </w:t>
      </w:r>
      <w:r w:rsidR="00CD0A48">
        <w:t xml:space="preserve">(1) </w:t>
      </w:r>
      <w:r>
        <w:t>failed to timely upload issues/programs list for all four quarters of 2018, and the second quarter of 2019, and has not uploaded any issues/programs lists since</w:t>
      </w:r>
      <w:r w:rsidR="00BC6FB6">
        <w:t>,</w:t>
      </w:r>
      <w:r>
        <w:rPr>
          <w:rStyle w:val="FootnoteReference"/>
        </w:rPr>
        <w:footnoteReference w:id="15"/>
      </w:r>
      <w:r w:rsidR="00BC6FB6">
        <w:t xml:space="preserve"> (2) </w:t>
      </w:r>
      <w:r w:rsidR="009B5F32">
        <w:t>did not</w:t>
      </w:r>
      <w:r>
        <w:t xml:space="preserve"> upload the LOI and the LOI Response to the </w:t>
      </w:r>
      <w:r w:rsidR="00441EE2">
        <w:t>Station’s</w:t>
      </w:r>
      <w:r>
        <w:t xml:space="preserve"> OPIF</w:t>
      </w:r>
      <w:r w:rsidR="00BC6FB6">
        <w:t>,</w:t>
      </w:r>
      <w:r>
        <w:rPr>
          <w:rStyle w:val="FootnoteReference"/>
        </w:rPr>
        <w:footnoteReference w:id="16"/>
      </w:r>
      <w:r w:rsidR="00BC6FB6">
        <w:t xml:space="preserve"> (3)</w:t>
      </w:r>
      <w:r>
        <w:t xml:space="preserve"> </w:t>
      </w:r>
      <w:r w:rsidR="003E613F">
        <w:t>neglected</w:t>
      </w:r>
      <w:r>
        <w:t xml:space="preserve"> to upload required information to the Political Files section of the Station’s OPIF</w:t>
      </w:r>
      <w:r w:rsidR="00BC6FB6">
        <w:t>,</w:t>
      </w:r>
      <w:r>
        <w:rPr>
          <w:rStyle w:val="FootnoteReference"/>
        </w:rPr>
        <w:footnoteReference w:id="17"/>
      </w:r>
      <w:r>
        <w:t xml:space="preserve"> </w:t>
      </w:r>
      <w:r w:rsidR="00BC6FB6">
        <w:t xml:space="preserve">and (4) </w:t>
      </w:r>
      <w:r w:rsidR="003E613F">
        <w:t>did not</w:t>
      </w:r>
      <w:r>
        <w:t xml:space="preserve"> include a link to the </w:t>
      </w:r>
      <w:r w:rsidR="003E613F">
        <w:t xml:space="preserve">Station’s </w:t>
      </w:r>
      <w:r>
        <w:t>OPIF on the Station’s website.</w:t>
      </w:r>
      <w:r>
        <w:rPr>
          <w:rStyle w:val="FootnoteReference"/>
        </w:rPr>
        <w:footnoteReference w:id="18"/>
      </w:r>
      <w:r w:rsidR="00BC6FB6">
        <w:t xml:space="preserve">  </w:t>
      </w:r>
      <w:r w:rsidRPr="00E810FC" w:rsidR="00E810FC">
        <w:t xml:space="preserve">It is crucial that stations maintain </w:t>
      </w:r>
      <w:r>
        <w:t>OPIFs</w:t>
      </w:r>
      <w:r w:rsidRPr="00E810FC" w:rsidR="00E810FC">
        <w:t xml:space="preserve"> that are complete and up to date</w:t>
      </w:r>
      <w:r w:rsidR="00FC2653">
        <w:t>,</w:t>
      </w:r>
      <w:r w:rsidR="00441EE2">
        <w:t xml:space="preserve"> </w:t>
      </w:r>
      <w:r w:rsidR="00FC2653">
        <w:t xml:space="preserve">and link to their OPIFS on their websites </w:t>
      </w:r>
      <w:r w:rsidRPr="00E810FC" w:rsidR="00E810FC">
        <w:t>because the information in them directly affects, among other things, the public</w:t>
      </w:r>
      <w:r w:rsidR="00B12658">
        <w:t>’</w:t>
      </w:r>
      <w:r w:rsidRPr="00E810FC" w:rsidR="00E810FC">
        <w:t>s ability to be informed about a station</w:t>
      </w:r>
      <w:r w:rsidR="007160E9">
        <w:t>’</w:t>
      </w:r>
      <w:r w:rsidRPr="00E810FC" w:rsidR="00E810FC">
        <w:t>s compliance with its obligations.</w:t>
      </w:r>
      <w:r w:rsidR="00140F94">
        <w:t xml:space="preserve">  </w:t>
      </w:r>
      <w:r w:rsidR="00BC6FB6">
        <w:t>Accordingly, below</w:t>
      </w:r>
      <w:r w:rsidR="008B32DF">
        <w:t xml:space="preserve">, we propose a forfeiture </w:t>
      </w:r>
      <w:r w:rsidR="003A3669">
        <w:t>related to</w:t>
      </w:r>
      <w:r w:rsidR="008B32DF">
        <w:t xml:space="preserve"> these violations.  We urge </w:t>
      </w:r>
      <w:r w:rsidR="008B32DF">
        <w:t>Gendreau</w:t>
      </w:r>
      <w:r w:rsidR="008B32DF">
        <w:t xml:space="preserve"> to </w:t>
      </w:r>
      <w:r w:rsidR="00B34E1E">
        <w:t xml:space="preserve">take steps to </w:t>
      </w:r>
      <w:r w:rsidR="002406C9">
        <w:t>bring (and keep) the Station’s OPIF in compliance,</w:t>
      </w:r>
      <w:r w:rsidR="008B32DF">
        <w:t xml:space="preserve"> and </w:t>
      </w:r>
      <w:r w:rsidR="002406C9">
        <w:t>note that the</w:t>
      </w:r>
      <w:r w:rsidR="008B32DF">
        <w:t xml:space="preserve"> failure to do so could lead to additional sanctions.</w:t>
      </w:r>
    </w:p>
    <w:p w:rsidR="006E1551" w:rsidRPr="006E1551" w:rsidP="000A4E97" w14:paraId="4074018E" w14:textId="3633789E">
      <w:pPr>
        <w:pStyle w:val="Heading2"/>
      </w:pPr>
      <w:r>
        <w:t>Inaccurate</w:t>
      </w:r>
      <w:r>
        <w:t xml:space="preserve"> </w:t>
      </w:r>
      <w:r w:rsidRPr="00C3284A" w:rsidR="00355AAA">
        <w:t>Certification</w:t>
      </w:r>
    </w:p>
    <w:p w:rsidR="00E80124" w:rsidRPr="00E80124" w:rsidP="006E25E8" w14:paraId="7D1704A4" w14:textId="7126F51B">
      <w:pPr>
        <w:pStyle w:val="ParaNum"/>
        <w:rPr>
          <w:rFonts w:eastAsia="Calibri"/>
        </w:rPr>
      </w:pPr>
      <w:r>
        <w:t>We find that, as Vickers alleges,</w:t>
      </w:r>
      <w:r>
        <w:rPr>
          <w:rStyle w:val="FootnoteReference"/>
        </w:rPr>
        <w:footnoteReference w:id="19"/>
      </w:r>
      <w:r>
        <w:t xml:space="preserve"> </w:t>
      </w:r>
      <w:r w:rsidR="0067323D">
        <w:t>Gendreau</w:t>
      </w:r>
      <w:r w:rsidR="0067323D">
        <w:t xml:space="preserve"> </w:t>
      </w:r>
      <w:r w:rsidR="00FF1978">
        <w:t>made a</w:t>
      </w:r>
      <w:r w:rsidR="007E7CD6">
        <w:t xml:space="preserve">n inaccurate </w:t>
      </w:r>
      <w:r w:rsidR="00FF1978">
        <w:t>certification in the Renewal</w:t>
      </w:r>
      <w:r w:rsidRPr="00FF1978" w:rsidR="00FF1978">
        <w:t xml:space="preserve"> Application in response to the item regarding </w:t>
      </w:r>
      <w:r w:rsidR="00FF1978">
        <w:t>the Station’s OPIF</w:t>
      </w:r>
      <w:r>
        <w:t xml:space="preserve">.  </w:t>
      </w:r>
      <w:r w:rsidRPr="00FF1978">
        <w:t>Gendreau</w:t>
      </w:r>
      <w:r w:rsidRPr="00FF1978">
        <w:t xml:space="preserve"> was required to certify </w:t>
      </w:r>
      <w:r>
        <w:t>whether</w:t>
      </w:r>
      <w:r w:rsidRPr="00FF1978">
        <w:t xml:space="preserve"> “the documentation required by 47 C.F.R. Section 73.3526 or 73.3527, as applicable, has been uploaded to the station’s public inspection file as an when required.”  </w:t>
      </w:r>
      <w:r w:rsidRPr="00FF1978">
        <w:t>Gendreau</w:t>
      </w:r>
      <w:r w:rsidRPr="00FF1978">
        <w:t xml:space="preserve"> certified “Yes” in response to this item.  </w:t>
      </w:r>
      <w:r>
        <w:t>A</w:t>
      </w:r>
      <w:r w:rsidRPr="00FF1978">
        <w:t xml:space="preserve">s discussed above, </w:t>
      </w:r>
      <w:r>
        <w:t xml:space="preserve">though, </w:t>
      </w:r>
      <w:r w:rsidRPr="00FF1978">
        <w:t>the Station</w:t>
      </w:r>
      <w:r>
        <w:t>’</w:t>
      </w:r>
      <w:r w:rsidRPr="00FF1978">
        <w:t>s OPIF</w:t>
      </w:r>
      <w:r>
        <w:t xml:space="preserve"> was missing a number of items</w:t>
      </w:r>
      <w:r w:rsidRPr="00FF1978">
        <w:t xml:space="preserve">.  </w:t>
      </w:r>
    </w:p>
    <w:p w:rsidR="003F2C11" w:rsidRPr="003F2C11" w:rsidP="003F2C11" w14:paraId="3C78A7DB" w14:textId="725C7B8D">
      <w:pPr>
        <w:pStyle w:val="ParaNum"/>
        <w:rPr>
          <w:rFonts w:eastAsia="Calibri"/>
        </w:rPr>
      </w:pPr>
      <w:r>
        <w:t xml:space="preserve">We </w:t>
      </w:r>
      <w:r>
        <w:t>have determined that</w:t>
      </w:r>
      <w:r>
        <w:t xml:space="preserve"> </w:t>
      </w:r>
      <w:r w:rsidR="00E80124">
        <w:t>Gendreau’s</w:t>
      </w:r>
      <w:r w:rsidR="00055E31">
        <w:t xml:space="preserve"> inaccurate certification violated</w:t>
      </w:r>
      <w:r w:rsidR="00FF1978">
        <w:t xml:space="preserve"> section 1.17(a)(2) of the Rules</w:t>
      </w:r>
      <w:r>
        <w:t xml:space="preserve">, which prohibits applicants from providing material information that is incorrect without a </w:t>
      </w:r>
      <w:r>
        <w:t>reasonable basis for believing that such information is not incorrect or misleading.</w:t>
      </w:r>
      <w:r>
        <w:rPr>
          <w:rStyle w:val="FootnoteReference"/>
          <w:rFonts w:eastAsia="Calibri"/>
        </w:rPr>
        <w:footnoteReference w:id="20"/>
      </w:r>
      <w:r w:rsidRPr="00FF1978" w:rsidR="0000025D">
        <w:t xml:space="preserve">  </w:t>
      </w:r>
      <w:r>
        <w:t>Given the state of the Station’s OPIF</w:t>
      </w:r>
      <w:r w:rsidR="008B1B4D">
        <w:t>,</w:t>
      </w:r>
      <w:r>
        <w:t xml:space="preserve"> we hold that</w:t>
      </w:r>
      <w:r w:rsidR="008B1B4D">
        <w:t xml:space="preserve"> </w:t>
      </w:r>
      <w:r w:rsidR="00FF1978">
        <w:t>Gendreau</w:t>
      </w:r>
      <w:r w:rsidR="00FF1978">
        <w:t xml:space="preserve"> had no reasonable basis for believing its certification was correct.</w:t>
      </w:r>
      <w:r>
        <w:rPr>
          <w:rStyle w:val="FootnoteReference"/>
        </w:rPr>
        <w:footnoteReference w:id="21"/>
      </w:r>
      <w:r w:rsidR="006E25E8">
        <w:rPr>
          <w:rFonts w:eastAsia="Calibri"/>
        </w:rPr>
        <w:t xml:space="preserve">  We </w:t>
      </w:r>
      <w:r w:rsidR="0000025D">
        <w:t>do not find</w:t>
      </w:r>
      <w:r w:rsidR="00F85AC6">
        <w:t xml:space="preserve">, </w:t>
      </w:r>
      <w:r w:rsidR="009163D8">
        <w:t>though</w:t>
      </w:r>
      <w:r w:rsidR="00F85AC6">
        <w:t>,</w:t>
      </w:r>
      <w:r w:rsidR="0000025D">
        <w:t xml:space="preserve"> that </w:t>
      </w:r>
      <w:r w:rsidR="0000025D">
        <w:t>Gendreau</w:t>
      </w:r>
      <w:r w:rsidR="0000025D">
        <w:t xml:space="preserve"> </w:t>
      </w:r>
      <w:r w:rsidR="00371047">
        <w:t xml:space="preserve">made the inaccurate certification </w:t>
      </w:r>
      <w:r w:rsidR="006E25E8">
        <w:t xml:space="preserve">with intent </w:t>
      </w:r>
      <w:r w:rsidR="00371047">
        <w:t xml:space="preserve">to </w:t>
      </w:r>
      <w:r w:rsidRPr="001E4005" w:rsidR="00E702E9">
        <w:t xml:space="preserve">deceive the Commission.  </w:t>
      </w:r>
      <w:r w:rsidR="0000025D">
        <w:t>Rather</w:t>
      </w:r>
      <w:r w:rsidRPr="001E4005" w:rsidR="00E702E9">
        <w:t xml:space="preserve">, </w:t>
      </w:r>
      <w:r>
        <w:t>we conclude</w:t>
      </w:r>
      <w:r w:rsidRPr="001E4005" w:rsidR="00E702E9">
        <w:t xml:space="preserve"> that </w:t>
      </w:r>
      <w:r w:rsidR="0000025D">
        <w:t>Gendreau</w:t>
      </w:r>
      <w:r w:rsidR="00E702E9">
        <w:t xml:space="preserve"> failed to exercise appropriate diligence in its filings with the Commission.  </w:t>
      </w:r>
      <w:r w:rsidR="007160E9">
        <w:t>Accordingly, we</w:t>
      </w:r>
      <w:r w:rsidR="00E80124">
        <w:t xml:space="preserve"> </w:t>
      </w:r>
      <w:r w:rsidR="00E466BB">
        <w:t>propose a forfeiture related to this violation</w:t>
      </w:r>
      <w:r w:rsidR="00F85AC6">
        <w:t>.</w:t>
      </w:r>
    </w:p>
    <w:p w:rsidR="001F3C8F" w:rsidP="000A4E97" w14:paraId="6933745D" w14:textId="1E810A0A">
      <w:pPr>
        <w:pStyle w:val="Heading2"/>
        <w:rPr>
          <w:rFonts w:eastAsia="Calibri"/>
        </w:rPr>
      </w:pPr>
      <w:r>
        <w:rPr>
          <w:rFonts w:eastAsia="Calibri"/>
        </w:rPr>
        <w:t>EEO Program Report</w:t>
      </w:r>
    </w:p>
    <w:p w:rsidR="006A4973" w:rsidRPr="006A4973" w:rsidP="006A4973" w14:paraId="3714E8C0" w14:textId="312867D8">
      <w:pPr>
        <w:pStyle w:val="ParaNum"/>
        <w:rPr>
          <w:rFonts w:eastAsia="Calibri"/>
        </w:rPr>
      </w:pPr>
      <w:r>
        <w:rPr>
          <w:rFonts w:eastAsia="Calibri"/>
        </w:rPr>
        <w:t xml:space="preserve">We reject Vickers’ assertion that </w:t>
      </w:r>
      <w:r w:rsidR="0095087A">
        <w:rPr>
          <w:rFonts w:eastAsia="Calibri"/>
        </w:rPr>
        <w:t>Gendreau</w:t>
      </w:r>
      <w:r w:rsidR="0095087A">
        <w:rPr>
          <w:rFonts w:eastAsia="Calibri"/>
        </w:rPr>
        <w:t xml:space="preserve"> was required to include the Station’s EEO public file report</w:t>
      </w:r>
      <w:r w:rsidR="007160E9">
        <w:rPr>
          <w:rFonts w:eastAsia="Calibri"/>
        </w:rPr>
        <w:t xml:space="preserve"> on the Station’s website</w:t>
      </w:r>
      <w:r w:rsidR="0095087A">
        <w:rPr>
          <w:rFonts w:eastAsia="Calibri"/>
        </w:rPr>
        <w:t>.</w:t>
      </w:r>
      <w:r>
        <w:rPr>
          <w:rStyle w:val="FootnoteReference"/>
        </w:rPr>
        <w:footnoteReference w:id="22"/>
      </w:r>
      <w:r w:rsidR="0095087A">
        <w:rPr>
          <w:rFonts w:eastAsia="Calibri"/>
        </w:rPr>
        <w:t xml:space="preserve">  While section 73.2080(</w:t>
      </w:r>
      <w:r w:rsidR="004442D2">
        <w:rPr>
          <w:rFonts w:eastAsia="Calibri"/>
        </w:rPr>
        <w:t xml:space="preserve">c)(6) does specify that </w:t>
      </w:r>
      <w:r w:rsidR="0056709D">
        <w:rPr>
          <w:rFonts w:eastAsia="Calibri"/>
        </w:rPr>
        <w:t>broadcast stations must annually place in their OPIFs</w:t>
      </w:r>
      <w:r w:rsidR="00065C3D">
        <w:rPr>
          <w:rFonts w:eastAsia="Calibri"/>
        </w:rPr>
        <w:t xml:space="preserve"> and on their websites an EEO public file report,</w:t>
      </w:r>
      <w:r>
        <w:rPr>
          <w:rStyle w:val="FootnoteReference"/>
          <w:rFonts w:eastAsia="Calibri"/>
        </w:rPr>
        <w:footnoteReference w:id="23"/>
      </w:r>
      <w:r w:rsidR="00065C3D">
        <w:rPr>
          <w:rFonts w:eastAsia="Calibri"/>
        </w:rPr>
        <w:t xml:space="preserve"> </w:t>
      </w:r>
      <w:r w:rsidR="0019650E">
        <w:rPr>
          <w:rFonts w:eastAsia="Calibri"/>
        </w:rPr>
        <w:t>section 73.2080(d) exempts “station employment units that have fewer than five full-time employees” from this EEO requirement.</w:t>
      </w:r>
      <w:r>
        <w:rPr>
          <w:rStyle w:val="FootnoteReference"/>
          <w:rFonts w:eastAsia="Calibri"/>
        </w:rPr>
        <w:footnoteReference w:id="24"/>
      </w:r>
      <w:r w:rsidR="0019650E">
        <w:rPr>
          <w:rFonts w:eastAsia="Calibri"/>
        </w:rPr>
        <w:t xml:space="preserve">  </w:t>
      </w:r>
      <w:r w:rsidR="0019650E">
        <w:rPr>
          <w:rFonts w:eastAsia="Calibri"/>
        </w:rPr>
        <w:t>Gendreau</w:t>
      </w:r>
      <w:r w:rsidR="0019650E">
        <w:rPr>
          <w:rFonts w:eastAsia="Calibri"/>
        </w:rPr>
        <w:t xml:space="preserve"> has certified that the Station’s employment unit </w:t>
      </w:r>
      <w:r w:rsidR="009E799D">
        <w:rPr>
          <w:rFonts w:eastAsia="Calibri"/>
        </w:rPr>
        <w:t>qualifies for the exemption</w:t>
      </w:r>
      <w:r w:rsidR="0019650E">
        <w:rPr>
          <w:rFonts w:eastAsia="Calibri"/>
        </w:rPr>
        <w:t>.</w:t>
      </w:r>
      <w:r>
        <w:rPr>
          <w:rStyle w:val="FootnoteReference"/>
          <w:rFonts w:eastAsia="Calibri"/>
        </w:rPr>
        <w:footnoteReference w:id="25"/>
      </w:r>
      <w:r w:rsidR="0019650E">
        <w:rPr>
          <w:rFonts w:eastAsia="Calibri"/>
        </w:rPr>
        <w:t xml:space="preserve">  Accordingly, we find that the absence of an EEO public file report from the Station’s website violate</w:t>
      </w:r>
      <w:r w:rsidR="00B20E1E">
        <w:rPr>
          <w:rFonts w:eastAsia="Calibri"/>
        </w:rPr>
        <w:t>d</w:t>
      </w:r>
      <w:r w:rsidR="0019650E">
        <w:rPr>
          <w:rFonts w:eastAsia="Calibri"/>
        </w:rPr>
        <w:t xml:space="preserve"> no Commission rule.</w:t>
      </w:r>
    </w:p>
    <w:p w:rsidR="00A53BCC" w:rsidRPr="00DA1A04" w:rsidP="000A4E97" w14:paraId="7D0CFC50" w14:textId="69475FC8">
      <w:pPr>
        <w:pStyle w:val="Heading2"/>
      </w:pPr>
      <w:r w:rsidRPr="00DA1A04">
        <w:t>Proposed Forfeiture</w:t>
      </w:r>
    </w:p>
    <w:p w:rsidR="007F2107" w:rsidRPr="006E477E" w:rsidP="007F2107" w14:paraId="4FEF9F2D" w14:textId="56E5EDA1">
      <w:pPr>
        <w:pStyle w:val="ParaNum"/>
        <w:rPr>
          <w:szCs w:val="22"/>
        </w:rPr>
      </w:pPr>
      <w:r w:rsidRPr="00322EF1">
        <w:rPr>
          <w:szCs w:val="22"/>
        </w:rPr>
        <w:t>Section 503(b) of the Act authorizes the Commission to impose a forfeiture against any entity that “willfully or repeatedly fail[s] to comply with . . . any rule, regulation, or order issued by the Commission . . . .”</w:t>
      </w:r>
      <w:r>
        <w:rPr>
          <w:rStyle w:val="FootnoteReference"/>
          <w:snapToGrid/>
          <w:sz w:val="22"/>
          <w:szCs w:val="22"/>
        </w:rPr>
        <w:footnoteReference w:id="26"/>
      </w:r>
      <w:r w:rsidRPr="00322EF1">
        <w:rPr>
          <w:szCs w:val="22"/>
        </w:rPr>
        <w:t xml:space="preserve">  </w:t>
      </w:r>
      <w:r w:rsidRPr="00A63E20" w:rsidR="007A4D21">
        <w:rPr>
          <w:szCs w:val="22"/>
        </w:rPr>
        <w:t>To determine the appropriate forfeiture amount, we must consider the nature, circumstances, extent, and gravity of the violation and, with respect to the violator, the degree of culpability, any history of prior offenses, ability to pay, and such other matters as justice may require.</w:t>
      </w:r>
      <w:r>
        <w:rPr>
          <w:rStyle w:val="FootnoteReference"/>
          <w:sz w:val="22"/>
          <w:szCs w:val="22"/>
        </w:rPr>
        <w:footnoteReference w:id="27"/>
      </w:r>
      <w:r w:rsidRPr="00A63E20" w:rsidR="007A4D21">
        <w:rPr>
          <w:szCs w:val="22"/>
        </w:rPr>
        <w:t xml:space="preserve">  The Commission has established forfeiture guidelines, base penalties for certain violations and has identified criteria that it considers when determining the appropriate penalty in any given case.</w:t>
      </w:r>
      <w:r>
        <w:rPr>
          <w:rStyle w:val="FootnoteReference"/>
          <w:sz w:val="22"/>
          <w:szCs w:val="22"/>
        </w:rPr>
        <w:footnoteReference w:id="28"/>
      </w:r>
      <w:r w:rsidRPr="00A63E20" w:rsidR="007A4D21">
        <w:rPr>
          <w:szCs w:val="22"/>
        </w:rPr>
        <w:t xml:space="preserve">  Under these guidelines, we may adjust a forfeiture downward for violations that are minor, violations that are voluntarily disclosed, where there is a history of compliance, or where there is an inability to pay.</w:t>
      </w:r>
      <w:r>
        <w:rPr>
          <w:rStyle w:val="FootnoteReference"/>
          <w:sz w:val="22"/>
          <w:szCs w:val="22"/>
        </w:rPr>
        <w:footnoteReference w:id="29"/>
      </w:r>
      <w:r w:rsidRPr="00A63E20" w:rsidR="007A4D21">
        <w:rPr>
          <w:szCs w:val="22"/>
        </w:rPr>
        <w:t xml:space="preserve">  We may adjust a forfeiture upward for violations that are egregious, intentional, </w:t>
      </w:r>
      <w:r w:rsidR="00FC6F29">
        <w:rPr>
          <w:szCs w:val="22"/>
        </w:rPr>
        <w:t xml:space="preserve">continuous, and/or </w:t>
      </w:r>
      <w:r w:rsidRPr="00A63E20" w:rsidR="007A4D21">
        <w:rPr>
          <w:szCs w:val="22"/>
        </w:rPr>
        <w:t xml:space="preserve">repeated, </w:t>
      </w:r>
      <w:r w:rsidR="004C4572">
        <w:rPr>
          <w:szCs w:val="22"/>
        </w:rPr>
        <w:t xml:space="preserve">and </w:t>
      </w:r>
      <w:r w:rsidR="00AD5436">
        <w:rPr>
          <w:szCs w:val="22"/>
        </w:rPr>
        <w:t xml:space="preserve">violations </w:t>
      </w:r>
      <w:r w:rsidRPr="00A63E20" w:rsidR="007A4D21">
        <w:rPr>
          <w:szCs w:val="22"/>
        </w:rPr>
        <w:t xml:space="preserve">that cause substantial harm </w:t>
      </w:r>
      <w:r w:rsidRPr="006E477E" w:rsidR="007A4D21">
        <w:rPr>
          <w:szCs w:val="22"/>
        </w:rPr>
        <w:t>or generate substantial economic gain for the violator</w:t>
      </w:r>
      <w:r w:rsidR="004C4572">
        <w:rPr>
          <w:szCs w:val="22"/>
        </w:rPr>
        <w:t>.</w:t>
      </w:r>
      <w:r>
        <w:rPr>
          <w:rStyle w:val="FootnoteReference"/>
          <w:sz w:val="22"/>
          <w:szCs w:val="22"/>
        </w:rPr>
        <w:footnoteReference w:id="30"/>
      </w:r>
      <w:r w:rsidR="004C4572">
        <w:rPr>
          <w:szCs w:val="22"/>
        </w:rPr>
        <w:t xml:space="preserve">  We may also adjust a forfeiture upward </w:t>
      </w:r>
      <w:r w:rsidRPr="006E477E" w:rsidR="007A4D21">
        <w:rPr>
          <w:szCs w:val="22"/>
        </w:rPr>
        <w:t>where there is an ability to pay, or where there is a history of prior violations of FCC requirements.</w:t>
      </w:r>
      <w:r>
        <w:rPr>
          <w:rStyle w:val="FootnoteReference"/>
          <w:sz w:val="22"/>
          <w:szCs w:val="22"/>
        </w:rPr>
        <w:footnoteReference w:id="31"/>
      </w:r>
    </w:p>
    <w:p w:rsidR="00447DAF" w:rsidP="00452FA5" w14:paraId="0338F63F" w14:textId="67198D27">
      <w:pPr>
        <w:pStyle w:val="ParaNum"/>
      </w:pPr>
      <w:r>
        <w:t>Gendreau</w:t>
      </w:r>
      <w:r w:rsidRPr="006E477E" w:rsidR="00411EED">
        <w:t xml:space="preserve"> </w:t>
      </w:r>
      <w:r w:rsidRPr="006E477E" w:rsidR="006E477E">
        <w:t xml:space="preserve">apparently </w:t>
      </w:r>
      <w:r w:rsidR="00CF4B0C">
        <w:t xml:space="preserve">willfully and repeatedly </w:t>
      </w:r>
      <w:r w:rsidRPr="006E477E" w:rsidR="00411EED">
        <w:t xml:space="preserve">violated </w:t>
      </w:r>
      <w:r>
        <w:t xml:space="preserve">section 73.3526 of the Rules by failing to timely upload </w:t>
      </w:r>
      <w:r w:rsidR="00000B86">
        <w:t>or failing to upload required materials to the Station’s OPIF</w:t>
      </w:r>
      <w:r w:rsidR="00B20E1E">
        <w:t xml:space="preserve">, and </w:t>
      </w:r>
      <w:r w:rsidRPr="002C40B3" w:rsidR="00082A03">
        <w:t>by failing to include a link to the Station’s OPIF on the Station’s website</w:t>
      </w:r>
      <w:r w:rsidRPr="006E477E" w:rsidR="006E696B">
        <w:t>.</w:t>
      </w:r>
      <w:r w:rsidRPr="006E477E" w:rsidR="00A63E20">
        <w:t xml:space="preserve"> </w:t>
      </w:r>
      <w:r w:rsidRPr="006E477E" w:rsidR="006E696B">
        <w:t xml:space="preserve"> </w:t>
      </w:r>
      <w:r w:rsidRPr="006E477E" w:rsidR="00A63E20">
        <w:t>Section 1.</w:t>
      </w:r>
      <w:r w:rsidRPr="00322EF1" w:rsidR="00A63E20">
        <w:t xml:space="preserve">80(b)(10) of the </w:t>
      </w:r>
      <w:r w:rsidR="00A63E20">
        <w:t>Rules</w:t>
      </w:r>
      <w:r w:rsidRPr="00322EF1" w:rsidR="00A63E20">
        <w:t xml:space="preserve"> sets forth a base forfeiture of $10,000 for</w:t>
      </w:r>
      <w:r w:rsidR="00BC4916">
        <w:t xml:space="preserve"> </w:t>
      </w:r>
      <w:r w:rsidR="004070CC">
        <w:t>violation of the public file rules</w:t>
      </w:r>
      <w:r w:rsidRPr="0066549D" w:rsidR="006E696B">
        <w:t xml:space="preserve">.  </w:t>
      </w:r>
      <w:r w:rsidR="004070CC">
        <w:t>Gendreau</w:t>
      </w:r>
      <w:r w:rsidRPr="0066549D" w:rsidR="00311AB0">
        <w:t xml:space="preserve"> also</w:t>
      </w:r>
      <w:r w:rsidRPr="0066549D" w:rsidR="00646285">
        <w:t xml:space="preserve"> </w:t>
      </w:r>
      <w:r w:rsidR="006E477E">
        <w:t>apparently</w:t>
      </w:r>
      <w:r w:rsidR="00CF4B0C">
        <w:t xml:space="preserve"> willfully</w:t>
      </w:r>
      <w:r w:rsidR="006E477E">
        <w:t xml:space="preserve"> </w:t>
      </w:r>
      <w:r w:rsidRPr="0066549D" w:rsidR="00646285">
        <w:t>violated section 1.17</w:t>
      </w:r>
      <w:r w:rsidR="006E477E">
        <w:t>(a)(</w:t>
      </w:r>
      <w:r w:rsidR="004070CC">
        <w:t>2</w:t>
      </w:r>
      <w:r w:rsidR="006E477E">
        <w:t>)</w:t>
      </w:r>
      <w:r w:rsidR="00860733">
        <w:t xml:space="preserve"> </w:t>
      </w:r>
      <w:r w:rsidRPr="0066549D" w:rsidR="00646285">
        <w:t xml:space="preserve">of the Rules </w:t>
      </w:r>
      <w:r w:rsidR="004070CC">
        <w:t>when it made an inaccurate certification</w:t>
      </w:r>
      <w:r w:rsidRPr="0066549D" w:rsidR="00545D60">
        <w:t xml:space="preserve"> </w:t>
      </w:r>
      <w:r w:rsidR="00A33149">
        <w:t>n</w:t>
      </w:r>
      <w:r w:rsidR="00A33149">
        <w:t xml:space="preserve"> the Renewal </w:t>
      </w:r>
      <w:r w:rsidR="00A33149">
        <w:t>Application regarding</w:t>
      </w:r>
      <w:r w:rsidR="004070CC">
        <w:t xml:space="preserve"> </w:t>
      </w:r>
      <w:r w:rsidR="001F72E4">
        <w:t>the Station’s OPIF</w:t>
      </w:r>
      <w:r w:rsidRPr="0066549D" w:rsidR="00E10DB2">
        <w:t>.</w:t>
      </w:r>
      <w:r w:rsidR="00872393">
        <w:t xml:space="preserve">  </w:t>
      </w:r>
      <w:r w:rsidR="00342090">
        <w:t xml:space="preserve">The Commission has not established </w:t>
      </w:r>
      <w:r w:rsidRPr="00342090" w:rsidR="00342090">
        <w:t>a base forfeiture amount for a</w:t>
      </w:r>
      <w:r w:rsidR="00342090">
        <w:t xml:space="preserve">n inaccurate </w:t>
      </w:r>
      <w:r w:rsidRPr="00342090" w:rsidR="00342090">
        <w:t>certification</w:t>
      </w:r>
      <w:r w:rsidR="00342090">
        <w:t xml:space="preserve"> made without intent to deceive</w:t>
      </w:r>
      <w:r w:rsidRPr="00342090" w:rsidR="00342090">
        <w:t>.</w:t>
      </w:r>
      <w:r w:rsidR="00FD71FF">
        <w:t xml:space="preserve">  </w:t>
      </w:r>
      <w:r w:rsidRPr="007A3898" w:rsidR="007A3898">
        <w:t>Taking into consideration</w:t>
      </w:r>
      <w:r w:rsidR="00B93F42">
        <w:t xml:space="preserve"> </w:t>
      </w:r>
      <w:r w:rsidRPr="007A3898" w:rsidR="007A3898">
        <w:t xml:space="preserve">all of the factors required by section 503(b)(2)(E) of the Act and the </w:t>
      </w:r>
      <w:r w:rsidRPr="00B93F42" w:rsidR="00B93F42">
        <w:rPr>
          <w:iCs/>
        </w:rPr>
        <w:t>guidelines</w:t>
      </w:r>
      <w:r w:rsidRPr="007A3898" w:rsidR="007A3898">
        <w:t>, we</w:t>
      </w:r>
      <w:r w:rsidR="00E54157">
        <w:t xml:space="preserve"> propose a total forfeiture in the amount of $</w:t>
      </w:r>
      <w:r w:rsidR="004911AA">
        <w:t>8,000</w:t>
      </w:r>
      <w:r w:rsidR="00E54157">
        <w:t>.</w:t>
      </w:r>
    </w:p>
    <w:p w:rsidR="00AD2E17" w:rsidP="000A4E97" w14:paraId="4A01B080" w14:textId="45C99E87">
      <w:pPr>
        <w:pStyle w:val="Heading2"/>
      </w:pPr>
      <w:r>
        <w:t>Renewal Application</w:t>
      </w:r>
    </w:p>
    <w:p w:rsidR="00B32EFF" w:rsidP="00DC39C2" w14:paraId="30D2F417" w14:textId="7284195D">
      <w:pPr>
        <w:pStyle w:val="ParaNum"/>
      </w:pPr>
      <w:r>
        <w:t>In evaluating an application for license renewal, the Commission's decision is governed by section 309(k) of the Act.</w:t>
      </w:r>
      <w:r>
        <w:rPr>
          <w:rStyle w:val="FootnoteReference"/>
        </w:rPr>
        <w:footnoteReference w:id="32"/>
      </w:r>
      <w:r>
        <w:t xml:space="preserve">  </w:t>
      </w:r>
      <w:r>
        <w:t xml:space="preserve">Section 309(k) </w:t>
      </w:r>
      <w:r w:rsidR="00EF21B7">
        <w:t>requires</w:t>
      </w:r>
      <w:r>
        <w:t xml:space="preserve"> grant </w:t>
      </w:r>
      <w:r w:rsidR="00EF21B7">
        <w:t>of a</w:t>
      </w:r>
      <w:r>
        <w:t xml:space="preserve"> renewal application if</w:t>
      </w:r>
      <w:r w:rsidR="00EF21B7">
        <w:t xml:space="preserve"> </w:t>
      </w:r>
      <w:r>
        <w:t>we find that</w:t>
      </w:r>
      <w:r w:rsidR="00DC39C2">
        <w:t>, with respect to the station, during the preceding term of its license</w:t>
      </w:r>
      <w:r>
        <w:t xml:space="preserve">: </w:t>
      </w:r>
      <w:r w:rsidR="00DC39C2">
        <w:t xml:space="preserve"> </w:t>
      </w:r>
      <w:r>
        <w:t>(1) the station has served the public interest, convenience, and necessity; (2) there have been no serious violations of the Act or the Commission</w:t>
      </w:r>
      <w:r w:rsidR="00DC39C2">
        <w:t>’</w:t>
      </w:r>
      <w:r>
        <w:t>s rules; and (3) there have been no other violations which, taken together, constitute a pattern of abuse.</w:t>
      </w:r>
      <w:r>
        <w:rPr>
          <w:rStyle w:val="FootnoteReference"/>
        </w:rPr>
        <w:footnoteReference w:id="33"/>
      </w:r>
      <w:r>
        <w:t xml:space="preserve"> </w:t>
      </w:r>
      <w:r w:rsidR="00FC2E85">
        <w:t xml:space="preserve"> </w:t>
      </w:r>
      <w:r>
        <w:t>If such a finding cannot be made, Section 309(k) provides that the license renewal application is to be designated for a trial-type hearing pursuant to Section 309(k) of the Act.</w:t>
      </w:r>
      <w:r>
        <w:rPr>
          <w:rStyle w:val="FootnoteReference"/>
        </w:rPr>
        <w:footnoteReference w:id="34"/>
      </w:r>
    </w:p>
    <w:p w:rsidR="008765D4" w:rsidP="00A9193A" w14:paraId="04C188A7" w14:textId="08367F7B">
      <w:pPr>
        <w:pStyle w:val="ParaNum"/>
        <w:widowControl/>
      </w:pPr>
      <w:r>
        <w:t>In this case,</w:t>
      </w:r>
      <w:r w:rsidR="00F7419E">
        <w:t xml:space="preserve"> </w:t>
      </w:r>
      <w:r w:rsidR="00EF21B7">
        <w:t>Gendreau</w:t>
      </w:r>
      <w:r w:rsidR="00EF21B7">
        <w:t xml:space="preserve"> </w:t>
      </w:r>
      <w:r w:rsidR="0020038A">
        <w:t xml:space="preserve">failed to timely upload materials to the Station’s OPIF, failed to upload </w:t>
      </w:r>
      <w:r w:rsidR="00A9193A">
        <w:t>other materials to the Station’s OPIF,</w:t>
      </w:r>
      <w:r w:rsidR="00970B85">
        <w:t xml:space="preserve"> failed to include a link to the Station’s OPIF on the Station’s website,</w:t>
      </w:r>
      <w:r w:rsidR="00A9193A">
        <w:t xml:space="preserve"> and made an inaccurate certification in the Renewal Application about the Station’s OPIF.  </w:t>
      </w:r>
      <w:r w:rsidR="000F756F">
        <w:t>We</w:t>
      </w:r>
      <w:r w:rsidRPr="00D00388" w:rsidR="00D00388">
        <w:t xml:space="preserve"> find that </w:t>
      </w:r>
      <w:r w:rsidR="00A9193A">
        <w:t>Gendreau’s</w:t>
      </w:r>
      <w:r w:rsidRPr="00D00388" w:rsidR="00D00388">
        <w:t xml:space="preserve"> apparent violations </w:t>
      </w:r>
      <w:r w:rsidR="00A9193A">
        <w:t xml:space="preserve">of </w:t>
      </w:r>
      <w:r w:rsidRPr="00D00388" w:rsidR="00D00388">
        <w:t xml:space="preserve">the Rules do not constitute </w:t>
      </w:r>
      <w:r w:rsidR="00F71E82">
        <w:t>“</w:t>
      </w:r>
      <w:r w:rsidRPr="00D00388" w:rsidR="00D00388">
        <w:t>serious violations</w:t>
      </w:r>
      <w:r w:rsidR="00F71E82">
        <w:t>”</w:t>
      </w:r>
      <w:r w:rsidRPr="00D00388" w:rsidR="00D00388">
        <w:t xml:space="preserve"> under section 309(k) of the Act.</w:t>
      </w:r>
      <w:r w:rsidRPr="00A9193A" w:rsidR="0052025D">
        <w:rPr>
          <w:szCs w:val="22"/>
        </w:rPr>
        <w:t xml:space="preserve"> </w:t>
      </w:r>
      <w:r w:rsidRPr="00A9193A" w:rsidR="00A317B5">
        <w:rPr>
          <w:szCs w:val="22"/>
        </w:rPr>
        <w:t xml:space="preserve"> </w:t>
      </w:r>
      <w:r w:rsidR="009676AF">
        <w:t>In addition</w:t>
      </w:r>
      <w:r w:rsidRPr="001A03F1" w:rsidR="00D355AC">
        <w:t>, we find no evidence of violations that, when considered together, constitute a pattern of abuse.</w:t>
      </w:r>
      <w:r w:rsidR="00D355AC">
        <w:t xml:space="preserve">  </w:t>
      </w:r>
      <w:r w:rsidRPr="001A03F1" w:rsidR="00D355AC">
        <w:t>Further, we find that the Station served the public interest, convenience, and necessity during the subject license term</w:t>
      </w:r>
      <w:r w:rsidRPr="001A03F1" w:rsidR="001A03F1">
        <w:t xml:space="preserve">. </w:t>
      </w:r>
    </w:p>
    <w:p w:rsidR="00A9193A" w:rsidRPr="00A9193A" w:rsidP="008F2D97" w14:paraId="0084001D" w14:textId="3974F912">
      <w:pPr>
        <w:pStyle w:val="ParaNum"/>
        <w:rPr>
          <w:szCs w:val="22"/>
        </w:rPr>
      </w:pPr>
      <w:r w:rsidRPr="008765D4">
        <w:t>Based on these findings, we do not conclude that designation of the Renewal Application for evidentiary hearing is warranted here, particularly in light of the forfeiture proposed herein.</w:t>
      </w:r>
      <w:r>
        <w:t xml:space="preserve"> </w:t>
      </w:r>
    </w:p>
    <w:p w:rsidR="00823C79" w:rsidRPr="00A9193A" w:rsidP="00A9193A" w14:paraId="1E243C13" w14:textId="54028A64">
      <w:pPr>
        <w:pStyle w:val="Heading1"/>
      </w:pPr>
      <w:r w:rsidRPr="00A9193A">
        <w:t>ordering clauses</w:t>
      </w:r>
    </w:p>
    <w:p w:rsidR="006F4CC9" w:rsidRPr="0001470F" w:rsidP="00A066FB" w14:paraId="1F0F8DF8" w14:textId="09C7F2B2">
      <w:pPr>
        <w:pStyle w:val="ParaNum"/>
        <w:rPr>
          <w:szCs w:val="22"/>
        </w:rPr>
      </w:pPr>
      <w:r w:rsidRPr="0001470F">
        <w:rPr>
          <w:b/>
          <w:bCs/>
          <w:szCs w:val="22"/>
        </w:rPr>
        <w:t>IT IS ORDERED</w:t>
      </w:r>
      <w:r w:rsidRPr="0001470F">
        <w:rPr>
          <w:szCs w:val="22"/>
        </w:rPr>
        <w:t xml:space="preserve"> that the Informal Objection filed by </w:t>
      </w:r>
      <w:r w:rsidR="00021096">
        <w:rPr>
          <w:szCs w:val="22"/>
        </w:rPr>
        <w:t xml:space="preserve">Dave Vickers </w:t>
      </w:r>
      <w:r w:rsidR="000716F3">
        <w:rPr>
          <w:szCs w:val="22"/>
        </w:rPr>
        <w:t xml:space="preserve">(Pleading File No. </w:t>
      </w:r>
      <w:r w:rsidR="000627B1">
        <w:rPr>
          <w:szCs w:val="22"/>
        </w:rPr>
        <w:t xml:space="preserve">131262) </w:t>
      </w:r>
      <w:r w:rsidRPr="0001470F" w:rsidR="009F40CF">
        <w:rPr>
          <w:szCs w:val="22"/>
        </w:rPr>
        <w:t xml:space="preserve">on </w:t>
      </w:r>
      <w:r w:rsidR="000627B1">
        <w:rPr>
          <w:szCs w:val="22"/>
        </w:rPr>
        <w:t>January</w:t>
      </w:r>
      <w:r w:rsidRPr="0001470F" w:rsidR="009F40CF">
        <w:rPr>
          <w:szCs w:val="22"/>
        </w:rPr>
        <w:t xml:space="preserve"> 1</w:t>
      </w:r>
      <w:r w:rsidR="000627B1">
        <w:rPr>
          <w:szCs w:val="22"/>
        </w:rPr>
        <w:t>4</w:t>
      </w:r>
      <w:r w:rsidRPr="0001470F" w:rsidR="009F40CF">
        <w:rPr>
          <w:szCs w:val="22"/>
        </w:rPr>
        <w:t xml:space="preserve">, </w:t>
      </w:r>
      <w:r w:rsidR="000627B1">
        <w:rPr>
          <w:szCs w:val="22"/>
        </w:rPr>
        <w:t>2021</w:t>
      </w:r>
      <w:r w:rsidRPr="0001470F" w:rsidR="009F40CF">
        <w:rPr>
          <w:szCs w:val="22"/>
        </w:rPr>
        <w:t xml:space="preserve">, </w:t>
      </w:r>
      <w:r w:rsidR="000627B1">
        <w:rPr>
          <w:b/>
          <w:bCs/>
          <w:szCs w:val="22"/>
        </w:rPr>
        <w:t>IS</w:t>
      </w:r>
      <w:r w:rsidRPr="0001470F" w:rsidR="009F40CF">
        <w:rPr>
          <w:b/>
          <w:bCs/>
          <w:szCs w:val="22"/>
        </w:rPr>
        <w:t xml:space="preserve"> GRANTED IN PART AND OTHERWISE DENIED</w:t>
      </w:r>
      <w:r w:rsidRPr="0001470F" w:rsidR="009F40CF">
        <w:rPr>
          <w:szCs w:val="22"/>
        </w:rPr>
        <w:t xml:space="preserve">. </w:t>
      </w:r>
    </w:p>
    <w:p w:rsidR="00A066FB" w:rsidRPr="00BC3448" w:rsidP="00512A34" w14:paraId="28045BFB" w14:textId="2F227E14">
      <w:pPr>
        <w:pStyle w:val="ParaNum"/>
        <w:widowControl/>
        <w:rPr>
          <w:szCs w:val="22"/>
        </w:rPr>
      </w:pPr>
      <w:r w:rsidRPr="006258DE">
        <w:rPr>
          <w:b/>
          <w:bCs/>
          <w:szCs w:val="22"/>
        </w:rPr>
        <w:t>IT IS FURTHER ORDERED</w:t>
      </w:r>
      <w:r>
        <w:rPr>
          <w:szCs w:val="22"/>
        </w:rPr>
        <w:t xml:space="preserve">, </w:t>
      </w:r>
      <w:r w:rsidRPr="00BC3448">
        <w:rPr>
          <w:szCs w:val="22"/>
        </w:rPr>
        <w:t xml:space="preserve">pursuant to </w:t>
      </w:r>
      <w:r w:rsidR="00383D80">
        <w:rPr>
          <w:szCs w:val="22"/>
        </w:rPr>
        <w:t>s</w:t>
      </w:r>
      <w:r w:rsidRPr="00BC3448">
        <w:rPr>
          <w:szCs w:val="22"/>
        </w:rPr>
        <w:t xml:space="preserve">ection 503(b) of the Communications Act of 1934, as amended, and </w:t>
      </w:r>
      <w:r w:rsidR="00383D80">
        <w:rPr>
          <w:szCs w:val="22"/>
        </w:rPr>
        <w:t>s</w:t>
      </w:r>
      <w:r w:rsidRPr="00BC3448">
        <w:rPr>
          <w:szCs w:val="22"/>
        </w:rPr>
        <w:t>ections 0.283 and 1.80 of the Commission’s rules,</w:t>
      </w:r>
      <w:r>
        <w:rPr>
          <w:rStyle w:val="FootnoteReference"/>
          <w:szCs w:val="22"/>
        </w:rPr>
        <w:footnoteReference w:id="35"/>
      </w:r>
      <w:r w:rsidRPr="00BC3448">
        <w:rPr>
          <w:szCs w:val="22"/>
        </w:rPr>
        <w:t xml:space="preserve"> that </w:t>
      </w:r>
      <w:r w:rsidR="000627B1">
        <w:rPr>
          <w:szCs w:val="22"/>
        </w:rPr>
        <w:t>Gendreau</w:t>
      </w:r>
      <w:r w:rsidR="000627B1">
        <w:rPr>
          <w:szCs w:val="22"/>
        </w:rPr>
        <w:t xml:space="preserve"> Broadcast LLC</w:t>
      </w:r>
      <w:r w:rsidRPr="00BC3448">
        <w:rPr>
          <w:szCs w:val="22"/>
        </w:rPr>
        <w:t xml:space="preserve"> is hereby </w:t>
      </w:r>
      <w:r w:rsidRPr="00BC3448">
        <w:rPr>
          <w:b/>
          <w:szCs w:val="22"/>
        </w:rPr>
        <w:t>NOTIFIED</w:t>
      </w:r>
      <w:r w:rsidRPr="00BC3448">
        <w:rPr>
          <w:szCs w:val="22"/>
        </w:rPr>
        <w:t xml:space="preserve"> of its </w:t>
      </w:r>
      <w:r w:rsidRPr="00BC3448">
        <w:rPr>
          <w:b/>
          <w:szCs w:val="22"/>
        </w:rPr>
        <w:t>APPARENT LIABILITY FOR FORFEITURE</w:t>
      </w:r>
      <w:r w:rsidRPr="00BC3448">
        <w:rPr>
          <w:szCs w:val="22"/>
        </w:rPr>
        <w:t xml:space="preserve"> in the amount of </w:t>
      </w:r>
      <w:r w:rsidR="000627B1">
        <w:rPr>
          <w:szCs w:val="22"/>
        </w:rPr>
        <w:t>eight</w:t>
      </w:r>
      <w:r w:rsidRPr="00BC3448">
        <w:rPr>
          <w:szCs w:val="22"/>
        </w:rPr>
        <w:t xml:space="preserve"> thousand dollars </w:t>
      </w:r>
      <w:r w:rsidRPr="00BC3448" w:rsidR="00BC3448">
        <w:rPr>
          <w:szCs w:val="22"/>
        </w:rPr>
        <w:t>($</w:t>
      </w:r>
      <w:r w:rsidR="000627B1">
        <w:rPr>
          <w:szCs w:val="22"/>
        </w:rPr>
        <w:t>8</w:t>
      </w:r>
      <w:r w:rsidRPr="00BC3448" w:rsidR="00BC3448">
        <w:rPr>
          <w:szCs w:val="22"/>
        </w:rPr>
        <w:t>,000)</w:t>
      </w:r>
      <w:r w:rsidRPr="00BC3448">
        <w:rPr>
          <w:szCs w:val="22"/>
        </w:rPr>
        <w:t xml:space="preserve"> for its apparent willful and repeated violations of </w:t>
      </w:r>
      <w:r w:rsidR="000627B1">
        <w:rPr>
          <w:szCs w:val="22"/>
        </w:rPr>
        <w:t>section 73.3526 of the Commission’s rules,</w:t>
      </w:r>
      <w:r>
        <w:rPr>
          <w:rStyle w:val="FootnoteReference"/>
          <w:szCs w:val="22"/>
        </w:rPr>
        <w:footnoteReference w:id="36"/>
      </w:r>
      <w:r w:rsidR="000627B1">
        <w:rPr>
          <w:szCs w:val="22"/>
        </w:rPr>
        <w:t xml:space="preserve"> </w:t>
      </w:r>
      <w:r w:rsidRPr="00BC3448" w:rsidR="00BC3448">
        <w:rPr>
          <w:szCs w:val="22"/>
        </w:rPr>
        <w:t xml:space="preserve">and </w:t>
      </w:r>
      <w:r w:rsidR="004B5432">
        <w:rPr>
          <w:szCs w:val="22"/>
        </w:rPr>
        <w:t xml:space="preserve">its apparent willful violation of </w:t>
      </w:r>
      <w:r w:rsidRPr="00BC3448" w:rsidR="00BC3448">
        <w:rPr>
          <w:szCs w:val="22"/>
        </w:rPr>
        <w:t>section 1.17(a)(</w:t>
      </w:r>
      <w:r w:rsidR="000627B1">
        <w:rPr>
          <w:szCs w:val="22"/>
        </w:rPr>
        <w:t>2</w:t>
      </w:r>
      <w:r w:rsidRPr="00BC3448" w:rsidR="00BC3448">
        <w:rPr>
          <w:szCs w:val="22"/>
        </w:rPr>
        <w:t>) of the Commission’s rules</w:t>
      </w:r>
      <w:r w:rsidRPr="00BC3448">
        <w:rPr>
          <w:szCs w:val="22"/>
        </w:rPr>
        <w:t>.</w:t>
      </w:r>
      <w:r>
        <w:rPr>
          <w:rStyle w:val="FootnoteReference"/>
          <w:szCs w:val="22"/>
        </w:rPr>
        <w:footnoteReference w:id="37"/>
      </w:r>
    </w:p>
    <w:p w:rsidR="00A066FB" w:rsidRPr="00BC3448" w:rsidP="00A066FB" w14:paraId="4A497A2F" w14:textId="3B4F477E">
      <w:pPr>
        <w:pStyle w:val="ParaNum"/>
        <w:widowControl/>
        <w:rPr>
          <w:szCs w:val="22"/>
        </w:rPr>
      </w:pPr>
      <w:r w:rsidRPr="00BC3448">
        <w:rPr>
          <w:b/>
          <w:szCs w:val="22"/>
        </w:rPr>
        <w:t>IT IS FURTHER ORDERED</w:t>
      </w:r>
      <w:r w:rsidRPr="00BC3448">
        <w:rPr>
          <w:szCs w:val="22"/>
        </w:rPr>
        <w:t xml:space="preserve">, pursuant to </w:t>
      </w:r>
      <w:r w:rsidR="00383D80">
        <w:rPr>
          <w:szCs w:val="22"/>
        </w:rPr>
        <w:t>s</w:t>
      </w:r>
      <w:r w:rsidRPr="00BC3448">
        <w:rPr>
          <w:szCs w:val="22"/>
        </w:rPr>
        <w:t>ection 1.80 of the Commission’s rules,</w:t>
      </w:r>
      <w:r>
        <w:rPr>
          <w:rStyle w:val="FootnoteReference"/>
          <w:szCs w:val="22"/>
        </w:rPr>
        <w:footnoteReference w:id="38"/>
      </w:r>
      <w:r w:rsidRPr="00BC3448">
        <w:rPr>
          <w:szCs w:val="22"/>
        </w:rPr>
        <w:t xml:space="preserve"> that, within thirty (30) days of the release date of this </w:t>
      </w:r>
      <w:r w:rsidRPr="00220B20">
        <w:rPr>
          <w:i/>
          <w:iCs/>
          <w:szCs w:val="22"/>
        </w:rPr>
        <w:t>Memorandum Opinion and Order and Notice of Apparent Liability for Forfeiture</w:t>
      </w:r>
      <w:r w:rsidRPr="00BC3448">
        <w:rPr>
          <w:i/>
          <w:szCs w:val="22"/>
        </w:rPr>
        <w:t>,</w:t>
      </w:r>
      <w:r w:rsidRPr="00BC3448">
        <w:rPr>
          <w:szCs w:val="22"/>
        </w:rPr>
        <w:t xml:space="preserve"> </w:t>
      </w:r>
      <w:r w:rsidR="000627B1">
        <w:rPr>
          <w:szCs w:val="22"/>
        </w:rPr>
        <w:t>Gendreau</w:t>
      </w:r>
      <w:r w:rsidR="000627B1">
        <w:rPr>
          <w:szCs w:val="22"/>
        </w:rPr>
        <w:t xml:space="preserve"> Broadcast LLC</w:t>
      </w:r>
      <w:r w:rsidRPr="00BC3448">
        <w:rPr>
          <w:szCs w:val="22"/>
        </w:rPr>
        <w:t xml:space="preserve">, </w:t>
      </w:r>
      <w:r w:rsidRPr="00BC3448">
        <w:rPr>
          <w:b/>
          <w:szCs w:val="22"/>
        </w:rPr>
        <w:t>SHALL PAY</w:t>
      </w:r>
      <w:r w:rsidRPr="00BC3448">
        <w:rPr>
          <w:szCs w:val="22"/>
        </w:rPr>
        <w:t xml:space="preserve"> the full amount of the proposed forfeiture or </w:t>
      </w:r>
      <w:r w:rsidRPr="00BC3448">
        <w:rPr>
          <w:b/>
          <w:szCs w:val="22"/>
        </w:rPr>
        <w:t>SHALL FILE</w:t>
      </w:r>
      <w:r w:rsidRPr="00BC3448">
        <w:rPr>
          <w:szCs w:val="22"/>
        </w:rPr>
        <w:t xml:space="preserve"> a written statement seeking reduction or cancellation of the proposed forfeiture.  </w:t>
      </w:r>
    </w:p>
    <w:p w:rsidR="00A066FB" w:rsidRPr="00BC3448" w:rsidP="00931F00" w14:paraId="7FE13A48" w14:textId="77777777">
      <w:pPr>
        <w:pStyle w:val="ParaNum"/>
        <w:widowControl/>
        <w:rPr>
          <w:szCs w:val="22"/>
        </w:rPr>
      </w:pPr>
      <w:r w:rsidRPr="00BC3448">
        <w:rPr>
          <w:szCs w:val="22"/>
        </w:rPr>
        <w:t xml:space="preserve">Payment of the forfeiture must be made by credit card, ACH (Automated Clearing House) debit from a bank account using CORES (the Commission’s online payment system),  or by wire </w:t>
      </w:r>
      <w:r w:rsidRPr="00BC3448">
        <w:rPr>
          <w:szCs w:val="22"/>
        </w:rPr>
        <w:t xml:space="preserve">transfer.  Payments by check or money order to pay a forfeiture are no longer accepted.  Below are instructions that payors should follow based on the form of payment selected:  </w:t>
      </w:r>
    </w:p>
    <w:p w:rsidR="00A066FB" w:rsidRPr="00BC3448" w:rsidP="00E645C4" w14:paraId="7E85DADB" w14:textId="7D285624">
      <w:pPr>
        <w:pStyle w:val="ListParagraph"/>
        <w:numPr>
          <w:ilvl w:val="0"/>
          <w:numId w:val="14"/>
        </w:numPr>
        <w:spacing w:after="120"/>
        <w:ind w:left="1080"/>
        <w:contextualSpacing w:val="0"/>
        <w:rPr>
          <w:szCs w:val="22"/>
        </w:rPr>
      </w:pPr>
      <w:r w:rsidRPr="00BC3448">
        <w:t xml:space="preserve">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5" w:history="1">
        <w:r w:rsidRPr="00BC3448">
          <w:rPr>
            <w:rStyle w:val="Hyperlink"/>
          </w:rPr>
          <w:t>https://www.fcc.gov/licensing-databases/fees/wire-transfer</w:t>
        </w:r>
      </w:hyperlink>
      <w:r w:rsidRPr="00BC3448">
        <w:t>.</w:t>
      </w:r>
    </w:p>
    <w:p w:rsidR="00A066FB" w:rsidRPr="00BC3448" w:rsidP="00E645C4" w14:paraId="702A09C1" w14:textId="0F7D8F94">
      <w:pPr>
        <w:pStyle w:val="ListParagraph"/>
        <w:numPr>
          <w:ilvl w:val="0"/>
          <w:numId w:val="14"/>
        </w:numPr>
        <w:spacing w:after="120"/>
        <w:ind w:left="1080"/>
        <w:contextualSpacing w:val="0"/>
        <w:rPr>
          <w:szCs w:val="22"/>
        </w:rPr>
      </w:pPr>
      <w:r w:rsidRPr="00BC3448">
        <w:rPr>
          <w:szCs w:val="22"/>
        </w:rPr>
        <w:t>Payment by credit card must be made by using the Commission’s Registration System (CORES) at https://apps.fcc.gov/cores/userLogin.do.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A066FB" w:rsidRPr="00BC3448" w:rsidP="00CD3FD8" w14:paraId="17C5173E" w14:textId="09FC1F6B">
      <w:pPr>
        <w:pStyle w:val="ListParagraph"/>
        <w:numPr>
          <w:ilvl w:val="0"/>
          <w:numId w:val="14"/>
        </w:numPr>
        <w:spacing w:after="120"/>
        <w:ind w:left="1080"/>
        <w:rPr>
          <w:szCs w:val="22"/>
        </w:rPr>
      </w:pPr>
      <w:r w:rsidRPr="00BC3448">
        <w:rPr>
          <w:szCs w:val="22"/>
        </w:rPr>
        <w:t>Payment by ACH must be made by using the Commission’s Registration System (CORES) at https://apps.fcc.gov/cores/paymentFrnLogin.do.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A066FB" w:rsidRPr="00BC3448" w:rsidP="00A066FB" w14:paraId="7F196F2D" w14:textId="77777777">
      <w:pPr>
        <w:pStyle w:val="ParaNum"/>
        <w:rPr>
          <w:szCs w:val="22"/>
        </w:rPr>
      </w:pPr>
      <w:r w:rsidRPr="00BC3448">
        <w:rPr>
          <w:szCs w:val="22"/>
        </w:rPr>
        <w:t xml:space="preserve">Any request for making full payment over time under an installment plan should be sent to:  Associate Managing Director—Financial Operations, Federal Communications Commission, 45 L Street, N.E., Washington, DC 20554.  Questions regarding payment procedures should be directed to the Financial Operations Group Help Desk by phone, 1-877-480-3201 (option #6), or by e-mail at </w:t>
      </w:r>
      <w:hyperlink r:id="rId6" w:history="1">
        <w:r w:rsidRPr="00BC3448">
          <w:rPr>
            <w:rStyle w:val="Hyperlink"/>
            <w:szCs w:val="22"/>
          </w:rPr>
          <w:t>ARINQUIRIES@fcc.gov</w:t>
        </w:r>
      </w:hyperlink>
      <w:r w:rsidRPr="00BC3448">
        <w:rPr>
          <w:szCs w:val="22"/>
        </w:rPr>
        <w:t>.</w:t>
      </w:r>
    </w:p>
    <w:p w:rsidR="00A066FB" w:rsidRPr="00BC3448" w:rsidP="00A066FB" w14:paraId="0DCB0065" w14:textId="401E0FAB">
      <w:pPr>
        <w:pStyle w:val="ParaNum"/>
        <w:rPr>
          <w:szCs w:val="22"/>
        </w:rPr>
      </w:pPr>
      <w:r w:rsidRPr="00BC3448">
        <w:rPr>
          <w:szCs w:val="22"/>
        </w:rPr>
        <w:t>Any written response seeking reduction or cancellation of the proposed forfeiture must include a detailed factual statement supported by appropriate documentation and affidavits pursuant to sections 1.16 and 1.80(g)(3) of the Commission’s rules.</w:t>
      </w:r>
      <w:r>
        <w:rPr>
          <w:rStyle w:val="FootnoteReference"/>
          <w:szCs w:val="22"/>
        </w:rPr>
        <w:footnoteReference w:id="39"/>
      </w:r>
      <w:r w:rsidRPr="00BC3448">
        <w:rPr>
          <w:szCs w:val="22"/>
        </w:rPr>
        <w:t xml:space="preserve">  The written response must be filed with the Office of the Secretary, Federal Communications Commission, 45 L Street NE, Washington DC 20554, ATTN:  Albert Shuldiner, Chief, Audio Division, Media Bureau, and </w:t>
      </w:r>
      <w:r w:rsidRPr="00E645C4">
        <w:rPr>
          <w:b/>
          <w:bCs/>
          <w:szCs w:val="22"/>
        </w:rPr>
        <w:t>MUST INCLUDE</w:t>
      </w:r>
      <w:r w:rsidRPr="00BC3448">
        <w:rPr>
          <w:szCs w:val="22"/>
        </w:rPr>
        <w:t xml:space="preserve"> the NAL/Acct. No. referenced above.  Filings can be sent by commercial overnight courier, or by first-class or overnight U.S. Postal Service mail.  All filings must be addressed to the Commission’s Secretary, Office of the Secretary, Federal Communications Commission.  A courtesy copy emailed to </w:t>
      </w:r>
      <w:hyperlink r:id="rId7" w:history="1">
        <w:r w:rsidRPr="00BC3448">
          <w:rPr>
            <w:rStyle w:val="Hyperlink"/>
            <w:szCs w:val="22"/>
          </w:rPr>
          <w:t>Heather.Dixon@fcc.gov</w:t>
        </w:r>
      </w:hyperlink>
      <w:r w:rsidRPr="00BC3448">
        <w:rPr>
          <w:szCs w:val="22"/>
        </w:rPr>
        <w:t xml:space="preserve"> will assist in processing the response.</w:t>
      </w:r>
    </w:p>
    <w:p w:rsidR="00A066FB" w:rsidRPr="00BC3448" w:rsidP="00383D80" w14:paraId="3FDADDA9" w14:textId="77777777">
      <w:pPr>
        <w:pStyle w:val="ListParagraph"/>
        <w:widowControl/>
        <w:numPr>
          <w:ilvl w:val="0"/>
          <w:numId w:val="15"/>
        </w:numPr>
        <w:ind w:left="1080"/>
        <w:rPr>
          <w:szCs w:val="22"/>
        </w:rPr>
      </w:pPr>
      <w:r w:rsidRPr="00BC3448">
        <w:t>Commercial overnight mail (other than U.S. Postal Service Express Mail and Priority Mail) must be sent to 9050 Junction Drive, Annapolis Junction, MD 20701.</w:t>
      </w:r>
      <w:r w:rsidRPr="00BC3448">
        <w:br/>
      </w:r>
    </w:p>
    <w:p w:rsidR="00A066FB" w:rsidRPr="00BC3448" w:rsidP="00A066FB" w14:paraId="4A76745C" w14:textId="77777777">
      <w:pPr>
        <w:pStyle w:val="ListParagraph"/>
        <w:numPr>
          <w:ilvl w:val="0"/>
          <w:numId w:val="15"/>
        </w:numPr>
        <w:ind w:left="1080"/>
        <w:rPr>
          <w:szCs w:val="22"/>
        </w:rPr>
      </w:pPr>
      <w:r w:rsidRPr="00BC3448">
        <w:rPr>
          <w:szCs w:val="22"/>
        </w:rPr>
        <w:t>Postal Service first-class, Express, and Priority mail must be addressed to 45 L Street, NE, Washington, DC 20554.</w:t>
      </w:r>
    </w:p>
    <w:p w:rsidR="00A066FB" w:rsidRPr="00A066FB" w:rsidP="00A066FB" w14:paraId="3D5AD0B4" w14:textId="77777777">
      <w:pPr>
        <w:rPr>
          <w:highlight w:val="yellow"/>
        </w:rPr>
      </w:pPr>
    </w:p>
    <w:p w:rsidR="00FA1F93" w:rsidRPr="00FA1F93" w:rsidP="00A066FB" w14:paraId="79F41C2A" w14:textId="29A4635B">
      <w:pPr>
        <w:pStyle w:val="ParaNum"/>
      </w:pPr>
      <w:r w:rsidRPr="0070250B">
        <w:rPr>
          <w:b/>
          <w:bCs/>
        </w:rPr>
        <w:t>IT IS FURTHER ORDERED</w:t>
      </w:r>
      <w:r w:rsidR="008E5226">
        <w:rPr>
          <w:b/>
          <w:bCs/>
        </w:rPr>
        <w:t xml:space="preserve"> </w:t>
      </w:r>
      <w:r w:rsidRPr="008E5226" w:rsidR="008E5226">
        <w:t>that, pursuant to Section 73.3526</w:t>
      </w:r>
      <w:r w:rsidR="000A05F6">
        <w:t xml:space="preserve"> </w:t>
      </w:r>
      <w:r w:rsidRPr="008E5226" w:rsidR="008E5226">
        <w:t>of the Commission</w:t>
      </w:r>
      <w:r w:rsidR="008E5226">
        <w:t>’</w:t>
      </w:r>
      <w:r w:rsidRPr="008E5226" w:rsidR="008E5226">
        <w:t>s Rules,</w:t>
      </w:r>
      <w:r>
        <w:rPr>
          <w:rStyle w:val="FootnoteReference"/>
        </w:rPr>
        <w:footnoteReference w:id="40"/>
      </w:r>
      <w:r w:rsidRPr="008E5226" w:rsidR="008E5226">
        <w:t xml:space="preserve"> </w:t>
      </w:r>
      <w:r w:rsidR="008E5226">
        <w:t>Gendreau</w:t>
      </w:r>
      <w:r w:rsidR="008E5226">
        <w:t xml:space="preserve"> Broadcast LLC</w:t>
      </w:r>
      <w:r w:rsidRPr="008E5226" w:rsidR="008E5226">
        <w:t xml:space="preserve"> shall </w:t>
      </w:r>
      <w:r w:rsidR="008E5226">
        <w:t>upload a copy</w:t>
      </w:r>
      <w:r w:rsidRPr="008E5226" w:rsidR="008E5226">
        <w:t xml:space="preserve"> of this </w:t>
      </w:r>
      <w:r w:rsidRPr="00383D80" w:rsidR="008E5226">
        <w:rPr>
          <w:i/>
        </w:rPr>
        <w:t>Memorandum Opinion and Order and Notice of Apparent Liability for Forfeiture</w:t>
      </w:r>
      <w:r w:rsidRPr="00F53632" w:rsidR="008E5226">
        <w:t xml:space="preserve"> </w:t>
      </w:r>
      <w:r w:rsidR="008E5226">
        <w:t>to</w:t>
      </w:r>
      <w:r w:rsidRPr="008E5226" w:rsidR="008E5226">
        <w:t xml:space="preserve"> the </w:t>
      </w:r>
      <w:r w:rsidR="0058501F">
        <w:t>OPIF</w:t>
      </w:r>
      <w:r w:rsidRPr="008E5226" w:rsidR="008E5226">
        <w:t xml:space="preserve"> of </w:t>
      </w:r>
      <w:r w:rsidR="008E5226">
        <w:t>KMCN(FM), Clinton, Iowa.</w:t>
      </w:r>
    </w:p>
    <w:p w:rsidR="00A066FB" w:rsidRPr="00F53632" w:rsidP="00A066FB" w14:paraId="2E2B3022" w14:textId="7CC778F3">
      <w:pPr>
        <w:pStyle w:val="ParaNum"/>
      </w:pPr>
      <w:r w:rsidRPr="00F53632">
        <w:rPr>
          <w:b/>
          <w:bCs/>
        </w:rPr>
        <w:t>IT IS FURTHER ORDERED</w:t>
      </w:r>
      <w:r w:rsidRPr="00F53632">
        <w:t xml:space="preserve"> that copies of this </w:t>
      </w:r>
      <w:r w:rsidRPr="00383D80">
        <w:rPr>
          <w:i/>
        </w:rPr>
        <w:t>Memorandum Opinion and Order and Notice of Apparent Liability for Forfeiture</w:t>
      </w:r>
      <w:r w:rsidRPr="00F53632">
        <w:t xml:space="preserve"> </w:t>
      </w:r>
      <w:r w:rsidRPr="00F53632">
        <w:rPr>
          <w:b/>
          <w:bCs/>
        </w:rPr>
        <w:t>SHALL BE SENT</w:t>
      </w:r>
      <w:r w:rsidRPr="00F53632">
        <w:t>, by First Class and Certified Mail, Return Receipt Requested, to</w:t>
      </w:r>
      <w:r w:rsidRPr="00F53632" w:rsidR="00A77C29">
        <w:t xml:space="preserve"> </w:t>
      </w:r>
      <w:r w:rsidR="000A05F6">
        <w:t>Gendreau</w:t>
      </w:r>
      <w:r w:rsidR="000A05F6">
        <w:t xml:space="preserve"> </w:t>
      </w:r>
      <w:r w:rsidR="00850661">
        <w:t>Broadcast LLC</w:t>
      </w:r>
      <w:r w:rsidRPr="00F53632" w:rsidR="00714D26">
        <w:t xml:space="preserve">, </w:t>
      </w:r>
      <w:r w:rsidR="00850661">
        <w:t xml:space="preserve">Attn:  Brad </w:t>
      </w:r>
      <w:r w:rsidR="00850661">
        <w:t>Gendreau</w:t>
      </w:r>
      <w:r w:rsidR="00850661">
        <w:t>, 5759 Riverview Rd, Thomson, IL 61285</w:t>
      </w:r>
      <w:r w:rsidRPr="00F53632" w:rsidR="00F53632">
        <w:t>.</w:t>
      </w:r>
    </w:p>
    <w:p w:rsidR="00BA3C12" w:rsidRPr="00322EF1" w:rsidP="00A066FB" w14:paraId="46D66C94" w14:textId="74745699">
      <w:pPr>
        <w:tabs>
          <w:tab w:val="left" w:pos="4320"/>
        </w:tabs>
        <w:rPr>
          <w:szCs w:val="22"/>
        </w:rPr>
      </w:pPr>
      <w:r w:rsidRPr="00322EF1">
        <w:rPr>
          <w:szCs w:val="22"/>
        </w:rPr>
        <w:tab/>
        <w:t>FEDERAL COMMUNICATIONS COMMISSION</w:t>
      </w:r>
    </w:p>
    <w:p w:rsidR="00BA3C12" w:rsidRPr="00322EF1" w:rsidP="00B56A9D" w14:paraId="2B1045A1" w14:textId="77777777">
      <w:pPr>
        <w:rPr>
          <w:szCs w:val="22"/>
        </w:rPr>
      </w:pPr>
    </w:p>
    <w:p w:rsidR="00BA3C12" w:rsidRPr="00322EF1" w:rsidP="00B56A9D" w14:paraId="2A4BFF7E" w14:textId="77777777">
      <w:pPr>
        <w:rPr>
          <w:szCs w:val="22"/>
        </w:rPr>
      </w:pPr>
    </w:p>
    <w:p w:rsidR="00BA3C12" w:rsidRPr="00322EF1" w:rsidP="00B56A9D" w14:paraId="40953B9F" w14:textId="77777777">
      <w:pPr>
        <w:rPr>
          <w:szCs w:val="22"/>
        </w:rPr>
      </w:pPr>
    </w:p>
    <w:p w:rsidR="00BA3C12" w:rsidRPr="00322EF1" w:rsidP="00B56A9D" w14:paraId="381D1B1A" w14:textId="77777777">
      <w:pPr>
        <w:rPr>
          <w:szCs w:val="22"/>
        </w:rPr>
      </w:pPr>
    </w:p>
    <w:p w:rsidR="00BA3C12" w:rsidRPr="00322EF1" w:rsidP="00B56A9D" w14:paraId="4FA59434" w14:textId="228AA7C5">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Albert Shuldiner</w:t>
      </w:r>
    </w:p>
    <w:p w:rsidR="00BA3C12" w:rsidRPr="00322EF1" w:rsidP="00B56A9D" w14:paraId="1E336DFA" w14:textId="7C6836D7">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r>
      <w:r w:rsidRPr="00322EF1" w:rsidR="00AB3124">
        <w:rPr>
          <w:szCs w:val="22"/>
        </w:rPr>
        <w:t>Chief, Audio Division</w:t>
      </w:r>
    </w:p>
    <w:p w:rsidR="00823C79" w:rsidRPr="00322EF1" w:rsidP="00823C79" w14:paraId="36300E69" w14:textId="3A0EEC24">
      <w:pPr>
        <w:rPr>
          <w:szCs w:val="22"/>
        </w:rPr>
      </w:pPr>
      <w:r w:rsidRPr="00322EF1">
        <w:rPr>
          <w:szCs w:val="22"/>
        </w:rPr>
        <w:tab/>
      </w:r>
      <w:r w:rsidRPr="00322EF1">
        <w:rPr>
          <w:szCs w:val="22"/>
        </w:rPr>
        <w:tab/>
      </w:r>
      <w:r w:rsidRPr="00322EF1">
        <w:rPr>
          <w:szCs w:val="22"/>
        </w:rPr>
        <w:tab/>
      </w:r>
      <w:r w:rsidRPr="00322EF1">
        <w:rPr>
          <w:szCs w:val="22"/>
        </w:rPr>
        <w:tab/>
      </w:r>
      <w:r w:rsidRPr="00322EF1">
        <w:rPr>
          <w:szCs w:val="22"/>
        </w:rPr>
        <w:tab/>
      </w:r>
      <w:r w:rsidRPr="00322EF1">
        <w:rPr>
          <w:szCs w:val="22"/>
        </w:rPr>
        <w:tab/>
        <w:t>Media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4726BD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7A27FE" w14:paraId="342E79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14:paraId="14DEF06C" w14:textId="6800693F">
    <w:pPr>
      <w:pStyle w:val="Footer"/>
      <w:framePr w:wrap="around" w:vAnchor="text" w:hAnchor="margin" w:xAlign="center" w:y="1"/>
    </w:pPr>
    <w:r>
      <w:fldChar w:fldCharType="begin"/>
    </w:r>
    <w:r>
      <w:instrText xml:space="preserve">PAGE  </w:instrText>
    </w:r>
    <w:r>
      <w:fldChar w:fldCharType="separate"/>
    </w:r>
    <w:r w:rsidR="002A7EC5">
      <w:rPr>
        <w:noProof/>
      </w:rPr>
      <w:t>5</w:t>
    </w:r>
    <w:r>
      <w:fldChar w:fldCharType="end"/>
    </w:r>
  </w:p>
  <w:p w:rsidR="007A27FE" w14:paraId="47BA0DE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14:paraId="264EF7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92F" w14:paraId="7E1CAEBB" w14:textId="77777777">
      <w:r>
        <w:separator/>
      </w:r>
    </w:p>
  </w:footnote>
  <w:footnote w:type="continuationSeparator" w:id="1">
    <w:p w:rsidR="0086092F" w:rsidP="00C721AC" w14:paraId="125F21E5" w14:textId="77777777">
      <w:pPr>
        <w:spacing w:before="120"/>
        <w:rPr>
          <w:sz w:val="20"/>
        </w:rPr>
      </w:pPr>
      <w:r>
        <w:rPr>
          <w:sz w:val="20"/>
        </w:rPr>
        <w:t xml:space="preserve">(Continued from previous page)  </w:t>
      </w:r>
      <w:r>
        <w:rPr>
          <w:sz w:val="20"/>
        </w:rPr>
        <w:separator/>
      </w:r>
    </w:p>
  </w:footnote>
  <w:footnote w:type="continuationNotice" w:id="2">
    <w:p w:rsidR="0086092F" w:rsidP="00C721AC" w14:paraId="40CC01A9" w14:textId="77777777">
      <w:pPr>
        <w:jc w:val="right"/>
        <w:rPr>
          <w:sz w:val="20"/>
        </w:rPr>
      </w:pPr>
      <w:r>
        <w:rPr>
          <w:sz w:val="20"/>
        </w:rPr>
        <w:t>(continued….)</w:t>
      </w:r>
    </w:p>
  </w:footnote>
  <w:footnote w:id="3">
    <w:p w:rsidR="00662E54" w:rsidRPr="00334F9C" w:rsidP="00662E54" w14:paraId="02A9A7B5" w14:textId="5F542A25">
      <w:pPr>
        <w:pStyle w:val="FootnoteText"/>
      </w:pPr>
      <w:r w:rsidRPr="00334F9C">
        <w:rPr>
          <w:rStyle w:val="FootnoteReference"/>
        </w:rPr>
        <w:footnoteRef/>
      </w:r>
      <w:r w:rsidRPr="00334F9C">
        <w:t xml:space="preserve"> </w:t>
      </w:r>
      <w:r>
        <w:t>Application File</w:t>
      </w:r>
      <w:r w:rsidRPr="00334F9C">
        <w:t xml:space="preserve"> No. </w:t>
      </w:r>
      <w:r>
        <w:t>123953</w:t>
      </w:r>
      <w:r w:rsidR="00065D6B">
        <w:t>.</w:t>
      </w:r>
    </w:p>
  </w:footnote>
  <w:footnote w:id="4">
    <w:p w:rsidR="006B7C5B" w:rsidRPr="00334F9C" w:rsidP="006B7C5B" w14:paraId="1927B510" w14:textId="30B4575B">
      <w:pPr>
        <w:pStyle w:val="FootnoteText"/>
      </w:pPr>
      <w:r w:rsidRPr="00334F9C">
        <w:rPr>
          <w:rStyle w:val="FootnoteReference"/>
        </w:rPr>
        <w:footnoteRef/>
      </w:r>
      <w:r w:rsidRPr="00334F9C">
        <w:t xml:space="preserve"> Pleading File No. </w:t>
      </w:r>
      <w:r>
        <w:t>131262 (</w:t>
      </w:r>
      <w:r w:rsidRPr="00DB6C1A">
        <w:t>Objection</w:t>
      </w:r>
      <w:r>
        <w:t>)</w:t>
      </w:r>
      <w:r w:rsidRPr="00334F9C">
        <w:t>.</w:t>
      </w:r>
    </w:p>
  </w:footnote>
  <w:footnote w:id="5">
    <w:p w:rsidR="000063C4" w14:paraId="12F0E770" w14:textId="71185867">
      <w:pPr>
        <w:pStyle w:val="FootnoteText"/>
      </w:pPr>
      <w:r>
        <w:rPr>
          <w:rStyle w:val="FootnoteReference"/>
        </w:rPr>
        <w:footnoteRef/>
      </w:r>
      <w:r>
        <w:t xml:space="preserve"> </w:t>
      </w:r>
      <w:r w:rsidR="005E5B65">
        <w:t>Letter from Chris Streets, General Manager, KMCN/KCLN Radio, to FCC (dated Mar. 13, 2023) (</w:t>
      </w:r>
      <w:r w:rsidRPr="003E613F" w:rsidR="005E5B65">
        <w:t>LOI Response)</w:t>
      </w:r>
      <w:r w:rsidR="005E5B65">
        <w:t>.</w:t>
      </w:r>
    </w:p>
  </w:footnote>
  <w:footnote w:id="6">
    <w:p w:rsidR="00662E54" w14:paraId="6887D74E" w14:textId="2CF696A4">
      <w:pPr>
        <w:pStyle w:val="FootnoteText"/>
      </w:pPr>
      <w:r>
        <w:rPr>
          <w:rStyle w:val="FootnoteReference"/>
        </w:rPr>
        <w:footnoteRef/>
      </w:r>
      <w:r>
        <w:t xml:space="preserve"> Letter from Albert Shuldiner, Chief, Audio Division, to </w:t>
      </w:r>
      <w:r>
        <w:t>Gendreau</w:t>
      </w:r>
      <w:r>
        <w:t xml:space="preserve"> Broadcast LLC (Dec. 15, 2022) (</w:t>
      </w:r>
      <w:r w:rsidRPr="003E613F">
        <w:t>LOI</w:t>
      </w:r>
      <w:r>
        <w:t>).</w:t>
      </w:r>
    </w:p>
  </w:footnote>
  <w:footnote w:id="7">
    <w:p w:rsidR="002B4EBD" w:rsidRPr="000B65EF" w:rsidP="000B65EF" w14:paraId="4301B35C" w14:textId="24AC5A00">
      <w:pPr>
        <w:pStyle w:val="Footer"/>
        <w:spacing w:after="120"/>
        <w:rPr>
          <w:sz w:val="20"/>
        </w:rPr>
      </w:pPr>
      <w:r w:rsidRPr="000B65EF">
        <w:rPr>
          <w:rStyle w:val="FootnoteReference"/>
        </w:rPr>
        <w:footnoteRef/>
      </w:r>
      <w:r w:rsidRPr="000B65EF">
        <w:rPr>
          <w:sz w:val="20"/>
        </w:rPr>
        <w:t xml:space="preserve"> This </w:t>
      </w:r>
      <w:r w:rsidRPr="000B65EF">
        <w:rPr>
          <w:i/>
          <w:sz w:val="20"/>
        </w:rPr>
        <w:t>NAL</w:t>
      </w:r>
      <w:r w:rsidRPr="000B65EF">
        <w:rPr>
          <w:sz w:val="20"/>
        </w:rPr>
        <w:t xml:space="preserve"> is issued pursuant to section</w:t>
      </w:r>
      <w:r w:rsidRPr="000B65EF" w:rsidR="004D611E">
        <w:rPr>
          <w:sz w:val="20"/>
        </w:rPr>
        <w:t xml:space="preserve"> </w:t>
      </w:r>
      <w:r w:rsidRPr="000B65EF">
        <w:rPr>
          <w:sz w:val="20"/>
        </w:rPr>
        <w:t>503(b) of the Communications Act of 1934, as amended, and section 1.80 of the FCC’s rules (</w:t>
      </w:r>
      <w:r w:rsidRPr="007053A3">
        <w:rPr>
          <w:sz w:val="20"/>
        </w:rPr>
        <w:t>Rules</w:t>
      </w:r>
      <w:r w:rsidRPr="000B65EF">
        <w:rPr>
          <w:sz w:val="20"/>
        </w:rPr>
        <w:t xml:space="preserve">).  </w:t>
      </w:r>
      <w:r w:rsidRPr="000B65EF">
        <w:rPr>
          <w:i/>
          <w:sz w:val="20"/>
        </w:rPr>
        <w:t xml:space="preserve">See </w:t>
      </w:r>
      <w:r w:rsidRPr="000B65EF">
        <w:rPr>
          <w:sz w:val="20"/>
        </w:rPr>
        <w:t xml:space="preserve">47 U.S.C. § 503(b); 47 CFR § 1.80.  The Bureau has delegated authority to issue the </w:t>
      </w:r>
      <w:r w:rsidRPr="000B65EF">
        <w:rPr>
          <w:i/>
          <w:sz w:val="20"/>
        </w:rPr>
        <w:t>NAL</w:t>
      </w:r>
      <w:r w:rsidRPr="000B65EF">
        <w:rPr>
          <w:sz w:val="20"/>
        </w:rPr>
        <w:t xml:space="preserve"> under section 0.283 of the Rules.  </w:t>
      </w:r>
      <w:r w:rsidRPr="000B65EF">
        <w:rPr>
          <w:i/>
          <w:sz w:val="20"/>
        </w:rPr>
        <w:t>See</w:t>
      </w:r>
      <w:r w:rsidRPr="000B65EF">
        <w:rPr>
          <w:sz w:val="20"/>
        </w:rPr>
        <w:t xml:space="preserve"> 47 CFR § 0.283.  </w:t>
      </w:r>
    </w:p>
  </w:footnote>
  <w:footnote w:id="8">
    <w:p w:rsidR="007C3DE8" w14:paraId="00B19D75" w14:textId="0E102AD5">
      <w:pPr>
        <w:pStyle w:val="FootnoteText"/>
      </w:pPr>
      <w:r>
        <w:rPr>
          <w:rStyle w:val="FootnoteReference"/>
        </w:rPr>
        <w:footnoteRef/>
      </w:r>
      <w:r>
        <w:t xml:space="preserve"> </w:t>
      </w:r>
      <w:r w:rsidRPr="000B65EF">
        <w:t xml:space="preserve">47 CFR § </w:t>
      </w:r>
      <w:r>
        <w:t>73.3526.</w:t>
      </w:r>
    </w:p>
  </w:footnote>
  <w:footnote w:id="9">
    <w:p w:rsidR="007C3DE8" w14:paraId="186FDB79" w14:textId="2697F859">
      <w:pPr>
        <w:pStyle w:val="FootnoteText"/>
      </w:pPr>
      <w:r>
        <w:rPr>
          <w:rStyle w:val="FootnoteReference"/>
        </w:rPr>
        <w:footnoteRef/>
      </w:r>
      <w:r>
        <w:t xml:space="preserve"> </w:t>
      </w:r>
      <w:r w:rsidRPr="00B8607F" w:rsidR="00B8607F">
        <w:rPr>
          <w:i/>
          <w:iCs/>
        </w:rPr>
        <w:t>Id</w:t>
      </w:r>
      <w:r w:rsidR="00B8607F">
        <w:t>.</w:t>
      </w:r>
      <w:r w:rsidRPr="000B65EF">
        <w:t xml:space="preserve"> § 1.17(a)(</w:t>
      </w:r>
      <w:r>
        <w:t>2</w:t>
      </w:r>
      <w:r w:rsidRPr="000B65EF">
        <w:t>).</w:t>
      </w:r>
    </w:p>
  </w:footnote>
  <w:footnote w:id="10">
    <w:p w:rsidR="00AA2204" w14:paraId="0F304238" w14:textId="581E80F4">
      <w:pPr>
        <w:pStyle w:val="FootnoteText"/>
      </w:pPr>
      <w:r>
        <w:rPr>
          <w:rStyle w:val="FootnoteReference"/>
        </w:rPr>
        <w:footnoteRef/>
      </w:r>
      <w:r>
        <w:t xml:space="preserve"> Objection at </w:t>
      </w:r>
      <w:r w:rsidR="007E6CCF">
        <w:t>3-6.</w:t>
      </w:r>
    </w:p>
  </w:footnote>
  <w:footnote w:id="11">
    <w:p w:rsidR="007E6CCF" w14:paraId="0846AB15" w14:textId="6431DABC">
      <w:pPr>
        <w:pStyle w:val="FootnoteText"/>
      </w:pPr>
      <w:r>
        <w:rPr>
          <w:rStyle w:val="FootnoteReference"/>
        </w:rPr>
        <w:footnoteRef/>
      </w:r>
      <w:r>
        <w:t xml:space="preserve"> </w:t>
      </w:r>
      <w:r w:rsidRPr="00DB6C1A">
        <w:rPr>
          <w:i/>
          <w:iCs/>
        </w:rPr>
        <w:t>Id</w:t>
      </w:r>
      <w:r>
        <w:t>. at 4.</w:t>
      </w:r>
    </w:p>
  </w:footnote>
  <w:footnote w:id="12">
    <w:p w:rsidR="00DB6C1A" w14:paraId="56E487A1" w14:textId="2897F407">
      <w:pPr>
        <w:pStyle w:val="FootnoteText"/>
      </w:pPr>
      <w:r>
        <w:rPr>
          <w:rStyle w:val="FootnoteReference"/>
        </w:rPr>
        <w:footnoteRef/>
      </w:r>
      <w:r>
        <w:t xml:space="preserve"> </w:t>
      </w:r>
      <w:r w:rsidRPr="00DB6C1A">
        <w:rPr>
          <w:i/>
          <w:iCs/>
        </w:rPr>
        <w:t>Id</w:t>
      </w:r>
      <w:r>
        <w:t>. at 2, 6.</w:t>
      </w:r>
    </w:p>
  </w:footnote>
  <w:footnote w:id="13">
    <w:p w:rsidR="003625FD" w:rsidRPr="003E613F" w14:paraId="4052BF21" w14:textId="1048B66F">
      <w:pPr>
        <w:pStyle w:val="FootnoteText"/>
      </w:pPr>
      <w:r w:rsidRPr="003E613F">
        <w:rPr>
          <w:rStyle w:val="FootnoteReference"/>
        </w:rPr>
        <w:footnoteRef/>
      </w:r>
      <w:r w:rsidRPr="003E613F">
        <w:t xml:space="preserve"> </w:t>
      </w:r>
      <w:r w:rsidRPr="00441EE2" w:rsidR="00441EE2">
        <w:t>LOI Response</w:t>
      </w:r>
      <w:r w:rsidR="00441EE2">
        <w:rPr>
          <w:i/>
          <w:iCs/>
        </w:rPr>
        <w:t xml:space="preserve"> </w:t>
      </w:r>
      <w:r w:rsidRPr="003E613F" w:rsidR="003651A0">
        <w:t>at 1.</w:t>
      </w:r>
    </w:p>
  </w:footnote>
  <w:footnote w:id="14">
    <w:p w:rsidR="00806110" w:rsidP="00806110" w14:paraId="542B0E37" w14:textId="1AF6A04A">
      <w:pPr>
        <w:pStyle w:val="FootnoteText"/>
      </w:pPr>
      <w:r w:rsidRPr="003E613F">
        <w:rPr>
          <w:rStyle w:val="FootnoteReference"/>
        </w:rPr>
        <w:footnoteRef/>
      </w:r>
      <w:r w:rsidRPr="003E613F">
        <w:t xml:space="preserve"> Objection at </w:t>
      </w:r>
      <w:r w:rsidRPr="003E613F" w:rsidR="003D6BC4">
        <w:t>2-6</w:t>
      </w:r>
      <w:r w:rsidRPr="003E613F">
        <w:t>.</w:t>
      </w:r>
      <w:r w:rsidR="00751419">
        <w:t xml:space="preserve">  </w:t>
      </w:r>
      <w:r w:rsidRPr="00751419" w:rsidR="00751419">
        <w:rPr>
          <w:i/>
          <w:iCs/>
        </w:rPr>
        <w:t>See also</w:t>
      </w:r>
      <w:r w:rsidR="00751419">
        <w:t xml:space="preserve"> 47 CFR § </w:t>
      </w:r>
      <w:r w:rsidRPr="00645302" w:rsidR="00751419">
        <w:t>73.3526</w:t>
      </w:r>
      <w:r w:rsidR="00751419">
        <w:t>.</w:t>
      </w:r>
    </w:p>
  </w:footnote>
  <w:footnote w:id="15">
    <w:p w:rsidR="00806110" w:rsidP="00806110" w14:paraId="12CD49C5" w14:textId="77777777">
      <w:pPr>
        <w:pStyle w:val="FootnoteText"/>
      </w:pPr>
      <w:r>
        <w:rPr>
          <w:rStyle w:val="FootnoteReference"/>
        </w:rPr>
        <w:footnoteRef/>
      </w:r>
      <w:r>
        <w:t xml:space="preserve"> </w:t>
      </w:r>
      <w:r w:rsidRPr="00A712E0">
        <w:rPr>
          <w:i/>
          <w:iCs/>
        </w:rPr>
        <w:t>See</w:t>
      </w:r>
      <w:r>
        <w:t xml:space="preserve"> 47 CFR § </w:t>
      </w:r>
      <w:r w:rsidRPr="00645302">
        <w:t>73.3526</w:t>
      </w:r>
      <w:r>
        <w:t>(e)(12)</w:t>
      </w:r>
      <w:r w:rsidRPr="00645302">
        <w:t xml:space="preserve"> </w:t>
      </w:r>
      <w:r>
        <w:t>(requiring that commercial AM and FM broadcast stations</w:t>
      </w:r>
      <w:r w:rsidRPr="00645302">
        <w:t xml:space="preserve"> </w:t>
      </w:r>
      <w:r>
        <w:t>upload</w:t>
      </w:r>
      <w:r w:rsidRPr="00645302">
        <w:t xml:space="preserve"> quarterly issues and programs lists </w:t>
      </w:r>
      <w:r>
        <w:t>to their OPIFs</w:t>
      </w:r>
      <w:r w:rsidRPr="00645302">
        <w:t xml:space="preserve"> no later than the tenth day after each quarter</w:t>
      </w:r>
      <w:r>
        <w:t>)</w:t>
      </w:r>
      <w:r w:rsidRPr="00645302">
        <w:t>.</w:t>
      </w:r>
    </w:p>
  </w:footnote>
  <w:footnote w:id="16">
    <w:p w:rsidR="00806110" w:rsidP="00806110" w14:paraId="6893D2B8" w14:textId="3EF4F068">
      <w:pPr>
        <w:pStyle w:val="FootnoteText"/>
      </w:pPr>
      <w:r>
        <w:rPr>
          <w:rStyle w:val="FootnoteReference"/>
        </w:rPr>
        <w:footnoteRef/>
      </w:r>
      <w:r>
        <w:t xml:space="preserve"> </w:t>
      </w:r>
      <w:r w:rsidRPr="00A712E0">
        <w:rPr>
          <w:i/>
          <w:iCs/>
        </w:rPr>
        <w:t>See</w:t>
      </w:r>
      <w:r>
        <w:t xml:space="preserve"> 47 CFR § 73.3526(e)(10) (requiring commercial broadcast stations to upload material relating to an FCC investigation or complaint to their OPIFs).  </w:t>
      </w:r>
      <w:r w:rsidR="003E613F">
        <w:t>The</w:t>
      </w:r>
      <w:r>
        <w:t xml:space="preserve"> LOI reminded </w:t>
      </w:r>
      <w:r>
        <w:t>Gendreau</w:t>
      </w:r>
      <w:r>
        <w:t xml:space="preserve"> to upload </w:t>
      </w:r>
      <w:r w:rsidR="003E613F">
        <w:t>it</w:t>
      </w:r>
      <w:r>
        <w:t xml:space="preserve"> and the LOI Response to the </w:t>
      </w:r>
      <w:r w:rsidR="003E613F">
        <w:t>Station’s</w:t>
      </w:r>
      <w:r>
        <w:t xml:space="preserve"> OPIF.  LOI at 4.  Despite this reminder, </w:t>
      </w:r>
      <w:r>
        <w:t>Gendreau</w:t>
      </w:r>
      <w:r>
        <w:t xml:space="preserve"> did not upload </w:t>
      </w:r>
      <w:r w:rsidR="003E613F">
        <w:t>these documents</w:t>
      </w:r>
      <w:r>
        <w:t xml:space="preserve"> to the </w:t>
      </w:r>
      <w:r w:rsidR="003E613F">
        <w:t>Station’s</w:t>
      </w:r>
      <w:r>
        <w:t xml:space="preserve"> OPIF.</w:t>
      </w:r>
    </w:p>
  </w:footnote>
  <w:footnote w:id="17">
    <w:p w:rsidR="00806110" w:rsidP="00806110" w14:paraId="0A07D9FA" w14:textId="7CFE1043">
      <w:pPr>
        <w:pStyle w:val="FootnoteText"/>
      </w:pPr>
      <w:r>
        <w:rPr>
          <w:rStyle w:val="FootnoteReference"/>
        </w:rPr>
        <w:footnoteRef/>
      </w:r>
      <w:r>
        <w:t xml:space="preserve"> </w:t>
      </w:r>
      <w:r>
        <w:t>Gendreau</w:t>
      </w:r>
      <w:r>
        <w:t xml:space="preserve"> has admitted that, between October 29, 2018, and the date of the LOI Response (</w:t>
      </w:r>
      <w:r w:rsidRPr="003E613F">
        <w:rPr>
          <w:i/>
          <w:iCs/>
        </w:rPr>
        <w:t>i.e.</w:t>
      </w:r>
      <w:r w:rsidR="003E613F">
        <w:rPr>
          <w:i/>
          <w:iCs/>
        </w:rPr>
        <w:t>,</w:t>
      </w:r>
      <w:r>
        <w:t xml:space="preserve"> March 13, 2023), the Station did “receive political based advertising.”  LOI Response at 1.  </w:t>
      </w:r>
      <w:r>
        <w:t>Gendreau</w:t>
      </w:r>
      <w:r>
        <w:t xml:space="preserve"> states that all paperwork was placed inside the Station’s physical public file but the Station’s General Manager forgot to post the paperwork to the Station’s OPIF.  </w:t>
      </w:r>
      <w:r w:rsidRPr="00636D38">
        <w:rPr>
          <w:i/>
          <w:iCs/>
        </w:rPr>
        <w:t>Id</w:t>
      </w:r>
      <w:r>
        <w:t xml:space="preserve">.  We note that, while </w:t>
      </w:r>
      <w:r>
        <w:t>Gendreau</w:t>
      </w:r>
      <w:r>
        <w:t xml:space="preserve"> reports that the paperwork has now been uploaded,</w:t>
      </w:r>
      <w:r w:rsidRPr="00FA1F93">
        <w:t xml:space="preserve"> </w:t>
      </w:r>
      <w:r>
        <w:t>the Political Files section of the Stati</w:t>
      </w:r>
      <w:r w:rsidR="003E613F">
        <w:t>o</w:t>
      </w:r>
      <w:r>
        <w:t>n’s OPIF remains empty.</w:t>
      </w:r>
    </w:p>
  </w:footnote>
  <w:footnote w:id="18">
    <w:p w:rsidR="00806110" w:rsidP="00806110" w14:paraId="6A420C55" w14:textId="77777777">
      <w:pPr>
        <w:pStyle w:val="FootnoteText"/>
      </w:pPr>
      <w:r>
        <w:rPr>
          <w:rStyle w:val="FootnoteReference"/>
        </w:rPr>
        <w:footnoteRef/>
      </w:r>
      <w:r>
        <w:t xml:space="preserve"> </w:t>
      </w:r>
      <w:r w:rsidRPr="00A712E0">
        <w:rPr>
          <w:i/>
          <w:iCs/>
        </w:rPr>
        <w:t>See</w:t>
      </w:r>
      <w:r>
        <w:t xml:space="preserve"> 47 CFR § 73.3526(b)(ii) (requiring commercial broadcast stations to provide a link to “the public inspection file hosted on the Commission’s website from the home page” of their own websites).</w:t>
      </w:r>
    </w:p>
  </w:footnote>
  <w:footnote w:id="19">
    <w:p w:rsidR="00401142" w14:paraId="4CEBC43F" w14:textId="5740B165">
      <w:pPr>
        <w:pStyle w:val="FootnoteText"/>
      </w:pPr>
      <w:r>
        <w:rPr>
          <w:rStyle w:val="FootnoteReference"/>
        </w:rPr>
        <w:footnoteRef/>
      </w:r>
      <w:r>
        <w:t xml:space="preserve"> Objection at 2, 6.</w:t>
      </w:r>
    </w:p>
  </w:footnote>
  <w:footnote w:id="20">
    <w:p w:rsidR="007E7CD6" w:rsidP="007E7CD6" w14:paraId="6C4E3BDD" w14:textId="503D58C6">
      <w:pPr>
        <w:pStyle w:val="FootnoteText"/>
      </w:pPr>
      <w:r>
        <w:rPr>
          <w:rStyle w:val="FootnoteReference"/>
        </w:rPr>
        <w:footnoteRef/>
      </w:r>
      <w:r>
        <w:t xml:space="preserve"> </w:t>
      </w:r>
      <w:r w:rsidRPr="003D6697">
        <w:t>47 CFR § 1.17(a)(2)</w:t>
      </w:r>
      <w:r>
        <w:t>.</w:t>
      </w:r>
    </w:p>
  </w:footnote>
  <w:footnote w:id="21">
    <w:p w:rsidR="008B1B4D" w14:paraId="2DAF3E86" w14:textId="351B5CC5">
      <w:pPr>
        <w:pStyle w:val="FootnoteText"/>
      </w:pPr>
      <w:r>
        <w:rPr>
          <w:rStyle w:val="FootnoteReference"/>
        </w:rPr>
        <w:footnoteRef/>
      </w:r>
      <w:r>
        <w:t xml:space="preserve"> We note that the LOI </w:t>
      </w:r>
      <w:r>
        <w:rPr>
          <w:rFonts w:eastAsia="Calibri"/>
        </w:rPr>
        <w:t xml:space="preserve">requested that </w:t>
      </w:r>
      <w:r>
        <w:rPr>
          <w:rFonts w:eastAsia="Calibri"/>
        </w:rPr>
        <w:t>Gendreau</w:t>
      </w:r>
      <w:r>
        <w:rPr>
          <w:rFonts w:eastAsia="Calibri"/>
        </w:rPr>
        <w:t xml:space="preserve"> explain the basis for </w:t>
      </w:r>
      <w:r w:rsidR="00B55DB4">
        <w:rPr>
          <w:rFonts w:eastAsia="Calibri"/>
        </w:rPr>
        <w:t>this</w:t>
      </w:r>
      <w:r>
        <w:rPr>
          <w:rFonts w:eastAsia="Calibri"/>
        </w:rPr>
        <w:t xml:space="preserve"> certification.  LOI at </w:t>
      </w:r>
      <w:r w:rsidR="009163D8">
        <w:rPr>
          <w:rFonts w:eastAsia="Calibri"/>
        </w:rPr>
        <w:t xml:space="preserve">2.  </w:t>
      </w:r>
      <w:r>
        <w:rPr>
          <w:rFonts w:eastAsia="Calibri"/>
        </w:rPr>
        <w:t xml:space="preserve">However, </w:t>
      </w:r>
      <w:r>
        <w:rPr>
          <w:rFonts w:eastAsia="Calibri"/>
        </w:rPr>
        <w:t>Gendreau</w:t>
      </w:r>
      <w:r>
        <w:rPr>
          <w:rFonts w:eastAsia="Calibri"/>
        </w:rPr>
        <w:t xml:space="preserve"> did not offer an explanation in the LOI Response.</w:t>
      </w:r>
    </w:p>
  </w:footnote>
  <w:footnote w:id="22">
    <w:p w:rsidR="005311AC" w:rsidP="005311AC" w14:paraId="36D846EA" w14:textId="40487A55">
      <w:pPr>
        <w:pStyle w:val="FootnoteText"/>
      </w:pPr>
      <w:r>
        <w:rPr>
          <w:rStyle w:val="FootnoteReference"/>
        </w:rPr>
        <w:footnoteRef/>
      </w:r>
      <w:r>
        <w:t xml:space="preserve"> Objection at </w:t>
      </w:r>
      <w:r w:rsidR="00683E37">
        <w:t>6.</w:t>
      </w:r>
    </w:p>
  </w:footnote>
  <w:footnote w:id="23">
    <w:p w:rsidR="001F0533" w14:paraId="0AA05F50" w14:textId="0E8C12E0">
      <w:pPr>
        <w:pStyle w:val="FootnoteText"/>
      </w:pPr>
      <w:r>
        <w:rPr>
          <w:rStyle w:val="FootnoteReference"/>
        </w:rPr>
        <w:footnoteRef/>
      </w:r>
      <w:r>
        <w:t xml:space="preserve"> </w:t>
      </w:r>
      <w:r w:rsidRPr="001F0533">
        <w:rPr>
          <w:i/>
          <w:iCs/>
        </w:rPr>
        <w:t>See</w:t>
      </w:r>
      <w:r>
        <w:t xml:space="preserve"> 47 CFR </w:t>
      </w:r>
      <w:r w:rsidRPr="000B65EF">
        <w:t>§</w:t>
      </w:r>
      <w:r>
        <w:t xml:space="preserve"> 73.2080(c)(6).</w:t>
      </w:r>
    </w:p>
  </w:footnote>
  <w:footnote w:id="24">
    <w:p w:rsidR="001F0533" w14:paraId="1DDF4148" w14:textId="68A1E311">
      <w:pPr>
        <w:pStyle w:val="FootnoteText"/>
      </w:pPr>
      <w:r>
        <w:rPr>
          <w:rStyle w:val="FootnoteReference"/>
        </w:rPr>
        <w:footnoteRef/>
      </w:r>
      <w:r>
        <w:t xml:space="preserve"> </w:t>
      </w:r>
      <w:r w:rsidRPr="001F0533">
        <w:rPr>
          <w:i/>
          <w:iCs/>
        </w:rPr>
        <w:t>Id</w:t>
      </w:r>
      <w:r>
        <w:t xml:space="preserve">. </w:t>
      </w:r>
      <w:r w:rsidRPr="000B65EF">
        <w:t>§</w:t>
      </w:r>
      <w:r>
        <w:t xml:space="preserve"> 73.2080(d).</w:t>
      </w:r>
    </w:p>
  </w:footnote>
  <w:footnote w:id="25">
    <w:p w:rsidR="001F0533" w14:paraId="42E02417" w14:textId="6DE0273C">
      <w:pPr>
        <w:pStyle w:val="FootnoteText"/>
      </w:pPr>
      <w:r>
        <w:rPr>
          <w:rStyle w:val="FootnoteReference"/>
        </w:rPr>
        <w:footnoteRef/>
      </w:r>
      <w:r>
        <w:t xml:space="preserve"> </w:t>
      </w:r>
      <w:r w:rsidRPr="001D5D07" w:rsidR="001D5D07">
        <w:rPr>
          <w:i/>
          <w:iCs/>
        </w:rPr>
        <w:t>See</w:t>
      </w:r>
      <w:r w:rsidR="001D5D07">
        <w:t xml:space="preserve"> Application File No. 123591.</w:t>
      </w:r>
    </w:p>
  </w:footnote>
  <w:footnote w:id="26">
    <w:p w:rsidR="007F2107" w:rsidRPr="000B65EF" w:rsidP="000B65EF" w14:paraId="28CA1545" w14:textId="77777777">
      <w:pPr>
        <w:pStyle w:val="FootnoteText"/>
      </w:pPr>
      <w:r w:rsidRPr="000B65EF">
        <w:rPr>
          <w:rStyle w:val="FootnoteReference"/>
        </w:rPr>
        <w:footnoteRef/>
      </w:r>
      <w:r w:rsidRPr="000B65EF">
        <w:t xml:space="preserve"> 47 U.S.C. § 503(b).</w:t>
      </w:r>
    </w:p>
  </w:footnote>
  <w:footnote w:id="27">
    <w:p w:rsidR="007A4D21" w:rsidRPr="000B65EF" w:rsidP="000B65EF" w14:paraId="2D183F97" w14:textId="289A29C6">
      <w:pPr>
        <w:pStyle w:val="FootnoteText"/>
      </w:pPr>
      <w:r w:rsidRPr="000B65EF">
        <w:rPr>
          <w:rStyle w:val="FootnoteReference"/>
        </w:rPr>
        <w:footnoteRef/>
      </w:r>
      <w:r w:rsidRPr="000B65EF">
        <w:t xml:space="preserve"> </w:t>
      </w:r>
      <w:r w:rsidRPr="000B65EF" w:rsidR="008A2243">
        <w:rPr>
          <w:i/>
          <w:iCs/>
        </w:rPr>
        <w:t>Id</w:t>
      </w:r>
      <w:r w:rsidRPr="000B65EF">
        <w:t>. § 503(b)(2)(E); 47 CFR § 1.80(b)(10).</w:t>
      </w:r>
    </w:p>
  </w:footnote>
  <w:footnote w:id="28">
    <w:p w:rsidR="007A4D21" w:rsidRPr="000B65EF" w:rsidP="000B65EF" w14:paraId="164C4220" w14:textId="77777777">
      <w:pPr>
        <w:pStyle w:val="FootnoteText"/>
      </w:pPr>
      <w:r w:rsidRPr="000B65EF">
        <w:rPr>
          <w:rStyle w:val="FootnoteReference"/>
        </w:rPr>
        <w:footnoteRef/>
      </w:r>
      <w:r w:rsidRPr="000B65EF">
        <w:t xml:space="preserve"> 47 CFR § 1.80(b)(10).</w:t>
      </w:r>
    </w:p>
  </w:footnote>
  <w:footnote w:id="29">
    <w:p w:rsidR="007A4D21" w:rsidRPr="000B65EF" w:rsidP="000B65EF" w14:paraId="069176EF" w14:textId="77777777">
      <w:pPr>
        <w:pStyle w:val="FootnoteText"/>
      </w:pPr>
      <w:r w:rsidRPr="000B65EF">
        <w:rPr>
          <w:rStyle w:val="FootnoteReference"/>
        </w:rPr>
        <w:footnoteRef/>
      </w:r>
      <w:r w:rsidRPr="000B65EF">
        <w:t xml:space="preserve"> </w:t>
      </w:r>
      <w:r w:rsidRPr="000B65EF">
        <w:rPr>
          <w:i/>
          <w:iCs/>
        </w:rPr>
        <w:t>Id</w:t>
      </w:r>
      <w:r w:rsidRPr="000B65EF">
        <w:t>. at Table 3.</w:t>
      </w:r>
    </w:p>
  </w:footnote>
  <w:footnote w:id="30">
    <w:p w:rsidR="004C4572" w:rsidRPr="000B65EF" w:rsidP="000B65EF" w14:paraId="443481DA" w14:textId="77777777">
      <w:pPr>
        <w:pStyle w:val="FootnoteText"/>
      </w:pPr>
      <w:r w:rsidRPr="000B65EF">
        <w:rPr>
          <w:rStyle w:val="FootnoteReference"/>
        </w:rPr>
        <w:footnoteRef/>
      </w:r>
      <w:r w:rsidRPr="000B65EF">
        <w:t xml:space="preserve"> </w:t>
      </w:r>
      <w:r w:rsidRPr="000B65EF">
        <w:rPr>
          <w:i/>
          <w:iCs/>
        </w:rPr>
        <w:t>Id</w:t>
      </w:r>
      <w:r w:rsidRPr="000B65EF">
        <w:t>.</w:t>
      </w:r>
    </w:p>
  </w:footnote>
  <w:footnote w:id="31">
    <w:p w:rsidR="007A4D21" w:rsidRPr="000B65EF" w:rsidP="000B65EF" w14:paraId="158C4FDF" w14:textId="77777777">
      <w:pPr>
        <w:pStyle w:val="FootnoteText"/>
      </w:pPr>
      <w:r w:rsidRPr="000B65EF">
        <w:rPr>
          <w:rStyle w:val="FootnoteReference"/>
        </w:rPr>
        <w:footnoteRef/>
      </w:r>
      <w:r w:rsidRPr="000B65EF">
        <w:t xml:space="preserve"> </w:t>
      </w:r>
      <w:r w:rsidRPr="000B65EF">
        <w:rPr>
          <w:i/>
          <w:iCs/>
        </w:rPr>
        <w:t>Id</w:t>
      </w:r>
      <w:r w:rsidRPr="000B65EF">
        <w:t>.</w:t>
      </w:r>
    </w:p>
  </w:footnote>
  <w:footnote w:id="32">
    <w:p w:rsidR="00194851" w14:paraId="0EE673AA" w14:textId="646D117E">
      <w:pPr>
        <w:pStyle w:val="FootnoteText"/>
      </w:pPr>
      <w:r>
        <w:rPr>
          <w:rStyle w:val="FootnoteReference"/>
        </w:rPr>
        <w:footnoteRef/>
      </w:r>
      <w:r>
        <w:t xml:space="preserve"> 4</w:t>
      </w:r>
      <w:r w:rsidR="00D96F91">
        <w:t xml:space="preserve">7 U.S.C. </w:t>
      </w:r>
      <w:r w:rsidRPr="000B65EF" w:rsidR="00D96F91">
        <w:t>§</w:t>
      </w:r>
      <w:r w:rsidR="00D96F91">
        <w:t xml:space="preserve"> 309.</w:t>
      </w:r>
    </w:p>
  </w:footnote>
  <w:footnote w:id="33">
    <w:p w:rsidR="00E073D1" w14:paraId="0889CF9E" w14:textId="46F8327C">
      <w:pPr>
        <w:pStyle w:val="FootnoteText"/>
      </w:pPr>
      <w:r>
        <w:rPr>
          <w:rStyle w:val="FootnoteReference"/>
        </w:rPr>
        <w:footnoteRef/>
      </w:r>
      <w:r>
        <w:t xml:space="preserve"> </w:t>
      </w:r>
      <w:r w:rsidRPr="006A2C2B">
        <w:rPr>
          <w:i/>
          <w:iCs/>
        </w:rPr>
        <w:t>Id</w:t>
      </w:r>
      <w:r>
        <w:t xml:space="preserve">. </w:t>
      </w:r>
      <w:r w:rsidRPr="000B65EF">
        <w:t>§</w:t>
      </w:r>
      <w:r>
        <w:t xml:space="preserve"> 309(k)(1).</w:t>
      </w:r>
    </w:p>
  </w:footnote>
  <w:footnote w:id="34">
    <w:p w:rsidR="00194851" w14:paraId="77932E71" w14:textId="6B35D11D">
      <w:pPr>
        <w:pStyle w:val="FootnoteText"/>
      </w:pPr>
      <w:r>
        <w:rPr>
          <w:rStyle w:val="FootnoteReference"/>
        </w:rPr>
        <w:footnoteRef/>
      </w:r>
      <w:r>
        <w:t xml:space="preserve"> </w:t>
      </w:r>
      <w:r w:rsidRPr="006A2C2B" w:rsidR="00D96F91">
        <w:rPr>
          <w:i/>
          <w:iCs/>
        </w:rPr>
        <w:t>Id</w:t>
      </w:r>
      <w:r w:rsidR="00D96F91">
        <w:t xml:space="preserve">. </w:t>
      </w:r>
      <w:r w:rsidRPr="000B65EF" w:rsidR="00D96F91">
        <w:t>§</w:t>
      </w:r>
      <w:r w:rsidR="00D96F91">
        <w:t xml:space="preserve"> 309(k)(</w:t>
      </w:r>
      <w:r w:rsidR="00E073D1">
        <w:t>3).</w:t>
      </w:r>
    </w:p>
  </w:footnote>
  <w:footnote w:id="35">
    <w:p w:rsidR="006A2C2B" w14:paraId="1287950E" w14:textId="73CE3B8A">
      <w:pPr>
        <w:pStyle w:val="FootnoteText"/>
      </w:pPr>
      <w:r>
        <w:rPr>
          <w:rStyle w:val="FootnoteReference"/>
        </w:rPr>
        <w:footnoteRef/>
      </w:r>
      <w:r>
        <w:t xml:space="preserve"> </w:t>
      </w:r>
      <w:r w:rsidRPr="006A2C2B">
        <w:rPr>
          <w:i/>
          <w:iCs/>
        </w:rPr>
        <w:t>Id</w:t>
      </w:r>
      <w:r>
        <w:t xml:space="preserve">. </w:t>
      </w:r>
      <w:r w:rsidRPr="000B65EF">
        <w:t>§</w:t>
      </w:r>
      <w:r>
        <w:t xml:space="preserve"> 503(b); 47 CFR </w:t>
      </w:r>
      <w:r w:rsidRPr="000B65EF">
        <w:t>§§</w:t>
      </w:r>
      <w:r>
        <w:t xml:space="preserve"> 0.283, 1.80.</w:t>
      </w:r>
    </w:p>
  </w:footnote>
  <w:footnote w:id="36">
    <w:p w:rsidR="006A2C2B" w14:paraId="28B6A8A6" w14:textId="0BA66744">
      <w:pPr>
        <w:pStyle w:val="FootnoteText"/>
      </w:pPr>
      <w:r>
        <w:rPr>
          <w:rStyle w:val="FootnoteReference"/>
        </w:rPr>
        <w:footnoteRef/>
      </w:r>
      <w:r>
        <w:t xml:space="preserve"> 47 CFR </w:t>
      </w:r>
      <w:r w:rsidRPr="000B65EF">
        <w:t>§</w:t>
      </w:r>
      <w:r>
        <w:t xml:space="preserve"> 73.3526.</w:t>
      </w:r>
    </w:p>
  </w:footnote>
  <w:footnote w:id="37">
    <w:p w:rsidR="006A2C2B" w14:paraId="594B7F7C" w14:textId="73E1B47F">
      <w:pPr>
        <w:pStyle w:val="FootnoteText"/>
      </w:pPr>
      <w:r>
        <w:rPr>
          <w:rStyle w:val="FootnoteReference"/>
        </w:rPr>
        <w:footnoteRef/>
      </w:r>
      <w:r>
        <w:t xml:space="preserve"> </w:t>
      </w:r>
      <w:r w:rsidRPr="00EC2A6C" w:rsidR="00EC2A6C">
        <w:rPr>
          <w:i/>
          <w:iCs/>
        </w:rPr>
        <w:t>Id</w:t>
      </w:r>
      <w:r w:rsidR="00EC2A6C">
        <w:t>.</w:t>
      </w:r>
      <w:r>
        <w:t xml:space="preserve"> </w:t>
      </w:r>
      <w:r w:rsidRPr="000B65EF">
        <w:t>§</w:t>
      </w:r>
      <w:r>
        <w:t xml:space="preserve"> 1.17(a)(2).</w:t>
      </w:r>
    </w:p>
  </w:footnote>
  <w:footnote w:id="38">
    <w:p w:rsidR="006A2C2B" w14:paraId="6B767647" w14:textId="3A6CAC8E">
      <w:pPr>
        <w:pStyle w:val="FootnoteText"/>
      </w:pPr>
      <w:r>
        <w:rPr>
          <w:rStyle w:val="FootnoteReference"/>
        </w:rPr>
        <w:footnoteRef/>
      </w:r>
      <w:r>
        <w:t xml:space="preserve"> </w:t>
      </w:r>
      <w:r w:rsidRPr="00EC2A6C" w:rsidR="00EC2A6C">
        <w:rPr>
          <w:i/>
          <w:iCs/>
        </w:rPr>
        <w:t>Id</w:t>
      </w:r>
      <w:r w:rsidR="00EC2A6C">
        <w:t>.</w:t>
      </w:r>
      <w:r>
        <w:t xml:space="preserve"> </w:t>
      </w:r>
      <w:r w:rsidRPr="000B65EF">
        <w:t>§</w:t>
      </w:r>
      <w:r>
        <w:t xml:space="preserve"> 1.80.</w:t>
      </w:r>
    </w:p>
  </w:footnote>
  <w:footnote w:id="39">
    <w:p w:rsidR="006A2C2B" w14:paraId="5C4BF2CE" w14:textId="00782D55">
      <w:pPr>
        <w:pStyle w:val="FootnoteText"/>
      </w:pPr>
      <w:r>
        <w:rPr>
          <w:rStyle w:val="FootnoteReference"/>
        </w:rPr>
        <w:footnoteRef/>
      </w:r>
      <w:r>
        <w:t xml:space="preserve"> </w:t>
      </w:r>
      <w:r w:rsidRPr="00EC2A6C" w:rsidR="00EC2A6C">
        <w:rPr>
          <w:i/>
          <w:iCs/>
        </w:rPr>
        <w:t>Id</w:t>
      </w:r>
      <w:r w:rsidR="00EC2A6C">
        <w:t>.</w:t>
      </w:r>
      <w:r>
        <w:t xml:space="preserve"> </w:t>
      </w:r>
      <w:r w:rsidRPr="000B65EF" w:rsidR="00EC2A6C">
        <w:t>§§</w:t>
      </w:r>
      <w:r w:rsidR="00EC2A6C">
        <w:t xml:space="preserve"> 1.16, 1.80(g)(3).</w:t>
      </w:r>
    </w:p>
  </w:footnote>
  <w:footnote w:id="40">
    <w:p w:rsidR="00EC2A6C" w14:paraId="142B3629" w14:textId="2D1EA159">
      <w:pPr>
        <w:pStyle w:val="FootnoteText"/>
      </w:pPr>
      <w:r>
        <w:rPr>
          <w:rStyle w:val="FootnoteReference"/>
        </w:rPr>
        <w:footnoteRef/>
      </w:r>
      <w:r>
        <w:t xml:space="preserve"> </w:t>
      </w:r>
      <w:r w:rsidRPr="00EC2A6C">
        <w:rPr>
          <w:i/>
          <w:iCs/>
        </w:rPr>
        <w:t>Id</w:t>
      </w:r>
      <w:r>
        <w:t xml:space="preserve">. </w:t>
      </w:r>
      <w:r w:rsidRPr="000B65EF">
        <w:t>§</w:t>
      </w:r>
      <w:r>
        <w:t xml:space="preserve"> 73.3526.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6ACD14A6" w14:textId="2AB8256A">
    <w:pPr>
      <w:pStyle w:val="Header"/>
      <w:rPr>
        <w:b w:val="0"/>
      </w:rPr>
    </w:pPr>
    <w:r>
      <w:tab/>
      <w:t>Federal Communications Commission</w:t>
    </w:r>
    <w:r>
      <w:tab/>
      <w:t xml:space="preserve">DA </w:t>
    </w:r>
    <w:r w:rsidR="00FC6E9B">
      <w:t>2</w:t>
    </w:r>
    <w:r w:rsidR="004C73CE">
      <w:t>3</w:t>
    </w:r>
    <w:r>
      <w:t>-</w:t>
    </w:r>
    <w:r w:rsidR="00B151D6">
      <w:t>466</w:t>
    </w:r>
  </w:p>
  <w:p w:rsidR="007A27FE" w14:paraId="589E1EF6" w14:textId="71FF366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A27FE" w14:paraId="4516AA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14:paraId="78ED22C4" w14:textId="4A42875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 xml:space="preserve">Federal Communications </w:t>
    </w:r>
    <w:r>
      <w:rPr>
        <w:spacing w:val="-2"/>
      </w:rPr>
      <w:t>Commission</w:t>
    </w:r>
    <w:r>
      <w:rPr>
        <w:spacing w:val="-2"/>
      </w:rPr>
      <w:tab/>
    </w:r>
    <w:r>
      <w:t>DA</w:t>
    </w:r>
    <w:r>
      <w:rPr>
        <w:spacing w:val="-2"/>
      </w:rPr>
      <w:t xml:space="preserve"> </w:t>
    </w:r>
    <w:r w:rsidR="00FC6E9B">
      <w:rPr>
        <w:spacing w:val="-2"/>
      </w:rPr>
      <w:t>2</w:t>
    </w:r>
    <w:r w:rsidR="004C73CE">
      <w:rPr>
        <w:spacing w:val="-2"/>
      </w:rPr>
      <w:t>3</w:t>
    </w:r>
    <w:r>
      <w:rPr>
        <w:spacing w:val="-2"/>
      </w:rPr>
      <w:t>-</w:t>
    </w:r>
    <w:r w:rsidR="00B151D6">
      <w:rPr>
        <w:spacing w:val="-2"/>
      </w:rPr>
      <w:t>466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927F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837692"/>
    <w:multiLevelType w:val="hybridMultilevel"/>
    <w:tmpl w:val="16A4D9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0D3CD3"/>
    <w:multiLevelType w:val="hybridMultilevel"/>
    <w:tmpl w:val="6BA4D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330501"/>
    <w:multiLevelType w:val="hybridMultilevel"/>
    <w:tmpl w:val="526A3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6471D9"/>
    <w:multiLevelType w:val="hybridMultilevel"/>
    <w:tmpl w:val="0386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44574E4"/>
    <w:multiLevelType w:val="hybridMultilevel"/>
    <w:tmpl w:val="5680C2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FA83611"/>
    <w:multiLevelType w:val="hybridMultilevel"/>
    <w:tmpl w:val="B51EF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5"/>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num>
  <w:num w:numId="13">
    <w:abstractNumId w:val="2"/>
  </w:num>
  <w:num w:numId="14">
    <w:abstractNumId w:val="12"/>
  </w:num>
  <w:num w:numId="15">
    <w:abstractNumId w:val="3"/>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9F"/>
    <w:rsid w:val="0000025D"/>
    <w:rsid w:val="00000993"/>
    <w:rsid w:val="000009A4"/>
    <w:rsid w:val="00000B86"/>
    <w:rsid w:val="00002AF9"/>
    <w:rsid w:val="00002B98"/>
    <w:rsid w:val="00003D86"/>
    <w:rsid w:val="0000558E"/>
    <w:rsid w:val="000063C4"/>
    <w:rsid w:val="00007A84"/>
    <w:rsid w:val="00011573"/>
    <w:rsid w:val="00011658"/>
    <w:rsid w:val="00011E01"/>
    <w:rsid w:val="00012639"/>
    <w:rsid w:val="00012846"/>
    <w:rsid w:val="000136B1"/>
    <w:rsid w:val="0001470F"/>
    <w:rsid w:val="00015CA0"/>
    <w:rsid w:val="0001682F"/>
    <w:rsid w:val="00021096"/>
    <w:rsid w:val="0002334B"/>
    <w:rsid w:val="0002377E"/>
    <w:rsid w:val="0002382C"/>
    <w:rsid w:val="00023CDE"/>
    <w:rsid w:val="00026527"/>
    <w:rsid w:val="00026CBA"/>
    <w:rsid w:val="00026D30"/>
    <w:rsid w:val="00030647"/>
    <w:rsid w:val="00031F80"/>
    <w:rsid w:val="00031FAA"/>
    <w:rsid w:val="000339D0"/>
    <w:rsid w:val="000346C8"/>
    <w:rsid w:val="00035F58"/>
    <w:rsid w:val="00035FDE"/>
    <w:rsid w:val="00036039"/>
    <w:rsid w:val="00036107"/>
    <w:rsid w:val="00036FB0"/>
    <w:rsid w:val="00037F15"/>
    <w:rsid w:val="00037F90"/>
    <w:rsid w:val="00037F9B"/>
    <w:rsid w:val="00040690"/>
    <w:rsid w:val="0004090A"/>
    <w:rsid w:val="000410F2"/>
    <w:rsid w:val="00041AD2"/>
    <w:rsid w:val="0004514B"/>
    <w:rsid w:val="0004626A"/>
    <w:rsid w:val="00051967"/>
    <w:rsid w:val="00051FBB"/>
    <w:rsid w:val="000528AC"/>
    <w:rsid w:val="0005369A"/>
    <w:rsid w:val="00055B36"/>
    <w:rsid w:val="00055E31"/>
    <w:rsid w:val="00057AA6"/>
    <w:rsid w:val="00057F9B"/>
    <w:rsid w:val="000627B1"/>
    <w:rsid w:val="00062FC5"/>
    <w:rsid w:val="00063A70"/>
    <w:rsid w:val="00065C3D"/>
    <w:rsid w:val="00065D6B"/>
    <w:rsid w:val="00066F6E"/>
    <w:rsid w:val="000710FB"/>
    <w:rsid w:val="000716F3"/>
    <w:rsid w:val="00072F02"/>
    <w:rsid w:val="0007377C"/>
    <w:rsid w:val="000738F6"/>
    <w:rsid w:val="00073E55"/>
    <w:rsid w:val="000750BD"/>
    <w:rsid w:val="0007680B"/>
    <w:rsid w:val="000771DA"/>
    <w:rsid w:val="0008080F"/>
    <w:rsid w:val="00081934"/>
    <w:rsid w:val="0008274A"/>
    <w:rsid w:val="00082A03"/>
    <w:rsid w:val="00082BDD"/>
    <w:rsid w:val="00083227"/>
    <w:rsid w:val="00086151"/>
    <w:rsid w:val="00087571"/>
    <w:rsid w:val="000875BF"/>
    <w:rsid w:val="000875CB"/>
    <w:rsid w:val="00087EBE"/>
    <w:rsid w:val="00091235"/>
    <w:rsid w:val="0009390B"/>
    <w:rsid w:val="00093C93"/>
    <w:rsid w:val="00095F84"/>
    <w:rsid w:val="00096862"/>
    <w:rsid w:val="00096D8C"/>
    <w:rsid w:val="000A00B8"/>
    <w:rsid w:val="000A05F6"/>
    <w:rsid w:val="000A0865"/>
    <w:rsid w:val="000A4B34"/>
    <w:rsid w:val="000A4D7E"/>
    <w:rsid w:val="000A4E97"/>
    <w:rsid w:val="000A6A2C"/>
    <w:rsid w:val="000A7E36"/>
    <w:rsid w:val="000B01A0"/>
    <w:rsid w:val="000B0373"/>
    <w:rsid w:val="000B0EAD"/>
    <w:rsid w:val="000B1BF0"/>
    <w:rsid w:val="000B1F6B"/>
    <w:rsid w:val="000B5D39"/>
    <w:rsid w:val="000B5F32"/>
    <w:rsid w:val="000B65EF"/>
    <w:rsid w:val="000C0B65"/>
    <w:rsid w:val="000C184F"/>
    <w:rsid w:val="000C2224"/>
    <w:rsid w:val="000C24A3"/>
    <w:rsid w:val="000C2541"/>
    <w:rsid w:val="000C280A"/>
    <w:rsid w:val="000C3770"/>
    <w:rsid w:val="000C3D79"/>
    <w:rsid w:val="000C440C"/>
    <w:rsid w:val="000C4E4B"/>
    <w:rsid w:val="000C53CE"/>
    <w:rsid w:val="000C7145"/>
    <w:rsid w:val="000C7A69"/>
    <w:rsid w:val="000D032D"/>
    <w:rsid w:val="000D42E0"/>
    <w:rsid w:val="000D4682"/>
    <w:rsid w:val="000D6251"/>
    <w:rsid w:val="000D6D2E"/>
    <w:rsid w:val="000D7720"/>
    <w:rsid w:val="000E01AB"/>
    <w:rsid w:val="000E05FE"/>
    <w:rsid w:val="000E1031"/>
    <w:rsid w:val="000E2EBC"/>
    <w:rsid w:val="000E3D42"/>
    <w:rsid w:val="000E4E3E"/>
    <w:rsid w:val="000E4FD4"/>
    <w:rsid w:val="000E591C"/>
    <w:rsid w:val="000E675D"/>
    <w:rsid w:val="000E79AC"/>
    <w:rsid w:val="000E7F2D"/>
    <w:rsid w:val="000F48AE"/>
    <w:rsid w:val="000F5446"/>
    <w:rsid w:val="000F681E"/>
    <w:rsid w:val="000F756F"/>
    <w:rsid w:val="0010211C"/>
    <w:rsid w:val="0010372E"/>
    <w:rsid w:val="00103F94"/>
    <w:rsid w:val="0010592A"/>
    <w:rsid w:val="00106FA3"/>
    <w:rsid w:val="00107137"/>
    <w:rsid w:val="00111136"/>
    <w:rsid w:val="00111AEA"/>
    <w:rsid w:val="00111BE6"/>
    <w:rsid w:val="00115100"/>
    <w:rsid w:val="00116C69"/>
    <w:rsid w:val="00122565"/>
    <w:rsid w:val="00122BD5"/>
    <w:rsid w:val="0012318B"/>
    <w:rsid w:val="001238A9"/>
    <w:rsid w:val="00124A50"/>
    <w:rsid w:val="001265A4"/>
    <w:rsid w:val="00126CA0"/>
    <w:rsid w:val="00126F94"/>
    <w:rsid w:val="00130739"/>
    <w:rsid w:val="00132796"/>
    <w:rsid w:val="00133F79"/>
    <w:rsid w:val="00135689"/>
    <w:rsid w:val="00135710"/>
    <w:rsid w:val="00135F47"/>
    <w:rsid w:val="00137484"/>
    <w:rsid w:val="00140F94"/>
    <w:rsid w:val="00141AE3"/>
    <w:rsid w:val="00141C19"/>
    <w:rsid w:val="00141C9A"/>
    <w:rsid w:val="00141DD0"/>
    <w:rsid w:val="00142B07"/>
    <w:rsid w:val="00143803"/>
    <w:rsid w:val="00143D28"/>
    <w:rsid w:val="001446FA"/>
    <w:rsid w:val="00144C52"/>
    <w:rsid w:val="00144FFF"/>
    <w:rsid w:val="00151252"/>
    <w:rsid w:val="00151535"/>
    <w:rsid w:val="0015252D"/>
    <w:rsid w:val="00154802"/>
    <w:rsid w:val="001559A3"/>
    <w:rsid w:val="00157260"/>
    <w:rsid w:val="00157327"/>
    <w:rsid w:val="00162F57"/>
    <w:rsid w:val="00165FBF"/>
    <w:rsid w:val="00166CC8"/>
    <w:rsid w:val="00167361"/>
    <w:rsid w:val="00170CAA"/>
    <w:rsid w:val="00170E62"/>
    <w:rsid w:val="00170F29"/>
    <w:rsid w:val="001710C6"/>
    <w:rsid w:val="00173223"/>
    <w:rsid w:val="00173974"/>
    <w:rsid w:val="001755F6"/>
    <w:rsid w:val="0017588A"/>
    <w:rsid w:val="00176E88"/>
    <w:rsid w:val="00180E9B"/>
    <w:rsid w:val="00182388"/>
    <w:rsid w:val="001831AA"/>
    <w:rsid w:val="00183C91"/>
    <w:rsid w:val="00185053"/>
    <w:rsid w:val="0018575B"/>
    <w:rsid w:val="00191AD4"/>
    <w:rsid w:val="0019329E"/>
    <w:rsid w:val="0019337D"/>
    <w:rsid w:val="00194256"/>
    <w:rsid w:val="00194851"/>
    <w:rsid w:val="00194A66"/>
    <w:rsid w:val="00196466"/>
    <w:rsid w:val="0019650E"/>
    <w:rsid w:val="001966C0"/>
    <w:rsid w:val="00196A30"/>
    <w:rsid w:val="00196F72"/>
    <w:rsid w:val="001978F2"/>
    <w:rsid w:val="001A03F1"/>
    <w:rsid w:val="001A1DEA"/>
    <w:rsid w:val="001A4C6A"/>
    <w:rsid w:val="001A5FF1"/>
    <w:rsid w:val="001A62C8"/>
    <w:rsid w:val="001A6B2C"/>
    <w:rsid w:val="001A7A9E"/>
    <w:rsid w:val="001B056E"/>
    <w:rsid w:val="001B10F4"/>
    <w:rsid w:val="001B2166"/>
    <w:rsid w:val="001B27A5"/>
    <w:rsid w:val="001B3B74"/>
    <w:rsid w:val="001B3F22"/>
    <w:rsid w:val="001B4CA4"/>
    <w:rsid w:val="001C01C9"/>
    <w:rsid w:val="001C2BC1"/>
    <w:rsid w:val="001C2EDC"/>
    <w:rsid w:val="001C46CE"/>
    <w:rsid w:val="001C48F7"/>
    <w:rsid w:val="001C4C5D"/>
    <w:rsid w:val="001C51A3"/>
    <w:rsid w:val="001C51C1"/>
    <w:rsid w:val="001C72A0"/>
    <w:rsid w:val="001C732B"/>
    <w:rsid w:val="001D2CE3"/>
    <w:rsid w:val="001D34A2"/>
    <w:rsid w:val="001D3B83"/>
    <w:rsid w:val="001D4639"/>
    <w:rsid w:val="001D4D95"/>
    <w:rsid w:val="001D5D07"/>
    <w:rsid w:val="001D6BCF"/>
    <w:rsid w:val="001D7651"/>
    <w:rsid w:val="001D7B1C"/>
    <w:rsid w:val="001E01CA"/>
    <w:rsid w:val="001E2790"/>
    <w:rsid w:val="001E3295"/>
    <w:rsid w:val="001E3F96"/>
    <w:rsid w:val="001E4005"/>
    <w:rsid w:val="001E4CDA"/>
    <w:rsid w:val="001E52F9"/>
    <w:rsid w:val="001E621D"/>
    <w:rsid w:val="001E6313"/>
    <w:rsid w:val="001E78C4"/>
    <w:rsid w:val="001F0533"/>
    <w:rsid w:val="001F128B"/>
    <w:rsid w:val="001F3152"/>
    <w:rsid w:val="001F3C8F"/>
    <w:rsid w:val="001F3E8D"/>
    <w:rsid w:val="001F50CD"/>
    <w:rsid w:val="001F5E5A"/>
    <w:rsid w:val="001F72E4"/>
    <w:rsid w:val="00200346"/>
    <w:rsid w:val="0020038A"/>
    <w:rsid w:val="0020044B"/>
    <w:rsid w:val="00201356"/>
    <w:rsid w:val="00201D23"/>
    <w:rsid w:val="00201F61"/>
    <w:rsid w:val="0020302C"/>
    <w:rsid w:val="002035CA"/>
    <w:rsid w:val="00204D3C"/>
    <w:rsid w:val="00205026"/>
    <w:rsid w:val="002063FA"/>
    <w:rsid w:val="002071BB"/>
    <w:rsid w:val="00207AE3"/>
    <w:rsid w:val="00210C4F"/>
    <w:rsid w:val="00211C67"/>
    <w:rsid w:val="00213963"/>
    <w:rsid w:val="00214117"/>
    <w:rsid w:val="0021642C"/>
    <w:rsid w:val="0022015B"/>
    <w:rsid w:val="00220B20"/>
    <w:rsid w:val="00220F01"/>
    <w:rsid w:val="002212A2"/>
    <w:rsid w:val="0022320C"/>
    <w:rsid w:val="00224066"/>
    <w:rsid w:val="00226435"/>
    <w:rsid w:val="00226D8F"/>
    <w:rsid w:val="0022793E"/>
    <w:rsid w:val="00230C1D"/>
    <w:rsid w:val="00231018"/>
    <w:rsid w:val="00231A50"/>
    <w:rsid w:val="00231CAC"/>
    <w:rsid w:val="00232A4B"/>
    <w:rsid w:val="00232ACB"/>
    <w:rsid w:val="00233520"/>
    <w:rsid w:val="00234128"/>
    <w:rsid w:val="00235E60"/>
    <w:rsid w:val="0023756A"/>
    <w:rsid w:val="0024061B"/>
    <w:rsid w:val="002406C9"/>
    <w:rsid w:val="00240A26"/>
    <w:rsid w:val="002514F9"/>
    <w:rsid w:val="0025229F"/>
    <w:rsid w:val="00253432"/>
    <w:rsid w:val="00255C7E"/>
    <w:rsid w:val="00261498"/>
    <w:rsid w:val="0026161E"/>
    <w:rsid w:val="00261899"/>
    <w:rsid w:val="0026264B"/>
    <w:rsid w:val="00265BE1"/>
    <w:rsid w:val="00270F04"/>
    <w:rsid w:val="0027307F"/>
    <w:rsid w:val="00273883"/>
    <w:rsid w:val="00275CF5"/>
    <w:rsid w:val="00275FD9"/>
    <w:rsid w:val="002828D1"/>
    <w:rsid w:val="00282AA0"/>
    <w:rsid w:val="0028301F"/>
    <w:rsid w:val="00285017"/>
    <w:rsid w:val="00285563"/>
    <w:rsid w:val="002902A5"/>
    <w:rsid w:val="0029108F"/>
    <w:rsid w:val="002917BE"/>
    <w:rsid w:val="00294018"/>
    <w:rsid w:val="00296605"/>
    <w:rsid w:val="00296C62"/>
    <w:rsid w:val="00297C98"/>
    <w:rsid w:val="00297E1E"/>
    <w:rsid w:val="002A02B5"/>
    <w:rsid w:val="002A0B8A"/>
    <w:rsid w:val="002A0D97"/>
    <w:rsid w:val="002A2D2E"/>
    <w:rsid w:val="002A305D"/>
    <w:rsid w:val="002A33A1"/>
    <w:rsid w:val="002A4843"/>
    <w:rsid w:val="002A48CB"/>
    <w:rsid w:val="002A5040"/>
    <w:rsid w:val="002A53FD"/>
    <w:rsid w:val="002A65CC"/>
    <w:rsid w:val="002A7259"/>
    <w:rsid w:val="002A7EC5"/>
    <w:rsid w:val="002B015C"/>
    <w:rsid w:val="002B07BA"/>
    <w:rsid w:val="002B124C"/>
    <w:rsid w:val="002B1286"/>
    <w:rsid w:val="002B2156"/>
    <w:rsid w:val="002B4EBD"/>
    <w:rsid w:val="002B52E7"/>
    <w:rsid w:val="002B69DE"/>
    <w:rsid w:val="002B7F72"/>
    <w:rsid w:val="002C00E8"/>
    <w:rsid w:val="002C00F1"/>
    <w:rsid w:val="002C0B2B"/>
    <w:rsid w:val="002C2030"/>
    <w:rsid w:val="002C2414"/>
    <w:rsid w:val="002C3138"/>
    <w:rsid w:val="002C3FD0"/>
    <w:rsid w:val="002C40B3"/>
    <w:rsid w:val="002C434C"/>
    <w:rsid w:val="002C476A"/>
    <w:rsid w:val="002C4CAB"/>
    <w:rsid w:val="002C5816"/>
    <w:rsid w:val="002D1852"/>
    <w:rsid w:val="002D1C08"/>
    <w:rsid w:val="002D3880"/>
    <w:rsid w:val="002D524A"/>
    <w:rsid w:val="002D6044"/>
    <w:rsid w:val="002D6681"/>
    <w:rsid w:val="002E3F79"/>
    <w:rsid w:val="002E3FE8"/>
    <w:rsid w:val="002E5E4B"/>
    <w:rsid w:val="002E6327"/>
    <w:rsid w:val="002E6354"/>
    <w:rsid w:val="002E6A31"/>
    <w:rsid w:val="002E7157"/>
    <w:rsid w:val="002F0B27"/>
    <w:rsid w:val="002F1427"/>
    <w:rsid w:val="002F48CE"/>
    <w:rsid w:val="002F64F0"/>
    <w:rsid w:val="002F7AEB"/>
    <w:rsid w:val="002F7D23"/>
    <w:rsid w:val="00301290"/>
    <w:rsid w:val="00302C79"/>
    <w:rsid w:val="003055BC"/>
    <w:rsid w:val="003070E7"/>
    <w:rsid w:val="00307A6F"/>
    <w:rsid w:val="00311AB0"/>
    <w:rsid w:val="00313C31"/>
    <w:rsid w:val="0031466A"/>
    <w:rsid w:val="00316DDC"/>
    <w:rsid w:val="00320208"/>
    <w:rsid w:val="0032063A"/>
    <w:rsid w:val="003210F4"/>
    <w:rsid w:val="00321B85"/>
    <w:rsid w:val="00322EF1"/>
    <w:rsid w:val="003235EB"/>
    <w:rsid w:val="003271CB"/>
    <w:rsid w:val="00331B85"/>
    <w:rsid w:val="0033207D"/>
    <w:rsid w:val="0033216A"/>
    <w:rsid w:val="0033457E"/>
    <w:rsid w:val="00334F9C"/>
    <w:rsid w:val="0033559D"/>
    <w:rsid w:val="003379CD"/>
    <w:rsid w:val="00340F29"/>
    <w:rsid w:val="00341285"/>
    <w:rsid w:val="0034190D"/>
    <w:rsid w:val="00342090"/>
    <w:rsid w:val="00342B82"/>
    <w:rsid w:val="00342EE0"/>
    <w:rsid w:val="003434A9"/>
    <w:rsid w:val="00343749"/>
    <w:rsid w:val="00346346"/>
    <w:rsid w:val="003471D0"/>
    <w:rsid w:val="003479B0"/>
    <w:rsid w:val="00350627"/>
    <w:rsid w:val="00350A20"/>
    <w:rsid w:val="00350A21"/>
    <w:rsid w:val="003514F6"/>
    <w:rsid w:val="003518B8"/>
    <w:rsid w:val="0035226A"/>
    <w:rsid w:val="0035242F"/>
    <w:rsid w:val="003532D2"/>
    <w:rsid w:val="0035470F"/>
    <w:rsid w:val="00355AAA"/>
    <w:rsid w:val="003565AA"/>
    <w:rsid w:val="00357A5C"/>
    <w:rsid w:val="0036258F"/>
    <w:rsid w:val="003625FD"/>
    <w:rsid w:val="00363C06"/>
    <w:rsid w:val="00363FCF"/>
    <w:rsid w:val="00364631"/>
    <w:rsid w:val="003651A0"/>
    <w:rsid w:val="003660ED"/>
    <w:rsid w:val="00367113"/>
    <w:rsid w:val="003671B7"/>
    <w:rsid w:val="00367246"/>
    <w:rsid w:val="003675A3"/>
    <w:rsid w:val="00371047"/>
    <w:rsid w:val="003713E4"/>
    <w:rsid w:val="00371EFC"/>
    <w:rsid w:val="003726AC"/>
    <w:rsid w:val="00373F66"/>
    <w:rsid w:val="00376313"/>
    <w:rsid w:val="00381305"/>
    <w:rsid w:val="003815D5"/>
    <w:rsid w:val="00381C92"/>
    <w:rsid w:val="00382CC8"/>
    <w:rsid w:val="00382DDD"/>
    <w:rsid w:val="00382E21"/>
    <w:rsid w:val="0038343D"/>
    <w:rsid w:val="00383D80"/>
    <w:rsid w:val="00384A04"/>
    <w:rsid w:val="00384EB4"/>
    <w:rsid w:val="00385350"/>
    <w:rsid w:val="003857F5"/>
    <w:rsid w:val="00387B69"/>
    <w:rsid w:val="00387C76"/>
    <w:rsid w:val="003937A6"/>
    <w:rsid w:val="00396307"/>
    <w:rsid w:val="00396F46"/>
    <w:rsid w:val="003A0A6D"/>
    <w:rsid w:val="003A2CC2"/>
    <w:rsid w:val="003A2FD5"/>
    <w:rsid w:val="003A3669"/>
    <w:rsid w:val="003A4177"/>
    <w:rsid w:val="003A6472"/>
    <w:rsid w:val="003A666D"/>
    <w:rsid w:val="003B046B"/>
    <w:rsid w:val="003B0550"/>
    <w:rsid w:val="003B16C6"/>
    <w:rsid w:val="003B1F8C"/>
    <w:rsid w:val="003B2230"/>
    <w:rsid w:val="003B256E"/>
    <w:rsid w:val="003B28AA"/>
    <w:rsid w:val="003B3C5F"/>
    <w:rsid w:val="003B453A"/>
    <w:rsid w:val="003B554E"/>
    <w:rsid w:val="003B583E"/>
    <w:rsid w:val="003B6240"/>
    <w:rsid w:val="003B6925"/>
    <w:rsid w:val="003B694F"/>
    <w:rsid w:val="003C0D9A"/>
    <w:rsid w:val="003C4329"/>
    <w:rsid w:val="003C5134"/>
    <w:rsid w:val="003C5384"/>
    <w:rsid w:val="003C6D2A"/>
    <w:rsid w:val="003C6DFA"/>
    <w:rsid w:val="003D0267"/>
    <w:rsid w:val="003D0E31"/>
    <w:rsid w:val="003D1FF1"/>
    <w:rsid w:val="003D2C61"/>
    <w:rsid w:val="003D2F98"/>
    <w:rsid w:val="003D4925"/>
    <w:rsid w:val="003D4D70"/>
    <w:rsid w:val="003D6697"/>
    <w:rsid w:val="003D6BC4"/>
    <w:rsid w:val="003D788D"/>
    <w:rsid w:val="003D7A24"/>
    <w:rsid w:val="003D7E17"/>
    <w:rsid w:val="003E0F96"/>
    <w:rsid w:val="003E10C0"/>
    <w:rsid w:val="003E2B64"/>
    <w:rsid w:val="003E2E75"/>
    <w:rsid w:val="003E3D87"/>
    <w:rsid w:val="003E3DA0"/>
    <w:rsid w:val="003E431E"/>
    <w:rsid w:val="003E613F"/>
    <w:rsid w:val="003E7333"/>
    <w:rsid w:val="003E7881"/>
    <w:rsid w:val="003E7D5B"/>
    <w:rsid w:val="003F171C"/>
    <w:rsid w:val="003F1DA9"/>
    <w:rsid w:val="003F2C11"/>
    <w:rsid w:val="003F7EC7"/>
    <w:rsid w:val="00401142"/>
    <w:rsid w:val="00404662"/>
    <w:rsid w:val="004070CC"/>
    <w:rsid w:val="00407B5B"/>
    <w:rsid w:val="00411325"/>
    <w:rsid w:val="00411EED"/>
    <w:rsid w:val="00412FC5"/>
    <w:rsid w:val="00413473"/>
    <w:rsid w:val="0041364A"/>
    <w:rsid w:val="00413E0D"/>
    <w:rsid w:val="0041491E"/>
    <w:rsid w:val="00414CBF"/>
    <w:rsid w:val="00421616"/>
    <w:rsid w:val="00422276"/>
    <w:rsid w:val="00423A49"/>
    <w:rsid w:val="004242F1"/>
    <w:rsid w:val="00426BC5"/>
    <w:rsid w:val="00427AA0"/>
    <w:rsid w:val="0043040E"/>
    <w:rsid w:val="004309EE"/>
    <w:rsid w:val="00430FC6"/>
    <w:rsid w:val="00431CC4"/>
    <w:rsid w:val="004337CD"/>
    <w:rsid w:val="004345BD"/>
    <w:rsid w:val="00434934"/>
    <w:rsid w:val="004357CF"/>
    <w:rsid w:val="00436390"/>
    <w:rsid w:val="00436575"/>
    <w:rsid w:val="004371FA"/>
    <w:rsid w:val="00437E6D"/>
    <w:rsid w:val="00440A18"/>
    <w:rsid w:val="00441EE2"/>
    <w:rsid w:val="00443DFA"/>
    <w:rsid w:val="00444002"/>
    <w:rsid w:val="004442D2"/>
    <w:rsid w:val="00445A00"/>
    <w:rsid w:val="00445DBE"/>
    <w:rsid w:val="00446AD1"/>
    <w:rsid w:val="00447DAF"/>
    <w:rsid w:val="00450914"/>
    <w:rsid w:val="00450D9F"/>
    <w:rsid w:val="00451B0F"/>
    <w:rsid w:val="00452FA5"/>
    <w:rsid w:val="004537A7"/>
    <w:rsid w:val="0045436B"/>
    <w:rsid w:val="00455E80"/>
    <w:rsid w:val="004564EC"/>
    <w:rsid w:val="004575A5"/>
    <w:rsid w:val="00457F94"/>
    <w:rsid w:val="004623B1"/>
    <w:rsid w:val="0046264C"/>
    <w:rsid w:val="00462BA2"/>
    <w:rsid w:val="004630D9"/>
    <w:rsid w:val="00464E3B"/>
    <w:rsid w:val="004658C7"/>
    <w:rsid w:val="00465A15"/>
    <w:rsid w:val="004668EE"/>
    <w:rsid w:val="00467570"/>
    <w:rsid w:val="00467D70"/>
    <w:rsid w:val="0047124F"/>
    <w:rsid w:val="0047259F"/>
    <w:rsid w:val="00473409"/>
    <w:rsid w:val="00474438"/>
    <w:rsid w:val="00481B11"/>
    <w:rsid w:val="00483A9E"/>
    <w:rsid w:val="00483AA2"/>
    <w:rsid w:val="004859BA"/>
    <w:rsid w:val="004865D5"/>
    <w:rsid w:val="00490BCB"/>
    <w:rsid w:val="004911AA"/>
    <w:rsid w:val="004916C7"/>
    <w:rsid w:val="00492257"/>
    <w:rsid w:val="004924F0"/>
    <w:rsid w:val="004926DC"/>
    <w:rsid w:val="004930EF"/>
    <w:rsid w:val="004A05AE"/>
    <w:rsid w:val="004A1B9B"/>
    <w:rsid w:val="004A27D0"/>
    <w:rsid w:val="004A3CC2"/>
    <w:rsid w:val="004A60C5"/>
    <w:rsid w:val="004A6344"/>
    <w:rsid w:val="004A64A3"/>
    <w:rsid w:val="004A75B0"/>
    <w:rsid w:val="004B0C2B"/>
    <w:rsid w:val="004B0CE8"/>
    <w:rsid w:val="004B139D"/>
    <w:rsid w:val="004B2AD7"/>
    <w:rsid w:val="004B45F8"/>
    <w:rsid w:val="004B5432"/>
    <w:rsid w:val="004B5F7F"/>
    <w:rsid w:val="004B6A9F"/>
    <w:rsid w:val="004B6F4A"/>
    <w:rsid w:val="004C2EE3"/>
    <w:rsid w:val="004C3180"/>
    <w:rsid w:val="004C4572"/>
    <w:rsid w:val="004C4E48"/>
    <w:rsid w:val="004C6115"/>
    <w:rsid w:val="004C641A"/>
    <w:rsid w:val="004C646E"/>
    <w:rsid w:val="004C6F89"/>
    <w:rsid w:val="004C73CE"/>
    <w:rsid w:val="004D158D"/>
    <w:rsid w:val="004D1B60"/>
    <w:rsid w:val="004D23D8"/>
    <w:rsid w:val="004D24B5"/>
    <w:rsid w:val="004D3E76"/>
    <w:rsid w:val="004D41CA"/>
    <w:rsid w:val="004D458E"/>
    <w:rsid w:val="004D4B8B"/>
    <w:rsid w:val="004D611E"/>
    <w:rsid w:val="004D6AD1"/>
    <w:rsid w:val="004D6FC7"/>
    <w:rsid w:val="004D736F"/>
    <w:rsid w:val="004E15A0"/>
    <w:rsid w:val="004E323A"/>
    <w:rsid w:val="004E4961"/>
    <w:rsid w:val="004E4A22"/>
    <w:rsid w:val="004E5A8F"/>
    <w:rsid w:val="004E61AB"/>
    <w:rsid w:val="004E745F"/>
    <w:rsid w:val="004F06D9"/>
    <w:rsid w:val="004F13FC"/>
    <w:rsid w:val="004F37B3"/>
    <w:rsid w:val="004F4675"/>
    <w:rsid w:val="004F61DD"/>
    <w:rsid w:val="004F65FA"/>
    <w:rsid w:val="004F7FAF"/>
    <w:rsid w:val="00500119"/>
    <w:rsid w:val="00500D62"/>
    <w:rsid w:val="00503655"/>
    <w:rsid w:val="00505B85"/>
    <w:rsid w:val="0050678E"/>
    <w:rsid w:val="00506981"/>
    <w:rsid w:val="005104B7"/>
    <w:rsid w:val="00511968"/>
    <w:rsid w:val="00512A34"/>
    <w:rsid w:val="005131F4"/>
    <w:rsid w:val="005132BC"/>
    <w:rsid w:val="00513EDB"/>
    <w:rsid w:val="00515603"/>
    <w:rsid w:val="00516F99"/>
    <w:rsid w:val="0052025D"/>
    <w:rsid w:val="0052032A"/>
    <w:rsid w:val="00525CB9"/>
    <w:rsid w:val="0053083C"/>
    <w:rsid w:val="005309FD"/>
    <w:rsid w:val="005311AC"/>
    <w:rsid w:val="005326AD"/>
    <w:rsid w:val="00533C38"/>
    <w:rsid w:val="00533CB3"/>
    <w:rsid w:val="0053433E"/>
    <w:rsid w:val="00535873"/>
    <w:rsid w:val="00540A52"/>
    <w:rsid w:val="005410D5"/>
    <w:rsid w:val="0054136E"/>
    <w:rsid w:val="00542DFA"/>
    <w:rsid w:val="00543D39"/>
    <w:rsid w:val="00543FB5"/>
    <w:rsid w:val="00544B38"/>
    <w:rsid w:val="005451DA"/>
    <w:rsid w:val="00545D60"/>
    <w:rsid w:val="00545F8E"/>
    <w:rsid w:val="00547AE1"/>
    <w:rsid w:val="00550BB2"/>
    <w:rsid w:val="00553AF2"/>
    <w:rsid w:val="00554460"/>
    <w:rsid w:val="0055573C"/>
    <w:rsid w:val="0055614C"/>
    <w:rsid w:val="005568DE"/>
    <w:rsid w:val="00556C22"/>
    <w:rsid w:val="00557576"/>
    <w:rsid w:val="005617B7"/>
    <w:rsid w:val="00562595"/>
    <w:rsid w:val="00562CC7"/>
    <w:rsid w:val="00563297"/>
    <w:rsid w:val="005641BF"/>
    <w:rsid w:val="00564AA0"/>
    <w:rsid w:val="00565842"/>
    <w:rsid w:val="00566C0F"/>
    <w:rsid w:val="00566C52"/>
    <w:rsid w:val="0056709D"/>
    <w:rsid w:val="00567881"/>
    <w:rsid w:val="00570A88"/>
    <w:rsid w:val="0057179D"/>
    <w:rsid w:val="00573AA1"/>
    <w:rsid w:val="005748DD"/>
    <w:rsid w:val="00576A7D"/>
    <w:rsid w:val="005804BD"/>
    <w:rsid w:val="00580DBC"/>
    <w:rsid w:val="00582FBA"/>
    <w:rsid w:val="00584E8F"/>
    <w:rsid w:val="0058501F"/>
    <w:rsid w:val="00585A12"/>
    <w:rsid w:val="005872E3"/>
    <w:rsid w:val="005873CC"/>
    <w:rsid w:val="005901B7"/>
    <w:rsid w:val="00590CBF"/>
    <w:rsid w:val="0059139C"/>
    <w:rsid w:val="0059519E"/>
    <w:rsid w:val="00596A6C"/>
    <w:rsid w:val="005978B6"/>
    <w:rsid w:val="005A03E4"/>
    <w:rsid w:val="005A24C2"/>
    <w:rsid w:val="005A3D4A"/>
    <w:rsid w:val="005A409C"/>
    <w:rsid w:val="005A5F26"/>
    <w:rsid w:val="005A6B10"/>
    <w:rsid w:val="005B28B1"/>
    <w:rsid w:val="005B4E3A"/>
    <w:rsid w:val="005B6508"/>
    <w:rsid w:val="005B6958"/>
    <w:rsid w:val="005B6AED"/>
    <w:rsid w:val="005B6BCC"/>
    <w:rsid w:val="005B7513"/>
    <w:rsid w:val="005C0225"/>
    <w:rsid w:val="005C0D08"/>
    <w:rsid w:val="005C13D6"/>
    <w:rsid w:val="005C17FD"/>
    <w:rsid w:val="005C1A3E"/>
    <w:rsid w:val="005C1CE8"/>
    <w:rsid w:val="005C2F78"/>
    <w:rsid w:val="005C57AE"/>
    <w:rsid w:val="005C6490"/>
    <w:rsid w:val="005C66D8"/>
    <w:rsid w:val="005D04EE"/>
    <w:rsid w:val="005D0B73"/>
    <w:rsid w:val="005D4BD1"/>
    <w:rsid w:val="005D54A5"/>
    <w:rsid w:val="005D66B1"/>
    <w:rsid w:val="005D7A0B"/>
    <w:rsid w:val="005E0715"/>
    <w:rsid w:val="005E11EA"/>
    <w:rsid w:val="005E14C2"/>
    <w:rsid w:val="005E36D2"/>
    <w:rsid w:val="005E3A08"/>
    <w:rsid w:val="005E3EA9"/>
    <w:rsid w:val="005E4A5E"/>
    <w:rsid w:val="005E4F2C"/>
    <w:rsid w:val="005E5271"/>
    <w:rsid w:val="005E5565"/>
    <w:rsid w:val="005E577F"/>
    <w:rsid w:val="005E5B65"/>
    <w:rsid w:val="005E628E"/>
    <w:rsid w:val="005F076B"/>
    <w:rsid w:val="005F076E"/>
    <w:rsid w:val="005F185D"/>
    <w:rsid w:val="005F21EE"/>
    <w:rsid w:val="005F24AE"/>
    <w:rsid w:val="005F3289"/>
    <w:rsid w:val="005F3F7C"/>
    <w:rsid w:val="005F60CC"/>
    <w:rsid w:val="005F7729"/>
    <w:rsid w:val="006008AA"/>
    <w:rsid w:val="00600EE7"/>
    <w:rsid w:val="00603341"/>
    <w:rsid w:val="006033AB"/>
    <w:rsid w:val="00603D4A"/>
    <w:rsid w:val="00603F16"/>
    <w:rsid w:val="00605890"/>
    <w:rsid w:val="00605EA6"/>
    <w:rsid w:val="006067AF"/>
    <w:rsid w:val="00606ACD"/>
    <w:rsid w:val="00607BA5"/>
    <w:rsid w:val="0061108C"/>
    <w:rsid w:val="006111B7"/>
    <w:rsid w:val="0061180A"/>
    <w:rsid w:val="006134F6"/>
    <w:rsid w:val="00614828"/>
    <w:rsid w:val="00615DCD"/>
    <w:rsid w:val="006166CA"/>
    <w:rsid w:val="00616D86"/>
    <w:rsid w:val="00617A26"/>
    <w:rsid w:val="00617DAD"/>
    <w:rsid w:val="00620782"/>
    <w:rsid w:val="00620BB1"/>
    <w:rsid w:val="00620C03"/>
    <w:rsid w:val="00621454"/>
    <w:rsid w:val="0062163D"/>
    <w:rsid w:val="00625809"/>
    <w:rsid w:val="006258DE"/>
    <w:rsid w:val="00626760"/>
    <w:rsid w:val="00626999"/>
    <w:rsid w:val="00626EB6"/>
    <w:rsid w:val="0062741F"/>
    <w:rsid w:val="006312EE"/>
    <w:rsid w:val="006328B9"/>
    <w:rsid w:val="00635C8D"/>
    <w:rsid w:val="00636C92"/>
    <w:rsid w:val="00636D38"/>
    <w:rsid w:val="00637982"/>
    <w:rsid w:val="006402D5"/>
    <w:rsid w:val="00641B7C"/>
    <w:rsid w:val="0064235A"/>
    <w:rsid w:val="0064250C"/>
    <w:rsid w:val="006451EC"/>
    <w:rsid w:val="00645302"/>
    <w:rsid w:val="00645A3F"/>
    <w:rsid w:val="00646069"/>
    <w:rsid w:val="00646285"/>
    <w:rsid w:val="00646E55"/>
    <w:rsid w:val="006505A9"/>
    <w:rsid w:val="00650AEB"/>
    <w:rsid w:val="00650D1C"/>
    <w:rsid w:val="006526CB"/>
    <w:rsid w:val="00653328"/>
    <w:rsid w:val="00653C8A"/>
    <w:rsid w:val="006540ED"/>
    <w:rsid w:val="00654762"/>
    <w:rsid w:val="00655070"/>
    <w:rsid w:val="00655D03"/>
    <w:rsid w:val="00657DB9"/>
    <w:rsid w:val="00657F34"/>
    <w:rsid w:val="00661CA1"/>
    <w:rsid w:val="006622CC"/>
    <w:rsid w:val="00662D52"/>
    <w:rsid w:val="00662E54"/>
    <w:rsid w:val="00663410"/>
    <w:rsid w:val="00663901"/>
    <w:rsid w:val="00664F69"/>
    <w:rsid w:val="0066549D"/>
    <w:rsid w:val="006669AE"/>
    <w:rsid w:val="006675B8"/>
    <w:rsid w:val="00667A38"/>
    <w:rsid w:val="006704B8"/>
    <w:rsid w:val="0067323D"/>
    <w:rsid w:val="006765AF"/>
    <w:rsid w:val="00676EE4"/>
    <w:rsid w:val="00677616"/>
    <w:rsid w:val="006811DD"/>
    <w:rsid w:val="00683198"/>
    <w:rsid w:val="00683388"/>
    <w:rsid w:val="00683E37"/>
    <w:rsid w:val="00683F84"/>
    <w:rsid w:val="006859C9"/>
    <w:rsid w:val="00691F4F"/>
    <w:rsid w:val="0069338C"/>
    <w:rsid w:val="0069444E"/>
    <w:rsid w:val="006947F3"/>
    <w:rsid w:val="00696FDC"/>
    <w:rsid w:val="006A16FB"/>
    <w:rsid w:val="006A2C2B"/>
    <w:rsid w:val="006A3030"/>
    <w:rsid w:val="006A37E2"/>
    <w:rsid w:val="006A4973"/>
    <w:rsid w:val="006A4BCB"/>
    <w:rsid w:val="006A4E68"/>
    <w:rsid w:val="006A5284"/>
    <w:rsid w:val="006A5709"/>
    <w:rsid w:val="006A57DF"/>
    <w:rsid w:val="006A6A81"/>
    <w:rsid w:val="006A7E53"/>
    <w:rsid w:val="006B2232"/>
    <w:rsid w:val="006B31FC"/>
    <w:rsid w:val="006B3694"/>
    <w:rsid w:val="006B375F"/>
    <w:rsid w:val="006B3D3E"/>
    <w:rsid w:val="006B414B"/>
    <w:rsid w:val="006B4B9C"/>
    <w:rsid w:val="006B6637"/>
    <w:rsid w:val="006B79D2"/>
    <w:rsid w:val="006B7A1B"/>
    <w:rsid w:val="006B7AC1"/>
    <w:rsid w:val="006B7C5B"/>
    <w:rsid w:val="006C021A"/>
    <w:rsid w:val="006C099C"/>
    <w:rsid w:val="006C0C09"/>
    <w:rsid w:val="006C22F0"/>
    <w:rsid w:val="006C2AF8"/>
    <w:rsid w:val="006C2F58"/>
    <w:rsid w:val="006C48F6"/>
    <w:rsid w:val="006D2F83"/>
    <w:rsid w:val="006D3C54"/>
    <w:rsid w:val="006D63B6"/>
    <w:rsid w:val="006D71E0"/>
    <w:rsid w:val="006E1194"/>
    <w:rsid w:val="006E1551"/>
    <w:rsid w:val="006E25E8"/>
    <w:rsid w:val="006E2AA0"/>
    <w:rsid w:val="006E2C72"/>
    <w:rsid w:val="006E3604"/>
    <w:rsid w:val="006E3B63"/>
    <w:rsid w:val="006E477E"/>
    <w:rsid w:val="006E49FF"/>
    <w:rsid w:val="006E542A"/>
    <w:rsid w:val="006E5BC3"/>
    <w:rsid w:val="006E696B"/>
    <w:rsid w:val="006E7664"/>
    <w:rsid w:val="006F0F6C"/>
    <w:rsid w:val="006F3EA9"/>
    <w:rsid w:val="006F48B3"/>
    <w:rsid w:val="006F4AD3"/>
    <w:rsid w:val="006F4CC9"/>
    <w:rsid w:val="006F5A1C"/>
    <w:rsid w:val="006F6181"/>
    <w:rsid w:val="006F665C"/>
    <w:rsid w:val="006F673E"/>
    <w:rsid w:val="006F7393"/>
    <w:rsid w:val="006F791D"/>
    <w:rsid w:val="007005CC"/>
    <w:rsid w:val="00700A9B"/>
    <w:rsid w:val="00701CCD"/>
    <w:rsid w:val="00702003"/>
    <w:rsid w:val="0070224F"/>
    <w:rsid w:val="0070250B"/>
    <w:rsid w:val="00704176"/>
    <w:rsid w:val="0070420E"/>
    <w:rsid w:val="00704BAA"/>
    <w:rsid w:val="00704F51"/>
    <w:rsid w:val="007053A3"/>
    <w:rsid w:val="00705B64"/>
    <w:rsid w:val="00706015"/>
    <w:rsid w:val="00706560"/>
    <w:rsid w:val="0070665B"/>
    <w:rsid w:val="007103F9"/>
    <w:rsid w:val="007115F7"/>
    <w:rsid w:val="00711DE9"/>
    <w:rsid w:val="007136B3"/>
    <w:rsid w:val="00713BAC"/>
    <w:rsid w:val="00714D26"/>
    <w:rsid w:val="00715571"/>
    <w:rsid w:val="00715C2B"/>
    <w:rsid w:val="007160E9"/>
    <w:rsid w:val="00716282"/>
    <w:rsid w:val="0071681C"/>
    <w:rsid w:val="007168C5"/>
    <w:rsid w:val="00720B2A"/>
    <w:rsid w:val="007223B9"/>
    <w:rsid w:val="00722D9D"/>
    <w:rsid w:val="00724906"/>
    <w:rsid w:val="00725566"/>
    <w:rsid w:val="00725FF0"/>
    <w:rsid w:val="00731487"/>
    <w:rsid w:val="007314EC"/>
    <w:rsid w:val="00732728"/>
    <w:rsid w:val="007329CC"/>
    <w:rsid w:val="00733844"/>
    <w:rsid w:val="00733B16"/>
    <w:rsid w:val="007431C6"/>
    <w:rsid w:val="007469B0"/>
    <w:rsid w:val="0075093A"/>
    <w:rsid w:val="00751419"/>
    <w:rsid w:val="00752C33"/>
    <w:rsid w:val="007534FC"/>
    <w:rsid w:val="00753803"/>
    <w:rsid w:val="00753874"/>
    <w:rsid w:val="00754E7F"/>
    <w:rsid w:val="007575D3"/>
    <w:rsid w:val="00761609"/>
    <w:rsid w:val="0076277A"/>
    <w:rsid w:val="007637DC"/>
    <w:rsid w:val="00763E49"/>
    <w:rsid w:val="0076441D"/>
    <w:rsid w:val="007656B5"/>
    <w:rsid w:val="00766645"/>
    <w:rsid w:val="00767221"/>
    <w:rsid w:val="007674BD"/>
    <w:rsid w:val="00767EE7"/>
    <w:rsid w:val="0077110F"/>
    <w:rsid w:val="007769B6"/>
    <w:rsid w:val="00777F89"/>
    <w:rsid w:val="007810F6"/>
    <w:rsid w:val="00782A92"/>
    <w:rsid w:val="00782F15"/>
    <w:rsid w:val="00784FB6"/>
    <w:rsid w:val="00785689"/>
    <w:rsid w:val="00786BE4"/>
    <w:rsid w:val="00790EBA"/>
    <w:rsid w:val="007924CD"/>
    <w:rsid w:val="00792A0D"/>
    <w:rsid w:val="0079312B"/>
    <w:rsid w:val="00793B7E"/>
    <w:rsid w:val="00793E3B"/>
    <w:rsid w:val="00795892"/>
    <w:rsid w:val="00795CC6"/>
    <w:rsid w:val="00796A32"/>
    <w:rsid w:val="0079754B"/>
    <w:rsid w:val="00797DE1"/>
    <w:rsid w:val="007A1E6D"/>
    <w:rsid w:val="007A27FE"/>
    <w:rsid w:val="007A3898"/>
    <w:rsid w:val="007A4D21"/>
    <w:rsid w:val="007A5135"/>
    <w:rsid w:val="007A669E"/>
    <w:rsid w:val="007A7977"/>
    <w:rsid w:val="007B0EB2"/>
    <w:rsid w:val="007B1571"/>
    <w:rsid w:val="007B1717"/>
    <w:rsid w:val="007B3FB4"/>
    <w:rsid w:val="007B44F9"/>
    <w:rsid w:val="007B4D08"/>
    <w:rsid w:val="007B6120"/>
    <w:rsid w:val="007C0DB7"/>
    <w:rsid w:val="007C2131"/>
    <w:rsid w:val="007C2A03"/>
    <w:rsid w:val="007C3CA7"/>
    <w:rsid w:val="007C3DE8"/>
    <w:rsid w:val="007C40D7"/>
    <w:rsid w:val="007C7601"/>
    <w:rsid w:val="007D4239"/>
    <w:rsid w:val="007D5520"/>
    <w:rsid w:val="007D66E0"/>
    <w:rsid w:val="007E02FF"/>
    <w:rsid w:val="007E068B"/>
    <w:rsid w:val="007E0BB8"/>
    <w:rsid w:val="007E142E"/>
    <w:rsid w:val="007E19BF"/>
    <w:rsid w:val="007E1EAE"/>
    <w:rsid w:val="007E48CF"/>
    <w:rsid w:val="007E5388"/>
    <w:rsid w:val="007E615F"/>
    <w:rsid w:val="007E6773"/>
    <w:rsid w:val="007E6CCF"/>
    <w:rsid w:val="007E7CD6"/>
    <w:rsid w:val="007F1AA4"/>
    <w:rsid w:val="007F1C1C"/>
    <w:rsid w:val="007F20EF"/>
    <w:rsid w:val="007F2107"/>
    <w:rsid w:val="007F2A66"/>
    <w:rsid w:val="007F2A77"/>
    <w:rsid w:val="007F2CD5"/>
    <w:rsid w:val="007F3184"/>
    <w:rsid w:val="007F379D"/>
    <w:rsid w:val="007F4E27"/>
    <w:rsid w:val="007F5258"/>
    <w:rsid w:val="007F66AA"/>
    <w:rsid w:val="007F66D8"/>
    <w:rsid w:val="007F7673"/>
    <w:rsid w:val="00804536"/>
    <w:rsid w:val="00805506"/>
    <w:rsid w:val="00806110"/>
    <w:rsid w:val="00806950"/>
    <w:rsid w:val="00806DDB"/>
    <w:rsid w:val="008078C3"/>
    <w:rsid w:val="00810B6F"/>
    <w:rsid w:val="00811B87"/>
    <w:rsid w:val="00811EB7"/>
    <w:rsid w:val="008159F0"/>
    <w:rsid w:val="00815A6F"/>
    <w:rsid w:val="00817B94"/>
    <w:rsid w:val="00820289"/>
    <w:rsid w:val="008217E1"/>
    <w:rsid w:val="008225AA"/>
    <w:rsid w:val="00822CE0"/>
    <w:rsid w:val="00823C23"/>
    <w:rsid w:val="00823C79"/>
    <w:rsid w:val="0083360C"/>
    <w:rsid w:val="00834C5A"/>
    <w:rsid w:val="00835C30"/>
    <w:rsid w:val="00835F20"/>
    <w:rsid w:val="00841AB1"/>
    <w:rsid w:val="0084228D"/>
    <w:rsid w:val="00842AF9"/>
    <w:rsid w:val="00843DB5"/>
    <w:rsid w:val="008448A4"/>
    <w:rsid w:val="00846008"/>
    <w:rsid w:val="00846F82"/>
    <w:rsid w:val="00850661"/>
    <w:rsid w:val="00852E7A"/>
    <w:rsid w:val="0085305E"/>
    <w:rsid w:val="0085640A"/>
    <w:rsid w:val="008574D9"/>
    <w:rsid w:val="0085796B"/>
    <w:rsid w:val="00860733"/>
    <w:rsid w:val="0086092F"/>
    <w:rsid w:val="00860BB0"/>
    <w:rsid w:val="008614D1"/>
    <w:rsid w:val="0086521B"/>
    <w:rsid w:val="00866035"/>
    <w:rsid w:val="00872099"/>
    <w:rsid w:val="00872393"/>
    <w:rsid w:val="00872AA7"/>
    <w:rsid w:val="008740B4"/>
    <w:rsid w:val="00874182"/>
    <w:rsid w:val="00874C88"/>
    <w:rsid w:val="008765D4"/>
    <w:rsid w:val="00877305"/>
    <w:rsid w:val="00877AD1"/>
    <w:rsid w:val="008814A6"/>
    <w:rsid w:val="0088199B"/>
    <w:rsid w:val="00884398"/>
    <w:rsid w:val="00884593"/>
    <w:rsid w:val="0088598E"/>
    <w:rsid w:val="00887FD3"/>
    <w:rsid w:val="00891816"/>
    <w:rsid w:val="00893959"/>
    <w:rsid w:val="0089583F"/>
    <w:rsid w:val="0089592A"/>
    <w:rsid w:val="008969F0"/>
    <w:rsid w:val="008969FB"/>
    <w:rsid w:val="008A0DB7"/>
    <w:rsid w:val="008A0FB5"/>
    <w:rsid w:val="008A2243"/>
    <w:rsid w:val="008A52DD"/>
    <w:rsid w:val="008A59F1"/>
    <w:rsid w:val="008A6CF5"/>
    <w:rsid w:val="008A6DC9"/>
    <w:rsid w:val="008A72CD"/>
    <w:rsid w:val="008A7968"/>
    <w:rsid w:val="008B1B4D"/>
    <w:rsid w:val="008B1D0B"/>
    <w:rsid w:val="008B261B"/>
    <w:rsid w:val="008B32DF"/>
    <w:rsid w:val="008B38D6"/>
    <w:rsid w:val="008B404B"/>
    <w:rsid w:val="008B50AF"/>
    <w:rsid w:val="008B61A5"/>
    <w:rsid w:val="008B7E51"/>
    <w:rsid w:val="008C2379"/>
    <w:rsid w:val="008C2AF1"/>
    <w:rsid w:val="008C3359"/>
    <w:rsid w:val="008C36A4"/>
    <w:rsid w:val="008C3A04"/>
    <w:rsid w:val="008C3AE0"/>
    <w:rsid w:val="008C3F51"/>
    <w:rsid w:val="008C4B6F"/>
    <w:rsid w:val="008C5BD0"/>
    <w:rsid w:val="008C68F1"/>
    <w:rsid w:val="008C74C0"/>
    <w:rsid w:val="008C79BC"/>
    <w:rsid w:val="008D0E3B"/>
    <w:rsid w:val="008D1F8B"/>
    <w:rsid w:val="008D25CD"/>
    <w:rsid w:val="008D2A5D"/>
    <w:rsid w:val="008D44F3"/>
    <w:rsid w:val="008D4B73"/>
    <w:rsid w:val="008D4FFF"/>
    <w:rsid w:val="008D54A9"/>
    <w:rsid w:val="008D5658"/>
    <w:rsid w:val="008D5B1F"/>
    <w:rsid w:val="008D6EEC"/>
    <w:rsid w:val="008D77BC"/>
    <w:rsid w:val="008D7DFA"/>
    <w:rsid w:val="008E02FD"/>
    <w:rsid w:val="008E0CA2"/>
    <w:rsid w:val="008E16D6"/>
    <w:rsid w:val="008E214D"/>
    <w:rsid w:val="008E2E8F"/>
    <w:rsid w:val="008E3B6A"/>
    <w:rsid w:val="008E3DD7"/>
    <w:rsid w:val="008E4239"/>
    <w:rsid w:val="008E5226"/>
    <w:rsid w:val="008F1ED9"/>
    <w:rsid w:val="008F2D97"/>
    <w:rsid w:val="008F3ACC"/>
    <w:rsid w:val="008F433F"/>
    <w:rsid w:val="008F4722"/>
    <w:rsid w:val="008F5544"/>
    <w:rsid w:val="008F6D51"/>
    <w:rsid w:val="008F7913"/>
    <w:rsid w:val="0090029B"/>
    <w:rsid w:val="009003AC"/>
    <w:rsid w:val="00900E33"/>
    <w:rsid w:val="0090283D"/>
    <w:rsid w:val="00903830"/>
    <w:rsid w:val="009048B9"/>
    <w:rsid w:val="00911995"/>
    <w:rsid w:val="00912B6B"/>
    <w:rsid w:val="00913461"/>
    <w:rsid w:val="009134C0"/>
    <w:rsid w:val="00914303"/>
    <w:rsid w:val="009163D8"/>
    <w:rsid w:val="00917768"/>
    <w:rsid w:val="009207EE"/>
    <w:rsid w:val="00921803"/>
    <w:rsid w:val="009225B9"/>
    <w:rsid w:val="00922936"/>
    <w:rsid w:val="00923473"/>
    <w:rsid w:val="00924C27"/>
    <w:rsid w:val="009255A5"/>
    <w:rsid w:val="0092568A"/>
    <w:rsid w:val="009259B2"/>
    <w:rsid w:val="00926503"/>
    <w:rsid w:val="00926B9D"/>
    <w:rsid w:val="009270E9"/>
    <w:rsid w:val="009276F8"/>
    <w:rsid w:val="00931930"/>
    <w:rsid w:val="00931F00"/>
    <w:rsid w:val="00932F29"/>
    <w:rsid w:val="00933A74"/>
    <w:rsid w:val="009354D8"/>
    <w:rsid w:val="0093597B"/>
    <w:rsid w:val="009373E2"/>
    <w:rsid w:val="00937494"/>
    <w:rsid w:val="00937C62"/>
    <w:rsid w:val="00941308"/>
    <w:rsid w:val="00943043"/>
    <w:rsid w:val="009448EC"/>
    <w:rsid w:val="0094643C"/>
    <w:rsid w:val="009466A1"/>
    <w:rsid w:val="0095087A"/>
    <w:rsid w:val="00953333"/>
    <w:rsid w:val="009543BD"/>
    <w:rsid w:val="00957218"/>
    <w:rsid w:val="00961A65"/>
    <w:rsid w:val="00964797"/>
    <w:rsid w:val="00965848"/>
    <w:rsid w:val="0096750E"/>
    <w:rsid w:val="00967636"/>
    <w:rsid w:val="009676AF"/>
    <w:rsid w:val="0097071A"/>
    <w:rsid w:val="00970B85"/>
    <w:rsid w:val="009726D8"/>
    <w:rsid w:val="0097314D"/>
    <w:rsid w:val="00973561"/>
    <w:rsid w:val="00973940"/>
    <w:rsid w:val="009739DF"/>
    <w:rsid w:val="00973E44"/>
    <w:rsid w:val="00975B93"/>
    <w:rsid w:val="00976F14"/>
    <w:rsid w:val="00977204"/>
    <w:rsid w:val="00982673"/>
    <w:rsid w:val="0098308C"/>
    <w:rsid w:val="009836E6"/>
    <w:rsid w:val="009845CE"/>
    <w:rsid w:val="00986744"/>
    <w:rsid w:val="009870B4"/>
    <w:rsid w:val="00987297"/>
    <w:rsid w:val="00991756"/>
    <w:rsid w:val="009924D2"/>
    <w:rsid w:val="0099266F"/>
    <w:rsid w:val="0099338E"/>
    <w:rsid w:val="00997603"/>
    <w:rsid w:val="009979B1"/>
    <w:rsid w:val="00997ED9"/>
    <w:rsid w:val="009A058E"/>
    <w:rsid w:val="009A104A"/>
    <w:rsid w:val="009A111E"/>
    <w:rsid w:val="009A2646"/>
    <w:rsid w:val="009A5B30"/>
    <w:rsid w:val="009A5FBC"/>
    <w:rsid w:val="009B0E29"/>
    <w:rsid w:val="009B24E3"/>
    <w:rsid w:val="009B2FE4"/>
    <w:rsid w:val="009B4E5A"/>
    <w:rsid w:val="009B53C2"/>
    <w:rsid w:val="009B5F32"/>
    <w:rsid w:val="009C009F"/>
    <w:rsid w:val="009C019E"/>
    <w:rsid w:val="009C3F57"/>
    <w:rsid w:val="009C40B2"/>
    <w:rsid w:val="009C4F99"/>
    <w:rsid w:val="009C6B5D"/>
    <w:rsid w:val="009C7B82"/>
    <w:rsid w:val="009D17E5"/>
    <w:rsid w:val="009D1AFA"/>
    <w:rsid w:val="009D277E"/>
    <w:rsid w:val="009D36C5"/>
    <w:rsid w:val="009D4FAA"/>
    <w:rsid w:val="009D64DA"/>
    <w:rsid w:val="009E0293"/>
    <w:rsid w:val="009E2EAB"/>
    <w:rsid w:val="009E409B"/>
    <w:rsid w:val="009E41F4"/>
    <w:rsid w:val="009E4FB4"/>
    <w:rsid w:val="009E4FED"/>
    <w:rsid w:val="009E5FE6"/>
    <w:rsid w:val="009E67AD"/>
    <w:rsid w:val="009E799D"/>
    <w:rsid w:val="009F1B99"/>
    <w:rsid w:val="009F2834"/>
    <w:rsid w:val="009F32D4"/>
    <w:rsid w:val="009F374E"/>
    <w:rsid w:val="009F40CF"/>
    <w:rsid w:val="009F64D6"/>
    <w:rsid w:val="009F70A0"/>
    <w:rsid w:val="009F76DB"/>
    <w:rsid w:val="00A0029E"/>
    <w:rsid w:val="00A00A10"/>
    <w:rsid w:val="00A04AB6"/>
    <w:rsid w:val="00A066FB"/>
    <w:rsid w:val="00A07CFD"/>
    <w:rsid w:val="00A07D05"/>
    <w:rsid w:val="00A07D90"/>
    <w:rsid w:val="00A118FA"/>
    <w:rsid w:val="00A11A35"/>
    <w:rsid w:val="00A15024"/>
    <w:rsid w:val="00A15B19"/>
    <w:rsid w:val="00A161D1"/>
    <w:rsid w:val="00A16F1E"/>
    <w:rsid w:val="00A16F7E"/>
    <w:rsid w:val="00A171A9"/>
    <w:rsid w:val="00A202AF"/>
    <w:rsid w:val="00A2189B"/>
    <w:rsid w:val="00A21942"/>
    <w:rsid w:val="00A21AA6"/>
    <w:rsid w:val="00A24AF3"/>
    <w:rsid w:val="00A24BF6"/>
    <w:rsid w:val="00A26828"/>
    <w:rsid w:val="00A300BF"/>
    <w:rsid w:val="00A30A4E"/>
    <w:rsid w:val="00A317B5"/>
    <w:rsid w:val="00A31BCF"/>
    <w:rsid w:val="00A32C3B"/>
    <w:rsid w:val="00A33149"/>
    <w:rsid w:val="00A350F0"/>
    <w:rsid w:val="00A351E0"/>
    <w:rsid w:val="00A35EBC"/>
    <w:rsid w:val="00A37449"/>
    <w:rsid w:val="00A37EF3"/>
    <w:rsid w:val="00A429ED"/>
    <w:rsid w:val="00A438B6"/>
    <w:rsid w:val="00A4432D"/>
    <w:rsid w:val="00A44893"/>
    <w:rsid w:val="00A451E3"/>
    <w:rsid w:val="00A45F4F"/>
    <w:rsid w:val="00A5023B"/>
    <w:rsid w:val="00A50B03"/>
    <w:rsid w:val="00A50CE5"/>
    <w:rsid w:val="00A5275A"/>
    <w:rsid w:val="00A52E31"/>
    <w:rsid w:val="00A53BCC"/>
    <w:rsid w:val="00A54AA9"/>
    <w:rsid w:val="00A5515E"/>
    <w:rsid w:val="00A55797"/>
    <w:rsid w:val="00A56210"/>
    <w:rsid w:val="00A566CD"/>
    <w:rsid w:val="00A5760B"/>
    <w:rsid w:val="00A57A4A"/>
    <w:rsid w:val="00A600A9"/>
    <w:rsid w:val="00A60E89"/>
    <w:rsid w:val="00A60F00"/>
    <w:rsid w:val="00A62420"/>
    <w:rsid w:val="00A62A47"/>
    <w:rsid w:val="00A6342E"/>
    <w:rsid w:val="00A63E20"/>
    <w:rsid w:val="00A64A8E"/>
    <w:rsid w:val="00A657D6"/>
    <w:rsid w:val="00A66A01"/>
    <w:rsid w:val="00A672D6"/>
    <w:rsid w:val="00A67678"/>
    <w:rsid w:val="00A70742"/>
    <w:rsid w:val="00A7124B"/>
    <w:rsid w:val="00A712E0"/>
    <w:rsid w:val="00A717B9"/>
    <w:rsid w:val="00A72459"/>
    <w:rsid w:val="00A762FA"/>
    <w:rsid w:val="00A77C29"/>
    <w:rsid w:val="00A80ABA"/>
    <w:rsid w:val="00A81645"/>
    <w:rsid w:val="00A81E3F"/>
    <w:rsid w:val="00A84B03"/>
    <w:rsid w:val="00A8654C"/>
    <w:rsid w:val="00A86C22"/>
    <w:rsid w:val="00A90BB1"/>
    <w:rsid w:val="00A913A1"/>
    <w:rsid w:val="00A9193A"/>
    <w:rsid w:val="00A92328"/>
    <w:rsid w:val="00A94CB7"/>
    <w:rsid w:val="00A95B81"/>
    <w:rsid w:val="00A95F32"/>
    <w:rsid w:val="00A95F43"/>
    <w:rsid w:val="00A95FE8"/>
    <w:rsid w:val="00A96A09"/>
    <w:rsid w:val="00A96DBC"/>
    <w:rsid w:val="00AA2204"/>
    <w:rsid w:val="00AA4745"/>
    <w:rsid w:val="00AA4A5E"/>
    <w:rsid w:val="00AA4AFD"/>
    <w:rsid w:val="00AA55B7"/>
    <w:rsid w:val="00AA58D3"/>
    <w:rsid w:val="00AA5B9E"/>
    <w:rsid w:val="00AA5E15"/>
    <w:rsid w:val="00AB0C87"/>
    <w:rsid w:val="00AB1A51"/>
    <w:rsid w:val="00AB2407"/>
    <w:rsid w:val="00AB3124"/>
    <w:rsid w:val="00AB4314"/>
    <w:rsid w:val="00AB53DF"/>
    <w:rsid w:val="00AB67C0"/>
    <w:rsid w:val="00AC0224"/>
    <w:rsid w:val="00AC122D"/>
    <w:rsid w:val="00AC19CA"/>
    <w:rsid w:val="00AC2C40"/>
    <w:rsid w:val="00AD056E"/>
    <w:rsid w:val="00AD139C"/>
    <w:rsid w:val="00AD1A37"/>
    <w:rsid w:val="00AD2E17"/>
    <w:rsid w:val="00AD3682"/>
    <w:rsid w:val="00AD3C9B"/>
    <w:rsid w:val="00AD4CBA"/>
    <w:rsid w:val="00AD5436"/>
    <w:rsid w:val="00AD61A8"/>
    <w:rsid w:val="00AD700D"/>
    <w:rsid w:val="00AD773D"/>
    <w:rsid w:val="00AE0236"/>
    <w:rsid w:val="00AE1741"/>
    <w:rsid w:val="00AE1D8C"/>
    <w:rsid w:val="00AE236E"/>
    <w:rsid w:val="00AE257D"/>
    <w:rsid w:val="00AE4FF6"/>
    <w:rsid w:val="00AE59AB"/>
    <w:rsid w:val="00AE7785"/>
    <w:rsid w:val="00AF0E0A"/>
    <w:rsid w:val="00AF260B"/>
    <w:rsid w:val="00AF2CE4"/>
    <w:rsid w:val="00AF42D3"/>
    <w:rsid w:val="00AF57C0"/>
    <w:rsid w:val="00AF5D07"/>
    <w:rsid w:val="00AF6660"/>
    <w:rsid w:val="00B00CB1"/>
    <w:rsid w:val="00B035BF"/>
    <w:rsid w:val="00B038CA"/>
    <w:rsid w:val="00B05471"/>
    <w:rsid w:val="00B07E5C"/>
    <w:rsid w:val="00B10C80"/>
    <w:rsid w:val="00B115FF"/>
    <w:rsid w:val="00B11AA8"/>
    <w:rsid w:val="00B124A1"/>
    <w:rsid w:val="00B12658"/>
    <w:rsid w:val="00B1266B"/>
    <w:rsid w:val="00B12C36"/>
    <w:rsid w:val="00B13F89"/>
    <w:rsid w:val="00B151D6"/>
    <w:rsid w:val="00B16695"/>
    <w:rsid w:val="00B16A85"/>
    <w:rsid w:val="00B17E9F"/>
    <w:rsid w:val="00B20E1E"/>
    <w:rsid w:val="00B21571"/>
    <w:rsid w:val="00B22312"/>
    <w:rsid w:val="00B22430"/>
    <w:rsid w:val="00B23CED"/>
    <w:rsid w:val="00B23E6A"/>
    <w:rsid w:val="00B23F9A"/>
    <w:rsid w:val="00B24CA2"/>
    <w:rsid w:val="00B26260"/>
    <w:rsid w:val="00B272EA"/>
    <w:rsid w:val="00B27596"/>
    <w:rsid w:val="00B2770E"/>
    <w:rsid w:val="00B27BC5"/>
    <w:rsid w:val="00B32EFF"/>
    <w:rsid w:val="00B32FBC"/>
    <w:rsid w:val="00B33E98"/>
    <w:rsid w:val="00B34C82"/>
    <w:rsid w:val="00B34E1E"/>
    <w:rsid w:val="00B35E7B"/>
    <w:rsid w:val="00B37C28"/>
    <w:rsid w:val="00B419C7"/>
    <w:rsid w:val="00B4517D"/>
    <w:rsid w:val="00B45A8D"/>
    <w:rsid w:val="00B470B2"/>
    <w:rsid w:val="00B47E2A"/>
    <w:rsid w:val="00B51132"/>
    <w:rsid w:val="00B539D9"/>
    <w:rsid w:val="00B53F73"/>
    <w:rsid w:val="00B54B01"/>
    <w:rsid w:val="00B5541D"/>
    <w:rsid w:val="00B55DB4"/>
    <w:rsid w:val="00B56601"/>
    <w:rsid w:val="00B56A9D"/>
    <w:rsid w:val="00B6010C"/>
    <w:rsid w:val="00B60346"/>
    <w:rsid w:val="00B603E1"/>
    <w:rsid w:val="00B607CD"/>
    <w:rsid w:val="00B6247A"/>
    <w:rsid w:val="00B6479B"/>
    <w:rsid w:val="00B64B03"/>
    <w:rsid w:val="00B673C8"/>
    <w:rsid w:val="00B67A6E"/>
    <w:rsid w:val="00B77880"/>
    <w:rsid w:val="00B800E1"/>
    <w:rsid w:val="00B811F7"/>
    <w:rsid w:val="00B818E8"/>
    <w:rsid w:val="00B81A66"/>
    <w:rsid w:val="00B81EB7"/>
    <w:rsid w:val="00B83969"/>
    <w:rsid w:val="00B8431C"/>
    <w:rsid w:val="00B84349"/>
    <w:rsid w:val="00B85420"/>
    <w:rsid w:val="00B8607F"/>
    <w:rsid w:val="00B86BEC"/>
    <w:rsid w:val="00B86D8F"/>
    <w:rsid w:val="00B901F3"/>
    <w:rsid w:val="00B914B3"/>
    <w:rsid w:val="00B91D6D"/>
    <w:rsid w:val="00B927C8"/>
    <w:rsid w:val="00B934CB"/>
    <w:rsid w:val="00B93F42"/>
    <w:rsid w:val="00B94F24"/>
    <w:rsid w:val="00B95365"/>
    <w:rsid w:val="00B97F21"/>
    <w:rsid w:val="00BA148C"/>
    <w:rsid w:val="00BA2C00"/>
    <w:rsid w:val="00BA3C12"/>
    <w:rsid w:val="00BA3CCF"/>
    <w:rsid w:val="00BA3FD8"/>
    <w:rsid w:val="00BA40EE"/>
    <w:rsid w:val="00BA4C14"/>
    <w:rsid w:val="00BA55EF"/>
    <w:rsid w:val="00BA5ABF"/>
    <w:rsid w:val="00BA5B7D"/>
    <w:rsid w:val="00BA5DC6"/>
    <w:rsid w:val="00BA6196"/>
    <w:rsid w:val="00BB141C"/>
    <w:rsid w:val="00BB29F1"/>
    <w:rsid w:val="00BB5FE3"/>
    <w:rsid w:val="00BB6D1F"/>
    <w:rsid w:val="00BB7D4E"/>
    <w:rsid w:val="00BC02E1"/>
    <w:rsid w:val="00BC0747"/>
    <w:rsid w:val="00BC0862"/>
    <w:rsid w:val="00BC2679"/>
    <w:rsid w:val="00BC3448"/>
    <w:rsid w:val="00BC3D27"/>
    <w:rsid w:val="00BC4916"/>
    <w:rsid w:val="00BC6D8C"/>
    <w:rsid w:val="00BC6FB6"/>
    <w:rsid w:val="00BC7242"/>
    <w:rsid w:val="00BC7BCE"/>
    <w:rsid w:val="00BC7F6E"/>
    <w:rsid w:val="00BD0A90"/>
    <w:rsid w:val="00BD1AC4"/>
    <w:rsid w:val="00BD20BE"/>
    <w:rsid w:val="00BD2339"/>
    <w:rsid w:val="00BD242E"/>
    <w:rsid w:val="00BD2FE9"/>
    <w:rsid w:val="00BD606F"/>
    <w:rsid w:val="00BD702F"/>
    <w:rsid w:val="00BD703A"/>
    <w:rsid w:val="00BE1C50"/>
    <w:rsid w:val="00BE24CC"/>
    <w:rsid w:val="00BE2B0D"/>
    <w:rsid w:val="00BE3CC5"/>
    <w:rsid w:val="00BE3D28"/>
    <w:rsid w:val="00BE633E"/>
    <w:rsid w:val="00BE78B2"/>
    <w:rsid w:val="00BF07C1"/>
    <w:rsid w:val="00BF0D67"/>
    <w:rsid w:val="00BF3202"/>
    <w:rsid w:val="00BF343A"/>
    <w:rsid w:val="00BF35D9"/>
    <w:rsid w:val="00BF3CB9"/>
    <w:rsid w:val="00BF4C18"/>
    <w:rsid w:val="00BF5631"/>
    <w:rsid w:val="00BF5915"/>
    <w:rsid w:val="00BF68EF"/>
    <w:rsid w:val="00BF7D9F"/>
    <w:rsid w:val="00C00AA9"/>
    <w:rsid w:val="00C01329"/>
    <w:rsid w:val="00C015E0"/>
    <w:rsid w:val="00C01656"/>
    <w:rsid w:val="00C0268A"/>
    <w:rsid w:val="00C02BB3"/>
    <w:rsid w:val="00C03453"/>
    <w:rsid w:val="00C039F2"/>
    <w:rsid w:val="00C043D9"/>
    <w:rsid w:val="00C04E4A"/>
    <w:rsid w:val="00C0513A"/>
    <w:rsid w:val="00C075D0"/>
    <w:rsid w:val="00C07767"/>
    <w:rsid w:val="00C10673"/>
    <w:rsid w:val="00C11219"/>
    <w:rsid w:val="00C140EA"/>
    <w:rsid w:val="00C14EE1"/>
    <w:rsid w:val="00C16008"/>
    <w:rsid w:val="00C163C8"/>
    <w:rsid w:val="00C16563"/>
    <w:rsid w:val="00C16EEA"/>
    <w:rsid w:val="00C2066E"/>
    <w:rsid w:val="00C2071F"/>
    <w:rsid w:val="00C26031"/>
    <w:rsid w:val="00C2673F"/>
    <w:rsid w:val="00C318E8"/>
    <w:rsid w:val="00C32400"/>
    <w:rsid w:val="00C3284A"/>
    <w:rsid w:val="00C339B7"/>
    <w:rsid w:val="00C34006"/>
    <w:rsid w:val="00C35836"/>
    <w:rsid w:val="00C35F3C"/>
    <w:rsid w:val="00C364A1"/>
    <w:rsid w:val="00C4169A"/>
    <w:rsid w:val="00C41A28"/>
    <w:rsid w:val="00C426B1"/>
    <w:rsid w:val="00C43480"/>
    <w:rsid w:val="00C43D1A"/>
    <w:rsid w:val="00C44F7C"/>
    <w:rsid w:val="00C51F85"/>
    <w:rsid w:val="00C52B35"/>
    <w:rsid w:val="00C5415D"/>
    <w:rsid w:val="00C55E22"/>
    <w:rsid w:val="00C5622E"/>
    <w:rsid w:val="00C60515"/>
    <w:rsid w:val="00C60954"/>
    <w:rsid w:val="00C62F7F"/>
    <w:rsid w:val="00C655BF"/>
    <w:rsid w:val="00C657F0"/>
    <w:rsid w:val="00C65864"/>
    <w:rsid w:val="00C66160"/>
    <w:rsid w:val="00C676AF"/>
    <w:rsid w:val="00C721AC"/>
    <w:rsid w:val="00C72412"/>
    <w:rsid w:val="00C724B3"/>
    <w:rsid w:val="00C72687"/>
    <w:rsid w:val="00C72CEE"/>
    <w:rsid w:val="00C7316C"/>
    <w:rsid w:val="00C732F9"/>
    <w:rsid w:val="00C73A6E"/>
    <w:rsid w:val="00C73B8C"/>
    <w:rsid w:val="00C75845"/>
    <w:rsid w:val="00C765DF"/>
    <w:rsid w:val="00C7720A"/>
    <w:rsid w:val="00C82A82"/>
    <w:rsid w:val="00C82E07"/>
    <w:rsid w:val="00C8435C"/>
    <w:rsid w:val="00C84922"/>
    <w:rsid w:val="00C8631C"/>
    <w:rsid w:val="00C877DA"/>
    <w:rsid w:val="00C90651"/>
    <w:rsid w:val="00C90D6A"/>
    <w:rsid w:val="00C91460"/>
    <w:rsid w:val="00C92150"/>
    <w:rsid w:val="00C921A7"/>
    <w:rsid w:val="00C92394"/>
    <w:rsid w:val="00C925F6"/>
    <w:rsid w:val="00C9549E"/>
    <w:rsid w:val="00C96856"/>
    <w:rsid w:val="00C97716"/>
    <w:rsid w:val="00CA1822"/>
    <w:rsid w:val="00CA247E"/>
    <w:rsid w:val="00CA2DD2"/>
    <w:rsid w:val="00CA31B8"/>
    <w:rsid w:val="00CA4A5E"/>
    <w:rsid w:val="00CA4DEB"/>
    <w:rsid w:val="00CA5078"/>
    <w:rsid w:val="00CA6551"/>
    <w:rsid w:val="00CA7013"/>
    <w:rsid w:val="00CB0D25"/>
    <w:rsid w:val="00CB169F"/>
    <w:rsid w:val="00CB58A1"/>
    <w:rsid w:val="00CC028A"/>
    <w:rsid w:val="00CC0F8F"/>
    <w:rsid w:val="00CC6D32"/>
    <w:rsid w:val="00CC72B6"/>
    <w:rsid w:val="00CD053F"/>
    <w:rsid w:val="00CD0A48"/>
    <w:rsid w:val="00CD3FD8"/>
    <w:rsid w:val="00CD6176"/>
    <w:rsid w:val="00CD6190"/>
    <w:rsid w:val="00CD6B95"/>
    <w:rsid w:val="00CD6D5F"/>
    <w:rsid w:val="00CE62D2"/>
    <w:rsid w:val="00CE6C46"/>
    <w:rsid w:val="00CF0027"/>
    <w:rsid w:val="00CF15BC"/>
    <w:rsid w:val="00CF23D2"/>
    <w:rsid w:val="00CF2430"/>
    <w:rsid w:val="00CF2D1C"/>
    <w:rsid w:val="00CF4B0C"/>
    <w:rsid w:val="00CF52A5"/>
    <w:rsid w:val="00D002DD"/>
    <w:rsid w:val="00D00388"/>
    <w:rsid w:val="00D00F74"/>
    <w:rsid w:val="00D0218D"/>
    <w:rsid w:val="00D05F76"/>
    <w:rsid w:val="00D0648F"/>
    <w:rsid w:val="00D07588"/>
    <w:rsid w:val="00D076F3"/>
    <w:rsid w:val="00D07D18"/>
    <w:rsid w:val="00D127C0"/>
    <w:rsid w:val="00D12EB2"/>
    <w:rsid w:val="00D13E17"/>
    <w:rsid w:val="00D13E3E"/>
    <w:rsid w:val="00D1426A"/>
    <w:rsid w:val="00D160F6"/>
    <w:rsid w:val="00D16625"/>
    <w:rsid w:val="00D166EC"/>
    <w:rsid w:val="00D17839"/>
    <w:rsid w:val="00D17EAA"/>
    <w:rsid w:val="00D2119D"/>
    <w:rsid w:val="00D222F4"/>
    <w:rsid w:val="00D2538C"/>
    <w:rsid w:val="00D25FB5"/>
    <w:rsid w:val="00D2646D"/>
    <w:rsid w:val="00D307A9"/>
    <w:rsid w:val="00D325E3"/>
    <w:rsid w:val="00D354C0"/>
    <w:rsid w:val="00D355AC"/>
    <w:rsid w:val="00D37CB2"/>
    <w:rsid w:val="00D410F7"/>
    <w:rsid w:val="00D42745"/>
    <w:rsid w:val="00D42E24"/>
    <w:rsid w:val="00D43D5E"/>
    <w:rsid w:val="00D44223"/>
    <w:rsid w:val="00D44E12"/>
    <w:rsid w:val="00D44E2C"/>
    <w:rsid w:val="00D4548E"/>
    <w:rsid w:val="00D459FC"/>
    <w:rsid w:val="00D50F78"/>
    <w:rsid w:val="00D51467"/>
    <w:rsid w:val="00D5326D"/>
    <w:rsid w:val="00D53D02"/>
    <w:rsid w:val="00D542CE"/>
    <w:rsid w:val="00D543E9"/>
    <w:rsid w:val="00D56C81"/>
    <w:rsid w:val="00D5799E"/>
    <w:rsid w:val="00D60C80"/>
    <w:rsid w:val="00D63571"/>
    <w:rsid w:val="00D6432A"/>
    <w:rsid w:val="00D65010"/>
    <w:rsid w:val="00D67871"/>
    <w:rsid w:val="00D700BA"/>
    <w:rsid w:val="00D714DD"/>
    <w:rsid w:val="00D72A1B"/>
    <w:rsid w:val="00D72F40"/>
    <w:rsid w:val="00D7657A"/>
    <w:rsid w:val="00D77FF5"/>
    <w:rsid w:val="00D80577"/>
    <w:rsid w:val="00D8123B"/>
    <w:rsid w:val="00D82142"/>
    <w:rsid w:val="00D83B83"/>
    <w:rsid w:val="00D85F6E"/>
    <w:rsid w:val="00D864AC"/>
    <w:rsid w:val="00D86BF6"/>
    <w:rsid w:val="00D87205"/>
    <w:rsid w:val="00D876DF"/>
    <w:rsid w:val="00D90069"/>
    <w:rsid w:val="00D900F0"/>
    <w:rsid w:val="00D9179C"/>
    <w:rsid w:val="00D9213F"/>
    <w:rsid w:val="00D92C5E"/>
    <w:rsid w:val="00D9312F"/>
    <w:rsid w:val="00D931C0"/>
    <w:rsid w:val="00D94E8B"/>
    <w:rsid w:val="00D96F91"/>
    <w:rsid w:val="00D97A8C"/>
    <w:rsid w:val="00D97B0A"/>
    <w:rsid w:val="00D97BD2"/>
    <w:rsid w:val="00D97E03"/>
    <w:rsid w:val="00DA0125"/>
    <w:rsid w:val="00DA1A04"/>
    <w:rsid w:val="00DA2529"/>
    <w:rsid w:val="00DA392C"/>
    <w:rsid w:val="00DA4867"/>
    <w:rsid w:val="00DA4B64"/>
    <w:rsid w:val="00DB106B"/>
    <w:rsid w:val="00DB130A"/>
    <w:rsid w:val="00DB1D87"/>
    <w:rsid w:val="00DB229C"/>
    <w:rsid w:val="00DB2EBB"/>
    <w:rsid w:val="00DB3314"/>
    <w:rsid w:val="00DB3DC9"/>
    <w:rsid w:val="00DB4200"/>
    <w:rsid w:val="00DB5482"/>
    <w:rsid w:val="00DB59FC"/>
    <w:rsid w:val="00DB6C1A"/>
    <w:rsid w:val="00DB6E56"/>
    <w:rsid w:val="00DC011B"/>
    <w:rsid w:val="00DC10A1"/>
    <w:rsid w:val="00DC1EB6"/>
    <w:rsid w:val="00DC22CB"/>
    <w:rsid w:val="00DC237D"/>
    <w:rsid w:val="00DC2525"/>
    <w:rsid w:val="00DC2E96"/>
    <w:rsid w:val="00DC39C2"/>
    <w:rsid w:val="00DC50DD"/>
    <w:rsid w:val="00DC64F7"/>
    <w:rsid w:val="00DC655F"/>
    <w:rsid w:val="00DC6C1C"/>
    <w:rsid w:val="00DD0B59"/>
    <w:rsid w:val="00DD2BE7"/>
    <w:rsid w:val="00DD474B"/>
    <w:rsid w:val="00DD47C5"/>
    <w:rsid w:val="00DD63A2"/>
    <w:rsid w:val="00DD6D6B"/>
    <w:rsid w:val="00DD7777"/>
    <w:rsid w:val="00DD7EBD"/>
    <w:rsid w:val="00DE06A0"/>
    <w:rsid w:val="00DE1B30"/>
    <w:rsid w:val="00DE3D31"/>
    <w:rsid w:val="00DE49D1"/>
    <w:rsid w:val="00DE554F"/>
    <w:rsid w:val="00DE5A53"/>
    <w:rsid w:val="00DE5BB2"/>
    <w:rsid w:val="00DE61DA"/>
    <w:rsid w:val="00DE66B5"/>
    <w:rsid w:val="00DE7F37"/>
    <w:rsid w:val="00DF104B"/>
    <w:rsid w:val="00DF1D59"/>
    <w:rsid w:val="00DF3428"/>
    <w:rsid w:val="00DF60E6"/>
    <w:rsid w:val="00DF62B6"/>
    <w:rsid w:val="00E00669"/>
    <w:rsid w:val="00E01AD7"/>
    <w:rsid w:val="00E01C52"/>
    <w:rsid w:val="00E01F0E"/>
    <w:rsid w:val="00E02740"/>
    <w:rsid w:val="00E0333D"/>
    <w:rsid w:val="00E0489A"/>
    <w:rsid w:val="00E05338"/>
    <w:rsid w:val="00E06381"/>
    <w:rsid w:val="00E07225"/>
    <w:rsid w:val="00E073D1"/>
    <w:rsid w:val="00E07D25"/>
    <w:rsid w:val="00E10DB2"/>
    <w:rsid w:val="00E11BA5"/>
    <w:rsid w:val="00E148B0"/>
    <w:rsid w:val="00E14E9B"/>
    <w:rsid w:val="00E15248"/>
    <w:rsid w:val="00E15800"/>
    <w:rsid w:val="00E170C2"/>
    <w:rsid w:val="00E212F7"/>
    <w:rsid w:val="00E216CA"/>
    <w:rsid w:val="00E21CA3"/>
    <w:rsid w:val="00E22616"/>
    <w:rsid w:val="00E23C01"/>
    <w:rsid w:val="00E240FE"/>
    <w:rsid w:val="00E2498F"/>
    <w:rsid w:val="00E26C3B"/>
    <w:rsid w:val="00E27B54"/>
    <w:rsid w:val="00E35A0E"/>
    <w:rsid w:val="00E35B45"/>
    <w:rsid w:val="00E3661E"/>
    <w:rsid w:val="00E40B35"/>
    <w:rsid w:val="00E40CC3"/>
    <w:rsid w:val="00E41AF4"/>
    <w:rsid w:val="00E41F75"/>
    <w:rsid w:val="00E42015"/>
    <w:rsid w:val="00E42780"/>
    <w:rsid w:val="00E43837"/>
    <w:rsid w:val="00E43C78"/>
    <w:rsid w:val="00E44AA4"/>
    <w:rsid w:val="00E461E0"/>
    <w:rsid w:val="00E463B0"/>
    <w:rsid w:val="00E466BB"/>
    <w:rsid w:val="00E47BA1"/>
    <w:rsid w:val="00E47BB4"/>
    <w:rsid w:val="00E50B56"/>
    <w:rsid w:val="00E51AFA"/>
    <w:rsid w:val="00E52AF6"/>
    <w:rsid w:val="00E5340C"/>
    <w:rsid w:val="00E53F86"/>
    <w:rsid w:val="00E5409F"/>
    <w:rsid w:val="00E54157"/>
    <w:rsid w:val="00E546AD"/>
    <w:rsid w:val="00E546E5"/>
    <w:rsid w:val="00E56304"/>
    <w:rsid w:val="00E5667D"/>
    <w:rsid w:val="00E64046"/>
    <w:rsid w:val="00E645C4"/>
    <w:rsid w:val="00E646F7"/>
    <w:rsid w:val="00E67AC7"/>
    <w:rsid w:val="00E701CE"/>
    <w:rsid w:val="00E702E9"/>
    <w:rsid w:val="00E70FF8"/>
    <w:rsid w:val="00E71903"/>
    <w:rsid w:val="00E7241D"/>
    <w:rsid w:val="00E74700"/>
    <w:rsid w:val="00E80124"/>
    <w:rsid w:val="00E810FC"/>
    <w:rsid w:val="00E81FC7"/>
    <w:rsid w:val="00E85896"/>
    <w:rsid w:val="00E908A8"/>
    <w:rsid w:val="00E94F8A"/>
    <w:rsid w:val="00E96F09"/>
    <w:rsid w:val="00EA00E5"/>
    <w:rsid w:val="00EA1461"/>
    <w:rsid w:val="00EA4ECD"/>
    <w:rsid w:val="00EA56B0"/>
    <w:rsid w:val="00EA7F04"/>
    <w:rsid w:val="00EB0A13"/>
    <w:rsid w:val="00EB26BA"/>
    <w:rsid w:val="00EB29E2"/>
    <w:rsid w:val="00EB2BA8"/>
    <w:rsid w:val="00EB3130"/>
    <w:rsid w:val="00EB3847"/>
    <w:rsid w:val="00EB399F"/>
    <w:rsid w:val="00EB3B38"/>
    <w:rsid w:val="00EB46DC"/>
    <w:rsid w:val="00EB5C3C"/>
    <w:rsid w:val="00EB5DB0"/>
    <w:rsid w:val="00EB79C0"/>
    <w:rsid w:val="00EB7C06"/>
    <w:rsid w:val="00EC13B7"/>
    <w:rsid w:val="00EC2162"/>
    <w:rsid w:val="00EC2586"/>
    <w:rsid w:val="00EC2A6C"/>
    <w:rsid w:val="00EC2CF3"/>
    <w:rsid w:val="00EC2FFA"/>
    <w:rsid w:val="00EC31CF"/>
    <w:rsid w:val="00EC31EB"/>
    <w:rsid w:val="00EC3D08"/>
    <w:rsid w:val="00EC4FDF"/>
    <w:rsid w:val="00EC5869"/>
    <w:rsid w:val="00ED022B"/>
    <w:rsid w:val="00ED02D4"/>
    <w:rsid w:val="00ED087E"/>
    <w:rsid w:val="00ED1374"/>
    <w:rsid w:val="00ED1F89"/>
    <w:rsid w:val="00ED21AD"/>
    <w:rsid w:val="00ED577F"/>
    <w:rsid w:val="00ED5860"/>
    <w:rsid w:val="00ED67E3"/>
    <w:rsid w:val="00ED7CAC"/>
    <w:rsid w:val="00ED7CB1"/>
    <w:rsid w:val="00EE18E9"/>
    <w:rsid w:val="00EE4504"/>
    <w:rsid w:val="00EE5DEC"/>
    <w:rsid w:val="00EE61E1"/>
    <w:rsid w:val="00EE6488"/>
    <w:rsid w:val="00EE6BC9"/>
    <w:rsid w:val="00EE795D"/>
    <w:rsid w:val="00EF21B7"/>
    <w:rsid w:val="00EF315D"/>
    <w:rsid w:val="00EF3F59"/>
    <w:rsid w:val="00EF4310"/>
    <w:rsid w:val="00EF4F45"/>
    <w:rsid w:val="00F00443"/>
    <w:rsid w:val="00F00F50"/>
    <w:rsid w:val="00F012DD"/>
    <w:rsid w:val="00F021FA"/>
    <w:rsid w:val="00F023EB"/>
    <w:rsid w:val="00F0309D"/>
    <w:rsid w:val="00F03D1B"/>
    <w:rsid w:val="00F03D51"/>
    <w:rsid w:val="00F04A4F"/>
    <w:rsid w:val="00F04BE4"/>
    <w:rsid w:val="00F07914"/>
    <w:rsid w:val="00F07997"/>
    <w:rsid w:val="00F07F20"/>
    <w:rsid w:val="00F1053E"/>
    <w:rsid w:val="00F10C0C"/>
    <w:rsid w:val="00F11184"/>
    <w:rsid w:val="00F122B5"/>
    <w:rsid w:val="00F1233A"/>
    <w:rsid w:val="00F133A4"/>
    <w:rsid w:val="00F14D05"/>
    <w:rsid w:val="00F178E3"/>
    <w:rsid w:val="00F20509"/>
    <w:rsid w:val="00F21A92"/>
    <w:rsid w:val="00F22B7E"/>
    <w:rsid w:val="00F23C94"/>
    <w:rsid w:val="00F25568"/>
    <w:rsid w:val="00F258F6"/>
    <w:rsid w:val="00F2612F"/>
    <w:rsid w:val="00F264CE"/>
    <w:rsid w:val="00F304F5"/>
    <w:rsid w:val="00F30E49"/>
    <w:rsid w:val="00F32FAD"/>
    <w:rsid w:val="00F34546"/>
    <w:rsid w:val="00F34FAA"/>
    <w:rsid w:val="00F352A9"/>
    <w:rsid w:val="00F41BBF"/>
    <w:rsid w:val="00F4265C"/>
    <w:rsid w:val="00F4426C"/>
    <w:rsid w:val="00F442FF"/>
    <w:rsid w:val="00F45A1D"/>
    <w:rsid w:val="00F4680F"/>
    <w:rsid w:val="00F4720D"/>
    <w:rsid w:val="00F50649"/>
    <w:rsid w:val="00F515DD"/>
    <w:rsid w:val="00F51C97"/>
    <w:rsid w:val="00F51D7C"/>
    <w:rsid w:val="00F52AA6"/>
    <w:rsid w:val="00F52F1B"/>
    <w:rsid w:val="00F53632"/>
    <w:rsid w:val="00F545C6"/>
    <w:rsid w:val="00F56807"/>
    <w:rsid w:val="00F57311"/>
    <w:rsid w:val="00F57DE4"/>
    <w:rsid w:val="00F602CF"/>
    <w:rsid w:val="00F607A2"/>
    <w:rsid w:val="00F60CDF"/>
    <w:rsid w:val="00F61662"/>
    <w:rsid w:val="00F61C84"/>
    <w:rsid w:val="00F62E97"/>
    <w:rsid w:val="00F630AC"/>
    <w:rsid w:val="00F64209"/>
    <w:rsid w:val="00F67BC0"/>
    <w:rsid w:val="00F701ED"/>
    <w:rsid w:val="00F71158"/>
    <w:rsid w:val="00F71C84"/>
    <w:rsid w:val="00F71E82"/>
    <w:rsid w:val="00F7327A"/>
    <w:rsid w:val="00F7419E"/>
    <w:rsid w:val="00F74EFA"/>
    <w:rsid w:val="00F76006"/>
    <w:rsid w:val="00F764DF"/>
    <w:rsid w:val="00F76BC7"/>
    <w:rsid w:val="00F804C3"/>
    <w:rsid w:val="00F80926"/>
    <w:rsid w:val="00F83608"/>
    <w:rsid w:val="00F84F32"/>
    <w:rsid w:val="00F85249"/>
    <w:rsid w:val="00F85AC6"/>
    <w:rsid w:val="00F8662E"/>
    <w:rsid w:val="00F93BF5"/>
    <w:rsid w:val="00F97EBA"/>
    <w:rsid w:val="00FA08B9"/>
    <w:rsid w:val="00FA0A60"/>
    <w:rsid w:val="00FA1F93"/>
    <w:rsid w:val="00FA2382"/>
    <w:rsid w:val="00FA2D89"/>
    <w:rsid w:val="00FA4819"/>
    <w:rsid w:val="00FA702C"/>
    <w:rsid w:val="00FA74CD"/>
    <w:rsid w:val="00FB0417"/>
    <w:rsid w:val="00FB0BE3"/>
    <w:rsid w:val="00FB15AD"/>
    <w:rsid w:val="00FB5773"/>
    <w:rsid w:val="00FB5FE1"/>
    <w:rsid w:val="00FB6D3C"/>
    <w:rsid w:val="00FC1030"/>
    <w:rsid w:val="00FC2653"/>
    <w:rsid w:val="00FC28D0"/>
    <w:rsid w:val="00FC2E85"/>
    <w:rsid w:val="00FC3E0B"/>
    <w:rsid w:val="00FC47F8"/>
    <w:rsid w:val="00FC4D73"/>
    <w:rsid w:val="00FC5439"/>
    <w:rsid w:val="00FC5D58"/>
    <w:rsid w:val="00FC622D"/>
    <w:rsid w:val="00FC6E9B"/>
    <w:rsid w:val="00FC6F29"/>
    <w:rsid w:val="00FC7359"/>
    <w:rsid w:val="00FD07A9"/>
    <w:rsid w:val="00FD26DB"/>
    <w:rsid w:val="00FD3A8A"/>
    <w:rsid w:val="00FD3CC4"/>
    <w:rsid w:val="00FD71FF"/>
    <w:rsid w:val="00FD7259"/>
    <w:rsid w:val="00FD7745"/>
    <w:rsid w:val="00FD7B1E"/>
    <w:rsid w:val="00FE09A9"/>
    <w:rsid w:val="00FE368E"/>
    <w:rsid w:val="00FE4E51"/>
    <w:rsid w:val="00FE61E9"/>
    <w:rsid w:val="00FE7BFA"/>
    <w:rsid w:val="00FF0D55"/>
    <w:rsid w:val="00FF1978"/>
    <w:rsid w:val="00FF35B9"/>
    <w:rsid w:val="00FF3A70"/>
    <w:rsid w:val="00FF4406"/>
    <w:rsid w:val="00FF6215"/>
    <w:rsid w:val="00FF7FC2"/>
    <w:rsid w:val="50A111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F1793E"/>
  <w15:chartTrackingRefBased/>
  <w15:docId w15:val="{D6D2BA76-F052-4870-8F07-88783C3F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51D6"/>
    <w:pPr>
      <w:widowControl w:val="0"/>
    </w:pPr>
    <w:rPr>
      <w:snapToGrid w:val="0"/>
      <w:kern w:val="28"/>
      <w:sz w:val="22"/>
    </w:rPr>
  </w:style>
  <w:style w:type="paragraph" w:styleId="Heading1">
    <w:name w:val="heading 1"/>
    <w:basedOn w:val="Normal"/>
    <w:next w:val="ParaNum"/>
    <w:qFormat/>
    <w:rsid w:val="00B151D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151D6"/>
    <w:pPr>
      <w:keepNext/>
      <w:numPr>
        <w:ilvl w:val="1"/>
        <w:numId w:val="3"/>
      </w:numPr>
      <w:spacing w:after="120"/>
      <w:outlineLvl w:val="1"/>
    </w:pPr>
    <w:rPr>
      <w:b/>
    </w:rPr>
  </w:style>
  <w:style w:type="paragraph" w:styleId="Heading3">
    <w:name w:val="heading 3"/>
    <w:basedOn w:val="Normal"/>
    <w:next w:val="ParaNum"/>
    <w:qFormat/>
    <w:rsid w:val="00B151D6"/>
    <w:pPr>
      <w:keepNext/>
      <w:numPr>
        <w:ilvl w:val="2"/>
        <w:numId w:val="3"/>
      </w:numPr>
      <w:tabs>
        <w:tab w:val="left" w:pos="2160"/>
      </w:tabs>
      <w:spacing w:after="120"/>
      <w:outlineLvl w:val="2"/>
    </w:pPr>
    <w:rPr>
      <w:b/>
    </w:rPr>
  </w:style>
  <w:style w:type="paragraph" w:styleId="Heading4">
    <w:name w:val="heading 4"/>
    <w:basedOn w:val="Normal"/>
    <w:next w:val="ParaNum"/>
    <w:qFormat/>
    <w:rsid w:val="00B151D6"/>
    <w:pPr>
      <w:keepNext/>
      <w:numPr>
        <w:ilvl w:val="3"/>
        <w:numId w:val="3"/>
      </w:numPr>
      <w:tabs>
        <w:tab w:val="left" w:pos="2880"/>
      </w:tabs>
      <w:spacing w:after="120"/>
      <w:outlineLvl w:val="3"/>
    </w:pPr>
    <w:rPr>
      <w:b/>
    </w:rPr>
  </w:style>
  <w:style w:type="paragraph" w:styleId="Heading5">
    <w:name w:val="heading 5"/>
    <w:basedOn w:val="Normal"/>
    <w:next w:val="ParaNum"/>
    <w:qFormat/>
    <w:rsid w:val="00B151D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151D6"/>
    <w:pPr>
      <w:numPr>
        <w:ilvl w:val="5"/>
        <w:numId w:val="3"/>
      </w:numPr>
      <w:tabs>
        <w:tab w:val="left" w:pos="4320"/>
      </w:tabs>
      <w:spacing w:after="120"/>
      <w:outlineLvl w:val="5"/>
    </w:pPr>
    <w:rPr>
      <w:b/>
    </w:rPr>
  </w:style>
  <w:style w:type="paragraph" w:styleId="Heading7">
    <w:name w:val="heading 7"/>
    <w:basedOn w:val="Normal"/>
    <w:next w:val="ParaNum"/>
    <w:qFormat/>
    <w:rsid w:val="00B151D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151D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151D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151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51D6"/>
  </w:style>
  <w:style w:type="paragraph" w:customStyle="1" w:styleId="ParaNum">
    <w:name w:val="ParaNum"/>
    <w:basedOn w:val="Normal"/>
    <w:link w:val="ParaNumChar"/>
    <w:rsid w:val="00B151D6"/>
    <w:pPr>
      <w:numPr>
        <w:numId w:val="2"/>
      </w:numPr>
      <w:tabs>
        <w:tab w:val="clear" w:pos="1080"/>
        <w:tab w:val="num" w:pos="1440"/>
      </w:tabs>
      <w:spacing w:after="120"/>
    </w:pPr>
  </w:style>
  <w:style w:type="paragraph" w:styleId="EndnoteText">
    <w:name w:val="endnote text"/>
    <w:basedOn w:val="Normal"/>
    <w:semiHidden/>
    <w:rsid w:val="00B151D6"/>
    <w:rPr>
      <w:sz w:val="20"/>
    </w:rPr>
  </w:style>
  <w:style w:type="character" w:styleId="EndnoteReference">
    <w:name w:val="endnote reference"/>
    <w:semiHidden/>
    <w:rsid w:val="00B151D6"/>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B151D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151D6"/>
    <w:rPr>
      <w:rFonts w:ascii="Times New Roman" w:hAnsi="Times New Roman"/>
      <w:dstrike w:val="0"/>
      <w:color w:val="auto"/>
      <w:sz w:val="20"/>
      <w:vertAlign w:val="superscript"/>
    </w:rPr>
  </w:style>
  <w:style w:type="paragraph" w:styleId="TOC1">
    <w:name w:val="toc 1"/>
    <w:basedOn w:val="Normal"/>
    <w:next w:val="Normal"/>
    <w:semiHidden/>
    <w:rsid w:val="00B151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151D6"/>
    <w:pPr>
      <w:tabs>
        <w:tab w:val="left" w:pos="720"/>
        <w:tab w:val="right" w:leader="dot" w:pos="9360"/>
      </w:tabs>
      <w:suppressAutoHyphens/>
      <w:ind w:left="720" w:right="720" w:hanging="360"/>
    </w:pPr>
    <w:rPr>
      <w:noProof/>
    </w:rPr>
  </w:style>
  <w:style w:type="paragraph" w:styleId="TOC3">
    <w:name w:val="toc 3"/>
    <w:basedOn w:val="Normal"/>
    <w:next w:val="Normal"/>
    <w:semiHidden/>
    <w:rsid w:val="00B151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151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151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151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151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151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151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151D6"/>
    <w:pPr>
      <w:tabs>
        <w:tab w:val="right" w:pos="9360"/>
      </w:tabs>
      <w:suppressAutoHyphens/>
    </w:pPr>
  </w:style>
  <w:style w:type="character" w:customStyle="1" w:styleId="EquationCaption">
    <w:name w:val="_Equation Caption"/>
    <w:rsid w:val="00B151D6"/>
  </w:style>
  <w:style w:type="paragraph" w:styleId="Header">
    <w:name w:val="header"/>
    <w:basedOn w:val="Normal"/>
    <w:autoRedefine/>
    <w:rsid w:val="00B151D6"/>
    <w:pPr>
      <w:tabs>
        <w:tab w:val="center" w:pos="4680"/>
        <w:tab w:val="right" w:pos="9360"/>
      </w:tabs>
    </w:pPr>
    <w:rPr>
      <w:b/>
    </w:rPr>
  </w:style>
  <w:style w:type="paragraph" w:styleId="Footer">
    <w:name w:val="footer"/>
    <w:basedOn w:val="Normal"/>
    <w:link w:val="FooterChar"/>
    <w:uiPriority w:val="99"/>
    <w:rsid w:val="00B151D6"/>
    <w:pPr>
      <w:tabs>
        <w:tab w:val="center" w:pos="4320"/>
        <w:tab w:val="right" w:pos="8640"/>
      </w:tabs>
    </w:pPr>
  </w:style>
  <w:style w:type="character" w:styleId="PageNumber">
    <w:name w:val="page number"/>
    <w:basedOn w:val="DefaultParagraphFont"/>
    <w:rsid w:val="00B151D6"/>
  </w:style>
  <w:style w:type="paragraph" w:styleId="BlockText">
    <w:name w:val="Block Text"/>
    <w:basedOn w:val="Normal"/>
    <w:rsid w:val="00B151D6"/>
    <w:pPr>
      <w:spacing w:after="240"/>
      <w:ind w:left="1440" w:right="1440"/>
    </w:pPr>
  </w:style>
  <w:style w:type="paragraph" w:customStyle="1" w:styleId="Paratitle">
    <w:name w:val="Para title"/>
    <w:basedOn w:val="Normal"/>
    <w:rsid w:val="00B151D6"/>
    <w:pPr>
      <w:tabs>
        <w:tab w:val="center" w:pos="9270"/>
      </w:tabs>
      <w:spacing w:after="240"/>
    </w:pPr>
    <w:rPr>
      <w:spacing w:val="-2"/>
    </w:rPr>
  </w:style>
  <w:style w:type="paragraph" w:customStyle="1" w:styleId="Bullet">
    <w:name w:val="Bullet"/>
    <w:basedOn w:val="Normal"/>
    <w:rsid w:val="00B151D6"/>
    <w:pPr>
      <w:tabs>
        <w:tab w:val="left" w:pos="2160"/>
      </w:tabs>
      <w:spacing w:after="220"/>
      <w:ind w:left="2160" w:hanging="720"/>
    </w:pPr>
  </w:style>
  <w:style w:type="paragraph" w:customStyle="1" w:styleId="TableFormat">
    <w:name w:val="TableFormat"/>
    <w:basedOn w:val="Bullet"/>
    <w:rsid w:val="00B151D6"/>
    <w:pPr>
      <w:tabs>
        <w:tab w:val="clear" w:pos="2160"/>
        <w:tab w:val="left" w:pos="5040"/>
      </w:tabs>
      <w:ind w:left="5040" w:hanging="3600"/>
    </w:pPr>
  </w:style>
  <w:style w:type="paragraph" w:customStyle="1" w:styleId="TOCTitle">
    <w:name w:val="TOC Title"/>
    <w:basedOn w:val="Normal"/>
    <w:rsid w:val="00B151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151D6"/>
    <w:pPr>
      <w:jc w:val="center"/>
    </w:pPr>
    <w:rPr>
      <w:rFonts w:ascii="Times New Roman Bold" w:hAnsi="Times New Roman Bold"/>
      <w:b/>
      <w:bCs/>
      <w:caps/>
      <w:szCs w:val="22"/>
    </w:rPr>
  </w:style>
  <w:style w:type="character" w:styleId="Hyperlink">
    <w:name w:val="Hyperlink"/>
    <w:rsid w:val="00B151D6"/>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7534FC"/>
  </w:style>
  <w:style w:type="character" w:styleId="CommentReference">
    <w:name w:val="annotation reference"/>
    <w:rsid w:val="007534FC"/>
    <w:rPr>
      <w:sz w:val="16"/>
      <w:szCs w:val="16"/>
    </w:rPr>
  </w:style>
  <w:style w:type="paragraph" w:styleId="CommentText">
    <w:name w:val="annotation text"/>
    <w:basedOn w:val="Normal"/>
    <w:link w:val="CommentTextChar"/>
    <w:rsid w:val="007534FC"/>
    <w:pPr>
      <w:widowControl/>
    </w:pPr>
    <w:rPr>
      <w:snapToGrid/>
      <w:kern w:val="0"/>
      <w:sz w:val="20"/>
    </w:rPr>
  </w:style>
  <w:style w:type="character" w:customStyle="1" w:styleId="CommentTextChar">
    <w:name w:val="Comment Text Char"/>
    <w:basedOn w:val="DefaultParagraphFont"/>
    <w:link w:val="CommentText"/>
    <w:rsid w:val="007534FC"/>
  </w:style>
  <w:style w:type="paragraph" w:styleId="BalloonText">
    <w:name w:val="Balloon Text"/>
    <w:basedOn w:val="Normal"/>
    <w:link w:val="BalloonTextChar"/>
    <w:rsid w:val="007534FC"/>
    <w:rPr>
      <w:rFonts w:ascii="Segoe UI" w:hAnsi="Segoe UI" w:cs="Segoe UI"/>
      <w:sz w:val="18"/>
      <w:szCs w:val="18"/>
    </w:rPr>
  </w:style>
  <w:style w:type="character" w:customStyle="1" w:styleId="BalloonTextChar">
    <w:name w:val="Balloon Text Char"/>
    <w:link w:val="BalloonText"/>
    <w:rsid w:val="007534F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F379D"/>
    <w:pPr>
      <w:widowControl w:val="0"/>
    </w:pPr>
    <w:rPr>
      <w:b/>
      <w:bCs/>
      <w:snapToGrid w:val="0"/>
      <w:kern w:val="28"/>
    </w:rPr>
  </w:style>
  <w:style w:type="character" w:customStyle="1" w:styleId="CommentSubjectChar">
    <w:name w:val="Comment Subject Char"/>
    <w:link w:val="CommentSubject"/>
    <w:rsid w:val="007F379D"/>
    <w:rPr>
      <w:b/>
      <w:bCs/>
      <w:snapToGrid w:val="0"/>
      <w:kern w:val="28"/>
    </w:rPr>
  </w:style>
  <w:style w:type="character" w:customStyle="1" w:styleId="rrfootnoteChar">
    <w:name w:val="rrfootnote Char"/>
    <w:aliases w:val="Footnote Text Ch Char,Footnote Text Char Char Char,Footnote Text Char Char Char Char Char,rrfootnote Char Char Char,rrfootnote Char Char Char Char Char"/>
    <w:semiHidden/>
    <w:rsid w:val="005E0715"/>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
    <w:rsid w:val="00437E6D"/>
  </w:style>
  <w:style w:type="character" w:customStyle="1" w:styleId="term">
    <w:name w:val="term"/>
    <w:rsid w:val="00437E6D"/>
  </w:style>
  <w:style w:type="character" w:customStyle="1" w:styleId="ParaNumChar">
    <w:name w:val="ParaNum Char"/>
    <w:link w:val="ParaNum"/>
    <w:rsid w:val="00437E6D"/>
    <w:rPr>
      <w:snapToGrid w:val="0"/>
      <w:kern w:val="28"/>
      <w:sz w:val="22"/>
    </w:rPr>
  </w:style>
  <w:style w:type="character" w:customStyle="1" w:styleId="documentbody5">
    <w:name w:val="documentbody5"/>
    <w:rsid w:val="003271CB"/>
    <w:rPr>
      <w:rFonts w:ascii="Verdana" w:hAnsi="Verdana" w:hint="default"/>
      <w:sz w:val="19"/>
      <w:szCs w:val="19"/>
    </w:rPr>
  </w:style>
  <w:style w:type="character" w:customStyle="1" w:styleId="emphi">
    <w:name w:val="emphi"/>
    <w:rsid w:val="00823C79"/>
  </w:style>
  <w:style w:type="character" w:customStyle="1" w:styleId="ssleftalign">
    <w:name w:val="ss_leftalign"/>
    <w:rsid w:val="00823C79"/>
  </w:style>
  <w:style w:type="character" w:customStyle="1" w:styleId="ssit">
    <w:name w:val="ss_it"/>
    <w:rsid w:val="006C2AF8"/>
  </w:style>
  <w:style w:type="paragraph" w:customStyle="1" w:styleId="xxmsonormal">
    <w:name w:val="x_xmsonormal"/>
    <w:basedOn w:val="Normal"/>
    <w:uiPriority w:val="99"/>
    <w:rsid w:val="002A7259"/>
    <w:pPr>
      <w:widowControl/>
    </w:pPr>
    <w:rPr>
      <w:rFonts w:eastAsia="Calibri"/>
      <w:snapToGrid/>
      <w:kern w:val="0"/>
      <w:sz w:val="24"/>
      <w:szCs w:val="24"/>
    </w:rPr>
  </w:style>
  <w:style w:type="character" w:customStyle="1" w:styleId="sssh">
    <w:name w:val="ss_sh"/>
    <w:rsid w:val="002B124C"/>
  </w:style>
  <w:style w:type="character" w:customStyle="1" w:styleId="FooterChar">
    <w:name w:val="Footer Char"/>
    <w:link w:val="Footer"/>
    <w:uiPriority w:val="99"/>
    <w:locked/>
    <w:rsid w:val="00B151D6"/>
    <w:rPr>
      <w:snapToGrid w:val="0"/>
      <w:kern w:val="28"/>
      <w:sz w:val="22"/>
    </w:rPr>
  </w:style>
  <w:style w:type="character" w:customStyle="1" w:styleId="FootnoteTextChar2Char">
    <w:name w:val="Footnote Text Char2 Char"/>
    <w:aliases w:val="Footnote Text Char Char Char4 Char Char Char1,Footnote Text Char1 Char Char1,Footnote Text Char4 Char1 Char Char Char1,Footnote Text Char7 Char Char Char Char Char Char1,Footnote Text Char7 Char Char Char1"/>
    <w:rsid w:val="009A111E"/>
    <w:rPr>
      <w:sz w:val="22"/>
      <w:lang w:val="en-US" w:eastAsia="en-US" w:bidi="ar-SA"/>
    </w:rPr>
  </w:style>
  <w:style w:type="character" w:customStyle="1" w:styleId="documentbody1">
    <w:name w:val="documentbody1"/>
    <w:rsid w:val="009A111E"/>
    <w:rPr>
      <w:rFonts w:ascii="Verdana" w:hAnsi="Verdana" w:hint="default"/>
      <w:sz w:val="19"/>
      <w:szCs w:val="19"/>
    </w:rPr>
  </w:style>
  <w:style w:type="character" w:styleId="Strong">
    <w:name w:val="Strong"/>
    <w:qFormat/>
    <w:rsid w:val="00F607A2"/>
    <w:rPr>
      <w:b/>
      <w:bCs/>
    </w:rPr>
  </w:style>
  <w:style w:type="paragraph" w:styleId="ListParagraph">
    <w:name w:val="List Paragraph"/>
    <w:basedOn w:val="Normal"/>
    <w:uiPriority w:val="34"/>
    <w:qFormat/>
    <w:rsid w:val="0021642C"/>
    <w:pPr>
      <w:ind w:left="720"/>
      <w:contextualSpacing/>
    </w:pPr>
  </w:style>
  <w:style w:type="character" w:styleId="UnresolvedMention">
    <w:name w:val="Unresolved Mention"/>
    <w:basedOn w:val="DefaultParagraphFont"/>
    <w:uiPriority w:val="99"/>
    <w:semiHidden/>
    <w:unhideWhenUsed/>
    <w:rsid w:val="0021642C"/>
    <w:rPr>
      <w:color w:val="605E5C"/>
      <w:shd w:val="clear" w:color="auto" w:fill="E1DFDD"/>
    </w:rPr>
  </w:style>
  <w:style w:type="paragraph" w:styleId="Revision">
    <w:name w:val="Revision"/>
    <w:hidden/>
    <w:uiPriority w:val="99"/>
    <w:semiHidden/>
    <w:rsid w:val="0000558E"/>
    <w:rPr>
      <w:snapToGrid w:val="0"/>
      <w:kern w:val="28"/>
      <w:sz w:val="22"/>
    </w:rPr>
  </w:style>
  <w:style w:type="paragraph" w:styleId="NormalWeb">
    <w:name w:val="Normal (Web)"/>
    <w:basedOn w:val="Normal"/>
    <w:uiPriority w:val="99"/>
    <w:unhideWhenUsed/>
    <w:rsid w:val="00F602CF"/>
    <w:pPr>
      <w:widowControl/>
      <w:spacing w:before="100" w:beforeAutospacing="1" w:after="100" w:afterAutospacing="1"/>
    </w:pPr>
    <w:rPr>
      <w:snapToGrid/>
      <w:kern w:val="0"/>
      <w:sz w:val="24"/>
      <w:szCs w:val="24"/>
    </w:rPr>
  </w:style>
  <w:style w:type="character" w:customStyle="1" w:styleId="acy">
    <w:name w:val="acy"/>
    <w:basedOn w:val="DefaultParagraphFont"/>
    <w:rsid w:val="00F602CF"/>
  </w:style>
  <w:style w:type="character" w:customStyle="1" w:styleId="acb">
    <w:name w:val="acb"/>
    <w:basedOn w:val="DefaultParagraphFont"/>
    <w:rsid w:val="00F602CF"/>
  </w:style>
  <w:style w:type="paragraph" w:customStyle="1" w:styleId="indent-1">
    <w:name w:val="indent-1"/>
    <w:basedOn w:val="Normal"/>
    <w:rsid w:val="00F602CF"/>
    <w:pPr>
      <w:widowControl/>
      <w:spacing w:before="100" w:beforeAutospacing="1" w:after="100" w:afterAutospacing="1"/>
    </w:pPr>
    <w:rPr>
      <w:snapToGrid/>
      <w:kern w:val="0"/>
      <w:sz w:val="24"/>
      <w:szCs w:val="24"/>
    </w:rPr>
  </w:style>
  <w:style w:type="paragraph" w:styleId="Caption">
    <w:name w:val="caption"/>
    <w:basedOn w:val="Normal"/>
    <w:next w:val="Normal"/>
    <w:unhideWhenUsed/>
    <w:qFormat/>
    <w:rsid w:val="00766645"/>
    <w:pPr>
      <w:spacing w:after="200"/>
    </w:pPr>
    <w:rPr>
      <w:i/>
      <w:iCs/>
      <w:color w:val="44546A" w:themeColor="text2"/>
      <w:sz w:val="18"/>
      <w:szCs w:val="18"/>
    </w:rPr>
  </w:style>
  <w:style w:type="paragraph" w:customStyle="1" w:styleId="Default">
    <w:name w:val="Default"/>
    <w:rsid w:val="00E40B35"/>
    <w:pPr>
      <w:autoSpaceDE w:val="0"/>
      <w:autoSpaceDN w:val="0"/>
      <w:adjustRightInd w:val="0"/>
    </w:pPr>
    <w:rPr>
      <w:color w:val="000000"/>
      <w:sz w:val="24"/>
      <w:szCs w:val="24"/>
    </w:rPr>
  </w:style>
  <w:style w:type="paragraph" w:customStyle="1" w:styleId="Blockquote">
    <w:name w:val="Blockquote"/>
    <w:basedOn w:val="Normal"/>
    <w:rsid w:val="00E702E9"/>
    <w:pPr>
      <w:widowControl/>
      <w:autoSpaceDE w:val="0"/>
      <w:autoSpaceDN w:val="0"/>
      <w:adjustRightInd w:val="0"/>
      <w:spacing w:before="100" w:after="100"/>
      <w:ind w:left="360" w:right="360"/>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yperlink" Target="mailto:ARINQUIRIES@fcc.gov" TargetMode="External" /><Relationship Id="rId7" Type="http://schemas.openxmlformats.org/officeDocument/2006/relationships/hyperlink" Target="mailto:Heather.Dix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