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584E43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33EF0C" w14:textId="77777777">
      <w:pPr>
        <w:pStyle w:val="StyleBoldCentered"/>
      </w:pPr>
      <w:r>
        <w:t>F</w:t>
      </w:r>
      <w:r>
        <w:rPr>
          <w:caps w:val="0"/>
        </w:rPr>
        <w:t>ederal Communications Commission</w:t>
      </w:r>
    </w:p>
    <w:p w:rsidR="004C2EE3" w:rsidP="00096D8C" w14:paraId="1166438E" w14:textId="77777777">
      <w:pPr>
        <w:pStyle w:val="StyleBoldCentered"/>
      </w:pPr>
      <w:r>
        <w:rPr>
          <w:caps w:val="0"/>
        </w:rPr>
        <w:t>Washington, D.C. 20554</w:t>
      </w:r>
    </w:p>
    <w:p w:rsidR="004C2EE3" w:rsidP="0070224F" w14:paraId="1B3A47CD" w14:textId="77777777"/>
    <w:p w:rsidR="004C2EE3" w:rsidP="0070224F" w14:paraId="25E13334" w14:textId="77777777"/>
    <w:tbl>
      <w:tblPr>
        <w:tblW w:w="0" w:type="auto"/>
        <w:tblLayout w:type="fixed"/>
        <w:tblLook w:val="0000"/>
      </w:tblPr>
      <w:tblGrid>
        <w:gridCol w:w="4698"/>
        <w:gridCol w:w="630"/>
        <w:gridCol w:w="4248"/>
      </w:tblGrid>
      <w:tr w14:paraId="276E7037" w14:textId="77777777">
        <w:tblPrEx>
          <w:tblW w:w="0" w:type="auto"/>
          <w:tblLayout w:type="fixed"/>
          <w:tblLook w:val="0000"/>
        </w:tblPrEx>
        <w:tc>
          <w:tcPr>
            <w:tcW w:w="4698" w:type="dxa"/>
          </w:tcPr>
          <w:p w:rsidR="004C2EE3" w14:paraId="4B76206A" w14:textId="77777777">
            <w:pPr>
              <w:tabs>
                <w:tab w:val="center" w:pos="4680"/>
              </w:tabs>
              <w:suppressAutoHyphens/>
              <w:rPr>
                <w:spacing w:val="-2"/>
              </w:rPr>
            </w:pPr>
            <w:r>
              <w:rPr>
                <w:spacing w:val="-2"/>
              </w:rPr>
              <w:t>In the Matter of</w:t>
            </w:r>
          </w:p>
          <w:p w:rsidR="004C2EE3" w14:paraId="0DC66A23" w14:textId="77777777">
            <w:pPr>
              <w:tabs>
                <w:tab w:val="center" w:pos="4680"/>
              </w:tabs>
              <w:suppressAutoHyphens/>
              <w:rPr>
                <w:spacing w:val="-2"/>
              </w:rPr>
            </w:pPr>
          </w:p>
          <w:p w:rsidR="00D44420" w:rsidRPr="00D44420" w:rsidP="00D44420" w14:paraId="0F823460" w14:textId="4B5377C7">
            <w:pPr>
              <w:tabs>
                <w:tab w:val="center" w:pos="4680"/>
              </w:tabs>
              <w:suppressAutoHyphens/>
              <w:rPr>
                <w:spacing w:val="-2"/>
              </w:rPr>
            </w:pPr>
            <w:r w:rsidRPr="00D44420">
              <w:rPr>
                <w:spacing w:val="-2"/>
              </w:rPr>
              <w:t>G.I.G., Inc.</w:t>
            </w:r>
          </w:p>
          <w:p w:rsidR="00D44420" w:rsidP="00D44420" w14:paraId="14B42AC6" w14:textId="77777777">
            <w:pPr>
              <w:tabs>
                <w:tab w:val="center" w:pos="4680"/>
              </w:tabs>
              <w:suppressAutoHyphens/>
              <w:rPr>
                <w:spacing w:val="-2"/>
              </w:rPr>
            </w:pPr>
          </w:p>
          <w:p w:rsidR="00D44420" w:rsidP="00D44420" w14:paraId="11343A1A" w14:textId="50429BC8">
            <w:pPr>
              <w:tabs>
                <w:tab w:val="center" w:pos="4680"/>
              </w:tabs>
              <w:suppressAutoHyphens/>
              <w:rPr>
                <w:spacing w:val="-2"/>
              </w:rPr>
            </w:pPr>
            <w:r>
              <w:rPr>
                <w:spacing w:val="-2"/>
              </w:rPr>
              <w:t>For License to Cover, Renewal Application, and Special Temporary Authority</w:t>
            </w:r>
          </w:p>
          <w:p w:rsidR="00D44420" w:rsidRPr="00D44420" w:rsidP="00D44420" w14:paraId="0A2D3435" w14:textId="391C63FA">
            <w:pPr>
              <w:tabs>
                <w:tab w:val="center" w:pos="4680"/>
              </w:tabs>
              <w:suppressAutoHyphens/>
              <w:rPr>
                <w:spacing w:val="-2"/>
              </w:rPr>
            </w:pPr>
            <w:r w:rsidRPr="00D44420">
              <w:rPr>
                <w:spacing w:val="-2"/>
              </w:rPr>
              <w:t>Low Power Television Station</w:t>
            </w:r>
          </w:p>
          <w:p w:rsidR="004C2EE3" w:rsidRPr="007115F7" w:rsidP="00D44420" w14:paraId="0FE27C36" w14:textId="033888F5">
            <w:pPr>
              <w:tabs>
                <w:tab w:val="center" w:pos="4680"/>
              </w:tabs>
              <w:suppressAutoHyphens/>
              <w:rPr>
                <w:spacing w:val="-2"/>
              </w:rPr>
            </w:pPr>
            <w:r w:rsidRPr="00D44420">
              <w:rPr>
                <w:spacing w:val="-2"/>
              </w:rPr>
              <w:t>KCPO-LP, Sioux Falls, SD</w:t>
            </w:r>
          </w:p>
        </w:tc>
        <w:tc>
          <w:tcPr>
            <w:tcW w:w="630" w:type="dxa"/>
          </w:tcPr>
          <w:p w:rsidR="004C2EE3" w14:paraId="7EC3DFA2" w14:textId="77777777">
            <w:pPr>
              <w:tabs>
                <w:tab w:val="center" w:pos="4680"/>
              </w:tabs>
              <w:suppressAutoHyphens/>
              <w:rPr>
                <w:b/>
                <w:spacing w:val="-2"/>
              </w:rPr>
            </w:pPr>
            <w:r>
              <w:rPr>
                <w:b/>
                <w:spacing w:val="-2"/>
              </w:rPr>
              <w:t>)</w:t>
            </w:r>
          </w:p>
          <w:p w:rsidR="004C2EE3" w14:paraId="3B6736A6" w14:textId="77777777">
            <w:pPr>
              <w:tabs>
                <w:tab w:val="center" w:pos="4680"/>
              </w:tabs>
              <w:suppressAutoHyphens/>
              <w:rPr>
                <w:b/>
                <w:spacing w:val="-2"/>
              </w:rPr>
            </w:pPr>
            <w:r>
              <w:rPr>
                <w:b/>
                <w:spacing w:val="-2"/>
              </w:rPr>
              <w:t>)</w:t>
            </w:r>
          </w:p>
          <w:p w:rsidR="004C2EE3" w14:paraId="01A84E42" w14:textId="77777777">
            <w:pPr>
              <w:tabs>
                <w:tab w:val="center" w:pos="4680"/>
              </w:tabs>
              <w:suppressAutoHyphens/>
              <w:rPr>
                <w:b/>
                <w:spacing w:val="-2"/>
              </w:rPr>
            </w:pPr>
            <w:r>
              <w:rPr>
                <w:b/>
                <w:spacing w:val="-2"/>
              </w:rPr>
              <w:t>)</w:t>
            </w:r>
          </w:p>
          <w:p w:rsidR="004C2EE3" w14:paraId="30CEE62F" w14:textId="77777777">
            <w:pPr>
              <w:tabs>
                <w:tab w:val="center" w:pos="4680"/>
              </w:tabs>
              <w:suppressAutoHyphens/>
              <w:rPr>
                <w:b/>
                <w:spacing w:val="-2"/>
              </w:rPr>
            </w:pPr>
            <w:r>
              <w:rPr>
                <w:b/>
                <w:spacing w:val="-2"/>
              </w:rPr>
              <w:t>)</w:t>
            </w:r>
          </w:p>
          <w:p w:rsidR="004C2EE3" w14:paraId="0C61795D" w14:textId="77777777">
            <w:pPr>
              <w:tabs>
                <w:tab w:val="center" w:pos="4680"/>
              </w:tabs>
              <w:suppressAutoHyphens/>
              <w:rPr>
                <w:b/>
                <w:spacing w:val="-2"/>
              </w:rPr>
            </w:pPr>
            <w:r>
              <w:rPr>
                <w:b/>
                <w:spacing w:val="-2"/>
              </w:rPr>
              <w:t>)</w:t>
            </w:r>
          </w:p>
          <w:p w:rsidR="004C2EE3" w14:paraId="12798D10" w14:textId="77777777">
            <w:pPr>
              <w:tabs>
                <w:tab w:val="center" w:pos="4680"/>
              </w:tabs>
              <w:suppressAutoHyphens/>
              <w:rPr>
                <w:b/>
                <w:spacing w:val="-2"/>
              </w:rPr>
            </w:pPr>
            <w:r>
              <w:rPr>
                <w:b/>
                <w:spacing w:val="-2"/>
              </w:rPr>
              <w:t>)</w:t>
            </w:r>
          </w:p>
          <w:p w:rsidR="004C2EE3" w14:paraId="5C255758" w14:textId="77777777">
            <w:pPr>
              <w:tabs>
                <w:tab w:val="center" w:pos="4680"/>
              </w:tabs>
              <w:suppressAutoHyphens/>
              <w:rPr>
                <w:b/>
                <w:spacing w:val="-2"/>
              </w:rPr>
            </w:pPr>
            <w:r>
              <w:rPr>
                <w:b/>
                <w:spacing w:val="-2"/>
              </w:rPr>
              <w:t>)</w:t>
            </w:r>
          </w:p>
          <w:p w:rsidR="004C2EE3" w14:paraId="2CB13E7F" w14:textId="77777777">
            <w:pPr>
              <w:tabs>
                <w:tab w:val="center" w:pos="4680"/>
              </w:tabs>
              <w:suppressAutoHyphens/>
              <w:rPr>
                <w:b/>
                <w:spacing w:val="-2"/>
              </w:rPr>
            </w:pPr>
            <w:r>
              <w:rPr>
                <w:b/>
                <w:spacing w:val="-2"/>
              </w:rPr>
              <w:t>)</w:t>
            </w:r>
          </w:p>
          <w:p w:rsidR="0018076D" w:rsidRPr="00D44420" w14:paraId="27A9B68F" w14:textId="26B76009">
            <w:pPr>
              <w:tabs>
                <w:tab w:val="center" w:pos="4680"/>
              </w:tabs>
              <w:suppressAutoHyphens/>
              <w:rPr>
                <w:b/>
                <w:spacing w:val="-2"/>
              </w:rPr>
            </w:pPr>
            <w:r>
              <w:rPr>
                <w:b/>
                <w:spacing w:val="-2"/>
              </w:rPr>
              <w:t>)</w:t>
            </w:r>
          </w:p>
        </w:tc>
        <w:tc>
          <w:tcPr>
            <w:tcW w:w="4248" w:type="dxa"/>
          </w:tcPr>
          <w:p w:rsidR="004C2EE3" w14:paraId="34CD5CCC" w14:textId="77777777">
            <w:pPr>
              <w:tabs>
                <w:tab w:val="center" w:pos="4680"/>
              </w:tabs>
              <w:suppressAutoHyphens/>
              <w:rPr>
                <w:spacing w:val="-2"/>
              </w:rPr>
            </w:pPr>
          </w:p>
          <w:p w:rsidR="004C2EE3" w14:paraId="456DD793" w14:textId="77777777">
            <w:pPr>
              <w:pStyle w:val="TOAHeading"/>
              <w:tabs>
                <w:tab w:val="center" w:pos="4680"/>
                <w:tab w:val="clear" w:pos="9360"/>
              </w:tabs>
              <w:rPr>
                <w:spacing w:val="-2"/>
              </w:rPr>
            </w:pPr>
          </w:p>
          <w:p w:rsidR="00D44420" w:rsidRPr="00D44420" w:rsidP="00D44420" w14:paraId="6A90F447" w14:textId="77777777">
            <w:pPr>
              <w:pStyle w:val="TOAHeading"/>
              <w:tabs>
                <w:tab w:val="center" w:pos="4680"/>
              </w:tabs>
              <w:rPr>
                <w:spacing w:val="-2"/>
              </w:rPr>
            </w:pPr>
            <w:r w:rsidRPr="00D44420">
              <w:rPr>
                <w:spacing w:val="-2"/>
              </w:rPr>
              <w:t>Facility ID No. 26041</w:t>
            </w:r>
          </w:p>
          <w:p w:rsidR="00D44420" w:rsidRPr="00D44420" w:rsidP="00D44420" w14:paraId="55F83E41" w14:textId="7CE95EB4">
            <w:pPr>
              <w:pStyle w:val="TOAHeading"/>
              <w:tabs>
                <w:tab w:val="center" w:pos="4680"/>
              </w:tabs>
              <w:rPr>
                <w:spacing w:val="-2"/>
              </w:rPr>
            </w:pPr>
            <w:r w:rsidRPr="00D44420">
              <w:rPr>
                <w:spacing w:val="-2"/>
              </w:rPr>
              <w:t xml:space="preserve">NAL/Acct. No. </w:t>
            </w:r>
            <w:r w:rsidR="006A43B2">
              <w:rPr>
                <w:spacing w:val="-2"/>
              </w:rPr>
              <w:t>202341420002</w:t>
            </w:r>
          </w:p>
          <w:p w:rsidR="00D44420" w:rsidRPr="00D44420" w:rsidP="00D44420" w14:paraId="2F79241F" w14:textId="55772E0D">
            <w:pPr>
              <w:pStyle w:val="TOAHeading"/>
              <w:tabs>
                <w:tab w:val="center" w:pos="4680"/>
              </w:tabs>
              <w:rPr>
                <w:spacing w:val="-2"/>
              </w:rPr>
            </w:pPr>
            <w:r w:rsidRPr="00D44420">
              <w:rPr>
                <w:spacing w:val="-2"/>
              </w:rPr>
              <w:t>LMS File Nos. 0000176044</w:t>
            </w:r>
            <w:r>
              <w:rPr>
                <w:spacing w:val="-2"/>
              </w:rPr>
              <w:t xml:space="preserve">, </w:t>
            </w:r>
            <w:r w:rsidRPr="00D44420">
              <w:rPr>
                <w:spacing w:val="-2"/>
              </w:rPr>
              <w:t>0000110806</w:t>
            </w:r>
            <w:r>
              <w:rPr>
                <w:spacing w:val="-2"/>
              </w:rPr>
              <w:t xml:space="preserve">, </w:t>
            </w:r>
            <w:r w:rsidRPr="00D44420">
              <w:rPr>
                <w:spacing w:val="-2"/>
              </w:rPr>
              <w:t>0000196169</w:t>
            </w:r>
            <w:r>
              <w:rPr>
                <w:spacing w:val="-2"/>
              </w:rPr>
              <w:t xml:space="preserve">, and </w:t>
            </w:r>
            <w:r w:rsidRPr="00D44420">
              <w:rPr>
                <w:spacing w:val="-2"/>
              </w:rPr>
              <w:t>0000195312</w:t>
            </w:r>
          </w:p>
          <w:p w:rsidR="004C2EE3" w:rsidP="00D44420" w14:paraId="21F3F799" w14:textId="556B914D">
            <w:pPr>
              <w:tabs>
                <w:tab w:val="center" w:pos="4680"/>
              </w:tabs>
              <w:suppressAutoHyphens/>
              <w:rPr>
                <w:spacing w:val="-2"/>
              </w:rPr>
            </w:pPr>
            <w:r w:rsidRPr="00D44420">
              <w:rPr>
                <w:spacing w:val="-2"/>
              </w:rPr>
              <w:t>FRN: 0005056585</w:t>
            </w:r>
          </w:p>
        </w:tc>
      </w:tr>
    </w:tbl>
    <w:p w:rsidR="004C2EE3" w:rsidP="0070224F" w14:paraId="52D3BA55" w14:textId="77777777"/>
    <w:p w:rsidR="00D44420" w:rsidP="00D44420" w14:paraId="4BFFDE50" w14:textId="77777777">
      <w:pPr>
        <w:pStyle w:val="StyleBoldCentered"/>
      </w:pPr>
      <w:r>
        <w:t>MEMORANDUM OPINION AND ORDER AND</w:t>
      </w:r>
    </w:p>
    <w:p w:rsidR="00841AB1" w:rsidP="00D44420" w14:paraId="1FA02C3E" w14:textId="320084B2">
      <w:pPr>
        <w:pStyle w:val="StyleBoldCentered"/>
      </w:pPr>
      <w:r>
        <w:t>NOTICE OF APPARENT LIABILITY FOR FORFEITURE</w:t>
      </w:r>
    </w:p>
    <w:p w:rsidR="004C2EE3" w14:paraId="5ECE0670" w14:textId="77777777">
      <w:pPr>
        <w:tabs>
          <w:tab w:val="left" w:pos="-720"/>
        </w:tabs>
        <w:suppressAutoHyphens/>
        <w:spacing w:line="227" w:lineRule="auto"/>
        <w:rPr>
          <w:spacing w:val="-2"/>
        </w:rPr>
      </w:pPr>
    </w:p>
    <w:p w:rsidR="004C2EE3" w:rsidP="00133F79" w14:paraId="20D9CE35" w14:textId="465897C9">
      <w:pPr>
        <w:tabs>
          <w:tab w:val="left" w:pos="720"/>
          <w:tab w:val="right" w:pos="9360"/>
        </w:tabs>
        <w:suppressAutoHyphens/>
        <w:spacing w:line="227" w:lineRule="auto"/>
        <w:rPr>
          <w:spacing w:val="-2"/>
        </w:rPr>
      </w:pPr>
      <w:r>
        <w:rPr>
          <w:b/>
          <w:spacing w:val="-2"/>
        </w:rPr>
        <w:t xml:space="preserve">Adopted:  </w:t>
      </w:r>
      <w:r w:rsidR="001736EB">
        <w:rPr>
          <w:b/>
          <w:spacing w:val="-2"/>
        </w:rPr>
        <w:t>January 19,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736EB">
        <w:rPr>
          <w:b/>
          <w:spacing w:val="-2"/>
        </w:rPr>
        <w:t>January 19, 2023</w:t>
      </w:r>
    </w:p>
    <w:p w:rsidR="00822CE0" w14:paraId="5EC880B9" w14:textId="77777777"/>
    <w:p w:rsidR="004C2EE3" w14:paraId="4CFF1F42" w14:textId="235C4436">
      <w:pPr>
        <w:rPr>
          <w:spacing w:val="-2"/>
        </w:rPr>
      </w:pPr>
      <w:r>
        <w:t xml:space="preserve">By </w:t>
      </w:r>
      <w:r w:rsidR="004E4A22">
        <w:t>the</w:t>
      </w:r>
      <w:r w:rsidR="002A2D2E">
        <w:t xml:space="preserve"> </w:t>
      </w:r>
      <w:r w:rsidR="00D44420">
        <w:rPr>
          <w:spacing w:val="-2"/>
        </w:rPr>
        <w:t>Chief, Video Division, Media Bureau</w:t>
      </w:r>
      <w:r>
        <w:rPr>
          <w:spacing w:val="-2"/>
        </w:rPr>
        <w:t>:</w:t>
      </w:r>
    </w:p>
    <w:p w:rsidR="00822CE0" w14:paraId="725F0FF3" w14:textId="77777777">
      <w:pPr>
        <w:rPr>
          <w:spacing w:val="-2"/>
        </w:rPr>
      </w:pPr>
    </w:p>
    <w:p w:rsidR="00D44420" w:rsidRPr="009E4AB1" w:rsidP="00D44420" w14:paraId="43F3C979" w14:textId="77777777">
      <w:pPr>
        <w:pStyle w:val="Heading1"/>
        <w:keepNext w:val="0"/>
        <w:suppressAutoHyphens w:val="0"/>
        <w:rPr>
          <w:rFonts w:ascii="Times New Roman" w:hAnsi="Times New Roman"/>
        </w:rPr>
      </w:pPr>
      <w:r w:rsidRPr="009E4AB1">
        <w:rPr>
          <w:rFonts w:ascii="Times New Roman" w:hAnsi="Times New Roman"/>
        </w:rPr>
        <w:t>INTRODUCTION</w:t>
      </w:r>
    </w:p>
    <w:p w:rsidR="00D44420" w:rsidRPr="00322EF1" w:rsidP="00D44420" w14:paraId="7A850BE2" w14:textId="77777777">
      <w:pPr>
        <w:pStyle w:val="ParaNum"/>
        <w:rPr>
          <w:szCs w:val="22"/>
        </w:rPr>
      </w:pPr>
      <w:r w:rsidRPr="00391035">
        <w:t>The Media Bureau (Bureau) has before i</w:t>
      </w:r>
      <w:bookmarkStart w:id="0" w:name="_Hlk94684400"/>
      <w:bookmarkStart w:id="1" w:name="_Hlk89869077"/>
      <w:r w:rsidRPr="00391035">
        <w:t xml:space="preserve">t </w:t>
      </w:r>
      <w:bookmarkEnd w:id="0"/>
      <w:bookmarkEnd w:id="1"/>
      <w:r w:rsidRPr="00391035">
        <w:t>G.I.G., Inc. (G.I.G.), licensee of low power television (LPTV) station KCPO-LP, Sioux Falls, South Dakota (KCPO-LP</w:t>
      </w:r>
      <w:r>
        <w:t xml:space="preserve"> or Station</w:t>
      </w:r>
      <w:r w:rsidRPr="00391035">
        <w:t xml:space="preserve">).  In this </w:t>
      </w:r>
      <w:r w:rsidRPr="00391035">
        <w:rPr>
          <w:i/>
          <w:iCs/>
          <w:szCs w:val="22"/>
        </w:rPr>
        <w:t>Memorandum Opinion and Order and Notice of Apparent</w:t>
      </w:r>
      <w:r w:rsidRPr="00391035">
        <w:rPr>
          <w:i/>
        </w:rPr>
        <w:t xml:space="preserve"> Liability for Forfeiture </w:t>
      </w:r>
      <w:r w:rsidRPr="00391035">
        <w:t>(</w:t>
      </w:r>
      <w:r w:rsidRPr="00391035">
        <w:rPr>
          <w:i/>
        </w:rPr>
        <w:t>NAL</w:t>
      </w:r>
      <w:r w:rsidRPr="00391035">
        <w:t>),</w:t>
      </w:r>
      <w:r>
        <w:rPr>
          <w:rStyle w:val="FootnoteReference"/>
        </w:rPr>
        <w:footnoteReference w:id="3"/>
      </w:r>
      <w:r w:rsidRPr="00391035">
        <w:rPr>
          <w:i/>
        </w:rPr>
        <w:t xml:space="preserve"> </w:t>
      </w:r>
      <w:r w:rsidRPr="00391035">
        <w:t>we find that G.I.G. apparently willfully violated section 74.788</w:t>
      </w:r>
      <w:r>
        <w:rPr>
          <w:rStyle w:val="FootnoteReference"/>
        </w:rPr>
        <w:footnoteReference w:id="4"/>
      </w:r>
      <w:r w:rsidRPr="00391035">
        <w:t xml:space="preserve"> of the Rules by failing to timely file </w:t>
      </w:r>
      <w:r>
        <w:t xml:space="preserve">a </w:t>
      </w:r>
      <w:r w:rsidRPr="00391035">
        <w:t>license to cover application</w:t>
      </w:r>
      <w:r>
        <w:t xml:space="preserve"> </w:t>
      </w:r>
      <w:r w:rsidRPr="00391035">
        <w:rPr>
          <w:szCs w:val="22"/>
        </w:rPr>
        <w:t>for the Station,</w:t>
      </w:r>
      <w:r w:rsidRPr="00391035">
        <w:t xml:space="preserve"> </w:t>
      </w:r>
      <w:r w:rsidRPr="007D13A0">
        <w:rPr>
          <w:szCs w:val="22"/>
        </w:rPr>
        <w:t>and willfully and repeatedly violated section</w:t>
      </w:r>
      <w:r>
        <w:rPr>
          <w:szCs w:val="22"/>
        </w:rPr>
        <w:t xml:space="preserve"> 73.1745 of the Rules and</w:t>
      </w:r>
      <w:r w:rsidRPr="007D13A0">
        <w:rPr>
          <w:szCs w:val="22"/>
        </w:rPr>
        <w:t xml:space="preserve"> 301 of the Act,</w:t>
      </w:r>
      <w:r>
        <w:rPr>
          <w:rStyle w:val="FootnoteReference"/>
          <w:sz w:val="22"/>
          <w:szCs w:val="22"/>
        </w:rPr>
        <w:footnoteReference w:id="5"/>
      </w:r>
      <w:r w:rsidRPr="007D13A0">
        <w:rPr>
          <w:szCs w:val="22"/>
        </w:rPr>
        <w:t xml:space="preserve"> by engaging in unauthorized operation.  Based upon our review of the facts and circumstances before us, we conclude that G.I.G. is apparently liable for a monetary forfeiture in the amount of </w:t>
      </w:r>
      <w:r>
        <w:rPr>
          <w:szCs w:val="22"/>
        </w:rPr>
        <w:t>six</w:t>
      </w:r>
      <w:r w:rsidRPr="007D13A0">
        <w:rPr>
          <w:szCs w:val="22"/>
        </w:rPr>
        <w:t xml:space="preserve"> thousand</w:t>
      </w:r>
      <w:r>
        <w:rPr>
          <w:szCs w:val="22"/>
        </w:rPr>
        <w:t>, five hundred</w:t>
      </w:r>
      <w:r w:rsidRPr="007D13A0">
        <w:rPr>
          <w:szCs w:val="22"/>
        </w:rPr>
        <w:t xml:space="preserve"> dollars ($6,500).</w:t>
      </w:r>
      <w:r>
        <w:rPr>
          <w:szCs w:val="22"/>
        </w:rPr>
        <w:t xml:space="preserve">  </w:t>
      </w:r>
      <w:r w:rsidRPr="00322EF1">
        <w:rPr>
          <w:szCs w:val="22"/>
        </w:rPr>
        <w:t xml:space="preserve">Upon resolution of the forfeiture proceeding commenced herein and so long as there are no other issues that would preclude such action, we will </w:t>
      </w:r>
      <w:r>
        <w:rPr>
          <w:szCs w:val="22"/>
        </w:rPr>
        <w:t>grant G.I.G.’s pending application to renew</w:t>
      </w:r>
      <w:r w:rsidRPr="00322EF1">
        <w:rPr>
          <w:szCs w:val="22"/>
        </w:rPr>
        <w:t xml:space="preserve"> the Station’s license for a period of two years.</w:t>
      </w:r>
      <w:r>
        <w:rPr>
          <w:rStyle w:val="FootnoteReference"/>
          <w:szCs w:val="22"/>
        </w:rPr>
        <w:footnoteReference w:id="6"/>
      </w:r>
    </w:p>
    <w:p w:rsidR="00D44420" w:rsidRPr="007D13A0" w:rsidP="00D44420" w14:paraId="5D25D0A4" w14:textId="77777777">
      <w:pPr>
        <w:pStyle w:val="Heading1"/>
      </w:pPr>
      <w:r w:rsidRPr="007D13A0">
        <w:t>Background</w:t>
      </w:r>
    </w:p>
    <w:p w:rsidR="00D44420" w:rsidRPr="00E94E22" w:rsidP="00D44420" w14:paraId="0EC20104" w14:textId="77777777">
      <w:pPr>
        <w:pStyle w:val="ParaNum"/>
        <w:keepNext/>
        <w:keepLines/>
        <w:rPr>
          <w:szCs w:val="22"/>
        </w:rPr>
      </w:pPr>
      <w:r w:rsidRPr="007D13A0">
        <w:t xml:space="preserve">KCPO-LP </w:t>
      </w:r>
      <w:r>
        <w:t xml:space="preserve">was a former analog </w:t>
      </w:r>
      <w:r w:rsidRPr="007D13A0">
        <w:t xml:space="preserve">low power </w:t>
      </w:r>
      <w:r>
        <w:t xml:space="preserve">television (LPTV) </w:t>
      </w:r>
      <w:r w:rsidRPr="007D13A0">
        <w:t xml:space="preserve">station.  </w:t>
      </w:r>
      <w:r>
        <w:t xml:space="preserve">The Station, like all other analog stations, was required to cease analog operations </w:t>
      </w:r>
      <w:r w:rsidRPr="007D13A0">
        <w:t>by 11:59 p.m. on July 13, 2021.</w:t>
      </w:r>
      <w:r>
        <w:rPr>
          <w:rStyle w:val="FootnoteReference"/>
          <w:sz w:val="22"/>
          <w:szCs w:val="22"/>
        </w:rPr>
        <w:footnoteReference w:id="7"/>
      </w:r>
      <w:r w:rsidRPr="007D13A0">
        <w:t xml:space="preserve">  On </w:t>
      </w:r>
      <w:r>
        <w:t>March</w:t>
      </w:r>
      <w:r w:rsidRPr="007D13A0">
        <w:t xml:space="preserve"> </w:t>
      </w:r>
      <w:r>
        <w:t>31</w:t>
      </w:r>
      <w:r w:rsidRPr="007D13A0">
        <w:t xml:space="preserve">, 2020, the Station </w:t>
      </w:r>
      <w:r>
        <w:t xml:space="preserve">filed </w:t>
      </w:r>
      <w:r w:rsidRPr="007D13A0">
        <w:t>a construction permit to flash-cut its analog operations to digital operations on its licensed</w:t>
      </w:r>
      <w:r>
        <w:t xml:space="preserve"> analog</w:t>
      </w:r>
      <w:r w:rsidRPr="007D13A0">
        <w:t xml:space="preserve"> channel 26</w:t>
      </w:r>
      <w:r>
        <w:t xml:space="preserve"> (Digital CP)</w:t>
      </w:r>
      <w:r w:rsidRPr="007D13A0">
        <w:t>.</w:t>
      </w:r>
      <w:r>
        <w:rPr>
          <w:rStyle w:val="FootnoteReference"/>
        </w:rPr>
        <w:footnoteReference w:id="8"/>
      </w:r>
      <w:r w:rsidRPr="007D13A0">
        <w:t xml:space="preserve">  </w:t>
      </w:r>
      <w:r>
        <w:t>That application was granted on April 20, 2020.  Pursuant to Commission rules, the Station was assigned a construction permit expiration date of July 13, 2021.</w:t>
      </w:r>
      <w:r>
        <w:rPr>
          <w:rStyle w:val="FootnoteReference"/>
          <w:szCs w:val="22"/>
        </w:rPr>
        <w:footnoteReference w:id="9"/>
      </w:r>
      <w:r>
        <w:t xml:space="preserve">  </w:t>
      </w:r>
      <w:r w:rsidRPr="007D13A0">
        <w:t>On April 28, 2021, the Station was granted an extension of its construction permit to January 10, 2022</w:t>
      </w:r>
      <w:r>
        <w:t xml:space="preserve"> (CP Extension)</w:t>
      </w:r>
      <w:r w:rsidRPr="007D13A0">
        <w:t>.</w:t>
      </w:r>
      <w:r>
        <w:rPr>
          <w:rStyle w:val="FootnoteReference"/>
          <w:sz w:val="22"/>
          <w:szCs w:val="22"/>
        </w:rPr>
        <w:footnoteReference w:id="10"/>
      </w:r>
      <w:r w:rsidRPr="007D13A0">
        <w:t xml:space="preserve">  </w:t>
      </w:r>
      <w:r>
        <w:t xml:space="preserve">In the CP Extension, G.I.G. represented that construction of the Station had not been completed and laid out a timeline for completing construction.  No subsequent request for tolling was filed.  </w:t>
      </w:r>
    </w:p>
    <w:p w:rsidR="00D44420" w:rsidRPr="00E94E22" w:rsidP="00D44420" w14:paraId="43ADBD56" w14:textId="77777777">
      <w:pPr>
        <w:pStyle w:val="ParaNum"/>
        <w:rPr>
          <w:szCs w:val="22"/>
        </w:rPr>
      </w:pPr>
      <w:r>
        <w:t>As discussed in further detail below, the Licensee has stated that it commenced digital operations pursuant to the Digital CP on April 21, 2020.  On July 29, 2022, G.I.G. filed a request for silent authority notifying the commission that the Station went silent on July 27, 2022 due to the loss its “site.”</w:t>
      </w:r>
      <w:r>
        <w:rPr>
          <w:rStyle w:val="FootnoteReference"/>
        </w:rPr>
        <w:footnoteReference w:id="11"/>
      </w:r>
      <w:r>
        <w:t xml:space="preserve">  In addition, the Licensee filed a request for special temporary authority to commence operations from a new location while it finalizes a construction permit to move to the proposed site on a permanent basis.</w:t>
      </w:r>
      <w:r>
        <w:rPr>
          <w:rStyle w:val="FootnoteReference"/>
        </w:rPr>
        <w:footnoteReference w:id="12"/>
      </w:r>
      <w:r>
        <w:t xml:space="preserve">  Both the Silent STA and Engineering STA applications remain pending.   </w:t>
      </w:r>
    </w:p>
    <w:p w:rsidR="00D44420" w:rsidP="00D44420" w14:paraId="222C8CEE" w14:textId="77777777">
      <w:pPr>
        <w:pStyle w:val="ParaNum"/>
      </w:pPr>
      <w:r w:rsidRPr="00557CBB">
        <w:t>Section 74.788(b) of the Commission’s rules state</w:t>
      </w:r>
      <w:r>
        <w:t>d</w:t>
      </w:r>
      <w:r w:rsidRPr="00557CBB">
        <w:t xml:space="preserve"> that:  “Any construction permit for which construction has not been completed and for which an application for license or extension of time has not been filed, shall be automatically forfeited upon expiration without any further affirmative cancellation by the Commission.”</w:t>
      </w:r>
      <w:r>
        <w:rPr>
          <w:rStyle w:val="FootnoteReference"/>
          <w:szCs w:val="22"/>
        </w:rPr>
        <w:footnoteReference w:id="13"/>
      </w:r>
      <w:r w:rsidRPr="00557CBB">
        <w:t xml:space="preserve"> </w:t>
      </w:r>
      <w:r>
        <w:t xml:space="preserve"> </w:t>
      </w:r>
      <w:r w:rsidRPr="00557CBB">
        <w:t xml:space="preserve">Although G.I.G. </w:t>
      </w:r>
      <w:r>
        <w:t xml:space="preserve">has </w:t>
      </w:r>
      <w:r w:rsidRPr="00557CBB">
        <w:t>maintain</w:t>
      </w:r>
      <w:r>
        <w:t>ed</w:t>
      </w:r>
      <w:r w:rsidRPr="00557CBB">
        <w:t xml:space="preserve"> that it completed construction and began operating its digital facility on </w:t>
      </w:r>
      <w:r>
        <w:t>April</w:t>
      </w:r>
      <w:r w:rsidRPr="00557CBB">
        <w:t xml:space="preserve"> </w:t>
      </w:r>
      <w:r>
        <w:t>21</w:t>
      </w:r>
      <w:r w:rsidRPr="00557CBB">
        <w:t>, 2020,</w:t>
      </w:r>
      <w:r>
        <w:rPr>
          <w:rStyle w:val="FootnoteReference"/>
          <w:szCs w:val="22"/>
        </w:rPr>
        <w:footnoteReference w:id="14"/>
      </w:r>
      <w:r w:rsidRPr="00557CBB">
        <w:t xml:space="preserve"> it failed to file a timely application for license to cover after </w:t>
      </w:r>
      <w:r>
        <w:t>completing construction</w:t>
      </w:r>
      <w:r w:rsidRPr="00557CBB">
        <w:t xml:space="preserve">.  As such, the </w:t>
      </w:r>
      <w:r>
        <w:t>D</w:t>
      </w:r>
      <w:r w:rsidRPr="00557CBB">
        <w:t xml:space="preserve">igital CP </w:t>
      </w:r>
      <w:r>
        <w:t xml:space="preserve">automatically </w:t>
      </w:r>
      <w:r w:rsidRPr="00557CBB">
        <w:t>expired on its own terms on January 11, 202</w:t>
      </w:r>
      <w:r>
        <w:t>1</w:t>
      </w:r>
      <w:r w:rsidRPr="00557CBB">
        <w:t xml:space="preserve">. </w:t>
      </w:r>
    </w:p>
    <w:p w:rsidR="00D44420" w:rsidP="00D44420" w14:paraId="45F11C51" w14:textId="77777777">
      <w:pPr>
        <w:pStyle w:val="ParaNum"/>
      </w:pPr>
      <w:r>
        <w:t xml:space="preserve">On December 1, 2021, </w:t>
      </w:r>
      <w:r w:rsidRPr="00EE07E3">
        <w:t>G.I.G. filed</w:t>
      </w:r>
      <w:r>
        <w:t xml:space="preserve"> an application for license renewal (Renewal Application).  In that application G.I.G. certified that the Station was operational.  As part of Video </w:t>
      </w:r>
      <w:r>
        <w:t>Division staff review of the Renewal Application it was discovered that G.I.G. had failed to file an application for license to cover (License Application) its Digital CP.  As a result, on May 20, 2022, the Division sent G.I.G a letter inquiring as to the Station’s operational history.</w:t>
      </w:r>
      <w:r>
        <w:rPr>
          <w:rStyle w:val="FootnoteReference"/>
          <w:sz w:val="22"/>
          <w:szCs w:val="22"/>
        </w:rPr>
        <w:footnoteReference w:id="15"/>
      </w:r>
      <w:r>
        <w:t xml:space="preserve">   On July 5 and 11, 2022 the Licensee filed two separate responses to the Division’s inquiry letter asserting that G.I.G. in fact completed construction of its digital facility in April 2020 (July Responses).</w:t>
      </w:r>
      <w:r>
        <w:rPr>
          <w:rStyle w:val="FootnoteReference"/>
        </w:rPr>
        <w:footnoteReference w:id="16"/>
      </w:r>
      <w:r>
        <w:t xml:space="preserve">  In addition, on July 11, 2022, the Licensee filed a License Application and </w:t>
      </w:r>
      <w:r w:rsidRPr="00D44420">
        <w:rPr>
          <w:szCs w:val="22"/>
        </w:rPr>
        <w:t>requested waiver of all applicable rules and grant of the application.</w:t>
      </w:r>
      <w:r>
        <w:rPr>
          <w:rStyle w:val="FootnoteReference"/>
          <w:szCs w:val="22"/>
        </w:rPr>
        <w:footnoteReference w:id="17"/>
      </w:r>
      <w:r w:rsidRPr="00D44420">
        <w:rPr>
          <w:szCs w:val="22"/>
        </w:rPr>
        <w:t xml:space="preserve">  Following a series of phone calls in August 2022 between Division staff and legal counsel for G.I.G., on September 14 and September 22, 2022 G.I.G. submitted another series of responses to the Bureau attempting to demonstrate that the Station was constructed and had been operating since April 2020.</w:t>
      </w:r>
      <w:r>
        <w:rPr>
          <w:rStyle w:val="FootnoteReference"/>
          <w:szCs w:val="22"/>
        </w:rPr>
        <w:footnoteReference w:id="18"/>
      </w:r>
      <w:r w:rsidRPr="00D44420">
        <w:rPr>
          <w:szCs w:val="22"/>
        </w:rPr>
        <w:t xml:space="preserve">  Included with its July and September Responses were declarations from viewers, program logs, certain financial information related to the operation of the station, a declaration from the Station’s tower owner, and photographs of the facility.</w:t>
      </w:r>
      <w:r>
        <w:rPr>
          <w:rStyle w:val="FootnoteReference"/>
          <w:szCs w:val="22"/>
        </w:rPr>
        <w:footnoteReference w:id="19"/>
      </w:r>
      <w:r w:rsidRPr="00D44420">
        <w:rPr>
          <w:szCs w:val="22"/>
        </w:rPr>
        <w:t xml:space="preserve">  </w:t>
      </w:r>
    </w:p>
    <w:p w:rsidR="00D44420" w:rsidP="00D44420" w14:paraId="7D548989" w14:textId="77777777">
      <w:pPr>
        <w:pStyle w:val="ParaNum"/>
      </w:pPr>
      <w:r w:rsidRPr="00D44420">
        <w:rPr>
          <w:szCs w:val="22"/>
        </w:rPr>
        <w:t>Upon review of G.I.G.’s July and September Reponses, Division staff determined that the information G.I.G. submitted was still incomplete.  Therefore, on September 26, 2022, the Division sent an inquiry letter to G.I.G. providing it one final time to provide documentation and information necessary to determine that the Station had been constructed and that grant of the Station’s late-filed license to cover is warranted.</w:t>
      </w:r>
      <w:r>
        <w:rPr>
          <w:rStyle w:val="FootnoteReference"/>
          <w:sz w:val="22"/>
          <w:szCs w:val="22"/>
        </w:rPr>
        <w:footnoteReference w:id="20"/>
      </w:r>
      <w:r w:rsidRPr="00D44420">
        <w:rPr>
          <w:szCs w:val="22"/>
        </w:rPr>
        <w:t xml:space="preserve">  In its response filed on November 4, 2022, G.I.G. provided the additional documents requested by the Division.  It also reiterated that its failure to file a timely license to cover was inadvertent and that its request for additional time to construct filed in March 2021 was at the advice of its consulting engineer and it appears to have been in error.</w:t>
      </w:r>
      <w:r>
        <w:rPr>
          <w:rStyle w:val="FootnoteReference"/>
          <w:sz w:val="22"/>
          <w:szCs w:val="22"/>
        </w:rPr>
        <w:footnoteReference w:id="21"/>
      </w:r>
      <w:r w:rsidRPr="00D44420">
        <w:rPr>
          <w:szCs w:val="22"/>
        </w:rPr>
        <w:t xml:space="preserve">  </w:t>
      </w:r>
    </w:p>
    <w:p w:rsidR="00D44420" w:rsidRPr="00E94E22" w:rsidP="00D44420" w14:paraId="79F4B092" w14:textId="1371519C">
      <w:pPr>
        <w:pStyle w:val="ParaNum"/>
        <w:keepNext/>
        <w:keepLines/>
      </w:pPr>
      <w:r w:rsidRPr="00D44420">
        <w:rPr>
          <w:szCs w:val="22"/>
        </w:rPr>
        <w:t>G.I.G. maintains that grant of its License Application is “clearly in the public interest for stations to continue operation.”</w:t>
      </w:r>
      <w:r>
        <w:rPr>
          <w:rStyle w:val="FootnoteReference"/>
          <w:sz w:val="22"/>
          <w:szCs w:val="22"/>
        </w:rPr>
        <w:footnoteReference w:id="22"/>
      </w:r>
      <w:r w:rsidRPr="008053DF">
        <w:t xml:space="preserve">  </w:t>
      </w:r>
      <w:r w:rsidRPr="00D44420">
        <w:rPr>
          <w:snapToGrid/>
          <w:kern w:val="0"/>
          <w:szCs w:val="22"/>
        </w:rPr>
        <w:t>G.I.G. also argues that “that the appropriate penalty in this case should not be the draconian cancellation of the permit, but, rather, the</w:t>
      </w:r>
      <w:r w:rsidRPr="00D44420">
        <w:rPr>
          <w:szCs w:val="22"/>
        </w:rPr>
        <w:t xml:space="preserve"> </w:t>
      </w:r>
      <w:r w:rsidRPr="00D44420">
        <w:rPr>
          <w:snapToGrid/>
          <w:kern w:val="0"/>
          <w:szCs w:val="22"/>
        </w:rPr>
        <w:t>imposition of a forfeiture.”</w:t>
      </w:r>
      <w:r>
        <w:rPr>
          <w:rStyle w:val="FootnoteReference"/>
          <w:snapToGrid/>
          <w:kern w:val="0"/>
          <w:sz w:val="22"/>
          <w:szCs w:val="22"/>
        </w:rPr>
        <w:footnoteReference w:id="23"/>
      </w:r>
      <w:r w:rsidRPr="00D44420">
        <w:rPr>
          <w:snapToGrid/>
          <w:kern w:val="0"/>
          <w:szCs w:val="22"/>
        </w:rPr>
        <w:t xml:space="preserve"> </w:t>
      </w:r>
    </w:p>
    <w:p w:rsidR="00D44420" w:rsidRPr="00E94E22" w:rsidP="00D44420" w14:paraId="3B26BF1C" w14:textId="77777777">
      <w:pPr>
        <w:pStyle w:val="Heading1"/>
        <w:keepLines/>
        <w:suppressAutoHyphens w:val="0"/>
        <w:rPr>
          <w:rFonts w:ascii="Times New Roman" w:hAnsi="Times New Roman"/>
          <w:snapToGrid/>
          <w:kern w:val="0"/>
          <w:szCs w:val="22"/>
        </w:rPr>
      </w:pPr>
      <w:r w:rsidRPr="00E94E22">
        <w:rPr>
          <w:rFonts w:ascii="Times New Roman" w:hAnsi="Times New Roman"/>
          <w:szCs w:val="22"/>
        </w:rPr>
        <w:t>DISCUSSION</w:t>
      </w:r>
    </w:p>
    <w:p w:rsidR="00D44420" w:rsidP="00D44420" w14:paraId="62D99C17" w14:textId="77777777">
      <w:pPr>
        <w:pStyle w:val="ParaNum"/>
      </w:pPr>
      <w:r>
        <w:rPr>
          <w:rFonts w:eastAsia="SimSun"/>
        </w:rPr>
        <w:t xml:space="preserve">Pursuant to </w:t>
      </w:r>
      <w:r w:rsidRPr="00AE7142">
        <w:rPr>
          <w:rFonts w:eastAsia="SimSun"/>
        </w:rPr>
        <w:t>section 503(b)(1)(B) of the Act</w:t>
      </w:r>
      <w:r>
        <w:rPr>
          <w:rFonts w:eastAsia="SimSun"/>
        </w:rPr>
        <w:t>,</w:t>
      </w:r>
      <w:r>
        <w:rPr>
          <w:rStyle w:val="FootnoteReference"/>
          <w:rFonts w:eastAsia="SimSun"/>
        </w:rPr>
        <w:footnoteReference w:id="24"/>
      </w:r>
      <w:r w:rsidRPr="00AE7142">
        <w:rPr>
          <w:rFonts w:eastAsia="SimSun"/>
        </w:rPr>
        <w:t xml:space="preserve">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25"/>
      </w:r>
      <w:r w:rsidRPr="00AE7142">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26"/>
      </w:r>
      <w:r w:rsidRPr="00AE7142">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27"/>
      </w:r>
      <w:r w:rsidRPr="00AE7142">
        <w:rPr>
          <w:rFonts w:eastAsia="SimSun"/>
        </w:rPr>
        <w:t xml:space="preserve"> and the Commission has so interpreted the term in the section 503(b) context.</w:t>
      </w:r>
      <w:r>
        <w:rPr>
          <w:rFonts w:eastAsia="SimSun"/>
          <w:vertAlign w:val="superscript"/>
        </w:rPr>
        <w:footnoteReference w:id="28"/>
      </w:r>
      <w:r w:rsidRPr="00AE7142">
        <w:rPr>
          <w:rFonts w:eastAsia="SimSun"/>
        </w:rPr>
        <w:t xml:space="preserve">  </w:t>
      </w:r>
      <w:r w:rsidRPr="008053DF">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9"/>
      </w:r>
      <w:r w:rsidRPr="008053DF">
        <w:t xml:space="preserve">  </w:t>
      </w:r>
    </w:p>
    <w:p w:rsidR="00D44420" w:rsidP="00D44420" w14:paraId="2597DCEF" w14:textId="16F847CF">
      <w:pPr>
        <w:pStyle w:val="ParaNum"/>
        <w:widowControl/>
      </w:pPr>
      <w:r w:rsidRPr="00D44420">
        <w:rPr>
          <w:i/>
        </w:rPr>
        <w:t>Apparent Violation</w:t>
      </w:r>
      <w:r w:rsidRPr="008053DF">
        <w:t xml:space="preserve">. </w:t>
      </w:r>
      <w:r w:rsidRPr="00D44420">
        <w:rPr>
          <w:i/>
          <w:iCs/>
          <w:spacing w:val="-3"/>
        </w:rPr>
        <w:t xml:space="preserve"> </w:t>
      </w:r>
      <w:r w:rsidRPr="00D44420">
        <w:rPr>
          <w:spacing w:val="-3"/>
        </w:rPr>
        <w:t xml:space="preserve">The facts recited above appear to demonstrate that G.I.G. willfully violated </w:t>
      </w:r>
      <w:r w:rsidRPr="008053DF">
        <w:t>section 74.788(a) of the Rules</w:t>
      </w:r>
      <w:r>
        <w:t xml:space="preserve"> by failing to file a timely license to cover application upon completion of construction of the Station in April 2020.</w:t>
      </w:r>
      <w:r>
        <w:rPr>
          <w:rStyle w:val="FootnoteReference"/>
        </w:rPr>
        <w:footnoteReference w:id="30"/>
      </w:r>
      <w:r>
        <w:t xml:space="preserve">  </w:t>
      </w:r>
      <w:r w:rsidRPr="008053DF">
        <w:t>G.I.G. stated that its failure to timely file for a license to cover was inadvertent</w:t>
      </w:r>
      <w:r>
        <w:t xml:space="preserve"> and its actions (or lack thereof) were taken at the advice of its engineering consultant</w:t>
      </w:r>
      <w:r w:rsidRPr="008053DF">
        <w:t>.  However, it is well settled precedent that licensees are responsible for compliance with the Commission’s rules and that inadvertence does not excuse a violation or non-compliance</w:t>
      </w:r>
      <w:r>
        <w:t>.</w:t>
      </w:r>
      <w:r w:rsidRPr="008053DF">
        <w:rPr>
          <w:rStyle w:val="FootnoteReference"/>
        </w:rPr>
        <w:t xml:space="preserve"> </w:t>
      </w:r>
      <w:r>
        <w:rPr>
          <w:rStyle w:val="FootnoteReference"/>
        </w:rPr>
        <w:footnoteReference w:id="31"/>
      </w:r>
      <w:r>
        <w:rPr>
          <w:rStyle w:val="FootnoteReference"/>
        </w:rPr>
        <w:t xml:space="preserve"> </w:t>
      </w:r>
      <w:r>
        <w:t xml:space="preserve"> Furthermore,</w:t>
      </w:r>
      <w:r w:rsidRPr="008053DF">
        <w:t xml:space="preserve"> </w:t>
      </w:r>
      <w:r w:rsidRPr="00BB062E">
        <w:t>applicants and licensees are responsible for the errors of their staff.</w:t>
      </w:r>
      <w:r>
        <w:rPr>
          <w:rStyle w:val="FootnoteReference"/>
        </w:rPr>
        <w:footnoteReference w:id="32"/>
      </w:r>
      <w:r>
        <w:t xml:space="preserve">  Even though the Station is currently silent, as a result of its failure to file a timely license to cover, </w:t>
      </w:r>
      <w:r w:rsidRPr="008053DF">
        <w:t xml:space="preserve">G.I.G. also engaged in unauthorized operation for over two years </w:t>
      </w:r>
      <w:r>
        <w:t xml:space="preserve">(April 21, 2020 through July 27, 2022) </w:t>
      </w:r>
      <w:r w:rsidRPr="008053DF">
        <w:t xml:space="preserve">in violation </w:t>
      </w:r>
      <w:r>
        <w:br w:type="page"/>
      </w:r>
      <w:r w:rsidRPr="008053DF">
        <w:t xml:space="preserve">of section </w:t>
      </w:r>
      <w:r>
        <w:t>73.1745 of the Rules</w:t>
      </w:r>
      <w:r>
        <w:rPr>
          <w:rStyle w:val="FootnoteReference"/>
        </w:rPr>
        <w:footnoteReference w:id="33"/>
      </w:r>
      <w:r>
        <w:t xml:space="preserve"> and </w:t>
      </w:r>
      <w:r w:rsidRPr="008053DF">
        <w:t>301 of the Act.</w:t>
      </w:r>
      <w:r>
        <w:rPr>
          <w:rStyle w:val="FootnoteReference"/>
        </w:rPr>
        <w:footnoteReference w:id="34"/>
      </w:r>
      <w:r w:rsidRPr="008053DF">
        <w:t xml:space="preserve">  </w:t>
      </w:r>
      <w:r>
        <w:t>We therefore find that G.I.G. has apparently violated the Rules and Act and is apparently liable for forfeiture.</w:t>
      </w:r>
    </w:p>
    <w:p w:rsidR="00D44420" w:rsidP="00D44420" w14:paraId="04C8E18F" w14:textId="77777777">
      <w:pPr>
        <w:pStyle w:val="ParaNum"/>
      </w:pPr>
      <w:r w:rsidRPr="00D44420">
        <w:rPr>
          <w:i/>
          <w:iCs/>
        </w:rPr>
        <w:t>Proposed Forfeiture Amount</w:t>
      </w:r>
      <w:r>
        <w:t xml:space="preserve">.  </w:t>
      </w:r>
      <w:r w:rsidRPr="008053DF">
        <w:t xml:space="preserve">The Commission's </w:t>
      </w:r>
      <w:r w:rsidRPr="00D44420">
        <w:rPr>
          <w:i/>
        </w:rPr>
        <w:t>Forfeiture Policy Statement</w:t>
      </w:r>
      <w:r w:rsidRPr="008053DF">
        <w:t xml:space="preserve"> and section 1.80(b)(10) of the Rules establish a base forfeiture amount of $3,000 for the failure to file a required form.</w:t>
      </w:r>
      <w:r>
        <w:rPr>
          <w:rStyle w:val="FootnoteReference"/>
          <w:szCs w:val="22"/>
        </w:rPr>
        <w:footnoteReference w:id="35"/>
      </w:r>
      <w:r w:rsidRPr="008053DF">
        <w:t xml:space="preserve">  The guidelines also specify a base forfeiture amount of $10,000 for construction and operation without an instrument of authorization for the service.</w:t>
      </w:r>
      <w:r>
        <w:rPr>
          <w:rStyle w:val="FootnoteReference"/>
        </w:rPr>
        <w:footnoteReference w:id="36"/>
      </w:r>
      <w:r w:rsidRPr="008053DF">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37"/>
      </w:r>
      <w:r w:rsidRPr="008053DF">
        <w:t xml:space="preserve">  </w:t>
      </w:r>
    </w:p>
    <w:p w:rsidR="00D44420" w:rsidP="00D44420" w14:paraId="6A2A6662" w14:textId="77777777">
      <w:pPr>
        <w:pStyle w:val="ParaNum"/>
      </w:pPr>
      <w:r w:rsidRPr="008053DF">
        <w:t xml:space="preserve">In this case, G.I.G. failed to timely-file for a license to cover and engaged in unauthorized operation of the Station for over two years.  </w:t>
      </w:r>
      <w:r w:rsidRPr="00D44420">
        <w:rPr>
          <w:szCs w:val="22"/>
        </w:rPr>
        <w:t xml:space="preserve">Taking into consideration all of the factors required by section 503(b)(2)(E) of the Act and the </w:t>
      </w:r>
      <w:r w:rsidRPr="00D44420">
        <w:rPr>
          <w:i/>
          <w:szCs w:val="22"/>
        </w:rPr>
        <w:t>Forfeiture Policy Statement</w:t>
      </w:r>
      <w:r w:rsidRPr="00D44420">
        <w:rPr>
          <w:szCs w:val="22"/>
        </w:rPr>
        <w:t>, we will reduce the forfeiture from the base amount to $6,500 because, as a low power station, KPCO-LP is providing a secondary service.</w:t>
      </w:r>
      <w:r>
        <w:rPr>
          <w:rStyle w:val="FootnoteReference"/>
          <w:szCs w:val="22"/>
        </w:rPr>
        <w:footnoteReference w:id="38"/>
      </w:r>
      <w:r w:rsidRPr="008053DF">
        <w:t xml:space="preserve">  While in other cases we have fined other low power television and TV translator licensees $3,500 for similar violations,</w:t>
      </w:r>
      <w:r>
        <w:rPr>
          <w:rStyle w:val="FootnoteReference"/>
        </w:rPr>
        <w:footnoteReference w:id="39"/>
      </w:r>
      <w:r w:rsidRPr="008053DF">
        <w:t xml:space="preserve"> we believe an increased amount is warranted here given the lengthy period of time (over two years) the Station engaged in unauthorized operation compared to those other cases (four to six months).  Stations are only permitted to commence operation pursuant to a valid instrument of authorization and we find that G.I.G.’s failure represents extreme disregard of Commission’s licensing processes and the Act itself.  </w:t>
      </w:r>
    </w:p>
    <w:p w:rsidR="00D44420" w:rsidP="00D44420" w14:paraId="63BA3C32" w14:textId="77777777">
      <w:pPr>
        <w:pStyle w:val="ParaNum"/>
      </w:pPr>
      <w:r w:rsidRPr="00D44420">
        <w:rPr>
          <w:i/>
          <w:iCs/>
          <w:szCs w:val="22"/>
        </w:rPr>
        <w:t>Renewal Application</w:t>
      </w:r>
      <w:r w:rsidRPr="00D44420">
        <w:rPr>
          <w:szCs w:val="22"/>
        </w:rPr>
        <w:t>.  In evaluating an application for license renewal, the Commission’s decision is governed by Section 309(k) of the Act.</w:t>
      </w:r>
      <w:r>
        <w:rPr>
          <w:rStyle w:val="FootnoteReference"/>
          <w:sz w:val="22"/>
          <w:szCs w:val="22"/>
        </w:rPr>
        <w:footnoteReference w:id="40"/>
      </w:r>
      <w:r w:rsidRPr="00D44420">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w:t>
      </w:r>
      <w:r w:rsidRPr="00D44420">
        <w:rPr>
          <w:szCs w:val="22"/>
        </w:rPr>
        <w:t>application.</w:t>
      </w:r>
      <w:r>
        <w:rPr>
          <w:rStyle w:val="FootnoteReference"/>
          <w:sz w:val="22"/>
          <w:szCs w:val="22"/>
        </w:rPr>
        <w:footnoteReference w:id="41"/>
      </w:r>
      <w:r w:rsidRPr="00D44420">
        <w:rPr>
          <w:szCs w:val="22"/>
        </w:rPr>
        <w:t xml:space="preserve">  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42"/>
      </w:r>
      <w:r w:rsidRPr="00D44420">
        <w:rPr>
          <w:szCs w:val="22"/>
        </w:rPr>
        <w:t xml:space="preserve">  </w:t>
      </w:r>
    </w:p>
    <w:p w:rsidR="00D44420" w:rsidP="00D44420" w14:paraId="53140080" w14:textId="77777777">
      <w:pPr>
        <w:pStyle w:val="ParaNum"/>
      </w:pPr>
      <w:r w:rsidRPr="00D44420">
        <w:rPr>
          <w:szCs w:val="22"/>
        </w:rPr>
        <w:t>In this case, we find G.I.G.’s unauthorized operation of the Station, coupled with its lack of diligence and knowledge with regards to the Commission’s rules does not warrant routine license renewal.  Not only did G.I.G. fail to file the required license application, but this error was compounded by the filing of its construction permit extension that proved to be unnecessary and contain inaccurate information. The Licensee also engaged in a pattern of failing to fully reply to the Division’s inquiries, resulting in an extensive delay in resolving the Division’s investigation and ultimately depriving the public of the service being provided by the Station.</w:t>
      </w:r>
    </w:p>
    <w:p w:rsidR="00D44420" w:rsidP="00D44420" w14:paraId="6C57EFC9" w14:textId="77777777">
      <w:pPr>
        <w:pStyle w:val="ParaNum"/>
      </w:pPr>
      <w:r w:rsidRPr="00D44420">
        <w:rPr>
          <w:color w:val="000000"/>
          <w:szCs w:val="22"/>
        </w:rPr>
        <w:t>Despite this, we find that designation for evidentiary hearing is not warranted here.  Instead, in addition to the proposed forfeiture, we put in place additional measures to ensure that the Station complies with the Act and the Rules in the future.</w:t>
      </w:r>
      <w:r w:rsidRPr="00D44420">
        <w:rPr>
          <w:szCs w:val="22"/>
        </w:rPr>
        <w:t xml:space="preserve">  Specifically, pursuant to Section 309(k)(2) of the Act, upon resolution of the forfeiture proceeding commenced herein and so long as there are no other issues that would preclude grant, we will renew the Station’s license for a term of two years.  This short-term renewal will afford the Commission an opportunity to review the Station’s compliance with the Act and the Rules and to take whatever corrective actions, if any, that may be warranted at that time.</w:t>
      </w:r>
    </w:p>
    <w:p w:rsidR="00D44420" w:rsidRPr="00D44420" w:rsidP="00D44420" w14:paraId="6C65BEAB" w14:textId="275B1596">
      <w:pPr>
        <w:pStyle w:val="ParaNum"/>
      </w:pPr>
      <w:r w:rsidRPr="00D44420">
        <w:rPr>
          <w:i/>
          <w:iCs/>
          <w:szCs w:val="22"/>
        </w:rPr>
        <w:t>Other Pending Matters</w:t>
      </w:r>
      <w:r w:rsidRPr="00D44420">
        <w:rPr>
          <w:szCs w:val="22"/>
        </w:rPr>
        <w:t>.  In light of the facts and circumstances discussed above, and our findings that forfeiture and a short term renewal are sufficient sanction for G.I.G.’s apparent violations, we will grant G.I.G.’s request for waiver of section 74.788 of the Rules and reinstate the construction permit.</w:t>
      </w:r>
      <w:r>
        <w:rPr>
          <w:rStyle w:val="FootnoteReference"/>
          <w:szCs w:val="22"/>
        </w:rPr>
        <w:footnoteReference w:id="43"/>
      </w:r>
      <w:r w:rsidRPr="00D44420">
        <w:rPr>
          <w:szCs w:val="22"/>
        </w:rPr>
        <w:t xml:space="preserve">  We will act on KCPO-LP’s Silent STA, Engineering STA, and License Application under separate action upon conclusion of this forfeiture proceeding.  </w:t>
      </w:r>
    </w:p>
    <w:p w:rsidR="00D44420" w:rsidRPr="008053DF" w:rsidP="00D44420" w14:paraId="16509970" w14:textId="77777777">
      <w:pPr>
        <w:pStyle w:val="Heading1"/>
        <w:keepNext w:val="0"/>
        <w:suppressAutoHyphens w:val="0"/>
      </w:pPr>
      <w:r w:rsidRPr="008053DF">
        <w:t>ORDERING CLAUSES</w:t>
      </w:r>
    </w:p>
    <w:p w:rsidR="00D44420" w:rsidP="00D44420" w14:paraId="08702F53" w14:textId="77777777">
      <w:pPr>
        <w:pStyle w:val="ParaNum"/>
      </w:pPr>
      <w:r w:rsidRPr="008053DF">
        <w:t xml:space="preserve">Accordingly, </w:t>
      </w:r>
      <w:r w:rsidRPr="008053DF">
        <w:rPr>
          <w:b/>
        </w:rPr>
        <w:t>IT IS ORDERED</w:t>
      </w:r>
      <w:r w:rsidRPr="008053DF">
        <w:t>, pursuant to section 503(b) of the Communications Act of 1934, as amended, and section 1.80 of the Commission’s rules,</w:t>
      </w:r>
      <w:r>
        <w:rPr>
          <w:rStyle w:val="FootnoteReference"/>
        </w:rPr>
        <w:footnoteReference w:id="44"/>
      </w:r>
      <w:r w:rsidRPr="008053DF">
        <w:t xml:space="preserve"> G.I.G. is hereby </w:t>
      </w:r>
      <w:r w:rsidRPr="008053DF">
        <w:rPr>
          <w:b/>
        </w:rPr>
        <w:t>NOTIFIED</w:t>
      </w:r>
      <w:r w:rsidRPr="008053DF">
        <w:t xml:space="preserve"> of its </w:t>
      </w:r>
      <w:r w:rsidRPr="008053DF">
        <w:rPr>
          <w:b/>
        </w:rPr>
        <w:t>APPARENT LIABILITY FOR FORFEITURE</w:t>
      </w:r>
      <w:r w:rsidRPr="008053DF">
        <w:t xml:space="preserve"> in the amount of six thousand</w:t>
      </w:r>
      <w:r>
        <w:t>,</w:t>
      </w:r>
      <w:r w:rsidRPr="008053DF">
        <w:t xml:space="preserve"> five hundred dollars ($6,500) for its apparent willful violation of section 74.788 of the Commission’s rules and</w:t>
      </w:r>
      <w:r>
        <w:t xml:space="preserve"> apparent willful and repeated violations of section 73.1745 of the Commission’s rules and</w:t>
      </w:r>
      <w:r w:rsidRPr="008053DF">
        <w:t xml:space="preserve"> section 301 of the Communications Act of 1934, as amended.</w:t>
      </w:r>
      <w:r>
        <w:rPr>
          <w:rStyle w:val="FootnoteReference"/>
        </w:rPr>
        <w:footnoteReference w:id="45"/>
      </w:r>
    </w:p>
    <w:p w:rsidR="00D44420" w:rsidP="00D44420" w14:paraId="527A1394" w14:textId="77777777">
      <w:pPr>
        <w:pStyle w:val="ParaNum"/>
      </w:pPr>
      <w:r w:rsidRPr="00D44420">
        <w:rPr>
          <w:b/>
        </w:rPr>
        <w:t>IT IS FURTHER ORDERED</w:t>
      </w:r>
      <w:r w:rsidRPr="004979F2">
        <w:t>, pursuant to section 1.80 of the Commission’s rules,</w:t>
      </w:r>
      <w:r>
        <w:rPr>
          <w:rStyle w:val="FootnoteReference"/>
        </w:rPr>
        <w:footnoteReference w:id="46"/>
      </w:r>
      <w:r w:rsidRPr="004979F2">
        <w:t xml:space="preserve"> that, within thirty (30) days of the release date of this </w:t>
      </w:r>
      <w:r w:rsidRPr="00D44420">
        <w:rPr>
          <w:i/>
        </w:rPr>
        <w:t>NAL</w:t>
      </w:r>
      <w:r w:rsidRPr="00D44420">
        <w:rPr>
          <w:iCs/>
        </w:rPr>
        <w:t>,</w:t>
      </w:r>
      <w:r w:rsidRPr="00D44420">
        <w:rPr>
          <w:i/>
        </w:rPr>
        <w:t xml:space="preserve"> </w:t>
      </w:r>
      <w:r w:rsidRPr="00D44420">
        <w:rPr>
          <w:iCs/>
        </w:rPr>
        <w:t xml:space="preserve">G.I.G. </w:t>
      </w:r>
      <w:r w:rsidRPr="00D44420">
        <w:rPr>
          <w:b/>
          <w:bCs/>
        </w:rPr>
        <w:t>SHALL PAY</w:t>
      </w:r>
      <w:r w:rsidRPr="009A4CAA">
        <w:t xml:space="preserve"> the full amount of the proposed forfeiture or </w:t>
      </w:r>
      <w:r w:rsidRPr="00D44420">
        <w:rPr>
          <w:b/>
          <w:bCs/>
        </w:rPr>
        <w:t>SHALL FILE</w:t>
      </w:r>
      <w:r w:rsidRPr="009A4CAA">
        <w:t xml:space="preserve"> a written statement seeking reduction or cancellation of the proposed forfeiture. </w:t>
      </w:r>
    </w:p>
    <w:p w:rsidR="00D44420" w:rsidRPr="00505C9E" w:rsidP="00D44420" w14:paraId="791ADA3C" w14:textId="11A3C2EF">
      <w:pPr>
        <w:pStyle w:val="ParaNum"/>
        <w:widowControl/>
      </w:pPr>
      <w:r w:rsidRPr="009A4CAA">
        <w:t>Payment of the forfeiture must be made by credit card, ACH (Automated Clearing House) debit from a bank account using CORES (the Commission’s online payment system),</w:t>
      </w:r>
      <w:r>
        <w:rPr>
          <w:rStyle w:val="FootnoteReference"/>
          <w:szCs w:val="22"/>
        </w:rPr>
        <w:footnoteReference w:id="47"/>
      </w:r>
      <w:r w:rsidRPr="009A4CAA">
        <w:t xml:space="preserve"> or by wire transfer.  Payments by check or money order to pay a forfeiture are no longer accepted.  Notification that </w:t>
      </w:r>
      <w:r w:rsidRPr="009A4CAA">
        <w:t xml:space="preserve">payment has been made must be sent on the day </w:t>
      </w:r>
      <w:r w:rsidRPr="00505C9E">
        <w:t xml:space="preserve">of payment to </w:t>
      </w:r>
      <w:r>
        <w:t>Robin.Fagan@fcc.gov</w:t>
      </w:r>
      <w:r w:rsidRPr="00505C9E">
        <w:t>.  Below are instructions that payors should follow based on the form of payment selected:</w:t>
      </w:r>
      <w:r>
        <w:rPr>
          <w:rStyle w:val="FootnoteReference"/>
          <w:szCs w:val="22"/>
        </w:rPr>
        <w:footnoteReference w:id="48"/>
      </w:r>
      <w:r w:rsidRPr="00505C9E">
        <w:t xml:space="preserve"> </w:t>
      </w:r>
    </w:p>
    <w:p w:rsidR="00D44420" w:rsidRPr="00505C9E" w:rsidP="00D44420" w14:paraId="16331A33" w14:textId="77777777">
      <w:pPr>
        <w:numPr>
          <w:ilvl w:val="0"/>
          <w:numId w:val="7"/>
        </w:numPr>
        <w:spacing w:after="120"/>
        <w:rPr>
          <w:b/>
          <w:szCs w:val="22"/>
        </w:rPr>
      </w:pPr>
      <w:r w:rsidRPr="00505C9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994382">
          <w:rPr>
            <w:rStyle w:val="Hyperlink"/>
            <w:szCs w:val="22"/>
          </w:rPr>
          <w:t>RROGWireFaxes@fcc.gov</w:t>
        </w:r>
      </w:hyperlink>
      <w:r w:rsidRPr="00505C9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49"/>
      </w:r>
      <w:r w:rsidRPr="00505C9E">
        <w:rPr>
          <w:szCs w:val="22"/>
        </w:rPr>
        <w:t xml:space="preserve">  For additional detail and wire transfer instructions, go to </w:t>
      </w:r>
      <w:hyperlink r:id="rId6" w:history="1">
        <w:r w:rsidRPr="00505C9E">
          <w:rPr>
            <w:rStyle w:val="Hyperlink"/>
            <w:color w:val="auto"/>
            <w:szCs w:val="22"/>
          </w:rPr>
          <w:t>https://www.fcc.gov/licensing-databases/fees/wire-transfer</w:t>
        </w:r>
      </w:hyperlink>
      <w:r w:rsidRPr="00505C9E">
        <w:rPr>
          <w:szCs w:val="22"/>
        </w:rPr>
        <w:t>.</w:t>
      </w:r>
    </w:p>
    <w:p w:rsidR="00D44420" w:rsidRPr="004378D5" w:rsidP="00D44420" w14:paraId="4180C74E" w14:textId="77777777">
      <w:pPr>
        <w:pStyle w:val="ParaNum"/>
        <w:numPr>
          <w:ilvl w:val="0"/>
          <w:numId w:val="7"/>
        </w:numPr>
      </w:pPr>
      <w:r w:rsidRPr="004378D5">
        <w:rPr>
          <w:szCs w:val="22"/>
        </w:rPr>
        <w:t xml:space="preserve">Payment by credit card must be made by using the Commission’s Registration System (CORES) at </w:t>
      </w:r>
      <w:hyperlink r:id="rId7" w:history="1">
        <w:r w:rsidRPr="004378D5">
          <w:rPr>
            <w:rStyle w:val="Hyperlink"/>
            <w:color w:val="auto"/>
            <w:szCs w:val="22"/>
          </w:rPr>
          <w:t>https://apps.fcc.gov/cores/userLogin.do</w:t>
        </w:r>
      </w:hyperlink>
      <w:r w:rsidRPr="004378D5">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D44420" w:rsidRPr="004378D5" w:rsidP="00D44420" w14:paraId="046ADEB2" w14:textId="77777777">
      <w:pPr>
        <w:pStyle w:val="ParaNum"/>
        <w:numPr>
          <w:ilvl w:val="0"/>
          <w:numId w:val="9"/>
        </w:numPr>
        <w:ind w:left="1080"/>
      </w:pPr>
      <w:r w:rsidRPr="004378D5">
        <w:rPr>
          <w:szCs w:val="22"/>
        </w:rPr>
        <w:t xml:space="preserve">Payment by ACH must be made by using the Commission’s Registration System (CORES) at </w:t>
      </w:r>
      <w:hyperlink r:id="rId8" w:history="1">
        <w:r w:rsidRPr="004378D5">
          <w:rPr>
            <w:rStyle w:val="Hyperlink"/>
            <w:color w:val="auto"/>
            <w:szCs w:val="22"/>
          </w:rPr>
          <w:t>https://apps.fcc.gov/cores/paymentFrnLogin.do</w:t>
        </w:r>
      </w:hyperlink>
      <w:r w:rsidRPr="004378D5">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44420" w:rsidP="00D44420" w14:paraId="46CC88B8" w14:textId="77777777">
      <w:pPr>
        <w:pStyle w:val="ParaNum"/>
      </w:pPr>
      <w:r w:rsidRPr="004378D5">
        <w:t xml:space="preserve">Any request for making full payment over time under an installment plan should be sent to:  </w:t>
      </w:r>
      <w:r w:rsidRPr="006D798E">
        <w:t>Associate Managing Director—Financial Operations, Federal Communications Commission, 45 L Street, N.E., Washington, DC 20554.</w:t>
      </w:r>
      <w:r>
        <w:rPr>
          <w:vertAlign w:val="superscript"/>
        </w:rPr>
        <w:footnoteReference w:id="50"/>
      </w:r>
      <w:r w:rsidRPr="006D798E">
        <w:t xml:space="preserve">  Questions regarding payment procedures should be directed to the Financial Operations Group Help Desk by phone, 1-877-480-3201 (option #6), or by e-mail at </w:t>
      </w:r>
      <w:hyperlink r:id="rId9" w:history="1">
        <w:r w:rsidRPr="006D798E">
          <w:rPr>
            <w:rStyle w:val="Hyperlink"/>
            <w:color w:val="auto"/>
          </w:rPr>
          <w:t>ARINQUIRIES@fcc.gov</w:t>
        </w:r>
      </w:hyperlink>
      <w:r w:rsidRPr="006D798E">
        <w:t>.</w:t>
      </w:r>
    </w:p>
    <w:p w:rsidR="00D44420" w:rsidRPr="006D798E" w:rsidP="00D44420" w14:paraId="4F99AE52" w14:textId="08EEA8C0">
      <w:pPr>
        <w:pStyle w:val="ParaNum"/>
      </w:pPr>
      <w:r w:rsidRPr="006D798E">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51"/>
      </w:r>
      <w:r w:rsidRPr="006D798E">
        <w:t xml:space="preserve">  The written response must be filed with the Office of the Secretary, Federal Communications Commission, 45 L Street NE, Washington DC 20554, </w:t>
      </w:r>
      <w:r w:rsidRPr="006D798E">
        <w:t xml:space="preserve">ATTN: Robin Fagan, Attorney-Advisor, Video Division, Media Bureau, and </w:t>
      </w:r>
      <w:r w:rsidRPr="00D44420">
        <w:rPr>
          <w:b/>
        </w:rPr>
        <w:t>MUST INCLUDE</w:t>
      </w:r>
      <w:r w:rsidRPr="006D798E">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rPr>
        <w:footnoteReference w:id="52"/>
      </w:r>
      <w:r w:rsidRPr="006D798E">
        <w:t xml:space="preserve"> A courtesy copy should also be emailed to </w:t>
      </w:r>
      <w:hyperlink r:id="rId10" w:history="1">
        <w:r w:rsidRPr="00D44420">
          <w:rPr>
            <w:rStyle w:val="Hyperlink"/>
            <w:color w:val="auto"/>
            <w:szCs w:val="22"/>
          </w:rPr>
          <w:t>Robin.Fagan@fcc.gov</w:t>
        </w:r>
      </w:hyperlink>
      <w:r w:rsidRPr="006D798E">
        <w:t xml:space="preserve"> to assist in processing the response.</w:t>
      </w:r>
    </w:p>
    <w:p w:rsidR="00D44420" w:rsidRPr="00634063" w:rsidP="00D44420" w14:paraId="55C1573B" w14:textId="77777777">
      <w:pPr>
        <w:pStyle w:val="ParaNum"/>
        <w:numPr>
          <w:ilvl w:val="0"/>
          <w:numId w:val="8"/>
        </w:numPr>
      </w:pPr>
      <w:r w:rsidRPr="00634063">
        <w:t xml:space="preserve">Commercial overnight mail (other than U.S. Postal Service Express Mail and Priority Mail) must be sent to 9050 Junction Drive, Annapolis Junction, MD 20701. </w:t>
      </w:r>
    </w:p>
    <w:p w:rsidR="00D44420" w:rsidRPr="00634063" w:rsidP="00D44420" w14:paraId="753C4B4C" w14:textId="77777777">
      <w:pPr>
        <w:pStyle w:val="ParaNum"/>
        <w:numPr>
          <w:ilvl w:val="0"/>
          <w:numId w:val="8"/>
        </w:numPr>
      </w:pPr>
      <w:r w:rsidRPr="00634063">
        <w:t>Postal Service first-class, Express, and Priority mail must be addressed to 45 L Street, NE, Washington, DC 20554.</w:t>
      </w:r>
    </w:p>
    <w:p w:rsidR="00D44420" w:rsidRPr="006D798E" w:rsidP="00D44420" w14:paraId="25218CC9" w14:textId="77777777">
      <w:pPr>
        <w:pStyle w:val="ParaNum"/>
      </w:pPr>
      <w:r w:rsidRPr="00634063">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w:t>
      </w:r>
      <w:r w:rsidRPr="00EA1411">
        <w:t xml:space="preserve">(GAAP); or (3) some other reliable and objective documentation that accurately reflects the respondent’s current financial status.  Any claim of inability to pay must specifically identify the basis for the claim by </w:t>
      </w:r>
      <w:r w:rsidRPr="006D798E">
        <w:t>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53"/>
      </w:r>
    </w:p>
    <w:p w:rsidR="00D44420" w:rsidRPr="006D798E" w:rsidP="00D44420" w14:paraId="1322BD56" w14:textId="6D1EF105">
      <w:pPr>
        <w:pStyle w:val="ParaNum"/>
      </w:pPr>
      <w:r w:rsidRPr="006D798E">
        <w:rPr>
          <w:b/>
        </w:rPr>
        <w:t xml:space="preserve">IT IS </w:t>
      </w:r>
      <w:r w:rsidR="0018076D">
        <w:rPr>
          <w:b/>
        </w:rPr>
        <w:t xml:space="preserve">FURTHER </w:t>
      </w:r>
      <w:r w:rsidRPr="006D798E">
        <w:rPr>
          <w:b/>
        </w:rPr>
        <w:t>ORDERED</w:t>
      </w:r>
      <w:r w:rsidRPr="006D798E">
        <w:t xml:space="preserve"> that copies of this </w:t>
      </w:r>
      <w:r w:rsidRPr="006D798E">
        <w:rPr>
          <w:i/>
        </w:rPr>
        <w:t>NAL</w:t>
      </w:r>
      <w:r w:rsidRPr="006D798E">
        <w:t xml:space="preserve"> shall be sent by First Class and Certified Mail, Return Receipt Requested, to Charles </w:t>
      </w:r>
      <w:r w:rsidRPr="006D798E">
        <w:t>Poppen</w:t>
      </w:r>
      <w:r w:rsidRPr="006D798E">
        <w:t xml:space="preserve">, G.I.G., Inc., P.O. Box 88336, Sioux Falls, South Dakota, 57109, as well as e-mailed to </w:t>
      </w:r>
      <w:hyperlink r:id="rId11" w:history="1">
        <w:r w:rsidRPr="006D798E">
          <w:rPr>
            <w:rStyle w:val="Hyperlink"/>
            <w:color w:val="auto"/>
            <w:szCs w:val="22"/>
          </w:rPr>
          <w:t>cpoppen@kcpo.tv</w:t>
        </w:r>
      </w:hyperlink>
      <w:r w:rsidRPr="006D798E">
        <w:t xml:space="preserve">, and to their counsel: Aaron </w:t>
      </w:r>
      <w:r w:rsidRPr="006D798E">
        <w:t>Shainis</w:t>
      </w:r>
      <w:r w:rsidRPr="006D798E">
        <w:t xml:space="preserve">, Esq., </w:t>
      </w:r>
      <w:r w:rsidRPr="006D798E">
        <w:t>Shainis</w:t>
      </w:r>
      <w:r w:rsidRPr="006D798E">
        <w:t xml:space="preserve"> &amp; Peltzman, Chartered, 850 M Street, N.W., Suite 240, Washington, DC 20036</w:t>
      </w:r>
      <w:r>
        <w:t xml:space="preserve">, as well as e-mailed to </w:t>
      </w:r>
      <w:hyperlink r:id="rId12" w:history="1">
        <w:r w:rsidRPr="00544CD3">
          <w:rPr>
            <w:rStyle w:val="Hyperlink"/>
            <w:color w:val="auto"/>
          </w:rPr>
          <w:t>aaron@s-plaw.com</w:t>
        </w:r>
      </w:hyperlink>
      <w:r w:rsidRPr="006D798E">
        <w:t>.</w:t>
      </w:r>
      <w:r>
        <w:t xml:space="preserve">   </w:t>
      </w:r>
    </w:p>
    <w:p w:rsidR="00D44420" w:rsidRPr="008346E1" w:rsidP="00D44420" w14:paraId="36C63634" w14:textId="77777777">
      <w:r w:rsidRPr="000F0B47">
        <w:rPr>
          <w:color w:val="FF0000"/>
        </w:rPr>
        <w:tab/>
      </w:r>
      <w:r w:rsidRPr="000F0B47">
        <w:rPr>
          <w:color w:val="FF0000"/>
        </w:rPr>
        <w:tab/>
      </w:r>
      <w:r w:rsidRPr="000F0B47">
        <w:rPr>
          <w:color w:val="FF0000"/>
        </w:rPr>
        <w:tab/>
      </w:r>
      <w:r w:rsidRPr="000F0B47">
        <w:rPr>
          <w:color w:val="FF0000"/>
        </w:rPr>
        <w:tab/>
      </w:r>
      <w:r w:rsidRPr="000F0B47">
        <w:rPr>
          <w:color w:val="FF0000"/>
        </w:rPr>
        <w:tab/>
      </w:r>
      <w:r w:rsidRPr="000F0B47">
        <w:rPr>
          <w:color w:val="FF0000"/>
        </w:rPr>
        <w:tab/>
      </w:r>
      <w:r w:rsidRPr="008346E1">
        <w:t>FEDERAL COMMUNICATIONS COMMISSION</w:t>
      </w:r>
    </w:p>
    <w:p w:rsidR="00D44420" w:rsidRPr="008346E1" w:rsidP="00D44420" w14:paraId="6D1A37F0" w14:textId="77777777"/>
    <w:p w:rsidR="00D44420" w:rsidRPr="008346E1" w:rsidP="00D44420" w14:paraId="21E0E43B" w14:textId="77777777">
      <w:r w:rsidRPr="008346E1">
        <w:tab/>
      </w:r>
      <w:r w:rsidRPr="008346E1">
        <w:tab/>
      </w:r>
      <w:r w:rsidRPr="008346E1">
        <w:tab/>
      </w:r>
      <w:r w:rsidRPr="008346E1">
        <w:tab/>
      </w:r>
      <w:r w:rsidRPr="008346E1">
        <w:tab/>
      </w:r>
      <w:r w:rsidRPr="008346E1">
        <w:tab/>
        <w:t>/s/</w:t>
      </w:r>
    </w:p>
    <w:p w:rsidR="00D44420" w:rsidRPr="008346E1" w:rsidP="00D44420" w14:paraId="4BA07098" w14:textId="77777777"/>
    <w:p w:rsidR="00D44420" w:rsidRPr="008346E1" w:rsidP="00D44420" w14:paraId="650C43CB" w14:textId="77777777">
      <w:r w:rsidRPr="008346E1">
        <w:tab/>
      </w:r>
      <w:r w:rsidRPr="008346E1">
        <w:tab/>
      </w:r>
      <w:r w:rsidRPr="008346E1">
        <w:tab/>
      </w:r>
      <w:r w:rsidRPr="008346E1">
        <w:tab/>
      </w:r>
      <w:r w:rsidRPr="008346E1">
        <w:tab/>
      </w:r>
      <w:r w:rsidRPr="008346E1">
        <w:tab/>
        <w:t>Barbara A. Kreisman</w:t>
      </w:r>
    </w:p>
    <w:p w:rsidR="00D44420" w:rsidRPr="008346E1" w:rsidP="00D44420" w14:paraId="2291B504" w14:textId="77777777">
      <w:r w:rsidRPr="008346E1">
        <w:tab/>
      </w:r>
      <w:r w:rsidRPr="008346E1">
        <w:tab/>
      </w:r>
      <w:r w:rsidRPr="008346E1">
        <w:tab/>
      </w:r>
      <w:r w:rsidRPr="008346E1">
        <w:tab/>
      </w:r>
      <w:r w:rsidRPr="008346E1">
        <w:tab/>
      </w:r>
      <w:r w:rsidRPr="008346E1">
        <w:tab/>
        <w:t>Chief, Video Division</w:t>
      </w:r>
    </w:p>
    <w:p w:rsidR="00412FC5" w:rsidP="00D44420" w14:paraId="2A581501" w14:textId="147F655D">
      <w:r w:rsidRPr="008346E1">
        <w:tab/>
      </w:r>
      <w:r w:rsidRPr="008346E1">
        <w:tab/>
      </w:r>
      <w:r w:rsidRPr="008346E1">
        <w:tab/>
      </w:r>
      <w:r w:rsidRPr="008346E1">
        <w:tab/>
      </w:r>
      <w:r w:rsidRPr="008346E1">
        <w:tab/>
      </w:r>
      <w:r w:rsidRPr="008346E1">
        <w:tab/>
        <w:t xml:space="preserve">Media Bureau </w:t>
      </w:r>
    </w:p>
    <w:sectPr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27CB5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2B198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44420" w14:paraId="46DBB14E" w14:textId="573BB3F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E859C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2129" w14:paraId="52E9436E" w14:textId="77777777">
      <w:r>
        <w:separator/>
      </w:r>
    </w:p>
  </w:footnote>
  <w:footnote w:type="continuationSeparator" w:id="1">
    <w:p w:rsidR="00E32129" w:rsidP="00C721AC" w14:paraId="1F60DFDE" w14:textId="77777777">
      <w:pPr>
        <w:spacing w:before="120"/>
        <w:rPr>
          <w:sz w:val="20"/>
        </w:rPr>
      </w:pPr>
      <w:r>
        <w:rPr>
          <w:sz w:val="20"/>
        </w:rPr>
        <w:t xml:space="preserve">(Continued from previous page)  </w:t>
      </w:r>
      <w:r>
        <w:rPr>
          <w:sz w:val="20"/>
        </w:rPr>
        <w:separator/>
      </w:r>
    </w:p>
  </w:footnote>
  <w:footnote w:type="continuationNotice" w:id="2">
    <w:p w:rsidR="00E32129" w:rsidP="00C721AC" w14:paraId="57607F9F" w14:textId="77777777">
      <w:pPr>
        <w:jc w:val="right"/>
        <w:rPr>
          <w:sz w:val="20"/>
        </w:rPr>
      </w:pPr>
      <w:r>
        <w:rPr>
          <w:sz w:val="20"/>
        </w:rPr>
        <w:t>(continued….)</w:t>
      </w:r>
    </w:p>
  </w:footnote>
  <w:footnote w:id="3">
    <w:p w:rsidR="00D44420" w:rsidRPr="008346E1" w:rsidP="00D44420" w14:paraId="22BFD8C5" w14:textId="77777777">
      <w:pPr>
        <w:pStyle w:val="FootnoteText"/>
        <w:widowControl w:val="0"/>
        <w:rPr>
          <w:color w:val="FF0000"/>
        </w:rPr>
      </w:pPr>
      <w:r w:rsidRPr="006B0465">
        <w:rPr>
          <w:rStyle w:val="FootnoteReference"/>
        </w:rPr>
        <w:footnoteRef/>
      </w:r>
      <w:r w:rsidRPr="006B0465">
        <w:t xml:space="preserve"> This </w:t>
      </w:r>
      <w:r w:rsidRPr="006B0465">
        <w:rPr>
          <w:i/>
        </w:rPr>
        <w:t xml:space="preserve">NAL </w:t>
      </w:r>
      <w:r w:rsidRPr="006B0465">
        <w:t xml:space="preserve">is issued pursuant to sections 309(k) and 503(b) of the Communications Act of 1934, as amended (Act), and section 1.80 of the Commission’s rules (Rules).  </w:t>
      </w:r>
      <w:r w:rsidRPr="006B0465">
        <w:rPr>
          <w:i/>
        </w:rPr>
        <w:t>See</w:t>
      </w:r>
      <w:r w:rsidRPr="006B0465">
        <w:t xml:space="preserve"> 47 U.S.C. §§ 309(k), 503(b); 47 CFR § 1.80.  The Bureau has delegated authority to issue the </w:t>
      </w:r>
      <w:r w:rsidRPr="006B0465">
        <w:rPr>
          <w:i/>
          <w:iCs/>
        </w:rPr>
        <w:t>NAL</w:t>
      </w:r>
      <w:r w:rsidRPr="006B0465">
        <w:t xml:space="preserve"> under section 0.283 of the Rules.  </w:t>
      </w:r>
      <w:r w:rsidRPr="006B0465">
        <w:rPr>
          <w:i/>
        </w:rPr>
        <w:t>See</w:t>
      </w:r>
      <w:r w:rsidRPr="006B0465">
        <w:t xml:space="preserve"> 47 CFR § 0.283.</w:t>
      </w:r>
    </w:p>
  </w:footnote>
  <w:footnote w:id="4">
    <w:p w:rsidR="00D44420" w:rsidRPr="008346E1" w:rsidP="00D44420" w14:paraId="34EBC32D" w14:textId="77777777">
      <w:pPr>
        <w:shd w:val="clear" w:color="auto" w:fill="FFFFFF"/>
        <w:tabs>
          <w:tab w:val="left" w:pos="125"/>
        </w:tabs>
        <w:spacing w:after="120"/>
        <w:ind w:left="14"/>
        <w:rPr>
          <w:color w:val="FF0000"/>
          <w:sz w:val="20"/>
        </w:rPr>
      </w:pPr>
      <w:r w:rsidRPr="00391035">
        <w:rPr>
          <w:rStyle w:val="FootnoteReference"/>
        </w:rPr>
        <w:footnoteRef/>
      </w:r>
      <w:r w:rsidRPr="00391035">
        <w:rPr>
          <w:sz w:val="20"/>
        </w:rPr>
        <w:t xml:space="preserve"> </w:t>
      </w:r>
      <w:r w:rsidRPr="00391035">
        <w:rPr>
          <w:i/>
          <w:iCs/>
          <w:sz w:val="20"/>
        </w:rPr>
        <w:t xml:space="preserve">See </w:t>
      </w:r>
      <w:r w:rsidRPr="00391035">
        <w:rPr>
          <w:sz w:val="20"/>
        </w:rPr>
        <w:t>47 CFR § 74.788</w:t>
      </w:r>
      <w:r>
        <w:rPr>
          <w:sz w:val="20"/>
        </w:rPr>
        <w:t xml:space="preserve"> (2022)</w:t>
      </w:r>
      <w:r w:rsidRPr="00391035">
        <w:rPr>
          <w:sz w:val="20"/>
        </w:rPr>
        <w:t>.</w:t>
      </w:r>
      <w:r>
        <w:rPr>
          <w:sz w:val="20"/>
        </w:rPr>
        <w:t xml:space="preserve">  Effective October 24, 2022, 47 CFR § 74.788 of the Commission’s rules was eliminated and found by the commission to be duplicative with 47 CFR § 73.3598 of the Rules</w:t>
      </w:r>
      <w:r w:rsidRPr="00796EDF">
        <w:rPr>
          <w:sz w:val="20"/>
        </w:rPr>
        <w:t xml:space="preserve">. </w:t>
      </w:r>
      <w:r w:rsidRPr="00796EDF">
        <w:rPr>
          <w:i/>
          <w:iCs/>
          <w:sz w:val="20"/>
        </w:rPr>
        <w:t>See</w:t>
      </w:r>
      <w:r w:rsidRPr="00796EDF">
        <w:rPr>
          <w:sz w:val="20"/>
        </w:rPr>
        <w:t xml:space="preserve"> </w:t>
      </w:r>
      <w:r w:rsidRPr="00865B9B">
        <w:rPr>
          <w:sz w:val="20"/>
        </w:rPr>
        <w:t>87 FR 58200, Oct. 24, 2022</w:t>
      </w:r>
      <w:r>
        <w:t xml:space="preserve">; </w:t>
      </w:r>
      <w:r w:rsidRPr="00796EDF">
        <w:rPr>
          <w:i/>
          <w:iCs/>
          <w:color w:val="000000"/>
          <w:sz w:val="20"/>
          <w:bdr w:val="none" w:sz="0" w:space="0" w:color="auto" w:frame="1"/>
        </w:rPr>
        <w:t xml:space="preserve">In the Matter of Amend. of Parts 73 and 74 of the Commission's Rules to Establish Rules for Digital Low Power Television and Television Translator Stations, Update of Parts 74 </w:t>
      </w:r>
      <w:r w:rsidRPr="00796EDF">
        <w:rPr>
          <w:i/>
          <w:iCs/>
          <w:sz w:val="20"/>
        </w:rPr>
        <w:t>of the Commission’s Rules Related to Low Power Television and Television Translator Stations</w:t>
      </w:r>
      <w:r w:rsidRPr="00796EDF">
        <w:rPr>
          <w:color w:val="000000"/>
          <w:sz w:val="20"/>
          <w:bdr w:val="none" w:sz="0" w:space="0" w:color="auto" w:frame="1"/>
        </w:rPr>
        <w:t>, FCC 22-58 (July 13, 2022)</w:t>
      </w:r>
      <w:r>
        <w:rPr>
          <w:sz w:val="20"/>
        </w:rPr>
        <w:t>; 47 CFR § 74.780 (</w:t>
      </w:r>
      <w:r>
        <w:rPr>
          <w:sz w:val="20"/>
        </w:rPr>
        <w:t>bbb</w:t>
      </w:r>
      <w:r>
        <w:rPr>
          <w:sz w:val="20"/>
        </w:rPr>
        <w:t>) (making 47 CFR § 73.3598 applicable to all TV translator and LPTV stations).  At the time the violation at issue occurred, 47 CFR § 74.788 was in effect; however, to the extent necessary we also find that the Licensee violated 47 CFR § 73.3598.</w:t>
      </w:r>
    </w:p>
  </w:footnote>
  <w:footnote w:id="5">
    <w:p w:rsidR="00D44420" w:rsidRPr="008346E1" w:rsidP="00D44420" w14:paraId="53AB73C2" w14:textId="77777777">
      <w:pPr>
        <w:shd w:val="clear" w:color="auto" w:fill="FFFFFF"/>
        <w:tabs>
          <w:tab w:val="left" w:pos="125"/>
        </w:tabs>
        <w:spacing w:after="120"/>
        <w:ind w:left="14"/>
        <w:rPr>
          <w:color w:val="FF0000"/>
          <w:sz w:val="20"/>
        </w:rPr>
      </w:pPr>
      <w:r w:rsidRPr="00391035">
        <w:rPr>
          <w:rStyle w:val="FootnoteReference"/>
        </w:rPr>
        <w:footnoteRef/>
      </w:r>
      <w:r w:rsidRPr="00391035">
        <w:rPr>
          <w:sz w:val="20"/>
        </w:rPr>
        <w:t xml:space="preserve"> </w:t>
      </w:r>
      <w:r w:rsidRPr="00391035">
        <w:rPr>
          <w:i/>
          <w:sz w:val="20"/>
        </w:rPr>
        <w:t>See</w:t>
      </w:r>
      <w:r w:rsidRPr="00391035">
        <w:rPr>
          <w:sz w:val="20"/>
        </w:rPr>
        <w:t xml:space="preserve"> </w:t>
      </w:r>
      <w:r>
        <w:rPr>
          <w:sz w:val="20"/>
        </w:rPr>
        <w:t xml:space="preserve">47 CFR § 73.1745 and </w:t>
      </w:r>
      <w:r w:rsidRPr="00391035">
        <w:rPr>
          <w:sz w:val="20"/>
        </w:rPr>
        <w:t>47 U.S.C. § 301.</w:t>
      </w:r>
    </w:p>
  </w:footnote>
  <w:footnote w:id="6">
    <w:p w:rsidR="00D44420" w:rsidP="00D44420" w14:paraId="7384AE38" w14:textId="77777777">
      <w:pPr>
        <w:pStyle w:val="FootnoteText"/>
        <w:widowControl w:val="0"/>
      </w:pPr>
      <w:r>
        <w:rPr>
          <w:rStyle w:val="FootnoteReference"/>
        </w:rPr>
        <w:footnoteRef/>
      </w:r>
      <w:r>
        <w:t xml:space="preserve"> </w:t>
      </w:r>
      <w:r w:rsidRPr="005E5565">
        <w:rPr>
          <w:i/>
          <w:iCs/>
        </w:rPr>
        <w:t>See</w:t>
      </w:r>
      <w:r>
        <w:t xml:space="preserve"> LMS File No</w:t>
      </w:r>
      <w:r w:rsidRPr="00266D6B">
        <w:t>. 0000176044.</w:t>
      </w:r>
    </w:p>
  </w:footnote>
  <w:footnote w:id="7">
    <w:p w:rsidR="00D44420" w:rsidRPr="00A1651A" w:rsidP="00D44420" w14:paraId="441C84E4" w14:textId="77777777">
      <w:pPr>
        <w:widowControl/>
        <w:autoSpaceDE w:val="0"/>
        <w:autoSpaceDN w:val="0"/>
        <w:adjustRightInd w:val="0"/>
        <w:spacing w:after="120"/>
        <w:rPr>
          <w:i/>
          <w:iCs/>
          <w:sz w:val="20"/>
          <w:highlight w:val="yellow"/>
        </w:rPr>
      </w:pPr>
      <w:r w:rsidRPr="0063313F">
        <w:rPr>
          <w:rStyle w:val="FootnoteReference"/>
        </w:rPr>
        <w:footnoteRef/>
      </w:r>
      <w:r w:rsidRPr="0063313F">
        <w:t xml:space="preserve"> </w:t>
      </w:r>
      <w:r w:rsidRPr="0063313F">
        <w:rPr>
          <w:i/>
          <w:iCs/>
          <w:sz w:val="20"/>
        </w:rPr>
        <w:t xml:space="preserve">See </w:t>
      </w:r>
      <w:r w:rsidRPr="0063313F">
        <w:rPr>
          <w:sz w:val="20"/>
        </w:rPr>
        <w:t>47 CFR § 74.788(a)</w:t>
      </w:r>
      <w:r>
        <w:rPr>
          <w:sz w:val="20"/>
        </w:rPr>
        <w:t xml:space="preserve"> (2022)</w:t>
      </w:r>
      <w:r w:rsidRPr="00665F5B">
        <w:rPr>
          <w:sz w:val="20"/>
        </w:rPr>
        <w:t>;</w:t>
      </w:r>
      <w:r w:rsidRPr="0063313F">
        <w:rPr>
          <w:i/>
          <w:iCs/>
          <w:sz w:val="20"/>
        </w:rPr>
        <w:t xml:space="preserve"> Amendment of Parts 73 and 74 of the Commission’s Rules to Establish Rules for Digital Low Power Television and Television Translator Stations, </w:t>
      </w:r>
      <w:r w:rsidRPr="0063313F">
        <w:rPr>
          <w:sz w:val="20"/>
        </w:rPr>
        <w:t>MB Docket No. 03-185, Third Report and Order</w:t>
      </w:r>
      <w:r w:rsidRPr="0063313F">
        <w:rPr>
          <w:i/>
          <w:iCs/>
          <w:sz w:val="20"/>
        </w:rPr>
        <w:t xml:space="preserve"> </w:t>
      </w:r>
      <w:r w:rsidRPr="0063313F">
        <w:rPr>
          <w:sz w:val="20"/>
        </w:rPr>
        <w:t xml:space="preserve">and Fourth Notice of Proposed Rulemaking, 30 FCC </w:t>
      </w:r>
      <w:r w:rsidRPr="0063313F">
        <w:rPr>
          <w:sz w:val="20"/>
        </w:rPr>
        <w:t>Rcd</w:t>
      </w:r>
      <w:r w:rsidRPr="0063313F">
        <w:rPr>
          <w:sz w:val="20"/>
        </w:rPr>
        <w:t xml:space="preserve"> 14927, 14932-33, para. 9 (2015).  In that decision, the Commission extended the LPTV digital transition date and all valid digital construction permit expiration dates for analog stations until 12 months following the completion of the 39-month post-Incentive Auction transition period, or 51 months from the completion of the Incentive Auction and the release of the </w:t>
      </w:r>
      <w:r w:rsidRPr="0063313F">
        <w:rPr>
          <w:i/>
          <w:iCs/>
          <w:sz w:val="20"/>
        </w:rPr>
        <w:t>Closing and Channel Reassignment Public Notice</w:t>
      </w:r>
      <w:r w:rsidRPr="0063313F">
        <w:rPr>
          <w:sz w:val="20"/>
        </w:rPr>
        <w:t xml:space="preserve">.  </w:t>
      </w:r>
      <w:r w:rsidRPr="0063313F">
        <w:rPr>
          <w:i/>
          <w:iCs/>
          <w:sz w:val="20"/>
        </w:rPr>
        <w:t>Id.  See Incentive Auction Closing and Channel Reassignment Public Notice: The Broadcast Television Incentive Auction Closes;</w:t>
      </w:r>
      <w:r w:rsidRPr="0063313F">
        <w:rPr>
          <w:sz w:val="20"/>
        </w:rPr>
        <w:t xml:space="preserve"> </w:t>
      </w:r>
      <w:r w:rsidRPr="0063313F">
        <w:rPr>
          <w:i/>
          <w:iCs/>
          <w:sz w:val="20"/>
        </w:rPr>
        <w:t>Reverse Auction and Forward Auction Results Announced; Final Television Band Channel Assignments Announced;</w:t>
      </w:r>
      <w:r w:rsidRPr="0063313F">
        <w:rPr>
          <w:sz w:val="20"/>
        </w:rPr>
        <w:t xml:space="preserve"> </w:t>
      </w:r>
      <w:r w:rsidRPr="0063313F">
        <w:rPr>
          <w:i/>
          <w:iCs/>
          <w:sz w:val="20"/>
        </w:rPr>
        <w:t>Post-Auction Deadlines Announced</w:t>
      </w:r>
      <w:r w:rsidRPr="0063313F">
        <w:rPr>
          <w:sz w:val="20"/>
        </w:rPr>
        <w:t xml:space="preserve">, Public Notice, 32 FCC </w:t>
      </w:r>
      <w:r w:rsidRPr="0063313F">
        <w:rPr>
          <w:sz w:val="20"/>
        </w:rPr>
        <w:t>Rcd</w:t>
      </w:r>
      <w:r w:rsidRPr="0063313F">
        <w:rPr>
          <w:sz w:val="20"/>
        </w:rPr>
        <w:t xml:space="preserve"> 2786 (IATF and MB 2018) (</w:t>
      </w:r>
      <w:r w:rsidRPr="0063313F">
        <w:rPr>
          <w:i/>
          <w:iCs/>
          <w:sz w:val="20"/>
        </w:rPr>
        <w:t>Closing and Channel</w:t>
      </w:r>
      <w:r w:rsidRPr="0063313F">
        <w:rPr>
          <w:sz w:val="20"/>
        </w:rPr>
        <w:t xml:space="preserve"> </w:t>
      </w:r>
      <w:r w:rsidRPr="0063313F">
        <w:rPr>
          <w:i/>
          <w:iCs/>
          <w:sz w:val="20"/>
        </w:rPr>
        <w:t>Reassignment Public Notice</w:t>
      </w:r>
      <w:r w:rsidRPr="0063313F">
        <w:rPr>
          <w:sz w:val="20"/>
        </w:rPr>
        <w:t xml:space="preserve">).  Given the April 13, 2017 release date of the </w:t>
      </w:r>
      <w:r w:rsidRPr="0063313F">
        <w:rPr>
          <w:i/>
          <w:iCs/>
          <w:sz w:val="20"/>
        </w:rPr>
        <w:t>Closing and Channel Reassignment Public Notice</w:t>
      </w:r>
      <w:r w:rsidRPr="0063313F">
        <w:rPr>
          <w:sz w:val="20"/>
        </w:rPr>
        <w:t xml:space="preserve">, the LPTV digital transition date and expiration date of </w:t>
      </w:r>
      <w:r w:rsidRPr="00A1651A">
        <w:rPr>
          <w:sz w:val="20"/>
        </w:rPr>
        <w:t xml:space="preserve">all analog stations’ digital construction permits were set as July 13, 2021.  47 CFR § 74.731.  </w:t>
      </w:r>
      <w:r w:rsidRPr="00A1651A">
        <w:rPr>
          <w:i/>
          <w:iCs/>
          <w:sz w:val="20"/>
        </w:rPr>
        <w:t>See e.g., Media Bureau Reminds Low Power Television and Television Translator Stations of July 13, 2021, Digital Transition Date</w:t>
      </w:r>
      <w:r w:rsidRPr="00A1651A">
        <w:rPr>
          <w:sz w:val="20"/>
        </w:rPr>
        <w:t xml:space="preserve">, Public Notice, 36 FCC </w:t>
      </w:r>
      <w:r w:rsidRPr="00A1651A">
        <w:rPr>
          <w:sz w:val="20"/>
        </w:rPr>
        <w:t>Rcd</w:t>
      </w:r>
      <w:r w:rsidRPr="00A1651A">
        <w:rPr>
          <w:sz w:val="20"/>
        </w:rPr>
        <w:t xml:space="preserve"> 4771 (MB 2021).  </w:t>
      </w:r>
    </w:p>
  </w:footnote>
  <w:footnote w:id="8">
    <w:p w:rsidR="00D44420" w:rsidRPr="00982221" w:rsidP="00D44420" w14:paraId="1523040F" w14:textId="77777777">
      <w:pPr>
        <w:pStyle w:val="FootnoteText"/>
        <w:widowControl w:val="0"/>
      </w:pPr>
      <w:r>
        <w:rPr>
          <w:rStyle w:val="FootnoteReference"/>
        </w:rPr>
        <w:footnoteRef/>
      </w:r>
      <w:r>
        <w:t xml:space="preserve"> LMS </w:t>
      </w:r>
      <w:r w:rsidRPr="00A1651A">
        <w:t>F</w:t>
      </w:r>
      <w:r>
        <w:t>ile No</w:t>
      </w:r>
      <w:r w:rsidRPr="00982221">
        <w:t>. 0000110806.</w:t>
      </w:r>
    </w:p>
  </w:footnote>
  <w:footnote w:id="9">
    <w:p w:rsidR="00D44420" w:rsidRPr="00D86FA8" w:rsidP="00D44420" w14:paraId="7B5F7622" w14:textId="77777777">
      <w:pPr>
        <w:pStyle w:val="FootnoteText"/>
        <w:widowControl w:val="0"/>
      </w:pPr>
      <w:r>
        <w:rPr>
          <w:rStyle w:val="FootnoteReference"/>
        </w:rPr>
        <w:footnoteRef/>
      </w:r>
      <w:r>
        <w:t xml:space="preserve"> </w:t>
      </w:r>
      <w:r>
        <w:rPr>
          <w:i/>
          <w:iCs/>
        </w:rPr>
        <w:t xml:space="preserve">See </w:t>
      </w:r>
      <w:r w:rsidRPr="00D86FA8">
        <w:t>47 CFR § 74.788(a) (2022)</w:t>
      </w:r>
      <w:r>
        <w:t>.</w:t>
      </w:r>
      <w:r w:rsidRPr="00D86FA8">
        <w:t xml:space="preserve"> </w:t>
      </w:r>
      <w:r>
        <w:t xml:space="preserve"> </w:t>
      </w:r>
      <w:r>
        <w:rPr>
          <w:i/>
          <w:iCs/>
        </w:rPr>
        <w:t xml:space="preserve">See supra </w:t>
      </w:r>
      <w:r w:rsidRPr="0079226C">
        <w:t>n</w:t>
      </w:r>
      <w:r>
        <w:t>.</w:t>
      </w:r>
      <w:r w:rsidRPr="0079226C">
        <w:t xml:space="preserve"> 2.</w:t>
      </w:r>
    </w:p>
  </w:footnote>
  <w:footnote w:id="10">
    <w:p w:rsidR="00D44420" w:rsidRPr="00A1651A" w:rsidP="00D44420" w14:paraId="1843E985" w14:textId="77777777">
      <w:pPr>
        <w:pStyle w:val="FootnoteText"/>
        <w:widowControl w:val="0"/>
        <w:rPr>
          <w:highlight w:val="yellow"/>
        </w:rPr>
      </w:pPr>
      <w:r w:rsidRPr="00A1651A">
        <w:rPr>
          <w:rStyle w:val="FootnoteReference"/>
        </w:rPr>
        <w:footnoteRef/>
      </w:r>
      <w:r w:rsidRPr="00A1651A">
        <w:t xml:space="preserve"> </w:t>
      </w:r>
      <w:r>
        <w:t xml:space="preserve">LMS </w:t>
      </w:r>
      <w:r w:rsidRPr="00A1651A">
        <w:t>File No. 0000139698.</w:t>
      </w:r>
    </w:p>
  </w:footnote>
  <w:footnote w:id="11">
    <w:p w:rsidR="00D44420" w:rsidP="00D44420" w14:paraId="00624DD7" w14:textId="77777777">
      <w:pPr>
        <w:pStyle w:val="FootnoteText"/>
        <w:widowControl w:val="0"/>
      </w:pPr>
      <w:r>
        <w:rPr>
          <w:rStyle w:val="FootnoteReference"/>
        </w:rPr>
        <w:footnoteRef/>
      </w:r>
      <w:r>
        <w:t xml:space="preserve"> LMS File No. </w:t>
      </w:r>
      <w:r w:rsidRPr="00E94E22">
        <w:t>0000196169</w:t>
      </w:r>
      <w:r>
        <w:t xml:space="preserve"> (Silent STA).</w:t>
      </w:r>
    </w:p>
  </w:footnote>
  <w:footnote w:id="12">
    <w:p w:rsidR="00D44420" w:rsidP="00D44420" w14:paraId="5650DF43" w14:textId="77777777">
      <w:pPr>
        <w:pStyle w:val="FootnoteText"/>
        <w:widowControl w:val="0"/>
      </w:pPr>
      <w:r>
        <w:rPr>
          <w:rStyle w:val="FootnoteReference"/>
        </w:rPr>
        <w:footnoteRef/>
      </w:r>
      <w:r>
        <w:t xml:space="preserve"> LMS File No. </w:t>
      </w:r>
      <w:r w:rsidRPr="00CB45D5">
        <w:t>0000195312</w:t>
      </w:r>
      <w:r>
        <w:t xml:space="preserve"> (Engineering STA)</w:t>
      </w:r>
      <w:r w:rsidRPr="00CB45D5">
        <w:t>.</w:t>
      </w:r>
    </w:p>
  </w:footnote>
  <w:footnote w:id="13">
    <w:p w:rsidR="00D44420" w:rsidRPr="00D86FA8" w:rsidP="00D44420" w14:paraId="7791E2FB" w14:textId="77777777">
      <w:pPr>
        <w:pStyle w:val="FootnoteText"/>
        <w:widowControl w:val="0"/>
      </w:pPr>
      <w:r>
        <w:rPr>
          <w:rStyle w:val="FootnoteReference"/>
        </w:rPr>
        <w:footnoteRef/>
      </w:r>
      <w:r>
        <w:t xml:space="preserve"> </w:t>
      </w:r>
      <w:r w:rsidRPr="00A1651A">
        <w:t>47 CFR § 74.788(b)</w:t>
      </w:r>
      <w:r>
        <w:t xml:space="preserve"> (2022).  </w:t>
      </w:r>
      <w:r w:rsidRPr="00953A74">
        <w:rPr>
          <w:i/>
          <w:iCs/>
        </w:rPr>
        <w:t xml:space="preserve">See </w:t>
      </w:r>
      <w:r>
        <w:rPr>
          <w:i/>
          <w:iCs/>
        </w:rPr>
        <w:t xml:space="preserve">supra </w:t>
      </w:r>
      <w:r w:rsidRPr="0079226C">
        <w:t>n</w:t>
      </w:r>
      <w:r>
        <w:t>.</w:t>
      </w:r>
      <w:r w:rsidRPr="0079226C">
        <w:t xml:space="preserve"> 2</w:t>
      </w:r>
      <w:r w:rsidRPr="00D86FA8">
        <w:t>.</w:t>
      </w:r>
    </w:p>
  </w:footnote>
  <w:footnote w:id="14">
    <w:p w:rsidR="00D44420" w:rsidP="00D44420" w14:paraId="32BDB703" w14:textId="77777777">
      <w:pPr>
        <w:pStyle w:val="FootnoteText"/>
        <w:widowControl w:val="0"/>
      </w:pPr>
      <w:r>
        <w:rPr>
          <w:rStyle w:val="FootnoteReference"/>
        </w:rPr>
        <w:footnoteRef/>
      </w:r>
      <w:r>
        <w:t xml:space="preserve"> </w:t>
      </w:r>
      <w:r>
        <w:rPr>
          <w:i/>
          <w:iCs/>
        </w:rPr>
        <w:t xml:space="preserve">See </w:t>
      </w:r>
      <w:r w:rsidRPr="00F203F3">
        <w:t xml:space="preserve">Letter, from Aaron P. </w:t>
      </w:r>
      <w:r w:rsidRPr="00F203F3">
        <w:t>Shainis</w:t>
      </w:r>
      <w:r w:rsidRPr="00F203F3">
        <w:t xml:space="preserve">, </w:t>
      </w:r>
      <w:r w:rsidRPr="00F203F3">
        <w:t>Shainis</w:t>
      </w:r>
      <w:r w:rsidRPr="00F203F3">
        <w:t xml:space="preserve"> &amp; Peltzman, Chartered, Counsel for G.I.G., Inc. to </w:t>
      </w:r>
      <w:r>
        <w:t>FCC Staff, at 1</w:t>
      </w:r>
      <w:r w:rsidRPr="00F203F3">
        <w:t xml:space="preserve"> </w:t>
      </w:r>
      <w:r w:rsidRPr="004D136C">
        <w:t>(</w:t>
      </w:r>
      <w:r>
        <w:t>July 5, 2022</w:t>
      </w:r>
      <w:r w:rsidRPr="004D136C">
        <w:t>) (on file under LMS main facility page for Facility ID No. 26041</w:t>
      </w:r>
      <w:r>
        <w:t>) (July 5, 2022 Response).</w:t>
      </w:r>
    </w:p>
  </w:footnote>
  <w:footnote w:id="15">
    <w:p w:rsidR="00D44420" w:rsidRPr="00595C5A" w:rsidP="00D44420" w14:paraId="3322C36F" w14:textId="77777777">
      <w:pPr>
        <w:pStyle w:val="FootnoteText"/>
        <w:widowControl w:val="0"/>
      </w:pPr>
      <w:r w:rsidRPr="00A1651A">
        <w:rPr>
          <w:rStyle w:val="FootnoteReference"/>
        </w:rPr>
        <w:footnoteRef/>
      </w:r>
      <w:r>
        <w:t xml:space="preserve"> </w:t>
      </w:r>
      <w:r w:rsidRPr="00A1651A">
        <w:t xml:space="preserve">Letter, from </w:t>
      </w:r>
      <w:r w:rsidRPr="00FF55C5">
        <w:t xml:space="preserve">Barbara A. Kreisman, Chief, Video Division, FCC Media Bureau, to G.I.G., Inc. (May. 20, 2022) (on file under LMS main facility page for Facility ID No. 26041) (Inquiry Letter).  We note that because the construction permit had not yet been canceled in LMS, the Station was able to file a license to cover application against its expired construction permit.  </w:t>
      </w:r>
      <w:r w:rsidRPr="000A4DEF">
        <w:t xml:space="preserve">Cancellation of a station’s construction permit and deletion of its call sign by Media Bureau (Bureau) staff in the Licensing and Management System (LMS) is an administerial function and does not constitute an official Commission action nor require any affirmative cancellation by the Commission.  </w:t>
      </w:r>
      <w:r w:rsidRPr="000A4DEF">
        <w:rPr>
          <w:i/>
          <w:iCs/>
        </w:rPr>
        <w:t>See</w:t>
      </w:r>
      <w:r>
        <w:rPr>
          <w:i/>
          <w:iCs/>
        </w:rPr>
        <w:t xml:space="preserve"> </w:t>
      </w:r>
      <w:r w:rsidRPr="000A4DEF">
        <w:t>47 CFR §74.788(b)</w:t>
      </w:r>
      <w:r>
        <w:t xml:space="preserve"> (2022) and supra note 2</w:t>
      </w:r>
      <w:r w:rsidRPr="00953A74">
        <w:t>)</w:t>
      </w:r>
      <w:r>
        <w:t xml:space="preserve">; </w:t>
      </w:r>
      <w:r w:rsidRPr="00210629">
        <w:rPr>
          <w:i/>
          <w:iCs/>
        </w:rPr>
        <w:t>Media Bureau Reminds Remaining Low Power Television and Television Translator Stations that the July 13, 2021 Digital Transition Date and Oher Important Deadlines are One Week Away</w:t>
      </w:r>
      <w:r w:rsidRPr="00210629">
        <w:t xml:space="preserve">, Public Notice, </w:t>
      </w:r>
      <w:r>
        <w:t xml:space="preserve">36 FCC </w:t>
      </w:r>
      <w:r>
        <w:t>Rcd</w:t>
      </w:r>
      <w:r>
        <w:t xml:space="preserve"> 10364 (MB 2021).  </w:t>
      </w:r>
      <w:r w:rsidRPr="000A4DEF">
        <w:t>As a result, failure by Bureau staff to cancel a construction permit in LMS does not result in an expired construction permit remaining valid.</w:t>
      </w:r>
    </w:p>
  </w:footnote>
  <w:footnote w:id="16">
    <w:p w:rsidR="00D44420" w:rsidRPr="00D86FA8" w:rsidP="00D44420" w14:paraId="57B04EE4" w14:textId="77777777">
      <w:pPr>
        <w:pStyle w:val="FootnoteText"/>
        <w:widowControl w:val="0"/>
      </w:pPr>
      <w:r>
        <w:rPr>
          <w:rStyle w:val="FootnoteReference"/>
        </w:rPr>
        <w:footnoteRef/>
      </w:r>
      <w:r>
        <w:t xml:space="preserve"> </w:t>
      </w:r>
      <w:r>
        <w:rPr>
          <w:i/>
          <w:iCs/>
        </w:rPr>
        <w:t>See</w:t>
      </w:r>
      <w:r>
        <w:t xml:space="preserve"> July 5, 2022 Response at 1, </w:t>
      </w:r>
      <w:r>
        <w:rPr>
          <w:i/>
          <w:iCs/>
        </w:rPr>
        <w:t>supra</w:t>
      </w:r>
      <w:r>
        <w:t xml:space="preserve"> n. 10; and </w:t>
      </w:r>
      <w:r w:rsidRPr="00D86FA8">
        <w:t xml:space="preserve">Letter, from Aaron P. </w:t>
      </w:r>
      <w:r w:rsidRPr="00D86FA8">
        <w:t>Shainis</w:t>
      </w:r>
      <w:r w:rsidRPr="00D86FA8">
        <w:t xml:space="preserve">, </w:t>
      </w:r>
      <w:r w:rsidRPr="00D86FA8">
        <w:t>Shainis</w:t>
      </w:r>
      <w:r w:rsidRPr="00D86FA8">
        <w:t xml:space="preserve"> &amp; Peltzman, Chartered, Counsel for G.I.G., Inc. to FCC Staff, at 1 (July </w:t>
      </w:r>
      <w:r>
        <w:t>11</w:t>
      </w:r>
      <w:r w:rsidRPr="00D86FA8">
        <w:t xml:space="preserve">, 2022) (on file under LMS main facility page for Facility ID No. 26041) (July </w:t>
      </w:r>
      <w:r>
        <w:t>11, 2022</w:t>
      </w:r>
      <w:r w:rsidRPr="00D86FA8">
        <w:t xml:space="preserve"> Response).</w:t>
      </w:r>
    </w:p>
  </w:footnote>
  <w:footnote w:id="17">
    <w:p w:rsidR="00D44420" w:rsidP="00D44420" w14:paraId="21CF6B4E" w14:textId="77777777">
      <w:pPr>
        <w:pStyle w:val="FootnoteText"/>
        <w:widowControl w:val="0"/>
      </w:pPr>
      <w:r>
        <w:rPr>
          <w:rStyle w:val="FootnoteReference"/>
        </w:rPr>
        <w:footnoteRef/>
      </w:r>
      <w:r>
        <w:t xml:space="preserve"> </w:t>
      </w:r>
      <w:r w:rsidRPr="00BB062E">
        <w:t>File No. 0000194735</w:t>
      </w:r>
      <w:r>
        <w:t>.</w:t>
      </w:r>
    </w:p>
  </w:footnote>
  <w:footnote w:id="18">
    <w:p w:rsidR="00D44420" w:rsidP="00D44420" w14:paraId="2D544716" w14:textId="77777777">
      <w:pPr>
        <w:pStyle w:val="FootnoteText"/>
        <w:widowControl w:val="0"/>
      </w:pPr>
      <w:r>
        <w:rPr>
          <w:rStyle w:val="FootnoteReference"/>
        </w:rPr>
        <w:footnoteRef/>
      </w:r>
      <w:r>
        <w:t xml:space="preserve"> </w:t>
      </w:r>
      <w:r w:rsidRPr="00F203F3">
        <w:t xml:space="preserve">Letter, from Aaron P. </w:t>
      </w:r>
      <w:r w:rsidRPr="00F203F3">
        <w:t>Shainis</w:t>
      </w:r>
      <w:r w:rsidRPr="00F203F3">
        <w:t xml:space="preserve">, </w:t>
      </w:r>
      <w:r w:rsidRPr="00F203F3">
        <w:t>Shainis</w:t>
      </w:r>
      <w:r w:rsidRPr="00F203F3">
        <w:t xml:space="preserve"> &amp; Peltzman, Chartered, Counsel for G.I.G., Inc. to </w:t>
      </w:r>
      <w:r>
        <w:t>FCC Staff</w:t>
      </w:r>
      <w:r w:rsidRPr="00F203F3">
        <w:t xml:space="preserve"> (</w:t>
      </w:r>
      <w:r>
        <w:t>September 14, 2022</w:t>
      </w:r>
      <w:r w:rsidRPr="00F203F3">
        <w:t>) (on file under LMS main facility page for Facility ID No. 26041) (</w:t>
      </w:r>
      <w:r>
        <w:t>Sept. 14</w:t>
      </w:r>
      <w:r w:rsidRPr="00F203F3">
        <w:t>, 2022 Response)</w:t>
      </w:r>
      <w:r>
        <w:t>; Letter</w:t>
      </w:r>
      <w:r w:rsidRPr="00F203F3">
        <w:t xml:space="preserve">, from Aaron P. </w:t>
      </w:r>
      <w:r w:rsidRPr="00F203F3">
        <w:t>Shainis</w:t>
      </w:r>
      <w:r w:rsidRPr="00F203F3">
        <w:t xml:space="preserve">, </w:t>
      </w:r>
      <w:r w:rsidRPr="00F203F3">
        <w:t>Shainis</w:t>
      </w:r>
      <w:r w:rsidRPr="00F203F3">
        <w:t xml:space="preserve"> &amp; Peltzman, Chartered, Counsel for G.I.G., Inc. to </w:t>
      </w:r>
      <w:r>
        <w:t>FCC Staff</w:t>
      </w:r>
      <w:r w:rsidRPr="00F203F3">
        <w:t xml:space="preserve"> (</w:t>
      </w:r>
      <w:r>
        <w:t>September 22, 2022</w:t>
      </w:r>
      <w:r w:rsidRPr="00F203F3">
        <w:t>) (on file under LMS main facility page for Facility ID No. 26041) (</w:t>
      </w:r>
      <w:r>
        <w:t>Sept. 22</w:t>
      </w:r>
      <w:r w:rsidRPr="00F203F3">
        <w:t xml:space="preserve">, 2022 </w:t>
      </w:r>
      <w:r>
        <w:t>Supplement</w:t>
      </w:r>
      <w:r w:rsidRPr="00F203F3">
        <w:t>).</w:t>
      </w:r>
    </w:p>
  </w:footnote>
  <w:footnote w:id="19">
    <w:p w:rsidR="00D44420" w:rsidP="00D44420" w14:paraId="1537CFDE" w14:textId="77777777">
      <w:pPr>
        <w:pStyle w:val="FootnoteText"/>
        <w:widowControl w:val="0"/>
      </w:pPr>
      <w:r>
        <w:rPr>
          <w:rStyle w:val="FootnoteReference"/>
        </w:rPr>
        <w:footnoteRef/>
      </w:r>
      <w:r>
        <w:t xml:space="preserve"> </w:t>
      </w:r>
      <w:r w:rsidRPr="00DD40E5">
        <w:rPr>
          <w:i/>
          <w:iCs/>
        </w:rPr>
        <w:t>Id</w:t>
      </w:r>
      <w:r w:rsidRPr="00583021">
        <w:rPr>
          <w:i/>
          <w:iCs/>
        </w:rPr>
        <w:t>.</w:t>
      </w:r>
    </w:p>
  </w:footnote>
  <w:footnote w:id="20">
    <w:p w:rsidR="00D44420" w:rsidP="00D44420" w14:paraId="192E25F5" w14:textId="77777777">
      <w:pPr>
        <w:pStyle w:val="FootnoteText"/>
        <w:widowControl w:val="0"/>
      </w:pPr>
      <w:r>
        <w:rPr>
          <w:rStyle w:val="FootnoteReference"/>
        </w:rPr>
        <w:footnoteRef/>
      </w:r>
      <w:r>
        <w:t xml:space="preserve"> </w:t>
      </w:r>
      <w:r w:rsidRPr="000709C2">
        <w:t xml:space="preserve">Letter, </w:t>
      </w:r>
      <w:r>
        <w:t xml:space="preserve">from Barbara A. Kreisman, Chief, Video Division, FCC Media Bureau, </w:t>
      </w:r>
      <w:r w:rsidRPr="00754E7F">
        <w:t>to G.I.G., Inc.</w:t>
      </w:r>
      <w:r>
        <w:t xml:space="preserve"> at 3</w:t>
      </w:r>
      <w:r w:rsidRPr="00754E7F">
        <w:t xml:space="preserve"> </w:t>
      </w:r>
      <w:r>
        <w:t xml:space="preserve">(September 26, 2022) </w:t>
      </w:r>
      <w:r w:rsidRPr="00DB7631">
        <w:t xml:space="preserve">(on file under LMS main facility page for Facility ID No. </w:t>
      </w:r>
      <w:r>
        <w:t>26041</w:t>
      </w:r>
      <w:r w:rsidRPr="00DB7631">
        <w:t>)</w:t>
      </w:r>
      <w:r>
        <w:t xml:space="preserve"> (Follow-Up Letter)</w:t>
      </w:r>
      <w:r w:rsidRPr="000709C2">
        <w:t>.</w:t>
      </w:r>
    </w:p>
  </w:footnote>
  <w:footnote w:id="21">
    <w:p w:rsidR="00D44420" w:rsidRPr="004D136C" w:rsidP="00D44420" w14:paraId="1A72E539" w14:textId="77777777">
      <w:pPr>
        <w:pStyle w:val="FootnoteText"/>
        <w:widowControl w:val="0"/>
      </w:pPr>
      <w:r>
        <w:rPr>
          <w:rStyle w:val="FootnoteReference"/>
        </w:rPr>
        <w:footnoteRef/>
      </w:r>
      <w:r>
        <w:t xml:space="preserve"> </w:t>
      </w:r>
      <w:r w:rsidRPr="00F203F3">
        <w:t xml:space="preserve">Letter, from Aaron P. </w:t>
      </w:r>
      <w:r w:rsidRPr="00F203F3">
        <w:t>Shainis</w:t>
      </w:r>
      <w:r w:rsidRPr="00F203F3">
        <w:t xml:space="preserve">, </w:t>
      </w:r>
      <w:r w:rsidRPr="00F203F3">
        <w:t>Shainis</w:t>
      </w:r>
      <w:r w:rsidRPr="00F203F3">
        <w:t xml:space="preserve"> &amp; Peltzman, Chartered, Counsel for G.I.G., Inc. to </w:t>
      </w:r>
      <w:r>
        <w:t>FCC Staff, at 2</w:t>
      </w:r>
      <w:r w:rsidRPr="00F203F3">
        <w:t xml:space="preserve"> </w:t>
      </w:r>
      <w:r w:rsidRPr="004D136C">
        <w:t>(November 4, 2022) (on file under LMS main facility page for Facility ID No. 26041).</w:t>
      </w:r>
      <w:r>
        <w:t xml:space="preserve">  G.I.G. states that because the Station’s consulting engineer is now deceased, G.I.G. is unable to ascertain specific information related to the filing and its substance. (Sept. 14, 2022 Response at 1).</w:t>
      </w:r>
    </w:p>
  </w:footnote>
  <w:footnote w:id="22">
    <w:p w:rsidR="00D44420" w:rsidP="00D44420" w14:paraId="44D07E8B" w14:textId="77777777">
      <w:pPr>
        <w:pStyle w:val="FootnoteText"/>
        <w:widowControl w:val="0"/>
      </w:pPr>
      <w:r>
        <w:rPr>
          <w:rStyle w:val="FootnoteReference"/>
        </w:rPr>
        <w:footnoteRef/>
      </w:r>
      <w:r>
        <w:t xml:space="preserve"> Sept. 14, 2022 Response at 3.</w:t>
      </w:r>
    </w:p>
  </w:footnote>
  <w:footnote w:id="23">
    <w:p w:rsidR="00D44420" w:rsidRPr="00084BB5" w:rsidP="00D44420" w14:paraId="0D93753D" w14:textId="77777777">
      <w:pPr>
        <w:pStyle w:val="FootnoteText"/>
      </w:pPr>
      <w:r>
        <w:rPr>
          <w:rStyle w:val="FootnoteReference"/>
        </w:rPr>
        <w:footnoteRef/>
      </w:r>
      <w:r>
        <w:t xml:space="preserve"> </w:t>
      </w:r>
      <w:r w:rsidRPr="004D136C">
        <w:t>Nov. 4, 2022 Response</w:t>
      </w:r>
      <w:r>
        <w:t xml:space="preserve"> at </w:t>
      </w:r>
      <w:r w:rsidRPr="00C8253C">
        <w:t>26</w:t>
      </w:r>
      <w:r>
        <w:t>, Sept. 14, 2022 Response at 4</w:t>
      </w:r>
      <w:r w:rsidRPr="00C8253C">
        <w:t xml:space="preserve"> (</w:t>
      </w:r>
      <w:r>
        <w:t xml:space="preserve">both </w:t>
      </w:r>
      <w:r w:rsidRPr="00C8253C">
        <w:t xml:space="preserve">citing </w:t>
      </w:r>
      <w:r w:rsidRPr="00C8253C">
        <w:rPr>
          <w:i/>
          <w:iCs/>
        </w:rPr>
        <w:t>Methow Valley Communications District</w:t>
      </w:r>
      <w:r w:rsidRPr="00C8253C">
        <w:t xml:space="preserve">, </w:t>
      </w:r>
      <w:r w:rsidRPr="00084BB5">
        <w:t xml:space="preserve">DA 22-627 (June 10, 2022)).  </w:t>
      </w:r>
    </w:p>
  </w:footnote>
  <w:footnote w:id="24">
    <w:p w:rsidR="00D44420" w:rsidRPr="006F571D" w:rsidP="00D44420" w14:paraId="6D05575C" w14:textId="77777777">
      <w:pPr>
        <w:pStyle w:val="FootnoteText"/>
        <w:widowControl w:val="0"/>
      </w:pPr>
      <w:r w:rsidRPr="006F571D">
        <w:rPr>
          <w:rStyle w:val="FootnoteReference"/>
        </w:rPr>
        <w:footnoteRef/>
      </w:r>
      <w:r w:rsidRPr="006F571D">
        <w:t xml:space="preserve"> 47 U.S.C. § 503(b)(1)(B).</w:t>
      </w:r>
    </w:p>
  </w:footnote>
  <w:footnote w:id="25">
    <w:p w:rsidR="00D44420" w:rsidRPr="006F571D" w:rsidP="00D44420" w14:paraId="00F55917" w14:textId="77777777">
      <w:pPr>
        <w:pStyle w:val="FootnoteText"/>
        <w:widowControl w:val="0"/>
      </w:pPr>
      <w:r w:rsidRPr="006F571D">
        <w:rPr>
          <w:rStyle w:val="FootnoteReference"/>
        </w:rPr>
        <w:footnoteRef/>
      </w:r>
      <w:r w:rsidRPr="006F571D">
        <w:t xml:space="preserve"> </w:t>
      </w:r>
      <w:r w:rsidRPr="006F571D">
        <w:rPr>
          <w:i/>
          <w:iCs/>
        </w:rPr>
        <w:t>Id</w:t>
      </w:r>
      <w:r w:rsidRPr="00583021">
        <w:rPr>
          <w:i/>
          <w:iCs/>
        </w:rPr>
        <w:t>.</w:t>
      </w:r>
      <w:r w:rsidRPr="006F571D">
        <w:t xml:space="preserve">  </w:t>
      </w:r>
      <w:r w:rsidRPr="006F571D">
        <w:rPr>
          <w:i/>
        </w:rPr>
        <w:t>S</w:t>
      </w:r>
      <w:r w:rsidRPr="006F571D">
        <w:rPr>
          <w:i/>
          <w:iCs/>
        </w:rPr>
        <w:t>ee also</w:t>
      </w:r>
      <w:r w:rsidRPr="006F571D">
        <w:t xml:space="preserve"> 47 CFR § 1.80(a)(1).</w:t>
      </w:r>
    </w:p>
  </w:footnote>
  <w:footnote w:id="26">
    <w:p w:rsidR="00D44420" w:rsidRPr="006F571D" w:rsidP="00D44420" w14:paraId="5F6773C9" w14:textId="77777777">
      <w:pPr>
        <w:pStyle w:val="FootnoteText"/>
        <w:widowControl w:val="0"/>
      </w:pPr>
      <w:r w:rsidRPr="006F571D">
        <w:rPr>
          <w:rStyle w:val="FootnoteReference"/>
        </w:rPr>
        <w:footnoteRef/>
      </w:r>
      <w:r w:rsidRPr="006F571D">
        <w:t xml:space="preserve"> 47 U.S.C. § 312(f)(1).</w:t>
      </w:r>
    </w:p>
  </w:footnote>
  <w:footnote w:id="27">
    <w:p w:rsidR="00D44420" w:rsidRPr="006F571D" w:rsidP="00D44420" w14:paraId="1ED1DB36" w14:textId="77777777">
      <w:pPr>
        <w:pStyle w:val="FootnoteText"/>
        <w:widowControl w:val="0"/>
      </w:pPr>
      <w:r w:rsidRPr="006F571D">
        <w:rPr>
          <w:rStyle w:val="FootnoteReference"/>
        </w:rPr>
        <w:footnoteRef/>
      </w:r>
      <w:r w:rsidRPr="006F571D">
        <w:rPr>
          <w:i/>
        </w:rPr>
        <w:t xml:space="preserve"> See</w:t>
      </w:r>
      <w:r w:rsidRPr="006F571D">
        <w:t xml:space="preserve"> H.R. Rep. No. 97-765, 97</w:t>
      </w:r>
      <w:r>
        <w:t xml:space="preserve">th </w:t>
      </w:r>
      <w:r w:rsidRPr="006F571D">
        <w:t>Cong. 2d Sess. 51 (1982).</w:t>
      </w:r>
    </w:p>
  </w:footnote>
  <w:footnote w:id="28">
    <w:p w:rsidR="00D44420" w:rsidRPr="006F571D" w:rsidP="00D44420" w14:paraId="73D368DA" w14:textId="77777777">
      <w:pPr>
        <w:pStyle w:val="FootnoteText"/>
        <w:widowControl w:val="0"/>
      </w:pPr>
      <w:r w:rsidRPr="006F571D">
        <w:rPr>
          <w:rStyle w:val="FootnoteReference"/>
        </w:rPr>
        <w:footnoteRef/>
      </w:r>
      <w:r w:rsidRPr="006F571D">
        <w:rPr>
          <w:i/>
          <w:iCs/>
        </w:rPr>
        <w:t xml:space="preserve"> See Southern California Broad. Co.</w:t>
      </w:r>
      <w:r w:rsidRPr="006F571D">
        <w:t xml:space="preserve">, Memorandum Opinion and Order, 6 FCC </w:t>
      </w:r>
      <w:r w:rsidRPr="006F571D">
        <w:t>Rcd</w:t>
      </w:r>
      <w:r w:rsidRPr="006F571D">
        <w:t xml:space="preserve"> 4387, 4388, para. 5 (1991), </w:t>
      </w:r>
      <w:r w:rsidRPr="006F571D">
        <w:rPr>
          <w:i/>
        </w:rPr>
        <w:t>recon. denied</w:t>
      </w:r>
      <w:r w:rsidRPr="006F571D">
        <w:t xml:space="preserve">, Memorandum Opinion and Order, 7 FCC </w:t>
      </w:r>
      <w:r w:rsidRPr="006F571D">
        <w:t>Rcd</w:t>
      </w:r>
      <w:r w:rsidRPr="006F571D">
        <w:t xml:space="preserve"> 3454 (1992).</w:t>
      </w:r>
    </w:p>
  </w:footnote>
  <w:footnote w:id="29">
    <w:p w:rsidR="00D44420" w:rsidRPr="006F571D" w:rsidP="00D44420" w14:paraId="106A62EB" w14:textId="77777777">
      <w:pPr>
        <w:pStyle w:val="Footer"/>
        <w:spacing w:after="120"/>
        <w:rPr>
          <w:sz w:val="20"/>
        </w:rPr>
      </w:pPr>
      <w:r w:rsidRPr="006F571D">
        <w:rPr>
          <w:rStyle w:val="FootnoteReference"/>
        </w:rPr>
        <w:footnoteRef/>
      </w:r>
      <w:r w:rsidRPr="006F571D">
        <w:rPr>
          <w:sz w:val="20"/>
        </w:rPr>
        <w:t xml:space="preserve"> 47 U.S.C. § 312(f)(2). </w:t>
      </w:r>
    </w:p>
  </w:footnote>
  <w:footnote w:id="30">
    <w:p w:rsidR="00D44420" w:rsidRPr="00084BB5" w:rsidP="00D44420" w14:paraId="5C617E40" w14:textId="77777777">
      <w:pPr>
        <w:pStyle w:val="FootnoteText"/>
        <w:widowControl w:val="0"/>
      </w:pPr>
      <w:r w:rsidRPr="00084BB5">
        <w:rPr>
          <w:rStyle w:val="FootnoteReference"/>
        </w:rPr>
        <w:footnoteRef/>
      </w:r>
      <w:r w:rsidRPr="00084BB5">
        <w:t xml:space="preserve"> </w:t>
      </w:r>
      <w:r w:rsidRPr="00084BB5">
        <w:rPr>
          <w:i/>
          <w:iCs/>
        </w:rPr>
        <w:t>See</w:t>
      </w:r>
      <w:r w:rsidRPr="00084BB5">
        <w:t xml:space="preserve"> 47 CFR § 74.788(a)</w:t>
      </w:r>
      <w:r>
        <w:t xml:space="preserve"> (2022)</w:t>
      </w:r>
      <w:r w:rsidRPr="00084BB5">
        <w:t>.</w:t>
      </w:r>
      <w:r>
        <w:t xml:space="preserve">  </w:t>
      </w:r>
      <w:r w:rsidRPr="00065AF6">
        <w:rPr>
          <w:i/>
          <w:iCs/>
        </w:rPr>
        <w:t>See supra</w:t>
      </w:r>
      <w:r>
        <w:t xml:space="preserve"> n. 2 and para. 3.</w:t>
      </w:r>
    </w:p>
  </w:footnote>
  <w:footnote w:id="31">
    <w:p w:rsidR="00D44420" w:rsidRPr="009659AF" w:rsidP="00D44420" w14:paraId="233555E3" w14:textId="77777777">
      <w:pPr>
        <w:pStyle w:val="FootnoteText"/>
        <w:widowControl w:val="0"/>
      </w:pPr>
      <w:r w:rsidRPr="00084BB5">
        <w:rPr>
          <w:rStyle w:val="FootnoteReference"/>
        </w:rPr>
        <w:footnoteRef/>
      </w:r>
      <w:r w:rsidRPr="00084BB5">
        <w:t xml:space="preserve"> </w:t>
      </w:r>
      <w:r w:rsidRPr="00084BB5">
        <w:rPr>
          <w:i/>
          <w:iCs/>
        </w:rPr>
        <w:t xml:space="preserve">See, </w:t>
      </w:r>
      <w:r w:rsidRPr="00084BB5">
        <w:t xml:space="preserve">e.g., </w:t>
      </w:r>
      <w:r w:rsidRPr="00084BB5">
        <w:rPr>
          <w:i/>
          <w:iCs/>
        </w:rPr>
        <w:t>Southern California Broadcasting Co.</w:t>
      </w:r>
      <w:r w:rsidRPr="00084BB5">
        <w:t xml:space="preserve">, Memorandum Opinion and Order, 6 FCC </w:t>
      </w:r>
      <w:r w:rsidRPr="00084BB5">
        <w:t>Rcd</w:t>
      </w:r>
      <w:r w:rsidRPr="00084BB5">
        <w:t xml:space="preserve"> 4387, para 3 (1991), recon. denied, 7 FCC </w:t>
      </w:r>
      <w:r w:rsidRPr="00084BB5">
        <w:t>Rcd</w:t>
      </w:r>
      <w:r w:rsidRPr="00084BB5">
        <w:t xml:space="preserve"> 3454 (1992) (stating that “inadvertence . . . is at best, ignorance of the law, which the Commission does not consider a mitigating circumstance”) (internal cite omitted); </w:t>
      </w:r>
      <w:r w:rsidRPr="00084BB5">
        <w:rPr>
          <w:i/>
          <w:iCs/>
        </w:rPr>
        <w:t xml:space="preserve">see also Townsquare Media of El Paso, Inc., </w:t>
      </w:r>
      <w:r w:rsidRPr="00084BB5">
        <w:t xml:space="preserve">Notice of Apparent Liability for Forfeiture, 35 FCC </w:t>
      </w:r>
      <w:r w:rsidRPr="00084BB5">
        <w:t>Rcd</w:t>
      </w:r>
      <w:r w:rsidRPr="00084BB5">
        <w:t xml:space="preserve"> 6661, 6665, para. 5 &amp; n. 37 (EB 2020) (“It is immaterial whether . . . violations were inadvertent, the result of ignorance of the law, or the product of </w:t>
      </w:r>
      <w:r w:rsidRPr="009659AF">
        <w:t>administrative oversight.”) (internal cites omitted</w:t>
      </w:r>
      <w:r w:rsidRPr="009659AF">
        <w:rPr>
          <w:i/>
          <w:iCs/>
        </w:rPr>
        <w:t>)</w:t>
      </w:r>
      <w:r w:rsidRPr="009659AF">
        <w:t>.</w:t>
      </w:r>
    </w:p>
  </w:footnote>
  <w:footnote w:id="32">
    <w:p w:rsidR="00D44420" w:rsidP="00D44420" w14:paraId="502CA9E0" w14:textId="77777777">
      <w:pPr>
        <w:pStyle w:val="FootnoteText"/>
        <w:widowControl w:val="0"/>
      </w:pPr>
      <w:r>
        <w:rPr>
          <w:rStyle w:val="FootnoteReference"/>
        </w:rPr>
        <w:footnoteRef/>
      </w:r>
      <w:r>
        <w:t xml:space="preserve"> </w:t>
      </w:r>
      <w:r>
        <w:rPr>
          <w:i/>
          <w:iCs/>
        </w:rPr>
        <w:t xml:space="preserve">See, e.g., </w:t>
      </w:r>
      <w:r w:rsidRPr="00225714">
        <w:rPr>
          <w:i/>
          <w:iCs/>
        </w:rPr>
        <w:t>Roy E. Henderson</w:t>
      </w:r>
      <w:r w:rsidRPr="00CD2D16">
        <w:t xml:space="preserve">, Memorandum Opinion and Order, </w:t>
      </w:r>
      <w:r>
        <w:t xml:space="preserve">33 FCC </w:t>
      </w:r>
      <w:r>
        <w:t>Rcd</w:t>
      </w:r>
      <w:r>
        <w:t xml:space="preserve"> 3385</w:t>
      </w:r>
      <w:r w:rsidRPr="00CD2D16">
        <w:t xml:space="preserve">, </w:t>
      </w:r>
      <w:r>
        <w:t xml:space="preserve">3387-88, </w:t>
      </w:r>
      <w:r w:rsidRPr="00CD2D16">
        <w:t>para. 6 (2018) (rejecting argument that licensee's engineer was to blame for station's unauthorized operations</w:t>
      </w:r>
      <w:r>
        <w:t>).</w:t>
      </w:r>
    </w:p>
  </w:footnote>
  <w:footnote w:id="33">
    <w:p w:rsidR="00D44420" w:rsidP="00D44420" w14:paraId="5C7DC9FE" w14:textId="3D8C837B">
      <w:pPr>
        <w:pStyle w:val="FootnoteText"/>
        <w:widowControl w:val="0"/>
      </w:pPr>
      <w:r>
        <w:rPr>
          <w:rStyle w:val="FootnoteReference"/>
        </w:rPr>
        <w:footnoteRef/>
      </w:r>
      <w:r>
        <w:t xml:space="preserve"> 47 CFR § 73.1745</w:t>
      </w:r>
      <w:r w:rsidR="0018076D">
        <w:t xml:space="preserve"> (prohibiting unauthorized operation).</w:t>
      </w:r>
    </w:p>
  </w:footnote>
  <w:footnote w:id="34">
    <w:p w:rsidR="00D44420" w:rsidRPr="00E73A0E" w:rsidP="00D44420" w14:paraId="60BB0A62" w14:textId="1D40F08F">
      <w:pPr>
        <w:pStyle w:val="FootnoteText"/>
        <w:widowControl w:val="0"/>
      </w:pPr>
      <w:r w:rsidRPr="00E73A0E">
        <w:rPr>
          <w:rStyle w:val="FootnoteReference"/>
        </w:rPr>
        <w:footnoteRef/>
      </w:r>
      <w:r w:rsidRPr="00E73A0E">
        <w:t xml:space="preserve"> 47 U.S.C. § 301</w:t>
      </w:r>
      <w:r w:rsidR="0018076D">
        <w:t xml:space="preserve"> </w:t>
      </w:r>
      <w:r w:rsidRPr="0018076D" w:rsidR="0018076D">
        <w:t>(requiring an authorization to transmit a broadcast signal).</w:t>
      </w:r>
    </w:p>
  </w:footnote>
  <w:footnote w:id="35">
    <w:p w:rsidR="00D44420" w:rsidRPr="00385CC3" w:rsidP="00D44420" w14:paraId="028A4E23" w14:textId="77777777">
      <w:pPr>
        <w:pStyle w:val="FootnoteText"/>
        <w:widowControl w:val="0"/>
      </w:pPr>
      <w:r w:rsidRPr="006F571D">
        <w:rPr>
          <w:rStyle w:val="FootnoteReference"/>
        </w:rPr>
        <w:footnoteRef/>
      </w:r>
      <w:r w:rsidRPr="006F571D">
        <w:t xml:space="preserve"> </w:t>
      </w:r>
      <w:r w:rsidRPr="006F571D">
        <w:rPr>
          <w:i/>
        </w:rPr>
        <w:t>See Forfeiture Policy Statement and Amendment of Section 1.80(b) of the Rules to Incorporate the Forfeiture Guidelines</w:t>
      </w:r>
      <w:r w:rsidRPr="006F571D">
        <w:t>,</w:t>
      </w:r>
      <w:r w:rsidRPr="006F571D">
        <w:rPr>
          <w:i/>
        </w:rPr>
        <w:t xml:space="preserve"> </w:t>
      </w:r>
      <w:r w:rsidRPr="006F571D">
        <w:t xml:space="preserve">Report and Order, 12 FCC </w:t>
      </w:r>
      <w:r w:rsidRPr="006F571D">
        <w:t>Rcd</w:t>
      </w:r>
      <w:r w:rsidRPr="006F571D">
        <w:t xml:space="preserve"> 17087, 17113-15 (1997) (</w:t>
      </w:r>
      <w:r w:rsidRPr="006F571D">
        <w:rPr>
          <w:i/>
        </w:rPr>
        <w:t>Forfeiture Policy Statement</w:t>
      </w:r>
      <w:r w:rsidRPr="006F571D">
        <w:t xml:space="preserve">), </w:t>
      </w:r>
      <w:r w:rsidRPr="006F571D">
        <w:rPr>
          <w:i/>
        </w:rPr>
        <w:t>recon. denied</w:t>
      </w:r>
      <w:r w:rsidRPr="006F571D">
        <w:t xml:space="preserve">, Memorandum Opinion and Order, 15 FCC </w:t>
      </w:r>
      <w:r w:rsidRPr="006F571D">
        <w:t>Rcd</w:t>
      </w:r>
      <w:r w:rsidRPr="006F571D">
        <w:t xml:space="preserve"> 303 (1999); 47 CFR § 1.80(b)(10), note to paragraph (b)(10), Section I.  </w:t>
      </w:r>
      <w:r w:rsidRPr="006F571D">
        <w:rPr>
          <w:i/>
          <w:iCs/>
        </w:rPr>
        <w:t>See also Clear Channel</w:t>
      </w:r>
      <w:r w:rsidRPr="006F571D">
        <w:t xml:space="preserve">, 26 FCC </w:t>
      </w:r>
      <w:r w:rsidRPr="006F571D">
        <w:t>Rcd</w:t>
      </w:r>
      <w:r w:rsidRPr="006F571D">
        <w:t xml:space="preserve"> at 7157 (“</w:t>
      </w:r>
      <w:r w:rsidRPr="006F571D">
        <w:rPr>
          <w:shd w:val="clear" w:color="auto" w:fill="FFFFFF"/>
        </w:rPr>
        <w:t xml:space="preserve">We note that the staff may also issue Notices of Apparent Liability for ‘failure to file a required form’ as authorized by Section 503(b)(1)(B) of the Communications Act of 1934, as amended (the ‘Act’) and Section 1.80 of </w:t>
      </w:r>
      <w:r w:rsidRPr="00FE368A">
        <w:rPr>
          <w:shd w:val="clear" w:color="auto" w:fill="FFFFFF"/>
        </w:rPr>
        <w:t>the Rules, for such violations of covering license application filing deadlines or take other enforcement action</w:t>
      </w:r>
      <w:r w:rsidRPr="00385CC3">
        <w:rPr>
          <w:shd w:val="clear" w:color="auto" w:fill="FFFFFF"/>
        </w:rPr>
        <w:t>.”).</w:t>
      </w:r>
    </w:p>
  </w:footnote>
  <w:footnote w:id="36">
    <w:p w:rsidR="00D44420" w:rsidRPr="00385CC3" w:rsidP="00D44420" w14:paraId="0EE443D9" w14:textId="77777777">
      <w:pPr>
        <w:shd w:val="clear" w:color="auto" w:fill="FFFFFF"/>
        <w:spacing w:after="120"/>
        <w:rPr>
          <w:sz w:val="20"/>
        </w:rPr>
      </w:pPr>
      <w:r w:rsidRPr="00385CC3">
        <w:rPr>
          <w:rStyle w:val="FootnoteReference"/>
        </w:rPr>
        <w:footnoteRef/>
      </w:r>
      <w:r w:rsidRPr="00385CC3">
        <w:rPr>
          <w:sz w:val="20"/>
        </w:rPr>
        <w:t xml:space="preserve"> A broadcast station requires an authorization from the Commission to operate.  </w:t>
      </w:r>
      <w:r w:rsidRPr="00385CC3">
        <w:rPr>
          <w:i/>
          <w:iCs/>
          <w:sz w:val="20"/>
        </w:rPr>
        <w:t>See</w:t>
      </w:r>
      <w:r w:rsidRPr="00385CC3">
        <w:rPr>
          <w:sz w:val="20"/>
        </w:rPr>
        <w:t xml:space="preserve"> 47 U.S.C. § 301.</w:t>
      </w:r>
    </w:p>
  </w:footnote>
  <w:footnote w:id="37">
    <w:p w:rsidR="00D44420" w:rsidRPr="002756C4" w:rsidP="00D44420" w14:paraId="660B98F9" w14:textId="77777777">
      <w:pPr>
        <w:pStyle w:val="FootnoteText"/>
        <w:widowControl w:val="0"/>
      </w:pPr>
      <w:r w:rsidRPr="002756C4">
        <w:rPr>
          <w:rStyle w:val="FootnoteReference"/>
        </w:rPr>
        <w:footnoteRef/>
      </w:r>
      <w:r w:rsidRPr="002756C4">
        <w:t xml:space="preserve"> 47 U.S.C. § 503(b)(2)(E); </w:t>
      </w:r>
      <w:r w:rsidRPr="002756C4">
        <w:rPr>
          <w:i/>
        </w:rPr>
        <w:t>see also Forfeiture Policy Statement</w:t>
      </w:r>
      <w:r w:rsidRPr="002756C4">
        <w:t>,</w:t>
      </w:r>
      <w:r w:rsidRPr="002756C4">
        <w:rPr>
          <w:i/>
        </w:rPr>
        <w:t xml:space="preserve"> </w:t>
      </w:r>
      <w:r w:rsidRPr="002756C4">
        <w:t xml:space="preserve">12 FCC </w:t>
      </w:r>
      <w:r w:rsidRPr="002756C4">
        <w:t>Rcd</w:t>
      </w:r>
      <w:r w:rsidRPr="002756C4">
        <w:t xml:space="preserve"> at 17100; 47 CFR § 1.80(b)(10). </w:t>
      </w:r>
    </w:p>
  </w:footnote>
  <w:footnote w:id="38">
    <w:p w:rsidR="00D44420" w:rsidRPr="009D4116" w:rsidP="00D44420" w14:paraId="65F881B0" w14:textId="77777777">
      <w:pPr>
        <w:pStyle w:val="FootnoteText"/>
        <w:widowControl w:val="0"/>
      </w:pPr>
      <w:r w:rsidRPr="002756C4">
        <w:rPr>
          <w:rStyle w:val="FootnoteReference"/>
        </w:rPr>
        <w:footnoteRef/>
      </w:r>
      <w:r w:rsidRPr="002756C4">
        <w:t xml:space="preserve"> </w:t>
      </w:r>
      <w:r w:rsidRPr="002756C4">
        <w:rPr>
          <w:i/>
          <w:iCs/>
        </w:rPr>
        <w:t>See</w:t>
      </w:r>
      <w:r w:rsidRPr="002756C4">
        <w:t xml:space="preserve"> e.g., </w:t>
      </w:r>
      <w:r w:rsidRPr="002756C4">
        <w:rPr>
          <w:i/>
          <w:iCs/>
        </w:rPr>
        <w:t>Southwest Colorado TV Translator Association</w:t>
      </w:r>
      <w:r w:rsidRPr="002756C4">
        <w:t xml:space="preserve">, Memorandum Opinion and Order and Notice of Apparent Liability for Forfeiture, DA 21-1616 (rel. Dec. 21, 2021) (proposing $3,500 forfeiture for late filed application for license to cover and four months unauthorized operations) (paid Jan. 20, 2022); </w:t>
      </w:r>
      <w:r w:rsidRPr="002756C4">
        <w:rPr>
          <w:i/>
          <w:iCs/>
        </w:rPr>
        <w:t>KAZT, LLC</w:t>
      </w:r>
      <w:r w:rsidRPr="002756C4">
        <w:t xml:space="preserve">, Memorandum Opinion and Order and Notice of Apparent Liability, DA 21-1386 (rel. Nov. 5, 2021) (proposing $3,500 forfeiture for late filed application for license to cover and six months unauthorized operations) (paid Nov. 30, 2021); </w:t>
      </w:r>
      <w:r w:rsidRPr="002756C4">
        <w:rPr>
          <w:i/>
          <w:iCs/>
        </w:rPr>
        <w:t>The Estate of Ettie Clark</w:t>
      </w:r>
      <w:r w:rsidRPr="002756C4">
        <w:t xml:space="preserve">, Memorandum Opinion and Order and Notice of Apparent Liability, DA 22-327 (rel. Mar. 28, 2022) (finding that although the station is secondary, a forfeiture in the amount of $6,500 was </w:t>
      </w:r>
      <w:r w:rsidRPr="00645BA7">
        <w:t>warranted given the lengthy period of time (over three years) the station engaged in unauthorized operation) (paid Apr. 19</w:t>
      </w:r>
      <w:r w:rsidRPr="009D4116">
        <w:t>, 2022).</w:t>
      </w:r>
    </w:p>
  </w:footnote>
  <w:footnote w:id="39">
    <w:p w:rsidR="00D44420" w:rsidRPr="009D4116" w:rsidP="00D44420" w14:paraId="09943919" w14:textId="77777777">
      <w:pPr>
        <w:pStyle w:val="FootnoteText"/>
        <w:widowControl w:val="0"/>
      </w:pPr>
      <w:r w:rsidRPr="009D4116">
        <w:rPr>
          <w:rStyle w:val="FootnoteReference"/>
        </w:rPr>
        <w:footnoteRef/>
      </w:r>
      <w:r w:rsidRPr="009D4116">
        <w:t xml:space="preserve"> </w:t>
      </w:r>
      <w:bookmarkStart w:id="2" w:name="_Hlk105592816"/>
      <w:r w:rsidRPr="009D4116">
        <w:rPr>
          <w:i/>
          <w:iCs/>
        </w:rPr>
        <w:t>See</w:t>
      </w:r>
      <w:r w:rsidRPr="009D4116">
        <w:t xml:space="preserve"> </w:t>
      </w:r>
      <w:r w:rsidRPr="009D4116">
        <w:rPr>
          <w:i/>
          <w:iCs/>
        </w:rPr>
        <w:t>id</w:t>
      </w:r>
      <w:r w:rsidRPr="009D4116">
        <w:t xml:space="preserve">. </w:t>
      </w:r>
      <w:bookmarkEnd w:id="2"/>
    </w:p>
  </w:footnote>
  <w:footnote w:id="40">
    <w:p w:rsidR="00D44420" w:rsidRPr="00F00F50" w:rsidP="00D44420" w14:paraId="165F26BD" w14:textId="77777777">
      <w:pPr>
        <w:pStyle w:val="FootnoteText"/>
        <w:widowControl w:val="0"/>
      </w:pPr>
      <w:r w:rsidRPr="00F00F50">
        <w:rPr>
          <w:rStyle w:val="FootnoteReference"/>
        </w:rPr>
        <w:footnoteRef/>
      </w:r>
      <w:r w:rsidRPr="00F00F50">
        <w:t xml:space="preserve"> 47 U.S.C. § 309(k).</w:t>
      </w:r>
    </w:p>
  </w:footnote>
  <w:footnote w:id="41">
    <w:p w:rsidR="00D44420" w:rsidRPr="00F00F50" w:rsidP="00D44420" w14:paraId="5B5DCC0B" w14:textId="77777777">
      <w:pPr>
        <w:pStyle w:val="FootnoteText"/>
        <w:widowControl w:val="0"/>
      </w:pPr>
      <w:r w:rsidRPr="00F00F50">
        <w:rPr>
          <w:rStyle w:val="FootnoteReference"/>
        </w:rPr>
        <w:footnoteRef/>
      </w:r>
      <w:r w:rsidRPr="00F00F50">
        <w:t xml:space="preserve"> 47 U.S.C. § 309(k)(1).  </w:t>
      </w:r>
    </w:p>
  </w:footnote>
  <w:footnote w:id="42">
    <w:p w:rsidR="00D44420" w:rsidRPr="00F00F50" w:rsidP="00D44420" w14:paraId="3869A25B" w14:textId="77777777">
      <w:pPr>
        <w:pStyle w:val="FootnoteText"/>
        <w:widowControl w:val="0"/>
      </w:pPr>
      <w:r w:rsidRPr="00F00F50">
        <w:rPr>
          <w:rStyle w:val="FootnoteReference"/>
        </w:rPr>
        <w:footnoteRef/>
      </w:r>
      <w:r w:rsidRPr="00F00F50">
        <w:t xml:space="preserve"> 47 U.S.C. § 309(k)(2), (k)(3).</w:t>
      </w:r>
    </w:p>
  </w:footnote>
  <w:footnote w:id="43">
    <w:p w:rsidR="00D44420" w:rsidP="00D44420" w14:paraId="4786472A" w14:textId="77777777">
      <w:pPr>
        <w:pStyle w:val="FootnoteText"/>
        <w:widowControl w:val="0"/>
      </w:pPr>
      <w:r>
        <w:rPr>
          <w:rStyle w:val="FootnoteReference"/>
        </w:rPr>
        <w:footnoteRef/>
      </w:r>
      <w:r>
        <w:t xml:space="preserve"> </w:t>
      </w:r>
      <w:r w:rsidRPr="00084BB5">
        <w:t>47 CFR § 74.788(a)</w:t>
      </w:r>
      <w:r>
        <w:t xml:space="preserve"> (2022); </w:t>
      </w:r>
      <w:r w:rsidRPr="00A74C9B">
        <w:rPr>
          <w:i/>
          <w:iCs/>
        </w:rPr>
        <w:t>see</w:t>
      </w:r>
      <w:r w:rsidRPr="00065AF6">
        <w:rPr>
          <w:i/>
          <w:iCs/>
        </w:rPr>
        <w:t xml:space="preserve"> supra</w:t>
      </w:r>
      <w:r>
        <w:t xml:space="preserve"> n. 2.</w:t>
      </w:r>
    </w:p>
  </w:footnote>
  <w:footnote w:id="44">
    <w:p w:rsidR="00D44420" w:rsidRPr="006D798E" w:rsidP="00D44420" w14:paraId="0564E264" w14:textId="77777777">
      <w:pPr>
        <w:pStyle w:val="FootnoteText"/>
        <w:widowControl w:val="0"/>
      </w:pPr>
      <w:r w:rsidRPr="009D4116">
        <w:rPr>
          <w:rStyle w:val="FootnoteReference"/>
        </w:rPr>
        <w:footnoteRef/>
      </w:r>
      <w:r w:rsidRPr="009D4116">
        <w:t xml:space="preserve"> </w:t>
      </w:r>
      <w:bookmarkStart w:id="3" w:name="_Hlk63415835"/>
      <w:r w:rsidRPr="009D4116">
        <w:t>47 U.S.C. § 503(b); 47 CFR § 1.80.</w:t>
      </w:r>
      <w:bookmarkEnd w:id="3"/>
    </w:p>
  </w:footnote>
  <w:footnote w:id="45">
    <w:p w:rsidR="00D44420" w:rsidRPr="006D798E" w:rsidP="00D44420" w14:paraId="0A4DB86D" w14:textId="5E95A4F1">
      <w:pPr>
        <w:pStyle w:val="FootnoteText"/>
        <w:widowControl w:val="0"/>
      </w:pPr>
      <w:r w:rsidRPr="006D798E">
        <w:rPr>
          <w:rStyle w:val="FootnoteReference"/>
        </w:rPr>
        <w:footnoteRef/>
      </w:r>
      <w:r w:rsidRPr="006D798E">
        <w:t xml:space="preserve"> 47 CFR § 74.788</w:t>
      </w:r>
      <w:r w:rsidR="0018076D">
        <w:t xml:space="preserve"> (2022)</w:t>
      </w:r>
      <w:r w:rsidRPr="006D798E">
        <w:t>;</w:t>
      </w:r>
      <w:r>
        <w:t xml:space="preserve"> 47 CFR § 73.1745; and</w:t>
      </w:r>
      <w:r w:rsidRPr="006D798E">
        <w:t xml:space="preserve"> 47 U.S.C. § 301.</w:t>
      </w:r>
      <w:r w:rsidR="0018076D">
        <w:t xml:space="preserve">  </w:t>
      </w:r>
      <w:r w:rsidRPr="0018076D" w:rsidR="0018076D">
        <w:t>See supra note 2.</w:t>
      </w:r>
    </w:p>
  </w:footnote>
  <w:footnote w:id="46">
    <w:p w:rsidR="00D44420" w:rsidRPr="006D798E" w:rsidP="00D44420" w14:paraId="62A8D382" w14:textId="77777777">
      <w:pPr>
        <w:pStyle w:val="FootnoteText"/>
        <w:widowControl w:val="0"/>
      </w:pPr>
      <w:r w:rsidRPr="006D798E">
        <w:rPr>
          <w:rStyle w:val="FootnoteReference"/>
        </w:rPr>
        <w:footnoteRef/>
      </w:r>
      <w:r w:rsidRPr="006D798E">
        <w:t xml:space="preserve"> 47 CFR § 1.80.</w:t>
      </w:r>
    </w:p>
  </w:footnote>
  <w:footnote w:id="47">
    <w:p w:rsidR="00D44420" w:rsidRPr="006D798E" w:rsidP="00D44420" w14:paraId="01C71EFC" w14:textId="77777777">
      <w:pPr>
        <w:pStyle w:val="FootnoteText"/>
        <w:widowControl w:val="0"/>
      </w:pPr>
      <w:r w:rsidRPr="006D798E">
        <w:rPr>
          <w:rStyle w:val="FootnoteReference"/>
        </w:rPr>
        <w:footnoteRef/>
      </w:r>
      <w:r w:rsidRPr="006D798E">
        <w:t xml:space="preserve"> Payments made using CORES do not require the submission of an FCC Form 159.</w:t>
      </w:r>
    </w:p>
  </w:footnote>
  <w:footnote w:id="48">
    <w:p w:rsidR="00D44420" w:rsidRPr="006D798E" w:rsidP="00D44420" w14:paraId="4EFC6D95" w14:textId="77777777">
      <w:pPr>
        <w:pStyle w:val="FootnoteText"/>
      </w:pPr>
      <w:r w:rsidRPr="006D798E">
        <w:rPr>
          <w:rStyle w:val="FootnoteReference"/>
        </w:rPr>
        <w:footnoteRef/>
      </w:r>
      <w:r w:rsidRPr="006D798E">
        <w:t xml:space="preserve"> For questions regarding payment procedures, please contact the Financial Operations Group Help Desk by phone at 1-877-480-3201 (option #6), or by e-mail at </w:t>
      </w:r>
      <w:hyperlink r:id="rId1" w:history="1">
        <w:r w:rsidRPr="006D798E">
          <w:rPr>
            <w:rStyle w:val="Hyperlink"/>
            <w:color w:val="auto"/>
          </w:rPr>
          <w:t>ARINQUIRIES@fcc.gov</w:t>
        </w:r>
      </w:hyperlink>
      <w:r w:rsidRPr="006D798E">
        <w:t xml:space="preserve">.  </w:t>
      </w:r>
    </w:p>
  </w:footnote>
  <w:footnote w:id="49">
    <w:p w:rsidR="00D44420" w:rsidRPr="006D798E" w:rsidP="00D44420" w14:paraId="4504C446" w14:textId="77777777">
      <w:pPr>
        <w:pStyle w:val="FootnoteText"/>
        <w:widowControl w:val="0"/>
      </w:pPr>
      <w:r w:rsidRPr="006D798E">
        <w:rPr>
          <w:rStyle w:val="FootnoteReference"/>
        </w:rPr>
        <w:footnoteRef/>
      </w:r>
      <w:r w:rsidRPr="006D798E">
        <w:t xml:space="preserve"> Instructions for completing the form may be obtained at </w:t>
      </w:r>
      <w:hyperlink r:id="rId2" w:history="1">
        <w:r w:rsidRPr="006D798E">
          <w:rPr>
            <w:rStyle w:val="Hyperlink"/>
            <w:color w:val="auto"/>
          </w:rPr>
          <w:t>https://www.fcc.gov/Forms/Form159/159.pdf</w:t>
        </w:r>
      </w:hyperlink>
      <w:r w:rsidRPr="006D798E">
        <w:t xml:space="preserve">. </w:t>
      </w:r>
    </w:p>
  </w:footnote>
  <w:footnote w:id="50">
    <w:p w:rsidR="00D44420" w:rsidRPr="006D798E" w:rsidP="00D44420" w14:paraId="62EA856C" w14:textId="77777777">
      <w:pPr>
        <w:pStyle w:val="FootnoteText"/>
        <w:widowControl w:val="0"/>
      </w:pPr>
      <w:r w:rsidRPr="006D798E">
        <w:rPr>
          <w:rStyle w:val="FootnoteReference"/>
        </w:rPr>
        <w:footnoteRef/>
      </w:r>
      <w:r w:rsidRPr="006D798E">
        <w:t xml:space="preserve"> </w:t>
      </w:r>
      <w:r w:rsidRPr="006D798E">
        <w:rPr>
          <w:i/>
        </w:rPr>
        <w:t>See</w:t>
      </w:r>
      <w:r w:rsidRPr="006D798E">
        <w:t xml:space="preserve"> 47 CFR § 1.1914.</w:t>
      </w:r>
    </w:p>
  </w:footnote>
  <w:footnote w:id="51">
    <w:p w:rsidR="00D44420" w:rsidRPr="006D798E" w:rsidP="00D44420" w14:paraId="5A0D71D3" w14:textId="77777777">
      <w:pPr>
        <w:pStyle w:val="FootnoteText"/>
        <w:widowControl w:val="0"/>
      </w:pPr>
      <w:r w:rsidRPr="006D798E">
        <w:rPr>
          <w:rStyle w:val="FootnoteReference"/>
        </w:rPr>
        <w:footnoteRef/>
      </w:r>
      <w:r w:rsidRPr="006D798E">
        <w:t xml:space="preserve"> 47 CFR §§ 1.16 and 1.80(g)(3).</w:t>
      </w:r>
    </w:p>
  </w:footnote>
  <w:footnote w:id="52">
    <w:p w:rsidR="00D44420" w:rsidRPr="006D798E" w:rsidP="00D44420" w14:paraId="50D49394" w14:textId="77777777">
      <w:pPr>
        <w:pStyle w:val="FootnoteText"/>
        <w:widowControl w:val="0"/>
      </w:pPr>
      <w:r w:rsidRPr="006D798E">
        <w:rPr>
          <w:rStyle w:val="FootnoteReference"/>
        </w:rPr>
        <w:footnoteRef/>
      </w:r>
      <w:r w:rsidRPr="006D798E">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6D798E">
        <w:rPr>
          <w:i/>
          <w:iCs/>
        </w:rPr>
        <w:t>See</w:t>
      </w:r>
      <w:r w:rsidRPr="006D798E">
        <w:t xml:space="preserve"> </w:t>
      </w:r>
      <w:r w:rsidRPr="006D798E">
        <w:rPr>
          <w:i/>
          <w:iCs/>
        </w:rPr>
        <w:t>FCC Announces Closure of FCC Headquarters Open Window and Change in Hand-Delivery Filing</w:t>
      </w:r>
      <w:r w:rsidRPr="006D798E">
        <w:t xml:space="preserve">, Public Notice, 35 FCC </w:t>
      </w:r>
      <w:r w:rsidRPr="006D798E">
        <w:t>Rcd</w:t>
      </w:r>
      <w:r w:rsidRPr="006D798E">
        <w:t xml:space="preserve"> 2788 (2020).</w:t>
      </w:r>
    </w:p>
  </w:footnote>
  <w:footnote w:id="53">
    <w:p w:rsidR="00D44420" w:rsidRPr="008346E1" w:rsidP="00D44420" w14:paraId="062E6C23" w14:textId="77777777">
      <w:pPr>
        <w:pStyle w:val="FootnoteText"/>
        <w:widowControl w:val="0"/>
        <w:rPr>
          <w:color w:val="FF0000"/>
        </w:rPr>
      </w:pPr>
      <w:r w:rsidRPr="006D798E">
        <w:rPr>
          <w:rStyle w:val="FootnoteReference"/>
        </w:rPr>
        <w:footnoteRef/>
      </w:r>
      <w:r w:rsidRPr="006D798E">
        <w:t xml:space="preserve"> </w:t>
      </w:r>
      <w:r w:rsidRPr="006D798E">
        <w:rPr>
          <w:i/>
          <w:iCs/>
        </w:rPr>
        <w:t xml:space="preserve">See </w:t>
      </w:r>
      <w:r w:rsidRPr="006D798E">
        <w:t xml:space="preserve">47 U.S.C. 503(b)(2)(E); </w:t>
      </w:r>
      <w:r w:rsidRPr="006D798E">
        <w:rPr>
          <w:i/>
          <w:iCs/>
        </w:rPr>
        <w:t>Adrian Abramovich</w:t>
      </w:r>
      <w:r w:rsidRPr="006D798E">
        <w:t xml:space="preserve">, Forfeiture Order, 33 FCC </w:t>
      </w:r>
      <w:r w:rsidRPr="006D798E">
        <w:t>Rcd</w:t>
      </w:r>
      <w:r w:rsidRPr="006D798E">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6EB" w14:paraId="1B9EEA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32B5AD" w14:textId="16EB6F77">
    <w:pPr>
      <w:pStyle w:val="Header"/>
      <w:rPr>
        <w:b w:val="0"/>
      </w:rPr>
    </w:pPr>
    <w:r>
      <w:tab/>
      <w:t>Federal Communications Commission</w:t>
    </w:r>
    <w:r>
      <w:tab/>
    </w:r>
    <w:r w:rsidR="001736EB">
      <w:t>DA 23-46</w:t>
    </w:r>
  </w:p>
  <w:p w:rsidR="00D25FB5" w14:paraId="51708B2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59676A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AFD37B" w14:textId="4EB34A4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99942A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20"/>
    <w:rsid w:val="00036039"/>
    <w:rsid w:val="00037F90"/>
    <w:rsid w:val="00065AF6"/>
    <w:rsid w:val="000709C2"/>
    <w:rsid w:val="00084BB5"/>
    <w:rsid w:val="000875BF"/>
    <w:rsid w:val="00096D8C"/>
    <w:rsid w:val="000A4DEF"/>
    <w:rsid w:val="000C0B65"/>
    <w:rsid w:val="000E05FE"/>
    <w:rsid w:val="000E3D42"/>
    <w:rsid w:val="000F0B47"/>
    <w:rsid w:val="00122BD5"/>
    <w:rsid w:val="00133F79"/>
    <w:rsid w:val="001736EB"/>
    <w:rsid w:val="0018076D"/>
    <w:rsid w:val="00194A66"/>
    <w:rsid w:val="001D6BCF"/>
    <w:rsid w:val="001E01CA"/>
    <w:rsid w:val="00210629"/>
    <w:rsid w:val="00225714"/>
    <w:rsid w:val="00266D6B"/>
    <w:rsid w:val="002756C4"/>
    <w:rsid w:val="00275CF5"/>
    <w:rsid w:val="0028301F"/>
    <w:rsid w:val="00285017"/>
    <w:rsid w:val="002A2D2E"/>
    <w:rsid w:val="002C00E8"/>
    <w:rsid w:val="00322EF1"/>
    <w:rsid w:val="00343749"/>
    <w:rsid w:val="003660ED"/>
    <w:rsid w:val="00385CC3"/>
    <w:rsid w:val="00391035"/>
    <w:rsid w:val="003B0550"/>
    <w:rsid w:val="003B694F"/>
    <w:rsid w:val="003F171C"/>
    <w:rsid w:val="00412FC5"/>
    <w:rsid w:val="00422276"/>
    <w:rsid w:val="004242F1"/>
    <w:rsid w:val="004378D5"/>
    <w:rsid w:val="00445A00"/>
    <w:rsid w:val="00451B0F"/>
    <w:rsid w:val="004979F2"/>
    <w:rsid w:val="004C2EE3"/>
    <w:rsid w:val="004D136C"/>
    <w:rsid w:val="004E4A22"/>
    <w:rsid w:val="00505C9E"/>
    <w:rsid w:val="00511968"/>
    <w:rsid w:val="00544CD3"/>
    <w:rsid w:val="0055614C"/>
    <w:rsid w:val="00557CBB"/>
    <w:rsid w:val="00566D06"/>
    <w:rsid w:val="00583021"/>
    <w:rsid w:val="00595C5A"/>
    <w:rsid w:val="005E14C2"/>
    <w:rsid w:val="005E5565"/>
    <w:rsid w:val="00607BA5"/>
    <w:rsid w:val="0061180A"/>
    <w:rsid w:val="00626EB6"/>
    <w:rsid w:val="0063313F"/>
    <w:rsid w:val="00634063"/>
    <w:rsid w:val="00645BA7"/>
    <w:rsid w:val="00655D03"/>
    <w:rsid w:val="00665F5B"/>
    <w:rsid w:val="00683388"/>
    <w:rsid w:val="00683F84"/>
    <w:rsid w:val="00685ABF"/>
    <w:rsid w:val="006A43B2"/>
    <w:rsid w:val="006A6A81"/>
    <w:rsid w:val="006B0465"/>
    <w:rsid w:val="006D798E"/>
    <w:rsid w:val="006F571D"/>
    <w:rsid w:val="006F7393"/>
    <w:rsid w:val="0070224F"/>
    <w:rsid w:val="007115F7"/>
    <w:rsid w:val="00754E7F"/>
    <w:rsid w:val="00785689"/>
    <w:rsid w:val="0079226C"/>
    <w:rsid w:val="00796EDF"/>
    <w:rsid w:val="0079754B"/>
    <w:rsid w:val="007A1E6D"/>
    <w:rsid w:val="007B0EB2"/>
    <w:rsid w:val="007D13A0"/>
    <w:rsid w:val="008053DF"/>
    <w:rsid w:val="00810B6F"/>
    <w:rsid w:val="00815D7F"/>
    <w:rsid w:val="00822CE0"/>
    <w:rsid w:val="008346E1"/>
    <w:rsid w:val="00841AB1"/>
    <w:rsid w:val="00865B9B"/>
    <w:rsid w:val="008C68F1"/>
    <w:rsid w:val="00921803"/>
    <w:rsid w:val="00926503"/>
    <w:rsid w:val="00953A74"/>
    <w:rsid w:val="009659AF"/>
    <w:rsid w:val="009726D8"/>
    <w:rsid w:val="00982221"/>
    <w:rsid w:val="00994382"/>
    <w:rsid w:val="009A4CAA"/>
    <w:rsid w:val="009D4116"/>
    <w:rsid w:val="009D7308"/>
    <w:rsid w:val="009E4AB1"/>
    <w:rsid w:val="009F76DB"/>
    <w:rsid w:val="00A1651A"/>
    <w:rsid w:val="00A32C3B"/>
    <w:rsid w:val="00A45F4F"/>
    <w:rsid w:val="00A600A9"/>
    <w:rsid w:val="00A74C9B"/>
    <w:rsid w:val="00AA55B7"/>
    <w:rsid w:val="00AA5B9E"/>
    <w:rsid w:val="00AB2407"/>
    <w:rsid w:val="00AB53DF"/>
    <w:rsid w:val="00AE7142"/>
    <w:rsid w:val="00B07E5C"/>
    <w:rsid w:val="00B811F7"/>
    <w:rsid w:val="00BA5DC6"/>
    <w:rsid w:val="00BA6196"/>
    <w:rsid w:val="00BB062E"/>
    <w:rsid w:val="00BC6D8C"/>
    <w:rsid w:val="00C34006"/>
    <w:rsid w:val="00C36B4C"/>
    <w:rsid w:val="00C426B1"/>
    <w:rsid w:val="00C66160"/>
    <w:rsid w:val="00C721AC"/>
    <w:rsid w:val="00C8253C"/>
    <w:rsid w:val="00C90D6A"/>
    <w:rsid w:val="00CA247E"/>
    <w:rsid w:val="00CA6D21"/>
    <w:rsid w:val="00CB45D5"/>
    <w:rsid w:val="00CC72B6"/>
    <w:rsid w:val="00CD2D16"/>
    <w:rsid w:val="00D0218D"/>
    <w:rsid w:val="00D25FB5"/>
    <w:rsid w:val="00D44223"/>
    <w:rsid w:val="00D44420"/>
    <w:rsid w:val="00D86FA8"/>
    <w:rsid w:val="00DA2529"/>
    <w:rsid w:val="00DB130A"/>
    <w:rsid w:val="00DB2EBB"/>
    <w:rsid w:val="00DB7631"/>
    <w:rsid w:val="00DC10A1"/>
    <w:rsid w:val="00DC655F"/>
    <w:rsid w:val="00DD0B59"/>
    <w:rsid w:val="00DD40E5"/>
    <w:rsid w:val="00DD7EBD"/>
    <w:rsid w:val="00DF62B6"/>
    <w:rsid w:val="00E07225"/>
    <w:rsid w:val="00E32129"/>
    <w:rsid w:val="00E5409F"/>
    <w:rsid w:val="00E73A0E"/>
    <w:rsid w:val="00E94E22"/>
    <w:rsid w:val="00EA1411"/>
    <w:rsid w:val="00EE07E3"/>
    <w:rsid w:val="00EE6488"/>
    <w:rsid w:val="00F00F50"/>
    <w:rsid w:val="00F021FA"/>
    <w:rsid w:val="00F203F3"/>
    <w:rsid w:val="00F62E97"/>
    <w:rsid w:val="00F64209"/>
    <w:rsid w:val="00F93BF5"/>
    <w:rsid w:val="00FE368A"/>
    <w:rsid w:val="00FF55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59CB5C"/>
  <w15:chartTrackingRefBased/>
  <w15:docId w15:val="{C506F6A6-A216-4B51-9588-8FB8852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6EB"/>
    <w:pPr>
      <w:widowControl w:val="0"/>
    </w:pPr>
    <w:rPr>
      <w:snapToGrid w:val="0"/>
      <w:kern w:val="28"/>
      <w:sz w:val="22"/>
    </w:rPr>
  </w:style>
  <w:style w:type="paragraph" w:styleId="Heading1">
    <w:name w:val="heading 1"/>
    <w:basedOn w:val="Normal"/>
    <w:next w:val="ParaNum"/>
    <w:link w:val="Heading1Char"/>
    <w:qFormat/>
    <w:rsid w:val="001736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36EB"/>
    <w:pPr>
      <w:keepNext/>
      <w:numPr>
        <w:ilvl w:val="1"/>
        <w:numId w:val="3"/>
      </w:numPr>
      <w:spacing w:after="120"/>
      <w:outlineLvl w:val="1"/>
    </w:pPr>
    <w:rPr>
      <w:b/>
    </w:rPr>
  </w:style>
  <w:style w:type="paragraph" w:styleId="Heading3">
    <w:name w:val="heading 3"/>
    <w:basedOn w:val="Normal"/>
    <w:next w:val="ParaNum"/>
    <w:qFormat/>
    <w:rsid w:val="001736EB"/>
    <w:pPr>
      <w:keepNext/>
      <w:numPr>
        <w:ilvl w:val="2"/>
        <w:numId w:val="3"/>
      </w:numPr>
      <w:tabs>
        <w:tab w:val="left" w:pos="2160"/>
      </w:tabs>
      <w:spacing w:after="120"/>
      <w:outlineLvl w:val="2"/>
    </w:pPr>
    <w:rPr>
      <w:b/>
    </w:rPr>
  </w:style>
  <w:style w:type="paragraph" w:styleId="Heading4">
    <w:name w:val="heading 4"/>
    <w:basedOn w:val="Normal"/>
    <w:next w:val="ParaNum"/>
    <w:qFormat/>
    <w:rsid w:val="001736EB"/>
    <w:pPr>
      <w:keepNext/>
      <w:numPr>
        <w:ilvl w:val="3"/>
        <w:numId w:val="3"/>
      </w:numPr>
      <w:tabs>
        <w:tab w:val="left" w:pos="2880"/>
      </w:tabs>
      <w:spacing w:after="120"/>
      <w:outlineLvl w:val="3"/>
    </w:pPr>
    <w:rPr>
      <w:b/>
    </w:rPr>
  </w:style>
  <w:style w:type="paragraph" w:styleId="Heading5">
    <w:name w:val="heading 5"/>
    <w:basedOn w:val="Normal"/>
    <w:next w:val="ParaNum"/>
    <w:qFormat/>
    <w:rsid w:val="001736E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36EB"/>
    <w:pPr>
      <w:numPr>
        <w:ilvl w:val="5"/>
        <w:numId w:val="3"/>
      </w:numPr>
      <w:tabs>
        <w:tab w:val="left" w:pos="4320"/>
      </w:tabs>
      <w:spacing w:after="120"/>
      <w:outlineLvl w:val="5"/>
    </w:pPr>
    <w:rPr>
      <w:b/>
    </w:rPr>
  </w:style>
  <w:style w:type="paragraph" w:styleId="Heading7">
    <w:name w:val="heading 7"/>
    <w:basedOn w:val="Normal"/>
    <w:next w:val="ParaNum"/>
    <w:qFormat/>
    <w:rsid w:val="001736E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36E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36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36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36EB"/>
  </w:style>
  <w:style w:type="paragraph" w:customStyle="1" w:styleId="ParaNum">
    <w:name w:val="ParaNum"/>
    <w:basedOn w:val="Normal"/>
    <w:link w:val="ParaNumChar"/>
    <w:rsid w:val="001736EB"/>
    <w:pPr>
      <w:numPr>
        <w:numId w:val="2"/>
      </w:numPr>
      <w:tabs>
        <w:tab w:val="clear" w:pos="1080"/>
        <w:tab w:val="num" w:pos="1440"/>
      </w:tabs>
      <w:spacing w:after="120"/>
    </w:pPr>
  </w:style>
  <w:style w:type="paragraph" w:styleId="EndnoteText">
    <w:name w:val="endnote text"/>
    <w:basedOn w:val="Normal"/>
    <w:semiHidden/>
    <w:rsid w:val="001736EB"/>
    <w:rPr>
      <w:sz w:val="20"/>
    </w:rPr>
  </w:style>
  <w:style w:type="character" w:styleId="EndnoteReference">
    <w:name w:val="endnote reference"/>
    <w:semiHidden/>
    <w:rsid w:val="001736E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736E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736EB"/>
    <w:rPr>
      <w:rFonts w:ascii="Times New Roman" w:hAnsi="Times New Roman"/>
      <w:dstrike w:val="0"/>
      <w:color w:val="auto"/>
      <w:sz w:val="20"/>
      <w:vertAlign w:val="superscript"/>
    </w:rPr>
  </w:style>
  <w:style w:type="paragraph" w:styleId="TOC1">
    <w:name w:val="toc 1"/>
    <w:basedOn w:val="Normal"/>
    <w:next w:val="Normal"/>
    <w:semiHidden/>
    <w:rsid w:val="001736E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36EB"/>
    <w:pPr>
      <w:tabs>
        <w:tab w:val="left" w:pos="720"/>
        <w:tab w:val="right" w:leader="dot" w:pos="9360"/>
      </w:tabs>
      <w:suppressAutoHyphens/>
      <w:ind w:left="720" w:right="720" w:hanging="360"/>
    </w:pPr>
    <w:rPr>
      <w:noProof/>
    </w:rPr>
  </w:style>
  <w:style w:type="paragraph" w:styleId="TOC3">
    <w:name w:val="toc 3"/>
    <w:basedOn w:val="Normal"/>
    <w:next w:val="Normal"/>
    <w:semiHidden/>
    <w:rsid w:val="001736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36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36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36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36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36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36E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36EB"/>
    <w:pPr>
      <w:tabs>
        <w:tab w:val="right" w:pos="9360"/>
      </w:tabs>
      <w:suppressAutoHyphens/>
    </w:pPr>
  </w:style>
  <w:style w:type="character" w:customStyle="1" w:styleId="EquationCaption">
    <w:name w:val="_Equation Caption"/>
    <w:rsid w:val="001736EB"/>
  </w:style>
  <w:style w:type="paragraph" w:styleId="Header">
    <w:name w:val="header"/>
    <w:basedOn w:val="Normal"/>
    <w:autoRedefine/>
    <w:rsid w:val="001736EB"/>
    <w:pPr>
      <w:tabs>
        <w:tab w:val="center" w:pos="4680"/>
        <w:tab w:val="right" w:pos="9360"/>
      </w:tabs>
    </w:pPr>
    <w:rPr>
      <w:b/>
    </w:rPr>
  </w:style>
  <w:style w:type="paragraph" w:styleId="Footer">
    <w:name w:val="footer"/>
    <w:basedOn w:val="Normal"/>
    <w:link w:val="FooterChar"/>
    <w:uiPriority w:val="99"/>
    <w:rsid w:val="001736EB"/>
    <w:pPr>
      <w:tabs>
        <w:tab w:val="center" w:pos="4320"/>
        <w:tab w:val="right" w:pos="8640"/>
      </w:tabs>
    </w:pPr>
  </w:style>
  <w:style w:type="character" w:styleId="PageNumber">
    <w:name w:val="page number"/>
    <w:basedOn w:val="DefaultParagraphFont"/>
    <w:rsid w:val="001736EB"/>
  </w:style>
  <w:style w:type="paragraph" w:styleId="BlockText">
    <w:name w:val="Block Text"/>
    <w:basedOn w:val="Normal"/>
    <w:rsid w:val="001736EB"/>
    <w:pPr>
      <w:spacing w:after="240"/>
      <w:ind w:left="1440" w:right="1440"/>
    </w:pPr>
  </w:style>
  <w:style w:type="paragraph" w:customStyle="1" w:styleId="Paratitle">
    <w:name w:val="Para title"/>
    <w:basedOn w:val="Normal"/>
    <w:rsid w:val="001736EB"/>
    <w:pPr>
      <w:tabs>
        <w:tab w:val="center" w:pos="9270"/>
      </w:tabs>
      <w:spacing w:after="240"/>
    </w:pPr>
    <w:rPr>
      <w:spacing w:val="-2"/>
    </w:rPr>
  </w:style>
  <w:style w:type="paragraph" w:customStyle="1" w:styleId="Bullet">
    <w:name w:val="Bullet"/>
    <w:basedOn w:val="Normal"/>
    <w:rsid w:val="001736EB"/>
    <w:pPr>
      <w:tabs>
        <w:tab w:val="left" w:pos="2160"/>
      </w:tabs>
      <w:spacing w:after="220"/>
      <w:ind w:left="2160" w:hanging="720"/>
    </w:pPr>
  </w:style>
  <w:style w:type="paragraph" w:customStyle="1" w:styleId="TableFormat">
    <w:name w:val="TableFormat"/>
    <w:basedOn w:val="Bullet"/>
    <w:rsid w:val="001736EB"/>
    <w:pPr>
      <w:tabs>
        <w:tab w:val="clear" w:pos="2160"/>
        <w:tab w:val="left" w:pos="5040"/>
      </w:tabs>
      <w:ind w:left="5040" w:hanging="3600"/>
    </w:pPr>
  </w:style>
  <w:style w:type="paragraph" w:customStyle="1" w:styleId="TOCTitle">
    <w:name w:val="TOC Title"/>
    <w:basedOn w:val="Normal"/>
    <w:rsid w:val="001736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36EB"/>
    <w:pPr>
      <w:jc w:val="center"/>
    </w:pPr>
    <w:rPr>
      <w:rFonts w:ascii="Times New Roman Bold" w:hAnsi="Times New Roman Bold"/>
      <w:b/>
      <w:bCs/>
      <w:caps/>
      <w:szCs w:val="22"/>
    </w:rPr>
  </w:style>
  <w:style w:type="character" w:styleId="Hyperlink">
    <w:name w:val="Hyperlink"/>
    <w:rsid w:val="001736EB"/>
    <w:rPr>
      <w:color w:val="0000FF"/>
      <w:u w:val="single"/>
    </w:rPr>
  </w:style>
  <w:style w:type="character" w:customStyle="1" w:styleId="FooterChar">
    <w:name w:val="Footer Char"/>
    <w:link w:val="Footer"/>
    <w:uiPriority w:val="99"/>
    <w:rsid w:val="001736EB"/>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D44420"/>
  </w:style>
  <w:style w:type="character" w:customStyle="1" w:styleId="ParaNumChar">
    <w:name w:val="ParaNum Char"/>
    <w:link w:val="ParaNum"/>
    <w:rsid w:val="00D44420"/>
    <w:rPr>
      <w:snapToGrid w:val="0"/>
      <w:kern w:val="28"/>
      <w:sz w:val="22"/>
    </w:rPr>
  </w:style>
  <w:style w:type="character" w:customStyle="1" w:styleId="Heading1Char">
    <w:name w:val="Heading 1 Char"/>
    <w:link w:val="Heading1"/>
    <w:rsid w:val="00D44420"/>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in.Fagan@fcc.gov" TargetMode="External" /><Relationship Id="rId11" Type="http://schemas.openxmlformats.org/officeDocument/2006/relationships/hyperlink" Target="mailto:cpoppen@kcpo.tv" TargetMode="External" /><Relationship Id="rId12" Type="http://schemas.openxmlformats.org/officeDocument/2006/relationships/hyperlink" Target="mailto:aaron@s-plaw.co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