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65EC1B35" w14:textId="77777777">
      <w:pPr>
        <w:jc w:val="right"/>
        <w:rPr>
          <w:sz w:val="24"/>
        </w:rPr>
      </w:pPr>
    </w:p>
    <w:p w:rsidR="005614FA" w:rsidP="005614FA" w14:paraId="2DDC9B71" w14:textId="53959DE8">
      <w:pPr>
        <w:widowControl/>
        <w:suppressAutoHyphens/>
        <w:jc w:val="right"/>
        <w:rPr>
          <w:b/>
          <w:color w:val="000000"/>
        </w:rPr>
      </w:pPr>
      <w:r>
        <w:rPr>
          <w:b/>
          <w:color w:val="000000"/>
        </w:rPr>
        <w:t>DA 2</w:t>
      </w:r>
      <w:r w:rsidR="007403BB">
        <w:rPr>
          <w:b/>
          <w:color w:val="000000"/>
        </w:rPr>
        <w:t>3</w:t>
      </w:r>
      <w:r w:rsidR="00D52914">
        <w:rPr>
          <w:b/>
          <w:color w:val="000000"/>
        </w:rPr>
        <w:t>-</w:t>
      </w:r>
      <w:r w:rsidR="007225A2">
        <w:rPr>
          <w:b/>
          <w:color w:val="000000"/>
        </w:rPr>
        <w:t>47</w:t>
      </w:r>
    </w:p>
    <w:p w:rsidR="005614FA" w:rsidP="005614FA" w14:paraId="03441A11" w14:textId="531D376B">
      <w:pPr>
        <w:widowControl/>
        <w:suppressAutoHyphens/>
        <w:spacing w:after="240"/>
        <w:jc w:val="right"/>
        <w:rPr>
          <w:b/>
          <w:color w:val="000000"/>
        </w:rPr>
      </w:pPr>
      <w:r>
        <w:rPr>
          <w:b/>
          <w:color w:val="000000"/>
        </w:rPr>
        <w:t xml:space="preserve">Released: </w:t>
      </w:r>
      <w:r w:rsidR="001D11C0">
        <w:rPr>
          <w:b/>
          <w:color w:val="000000"/>
        </w:rPr>
        <w:t xml:space="preserve"> </w:t>
      </w:r>
      <w:r w:rsidR="00D52914">
        <w:rPr>
          <w:b/>
          <w:color w:val="000000"/>
        </w:rPr>
        <w:t xml:space="preserve">January </w:t>
      </w:r>
      <w:r w:rsidR="007013BD">
        <w:rPr>
          <w:b/>
          <w:color w:val="000000"/>
        </w:rPr>
        <w:t>19</w:t>
      </w:r>
      <w:r w:rsidR="001A5851">
        <w:rPr>
          <w:b/>
          <w:color w:val="000000"/>
        </w:rPr>
        <w:t xml:space="preserve">, </w:t>
      </w:r>
      <w:r>
        <w:rPr>
          <w:b/>
          <w:color w:val="000000"/>
        </w:rPr>
        <w:t>202</w:t>
      </w:r>
      <w:r w:rsidR="007403BB">
        <w:rPr>
          <w:b/>
          <w:color w:val="000000"/>
        </w:rPr>
        <w:t>3</w:t>
      </w:r>
    </w:p>
    <w:p w:rsidR="007403BB" w:rsidP="007403BB" w14:paraId="1ADEBCB1" w14:textId="24358555">
      <w:pPr>
        <w:autoSpaceDE w:val="0"/>
        <w:autoSpaceDN w:val="0"/>
        <w:adjustRightInd w:val="0"/>
        <w:ind w:left="-90" w:right="-180"/>
        <w:jc w:val="center"/>
        <w:rPr>
          <w:b/>
        </w:rPr>
      </w:pPr>
      <w:bookmarkStart w:id="0" w:name="_Hlk121735518"/>
      <w:r>
        <w:rPr>
          <w:b/>
        </w:rPr>
        <w:t xml:space="preserve">DOMESTIC SECTION 214 </w:t>
      </w:r>
      <w:r w:rsidRPr="00AE2FDC">
        <w:rPr>
          <w:b/>
        </w:rPr>
        <w:t>APPLICATION</w:t>
      </w:r>
    </w:p>
    <w:p w:rsidR="007403BB" w:rsidRPr="001A3629" w:rsidP="007403BB" w14:paraId="1948CC90" w14:textId="41863D84">
      <w:pPr>
        <w:autoSpaceDE w:val="0"/>
        <w:autoSpaceDN w:val="0"/>
        <w:adjustRightInd w:val="0"/>
        <w:ind w:left="-90" w:right="-180"/>
        <w:jc w:val="center"/>
        <w:rPr>
          <w:b/>
        </w:rPr>
      </w:pPr>
      <w:r w:rsidRPr="00AE2FDC">
        <w:rPr>
          <w:b/>
        </w:rPr>
        <w:t>GRANTED FOR THE TRANSFER OF CONTROL OF</w:t>
      </w:r>
      <w:r>
        <w:rPr>
          <w:b/>
        </w:rPr>
        <w:t xml:space="preserve"> </w:t>
      </w:r>
      <w:r w:rsidRPr="002F1F37" w:rsidR="00DE12B6">
        <w:rPr>
          <w:b/>
          <w:color w:val="231F20"/>
          <w:szCs w:val="22"/>
        </w:rPr>
        <w:t xml:space="preserve">JAB </w:t>
      </w:r>
      <w:r w:rsidRPr="002F1F37" w:rsidR="00693AC0">
        <w:rPr>
          <w:b/>
          <w:color w:val="231F20"/>
          <w:szCs w:val="22"/>
        </w:rPr>
        <w:t xml:space="preserve">WIRELESS, INC. AND </w:t>
      </w:r>
      <w:r w:rsidR="00460854">
        <w:rPr>
          <w:b/>
          <w:bCs/>
          <w:color w:val="231F20"/>
          <w:szCs w:val="22"/>
        </w:rPr>
        <w:t>ITS</w:t>
      </w:r>
      <w:r w:rsidR="00693AC0">
        <w:rPr>
          <w:b/>
          <w:color w:val="231F20"/>
          <w:szCs w:val="22"/>
        </w:rPr>
        <w:t xml:space="preserve"> </w:t>
      </w:r>
      <w:r w:rsidRPr="002F1F37" w:rsidR="00693AC0">
        <w:rPr>
          <w:b/>
          <w:color w:val="231F20"/>
          <w:szCs w:val="22"/>
        </w:rPr>
        <w:t>SUBSIDIARIES</w:t>
      </w:r>
      <w:r w:rsidRPr="00AE2FDC" w:rsidR="00DE12B6">
        <w:rPr>
          <w:b/>
          <w:bCs/>
        </w:rPr>
        <w:t xml:space="preserve"> </w:t>
      </w:r>
    </w:p>
    <w:p w:rsidR="007403BB" w:rsidRPr="00AE2FDC" w:rsidP="007403BB" w14:paraId="18DC6417" w14:textId="77777777">
      <w:pPr>
        <w:autoSpaceDE w:val="0"/>
        <w:autoSpaceDN w:val="0"/>
        <w:adjustRightInd w:val="0"/>
        <w:ind w:left="-90" w:right="-180"/>
        <w:jc w:val="center"/>
        <w:rPr>
          <w:b/>
          <w:bCs/>
        </w:rPr>
      </w:pPr>
      <w:r w:rsidRPr="00AE2FDC">
        <w:rPr>
          <w:b/>
          <w:bCs/>
        </w:rPr>
        <w:t>TO LSTAR EQUITY COMPANY HOLDINGS, L.P.</w:t>
      </w:r>
    </w:p>
    <w:p w:rsidR="007403BB" w:rsidP="007403BB" w14:paraId="59F88D89" w14:textId="77777777">
      <w:pPr>
        <w:autoSpaceDE w:val="0"/>
        <w:autoSpaceDN w:val="0"/>
        <w:adjustRightInd w:val="0"/>
        <w:ind w:left="-90" w:right="-180"/>
        <w:jc w:val="center"/>
        <w:rPr>
          <w:b/>
        </w:rPr>
      </w:pPr>
    </w:p>
    <w:p w:rsidR="007403BB" w:rsidRPr="00AE2FDC" w:rsidP="007403BB" w14:paraId="2F5AB00A" w14:textId="77777777">
      <w:pPr>
        <w:autoSpaceDE w:val="0"/>
        <w:autoSpaceDN w:val="0"/>
        <w:adjustRightInd w:val="0"/>
        <w:ind w:left="-90" w:right="-180"/>
        <w:jc w:val="center"/>
        <w:rPr>
          <w:b/>
        </w:rPr>
      </w:pPr>
      <w:r w:rsidRPr="00AE2FDC">
        <w:rPr>
          <w:b/>
        </w:rPr>
        <w:t>WC Docket No. 22-</w:t>
      </w:r>
      <w:r>
        <w:rPr>
          <w:b/>
        </w:rPr>
        <w:t>422</w:t>
      </w:r>
    </w:p>
    <w:p w:rsidR="007403BB" w:rsidP="00BB599C" w14:paraId="26EE311C" w14:textId="77777777">
      <w:pPr>
        <w:autoSpaceDE w:val="0"/>
        <w:autoSpaceDN w:val="0"/>
        <w:adjustRightInd w:val="0"/>
        <w:ind w:left="-180" w:right="90"/>
        <w:jc w:val="center"/>
        <w:rPr>
          <w:b/>
          <w:szCs w:val="22"/>
        </w:rPr>
      </w:pPr>
    </w:p>
    <w:p w:rsidR="00BB599C" w:rsidRPr="00341E03" w:rsidP="00BB599C" w14:paraId="42DD1BA0" w14:textId="0691EAED">
      <w:pPr>
        <w:autoSpaceDE w:val="0"/>
        <w:autoSpaceDN w:val="0"/>
        <w:adjustRightInd w:val="0"/>
        <w:ind w:left="-180" w:right="90"/>
        <w:jc w:val="center"/>
        <w:rPr>
          <w:b/>
          <w:bCs/>
          <w:szCs w:val="22"/>
        </w:rPr>
      </w:pPr>
      <w:r>
        <w:rPr>
          <w:b/>
          <w:szCs w:val="22"/>
        </w:rPr>
        <w:t xml:space="preserve">DOMESTIC SECTION </w:t>
      </w:r>
      <w:r w:rsidR="001A3629">
        <w:rPr>
          <w:b/>
          <w:szCs w:val="22"/>
        </w:rPr>
        <w:t xml:space="preserve">214 </w:t>
      </w:r>
      <w:r w:rsidRPr="00307030" w:rsidR="00AB5832">
        <w:rPr>
          <w:b/>
          <w:szCs w:val="22"/>
        </w:rPr>
        <w:t xml:space="preserve">APPLICATION </w:t>
      </w:r>
    </w:p>
    <w:p w:rsidR="005614FA" w:rsidRPr="00307030" w:rsidP="00412D8F" w14:paraId="77F013CD" w14:textId="59356489">
      <w:pPr>
        <w:autoSpaceDE w:val="0"/>
        <w:autoSpaceDN w:val="0"/>
        <w:adjustRightInd w:val="0"/>
        <w:ind w:left="-90" w:right="-180"/>
        <w:jc w:val="center"/>
        <w:rPr>
          <w:b/>
          <w:szCs w:val="22"/>
        </w:rPr>
      </w:pPr>
      <w:r>
        <w:rPr>
          <w:b/>
          <w:szCs w:val="22"/>
        </w:rPr>
        <w:t>GRANTED</w:t>
      </w:r>
      <w:r w:rsidRPr="00307030">
        <w:rPr>
          <w:b/>
          <w:szCs w:val="22"/>
        </w:rPr>
        <w:t xml:space="preserve"> FOR THE TRANSFER OF CONTROL OF </w:t>
      </w:r>
      <w:r w:rsidRPr="004D04B5" w:rsidR="00693AC0">
        <w:rPr>
          <w:b/>
          <w:bCs/>
          <w:color w:val="231F20"/>
          <w:szCs w:val="22"/>
        </w:rPr>
        <w:t xml:space="preserve">JAB WIRELESS, INC. AND </w:t>
      </w:r>
      <w:r w:rsidR="00460854">
        <w:rPr>
          <w:b/>
          <w:bCs/>
          <w:color w:val="231F20"/>
          <w:szCs w:val="22"/>
        </w:rPr>
        <w:t>ITS</w:t>
      </w:r>
      <w:r w:rsidRPr="004D04B5" w:rsidR="00693AC0">
        <w:rPr>
          <w:b/>
          <w:bCs/>
          <w:color w:val="231F20"/>
          <w:szCs w:val="22"/>
        </w:rPr>
        <w:t xml:space="preserve"> SUBSIDIARIES</w:t>
      </w:r>
      <w:r w:rsidR="00693AC0">
        <w:rPr>
          <w:b/>
          <w:szCs w:val="22"/>
        </w:rPr>
        <w:t xml:space="preserve"> </w:t>
      </w:r>
      <w:r w:rsidR="00D52914">
        <w:rPr>
          <w:b/>
          <w:szCs w:val="22"/>
        </w:rPr>
        <w:t>TO GI DI IRIS ACQUISITION, INC.</w:t>
      </w:r>
      <w:bookmarkEnd w:id="0"/>
    </w:p>
    <w:p w:rsidR="001A3629" w:rsidP="00412D8F" w14:paraId="518EFA6A" w14:textId="77777777">
      <w:pPr>
        <w:autoSpaceDE w:val="0"/>
        <w:autoSpaceDN w:val="0"/>
        <w:adjustRightInd w:val="0"/>
        <w:ind w:left="-90" w:right="-180"/>
        <w:jc w:val="center"/>
        <w:rPr>
          <w:b/>
        </w:rPr>
      </w:pPr>
    </w:p>
    <w:p w:rsidR="005614FA" w:rsidP="00412D8F" w14:paraId="5034903D" w14:textId="3E334FF3">
      <w:pPr>
        <w:autoSpaceDE w:val="0"/>
        <w:autoSpaceDN w:val="0"/>
        <w:adjustRightInd w:val="0"/>
        <w:ind w:left="-90" w:right="-180"/>
        <w:jc w:val="center"/>
        <w:rPr>
          <w:b/>
        </w:rPr>
      </w:pPr>
      <w:r w:rsidRPr="1BE86421">
        <w:rPr>
          <w:b/>
        </w:rPr>
        <w:t xml:space="preserve">WC Docket No. </w:t>
      </w:r>
      <w:r w:rsidRPr="1BE86421" w:rsidR="00BE6279">
        <w:rPr>
          <w:b/>
        </w:rPr>
        <w:t>2</w:t>
      </w:r>
      <w:r w:rsidR="00D52914">
        <w:rPr>
          <w:b/>
        </w:rPr>
        <w:t>2-230</w:t>
      </w:r>
      <w:r w:rsidRPr="1BE86421">
        <w:rPr>
          <w:b/>
        </w:rPr>
        <w:t xml:space="preserve"> </w:t>
      </w:r>
    </w:p>
    <w:p w:rsidR="00BB599C" w:rsidP="00412D8F" w14:paraId="20415461" w14:textId="054EDD91">
      <w:pPr>
        <w:autoSpaceDE w:val="0"/>
        <w:autoSpaceDN w:val="0"/>
        <w:adjustRightInd w:val="0"/>
        <w:ind w:left="-90" w:right="-180"/>
        <w:jc w:val="center"/>
        <w:rPr>
          <w:b/>
        </w:rPr>
      </w:pPr>
    </w:p>
    <w:p w:rsidR="00BB599C" w:rsidP="00BB599C" w14:paraId="585F3776" w14:textId="6B916B5E">
      <w:pPr>
        <w:autoSpaceDE w:val="0"/>
        <w:autoSpaceDN w:val="0"/>
        <w:adjustRightInd w:val="0"/>
        <w:ind w:left="-180" w:right="90"/>
        <w:jc w:val="center"/>
        <w:rPr>
          <w:b/>
          <w:bCs/>
          <w:szCs w:val="22"/>
        </w:rPr>
      </w:pPr>
      <w:bookmarkStart w:id="1" w:name="_Hlk123504605"/>
      <w:r>
        <w:rPr>
          <w:b/>
          <w:bCs/>
          <w:szCs w:val="22"/>
        </w:rPr>
        <w:t>SECTION 310(b)(4) PETITION</w:t>
      </w:r>
      <w:r w:rsidR="007403BB">
        <w:rPr>
          <w:b/>
          <w:bCs/>
          <w:szCs w:val="22"/>
        </w:rPr>
        <w:t>S</w:t>
      </w:r>
      <w:r>
        <w:rPr>
          <w:b/>
          <w:bCs/>
          <w:szCs w:val="22"/>
        </w:rPr>
        <w:t xml:space="preserve"> FOR DECLARATORY RULING </w:t>
      </w:r>
      <w:r w:rsidR="001A3629">
        <w:rPr>
          <w:b/>
          <w:bCs/>
          <w:szCs w:val="22"/>
        </w:rPr>
        <w:t>GRANTED</w:t>
      </w:r>
    </w:p>
    <w:bookmarkEnd w:id="1"/>
    <w:p w:rsidR="001A3629" w:rsidP="001A3629" w14:paraId="0D19DBFC" w14:textId="77777777">
      <w:pPr>
        <w:autoSpaceDE w:val="0"/>
        <w:autoSpaceDN w:val="0"/>
        <w:adjustRightInd w:val="0"/>
        <w:jc w:val="center"/>
        <w:rPr>
          <w:b/>
          <w:bCs/>
          <w:szCs w:val="22"/>
        </w:rPr>
      </w:pPr>
    </w:p>
    <w:p w:rsidR="001A3629" w:rsidP="001A3629" w14:paraId="011818D8" w14:textId="46A7EBA0">
      <w:pPr>
        <w:autoSpaceDE w:val="0"/>
        <w:autoSpaceDN w:val="0"/>
        <w:adjustRightInd w:val="0"/>
        <w:jc w:val="center"/>
        <w:rPr>
          <w:b/>
          <w:bCs/>
          <w:szCs w:val="22"/>
        </w:rPr>
      </w:pPr>
      <w:r w:rsidRPr="00BE16AD">
        <w:rPr>
          <w:b/>
          <w:bCs/>
          <w:szCs w:val="22"/>
        </w:rPr>
        <w:t>IB File No</w:t>
      </w:r>
      <w:r w:rsidR="007403BB">
        <w:rPr>
          <w:b/>
          <w:bCs/>
          <w:szCs w:val="22"/>
        </w:rPr>
        <w:t>s</w:t>
      </w:r>
      <w:r w:rsidRPr="00BE16AD">
        <w:rPr>
          <w:b/>
          <w:bCs/>
          <w:szCs w:val="22"/>
        </w:rPr>
        <w:t>.</w:t>
      </w:r>
      <w:r w:rsidRPr="00BE16AD">
        <w:rPr>
          <w:b/>
          <w:bCs/>
        </w:rPr>
        <w:t xml:space="preserve"> </w:t>
      </w:r>
      <w:r w:rsidRPr="00BE16AD">
        <w:rPr>
          <w:b/>
          <w:bCs/>
          <w:szCs w:val="22"/>
        </w:rPr>
        <w:t>ISP-PDR-</w:t>
      </w:r>
      <w:r w:rsidRPr="00C93BC0">
        <w:rPr>
          <w:b/>
          <w:bCs/>
          <w:szCs w:val="22"/>
        </w:rPr>
        <w:t>20220610-00004</w:t>
      </w:r>
      <w:r w:rsidR="007403BB">
        <w:rPr>
          <w:b/>
          <w:bCs/>
          <w:szCs w:val="22"/>
        </w:rPr>
        <w:t xml:space="preserve"> and </w:t>
      </w:r>
      <w:r w:rsidRPr="00BE16AD" w:rsidR="007403BB">
        <w:rPr>
          <w:b/>
          <w:bCs/>
          <w:szCs w:val="22"/>
        </w:rPr>
        <w:t>ISP-PDR-</w:t>
      </w:r>
      <w:r w:rsidR="007403BB">
        <w:rPr>
          <w:b/>
          <w:bCs/>
          <w:szCs w:val="22"/>
        </w:rPr>
        <w:t>20221208-00012</w:t>
      </w:r>
    </w:p>
    <w:p w:rsidR="001A3629" w:rsidP="00E33BD7" w14:paraId="6FA994B1" w14:textId="77777777">
      <w:pPr>
        <w:autoSpaceDE w:val="0"/>
        <w:autoSpaceDN w:val="0"/>
        <w:adjustRightInd w:val="0"/>
        <w:ind w:right="90"/>
        <w:rPr>
          <w:b/>
          <w:bCs/>
          <w:szCs w:val="22"/>
        </w:rPr>
      </w:pPr>
    </w:p>
    <w:p w:rsidR="006A2DE7" w:rsidP="006A2DE7" w14:paraId="612B82A5" w14:textId="5376DA96">
      <w:pPr>
        <w:autoSpaceDE w:val="0"/>
        <w:autoSpaceDN w:val="0"/>
        <w:adjustRightInd w:val="0"/>
        <w:spacing w:after="120"/>
        <w:ind w:firstLine="720"/>
        <w:rPr>
          <w:szCs w:val="22"/>
        </w:rPr>
      </w:pPr>
      <w:r w:rsidRPr="00696D1A">
        <w:rPr>
          <w:color w:val="000000"/>
        </w:rPr>
        <w:t xml:space="preserve">By this Public Notice, </w:t>
      </w:r>
      <w:r w:rsidRPr="00696D1A">
        <w:rPr>
          <w:szCs w:val="22"/>
        </w:rPr>
        <w:t>the Wireline Competition Bureau</w:t>
      </w:r>
      <w:r w:rsidRPr="00696D1A" w:rsidR="007F2FED">
        <w:rPr>
          <w:szCs w:val="22"/>
        </w:rPr>
        <w:t xml:space="preserve"> </w:t>
      </w:r>
      <w:r>
        <w:rPr>
          <w:szCs w:val="22"/>
        </w:rPr>
        <w:t>(WCB) and the International Bureau (IB) grant</w:t>
      </w:r>
      <w:r w:rsidR="00503AF1">
        <w:rPr>
          <w:szCs w:val="22"/>
        </w:rPr>
        <w:t>, as conditioned below,</w:t>
      </w:r>
      <w:r>
        <w:rPr>
          <w:szCs w:val="22"/>
        </w:rPr>
        <w:t xml:space="preserve"> </w:t>
      </w:r>
      <w:r w:rsidR="00841CB8">
        <w:rPr>
          <w:szCs w:val="22"/>
        </w:rPr>
        <w:t xml:space="preserve">two sets of </w:t>
      </w:r>
      <w:r>
        <w:rPr>
          <w:szCs w:val="22"/>
        </w:rPr>
        <w:t>applications and petitions</w:t>
      </w:r>
      <w:r w:rsidR="00401D7C">
        <w:rPr>
          <w:szCs w:val="22"/>
        </w:rPr>
        <w:t xml:space="preserve"> </w:t>
      </w:r>
      <w:r w:rsidR="007403BB">
        <w:rPr>
          <w:szCs w:val="22"/>
        </w:rPr>
        <w:t xml:space="preserve">for declaratory ruling regarding </w:t>
      </w:r>
      <w:r w:rsidR="00841CB8">
        <w:rPr>
          <w:szCs w:val="22"/>
        </w:rPr>
        <w:t xml:space="preserve">two separate </w:t>
      </w:r>
      <w:r w:rsidR="007403BB">
        <w:rPr>
          <w:szCs w:val="22"/>
        </w:rPr>
        <w:t>transfer</w:t>
      </w:r>
      <w:r w:rsidR="00841CB8">
        <w:rPr>
          <w:szCs w:val="22"/>
        </w:rPr>
        <w:t>s</w:t>
      </w:r>
      <w:r w:rsidR="007403BB">
        <w:rPr>
          <w:szCs w:val="22"/>
        </w:rPr>
        <w:t xml:space="preserve"> of control of </w:t>
      </w:r>
      <w:r w:rsidRPr="00D52914" w:rsidR="007403BB">
        <w:rPr>
          <w:color w:val="231F20"/>
          <w:szCs w:val="22"/>
        </w:rPr>
        <w:t>JAB Wireless, Inc. (JAB Wireless)</w:t>
      </w:r>
      <w:r w:rsidR="007403BB">
        <w:rPr>
          <w:color w:val="231F20"/>
          <w:szCs w:val="22"/>
        </w:rPr>
        <w:t xml:space="preserve"> and its subsidiaries.</w:t>
      </w:r>
      <w:r>
        <w:rPr>
          <w:szCs w:val="22"/>
        </w:rPr>
        <w:t xml:space="preserve"> </w:t>
      </w:r>
    </w:p>
    <w:p w:rsidR="00DB43BC" w:rsidP="007421CB" w14:paraId="2A707C1E" w14:textId="6130668E">
      <w:pPr>
        <w:widowControl/>
        <w:autoSpaceDE w:val="0"/>
        <w:autoSpaceDN w:val="0"/>
        <w:adjustRightInd w:val="0"/>
        <w:spacing w:after="120"/>
        <w:ind w:firstLine="720"/>
        <w:rPr>
          <w:color w:val="231F20"/>
          <w:szCs w:val="22"/>
        </w:rPr>
      </w:pPr>
      <w:r>
        <w:rPr>
          <w:color w:val="231F20"/>
          <w:szCs w:val="22"/>
        </w:rPr>
        <w:t xml:space="preserve">WCB </w:t>
      </w:r>
      <w:r w:rsidRPr="00E623A0" w:rsidR="00645DA6">
        <w:rPr>
          <w:color w:val="231F20"/>
          <w:szCs w:val="22"/>
        </w:rPr>
        <w:t>grants a</w:t>
      </w:r>
      <w:r w:rsidR="007403BB">
        <w:rPr>
          <w:color w:val="231F20"/>
          <w:szCs w:val="22"/>
        </w:rPr>
        <w:t xml:space="preserve">n </w:t>
      </w:r>
      <w:r w:rsidRPr="00E623A0" w:rsidR="00645DA6">
        <w:rPr>
          <w:color w:val="231F20"/>
          <w:szCs w:val="22"/>
        </w:rPr>
        <w:t xml:space="preserve">application filed by JAB Wireless, </w:t>
      </w:r>
      <w:r w:rsidRPr="00D52914" w:rsidR="007403BB">
        <w:rPr>
          <w:color w:val="231F20"/>
          <w:szCs w:val="22"/>
        </w:rPr>
        <w:t>Skybeam, LLC</w:t>
      </w:r>
      <w:r w:rsidR="007403BB">
        <w:rPr>
          <w:color w:val="231F20"/>
          <w:szCs w:val="22"/>
        </w:rPr>
        <w:t xml:space="preserve"> (Skybeam)</w:t>
      </w:r>
      <w:r w:rsidRPr="00E623A0" w:rsidR="00645DA6">
        <w:rPr>
          <w:color w:val="231F20"/>
          <w:szCs w:val="22"/>
        </w:rPr>
        <w:t xml:space="preserve">, </w:t>
      </w:r>
      <w:r w:rsidRPr="00E623A0" w:rsidR="00B0772B">
        <w:rPr>
          <w:color w:val="231F20"/>
          <w:szCs w:val="22"/>
        </w:rPr>
        <w:t xml:space="preserve">Essex Telcom, Inc. </w:t>
      </w:r>
      <w:r w:rsidR="00B0772B">
        <w:rPr>
          <w:color w:val="231F20"/>
          <w:szCs w:val="22"/>
        </w:rPr>
        <w:t xml:space="preserve"> (</w:t>
      </w:r>
      <w:r w:rsidRPr="00E623A0" w:rsidR="00645DA6">
        <w:rPr>
          <w:color w:val="231F20"/>
          <w:szCs w:val="22"/>
        </w:rPr>
        <w:t>Essex</w:t>
      </w:r>
      <w:r w:rsidR="00B0772B">
        <w:rPr>
          <w:color w:val="231F20"/>
          <w:szCs w:val="22"/>
        </w:rPr>
        <w:t>)</w:t>
      </w:r>
      <w:r w:rsidRPr="00E623A0" w:rsidR="00645DA6">
        <w:rPr>
          <w:color w:val="231F20"/>
          <w:szCs w:val="22"/>
        </w:rPr>
        <w:t>, and LStar Equity Company Holdings, L.P. (L</w:t>
      </w:r>
      <w:r w:rsidR="00B41957">
        <w:rPr>
          <w:color w:val="231F20"/>
          <w:szCs w:val="22"/>
        </w:rPr>
        <w:t>S</w:t>
      </w:r>
      <w:r w:rsidRPr="00E623A0" w:rsidR="00645DA6">
        <w:rPr>
          <w:color w:val="231F20"/>
          <w:szCs w:val="22"/>
        </w:rPr>
        <w:t>tar Equity) (</w:t>
      </w:r>
      <w:r w:rsidRPr="006C54FF" w:rsidR="00645DA6">
        <w:rPr>
          <w:color w:val="231F20"/>
          <w:szCs w:val="22"/>
        </w:rPr>
        <w:t>L</w:t>
      </w:r>
      <w:r w:rsidRPr="006C54FF" w:rsidR="00C870B2">
        <w:rPr>
          <w:color w:val="231F20"/>
          <w:szCs w:val="22"/>
        </w:rPr>
        <w:t>S</w:t>
      </w:r>
      <w:r w:rsidRPr="006C54FF" w:rsidR="00645DA6">
        <w:rPr>
          <w:color w:val="231F20"/>
          <w:szCs w:val="22"/>
        </w:rPr>
        <w:t>tar Equity, together with JAB Wireless</w:t>
      </w:r>
      <w:r w:rsidRPr="006C54FF" w:rsidR="004629C3">
        <w:rPr>
          <w:color w:val="231F20"/>
          <w:szCs w:val="22"/>
        </w:rPr>
        <w:t>, Skybeam, and Essex</w:t>
      </w:r>
      <w:r w:rsidRPr="006C54FF" w:rsidR="00645DA6">
        <w:rPr>
          <w:color w:val="231F20"/>
          <w:szCs w:val="22"/>
        </w:rPr>
        <w:t xml:space="preserve">, </w:t>
      </w:r>
      <w:r w:rsidRPr="006C54FF" w:rsidR="00F140E4">
        <w:rPr>
          <w:color w:val="231F20"/>
          <w:szCs w:val="22"/>
        </w:rPr>
        <w:t xml:space="preserve">the </w:t>
      </w:r>
      <w:r w:rsidRPr="006C54FF" w:rsidR="00841CB8">
        <w:rPr>
          <w:color w:val="231F20"/>
          <w:szCs w:val="22"/>
        </w:rPr>
        <w:t>L</w:t>
      </w:r>
      <w:r w:rsidRPr="006C54FF" w:rsidR="00C870B2">
        <w:rPr>
          <w:color w:val="231F20"/>
          <w:szCs w:val="22"/>
        </w:rPr>
        <w:t>S</w:t>
      </w:r>
      <w:r w:rsidRPr="006C54FF" w:rsidR="00841CB8">
        <w:rPr>
          <w:color w:val="231F20"/>
          <w:szCs w:val="22"/>
        </w:rPr>
        <w:t xml:space="preserve">tar Equity </w:t>
      </w:r>
      <w:r w:rsidRPr="006C54FF" w:rsidR="00645DA6">
        <w:rPr>
          <w:color w:val="231F20"/>
          <w:szCs w:val="22"/>
        </w:rPr>
        <w:t>Applicants</w:t>
      </w:r>
      <w:r w:rsidRPr="00E623A0" w:rsidR="00645DA6">
        <w:rPr>
          <w:color w:val="231F20"/>
          <w:szCs w:val="22"/>
        </w:rPr>
        <w:t xml:space="preserve">), pursuant to section 214 of </w:t>
      </w:r>
      <w:r w:rsidRPr="00E623A0" w:rsidR="00B0772B">
        <w:rPr>
          <w:color w:val="231F20"/>
          <w:szCs w:val="22"/>
        </w:rPr>
        <w:t>the Communications Act of 1934, as amended</w:t>
      </w:r>
      <w:r w:rsidRPr="00E623A0" w:rsidR="00645DA6">
        <w:rPr>
          <w:color w:val="231F20"/>
          <w:szCs w:val="22"/>
        </w:rPr>
        <w:t>, and sections 63.03-04 of the Commission’s rules, requesting approval for the 2018 transfer of control that occurred when L</w:t>
      </w:r>
      <w:r w:rsidR="00BA2561">
        <w:rPr>
          <w:color w:val="231F20"/>
          <w:szCs w:val="22"/>
        </w:rPr>
        <w:t>S</w:t>
      </w:r>
      <w:r w:rsidRPr="00E623A0" w:rsidR="00645DA6">
        <w:rPr>
          <w:color w:val="231F20"/>
          <w:szCs w:val="22"/>
        </w:rPr>
        <w:t>tar Equity acquired a controlling interest in Skybeam and Essex (</w:t>
      </w:r>
      <w:r w:rsidR="00841CB8">
        <w:rPr>
          <w:color w:val="231F20"/>
          <w:szCs w:val="22"/>
        </w:rPr>
        <w:t>L</w:t>
      </w:r>
      <w:r w:rsidR="00830FBE">
        <w:rPr>
          <w:color w:val="231F20"/>
          <w:szCs w:val="22"/>
        </w:rPr>
        <w:t>S</w:t>
      </w:r>
      <w:r w:rsidR="00841CB8">
        <w:rPr>
          <w:color w:val="231F20"/>
          <w:szCs w:val="22"/>
        </w:rPr>
        <w:t xml:space="preserve">tar Equity </w:t>
      </w:r>
      <w:r w:rsidRPr="006C54FF" w:rsidR="00645DA6">
        <w:rPr>
          <w:color w:val="231F20"/>
          <w:szCs w:val="22"/>
        </w:rPr>
        <w:t>Transaction</w:t>
      </w:r>
      <w:r w:rsidRPr="00E623A0" w:rsidR="00645DA6">
        <w:rPr>
          <w:color w:val="231F20"/>
          <w:szCs w:val="22"/>
        </w:rPr>
        <w:t>).</w:t>
      </w:r>
      <w:r>
        <w:rPr>
          <w:color w:val="231F20"/>
          <w:szCs w:val="22"/>
          <w:vertAlign w:val="superscript"/>
        </w:rPr>
        <w:footnoteReference w:id="3"/>
      </w:r>
      <w:r w:rsidRPr="00645DA6" w:rsidR="00645DA6">
        <w:rPr>
          <w:color w:val="231F20"/>
          <w:szCs w:val="22"/>
        </w:rPr>
        <w:t xml:space="preserve">  </w:t>
      </w:r>
      <w:r w:rsidR="00E623A0">
        <w:rPr>
          <w:color w:val="231F20"/>
          <w:szCs w:val="22"/>
        </w:rPr>
        <w:t xml:space="preserve">The </w:t>
      </w:r>
      <w:r w:rsidR="00841CB8">
        <w:rPr>
          <w:color w:val="231F20"/>
          <w:szCs w:val="22"/>
        </w:rPr>
        <w:t>L</w:t>
      </w:r>
      <w:r w:rsidR="00BA2561">
        <w:rPr>
          <w:color w:val="231F20"/>
          <w:szCs w:val="22"/>
        </w:rPr>
        <w:t>S</w:t>
      </w:r>
      <w:r w:rsidR="00841CB8">
        <w:rPr>
          <w:color w:val="231F20"/>
          <w:szCs w:val="22"/>
        </w:rPr>
        <w:t xml:space="preserve">tar Equity </w:t>
      </w:r>
      <w:r w:rsidR="00165492">
        <w:rPr>
          <w:color w:val="231F20"/>
          <w:szCs w:val="22"/>
        </w:rPr>
        <w:t xml:space="preserve">Applicants </w:t>
      </w:r>
      <w:r w:rsidRPr="00645DA6" w:rsidR="00645DA6">
        <w:rPr>
          <w:color w:val="231F20"/>
          <w:szCs w:val="22"/>
        </w:rPr>
        <w:t xml:space="preserve">consummated the </w:t>
      </w:r>
      <w:r w:rsidR="00841CB8">
        <w:rPr>
          <w:color w:val="231F20"/>
          <w:szCs w:val="22"/>
        </w:rPr>
        <w:t xml:space="preserve"> </w:t>
      </w:r>
      <w:r w:rsidR="00165492">
        <w:rPr>
          <w:color w:val="231F20"/>
          <w:szCs w:val="22"/>
        </w:rPr>
        <w:t>t</w:t>
      </w:r>
      <w:r w:rsidR="00841CB8">
        <w:rPr>
          <w:color w:val="231F20"/>
          <w:szCs w:val="22"/>
        </w:rPr>
        <w:t xml:space="preserve">ransaction </w:t>
      </w:r>
      <w:r w:rsidR="00165492">
        <w:rPr>
          <w:color w:val="231F20"/>
          <w:szCs w:val="22"/>
        </w:rPr>
        <w:t xml:space="preserve">on November 7, </w:t>
      </w:r>
      <w:r w:rsidRPr="00645DA6" w:rsidR="00645DA6">
        <w:rPr>
          <w:color w:val="231F20"/>
          <w:szCs w:val="22"/>
        </w:rPr>
        <w:t xml:space="preserve">2018 </w:t>
      </w:r>
      <w:r w:rsidR="00841CB8">
        <w:rPr>
          <w:color w:val="231F20"/>
          <w:szCs w:val="22"/>
        </w:rPr>
        <w:t>w</w:t>
      </w:r>
      <w:r w:rsidRPr="00645DA6" w:rsidR="00645DA6">
        <w:rPr>
          <w:color w:val="231F20"/>
          <w:szCs w:val="22"/>
        </w:rPr>
        <w:t xml:space="preserve">ithout prior </w:t>
      </w:r>
      <w:r w:rsidR="00165492">
        <w:rPr>
          <w:color w:val="231F20"/>
          <w:szCs w:val="22"/>
        </w:rPr>
        <w:t>Commission consent.</w:t>
      </w:r>
      <w:r>
        <w:rPr>
          <w:color w:val="231F20"/>
          <w:szCs w:val="22"/>
          <w:vertAlign w:val="superscript"/>
        </w:rPr>
        <w:footnoteReference w:id="4"/>
      </w:r>
      <w:r w:rsidR="00435A8D">
        <w:rPr>
          <w:color w:val="231F20"/>
          <w:szCs w:val="22"/>
        </w:rPr>
        <w:t xml:space="preserve">  </w:t>
      </w:r>
    </w:p>
    <w:p w:rsidR="00B0772B" w:rsidP="006A2DE7" w14:paraId="1A8369F8" w14:textId="01C97A0C">
      <w:pPr>
        <w:autoSpaceDE w:val="0"/>
        <w:autoSpaceDN w:val="0"/>
        <w:adjustRightInd w:val="0"/>
        <w:spacing w:after="120"/>
        <w:ind w:firstLine="720"/>
        <w:rPr>
          <w:color w:val="231F20"/>
          <w:szCs w:val="22"/>
        </w:rPr>
      </w:pPr>
      <w:r>
        <w:rPr>
          <w:color w:val="231F20"/>
          <w:szCs w:val="22"/>
        </w:rPr>
        <w:t xml:space="preserve">In addition, </w:t>
      </w:r>
      <w:r>
        <w:rPr>
          <w:szCs w:val="22"/>
        </w:rPr>
        <w:t xml:space="preserve">WCB </w:t>
      </w:r>
      <w:r w:rsidRPr="00696D1A">
        <w:rPr>
          <w:color w:val="000000"/>
        </w:rPr>
        <w:t>grant</w:t>
      </w:r>
      <w:r>
        <w:rPr>
          <w:color w:val="000000"/>
        </w:rPr>
        <w:t>s</w:t>
      </w:r>
      <w:r w:rsidRPr="00696D1A">
        <w:rPr>
          <w:color w:val="000000"/>
        </w:rPr>
        <w:t xml:space="preserve"> </w:t>
      </w:r>
      <w:r>
        <w:rPr>
          <w:color w:val="000000"/>
        </w:rPr>
        <w:t>an</w:t>
      </w:r>
      <w:r w:rsidRPr="00696D1A">
        <w:rPr>
          <w:color w:val="000000"/>
        </w:rPr>
        <w:t xml:space="preserve"> application filed by</w:t>
      </w:r>
      <w:r w:rsidRPr="00696D1A">
        <w:rPr>
          <w:color w:val="231F20"/>
          <w:szCs w:val="22"/>
        </w:rPr>
        <w:t xml:space="preserve"> </w:t>
      </w:r>
      <w:bookmarkStart w:id="2" w:name="_Hlk87961388"/>
      <w:r w:rsidRPr="00D52914">
        <w:rPr>
          <w:color w:val="231F20"/>
          <w:szCs w:val="22"/>
        </w:rPr>
        <w:t>JAB Wireless, Skybeam, AirCanopy Internet Services, Inc</w:t>
      </w:r>
      <w:r w:rsidRPr="00E623A0">
        <w:rPr>
          <w:color w:val="231F20"/>
          <w:szCs w:val="22"/>
        </w:rPr>
        <w:t>. (AirCanopy), and Essex (</w:t>
      </w:r>
      <w:r w:rsidRPr="006C54FF">
        <w:rPr>
          <w:color w:val="231F20"/>
          <w:szCs w:val="22"/>
        </w:rPr>
        <w:t>Essex, together with Skybeam and AirCanopy, the Domestic 214 Authorization Holders</w:t>
      </w:r>
      <w:r w:rsidRPr="00E623A0">
        <w:rPr>
          <w:color w:val="231F20"/>
          <w:szCs w:val="22"/>
        </w:rPr>
        <w:t>), and GI DI Iris Acquisition Inc. (</w:t>
      </w:r>
      <w:r w:rsidRPr="006C54FF">
        <w:rPr>
          <w:color w:val="231F20"/>
          <w:szCs w:val="22"/>
        </w:rPr>
        <w:t xml:space="preserve">GI DI Iris Acquisition, together with JAB Wireless and the Domestic 214 Authorization Holders, the </w:t>
      </w:r>
      <w:r w:rsidRPr="006C54FF" w:rsidR="00841CB8">
        <w:rPr>
          <w:color w:val="231F20"/>
          <w:szCs w:val="22"/>
        </w:rPr>
        <w:t xml:space="preserve">GI DI Iris Acquisition </w:t>
      </w:r>
      <w:r w:rsidRPr="006C54FF">
        <w:rPr>
          <w:color w:val="231F20"/>
          <w:szCs w:val="22"/>
        </w:rPr>
        <w:t>Applicants</w:t>
      </w:r>
      <w:r w:rsidRPr="00E623A0">
        <w:rPr>
          <w:color w:val="231F20"/>
          <w:szCs w:val="22"/>
        </w:rPr>
        <w:t>)</w:t>
      </w:r>
      <w:bookmarkEnd w:id="2"/>
      <w:r w:rsidRPr="00E623A0">
        <w:rPr>
          <w:color w:val="231F20"/>
          <w:szCs w:val="22"/>
        </w:rPr>
        <w:t>, pursuant to section 214 of the Act, and sections 63.03-04 of the Commission’s rules, requesting approval for the transfer of control of the Domestic 214 Authorization Holders to GI DI Iris Acquisition (</w:t>
      </w:r>
      <w:r w:rsidR="00841CB8">
        <w:rPr>
          <w:color w:val="231F20"/>
          <w:szCs w:val="22"/>
        </w:rPr>
        <w:t xml:space="preserve">GI DI Iris </w:t>
      </w:r>
      <w:r w:rsidRPr="00E623A0">
        <w:rPr>
          <w:color w:val="231F20"/>
          <w:szCs w:val="22"/>
        </w:rPr>
        <w:t xml:space="preserve"> </w:t>
      </w:r>
      <w:r w:rsidRPr="00DC1015" w:rsidR="00DC1015">
        <w:rPr>
          <w:color w:val="231F20"/>
          <w:szCs w:val="22"/>
        </w:rPr>
        <w:t xml:space="preserve">Acquisition </w:t>
      </w:r>
      <w:r>
        <w:rPr>
          <w:color w:val="231F20"/>
          <w:szCs w:val="22"/>
        </w:rPr>
        <w:t>Application</w:t>
      </w:r>
      <w:r w:rsidR="00567083">
        <w:rPr>
          <w:color w:val="231F20"/>
          <w:szCs w:val="22"/>
        </w:rPr>
        <w:t>)</w:t>
      </w:r>
      <w:r>
        <w:rPr>
          <w:color w:val="231F20"/>
          <w:szCs w:val="22"/>
        </w:rPr>
        <w:t>.</w:t>
      </w:r>
      <w:r>
        <w:rPr>
          <w:color w:val="231F20"/>
          <w:szCs w:val="22"/>
          <w:vertAlign w:val="superscript"/>
        </w:rPr>
        <w:footnoteReference w:id="5"/>
      </w:r>
    </w:p>
    <w:p w:rsidR="000F3340" w:rsidP="00435A8D" w14:paraId="1071847C" w14:textId="2EC74A4A">
      <w:pPr>
        <w:autoSpaceDE w:val="0"/>
        <w:autoSpaceDN w:val="0"/>
        <w:adjustRightInd w:val="0"/>
        <w:spacing w:after="120"/>
        <w:ind w:firstLine="720"/>
        <w:rPr>
          <w:color w:val="231F20"/>
          <w:szCs w:val="22"/>
        </w:rPr>
      </w:pPr>
      <w:r>
        <w:rPr>
          <w:color w:val="231F20"/>
          <w:szCs w:val="22"/>
        </w:rPr>
        <w:t>IB</w:t>
      </w:r>
      <w:r w:rsidRPr="00FB0983" w:rsidR="00DB43BC">
        <w:rPr>
          <w:color w:val="231F20"/>
          <w:szCs w:val="22"/>
        </w:rPr>
        <w:t xml:space="preserve"> grants</w:t>
      </w:r>
      <w:r w:rsidR="006A2DE7">
        <w:rPr>
          <w:color w:val="231F20"/>
          <w:szCs w:val="22"/>
        </w:rPr>
        <w:t xml:space="preserve"> </w:t>
      </w:r>
      <w:r w:rsidRPr="00FB0983" w:rsidR="00DB43BC">
        <w:rPr>
          <w:color w:val="231F20"/>
          <w:szCs w:val="22"/>
        </w:rPr>
        <w:t>two petitions for declaratory rulings</w:t>
      </w:r>
      <w:r w:rsidR="00B0772B">
        <w:rPr>
          <w:color w:val="231F20"/>
          <w:szCs w:val="22"/>
        </w:rPr>
        <w:t xml:space="preserve"> related to </w:t>
      </w:r>
      <w:r w:rsidR="008B4B8B">
        <w:rPr>
          <w:color w:val="231F20"/>
          <w:szCs w:val="22"/>
        </w:rPr>
        <w:t xml:space="preserve">the </w:t>
      </w:r>
      <w:r w:rsidR="00567083">
        <w:rPr>
          <w:color w:val="231F20"/>
          <w:szCs w:val="22"/>
        </w:rPr>
        <w:t xml:space="preserve">LStar Equity </w:t>
      </w:r>
      <w:r w:rsidR="00B0772B">
        <w:rPr>
          <w:color w:val="231F20"/>
          <w:szCs w:val="22"/>
        </w:rPr>
        <w:t xml:space="preserve">Transaction and </w:t>
      </w:r>
      <w:r w:rsidR="008B4B8B">
        <w:rPr>
          <w:color w:val="231F20"/>
          <w:szCs w:val="22"/>
        </w:rPr>
        <w:t xml:space="preserve">the </w:t>
      </w:r>
      <w:r w:rsidR="00567083">
        <w:rPr>
          <w:color w:val="231F20"/>
          <w:szCs w:val="22"/>
        </w:rPr>
        <w:t xml:space="preserve">GI DI Iris Acquisition </w:t>
      </w:r>
      <w:r w:rsidR="00B0772B">
        <w:rPr>
          <w:color w:val="231F20"/>
          <w:szCs w:val="22"/>
        </w:rPr>
        <w:t>Application</w:t>
      </w:r>
      <w:r w:rsidR="004925F1">
        <w:rPr>
          <w:color w:val="231F20"/>
          <w:szCs w:val="22"/>
        </w:rPr>
        <w:t xml:space="preserve">.  </w:t>
      </w:r>
      <w:r w:rsidR="00B0772B">
        <w:rPr>
          <w:color w:val="231F20"/>
          <w:szCs w:val="22"/>
        </w:rPr>
        <w:t>First, IB grants a petition for decla</w:t>
      </w:r>
      <w:r>
        <w:rPr>
          <w:color w:val="231F20"/>
          <w:szCs w:val="22"/>
        </w:rPr>
        <w:t>ra</w:t>
      </w:r>
      <w:r w:rsidR="00B0772B">
        <w:rPr>
          <w:color w:val="231F20"/>
          <w:szCs w:val="22"/>
        </w:rPr>
        <w:t xml:space="preserve">tory ruling </w:t>
      </w:r>
      <w:r w:rsidRPr="00F87CAE">
        <w:rPr>
          <w:color w:val="231F20"/>
          <w:szCs w:val="22"/>
        </w:rPr>
        <w:t xml:space="preserve">to permit foreign investment </w:t>
      </w:r>
      <w:r w:rsidRPr="00FB0983">
        <w:rPr>
          <w:color w:val="231F20"/>
          <w:szCs w:val="22"/>
        </w:rPr>
        <w:t>in JAB Wireless, the controlling U.S. parent of Digis, LLC, LP Broadband, Inc., Rhino Communications, Inc., Skybeam Acquisition Corporation, Skybeam, AirCanopy, and Essex (</w:t>
      </w:r>
      <w:r w:rsidRPr="006C54FF">
        <w:rPr>
          <w:color w:val="231F20"/>
          <w:szCs w:val="22"/>
        </w:rPr>
        <w:t>collectively, Wireless Licensees</w:t>
      </w:r>
      <w:r w:rsidRPr="00F87CAE">
        <w:rPr>
          <w:color w:val="231F20"/>
          <w:szCs w:val="22"/>
        </w:rPr>
        <w:t>), above the 25% benchmarks in section 310(b)(4) of the Act</w:t>
      </w:r>
      <w:r w:rsidR="009B3219">
        <w:rPr>
          <w:color w:val="231F20"/>
          <w:szCs w:val="22"/>
        </w:rPr>
        <w:t>,</w:t>
      </w:r>
      <w:r>
        <w:rPr>
          <w:rStyle w:val="FootnoteReference"/>
          <w:szCs w:val="22"/>
        </w:rPr>
        <w:footnoteReference w:id="6"/>
      </w:r>
      <w:r w:rsidRPr="00F87CAE">
        <w:rPr>
          <w:color w:val="231F20"/>
          <w:szCs w:val="22"/>
        </w:rPr>
        <w:t xml:space="preserve"> and section 1.5000(a)(1) of the Commission’s rules</w:t>
      </w:r>
      <w:r w:rsidR="009B3219">
        <w:rPr>
          <w:color w:val="231F20"/>
          <w:szCs w:val="22"/>
        </w:rPr>
        <w:t>,</w:t>
      </w:r>
      <w:r>
        <w:rPr>
          <w:rStyle w:val="FootnoteReference"/>
          <w:szCs w:val="22"/>
        </w:rPr>
        <w:footnoteReference w:id="7"/>
      </w:r>
      <w:r w:rsidR="00734B63">
        <w:rPr>
          <w:color w:val="231F20"/>
          <w:szCs w:val="22"/>
        </w:rPr>
        <w:t xml:space="preserve"> resulting from the </w:t>
      </w:r>
      <w:r w:rsidR="00FA34B8">
        <w:rPr>
          <w:color w:val="231F20"/>
          <w:szCs w:val="22"/>
        </w:rPr>
        <w:t xml:space="preserve">LStar Equity </w:t>
      </w:r>
      <w:r w:rsidR="00734B63">
        <w:rPr>
          <w:color w:val="231F20"/>
          <w:szCs w:val="22"/>
        </w:rPr>
        <w:t>Transaction</w:t>
      </w:r>
      <w:r w:rsidR="00FA34B8">
        <w:rPr>
          <w:color w:val="231F20"/>
          <w:szCs w:val="22"/>
        </w:rPr>
        <w:t xml:space="preserve"> that </w:t>
      </w:r>
      <w:r w:rsidR="00A362A2">
        <w:rPr>
          <w:color w:val="231F20"/>
          <w:szCs w:val="22"/>
        </w:rPr>
        <w:t>closed</w:t>
      </w:r>
      <w:r w:rsidR="00FA34B8">
        <w:rPr>
          <w:color w:val="231F20"/>
          <w:szCs w:val="22"/>
        </w:rPr>
        <w:t xml:space="preserve"> in 2018</w:t>
      </w:r>
      <w:r w:rsidR="00734B63">
        <w:rPr>
          <w:color w:val="231F20"/>
          <w:szCs w:val="22"/>
        </w:rPr>
        <w:t xml:space="preserve"> (</w:t>
      </w:r>
      <w:r w:rsidR="00567083">
        <w:rPr>
          <w:color w:val="231F20"/>
          <w:szCs w:val="22"/>
        </w:rPr>
        <w:t xml:space="preserve">LStar Equity </w:t>
      </w:r>
      <w:r w:rsidR="00734B63">
        <w:rPr>
          <w:color w:val="231F20"/>
          <w:szCs w:val="22"/>
        </w:rPr>
        <w:t>Petition)</w:t>
      </w:r>
      <w:r w:rsidRPr="00F87CAE">
        <w:rPr>
          <w:color w:val="231F20"/>
          <w:szCs w:val="22"/>
        </w:rPr>
        <w:t>.</w:t>
      </w:r>
      <w:r>
        <w:rPr>
          <w:rStyle w:val="FootnoteReference"/>
          <w:szCs w:val="22"/>
        </w:rPr>
        <w:footnoteReference w:id="8"/>
      </w:r>
      <w:r w:rsidR="00734B63">
        <w:rPr>
          <w:color w:val="231F20"/>
          <w:szCs w:val="22"/>
        </w:rPr>
        <w:t xml:space="preserve">  Second, IB grants a petition for declaratory ruling </w:t>
      </w:r>
      <w:r w:rsidRPr="00F87CAE" w:rsidR="00734B63">
        <w:rPr>
          <w:color w:val="231F20"/>
          <w:szCs w:val="22"/>
        </w:rPr>
        <w:t xml:space="preserve">to permit foreign investment </w:t>
      </w:r>
      <w:r w:rsidRPr="00FB0983" w:rsidR="00734B63">
        <w:rPr>
          <w:color w:val="231F20"/>
          <w:szCs w:val="22"/>
        </w:rPr>
        <w:t>in</w:t>
      </w:r>
      <w:r w:rsidR="00734B63">
        <w:rPr>
          <w:color w:val="231F20"/>
          <w:szCs w:val="22"/>
        </w:rPr>
        <w:t xml:space="preserve"> </w:t>
      </w:r>
      <w:r w:rsidR="00A51EB0">
        <w:rPr>
          <w:color w:val="231F20"/>
          <w:szCs w:val="22"/>
        </w:rPr>
        <w:t>JAB Wireless</w:t>
      </w:r>
      <w:r w:rsidRPr="00F87CAE" w:rsidR="00734B63">
        <w:rPr>
          <w:color w:val="231F20"/>
          <w:szCs w:val="22"/>
        </w:rPr>
        <w:t>, above the 25% benchmarks in section 310(b)(4) of the Act and section 1.5000(a)(1)</w:t>
      </w:r>
      <w:r w:rsidR="00734B63">
        <w:rPr>
          <w:color w:val="231F20"/>
          <w:szCs w:val="22"/>
        </w:rPr>
        <w:t xml:space="preserve"> </w:t>
      </w:r>
      <w:r w:rsidR="00E06892">
        <w:rPr>
          <w:color w:val="231F20"/>
          <w:szCs w:val="22"/>
        </w:rPr>
        <w:t>of the Commission’s rules,</w:t>
      </w:r>
      <w:r w:rsidR="00734B63">
        <w:rPr>
          <w:color w:val="231F20"/>
          <w:szCs w:val="22"/>
        </w:rPr>
        <w:t xml:space="preserve"> </w:t>
      </w:r>
      <w:r w:rsidR="00B95AB3">
        <w:rPr>
          <w:color w:val="231F20"/>
          <w:szCs w:val="22"/>
        </w:rPr>
        <w:t>in connection with</w:t>
      </w:r>
      <w:r w:rsidR="00734B63">
        <w:rPr>
          <w:color w:val="231F20"/>
          <w:szCs w:val="22"/>
        </w:rPr>
        <w:t xml:space="preserve"> the </w:t>
      </w:r>
      <w:r w:rsidR="00FA34B8">
        <w:rPr>
          <w:color w:val="231F20"/>
          <w:szCs w:val="22"/>
        </w:rPr>
        <w:t xml:space="preserve">GI DI Iris Acquisition </w:t>
      </w:r>
      <w:r w:rsidR="00734B63">
        <w:rPr>
          <w:color w:val="231F20"/>
          <w:szCs w:val="22"/>
        </w:rPr>
        <w:t xml:space="preserve">Application </w:t>
      </w:r>
      <w:r w:rsidR="003918B1">
        <w:rPr>
          <w:color w:val="231F20"/>
          <w:szCs w:val="22"/>
        </w:rPr>
        <w:t>that</w:t>
      </w:r>
      <w:r w:rsidR="00A362A2">
        <w:rPr>
          <w:color w:val="231F20"/>
          <w:szCs w:val="22"/>
        </w:rPr>
        <w:t xml:space="preserve"> was filed in 2022</w:t>
      </w:r>
      <w:r w:rsidR="00734B63">
        <w:rPr>
          <w:color w:val="231F20"/>
          <w:szCs w:val="22"/>
        </w:rPr>
        <w:t xml:space="preserve"> (</w:t>
      </w:r>
      <w:r w:rsidR="00567083">
        <w:rPr>
          <w:color w:val="231F20"/>
          <w:szCs w:val="22"/>
        </w:rPr>
        <w:t xml:space="preserve">GI DI Iris Acquisition </w:t>
      </w:r>
      <w:r w:rsidR="00734B63">
        <w:rPr>
          <w:color w:val="231F20"/>
          <w:szCs w:val="22"/>
        </w:rPr>
        <w:t>Petition).</w:t>
      </w:r>
      <w:r>
        <w:rPr>
          <w:color w:val="231F20"/>
          <w:szCs w:val="22"/>
          <w:vertAlign w:val="superscript"/>
        </w:rPr>
        <w:footnoteReference w:id="9"/>
      </w:r>
    </w:p>
    <w:p w:rsidR="00715FFC" w:rsidP="00715FFC" w14:paraId="620B500F" w14:textId="77777777">
      <w:pPr>
        <w:autoSpaceDE w:val="0"/>
        <w:autoSpaceDN w:val="0"/>
        <w:adjustRightInd w:val="0"/>
        <w:spacing w:after="120"/>
        <w:ind w:firstLine="720"/>
        <w:rPr>
          <w:szCs w:val="22"/>
        </w:rPr>
      </w:pPr>
      <w:r w:rsidRPr="00696D1A">
        <w:rPr>
          <w:color w:val="000000"/>
          <w:szCs w:val="24"/>
        </w:rPr>
        <w:t xml:space="preserve">On </w:t>
      </w:r>
      <w:r>
        <w:rPr>
          <w:color w:val="000000"/>
          <w:szCs w:val="24"/>
        </w:rPr>
        <w:t>October 4</w:t>
      </w:r>
      <w:r w:rsidRPr="00696D1A">
        <w:rPr>
          <w:color w:val="000000"/>
          <w:szCs w:val="24"/>
        </w:rPr>
        <w:t>, 202</w:t>
      </w:r>
      <w:r>
        <w:rPr>
          <w:color w:val="000000"/>
          <w:szCs w:val="24"/>
        </w:rPr>
        <w:t>2</w:t>
      </w:r>
      <w:r w:rsidRPr="00696D1A">
        <w:rPr>
          <w:color w:val="000000"/>
          <w:szCs w:val="24"/>
        </w:rPr>
        <w:t xml:space="preserve">, </w:t>
      </w:r>
      <w:r>
        <w:rPr>
          <w:color w:val="000000"/>
          <w:szCs w:val="24"/>
        </w:rPr>
        <w:t>WCB and IB</w:t>
      </w:r>
      <w:r>
        <w:rPr>
          <w:color w:val="000000"/>
        </w:rPr>
        <w:t xml:space="preserve"> </w:t>
      </w:r>
      <w:r w:rsidRPr="00696D1A">
        <w:rPr>
          <w:color w:val="000000"/>
        </w:rPr>
        <w:t>released a public notice seeking comment</w:t>
      </w:r>
      <w:r>
        <w:rPr>
          <w:color w:val="000000"/>
        </w:rPr>
        <w:t>s</w:t>
      </w:r>
      <w:r w:rsidRPr="00696D1A">
        <w:rPr>
          <w:color w:val="000000"/>
        </w:rPr>
        <w:t xml:space="preserve"> </w:t>
      </w:r>
      <w:r>
        <w:rPr>
          <w:color w:val="000000"/>
        </w:rPr>
        <w:t xml:space="preserve">on the </w:t>
      </w:r>
      <w:r>
        <w:t xml:space="preserve">GI DI Iris Acquisition </w:t>
      </w:r>
      <w:r>
        <w:rPr>
          <w:color w:val="000000"/>
        </w:rPr>
        <w:t xml:space="preserve">Application and </w:t>
      </w:r>
      <w:r>
        <w:t xml:space="preserve">GI DI Iris Acquisition </w:t>
      </w:r>
      <w:r>
        <w:rPr>
          <w:color w:val="000000"/>
        </w:rPr>
        <w:t>Petition and did not</w:t>
      </w:r>
      <w:r w:rsidRPr="00696D1A">
        <w:rPr>
          <w:color w:val="000000"/>
          <w:szCs w:val="22"/>
        </w:rPr>
        <w:t xml:space="preserve"> </w:t>
      </w:r>
      <w:r w:rsidRPr="00696D1A">
        <w:rPr>
          <w:szCs w:val="22"/>
        </w:rPr>
        <w:t xml:space="preserve">receive </w:t>
      </w:r>
      <w:r>
        <w:rPr>
          <w:szCs w:val="22"/>
        </w:rPr>
        <w:t xml:space="preserve">any </w:t>
      </w:r>
      <w:r w:rsidRPr="00696D1A">
        <w:rPr>
          <w:szCs w:val="22"/>
        </w:rPr>
        <w:t>comments or petitions in opposition to the</w:t>
      </w:r>
      <w:r>
        <w:rPr>
          <w:szCs w:val="22"/>
        </w:rPr>
        <w:t>m</w:t>
      </w:r>
      <w:r w:rsidRPr="00696D1A">
        <w:rPr>
          <w:szCs w:val="22"/>
        </w:rPr>
        <w:t>.</w:t>
      </w:r>
      <w:r>
        <w:rPr>
          <w:rStyle w:val="FootnoteReference"/>
          <w:szCs w:val="22"/>
        </w:rPr>
        <w:footnoteReference w:id="10"/>
      </w:r>
      <w:r w:rsidRPr="00696D1A">
        <w:rPr>
          <w:color w:val="000000"/>
          <w:szCs w:val="22"/>
        </w:rPr>
        <w:t xml:space="preserve"> </w:t>
      </w:r>
      <w:r w:rsidRPr="00696D1A">
        <w:rPr>
          <w:szCs w:val="22"/>
        </w:rPr>
        <w:t xml:space="preserve"> </w:t>
      </w:r>
    </w:p>
    <w:p w:rsidR="005614FA" w:rsidP="00044F6D" w14:paraId="0268621B" w14:textId="4E7C6E77">
      <w:pPr>
        <w:autoSpaceDE w:val="0"/>
        <w:autoSpaceDN w:val="0"/>
        <w:adjustRightInd w:val="0"/>
        <w:spacing w:after="120"/>
        <w:ind w:firstLine="720"/>
        <w:rPr>
          <w:snapToGrid/>
          <w:color w:val="212121"/>
          <w:kern w:val="0"/>
          <w:szCs w:val="22"/>
        </w:rPr>
      </w:pPr>
      <w:r>
        <w:rPr>
          <w:snapToGrid/>
          <w:color w:val="212121"/>
          <w:kern w:val="0"/>
          <w:szCs w:val="22"/>
        </w:rPr>
        <w:t xml:space="preserve">On December </w:t>
      </w:r>
      <w:r w:rsidR="00D3468D">
        <w:rPr>
          <w:snapToGrid/>
          <w:color w:val="212121"/>
          <w:kern w:val="0"/>
          <w:szCs w:val="22"/>
        </w:rPr>
        <w:t>14</w:t>
      </w:r>
      <w:r>
        <w:rPr>
          <w:snapToGrid/>
          <w:color w:val="212121"/>
          <w:kern w:val="0"/>
          <w:szCs w:val="22"/>
        </w:rPr>
        <w:t>, 2022</w:t>
      </w:r>
      <w:r w:rsidR="00D3468D">
        <w:rPr>
          <w:snapToGrid/>
          <w:color w:val="212121"/>
          <w:kern w:val="0"/>
          <w:szCs w:val="22"/>
        </w:rPr>
        <w:t>, WCB and IB r</w:t>
      </w:r>
      <w:r w:rsidRPr="00587DBF">
        <w:rPr>
          <w:snapToGrid/>
          <w:color w:val="212121"/>
          <w:kern w:val="0"/>
          <w:szCs w:val="22"/>
        </w:rPr>
        <w:t>eleased a public notice seeking comment</w:t>
      </w:r>
      <w:r w:rsidR="00C16F61">
        <w:rPr>
          <w:snapToGrid/>
          <w:color w:val="212121"/>
          <w:kern w:val="0"/>
          <w:szCs w:val="22"/>
        </w:rPr>
        <w:t>s</w:t>
      </w:r>
      <w:r w:rsidRPr="00587DBF">
        <w:rPr>
          <w:snapToGrid/>
          <w:color w:val="212121"/>
          <w:kern w:val="0"/>
          <w:szCs w:val="22"/>
        </w:rPr>
        <w:t xml:space="preserve"> </w:t>
      </w:r>
      <w:r w:rsidR="000D285F">
        <w:rPr>
          <w:snapToGrid/>
          <w:color w:val="212121"/>
          <w:kern w:val="0"/>
          <w:szCs w:val="22"/>
        </w:rPr>
        <w:t>o</w:t>
      </w:r>
      <w:r w:rsidRPr="00587DBF">
        <w:rPr>
          <w:snapToGrid/>
          <w:color w:val="212121"/>
          <w:kern w:val="0"/>
          <w:szCs w:val="22"/>
        </w:rPr>
        <w:t xml:space="preserve">n the </w:t>
      </w:r>
      <w:r w:rsidR="003C4F61">
        <w:rPr>
          <w:snapToGrid/>
          <w:color w:val="212121"/>
          <w:kern w:val="0"/>
          <w:szCs w:val="22"/>
        </w:rPr>
        <w:t xml:space="preserve">2018 </w:t>
      </w:r>
      <w:r w:rsidR="005629D6">
        <w:rPr>
          <w:snapToGrid/>
          <w:color w:val="212121"/>
          <w:kern w:val="0"/>
          <w:szCs w:val="22"/>
        </w:rPr>
        <w:t xml:space="preserve">LStar Equity </w:t>
      </w:r>
      <w:r w:rsidR="00770D1C">
        <w:rPr>
          <w:snapToGrid/>
          <w:color w:val="212121"/>
          <w:kern w:val="0"/>
          <w:szCs w:val="22"/>
        </w:rPr>
        <w:t>Application</w:t>
      </w:r>
      <w:r w:rsidRPr="00587DBF">
        <w:rPr>
          <w:snapToGrid/>
          <w:color w:val="212121"/>
          <w:kern w:val="0"/>
          <w:szCs w:val="22"/>
        </w:rPr>
        <w:t xml:space="preserve"> and </w:t>
      </w:r>
      <w:r w:rsidR="005629D6">
        <w:rPr>
          <w:snapToGrid/>
          <w:color w:val="212121"/>
          <w:kern w:val="0"/>
          <w:szCs w:val="22"/>
        </w:rPr>
        <w:t xml:space="preserve">LStar Equity </w:t>
      </w:r>
      <w:r w:rsidR="005F2393">
        <w:rPr>
          <w:snapToGrid/>
          <w:color w:val="212121"/>
          <w:kern w:val="0"/>
          <w:szCs w:val="22"/>
        </w:rPr>
        <w:t xml:space="preserve">Petition </w:t>
      </w:r>
      <w:r w:rsidR="00D3468D">
        <w:rPr>
          <w:snapToGrid/>
          <w:color w:val="212121"/>
          <w:kern w:val="0"/>
          <w:szCs w:val="22"/>
        </w:rPr>
        <w:t xml:space="preserve">and </w:t>
      </w:r>
      <w:r w:rsidRPr="00587DBF">
        <w:rPr>
          <w:snapToGrid/>
          <w:color w:val="212121"/>
          <w:kern w:val="0"/>
          <w:szCs w:val="22"/>
        </w:rPr>
        <w:t xml:space="preserve">did not receive </w:t>
      </w:r>
      <w:r w:rsidR="00057CA1">
        <w:rPr>
          <w:snapToGrid/>
          <w:color w:val="212121"/>
          <w:kern w:val="0"/>
          <w:szCs w:val="22"/>
        </w:rPr>
        <w:t xml:space="preserve">any </w:t>
      </w:r>
      <w:r w:rsidRPr="00587DBF">
        <w:rPr>
          <w:snapToGrid/>
          <w:color w:val="212121"/>
          <w:kern w:val="0"/>
          <w:szCs w:val="22"/>
        </w:rPr>
        <w:t>comments or petitions in opposition to the</w:t>
      </w:r>
      <w:r w:rsidR="00D3468D">
        <w:rPr>
          <w:snapToGrid/>
          <w:color w:val="212121"/>
          <w:kern w:val="0"/>
          <w:szCs w:val="22"/>
        </w:rPr>
        <w:t>m</w:t>
      </w:r>
      <w:r>
        <w:rPr>
          <w:snapToGrid/>
          <w:color w:val="212121"/>
          <w:kern w:val="0"/>
          <w:szCs w:val="22"/>
        </w:rPr>
        <w:t>.</w:t>
      </w:r>
      <w:r>
        <w:rPr>
          <w:rStyle w:val="FootnoteReference"/>
          <w:snapToGrid/>
          <w:kern w:val="0"/>
          <w:szCs w:val="22"/>
        </w:rPr>
        <w:footnoteReference w:id="11"/>
      </w:r>
      <w:r>
        <w:rPr>
          <w:snapToGrid/>
          <w:color w:val="212121"/>
          <w:kern w:val="0"/>
          <w:szCs w:val="22"/>
        </w:rPr>
        <w:t xml:space="preserve"> </w:t>
      </w:r>
    </w:p>
    <w:p w:rsidR="00C47385" w:rsidRPr="00F66CE6" w:rsidP="00C47385" w14:paraId="7545AB77" w14:textId="30A2D0E2">
      <w:pPr>
        <w:widowControl/>
        <w:autoSpaceDE w:val="0"/>
        <w:autoSpaceDN w:val="0"/>
        <w:adjustRightInd w:val="0"/>
        <w:spacing w:after="120"/>
        <w:rPr>
          <w:b/>
          <w:bCs/>
          <w:snapToGrid/>
          <w:kern w:val="0"/>
          <w:szCs w:val="22"/>
          <w:u w:val="single"/>
        </w:rPr>
      </w:pPr>
      <w:r w:rsidRPr="00F66CE6">
        <w:rPr>
          <w:b/>
          <w:bCs/>
          <w:snapToGrid/>
          <w:kern w:val="0"/>
          <w:szCs w:val="22"/>
          <w:u w:val="single"/>
        </w:rPr>
        <w:t>Domestic 214 Authorization Holders</w:t>
      </w:r>
    </w:p>
    <w:p w:rsidR="00C47385" w:rsidP="00C47385" w14:paraId="0CCFE66D" w14:textId="3FEB3A9C">
      <w:pPr>
        <w:widowControl/>
        <w:autoSpaceDE w:val="0"/>
        <w:autoSpaceDN w:val="0"/>
        <w:adjustRightInd w:val="0"/>
        <w:spacing w:after="120"/>
        <w:ind w:firstLine="720"/>
      </w:pPr>
      <w:r w:rsidRPr="00A021BA">
        <w:rPr>
          <w:snapToGrid/>
          <w:kern w:val="0"/>
          <w:szCs w:val="22"/>
        </w:rPr>
        <w:t>JAB Wireless, a Colorado corporation, does not itself provide telecommunications services.</w:t>
      </w:r>
      <w:r>
        <w:rPr>
          <w:snapToGrid/>
          <w:kern w:val="0"/>
          <w:szCs w:val="22"/>
          <w:vertAlign w:val="superscript"/>
        </w:rPr>
        <w:footnoteReference w:id="12"/>
      </w:r>
      <w:r w:rsidRPr="00A021BA">
        <w:rPr>
          <w:snapToGrid/>
          <w:kern w:val="0"/>
          <w:szCs w:val="22"/>
        </w:rPr>
        <w:t xml:space="preserve">  </w:t>
      </w:r>
      <w:r>
        <w:rPr>
          <w:snapToGrid/>
          <w:kern w:val="0"/>
          <w:szCs w:val="22"/>
        </w:rPr>
        <w:t>The Domestic 214 Authorization Holders are all U.S. entities and</w:t>
      </w:r>
      <w:r w:rsidRPr="00A021BA">
        <w:rPr>
          <w:snapToGrid/>
          <w:kern w:val="0"/>
          <w:szCs w:val="22"/>
        </w:rPr>
        <w:t xml:space="preserve"> direct and indirect wholly</w:t>
      </w:r>
      <w:r>
        <w:rPr>
          <w:snapToGrid/>
          <w:kern w:val="0"/>
          <w:szCs w:val="22"/>
        </w:rPr>
        <w:t xml:space="preserve"> </w:t>
      </w:r>
      <w:r w:rsidRPr="00A021BA">
        <w:rPr>
          <w:snapToGrid/>
          <w:kern w:val="0"/>
          <w:szCs w:val="22"/>
        </w:rPr>
        <w:t xml:space="preserve">owned subsidiaries of JAB Wireless and provide fixed wireless, fiber broadband, and digital voice services </w:t>
      </w:r>
      <w:r w:rsidRPr="006D5976">
        <w:rPr>
          <w:snapToGrid/>
          <w:kern w:val="0"/>
          <w:szCs w:val="22"/>
        </w:rPr>
        <w:t xml:space="preserve">under the name, </w:t>
      </w:r>
      <w:r w:rsidRPr="006D5976" w:rsidR="006D5976">
        <w:rPr>
          <w:snapToGrid/>
          <w:kern w:val="0"/>
          <w:szCs w:val="22"/>
        </w:rPr>
        <w:t>“</w:t>
      </w:r>
      <w:r w:rsidRPr="006D5976">
        <w:rPr>
          <w:snapToGrid/>
          <w:kern w:val="0"/>
          <w:szCs w:val="22"/>
        </w:rPr>
        <w:t>Rise Broadband</w:t>
      </w:r>
      <w:r w:rsidRPr="006D5976" w:rsidR="006D5976">
        <w:rPr>
          <w:snapToGrid/>
          <w:kern w:val="0"/>
          <w:szCs w:val="22"/>
        </w:rPr>
        <w:t>”</w:t>
      </w:r>
      <w:r w:rsidRPr="006D5976">
        <w:rPr>
          <w:snapToGrid/>
          <w:kern w:val="0"/>
          <w:szCs w:val="22"/>
        </w:rPr>
        <w:t>,</w:t>
      </w:r>
      <w:r w:rsidRPr="00A021BA">
        <w:rPr>
          <w:snapToGrid/>
          <w:kern w:val="0"/>
          <w:szCs w:val="22"/>
        </w:rPr>
        <w:t xml:space="preserve"> in Texas, Oklahoma, Missouri, Illinois, Indiana, Nebraska, Iowa, Kansas, Colorado, Wyoming, Idaho, Nevada, Utah, Minnesota, Wisconsin, and South Dakota.</w:t>
      </w:r>
      <w:r>
        <w:rPr>
          <w:snapToGrid/>
          <w:kern w:val="0"/>
          <w:szCs w:val="22"/>
          <w:vertAlign w:val="superscript"/>
        </w:rPr>
        <w:footnoteReference w:id="13"/>
      </w:r>
      <w:r w:rsidRPr="00A021BA">
        <w:rPr>
          <w:snapToGrid/>
          <w:kern w:val="0"/>
          <w:szCs w:val="22"/>
        </w:rPr>
        <w:t xml:space="preserve">  Skybeam</w:t>
      </w:r>
      <w:r>
        <w:rPr>
          <w:snapToGrid/>
          <w:kern w:val="0"/>
          <w:szCs w:val="22"/>
        </w:rPr>
        <w:t xml:space="preserve"> </w:t>
      </w:r>
      <w:r w:rsidRPr="00A021BA">
        <w:rPr>
          <w:snapToGrid/>
          <w:kern w:val="0"/>
          <w:szCs w:val="22"/>
        </w:rPr>
        <w:t xml:space="preserve">received authorization for Rural Broadband Experiment (RBE) </w:t>
      </w:r>
      <w:r>
        <w:rPr>
          <w:snapToGrid/>
          <w:kern w:val="0"/>
          <w:szCs w:val="22"/>
        </w:rPr>
        <w:t xml:space="preserve">universal service funding </w:t>
      </w:r>
      <w:r w:rsidRPr="00A021BA">
        <w:rPr>
          <w:snapToGrid/>
          <w:kern w:val="0"/>
          <w:szCs w:val="22"/>
        </w:rPr>
        <w:t>support in several states</w:t>
      </w:r>
      <w:r>
        <w:rPr>
          <w:snapToGrid/>
          <w:kern w:val="0"/>
          <w:szCs w:val="22"/>
        </w:rPr>
        <w:t xml:space="preserve"> </w:t>
      </w:r>
      <w:r w:rsidRPr="00BA6654" w:rsidR="00BA6654">
        <w:rPr>
          <w:snapToGrid/>
          <w:kern w:val="0"/>
          <w:szCs w:val="22"/>
        </w:rPr>
        <w:t xml:space="preserve">in 2015 and 2016 </w:t>
      </w:r>
      <w:r>
        <w:rPr>
          <w:snapToGrid/>
          <w:kern w:val="0"/>
          <w:szCs w:val="22"/>
        </w:rPr>
        <w:t xml:space="preserve">and is designated as an Eligible Telecommunications Carrier (ETC) </w:t>
      </w:r>
      <w:r w:rsidR="00B812E9">
        <w:rPr>
          <w:snapToGrid/>
          <w:kern w:val="0"/>
          <w:szCs w:val="22"/>
        </w:rPr>
        <w:t>in</w:t>
      </w:r>
      <w:r>
        <w:rPr>
          <w:snapToGrid/>
          <w:kern w:val="0"/>
          <w:szCs w:val="22"/>
        </w:rPr>
        <w:t xml:space="preserve"> </w:t>
      </w:r>
      <w:r w:rsidRPr="008D74A7">
        <w:t>Iowa, Kansas, Nebraska, and Texas</w:t>
      </w:r>
      <w:r w:rsidRPr="00A021BA">
        <w:rPr>
          <w:snapToGrid/>
          <w:kern w:val="0"/>
          <w:szCs w:val="22"/>
        </w:rPr>
        <w:t>.</w:t>
      </w:r>
      <w:r>
        <w:rPr>
          <w:snapToGrid/>
          <w:kern w:val="0"/>
          <w:szCs w:val="22"/>
          <w:vertAlign w:val="superscript"/>
        </w:rPr>
        <w:footnoteReference w:id="14"/>
      </w:r>
      <w:r w:rsidRPr="00A021BA">
        <w:rPr>
          <w:snapToGrid/>
          <w:kern w:val="0"/>
          <w:szCs w:val="22"/>
        </w:rPr>
        <w:t xml:space="preserve">  </w:t>
      </w:r>
      <w:r>
        <w:rPr>
          <w:snapToGrid/>
          <w:kern w:val="0"/>
          <w:szCs w:val="22"/>
        </w:rPr>
        <w:t xml:space="preserve">In Illinois, Skybeam assigned its RBE obligations to Essex, and Essex is designated as </w:t>
      </w:r>
      <w:r w:rsidR="00FC01C3">
        <w:rPr>
          <w:snapToGrid/>
          <w:kern w:val="0"/>
          <w:szCs w:val="22"/>
        </w:rPr>
        <w:t xml:space="preserve">an </w:t>
      </w:r>
      <w:r>
        <w:rPr>
          <w:snapToGrid/>
          <w:kern w:val="0"/>
          <w:szCs w:val="22"/>
        </w:rPr>
        <w:t>ETC in Illinois</w:t>
      </w:r>
      <w:r>
        <w:t>.</w:t>
      </w:r>
      <w:r>
        <w:rPr>
          <w:rStyle w:val="FootnoteReference"/>
        </w:rPr>
        <w:footnoteReference w:id="15"/>
      </w:r>
      <w:r w:rsidR="00CA0359">
        <w:t xml:space="preserve">  The </w:t>
      </w:r>
      <w:r w:rsidR="005629D6">
        <w:t xml:space="preserve">GI DI Iris Acquisition </w:t>
      </w:r>
      <w:r w:rsidR="00CA0359">
        <w:t xml:space="preserve">Applicants state that Skybeam and </w:t>
      </w:r>
      <w:r w:rsidR="00CA0359">
        <w:t>Essex are the designated ETCs, and that AirCanopy is an affiliate providing service on behalf of Skybeam but is not a designated ETC receiving RBE support.</w:t>
      </w:r>
      <w:r>
        <w:rPr>
          <w:rStyle w:val="FootnoteReference"/>
        </w:rPr>
        <w:footnoteReference w:id="16"/>
      </w:r>
    </w:p>
    <w:p w:rsidR="00CA0359" w:rsidP="00CA0359" w14:paraId="46792666" w14:textId="77777777">
      <w:pPr>
        <w:widowControl/>
        <w:autoSpaceDE w:val="0"/>
        <w:autoSpaceDN w:val="0"/>
        <w:adjustRightInd w:val="0"/>
        <w:spacing w:after="120"/>
      </w:pPr>
      <w:r>
        <w:rPr>
          <w:b/>
          <w:bCs/>
          <w:u w:val="single"/>
        </w:rPr>
        <w:t>Wireless Licensees</w:t>
      </w:r>
    </w:p>
    <w:p w:rsidR="00CA0359" w:rsidP="00CA0359" w14:paraId="40A63E1D" w14:textId="68A96FF6">
      <w:pPr>
        <w:widowControl/>
        <w:autoSpaceDE w:val="0"/>
        <w:autoSpaceDN w:val="0"/>
        <w:adjustRightInd w:val="0"/>
        <w:spacing w:after="120"/>
        <w:ind w:firstLine="720"/>
        <w:rPr>
          <w:color w:val="212121"/>
        </w:rPr>
      </w:pPr>
      <w:r w:rsidRPr="7AA6E11D">
        <w:rPr>
          <w:color w:val="212121"/>
        </w:rPr>
        <w:t>The Wireless Licensees of JAB Wireless hold: (1) common carrier fixed point to-point microwave, private Microwave Industrial/Business Pool, Industrial/Business Pool (Conventional), Millimeter Wave 70-80-90 GHz, and 3650 – 3700 MHz (NN) radio services; (2) de facto (long term) 2.5 GHz spectrum leases; and (3) 6 GHz experimental licenses (Call Signs WL2XNE, WM2XJP and WM2XHL) (held by Skybeam).</w:t>
      </w:r>
      <w:r>
        <w:rPr>
          <w:rStyle w:val="FootnoteReference"/>
        </w:rPr>
        <w:footnoteReference w:id="17"/>
      </w:r>
      <w:r w:rsidRPr="7AA6E11D">
        <w:rPr>
          <w:color w:val="212121"/>
        </w:rPr>
        <w:t xml:space="preserve">  The Wireless Licensee</w:t>
      </w:r>
      <w:r w:rsidRPr="7AA6E11D" w:rsidR="00E70CEE">
        <w:rPr>
          <w:color w:val="212121"/>
        </w:rPr>
        <w:t>s</w:t>
      </w:r>
      <w:r w:rsidRPr="7AA6E11D">
        <w:rPr>
          <w:color w:val="212121"/>
        </w:rPr>
        <w:t xml:space="preserve"> collectively provide fixed wireless broadband services under the trade name “Rise Broadband” in Texas, Oklahoma, Missouri, Illinois, Indiana, Nebraska, Iowa, Kansas, Colorado, Wyoming, Idaho, Nevada, Utah, Minnesota, Wisconsin, and South Dakota.</w:t>
      </w:r>
      <w:r>
        <w:rPr>
          <w:rStyle w:val="FootnoteReference"/>
        </w:rPr>
        <w:footnoteReference w:id="18"/>
      </w:r>
      <w:r w:rsidRPr="7AA6E11D">
        <w:rPr>
          <w:color w:val="212121"/>
        </w:rPr>
        <w:t xml:space="preserve">  Rise Broadband offers high-speed internet and interconnected VoIP voice services via fixed wireless technology and fiber.</w:t>
      </w:r>
      <w:r>
        <w:rPr>
          <w:rStyle w:val="FootnoteReference"/>
        </w:rPr>
        <w:footnoteReference w:id="19"/>
      </w:r>
      <w:r w:rsidRPr="7AA6E11D">
        <w:rPr>
          <w:color w:val="212121"/>
        </w:rPr>
        <w:t xml:space="preserve"> </w:t>
      </w:r>
      <w:r w:rsidRPr="7AA6E11D" w:rsidR="00BC3A12">
        <w:rPr>
          <w:color w:val="212121"/>
        </w:rPr>
        <w:t xml:space="preserve"> </w:t>
      </w:r>
      <w:r w:rsidRPr="7AA6E11D" w:rsidR="003008DF">
        <w:rPr>
          <w:color w:val="212121"/>
        </w:rPr>
        <w:t xml:space="preserve">JAB Wireless is the </w:t>
      </w:r>
      <w:r w:rsidRPr="7AA6E11D">
        <w:rPr>
          <w:color w:val="212121"/>
        </w:rPr>
        <w:t>controlling U.S. parent of the Wireless Licensees</w:t>
      </w:r>
      <w:r w:rsidRPr="7AA6E11D" w:rsidR="003008DF">
        <w:rPr>
          <w:color w:val="212121"/>
        </w:rPr>
        <w:t>.</w:t>
      </w:r>
      <w:r>
        <w:rPr>
          <w:rStyle w:val="FootnoteReference"/>
        </w:rPr>
        <w:footnoteReference w:id="20"/>
      </w:r>
      <w:r w:rsidRPr="7AA6E11D">
        <w:rPr>
          <w:color w:val="212121"/>
        </w:rPr>
        <w:t xml:space="preserve"> </w:t>
      </w:r>
    </w:p>
    <w:p w:rsidR="004067C5" w:rsidRPr="00F66CE6" w:rsidP="004067C5" w14:paraId="506BC14D" w14:textId="7A494F7E">
      <w:pPr>
        <w:widowControl/>
        <w:spacing w:after="120"/>
        <w:rPr>
          <w:b/>
          <w:bCs/>
          <w:szCs w:val="22"/>
          <w:u w:val="single"/>
        </w:rPr>
      </w:pPr>
      <w:r>
        <w:rPr>
          <w:b/>
          <w:bCs/>
          <w:szCs w:val="22"/>
          <w:u w:val="single"/>
        </w:rPr>
        <w:t xml:space="preserve">The </w:t>
      </w:r>
      <w:r w:rsidRPr="00F66CE6">
        <w:rPr>
          <w:b/>
          <w:bCs/>
          <w:szCs w:val="22"/>
          <w:u w:val="single"/>
        </w:rPr>
        <w:t xml:space="preserve">2018 </w:t>
      </w:r>
      <w:r>
        <w:rPr>
          <w:b/>
          <w:bCs/>
          <w:szCs w:val="22"/>
          <w:u w:val="single"/>
        </w:rPr>
        <w:t xml:space="preserve">LStar Equity </w:t>
      </w:r>
      <w:r w:rsidR="00CA0359">
        <w:rPr>
          <w:b/>
          <w:bCs/>
          <w:szCs w:val="22"/>
          <w:u w:val="single"/>
        </w:rPr>
        <w:t>Transaction</w:t>
      </w:r>
      <w:r>
        <w:rPr>
          <w:b/>
          <w:bCs/>
          <w:szCs w:val="22"/>
          <w:u w:val="single"/>
        </w:rPr>
        <w:t xml:space="preserve"> (WC Docket No. 22-422)</w:t>
      </w:r>
    </w:p>
    <w:p w:rsidR="004067C5" w:rsidP="004067C5" w14:paraId="50E37AAB" w14:textId="13E01EFC">
      <w:pPr>
        <w:widowControl/>
        <w:autoSpaceDE w:val="0"/>
        <w:autoSpaceDN w:val="0"/>
        <w:adjustRightInd w:val="0"/>
        <w:spacing w:after="120"/>
        <w:ind w:firstLine="720"/>
        <w:rPr>
          <w:snapToGrid/>
          <w:kern w:val="0"/>
          <w:szCs w:val="22"/>
        </w:rPr>
      </w:pPr>
      <w:r>
        <w:rPr>
          <w:bCs/>
          <w:snapToGrid/>
          <w:kern w:val="0"/>
        </w:rPr>
        <w:t>P</w:t>
      </w:r>
      <w:r w:rsidRPr="001A573F">
        <w:rPr>
          <w:bCs/>
          <w:snapToGrid/>
          <w:kern w:val="0"/>
        </w:rPr>
        <w:t xml:space="preserve">ursuant to an agreement dated May </w:t>
      </w:r>
      <w:r>
        <w:rPr>
          <w:bCs/>
          <w:snapToGrid/>
          <w:kern w:val="0"/>
        </w:rPr>
        <w:t>2, 2018</w:t>
      </w:r>
      <w:r w:rsidRPr="001A573F">
        <w:rPr>
          <w:bCs/>
          <w:snapToGrid/>
          <w:kern w:val="0"/>
        </w:rPr>
        <w:t xml:space="preserve">, </w:t>
      </w:r>
      <w:r>
        <w:rPr>
          <w:bCs/>
          <w:snapToGrid/>
          <w:kern w:val="0"/>
        </w:rPr>
        <w:t xml:space="preserve">the </w:t>
      </w:r>
      <w:r w:rsidR="00C34A80">
        <w:rPr>
          <w:bCs/>
          <w:snapToGrid/>
          <w:kern w:val="0"/>
        </w:rPr>
        <w:t>LStar Equity A</w:t>
      </w:r>
      <w:r>
        <w:rPr>
          <w:bCs/>
          <w:snapToGrid/>
          <w:kern w:val="0"/>
        </w:rPr>
        <w:t xml:space="preserve">pplicants agreed to a series of transactions whereby LStar Equity converted certain debt and/or non-voting preferred stock into preferred and/or common stock, resulting in LStar Equity holding an equity interest of 71.8% and a controlling </w:t>
      </w:r>
      <w:r w:rsidRPr="00C025F8" w:rsidR="00C3171E">
        <w:rPr>
          <w:color w:val="212121"/>
          <w:szCs w:val="22"/>
        </w:rPr>
        <w:t xml:space="preserve">66.6% </w:t>
      </w:r>
      <w:r>
        <w:rPr>
          <w:bCs/>
          <w:snapToGrid/>
          <w:kern w:val="0"/>
        </w:rPr>
        <w:t>voting interest in JAB Wireless.</w:t>
      </w:r>
      <w:r>
        <w:rPr>
          <w:rStyle w:val="FootnoteReference"/>
          <w:bCs/>
          <w:snapToGrid/>
          <w:kern w:val="0"/>
        </w:rPr>
        <w:footnoteReference w:id="21"/>
      </w:r>
      <w:r>
        <w:rPr>
          <w:bCs/>
          <w:snapToGrid/>
          <w:kern w:val="0"/>
        </w:rPr>
        <w:t xml:space="preserve">  </w:t>
      </w:r>
      <w:r w:rsidR="007E0234">
        <w:rPr>
          <w:bCs/>
          <w:snapToGrid/>
          <w:kern w:val="0"/>
        </w:rPr>
        <w:t xml:space="preserve">The LStar Equity </w:t>
      </w:r>
      <w:r w:rsidR="00F00D60">
        <w:rPr>
          <w:bCs/>
          <w:snapToGrid/>
          <w:kern w:val="0"/>
        </w:rPr>
        <w:t>Applicants</w:t>
      </w:r>
      <w:r w:rsidR="007E0234">
        <w:rPr>
          <w:bCs/>
          <w:snapToGrid/>
          <w:kern w:val="0"/>
        </w:rPr>
        <w:t xml:space="preserve"> consummated the transaction on November 7, 2018 without prior Commission consent.  </w:t>
      </w:r>
      <w:r>
        <w:rPr>
          <w:bCs/>
          <w:snapToGrid/>
          <w:kern w:val="0"/>
        </w:rPr>
        <w:t xml:space="preserve">Upon consummation of the </w:t>
      </w:r>
      <w:r w:rsidR="00C34A80">
        <w:rPr>
          <w:bCs/>
          <w:snapToGrid/>
          <w:kern w:val="0"/>
        </w:rPr>
        <w:t>t</w:t>
      </w:r>
      <w:r>
        <w:rPr>
          <w:bCs/>
          <w:snapToGrid/>
          <w:kern w:val="0"/>
        </w:rPr>
        <w:t>ransaction, Skybeam and Essex became wholly owned, indirect subsidiaries of LStar Equity.</w:t>
      </w:r>
      <w:r>
        <w:rPr>
          <w:rStyle w:val="FootnoteReference"/>
          <w:bCs/>
          <w:snapToGrid/>
          <w:kern w:val="0"/>
        </w:rPr>
        <w:footnoteReference w:id="22"/>
      </w:r>
      <w:r w:rsidRPr="001A573F">
        <w:rPr>
          <w:bCs/>
          <w:snapToGrid/>
          <w:kern w:val="0"/>
        </w:rPr>
        <w:t xml:space="preserve">    </w:t>
      </w:r>
    </w:p>
    <w:p w:rsidR="004067C5" w:rsidRPr="00144732" w:rsidP="004067C5" w14:paraId="41E5C7D7" w14:textId="3597E3AF">
      <w:pPr>
        <w:widowControl/>
        <w:autoSpaceDE w:val="0"/>
        <w:autoSpaceDN w:val="0"/>
        <w:adjustRightInd w:val="0"/>
        <w:spacing w:after="120"/>
        <w:ind w:firstLine="720"/>
        <w:rPr>
          <w:snapToGrid/>
          <w:kern w:val="0"/>
          <w:szCs w:val="22"/>
        </w:rPr>
      </w:pPr>
      <w:r>
        <w:rPr>
          <w:snapToGrid/>
          <w:kern w:val="0"/>
          <w:szCs w:val="22"/>
        </w:rPr>
        <w:t xml:space="preserve">As a result of the </w:t>
      </w:r>
      <w:r>
        <w:rPr>
          <w:snapToGrid/>
          <w:kern w:val="0"/>
          <w:szCs w:val="22"/>
        </w:rPr>
        <w:t xml:space="preserve">completion of the </w:t>
      </w:r>
      <w:r w:rsidR="00C34A80">
        <w:rPr>
          <w:snapToGrid/>
          <w:kern w:val="0"/>
          <w:szCs w:val="22"/>
        </w:rPr>
        <w:t xml:space="preserve">LStar Equity </w:t>
      </w:r>
      <w:r>
        <w:rPr>
          <w:snapToGrid/>
          <w:kern w:val="0"/>
          <w:szCs w:val="22"/>
        </w:rPr>
        <w:t>Transaction, LStar Equity,</w:t>
      </w:r>
      <w:r w:rsidRPr="005915B3">
        <w:rPr>
          <w:snapToGrid/>
          <w:kern w:val="0"/>
          <w:szCs w:val="22"/>
        </w:rPr>
        <w:t xml:space="preserve"> </w:t>
      </w:r>
      <w:r w:rsidRPr="00D54E82">
        <w:rPr>
          <w:snapToGrid/>
          <w:kern w:val="0"/>
          <w:szCs w:val="22"/>
        </w:rPr>
        <w:t xml:space="preserve">a </w:t>
      </w:r>
      <w:r>
        <w:rPr>
          <w:snapToGrid/>
          <w:kern w:val="0"/>
          <w:szCs w:val="22"/>
        </w:rPr>
        <w:t>Delaware limited partnership, is owned or controlled by LSF VIII International 2, L.P. (Fund VIII Int’l), a Delaware limited partnership (58% equity</w:t>
      </w:r>
      <w:r w:rsidR="00B15EBB">
        <w:rPr>
          <w:snapToGrid/>
          <w:kern w:val="0"/>
          <w:szCs w:val="22"/>
        </w:rPr>
        <w:t xml:space="preserve"> and</w:t>
      </w:r>
      <w:r>
        <w:rPr>
          <w:snapToGrid/>
          <w:kern w:val="0"/>
          <w:szCs w:val="22"/>
        </w:rPr>
        <w:t xml:space="preserve"> voting), Lone Star Fund VIII (U.S.), L.P. (Fund VIII US), a Delaware limited partnership (40% equity</w:t>
      </w:r>
      <w:r w:rsidR="001A071A">
        <w:rPr>
          <w:snapToGrid/>
          <w:kern w:val="0"/>
          <w:szCs w:val="22"/>
        </w:rPr>
        <w:t xml:space="preserve"> </w:t>
      </w:r>
      <w:r w:rsidR="00CC2F1F">
        <w:rPr>
          <w:snapToGrid/>
          <w:kern w:val="0"/>
          <w:szCs w:val="22"/>
        </w:rPr>
        <w:t>and</w:t>
      </w:r>
      <w:r>
        <w:rPr>
          <w:snapToGrid/>
          <w:kern w:val="0"/>
          <w:szCs w:val="22"/>
        </w:rPr>
        <w:t xml:space="preserve"> voting), and LSF VIII Investments, L.P., a Bermuda exempted limited partnership and employee co-investment vehicle (1.98% equity</w:t>
      </w:r>
      <w:r w:rsidR="00CC2F1F">
        <w:rPr>
          <w:snapToGrid/>
          <w:kern w:val="0"/>
          <w:szCs w:val="22"/>
        </w:rPr>
        <w:t xml:space="preserve"> and voting</w:t>
      </w:r>
      <w:r>
        <w:rPr>
          <w:snapToGrid/>
          <w:kern w:val="0"/>
          <w:szCs w:val="22"/>
        </w:rPr>
        <w:t>).</w:t>
      </w:r>
      <w:r>
        <w:rPr>
          <w:rStyle w:val="FootnoteReference"/>
          <w:snapToGrid/>
          <w:kern w:val="0"/>
          <w:szCs w:val="22"/>
        </w:rPr>
        <w:footnoteReference w:id="23"/>
      </w:r>
      <w:r>
        <w:rPr>
          <w:snapToGrid/>
          <w:kern w:val="0"/>
          <w:szCs w:val="22"/>
        </w:rPr>
        <w:t xml:space="preserve">  The sole general partner of LStar Equity is LStar Management LLC (LStar Management), a Delaware limited liability company (</w:t>
      </w:r>
      <w:r w:rsidRPr="00D54E82">
        <w:rPr>
          <w:snapToGrid/>
          <w:kern w:val="0"/>
          <w:szCs w:val="22"/>
        </w:rPr>
        <w:t>0% equity</w:t>
      </w:r>
      <w:r>
        <w:rPr>
          <w:snapToGrid/>
          <w:kern w:val="0"/>
          <w:szCs w:val="22"/>
        </w:rPr>
        <w:t>).</w:t>
      </w:r>
      <w:r>
        <w:rPr>
          <w:rStyle w:val="FootnoteReference"/>
          <w:snapToGrid/>
          <w:kern w:val="0"/>
          <w:szCs w:val="22"/>
        </w:rPr>
        <w:footnoteReference w:id="24"/>
      </w:r>
      <w:r>
        <w:rPr>
          <w:snapToGrid/>
          <w:kern w:val="0"/>
          <w:szCs w:val="22"/>
        </w:rPr>
        <w:t xml:space="preserve">  Ownership and control of LStar Management is split equally between Fund VIII </w:t>
      </w:r>
      <w:r>
        <w:rPr>
          <w:snapToGrid/>
          <w:kern w:val="0"/>
          <w:szCs w:val="22"/>
        </w:rPr>
        <w:t>US and Lone Star Fund IX (U.S.), L.P. (Fund IX US), a Delaware limited partnership, with each having a membership interest of 50% in LStar Management.</w:t>
      </w:r>
      <w:r>
        <w:rPr>
          <w:rStyle w:val="FootnoteReference"/>
          <w:snapToGrid/>
          <w:kern w:val="0"/>
          <w:szCs w:val="22"/>
        </w:rPr>
        <w:footnoteReference w:id="25"/>
      </w:r>
      <w:r>
        <w:rPr>
          <w:snapToGrid/>
          <w:kern w:val="0"/>
          <w:szCs w:val="22"/>
        </w:rPr>
        <w:t xml:space="preserve">  The sole general partner of Fund VIII Int’l and Fund VIII US is Lone Star Partners VIII, L.P. (Partners VIII), a Bermuda exempted limited partnership (1% indirect equity interest in LStar Equity).</w:t>
      </w:r>
      <w:r>
        <w:rPr>
          <w:rStyle w:val="FootnoteReference"/>
          <w:snapToGrid/>
          <w:kern w:val="0"/>
          <w:szCs w:val="22"/>
        </w:rPr>
        <w:footnoteReference w:id="26"/>
      </w:r>
      <w:r>
        <w:rPr>
          <w:snapToGrid/>
          <w:kern w:val="0"/>
          <w:szCs w:val="22"/>
        </w:rPr>
        <w:t xml:space="preserve">  The sole general partner of Partners VIII is Lone Star Management Co. VIII, Ltd., a Bermuda exempted limited company (less than 1% equity in LStar Equity).</w:t>
      </w:r>
      <w:r>
        <w:rPr>
          <w:rStyle w:val="FootnoteReference"/>
          <w:snapToGrid/>
          <w:kern w:val="0"/>
          <w:szCs w:val="22"/>
        </w:rPr>
        <w:footnoteReference w:id="27"/>
      </w:r>
      <w:r>
        <w:rPr>
          <w:snapToGrid/>
          <w:kern w:val="0"/>
          <w:szCs w:val="22"/>
        </w:rPr>
        <w:t xml:space="preserve">  The sole general partner of Fund IX US is Lone Star Partners IX, L.P. (Partners IX), a Bermuda exempted limited partnership (0% equity </w:t>
      </w:r>
      <w:r w:rsidR="00CC2F1F">
        <w:rPr>
          <w:snapToGrid/>
          <w:kern w:val="0"/>
          <w:szCs w:val="22"/>
        </w:rPr>
        <w:t xml:space="preserve">and 100% voting </w:t>
      </w:r>
      <w:r>
        <w:rPr>
          <w:snapToGrid/>
          <w:kern w:val="0"/>
          <w:szCs w:val="22"/>
        </w:rPr>
        <w:t>in LStar Equity).</w:t>
      </w:r>
      <w:r>
        <w:rPr>
          <w:rStyle w:val="FootnoteReference"/>
          <w:snapToGrid/>
          <w:kern w:val="0"/>
          <w:szCs w:val="22"/>
        </w:rPr>
        <w:footnoteReference w:id="28"/>
      </w:r>
      <w:r>
        <w:rPr>
          <w:snapToGrid/>
          <w:kern w:val="0"/>
          <w:szCs w:val="22"/>
        </w:rPr>
        <w:t xml:space="preserve">  The sole general partner of Partners IX is Lone Star Management Co. IX, Ltd., a Bermuda exempted limited partnership (0% equity in LStar Equity).</w:t>
      </w:r>
      <w:r>
        <w:rPr>
          <w:rStyle w:val="FootnoteReference"/>
          <w:snapToGrid/>
          <w:kern w:val="0"/>
          <w:szCs w:val="22"/>
        </w:rPr>
        <w:footnoteReference w:id="29"/>
      </w:r>
      <w:r>
        <w:rPr>
          <w:snapToGrid/>
          <w:kern w:val="0"/>
          <w:szCs w:val="22"/>
        </w:rPr>
        <w:t xml:space="preserve">  John P. Grayken, a citizen of Ireland, controls LStar Equity and owns 100% of the voting shares of Lone Star Management Co. VIII, Ltd. and Lone Star Management Co. IX, Ltd.</w:t>
      </w:r>
      <w:r>
        <w:rPr>
          <w:rStyle w:val="FootnoteReference"/>
          <w:snapToGrid/>
          <w:kern w:val="0"/>
          <w:szCs w:val="22"/>
        </w:rPr>
        <w:footnoteReference w:id="30"/>
      </w:r>
    </w:p>
    <w:p w:rsidR="00CA0359" w:rsidP="006D6057" w14:paraId="012C270E" w14:textId="6331411F">
      <w:pPr>
        <w:widowControl/>
        <w:autoSpaceDE w:val="0"/>
        <w:autoSpaceDN w:val="0"/>
        <w:adjustRightInd w:val="0"/>
        <w:spacing w:after="120"/>
      </w:pPr>
      <w:r>
        <w:rPr>
          <w:b/>
          <w:bCs/>
          <w:u w:val="single"/>
        </w:rPr>
        <w:t xml:space="preserve">The LStar Equity </w:t>
      </w:r>
      <w:r>
        <w:rPr>
          <w:b/>
          <w:bCs/>
          <w:u w:val="single"/>
        </w:rPr>
        <w:t>Petition</w:t>
      </w:r>
      <w:r>
        <w:rPr>
          <w:b/>
          <w:bCs/>
          <w:u w:val="single"/>
        </w:rPr>
        <w:t xml:space="preserve"> for Declaratory Ruling (ISP-PDR-20221208-00012)</w:t>
      </w:r>
    </w:p>
    <w:p w:rsidR="00E83E39" w:rsidP="00E83E39" w14:paraId="499E0B38" w14:textId="58ED927A">
      <w:pPr>
        <w:widowControl/>
        <w:autoSpaceDE w:val="0"/>
        <w:autoSpaceDN w:val="0"/>
        <w:adjustRightInd w:val="0"/>
        <w:spacing w:after="120"/>
        <w:ind w:firstLine="720"/>
        <w:rPr>
          <w:color w:val="212121"/>
          <w:szCs w:val="22"/>
        </w:rPr>
      </w:pPr>
      <w:r w:rsidRPr="00C93FA6">
        <w:rPr>
          <w:bCs/>
          <w:color w:val="212121"/>
          <w:szCs w:val="22"/>
        </w:rPr>
        <w:t xml:space="preserve">On December </w:t>
      </w:r>
      <w:r w:rsidR="008A27CE">
        <w:rPr>
          <w:bCs/>
          <w:color w:val="212121"/>
          <w:szCs w:val="22"/>
        </w:rPr>
        <w:t>8</w:t>
      </w:r>
      <w:r w:rsidRPr="00C93FA6">
        <w:rPr>
          <w:bCs/>
          <w:color w:val="212121"/>
          <w:szCs w:val="22"/>
        </w:rPr>
        <w:t xml:space="preserve">, 2022, </w:t>
      </w:r>
      <w:r w:rsidRPr="00C93FA6">
        <w:rPr>
          <w:color w:val="212121"/>
          <w:szCs w:val="22"/>
        </w:rPr>
        <w:t>JAB Wireless and LStar Equity (</w:t>
      </w:r>
      <w:r>
        <w:rPr>
          <w:color w:val="212121"/>
          <w:szCs w:val="22"/>
        </w:rPr>
        <w:t xml:space="preserve">together, the </w:t>
      </w:r>
      <w:r w:rsidR="00E1053E">
        <w:rPr>
          <w:color w:val="212121"/>
          <w:szCs w:val="22"/>
        </w:rPr>
        <w:t>LStar Equity Petitioners</w:t>
      </w:r>
      <w:r w:rsidRPr="00C93FA6">
        <w:rPr>
          <w:color w:val="212121"/>
          <w:szCs w:val="22"/>
        </w:rPr>
        <w:t xml:space="preserve">) filed a remedial </w:t>
      </w:r>
      <w:r>
        <w:rPr>
          <w:color w:val="212121"/>
          <w:szCs w:val="22"/>
        </w:rPr>
        <w:t>p</w:t>
      </w:r>
      <w:r w:rsidRPr="00C93FA6">
        <w:rPr>
          <w:color w:val="212121"/>
          <w:szCs w:val="22"/>
        </w:rPr>
        <w:t>etition</w:t>
      </w:r>
      <w:r>
        <w:rPr>
          <w:color w:val="212121"/>
          <w:szCs w:val="22"/>
        </w:rPr>
        <w:t xml:space="preserve"> for declaratory ruling</w:t>
      </w:r>
      <w:r w:rsidRPr="00C93FA6">
        <w:rPr>
          <w:color w:val="212121"/>
          <w:szCs w:val="22"/>
        </w:rPr>
        <w:t xml:space="preserve"> </w:t>
      </w:r>
      <w:r>
        <w:rPr>
          <w:color w:val="212121"/>
          <w:szCs w:val="22"/>
        </w:rPr>
        <w:t xml:space="preserve">(the </w:t>
      </w:r>
      <w:r w:rsidR="000C2156">
        <w:rPr>
          <w:color w:val="212121"/>
          <w:szCs w:val="22"/>
        </w:rPr>
        <w:t xml:space="preserve">LStar Equity </w:t>
      </w:r>
      <w:r>
        <w:rPr>
          <w:color w:val="212121"/>
          <w:szCs w:val="22"/>
        </w:rPr>
        <w:t xml:space="preserve">Petition) </w:t>
      </w:r>
      <w:r w:rsidRPr="00C93FA6">
        <w:rPr>
          <w:color w:val="212121"/>
          <w:szCs w:val="22"/>
        </w:rPr>
        <w:t xml:space="preserve">pursuant to section 310(b)(4) of the Act, and section 1.5000(a)(1), </w:t>
      </w:r>
      <w:r w:rsidR="000C2156">
        <w:rPr>
          <w:color w:val="212121"/>
          <w:szCs w:val="22"/>
        </w:rPr>
        <w:t xml:space="preserve">requesting that </w:t>
      </w:r>
      <w:r w:rsidRPr="00C93FA6">
        <w:rPr>
          <w:bCs/>
          <w:color w:val="212121"/>
          <w:szCs w:val="22"/>
        </w:rPr>
        <w:t xml:space="preserve">the Commission find that it would serve the public interest </w:t>
      </w:r>
      <w:r w:rsidRPr="00C93FA6">
        <w:rPr>
          <w:color w:val="212121"/>
          <w:szCs w:val="22"/>
        </w:rPr>
        <w:t>to permit foreign ownership of JAB Wireless, above the 25% benchmarks in section 310(b)(4)</w:t>
      </w:r>
      <w:r w:rsidR="000C2156">
        <w:rPr>
          <w:color w:val="212121"/>
          <w:szCs w:val="22"/>
        </w:rPr>
        <w:t>.</w:t>
      </w:r>
      <w:r w:rsidRPr="00C93FA6">
        <w:rPr>
          <w:color w:val="212121"/>
          <w:szCs w:val="22"/>
        </w:rPr>
        <w:t xml:space="preserve"> </w:t>
      </w:r>
      <w:r w:rsidR="00BC3A12">
        <w:rPr>
          <w:color w:val="212121"/>
          <w:szCs w:val="22"/>
        </w:rPr>
        <w:t xml:space="preserve"> </w:t>
      </w:r>
      <w:r>
        <w:rPr>
          <w:color w:val="212121"/>
          <w:szCs w:val="22"/>
        </w:rPr>
        <w:t>T</w:t>
      </w:r>
      <w:r w:rsidRPr="00C93FA6">
        <w:rPr>
          <w:color w:val="212121"/>
          <w:szCs w:val="22"/>
        </w:rPr>
        <w:t>h</w:t>
      </w:r>
      <w:r>
        <w:rPr>
          <w:color w:val="212121"/>
          <w:szCs w:val="22"/>
        </w:rPr>
        <w:t>e</w:t>
      </w:r>
      <w:r w:rsidRPr="00C93FA6">
        <w:rPr>
          <w:color w:val="212121"/>
          <w:szCs w:val="22"/>
        </w:rPr>
        <w:t xml:space="preserve"> remedial </w:t>
      </w:r>
      <w:r w:rsidR="000C2156">
        <w:rPr>
          <w:color w:val="212121"/>
          <w:szCs w:val="22"/>
        </w:rPr>
        <w:t xml:space="preserve">LStar Equity </w:t>
      </w:r>
      <w:r w:rsidRPr="00C93FA6">
        <w:rPr>
          <w:color w:val="212121"/>
          <w:szCs w:val="22"/>
        </w:rPr>
        <w:t xml:space="preserve">Petition </w:t>
      </w:r>
      <w:r>
        <w:rPr>
          <w:color w:val="212121"/>
          <w:szCs w:val="22"/>
        </w:rPr>
        <w:t xml:space="preserve">was filed </w:t>
      </w:r>
      <w:r w:rsidRPr="00C93FA6">
        <w:rPr>
          <w:color w:val="212121"/>
          <w:szCs w:val="22"/>
        </w:rPr>
        <w:t xml:space="preserve">to report the foreign ownership that occurred as result of the consummation of the </w:t>
      </w:r>
      <w:r w:rsidR="000C2156">
        <w:rPr>
          <w:color w:val="212121"/>
          <w:szCs w:val="22"/>
        </w:rPr>
        <w:t xml:space="preserve">LStar Equity </w:t>
      </w:r>
      <w:r w:rsidRPr="00C93FA6">
        <w:rPr>
          <w:color w:val="212121"/>
          <w:szCs w:val="22"/>
        </w:rPr>
        <w:t xml:space="preserve">Transaction. </w:t>
      </w:r>
    </w:p>
    <w:p w:rsidR="00E83E39" w:rsidP="00E83E39" w14:paraId="4CE24868" w14:textId="545F98C7">
      <w:pPr>
        <w:widowControl/>
        <w:autoSpaceDE w:val="0"/>
        <w:autoSpaceDN w:val="0"/>
        <w:adjustRightInd w:val="0"/>
        <w:spacing w:after="120"/>
        <w:ind w:firstLine="720"/>
        <w:rPr>
          <w:color w:val="212121"/>
          <w:szCs w:val="22"/>
        </w:rPr>
      </w:pPr>
      <w:r w:rsidRPr="00C025F8">
        <w:rPr>
          <w:color w:val="212121"/>
          <w:szCs w:val="22"/>
        </w:rPr>
        <w:t xml:space="preserve">The </w:t>
      </w:r>
      <w:r w:rsidR="000C2156">
        <w:rPr>
          <w:color w:val="212121"/>
          <w:szCs w:val="22"/>
        </w:rPr>
        <w:t xml:space="preserve">LStar Equity </w:t>
      </w:r>
      <w:r w:rsidRPr="00C025F8">
        <w:rPr>
          <w:color w:val="212121"/>
          <w:szCs w:val="22"/>
        </w:rPr>
        <w:t xml:space="preserve">Petitioners state that, as a result of the </w:t>
      </w:r>
      <w:r w:rsidR="000369A2">
        <w:rPr>
          <w:color w:val="212121"/>
          <w:szCs w:val="22"/>
        </w:rPr>
        <w:t>LStar Equity T</w:t>
      </w:r>
      <w:r w:rsidRPr="00C025F8">
        <w:rPr>
          <w:color w:val="212121"/>
          <w:szCs w:val="22"/>
        </w:rPr>
        <w:t xml:space="preserve">ransaction, LStar Equity </w:t>
      </w:r>
      <w:r w:rsidR="00435751">
        <w:rPr>
          <w:color w:val="212121"/>
          <w:szCs w:val="22"/>
        </w:rPr>
        <w:t xml:space="preserve">holds </w:t>
      </w:r>
      <w:r w:rsidRPr="00C025F8">
        <w:rPr>
          <w:color w:val="212121"/>
          <w:szCs w:val="22"/>
        </w:rPr>
        <w:t>a 71.8% equity interest and 66.6% voting interest in JAB Wireless, the controlling U.S. parent of the Wireless Licensees.</w:t>
      </w:r>
      <w:r>
        <w:rPr>
          <w:color w:val="212121"/>
          <w:szCs w:val="22"/>
          <w:vertAlign w:val="superscript"/>
        </w:rPr>
        <w:footnoteReference w:id="31"/>
      </w:r>
      <w:r w:rsidRPr="00C025F8">
        <w:rPr>
          <w:color w:val="212121"/>
          <w:szCs w:val="22"/>
        </w:rPr>
        <w:t xml:space="preserve">  According to the </w:t>
      </w:r>
      <w:r w:rsidR="000C2156">
        <w:rPr>
          <w:color w:val="212121"/>
          <w:szCs w:val="22"/>
        </w:rPr>
        <w:t>p</w:t>
      </w:r>
      <w:r w:rsidRPr="00C025F8">
        <w:rPr>
          <w:color w:val="212121"/>
          <w:szCs w:val="22"/>
        </w:rPr>
        <w:t>etition, the remaining 28.2% equity interest and 33.3% voting interest in JAB Wireless is held by other investors, each holding less than 10% interest in JAB Wireless.</w:t>
      </w:r>
      <w:r>
        <w:rPr>
          <w:color w:val="212121"/>
          <w:szCs w:val="22"/>
          <w:vertAlign w:val="superscript"/>
        </w:rPr>
        <w:footnoteReference w:id="32"/>
      </w:r>
      <w:r w:rsidRPr="00C025F8">
        <w:rPr>
          <w:color w:val="212121"/>
          <w:szCs w:val="22"/>
        </w:rPr>
        <w:t xml:space="preserve">  </w:t>
      </w:r>
      <w:r w:rsidR="00C22C0A">
        <w:rPr>
          <w:color w:val="212121"/>
          <w:szCs w:val="22"/>
        </w:rPr>
        <w:t xml:space="preserve">The LStar </w:t>
      </w:r>
      <w:r w:rsidR="000369A2">
        <w:rPr>
          <w:color w:val="212121"/>
          <w:szCs w:val="22"/>
        </w:rPr>
        <w:t xml:space="preserve">Equity </w:t>
      </w:r>
      <w:r w:rsidRPr="00C025F8">
        <w:rPr>
          <w:color w:val="212121"/>
          <w:szCs w:val="22"/>
        </w:rPr>
        <w:t>Petitioners contend that the limited partnership interests in LStar Equity are fully insulated in accordance with section 1.5003 of the Commission’s rules.</w:t>
      </w:r>
      <w:r>
        <w:rPr>
          <w:color w:val="212121"/>
          <w:szCs w:val="22"/>
          <w:vertAlign w:val="superscript"/>
        </w:rPr>
        <w:footnoteReference w:id="33"/>
      </w:r>
    </w:p>
    <w:p w:rsidR="00E83E39" w:rsidP="00E83E39" w14:paraId="2000ADF4" w14:textId="3E016FA5">
      <w:pPr>
        <w:widowControl/>
        <w:autoSpaceDE w:val="0"/>
        <w:autoSpaceDN w:val="0"/>
        <w:adjustRightInd w:val="0"/>
        <w:spacing w:after="120"/>
        <w:ind w:firstLine="720"/>
        <w:rPr>
          <w:color w:val="212121"/>
        </w:rPr>
      </w:pPr>
      <w:r>
        <w:rPr>
          <w:color w:val="212121"/>
        </w:rPr>
        <w:t>As a result of the</w:t>
      </w:r>
      <w:r w:rsidRPr="45B67520">
        <w:rPr>
          <w:color w:val="212121"/>
        </w:rPr>
        <w:t xml:space="preserve"> </w:t>
      </w:r>
      <w:r w:rsidRPr="45B67520">
        <w:rPr>
          <w:color w:val="212121"/>
        </w:rPr>
        <w:t xml:space="preserve">completion of the </w:t>
      </w:r>
      <w:r w:rsidR="006A3A67">
        <w:rPr>
          <w:color w:val="212121"/>
          <w:szCs w:val="22"/>
        </w:rPr>
        <w:t>LStar Equity T</w:t>
      </w:r>
      <w:r w:rsidRPr="45B67520">
        <w:rPr>
          <w:color w:val="212121"/>
        </w:rPr>
        <w:t>ransaction, LStar Equity is owned or controlled by Fund VIII Int’l (58% equity and voting) (Delaware), Fund VIII US (40% equity and voting) (Delaware), and LSF VIII Investments, L.P. (1.98% equity and voting) (Bermuda).</w:t>
      </w:r>
      <w:r>
        <w:rPr>
          <w:rStyle w:val="FootnoteReference"/>
        </w:rPr>
        <w:footnoteReference w:id="34"/>
      </w:r>
      <w:r w:rsidRPr="45B67520">
        <w:rPr>
          <w:color w:val="212121"/>
        </w:rPr>
        <w:t xml:space="preserve">  LStar Management </w:t>
      </w:r>
      <w:r w:rsidRPr="45B67520">
        <w:rPr>
          <w:color w:val="212121"/>
        </w:rPr>
        <w:t>(Delaware), as the sole general partner of LStar Equity</w:t>
      </w:r>
      <w:r w:rsidR="00A91B8C">
        <w:rPr>
          <w:color w:val="212121"/>
        </w:rPr>
        <w:t>,</w:t>
      </w:r>
      <w:r w:rsidRPr="45B67520">
        <w:rPr>
          <w:color w:val="212121"/>
        </w:rPr>
        <w:t xml:space="preserve"> holds 0% equity and 100% voting interest.</w:t>
      </w:r>
      <w:r>
        <w:rPr>
          <w:rStyle w:val="FootnoteReference"/>
        </w:rPr>
        <w:footnoteReference w:id="35"/>
      </w:r>
      <w:r w:rsidRPr="45B67520">
        <w:rPr>
          <w:color w:val="212121"/>
        </w:rPr>
        <w:t xml:space="preserve">  LStar Management is owned and controlled equally by Fund VIII US (50% equity and voting) and Fund IX US (50% equity and voting)</w:t>
      </w:r>
      <w:r w:rsidR="00816769">
        <w:rPr>
          <w:color w:val="212121"/>
        </w:rPr>
        <w:t xml:space="preserve"> </w:t>
      </w:r>
      <w:r w:rsidRPr="45B67520">
        <w:rPr>
          <w:color w:val="212121"/>
        </w:rPr>
        <w:t>(Delaware).</w:t>
      </w:r>
      <w:r>
        <w:rPr>
          <w:rStyle w:val="FootnoteReference"/>
        </w:rPr>
        <w:footnoteReference w:id="36"/>
      </w:r>
      <w:r w:rsidRPr="45B67520">
        <w:rPr>
          <w:color w:val="212121"/>
        </w:rPr>
        <w:t xml:space="preserve"> </w:t>
      </w:r>
      <w:r w:rsidR="000A0B31">
        <w:rPr>
          <w:color w:val="212121"/>
        </w:rPr>
        <w:t xml:space="preserve"> </w:t>
      </w:r>
      <w:r w:rsidRPr="45B67520">
        <w:rPr>
          <w:color w:val="212121"/>
        </w:rPr>
        <w:t>Partners VIII is the sole general partner of Fund VIII Int’l and Fund VIII US with 1% equity and 100% voting interests</w:t>
      </w:r>
      <w:r>
        <w:rPr>
          <w:color w:val="212121"/>
        </w:rPr>
        <w:t xml:space="preserve"> into JAB Wireless</w:t>
      </w:r>
      <w:r w:rsidRPr="45B67520">
        <w:rPr>
          <w:color w:val="212121"/>
        </w:rPr>
        <w:t>.</w:t>
      </w:r>
      <w:r>
        <w:rPr>
          <w:rStyle w:val="FootnoteReference"/>
        </w:rPr>
        <w:footnoteReference w:id="37"/>
      </w:r>
      <w:r w:rsidRPr="45B67520">
        <w:rPr>
          <w:color w:val="212121"/>
        </w:rPr>
        <w:t xml:space="preserve">  </w:t>
      </w:r>
    </w:p>
    <w:p w:rsidR="00E83E39" w:rsidRPr="00C93FA6" w:rsidP="00E83E39" w14:paraId="551E19E5" w14:textId="37DF8800">
      <w:pPr>
        <w:widowControl/>
        <w:autoSpaceDE w:val="0"/>
        <w:autoSpaceDN w:val="0"/>
        <w:adjustRightInd w:val="0"/>
        <w:spacing w:after="120"/>
        <w:ind w:firstLine="720"/>
        <w:rPr>
          <w:color w:val="212121"/>
        </w:rPr>
      </w:pPr>
      <w:r w:rsidRPr="005A4051">
        <w:rPr>
          <w:color w:val="212121"/>
        </w:rPr>
        <w:t>PSPIB-RE Finance Partners II Inc. (PSPIB), a Canadian entity, holds a 16% limited partner interest in Fund VIII International.</w:t>
      </w:r>
      <w:r>
        <w:rPr>
          <w:rStyle w:val="FootnoteReference"/>
        </w:rPr>
        <w:footnoteReference w:id="38"/>
      </w:r>
      <w:r>
        <w:rPr>
          <w:color w:val="212121"/>
        </w:rPr>
        <w:t xml:space="preserve"> </w:t>
      </w:r>
      <w:r w:rsidRPr="005A4051">
        <w:rPr>
          <w:color w:val="212121"/>
        </w:rPr>
        <w:t xml:space="preserve"> The Public Sector Pension Investment Board, a Canadian entity, holds a 100% equity voting interest in PSPIB.</w:t>
      </w:r>
      <w:r>
        <w:rPr>
          <w:rStyle w:val="FootnoteReference"/>
        </w:rPr>
        <w:footnoteReference w:id="39"/>
      </w:r>
      <w:r w:rsidRPr="005A4051">
        <w:rPr>
          <w:color w:val="212121"/>
        </w:rPr>
        <w:t xml:space="preserve"> </w:t>
      </w:r>
      <w:r w:rsidR="00BC3A12">
        <w:rPr>
          <w:color w:val="212121"/>
        </w:rPr>
        <w:t xml:space="preserve"> </w:t>
      </w:r>
      <w:r w:rsidRPr="005A4051">
        <w:rPr>
          <w:color w:val="212121"/>
        </w:rPr>
        <w:t xml:space="preserve">According to </w:t>
      </w:r>
      <w:r w:rsidR="00517F3E">
        <w:rPr>
          <w:color w:val="212121"/>
        </w:rPr>
        <w:t xml:space="preserve">LStar Equity </w:t>
      </w:r>
      <w:r w:rsidRPr="005A4051">
        <w:rPr>
          <w:color w:val="212121"/>
        </w:rPr>
        <w:t>Petitioners, no other foreign limited partner holds a direct or indirect voting or equity interest of greater than 5% into JAB Wireless that is not exempt from specific approval requirements.</w:t>
      </w:r>
      <w:r>
        <w:rPr>
          <w:rStyle w:val="FootnoteReference"/>
        </w:rPr>
        <w:footnoteReference w:id="40"/>
      </w:r>
      <w:r w:rsidRPr="005A4051">
        <w:rPr>
          <w:color w:val="212121"/>
        </w:rPr>
        <w:t xml:space="preserve"> </w:t>
      </w:r>
      <w:r w:rsidR="00CF5145">
        <w:rPr>
          <w:color w:val="212121"/>
        </w:rPr>
        <w:t xml:space="preserve"> </w:t>
      </w:r>
      <w:r w:rsidRPr="005A4051">
        <w:rPr>
          <w:color w:val="212121"/>
        </w:rPr>
        <w:t xml:space="preserve">The </w:t>
      </w:r>
      <w:r w:rsidR="001524C8">
        <w:rPr>
          <w:color w:val="212121"/>
        </w:rPr>
        <w:t>L</w:t>
      </w:r>
      <w:r w:rsidR="00AE5595">
        <w:rPr>
          <w:color w:val="212121"/>
        </w:rPr>
        <w:t>Star Equity Petitioners</w:t>
      </w:r>
      <w:r w:rsidRPr="005A4051">
        <w:rPr>
          <w:color w:val="212121"/>
        </w:rPr>
        <w:t xml:space="preserve"> also state that, assuming the limited partnership interests are insulated, no foreign limited partner of Fund VIII US holds a direct or indirect voting or equity interest of greater than 5% into JAB Wireless that is not exempt from specific approval requirements.</w:t>
      </w:r>
      <w:r>
        <w:rPr>
          <w:rStyle w:val="FootnoteReference"/>
        </w:rPr>
        <w:footnoteReference w:id="41"/>
      </w:r>
    </w:p>
    <w:p w:rsidR="00E83E39" w:rsidP="00E83E39" w14:paraId="7ED43F21" w14:textId="18EDAAC7">
      <w:pPr>
        <w:widowControl/>
        <w:autoSpaceDE w:val="0"/>
        <w:autoSpaceDN w:val="0"/>
        <w:adjustRightInd w:val="0"/>
        <w:spacing w:after="120"/>
        <w:ind w:firstLine="720"/>
        <w:rPr>
          <w:color w:val="212121"/>
        </w:rPr>
      </w:pPr>
      <w:r w:rsidRPr="45B67520">
        <w:rPr>
          <w:color w:val="212121"/>
        </w:rPr>
        <w:t>Lone Star Management Co. VIII, Ltd. (Bermuda) is the sole general partner of Partners VIII (less than 1% equity, 100% voting).</w:t>
      </w:r>
      <w:r>
        <w:rPr>
          <w:rStyle w:val="FootnoteReference"/>
        </w:rPr>
        <w:footnoteReference w:id="42"/>
      </w:r>
      <w:r w:rsidRPr="45B67520">
        <w:rPr>
          <w:color w:val="212121"/>
        </w:rPr>
        <w:t xml:space="preserve">  Partners IX (Bermuda) is the sole general partner of Fund IX US (0% equity, 100% voting).</w:t>
      </w:r>
      <w:r>
        <w:rPr>
          <w:rStyle w:val="FootnoteReference"/>
        </w:rPr>
        <w:footnoteReference w:id="43"/>
      </w:r>
      <w:r w:rsidRPr="45B67520">
        <w:rPr>
          <w:color w:val="212121"/>
        </w:rPr>
        <w:t xml:space="preserve">  </w:t>
      </w:r>
    </w:p>
    <w:p w:rsidR="00E83E39" w:rsidRPr="00C93FA6" w:rsidP="00E83E39" w14:paraId="2F86C622" w14:textId="0C6C3AE1">
      <w:pPr>
        <w:widowControl/>
        <w:autoSpaceDE w:val="0"/>
        <w:autoSpaceDN w:val="0"/>
        <w:adjustRightInd w:val="0"/>
        <w:spacing w:after="120"/>
        <w:ind w:firstLine="720"/>
        <w:rPr>
          <w:color w:val="212121"/>
        </w:rPr>
      </w:pPr>
      <w:r w:rsidRPr="45B67520">
        <w:rPr>
          <w:color w:val="212121"/>
        </w:rPr>
        <w:t>Lone Star Management Co. IX, Ltd.</w:t>
      </w:r>
      <w:r w:rsidR="00D8586A">
        <w:rPr>
          <w:color w:val="212121"/>
        </w:rPr>
        <w:t xml:space="preserve"> </w:t>
      </w:r>
      <w:r w:rsidRPr="45B67520">
        <w:rPr>
          <w:color w:val="212121"/>
        </w:rPr>
        <w:t>(Bermuda) is the sole general partner of Partners IX (0% equity, 100% voting).</w:t>
      </w:r>
      <w:r>
        <w:rPr>
          <w:rStyle w:val="FootnoteReference"/>
        </w:rPr>
        <w:footnoteReference w:id="44"/>
      </w:r>
      <w:r w:rsidRPr="45B67520">
        <w:rPr>
          <w:color w:val="212121"/>
        </w:rPr>
        <w:t xml:space="preserve">  John P. Grayken (Ireland) is the ultimate parent of LStar Equity and holds 100% equity and 100% voting interest in both Lone Star Management Co. VIII, Ltd. and Lone Star Management Co. IX, Ltd.</w:t>
      </w:r>
      <w:r>
        <w:rPr>
          <w:color w:val="212121"/>
        </w:rPr>
        <w:t xml:space="preserve"> </w:t>
      </w:r>
      <w:r>
        <w:t>and a less than 0.1% equity and 100% voting interest into JAB Wireless.</w:t>
      </w:r>
      <w:r>
        <w:rPr>
          <w:rStyle w:val="FootnoteReference"/>
        </w:rPr>
        <w:footnoteReference w:id="45"/>
      </w:r>
      <w:r w:rsidRPr="45B67520">
        <w:rPr>
          <w:color w:val="212121"/>
        </w:rPr>
        <w:t xml:space="preserve">    </w:t>
      </w:r>
    </w:p>
    <w:p w:rsidR="00E83E39" w:rsidP="00E83E39" w14:paraId="606BC49E" w14:textId="77777777">
      <w:pPr>
        <w:widowControl/>
        <w:autoSpaceDE w:val="0"/>
        <w:autoSpaceDN w:val="0"/>
        <w:adjustRightInd w:val="0"/>
        <w:spacing w:after="120"/>
        <w:ind w:firstLine="720"/>
      </w:pPr>
      <w:r>
        <w:t>The Kintyre Trust, a Bermuda entity, holds 41% equity and voting interests in Partners VIII and 38% equity and voting interests in Partners IX.</w:t>
      </w:r>
      <w:r>
        <w:rPr>
          <w:rStyle w:val="FootnoteReference"/>
        </w:rPr>
        <w:footnoteReference w:id="46"/>
      </w:r>
      <w:r>
        <w:t xml:space="preserve">  </w:t>
      </w:r>
      <w:r w:rsidRPr="00C33577">
        <w:t>The trustee of the Kintyre Trust is Conyers Trust Company (Bermuda) Limited, which is ultimately owned for the benefit of the directors, partners and shareholders of Conyers, Dill &amp; Pearman, all Bermuda entities</w:t>
      </w:r>
      <w:r>
        <w:t>.</w:t>
      </w:r>
      <w:r>
        <w:rPr>
          <w:rStyle w:val="FootnoteReference"/>
        </w:rPr>
        <w:footnoteReference w:id="47"/>
      </w:r>
      <w:r>
        <w:t xml:space="preserve"> </w:t>
      </w:r>
    </w:p>
    <w:p w:rsidR="00E83E39" w:rsidP="00E83E39" w14:paraId="2162B911" w14:textId="130E0F22">
      <w:pPr>
        <w:widowControl/>
        <w:autoSpaceDE w:val="0"/>
        <w:autoSpaceDN w:val="0"/>
        <w:adjustRightInd w:val="0"/>
        <w:spacing w:after="120"/>
        <w:ind w:firstLine="720"/>
      </w:pPr>
      <w:r>
        <w:t>The Kintyre Trust holds its interests in Partners VIII and Partners IX through its wholly owned subsidiaries Jura US and Jura Bermuda, and their subsidiaries the Jura GP Companies, all Bermuda entities.</w:t>
      </w:r>
      <w:r>
        <w:rPr>
          <w:rStyle w:val="FootnoteReference"/>
        </w:rPr>
        <w:footnoteReference w:id="48"/>
      </w:r>
      <w:r>
        <w:t xml:space="preserve">  Jura US holds less than 0.1% equity and 31% voting interests in JAB Wireless.</w:t>
      </w:r>
      <w:r>
        <w:rPr>
          <w:rStyle w:val="FootnoteReference"/>
        </w:rPr>
        <w:footnoteReference w:id="49"/>
      </w:r>
      <w:r>
        <w:t xml:space="preserve"> </w:t>
      </w:r>
      <w:r w:rsidR="00AB205D">
        <w:t xml:space="preserve"> </w:t>
      </w:r>
      <w:r>
        <w:t xml:space="preserve">Jura </w:t>
      </w:r>
      <w:r>
        <w:t>Bermuda holds less than 0.1% equity and 13% voting interests into JAB Wireless.</w:t>
      </w:r>
      <w:r>
        <w:rPr>
          <w:rStyle w:val="FootnoteReference"/>
        </w:rPr>
        <w:footnoteReference w:id="50"/>
      </w:r>
      <w:r>
        <w:t xml:space="preserve"> </w:t>
      </w:r>
      <w:r w:rsidR="00F756BF">
        <w:t xml:space="preserve"> </w:t>
      </w:r>
      <w:r>
        <w:t>Jura GP Holdings I Ltd. holds less than 0.1% equity and 41% voting interests into JAB Wireless.</w:t>
      </w:r>
      <w:r>
        <w:rPr>
          <w:rStyle w:val="FootnoteReference"/>
        </w:rPr>
        <w:footnoteReference w:id="51"/>
      </w:r>
    </w:p>
    <w:p w:rsidR="00E83E39" w:rsidP="00E83E39" w14:paraId="561E99F0" w14:textId="4961C231">
      <w:pPr>
        <w:widowControl/>
        <w:autoSpaceDE w:val="0"/>
        <w:autoSpaceDN w:val="0"/>
        <w:adjustRightInd w:val="0"/>
        <w:spacing w:after="120"/>
        <w:rPr>
          <w:bCs/>
          <w:color w:val="212121"/>
          <w:szCs w:val="22"/>
        </w:rPr>
      </w:pPr>
      <w:r>
        <w:rPr>
          <w:color w:val="212121"/>
          <w:szCs w:val="22"/>
        </w:rPr>
        <w:tab/>
      </w:r>
      <w:r w:rsidRPr="00C93FA6">
        <w:rPr>
          <w:bCs/>
          <w:color w:val="212121"/>
          <w:szCs w:val="22"/>
        </w:rPr>
        <w:t>Pursuant to section 1.5001(h) of the rules,</w:t>
      </w:r>
      <w:r>
        <w:rPr>
          <w:color w:val="212121"/>
          <w:szCs w:val="22"/>
          <w:vertAlign w:val="superscript"/>
        </w:rPr>
        <w:footnoteReference w:id="52"/>
      </w:r>
      <w:r w:rsidRPr="00C93FA6">
        <w:rPr>
          <w:bCs/>
          <w:color w:val="212121"/>
          <w:szCs w:val="22"/>
        </w:rPr>
        <w:t xml:space="preserve"> the </w:t>
      </w:r>
      <w:r w:rsidR="00E1053E">
        <w:rPr>
          <w:bCs/>
          <w:color w:val="212121"/>
          <w:szCs w:val="22"/>
        </w:rPr>
        <w:t xml:space="preserve">LStar Equity </w:t>
      </w:r>
      <w:r w:rsidRPr="00C93FA6">
        <w:rPr>
          <w:bCs/>
          <w:color w:val="212121"/>
          <w:szCs w:val="22"/>
        </w:rPr>
        <w:t xml:space="preserve">Petitioners </w:t>
      </w:r>
      <w:r w:rsidR="00B74D4D">
        <w:rPr>
          <w:bCs/>
          <w:color w:val="212121"/>
          <w:szCs w:val="22"/>
        </w:rPr>
        <w:t xml:space="preserve">state that </w:t>
      </w:r>
      <w:r w:rsidR="00ED305E">
        <w:rPr>
          <w:bCs/>
          <w:color w:val="212121"/>
          <w:szCs w:val="22"/>
        </w:rPr>
        <w:t xml:space="preserve">the aggregate foreign ownership </w:t>
      </w:r>
      <w:r w:rsidR="00271ADC">
        <w:rPr>
          <w:bCs/>
          <w:color w:val="212121"/>
          <w:szCs w:val="22"/>
        </w:rPr>
        <w:t xml:space="preserve">of the </w:t>
      </w:r>
      <w:r w:rsidRPr="00C93FA6" w:rsidR="00154DE9">
        <w:rPr>
          <w:bCs/>
          <w:color w:val="212121"/>
          <w:szCs w:val="22"/>
        </w:rPr>
        <w:t xml:space="preserve">controlling U.S. parent, JAB Wireless </w:t>
      </w:r>
      <w:r w:rsidR="00795692">
        <w:rPr>
          <w:bCs/>
          <w:color w:val="212121"/>
          <w:szCs w:val="22"/>
        </w:rPr>
        <w:t xml:space="preserve">is </w:t>
      </w:r>
      <w:r w:rsidR="00D12EE6">
        <w:rPr>
          <w:bCs/>
          <w:color w:val="212121"/>
          <w:szCs w:val="22"/>
        </w:rPr>
        <w:t>at least</w:t>
      </w:r>
      <w:r w:rsidR="008C27F3">
        <w:rPr>
          <w:bCs/>
          <w:color w:val="212121"/>
          <w:szCs w:val="22"/>
        </w:rPr>
        <w:t xml:space="preserve"> 50</w:t>
      </w:r>
      <w:r w:rsidR="00154DE9">
        <w:rPr>
          <w:bCs/>
          <w:color w:val="212121"/>
          <w:szCs w:val="22"/>
        </w:rPr>
        <w:t xml:space="preserve">% and </w:t>
      </w:r>
      <w:r w:rsidRPr="00C93FA6">
        <w:rPr>
          <w:bCs/>
          <w:color w:val="212121"/>
          <w:szCs w:val="22"/>
        </w:rPr>
        <w:t>request approval of up to an aggregate 100%</w:t>
      </w:r>
      <w:r>
        <w:rPr>
          <w:bCs/>
          <w:color w:val="212121"/>
          <w:szCs w:val="22"/>
        </w:rPr>
        <w:t xml:space="preserve"> </w:t>
      </w:r>
      <w:r w:rsidRPr="00C93FA6">
        <w:rPr>
          <w:bCs/>
          <w:color w:val="212121"/>
          <w:szCs w:val="22"/>
        </w:rPr>
        <w:t>indirect foreign ownership.</w:t>
      </w:r>
      <w:r>
        <w:rPr>
          <w:rStyle w:val="FootnoteReference"/>
          <w:bCs/>
          <w:szCs w:val="22"/>
        </w:rPr>
        <w:footnoteReference w:id="53"/>
      </w:r>
      <w:r w:rsidRPr="00C93FA6">
        <w:rPr>
          <w:bCs/>
          <w:color w:val="212121"/>
          <w:szCs w:val="22"/>
        </w:rPr>
        <w:t xml:space="preserve">  Pursuant to section 1.5001(i) of the Commission’s rules,</w:t>
      </w:r>
      <w:r>
        <w:rPr>
          <w:bCs/>
          <w:color w:val="212121"/>
          <w:szCs w:val="22"/>
          <w:vertAlign w:val="superscript"/>
        </w:rPr>
        <w:footnoteReference w:id="54"/>
      </w:r>
      <w:r w:rsidRPr="00C93FA6">
        <w:rPr>
          <w:bCs/>
          <w:color w:val="212121"/>
          <w:szCs w:val="22"/>
        </w:rPr>
        <w:t xml:space="preserve"> </w:t>
      </w:r>
      <w:r>
        <w:rPr>
          <w:bCs/>
          <w:color w:val="212121"/>
          <w:szCs w:val="22"/>
        </w:rPr>
        <w:t xml:space="preserve">the </w:t>
      </w:r>
      <w:r w:rsidR="0077475B">
        <w:rPr>
          <w:bCs/>
          <w:color w:val="212121"/>
          <w:szCs w:val="22"/>
        </w:rPr>
        <w:t xml:space="preserve">LStar Equity </w:t>
      </w:r>
      <w:r w:rsidRPr="00C93FA6">
        <w:rPr>
          <w:bCs/>
          <w:color w:val="212121"/>
          <w:szCs w:val="22"/>
        </w:rPr>
        <w:t>Petitioners request specific approval of the following individual and entities:</w:t>
      </w:r>
      <w:r>
        <w:rPr>
          <w:color w:val="212121"/>
          <w:szCs w:val="22"/>
          <w:vertAlign w:val="superscript"/>
        </w:rPr>
        <w:footnoteReference w:id="55"/>
      </w:r>
    </w:p>
    <w:p w:rsidR="00E83E39" w:rsidRPr="00C93FA6" w:rsidP="00E83E39" w14:paraId="192C50CD" w14:textId="5787D1B8">
      <w:pPr>
        <w:widowControl/>
        <w:autoSpaceDE w:val="0"/>
        <w:autoSpaceDN w:val="0"/>
        <w:adjustRightInd w:val="0"/>
        <w:ind w:left="720"/>
        <w:rPr>
          <w:color w:val="212121"/>
          <w:szCs w:val="22"/>
        </w:rPr>
      </w:pPr>
      <w:r w:rsidRPr="00C93FA6">
        <w:rPr>
          <w:color w:val="212121"/>
          <w:szCs w:val="22"/>
        </w:rPr>
        <w:t>John P. Grayken (less than 0.1% equity</w:t>
      </w:r>
      <w:r w:rsidR="00754B28">
        <w:rPr>
          <w:color w:val="212121"/>
          <w:szCs w:val="22"/>
        </w:rPr>
        <w:t>,</w:t>
      </w:r>
      <w:r w:rsidRPr="00C93FA6" w:rsidR="00754B28">
        <w:rPr>
          <w:color w:val="212121"/>
          <w:szCs w:val="22"/>
        </w:rPr>
        <w:t xml:space="preserve"> </w:t>
      </w:r>
      <w:r w:rsidRPr="00C93FA6">
        <w:rPr>
          <w:color w:val="212121"/>
          <w:szCs w:val="22"/>
        </w:rPr>
        <w:t>100% voting) (Ireland);</w:t>
      </w:r>
    </w:p>
    <w:p w:rsidR="00E83E39" w:rsidRPr="00C93FA6" w:rsidP="00E83E39" w14:paraId="54248457" w14:textId="674D9696">
      <w:pPr>
        <w:widowControl/>
        <w:autoSpaceDE w:val="0"/>
        <w:autoSpaceDN w:val="0"/>
        <w:adjustRightInd w:val="0"/>
        <w:ind w:left="720"/>
        <w:rPr>
          <w:color w:val="212121"/>
          <w:szCs w:val="22"/>
        </w:rPr>
      </w:pPr>
      <w:r w:rsidRPr="00C93FA6">
        <w:rPr>
          <w:color w:val="212121"/>
          <w:szCs w:val="22"/>
        </w:rPr>
        <w:t>Lone Star Kintyre Trust Bermuda (less than 0.1% equity</w:t>
      </w:r>
      <w:r w:rsidR="00754B28">
        <w:rPr>
          <w:color w:val="212121"/>
          <w:szCs w:val="22"/>
        </w:rPr>
        <w:t>,</w:t>
      </w:r>
      <w:r w:rsidRPr="00C93FA6" w:rsidR="00754B28">
        <w:rPr>
          <w:color w:val="212121"/>
          <w:szCs w:val="22"/>
        </w:rPr>
        <w:t xml:space="preserve"> </w:t>
      </w:r>
      <w:r w:rsidRPr="00C93FA6">
        <w:rPr>
          <w:color w:val="212121"/>
          <w:szCs w:val="22"/>
        </w:rPr>
        <w:t>41% voting</w:t>
      </w:r>
      <w:r w:rsidR="009142AB">
        <w:rPr>
          <w:color w:val="212121"/>
          <w:szCs w:val="22"/>
        </w:rPr>
        <w:t>)</w:t>
      </w:r>
      <w:r w:rsidRPr="00C93FA6">
        <w:rPr>
          <w:color w:val="212121"/>
          <w:szCs w:val="22"/>
        </w:rPr>
        <w:t xml:space="preserve"> (Bermuda);</w:t>
      </w:r>
    </w:p>
    <w:p w:rsidR="00E83E39" w:rsidRPr="00C93FA6" w:rsidP="00E83E39" w14:paraId="17F5DC78" w14:textId="3DACA089">
      <w:pPr>
        <w:widowControl/>
        <w:autoSpaceDE w:val="0"/>
        <w:autoSpaceDN w:val="0"/>
        <w:adjustRightInd w:val="0"/>
        <w:ind w:left="720"/>
        <w:rPr>
          <w:color w:val="212121"/>
          <w:szCs w:val="22"/>
        </w:rPr>
      </w:pPr>
      <w:r w:rsidRPr="00C93FA6">
        <w:rPr>
          <w:color w:val="212121"/>
          <w:szCs w:val="22"/>
        </w:rPr>
        <w:t>Jura US Limited (less than 0.1% equity</w:t>
      </w:r>
      <w:r w:rsidR="00754B28">
        <w:rPr>
          <w:color w:val="212121"/>
          <w:szCs w:val="22"/>
        </w:rPr>
        <w:t>,</w:t>
      </w:r>
      <w:r w:rsidRPr="00C93FA6" w:rsidR="00754B28">
        <w:rPr>
          <w:color w:val="212121"/>
          <w:szCs w:val="22"/>
        </w:rPr>
        <w:t xml:space="preserve"> </w:t>
      </w:r>
      <w:r w:rsidRPr="00C93FA6">
        <w:rPr>
          <w:color w:val="212121"/>
          <w:szCs w:val="22"/>
        </w:rPr>
        <w:t>31% voting) (Bermuda);</w:t>
      </w:r>
    </w:p>
    <w:p w:rsidR="00E83E39" w:rsidRPr="00C93FA6" w:rsidP="00E83E39" w14:paraId="4E17996C" w14:textId="114BD55A">
      <w:pPr>
        <w:widowControl/>
        <w:autoSpaceDE w:val="0"/>
        <w:autoSpaceDN w:val="0"/>
        <w:adjustRightInd w:val="0"/>
        <w:ind w:left="720"/>
        <w:rPr>
          <w:color w:val="212121"/>
          <w:szCs w:val="22"/>
        </w:rPr>
      </w:pPr>
      <w:r w:rsidRPr="00C93FA6">
        <w:rPr>
          <w:color w:val="212121"/>
          <w:szCs w:val="22"/>
        </w:rPr>
        <w:t>Jura Limited Bermuda (less than 0.1</w:t>
      </w:r>
      <w:r w:rsidRPr="00C93FA6" w:rsidR="00754B28">
        <w:rPr>
          <w:color w:val="212121"/>
          <w:szCs w:val="22"/>
        </w:rPr>
        <w:t>%</w:t>
      </w:r>
      <w:r w:rsidR="00754B28">
        <w:rPr>
          <w:color w:val="212121"/>
          <w:szCs w:val="22"/>
        </w:rPr>
        <w:t>,</w:t>
      </w:r>
      <w:r w:rsidRPr="00C93FA6" w:rsidR="00754B28">
        <w:rPr>
          <w:color w:val="212121"/>
          <w:szCs w:val="22"/>
        </w:rPr>
        <w:t xml:space="preserve"> </w:t>
      </w:r>
      <w:r w:rsidRPr="00C93FA6">
        <w:rPr>
          <w:color w:val="212121"/>
          <w:szCs w:val="22"/>
        </w:rPr>
        <w:t>13% voting) (Bermuda);</w:t>
      </w:r>
    </w:p>
    <w:p w:rsidR="00E83E39" w:rsidRPr="00C93FA6" w:rsidP="00E83E39" w14:paraId="7A65960E" w14:textId="0C856178">
      <w:pPr>
        <w:widowControl/>
        <w:autoSpaceDE w:val="0"/>
        <w:autoSpaceDN w:val="0"/>
        <w:adjustRightInd w:val="0"/>
        <w:ind w:left="720"/>
        <w:rPr>
          <w:color w:val="212121"/>
          <w:szCs w:val="22"/>
        </w:rPr>
      </w:pPr>
      <w:r w:rsidRPr="00C93FA6">
        <w:rPr>
          <w:color w:val="212121"/>
          <w:szCs w:val="22"/>
        </w:rPr>
        <w:t>Jura GP Holdings I Ltd (less than 0.1% equity</w:t>
      </w:r>
      <w:r w:rsidR="00754B28">
        <w:rPr>
          <w:color w:val="212121"/>
          <w:szCs w:val="22"/>
        </w:rPr>
        <w:t>,</w:t>
      </w:r>
      <w:r w:rsidRPr="00C93FA6" w:rsidR="00754B28">
        <w:rPr>
          <w:color w:val="212121"/>
          <w:szCs w:val="22"/>
        </w:rPr>
        <w:t xml:space="preserve"> </w:t>
      </w:r>
      <w:r w:rsidRPr="00C93FA6">
        <w:rPr>
          <w:color w:val="212121"/>
          <w:szCs w:val="22"/>
        </w:rPr>
        <w:t>6% voting) (Bermuda);</w:t>
      </w:r>
    </w:p>
    <w:p w:rsidR="00E83E39" w:rsidP="00E83E39" w14:paraId="263A7E6A" w14:textId="58335A6F">
      <w:pPr>
        <w:widowControl/>
        <w:autoSpaceDE w:val="0"/>
        <w:autoSpaceDN w:val="0"/>
        <w:adjustRightInd w:val="0"/>
        <w:ind w:left="720"/>
        <w:rPr>
          <w:color w:val="212121"/>
          <w:szCs w:val="22"/>
        </w:rPr>
      </w:pPr>
      <w:r w:rsidRPr="00C93FA6">
        <w:rPr>
          <w:color w:val="212121"/>
          <w:szCs w:val="22"/>
        </w:rPr>
        <w:t>Conyers Trust Company (Bermuda) Limited (less than 0.1% equity</w:t>
      </w:r>
      <w:r w:rsidR="00754B28">
        <w:rPr>
          <w:color w:val="212121"/>
          <w:szCs w:val="22"/>
        </w:rPr>
        <w:t>,</w:t>
      </w:r>
      <w:r w:rsidRPr="00C93FA6" w:rsidR="00754B28">
        <w:rPr>
          <w:color w:val="212121"/>
          <w:szCs w:val="22"/>
        </w:rPr>
        <w:t xml:space="preserve"> </w:t>
      </w:r>
      <w:r w:rsidRPr="00C93FA6">
        <w:rPr>
          <w:color w:val="212121"/>
          <w:szCs w:val="22"/>
        </w:rPr>
        <w:t>41% voting) (Bermuda);</w:t>
      </w:r>
    </w:p>
    <w:p w:rsidR="009A3E2C" w:rsidRPr="00C93FA6" w:rsidP="00E83E39" w14:paraId="49F1F953" w14:textId="3CEF3D17">
      <w:pPr>
        <w:widowControl/>
        <w:autoSpaceDE w:val="0"/>
        <w:autoSpaceDN w:val="0"/>
        <w:adjustRightInd w:val="0"/>
        <w:ind w:left="720"/>
        <w:rPr>
          <w:color w:val="212121"/>
          <w:szCs w:val="22"/>
        </w:rPr>
      </w:pPr>
      <w:r>
        <w:rPr>
          <w:color w:val="212121"/>
          <w:szCs w:val="22"/>
        </w:rPr>
        <w:t xml:space="preserve">Conyers, Dill &amp; </w:t>
      </w:r>
      <w:r w:rsidR="00B96194">
        <w:rPr>
          <w:color w:val="212121"/>
          <w:szCs w:val="22"/>
        </w:rPr>
        <w:t xml:space="preserve">Pearman (less than 0.1% </w:t>
      </w:r>
      <w:r w:rsidR="008C7457">
        <w:rPr>
          <w:color w:val="212121"/>
          <w:szCs w:val="22"/>
        </w:rPr>
        <w:t>equity, 41% voting)</w:t>
      </w:r>
      <w:r w:rsidR="00063E6D">
        <w:rPr>
          <w:color w:val="212121"/>
          <w:szCs w:val="22"/>
        </w:rPr>
        <w:t xml:space="preserve"> (Bermuda);</w:t>
      </w:r>
    </w:p>
    <w:p w:rsidR="00E83E39" w:rsidRPr="00C93FA6" w:rsidP="00E83E39" w14:paraId="2D106E91" w14:textId="0FDAB690">
      <w:pPr>
        <w:widowControl/>
        <w:autoSpaceDE w:val="0"/>
        <w:autoSpaceDN w:val="0"/>
        <w:adjustRightInd w:val="0"/>
        <w:ind w:left="720"/>
        <w:rPr>
          <w:color w:val="212121"/>
          <w:szCs w:val="22"/>
        </w:rPr>
      </w:pPr>
      <w:r w:rsidRPr="00C93FA6">
        <w:rPr>
          <w:color w:val="212121"/>
          <w:szCs w:val="22"/>
        </w:rPr>
        <w:t>Lone Star Partners VIII, L.P. (0.3% equity</w:t>
      </w:r>
      <w:r w:rsidR="00754B28">
        <w:rPr>
          <w:color w:val="212121"/>
          <w:szCs w:val="22"/>
        </w:rPr>
        <w:t>,</w:t>
      </w:r>
      <w:r w:rsidRPr="00C93FA6" w:rsidR="00754B28">
        <w:rPr>
          <w:color w:val="212121"/>
          <w:szCs w:val="22"/>
        </w:rPr>
        <w:t xml:space="preserve"> </w:t>
      </w:r>
      <w:r w:rsidRPr="00C93FA6">
        <w:rPr>
          <w:color w:val="212121"/>
          <w:szCs w:val="22"/>
        </w:rPr>
        <w:t>100% voting) (Bermuda);</w:t>
      </w:r>
    </w:p>
    <w:p w:rsidR="00E83E39" w:rsidRPr="00C93FA6" w:rsidP="00E83E39" w14:paraId="6A6E8425" w14:textId="7429BFFD">
      <w:pPr>
        <w:widowControl/>
        <w:autoSpaceDE w:val="0"/>
        <w:autoSpaceDN w:val="0"/>
        <w:adjustRightInd w:val="0"/>
        <w:ind w:left="720"/>
        <w:rPr>
          <w:color w:val="212121"/>
          <w:szCs w:val="22"/>
        </w:rPr>
      </w:pPr>
      <w:r w:rsidRPr="00C93FA6">
        <w:rPr>
          <w:color w:val="212121"/>
          <w:szCs w:val="22"/>
        </w:rPr>
        <w:t>Lone Star Management Co VIII, Ltd. (less than 0.1% equity</w:t>
      </w:r>
      <w:r w:rsidR="00754B28">
        <w:rPr>
          <w:color w:val="212121"/>
          <w:szCs w:val="22"/>
        </w:rPr>
        <w:t>,</w:t>
      </w:r>
      <w:r w:rsidRPr="00C93FA6">
        <w:rPr>
          <w:color w:val="212121"/>
          <w:szCs w:val="22"/>
        </w:rPr>
        <w:t xml:space="preserve"> 100% voting) (Bermuda);</w:t>
      </w:r>
    </w:p>
    <w:p w:rsidR="00E83E39" w:rsidRPr="00C93FA6" w:rsidP="00E83E39" w14:paraId="2CD0669F" w14:textId="4EF5EF0D">
      <w:pPr>
        <w:widowControl/>
        <w:autoSpaceDE w:val="0"/>
        <w:autoSpaceDN w:val="0"/>
        <w:adjustRightInd w:val="0"/>
        <w:ind w:left="720"/>
        <w:rPr>
          <w:color w:val="212121"/>
          <w:szCs w:val="22"/>
        </w:rPr>
      </w:pPr>
      <w:r w:rsidRPr="00C93FA6">
        <w:rPr>
          <w:color w:val="212121"/>
          <w:szCs w:val="22"/>
        </w:rPr>
        <w:t>Lone Star Partners IX, L.P. (</w:t>
      </w:r>
      <w:r w:rsidR="00923990">
        <w:rPr>
          <w:color w:val="212121"/>
          <w:szCs w:val="22"/>
        </w:rPr>
        <w:t xml:space="preserve">less than </w:t>
      </w:r>
      <w:r w:rsidRPr="00C93FA6">
        <w:rPr>
          <w:color w:val="212121"/>
          <w:szCs w:val="22"/>
        </w:rPr>
        <w:t>0</w:t>
      </w:r>
      <w:r w:rsidR="00923990">
        <w:rPr>
          <w:color w:val="212121"/>
          <w:szCs w:val="22"/>
        </w:rPr>
        <w:t>.1</w:t>
      </w:r>
      <w:r w:rsidRPr="00C93FA6">
        <w:rPr>
          <w:color w:val="212121"/>
          <w:szCs w:val="22"/>
        </w:rPr>
        <w:t xml:space="preserve">% equity; 100% voting) (Bermuda); </w:t>
      </w:r>
    </w:p>
    <w:p w:rsidR="00E83E39" w:rsidRPr="00C93FA6" w:rsidP="00E83E39" w14:paraId="51FD99CF" w14:textId="59EB1F64">
      <w:pPr>
        <w:widowControl/>
        <w:autoSpaceDE w:val="0"/>
        <w:autoSpaceDN w:val="0"/>
        <w:adjustRightInd w:val="0"/>
        <w:ind w:left="720"/>
        <w:rPr>
          <w:color w:val="212121"/>
          <w:szCs w:val="22"/>
        </w:rPr>
      </w:pPr>
      <w:r w:rsidRPr="00C93FA6">
        <w:rPr>
          <w:color w:val="212121"/>
          <w:szCs w:val="22"/>
        </w:rPr>
        <w:t>Lone Star Management Co. IX, Ltd (less than 0.1% equity</w:t>
      </w:r>
      <w:r w:rsidR="007B2E1D">
        <w:rPr>
          <w:color w:val="212121"/>
          <w:szCs w:val="22"/>
        </w:rPr>
        <w:t>,</w:t>
      </w:r>
      <w:r w:rsidRPr="00C93FA6">
        <w:rPr>
          <w:color w:val="212121"/>
          <w:szCs w:val="22"/>
        </w:rPr>
        <w:t xml:space="preserve"> 100% voting) (Bermuda),</w:t>
      </w:r>
    </w:p>
    <w:p w:rsidR="00E70449" w:rsidP="00E83E39" w14:paraId="57BCBFCB" w14:textId="59835F70">
      <w:pPr>
        <w:widowControl/>
        <w:autoSpaceDE w:val="0"/>
        <w:autoSpaceDN w:val="0"/>
        <w:adjustRightInd w:val="0"/>
        <w:ind w:left="720"/>
        <w:rPr>
          <w:color w:val="212121"/>
          <w:szCs w:val="22"/>
        </w:rPr>
      </w:pPr>
      <w:r w:rsidRPr="00C93FA6">
        <w:rPr>
          <w:color w:val="212121"/>
          <w:szCs w:val="22"/>
        </w:rPr>
        <w:t>PSPIB-RE Finance Partners II Inc. (6.7% equity</w:t>
      </w:r>
      <w:r w:rsidR="00754B28">
        <w:rPr>
          <w:color w:val="212121"/>
          <w:szCs w:val="22"/>
        </w:rPr>
        <w:t>,</w:t>
      </w:r>
      <w:r w:rsidRPr="00C93FA6">
        <w:rPr>
          <w:color w:val="212121"/>
          <w:szCs w:val="22"/>
        </w:rPr>
        <w:t xml:space="preserve"> 16% voting) (Canada)</w:t>
      </w:r>
      <w:r w:rsidR="007B78B5">
        <w:rPr>
          <w:color w:val="212121"/>
          <w:szCs w:val="22"/>
        </w:rPr>
        <w:t xml:space="preserve">; </w:t>
      </w:r>
      <w:r>
        <w:rPr>
          <w:color w:val="212121"/>
          <w:szCs w:val="22"/>
        </w:rPr>
        <w:t>and</w:t>
      </w:r>
    </w:p>
    <w:p w:rsidR="00E83E39" w:rsidP="00E83E39" w14:paraId="09026EF2" w14:textId="26A124D7">
      <w:pPr>
        <w:widowControl/>
        <w:autoSpaceDE w:val="0"/>
        <w:autoSpaceDN w:val="0"/>
        <w:adjustRightInd w:val="0"/>
        <w:ind w:left="720"/>
        <w:rPr>
          <w:color w:val="212121"/>
          <w:szCs w:val="22"/>
        </w:rPr>
      </w:pPr>
      <w:r>
        <w:rPr>
          <w:color w:val="212121"/>
          <w:szCs w:val="22"/>
        </w:rPr>
        <w:t xml:space="preserve">Public </w:t>
      </w:r>
      <w:r w:rsidR="00ED68E3">
        <w:rPr>
          <w:color w:val="212121"/>
          <w:szCs w:val="22"/>
        </w:rPr>
        <w:t>Sector Pension Investment Board (6.7% equity</w:t>
      </w:r>
      <w:r w:rsidR="00A15E07">
        <w:rPr>
          <w:color w:val="212121"/>
          <w:szCs w:val="22"/>
        </w:rPr>
        <w:t>,</w:t>
      </w:r>
      <w:r w:rsidR="00ED68E3">
        <w:rPr>
          <w:color w:val="212121"/>
          <w:szCs w:val="22"/>
        </w:rPr>
        <w:t xml:space="preserve"> </w:t>
      </w:r>
      <w:r w:rsidR="00CB5385">
        <w:rPr>
          <w:color w:val="212121"/>
          <w:szCs w:val="22"/>
        </w:rPr>
        <w:t>16% voting) (Canada)</w:t>
      </w:r>
      <w:r w:rsidRPr="00C93FA6">
        <w:rPr>
          <w:color w:val="212121"/>
          <w:szCs w:val="22"/>
        </w:rPr>
        <w:t>.</w:t>
      </w:r>
    </w:p>
    <w:p w:rsidR="007421CB" w:rsidRPr="00C93FA6" w:rsidP="00E83E39" w14:paraId="3D66FE19" w14:textId="77777777">
      <w:pPr>
        <w:widowControl/>
        <w:autoSpaceDE w:val="0"/>
        <w:autoSpaceDN w:val="0"/>
        <w:adjustRightInd w:val="0"/>
        <w:ind w:left="720"/>
        <w:rPr>
          <w:color w:val="212121"/>
          <w:szCs w:val="22"/>
        </w:rPr>
      </w:pPr>
    </w:p>
    <w:p w:rsidR="00E83E39" w:rsidRPr="00E47F69" w:rsidP="00E83E39" w14:paraId="332EEA29" w14:textId="18CAB7D4">
      <w:pPr>
        <w:widowControl/>
        <w:autoSpaceDE w:val="0"/>
        <w:autoSpaceDN w:val="0"/>
        <w:adjustRightInd w:val="0"/>
        <w:spacing w:after="120"/>
        <w:rPr>
          <w:color w:val="212121"/>
          <w:szCs w:val="22"/>
        </w:rPr>
      </w:pPr>
      <w:r w:rsidRPr="00C93FA6">
        <w:rPr>
          <w:color w:val="212121"/>
          <w:szCs w:val="22"/>
        </w:rPr>
        <w:tab/>
        <w:t xml:space="preserve">Given that </w:t>
      </w:r>
      <w:r>
        <w:rPr>
          <w:color w:val="212121"/>
          <w:szCs w:val="22"/>
        </w:rPr>
        <w:t xml:space="preserve">the </w:t>
      </w:r>
      <w:r w:rsidR="0077475B">
        <w:rPr>
          <w:color w:val="212121"/>
          <w:szCs w:val="22"/>
        </w:rPr>
        <w:t xml:space="preserve">LStar Equity </w:t>
      </w:r>
      <w:r>
        <w:rPr>
          <w:color w:val="212121"/>
          <w:szCs w:val="22"/>
        </w:rPr>
        <w:t xml:space="preserve">Transaction has already been consummated and that </w:t>
      </w:r>
      <w:r w:rsidRPr="00C93FA6">
        <w:rPr>
          <w:color w:val="212121"/>
          <w:szCs w:val="22"/>
        </w:rPr>
        <w:t xml:space="preserve">the </w:t>
      </w:r>
      <w:r w:rsidR="0077475B">
        <w:rPr>
          <w:color w:val="212121"/>
          <w:szCs w:val="22"/>
        </w:rPr>
        <w:t xml:space="preserve">proposed </w:t>
      </w:r>
      <w:r w:rsidR="002D7B8C">
        <w:rPr>
          <w:color w:val="212121"/>
          <w:szCs w:val="22"/>
        </w:rPr>
        <w:t xml:space="preserve">acquisition of JAB Wireless </w:t>
      </w:r>
      <w:r w:rsidR="00C32F75">
        <w:rPr>
          <w:color w:val="212121"/>
          <w:szCs w:val="22"/>
        </w:rPr>
        <w:t xml:space="preserve">by </w:t>
      </w:r>
      <w:r w:rsidR="0077475B">
        <w:rPr>
          <w:color w:val="212121"/>
          <w:szCs w:val="22"/>
        </w:rPr>
        <w:t xml:space="preserve">GI DI Iris Acquisition </w:t>
      </w:r>
      <w:r>
        <w:rPr>
          <w:color w:val="212121"/>
          <w:szCs w:val="22"/>
        </w:rPr>
        <w:t xml:space="preserve">will </w:t>
      </w:r>
      <w:r w:rsidR="00B51AA3">
        <w:rPr>
          <w:color w:val="212121"/>
          <w:szCs w:val="22"/>
        </w:rPr>
        <w:t>remove the LStar Equity ownership in JAB Wireless,</w:t>
      </w:r>
      <w:r>
        <w:rPr>
          <w:color w:val="212121"/>
          <w:szCs w:val="22"/>
        </w:rPr>
        <w:t xml:space="preserve"> the </w:t>
      </w:r>
      <w:r w:rsidR="0077475B">
        <w:rPr>
          <w:color w:val="212121"/>
          <w:szCs w:val="22"/>
        </w:rPr>
        <w:t xml:space="preserve">LStar Equity </w:t>
      </w:r>
      <w:r w:rsidRPr="00C93FA6">
        <w:rPr>
          <w:color w:val="212121"/>
          <w:szCs w:val="22"/>
        </w:rPr>
        <w:t xml:space="preserve">Petitioners do not seek advance approval pursuant to section 1.5001(k) of the Commission’s rules for any of the foreign interests related to the </w:t>
      </w:r>
      <w:r w:rsidR="0077475B">
        <w:rPr>
          <w:color w:val="212121"/>
          <w:szCs w:val="22"/>
        </w:rPr>
        <w:t xml:space="preserve">LStar Equity </w:t>
      </w:r>
      <w:r w:rsidRPr="00C93FA6">
        <w:rPr>
          <w:color w:val="212121"/>
          <w:szCs w:val="22"/>
        </w:rPr>
        <w:t>Transaction.</w:t>
      </w:r>
      <w:r>
        <w:rPr>
          <w:color w:val="212121"/>
          <w:szCs w:val="22"/>
          <w:vertAlign w:val="superscript"/>
        </w:rPr>
        <w:footnoteReference w:id="56"/>
      </w:r>
      <w:r w:rsidRPr="00C93FA6">
        <w:rPr>
          <w:color w:val="212121"/>
          <w:szCs w:val="22"/>
        </w:rPr>
        <w:t xml:space="preserve"> </w:t>
      </w:r>
      <w:r w:rsidRPr="00C93FA6">
        <w:rPr>
          <w:color w:val="212121"/>
          <w:szCs w:val="22"/>
        </w:rPr>
        <w:tab/>
      </w:r>
    </w:p>
    <w:p w:rsidR="00E83E39" w:rsidRPr="00CA3F3D" w:rsidP="00E83E39" w14:paraId="29DA0202" w14:textId="05F19451">
      <w:pPr>
        <w:widowControl/>
        <w:autoSpaceDE w:val="0"/>
        <w:autoSpaceDN w:val="0"/>
        <w:adjustRightInd w:val="0"/>
        <w:spacing w:after="120"/>
        <w:ind w:firstLine="720"/>
        <w:rPr>
          <w:bCs/>
          <w:color w:val="212121"/>
          <w:szCs w:val="22"/>
        </w:rPr>
      </w:pPr>
      <w:r>
        <w:rPr>
          <w:bCs/>
          <w:color w:val="212121"/>
          <w:szCs w:val="22"/>
        </w:rPr>
        <w:t xml:space="preserve">We received no comments regarding foreign ownership interests of the </w:t>
      </w:r>
      <w:r w:rsidR="0077475B">
        <w:rPr>
          <w:bCs/>
          <w:color w:val="212121"/>
          <w:szCs w:val="22"/>
        </w:rPr>
        <w:t>LStar Equity P</w:t>
      </w:r>
      <w:r>
        <w:rPr>
          <w:bCs/>
          <w:color w:val="212121"/>
          <w:szCs w:val="22"/>
        </w:rPr>
        <w:t xml:space="preserve">etition. </w:t>
      </w:r>
      <w:r w:rsidR="00BC3A12">
        <w:rPr>
          <w:bCs/>
          <w:color w:val="212121"/>
          <w:szCs w:val="22"/>
        </w:rPr>
        <w:t xml:space="preserve"> </w:t>
      </w:r>
      <w:r>
        <w:rPr>
          <w:bCs/>
          <w:color w:val="212121"/>
          <w:szCs w:val="22"/>
        </w:rPr>
        <w:t xml:space="preserve">Based on our review of the record, under section 310(b)(4) of the Act and the Commission’s foreign ownership rules and policies, we find that the public intertest would not be served by prohibiting foreign </w:t>
      </w:r>
      <w:r>
        <w:rPr>
          <w:bCs/>
          <w:color w:val="212121"/>
          <w:szCs w:val="22"/>
        </w:rPr>
        <w:t>ownership of JAB Wireless, the controlling U.S. parent, in excess of the 25% benchmarks in section 310(b)(4) of the Act</w:t>
      </w:r>
      <w:r w:rsidR="007012BE">
        <w:rPr>
          <w:bCs/>
          <w:color w:val="212121"/>
          <w:szCs w:val="22"/>
        </w:rPr>
        <w:t>.</w:t>
      </w:r>
      <w:r>
        <w:rPr>
          <w:bCs/>
          <w:color w:val="212121"/>
          <w:szCs w:val="22"/>
        </w:rPr>
        <w:t xml:space="preserve"> </w:t>
      </w:r>
      <w:r w:rsidR="007012BE">
        <w:rPr>
          <w:bCs/>
          <w:color w:val="212121"/>
          <w:szCs w:val="22"/>
        </w:rPr>
        <w:t xml:space="preserve"> W</w:t>
      </w:r>
      <w:r>
        <w:rPr>
          <w:bCs/>
          <w:color w:val="212121"/>
          <w:szCs w:val="22"/>
        </w:rPr>
        <w:t xml:space="preserve">e, therefore, grant the </w:t>
      </w:r>
      <w:r w:rsidR="0077475B">
        <w:rPr>
          <w:bCs/>
          <w:color w:val="212121"/>
          <w:szCs w:val="22"/>
        </w:rPr>
        <w:t xml:space="preserve">LStar Equity </w:t>
      </w:r>
      <w:r>
        <w:rPr>
          <w:bCs/>
          <w:color w:val="212121"/>
          <w:szCs w:val="22"/>
        </w:rPr>
        <w:t xml:space="preserve">Petition subject to the conditions set forth herein. </w:t>
      </w:r>
      <w:r w:rsidR="0077475B">
        <w:rPr>
          <w:bCs/>
          <w:color w:val="212121"/>
          <w:szCs w:val="22"/>
        </w:rPr>
        <w:t xml:space="preserve"> </w:t>
      </w:r>
      <w:r>
        <w:rPr>
          <w:bCs/>
          <w:color w:val="212121"/>
          <w:szCs w:val="22"/>
        </w:rPr>
        <w:t xml:space="preserve">This ruling authorizes 100% aggregate foreign ownership of JAB Wireless as the controlling U.S. parent of the </w:t>
      </w:r>
      <w:r w:rsidR="0077475B">
        <w:rPr>
          <w:bCs/>
          <w:color w:val="212121"/>
          <w:szCs w:val="22"/>
        </w:rPr>
        <w:t xml:space="preserve">Wireless </w:t>
      </w:r>
      <w:r>
        <w:rPr>
          <w:bCs/>
          <w:color w:val="212121"/>
          <w:szCs w:val="22"/>
        </w:rPr>
        <w:t>Licensees, subject to the terms and conditions set forth in section 1.5004 of the Commission’s rules.</w:t>
      </w:r>
      <w:r>
        <w:rPr>
          <w:rStyle w:val="FootnoteReference"/>
          <w:bCs/>
          <w:szCs w:val="22"/>
        </w:rPr>
        <w:footnoteReference w:id="57"/>
      </w:r>
      <w:r>
        <w:rPr>
          <w:bCs/>
          <w:color w:val="212121"/>
          <w:szCs w:val="22"/>
        </w:rPr>
        <w:t xml:space="preserve"> </w:t>
      </w:r>
    </w:p>
    <w:p w:rsidR="00E83E39" w:rsidP="00E33BD7" w14:paraId="2B8BDBC6" w14:textId="531F6EBB">
      <w:pPr>
        <w:widowControl/>
        <w:autoSpaceDE w:val="0"/>
        <w:autoSpaceDN w:val="0"/>
        <w:adjustRightInd w:val="0"/>
        <w:ind w:firstLine="720"/>
        <w:rPr>
          <w:color w:val="212121"/>
          <w:szCs w:val="22"/>
        </w:rPr>
      </w:pPr>
      <w:r>
        <w:rPr>
          <w:color w:val="212121"/>
          <w:szCs w:val="22"/>
        </w:rPr>
        <w:t xml:space="preserve">As discussed below, grant of the LStar Equity Petition is conditioned on the removal of the LStar Equity ownership interest through the acquisition of JAB Wireless by GI DI Iris Acquisition within fifteen (15) days of the release of this Public Notice.  </w:t>
      </w:r>
      <w:r w:rsidR="0000693C">
        <w:rPr>
          <w:color w:val="212121"/>
          <w:szCs w:val="22"/>
        </w:rPr>
        <w:t xml:space="preserve">While </w:t>
      </w:r>
      <w:r w:rsidR="00BA0058">
        <w:rPr>
          <w:color w:val="212121"/>
          <w:szCs w:val="22"/>
        </w:rPr>
        <w:t xml:space="preserve">the LStar Equity </w:t>
      </w:r>
      <w:r w:rsidRPr="00352752">
        <w:rPr>
          <w:color w:val="212121"/>
          <w:szCs w:val="22"/>
        </w:rPr>
        <w:t xml:space="preserve">Petitioners </w:t>
      </w:r>
      <w:r w:rsidR="0000693C">
        <w:rPr>
          <w:color w:val="212121"/>
          <w:szCs w:val="22"/>
        </w:rPr>
        <w:t>continue to have an ownership interest in JAB Wireless and the Wireless Licensees, they</w:t>
      </w:r>
      <w:r w:rsidRPr="00352752" w:rsidR="0000693C">
        <w:rPr>
          <w:color w:val="212121"/>
          <w:szCs w:val="22"/>
        </w:rPr>
        <w:t xml:space="preserve"> </w:t>
      </w:r>
      <w:r w:rsidRPr="00352752">
        <w:rPr>
          <w:color w:val="212121"/>
          <w:szCs w:val="22"/>
        </w:rPr>
        <w:t>have an affirmative duty to monitor their foreign equity and</w:t>
      </w:r>
      <w:r w:rsidR="00BA0058">
        <w:rPr>
          <w:color w:val="212121"/>
          <w:szCs w:val="22"/>
        </w:rPr>
        <w:t xml:space="preserve"> </w:t>
      </w:r>
      <w:r w:rsidRPr="00352752">
        <w:rPr>
          <w:color w:val="212121"/>
          <w:szCs w:val="22"/>
        </w:rPr>
        <w:t>voting interests, calculate their interests consistent with the principles enunciated by the Commission,</w:t>
      </w:r>
      <w:r w:rsidR="00BA0058">
        <w:rPr>
          <w:color w:val="212121"/>
          <w:szCs w:val="22"/>
        </w:rPr>
        <w:t xml:space="preserve"> </w:t>
      </w:r>
      <w:r w:rsidRPr="00352752">
        <w:rPr>
          <w:color w:val="212121"/>
          <w:szCs w:val="22"/>
        </w:rPr>
        <w:t>including the standards and criteria set forth in sections 1.5002 through 1.5003 of the rules,</w:t>
      </w:r>
      <w:r>
        <w:rPr>
          <w:rStyle w:val="FootnoteReference"/>
          <w:szCs w:val="22"/>
        </w:rPr>
        <w:footnoteReference w:id="58"/>
      </w:r>
      <w:r w:rsidRPr="00352752">
        <w:rPr>
          <w:color w:val="212121"/>
          <w:szCs w:val="22"/>
        </w:rPr>
        <w:t xml:space="preserve"> and</w:t>
      </w:r>
      <w:r w:rsidR="00BA0058">
        <w:rPr>
          <w:color w:val="212121"/>
          <w:szCs w:val="22"/>
        </w:rPr>
        <w:t xml:space="preserve"> </w:t>
      </w:r>
      <w:r w:rsidRPr="00352752">
        <w:rPr>
          <w:color w:val="212121"/>
          <w:szCs w:val="22"/>
        </w:rPr>
        <w:t>otherwise ensure continuing compliance with the provisions of section 310(b) of the Act.</w:t>
      </w:r>
      <w:r>
        <w:rPr>
          <w:rStyle w:val="FootnoteReference"/>
          <w:szCs w:val="22"/>
        </w:rPr>
        <w:footnoteReference w:id="59"/>
      </w:r>
      <w:r w:rsidRPr="00352752">
        <w:rPr>
          <w:color w:val="212121"/>
          <w:szCs w:val="22"/>
        </w:rPr>
        <w:t xml:space="preserve">  Failure to</w:t>
      </w:r>
      <w:r w:rsidR="00BA0058">
        <w:rPr>
          <w:color w:val="212121"/>
          <w:szCs w:val="22"/>
        </w:rPr>
        <w:t xml:space="preserve"> </w:t>
      </w:r>
      <w:r w:rsidRPr="00352752">
        <w:rPr>
          <w:color w:val="212121"/>
          <w:szCs w:val="22"/>
        </w:rPr>
        <w:t>comply and/or remain in compliance shall constitute grounds for</w:t>
      </w:r>
      <w:r w:rsidR="00BA0058">
        <w:rPr>
          <w:color w:val="212121"/>
          <w:szCs w:val="22"/>
        </w:rPr>
        <w:t xml:space="preserve"> </w:t>
      </w:r>
      <w:r w:rsidRPr="00352752">
        <w:rPr>
          <w:color w:val="212121"/>
          <w:szCs w:val="22"/>
        </w:rPr>
        <w:t xml:space="preserve">declaring </w:t>
      </w:r>
      <w:r w:rsidR="00AD29D9">
        <w:rPr>
          <w:color w:val="212121"/>
          <w:szCs w:val="22"/>
        </w:rPr>
        <w:t xml:space="preserve">this </w:t>
      </w:r>
      <w:r w:rsidR="00CF1866">
        <w:rPr>
          <w:color w:val="212121"/>
          <w:szCs w:val="22"/>
        </w:rPr>
        <w:t>ruling</w:t>
      </w:r>
      <w:r w:rsidR="00AD29D9">
        <w:rPr>
          <w:color w:val="212121"/>
          <w:szCs w:val="22"/>
        </w:rPr>
        <w:t xml:space="preserve"> </w:t>
      </w:r>
      <w:r w:rsidRPr="00352752">
        <w:rPr>
          <w:color w:val="212121"/>
          <w:szCs w:val="22"/>
        </w:rPr>
        <w:t>terminated without further action on the part of the Commission.  Failure to meet a condition</w:t>
      </w:r>
      <w:r w:rsidR="00BA0058">
        <w:rPr>
          <w:color w:val="212121"/>
          <w:szCs w:val="22"/>
        </w:rPr>
        <w:t xml:space="preserve"> </w:t>
      </w:r>
      <w:r w:rsidRPr="00352752">
        <w:rPr>
          <w:color w:val="212121"/>
          <w:szCs w:val="22"/>
        </w:rPr>
        <w:t>of this ruling may also result in monetary sanctions or other enforcement action by the Commission.</w:t>
      </w:r>
    </w:p>
    <w:p w:rsidR="00E83E39" w:rsidP="00E33BD7" w14:paraId="2F7AF4A0" w14:textId="6545C300">
      <w:pPr>
        <w:widowControl/>
        <w:autoSpaceDE w:val="0"/>
        <w:autoSpaceDN w:val="0"/>
        <w:adjustRightInd w:val="0"/>
        <w:ind w:firstLine="720"/>
        <w:rPr>
          <w:color w:val="212121"/>
          <w:szCs w:val="22"/>
        </w:rPr>
      </w:pPr>
      <w:r w:rsidRPr="000B5226">
        <w:rPr>
          <w:color w:val="212121"/>
          <w:szCs w:val="22"/>
        </w:rPr>
        <w:t xml:space="preserve">  </w:t>
      </w:r>
    </w:p>
    <w:p w:rsidR="00C47385" w:rsidRPr="00F66CE6" w:rsidP="00044F6D" w14:paraId="04FAE4C5" w14:textId="100D6FE2">
      <w:pPr>
        <w:widowControl/>
        <w:spacing w:after="120"/>
        <w:rPr>
          <w:b/>
          <w:bCs/>
          <w:szCs w:val="22"/>
          <w:u w:val="single"/>
        </w:rPr>
      </w:pPr>
      <w:r>
        <w:rPr>
          <w:b/>
          <w:bCs/>
          <w:szCs w:val="22"/>
          <w:u w:val="single"/>
        </w:rPr>
        <w:t>The Proposed G</w:t>
      </w:r>
      <w:r w:rsidR="00C20036">
        <w:rPr>
          <w:b/>
          <w:bCs/>
          <w:szCs w:val="22"/>
          <w:u w:val="single"/>
        </w:rPr>
        <w:t>I</w:t>
      </w:r>
      <w:r>
        <w:rPr>
          <w:b/>
          <w:bCs/>
          <w:szCs w:val="22"/>
          <w:u w:val="single"/>
        </w:rPr>
        <w:t xml:space="preserve"> D</w:t>
      </w:r>
      <w:r w:rsidR="00C20036">
        <w:rPr>
          <w:b/>
          <w:bCs/>
          <w:szCs w:val="22"/>
          <w:u w:val="single"/>
        </w:rPr>
        <w:t>I</w:t>
      </w:r>
      <w:r>
        <w:rPr>
          <w:b/>
          <w:bCs/>
          <w:szCs w:val="22"/>
          <w:u w:val="single"/>
        </w:rPr>
        <w:t xml:space="preserve"> Iris Transaction (WC Docket No. 22-230)</w:t>
      </w:r>
    </w:p>
    <w:p w:rsidR="00C47385" w:rsidP="00C47385" w14:paraId="2BC87439" w14:textId="1C477E47">
      <w:pPr>
        <w:widowControl/>
        <w:autoSpaceDE w:val="0"/>
        <w:autoSpaceDN w:val="0"/>
        <w:adjustRightInd w:val="0"/>
        <w:spacing w:after="120"/>
        <w:ind w:firstLine="720"/>
        <w:rPr>
          <w:snapToGrid/>
          <w:kern w:val="0"/>
          <w:szCs w:val="22"/>
        </w:rPr>
      </w:pPr>
      <w:r>
        <w:rPr>
          <w:bCs/>
          <w:snapToGrid/>
          <w:kern w:val="0"/>
        </w:rPr>
        <w:t>P</w:t>
      </w:r>
      <w:r w:rsidRPr="001A573F">
        <w:rPr>
          <w:bCs/>
          <w:snapToGrid/>
          <w:kern w:val="0"/>
        </w:rPr>
        <w:t xml:space="preserve">ursuant to an agreement dated May 28, 2022, by and among GI DI </w:t>
      </w:r>
      <w:r>
        <w:rPr>
          <w:bCs/>
          <w:snapToGrid/>
          <w:kern w:val="0"/>
        </w:rPr>
        <w:t xml:space="preserve">Iris </w:t>
      </w:r>
      <w:r w:rsidRPr="001A573F">
        <w:rPr>
          <w:bCs/>
          <w:snapToGrid/>
          <w:kern w:val="0"/>
        </w:rPr>
        <w:t xml:space="preserve">Acquisition, GI DI Iris Merger Sub Inc., a newly formed company created for the purpose of completing the </w:t>
      </w:r>
      <w:r>
        <w:rPr>
          <w:bCs/>
          <w:snapToGrid/>
          <w:kern w:val="0"/>
        </w:rPr>
        <w:t>t</w:t>
      </w:r>
      <w:r w:rsidRPr="001A573F">
        <w:rPr>
          <w:bCs/>
          <w:snapToGrid/>
          <w:kern w:val="0"/>
        </w:rPr>
        <w:t>ransaction (Merger Sub), JAB Wireless, and LStar Equity Company Holdings, L.P., Merger Sub will merge with and into JAB Wireless with JAB Wireless being the surviving entity pursuant to the proposed transaction (</w:t>
      </w:r>
      <w:r w:rsidRPr="001A573F" w:rsidR="00C20036">
        <w:rPr>
          <w:bCs/>
          <w:snapToGrid/>
          <w:kern w:val="0"/>
        </w:rPr>
        <w:t xml:space="preserve">GI DI </w:t>
      </w:r>
      <w:r w:rsidR="00C20036">
        <w:rPr>
          <w:bCs/>
          <w:snapToGrid/>
          <w:kern w:val="0"/>
        </w:rPr>
        <w:t xml:space="preserve">Iris </w:t>
      </w:r>
      <w:r w:rsidRPr="001A573F" w:rsidR="00C20036">
        <w:rPr>
          <w:bCs/>
          <w:snapToGrid/>
          <w:kern w:val="0"/>
        </w:rPr>
        <w:t>Acquisition</w:t>
      </w:r>
      <w:r w:rsidR="00C20036">
        <w:rPr>
          <w:bCs/>
          <w:snapToGrid/>
          <w:kern w:val="0"/>
        </w:rPr>
        <w:t xml:space="preserve"> </w:t>
      </w:r>
      <w:r w:rsidRPr="001A573F">
        <w:rPr>
          <w:bCs/>
          <w:snapToGrid/>
          <w:kern w:val="0"/>
        </w:rPr>
        <w:t>Transaction).</w:t>
      </w:r>
      <w:r>
        <w:rPr>
          <w:rStyle w:val="FootnoteReference"/>
          <w:bCs/>
          <w:snapToGrid/>
          <w:kern w:val="0"/>
        </w:rPr>
        <w:footnoteReference w:id="60"/>
      </w:r>
      <w:r w:rsidRPr="001A573F">
        <w:rPr>
          <w:bCs/>
          <w:snapToGrid/>
          <w:kern w:val="0"/>
        </w:rPr>
        <w:t xml:space="preserve">  As a result of the </w:t>
      </w:r>
      <w:r w:rsidR="00E83E39">
        <w:rPr>
          <w:bCs/>
          <w:snapToGrid/>
          <w:kern w:val="0"/>
        </w:rPr>
        <w:t>proposed tr</w:t>
      </w:r>
      <w:r w:rsidRPr="001A573F">
        <w:rPr>
          <w:bCs/>
          <w:snapToGrid/>
          <w:kern w:val="0"/>
        </w:rPr>
        <w:t>ansaction, JAB Wireless will be a direct, wholly</w:t>
      </w:r>
      <w:r>
        <w:rPr>
          <w:bCs/>
          <w:snapToGrid/>
          <w:kern w:val="0"/>
        </w:rPr>
        <w:t xml:space="preserve"> </w:t>
      </w:r>
      <w:r w:rsidRPr="001A573F">
        <w:rPr>
          <w:bCs/>
          <w:snapToGrid/>
          <w:kern w:val="0"/>
        </w:rPr>
        <w:t>owned subsidiary</w:t>
      </w:r>
      <w:r>
        <w:rPr>
          <w:bCs/>
          <w:snapToGrid/>
          <w:kern w:val="0"/>
        </w:rPr>
        <w:t xml:space="preserve"> </w:t>
      </w:r>
      <w:r w:rsidRPr="001A573F">
        <w:rPr>
          <w:bCs/>
          <w:snapToGrid/>
          <w:kern w:val="0"/>
        </w:rPr>
        <w:t xml:space="preserve">of GI DI </w:t>
      </w:r>
      <w:r>
        <w:rPr>
          <w:bCs/>
          <w:snapToGrid/>
          <w:kern w:val="0"/>
        </w:rPr>
        <w:t xml:space="preserve">Iris </w:t>
      </w:r>
      <w:r w:rsidRPr="001A573F">
        <w:rPr>
          <w:bCs/>
          <w:snapToGrid/>
          <w:kern w:val="0"/>
        </w:rPr>
        <w:t>Acquisition.</w:t>
      </w:r>
      <w:r>
        <w:rPr>
          <w:rStyle w:val="FootnoteReference"/>
          <w:bCs/>
          <w:snapToGrid/>
          <w:kern w:val="0"/>
        </w:rPr>
        <w:footnoteReference w:id="61"/>
      </w:r>
      <w:r w:rsidRPr="001A573F">
        <w:rPr>
          <w:bCs/>
          <w:snapToGrid/>
          <w:kern w:val="0"/>
        </w:rPr>
        <w:t xml:space="preserve">  </w:t>
      </w:r>
      <w:r w:rsidRPr="008B077A">
        <w:rPr>
          <w:bCs/>
          <w:snapToGrid/>
          <w:kern w:val="0"/>
        </w:rPr>
        <w:t>Further, the Domestic 214</w:t>
      </w:r>
      <w:r>
        <w:rPr>
          <w:bCs/>
          <w:snapToGrid/>
          <w:kern w:val="0"/>
        </w:rPr>
        <w:t xml:space="preserve"> Authorization Holders</w:t>
      </w:r>
      <w:r w:rsidRPr="008B077A">
        <w:rPr>
          <w:bCs/>
          <w:snapToGrid/>
          <w:kern w:val="0"/>
        </w:rPr>
        <w:t xml:space="preserve"> and Wireless Licensees will</w:t>
      </w:r>
      <w:r w:rsidRPr="001A573F">
        <w:rPr>
          <w:bCs/>
          <w:snapToGrid/>
          <w:kern w:val="0"/>
        </w:rPr>
        <w:t xml:space="preserve"> be indirect wholly</w:t>
      </w:r>
      <w:r>
        <w:rPr>
          <w:bCs/>
          <w:snapToGrid/>
          <w:kern w:val="0"/>
        </w:rPr>
        <w:t xml:space="preserve"> </w:t>
      </w:r>
      <w:r w:rsidRPr="001A573F">
        <w:rPr>
          <w:bCs/>
          <w:snapToGrid/>
          <w:kern w:val="0"/>
        </w:rPr>
        <w:t xml:space="preserve">owned subsidiaries of GI DI </w:t>
      </w:r>
      <w:r>
        <w:rPr>
          <w:bCs/>
          <w:snapToGrid/>
          <w:kern w:val="0"/>
        </w:rPr>
        <w:t xml:space="preserve">Iris </w:t>
      </w:r>
      <w:r w:rsidRPr="001A573F">
        <w:rPr>
          <w:bCs/>
          <w:snapToGrid/>
          <w:kern w:val="0"/>
        </w:rPr>
        <w:t>Acquisition.</w:t>
      </w:r>
      <w:r>
        <w:rPr>
          <w:rStyle w:val="FootnoteReference"/>
          <w:bCs/>
          <w:snapToGrid/>
          <w:kern w:val="0"/>
        </w:rPr>
        <w:footnoteReference w:id="62"/>
      </w:r>
    </w:p>
    <w:p w:rsidR="00C47385" w:rsidP="00C47385" w14:paraId="441F81E1" w14:textId="5CF5253F">
      <w:pPr>
        <w:widowControl/>
        <w:autoSpaceDE w:val="0"/>
        <w:autoSpaceDN w:val="0"/>
        <w:adjustRightInd w:val="0"/>
        <w:spacing w:after="120"/>
        <w:ind w:firstLine="720"/>
        <w:rPr>
          <w:snapToGrid/>
          <w:kern w:val="0"/>
          <w:szCs w:val="22"/>
        </w:rPr>
      </w:pPr>
      <w:r w:rsidRPr="00D54E82">
        <w:rPr>
          <w:snapToGrid/>
          <w:kern w:val="0"/>
          <w:szCs w:val="22"/>
        </w:rPr>
        <w:t xml:space="preserve">GI DI </w:t>
      </w:r>
      <w:r>
        <w:rPr>
          <w:snapToGrid/>
          <w:kern w:val="0"/>
          <w:szCs w:val="22"/>
        </w:rPr>
        <w:t xml:space="preserve">Iris </w:t>
      </w:r>
      <w:r w:rsidRPr="00D54E82">
        <w:rPr>
          <w:snapToGrid/>
          <w:kern w:val="0"/>
          <w:szCs w:val="22"/>
        </w:rPr>
        <w:t>Acquisition</w:t>
      </w:r>
      <w:r>
        <w:rPr>
          <w:snapToGrid/>
          <w:kern w:val="0"/>
          <w:szCs w:val="22"/>
        </w:rPr>
        <w:t>,</w:t>
      </w:r>
      <w:r w:rsidRPr="005915B3">
        <w:rPr>
          <w:snapToGrid/>
          <w:kern w:val="0"/>
          <w:szCs w:val="22"/>
        </w:rPr>
        <w:t xml:space="preserve"> </w:t>
      </w:r>
      <w:r w:rsidRPr="00D54E82">
        <w:rPr>
          <w:snapToGrid/>
          <w:kern w:val="0"/>
          <w:szCs w:val="22"/>
        </w:rPr>
        <w:t xml:space="preserve">a </w:t>
      </w:r>
      <w:r>
        <w:rPr>
          <w:snapToGrid/>
          <w:kern w:val="0"/>
          <w:szCs w:val="22"/>
        </w:rPr>
        <w:t xml:space="preserve">newly formed </w:t>
      </w:r>
      <w:r w:rsidRPr="00D54E82">
        <w:rPr>
          <w:snapToGrid/>
          <w:kern w:val="0"/>
          <w:szCs w:val="22"/>
        </w:rPr>
        <w:t>Delaware limited liability company</w:t>
      </w:r>
      <w:r>
        <w:rPr>
          <w:snapToGrid/>
          <w:kern w:val="0"/>
          <w:szCs w:val="22"/>
        </w:rPr>
        <w:t xml:space="preserve"> created for the purpose of completing this transaction,</w:t>
      </w:r>
      <w:r w:rsidRPr="00D54E82">
        <w:rPr>
          <w:snapToGrid/>
          <w:kern w:val="0"/>
          <w:szCs w:val="22"/>
        </w:rPr>
        <w:t xml:space="preserve"> will be wholly</w:t>
      </w:r>
      <w:r>
        <w:rPr>
          <w:snapToGrid/>
          <w:kern w:val="0"/>
          <w:szCs w:val="22"/>
        </w:rPr>
        <w:t xml:space="preserve"> </w:t>
      </w:r>
      <w:r w:rsidRPr="00D54E82">
        <w:rPr>
          <w:snapToGrid/>
          <w:kern w:val="0"/>
          <w:szCs w:val="22"/>
        </w:rPr>
        <w:t xml:space="preserve">owned by GI DI Intermediate Inc., a Delaware </w:t>
      </w:r>
      <w:r w:rsidRPr="00D54E82">
        <w:rPr>
          <w:snapToGrid/>
          <w:kern w:val="0"/>
          <w:szCs w:val="22"/>
        </w:rPr>
        <w:t xml:space="preserve">corporation that </w:t>
      </w:r>
      <w:r>
        <w:rPr>
          <w:snapToGrid/>
          <w:kern w:val="0"/>
          <w:szCs w:val="22"/>
        </w:rPr>
        <w:t xml:space="preserve">is </w:t>
      </w:r>
      <w:r w:rsidRPr="00D54E82">
        <w:rPr>
          <w:snapToGrid/>
          <w:kern w:val="0"/>
          <w:szCs w:val="22"/>
        </w:rPr>
        <w:t>wholly</w:t>
      </w:r>
      <w:r>
        <w:rPr>
          <w:snapToGrid/>
          <w:kern w:val="0"/>
          <w:szCs w:val="22"/>
        </w:rPr>
        <w:t xml:space="preserve"> </w:t>
      </w:r>
      <w:r w:rsidRPr="00D54E82">
        <w:rPr>
          <w:snapToGrid/>
          <w:kern w:val="0"/>
          <w:szCs w:val="22"/>
        </w:rPr>
        <w:t>owned by GI DI Parent, LP (Iris Parent), a Delaware limited partnership.</w:t>
      </w:r>
      <w:r>
        <w:rPr>
          <w:rStyle w:val="FootnoteReference"/>
          <w:snapToGrid/>
          <w:kern w:val="0"/>
          <w:szCs w:val="22"/>
        </w:rPr>
        <w:footnoteReference w:id="63"/>
      </w:r>
      <w:r w:rsidRPr="00D54E82">
        <w:rPr>
          <w:snapToGrid/>
          <w:kern w:val="0"/>
          <w:szCs w:val="22"/>
        </w:rPr>
        <w:t>  GI DI Iris Holdings LP (Iris Holdings), a Delaware limited partnership, hold</w:t>
      </w:r>
      <w:r>
        <w:rPr>
          <w:snapToGrid/>
          <w:kern w:val="0"/>
          <w:szCs w:val="22"/>
        </w:rPr>
        <w:t>s</w:t>
      </w:r>
      <w:r w:rsidRPr="00D54E82">
        <w:rPr>
          <w:snapToGrid/>
          <w:kern w:val="0"/>
          <w:szCs w:val="22"/>
        </w:rPr>
        <w:t> 99.5% equity and 100% voting interests in Iris Parent.</w:t>
      </w:r>
      <w:r>
        <w:rPr>
          <w:rStyle w:val="FootnoteReference"/>
          <w:snapToGrid/>
          <w:kern w:val="0"/>
          <w:szCs w:val="22"/>
        </w:rPr>
        <w:footnoteReference w:id="64"/>
      </w:r>
      <w:r w:rsidRPr="00D54E82">
        <w:rPr>
          <w:snapToGrid/>
          <w:kern w:val="0"/>
          <w:szCs w:val="22"/>
        </w:rPr>
        <w:t xml:space="preserve">  The 10% or greater equity holders of Iris Holdings </w:t>
      </w:r>
      <w:r>
        <w:rPr>
          <w:snapToGrid/>
          <w:kern w:val="0"/>
          <w:szCs w:val="22"/>
        </w:rPr>
        <w:t>are</w:t>
      </w:r>
      <w:r w:rsidR="00823B45">
        <w:rPr>
          <w:snapToGrid/>
          <w:kern w:val="0"/>
          <w:szCs w:val="22"/>
        </w:rPr>
        <w:t>:</w:t>
      </w:r>
      <w:r w:rsidRPr="00D54E82">
        <w:rPr>
          <w:snapToGrid/>
          <w:kern w:val="0"/>
          <w:szCs w:val="22"/>
        </w:rPr>
        <w:t xml:space="preserve">  (1) Iris Opportunity LP (Iris Opportunity), a Delaware limited partnership (32.8% equity, 0% voting), (2) GI Data Infrastructure Fund LP (GI DI Fund), a Delaware limited partnership (20.6% equity, 0% voting), and (3) GI Data Infrastructure Fund-A LP (GI DI Fund-A), a Delaware limited partnership (39.3% equity, 0% voting).</w:t>
      </w:r>
      <w:r>
        <w:rPr>
          <w:rStyle w:val="FootnoteReference"/>
          <w:snapToGrid/>
          <w:kern w:val="0"/>
          <w:szCs w:val="22"/>
        </w:rPr>
        <w:footnoteReference w:id="65"/>
      </w:r>
      <w:r w:rsidRPr="00D54E82">
        <w:rPr>
          <w:snapToGrid/>
          <w:kern w:val="0"/>
          <w:szCs w:val="22"/>
        </w:rPr>
        <w:t>  GI DI Iris GP LLC (Iris GP), a Delaware limited liability company, will be the general partner of Iris Holdings and Iris Opportunity (0% equity, 100% voting).</w:t>
      </w:r>
      <w:r>
        <w:rPr>
          <w:rStyle w:val="FootnoteReference"/>
          <w:snapToGrid/>
          <w:kern w:val="0"/>
          <w:szCs w:val="22"/>
        </w:rPr>
        <w:footnoteReference w:id="66"/>
      </w:r>
      <w:r w:rsidRPr="00D54E82">
        <w:rPr>
          <w:snapToGrid/>
          <w:kern w:val="0"/>
          <w:szCs w:val="22"/>
        </w:rPr>
        <w:t>  GI GP DI LP, a Delaware limited partnership, will be the general partner of GI DI Fund and GI DI Fund-A (0% equity, 100% voting).</w:t>
      </w:r>
      <w:r>
        <w:rPr>
          <w:rStyle w:val="FootnoteReference"/>
          <w:snapToGrid/>
          <w:kern w:val="0"/>
          <w:szCs w:val="22"/>
        </w:rPr>
        <w:footnoteReference w:id="67"/>
      </w:r>
      <w:r w:rsidRPr="00D54E82">
        <w:rPr>
          <w:snapToGrid/>
          <w:kern w:val="0"/>
          <w:szCs w:val="22"/>
        </w:rPr>
        <w:t xml:space="preserve">  GI GP DI LLC, a Delaware limited liability company, </w:t>
      </w:r>
      <w:r>
        <w:rPr>
          <w:snapToGrid/>
          <w:kern w:val="0"/>
          <w:szCs w:val="22"/>
        </w:rPr>
        <w:t xml:space="preserve">is </w:t>
      </w:r>
      <w:r w:rsidRPr="00D54E82">
        <w:rPr>
          <w:snapToGrid/>
          <w:kern w:val="0"/>
          <w:szCs w:val="22"/>
        </w:rPr>
        <w:t>the general partner of GI GP DI LP (0% equity, 100% voting) and the sole member and managing member of Iris GP (100% equity, 100% voting).</w:t>
      </w:r>
      <w:r>
        <w:rPr>
          <w:rStyle w:val="FootnoteReference"/>
          <w:snapToGrid/>
          <w:kern w:val="0"/>
          <w:szCs w:val="22"/>
        </w:rPr>
        <w:footnoteReference w:id="68"/>
      </w:r>
      <w:r w:rsidRPr="00D54E82">
        <w:rPr>
          <w:snapToGrid/>
          <w:kern w:val="0"/>
          <w:szCs w:val="22"/>
        </w:rPr>
        <w:t xml:space="preserve">  GI Manager L.P., a Delaware limited partnership, </w:t>
      </w:r>
      <w:r>
        <w:rPr>
          <w:snapToGrid/>
          <w:kern w:val="0"/>
          <w:szCs w:val="22"/>
        </w:rPr>
        <w:t xml:space="preserve">is </w:t>
      </w:r>
      <w:r w:rsidRPr="00D54E82">
        <w:rPr>
          <w:snapToGrid/>
          <w:kern w:val="0"/>
          <w:szCs w:val="22"/>
        </w:rPr>
        <w:t>the sole member of GI GP DI LLC (100% equity, 100% voting).</w:t>
      </w:r>
      <w:r>
        <w:rPr>
          <w:rStyle w:val="FootnoteReference"/>
          <w:snapToGrid/>
          <w:kern w:val="0"/>
          <w:szCs w:val="22"/>
        </w:rPr>
        <w:footnoteReference w:id="69"/>
      </w:r>
      <w:r w:rsidRPr="00D54E82">
        <w:rPr>
          <w:snapToGrid/>
          <w:kern w:val="0"/>
          <w:szCs w:val="22"/>
        </w:rPr>
        <w:t xml:space="preserve">  GI Manager Holdings LLC, a Delaware limited liability company, </w:t>
      </w:r>
      <w:r>
        <w:rPr>
          <w:snapToGrid/>
          <w:kern w:val="0"/>
          <w:szCs w:val="22"/>
        </w:rPr>
        <w:t xml:space="preserve">is </w:t>
      </w:r>
      <w:r w:rsidRPr="00D54E82">
        <w:rPr>
          <w:snapToGrid/>
          <w:kern w:val="0"/>
          <w:szCs w:val="22"/>
        </w:rPr>
        <w:t>the general partner of GI Manager L.P. (0% equity, 100% voting).</w:t>
      </w:r>
      <w:r>
        <w:rPr>
          <w:rStyle w:val="FootnoteReference"/>
          <w:snapToGrid/>
          <w:kern w:val="0"/>
          <w:szCs w:val="22"/>
        </w:rPr>
        <w:footnoteReference w:id="70"/>
      </w:r>
      <w:r w:rsidRPr="00D54E82">
        <w:rPr>
          <w:snapToGrid/>
          <w:kern w:val="0"/>
          <w:szCs w:val="22"/>
        </w:rPr>
        <w:t xml:space="preserve">  GI Manager LLC, a Delaware limited liability company, </w:t>
      </w:r>
      <w:r>
        <w:rPr>
          <w:snapToGrid/>
          <w:kern w:val="0"/>
          <w:szCs w:val="22"/>
        </w:rPr>
        <w:t xml:space="preserve">is </w:t>
      </w:r>
      <w:r w:rsidRPr="00D54E82">
        <w:rPr>
          <w:snapToGrid/>
          <w:kern w:val="0"/>
          <w:szCs w:val="22"/>
        </w:rPr>
        <w:t xml:space="preserve">the sole member </w:t>
      </w:r>
      <w:r w:rsidRPr="00D54E82">
        <w:rPr>
          <w:snapToGrid/>
          <w:kern w:val="0"/>
          <w:szCs w:val="22"/>
        </w:rPr>
        <w:t>of GI Manager Holdings LLC (100% equity, 100% voting).</w:t>
      </w:r>
      <w:r>
        <w:rPr>
          <w:rStyle w:val="FootnoteReference"/>
          <w:snapToGrid/>
          <w:kern w:val="0"/>
          <w:szCs w:val="22"/>
        </w:rPr>
        <w:footnoteReference w:id="71"/>
      </w:r>
      <w:r w:rsidRPr="00D54E82">
        <w:rPr>
          <w:snapToGrid/>
          <w:kern w:val="0"/>
          <w:szCs w:val="22"/>
        </w:rPr>
        <w:t xml:space="preserve">  GI Manager LLC </w:t>
      </w:r>
      <w:r>
        <w:rPr>
          <w:snapToGrid/>
          <w:kern w:val="0"/>
          <w:szCs w:val="22"/>
        </w:rPr>
        <w:t xml:space="preserve">is </w:t>
      </w:r>
      <w:r w:rsidRPr="00D54E82">
        <w:rPr>
          <w:snapToGrid/>
          <w:kern w:val="0"/>
          <w:szCs w:val="22"/>
        </w:rPr>
        <w:t>controlled by Richard Magnuson, a U.S. citizen, as trustee of the Magnuson Living Trust, a California trust that will be the managing member of GI Manager LLC.</w:t>
      </w:r>
      <w:r>
        <w:rPr>
          <w:rStyle w:val="FootnoteReference"/>
          <w:snapToGrid/>
          <w:kern w:val="0"/>
          <w:szCs w:val="22"/>
        </w:rPr>
        <w:footnoteReference w:id="72"/>
      </w:r>
      <w:r w:rsidRPr="00D54E82">
        <w:rPr>
          <w:snapToGrid/>
          <w:kern w:val="0"/>
          <w:szCs w:val="22"/>
        </w:rPr>
        <w:t xml:space="preserve">  The only beneficiaries of the Magnuson Living Trust are Richard Magnuson, Allison Magnuson, Taylor Magnuson, and Scott Magnuson, who are all U.S. citizens.</w:t>
      </w:r>
      <w:r>
        <w:rPr>
          <w:rStyle w:val="FootnoteReference"/>
          <w:snapToGrid/>
          <w:kern w:val="0"/>
          <w:szCs w:val="22"/>
        </w:rPr>
        <w:footnoteReference w:id="73"/>
      </w:r>
      <w:r>
        <w:rPr>
          <w:snapToGrid/>
          <w:kern w:val="0"/>
          <w:szCs w:val="22"/>
        </w:rPr>
        <w:t xml:space="preserve"> </w:t>
      </w:r>
    </w:p>
    <w:p w:rsidR="002C7CBD" w:rsidP="002C7CBD" w14:paraId="2A8F8842" w14:textId="2B5EAB6B">
      <w:pPr>
        <w:widowControl/>
        <w:autoSpaceDE w:val="0"/>
        <w:autoSpaceDN w:val="0"/>
        <w:adjustRightInd w:val="0"/>
        <w:spacing w:after="120"/>
        <w:rPr>
          <w:snapToGrid/>
          <w:kern w:val="0"/>
          <w:szCs w:val="22"/>
        </w:rPr>
      </w:pPr>
      <w:r>
        <w:rPr>
          <w:b/>
          <w:bCs/>
          <w:u w:val="single"/>
        </w:rPr>
        <w:t>The GI DI Iris Acquisition Petition for Declaratory Ruling (ISP-PDR-20220610-00004)</w:t>
      </w:r>
    </w:p>
    <w:p w:rsidR="00910CD9" w:rsidP="00910CD9" w14:paraId="7F3E7C6D" w14:textId="61B9B7B2">
      <w:pPr>
        <w:widowControl/>
        <w:autoSpaceDE w:val="0"/>
        <w:autoSpaceDN w:val="0"/>
        <w:adjustRightInd w:val="0"/>
        <w:spacing w:after="120"/>
        <w:ind w:firstLine="720"/>
        <w:rPr>
          <w:color w:val="212121"/>
          <w:szCs w:val="22"/>
        </w:rPr>
      </w:pPr>
      <w:r>
        <w:rPr>
          <w:color w:val="212121"/>
          <w:szCs w:val="22"/>
        </w:rPr>
        <w:t xml:space="preserve">On June 10, 2022, </w:t>
      </w:r>
      <w:r>
        <w:t xml:space="preserve">JAB Wireless and GI DI Iris Acquisition (together, the </w:t>
      </w:r>
      <w:r w:rsidRPr="001A573F" w:rsidR="00984AF1">
        <w:rPr>
          <w:bCs/>
          <w:snapToGrid/>
          <w:kern w:val="0"/>
        </w:rPr>
        <w:t xml:space="preserve">GI DI </w:t>
      </w:r>
      <w:r w:rsidR="00984AF1">
        <w:rPr>
          <w:bCs/>
          <w:snapToGrid/>
          <w:kern w:val="0"/>
        </w:rPr>
        <w:t xml:space="preserve">Iris </w:t>
      </w:r>
      <w:r w:rsidRPr="001A573F" w:rsidR="00984AF1">
        <w:rPr>
          <w:bCs/>
          <w:snapToGrid/>
          <w:kern w:val="0"/>
        </w:rPr>
        <w:t>Acquisition</w:t>
      </w:r>
      <w:r w:rsidR="00984AF1">
        <w:t xml:space="preserve"> </w:t>
      </w:r>
      <w:r>
        <w:t xml:space="preserve"> </w:t>
      </w:r>
      <w:r w:rsidRPr="00CA3F3D">
        <w:rPr>
          <w:color w:val="212121"/>
          <w:szCs w:val="22"/>
        </w:rPr>
        <w:t>Petitioners</w:t>
      </w:r>
      <w:r>
        <w:rPr>
          <w:color w:val="212121"/>
          <w:szCs w:val="22"/>
        </w:rPr>
        <w:t>)</w:t>
      </w:r>
      <w:r w:rsidRPr="00CA3F3D">
        <w:rPr>
          <w:color w:val="212121"/>
          <w:szCs w:val="22"/>
        </w:rPr>
        <w:t xml:space="preserve"> filed a petition for declaratory ruling (</w:t>
      </w:r>
      <w:r w:rsidR="00FB52CA">
        <w:rPr>
          <w:color w:val="212121"/>
          <w:szCs w:val="22"/>
        </w:rPr>
        <w:t xml:space="preserve">the </w:t>
      </w:r>
      <w:r w:rsidRPr="001A573F" w:rsidR="00984AF1">
        <w:rPr>
          <w:bCs/>
          <w:snapToGrid/>
          <w:kern w:val="0"/>
        </w:rPr>
        <w:t xml:space="preserve">GI DI </w:t>
      </w:r>
      <w:r w:rsidR="00984AF1">
        <w:rPr>
          <w:bCs/>
          <w:snapToGrid/>
          <w:kern w:val="0"/>
        </w:rPr>
        <w:t xml:space="preserve">Iris </w:t>
      </w:r>
      <w:r w:rsidRPr="001A573F" w:rsidR="00984AF1">
        <w:rPr>
          <w:bCs/>
          <w:snapToGrid/>
          <w:kern w:val="0"/>
        </w:rPr>
        <w:t>Acquisition</w:t>
      </w:r>
      <w:r w:rsidR="00984AF1">
        <w:rPr>
          <w:color w:val="212121"/>
          <w:szCs w:val="22"/>
        </w:rPr>
        <w:t xml:space="preserve"> </w:t>
      </w:r>
      <w:r w:rsidRPr="00CA3F3D">
        <w:rPr>
          <w:color w:val="212121"/>
          <w:szCs w:val="22"/>
        </w:rPr>
        <w:t>Petition) pursuant to section 310(b)(4)</w:t>
      </w:r>
      <w:r w:rsidR="00331320">
        <w:rPr>
          <w:color w:val="212121"/>
          <w:szCs w:val="22"/>
        </w:rPr>
        <w:t xml:space="preserve"> of the Act </w:t>
      </w:r>
      <w:r w:rsidR="00984AF1">
        <w:rPr>
          <w:color w:val="212121"/>
          <w:szCs w:val="22"/>
        </w:rPr>
        <w:t>a</w:t>
      </w:r>
      <w:r w:rsidRPr="00CA3F3D">
        <w:rPr>
          <w:color w:val="212121"/>
          <w:szCs w:val="22"/>
        </w:rPr>
        <w:t>nd section 1.5000(a)(1)</w:t>
      </w:r>
      <w:r w:rsidR="00331320">
        <w:rPr>
          <w:color w:val="212121"/>
          <w:szCs w:val="22"/>
        </w:rPr>
        <w:t xml:space="preserve"> of the Commission’s rules</w:t>
      </w:r>
      <w:r w:rsidRPr="00CA3F3D">
        <w:rPr>
          <w:color w:val="212121"/>
          <w:szCs w:val="22"/>
        </w:rPr>
        <w:t xml:space="preserve">, </w:t>
      </w:r>
      <w:r w:rsidRPr="00CA3F3D">
        <w:rPr>
          <w:bCs/>
          <w:color w:val="212121"/>
          <w:szCs w:val="22"/>
        </w:rPr>
        <w:t xml:space="preserve">asking the Commission to find that it would serve the public interest </w:t>
      </w:r>
      <w:r w:rsidRPr="00CA3F3D">
        <w:rPr>
          <w:color w:val="212121"/>
          <w:szCs w:val="22"/>
        </w:rPr>
        <w:t>to permit post-transaction foreign ownership of JAB Wireless, the direct controlling U.S. parent of the Wireless Licensees.</w:t>
      </w:r>
    </w:p>
    <w:p w:rsidR="00CC3A85" w:rsidP="008741D5" w14:paraId="602A6A4D" w14:textId="5994408E">
      <w:pPr>
        <w:widowControl/>
        <w:autoSpaceDE w:val="0"/>
        <w:autoSpaceDN w:val="0"/>
        <w:adjustRightInd w:val="0"/>
        <w:spacing w:after="120"/>
        <w:ind w:firstLine="720"/>
        <w:rPr>
          <w:bCs/>
          <w:color w:val="212121"/>
          <w:szCs w:val="22"/>
        </w:rPr>
      </w:pPr>
      <w:r>
        <w:rPr>
          <w:color w:val="212121"/>
          <w:szCs w:val="22"/>
        </w:rPr>
        <w:t>Pursuant to</w:t>
      </w:r>
      <w:r w:rsidR="00DD1741">
        <w:rPr>
          <w:color w:val="212121"/>
          <w:szCs w:val="22"/>
        </w:rPr>
        <w:t xml:space="preserve"> the </w:t>
      </w:r>
      <w:r w:rsidRPr="001A573F" w:rsidR="00BA32E2">
        <w:rPr>
          <w:bCs/>
          <w:snapToGrid/>
          <w:kern w:val="0"/>
        </w:rPr>
        <w:t xml:space="preserve">GI DI </w:t>
      </w:r>
      <w:r w:rsidR="00BA32E2">
        <w:rPr>
          <w:bCs/>
          <w:snapToGrid/>
          <w:kern w:val="0"/>
        </w:rPr>
        <w:t xml:space="preserve">Iris </w:t>
      </w:r>
      <w:r w:rsidRPr="001A573F" w:rsidR="00BA32E2">
        <w:rPr>
          <w:bCs/>
          <w:snapToGrid/>
          <w:kern w:val="0"/>
        </w:rPr>
        <w:t>Acquisition</w:t>
      </w:r>
      <w:r w:rsidR="00BA32E2">
        <w:rPr>
          <w:color w:val="212121"/>
          <w:szCs w:val="22"/>
        </w:rPr>
        <w:t xml:space="preserve"> </w:t>
      </w:r>
      <w:r w:rsidRPr="00D23B4D" w:rsidR="00DD1741">
        <w:rPr>
          <w:color w:val="212121"/>
          <w:szCs w:val="22"/>
        </w:rPr>
        <w:t>Transaction,</w:t>
      </w:r>
      <w:r w:rsidR="004C3C59">
        <w:rPr>
          <w:color w:val="212121"/>
          <w:szCs w:val="22"/>
        </w:rPr>
        <w:t xml:space="preserve"> </w:t>
      </w:r>
      <w:r w:rsidRPr="00E7414F" w:rsidR="00D23B4D">
        <w:rPr>
          <w:bCs/>
          <w:color w:val="212121"/>
          <w:szCs w:val="22"/>
        </w:rPr>
        <w:t>Merger Sub will merge with and into JAB Wireless with JAB Wireless being the surviving entity</w:t>
      </w:r>
      <w:r>
        <w:rPr>
          <w:bCs/>
          <w:color w:val="212121"/>
          <w:szCs w:val="22"/>
        </w:rPr>
        <w:t>.</w:t>
      </w:r>
      <w:r>
        <w:rPr>
          <w:rStyle w:val="FootnoteReference"/>
          <w:bCs/>
          <w:szCs w:val="22"/>
        </w:rPr>
        <w:footnoteReference w:id="74"/>
      </w:r>
      <w:r>
        <w:rPr>
          <w:bCs/>
          <w:color w:val="212121"/>
          <w:szCs w:val="22"/>
        </w:rPr>
        <w:t xml:space="preserve"> </w:t>
      </w:r>
      <w:r w:rsidR="001359C0">
        <w:rPr>
          <w:bCs/>
          <w:color w:val="212121"/>
          <w:szCs w:val="22"/>
        </w:rPr>
        <w:t xml:space="preserve"> </w:t>
      </w:r>
      <w:r>
        <w:t xml:space="preserve">Upon consummation of the </w:t>
      </w:r>
      <w:r w:rsidR="00BA32E2">
        <w:t>tr</w:t>
      </w:r>
      <w:r>
        <w:t>ansaction, the Wireless Licensees will remain wholly-owned subsidiaries of Skybeam, which in turn will remain a wholly-owned subsidiary of JAB Wireless.</w:t>
      </w:r>
      <w:r>
        <w:rPr>
          <w:rStyle w:val="FootnoteReference"/>
        </w:rPr>
        <w:footnoteReference w:id="75"/>
      </w:r>
      <w:r>
        <w:t xml:space="preserve"> </w:t>
      </w:r>
      <w:r w:rsidR="00556A82">
        <w:t xml:space="preserve"> </w:t>
      </w:r>
      <w:r>
        <w:t xml:space="preserve">JAB Wireless will be directly, wholly-owned by GI DI Iris Acquisition with </w:t>
      </w:r>
      <w:r w:rsidR="004C3C59">
        <w:t xml:space="preserve">Wireless </w:t>
      </w:r>
      <w:r>
        <w:t xml:space="preserve">Licensees becoming indirect, wholly-owned subsidiaries of </w:t>
      </w:r>
      <w:r w:rsidR="004C3C59">
        <w:t>GI DI Iris Acquisition.</w:t>
      </w:r>
      <w:r>
        <w:rPr>
          <w:rStyle w:val="FootnoteReference"/>
        </w:rPr>
        <w:footnoteReference w:id="76"/>
      </w:r>
    </w:p>
    <w:p w:rsidR="002F1A05" w:rsidP="00930E7B" w14:paraId="5AD28491" w14:textId="04FD015A">
      <w:pPr>
        <w:widowControl/>
        <w:autoSpaceDE w:val="0"/>
        <w:autoSpaceDN w:val="0"/>
        <w:adjustRightInd w:val="0"/>
        <w:spacing w:after="120"/>
        <w:ind w:firstLine="720"/>
        <w:rPr>
          <w:color w:val="212121"/>
          <w:szCs w:val="22"/>
        </w:rPr>
      </w:pPr>
      <w:r>
        <w:rPr>
          <w:color w:val="212121"/>
          <w:szCs w:val="22"/>
        </w:rPr>
        <w:t xml:space="preserve">As a result of the </w:t>
      </w:r>
      <w:r w:rsidR="00BA32E2">
        <w:rPr>
          <w:color w:val="212121"/>
          <w:szCs w:val="22"/>
        </w:rPr>
        <w:t>proposed transaction,</w:t>
      </w:r>
      <w:r>
        <w:rPr>
          <w:color w:val="212121"/>
          <w:szCs w:val="22"/>
        </w:rPr>
        <w:t xml:space="preserve"> </w:t>
      </w:r>
      <w:r w:rsidRPr="00E7414F" w:rsidR="00E7414F">
        <w:rPr>
          <w:color w:val="212121"/>
          <w:szCs w:val="22"/>
        </w:rPr>
        <w:t>GI DI Iris Acquisition, a Delaware limited liability company, will be wholly owned by GI DI Intermediate Inc., a Delaware corporation that is wholly owned by GI DI Iris Parent, a Delaware limited partnership.</w:t>
      </w:r>
      <w:r>
        <w:rPr>
          <w:color w:val="212121"/>
          <w:szCs w:val="22"/>
          <w:vertAlign w:val="superscript"/>
        </w:rPr>
        <w:footnoteReference w:id="77"/>
      </w:r>
      <w:r w:rsidRPr="00E7414F" w:rsidR="00E7414F">
        <w:rPr>
          <w:color w:val="212121"/>
          <w:szCs w:val="22"/>
        </w:rPr>
        <w:t>  Iris Holdings, a Delaware limited partnership, holds 99.5% equity and 100% voting interests in Iris Parent.</w:t>
      </w:r>
      <w:r>
        <w:rPr>
          <w:color w:val="212121"/>
          <w:szCs w:val="22"/>
          <w:vertAlign w:val="superscript"/>
        </w:rPr>
        <w:footnoteReference w:id="78"/>
      </w:r>
      <w:r w:rsidRPr="00E7414F" w:rsidR="00E7414F">
        <w:rPr>
          <w:color w:val="212121"/>
          <w:szCs w:val="22"/>
        </w:rPr>
        <w:t> </w:t>
      </w:r>
      <w:r w:rsidRPr="00E7414F" w:rsidR="00482807">
        <w:rPr>
          <w:color w:val="212121"/>
          <w:szCs w:val="22"/>
        </w:rPr>
        <w:t xml:space="preserve"> </w:t>
      </w:r>
      <w:r w:rsidRPr="009F5A59" w:rsidR="00E7414F">
        <w:rPr>
          <w:color w:val="212121"/>
          <w:szCs w:val="22"/>
        </w:rPr>
        <w:t>GI DI Iris GP LLC (Iris GP),</w:t>
      </w:r>
      <w:r w:rsidRPr="00E7414F" w:rsidR="00E7414F">
        <w:rPr>
          <w:color w:val="212121"/>
          <w:szCs w:val="22"/>
        </w:rPr>
        <w:t xml:space="preserve"> a Delaware limited liability company, will be the general partner of Iris Holdings and Iris Opportunity (0% equity, 100% voting).</w:t>
      </w:r>
      <w:r>
        <w:rPr>
          <w:color w:val="212121"/>
          <w:szCs w:val="22"/>
          <w:vertAlign w:val="superscript"/>
        </w:rPr>
        <w:footnoteReference w:id="79"/>
      </w:r>
      <w:r w:rsidRPr="00E7414F" w:rsidR="00E7414F">
        <w:rPr>
          <w:color w:val="212121"/>
          <w:szCs w:val="22"/>
        </w:rPr>
        <w:t>  GI GP DI LP, a Delaware limited partnership, will be the general partner of GI DI Fund and GI DI Fund-A (0% equity, 100% voting).</w:t>
      </w:r>
      <w:r>
        <w:rPr>
          <w:color w:val="212121"/>
          <w:szCs w:val="22"/>
          <w:vertAlign w:val="superscript"/>
        </w:rPr>
        <w:footnoteReference w:id="80"/>
      </w:r>
      <w:r w:rsidRPr="00E7414F" w:rsidR="00E7414F">
        <w:rPr>
          <w:color w:val="212121"/>
          <w:szCs w:val="22"/>
        </w:rPr>
        <w:t>  GI GP DI LLC, a Delaware limited liability company, is the general partner of GI GP DI LP (0% equity, 100% voting) and the sole member and managing member of Iris GP (100% equity, 100% voting).</w:t>
      </w:r>
      <w:r>
        <w:rPr>
          <w:color w:val="212121"/>
          <w:szCs w:val="22"/>
          <w:vertAlign w:val="superscript"/>
        </w:rPr>
        <w:footnoteReference w:id="81"/>
      </w:r>
      <w:r w:rsidRPr="00E7414F" w:rsidR="00E7414F">
        <w:rPr>
          <w:color w:val="212121"/>
          <w:szCs w:val="22"/>
        </w:rPr>
        <w:t>  GI Manager L.P., a Delaware limited partnership, is the sole member of GI GP DI LLC (100% equity, 100% voting).</w:t>
      </w:r>
      <w:r>
        <w:rPr>
          <w:color w:val="212121"/>
          <w:szCs w:val="22"/>
          <w:vertAlign w:val="superscript"/>
        </w:rPr>
        <w:footnoteReference w:id="82"/>
      </w:r>
      <w:r w:rsidRPr="00E7414F" w:rsidR="00E7414F">
        <w:rPr>
          <w:color w:val="212121"/>
          <w:szCs w:val="22"/>
        </w:rPr>
        <w:t xml:space="preserve">  GI Manager Holdings LLC, a Delaware limited liability company, is the general partner of GI Manager L.P. (0% equity, 100% </w:t>
      </w:r>
      <w:r w:rsidRPr="00E7414F" w:rsidR="00E7414F">
        <w:rPr>
          <w:color w:val="212121"/>
          <w:szCs w:val="22"/>
        </w:rPr>
        <w:t>voting).</w:t>
      </w:r>
      <w:r>
        <w:rPr>
          <w:color w:val="212121"/>
          <w:szCs w:val="22"/>
          <w:vertAlign w:val="superscript"/>
        </w:rPr>
        <w:footnoteReference w:id="83"/>
      </w:r>
      <w:r w:rsidRPr="00E7414F" w:rsidR="00E7414F">
        <w:rPr>
          <w:color w:val="212121"/>
          <w:szCs w:val="22"/>
        </w:rPr>
        <w:t>  GI Manager LLC, a Delaware limited liability company, is the sole member of GI Manager Holdings LLC (100% equity, 100% voting).</w:t>
      </w:r>
      <w:r>
        <w:rPr>
          <w:color w:val="212121"/>
          <w:szCs w:val="22"/>
          <w:vertAlign w:val="superscript"/>
        </w:rPr>
        <w:footnoteReference w:id="84"/>
      </w:r>
      <w:r w:rsidRPr="00E7414F" w:rsidR="00E7414F">
        <w:rPr>
          <w:color w:val="212121"/>
          <w:szCs w:val="22"/>
        </w:rPr>
        <w:t>  GI Manager LLC is controlled by Richard Magnuson, a U.S. citizen, as trustee of the Magnuson Living Trust, a California trust that will be the managing member of GI Manager LLC.</w:t>
      </w:r>
      <w:r>
        <w:rPr>
          <w:color w:val="212121"/>
          <w:szCs w:val="22"/>
          <w:vertAlign w:val="superscript"/>
        </w:rPr>
        <w:footnoteReference w:id="85"/>
      </w:r>
      <w:r w:rsidRPr="00E7414F" w:rsidR="00E7414F">
        <w:rPr>
          <w:color w:val="212121"/>
          <w:szCs w:val="22"/>
        </w:rPr>
        <w:t xml:space="preserve">  The only beneficiaries of the Magnuson Living Trust are Richard Magnuson, Allison Magnuson, Taylor Magnuson, and Scott Magnuson, who are all U.S. citizens.</w:t>
      </w:r>
      <w:r>
        <w:rPr>
          <w:color w:val="212121"/>
          <w:szCs w:val="22"/>
          <w:vertAlign w:val="superscript"/>
        </w:rPr>
        <w:footnoteReference w:id="86"/>
      </w:r>
      <w:r w:rsidRPr="00E7414F" w:rsidR="00E7414F">
        <w:rPr>
          <w:color w:val="212121"/>
          <w:szCs w:val="22"/>
        </w:rPr>
        <w:t xml:space="preserve"> </w:t>
      </w:r>
    </w:p>
    <w:p w:rsidR="00CA3F3D" w:rsidP="00CA3F3D" w14:paraId="60AAF9EA" w14:textId="641072B6">
      <w:pPr>
        <w:widowControl/>
        <w:autoSpaceDE w:val="0"/>
        <w:autoSpaceDN w:val="0"/>
        <w:adjustRightInd w:val="0"/>
        <w:spacing w:after="120"/>
        <w:rPr>
          <w:bCs/>
          <w:color w:val="212121"/>
          <w:szCs w:val="22"/>
        </w:rPr>
      </w:pPr>
      <w:r w:rsidRPr="00CA3F3D">
        <w:rPr>
          <w:bCs/>
          <w:color w:val="212121"/>
          <w:szCs w:val="22"/>
        </w:rPr>
        <w:tab/>
      </w:r>
      <w:r w:rsidR="00FD6F96">
        <w:rPr>
          <w:bCs/>
          <w:color w:val="212121"/>
          <w:szCs w:val="22"/>
        </w:rPr>
        <w:t xml:space="preserve">The </w:t>
      </w:r>
      <w:r w:rsidRPr="001A573F" w:rsidR="00BA32E2">
        <w:rPr>
          <w:bCs/>
          <w:snapToGrid/>
          <w:kern w:val="0"/>
        </w:rPr>
        <w:t xml:space="preserve">GI DI </w:t>
      </w:r>
      <w:r w:rsidR="00BA32E2">
        <w:rPr>
          <w:bCs/>
          <w:snapToGrid/>
          <w:kern w:val="0"/>
        </w:rPr>
        <w:t xml:space="preserve">Iris </w:t>
      </w:r>
      <w:r w:rsidRPr="001A573F" w:rsidR="00BA32E2">
        <w:rPr>
          <w:bCs/>
          <w:snapToGrid/>
          <w:kern w:val="0"/>
        </w:rPr>
        <w:t>Acquisition</w:t>
      </w:r>
      <w:r w:rsidR="00BA32E2">
        <w:rPr>
          <w:bCs/>
          <w:color w:val="212121"/>
          <w:szCs w:val="22"/>
        </w:rPr>
        <w:t xml:space="preserve"> </w:t>
      </w:r>
      <w:r w:rsidRPr="00CA3F3D">
        <w:rPr>
          <w:bCs/>
          <w:color w:val="212121"/>
          <w:szCs w:val="22"/>
        </w:rPr>
        <w:t xml:space="preserve">Petitioners </w:t>
      </w:r>
      <w:r w:rsidR="00CA128E">
        <w:rPr>
          <w:bCs/>
          <w:color w:val="212121"/>
          <w:szCs w:val="22"/>
        </w:rPr>
        <w:t xml:space="preserve">assert that </w:t>
      </w:r>
      <w:r w:rsidR="00EE7987">
        <w:rPr>
          <w:bCs/>
          <w:color w:val="212121"/>
          <w:szCs w:val="22"/>
        </w:rPr>
        <w:t>the</w:t>
      </w:r>
      <w:r w:rsidR="00CA128E">
        <w:rPr>
          <w:bCs/>
          <w:color w:val="212121"/>
          <w:szCs w:val="22"/>
        </w:rPr>
        <w:t xml:space="preserve"> consummation of the </w:t>
      </w:r>
      <w:r w:rsidR="00046459">
        <w:rPr>
          <w:bCs/>
          <w:color w:val="212121"/>
          <w:szCs w:val="22"/>
        </w:rPr>
        <w:t xml:space="preserve">proposed </w:t>
      </w:r>
      <w:r w:rsidR="00BA32E2">
        <w:rPr>
          <w:bCs/>
          <w:color w:val="212121"/>
          <w:szCs w:val="22"/>
        </w:rPr>
        <w:t>t</w:t>
      </w:r>
      <w:r w:rsidRPr="00CA3F3D">
        <w:rPr>
          <w:bCs/>
          <w:color w:val="212121"/>
          <w:szCs w:val="22"/>
        </w:rPr>
        <w:t>ransaction</w:t>
      </w:r>
      <w:r w:rsidR="004A24EE">
        <w:rPr>
          <w:bCs/>
          <w:color w:val="212121"/>
          <w:szCs w:val="22"/>
        </w:rPr>
        <w:t xml:space="preserve"> </w:t>
      </w:r>
      <w:r w:rsidRPr="00CA3F3D">
        <w:rPr>
          <w:bCs/>
          <w:color w:val="212121"/>
          <w:szCs w:val="22"/>
        </w:rPr>
        <w:t xml:space="preserve">will result in </w:t>
      </w:r>
      <w:r w:rsidR="004A24EE">
        <w:rPr>
          <w:bCs/>
          <w:color w:val="212121"/>
          <w:szCs w:val="22"/>
        </w:rPr>
        <w:t xml:space="preserve">approximately </w:t>
      </w:r>
      <w:r w:rsidR="001C4480">
        <w:rPr>
          <w:bCs/>
          <w:color w:val="212121"/>
          <w:szCs w:val="22"/>
        </w:rPr>
        <w:t xml:space="preserve">68% </w:t>
      </w:r>
      <w:r w:rsidRPr="00CA3F3D">
        <w:rPr>
          <w:bCs/>
          <w:color w:val="212121"/>
          <w:szCs w:val="22"/>
        </w:rPr>
        <w:t xml:space="preserve">aggregate indirect foreign ownership of </w:t>
      </w:r>
      <w:r w:rsidRPr="00FF379F">
        <w:rPr>
          <w:color w:val="212121"/>
          <w:szCs w:val="22"/>
        </w:rPr>
        <w:t>GI DI</w:t>
      </w:r>
      <w:r w:rsidRPr="00CA3F3D">
        <w:rPr>
          <w:bCs/>
          <w:color w:val="212121"/>
          <w:szCs w:val="22"/>
        </w:rPr>
        <w:t xml:space="preserve"> </w:t>
      </w:r>
      <w:r w:rsidR="00E85BEC">
        <w:rPr>
          <w:bCs/>
          <w:color w:val="212121"/>
          <w:szCs w:val="22"/>
        </w:rPr>
        <w:t>Iris Acquisition</w:t>
      </w:r>
      <w:r w:rsidRPr="00CA3F3D">
        <w:rPr>
          <w:bCs/>
          <w:color w:val="212121"/>
          <w:szCs w:val="22"/>
        </w:rPr>
        <w:t>, JAB Wireless, and Licensees.</w:t>
      </w:r>
      <w:r>
        <w:rPr>
          <w:bCs/>
          <w:color w:val="212121"/>
          <w:szCs w:val="22"/>
          <w:vertAlign w:val="superscript"/>
        </w:rPr>
        <w:footnoteReference w:id="87"/>
      </w:r>
      <w:r w:rsidRPr="00CA3F3D">
        <w:rPr>
          <w:bCs/>
          <w:color w:val="212121"/>
          <w:szCs w:val="22"/>
        </w:rPr>
        <w:t xml:space="preserve">  This foreign ownership will arise through foreign entities that are currently or are expected to hold insulated limited partnership interests in GI DI  Fund-A LP (approximately 89.3% equity in the fund) and Iris Opportunity (up to 100% equity in the fund).</w:t>
      </w:r>
      <w:r>
        <w:rPr>
          <w:bCs/>
          <w:color w:val="212121"/>
          <w:szCs w:val="22"/>
          <w:vertAlign w:val="superscript"/>
        </w:rPr>
        <w:footnoteReference w:id="88"/>
      </w:r>
      <w:r w:rsidRPr="00CA3F3D">
        <w:rPr>
          <w:bCs/>
          <w:color w:val="212121"/>
          <w:szCs w:val="22"/>
        </w:rPr>
        <w:t xml:space="preserve">  </w:t>
      </w:r>
      <w:r w:rsidR="00E90B2A">
        <w:rPr>
          <w:bCs/>
          <w:color w:val="212121"/>
          <w:szCs w:val="22"/>
        </w:rPr>
        <w:t>Pursuant to section 1.5001(h)</w:t>
      </w:r>
      <w:r w:rsidR="00853376">
        <w:rPr>
          <w:bCs/>
          <w:color w:val="212121"/>
          <w:szCs w:val="22"/>
        </w:rPr>
        <w:t xml:space="preserve"> </w:t>
      </w:r>
      <w:r w:rsidR="00212868">
        <w:rPr>
          <w:bCs/>
          <w:color w:val="212121"/>
          <w:szCs w:val="22"/>
        </w:rPr>
        <w:t>of the Commission’s rules,</w:t>
      </w:r>
      <w:r>
        <w:rPr>
          <w:rStyle w:val="FootnoteReference"/>
          <w:bCs/>
          <w:szCs w:val="22"/>
        </w:rPr>
        <w:footnoteReference w:id="89"/>
      </w:r>
      <w:r w:rsidR="00212868">
        <w:rPr>
          <w:bCs/>
          <w:color w:val="212121"/>
          <w:szCs w:val="22"/>
        </w:rPr>
        <w:t xml:space="preserve"> t</w:t>
      </w:r>
      <w:r w:rsidR="00FD6F96">
        <w:rPr>
          <w:bCs/>
          <w:color w:val="212121"/>
          <w:szCs w:val="22"/>
        </w:rPr>
        <w:t xml:space="preserve">he </w:t>
      </w:r>
      <w:r w:rsidRPr="001A573F" w:rsidR="00330585">
        <w:rPr>
          <w:bCs/>
          <w:snapToGrid/>
          <w:kern w:val="0"/>
        </w:rPr>
        <w:t xml:space="preserve">GI DI </w:t>
      </w:r>
      <w:r w:rsidR="00330585">
        <w:rPr>
          <w:bCs/>
          <w:snapToGrid/>
          <w:kern w:val="0"/>
        </w:rPr>
        <w:t xml:space="preserve">Iris </w:t>
      </w:r>
      <w:r w:rsidRPr="001A573F" w:rsidR="00330585">
        <w:rPr>
          <w:bCs/>
          <w:snapToGrid/>
          <w:kern w:val="0"/>
        </w:rPr>
        <w:t>Acquisition</w:t>
      </w:r>
      <w:r w:rsidR="00330585">
        <w:rPr>
          <w:bCs/>
          <w:color w:val="212121"/>
          <w:szCs w:val="22"/>
        </w:rPr>
        <w:t xml:space="preserve"> </w:t>
      </w:r>
      <w:r w:rsidRPr="00CA3F3D" w:rsidR="00330585">
        <w:rPr>
          <w:bCs/>
          <w:color w:val="212121"/>
          <w:szCs w:val="22"/>
        </w:rPr>
        <w:t>P</w:t>
      </w:r>
      <w:r w:rsidR="0079250C">
        <w:rPr>
          <w:bCs/>
          <w:color w:val="212121"/>
          <w:szCs w:val="22"/>
        </w:rPr>
        <w:t>e</w:t>
      </w:r>
      <w:r w:rsidRPr="00CA3F3D">
        <w:rPr>
          <w:bCs/>
          <w:color w:val="212121"/>
          <w:szCs w:val="22"/>
        </w:rPr>
        <w:t>titioners request up to 100% aggregate foreign ownership interest in the proposed controlling U.S. parent, JAB Wireless.</w:t>
      </w:r>
      <w:r>
        <w:rPr>
          <w:bCs/>
          <w:color w:val="212121"/>
          <w:szCs w:val="22"/>
          <w:vertAlign w:val="superscript"/>
        </w:rPr>
        <w:footnoteReference w:id="90"/>
      </w:r>
      <w:r w:rsidRPr="00CA3F3D">
        <w:rPr>
          <w:bCs/>
          <w:color w:val="212121"/>
          <w:szCs w:val="22"/>
        </w:rPr>
        <w:t xml:space="preserve">   </w:t>
      </w:r>
    </w:p>
    <w:p w:rsidR="004B0AB6" w:rsidRPr="00CA3F3D" w:rsidP="00DB7A26" w14:paraId="723AA11C" w14:textId="14E383B6">
      <w:pPr>
        <w:widowControl/>
        <w:autoSpaceDE w:val="0"/>
        <w:autoSpaceDN w:val="0"/>
        <w:adjustRightInd w:val="0"/>
        <w:spacing w:after="120"/>
        <w:rPr>
          <w:bCs/>
          <w:color w:val="212121"/>
          <w:szCs w:val="22"/>
        </w:rPr>
      </w:pPr>
      <w:r>
        <w:rPr>
          <w:bCs/>
          <w:color w:val="212121"/>
          <w:szCs w:val="22"/>
        </w:rPr>
        <w:tab/>
        <w:t>We received no comments regarding foreign ownership</w:t>
      </w:r>
      <w:r w:rsidR="00F05F09">
        <w:rPr>
          <w:bCs/>
          <w:color w:val="212121"/>
          <w:szCs w:val="22"/>
        </w:rPr>
        <w:t xml:space="preserve"> </w:t>
      </w:r>
      <w:r w:rsidR="003D2BC9">
        <w:rPr>
          <w:bCs/>
          <w:color w:val="212121"/>
          <w:szCs w:val="22"/>
        </w:rPr>
        <w:t xml:space="preserve">interests </w:t>
      </w:r>
      <w:r w:rsidR="003C0F75">
        <w:rPr>
          <w:bCs/>
          <w:color w:val="212121"/>
          <w:szCs w:val="22"/>
        </w:rPr>
        <w:t>o</w:t>
      </w:r>
      <w:r w:rsidR="006F56A6">
        <w:rPr>
          <w:bCs/>
          <w:color w:val="212121"/>
          <w:szCs w:val="22"/>
        </w:rPr>
        <w:t>f</w:t>
      </w:r>
      <w:r w:rsidR="003D2BC9">
        <w:rPr>
          <w:bCs/>
          <w:color w:val="212121"/>
          <w:szCs w:val="22"/>
        </w:rPr>
        <w:t xml:space="preserve"> the </w:t>
      </w:r>
      <w:r w:rsidRPr="001A573F" w:rsidR="0079250C">
        <w:rPr>
          <w:bCs/>
          <w:snapToGrid/>
          <w:kern w:val="0"/>
        </w:rPr>
        <w:t xml:space="preserve">GI DI </w:t>
      </w:r>
      <w:r w:rsidR="0079250C">
        <w:rPr>
          <w:bCs/>
          <w:snapToGrid/>
          <w:kern w:val="0"/>
        </w:rPr>
        <w:t xml:space="preserve">Iris </w:t>
      </w:r>
      <w:r w:rsidRPr="001A573F" w:rsidR="0079250C">
        <w:rPr>
          <w:bCs/>
          <w:snapToGrid/>
          <w:kern w:val="0"/>
        </w:rPr>
        <w:t>Acquisition</w:t>
      </w:r>
      <w:r w:rsidR="0079250C">
        <w:rPr>
          <w:bCs/>
          <w:color w:val="212121"/>
          <w:szCs w:val="22"/>
        </w:rPr>
        <w:t xml:space="preserve"> Petition</w:t>
      </w:r>
      <w:r w:rsidR="00EA5568">
        <w:rPr>
          <w:bCs/>
          <w:color w:val="212121"/>
          <w:szCs w:val="22"/>
        </w:rPr>
        <w:t xml:space="preserve">. </w:t>
      </w:r>
      <w:r w:rsidR="00BC3A12">
        <w:rPr>
          <w:bCs/>
          <w:color w:val="212121"/>
          <w:szCs w:val="22"/>
        </w:rPr>
        <w:t xml:space="preserve"> </w:t>
      </w:r>
      <w:r w:rsidR="00EA5568">
        <w:rPr>
          <w:bCs/>
          <w:color w:val="212121"/>
          <w:szCs w:val="22"/>
        </w:rPr>
        <w:t>Based on our review of the record, under section 310(b)(4)</w:t>
      </w:r>
      <w:r w:rsidR="00267004">
        <w:rPr>
          <w:bCs/>
          <w:color w:val="212121"/>
          <w:szCs w:val="22"/>
        </w:rPr>
        <w:t xml:space="preserve"> of the Act and the Commission’s foreign ownership rules and </w:t>
      </w:r>
      <w:r w:rsidR="00FD6F96">
        <w:rPr>
          <w:bCs/>
          <w:color w:val="212121"/>
          <w:szCs w:val="22"/>
        </w:rPr>
        <w:t>policies</w:t>
      </w:r>
      <w:r w:rsidR="00267004">
        <w:rPr>
          <w:bCs/>
          <w:color w:val="212121"/>
          <w:szCs w:val="22"/>
        </w:rPr>
        <w:t xml:space="preserve">, we find that the public intertest would not be served by prohibiting foreign ownership of </w:t>
      </w:r>
      <w:r w:rsidR="008E182E">
        <w:rPr>
          <w:bCs/>
          <w:color w:val="212121"/>
          <w:szCs w:val="22"/>
        </w:rPr>
        <w:t>JAB Wireless</w:t>
      </w:r>
      <w:r w:rsidR="00394B07">
        <w:rPr>
          <w:bCs/>
          <w:color w:val="212121"/>
          <w:szCs w:val="22"/>
        </w:rPr>
        <w:t>, the controlling U.S. parent</w:t>
      </w:r>
      <w:r w:rsidR="002008E2">
        <w:rPr>
          <w:bCs/>
          <w:color w:val="212121"/>
          <w:szCs w:val="22"/>
        </w:rPr>
        <w:t>, in excess of the 25% benchmarks in section 310(b)(4) of the Act</w:t>
      </w:r>
      <w:r w:rsidR="0057328A">
        <w:rPr>
          <w:bCs/>
          <w:color w:val="212121"/>
          <w:szCs w:val="22"/>
        </w:rPr>
        <w:t>.</w:t>
      </w:r>
      <w:r w:rsidR="002008E2">
        <w:rPr>
          <w:bCs/>
          <w:color w:val="212121"/>
          <w:szCs w:val="22"/>
        </w:rPr>
        <w:t xml:space="preserve"> </w:t>
      </w:r>
      <w:r w:rsidR="0057328A">
        <w:rPr>
          <w:bCs/>
          <w:color w:val="212121"/>
          <w:szCs w:val="22"/>
        </w:rPr>
        <w:t xml:space="preserve"> W</w:t>
      </w:r>
      <w:r w:rsidR="000257E6">
        <w:rPr>
          <w:bCs/>
          <w:color w:val="212121"/>
          <w:szCs w:val="22"/>
        </w:rPr>
        <w:t xml:space="preserve">e, therefore, grant the </w:t>
      </w:r>
      <w:r w:rsidRPr="001A573F" w:rsidR="0079250C">
        <w:rPr>
          <w:bCs/>
          <w:snapToGrid/>
          <w:kern w:val="0"/>
        </w:rPr>
        <w:t xml:space="preserve">GI DI </w:t>
      </w:r>
      <w:r w:rsidR="0079250C">
        <w:rPr>
          <w:bCs/>
          <w:snapToGrid/>
          <w:kern w:val="0"/>
        </w:rPr>
        <w:t xml:space="preserve">Iris </w:t>
      </w:r>
      <w:r w:rsidRPr="001A573F" w:rsidR="0079250C">
        <w:rPr>
          <w:bCs/>
          <w:snapToGrid/>
          <w:kern w:val="0"/>
        </w:rPr>
        <w:t>Acquisition</w:t>
      </w:r>
      <w:r w:rsidR="0079250C">
        <w:rPr>
          <w:bCs/>
          <w:color w:val="212121"/>
          <w:szCs w:val="22"/>
        </w:rPr>
        <w:t xml:space="preserve"> </w:t>
      </w:r>
      <w:r w:rsidR="000257E6">
        <w:rPr>
          <w:bCs/>
          <w:color w:val="212121"/>
          <w:szCs w:val="22"/>
        </w:rPr>
        <w:t>Petition</w:t>
      </w:r>
      <w:r w:rsidR="007F3247">
        <w:rPr>
          <w:bCs/>
          <w:color w:val="212121"/>
          <w:szCs w:val="22"/>
        </w:rPr>
        <w:t xml:space="preserve"> subject to the conditions set forth herein. </w:t>
      </w:r>
      <w:r w:rsidR="00FE300D">
        <w:rPr>
          <w:bCs/>
          <w:color w:val="212121"/>
          <w:szCs w:val="22"/>
        </w:rPr>
        <w:t xml:space="preserve"> </w:t>
      </w:r>
      <w:r w:rsidR="007F3247">
        <w:rPr>
          <w:bCs/>
          <w:color w:val="212121"/>
          <w:szCs w:val="22"/>
        </w:rPr>
        <w:t>This ruling authorizes</w:t>
      </w:r>
      <w:r w:rsidR="00464719">
        <w:rPr>
          <w:bCs/>
          <w:color w:val="212121"/>
          <w:szCs w:val="22"/>
        </w:rPr>
        <w:t xml:space="preserve"> 100% aggregate foreign ownership of JAB Wireless as the controlling U.S. parent of the </w:t>
      </w:r>
      <w:r w:rsidR="00650A84">
        <w:rPr>
          <w:bCs/>
          <w:color w:val="212121"/>
          <w:szCs w:val="22"/>
        </w:rPr>
        <w:t xml:space="preserve">Wireless </w:t>
      </w:r>
      <w:r w:rsidR="00464719">
        <w:rPr>
          <w:bCs/>
          <w:color w:val="212121"/>
          <w:szCs w:val="22"/>
        </w:rPr>
        <w:t>Licensees</w:t>
      </w:r>
      <w:r w:rsidR="004C6A6F">
        <w:rPr>
          <w:bCs/>
          <w:color w:val="212121"/>
          <w:szCs w:val="22"/>
        </w:rPr>
        <w:t>, subject to the</w:t>
      </w:r>
      <w:r w:rsidR="003230E2">
        <w:rPr>
          <w:bCs/>
          <w:color w:val="212121"/>
          <w:szCs w:val="22"/>
        </w:rPr>
        <w:t xml:space="preserve"> terms and conditions set forth in section 1.5004 of the Commission’s rules.</w:t>
      </w:r>
      <w:r>
        <w:rPr>
          <w:rStyle w:val="FootnoteReference"/>
          <w:bCs/>
          <w:szCs w:val="22"/>
        </w:rPr>
        <w:footnoteReference w:id="91"/>
      </w:r>
      <w:r w:rsidR="003230E2">
        <w:rPr>
          <w:bCs/>
          <w:color w:val="212121"/>
          <w:szCs w:val="22"/>
        </w:rPr>
        <w:t xml:space="preserve"> </w:t>
      </w:r>
      <w:r w:rsidR="003E1F38">
        <w:rPr>
          <w:bCs/>
          <w:color w:val="212121"/>
          <w:szCs w:val="22"/>
        </w:rPr>
        <w:t xml:space="preserve"> </w:t>
      </w:r>
    </w:p>
    <w:p w:rsidR="00CA3F3D" w:rsidRPr="00CA3F3D" w:rsidP="00EB7AE5" w14:paraId="1A4267DE" w14:textId="5CBFDCE7">
      <w:pPr>
        <w:widowControl/>
        <w:autoSpaceDE w:val="0"/>
        <w:autoSpaceDN w:val="0"/>
        <w:adjustRightInd w:val="0"/>
        <w:spacing w:after="120"/>
        <w:ind w:firstLine="720"/>
        <w:rPr>
          <w:bCs/>
          <w:color w:val="212121"/>
          <w:szCs w:val="22"/>
        </w:rPr>
      </w:pPr>
      <w:r w:rsidRPr="00CA3F3D">
        <w:rPr>
          <w:bCs/>
          <w:color w:val="212121"/>
          <w:szCs w:val="22"/>
        </w:rPr>
        <w:t xml:space="preserve">According to the </w:t>
      </w:r>
      <w:r w:rsidRPr="001A573F" w:rsidR="0079250C">
        <w:rPr>
          <w:bCs/>
          <w:snapToGrid/>
          <w:kern w:val="0"/>
        </w:rPr>
        <w:t xml:space="preserve">GI DI </w:t>
      </w:r>
      <w:r w:rsidR="0079250C">
        <w:rPr>
          <w:bCs/>
          <w:snapToGrid/>
          <w:kern w:val="0"/>
        </w:rPr>
        <w:t xml:space="preserve">Iris </w:t>
      </w:r>
      <w:r w:rsidRPr="001A573F" w:rsidR="0079250C">
        <w:rPr>
          <w:bCs/>
          <w:snapToGrid/>
          <w:kern w:val="0"/>
        </w:rPr>
        <w:t>Acquisition</w:t>
      </w:r>
      <w:r w:rsidRPr="00CA3F3D" w:rsidR="0079250C">
        <w:rPr>
          <w:bCs/>
          <w:color w:val="212121"/>
          <w:szCs w:val="22"/>
        </w:rPr>
        <w:t xml:space="preserve"> </w:t>
      </w:r>
      <w:r w:rsidRPr="00CA3F3D">
        <w:rPr>
          <w:bCs/>
          <w:color w:val="212121"/>
          <w:szCs w:val="22"/>
        </w:rPr>
        <w:t xml:space="preserve">Petition, upon consummation of the </w:t>
      </w:r>
      <w:r w:rsidRPr="001A573F" w:rsidR="0079250C">
        <w:rPr>
          <w:bCs/>
          <w:snapToGrid/>
          <w:kern w:val="0"/>
        </w:rPr>
        <w:t xml:space="preserve">GI DI </w:t>
      </w:r>
      <w:r w:rsidR="0079250C">
        <w:rPr>
          <w:bCs/>
          <w:snapToGrid/>
          <w:kern w:val="0"/>
        </w:rPr>
        <w:t xml:space="preserve">Iris </w:t>
      </w:r>
      <w:r w:rsidRPr="001A573F" w:rsidR="0079250C">
        <w:rPr>
          <w:bCs/>
          <w:snapToGrid/>
          <w:kern w:val="0"/>
        </w:rPr>
        <w:t>Acquisition</w:t>
      </w:r>
      <w:r w:rsidR="0079250C">
        <w:rPr>
          <w:bCs/>
          <w:color w:val="212121"/>
          <w:szCs w:val="22"/>
        </w:rPr>
        <w:t xml:space="preserve"> </w:t>
      </w:r>
      <w:r w:rsidRPr="00CA3F3D">
        <w:rPr>
          <w:bCs/>
          <w:color w:val="212121"/>
          <w:szCs w:val="22"/>
        </w:rPr>
        <w:t xml:space="preserve">Transaction, no foreign individual or entity will hold </w:t>
      </w:r>
      <w:r w:rsidR="00F75A30">
        <w:rPr>
          <w:bCs/>
          <w:color w:val="212121"/>
          <w:szCs w:val="22"/>
        </w:rPr>
        <w:t>a</w:t>
      </w:r>
      <w:r w:rsidRPr="00CA3F3D">
        <w:rPr>
          <w:bCs/>
          <w:color w:val="212121"/>
          <w:szCs w:val="22"/>
        </w:rPr>
        <w:t xml:space="preserve"> 5% or greater direct or indirect equity and/or voting interest in GI DI Iris Acquisition and Wireless Licensees.</w:t>
      </w:r>
      <w:r>
        <w:rPr>
          <w:bCs/>
          <w:color w:val="212121"/>
          <w:szCs w:val="22"/>
          <w:vertAlign w:val="superscript"/>
        </w:rPr>
        <w:footnoteReference w:id="92"/>
      </w:r>
      <w:r w:rsidRPr="00CA3F3D">
        <w:rPr>
          <w:bCs/>
          <w:color w:val="212121"/>
          <w:szCs w:val="22"/>
        </w:rPr>
        <w:t xml:space="preserve">  Therefore, </w:t>
      </w:r>
      <w:r w:rsidR="00981B30">
        <w:rPr>
          <w:bCs/>
          <w:color w:val="212121"/>
          <w:szCs w:val="22"/>
        </w:rPr>
        <w:t xml:space="preserve">the </w:t>
      </w:r>
      <w:r w:rsidRPr="00CA3F3D" w:rsidR="00BB5BDD">
        <w:rPr>
          <w:bCs/>
          <w:color w:val="212121"/>
          <w:szCs w:val="22"/>
        </w:rPr>
        <w:t xml:space="preserve">GI DI Iris Acquisition </w:t>
      </w:r>
      <w:r w:rsidR="0079250C">
        <w:rPr>
          <w:bCs/>
          <w:color w:val="212121"/>
          <w:szCs w:val="22"/>
        </w:rPr>
        <w:t>P</w:t>
      </w:r>
      <w:r w:rsidRPr="00CA3F3D">
        <w:rPr>
          <w:bCs/>
          <w:color w:val="212121"/>
          <w:szCs w:val="22"/>
        </w:rPr>
        <w:t>etitioners do not request specific or advance approval for any foreign interest holder(s).</w:t>
      </w:r>
      <w:r>
        <w:rPr>
          <w:bCs/>
          <w:color w:val="212121"/>
          <w:szCs w:val="22"/>
          <w:vertAlign w:val="superscript"/>
        </w:rPr>
        <w:footnoteReference w:id="93"/>
      </w:r>
      <w:r w:rsidRPr="00CA3F3D">
        <w:rPr>
          <w:bCs/>
          <w:color w:val="212121"/>
          <w:szCs w:val="22"/>
        </w:rPr>
        <w:t xml:space="preserve">  </w:t>
      </w:r>
      <w:r w:rsidRPr="00DB7A26" w:rsidR="00F7755B">
        <w:rPr>
          <w:bCs/>
          <w:color w:val="212121"/>
          <w:szCs w:val="22"/>
        </w:rPr>
        <w:t xml:space="preserve">We </w:t>
      </w:r>
      <w:r w:rsidR="00F7755B">
        <w:rPr>
          <w:bCs/>
          <w:color w:val="212121"/>
          <w:szCs w:val="22"/>
        </w:rPr>
        <w:t>note</w:t>
      </w:r>
      <w:r w:rsidRPr="00DB7A26" w:rsidR="00F7755B">
        <w:rPr>
          <w:bCs/>
          <w:color w:val="212121"/>
          <w:szCs w:val="22"/>
        </w:rPr>
        <w:t xml:space="preserve"> that</w:t>
      </w:r>
      <w:r w:rsidR="00F7755B">
        <w:rPr>
          <w:bCs/>
          <w:color w:val="212121"/>
          <w:szCs w:val="22"/>
        </w:rPr>
        <w:t>,</w:t>
      </w:r>
      <w:r w:rsidRPr="00DB7A26" w:rsidR="00F7755B">
        <w:rPr>
          <w:bCs/>
          <w:color w:val="212121"/>
          <w:szCs w:val="22"/>
        </w:rPr>
        <w:t xml:space="preserve"> pursuant to Section </w:t>
      </w:r>
      <w:r w:rsidR="00F7755B">
        <w:rPr>
          <w:bCs/>
          <w:color w:val="212121"/>
          <w:szCs w:val="22"/>
        </w:rPr>
        <w:t xml:space="preserve">1.5001 and </w:t>
      </w:r>
      <w:r w:rsidRPr="00DB7A26" w:rsidR="00F7755B">
        <w:rPr>
          <w:bCs/>
          <w:color w:val="212121"/>
          <w:szCs w:val="22"/>
        </w:rPr>
        <w:t>1.</w:t>
      </w:r>
      <w:r w:rsidR="00F7755B">
        <w:rPr>
          <w:bCs/>
          <w:color w:val="212121"/>
          <w:szCs w:val="22"/>
        </w:rPr>
        <w:t xml:space="preserve">5004 of the Commission’s rules, </w:t>
      </w:r>
      <w:r w:rsidRPr="001A573F" w:rsidR="00F7755B">
        <w:rPr>
          <w:bCs/>
          <w:snapToGrid/>
          <w:kern w:val="0"/>
        </w:rPr>
        <w:t xml:space="preserve">GI DI </w:t>
      </w:r>
      <w:r w:rsidR="00F7755B">
        <w:rPr>
          <w:bCs/>
          <w:snapToGrid/>
          <w:kern w:val="0"/>
        </w:rPr>
        <w:t xml:space="preserve">Iris </w:t>
      </w:r>
      <w:r w:rsidRPr="001A573F" w:rsidR="00F7755B">
        <w:rPr>
          <w:bCs/>
          <w:snapToGrid/>
          <w:kern w:val="0"/>
        </w:rPr>
        <w:t>Acquisition</w:t>
      </w:r>
      <w:r w:rsidR="00F7755B">
        <w:rPr>
          <w:bCs/>
          <w:color w:val="212121"/>
          <w:szCs w:val="22"/>
        </w:rPr>
        <w:t xml:space="preserve"> Petitioner</w:t>
      </w:r>
      <w:r w:rsidRPr="00DB7A26" w:rsidR="00F7755B">
        <w:rPr>
          <w:bCs/>
          <w:color w:val="212121"/>
          <w:szCs w:val="22"/>
        </w:rPr>
        <w:t xml:space="preserve"> is required to seek and</w:t>
      </w:r>
      <w:r w:rsidR="00F7755B">
        <w:rPr>
          <w:bCs/>
          <w:color w:val="212121"/>
          <w:szCs w:val="22"/>
        </w:rPr>
        <w:t xml:space="preserve"> </w:t>
      </w:r>
      <w:r w:rsidRPr="00DB7A26" w:rsidR="00F7755B">
        <w:rPr>
          <w:bCs/>
          <w:color w:val="212121"/>
          <w:szCs w:val="22"/>
        </w:rPr>
        <w:t xml:space="preserve">obtain Commission approval before any foreign individual, entity, or “group” acquires, directly and/or indirectly, more than </w:t>
      </w:r>
      <w:r w:rsidR="00F7755B">
        <w:rPr>
          <w:bCs/>
          <w:color w:val="212121"/>
          <w:szCs w:val="22"/>
        </w:rPr>
        <w:t>5%</w:t>
      </w:r>
      <w:r w:rsidRPr="00DB7A26" w:rsidR="00F7755B">
        <w:rPr>
          <w:bCs/>
          <w:color w:val="212121"/>
          <w:szCs w:val="22"/>
        </w:rPr>
        <w:t xml:space="preserve"> of </w:t>
      </w:r>
      <w:r w:rsidR="00F7755B">
        <w:rPr>
          <w:bCs/>
          <w:color w:val="212121"/>
          <w:szCs w:val="22"/>
        </w:rPr>
        <w:t>JAB Wireless’</w:t>
      </w:r>
      <w:r w:rsidRPr="00DB7A26" w:rsidR="00F7755B">
        <w:rPr>
          <w:bCs/>
          <w:color w:val="212121"/>
          <w:szCs w:val="22"/>
        </w:rPr>
        <w:t xml:space="preserve"> equity and/or voting</w:t>
      </w:r>
      <w:r w:rsidR="00F7755B">
        <w:rPr>
          <w:bCs/>
          <w:color w:val="212121"/>
          <w:szCs w:val="22"/>
        </w:rPr>
        <w:t xml:space="preserve"> </w:t>
      </w:r>
      <w:r w:rsidRPr="00DB7A26" w:rsidR="00F7755B">
        <w:rPr>
          <w:bCs/>
          <w:color w:val="212121"/>
          <w:szCs w:val="22"/>
        </w:rPr>
        <w:t>interests, or a controlling interest, with the exception of any foreign individual, entity, or “group” that</w:t>
      </w:r>
      <w:r w:rsidR="00F7755B">
        <w:rPr>
          <w:bCs/>
          <w:color w:val="212121"/>
          <w:szCs w:val="22"/>
        </w:rPr>
        <w:t xml:space="preserve"> </w:t>
      </w:r>
      <w:r w:rsidRPr="00DB7A26" w:rsidR="00F7755B">
        <w:rPr>
          <w:bCs/>
          <w:color w:val="212121"/>
          <w:szCs w:val="22"/>
        </w:rPr>
        <w:t xml:space="preserve">acquires an equity and/or voting interest of </w:t>
      </w:r>
      <w:r w:rsidRPr="00AB1744" w:rsidR="00F7755B">
        <w:rPr>
          <w:bCs/>
          <w:color w:val="212121"/>
          <w:szCs w:val="22"/>
        </w:rPr>
        <w:t>10%</w:t>
      </w:r>
      <w:r w:rsidRPr="00DB7A26" w:rsidR="00F7755B">
        <w:rPr>
          <w:bCs/>
          <w:color w:val="212121"/>
          <w:szCs w:val="22"/>
        </w:rPr>
        <w:t xml:space="preserve"> or less, provided that the interest is exempt under</w:t>
      </w:r>
      <w:r w:rsidR="00F7755B">
        <w:rPr>
          <w:bCs/>
          <w:color w:val="212121"/>
          <w:szCs w:val="22"/>
        </w:rPr>
        <w:t xml:space="preserve"> </w:t>
      </w:r>
      <w:r w:rsidRPr="00DB7A26" w:rsidR="00F7755B">
        <w:rPr>
          <w:bCs/>
          <w:color w:val="212121"/>
          <w:szCs w:val="22"/>
        </w:rPr>
        <w:t>1.</w:t>
      </w:r>
      <w:r w:rsidR="00F7755B">
        <w:rPr>
          <w:bCs/>
          <w:color w:val="212121"/>
          <w:szCs w:val="22"/>
        </w:rPr>
        <w:t>5001(i)(3)</w:t>
      </w:r>
      <w:r w:rsidRPr="00DB7A26" w:rsidR="00F7755B">
        <w:rPr>
          <w:bCs/>
          <w:color w:val="212121"/>
          <w:szCs w:val="22"/>
        </w:rPr>
        <w:t xml:space="preserve"> of the Commission’s rules.</w:t>
      </w:r>
      <w:r>
        <w:rPr>
          <w:rStyle w:val="FootnoteReference"/>
          <w:bCs/>
          <w:szCs w:val="22"/>
        </w:rPr>
        <w:footnoteReference w:id="94"/>
      </w:r>
    </w:p>
    <w:p w:rsidR="00DB7FD3" w:rsidP="00E33BD7" w14:paraId="56AA7540" w14:textId="385B7947">
      <w:pPr>
        <w:widowControl/>
        <w:autoSpaceDE w:val="0"/>
        <w:autoSpaceDN w:val="0"/>
        <w:adjustRightInd w:val="0"/>
        <w:ind w:firstLine="720"/>
        <w:rPr>
          <w:color w:val="212121"/>
          <w:szCs w:val="22"/>
        </w:rPr>
      </w:pPr>
      <w:r>
        <w:rPr>
          <w:color w:val="212121"/>
          <w:szCs w:val="22"/>
        </w:rPr>
        <w:t xml:space="preserve">Under this ruling, </w:t>
      </w:r>
      <w:r w:rsidR="00087A2D">
        <w:rPr>
          <w:color w:val="212121"/>
          <w:szCs w:val="22"/>
        </w:rPr>
        <w:t xml:space="preserve">the </w:t>
      </w:r>
      <w:r w:rsidRPr="00CA3F3D" w:rsidR="00087A2D">
        <w:rPr>
          <w:bCs/>
          <w:color w:val="212121"/>
          <w:szCs w:val="22"/>
        </w:rPr>
        <w:t xml:space="preserve">GI DI Iris Acquisition </w:t>
      </w:r>
      <w:r>
        <w:rPr>
          <w:color w:val="212121"/>
          <w:szCs w:val="22"/>
        </w:rPr>
        <w:t xml:space="preserve">Petitioners </w:t>
      </w:r>
      <w:r w:rsidR="00BD4DB1">
        <w:rPr>
          <w:color w:val="212121"/>
          <w:szCs w:val="22"/>
        </w:rPr>
        <w:t xml:space="preserve">also </w:t>
      </w:r>
      <w:r>
        <w:rPr>
          <w:color w:val="212121"/>
          <w:szCs w:val="22"/>
        </w:rPr>
        <w:t xml:space="preserve">have </w:t>
      </w:r>
      <w:r w:rsidRPr="00875E49" w:rsidR="00875E49">
        <w:rPr>
          <w:color w:val="212121"/>
          <w:szCs w:val="22"/>
        </w:rPr>
        <w:t>an affirmative duty to monitor their foreign equity and</w:t>
      </w:r>
      <w:r w:rsidR="00087A2D">
        <w:rPr>
          <w:color w:val="212121"/>
          <w:szCs w:val="22"/>
        </w:rPr>
        <w:t xml:space="preserve"> </w:t>
      </w:r>
      <w:r w:rsidRPr="00875E49" w:rsidR="00875E49">
        <w:rPr>
          <w:color w:val="212121"/>
          <w:szCs w:val="22"/>
        </w:rPr>
        <w:t>voting interests, calculate their interests consistent with the principles enunciated by the Commission,</w:t>
      </w:r>
      <w:r w:rsidR="00087A2D">
        <w:rPr>
          <w:color w:val="212121"/>
          <w:szCs w:val="22"/>
        </w:rPr>
        <w:t xml:space="preserve"> </w:t>
      </w:r>
      <w:r w:rsidRPr="00875E49" w:rsidR="00875E49">
        <w:rPr>
          <w:color w:val="212121"/>
          <w:szCs w:val="22"/>
        </w:rPr>
        <w:t xml:space="preserve">including the standards and criteria set forth in sections 1.5002 through 1.5003 of the </w:t>
      </w:r>
      <w:r w:rsidR="00404C8C">
        <w:rPr>
          <w:color w:val="212121"/>
          <w:szCs w:val="22"/>
        </w:rPr>
        <w:t xml:space="preserve">Commission’s </w:t>
      </w:r>
      <w:r w:rsidRPr="00875E49" w:rsidR="00875E49">
        <w:rPr>
          <w:color w:val="212121"/>
          <w:szCs w:val="22"/>
        </w:rPr>
        <w:t>rules,</w:t>
      </w:r>
      <w:r>
        <w:rPr>
          <w:rStyle w:val="FootnoteReference"/>
          <w:szCs w:val="22"/>
        </w:rPr>
        <w:footnoteReference w:id="95"/>
      </w:r>
      <w:r w:rsidR="006B42DB">
        <w:rPr>
          <w:color w:val="212121"/>
          <w:szCs w:val="22"/>
        </w:rPr>
        <w:t xml:space="preserve"> </w:t>
      </w:r>
      <w:r w:rsidRPr="00875E49" w:rsidR="00875E49">
        <w:rPr>
          <w:color w:val="212121"/>
          <w:szCs w:val="22"/>
        </w:rPr>
        <w:t>and</w:t>
      </w:r>
      <w:r w:rsidR="00404C8C">
        <w:rPr>
          <w:color w:val="212121"/>
          <w:szCs w:val="22"/>
        </w:rPr>
        <w:t xml:space="preserve"> </w:t>
      </w:r>
      <w:r w:rsidRPr="00875E49" w:rsidR="00875E49">
        <w:rPr>
          <w:color w:val="212121"/>
          <w:szCs w:val="22"/>
        </w:rPr>
        <w:t>otherwise ensure continuing compliance with the provisions of section 310(b) of the Act.</w:t>
      </w:r>
      <w:r>
        <w:rPr>
          <w:rStyle w:val="FootnoteReference"/>
          <w:szCs w:val="22"/>
        </w:rPr>
        <w:footnoteReference w:id="96"/>
      </w:r>
      <w:r w:rsidRPr="00875E49" w:rsidR="00875E49">
        <w:rPr>
          <w:color w:val="212121"/>
          <w:szCs w:val="22"/>
        </w:rPr>
        <w:t xml:space="preserve"> </w:t>
      </w:r>
      <w:r w:rsidR="00A66A59">
        <w:rPr>
          <w:color w:val="212121"/>
          <w:szCs w:val="22"/>
        </w:rPr>
        <w:t xml:space="preserve"> </w:t>
      </w:r>
      <w:r w:rsidRPr="00875E49" w:rsidR="00875E49">
        <w:rPr>
          <w:color w:val="212121"/>
          <w:szCs w:val="22"/>
        </w:rPr>
        <w:t>Failure to</w:t>
      </w:r>
      <w:r w:rsidR="00404C8C">
        <w:rPr>
          <w:color w:val="212121"/>
          <w:szCs w:val="22"/>
        </w:rPr>
        <w:t xml:space="preserve"> </w:t>
      </w:r>
      <w:r w:rsidRPr="00875E49" w:rsidR="00875E49">
        <w:rPr>
          <w:color w:val="212121"/>
          <w:szCs w:val="22"/>
        </w:rPr>
        <w:t>comply and/or remain in compliance with a condition of this authorization shall constitute grounds for</w:t>
      </w:r>
      <w:r w:rsidR="00404C8C">
        <w:rPr>
          <w:color w:val="212121"/>
          <w:szCs w:val="22"/>
        </w:rPr>
        <w:t xml:space="preserve"> </w:t>
      </w:r>
      <w:r w:rsidRPr="00875E49" w:rsidR="00875E49">
        <w:rPr>
          <w:color w:val="212121"/>
          <w:szCs w:val="22"/>
        </w:rPr>
        <w:t>declaring it terminated without further action on the part of the Commission.</w:t>
      </w:r>
      <w:r w:rsidR="00A66A59">
        <w:rPr>
          <w:color w:val="212121"/>
          <w:szCs w:val="22"/>
        </w:rPr>
        <w:t xml:space="preserve"> </w:t>
      </w:r>
      <w:r w:rsidRPr="00875E49" w:rsidR="00875E49">
        <w:rPr>
          <w:color w:val="212121"/>
          <w:szCs w:val="22"/>
        </w:rPr>
        <w:t xml:space="preserve"> Failure to meet a condition</w:t>
      </w:r>
      <w:r w:rsidR="00404C8C">
        <w:rPr>
          <w:color w:val="212121"/>
          <w:szCs w:val="22"/>
        </w:rPr>
        <w:t xml:space="preserve"> </w:t>
      </w:r>
      <w:r w:rsidRPr="00875E49" w:rsidR="00875E49">
        <w:rPr>
          <w:color w:val="212121"/>
          <w:szCs w:val="22"/>
        </w:rPr>
        <w:t>of this ruling may also result in monetary sanctions or other enforcement action by the Commission.</w:t>
      </w:r>
      <w:r w:rsidR="00C17E82">
        <w:rPr>
          <w:color w:val="212121"/>
          <w:szCs w:val="22"/>
        </w:rPr>
        <w:t xml:space="preserve"> </w:t>
      </w:r>
    </w:p>
    <w:p w:rsidR="00E83662" w:rsidP="00E33BD7" w14:paraId="6FFEE21B" w14:textId="2A59F8BD">
      <w:pPr>
        <w:widowControl/>
        <w:autoSpaceDE w:val="0"/>
        <w:autoSpaceDN w:val="0"/>
        <w:adjustRightInd w:val="0"/>
        <w:rPr>
          <w:color w:val="212121"/>
          <w:szCs w:val="22"/>
        </w:rPr>
      </w:pPr>
      <w:r w:rsidRPr="00C93FA6">
        <w:rPr>
          <w:bCs/>
          <w:color w:val="212121"/>
          <w:szCs w:val="22"/>
        </w:rPr>
        <w:tab/>
      </w:r>
      <w:r>
        <w:rPr>
          <w:color w:val="212121"/>
          <w:szCs w:val="22"/>
        </w:rPr>
        <w:t xml:space="preserve"> </w:t>
      </w:r>
    </w:p>
    <w:p w:rsidR="009D302A" w:rsidP="00E33BD7" w14:paraId="139512A2" w14:textId="77777777">
      <w:pPr>
        <w:keepNext/>
        <w:widowControl/>
        <w:autoSpaceDE w:val="0"/>
        <w:autoSpaceDN w:val="0"/>
        <w:adjustRightInd w:val="0"/>
        <w:spacing w:after="120"/>
        <w:rPr>
          <w:b/>
          <w:bCs/>
          <w:color w:val="212121"/>
          <w:szCs w:val="22"/>
          <w:u w:val="single"/>
        </w:rPr>
      </w:pPr>
      <w:r w:rsidRPr="00C52F49">
        <w:rPr>
          <w:b/>
          <w:bCs/>
          <w:color w:val="212121"/>
          <w:szCs w:val="22"/>
          <w:u w:val="single"/>
        </w:rPr>
        <w:t>Executive Branch Review</w:t>
      </w:r>
    </w:p>
    <w:p w:rsidR="00F66CE6" w:rsidP="00C52F49" w14:paraId="0C5D68B5" w14:textId="49CED267">
      <w:pPr>
        <w:widowControl/>
        <w:autoSpaceDE w:val="0"/>
        <w:autoSpaceDN w:val="0"/>
        <w:adjustRightInd w:val="0"/>
        <w:spacing w:after="120"/>
        <w:ind w:firstLine="720"/>
        <w:rPr>
          <w:color w:val="212121"/>
          <w:szCs w:val="22"/>
        </w:rPr>
      </w:pPr>
      <w:r w:rsidRPr="009D302A">
        <w:rPr>
          <w:color w:val="212121"/>
          <w:szCs w:val="22"/>
        </w:rPr>
        <w:t xml:space="preserve">Under our rules and procedures, the Commission will generally refer petitions for section 310(b) foreign ownership rulings for common carrier wireless applicants and licensees and all the associated applications to the Executive Branch agencies </w:t>
      </w:r>
      <w:r w:rsidR="00295BDC">
        <w:rPr>
          <w:color w:val="212121"/>
          <w:szCs w:val="22"/>
        </w:rPr>
        <w:t xml:space="preserve">(Agencies) </w:t>
      </w:r>
      <w:r w:rsidRPr="009D302A">
        <w:rPr>
          <w:color w:val="212121"/>
          <w:szCs w:val="22"/>
        </w:rPr>
        <w:t>for their views on any national security, law enforcement, foreign policy, or trade policy concerns related to the foreign ownership of the Applicants/Petitioners.</w:t>
      </w:r>
      <w:r>
        <w:rPr>
          <w:rStyle w:val="FootnoteReference"/>
          <w:szCs w:val="22"/>
        </w:rPr>
        <w:footnoteReference w:id="97"/>
      </w:r>
      <w:r w:rsidRPr="009D302A">
        <w:rPr>
          <w:color w:val="212121"/>
          <w:szCs w:val="22"/>
        </w:rPr>
        <w:t xml:space="preserve"> </w:t>
      </w:r>
    </w:p>
    <w:p w:rsidR="00FC0C5B" w:rsidP="00C52F49" w14:paraId="24AAA5DB" w14:textId="31FB7574">
      <w:pPr>
        <w:widowControl/>
        <w:autoSpaceDE w:val="0"/>
        <w:autoSpaceDN w:val="0"/>
        <w:adjustRightInd w:val="0"/>
        <w:spacing w:after="120"/>
        <w:ind w:firstLine="720"/>
      </w:pPr>
      <w:r>
        <w:t xml:space="preserve">We </w:t>
      </w:r>
      <w:r w:rsidR="000D6336">
        <w:t>did</w:t>
      </w:r>
      <w:r>
        <w:t xml:space="preserve"> not formally refer </w:t>
      </w:r>
      <w:r w:rsidR="00295BDC">
        <w:t>either the L</w:t>
      </w:r>
      <w:r w:rsidR="00C81543">
        <w:t>S</w:t>
      </w:r>
      <w:r w:rsidR="00295BDC">
        <w:t xml:space="preserve">tar Equity Application and Petition or the GI DI Iris Acquisition </w:t>
      </w:r>
      <w:r>
        <w:t>Application and Petition to the Agencies.</w:t>
      </w:r>
      <w:r>
        <w:rPr>
          <w:rStyle w:val="FootnoteReference"/>
        </w:rPr>
        <w:footnoteReference w:id="98"/>
      </w:r>
      <w:r>
        <w:t xml:space="preserve"> </w:t>
      </w:r>
      <w:r w:rsidR="00295BDC">
        <w:t xml:space="preserve"> </w:t>
      </w:r>
      <w:r>
        <w:t xml:space="preserve">As the Applicants state, the foreign ownership at issue in the </w:t>
      </w:r>
      <w:r w:rsidR="00295BDC">
        <w:t>L</w:t>
      </w:r>
      <w:r w:rsidR="00C81543">
        <w:t>S</w:t>
      </w:r>
      <w:r w:rsidR="00295BDC">
        <w:t xml:space="preserve">tar Equity </w:t>
      </w:r>
      <w:r>
        <w:t xml:space="preserve">Transaction will be removed by the </w:t>
      </w:r>
      <w:r w:rsidR="00295BDC">
        <w:t xml:space="preserve">GI DI Iris Acquisition </w:t>
      </w:r>
      <w:r>
        <w:t xml:space="preserve">Transaction. </w:t>
      </w:r>
      <w:r w:rsidR="00295BDC">
        <w:t xml:space="preserve"> Consequently, we </w:t>
      </w:r>
      <w:r>
        <w:t>f</w:t>
      </w:r>
      <w:r w:rsidR="00295BDC">
        <w:t>ound</w:t>
      </w:r>
      <w:r w:rsidR="00A01408">
        <w:t xml:space="preserve"> as a matter of discretion, that</w:t>
      </w:r>
      <w:r w:rsidR="00295BDC">
        <w:t xml:space="preserve"> it </w:t>
      </w:r>
      <w:r>
        <w:t xml:space="preserve">would not be an efficient use of resources for the </w:t>
      </w:r>
      <w:r w:rsidR="00295BDC">
        <w:t>A</w:t>
      </w:r>
      <w:r>
        <w:t>gencies or the Commission to refer the Application and Petition in these circumstances.</w:t>
      </w:r>
      <w:r>
        <w:rPr>
          <w:rStyle w:val="FootnoteReference"/>
        </w:rPr>
        <w:footnoteReference w:id="99"/>
      </w:r>
      <w:r w:rsidR="007E4081">
        <w:t xml:space="preserve"> </w:t>
      </w:r>
      <w:r w:rsidR="00827DEB">
        <w:t xml:space="preserve"> </w:t>
      </w:r>
      <w:r w:rsidRPr="00773E26" w:rsidR="00773E26">
        <w:t xml:space="preserve"> </w:t>
      </w:r>
      <w:r w:rsidR="00B41D5F">
        <w:t xml:space="preserve">We </w:t>
      </w:r>
      <w:r w:rsidR="00E96452">
        <w:t xml:space="preserve">also </w:t>
      </w:r>
      <w:r w:rsidR="00222056">
        <w:t xml:space="preserve">find </w:t>
      </w:r>
      <w:r w:rsidR="00B41D5F">
        <w:t xml:space="preserve">that </w:t>
      </w:r>
      <w:r w:rsidR="00267391">
        <w:t xml:space="preserve">because </w:t>
      </w:r>
      <w:r w:rsidRPr="00D75367" w:rsidR="00267391">
        <w:rPr>
          <w:szCs w:val="22"/>
        </w:rPr>
        <w:t xml:space="preserve">the only reportable foreign ownership </w:t>
      </w:r>
      <w:r w:rsidR="00267391">
        <w:rPr>
          <w:szCs w:val="22"/>
        </w:rPr>
        <w:t>in JAB Wir</w:t>
      </w:r>
      <w:r w:rsidR="002F0D62">
        <w:rPr>
          <w:szCs w:val="22"/>
        </w:rPr>
        <w:t>e</w:t>
      </w:r>
      <w:r w:rsidR="00267391">
        <w:rPr>
          <w:szCs w:val="22"/>
        </w:rPr>
        <w:t>less and its subsidiaries will be t</w:t>
      </w:r>
      <w:r w:rsidRPr="00D75367" w:rsidR="00267391">
        <w:rPr>
          <w:szCs w:val="22"/>
        </w:rPr>
        <w:t>hrough wholly owned intermediate holding companies and the ultimate ownership and control is held by U.S. citizens or entities</w:t>
      </w:r>
      <w:r w:rsidR="00341BC4">
        <w:rPr>
          <w:szCs w:val="22"/>
        </w:rPr>
        <w:t xml:space="preserve">, </w:t>
      </w:r>
      <w:r w:rsidR="00B41D5F">
        <w:t xml:space="preserve">the GI DI Iris Acquisition Application and Petition </w:t>
      </w:r>
      <w:r w:rsidRPr="001D070E" w:rsidR="00B41D5F">
        <w:t xml:space="preserve">come within the exclusion from referral to the Executive Branch for national security, law enforcement, foreign policy and trade policy </w:t>
      </w:r>
      <w:r w:rsidRPr="001D070E" w:rsidR="00B41D5F">
        <w:t>review</w:t>
      </w:r>
      <w:r w:rsidR="00B41D5F">
        <w:t xml:space="preserve"> and thus </w:t>
      </w:r>
      <w:r w:rsidR="00461009">
        <w:t xml:space="preserve">we </w:t>
      </w:r>
      <w:r w:rsidR="00411ADF">
        <w:t xml:space="preserve">did </w:t>
      </w:r>
      <w:r w:rsidR="00B41D5F">
        <w:t xml:space="preserve">not refer </w:t>
      </w:r>
      <w:r w:rsidR="00411ADF">
        <w:t xml:space="preserve">them </w:t>
      </w:r>
      <w:r w:rsidR="00B41D5F">
        <w:t>to the Agencies.</w:t>
      </w:r>
      <w:r>
        <w:rPr>
          <w:rStyle w:val="FootnoteReference"/>
        </w:rPr>
        <w:footnoteReference w:id="100"/>
      </w:r>
      <w:r w:rsidR="00C81543">
        <w:t xml:space="preserve">  </w:t>
      </w:r>
      <w:r w:rsidR="002F6AA7">
        <w:t>The decision</w:t>
      </w:r>
      <w:r w:rsidR="002F6AA7">
        <w:t xml:space="preserve"> </w:t>
      </w:r>
      <w:r w:rsidR="002F6AA7">
        <w:t xml:space="preserve">not </w:t>
      </w:r>
      <w:r w:rsidR="003918B1">
        <w:t xml:space="preserve">to </w:t>
      </w:r>
      <w:r w:rsidR="002F6AA7">
        <w:t xml:space="preserve">refer the </w:t>
      </w:r>
      <w:r w:rsidR="00827DEB">
        <w:t xml:space="preserve">LStar Equity </w:t>
      </w:r>
      <w:r w:rsidR="00F30997">
        <w:t>Petition</w:t>
      </w:r>
      <w:r w:rsidR="00F01C79">
        <w:t xml:space="preserve"> to the </w:t>
      </w:r>
      <w:r w:rsidR="00827DEB">
        <w:t>A</w:t>
      </w:r>
      <w:r w:rsidR="00411593">
        <w:t xml:space="preserve">gencies is contingent upon </w:t>
      </w:r>
      <w:r w:rsidR="00827DEB">
        <w:t xml:space="preserve">consummation of </w:t>
      </w:r>
      <w:r w:rsidR="00CD5F4A">
        <w:t xml:space="preserve">the </w:t>
      </w:r>
      <w:r w:rsidR="00827DEB">
        <w:t xml:space="preserve">GI DI Iris Acquisition </w:t>
      </w:r>
      <w:r w:rsidR="00CD5F4A">
        <w:t xml:space="preserve">Transaction </w:t>
      </w:r>
      <w:r w:rsidR="00827DEB">
        <w:t xml:space="preserve">within </w:t>
      </w:r>
      <w:r w:rsidR="009D5DC0">
        <w:t>fifteen (</w:t>
      </w:r>
      <w:r w:rsidR="00827DEB">
        <w:t>15</w:t>
      </w:r>
      <w:r w:rsidR="009D5DC0">
        <w:t>)</w:t>
      </w:r>
      <w:r w:rsidR="00827DEB">
        <w:t xml:space="preserve"> days of the release of this </w:t>
      </w:r>
      <w:r w:rsidR="007568A0">
        <w:t>P</w:t>
      </w:r>
      <w:r w:rsidR="00827DEB">
        <w:t xml:space="preserve">ublic </w:t>
      </w:r>
      <w:r w:rsidR="007568A0">
        <w:t>N</w:t>
      </w:r>
      <w:r w:rsidR="00827DEB">
        <w:t xml:space="preserve">otice.  </w:t>
      </w:r>
      <w:r w:rsidR="009A2F5C">
        <w:t xml:space="preserve">We also require </w:t>
      </w:r>
      <w:r w:rsidR="00F2614A">
        <w:t>t</w:t>
      </w:r>
      <w:r w:rsidR="00827DEB">
        <w:t>he GI DI Iris Acquisition Applicants</w:t>
      </w:r>
      <w:r w:rsidR="00502A93">
        <w:t xml:space="preserve"> and Petitioners</w:t>
      </w:r>
      <w:r w:rsidR="00827DEB">
        <w:t xml:space="preserve"> </w:t>
      </w:r>
      <w:r w:rsidR="00F2614A">
        <w:t xml:space="preserve">to </w:t>
      </w:r>
      <w:r w:rsidR="00827DEB">
        <w:t xml:space="preserve">file a consummation notification within </w:t>
      </w:r>
      <w:r w:rsidR="009D5DC0">
        <w:t>three (</w:t>
      </w:r>
      <w:r w:rsidR="00827DEB">
        <w:t>3</w:t>
      </w:r>
      <w:r w:rsidR="009D5DC0">
        <w:t>)</w:t>
      </w:r>
      <w:r w:rsidR="00827DEB">
        <w:t xml:space="preserve"> business days of the consummation</w:t>
      </w:r>
      <w:r w:rsidR="00B76F89">
        <w:t xml:space="preserve"> of the GI DI Iris Acquisition Transaction</w:t>
      </w:r>
      <w:r w:rsidR="00827DEB">
        <w:t xml:space="preserve">.  </w:t>
      </w:r>
      <w:r w:rsidR="009B7947">
        <w:t xml:space="preserve">If </w:t>
      </w:r>
      <w:r w:rsidR="00F30997">
        <w:t xml:space="preserve">the </w:t>
      </w:r>
      <w:r w:rsidR="00827DEB">
        <w:t>GI DI Iris Acquisition Applicants</w:t>
      </w:r>
      <w:r w:rsidR="001B433A">
        <w:t xml:space="preserve"> and Petitioners</w:t>
      </w:r>
      <w:r w:rsidR="00827DEB">
        <w:t xml:space="preserve"> do not file a consummation notice within that time frame, the grant of the </w:t>
      </w:r>
      <w:r w:rsidR="001D070E">
        <w:t xml:space="preserve">LStar Application and Petition as well as the </w:t>
      </w:r>
      <w:r w:rsidR="00827DEB">
        <w:t xml:space="preserve">GI DI Iris Acquisition </w:t>
      </w:r>
      <w:r w:rsidR="001D070E">
        <w:t xml:space="preserve">Application and </w:t>
      </w:r>
      <w:r w:rsidR="00827DEB">
        <w:t xml:space="preserve">Petition </w:t>
      </w:r>
      <w:r w:rsidR="00894BC4">
        <w:t xml:space="preserve">shall be rescinded and </w:t>
      </w:r>
      <w:r w:rsidR="00827DEB">
        <w:t xml:space="preserve">will be </w:t>
      </w:r>
      <w:r w:rsidRPr="00492CA3" w:rsidR="00827DEB">
        <w:t>null and void</w:t>
      </w:r>
      <w:r w:rsidR="00F34DA8">
        <w:t>,</w:t>
      </w:r>
      <w:r w:rsidR="00827DEB">
        <w:t xml:space="preserve"> and </w:t>
      </w:r>
      <w:r w:rsidR="008933E1">
        <w:t xml:space="preserve">consistent with its regular practice, </w:t>
      </w:r>
      <w:r w:rsidR="00F30997">
        <w:t xml:space="preserve">the Commission will </w:t>
      </w:r>
      <w:r w:rsidR="00E4632D">
        <w:t xml:space="preserve">refer the </w:t>
      </w:r>
      <w:r w:rsidR="001D070E">
        <w:t xml:space="preserve">LStar Equity Application and </w:t>
      </w:r>
      <w:r w:rsidR="00E4632D">
        <w:t>Petition to the Agencies</w:t>
      </w:r>
      <w:r w:rsidR="004D5434">
        <w:t>.</w:t>
      </w:r>
      <w:r>
        <w:rPr>
          <w:rStyle w:val="FootnoteReference"/>
        </w:rPr>
        <w:footnoteReference w:id="101"/>
      </w:r>
      <w:r w:rsidR="004D5434">
        <w:t xml:space="preserve"> </w:t>
      </w:r>
      <w:r w:rsidR="002E1427">
        <w:t xml:space="preserve"> </w:t>
      </w:r>
      <w:r>
        <w:t>We also retain authority to pursue enforcement action by the Commission for non-compliance with the Act or the Commission’s rules</w:t>
      </w:r>
      <w:r w:rsidR="009A78A6">
        <w:t xml:space="preserve">. </w:t>
      </w:r>
    </w:p>
    <w:p w:rsidR="005614FA" w:rsidRPr="00696D1A" w:rsidP="00696D1A" w14:paraId="690CC890" w14:textId="1625C37C">
      <w:pPr>
        <w:widowControl/>
        <w:autoSpaceDE w:val="0"/>
        <w:autoSpaceDN w:val="0"/>
        <w:adjustRightInd w:val="0"/>
        <w:spacing w:after="120"/>
        <w:rPr>
          <w:b/>
          <w:color w:val="212121"/>
          <w:szCs w:val="22"/>
          <w:u w:val="single"/>
        </w:rPr>
      </w:pPr>
      <w:r w:rsidRPr="00696D1A">
        <w:rPr>
          <w:b/>
          <w:color w:val="212121"/>
          <w:szCs w:val="22"/>
          <w:u w:val="single"/>
        </w:rPr>
        <w:t xml:space="preserve">Grant of </w:t>
      </w:r>
      <w:r w:rsidR="00F51D9A">
        <w:rPr>
          <w:b/>
          <w:color w:val="212121"/>
          <w:szCs w:val="22"/>
          <w:u w:val="single"/>
        </w:rPr>
        <w:t>Application</w:t>
      </w:r>
      <w:r w:rsidR="0056772C">
        <w:rPr>
          <w:b/>
          <w:color w:val="212121"/>
          <w:szCs w:val="22"/>
          <w:u w:val="single"/>
        </w:rPr>
        <w:t>s</w:t>
      </w:r>
      <w:r w:rsidRPr="00696D1A">
        <w:rPr>
          <w:b/>
          <w:color w:val="212121"/>
          <w:szCs w:val="22"/>
          <w:u w:val="single"/>
        </w:rPr>
        <w:t xml:space="preserve"> and Petition</w:t>
      </w:r>
      <w:r w:rsidR="0056772C">
        <w:rPr>
          <w:b/>
          <w:color w:val="212121"/>
          <w:szCs w:val="22"/>
          <w:u w:val="single"/>
        </w:rPr>
        <w:t>s</w:t>
      </w:r>
      <w:r w:rsidRPr="00696D1A">
        <w:rPr>
          <w:b/>
          <w:color w:val="212121"/>
          <w:szCs w:val="22"/>
          <w:u w:val="single"/>
        </w:rPr>
        <w:t xml:space="preserve"> for Declaratory Ruling</w:t>
      </w:r>
    </w:p>
    <w:p w:rsidR="001C16CD" w:rsidP="001C16CD" w14:paraId="5DDCB51D" w14:textId="07ED5804">
      <w:pPr>
        <w:widowControl/>
        <w:spacing w:after="120"/>
        <w:ind w:firstLine="720"/>
        <w:rPr>
          <w:szCs w:val="22"/>
          <w:u w:val="single"/>
        </w:rPr>
      </w:pPr>
      <w:r w:rsidRPr="00DB54CA">
        <w:rPr>
          <w:color w:val="000000"/>
        </w:rPr>
        <w:t xml:space="preserve">We find, upon consideration of the record, that </w:t>
      </w:r>
      <w:r>
        <w:rPr>
          <w:color w:val="000000"/>
        </w:rPr>
        <w:t xml:space="preserve">granting the domestic section 214 applications for </w:t>
      </w:r>
      <w:r w:rsidRPr="00DB54CA">
        <w:rPr>
          <w:color w:val="000000"/>
        </w:rPr>
        <w:t xml:space="preserve">the </w:t>
      </w:r>
      <w:r w:rsidR="00827DEB">
        <w:rPr>
          <w:color w:val="000000"/>
        </w:rPr>
        <w:t xml:space="preserve">GI DI Iris Acquisition </w:t>
      </w:r>
      <w:r w:rsidR="001A3735">
        <w:rPr>
          <w:color w:val="000000"/>
        </w:rPr>
        <w:t xml:space="preserve">Transaction and the </w:t>
      </w:r>
      <w:r w:rsidR="000A25DE">
        <w:rPr>
          <w:color w:val="000000"/>
        </w:rPr>
        <w:t xml:space="preserve">previous </w:t>
      </w:r>
      <w:r w:rsidR="00827DEB">
        <w:rPr>
          <w:color w:val="000000"/>
        </w:rPr>
        <w:t xml:space="preserve">LStar Equity </w:t>
      </w:r>
      <w:r w:rsidR="001A3735">
        <w:rPr>
          <w:color w:val="000000"/>
        </w:rPr>
        <w:t>Transaction</w:t>
      </w:r>
      <w:r w:rsidR="00827DEB">
        <w:rPr>
          <w:color w:val="000000"/>
        </w:rPr>
        <w:t>, which was consummated in 2018,</w:t>
      </w:r>
      <w:r w:rsidRPr="00DB54CA">
        <w:rPr>
          <w:color w:val="000000"/>
        </w:rPr>
        <w:t xml:space="preserve"> will serve the public interest, convenience, and necessity</w:t>
      </w:r>
      <w:r>
        <w:rPr>
          <w:color w:val="000000"/>
        </w:rPr>
        <w:t>,</w:t>
      </w:r>
      <w:r>
        <w:rPr>
          <w:rStyle w:val="FootnoteReference"/>
        </w:rPr>
        <w:footnoteReference w:id="102"/>
      </w:r>
      <w:r w:rsidR="001A3629">
        <w:rPr>
          <w:color w:val="000000"/>
        </w:rPr>
        <w:t xml:space="preserve"> </w:t>
      </w:r>
      <w:r>
        <w:rPr>
          <w:color w:val="000000"/>
        </w:rPr>
        <w:t xml:space="preserve">and will </w:t>
      </w:r>
      <w:r w:rsidRPr="45B67520">
        <w:rPr>
          <w:snapToGrid/>
        </w:rPr>
        <w:t xml:space="preserve">not </w:t>
      </w:r>
      <w:r w:rsidRPr="45B67520" w:rsidR="00F66CE6">
        <w:rPr>
          <w:snapToGrid/>
        </w:rPr>
        <w:t>impact</w:t>
      </w:r>
      <w:r w:rsidRPr="45B67520">
        <w:rPr>
          <w:snapToGrid/>
        </w:rPr>
        <w:t xml:space="preserve"> the Domestic 214 Authorization Holders’ ability to meet RBE service, performance, and reporting obligations</w:t>
      </w:r>
      <w:r w:rsidRPr="0077152F">
        <w:rPr>
          <w:bCs/>
          <w:snapToGrid/>
          <w:szCs w:val="22"/>
        </w:rPr>
        <w:t>.</w:t>
      </w:r>
      <w:r>
        <w:rPr>
          <w:snapToGrid/>
          <w:vertAlign w:val="superscript"/>
        </w:rPr>
        <w:footnoteReference w:id="103"/>
      </w:r>
      <w:r w:rsidRPr="45B67520">
        <w:rPr>
          <w:snapToGrid/>
        </w:rPr>
        <w:t xml:space="preserve">  The </w:t>
      </w:r>
      <w:r w:rsidR="00827DEB">
        <w:rPr>
          <w:snapToGrid/>
        </w:rPr>
        <w:t xml:space="preserve">GI DI Iris Acquisition </w:t>
      </w:r>
      <w:r w:rsidRPr="45B67520">
        <w:rPr>
          <w:snapToGrid/>
        </w:rPr>
        <w:t>Applicants remain obligated to comply with all applicable RBE requirements,</w:t>
      </w:r>
      <w:r>
        <w:rPr>
          <w:rStyle w:val="FootnoteReference"/>
          <w:snapToGrid/>
        </w:rPr>
        <w:footnoteReference w:id="104"/>
      </w:r>
      <w:r w:rsidRPr="45B67520">
        <w:rPr>
          <w:snapToGrid/>
        </w:rPr>
        <w:t xml:space="preserve"> includi</w:t>
      </w:r>
      <w:r w:rsidRPr="45B67520" w:rsidR="001A3629">
        <w:rPr>
          <w:snapToGrid/>
        </w:rPr>
        <w:t>ng offering voice services on a common carrier basis in each RBE-supported area.</w:t>
      </w:r>
      <w:r>
        <w:rPr>
          <w:rStyle w:val="FootnoteReference"/>
          <w:snapToGrid/>
        </w:rPr>
        <w:footnoteReference w:id="105"/>
      </w:r>
    </w:p>
    <w:p w:rsidR="00137084" w:rsidP="00696D1A" w14:paraId="681761F0" w14:textId="77777777">
      <w:pPr>
        <w:widowControl/>
        <w:autoSpaceDE w:val="0"/>
        <w:autoSpaceDN w:val="0"/>
        <w:adjustRightInd w:val="0"/>
        <w:spacing w:after="120"/>
        <w:ind w:firstLine="720"/>
        <w:rPr>
          <w:color w:val="000000"/>
          <w:szCs w:val="22"/>
        </w:rPr>
      </w:pPr>
      <w:r w:rsidRPr="0083155B">
        <w:rPr>
          <w:color w:val="000000"/>
          <w:szCs w:val="22"/>
        </w:rPr>
        <w:t xml:space="preserve"> </w:t>
      </w:r>
      <w:r w:rsidRPr="007A7CAF" w:rsidR="004D6E22">
        <w:rPr>
          <w:color w:val="000000"/>
          <w:szCs w:val="22"/>
        </w:rPr>
        <w:t xml:space="preserve">We also find that the public interest would not be served by prohibiting the foreign ownership </w:t>
      </w:r>
      <w:r w:rsidRPr="007A7CAF" w:rsidR="004D6E22">
        <w:rPr>
          <w:snapToGrid/>
          <w:kern w:val="0"/>
          <w:szCs w:val="22"/>
        </w:rPr>
        <w:t>of</w:t>
      </w:r>
      <w:r w:rsidR="00934DC1">
        <w:rPr>
          <w:snapToGrid/>
          <w:kern w:val="0"/>
          <w:szCs w:val="22"/>
        </w:rPr>
        <w:t xml:space="preserve"> JAB Wireless</w:t>
      </w:r>
      <w:r w:rsidRPr="007A7CAF" w:rsidR="004D6E22">
        <w:rPr>
          <w:snapToGrid/>
          <w:kern w:val="0"/>
          <w:szCs w:val="22"/>
        </w:rPr>
        <w:t>, the controlling U.S. parent</w:t>
      </w:r>
      <w:r w:rsidR="00934DC1">
        <w:rPr>
          <w:snapToGrid/>
          <w:kern w:val="0"/>
          <w:szCs w:val="22"/>
        </w:rPr>
        <w:t xml:space="preserve"> (related to the </w:t>
      </w:r>
      <w:r w:rsidR="00827DEB">
        <w:rPr>
          <w:snapToGrid/>
          <w:kern w:val="0"/>
          <w:szCs w:val="22"/>
        </w:rPr>
        <w:t xml:space="preserve">LStar Equity </w:t>
      </w:r>
      <w:r w:rsidR="00934DC1">
        <w:rPr>
          <w:snapToGrid/>
          <w:kern w:val="0"/>
          <w:szCs w:val="22"/>
        </w:rPr>
        <w:t>Petition)</w:t>
      </w:r>
      <w:r w:rsidRPr="007A7CAF" w:rsidR="004D6E22">
        <w:rPr>
          <w:snapToGrid/>
          <w:kern w:val="0"/>
          <w:szCs w:val="22"/>
        </w:rPr>
        <w:t xml:space="preserve">, </w:t>
      </w:r>
      <w:r w:rsidR="00934DC1">
        <w:rPr>
          <w:snapToGrid/>
          <w:kern w:val="0"/>
          <w:szCs w:val="22"/>
        </w:rPr>
        <w:t xml:space="preserve">and the </w:t>
      </w:r>
      <w:r w:rsidR="00A13733">
        <w:rPr>
          <w:snapToGrid/>
          <w:kern w:val="0"/>
          <w:szCs w:val="22"/>
        </w:rPr>
        <w:t xml:space="preserve">post-transaction </w:t>
      </w:r>
      <w:r w:rsidR="00B07067">
        <w:rPr>
          <w:snapToGrid/>
          <w:kern w:val="0"/>
          <w:szCs w:val="22"/>
        </w:rPr>
        <w:t>foreign ownership of JAB Wireless</w:t>
      </w:r>
      <w:r w:rsidRPr="00EF7FCF" w:rsidR="00B07067">
        <w:rPr>
          <w:snapToGrid/>
          <w:kern w:val="0"/>
          <w:szCs w:val="22"/>
        </w:rPr>
        <w:t xml:space="preserve"> </w:t>
      </w:r>
      <w:r w:rsidR="00934DC1">
        <w:rPr>
          <w:snapToGrid/>
          <w:kern w:val="0"/>
          <w:szCs w:val="22"/>
        </w:rPr>
        <w:t xml:space="preserve">(related to the </w:t>
      </w:r>
      <w:r w:rsidR="00827DEB">
        <w:rPr>
          <w:snapToGrid/>
          <w:kern w:val="0"/>
          <w:szCs w:val="22"/>
        </w:rPr>
        <w:t xml:space="preserve">GI DI Iris Acquisition </w:t>
      </w:r>
      <w:r w:rsidR="00934DC1">
        <w:rPr>
          <w:snapToGrid/>
          <w:kern w:val="0"/>
          <w:szCs w:val="22"/>
        </w:rPr>
        <w:t xml:space="preserve">Petition) </w:t>
      </w:r>
      <w:r w:rsidRPr="007A7CAF" w:rsidR="004D6E22">
        <w:rPr>
          <w:snapToGrid/>
          <w:kern w:val="0"/>
          <w:szCs w:val="22"/>
        </w:rPr>
        <w:t>in excess of the 25% benchmark</w:t>
      </w:r>
      <w:r w:rsidR="00E248A3">
        <w:rPr>
          <w:snapToGrid/>
          <w:kern w:val="0"/>
          <w:szCs w:val="22"/>
        </w:rPr>
        <w:t>s</w:t>
      </w:r>
      <w:r w:rsidRPr="007A7CAF" w:rsidR="004D6E22">
        <w:rPr>
          <w:snapToGrid/>
          <w:kern w:val="0"/>
          <w:szCs w:val="22"/>
        </w:rPr>
        <w:t xml:space="preserve"> in section 310(b)(4) of the Act.</w:t>
      </w:r>
      <w:r w:rsidR="004D6E22">
        <w:rPr>
          <w:snapToGrid/>
          <w:kern w:val="0"/>
          <w:szCs w:val="22"/>
        </w:rPr>
        <w:t xml:space="preserve">  </w:t>
      </w:r>
      <w:r w:rsidR="001C16CD">
        <w:rPr>
          <w:color w:val="000000"/>
          <w:szCs w:val="22"/>
        </w:rPr>
        <w:t xml:space="preserve">The </w:t>
      </w:r>
      <w:r w:rsidR="00314A08">
        <w:rPr>
          <w:color w:val="000000"/>
          <w:szCs w:val="22"/>
        </w:rPr>
        <w:t xml:space="preserve">LStar Equity Application and Petition and the </w:t>
      </w:r>
      <w:r w:rsidR="00314A08">
        <w:rPr>
          <w:snapToGrid/>
          <w:kern w:val="0"/>
          <w:szCs w:val="22"/>
        </w:rPr>
        <w:t xml:space="preserve">GI DI Iris Acquisition </w:t>
      </w:r>
      <w:r w:rsidR="00F51D9A">
        <w:rPr>
          <w:color w:val="000000"/>
          <w:szCs w:val="22"/>
        </w:rPr>
        <w:t>Application</w:t>
      </w:r>
      <w:r>
        <w:rPr>
          <w:color w:val="000000"/>
          <w:szCs w:val="22"/>
        </w:rPr>
        <w:t xml:space="preserve"> and</w:t>
      </w:r>
      <w:r w:rsidR="00314A08">
        <w:rPr>
          <w:color w:val="000000"/>
          <w:szCs w:val="22"/>
        </w:rPr>
        <w:t xml:space="preserve"> Petition</w:t>
      </w:r>
      <w:r w:rsidR="00023702">
        <w:rPr>
          <w:color w:val="000000"/>
          <w:szCs w:val="22"/>
        </w:rPr>
        <w:t>,</w:t>
      </w:r>
      <w:r>
        <w:rPr>
          <w:color w:val="000000"/>
          <w:szCs w:val="22"/>
        </w:rPr>
        <w:t xml:space="preserve"> </w:t>
      </w:r>
      <w:r w:rsidR="001C16CD">
        <w:rPr>
          <w:color w:val="000000"/>
          <w:szCs w:val="22"/>
        </w:rPr>
        <w:t>are granted as set out in this</w:t>
      </w:r>
      <w:r>
        <w:rPr>
          <w:color w:val="000000"/>
          <w:szCs w:val="22"/>
        </w:rPr>
        <w:t xml:space="preserve"> Public Notice. </w:t>
      </w:r>
      <w:r w:rsidR="00352FD3">
        <w:rPr>
          <w:color w:val="000000"/>
          <w:szCs w:val="22"/>
        </w:rPr>
        <w:t xml:space="preserve"> </w:t>
      </w:r>
    </w:p>
    <w:p w:rsidR="00D13CA1" w:rsidP="00696D1A" w14:paraId="4C2D012B" w14:textId="132207E1">
      <w:pPr>
        <w:widowControl/>
        <w:autoSpaceDE w:val="0"/>
        <w:autoSpaceDN w:val="0"/>
        <w:adjustRightInd w:val="0"/>
        <w:spacing w:after="120"/>
        <w:ind w:firstLine="720"/>
      </w:pPr>
      <w:r>
        <w:rPr>
          <w:color w:val="000000"/>
          <w:szCs w:val="22"/>
        </w:rPr>
        <w:t>G</w:t>
      </w:r>
      <w:r w:rsidR="00AD6330">
        <w:rPr>
          <w:color w:val="000000"/>
          <w:szCs w:val="22"/>
        </w:rPr>
        <w:t xml:space="preserve">rant of the </w:t>
      </w:r>
      <w:r w:rsidR="006A5FE3">
        <w:t xml:space="preserve">LStar Application and Petition as well as </w:t>
      </w:r>
      <w:r w:rsidR="00056AA5">
        <w:t xml:space="preserve">grant of </w:t>
      </w:r>
      <w:r w:rsidR="006A5FE3">
        <w:t xml:space="preserve">the GI DI Iris Acquisition Application and Petition are conditioned on the consummation of the </w:t>
      </w:r>
      <w:r w:rsidR="00CF2C41">
        <w:t xml:space="preserve">GI DI Iris Acquisition Transaction within fifteen (15) days of release </w:t>
      </w:r>
      <w:r w:rsidR="00767B25">
        <w:t xml:space="preserve">of this Public Notice and the </w:t>
      </w:r>
      <w:r w:rsidR="00F9692D">
        <w:t xml:space="preserve">GI DI Iris Acquisition Applicants filing the consummation notice within three (3) days after consummation.  </w:t>
      </w:r>
      <w:r w:rsidR="00506244">
        <w:t>A failure to comp</w:t>
      </w:r>
      <w:r w:rsidR="00BD2A98">
        <w:t>l</w:t>
      </w:r>
      <w:r w:rsidR="00506244">
        <w:t xml:space="preserve">y with </w:t>
      </w:r>
      <w:r>
        <w:t>t</w:t>
      </w:r>
      <w:r w:rsidR="00506244">
        <w:t>his condit</w:t>
      </w:r>
      <w:r w:rsidR="00880C4A">
        <w:t xml:space="preserve">ion will result in the </w:t>
      </w:r>
      <w:r w:rsidR="000A49DE">
        <w:t>recission</w:t>
      </w:r>
      <w:r w:rsidR="00880C4A">
        <w:t xml:space="preserve"> </w:t>
      </w:r>
      <w:r w:rsidR="00803A76">
        <w:t>of the grants</w:t>
      </w:r>
      <w:r w:rsidR="00B31993">
        <w:t xml:space="preserve"> which will be considered null and void.  </w:t>
      </w:r>
    </w:p>
    <w:p w:rsidR="005614FA" w:rsidRPr="00D12B3C" w:rsidP="00696D1A" w14:paraId="2A771B40" w14:textId="55FBE3EC">
      <w:pPr>
        <w:widowControl/>
        <w:autoSpaceDE w:val="0"/>
        <w:autoSpaceDN w:val="0"/>
        <w:adjustRightInd w:val="0"/>
        <w:spacing w:after="120"/>
        <w:ind w:firstLine="720"/>
        <w:rPr>
          <w:rFonts w:ascii="TimesNewRomanPSMT" w:hAnsi="TimesNewRomanPSMT" w:cs="TimesNewRomanPSMT"/>
          <w:snapToGrid/>
          <w:kern w:val="0"/>
          <w:szCs w:val="22"/>
        </w:rPr>
      </w:pPr>
      <w:r>
        <w:rPr>
          <w:color w:val="212121"/>
          <w:szCs w:val="22"/>
        </w:rPr>
        <w:t xml:space="preserve">Further, </w:t>
      </w:r>
      <w:r w:rsidRPr="000B5226">
        <w:rPr>
          <w:color w:val="212121"/>
          <w:szCs w:val="22"/>
        </w:rPr>
        <w:t xml:space="preserve">grant of the </w:t>
      </w:r>
      <w:r>
        <w:t xml:space="preserve">LStar </w:t>
      </w:r>
      <w:r w:rsidR="00D13CA1">
        <w:t xml:space="preserve">Application and Petition and </w:t>
      </w:r>
      <w:r w:rsidR="002F0D62">
        <w:t xml:space="preserve">grant of </w:t>
      </w:r>
      <w:r w:rsidR="00D13CA1">
        <w:t xml:space="preserve">the GI DI Iris Acquisition Application and Petition are </w:t>
      </w:r>
      <w:r w:rsidRPr="000B5226">
        <w:rPr>
          <w:color w:val="212121"/>
          <w:szCs w:val="22"/>
        </w:rPr>
        <w:t>without prejudice to any enforcement action by the Commission for non-</w:t>
      </w:r>
      <w:r w:rsidRPr="000B5226">
        <w:rPr>
          <w:color w:val="212121"/>
          <w:szCs w:val="22"/>
        </w:rPr>
        <w:t>compliance with the Act or the Commission’s rules</w:t>
      </w:r>
      <w:r w:rsidR="00D13CA1">
        <w:rPr>
          <w:color w:val="212121"/>
          <w:szCs w:val="22"/>
        </w:rPr>
        <w:t xml:space="preserve"> and </w:t>
      </w:r>
      <w:r w:rsidRPr="000B5226">
        <w:rPr>
          <w:color w:val="212121"/>
          <w:szCs w:val="22"/>
        </w:rPr>
        <w:t>without prejudice to Commission action on other related, pending applications</w:t>
      </w:r>
      <w:r>
        <w:rPr>
          <w:color w:val="212121"/>
          <w:szCs w:val="22"/>
        </w:rPr>
        <w:t xml:space="preserve"> or petitions.</w:t>
      </w:r>
    </w:p>
    <w:p w:rsidR="003C211A" w:rsidP="007421CB" w14:paraId="365D1F0C" w14:textId="6A323DA9">
      <w:pPr>
        <w:widowControl/>
        <w:spacing w:after="120"/>
        <w:ind w:firstLine="720"/>
      </w:pPr>
      <w:r>
        <w:t>P</w:t>
      </w:r>
      <w:r w:rsidRPr="00C7200D">
        <w:t xml:space="preserve">ursuant to </w:t>
      </w:r>
      <w:r>
        <w:t>s</w:t>
      </w:r>
      <w:r w:rsidRPr="00C7200D">
        <w:t xml:space="preserve">ections </w:t>
      </w:r>
      <w:r w:rsidRPr="00AF13A4" w:rsidR="00C27A8D">
        <w:t>4(i)-(j)</w:t>
      </w:r>
      <w:r w:rsidR="00C27A8D">
        <w:t xml:space="preserve">, </w:t>
      </w:r>
      <w:r w:rsidRPr="00C7200D">
        <w:t xml:space="preserve">214(a), 214(c), 303(r) </w:t>
      </w:r>
      <w:r w:rsidR="00CB7B9B">
        <w:t xml:space="preserve">and </w:t>
      </w:r>
      <w:r>
        <w:t>310(b)</w:t>
      </w:r>
      <w:r w:rsidRPr="00C7200D">
        <w:t xml:space="preserve"> of the </w:t>
      </w:r>
      <w:r>
        <w:t xml:space="preserve">Communications </w:t>
      </w:r>
      <w:r w:rsidRPr="00C7200D">
        <w:t>Act</w:t>
      </w:r>
      <w:r>
        <w:t xml:space="preserve"> of 1934</w:t>
      </w:r>
      <w:r w:rsidRPr="00C7200D">
        <w:t xml:space="preserve">, </w:t>
      </w:r>
      <w:r>
        <w:t xml:space="preserve">as amended, </w:t>
      </w:r>
      <w:r w:rsidRPr="00C7200D">
        <w:t xml:space="preserve">47 U.S.C. §§ </w:t>
      </w:r>
      <w:r w:rsidRPr="00AF13A4" w:rsidR="00C27A8D">
        <w:t xml:space="preserve">154(i)-(j), </w:t>
      </w:r>
      <w:r w:rsidRPr="00C7200D">
        <w:t xml:space="preserve">214(a), 214(c), 303(r), </w:t>
      </w:r>
      <w:r>
        <w:t xml:space="preserve">310(b),  </w:t>
      </w:r>
      <w:r w:rsidRPr="00C7200D">
        <w:t xml:space="preserve">and </w:t>
      </w:r>
      <w:r>
        <w:t>s</w:t>
      </w:r>
      <w:r w:rsidRPr="00B73C0C">
        <w:t>ection</w:t>
      </w:r>
      <w:r>
        <w:t>s</w:t>
      </w:r>
      <w:r w:rsidRPr="00B73C0C">
        <w:t xml:space="preserve"> </w:t>
      </w:r>
      <w:r>
        <w:t xml:space="preserve">1.5001-04, </w:t>
      </w:r>
      <w:r w:rsidR="00DD53A4">
        <w:t xml:space="preserve">and </w:t>
      </w:r>
      <w:r>
        <w:t>63.</w:t>
      </w:r>
      <w:r w:rsidR="00413423">
        <w:t>03-</w:t>
      </w:r>
      <w:r>
        <w:t>04</w:t>
      </w:r>
      <w:r w:rsidR="00D268B1">
        <w:t xml:space="preserve"> </w:t>
      </w:r>
      <w:r w:rsidRPr="00B73C0C">
        <w:t>of the Commission’s rules, 47 CFR §§</w:t>
      </w:r>
      <w:r>
        <w:t xml:space="preserve"> </w:t>
      </w:r>
      <w:r w:rsidRPr="00B73C0C">
        <w:t xml:space="preserve"> </w:t>
      </w:r>
      <w:r>
        <w:t xml:space="preserve">1.5001-04, </w:t>
      </w:r>
      <w:r w:rsidRPr="00B73C0C">
        <w:t>63.</w:t>
      </w:r>
      <w:r w:rsidR="00EB2C44">
        <w:t>03-</w:t>
      </w:r>
      <w:r w:rsidRPr="00B73C0C">
        <w:t xml:space="preserve">04, and pursuant to the authority delegated under </w:t>
      </w:r>
      <w:r>
        <w:t>s</w:t>
      </w:r>
      <w:r w:rsidRPr="00C7200D">
        <w:t>ections 0.51</w:t>
      </w:r>
      <w:r>
        <w:t xml:space="preserve">, </w:t>
      </w:r>
      <w:r w:rsidRPr="00C7200D">
        <w:t xml:space="preserve">0.91, 0.261, </w:t>
      </w:r>
      <w:r w:rsidR="007F134D">
        <w:t xml:space="preserve">and </w:t>
      </w:r>
      <w:r w:rsidRPr="00C7200D">
        <w:t>0.291</w:t>
      </w:r>
      <w:r w:rsidR="007F134D">
        <w:t xml:space="preserve"> </w:t>
      </w:r>
      <w:r w:rsidRPr="00C7200D">
        <w:t xml:space="preserve">of the Commission’s rules, 47 CFR §§ 0.51, 0.91, 0.261, </w:t>
      </w:r>
      <w:r w:rsidR="007F134D">
        <w:t xml:space="preserve">and </w:t>
      </w:r>
      <w:r w:rsidRPr="00C7200D">
        <w:t xml:space="preserve">0.291, </w:t>
      </w:r>
      <w:r>
        <w:t>we</w:t>
      </w:r>
      <w:r w:rsidRPr="00C7200D">
        <w:t xml:space="preserve"> </w:t>
      </w:r>
      <w:r>
        <w:t xml:space="preserve">grant the </w:t>
      </w:r>
      <w:r w:rsidR="00953B91">
        <w:t xml:space="preserve">LStar Equity </w:t>
      </w:r>
      <w:r w:rsidR="00F51D9A">
        <w:t>Application</w:t>
      </w:r>
      <w:r w:rsidRPr="00C7200D">
        <w:t xml:space="preserve"> </w:t>
      </w:r>
      <w:r>
        <w:t>an</w:t>
      </w:r>
      <w:r w:rsidRPr="00EF7FCF">
        <w:t xml:space="preserve">d </w:t>
      </w:r>
      <w:r w:rsidR="00B146F8">
        <w:t>GI DI Iris Acquisition</w:t>
      </w:r>
      <w:r w:rsidRPr="00EF7FCF" w:rsidR="00023702">
        <w:t xml:space="preserve"> Application, and the</w:t>
      </w:r>
      <w:r w:rsidR="00B146F8">
        <w:t xml:space="preserve"> associated </w:t>
      </w:r>
      <w:r w:rsidR="00E93EA4">
        <w:t xml:space="preserve">LStar Equity </w:t>
      </w:r>
      <w:r w:rsidRPr="00EF7FCF" w:rsidR="00023702">
        <w:t xml:space="preserve">Petition and </w:t>
      </w:r>
      <w:r w:rsidR="009C720A">
        <w:t xml:space="preserve">GI DI Iris </w:t>
      </w:r>
      <w:r w:rsidR="006C0D7D">
        <w:t>Acquisition</w:t>
      </w:r>
      <w:r w:rsidR="009C720A">
        <w:t xml:space="preserve"> </w:t>
      </w:r>
      <w:r w:rsidRPr="00EF7FCF" w:rsidR="00023702">
        <w:t xml:space="preserve">Petition, </w:t>
      </w:r>
      <w:r w:rsidRPr="00EF7FCF">
        <w:t>as conditioned in this Public Notice.</w:t>
      </w:r>
      <w:r w:rsidRPr="00C7200D">
        <w:t xml:space="preserve"> </w:t>
      </w:r>
      <w:r w:rsidR="00FB7B48">
        <w:t xml:space="preserve"> </w:t>
      </w:r>
      <w:r w:rsidRPr="00E00AFA" w:rsidR="00E00AFA">
        <w:t>Grant of this ruling is without prejudice to the Commission's action on any other related pending application(s) or petition(s).</w:t>
      </w:r>
    </w:p>
    <w:p w:rsidR="00B900DE" w:rsidP="00696D1A" w14:paraId="46AC60F1" w14:textId="4ECC9901">
      <w:pPr>
        <w:spacing w:after="120"/>
        <w:ind w:firstLine="720"/>
      </w:pPr>
      <w:r>
        <w:t xml:space="preserve">Grant of the </w:t>
      </w:r>
      <w:r w:rsidR="007C6936">
        <w:t xml:space="preserve">LStar Equity Application and Petition and the GI DI Iris Acquisition </w:t>
      </w:r>
      <w:r w:rsidR="003602A6">
        <w:t xml:space="preserve">Application and Petition is CONDITIONED </w:t>
      </w:r>
      <w:r w:rsidR="007D1C6A">
        <w:t xml:space="preserve">on the consummation of the GI DI Iris Acquisition Transaction within </w:t>
      </w:r>
      <w:r w:rsidR="002B28A6">
        <w:t>fifteen (</w:t>
      </w:r>
      <w:r w:rsidR="007D1C6A">
        <w:t>15</w:t>
      </w:r>
      <w:r w:rsidR="002B28A6">
        <w:t>)</w:t>
      </w:r>
      <w:r w:rsidR="007D1C6A">
        <w:t xml:space="preserve"> days of release of this </w:t>
      </w:r>
      <w:r w:rsidR="007A0288">
        <w:t>P</w:t>
      </w:r>
      <w:r w:rsidR="007D1C6A">
        <w:t xml:space="preserve">ublic </w:t>
      </w:r>
      <w:r w:rsidR="007A0288">
        <w:t>N</w:t>
      </w:r>
      <w:r w:rsidR="007D1C6A">
        <w:t xml:space="preserve">otice and the filing of a consummation </w:t>
      </w:r>
      <w:r w:rsidR="00AA140B">
        <w:t xml:space="preserve">notice </w:t>
      </w:r>
      <w:r w:rsidR="00D05BDF">
        <w:t xml:space="preserve">in WC Docket No. </w:t>
      </w:r>
      <w:r w:rsidR="00942D09">
        <w:t xml:space="preserve">22-230, </w:t>
      </w:r>
      <w:r w:rsidR="00E87E19">
        <w:t>WC Docket No. 22-422, ISP-PDR-2022</w:t>
      </w:r>
      <w:r w:rsidR="00047A93">
        <w:t xml:space="preserve">0610-00004 and ISP-PDR20221208-00012 </w:t>
      </w:r>
      <w:r w:rsidR="00AA140B">
        <w:t xml:space="preserve">within </w:t>
      </w:r>
      <w:r w:rsidR="002B28A6">
        <w:t>three (</w:t>
      </w:r>
      <w:r w:rsidR="00551DBD">
        <w:t>3</w:t>
      </w:r>
      <w:r w:rsidR="002B28A6">
        <w:t>)</w:t>
      </w:r>
      <w:r w:rsidR="00551DBD">
        <w:t xml:space="preserve"> days after consummation.  If this condition is not met, the </w:t>
      </w:r>
      <w:r w:rsidR="00A42016">
        <w:t xml:space="preserve">grants of the LStar Equity Application and Petition and the GI DI Iris Acquisition Application and Petition shall be </w:t>
      </w:r>
      <w:r w:rsidR="00797295">
        <w:t>rescinded and will be null and void.</w:t>
      </w:r>
    </w:p>
    <w:p w:rsidR="002537B0" w:rsidRPr="002537B0" w:rsidP="002537B0" w14:paraId="0E76C84E" w14:textId="0C294C6F">
      <w:pPr>
        <w:spacing w:after="120"/>
        <w:ind w:firstLine="720"/>
        <w:rPr>
          <w:color w:val="000000"/>
        </w:rPr>
      </w:pPr>
      <w:r w:rsidRPr="00DB54CA">
        <w:rPr>
          <w:color w:val="000000"/>
        </w:rPr>
        <w:t>Pursuant to section 1.103 of the Commission’s rules, 47 CFR § 1.103,</w:t>
      </w:r>
      <w:r w:rsidRPr="00DB54CA">
        <w:rPr>
          <w:color w:val="000000"/>
        </w:rPr>
        <w:t xml:space="preserve"> </w:t>
      </w:r>
      <w:r w:rsidRPr="00DB54CA">
        <w:rPr>
          <w:color w:val="000000"/>
        </w:rPr>
        <w:t>the consent granted herein is effective upon the release of this Public Notice.  Petition</w:t>
      </w:r>
      <w:r w:rsidR="00580FEC">
        <w:rPr>
          <w:color w:val="000000"/>
        </w:rPr>
        <w:t>s</w:t>
      </w:r>
      <w:r w:rsidRPr="00DB54CA">
        <w:rPr>
          <w:color w:val="000000"/>
        </w:rPr>
        <w:t xml:space="preserve"> for reconsideration under section 1.106 or </w:t>
      </w:r>
      <w:r w:rsidR="00F51D9A">
        <w:rPr>
          <w:color w:val="000000"/>
        </w:rPr>
        <w:t>application</w:t>
      </w:r>
      <w:r w:rsidR="007F134D">
        <w:rPr>
          <w:color w:val="000000"/>
        </w:rPr>
        <w:t>s</w:t>
      </w:r>
      <w:r w:rsidRPr="00DB54CA">
        <w:rPr>
          <w:color w:val="000000"/>
        </w:rPr>
        <w:t xml:space="preserve"> for review under section 1.115 of the Commission’s rules, 47 CFR §§ 1.106, 1.115, may be filed within </w:t>
      </w:r>
      <w:r w:rsidRPr="00DD531D">
        <w:rPr>
          <w:snapToGrid/>
          <w:kern w:val="0"/>
        </w:rPr>
        <w:t>30</w:t>
      </w:r>
      <w:r w:rsidRPr="00DB54CA">
        <w:rPr>
          <w:color w:val="000000"/>
        </w:rPr>
        <w:t xml:space="preserve"> days of </w:t>
      </w:r>
      <w:r w:rsidRPr="00603DD3">
        <w:rPr>
          <w:snapToGrid/>
          <w:kern w:val="0"/>
        </w:rPr>
        <w:t>the</w:t>
      </w:r>
      <w:r w:rsidRPr="00DB54CA">
        <w:rPr>
          <w:color w:val="000000"/>
        </w:rPr>
        <w:t xml:space="preserve"> date of this Public Notice.</w:t>
      </w:r>
      <w:r>
        <w:rPr>
          <w:color w:val="000000"/>
        </w:rPr>
        <w:t xml:space="preserve"> </w:t>
      </w:r>
    </w:p>
    <w:p w:rsidR="005614FA" w:rsidP="00696D1A" w14:paraId="528BE0BF" w14:textId="298DF003">
      <w:pPr>
        <w:widowControl/>
        <w:spacing w:after="120"/>
        <w:ind w:firstLine="720"/>
        <w:rPr>
          <w:szCs w:val="22"/>
        </w:rPr>
      </w:pPr>
      <w:r>
        <w:rPr>
          <w:szCs w:val="22"/>
        </w:rPr>
        <w:t>For further information, please contact Gregory Kwan, Wireline Competition Bureau, (202) 418-119</w:t>
      </w:r>
      <w:r w:rsidR="00022328">
        <w:rPr>
          <w:szCs w:val="22"/>
        </w:rPr>
        <w:t>1</w:t>
      </w:r>
      <w:r w:rsidR="00676902">
        <w:rPr>
          <w:szCs w:val="22"/>
        </w:rPr>
        <w:t xml:space="preserve"> or</w:t>
      </w:r>
      <w:r w:rsidR="007F7DA5">
        <w:rPr>
          <w:szCs w:val="22"/>
        </w:rPr>
        <w:t xml:space="preserve"> </w:t>
      </w:r>
      <w:r w:rsidRPr="007F7DA5" w:rsidR="007F7DA5">
        <w:rPr>
          <w:szCs w:val="22"/>
        </w:rPr>
        <w:t xml:space="preserve">Fara Mohsenikolour, International Bureau, </w:t>
      </w:r>
      <w:r w:rsidR="00343C93">
        <w:rPr>
          <w:szCs w:val="22"/>
        </w:rPr>
        <w:t>(</w:t>
      </w:r>
      <w:r w:rsidRPr="007F7DA5" w:rsidR="007F7DA5">
        <w:rPr>
          <w:szCs w:val="22"/>
        </w:rPr>
        <w:t>202</w:t>
      </w:r>
      <w:r w:rsidR="00343C93">
        <w:rPr>
          <w:szCs w:val="22"/>
        </w:rPr>
        <w:t>)</w:t>
      </w:r>
      <w:r w:rsidR="00F50E03">
        <w:rPr>
          <w:szCs w:val="22"/>
        </w:rPr>
        <w:t xml:space="preserve"> </w:t>
      </w:r>
      <w:r w:rsidRPr="007F7DA5" w:rsidR="007F7DA5">
        <w:rPr>
          <w:szCs w:val="22"/>
        </w:rPr>
        <w:t>418-1429</w:t>
      </w:r>
      <w:r>
        <w:rPr>
          <w:szCs w:val="22"/>
        </w:rPr>
        <w:t>.</w:t>
      </w:r>
    </w:p>
    <w:p w:rsidR="00F66CE6" w:rsidP="00696D1A" w14:paraId="2567D581" w14:textId="1B767EB2">
      <w:pPr>
        <w:widowControl/>
        <w:spacing w:after="120"/>
        <w:ind w:firstLine="720"/>
        <w:rPr>
          <w:szCs w:val="22"/>
        </w:rPr>
      </w:pPr>
    </w:p>
    <w:p w:rsidR="00F66CE6" w:rsidRPr="00F66CE6" w:rsidP="00F66CE6" w14:paraId="2BE73B6C" w14:textId="7A1E6C54">
      <w:pPr>
        <w:widowControl/>
        <w:spacing w:after="120"/>
        <w:ind w:firstLine="720"/>
        <w:jc w:val="center"/>
        <w:rPr>
          <w:b/>
          <w:bCs/>
          <w:szCs w:val="22"/>
        </w:rPr>
      </w:pPr>
      <w:r w:rsidRPr="00F66CE6">
        <w:rPr>
          <w:b/>
          <w:bCs/>
          <w:szCs w:val="22"/>
        </w:rPr>
        <w:t>-FCC-</w:t>
      </w:r>
    </w:p>
    <w:sectPr w:rsidSect="00D63B2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576"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001A4A6" w14:textId="77777777">
    <w:pPr>
      <w:pStyle w:val="Footer"/>
      <w:framePr w:wrap="around" w:vAnchor="text" w:hAnchor="margin" w:xAlign="center" w:y="1"/>
    </w:pPr>
    <w:r>
      <w:fldChar w:fldCharType="begin"/>
    </w:r>
    <w:r>
      <w:instrText xml:space="preserve">PAGE  </w:instrText>
    </w:r>
    <w:r w:rsidR="00873993">
      <w:fldChar w:fldCharType="separate"/>
    </w:r>
    <w:r>
      <w:fldChar w:fldCharType="end"/>
    </w:r>
  </w:p>
  <w:p w:rsidR="006F7393" w14:paraId="7A163C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FD44271"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FD760E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7D3D" w14:paraId="6DFE1942" w14:textId="77777777">
      <w:r>
        <w:separator/>
      </w:r>
    </w:p>
  </w:footnote>
  <w:footnote w:type="continuationSeparator" w:id="1">
    <w:p w:rsidR="000E7D3D" w14:paraId="70EBD138" w14:textId="77777777">
      <w:pPr>
        <w:rPr>
          <w:sz w:val="20"/>
        </w:rPr>
      </w:pPr>
      <w:r>
        <w:rPr>
          <w:sz w:val="20"/>
        </w:rPr>
        <w:t xml:space="preserve">(Continued from previous page)  </w:t>
      </w:r>
      <w:r>
        <w:rPr>
          <w:sz w:val="20"/>
        </w:rPr>
        <w:separator/>
      </w:r>
    </w:p>
  </w:footnote>
  <w:footnote w:type="continuationNotice" w:id="2">
    <w:p w:rsidR="000E7D3D" w:rsidP="00910F12" w14:paraId="4D89F855" w14:textId="77777777">
      <w:pPr>
        <w:jc w:val="right"/>
        <w:rPr>
          <w:sz w:val="20"/>
        </w:rPr>
      </w:pPr>
      <w:r>
        <w:rPr>
          <w:sz w:val="20"/>
        </w:rPr>
        <w:t>(continued….)</w:t>
      </w:r>
    </w:p>
  </w:footnote>
  <w:footnote w:id="3">
    <w:p w:rsidR="00645DA6" w:rsidRPr="00EF7FCF" w:rsidP="00645DA6" w14:paraId="4C16ED4E" w14:textId="0A89B607">
      <w:pPr>
        <w:pStyle w:val="FootnoteText"/>
      </w:pPr>
      <w:r w:rsidRPr="00EF7FCF">
        <w:rPr>
          <w:rStyle w:val="FootnoteReference"/>
          <w:sz w:val="20"/>
        </w:rPr>
        <w:footnoteRef/>
      </w:r>
      <w:r w:rsidRPr="00EF7FCF">
        <w:t xml:space="preserve"> </w:t>
      </w:r>
      <w:r w:rsidRPr="00EF7FCF">
        <w:rPr>
          <w:i/>
          <w:iCs/>
        </w:rPr>
        <w:t xml:space="preserve">See </w:t>
      </w:r>
      <w:r w:rsidRPr="00EF7FCF">
        <w:t>47 U.S.C. § 214; 47 CFR §§ 63.03-04.  Joint Application of JAB Wireless, Inc., Skybeam,  Essex Telcom, Inc.</w:t>
      </w:r>
      <w:r w:rsidRPr="00EF7FCF" w:rsidR="00BA5A3A">
        <w:t>,</w:t>
      </w:r>
      <w:r w:rsidRPr="00EF7FCF">
        <w:t xml:space="preserve"> and LStar Equity Company Holdings, L.P. for the Transfer of Control of  Domestic Section 214 Authorization Under the Communications Act of 1934, as amended, WC Docket No. 22-</w:t>
      </w:r>
      <w:r w:rsidRPr="00EF7FCF" w:rsidR="00677E44">
        <w:t>422</w:t>
      </w:r>
      <w:r w:rsidRPr="00EF7FCF">
        <w:t xml:space="preserve"> (filed Dec. 2, 2022) (</w:t>
      </w:r>
      <w:r w:rsidR="00841CB8">
        <w:t xml:space="preserve">LStar Equity </w:t>
      </w:r>
      <w:r w:rsidRPr="00EF7FCF">
        <w:t>Application)</w:t>
      </w:r>
      <w:r w:rsidRPr="00EF7FCF" w:rsidR="00435A8D">
        <w:t>.</w:t>
      </w:r>
      <w:r w:rsidRPr="00EF7FCF">
        <w:t xml:space="preserve">  On November 30, 2022, </w:t>
      </w:r>
      <w:r w:rsidRPr="00EF7FCF" w:rsidR="00677E44">
        <w:t xml:space="preserve">the </w:t>
      </w:r>
      <w:r w:rsidR="00841CB8">
        <w:t xml:space="preserve">LStar Equity </w:t>
      </w:r>
      <w:r w:rsidRPr="00EF7FCF">
        <w:t>Applicants filed a request for</w:t>
      </w:r>
      <w:r w:rsidRPr="00EF7FCF" w:rsidR="00435A8D">
        <w:t xml:space="preserve"> </w:t>
      </w:r>
      <w:r w:rsidRPr="00EF7FCF">
        <w:t>special</w:t>
      </w:r>
      <w:r w:rsidRPr="00EF7FCF" w:rsidR="00435A8D">
        <w:t xml:space="preserve"> </w:t>
      </w:r>
      <w:r w:rsidRPr="00EF7FCF">
        <w:t>temporary</w:t>
      </w:r>
      <w:r w:rsidRPr="00EF7FCF" w:rsidR="00435A8D">
        <w:t xml:space="preserve"> </w:t>
      </w:r>
      <w:r w:rsidRPr="00EF7FCF">
        <w:t>authority</w:t>
      </w:r>
      <w:r w:rsidRPr="00EF7FCF" w:rsidR="00435A8D">
        <w:t xml:space="preserve"> </w:t>
      </w:r>
      <w:r w:rsidRPr="00EF7FCF">
        <w:t>(STA) to address the unauthorized transfer of control.  JAB Wireless, Inc., Skybeam, LLC, Essex Telcom, Inc. and LStar Equity Company Holdings, L.P., Request for Special Temporary Authority, WC Docket No. 22-</w:t>
      </w:r>
      <w:r w:rsidRPr="00EF7FCF" w:rsidR="00677E44">
        <w:t>422</w:t>
      </w:r>
      <w:r w:rsidRPr="00EF7FCF">
        <w:t xml:space="preserve"> (filed Nov. 30, 2022).  On December </w:t>
      </w:r>
      <w:r w:rsidR="009D1D13">
        <w:t>14</w:t>
      </w:r>
      <w:r w:rsidRPr="00EF7FCF">
        <w:t xml:space="preserve">, 2022, </w:t>
      </w:r>
      <w:r w:rsidR="00BC2363">
        <w:t>WCB</w:t>
      </w:r>
      <w:r w:rsidRPr="00EF7FCF">
        <w:t xml:space="preserve"> granted the STA request to authorize the </w:t>
      </w:r>
      <w:r w:rsidR="00841CB8">
        <w:t>LStar Equity A</w:t>
      </w:r>
      <w:r w:rsidR="009D1D13">
        <w:t>pplicants</w:t>
      </w:r>
      <w:r w:rsidRPr="00EF7FCF">
        <w:t xml:space="preserve"> to continue providing service for 60 days pending approval of the domestic section 214 application.  A grant of the domestic section 214 application </w:t>
      </w:r>
      <w:r w:rsidR="009D1D13">
        <w:t xml:space="preserve">is </w:t>
      </w:r>
      <w:r w:rsidRPr="00EF7FCF">
        <w:t xml:space="preserve">without prejudice to any enforcement action by the Commission for non-compliance with the Act or the Commission’s rules.  Any action on the </w:t>
      </w:r>
      <w:r w:rsidR="00841CB8">
        <w:t>G</w:t>
      </w:r>
      <w:r w:rsidR="001D4DCB">
        <w:t>I</w:t>
      </w:r>
      <w:r w:rsidR="00841CB8">
        <w:t xml:space="preserve"> D</w:t>
      </w:r>
      <w:r w:rsidR="001D4DCB">
        <w:t>I</w:t>
      </w:r>
      <w:r w:rsidR="00841CB8">
        <w:t xml:space="preserve"> Iris Acquisition </w:t>
      </w:r>
      <w:r w:rsidRPr="00EF7FCF" w:rsidR="00ED3237">
        <w:t xml:space="preserve">Application or the </w:t>
      </w:r>
      <w:r w:rsidR="00841CB8">
        <w:t>LStar Equity A</w:t>
      </w:r>
      <w:r w:rsidRPr="00EF7FCF" w:rsidR="00ED3237">
        <w:t>pplication</w:t>
      </w:r>
      <w:r w:rsidRPr="00EF7FCF">
        <w:t xml:space="preserve"> is without prejudice to Commission action on other related, pending applications</w:t>
      </w:r>
      <w:r w:rsidRPr="00EF7FCF">
        <w:rPr>
          <w:bCs/>
        </w:rPr>
        <w:t>.</w:t>
      </w:r>
    </w:p>
  </w:footnote>
  <w:footnote w:id="4">
    <w:p w:rsidR="00645DA6" w:rsidRPr="00EF7FCF" w:rsidP="00645DA6" w14:paraId="269AA2F4" w14:textId="63C15595">
      <w:pPr>
        <w:pStyle w:val="FootnoteText"/>
      </w:pPr>
      <w:r w:rsidRPr="00EF7FCF">
        <w:rPr>
          <w:rStyle w:val="FootnoteReference"/>
          <w:sz w:val="20"/>
        </w:rPr>
        <w:footnoteRef/>
      </w:r>
      <w:r w:rsidRPr="00EF7FCF">
        <w:t xml:space="preserve"> </w:t>
      </w:r>
      <w:r w:rsidR="00567083">
        <w:t xml:space="preserve">LStar Equity </w:t>
      </w:r>
      <w:r w:rsidRPr="00EF7FCF">
        <w:t xml:space="preserve">Application at 3.  </w:t>
      </w:r>
      <w:r w:rsidRPr="00EF7FCF" w:rsidR="00677E44">
        <w:t xml:space="preserve">The </w:t>
      </w:r>
      <w:r w:rsidR="00567083">
        <w:t xml:space="preserve">LStar Equity </w:t>
      </w:r>
      <w:r w:rsidRPr="00EF7FCF" w:rsidR="00677E44">
        <w:t xml:space="preserve">Applicants state that JAB Wireless, Skybeam, Essex, and other subsidiaries hold wireless licenses, including common carrier fixed point-to-point microwave licenses, and filed for and received approval to transfer the wireless licenses in order to consummate the </w:t>
      </w:r>
      <w:r w:rsidR="0061082C">
        <w:t>LStar Equity</w:t>
      </w:r>
      <w:r w:rsidRPr="00EF7FCF" w:rsidR="0061082C">
        <w:t xml:space="preserve"> </w:t>
      </w:r>
      <w:r w:rsidRPr="00EF7FCF" w:rsidR="00677E44">
        <w:t xml:space="preserve">Transaction.  </w:t>
      </w:r>
      <w:r w:rsidRPr="009D1D13" w:rsidR="009D1D13">
        <w:rPr>
          <w:i/>
          <w:iCs/>
        </w:rPr>
        <w:t>Id</w:t>
      </w:r>
      <w:r w:rsidR="009D1D13">
        <w:t>.</w:t>
      </w:r>
      <w:r w:rsidRPr="00EF7FCF" w:rsidR="00677E44">
        <w:t xml:space="preserve"> at 4-6 (citing wireless transfer applications), 16.  </w:t>
      </w:r>
    </w:p>
  </w:footnote>
  <w:footnote w:id="5">
    <w:p w:rsidR="007403BB" w:rsidRPr="00EF7FCF" w:rsidP="007403BB" w14:paraId="26B37764" w14:textId="3AA098EA">
      <w:pPr>
        <w:pStyle w:val="FootnoteText"/>
      </w:pPr>
      <w:r w:rsidRPr="00EF7FCF">
        <w:rPr>
          <w:rStyle w:val="FootnoteReference"/>
          <w:sz w:val="20"/>
        </w:rPr>
        <w:footnoteRef/>
      </w:r>
      <w:r w:rsidRPr="00EF7FCF">
        <w:t xml:space="preserve"> </w:t>
      </w:r>
      <w:r w:rsidRPr="00EF7FCF">
        <w:rPr>
          <w:i/>
          <w:iCs/>
        </w:rPr>
        <w:t xml:space="preserve">See </w:t>
      </w:r>
      <w:r w:rsidRPr="00EF7FCF">
        <w:t xml:space="preserve">47 U.S.C. § 214; 47 CFR §§ 63.03-04.  </w:t>
      </w:r>
      <w:bookmarkStart w:id="3" w:name="_Hlk98748594"/>
      <w:bookmarkStart w:id="4" w:name="_Hlk92356124"/>
      <w:r w:rsidRPr="00EF7FCF">
        <w:t>Application for the Transfer of Control of JAB Wireless, Inc., Skybeam, AirCanopy Internet Services, Inc., and Essex Telcom, Inc., to GI DI Iris Acquisition Inc., WC Docket No 22-230 (filed Jun. 10, 2022) (</w:t>
      </w:r>
      <w:r w:rsidR="00E0620F">
        <w:t>GI DI Iris Acquisition</w:t>
      </w:r>
      <w:r w:rsidRPr="00EF7FCF">
        <w:t xml:space="preserve"> Application).  The </w:t>
      </w:r>
      <w:r w:rsidR="00E0620F">
        <w:t xml:space="preserve">GI DI Iris Acquisition </w:t>
      </w:r>
      <w:r w:rsidRPr="00EF7FCF">
        <w:t xml:space="preserve"> Applicants also filed applications for the transfer of  authorizations associated with wireless services.  </w:t>
      </w:r>
      <w:r w:rsidR="00E0620F">
        <w:t xml:space="preserve">GI DI Iris Acquisition </w:t>
      </w:r>
      <w:r w:rsidRPr="00EF7FCF">
        <w:t>Application at 13.</w:t>
      </w:r>
      <w:bookmarkEnd w:id="3"/>
      <w:r w:rsidRPr="00EF7FCF">
        <w:t xml:space="preserve">  On July 1, 2022, November 16, 2022, December 6, 2022, and December 13, 2022, the </w:t>
      </w:r>
      <w:r w:rsidRPr="007C38B1" w:rsidR="007C38B1">
        <w:t>GI DI Iris Acquisition</w:t>
      </w:r>
      <w:r w:rsidRPr="00EF7FCF">
        <w:t xml:space="preserve"> Applicants filed supplements to the domestic section 214 application.  </w:t>
      </w:r>
      <w:bookmarkStart w:id="5" w:name="_Hlk121829305"/>
      <w:bookmarkStart w:id="6" w:name="_Hlk121731220"/>
      <w:bookmarkStart w:id="7" w:name="_Hlk115078931"/>
      <w:r w:rsidRPr="00EF7FCF">
        <w:t xml:space="preserve">Letter from Stephen E. Coran, Counsel to JAB Wireless, and Andrew D. Lipman, Counsel to GI DI Iris Acquisition Inc., to Marlene H. Dortch, Secretary, FCC, WC Docket No. 22-230 </w:t>
      </w:r>
      <w:bookmarkEnd w:id="5"/>
      <w:r w:rsidRPr="00EF7FCF">
        <w:t>(filed July 1, 2022)</w:t>
      </w:r>
      <w:bookmarkEnd w:id="6"/>
      <w:r w:rsidRPr="00EF7FCF">
        <w:t xml:space="preserve"> (July </w:t>
      </w:r>
      <w:r w:rsidR="00E0620F">
        <w:t xml:space="preserve">1, 2022 </w:t>
      </w:r>
      <w:r w:rsidRPr="00EF7FCF">
        <w:t>Supplement); Letter from JAB Wireless, Inc. and GI DI Iris Acquisition Inc. to Marlene H. Dortch, Secretary, FCC, WC Docket No. 22-230 (filed Nov. 16, 2022) (Nov</w:t>
      </w:r>
      <w:r w:rsidR="00E0620F">
        <w:t xml:space="preserve">. 16, 2022 </w:t>
      </w:r>
      <w:r w:rsidRPr="00EF7FCF">
        <w:t>Supplement)</w:t>
      </w:r>
      <w:bookmarkEnd w:id="7"/>
      <w:r w:rsidRPr="00EF7FCF">
        <w:t>; Letter from Stephen E. Coran, Counsel to JAB Wireless Inc., to Marlene H. Dortch, Secretary, FCC, WC Docket No. 22-230 (filed Dec. 6, 2022)</w:t>
      </w:r>
      <w:r w:rsidR="00E0620F">
        <w:t xml:space="preserve"> </w:t>
      </w:r>
      <w:r w:rsidRPr="00EF7FCF" w:rsidR="00E0620F">
        <w:t>(Dec</w:t>
      </w:r>
      <w:r w:rsidR="00E0620F">
        <w:t xml:space="preserve">. 6, 2022 </w:t>
      </w:r>
      <w:r w:rsidRPr="00EF7FCF" w:rsidR="00E0620F">
        <w:t>Supplement)</w:t>
      </w:r>
      <w:r w:rsidRPr="00EF7FCF">
        <w:t>; Letter from Stephen E. Coran, Counsel to JAB Wireless, Inc., and Andrew D. Lipman, Counsel to GI DI Iris Acquisition Inc., to Marlene H. Dortch, Secretary, FCC, WC Docket No. 22-230 (filed Dec. 13, 2022) (Dec</w:t>
      </w:r>
      <w:r w:rsidR="00E0620F">
        <w:t xml:space="preserve">. 13, 2022 </w:t>
      </w:r>
      <w:r w:rsidRPr="00EF7FCF">
        <w:t xml:space="preserve">Supplement).  </w:t>
      </w:r>
      <w:bookmarkEnd w:id="4"/>
    </w:p>
  </w:footnote>
  <w:footnote w:id="6">
    <w:p w:rsidR="00734B63" w14:paraId="73C1D3FB" w14:textId="2E3A659F">
      <w:pPr>
        <w:pStyle w:val="FootnoteText"/>
      </w:pPr>
      <w:r>
        <w:rPr>
          <w:rStyle w:val="FootnoteReference"/>
        </w:rPr>
        <w:footnoteRef/>
      </w:r>
      <w:r>
        <w:t xml:space="preserve"> </w:t>
      </w:r>
      <w:r w:rsidRPr="00EF7FCF">
        <w:t>47 U.S.C. § 310(b)(4)</w:t>
      </w:r>
      <w:r w:rsidR="00D274E3">
        <w:t>.</w:t>
      </w:r>
    </w:p>
  </w:footnote>
  <w:footnote w:id="7">
    <w:p w:rsidR="00734B63" w14:paraId="2EB09EF8" w14:textId="19F81877">
      <w:pPr>
        <w:pStyle w:val="FootnoteText"/>
      </w:pPr>
      <w:r>
        <w:rPr>
          <w:rStyle w:val="FootnoteReference"/>
        </w:rPr>
        <w:footnoteRef/>
      </w:r>
      <w:r>
        <w:t xml:space="preserve"> </w:t>
      </w:r>
      <w:r w:rsidRPr="00EF7FCF">
        <w:t xml:space="preserve">47 CFR § 1.5000(a)(1).  </w:t>
      </w:r>
    </w:p>
  </w:footnote>
  <w:footnote w:id="8">
    <w:p w:rsidR="000F3340" w:rsidRPr="00EF7FCF" w:rsidP="000F3340" w14:paraId="153F31D8" w14:textId="194627EF">
      <w:pPr>
        <w:pStyle w:val="FootnoteText"/>
      </w:pPr>
      <w:r w:rsidRPr="00EF7FCF">
        <w:rPr>
          <w:rStyle w:val="FootnoteReference"/>
          <w:sz w:val="20"/>
        </w:rPr>
        <w:footnoteRef/>
      </w:r>
      <w:r w:rsidRPr="00EF7FCF">
        <w:t xml:space="preserve"> JAB Wireless, et al., Petition for Declaratory Ruling Under Section 310(b)(4) of the Communications Act of 1934, as amended, IBFS File No. ISP-PDR-20221208-00012 (filed Dec. </w:t>
      </w:r>
      <w:r w:rsidR="001F4B6E">
        <w:t>8</w:t>
      </w:r>
      <w:r w:rsidRPr="00EF7FCF">
        <w:t>, 2022) (</w:t>
      </w:r>
      <w:r w:rsidR="00E0620F">
        <w:t xml:space="preserve">LStar Equity </w:t>
      </w:r>
      <w:r w:rsidRPr="00EF7FCF">
        <w:t xml:space="preserve">Petition).  Petitioners to the </w:t>
      </w:r>
      <w:r w:rsidR="00E0620F">
        <w:t xml:space="preserve">LStar Equity </w:t>
      </w:r>
      <w:r w:rsidRPr="00EF7FCF">
        <w:t xml:space="preserve">Petition </w:t>
      </w:r>
      <w:r w:rsidR="001F4B6E">
        <w:t xml:space="preserve">also </w:t>
      </w:r>
      <w:r w:rsidRPr="00EF7FCF">
        <w:t xml:space="preserve">filed a supplement on December 8, 2022.  Letter from Stephen E. Coran, Counsel to the </w:t>
      </w:r>
      <w:r w:rsidR="00203846">
        <w:t>LStar Equity</w:t>
      </w:r>
      <w:r w:rsidRPr="00EF7FCF" w:rsidR="00203846">
        <w:t xml:space="preserve"> </w:t>
      </w:r>
      <w:r w:rsidRPr="00EF7FCF">
        <w:t>Petition, to Marlene H. Dortch, Secretary, FCC, (filed Dec. 8, 2022) (on file in IBFS File No. ISP-PDR-20221208-00012)</w:t>
      </w:r>
      <w:r>
        <w:t xml:space="preserve"> (</w:t>
      </w:r>
      <w:r w:rsidR="00E0620F">
        <w:t xml:space="preserve">LStar Equity </w:t>
      </w:r>
      <w:r>
        <w:t>Petition Dec</w:t>
      </w:r>
      <w:r w:rsidR="00E0620F">
        <w:t xml:space="preserve"> </w:t>
      </w:r>
      <w:r>
        <w:t>8</w:t>
      </w:r>
      <w:r w:rsidR="00E0620F">
        <w:t>, 2022</w:t>
      </w:r>
      <w:r>
        <w:t xml:space="preserve"> Supplement)</w:t>
      </w:r>
      <w:r w:rsidRPr="00EF7FCF">
        <w:t xml:space="preserve">.  </w:t>
      </w:r>
    </w:p>
  </w:footnote>
  <w:footnote w:id="9">
    <w:p w:rsidR="00734B63" w:rsidRPr="00EF7FCF" w:rsidP="00734B63" w14:paraId="3E2AF293" w14:textId="23021CFC">
      <w:pPr>
        <w:pStyle w:val="FootnoteText"/>
      </w:pPr>
      <w:r w:rsidRPr="00EF7FCF">
        <w:rPr>
          <w:rStyle w:val="FootnoteReference"/>
          <w:sz w:val="20"/>
        </w:rPr>
        <w:footnoteRef/>
      </w:r>
      <w:r w:rsidRPr="00EF7FCF">
        <w:t xml:space="preserve"> JAB Wireless, et al., Petition for Declaratory Ruling Under Section 310(b)(4) of the Communications Act of 1934, as amended, IBFS File No. ISP-PDR-20220610-00004  (filed June 10, 2022) (</w:t>
      </w:r>
      <w:r w:rsidR="00E0620F">
        <w:t xml:space="preserve">GI DI Iris Acquisition </w:t>
      </w:r>
      <w:r w:rsidRPr="00EF7FCF">
        <w:t xml:space="preserve">Petition).  Petitioners to the </w:t>
      </w:r>
      <w:r w:rsidR="00E0620F">
        <w:t xml:space="preserve">GI DI Iris Acquisition </w:t>
      </w:r>
      <w:r w:rsidRPr="00EF7FCF">
        <w:t>Petition filed supplements on July 8, 2022, July 29, 2022, August 25, 2022,  September 28, 2022</w:t>
      </w:r>
      <w:r w:rsidR="00CF67EF">
        <w:t xml:space="preserve">, November 16, 2022, and </w:t>
      </w:r>
      <w:r w:rsidR="00726D1B">
        <w:t xml:space="preserve">December </w:t>
      </w:r>
      <w:r w:rsidR="00417A15">
        <w:t>13, 2022</w:t>
      </w:r>
      <w:r w:rsidRPr="00EF7FCF">
        <w:t>.  Letter from Stephen E. Coran, Counsel to JAB Wireless and Wireless Licensees, and Andrew D. Lipman, Counsel to GI DI Iris Acquisition, to Marlene H. Dortch, Secretary, FCC, (filed Jul. 8, 2022) (on file in IBFS File No. ISP-PDR-20220610-00004) (</w:t>
      </w:r>
      <w:r w:rsidR="00E0620F">
        <w:t xml:space="preserve">GI DI Iris Acquisition </w:t>
      </w:r>
      <w:r>
        <w:t xml:space="preserve">Petition </w:t>
      </w:r>
      <w:r w:rsidRPr="00C912EE">
        <w:t>Jul</w:t>
      </w:r>
      <w:r w:rsidR="00686F9A">
        <w:t>.</w:t>
      </w:r>
      <w:r w:rsidRPr="00C912EE">
        <w:t xml:space="preserve"> 8</w:t>
      </w:r>
      <w:r w:rsidR="00E0620F">
        <w:t>, 2022</w:t>
      </w:r>
      <w:r w:rsidRPr="00C912EE">
        <w:t xml:space="preserve"> Supplement) (providing additional foreign ownership information); Letter from Stephen E. Coran, Counsel to JAB Wireless and Wireless Licensees, and Andrew D. Lipman, Counsel to GI DI Iris Acquisition, to Marlene H. Dortch, Secretary, FCC (filed Jul</w:t>
      </w:r>
      <w:r w:rsidR="003B2AF1">
        <w:t>.</w:t>
      </w:r>
      <w:r w:rsidRPr="00C912EE">
        <w:t xml:space="preserve"> 29, 2022) (on file in IBFS File No. ISP-PDR-20220610-00004) (</w:t>
      </w:r>
      <w:r w:rsidR="00E0620F">
        <w:t xml:space="preserve">GI DI Iris Acquisition </w:t>
      </w:r>
      <w:r w:rsidRPr="00C912EE">
        <w:t>Petition Jul</w:t>
      </w:r>
      <w:r w:rsidR="00686F9A">
        <w:t>.</w:t>
      </w:r>
      <w:r w:rsidRPr="00C912EE">
        <w:t xml:space="preserve"> 29</w:t>
      </w:r>
      <w:r w:rsidR="00E0620F">
        <w:t>, 2022</w:t>
      </w:r>
      <w:r w:rsidRPr="00C912EE">
        <w:t xml:space="preserve"> Supplement) (adding information about insulated foreign limited partners and providing revised corporate ownership structure charts); Letter from Stephen E. Coran, Counsel to JAB Wireless and Wireless Licensees, and Andrew D. Lipman, Counsel to GI DI Iris Acquisition, to Marlene H. Dortch, Secretary, FCC (filed Aug</w:t>
      </w:r>
      <w:r w:rsidR="003B2AF1">
        <w:t>.</w:t>
      </w:r>
      <w:r w:rsidRPr="00C912EE">
        <w:t xml:space="preserve"> 25, 2022) (on file in IBFS File No. ISP-PDR-20220610-00004) (</w:t>
      </w:r>
      <w:r w:rsidR="00E0620F">
        <w:t xml:space="preserve">GI DI Iris Acquisition </w:t>
      </w:r>
      <w:r w:rsidRPr="00C912EE">
        <w:t>Petition Aug</w:t>
      </w:r>
      <w:r w:rsidR="00E0620F">
        <w:t xml:space="preserve">. </w:t>
      </w:r>
      <w:r w:rsidRPr="00C912EE">
        <w:t>25</w:t>
      </w:r>
      <w:r w:rsidR="00E0620F">
        <w:t>, 2022</w:t>
      </w:r>
      <w:r w:rsidRPr="00C912EE">
        <w:t xml:space="preserve"> Supplement) (stating that Skybeam holds only Educational Broadcast Service (EBS) and QQ special temporary authority); Letter from Stephen E. Coran, Counsel to JAB Wireless and Wireless Licensees, and Andrew D. Lipman, Counsel to GI DI Iris Acquisition, to Marlene H. Dortch, Secretary, FCC (filed Sep</w:t>
      </w:r>
      <w:r w:rsidR="003B2AF1">
        <w:t>.</w:t>
      </w:r>
      <w:r w:rsidRPr="00C912EE">
        <w:t xml:space="preserve"> 28, 2022) (on file in IBFS File No. ISP-PDR-20220610-00004) (</w:t>
      </w:r>
      <w:r w:rsidR="00E0620F">
        <w:t xml:space="preserve">GI DI Iris Acquisition </w:t>
      </w:r>
      <w:r w:rsidRPr="00C912EE">
        <w:t>Petition Sep</w:t>
      </w:r>
      <w:r w:rsidR="00E0620F">
        <w:t xml:space="preserve">. </w:t>
      </w:r>
      <w:r w:rsidRPr="00C912EE">
        <w:t>28</w:t>
      </w:r>
      <w:r w:rsidR="00E0620F">
        <w:t>, 2022</w:t>
      </w:r>
      <w:r w:rsidRPr="00C912EE">
        <w:t xml:space="preserve"> Supplement) (providing further explanation about the services provided by the Wireless Licensees)</w:t>
      </w:r>
      <w:r w:rsidR="001B3CBD">
        <w:t>;</w:t>
      </w:r>
      <w:r w:rsidRPr="00C912EE" w:rsidR="001B3CBD">
        <w:t xml:space="preserve"> Letter from Stephen E. Coran, Counsel to JAB Wireless and Wireless Licensees, and Andrew D. Lipman, Counsel to GI DI Iris Acquisition, to Marlene H. Dortch, Secretary, FCC (filed </w:t>
      </w:r>
      <w:r w:rsidR="001B3CBD">
        <w:t>Nov</w:t>
      </w:r>
      <w:r w:rsidR="00A60342">
        <w:t>.</w:t>
      </w:r>
      <w:r w:rsidR="001B3CBD">
        <w:t xml:space="preserve"> 16</w:t>
      </w:r>
      <w:r w:rsidRPr="00C912EE" w:rsidR="001B3CBD">
        <w:t>, 2022) (on file in IBFS File No. ISP-PDR-20220610-00004) (</w:t>
      </w:r>
      <w:r w:rsidR="001B3CBD">
        <w:t xml:space="preserve">GI DI Iris Acquisition </w:t>
      </w:r>
      <w:r w:rsidRPr="00C912EE" w:rsidR="001B3CBD">
        <w:t xml:space="preserve">Petition </w:t>
      </w:r>
      <w:r w:rsidR="001B3CBD">
        <w:t>Nov. 16, 2022</w:t>
      </w:r>
      <w:r w:rsidRPr="00C912EE" w:rsidR="001B3CBD">
        <w:t xml:space="preserve"> Supplement) (</w:t>
      </w:r>
      <w:r w:rsidR="00540DEE">
        <w:t xml:space="preserve">providing information regarding </w:t>
      </w:r>
      <w:r w:rsidR="00703E20">
        <w:t>their common carrier services and</w:t>
      </w:r>
      <w:r w:rsidR="00540DEE">
        <w:t xml:space="preserve"> </w:t>
      </w:r>
      <w:r w:rsidR="00543DB9">
        <w:t>eligibility to receive RBE support</w:t>
      </w:r>
      <w:r w:rsidRPr="00C912EE" w:rsidR="001B3CBD">
        <w:t>);</w:t>
      </w:r>
      <w:r w:rsidR="00B332E9">
        <w:t xml:space="preserve"> </w:t>
      </w:r>
      <w:r w:rsidRPr="00C912EE" w:rsidR="005C1743">
        <w:t xml:space="preserve">); Letter from Stephen E. Coran, Counsel to JAB Wireless and Wireless Licensees, and Andrew D. Lipman, Counsel to GI DI Iris Acquisition, to Marlene H. Dortch, Secretary, FCC (filed </w:t>
      </w:r>
      <w:r w:rsidR="003E3BD2">
        <w:t>Dec</w:t>
      </w:r>
      <w:r w:rsidR="005C5478">
        <w:t>.</w:t>
      </w:r>
      <w:r w:rsidRPr="00C912EE" w:rsidR="005C1743">
        <w:t xml:space="preserve"> </w:t>
      </w:r>
      <w:r w:rsidR="003E3BD2">
        <w:t>13</w:t>
      </w:r>
      <w:r w:rsidRPr="00C912EE" w:rsidR="005C1743">
        <w:t>, 2022) (on file in IBFS File No. ISP-PDR-20220610-00004) (</w:t>
      </w:r>
      <w:r w:rsidR="005C1743">
        <w:t xml:space="preserve">GI DI Iris Acquisition </w:t>
      </w:r>
      <w:r w:rsidRPr="00C912EE" w:rsidR="005C1743">
        <w:t xml:space="preserve">Petition </w:t>
      </w:r>
      <w:r w:rsidR="003E3BD2">
        <w:t>Dec</w:t>
      </w:r>
      <w:r w:rsidR="005C1743">
        <w:t xml:space="preserve">. </w:t>
      </w:r>
      <w:r w:rsidR="003E3BD2">
        <w:t>13</w:t>
      </w:r>
      <w:r w:rsidR="005C1743">
        <w:t>, 2022</w:t>
      </w:r>
      <w:r w:rsidRPr="00C912EE" w:rsidR="005C1743">
        <w:t xml:space="preserve"> Supplement) (</w:t>
      </w:r>
      <w:r w:rsidR="005B4BA9">
        <w:t xml:space="preserve">providing </w:t>
      </w:r>
      <w:r w:rsidR="00775A64">
        <w:t xml:space="preserve">additional </w:t>
      </w:r>
      <w:r w:rsidR="002F5774">
        <w:t>information</w:t>
      </w:r>
      <w:r w:rsidRPr="00775A64" w:rsidR="00775A64">
        <w:t xml:space="preserve"> request</w:t>
      </w:r>
      <w:r w:rsidR="00775A64">
        <w:t>ed</w:t>
      </w:r>
      <w:r w:rsidRPr="00775A64" w:rsidR="00775A64">
        <w:t xml:space="preserve"> </w:t>
      </w:r>
      <w:r w:rsidR="00775A64">
        <w:t xml:space="preserve">by </w:t>
      </w:r>
      <w:r w:rsidRPr="00775A64" w:rsidR="00775A64">
        <w:t>the</w:t>
      </w:r>
      <w:r w:rsidR="005B4BA9">
        <w:t xml:space="preserve"> </w:t>
      </w:r>
      <w:r w:rsidR="00C60B00">
        <w:t>Commission</w:t>
      </w:r>
      <w:r w:rsidR="00775A64">
        <w:t xml:space="preserve">). </w:t>
      </w:r>
      <w:r w:rsidRPr="00775A64" w:rsidR="00775A64">
        <w:t xml:space="preserve"> </w:t>
      </w:r>
    </w:p>
  </w:footnote>
  <w:footnote w:id="10">
    <w:p w:rsidR="00715FFC" w:rsidRPr="00EF7FCF" w:rsidP="00715FFC" w14:paraId="670B4370" w14:textId="77777777">
      <w:pPr>
        <w:pStyle w:val="Caption"/>
        <w:spacing w:before="0"/>
        <w:rPr>
          <w:sz w:val="20"/>
        </w:rPr>
      </w:pPr>
      <w:r w:rsidRPr="00EF7FCF">
        <w:rPr>
          <w:rStyle w:val="FootnoteReference"/>
          <w:sz w:val="20"/>
        </w:rPr>
        <w:footnoteRef/>
      </w:r>
      <w:r w:rsidRPr="00EF7FCF">
        <w:rPr>
          <w:sz w:val="20"/>
        </w:rPr>
        <w:t xml:space="preserve"> </w:t>
      </w:r>
      <w:r w:rsidRPr="00EF7FCF">
        <w:rPr>
          <w:b w:val="0"/>
          <w:bCs/>
          <w:i/>
          <w:iCs/>
          <w:sz w:val="20"/>
        </w:rPr>
        <w:t>Domestic Section 214 Application Filed for the Transfer of Control of Skybeam, LLC and Affiliates to GI DI Iris Acquisition Inc</w:t>
      </w:r>
      <w:r w:rsidRPr="002F1F37">
        <w:rPr>
          <w:b w:val="0"/>
          <w:sz w:val="20"/>
        </w:rPr>
        <w:t>., WC Docket No. 22-230</w:t>
      </w:r>
      <w:r w:rsidRPr="00EF7FCF">
        <w:rPr>
          <w:b w:val="0"/>
          <w:bCs/>
          <w:i/>
          <w:sz w:val="20"/>
        </w:rPr>
        <w:t xml:space="preserve">; </w:t>
      </w:r>
      <w:r w:rsidRPr="00EF7FCF">
        <w:rPr>
          <w:b w:val="0"/>
          <w:bCs/>
          <w:i/>
          <w:iCs/>
          <w:sz w:val="20"/>
        </w:rPr>
        <w:t xml:space="preserve">Section 310(b)(4) Petition for Declaratory Ruling, </w:t>
      </w:r>
      <w:r w:rsidRPr="00EF7FCF">
        <w:rPr>
          <w:b w:val="0"/>
          <w:bCs/>
          <w:iCs/>
          <w:sz w:val="20"/>
        </w:rPr>
        <w:t>IB File No. ISP-PDR-20220610-0004, Public Notice, DA 22-1062 (WCB/IB Oct. 4, 2022)</w:t>
      </w:r>
      <w:r>
        <w:rPr>
          <w:b w:val="0"/>
          <w:bCs/>
          <w:iCs/>
          <w:sz w:val="20"/>
        </w:rPr>
        <w:t xml:space="preserve"> (</w:t>
      </w:r>
      <w:r w:rsidRPr="00983F69">
        <w:rPr>
          <w:b w:val="0"/>
          <w:i/>
          <w:sz w:val="20"/>
        </w:rPr>
        <w:t>Oct. 4, 2022 Public Notice</w:t>
      </w:r>
      <w:r>
        <w:rPr>
          <w:b w:val="0"/>
          <w:bCs/>
          <w:iCs/>
          <w:sz w:val="20"/>
        </w:rPr>
        <w:t>)</w:t>
      </w:r>
      <w:r w:rsidRPr="00EF7FCF">
        <w:rPr>
          <w:b w:val="0"/>
          <w:bCs/>
          <w:i/>
          <w:sz w:val="20"/>
        </w:rPr>
        <w:t>.</w:t>
      </w:r>
    </w:p>
  </w:footnote>
  <w:footnote w:id="11">
    <w:p w:rsidR="00587DBF" w:rsidRPr="00EF7FCF" w14:paraId="4C775598" w14:textId="290C7607">
      <w:pPr>
        <w:pStyle w:val="FootnoteText"/>
      </w:pPr>
      <w:r w:rsidRPr="00EF7FCF">
        <w:rPr>
          <w:rStyle w:val="FootnoteReference"/>
          <w:sz w:val="20"/>
        </w:rPr>
        <w:footnoteRef/>
      </w:r>
      <w:r w:rsidRPr="00EF7FCF">
        <w:t xml:space="preserve"> </w:t>
      </w:r>
      <w:r w:rsidR="009D1D13">
        <w:rPr>
          <w:i/>
          <w:iCs/>
        </w:rPr>
        <w:t xml:space="preserve">Domestic Section 214 </w:t>
      </w:r>
      <w:r w:rsidRPr="00EF7FCF" w:rsidR="00340D1A">
        <w:rPr>
          <w:bCs/>
          <w:i/>
        </w:rPr>
        <w:t>Application Filed for the Transfer of Control of</w:t>
      </w:r>
      <w:r w:rsidRPr="00EF7FCF" w:rsidR="00340D1A">
        <w:rPr>
          <w:b/>
          <w:bCs/>
          <w:i/>
        </w:rPr>
        <w:t xml:space="preserve"> </w:t>
      </w:r>
      <w:r w:rsidRPr="00EF7FCF" w:rsidR="00340D1A">
        <w:rPr>
          <w:i/>
        </w:rPr>
        <w:t>Skybeam, LLC and Essex Telecom, Inc. to LStar Equity Company Holdings, L.P.</w:t>
      </w:r>
      <w:r w:rsidRPr="00EF7FCF" w:rsidR="00340D1A">
        <w:t>,</w:t>
      </w:r>
      <w:r w:rsidR="009D1D13">
        <w:t xml:space="preserve"> </w:t>
      </w:r>
      <w:r w:rsidRPr="009D1D13" w:rsidR="009D1D13">
        <w:rPr>
          <w:i/>
          <w:iCs/>
        </w:rPr>
        <w:t>Section 310(b)(4) Petition for Declaratory Ruling</w:t>
      </w:r>
      <w:r w:rsidR="009D1D13">
        <w:t>,</w:t>
      </w:r>
      <w:r w:rsidRPr="00EF7FCF" w:rsidR="00340D1A">
        <w:t xml:space="preserve"> WC Docket No. 2</w:t>
      </w:r>
      <w:r w:rsidRPr="00EF7FCF" w:rsidR="00412D8F">
        <w:t>2-422</w:t>
      </w:r>
      <w:r w:rsidRPr="00EF7FCF" w:rsidR="00340D1A">
        <w:t xml:space="preserve">, </w:t>
      </w:r>
      <w:r w:rsidR="00D3468D">
        <w:t xml:space="preserve">IB File No. ISP-PDR-20221208-00012, </w:t>
      </w:r>
      <w:r w:rsidRPr="00EF7FCF" w:rsidR="00340D1A">
        <w:t xml:space="preserve">Public Notice, </w:t>
      </w:r>
      <w:r w:rsidR="00D3468D">
        <w:t>DA 22-1320</w:t>
      </w:r>
      <w:r w:rsidRPr="00EF7FCF" w:rsidR="00791CF2">
        <w:t xml:space="preserve"> </w:t>
      </w:r>
      <w:r w:rsidRPr="00EF7FCF" w:rsidR="00340D1A">
        <w:t>(WCB</w:t>
      </w:r>
      <w:r w:rsidR="00D3468D">
        <w:t>/IB</w:t>
      </w:r>
      <w:r w:rsidRPr="00EF7FCF" w:rsidR="00340D1A">
        <w:t xml:space="preserve"> </w:t>
      </w:r>
      <w:r w:rsidR="00D3468D">
        <w:t xml:space="preserve">Dec. 14, </w:t>
      </w:r>
      <w:r w:rsidRPr="00EF7FCF" w:rsidR="00340D1A">
        <w:t>2022)</w:t>
      </w:r>
      <w:r w:rsidR="00827DEB">
        <w:t xml:space="preserve"> (</w:t>
      </w:r>
      <w:r w:rsidR="00827DEB">
        <w:rPr>
          <w:i/>
          <w:iCs/>
        </w:rPr>
        <w:t>Dec. 14, 2022 Public Notice</w:t>
      </w:r>
      <w:r w:rsidR="00827DEB">
        <w:t>)</w:t>
      </w:r>
      <w:r w:rsidRPr="00EF7FCF" w:rsidR="00340D1A">
        <w:t>.</w:t>
      </w:r>
    </w:p>
  </w:footnote>
  <w:footnote w:id="12">
    <w:p w:rsidR="00C47385" w:rsidRPr="00EF7FCF" w:rsidP="00C47385" w14:paraId="1EC7902F" w14:textId="599DAE8B">
      <w:pPr>
        <w:pStyle w:val="FootnoteText"/>
      </w:pPr>
      <w:r w:rsidRPr="00EF7FCF">
        <w:rPr>
          <w:rStyle w:val="FootnoteReference"/>
          <w:sz w:val="20"/>
        </w:rPr>
        <w:footnoteRef/>
      </w:r>
      <w:r w:rsidRPr="00EF7FCF">
        <w:t xml:space="preserve"> </w:t>
      </w:r>
      <w:r w:rsidR="00E0620F">
        <w:t xml:space="preserve">GI DI Iris Acquisition </w:t>
      </w:r>
      <w:r w:rsidRPr="00EF7FCF">
        <w:t>Application at 3, 14.</w:t>
      </w:r>
    </w:p>
  </w:footnote>
  <w:footnote w:id="13">
    <w:p w:rsidR="00C47385" w:rsidRPr="00EF7FCF" w:rsidP="00C47385" w14:paraId="68F31178" w14:textId="69597530">
      <w:pPr>
        <w:pStyle w:val="FootnoteText"/>
      </w:pPr>
      <w:r w:rsidRPr="00EF7FCF">
        <w:rPr>
          <w:rStyle w:val="FootnoteReference"/>
          <w:sz w:val="20"/>
        </w:rPr>
        <w:footnoteRef/>
      </w:r>
      <w:r w:rsidRPr="00EF7FCF">
        <w:t xml:space="preserve"> </w:t>
      </w:r>
      <w:r w:rsidR="00E0620F">
        <w:t>GI DI Iris Acquisition</w:t>
      </w:r>
      <w:r w:rsidRPr="00EF7FCF">
        <w:t xml:space="preserve"> Application at 2-3</w:t>
      </w:r>
      <w:r w:rsidR="00037987">
        <w:t>,</w:t>
      </w:r>
      <w:r w:rsidRPr="00EF7FCF">
        <w:t xml:space="preserve"> 11; </w:t>
      </w:r>
      <w:r w:rsidR="00E0620F">
        <w:t xml:space="preserve">LStar Equity </w:t>
      </w:r>
      <w:r w:rsidRPr="00EF7FCF">
        <w:t>Application at 3-4, 14-15.</w:t>
      </w:r>
    </w:p>
  </w:footnote>
  <w:footnote w:id="14">
    <w:p w:rsidR="00C47385" w:rsidRPr="00EF7FCF" w:rsidP="00C47385" w14:paraId="4FF223DA" w14:textId="0DD0F936">
      <w:pPr>
        <w:pStyle w:val="FootnoteText"/>
      </w:pPr>
      <w:r w:rsidRPr="00EF7FCF">
        <w:rPr>
          <w:rStyle w:val="FootnoteReference"/>
          <w:sz w:val="20"/>
        </w:rPr>
        <w:footnoteRef/>
      </w:r>
      <w:r w:rsidRPr="00EF7FCF">
        <w:t xml:space="preserve"> </w:t>
      </w:r>
      <w:r w:rsidR="00625540">
        <w:t>GI DI Iris Acquisition</w:t>
      </w:r>
      <w:r w:rsidRPr="00EF7FCF" w:rsidR="00625540">
        <w:t xml:space="preserve"> Application at 2-3 and 11; </w:t>
      </w:r>
      <w:r w:rsidR="00625540">
        <w:t xml:space="preserve">LStar Equity </w:t>
      </w:r>
      <w:r w:rsidRPr="00EF7FCF" w:rsidR="00625540">
        <w:t>Application at 3-4, 14-15</w:t>
      </w:r>
      <w:r w:rsidR="00653272">
        <w:t>; Nov</w:t>
      </w:r>
      <w:r w:rsidR="00DC2056">
        <w:t xml:space="preserve">. 16, 2022 </w:t>
      </w:r>
      <w:r w:rsidR="00653272">
        <w:t>Supplement at 1-5.</w:t>
      </w:r>
      <w:r w:rsidRPr="00EF7FCF">
        <w:t xml:space="preserve">  </w:t>
      </w:r>
      <w:r w:rsidRPr="00EF7FCF">
        <w:rPr>
          <w:i/>
          <w:iCs/>
        </w:rPr>
        <w:t>See</w:t>
      </w:r>
      <w:r w:rsidRPr="00EF7FCF">
        <w:t xml:space="preserve"> </w:t>
      </w:r>
      <w:r w:rsidRPr="00EF7FCF">
        <w:rPr>
          <w:i/>
          <w:iCs/>
        </w:rPr>
        <w:t>Rural Broadband Experiment Support Authorized for Ten Winning Bids for Skybeam, LLC, et al.</w:t>
      </w:r>
      <w:r w:rsidRPr="00EF7FCF">
        <w:t xml:space="preserve">, WC Docket Nos. 10-90, 14-259, Public Notice, 30 FCC Rcd 8283 (WCB 2015); </w:t>
      </w:r>
      <w:r w:rsidRPr="00EF7FCF">
        <w:rPr>
          <w:i/>
          <w:iCs/>
        </w:rPr>
        <w:t>Rural Broadband Experiment Support Authorized for Skybeam, LLC, et al</w:t>
      </w:r>
      <w:r w:rsidRPr="00EF7FCF">
        <w:t xml:space="preserve">., WC Docket Nos. 10-90, 14-259, Public Notice, 30 FCC Rcd 12725 (WCB 2015); </w:t>
      </w:r>
      <w:r w:rsidRPr="00EF7FCF">
        <w:rPr>
          <w:i/>
          <w:iCs/>
        </w:rPr>
        <w:t>Rural Broadband Experiment Support Authorized for Skybeam, LLC</w:t>
      </w:r>
      <w:r w:rsidRPr="00EF7FCF">
        <w:t>, WC Docket Nos. 10-90, 14-259, Public Notice, 31 FCC Rcd 100 (WCB 2016)</w:t>
      </w:r>
      <w:r w:rsidR="001C16CD">
        <w:t xml:space="preserve"> (together, </w:t>
      </w:r>
      <w:r w:rsidRPr="001C16CD" w:rsidR="001C16CD">
        <w:rPr>
          <w:i/>
          <w:iCs/>
        </w:rPr>
        <w:t>RBE Public Notices</w:t>
      </w:r>
      <w:r w:rsidR="001C16CD">
        <w:t>)</w:t>
      </w:r>
      <w:r w:rsidRPr="00EF7FCF">
        <w:t>.</w:t>
      </w:r>
    </w:p>
  </w:footnote>
  <w:footnote w:id="15">
    <w:p w:rsidR="00C47385" w:rsidRPr="00EF7FCF" w:rsidP="00C47385" w14:paraId="17563452" w14:textId="6E34AADF">
      <w:pPr>
        <w:pStyle w:val="FootnoteText"/>
      </w:pPr>
      <w:r w:rsidRPr="00EF7FCF">
        <w:rPr>
          <w:rStyle w:val="FootnoteReference"/>
          <w:sz w:val="20"/>
        </w:rPr>
        <w:footnoteRef/>
      </w:r>
      <w:r w:rsidRPr="00EF7FCF">
        <w:rPr>
          <w:i/>
          <w:iCs/>
        </w:rPr>
        <w:t xml:space="preserve"> </w:t>
      </w:r>
      <w:r w:rsidR="00E0620F">
        <w:t xml:space="preserve">GI DI Iris Acquisition </w:t>
      </w:r>
      <w:r w:rsidRPr="00EF7FCF">
        <w:t xml:space="preserve">Application at 7-8; </w:t>
      </w:r>
      <w:r w:rsidR="00E0620F">
        <w:t xml:space="preserve">LStar Equity </w:t>
      </w:r>
      <w:r w:rsidRPr="00EF7FCF">
        <w:t>Application at 7-8.  Entities must be designated as ETCs under section 214(e) of the Act, 47 U.S.C. § 214(e), to receive RBE funding</w:t>
      </w:r>
      <w:r w:rsidR="00F66CE6">
        <w:t xml:space="preserve">.  </w:t>
      </w:r>
    </w:p>
  </w:footnote>
  <w:footnote w:id="16">
    <w:p w:rsidR="00CA0359" w14:paraId="51BFAB74" w14:textId="76A79D7C">
      <w:pPr>
        <w:pStyle w:val="FootnoteText"/>
      </w:pPr>
      <w:r>
        <w:rPr>
          <w:rStyle w:val="FootnoteReference"/>
        </w:rPr>
        <w:footnoteRef/>
      </w:r>
      <w:r>
        <w:t xml:space="preserve"> </w:t>
      </w:r>
      <w:r w:rsidR="00E0620F">
        <w:t xml:space="preserve">GI DI Iris Acquisition </w:t>
      </w:r>
      <w:r>
        <w:t xml:space="preserve">Application at 3, 8, 11.  </w:t>
      </w:r>
      <w:r w:rsidRPr="00EF7FCF">
        <w:rPr>
          <w:i/>
          <w:iCs/>
        </w:rPr>
        <w:t>See Connect America Fund ETC Annual Reports and Certifications</w:t>
      </w:r>
      <w:r w:rsidRPr="00EF7FCF">
        <w:t>, WC Docket No. 10-90, WT Docket No. 14-58, Report and Order and Notice of Proposed Rulemaking, 29 FCC Rcd 8769, 8778, 8788, paras. 22, 54 (2014)</w:t>
      </w:r>
      <w:r w:rsidRPr="00EF7FCF">
        <w:rPr>
          <w:i/>
          <w:iCs/>
        </w:rPr>
        <w:t xml:space="preserve"> </w:t>
      </w:r>
      <w:r w:rsidRPr="00EF7FCF">
        <w:t>(</w:t>
      </w:r>
      <w:r w:rsidRPr="00EF7FCF">
        <w:rPr>
          <w:i/>
          <w:iCs/>
        </w:rPr>
        <w:t>Rural Broadband Experiments Order</w:t>
      </w:r>
      <w:r w:rsidRPr="00EF7FCF">
        <w:t xml:space="preserve">).  The </w:t>
      </w:r>
      <w:r w:rsidR="00E0620F">
        <w:t xml:space="preserve">GI DI Iris Acquisition </w:t>
      </w:r>
      <w:r w:rsidRPr="00EF7FCF">
        <w:t>Applicants state that “[a]ll JAB Wireless-owned ETCs in areas eligible for RBE support have been offering voices services on a common carrier basis.”  Nov</w:t>
      </w:r>
      <w:r w:rsidR="00DC2056">
        <w:t xml:space="preserve">. 16, 2022 </w:t>
      </w:r>
      <w:r w:rsidRPr="00EF7FCF">
        <w:t>Supplement at 3.</w:t>
      </w:r>
      <w:r w:rsidR="00822DE2">
        <w:t xml:space="preserve">  See </w:t>
      </w:r>
      <w:r w:rsidRPr="00D04DE6" w:rsidR="00822DE2">
        <w:rPr>
          <w:rStyle w:val="Emphasis"/>
        </w:rPr>
        <w:t xml:space="preserve">Connect America Fund et al., </w:t>
      </w:r>
      <w:r w:rsidRPr="00A77920" w:rsidR="00822DE2">
        <w:rPr>
          <w:rStyle w:val="Emphasis"/>
        </w:rPr>
        <w:t>WC Docket No. 10-90 et al., Report and Order, 29 FCC Rcd 15644, 15668 n. 143 (2014);</w:t>
      </w:r>
      <w:r w:rsidR="00822DE2">
        <w:rPr>
          <w:rStyle w:val="Emphasis"/>
        </w:rPr>
        <w:t xml:space="preserve"> </w:t>
      </w:r>
      <w:r w:rsidRPr="00D04DE6" w:rsidR="00822DE2">
        <w:t xml:space="preserve">Rural Broadband Experiments – Frequently Asked Questions (FAQs), at </w:t>
      </w:r>
      <w:hyperlink r:id="rId1" w:history="1">
        <w:r w:rsidRPr="00D04DE6" w:rsidR="00822DE2">
          <w:rPr>
            <w:rStyle w:val="Hyperlink"/>
          </w:rPr>
          <w:t>https://www.fcc.gov/general/rural-broadband-experiments</w:t>
        </w:r>
      </w:hyperlink>
      <w:r w:rsidRPr="00D04DE6" w:rsidR="00822DE2">
        <w:t xml:space="preserve"> (explaining that “recipients of support in the rural broadband experiments, like all recipients of Connect America support, are free to meet their broadband public interest obligations through any affiliate within the holding company”).</w:t>
      </w:r>
    </w:p>
  </w:footnote>
  <w:footnote w:id="17">
    <w:p w:rsidR="00CA0359" w:rsidP="00CA0359" w14:paraId="44A9C530" w14:textId="1A0C4778">
      <w:pPr>
        <w:pStyle w:val="FootnoteText"/>
      </w:pPr>
      <w:r>
        <w:rPr>
          <w:rStyle w:val="FootnoteReference"/>
        </w:rPr>
        <w:footnoteRef/>
      </w:r>
      <w:r>
        <w:t xml:space="preserve"> </w:t>
      </w:r>
      <w:r w:rsidR="00C34A80">
        <w:t xml:space="preserve">LStar Equity </w:t>
      </w:r>
      <w:r>
        <w:t xml:space="preserve">Petition at 2.  </w:t>
      </w:r>
      <w:r w:rsidR="00C34A80">
        <w:t xml:space="preserve">GI DI Iris Acquisition </w:t>
      </w:r>
      <w:r>
        <w:t>Petition at 1-2.</w:t>
      </w:r>
    </w:p>
  </w:footnote>
  <w:footnote w:id="18">
    <w:p w:rsidR="00CA0359" w:rsidP="00CA0359" w14:paraId="3FFE966F" w14:textId="2666EB4A">
      <w:pPr>
        <w:pStyle w:val="FootnoteText"/>
      </w:pPr>
      <w:r>
        <w:rPr>
          <w:rStyle w:val="FootnoteReference"/>
        </w:rPr>
        <w:footnoteRef/>
      </w:r>
      <w:r>
        <w:t xml:space="preserve"> </w:t>
      </w:r>
      <w:r w:rsidR="00C34A80">
        <w:t xml:space="preserve">LStar Equity </w:t>
      </w:r>
      <w:r>
        <w:t xml:space="preserve">Petition at 8.  </w:t>
      </w:r>
      <w:r w:rsidR="00C34A80">
        <w:t xml:space="preserve">GI DI Iris Acquisition </w:t>
      </w:r>
      <w:r>
        <w:t>Petition at 2.</w:t>
      </w:r>
    </w:p>
  </w:footnote>
  <w:footnote w:id="19">
    <w:p w:rsidR="00CA0359" w:rsidP="00CA0359" w14:paraId="24DDEB8E" w14:textId="1C51299F">
      <w:pPr>
        <w:pStyle w:val="FootnoteText"/>
      </w:pPr>
      <w:r>
        <w:rPr>
          <w:rStyle w:val="FootnoteReference"/>
        </w:rPr>
        <w:footnoteRef/>
      </w:r>
      <w:r>
        <w:t xml:space="preserve"> </w:t>
      </w:r>
      <w:r w:rsidR="00C34A80">
        <w:t xml:space="preserve">LStar Equity </w:t>
      </w:r>
      <w:r>
        <w:t xml:space="preserve">Petition at 8. </w:t>
      </w:r>
    </w:p>
  </w:footnote>
  <w:footnote w:id="20">
    <w:p w:rsidR="00CA0359" w:rsidP="00CA0359" w14:paraId="70A26825" w14:textId="5ED50603">
      <w:pPr>
        <w:pStyle w:val="FootnoteText"/>
      </w:pPr>
      <w:r>
        <w:rPr>
          <w:rStyle w:val="FootnoteReference"/>
        </w:rPr>
        <w:footnoteRef/>
      </w:r>
      <w:r>
        <w:t xml:space="preserve"> </w:t>
      </w:r>
      <w:r w:rsidR="00C34A80">
        <w:t xml:space="preserve">LStar Equity </w:t>
      </w:r>
      <w:r>
        <w:t xml:space="preserve">Petition at 8. </w:t>
      </w:r>
      <w:r w:rsidR="00927BCE">
        <w:t xml:space="preserve"> </w:t>
      </w:r>
      <w:r w:rsidR="00C34A80">
        <w:t xml:space="preserve">GI DI Iris Acquisition </w:t>
      </w:r>
      <w:r>
        <w:t xml:space="preserve">Petition at 2. </w:t>
      </w:r>
    </w:p>
  </w:footnote>
  <w:footnote w:id="21">
    <w:p w:rsidR="004067C5" w:rsidRPr="00EF7FCF" w:rsidP="004067C5" w14:paraId="27305527" w14:textId="771A967D">
      <w:pPr>
        <w:pStyle w:val="FootnoteText"/>
      </w:pPr>
      <w:r w:rsidRPr="00EF7FCF">
        <w:rPr>
          <w:rStyle w:val="FootnoteReference"/>
          <w:sz w:val="20"/>
        </w:rPr>
        <w:footnoteRef/>
      </w:r>
      <w:r w:rsidRPr="00EF7FCF">
        <w:t xml:space="preserve"> </w:t>
      </w:r>
      <w:r w:rsidR="00C34A80">
        <w:t xml:space="preserve">LStar Equity </w:t>
      </w:r>
      <w:r w:rsidRPr="00EF7FCF">
        <w:t xml:space="preserve">Application at 5 and Exh. A (Post-Transaction Ownership).  The </w:t>
      </w:r>
      <w:r w:rsidR="00C34A80">
        <w:t xml:space="preserve">LStar Equity </w:t>
      </w:r>
      <w:r w:rsidRPr="00EF7FCF">
        <w:t xml:space="preserve">Applicants state that since closing of the </w:t>
      </w:r>
      <w:r w:rsidR="00C34A80">
        <w:t xml:space="preserve">LStar Equity </w:t>
      </w:r>
      <w:r w:rsidRPr="00EF7FCF">
        <w:t>Transaction, there have been minor adjustments in equity interests of Wireless Licensees that have not result</w:t>
      </w:r>
      <w:r w:rsidR="0054212F">
        <w:t>ed</w:t>
      </w:r>
      <w:r w:rsidRPr="00EF7FCF">
        <w:t xml:space="preserve"> in a change of controlling interests of 10% or more.  </w:t>
      </w:r>
      <w:r w:rsidRPr="00EF7FCF">
        <w:rPr>
          <w:i/>
          <w:iCs/>
        </w:rPr>
        <w:t>Id</w:t>
      </w:r>
      <w:r w:rsidRPr="00EF7FCF">
        <w:t xml:space="preserve">. at n.11.  </w:t>
      </w:r>
    </w:p>
  </w:footnote>
  <w:footnote w:id="22">
    <w:p w:rsidR="004067C5" w:rsidRPr="00EF7FCF" w:rsidP="004067C5" w14:paraId="043F8F0A" w14:textId="77777777">
      <w:pPr>
        <w:pStyle w:val="FootnoteText"/>
      </w:pPr>
      <w:r w:rsidRPr="00EF7FCF">
        <w:rPr>
          <w:rStyle w:val="FootnoteReference"/>
          <w:sz w:val="20"/>
        </w:rPr>
        <w:footnoteRef/>
      </w:r>
      <w:r w:rsidRPr="00EF7FCF">
        <w:t xml:space="preserve"> </w:t>
      </w:r>
      <w:r w:rsidRPr="00EF7FCF">
        <w:rPr>
          <w:i/>
          <w:iCs/>
        </w:rPr>
        <w:t>Id</w:t>
      </w:r>
      <w:r w:rsidRPr="00EF7FCF">
        <w:t>. at 14.</w:t>
      </w:r>
    </w:p>
  </w:footnote>
  <w:footnote w:id="23">
    <w:p w:rsidR="004067C5" w:rsidRPr="00EF7FCF" w:rsidP="004067C5" w14:paraId="155F2C41" w14:textId="4325A83E">
      <w:pPr>
        <w:pStyle w:val="FootnoteText"/>
      </w:pPr>
      <w:r w:rsidRPr="00EF7FCF">
        <w:rPr>
          <w:rStyle w:val="FootnoteReference"/>
          <w:sz w:val="20"/>
        </w:rPr>
        <w:footnoteRef/>
      </w:r>
      <w:r w:rsidRPr="00EF7FCF">
        <w:t xml:space="preserve"> </w:t>
      </w:r>
      <w:r w:rsidR="00C34A80">
        <w:t xml:space="preserve">LStar Equity </w:t>
      </w:r>
      <w:r w:rsidRPr="006C54FF">
        <w:t>Application</w:t>
      </w:r>
      <w:r w:rsidR="005E6331">
        <w:t>,</w:t>
      </w:r>
      <w:r w:rsidRPr="00EF7FCF">
        <w:t xml:space="preserve"> Exh. A and Exh. B (describing ownership in Exh. A) at 21-22.</w:t>
      </w:r>
    </w:p>
  </w:footnote>
  <w:footnote w:id="24">
    <w:p w:rsidR="004067C5" w:rsidRPr="00EF7FCF" w:rsidP="004067C5" w14:paraId="7F31873C" w14:textId="77777777">
      <w:pPr>
        <w:pStyle w:val="FootnoteText"/>
      </w:pPr>
      <w:r w:rsidRPr="00EF7FCF">
        <w:rPr>
          <w:rStyle w:val="FootnoteReference"/>
          <w:sz w:val="20"/>
        </w:rPr>
        <w:footnoteRef/>
      </w:r>
      <w:r w:rsidRPr="00EF7FCF">
        <w:t xml:space="preserve"> </w:t>
      </w:r>
      <w:r w:rsidRPr="00EF7FCF">
        <w:rPr>
          <w:i/>
          <w:iCs/>
        </w:rPr>
        <w:t>Id</w:t>
      </w:r>
      <w:r w:rsidRPr="00EF7FCF">
        <w:t>. at Exh. B at 23.</w:t>
      </w:r>
    </w:p>
  </w:footnote>
  <w:footnote w:id="25">
    <w:p w:rsidR="004067C5" w:rsidRPr="00EF7FCF" w:rsidP="004067C5" w14:paraId="2A1E0FE5" w14:textId="77777777">
      <w:pPr>
        <w:pStyle w:val="FootnoteText"/>
      </w:pPr>
      <w:r w:rsidRPr="00EF7FCF">
        <w:rPr>
          <w:rStyle w:val="FootnoteReference"/>
          <w:sz w:val="20"/>
        </w:rPr>
        <w:footnoteRef/>
      </w:r>
      <w:r w:rsidRPr="00EF7FCF">
        <w:t xml:space="preserve"> </w:t>
      </w:r>
      <w:r w:rsidRPr="00EF7FCF">
        <w:rPr>
          <w:i/>
          <w:iCs/>
        </w:rPr>
        <w:t>Id</w:t>
      </w:r>
      <w:r w:rsidRPr="00EF7FCF">
        <w:t>.</w:t>
      </w:r>
    </w:p>
  </w:footnote>
  <w:footnote w:id="26">
    <w:p w:rsidR="004067C5" w:rsidRPr="00EF7FCF" w:rsidP="004067C5" w14:paraId="5E548AD9" w14:textId="77777777">
      <w:pPr>
        <w:pStyle w:val="FootnoteText"/>
      </w:pPr>
      <w:r w:rsidRPr="00EF7FCF">
        <w:rPr>
          <w:rStyle w:val="FootnoteReference"/>
          <w:sz w:val="20"/>
        </w:rPr>
        <w:footnoteRef/>
      </w:r>
      <w:r w:rsidRPr="00EF7FCF">
        <w:t xml:space="preserve"> </w:t>
      </w:r>
      <w:r w:rsidRPr="00EF7FCF">
        <w:rPr>
          <w:i/>
          <w:iCs/>
        </w:rPr>
        <w:t>Id</w:t>
      </w:r>
      <w:r w:rsidRPr="00EF7FCF">
        <w:t>. at Exh. B at 23-24.</w:t>
      </w:r>
    </w:p>
  </w:footnote>
  <w:footnote w:id="27">
    <w:p w:rsidR="004067C5" w:rsidRPr="00EF7FCF" w:rsidP="004067C5" w14:paraId="6C5F8BAF" w14:textId="77777777">
      <w:pPr>
        <w:pStyle w:val="FootnoteText"/>
      </w:pPr>
      <w:r w:rsidRPr="00EF7FCF">
        <w:rPr>
          <w:rStyle w:val="FootnoteReference"/>
          <w:sz w:val="20"/>
        </w:rPr>
        <w:footnoteRef/>
      </w:r>
      <w:r w:rsidRPr="00EF7FCF">
        <w:t xml:space="preserve"> </w:t>
      </w:r>
      <w:r w:rsidRPr="00EF7FCF">
        <w:rPr>
          <w:i/>
          <w:iCs/>
        </w:rPr>
        <w:t>Id</w:t>
      </w:r>
      <w:r w:rsidRPr="00EF7FCF">
        <w:t>. at Exh. B at 24.</w:t>
      </w:r>
    </w:p>
  </w:footnote>
  <w:footnote w:id="28">
    <w:p w:rsidR="004067C5" w:rsidRPr="00EF7FCF" w:rsidP="004067C5" w14:paraId="287EA526" w14:textId="77777777">
      <w:pPr>
        <w:pStyle w:val="FootnoteText"/>
      </w:pPr>
      <w:r w:rsidRPr="00EF7FCF">
        <w:rPr>
          <w:rStyle w:val="FootnoteReference"/>
          <w:sz w:val="20"/>
        </w:rPr>
        <w:footnoteRef/>
      </w:r>
      <w:r w:rsidRPr="00EF7FCF">
        <w:t xml:space="preserve"> </w:t>
      </w:r>
      <w:r w:rsidRPr="00EF7FCF">
        <w:rPr>
          <w:i/>
          <w:iCs/>
        </w:rPr>
        <w:t>Id</w:t>
      </w:r>
      <w:r w:rsidRPr="00EF7FCF">
        <w:t>.</w:t>
      </w:r>
    </w:p>
  </w:footnote>
  <w:footnote w:id="29">
    <w:p w:rsidR="004067C5" w:rsidRPr="00EF7FCF" w:rsidP="004067C5" w14:paraId="1D925DED" w14:textId="77777777">
      <w:pPr>
        <w:pStyle w:val="FootnoteText"/>
      </w:pPr>
      <w:r w:rsidRPr="00EF7FCF">
        <w:rPr>
          <w:rStyle w:val="FootnoteReference"/>
          <w:sz w:val="20"/>
        </w:rPr>
        <w:footnoteRef/>
      </w:r>
      <w:r w:rsidRPr="00EF7FCF">
        <w:t xml:space="preserve"> </w:t>
      </w:r>
      <w:r w:rsidRPr="00EF7FCF">
        <w:rPr>
          <w:i/>
          <w:iCs/>
        </w:rPr>
        <w:t>Id</w:t>
      </w:r>
      <w:r w:rsidRPr="00EF7FCF">
        <w:t>.</w:t>
      </w:r>
    </w:p>
  </w:footnote>
  <w:footnote w:id="30">
    <w:p w:rsidR="004067C5" w:rsidRPr="00EF7FCF" w:rsidP="004067C5" w14:paraId="132A0CA4" w14:textId="4D8B15C6">
      <w:pPr>
        <w:pStyle w:val="FootnoteText"/>
      </w:pPr>
      <w:r w:rsidRPr="00EF7FCF">
        <w:rPr>
          <w:rStyle w:val="FootnoteReference"/>
          <w:sz w:val="20"/>
        </w:rPr>
        <w:footnoteRef/>
      </w:r>
      <w:r w:rsidRPr="00EF7FCF">
        <w:t xml:space="preserve"> </w:t>
      </w:r>
      <w:r w:rsidRPr="00EF7FCF">
        <w:rPr>
          <w:i/>
          <w:iCs/>
        </w:rPr>
        <w:t>Id</w:t>
      </w:r>
      <w:r w:rsidRPr="00EF7FCF">
        <w:t xml:space="preserve">. at Exh. B at 24-25.  Control of LSF VIII Investments, L.P. is vested in its sole general partner, HudCo GenPar VIII, LLC, a Delaware limited liability company, which is in turn controlled by the board of directors of Hudson Advisors L.P., a U.S. investment advisor.  </w:t>
      </w:r>
      <w:r w:rsidRPr="00EF7FCF">
        <w:rPr>
          <w:i/>
          <w:iCs/>
        </w:rPr>
        <w:t>Id</w:t>
      </w:r>
      <w:r w:rsidRPr="00EF7FCF">
        <w:t xml:space="preserve">. at </w:t>
      </w:r>
      <w:r w:rsidRPr="00EF7FCF" w:rsidR="006423C3">
        <w:t xml:space="preserve">Exh. B </w:t>
      </w:r>
      <w:r w:rsidR="006423C3">
        <w:t>at</w:t>
      </w:r>
      <w:r w:rsidR="0063129C">
        <w:t xml:space="preserve"> </w:t>
      </w:r>
      <w:r w:rsidRPr="00EF7FCF">
        <w:t xml:space="preserve">1-2, 25.  The </w:t>
      </w:r>
      <w:r w:rsidR="000C2156">
        <w:t xml:space="preserve">LStar Equity </w:t>
      </w:r>
      <w:r w:rsidRPr="00EF7FCF">
        <w:t xml:space="preserve">Applicants state that LStar Equity does not hold a controlling interest in any domestic telecommunications carriers.  </w:t>
      </w:r>
      <w:r w:rsidRPr="00EF7FCF">
        <w:rPr>
          <w:i/>
          <w:iCs/>
        </w:rPr>
        <w:t>Id</w:t>
      </w:r>
      <w:r w:rsidRPr="00EF7FCF">
        <w:t xml:space="preserve">. at </w:t>
      </w:r>
      <w:r w:rsidRPr="00EF7FCF" w:rsidR="006423C3">
        <w:t xml:space="preserve">Exh. B </w:t>
      </w:r>
      <w:r w:rsidRPr="00EF7FCF">
        <w:t>at 15.</w:t>
      </w:r>
    </w:p>
  </w:footnote>
  <w:footnote w:id="31">
    <w:p w:rsidR="00E83E39" w:rsidRPr="00C45C14" w:rsidP="00E83E39" w14:paraId="1B0772B9" w14:textId="112C2D6E">
      <w:pPr>
        <w:pStyle w:val="FootnoteText"/>
      </w:pPr>
      <w:r>
        <w:rPr>
          <w:rStyle w:val="FootnoteReference"/>
        </w:rPr>
        <w:footnoteRef/>
      </w:r>
      <w:r>
        <w:t xml:space="preserve"> </w:t>
      </w:r>
      <w:r w:rsidR="000C2156">
        <w:t xml:space="preserve">LStar Equity </w:t>
      </w:r>
      <w:r>
        <w:t>Petition at 3</w:t>
      </w:r>
      <w:r w:rsidR="008E3C63">
        <w:t>,</w:t>
      </w:r>
      <w:r w:rsidR="00023BC7">
        <w:t xml:space="preserve"> </w:t>
      </w:r>
      <w:r>
        <w:t>Exh. B.</w:t>
      </w:r>
    </w:p>
  </w:footnote>
  <w:footnote w:id="32">
    <w:p w:rsidR="00E83E39" w:rsidP="00E83E39" w14:paraId="07C8D975" w14:textId="4823699F">
      <w:pPr>
        <w:pStyle w:val="FootnoteText"/>
      </w:pPr>
      <w:r>
        <w:rPr>
          <w:rStyle w:val="FootnoteReference"/>
        </w:rPr>
        <w:footnoteRef/>
      </w:r>
      <w:r>
        <w:t xml:space="preserve"> </w:t>
      </w:r>
      <w:r w:rsidR="000C2156">
        <w:rPr>
          <w:i/>
          <w:iCs/>
        </w:rPr>
        <w:t>Id.</w:t>
      </w:r>
      <w:r>
        <w:rPr>
          <w:i/>
        </w:rPr>
        <w:t xml:space="preserve"> </w:t>
      </w:r>
      <w:r w:rsidR="00375612">
        <w:t>at</w:t>
      </w:r>
      <w:r>
        <w:t xml:space="preserve"> Exh. A at 6; Exh</w:t>
      </w:r>
      <w:r w:rsidR="00023BC7">
        <w:t>.</w:t>
      </w:r>
      <w:r>
        <w:t xml:space="preserve"> B. </w:t>
      </w:r>
      <w:r w:rsidR="000C2156">
        <w:t xml:space="preserve"> </w:t>
      </w:r>
      <w:r>
        <w:t>Petitioner</w:t>
      </w:r>
      <w:r w:rsidR="000C2156">
        <w:t>s</w:t>
      </w:r>
      <w:r>
        <w:t xml:space="preserve"> state</w:t>
      </w:r>
      <w:r w:rsidR="00E37D94">
        <w:t xml:space="preserve"> that</w:t>
      </w:r>
      <w:r>
        <w:t xml:space="preserve"> “[t]he remaining 28% interest in JAB [Wireless] is currently held and was held following the full completion of the 2018 Transaction by other entities and individuals, including members of JAB [Wireless] management and other interest-holders that existed prior to the 2018 Transaction.  None of these entities or individuals has or will have a 10% or greater interest in JAB [Wireless].  JAB [Wireless] does not believe that any such entities or individuals are foreign individuals or entities.”  </w:t>
      </w:r>
      <w:r w:rsidRPr="00EF7FCF" w:rsidR="00023BC7">
        <w:rPr>
          <w:i/>
          <w:iCs/>
        </w:rPr>
        <w:t>Id</w:t>
      </w:r>
      <w:r w:rsidRPr="00EF7FCF" w:rsidR="00023BC7">
        <w:t>.</w:t>
      </w:r>
      <w:r w:rsidR="00023BC7">
        <w:t xml:space="preserve"> at</w:t>
      </w:r>
      <w:r w:rsidR="005C50A6">
        <w:t xml:space="preserve"> </w:t>
      </w:r>
      <w:r>
        <w:t xml:space="preserve">Exh. A at 6. </w:t>
      </w:r>
    </w:p>
  </w:footnote>
  <w:footnote w:id="33">
    <w:p w:rsidR="00E83E39" w:rsidP="00E83E39" w14:paraId="3F4B2476" w14:textId="115B4801">
      <w:pPr>
        <w:pStyle w:val="FootnoteText"/>
      </w:pPr>
      <w:r>
        <w:rPr>
          <w:rStyle w:val="FootnoteReference"/>
        </w:rPr>
        <w:footnoteRef/>
      </w:r>
      <w:r>
        <w:t xml:space="preserve"> </w:t>
      </w:r>
      <w:r w:rsidR="000C2156">
        <w:rPr>
          <w:i/>
          <w:iCs/>
        </w:rPr>
        <w:t>Id</w:t>
      </w:r>
      <w:r w:rsidR="00DD0A6B">
        <w:rPr>
          <w:i/>
          <w:iCs/>
        </w:rPr>
        <w:t>.</w:t>
      </w:r>
      <w:r w:rsidR="00B377E9">
        <w:t xml:space="preserve">at </w:t>
      </w:r>
      <w:r>
        <w:t>Exh. A at 6.</w:t>
      </w:r>
    </w:p>
  </w:footnote>
  <w:footnote w:id="34">
    <w:p w:rsidR="00E83E39" w:rsidP="00E83E39" w14:paraId="40C29D3B" w14:textId="07A6366D">
      <w:pPr>
        <w:pStyle w:val="FootnoteText"/>
      </w:pPr>
      <w:r>
        <w:rPr>
          <w:rStyle w:val="FootnoteReference"/>
        </w:rPr>
        <w:footnoteRef/>
      </w:r>
      <w:r>
        <w:t xml:space="preserve"> </w:t>
      </w:r>
      <w:r w:rsidR="000C2156">
        <w:rPr>
          <w:i/>
          <w:iCs/>
        </w:rPr>
        <w:t xml:space="preserve">Id. </w:t>
      </w:r>
      <w:r>
        <w:t xml:space="preserve">at </w:t>
      </w:r>
      <w:r w:rsidR="007C32F4">
        <w:t>Exh. A</w:t>
      </w:r>
      <w:r w:rsidR="000C2156">
        <w:t xml:space="preserve"> </w:t>
      </w:r>
      <w:r>
        <w:t xml:space="preserve">at 8; </w:t>
      </w:r>
      <w:r w:rsidR="000C2156">
        <w:t xml:space="preserve">LStar Equity </w:t>
      </w:r>
      <w:r>
        <w:t>Petition Dec</w:t>
      </w:r>
      <w:r w:rsidR="000C2156">
        <w:t xml:space="preserve">. </w:t>
      </w:r>
      <w:r>
        <w:t>8</w:t>
      </w:r>
      <w:r w:rsidR="000C2156">
        <w:t>, 2022</w:t>
      </w:r>
      <w:r>
        <w:t xml:space="preserve"> Supplement, Exh</w:t>
      </w:r>
      <w:r w:rsidR="00BA0710">
        <w:t>.</w:t>
      </w:r>
      <w:r>
        <w:t xml:space="preserve"> A at 8</w:t>
      </w:r>
      <w:r w:rsidR="000C2156">
        <w:t xml:space="preserve">, </w:t>
      </w:r>
      <w:r>
        <w:t>Exh. B</w:t>
      </w:r>
      <w:r w:rsidR="000C2156">
        <w:t>.</w:t>
      </w:r>
    </w:p>
  </w:footnote>
  <w:footnote w:id="35">
    <w:p w:rsidR="00E83E39" w:rsidP="00E83E39" w14:paraId="0516BC86" w14:textId="2D7E6475">
      <w:pPr>
        <w:pStyle w:val="FootnoteText"/>
      </w:pPr>
      <w:r>
        <w:rPr>
          <w:rStyle w:val="FootnoteReference"/>
        </w:rPr>
        <w:footnoteRef/>
      </w:r>
      <w:r>
        <w:t xml:space="preserve"> </w:t>
      </w:r>
      <w:r w:rsidR="00245A76">
        <w:t>LStar Equity Petition Dec. 8, 2022 Supplement,</w:t>
      </w:r>
      <w:r>
        <w:rPr>
          <w:i/>
        </w:rPr>
        <w:t xml:space="preserve"> </w:t>
      </w:r>
      <w:r>
        <w:t>Exh. A at 8</w:t>
      </w:r>
      <w:r w:rsidR="00E1053E">
        <w:t>,</w:t>
      </w:r>
      <w:r>
        <w:t xml:space="preserve"> Exh. B.</w:t>
      </w:r>
    </w:p>
  </w:footnote>
  <w:footnote w:id="36">
    <w:p w:rsidR="00E83E39" w:rsidP="00E83E39" w14:paraId="544B1D39" w14:textId="2B6592F8">
      <w:pPr>
        <w:pStyle w:val="FootnoteText"/>
      </w:pPr>
      <w:r>
        <w:rPr>
          <w:rStyle w:val="FootnoteReference"/>
        </w:rPr>
        <w:footnoteRef/>
      </w:r>
      <w:r>
        <w:t xml:space="preserve"> </w:t>
      </w:r>
      <w:r w:rsidR="000C2156">
        <w:rPr>
          <w:i/>
          <w:iCs/>
        </w:rPr>
        <w:t xml:space="preserve">Id. </w:t>
      </w:r>
      <w:r w:rsidR="003F1F10">
        <w:t xml:space="preserve">at </w:t>
      </w:r>
      <w:r>
        <w:t>Exh. A at 8-9</w:t>
      </w:r>
      <w:r w:rsidR="00E1053E">
        <w:t>,</w:t>
      </w:r>
      <w:r>
        <w:t xml:space="preserve"> Exh. B</w:t>
      </w:r>
    </w:p>
  </w:footnote>
  <w:footnote w:id="37">
    <w:p w:rsidR="00E83E39" w:rsidP="00E83E39" w14:paraId="60ACE48E" w14:textId="4ECBD36E">
      <w:pPr>
        <w:pStyle w:val="FootnoteText"/>
      </w:pPr>
      <w:r>
        <w:rPr>
          <w:rStyle w:val="FootnoteReference"/>
        </w:rPr>
        <w:footnoteRef/>
      </w:r>
      <w:r>
        <w:t xml:space="preserve"> </w:t>
      </w:r>
      <w:r w:rsidR="000C2156">
        <w:rPr>
          <w:i/>
          <w:iCs/>
        </w:rPr>
        <w:t>Id.</w:t>
      </w:r>
      <w:r>
        <w:t xml:space="preserve"> </w:t>
      </w:r>
      <w:r w:rsidR="003F1F10">
        <w:t xml:space="preserve">at </w:t>
      </w:r>
      <w:r>
        <w:t>Exh. A at 6-10</w:t>
      </w:r>
      <w:r w:rsidR="00E1053E">
        <w:t>,</w:t>
      </w:r>
      <w:r>
        <w:t xml:space="preserve"> Exh. B.</w:t>
      </w:r>
    </w:p>
  </w:footnote>
  <w:footnote w:id="38">
    <w:p w:rsidR="00E83E39" w:rsidP="00E83E39" w14:paraId="63C8F50C" w14:textId="79520E5C">
      <w:pPr>
        <w:pStyle w:val="FootnoteText"/>
      </w:pPr>
      <w:r>
        <w:rPr>
          <w:rStyle w:val="FootnoteReference"/>
        </w:rPr>
        <w:footnoteRef/>
      </w:r>
      <w:r>
        <w:t xml:space="preserve"> </w:t>
      </w:r>
      <w:r w:rsidR="000C2156">
        <w:rPr>
          <w:i/>
          <w:iCs/>
        </w:rPr>
        <w:t xml:space="preserve">Id. </w:t>
      </w:r>
      <w:r w:rsidR="003F1F10">
        <w:t xml:space="preserve">at </w:t>
      </w:r>
      <w:r>
        <w:t>Exh. A at 6</w:t>
      </w:r>
      <w:r w:rsidR="00E1053E">
        <w:t>,</w:t>
      </w:r>
      <w:r>
        <w:t xml:space="preserve"> Exh. B.</w:t>
      </w:r>
    </w:p>
  </w:footnote>
  <w:footnote w:id="39">
    <w:p w:rsidR="00E83E39" w:rsidP="00E83E39" w14:paraId="2F6DC8EB" w14:textId="27EE10A2">
      <w:pPr>
        <w:pStyle w:val="FootnoteText"/>
      </w:pPr>
      <w:r>
        <w:rPr>
          <w:rStyle w:val="FootnoteReference"/>
        </w:rPr>
        <w:footnoteRef/>
      </w:r>
      <w:r>
        <w:t xml:space="preserve"> </w:t>
      </w:r>
      <w:r w:rsidR="000C2156">
        <w:rPr>
          <w:i/>
          <w:iCs/>
        </w:rPr>
        <w:t>Id</w:t>
      </w:r>
      <w:r w:rsidR="00A15F4C">
        <w:rPr>
          <w:i/>
          <w:iCs/>
        </w:rPr>
        <w:t>.</w:t>
      </w:r>
      <w:r w:rsidR="000C2156">
        <w:rPr>
          <w:i/>
          <w:iCs/>
        </w:rPr>
        <w:t xml:space="preserve"> </w:t>
      </w:r>
      <w:r w:rsidR="003F1F10">
        <w:t xml:space="preserve">at </w:t>
      </w:r>
      <w:r>
        <w:t>Exh. A at 6-7</w:t>
      </w:r>
      <w:r w:rsidR="00E1053E">
        <w:t>,</w:t>
      </w:r>
      <w:r>
        <w:t xml:space="preserve"> Exh. B.</w:t>
      </w:r>
    </w:p>
  </w:footnote>
  <w:footnote w:id="40">
    <w:p w:rsidR="00E83E39" w:rsidP="00E83E39" w14:paraId="21C1A701" w14:textId="1E4BD458">
      <w:pPr>
        <w:pStyle w:val="FootnoteText"/>
      </w:pPr>
      <w:r>
        <w:rPr>
          <w:rStyle w:val="FootnoteReference"/>
        </w:rPr>
        <w:footnoteRef/>
      </w:r>
      <w:r>
        <w:t xml:space="preserve"> </w:t>
      </w:r>
      <w:r w:rsidR="00E1053E">
        <w:rPr>
          <w:i/>
          <w:iCs/>
        </w:rPr>
        <w:t xml:space="preserve">Id. </w:t>
      </w:r>
      <w:r w:rsidR="003F1F10">
        <w:t xml:space="preserve">at </w:t>
      </w:r>
      <w:r>
        <w:t>Exh. A at 6-7</w:t>
      </w:r>
      <w:r w:rsidR="00E1053E">
        <w:t>,</w:t>
      </w:r>
      <w:r>
        <w:t xml:space="preserve"> Exh. B.</w:t>
      </w:r>
    </w:p>
  </w:footnote>
  <w:footnote w:id="41">
    <w:p w:rsidR="00E83E39" w:rsidP="00E83E39" w14:paraId="1D309DB8" w14:textId="1D9CB40C">
      <w:pPr>
        <w:pStyle w:val="FootnoteText"/>
      </w:pPr>
      <w:r>
        <w:rPr>
          <w:rStyle w:val="FootnoteReference"/>
        </w:rPr>
        <w:footnoteRef/>
      </w:r>
      <w:r>
        <w:t xml:space="preserve"> </w:t>
      </w:r>
      <w:r w:rsidR="00E1053E">
        <w:rPr>
          <w:i/>
          <w:iCs/>
        </w:rPr>
        <w:t xml:space="preserve">Id. </w:t>
      </w:r>
      <w:r w:rsidR="003F1F10">
        <w:t xml:space="preserve">at </w:t>
      </w:r>
      <w:r>
        <w:t>Exh. A at 8</w:t>
      </w:r>
      <w:r w:rsidR="00E1053E">
        <w:t>,</w:t>
      </w:r>
      <w:r>
        <w:t xml:space="preserve"> Exh. B</w:t>
      </w:r>
      <w:r w:rsidR="00E73C71">
        <w:t>.</w:t>
      </w:r>
    </w:p>
  </w:footnote>
  <w:footnote w:id="42">
    <w:p w:rsidR="00E83E39" w:rsidP="00E83E39" w14:paraId="6D1F52D7" w14:textId="54802D6F">
      <w:pPr>
        <w:pStyle w:val="FootnoteText"/>
      </w:pPr>
      <w:r>
        <w:rPr>
          <w:rStyle w:val="FootnoteReference"/>
        </w:rPr>
        <w:footnoteRef/>
      </w:r>
      <w:r>
        <w:t xml:space="preserve"> </w:t>
      </w:r>
      <w:r w:rsidR="005337AE">
        <w:rPr>
          <w:i/>
          <w:iCs/>
        </w:rPr>
        <w:t xml:space="preserve">Id. </w:t>
      </w:r>
      <w:r w:rsidR="003F1F10">
        <w:t xml:space="preserve">at </w:t>
      </w:r>
      <w:r>
        <w:t>Exh. A at 15-16</w:t>
      </w:r>
      <w:r w:rsidR="005337AE">
        <w:t xml:space="preserve">, </w:t>
      </w:r>
      <w:r>
        <w:t xml:space="preserve">Exh. B. </w:t>
      </w:r>
    </w:p>
  </w:footnote>
  <w:footnote w:id="43">
    <w:p w:rsidR="00E83E39" w:rsidP="00E83E39" w14:paraId="65B9E861" w14:textId="2B5C7066">
      <w:pPr>
        <w:pStyle w:val="FootnoteText"/>
      </w:pPr>
      <w:r>
        <w:rPr>
          <w:rStyle w:val="FootnoteReference"/>
        </w:rPr>
        <w:footnoteRef/>
      </w:r>
      <w:r>
        <w:t xml:space="preserve"> </w:t>
      </w:r>
      <w:r w:rsidR="005337AE">
        <w:rPr>
          <w:i/>
          <w:iCs/>
        </w:rPr>
        <w:t xml:space="preserve">Id. </w:t>
      </w:r>
      <w:r w:rsidR="003F1F10">
        <w:t xml:space="preserve">at </w:t>
      </w:r>
      <w:r>
        <w:t>Exh. A at 10</w:t>
      </w:r>
      <w:r w:rsidR="005337AE">
        <w:t xml:space="preserve">, </w:t>
      </w:r>
      <w:r>
        <w:t xml:space="preserve">Exh. B. </w:t>
      </w:r>
    </w:p>
  </w:footnote>
  <w:footnote w:id="44">
    <w:p w:rsidR="00E83E39" w:rsidP="00E83E39" w14:paraId="2814CF32" w14:textId="54CF112B">
      <w:pPr>
        <w:pStyle w:val="FootnoteText"/>
      </w:pPr>
      <w:r>
        <w:rPr>
          <w:rStyle w:val="FootnoteReference"/>
        </w:rPr>
        <w:footnoteRef/>
      </w:r>
      <w:r>
        <w:t xml:space="preserve"> </w:t>
      </w:r>
      <w:r w:rsidR="005337AE">
        <w:rPr>
          <w:i/>
          <w:iCs/>
        </w:rPr>
        <w:t xml:space="preserve">Id. </w:t>
      </w:r>
      <w:r w:rsidR="003F1F10">
        <w:t xml:space="preserve">at </w:t>
      </w:r>
      <w:r>
        <w:t>Exh. A at 15-16</w:t>
      </w:r>
      <w:r w:rsidR="005337AE">
        <w:t xml:space="preserve">, </w:t>
      </w:r>
      <w:r>
        <w:t>Exh. B.</w:t>
      </w:r>
    </w:p>
  </w:footnote>
  <w:footnote w:id="45">
    <w:p w:rsidR="00E83E39" w:rsidP="00E83E39" w14:paraId="415D719A" w14:textId="43FA6D1B">
      <w:pPr>
        <w:pStyle w:val="FootnoteText"/>
      </w:pPr>
      <w:r>
        <w:rPr>
          <w:rStyle w:val="FootnoteReference"/>
        </w:rPr>
        <w:footnoteRef/>
      </w:r>
      <w:r>
        <w:t xml:space="preserve"> </w:t>
      </w:r>
      <w:r w:rsidR="005337AE">
        <w:t xml:space="preserve">LStar Equity </w:t>
      </w:r>
      <w:r>
        <w:t xml:space="preserve">Petition at 4, 9; </w:t>
      </w:r>
      <w:r w:rsidR="005337AE">
        <w:t xml:space="preserve">LStar Equity </w:t>
      </w:r>
      <w:r>
        <w:t>Petition Dec</w:t>
      </w:r>
      <w:r w:rsidR="005337AE">
        <w:t xml:space="preserve">. 8, 2022 </w:t>
      </w:r>
      <w:r>
        <w:t>Supplement, Exh. A at 16</w:t>
      </w:r>
      <w:r w:rsidR="005337AE">
        <w:t xml:space="preserve">, </w:t>
      </w:r>
      <w:r>
        <w:t>Exh.</w:t>
      </w:r>
      <w:r w:rsidR="005337AE">
        <w:t xml:space="preserve"> B.</w:t>
      </w:r>
    </w:p>
  </w:footnote>
  <w:footnote w:id="46">
    <w:p w:rsidR="00E83E39" w:rsidP="00E83E39" w14:paraId="38DC02E1" w14:textId="20437F4A">
      <w:pPr>
        <w:pStyle w:val="FootnoteText"/>
      </w:pPr>
      <w:r>
        <w:rPr>
          <w:rStyle w:val="FootnoteReference"/>
        </w:rPr>
        <w:footnoteRef/>
      </w:r>
      <w:r>
        <w:t xml:space="preserve"> </w:t>
      </w:r>
      <w:r w:rsidR="003348AF">
        <w:t xml:space="preserve">LStar Equity </w:t>
      </w:r>
      <w:r>
        <w:t>Petition Dec</w:t>
      </w:r>
      <w:r w:rsidR="003348AF">
        <w:t xml:space="preserve">. </w:t>
      </w:r>
      <w:r>
        <w:t>8</w:t>
      </w:r>
      <w:r w:rsidR="003348AF">
        <w:t>, 2022</w:t>
      </w:r>
      <w:r>
        <w:t xml:space="preserve"> Supplement, Exh. A at 11</w:t>
      </w:r>
      <w:r w:rsidR="003348AF">
        <w:t xml:space="preserve">, </w:t>
      </w:r>
      <w:r>
        <w:t xml:space="preserve">Exh. B. </w:t>
      </w:r>
      <w:r w:rsidR="00FE78D4">
        <w:t xml:space="preserve"> </w:t>
      </w:r>
      <w:r w:rsidRPr="00C33577">
        <w:t xml:space="preserve">The beneficiaries of the Kintyre Trust are charities and Mr. Grayken’s children and remoter issue. </w:t>
      </w:r>
      <w:r w:rsidR="005B11A1">
        <w:t xml:space="preserve"> </w:t>
      </w:r>
      <w:r w:rsidRPr="00C33577">
        <w:t xml:space="preserve">According to </w:t>
      </w:r>
      <w:r>
        <w:t xml:space="preserve">the </w:t>
      </w:r>
      <w:r w:rsidR="00C63E0B">
        <w:t>LStar Equity</w:t>
      </w:r>
      <w:r w:rsidR="00234139">
        <w:t xml:space="preserve"> </w:t>
      </w:r>
      <w:r w:rsidRPr="00C33577">
        <w:t>Petitioners, it is not possible to ascribe any specific interest in the Kintyre Trust to any beneficiary.</w:t>
      </w:r>
      <w:r>
        <w:t xml:space="preserve">  </w:t>
      </w:r>
      <w:r w:rsidR="003348AF">
        <w:rPr>
          <w:i/>
          <w:iCs/>
        </w:rPr>
        <w:t>Id.</w:t>
      </w:r>
      <w:r w:rsidRPr="00073CD4" w:rsidR="00073CD4">
        <w:t xml:space="preserve"> </w:t>
      </w:r>
      <w:r w:rsidR="00073CD4">
        <w:t>at</w:t>
      </w:r>
      <w:r w:rsidR="003348AF">
        <w:rPr>
          <w:i/>
          <w:iCs/>
        </w:rPr>
        <w:t xml:space="preserve"> </w:t>
      </w:r>
      <w:r>
        <w:t>Exh. A at 11-12</w:t>
      </w:r>
      <w:r w:rsidR="003348AF">
        <w:t xml:space="preserve">, </w:t>
      </w:r>
      <w:r>
        <w:t>Exh. B.</w:t>
      </w:r>
    </w:p>
  </w:footnote>
  <w:footnote w:id="47">
    <w:p w:rsidR="00E83E39" w:rsidP="00E83E39" w14:paraId="6B6734B9" w14:textId="6758FCA8">
      <w:pPr>
        <w:pStyle w:val="FootnoteText"/>
      </w:pPr>
      <w:r>
        <w:rPr>
          <w:rStyle w:val="FootnoteReference"/>
        </w:rPr>
        <w:footnoteRef/>
      </w:r>
      <w:r>
        <w:t xml:space="preserve"> </w:t>
      </w:r>
      <w:r w:rsidR="003348AF">
        <w:rPr>
          <w:i/>
          <w:iCs/>
        </w:rPr>
        <w:t xml:space="preserve">Id. </w:t>
      </w:r>
      <w:r w:rsidR="00073CD4">
        <w:t xml:space="preserve">at </w:t>
      </w:r>
      <w:r>
        <w:t>Exh. A at 11-14</w:t>
      </w:r>
      <w:r w:rsidR="003348AF">
        <w:t xml:space="preserve">, </w:t>
      </w:r>
      <w:r>
        <w:t>Exh. B.</w:t>
      </w:r>
    </w:p>
  </w:footnote>
  <w:footnote w:id="48">
    <w:p w:rsidR="00E83E39" w:rsidP="00E83E39" w14:paraId="715E85E1" w14:textId="3636F732">
      <w:pPr>
        <w:pStyle w:val="FootnoteText"/>
      </w:pPr>
      <w:r>
        <w:rPr>
          <w:rStyle w:val="FootnoteReference"/>
        </w:rPr>
        <w:footnoteRef/>
      </w:r>
      <w:r>
        <w:t xml:space="preserve"> </w:t>
      </w:r>
      <w:r w:rsidR="003348AF">
        <w:rPr>
          <w:i/>
          <w:iCs/>
        </w:rPr>
        <w:t>Id.</w:t>
      </w:r>
      <w:r w:rsidRPr="00CD70C6" w:rsidR="003348AF">
        <w:t xml:space="preserve"> </w:t>
      </w:r>
      <w:r w:rsidR="00CD70C6">
        <w:t>at</w:t>
      </w:r>
      <w:r w:rsidR="003348AF">
        <w:rPr>
          <w:i/>
          <w:iCs/>
        </w:rPr>
        <w:t xml:space="preserve"> </w:t>
      </w:r>
      <w:r>
        <w:t>Exh. A at 11-14</w:t>
      </w:r>
      <w:r w:rsidR="003348AF">
        <w:t xml:space="preserve">, </w:t>
      </w:r>
      <w:r>
        <w:t xml:space="preserve">Exh. B. </w:t>
      </w:r>
    </w:p>
  </w:footnote>
  <w:footnote w:id="49">
    <w:p w:rsidR="00E83E39" w:rsidP="00E83E39" w14:paraId="5242FF80" w14:textId="1851E9D9">
      <w:pPr>
        <w:pStyle w:val="FootnoteText"/>
      </w:pPr>
      <w:r>
        <w:rPr>
          <w:rStyle w:val="FootnoteReference"/>
        </w:rPr>
        <w:footnoteRef/>
      </w:r>
      <w:r>
        <w:t xml:space="preserve"> </w:t>
      </w:r>
      <w:r w:rsidR="003348AF">
        <w:rPr>
          <w:i/>
          <w:iCs/>
        </w:rPr>
        <w:t xml:space="preserve">Id. </w:t>
      </w:r>
      <w:r w:rsidR="00CD70C6">
        <w:t xml:space="preserve">at </w:t>
      </w:r>
      <w:r>
        <w:t>Exh. A at 17</w:t>
      </w:r>
      <w:r w:rsidR="003348AF">
        <w:t xml:space="preserve">, </w:t>
      </w:r>
      <w:r>
        <w:t xml:space="preserve">Exh. B. </w:t>
      </w:r>
    </w:p>
  </w:footnote>
  <w:footnote w:id="50">
    <w:p w:rsidR="00E83E39" w:rsidP="00E83E39" w14:paraId="6F50A797" w14:textId="42485B15">
      <w:pPr>
        <w:pStyle w:val="FootnoteText"/>
      </w:pPr>
      <w:r>
        <w:rPr>
          <w:rStyle w:val="FootnoteReference"/>
        </w:rPr>
        <w:footnoteRef/>
      </w:r>
      <w:r>
        <w:t xml:space="preserve"> </w:t>
      </w:r>
      <w:r w:rsidR="003348AF">
        <w:rPr>
          <w:i/>
          <w:iCs/>
        </w:rPr>
        <w:t>Id.</w:t>
      </w:r>
      <w:r w:rsidRPr="00CD70C6" w:rsidR="003348AF">
        <w:t xml:space="preserve"> </w:t>
      </w:r>
      <w:r w:rsidR="00CD70C6">
        <w:t>at</w:t>
      </w:r>
      <w:r w:rsidR="003348AF">
        <w:rPr>
          <w:i/>
          <w:iCs/>
        </w:rPr>
        <w:t xml:space="preserve"> </w:t>
      </w:r>
      <w:r>
        <w:t>Exh. A at 17</w:t>
      </w:r>
      <w:r w:rsidR="003348AF">
        <w:t xml:space="preserve">, </w:t>
      </w:r>
      <w:r>
        <w:t>Exh. B.</w:t>
      </w:r>
    </w:p>
  </w:footnote>
  <w:footnote w:id="51">
    <w:p w:rsidR="00E83E39" w:rsidP="00E83E39" w14:paraId="043A40BF" w14:textId="1661C852">
      <w:pPr>
        <w:pStyle w:val="FootnoteText"/>
      </w:pPr>
      <w:r>
        <w:rPr>
          <w:rStyle w:val="FootnoteReference"/>
        </w:rPr>
        <w:footnoteRef/>
      </w:r>
      <w:r>
        <w:t xml:space="preserve"> </w:t>
      </w:r>
      <w:r w:rsidR="003348AF">
        <w:rPr>
          <w:i/>
          <w:iCs/>
        </w:rPr>
        <w:t>Id.</w:t>
      </w:r>
      <w:r w:rsidRPr="00CD70C6" w:rsidR="003348AF">
        <w:t xml:space="preserve"> </w:t>
      </w:r>
      <w:r w:rsidR="00CD70C6">
        <w:t>at</w:t>
      </w:r>
      <w:r w:rsidR="003348AF">
        <w:rPr>
          <w:i/>
          <w:iCs/>
        </w:rPr>
        <w:t xml:space="preserve"> </w:t>
      </w:r>
      <w:r>
        <w:t>Exh. A at 17</w:t>
      </w:r>
      <w:r w:rsidR="003348AF">
        <w:t xml:space="preserve">, </w:t>
      </w:r>
      <w:r>
        <w:t>Exh. B.</w:t>
      </w:r>
    </w:p>
  </w:footnote>
  <w:footnote w:id="52">
    <w:p w:rsidR="00E83E39" w:rsidP="00E83E39" w14:paraId="49D2A0A6" w14:textId="7A3DD981">
      <w:pPr>
        <w:pStyle w:val="FootnoteText"/>
      </w:pPr>
      <w:r>
        <w:rPr>
          <w:rStyle w:val="FootnoteReference"/>
        </w:rPr>
        <w:footnoteRef/>
      </w:r>
      <w:r w:rsidR="0055713F">
        <w:t xml:space="preserve"> </w:t>
      </w:r>
      <w:r>
        <w:t xml:space="preserve">47 CFR </w:t>
      </w:r>
      <w:r w:rsidRPr="00BD156B">
        <w:t>§</w:t>
      </w:r>
      <w:r>
        <w:t>1.5001(h).</w:t>
      </w:r>
    </w:p>
  </w:footnote>
  <w:footnote w:id="53">
    <w:p w:rsidR="00873FCB" w14:paraId="761612B0" w14:textId="29D8A900">
      <w:pPr>
        <w:pStyle w:val="FootnoteText"/>
      </w:pPr>
      <w:r>
        <w:rPr>
          <w:rStyle w:val="FootnoteReference"/>
        </w:rPr>
        <w:footnoteRef/>
      </w:r>
      <w:r>
        <w:t xml:space="preserve"> </w:t>
      </w:r>
      <w:r w:rsidR="005535FB">
        <w:t>LStar Equity</w:t>
      </w:r>
      <w:r>
        <w:t xml:space="preserve"> </w:t>
      </w:r>
      <w:r w:rsidR="00342B14">
        <w:rPr>
          <w:rFonts w:ascii="TimesNewRomanPSMT" w:hAnsi="TimesNewRomanPSMT" w:cs="TimesNewRomanPSMT"/>
        </w:rPr>
        <w:t xml:space="preserve">Petition </w:t>
      </w:r>
      <w:r w:rsidR="00095698">
        <w:rPr>
          <w:rFonts w:ascii="TimesNewRomanPSMT" w:hAnsi="TimesNewRomanPSMT" w:cs="TimesNewRomanPSMT"/>
        </w:rPr>
        <w:t>at 3; LStar Equity Petition Dec</w:t>
      </w:r>
      <w:r w:rsidR="002F6138">
        <w:rPr>
          <w:rFonts w:ascii="TimesNewRomanPSMT" w:hAnsi="TimesNewRomanPSMT" w:cs="TimesNewRomanPSMT"/>
        </w:rPr>
        <w:t>.</w:t>
      </w:r>
      <w:r w:rsidR="00095698">
        <w:rPr>
          <w:rFonts w:ascii="TimesNewRomanPSMT" w:hAnsi="TimesNewRomanPSMT" w:cs="TimesNewRomanPSMT"/>
        </w:rPr>
        <w:t xml:space="preserve"> </w:t>
      </w:r>
      <w:r w:rsidR="000A2ED0">
        <w:rPr>
          <w:rFonts w:ascii="TimesNewRomanPSMT" w:hAnsi="TimesNewRomanPSMT" w:cs="TimesNewRomanPSMT"/>
        </w:rPr>
        <w:t xml:space="preserve">8, 2022 </w:t>
      </w:r>
      <w:r w:rsidR="00342B14">
        <w:rPr>
          <w:rFonts w:ascii="TimesNewRomanPSMT" w:hAnsi="TimesNewRomanPSMT" w:cs="TimesNewRomanPSMT"/>
        </w:rPr>
        <w:t>Supplement, Exh. A at 16.</w:t>
      </w:r>
    </w:p>
  </w:footnote>
  <w:footnote w:id="54">
    <w:p w:rsidR="00E83E39" w:rsidP="00E83E39" w14:paraId="3069E22A" w14:textId="77777777">
      <w:pPr>
        <w:pStyle w:val="FootnoteText"/>
      </w:pPr>
      <w:r>
        <w:rPr>
          <w:rStyle w:val="FootnoteReference"/>
        </w:rPr>
        <w:footnoteRef/>
      </w:r>
      <w:r>
        <w:t xml:space="preserve"> 47 CFR </w:t>
      </w:r>
      <w:r w:rsidRPr="00BD156B">
        <w:t>§</w:t>
      </w:r>
      <w:r>
        <w:t xml:space="preserve">1.5001(i). </w:t>
      </w:r>
    </w:p>
  </w:footnote>
  <w:footnote w:id="55">
    <w:p w:rsidR="00E83E39" w:rsidP="00E83E39" w14:paraId="69162146" w14:textId="509F0564">
      <w:pPr>
        <w:pStyle w:val="FootnoteText"/>
      </w:pPr>
      <w:r>
        <w:rPr>
          <w:rStyle w:val="FootnoteReference"/>
        </w:rPr>
        <w:footnoteRef/>
      </w:r>
      <w:r>
        <w:t xml:space="preserve"> </w:t>
      </w:r>
      <w:r w:rsidR="0077475B">
        <w:t xml:space="preserve">LStar Equity </w:t>
      </w:r>
      <w:r>
        <w:t>Petition</w:t>
      </w:r>
      <w:r w:rsidR="00837677">
        <w:t>,</w:t>
      </w:r>
      <w:r>
        <w:t xml:space="preserve"> Exh</w:t>
      </w:r>
      <w:r w:rsidR="00225F44">
        <w:t>.</w:t>
      </w:r>
      <w:r>
        <w:t xml:space="preserve"> A</w:t>
      </w:r>
      <w:r w:rsidR="00052952">
        <w:t xml:space="preserve"> </w:t>
      </w:r>
      <w:r w:rsidR="004414BC">
        <w:t>at</w:t>
      </w:r>
      <w:r w:rsidR="00144126">
        <w:t xml:space="preserve"> </w:t>
      </w:r>
      <w:r>
        <w:t xml:space="preserve">10. </w:t>
      </w:r>
      <w:r w:rsidR="00A42065">
        <w:t xml:space="preserve"> </w:t>
      </w:r>
      <w:r w:rsidR="009E1FAA">
        <w:t xml:space="preserve">LStar Equity </w:t>
      </w:r>
      <w:r>
        <w:t>Petitioners contend that the limited partners of five entities should be considered insulated pursuant to section 1.5003 of the Commission’s rules.</w:t>
      </w:r>
      <w:r w:rsidR="00A42065">
        <w:t xml:space="preserve"> </w:t>
      </w:r>
      <w:r>
        <w:t xml:space="preserve"> The five entities are: (1) Fund VIII US, (2) Fund VIII International, (3) Fund IX US, (4) Partners VIII, and (5) Partners IX. </w:t>
      </w:r>
      <w:r w:rsidR="009E1FAA">
        <w:t xml:space="preserve">LStar </w:t>
      </w:r>
      <w:r>
        <w:t xml:space="preserve">Petitioners further assert that such limited partners hold less than 10% equity or voting interest in LStar Equity. </w:t>
      </w:r>
      <w:r w:rsidR="00CD3498">
        <w:t xml:space="preserve"> </w:t>
      </w:r>
      <w:r>
        <w:t xml:space="preserve">According to the </w:t>
      </w:r>
      <w:r w:rsidR="00E00FB6">
        <w:t xml:space="preserve">LStar Equity </w:t>
      </w:r>
      <w:r>
        <w:t xml:space="preserve">Petition, the Limited Partnership Agreement for Fund VIII US prohibits limited partners from taking part in the management or operation of the business and from exercising any control of the business. </w:t>
      </w:r>
      <w:r w:rsidR="00A42065">
        <w:t xml:space="preserve"> </w:t>
      </w:r>
      <w:r w:rsidR="00E00FB6">
        <w:t xml:space="preserve">LStar Equity </w:t>
      </w:r>
      <w:r>
        <w:t>Petitioners state that “[the Limited Partnership Agreement] does, however, include a single provision that allows removal of the general partner without cause by a 70% vote of the limited partners.”</w:t>
      </w:r>
      <w:r w:rsidR="00A42065">
        <w:t xml:space="preserve"> </w:t>
      </w:r>
      <w:r>
        <w:t xml:space="preserve"> </w:t>
      </w:r>
      <w:r w:rsidR="00D22820">
        <w:t xml:space="preserve">LStar Equity </w:t>
      </w:r>
      <w:r>
        <w:t xml:space="preserve">Petitioners make similar arguments with respect to Fund VIII International, Fund IX US, Partners VIII, and Partners IX.  47 CFR </w:t>
      </w:r>
      <w:r w:rsidRPr="00BD156B">
        <w:t>§</w:t>
      </w:r>
      <w:r>
        <w:t xml:space="preserve">1.5003; </w:t>
      </w:r>
      <w:r w:rsidR="0077475B">
        <w:t xml:space="preserve">LStar Equity </w:t>
      </w:r>
      <w:r>
        <w:t xml:space="preserve">Petition at 11-14; </w:t>
      </w:r>
      <w:r w:rsidR="0077475B">
        <w:t xml:space="preserve">LStar Equity </w:t>
      </w:r>
      <w:r>
        <w:t>Petition Dec</w:t>
      </w:r>
      <w:r w:rsidR="0077475B">
        <w:t xml:space="preserve">. </w:t>
      </w:r>
      <w:r>
        <w:t>8</w:t>
      </w:r>
      <w:r w:rsidR="0077475B">
        <w:t>, 2022</w:t>
      </w:r>
      <w:r>
        <w:t xml:space="preserve"> Supplement at 1-2. </w:t>
      </w:r>
      <w:r w:rsidR="00250FE1">
        <w:t xml:space="preserve"> </w:t>
      </w:r>
      <w:r w:rsidR="00921384">
        <w:t>Since</w:t>
      </w:r>
      <w:r w:rsidR="00F0136F">
        <w:t xml:space="preserve"> the LStar Equity ownership in </w:t>
      </w:r>
      <w:r w:rsidR="002A656C">
        <w:t>JAB Wir</w:t>
      </w:r>
      <w:r w:rsidR="00921384">
        <w:t>e</w:t>
      </w:r>
      <w:r w:rsidR="002A656C">
        <w:t>less will be re</w:t>
      </w:r>
      <w:r w:rsidR="00B20A76">
        <w:t xml:space="preserve">moved </w:t>
      </w:r>
      <w:r w:rsidR="00F46236">
        <w:t xml:space="preserve">once </w:t>
      </w:r>
      <w:r w:rsidR="004634D5">
        <w:t xml:space="preserve">GI DI Iris Acquisition </w:t>
      </w:r>
      <w:r w:rsidR="008E38C2">
        <w:t>acquires JAB Wireless, w</w:t>
      </w:r>
      <w:r w:rsidR="00295E60">
        <w:t xml:space="preserve">hich, as discussed below, </w:t>
      </w:r>
      <w:r w:rsidR="00EB697D">
        <w:t xml:space="preserve">is contingent upon the GI DI Iris Acquisition </w:t>
      </w:r>
      <w:r w:rsidR="00594C23">
        <w:t xml:space="preserve">Transaction closing </w:t>
      </w:r>
      <w:r w:rsidR="00295E60">
        <w:t xml:space="preserve">within </w:t>
      </w:r>
      <w:r w:rsidR="00C8256A">
        <w:t>fifteen (</w:t>
      </w:r>
      <w:r w:rsidR="00295E60">
        <w:t>15</w:t>
      </w:r>
      <w:r w:rsidR="00C8256A">
        <w:t>)</w:t>
      </w:r>
      <w:r w:rsidR="00F40922">
        <w:t xml:space="preserve"> </w:t>
      </w:r>
      <w:r w:rsidR="00295E60">
        <w:t xml:space="preserve">days of release of this </w:t>
      </w:r>
      <w:r w:rsidR="00F51E0C">
        <w:t xml:space="preserve">Public Notice, we find that </w:t>
      </w:r>
      <w:r w:rsidR="00E5538A">
        <w:t>it is not necessary</w:t>
      </w:r>
      <w:r w:rsidR="00F51E0C">
        <w:t xml:space="preserve"> to </w:t>
      </w:r>
      <w:r w:rsidR="005B7B49">
        <w:t xml:space="preserve">make a determination on this request </w:t>
      </w:r>
      <w:r w:rsidR="006758DB">
        <w:t xml:space="preserve">at this time. </w:t>
      </w:r>
    </w:p>
  </w:footnote>
  <w:footnote w:id="56">
    <w:p w:rsidR="00E83E39" w:rsidP="00E83E39" w14:paraId="1107673B" w14:textId="77777777">
      <w:pPr>
        <w:pStyle w:val="FootnoteText"/>
      </w:pPr>
      <w:r>
        <w:rPr>
          <w:rStyle w:val="FootnoteReference"/>
        </w:rPr>
        <w:footnoteRef/>
      </w:r>
      <w:r>
        <w:t xml:space="preserve"> 47 CFR </w:t>
      </w:r>
      <w:r w:rsidRPr="00BD156B">
        <w:t>§</w:t>
      </w:r>
      <w:r>
        <w:t>1.5001(k).</w:t>
      </w:r>
    </w:p>
  </w:footnote>
  <w:footnote w:id="57">
    <w:p w:rsidR="00E83E39" w:rsidP="00E83E39" w14:paraId="640FEC04" w14:textId="2D35F9CB">
      <w:pPr>
        <w:pStyle w:val="FootnoteText"/>
      </w:pPr>
      <w:r>
        <w:rPr>
          <w:rStyle w:val="FootnoteReference"/>
        </w:rPr>
        <w:footnoteRef/>
      </w:r>
      <w:r>
        <w:t xml:space="preserve"> </w:t>
      </w:r>
      <w:r w:rsidRPr="00BF0487">
        <w:rPr>
          <w:bCs/>
        </w:rPr>
        <w:t>47 CFR § 1.5004.</w:t>
      </w:r>
      <w:r>
        <w:rPr>
          <w:bCs/>
        </w:rPr>
        <w:t xml:space="preserve"> </w:t>
      </w:r>
      <w:r w:rsidRPr="00BF0487">
        <w:rPr>
          <w:bCs/>
        </w:rPr>
        <w:t xml:space="preserve"> </w:t>
      </w:r>
    </w:p>
  </w:footnote>
  <w:footnote w:id="58">
    <w:p w:rsidR="00E83E39" w:rsidP="00E83E39" w14:paraId="51DE4E63" w14:textId="77777777">
      <w:pPr>
        <w:pStyle w:val="FootnoteText"/>
      </w:pPr>
      <w:r>
        <w:rPr>
          <w:rStyle w:val="FootnoteReference"/>
        </w:rPr>
        <w:footnoteRef/>
      </w:r>
      <w:r>
        <w:t xml:space="preserve"> </w:t>
      </w:r>
      <w:r w:rsidRPr="006B42DB">
        <w:t>47 CFR §§ 1.5002-1.5003</w:t>
      </w:r>
      <w:r>
        <w:t xml:space="preserve">. </w:t>
      </w:r>
    </w:p>
  </w:footnote>
  <w:footnote w:id="59">
    <w:p w:rsidR="00E83E39" w:rsidP="00E83E39" w14:paraId="58720C3F" w14:textId="77777777">
      <w:pPr>
        <w:pStyle w:val="FootnoteText"/>
      </w:pPr>
      <w:r>
        <w:rPr>
          <w:rStyle w:val="FootnoteReference"/>
        </w:rPr>
        <w:footnoteRef/>
      </w:r>
      <w:r>
        <w:t xml:space="preserve"> </w:t>
      </w:r>
      <w:r w:rsidRPr="00114D8E">
        <w:t>47 CFR § 1.5004, note to paragraph (a).</w:t>
      </w:r>
    </w:p>
  </w:footnote>
  <w:footnote w:id="60">
    <w:p w:rsidR="00C47385" w:rsidRPr="00EF7FCF" w:rsidP="00C47385" w14:paraId="605F4E86" w14:textId="4840D5E6">
      <w:pPr>
        <w:pStyle w:val="FootnoteText"/>
      </w:pPr>
      <w:r w:rsidRPr="00EF7FCF">
        <w:rPr>
          <w:rStyle w:val="FootnoteReference"/>
          <w:sz w:val="20"/>
        </w:rPr>
        <w:footnoteRef/>
      </w:r>
      <w:r w:rsidRPr="00EF7FCF">
        <w:t xml:space="preserve"> </w:t>
      </w:r>
      <w:r w:rsidRPr="001A573F" w:rsidR="00C20036">
        <w:rPr>
          <w:bCs/>
        </w:rPr>
        <w:t xml:space="preserve">GI DI </w:t>
      </w:r>
      <w:r w:rsidR="00C20036">
        <w:rPr>
          <w:bCs/>
        </w:rPr>
        <w:t xml:space="preserve">Iris </w:t>
      </w:r>
      <w:r w:rsidRPr="001A573F" w:rsidR="00C20036">
        <w:rPr>
          <w:bCs/>
        </w:rPr>
        <w:t>Acquisition</w:t>
      </w:r>
      <w:r w:rsidRPr="00EF7FCF" w:rsidR="00C20036">
        <w:t xml:space="preserve"> </w:t>
      </w:r>
      <w:r w:rsidRPr="00EF7FCF">
        <w:t xml:space="preserve">Petition at 3. </w:t>
      </w:r>
    </w:p>
  </w:footnote>
  <w:footnote w:id="61">
    <w:p w:rsidR="00C47385" w:rsidRPr="00EF7FCF" w:rsidP="00C47385" w14:paraId="4354644A" w14:textId="0ECF1295">
      <w:pPr>
        <w:pStyle w:val="FootnoteText"/>
        <w:rPr>
          <w:iCs/>
        </w:rPr>
      </w:pPr>
      <w:r w:rsidRPr="00EF7FCF">
        <w:rPr>
          <w:rStyle w:val="FootnoteReference"/>
          <w:sz w:val="20"/>
        </w:rPr>
        <w:footnoteRef/>
      </w:r>
      <w:r w:rsidRPr="00EF7FCF">
        <w:t xml:space="preserve"> </w:t>
      </w:r>
      <w:r w:rsidRPr="001A573F" w:rsidR="00C20036">
        <w:rPr>
          <w:bCs/>
        </w:rPr>
        <w:t xml:space="preserve">GI DI </w:t>
      </w:r>
      <w:r w:rsidR="00C20036">
        <w:rPr>
          <w:bCs/>
        </w:rPr>
        <w:t xml:space="preserve">Iris </w:t>
      </w:r>
      <w:r w:rsidRPr="001A573F" w:rsidR="00C20036">
        <w:rPr>
          <w:bCs/>
        </w:rPr>
        <w:t>Acquisition</w:t>
      </w:r>
      <w:r w:rsidRPr="00EF7FCF" w:rsidR="00C20036">
        <w:t xml:space="preserve"> </w:t>
      </w:r>
      <w:r w:rsidRPr="00EF7FCF">
        <w:t xml:space="preserve">Application at Exh. A (Current and Post-Transaction Corporate Ownership Structure) at 3 and Exh. A (Post-Transaction Ownership Structure) at 1.  GI DI Iris Acquisition does not provide telecommunications services.  </w:t>
      </w:r>
      <w:r w:rsidRPr="001A573F" w:rsidR="00C20036">
        <w:rPr>
          <w:bCs/>
        </w:rPr>
        <w:t xml:space="preserve">GI DI </w:t>
      </w:r>
      <w:r w:rsidR="00C20036">
        <w:rPr>
          <w:bCs/>
        </w:rPr>
        <w:t xml:space="preserve">Iris </w:t>
      </w:r>
      <w:r w:rsidRPr="001A573F" w:rsidR="00C20036">
        <w:rPr>
          <w:bCs/>
        </w:rPr>
        <w:t>Acquisition</w:t>
      </w:r>
      <w:r w:rsidRPr="00EF7FCF" w:rsidR="00C20036">
        <w:t xml:space="preserve"> </w:t>
      </w:r>
      <w:r w:rsidRPr="00EF7FCF">
        <w:t xml:space="preserve">Application at 2.  </w:t>
      </w:r>
      <w:r w:rsidRPr="00EF7FCF" w:rsidR="00677E44">
        <w:t xml:space="preserve">The </w:t>
      </w:r>
      <w:r w:rsidRPr="001A573F" w:rsidR="00C20036">
        <w:rPr>
          <w:bCs/>
        </w:rPr>
        <w:t xml:space="preserve">GI DI </w:t>
      </w:r>
      <w:r w:rsidR="00C20036">
        <w:rPr>
          <w:bCs/>
        </w:rPr>
        <w:t xml:space="preserve">Iris </w:t>
      </w:r>
      <w:r w:rsidRPr="001A573F" w:rsidR="00C20036">
        <w:rPr>
          <w:bCs/>
        </w:rPr>
        <w:t>Acquisition</w:t>
      </w:r>
      <w:r w:rsidRPr="00EF7FCF" w:rsidR="00C20036">
        <w:t xml:space="preserve"> </w:t>
      </w:r>
      <w:r w:rsidRPr="00EF7FCF">
        <w:t xml:space="preserve">Applicants state that GI DI Iris Acquisition is affiliated with the following providers of domestic telecommunications services through persons or entities that own or control a 10% or greater, direct or indirect, interest in GI DI Iris Acquisition, all U.S. entities:  (1) Clarity Telecom, LLC, d/b/a Bluepeak (Bluepeak) provides competitive local exchange carrier (LEC) and/or interexchange services in Minnesota and South Dakota and also serves as an incumbent LEC in South Dakota.  </w:t>
      </w:r>
      <w:r w:rsidRPr="00EF7FCF">
        <w:rPr>
          <w:i/>
          <w:iCs/>
        </w:rPr>
        <w:t xml:space="preserve">Id. </w:t>
      </w:r>
      <w:r w:rsidRPr="00EF7FCF">
        <w:t xml:space="preserve">at 11-12.  </w:t>
      </w:r>
      <w:r w:rsidRPr="00EF7FCF" w:rsidR="00677E44">
        <w:t xml:space="preserve">The </w:t>
      </w:r>
      <w:r w:rsidRPr="001A573F" w:rsidR="00C20036">
        <w:rPr>
          <w:bCs/>
        </w:rPr>
        <w:t xml:space="preserve">GI DI </w:t>
      </w:r>
      <w:r w:rsidR="00C20036">
        <w:rPr>
          <w:bCs/>
        </w:rPr>
        <w:t xml:space="preserve">Iris </w:t>
      </w:r>
      <w:r w:rsidRPr="001A573F" w:rsidR="00C20036">
        <w:rPr>
          <w:bCs/>
        </w:rPr>
        <w:t>Acquisition</w:t>
      </w:r>
      <w:r w:rsidRPr="00EF7FCF" w:rsidR="00C20036">
        <w:t xml:space="preserve"> </w:t>
      </w:r>
      <w:r w:rsidRPr="00EF7FCF">
        <w:t xml:space="preserve">Applicants state that Bluepeak and Rise Broadband have </w:t>
      </w:r>
      <w:r w:rsidR="00AF69BD">
        <w:t xml:space="preserve">certain minimal </w:t>
      </w:r>
      <w:r w:rsidRPr="00EF7FCF">
        <w:t>overlapping operations in approximately 40 zip codes in South Dakota, Minnesota</w:t>
      </w:r>
      <w:r w:rsidR="009E5FD8">
        <w:t>,</w:t>
      </w:r>
      <w:r w:rsidRPr="00EF7FCF">
        <w:t xml:space="preserve"> and Wyoming, </w:t>
      </w:r>
      <w:r w:rsidR="00AF69BD">
        <w:t xml:space="preserve">and that there are </w:t>
      </w:r>
      <w:r w:rsidR="00FF2AC3">
        <w:t xml:space="preserve">other competitive providers in the areas, </w:t>
      </w:r>
      <w:r w:rsidRPr="00EF7FCF" w:rsidR="00647638">
        <w:t xml:space="preserve">July </w:t>
      </w:r>
      <w:r w:rsidR="00C20036">
        <w:t xml:space="preserve">1, 2022 </w:t>
      </w:r>
      <w:r w:rsidRPr="00EF7FCF">
        <w:t>Supplement at 1; (2) Flexential Corp. provides collocation and other services in 15 states</w:t>
      </w:r>
      <w:r w:rsidR="00F66CE6">
        <w:t xml:space="preserve">. </w:t>
      </w:r>
      <w:r w:rsidR="00F95BC0">
        <w:t xml:space="preserve"> </w:t>
      </w:r>
      <w:r w:rsidRPr="001A573F" w:rsidR="00C20036">
        <w:rPr>
          <w:bCs/>
        </w:rPr>
        <w:t xml:space="preserve">GI DI </w:t>
      </w:r>
      <w:r w:rsidR="00C20036">
        <w:rPr>
          <w:bCs/>
        </w:rPr>
        <w:t xml:space="preserve">Iris </w:t>
      </w:r>
      <w:r w:rsidRPr="001A573F" w:rsidR="00C20036">
        <w:rPr>
          <w:bCs/>
        </w:rPr>
        <w:t>Acquisition</w:t>
      </w:r>
      <w:r w:rsidR="00C20036">
        <w:t xml:space="preserve"> </w:t>
      </w:r>
      <w:r w:rsidRPr="00EF7FCF">
        <w:t>Application at 12; (3) Single Digits, Inc. provides interconnected VoIP services in 27 states, the District of Columbia, and Puerto Ric</w:t>
      </w:r>
      <w:r w:rsidR="00F66CE6">
        <w:t xml:space="preserve">o, </w:t>
      </w:r>
      <w:r w:rsidRPr="00EF7FCF">
        <w:rPr>
          <w:i/>
          <w:iCs/>
        </w:rPr>
        <w:t>Id</w:t>
      </w:r>
      <w:r w:rsidRPr="00EF7FCF">
        <w:t>;</w:t>
      </w:r>
      <w:r w:rsidRPr="00EF7FCF">
        <w:rPr>
          <w:i/>
          <w:iCs/>
        </w:rPr>
        <w:t xml:space="preserve"> </w:t>
      </w:r>
      <w:r w:rsidRPr="00EF7FCF">
        <w:t>(4) Blue Stream Communications LLC provides broadband, video, and interconnected VoIP services in Florid</w:t>
      </w:r>
      <w:r w:rsidR="00F66CE6">
        <w:t xml:space="preserve">a, </w:t>
      </w:r>
      <w:r w:rsidRPr="00EF7FCF">
        <w:rPr>
          <w:i/>
          <w:iCs/>
        </w:rPr>
        <w:t>Id</w:t>
      </w:r>
      <w:r w:rsidRPr="00EF7FCF">
        <w:t>;</w:t>
      </w:r>
      <w:r w:rsidRPr="00EF7FCF">
        <w:rPr>
          <w:i/>
          <w:iCs/>
        </w:rPr>
        <w:t xml:space="preserve"> </w:t>
      </w:r>
      <w:r w:rsidRPr="00EF7FCF">
        <w:t>(5) ITS Telecommunications Systems, LLC (ITS) provides incumbent LEC services Florida</w:t>
      </w:r>
      <w:r w:rsidR="00F66CE6">
        <w:t xml:space="preserve">, </w:t>
      </w:r>
      <w:r w:rsidRPr="00EF7FCF" w:rsidR="00647638">
        <w:t xml:space="preserve">July </w:t>
      </w:r>
      <w:r w:rsidR="00C20036">
        <w:t xml:space="preserve">1, 2022 </w:t>
      </w:r>
      <w:r w:rsidRPr="00EF7FCF">
        <w:t xml:space="preserve">Supplement at 1-2.  </w:t>
      </w:r>
      <w:r w:rsidRPr="00EF7FCF" w:rsidR="00677E44">
        <w:t xml:space="preserve">The </w:t>
      </w:r>
      <w:r w:rsidRPr="001A573F" w:rsidR="00C20036">
        <w:rPr>
          <w:bCs/>
        </w:rPr>
        <w:t xml:space="preserve">GI DI </w:t>
      </w:r>
      <w:r w:rsidR="00C20036">
        <w:rPr>
          <w:bCs/>
        </w:rPr>
        <w:t xml:space="preserve">Iris </w:t>
      </w:r>
      <w:r w:rsidRPr="001A573F" w:rsidR="00C20036">
        <w:rPr>
          <w:bCs/>
        </w:rPr>
        <w:t>Acquisition</w:t>
      </w:r>
      <w:r w:rsidRPr="00EF7FCF" w:rsidR="00C20036">
        <w:t xml:space="preserve"> </w:t>
      </w:r>
      <w:r w:rsidRPr="00EF7FCF">
        <w:t>Applicants state that because Rise Broadband does not operate in Florida, there is no overlap of services with ITS</w:t>
      </w:r>
      <w:r w:rsidR="00FF2AC3">
        <w:t xml:space="preserve">, </w:t>
      </w:r>
      <w:r w:rsidRPr="00EF7FCF">
        <w:t>and</w:t>
      </w:r>
      <w:r w:rsidRPr="00EF7FCF">
        <w:rPr>
          <w:i/>
          <w:iCs/>
        </w:rPr>
        <w:t xml:space="preserve"> </w:t>
      </w:r>
      <w:r w:rsidRPr="00EF7FCF">
        <w:t xml:space="preserve">(6) ITS Fiber, LLC provides competitive LEC services in Marin County, Florida.  </w:t>
      </w:r>
      <w:r w:rsidRPr="001A573F" w:rsidR="00C20036">
        <w:rPr>
          <w:bCs/>
        </w:rPr>
        <w:t xml:space="preserve">GI DI </w:t>
      </w:r>
      <w:r w:rsidR="00C20036">
        <w:rPr>
          <w:bCs/>
        </w:rPr>
        <w:t xml:space="preserve">Iris </w:t>
      </w:r>
      <w:r w:rsidRPr="001A573F" w:rsidR="00C20036">
        <w:rPr>
          <w:bCs/>
        </w:rPr>
        <w:t>Acquisition</w:t>
      </w:r>
      <w:r w:rsidRPr="00EF7FCF" w:rsidR="00C20036">
        <w:t xml:space="preserve"> </w:t>
      </w:r>
      <w:r w:rsidRPr="00EF7FCF">
        <w:t>Application</w:t>
      </w:r>
      <w:r w:rsidRPr="00EF7FCF">
        <w:rPr>
          <w:i/>
          <w:iCs/>
        </w:rPr>
        <w:t xml:space="preserve"> </w:t>
      </w:r>
      <w:r w:rsidRPr="00EF7FCF">
        <w:t>at 12-13</w:t>
      </w:r>
      <w:r w:rsidR="00FF2AC3">
        <w:t xml:space="preserve">; July </w:t>
      </w:r>
      <w:r w:rsidR="00C20036">
        <w:t xml:space="preserve">1, 2022 </w:t>
      </w:r>
      <w:r w:rsidR="00FF2AC3">
        <w:t>Supplement at 1-2</w:t>
      </w:r>
      <w:r w:rsidRPr="00EF7FCF">
        <w:t>.</w:t>
      </w:r>
      <w:r w:rsidRPr="00EF7FCF" w:rsidR="00641CAC">
        <w:t xml:space="preserve">  </w:t>
      </w:r>
    </w:p>
  </w:footnote>
  <w:footnote w:id="62">
    <w:p w:rsidR="00C47385" w:rsidRPr="00EF7FCF" w:rsidP="00C47385" w14:paraId="17983D28" w14:textId="7D9AEC40">
      <w:pPr>
        <w:pStyle w:val="FootnoteText"/>
      </w:pPr>
      <w:r w:rsidRPr="00EF7FCF">
        <w:rPr>
          <w:rStyle w:val="FootnoteReference"/>
          <w:sz w:val="20"/>
        </w:rPr>
        <w:footnoteRef/>
      </w:r>
      <w:r w:rsidRPr="00EF7FCF">
        <w:t xml:space="preserve"> </w:t>
      </w:r>
      <w:r w:rsidRPr="001A573F" w:rsidR="00C20036">
        <w:rPr>
          <w:bCs/>
        </w:rPr>
        <w:t xml:space="preserve">GI DI </w:t>
      </w:r>
      <w:r w:rsidR="00C20036">
        <w:rPr>
          <w:bCs/>
        </w:rPr>
        <w:t xml:space="preserve">Iris </w:t>
      </w:r>
      <w:r w:rsidRPr="001A573F" w:rsidR="00C20036">
        <w:rPr>
          <w:bCs/>
        </w:rPr>
        <w:t>Acquisition</w:t>
      </w:r>
      <w:r w:rsidRPr="00EF7FCF" w:rsidR="00C20036">
        <w:t xml:space="preserve"> </w:t>
      </w:r>
      <w:r w:rsidRPr="00EF7FCF">
        <w:t>Application at Exh. A at 3-4.</w:t>
      </w:r>
    </w:p>
  </w:footnote>
  <w:footnote w:id="63">
    <w:p w:rsidR="00C47385" w:rsidRPr="00EF7FCF" w:rsidP="00C47385" w14:paraId="466EEBF1" w14:textId="7C880C12">
      <w:pPr>
        <w:pStyle w:val="FootnoteText"/>
      </w:pPr>
      <w:r w:rsidRPr="00EF7FCF">
        <w:rPr>
          <w:rStyle w:val="FootnoteReference"/>
          <w:sz w:val="20"/>
        </w:rPr>
        <w:footnoteRef/>
      </w:r>
      <w:r w:rsidRPr="00EF7FCF">
        <w:t xml:space="preserve"> </w:t>
      </w:r>
      <w:r w:rsidRPr="00EF7FCF">
        <w:rPr>
          <w:i/>
          <w:iCs/>
        </w:rPr>
        <w:t>Id.</w:t>
      </w:r>
      <w:r w:rsidRPr="00EF7FCF">
        <w:t xml:space="preserve"> at Exh A at 3</w:t>
      </w:r>
      <w:r w:rsidR="00C20036">
        <w:t xml:space="preserve">, </w:t>
      </w:r>
      <w:r w:rsidRPr="00EF7FCF">
        <w:t>Exh. B at 1-2.</w:t>
      </w:r>
    </w:p>
  </w:footnote>
  <w:footnote w:id="64">
    <w:p w:rsidR="00C47385" w:rsidRPr="00EF7FCF" w:rsidP="00C47385" w14:paraId="285E502C" w14:textId="3D58883F">
      <w:pPr>
        <w:pStyle w:val="FootnoteText"/>
      </w:pPr>
      <w:r w:rsidRPr="00EF7FCF">
        <w:rPr>
          <w:rStyle w:val="FootnoteReference"/>
          <w:sz w:val="20"/>
        </w:rPr>
        <w:footnoteRef/>
      </w:r>
      <w:r w:rsidRPr="00EF7FCF">
        <w:t xml:space="preserve"> </w:t>
      </w:r>
      <w:r w:rsidRPr="00EF7FCF">
        <w:rPr>
          <w:i/>
          <w:iCs/>
        </w:rPr>
        <w:t>Id.</w:t>
      </w:r>
      <w:r w:rsidRPr="00EF7FCF">
        <w:t xml:space="preserve"> at Exh. A at 3</w:t>
      </w:r>
      <w:r w:rsidR="00C20036">
        <w:t xml:space="preserve">, </w:t>
      </w:r>
      <w:r w:rsidRPr="00EF7FCF">
        <w:t>Exh. B at 2.</w:t>
      </w:r>
    </w:p>
  </w:footnote>
  <w:footnote w:id="65">
    <w:p w:rsidR="00C47385" w:rsidRPr="00EF7FCF" w:rsidP="00C47385" w14:paraId="453676BC" w14:textId="20FF9259">
      <w:pPr>
        <w:pStyle w:val="FootnoteText"/>
      </w:pPr>
      <w:r w:rsidRPr="00EF7FCF">
        <w:rPr>
          <w:rStyle w:val="FootnoteReference"/>
          <w:sz w:val="20"/>
        </w:rPr>
        <w:footnoteRef/>
      </w:r>
      <w:r w:rsidRPr="00EF7FCF">
        <w:t xml:space="preserve"> </w:t>
      </w:r>
      <w:r w:rsidRPr="00EF7FCF">
        <w:rPr>
          <w:i/>
          <w:iCs/>
        </w:rPr>
        <w:t>Id.</w:t>
      </w:r>
      <w:r w:rsidRPr="00EF7FCF">
        <w:t xml:space="preserve"> at Exh. A at 4</w:t>
      </w:r>
      <w:r w:rsidR="00C20036">
        <w:t xml:space="preserve">, </w:t>
      </w:r>
      <w:r w:rsidRPr="00EF7FCF">
        <w:t>Exh. B at 2-3.</w:t>
      </w:r>
    </w:p>
  </w:footnote>
  <w:footnote w:id="66">
    <w:p w:rsidR="00C47385" w:rsidRPr="00EF7FCF" w:rsidP="00C47385" w14:paraId="5575E077" w14:textId="09DE5B87">
      <w:pPr>
        <w:pStyle w:val="FootnoteText"/>
      </w:pPr>
      <w:r w:rsidRPr="00EF7FCF">
        <w:rPr>
          <w:rStyle w:val="FootnoteReference"/>
          <w:sz w:val="20"/>
        </w:rPr>
        <w:footnoteRef/>
      </w:r>
      <w:r w:rsidRPr="00EF7FCF">
        <w:t xml:space="preserve"> </w:t>
      </w:r>
      <w:r w:rsidR="00C20036">
        <w:rPr>
          <w:i/>
          <w:iCs/>
        </w:rPr>
        <w:t xml:space="preserve">Id. </w:t>
      </w:r>
      <w:r w:rsidRPr="00EF7FCF">
        <w:t>at Exh. A at 4</w:t>
      </w:r>
      <w:r w:rsidR="00C20036">
        <w:t xml:space="preserve">, </w:t>
      </w:r>
      <w:r w:rsidRPr="00EF7FCF">
        <w:t>Exh. B at 3.</w:t>
      </w:r>
    </w:p>
  </w:footnote>
  <w:footnote w:id="67">
    <w:p w:rsidR="00C47385" w:rsidRPr="00EF7FCF" w:rsidP="00C47385" w14:paraId="26310ABA" w14:textId="77777777">
      <w:pPr>
        <w:pStyle w:val="FootnoteText"/>
        <w:rPr>
          <w:i/>
          <w:iCs/>
        </w:rPr>
      </w:pPr>
      <w:r w:rsidRPr="00EF7FCF">
        <w:rPr>
          <w:rStyle w:val="FootnoteReference"/>
          <w:sz w:val="20"/>
        </w:rPr>
        <w:footnoteRef/>
      </w:r>
      <w:r w:rsidRPr="00EF7FCF">
        <w:t xml:space="preserve"> </w:t>
      </w:r>
      <w:r w:rsidRPr="00EF7FCF">
        <w:rPr>
          <w:i/>
          <w:iCs/>
        </w:rPr>
        <w:t>Id.</w:t>
      </w:r>
    </w:p>
  </w:footnote>
  <w:footnote w:id="68">
    <w:p w:rsidR="00C47385" w:rsidRPr="00EF7FCF" w:rsidP="0020681A" w14:paraId="42753EB6" w14:textId="06B3242B">
      <w:pPr>
        <w:pStyle w:val="FootnoteText"/>
        <w:rPr>
          <w:i/>
          <w:iCs/>
        </w:rPr>
      </w:pPr>
      <w:r w:rsidRPr="00EF7FCF">
        <w:rPr>
          <w:rStyle w:val="FootnoteReference"/>
          <w:sz w:val="20"/>
        </w:rPr>
        <w:footnoteRef/>
      </w:r>
      <w:r w:rsidRPr="00EF7FCF">
        <w:t xml:space="preserve"> </w:t>
      </w:r>
      <w:r w:rsidRPr="00EF7FCF">
        <w:rPr>
          <w:i/>
          <w:iCs/>
        </w:rPr>
        <w:t>Id.</w:t>
      </w:r>
      <w:r w:rsidRPr="00EF7FCF" w:rsidR="0020681A">
        <w:rPr>
          <w:i/>
          <w:iCs/>
        </w:rPr>
        <w:t xml:space="preserve">  </w:t>
      </w:r>
      <w:r w:rsidRPr="00EF7FCF" w:rsidR="006A61D8">
        <w:t>Skybeam</w:t>
      </w:r>
      <w:r w:rsidR="009C4595">
        <w:t xml:space="preserve"> and Essex</w:t>
      </w:r>
      <w:r w:rsidRPr="00EF7FCF" w:rsidR="006A61D8">
        <w:t xml:space="preserve">, which </w:t>
      </w:r>
      <w:r w:rsidR="009C4595">
        <w:t xml:space="preserve">are ETCs </w:t>
      </w:r>
      <w:r w:rsidRPr="00EF7FCF" w:rsidR="006A61D8">
        <w:t>receiv</w:t>
      </w:r>
      <w:r w:rsidR="009C4595">
        <w:t>ing</w:t>
      </w:r>
      <w:r w:rsidRPr="00EF7FCF" w:rsidR="006A61D8">
        <w:t xml:space="preserve"> fixed RBE support, will be affiliated post-consummation with ITS, a</w:t>
      </w:r>
      <w:r w:rsidR="009C4595">
        <w:t>n incumbent LEC that did not elect to receive fixed, model-based support and receives</w:t>
      </w:r>
      <w:r w:rsidRPr="00EF7FCF" w:rsidR="006A61D8">
        <w:t xml:space="preserve"> cost-based</w:t>
      </w:r>
      <w:r w:rsidR="009C4595">
        <w:t xml:space="preserve"> universal service support</w:t>
      </w:r>
      <w:r w:rsidRPr="00EF7FCF" w:rsidR="006A61D8">
        <w:t>.  Dec</w:t>
      </w:r>
      <w:r w:rsidR="00984AF1">
        <w:t>.</w:t>
      </w:r>
      <w:r w:rsidRPr="00EF7FCF" w:rsidR="006A61D8">
        <w:t xml:space="preserve"> </w:t>
      </w:r>
      <w:r w:rsidR="00984AF1">
        <w:t xml:space="preserve">13, 2022 </w:t>
      </w:r>
      <w:r w:rsidRPr="00EF7FCF" w:rsidR="006A61D8">
        <w:t>Supplement at 1-2</w:t>
      </w:r>
      <w:r w:rsidR="009C4595">
        <w:t xml:space="preserve">; </w:t>
      </w:r>
      <w:r w:rsidRPr="001A573F" w:rsidR="00984AF1">
        <w:rPr>
          <w:bCs/>
        </w:rPr>
        <w:t xml:space="preserve">GI DI </w:t>
      </w:r>
      <w:r w:rsidR="00984AF1">
        <w:rPr>
          <w:bCs/>
        </w:rPr>
        <w:t xml:space="preserve">Iris </w:t>
      </w:r>
      <w:r w:rsidRPr="001A573F" w:rsidR="00984AF1">
        <w:rPr>
          <w:bCs/>
        </w:rPr>
        <w:t>Acquisition</w:t>
      </w:r>
      <w:r w:rsidR="00984AF1">
        <w:t xml:space="preserve"> </w:t>
      </w:r>
      <w:r w:rsidR="009C4595">
        <w:t>Application at 12</w:t>
      </w:r>
      <w:r w:rsidRPr="00EF7FCF" w:rsidR="006A61D8">
        <w:t xml:space="preserve">.  </w:t>
      </w:r>
      <w:r w:rsidR="009C4595">
        <w:t xml:space="preserve">In the </w:t>
      </w:r>
      <w:r w:rsidRPr="009C4595" w:rsidR="009C4595">
        <w:rPr>
          <w:i/>
          <w:iCs/>
        </w:rPr>
        <w:t>Hargray/ComSouth Order</w:t>
      </w:r>
      <w:r w:rsidR="009C4595">
        <w:t xml:space="preserve">, the Commission found that “the combination of two companies that receive high-cost universal service support under different mechanisms, one fixed and one cost-based, could result in potential harm to the Commission’s goal of ensuring that limited universal service resources are distributed efficiently and effectively” as a result of the companies having an incentive to shift costs from the </w:t>
      </w:r>
      <w:r w:rsidR="00F66CE6">
        <w:t xml:space="preserve">fixed, </w:t>
      </w:r>
      <w:r w:rsidR="009C4595">
        <w:t xml:space="preserve">model-based support company to the cost-based support company.  </w:t>
      </w:r>
      <w:r w:rsidRPr="00EF7FCF" w:rsidR="009C4595">
        <w:rPr>
          <w:i/>
          <w:iCs/>
        </w:rPr>
        <w:t xml:space="preserve">Joint Application of W. Mansfield Jennings Limited Partnership and Hargray Communications Group, Inc. for </w:t>
      </w:r>
      <w:r w:rsidRPr="006A61D8" w:rsidR="009C4595">
        <w:rPr>
          <w:i/>
          <w:iCs/>
        </w:rPr>
        <w:t>Consent to the Transfer of Control of ComSouth Corporation Pursuant to Section 214 of the Communications Act of</w:t>
      </w:r>
      <w:r w:rsidRPr="00EF7FCF" w:rsidR="009C4595">
        <w:rPr>
          <w:i/>
          <w:iCs/>
        </w:rPr>
        <w:t xml:space="preserve"> 1934</w:t>
      </w:r>
      <w:r w:rsidRPr="00EF7FCF" w:rsidR="009C4595">
        <w:rPr>
          <w:i/>
        </w:rPr>
        <w:t xml:space="preserve">, </w:t>
      </w:r>
      <w:r w:rsidRPr="00EF7FCF" w:rsidR="009C4595">
        <w:rPr>
          <w:iCs/>
        </w:rPr>
        <w:t>WC Docket 18-52, Memorandum Opinion and Order, 33 FCC Rcd 4780</w:t>
      </w:r>
      <w:r w:rsidR="009C4595">
        <w:rPr>
          <w:iCs/>
        </w:rPr>
        <w:t>, 4784, para. 19</w:t>
      </w:r>
      <w:r w:rsidRPr="00EF7FCF" w:rsidR="009C4595">
        <w:rPr>
          <w:iCs/>
        </w:rPr>
        <w:t xml:space="preserve"> (2018)</w:t>
      </w:r>
      <w:r w:rsidRPr="00EF7FCF" w:rsidR="009C4595">
        <w:rPr>
          <w:i/>
        </w:rPr>
        <w:t xml:space="preserve"> (</w:t>
      </w:r>
      <w:r w:rsidRPr="00EF7FCF" w:rsidR="009C4595">
        <w:rPr>
          <w:i/>
          <w:iCs/>
        </w:rPr>
        <w:t>Hargray/ComSouth Order</w:t>
      </w:r>
      <w:r w:rsidRPr="00EF7FCF" w:rsidR="009C4595">
        <w:rPr>
          <w:i/>
        </w:rPr>
        <w:t>).</w:t>
      </w:r>
      <w:r w:rsidRPr="00EF7FCF" w:rsidR="009C4595">
        <w:rPr>
          <w:i/>
          <w:iCs/>
        </w:rPr>
        <w:t xml:space="preserve">  </w:t>
      </w:r>
      <w:r w:rsidRPr="00EF7FCF" w:rsidR="0020681A">
        <w:t>Although</w:t>
      </w:r>
      <w:r w:rsidRPr="00EF7FCF" w:rsidR="00575933">
        <w:t xml:space="preserve"> GI GP DI LLC is the general partner that will ultimately control </w:t>
      </w:r>
      <w:r w:rsidRPr="00EF7FCF" w:rsidR="0020681A">
        <w:t>Skybeam</w:t>
      </w:r>
      <w:r w:rsidR="009C4595">
        <w:t>, Essex,</w:t>
      </w:r>
      <w:r w:rsidRPr="00EF7FCF" w:rsidR="0020681A">
        <w:t xml:space="preserve"> and ITS</w:t>
      </w:r>
      <w:r w:rsidRPr="00EF7FCF" w:rsidR="00356635">
        <w:t>,</w:t>
      </w:r>
      <w:r w:rsidRPr="00EF7FCF" w:rsidR="0020681A">
        <w:rPr>
          <w:iCs/>
        </w:rPr>
        <w:t xml:space="preserve"> the </w:t>
      </w:r>
      <w:r w:rsidRPr="001A573F" w:rsidR="00984AF1">
        <w:rPr>
          <w:bCs/>
        </w:rPr>
        <w:t xml:space="preserve">GI DI </w:t>
      </w:r>
      <w:r w:rsidR="00984AF1">
        <w:rPr>
          <w:bCs/>
        </w:rPr>
        <w:t xml:space="preserve">Iris </w:t>
      </w:r>
      <w:r w:rsidRPr="001A573F" w:rsidR="00984AF1">
        <w:rPr>
          <w:bCs/>
        </w:rPr>
        <w:t>Acquisition</w:t>
      </w:r>
      <w:r w:rsidRPr="00EF7FCF" w:rsidR="00984AF1">
        <w:rPr>
          <w:iCs/>
        </w:rPr>
        <w:t xml:space="preserve"> </w:t>
      </w:r>
      <w:r w:rsidRPr="00EF7FCF" w:rsidR="0020681A">
        <w:rPr>
          <w:iCs/>
        </w:rPr>
        <w:t xml:space="preserve">Applicants </w:t>
      </w:r>
      <w:r w:rsidRPr="00EF7FCF" w:rsidR="006A61D8">
        <w:rPr>
          <w:iCs/>
        </w:rPr>
        <w:t>assert</w:t>
      </w:r>
      <w:r w:rsidRPr="00EF7FCF" w:rsidR="0020681A">
        <w:rPr>
          <w:iCs/>
        </w:rPr>
        <w:t xml:space="preserve"> that there is no ability to engage in improper cost shifting as a result of its affiliates receiving universal service support under different mechanisms</w:t>
      </w:r>
      <w:r w:rsidRPr="00EF7FCF" w:rsidR="006A61D8">
        <w:rPr>
          <w:i/>
        </w:rPr>
        <w:t>.</w:t>
      </w:r>
      <w:r w:rsidRPr="00757E7C" w:rsidR="006A61D8">
        <w:rPr>
          <w:iCs/>
        </w:rPr>
        <w:t xml:space="preserve"> </w:t>
      </w:r>
      <w:r w:rsidRPr="00757E7C" w:rsidR="00F66CE6">
        <w:rPr>
          <w:iCs/>
        </w:rPr>
        <w:t xml:space="preserve"> </w:t>
      </w:r>
      <w:r w:rsidR="00A53756">
        <w:rPr>
          <w:iCs/>
        </w:rPr>
        <w:t>Dec</w:t>
      </w:r>
      <w:r w:rsidR="00984AF1">
        <w:rPr>
          <w:iCs/>
        </w:rPr>
        <w:t xml:space="preserve">. 13, 2022 </w:t>
      </w:r>
      <w:r w:rsidR="00A53756">
        <w:rPr>
          <w:iCs/>
        </w:rPr>
        <w:t>Supplement</w:t>
      </w:r>
      <w:r w:rsidRPr="00EF7FCF" w:rsidR="006A61D8">
        <w:rPr>
          <w:i/>
        </w:rPr>
        <w:t xml:space="preserve"> </w:t>
      </w:r>
      <w:r w:rsidRPr="00EF7FCF" w:rsidR="006A61D8">
        <w:rPr>
          <w:iCs/>
        </w:rPr>
        <w:t>at 1-3</w:t>
      </w:r>
      <w:r w:rsidR="00A53756">
        <w:rPr>
          <w:iCs/>
        </w:rPr>
        <w:t xml:space="preserve">.  </w:t>
      </w:r>
      <w:r w:rsidRPr="00EF7FCF" w:rsidR="006A61D8">
        <w:rPr>
          <w:iCs/>
        </w:rPr>
        <w:t xml:space="preserve">The </w:t>
      </w:r>
      <w:r w:rsidRPr="001A573F" w:rsidR="00984AF1">
        <w:rPr>
          <w:bCs/>
        </w:rPr>
        <w:t xml:space="preserve">GI DI </w:t>
      </w:r>
      <w:r w:rsidR="00984AF1">
        <w:rPr>
          <w:bCs/>
        </w:rPr>
        <w:t xml:space="preserve">Iris </w:t>
      </w:r>
      <w:r w:rsidRPr="001A573F" w:rsidR="00984AF1">
        <w:rPr>
          <w:bCs/>
        </w:rPr>
        <w:t>Acquisition</w:t>
      </w:r>
      <w:r w:rsidRPr="00EF7FCF" w:rsidR="00984AF1">
        <w:rPr>
          <w:iCs/>
        </w:rPr>
        <w:t xml:space="preserve"> </w:t>
      </w:r>
      <w:r w:rsidRPr="00EF7FCF" w:rsidR="006A61D8">
        <w:rPr>
          <w:iCs/>
        </w:rPr>
        <w:t xml:space="preserve">Applicants </w:t>
      </w:r>
      <w:r w:rsidRPr="00EF7FCF" w:rsidR="0020681A">
        <w:rPr>
          <w:iCs/>
        </w:rPr>
        <w:t xml:space="preserve">affirm that the Skybeam and ITS do not have common control, shared or common costs, or consolidation of corporate books.  </w:t>
      </w:r>
      <w:r w:rsidRPr="00EF7FCF" w:rsidR="0020681A">
        <w:rPr>
          <w:i/>
        </w:rPr>
        <w:t xml:space="preserve">Id. </w:t>
      </w:r>
      <w:r w:rsidRPr="00EF7FCF" w:rsidR="0020681A">
        <w:rPr>
          <w:iCs/>
        </w:rPr>
        <w:t>at 2.</w:t>
      </w:r>
      <w:r w:rsidRPr="00EF7FCF" w:rsidR="00E30160">
        <w:rPr>
          <w:iCs/>
        </w:rPr>
        <w:t xml:space="preserve">  </w:t>
      </w:r>
      <w:r w:rsidRPr="00EF7FCF" w:rsidR="00E623A0">
        <w:rPr>
          <w:iCs/>
        </w:rPr>
        <w:t xml:space="preserve">The </w:t>
      </w:r>
      <w:r w:rsidRPr="00EF7FCF" w:rsidR="00E30160">
        <w:rPr>
          <w:iCs/>
        </w:rPr>
        <w:t>Applicants state that GI DI Iris Acquisition, which ultimately controls Skybeam, and GI Blue Stream Holdings II LP (Blue Stream), the entity that ultimately controls ITS, “have different ownership, which precludes</w:t>
      </w:r>
      <w:r w:rsidRPr="00EF7FCF" w:rsidR="00450BAE">
        <w:rPr>
          <w:iCs/>
        </w:rPr>
        <w:t xml:space="preserve"> any</w:t>
      </w:r>
      <w:r w:rsidRPr="00EF7FCF" w:rsidR="00575933">
        <w:rPr>
          <w:iCs/>
        </w:rPr>
        <w:t xml:space="preserve"> consolidation of management or accounts between the two entities</w:t>
      </w:r>
      <w:r w:rsidRPr="00EF7FCF" w:rsidR="00356635">
        <w:rPr>
          <w:iCs/>
        </w:rPr>
        <w:t>.</w:t>
      </w:r>
      <w:r w:rsidRPr="00EF7FCF" w:rsidR="00575933">
        <w:rPr>
          <w:iCs/>
        </w:rPr>
        <w:t>”</w:t>
      </w:r>
      <w:r w:rsidR="00A23AB5">
        <w:rPr>
          <w:iCs/>
        </w:rPr>
        <w:t xml:space="preserve"> </w:t>
      </w:r>
      <w:r w:rsidRPr="00EF7FCF" w:rsidR="00575933">
        <w:rPr>
          <w:iCs/>
        </w:rPr>
        <w:t xml:space="preserve"> </w:t>
      </w:r>
      <w:r w:rsidRPr="00EF7FCF" w:rsidR="00356635">
        <w:rPr>
          <w:i/>
        </w:rPr>
        <w:t xml:space="preserve">Id.  </w:t>
      </w:r>
      <w:r w:rsidRPr="00EF7FCF" w:rsidR="00356635">
        <w:rPr>
          <w:iCs/>
        </w:rPr>
        <w:t xml:space="preserve">They further state that </w:t>
      </w:r>
      <w:r w:rsidRPr="00EF7FCF" w:rsidR="00575933">
        <w:rPr>
          <w:iCs/>
        </w:rPr>
        <w:t xml:space="preserve">“[t]he </w:t>
      </w:r>
      <w:r w:rsidRPr="00575933" w:rsidR="00575933">
        <w:rPr>
          <w:iCs/>
        </w:rPr>
        <w:t>fiduciary duties that GP owes to the limited partners in each of the two non-overlapping co-invest</w:t>
      </w:r>
      <w:r w:rsidRPr="00EF7FCF" w:rsidR="00575933">
        <w:rPr>
          <w:iCs/>
        </w:rPr>
        <w:t xml:space="preserve"> p</w:t>
      </w:r>
      <w:r w:rsidRPr="00575933" w:rsidR="00575933">
        <w:rPr>
          <w:iCs/>
        </w:rPr>
        <w:t>artnerships</w:t>
      </w:r>
      <w:r w:rsidRPr="00EF7FCF" w:rsidR="00575933">
        <w:rPr>
          <w:iCs/>
        </w:rPr>
        <w:t xml:space="preserve"> . . .</w:t>
      </w:r>
      <w:r w:rsidRPr="00575933" w:rsidR="00575933">
        <w:rPr>
          <w:iCs/>
        </w:rPr>
        <w:t xml:space="preserve"> would preclude it from shifting costs</w:t>
      </w:r>
      <w:r w:rsidRPr="00EF7FCF" w:rsidR="00575933">
        <w:rPr>
          <w:iCs/>
        </w:rPr>
        <w:t xml:space="preserve"> </w:t>
      </w:r>
      <w:r w:rsidRPr="00575933" w:rsidR="00575933">
        <w:rPr>
          <w:iCs/>
        </w:rPr>
        <w:t xml:space="preserve">from one partnership’s investment onto the partnership that holds another investment. </w:t>
      </w:r>
      <w:r w:rsidRPr="00EF7FCF" w:rsidR="006A61D8">
        <w:rPr>
          <w:iCs/>
        </w:rPr>
        <w:t xml:space="preserve"> </w:t>
      </w:r>
      <w:r w:rsidRPr="00575933" w:rsidR="00575933">
        <w:rPr>
          <w:iCs/>
        </w:rPr>
        <w:t>The</w:t>
      </w:r>
      <w:r w:rsidRPr="00EF7FCF" w:rsidR="00575933">
        <w:rPr>
          <w:iCs/>
        </w:rPr>
        <w:t xml:space="preserve"> </w:t>
      </w:r>
      <w:r w:rsidR="00984AF1">
        <w:rPr>
          <w:iCs/>
        </w:rPr>
        <w:t>t</w:t>
      </w:r>
      <w:r w:rsidRPr="00575933" w:rsidR="00575933">
        <w:rPr>
          <w:iCs/>
        </w:rPr>
        <w:t>ransaction will therefore not have the type of common control that will implicate a mixed-support</w:t>
      </w:r>
      <w:r w:rsidRPr="00EF7FCF" w:rsidR="00575933">
        <w:rPr>
          <w:iCs/>
        </w:rPr>
        <w:t xml:space="preserve"> condition as envisioned in the </w:t>
      </w:r>
      <w:r w:rsidRPr="00EF7FCF" w:rsidR="00575933">
        <w:rPr>
          <w:i/>
          <w:iCs/>
        </w:rPr>
        <w:t>Hargray/ComSouth Order</w:t>
      </w:r>
      <w:r w:rsidRPr="00EF7FCF" w:rsidR="00575933">
        <w:rPr>
          <w:iCs/>
        </w:rPr>
        <w:t xml:space="preserve">.”  </w:t>
      </w:r>
      <w:r w:rsidRPr="00EF7FCF" w:rsidR="00575933">
        <w:rPr>
          <w:i/>
        </w:rPr>
        <w:t>Id.</w:t>
      </w:r>
      <w:r w:rsidR="00A53756">
        <w:rPr>
          <w:iCs/>
        </w:rPr>
        <w:t xml:space="preserve">; </w:t>
      </w:r>
      <w:r w:rsidR="00B239E0">
        <w:rPr>
          <w:i/>
          <w:iCs/>
        </w:rPr>
        <w:t>s</w:t>
      </w:r>
      <w:r w:rsidRPr="00A53756" w:rsidR="00A53756">
        <w:rPr>
          <w:i/>
          <w:iCs/>
        </w:rPr>
        <w:t>ee Order on Reconsideration</w:t>
      </w:r>
      <w:r w:rsidR="00A53756">
        <w:t xml:space="preserve">, WC Docket No. 20-389, 36 FCC Rcd 8859, 8864, para. 14 (2021) (stating that </w:t>
      </w:r>
      <w:r w:rsidR="00C204F1">
        <w:t>WCB</w:t>
      </w:r>
      <w:r w:rsidR="00A53756">
        <w:t xml:space="preserve"> should continue to apply the Hargray/ComSouth condition to remedy a potential public interest harm caused by a mixed support transaction, including in transactions in which post-merger affiliates have common control, common costs, cost sharing, or consolidation of corporate books). </w:t>
      </w:r>
      <w:r w:rsidRPr="00EF7FCF" w:rsidR="00356635">
        <w:rPr>
          <w:i/>
        </w:rPr>
        <w:t xml:space="preserve"> </w:t>
      </w:r>
      <w:r w:rsidRPr="00EF7FCF" w:rsidR="0020681A">
        <w:t>In light of the separate</w:t>
      </w:r>
      <w:r w:rsidR="00194D91">
        <w:t xml:space="preserve"> management </w:t>
      </w:r>
      <w:r w:rsidR="00D031AF">
        <w:t>control, cost accounting, and financial reporting</w:t>
      </w:r>
      <w:r w:rsidRPr="00EF7FCF" w:rsidR="0020681A">
        <w:t xml:space="preserve"> of </w:t>
      </w:r>
      <w:r w:rsidRPr="00EF7FCF" w:rsidR="00575933">
        <w:t>Skybeam</w:t>
      </w:r>
      <w:r w:rsidR="00A53756">
        <w:t xml:space="preserve"> and Essex</w:t>
      </w:r>
      <w:r w:rsidRPr="00EF7FCF" w:rsidR="00575933">
        <w:t xml:space="preserve"> and ITS, </w:t>
      </w:r>
      <w:r w:rsidRPr="00EF7FCF" w:rsidR="0020681A">
        <w:t>as demonstrated on this record, we do not find a potential public interest harm</w:t>
      </w:r>
      <w:r w:rsidR="00A53756">
        <w:t xml:space="preserve"> associated with a</w:t>
      </w:r>
      <w:r w:rsidR="00F66CE6">
        <w:t xml:space="preserve"> </w:t>
      </w:r>
      <w:r w:rsidR="00A53756">
        <w:t>mixed support transaction</w:t>
      </w:r>
      <w:r w:rsidRPr="00EF7FCF" w:rsidR="0020681A">
        <w:t xml:space="preserve"> that needs to be addressed, and therefore exercise our authority to exclude </w:t>
      </w:r>
      <w:r w:rsidR="00F66CE6">
        <w:t xml:space="preserve">the </w:t>
      </w:r>
      <w:r w:rsidR="002313B1">
        <w:t xml:space="preserve">GI DI Iris Acquisition </w:t>
      </w:r>
      <w:r w:rsidR="00F66CE6">
        <w:t>Applicants</w:t>
      </w:r>
      <w:r w:rsidR="00A53756">
        <w:t xml:space="preserve"> </w:t>
      </w:r>
      <w:r w:rsidRPr="00EF7FCF" w:rsidR="0020681A">
        <w:t xml:space="preserve">from the </w:t>
      </w:r>
      <w:r w:rsidRPr="00EF7FCF" w:rsidR="0020681A">
        <w:rPr>
          <w:i/>
          <w:iCs/>
        </w:rPr>
        <w:t>Hargray/ComSouth</w:t>
      </w:r>
      <w:r w:rsidRPr="00EF7FCF" w:rsidR="0020681A">
        <w:t xml:space="preserve"> condition.  We therefore grant the </w:t>
      </w:r>
      <w:r w:rsidRPr="001A573F" w:rsidR="00881E26">
        <w:rPr>
          <w:bCs/>
        </w:rPr>
        <w:t xml:space="preserve">GI DI </w:t>
      </w:r>
      <w:r w:rsidR="00881E26">
        <w:rPr>
          <w:bCs/>
        </w:rPr>
        <w:t xml:space="preserve">Iris </w:t>
      </w:r>
      <w:r w:rsidRPr="001A573F" w:rsidR="00881E26">
        <w:rPr>
          <w:bCs/>
        </w:rPr>
        <w:t>Acquisition</w:t>
      </w:r>
      <w:r w:rsidRPr="00EF7FCF" w:rsidR="00575933">
        <w:t xml:space="preserve"> </w:t>
      </w:r>
      <w:r w:rsidRPr="00EF7FCF" w:rsidR="0020681A">
        <w:t>Application without applying the mixed support condition</w:t>
      </w:r>
      <w:r w:rsidRPr="00EF7FCF" w:rsidR="00575933">
        <w:t>.</w:t>
      </w:r>
    </w:p>
  </w:footnote>
  <w:footnote w:id="69">
    <w:p w:rsidR="00C47385" w:rsidRPr="00EF7FCF" w:rsidP="00C47385" w14:paraId="26F3AE5A" w14:textId="30A1B017">
      <w:pPr>
        <w:pStyle w:val="FootnoteText"/>
        <w:rPr>
          <w:i/>
          <w:iCs/>
        </w:rPr>
      </w:pPr>
      <w:r w:rsidRPr="00EF7FCF">
        <w:rPr>
          <w:rStyle w:val="FootnoteReference"/>
          <w:sz w:val="20"/>
        </w:rPr>
        <w:footnoteRef/>
      </w:r>
      <w:r w:rsidRPr="00EF7FCF">
        <w:t xml:space="preserve"> </w:t>
      </w:r>
      <w:r w:rsidRPr="001A573F" w:rsidR="00984AF1">
        <w:rPr>
          <w:bCs/>
        </w:rPr>
        <w:t xml:space="preserve">GI DI </w:t>
      </w:r>
      <w:r w:rsidR="00984AF1">
        <w:rPr>
          <w:bCs/>
        </w:rPr>
        <w:t xml:space="preserve">Iris </w:t>
      </w:r>
      <w:r w:rsidRPr="001A573F" w:rsidR="00984AF1">
        <w:rPr>
          <w:bCs/>
        </w:rPr>
        <w:t>Acquisition</w:t>
      </w:r>
      <w:r w:rsidRPr="00EF7FCF" w:rsidR="00984AF1">
        <w:t xml:space="preserve"> </w:t>
      </w:r>
      <w:r w:rsidRPr="00EF7FCF" w:rsidR="00A53756">
        <w:t>Application at Exh. A at 4</w:t>
      </w:r>
      <w:r w:rsidR="00984AF1">
        <w:t>, E</w:t>
      </w:r>
      <w:r w:rsidRPr="00EF7FCF" w:rsidR="00A53756">
        <w:t>xh. B at 3</w:t>
      </w:r>
      <w:r w:rsidR="00A53756">
        <w:t>-4</w:t>
      </w:r>
      <w:r w:rsidRPr="00EF7FCF" w:rsidR="00A53756">
        <w:t>.</w:t>
      </w:r>
    </w:p>
  </w:footnote>
  <w:footnote w:id="70">
    <w:p w:rsidR="00C47385" w:rsidRPr="00A53756" w:rsidP="00C47385" w14:paraId="6D746B30" w14:textId="1C367371">
      <w:pPr>
        <w:pStyle w:val="FootnoteText"/>
      </w:pPr>
      <w:r w:rsidRPr="00EF7FCF">
        <w:rPr>
          <w:rStyle w:val="FootnoteReference"/>
          <w:sz w:val="20"/>
        </w:rPr>
        <w:footnoteRef/>
      </w:r>
      <w:r w:rsidRPr="00EF7FCF">
        <w:t xml:space="preserve"> </w:t>
      </w:r>
      <w:r w:rsidR="00A53756">
        <w:rPr>
          <w:i/>
          <w:iCs/>
        </w:rPr>
        <w:t>Id</w:t>
      </w:r>
      <w:r w:rsidR="00A53756">
        <w:t>.</w:t>
      </w:r>
    </w:p>
  </w:footnote>
  <w:footnote w:id="71">
    <w:p w:rsidR="00C47385" w:rsidRPr="00EF7FCF" w:rsidP="00C47385" w14:paraId="26410EFE" w14:textId="77777777">
      <w:pPr>
        <w:pStyle w:val="FootnoteText"/>
        <w:rPr>
          <w:i/>
          <w:iCs/>
        </w:rPr>
      </w:pPr>
      <w:r w:rsidRPr="00EF7FCF">
        <w:rPr>
          <w:rStyle w:val="FootnoteReference"/>
          <w:sz w:val="20"/>
        </w:rPr>
        <w:footnoteRef/>
      </w:r>
      <w:r w:rsidRPr="00EF7FCF">
        <w:t xml:space="preserve"> </w:t>
      </w:r>
      <w:r w:rsidRPr="00EF7FCF">
        <w:rPr>
          <w:i/>
          <w:iCs/>
        </w:rPr>
        <w:t>Id.</w:t>
      </w:r>
    </w:p>
  </w:footnote>
  <w:footnote w:id="72">
    <w:p w:rsidR="00C47385" w:rsidRPr="00EF7FCF" w:rsidP="00C47385" w14:paraId="28E8F82C" w14:textId="77777777">
      <w:pPr>
        <w:pStyle w:val="FootnoteText"/>
        <w:rPr>
          <w:i/>
          <w:iCs/>
        </w:rPr>
      </w:pPr>
      <w:r w:rsidRPr="00EF7FCF">
        <w:rPr>
          <w:rStyle w:val="FootnoteReference"/>
          <w:sz w:val="20"/>
        </w:rPr>
        <w:footnoteRef/>
      </w:r>
      <w:r w:rsidRPr="00EF7FCF">
        <w:t xml:space="preserve"> </w:t>
      </w:r>
      <w:r w:rsidRPr="00EF7FCF">
        <w:rPr>
          <w:i/>
          <w:iCs/>
        </w:rPr>
        <w:t>Id.</w:t>
      </w:r>
    </w:p>
  </w:footnote>
  <w:footnote w:id="73">
    <w:p w:rsidR="00C47385" w:rsidRPr="00EF7FCF" w:rsidP="00C47385" w14:paraId="0C8577EB" w14:textId="2283AB06">
      <w:pPr>
        <w:pStyle w:val="FootnoteText"/>
      </w:pPr>
      <w:r w:rsidRPr="00EF7FCF">
        <w:rPr>
          <w:rStyle w:val="FootnoteReference"/>
          <w:sz w:val="20"/>
        </w:rPr>
        <w:footnoteRef/>
      </w:r>
      <w:r w:rsidRPr="00EF7FCF">
        <w:t xml:space="preserve"> </w:t>
      </w:r>
      <w:r w:rsidR="00984AF1">
        <w:rPr>
          <w:i/>
          <w:iCs/>
        </w:rPr>
        <w:t>Id.</w:t>
      </w:r>
      <w:r w:rsidRPr="00EF7FCF">
        <w:t xml:space="preserve"> </w:t>
      </w:r>
      <w:r w:rsidR="00641BA2">
        <w:t xml:space="preserve">at </w:t>
      </w:r>
      <w:r w:rsidRPr="00EF7FCF">
        <w:t>Exh. B at 4.</w:t>
      </w:r>
    </w:p>
  </w:footnote>
  <w:footnote w:id="74">
    <w:p w:rsidR="00BD5F70" w14:paraId="762E7EBE" w14:textId="28833511">
      <w:pPr>
        <w:pStyle w:val="FootnoteText"/>
      </w:pPr>
      <w:r>
        <w:rPr>
          <w:rStyle w:val="FootnoteReference"/>
        </w:rPr>
        <w:footnoteRef/>
      </w:r>
      <w:r>
        <w:t xml:space="preserve"> </w:t>
      </w:r>
      <w:r w:rsidRPr="001A573F" w:rsidR="00BA32E2">
        <w:rPr>
          <w:bCs/>
        </w:rPr>
        <w:t xml:space="preserve">GI DI </w:t>
      </w:r>
      <w:r w:rsidR="00BA32E2">
        <w:rPr>
          <w:bCs/>
        </w:rPr>
        <w:t xml:space="preserve">Iris </w:t>
      </w:r>
      <w:r w:rsidRPr="001A573F" w:rsidR="00BA32E2">
        <w:rPr>
          <w:bCs/>
        </w:rPr>
        <w:t>Acquisition</w:t>
      </w:r>
      <w:r w:rsidRPr="00EF7FCF" w:rsidR="00BA32E2">
        <w:t xml:space="preserve"> </w:t>
      </w:r>
      <w:r w:rsidRPr="00EF7FCF">
        <w:t>Petition at 3.</w:t>
      </w:r>
    </w:p>
  </w:footnote>
  <w:footnote w:id="75">
    <w:p w:rsidR="00CC3A85" w14:paraId="3076D24B" w14:textId="447C3AF1">
      <w:pPr>
        <w:pStyle w:val="FootnoteText"/>
      </w:pPr>
      <w:r>
        <w:rPr>
          <w:rStyle w:val="FootnoteReference"/>
        </w:rPr>
        <w:footnoteRef/>
      </w:r>
      <w:r>
        <w:t xml:space="preserve"> </w:t>
      </w:r>
      <w:r w:rsidRPr="001A573F" w:rsidR="00BA32E2">
        <w:rPr>
          <w:bCs/>
        </w:rPr>
        <w:t xml:space="preserve">GI DI </w:t>
      </w:r>
      <w:r w:rsidR="00BA32E2">
        <w:rPr>
          <w:bCs/>
        </w:rPr>
        <w:t xml:space="preserve">Iris </w:t>
      </w:r>
      <w:r w:rsidRPr="001A573F" w:rsidR="00BA32E2">
        <w:rPr>
          <w:bCs/>
        </w:rPr>
        <w:t>Acquisition</w:t>
      </w:r>
      <w:r w:rsidR="00BA32E2">
        <w:t xml:space="preserve"> </w:t>
      </w:r>
      <w:r w:rsidR="00193DEB">
        <w:t>Petition</w:t>
      </w:r>
      <w:r w:rsidR="00CC57EF">
        <w:t xml:space="preserve"> at</w:t>
      </w:r>
      <w:r w:rsidR="00BA32E2">
        <w:t xml:space="preserve"> </w:t>
      </w:r>
      <w:r w:rsidR="00193DEB">
        <w:t>Exh. A at A-</w:t>
      </w:r>
      <w:r w:rsidR="00597284">
        <w:t>1</w:t>
      </w:r>
      <w:r w:rsidR="00193DEB">
        <w:t xml:space="preserve">. </w:t>
      </w:r>
    </w:p>
  </w:footnote>
  <w:footnote w:id="76">
    <w:p w:rsidR="00A55DF0" w14:paraId="2D899CDB" w14:textId="526D41A7">
      <w:pPr>
        <w:pStyle w:val="FootnoteText"/>
      </w:pPr>
      <w:r>
        <w:rPr>
          <w:rStyle w:val="FootnoteReference"/>
        </w:rPr>
        <w:footnoteRef/>
      </w:r>
      <w:r>
        <w:t xml:space="preserve"> </w:t>
      </w:r>
      <w:r w:rsidR="00BA32E2">
        <w:rPr>
          <w:i/>
          <w:iCs/>
        </w:rPr>
        <w:t xml:space="preserve">Id. </w:t>
      </w:r>
      <w:r>
        <w:t xml:space="preserve"> </w:t>
      </w:r>
    </w:p>
  </w:footnote>
  <w:footnote w:id="77">
    <w:p w:rsidR="00E7414F" w:rsidRPr="00EF7FCF" w:rsidP="00E7414F" w14:paraId="2E33D264" w14:textId="310F42E9">
      <w:pPr>
        <w:pStyle w:val="FootnoteText"/>
      </w:pPr>
      <w:r w:rsidRPr="00EF7FCF">
        <w:rPr>
          <w:rStyle w:val="FootnoteReference"/>
          <w:sz w:val="20"/>
        </w:rPr>
        <w:footnoteRef/>
      </w:r>
      <w:r w:rsidRPr="00EF7FCF">
        <w:t xml:space="preserve"> </w:t>
      </w:r>
      <w:r w:rsidRPr="00EF7FCF">
        <w:rPr>
          <w:i/>
          <w:iCs/>
        </w:rPr>
        <w:t>Id.</w:t>
      </w:r>
      <w:r w:rsidRPr="00EF7FCF">
        <w:t xml:space="preserve"> </w:t>
      </w:r>
      <w:r w:rsidR="00641BA2">
        <w:t>at</w:t>
      </w:r>
      <w:r w:rsidRPr="00EF7FCF">
        <w:t xml:space="preserve"> Exh</w:t>
      </w:r>
      <w:r w:rsidR="00CC57EF">
        <w:t>.</w:t>
      </w:r>
      <w:r w:rsidRPr="00EF7FCF">
        <w:t xml:space="preserve"> A at 3</w:t>
      </w:r>
      <w:r w:rsidR="00BA32E2">
        <w:t xml:space="preserve">, </w:t>
      </w:r>
      <w:r w:rsidRPr="00EF7FCF">
        <w:t>Exh. B at 1-2.</w:t>
      </w:r>
    </w:p>
  </w:footnote>
  <w:footnote w:id="78">
    <w:p w:rsidR="00E7414F" w:rsidRPr="00EF7FCF" w:rsidP="00E7414F" w14:paraId="151B1CE0" w14:textId="15335CC1">
      <w:pPr>
        <w:pStyle w:val="FootnoteText"/>
      </w:pPr>
      <w:r w:rsidRPr="00EF7FCF">
        <w:rPr>
          <w:rStyle w:val="FootnoteReference"/>
          <w:sz w:val="20"/>
        </w:rPr>
        <w:footnoteRef/>
      </w:r>
      <w:r w:rsidRPr="00EF7FCF">
        <w:t xml:space="preserve"> </w:t>
      </w:r>
      <w:r w:rsidRPr="00EF7FCF">
        <w:rPr>
          <w:i/>
          <w:iCs/>
        </w:rPr>
        <w:t>Id.</w:t>
      </w:r>
      <w:r w:rsidR="00CC57EF">
        <w:t xml:space="preserve"> </w:t>
      </w:r>
      <w:r w:rsidR="00641BA2">
        <w:t xml:space="preserve">at </w:t>
      </w:r>
      <w:r w:rsidRPr="00EF7FCF">
        <w:t>Exh. A at 3</w:t>
      </w:r>
      <w:r w:rsidR="00BA32E2">
        <w:t xml:space="preserve">, </w:t>
      </w:r>
      <w:r w:rsidRPr="00EF7FCF">
        <w:t>Exh. B at 2.</w:t>
      </w:r>
      <w:r w:rsidR="0054672B">
        <w:t xml:space="preserve">  </w:t>
      </w:r>
      <w:r w:rsidRPr="00E7414F" w:rsidR="0054672B">
        <w:t>The 10% or greater equity holders of Iris Holdings are</w:t>
      </w:r>
      <w:r w:rsidR="001C4AD0">
        <w:t>:</w:t>
      </w:r>
      <w:r w:rsidRPr="00E7414F" w:rsidR="0054672B">
        <w:t xml:space="preserve"> (1) Iris Opportunity LP (Iris Opportunity), a Delaware limited partnership (32.8% equity, 0% voting)</w:t>
      </w:r>
      <w:r w:rsidR="009973DB">
        <w:t>;</w:t>
      </w:r>
      <w:r w:rsidRPr="00E7414F" w:rsidR="0054672B">
        <w:t xml:space="preserve"> (2) GI Data Infrastructure Fund LP (GI DI Fund), a Delaware limited partnership (20.6% equity, 0% voting)</w:t>
      </w:r>
      <w:r w:rsidR="009973DB">
        <w:t>;</w:t>
      </w:r>
      <w:r w:rsidRPr="00E7414F" w:rsidR="0054672B">
        <w:t xml:space="preserve"> and (3) GI Data Infrastructure Fund-A LP (GI DI Fund-A), a Delaware limited partnership (39.3% equity, 0% voting).</w:t>
      </w:r>
      <w:r w:rsidR="0054672B">
        <w:t xml:space="preserve"> </w:t>
      </w:r>
      <w:r w:rsidR="00BA32E2">
        <w:t xml:space="preserve"> </w:t>
      </w:r>
      <w:r w:rsidR="00BA32E2">
        <w:rPr>
          <w:i/>
          <w:iCs/>
        </w:rPr>
        <w:t>Id.</w:t>
      </w:r>
      <w:r w:rsidR="00226457">
        <w:rPr>
          <w:i/>
          <w:iCs/>
        </w:rPr>
        <w:t xml:space="preserve"> </w:t>
      </w:r>
      <w:r w:rsidR="00226457">
        <w:t>at</w:t>
      </w:r>
      <w:r w:rsidR="00BA32E2">
        <w:rPr>
          <w:i/>
          <w:iCs/>
        </w:rPr>
        <w:t xml:space="preserve"> </w:t>
      </w:r>
      <w:r w:rsidRPr="00EF7FCF" w:rsidR="0054672B">
        <w:t>Exh. A at 4</w:t>
      </w:r>
      <w:r w:rsidR="00BA32E2">
        <w:t xml:space="preserve">, </w:t>
      </w:r>
      <w:r w:rsidRPr="00EF7FCF" w:rsidR="0054672B">
        <w:t>Exh. B at 2-3.</w:t>
      </w:r>
    </w:p>
  </w:footnote>
  <w:footnote w:id="79">
    <w:p w:rsidR="00E7414F" w:rsidRPr="00EF7FCF" w:rsidP="00E7414F" w14:paraId="51DB5A72" w14:textId="0A3081FA">
      <w:pPr>
        <w:pStyle w:val="FootnoteText"/>
      </w:pPr>
      <w:r w:rsidRPr="00EF7FCF">
        <w:rPr>
          <w:rStyle w:val="FootnoteReference"/>
          <w:sz w:val="20"/>
        </w:rPr>
        <w:footnoteRef/>
      </w:r>
      <w:r w:rsidRPr="00EF7FCF">
        <w:t xml:space="preserve"> </w:t>
      </w:r>
      <w:r w:rsidR="00BA32E2">
        <w:rPr>
          <w:i/>
          <w:iCs/>
        </w:rPr>
        <w:t xml:space="preserve">Id. </w:t>
      </w:r>
      <w:r w:rsidRPr="00EF7FCF" w:rsidR="00C66692">
        <w:t xml:space="preserve">at </w:t>
      </w:r>
      <w:r w:rsidRPr="00EF7FCF">
        <w:t xml:space="preserve">Exh. A at </w:t>
      </w:r>
      <w:r w:rsidR="009F223A">
        <w:t>A-3</w:t>
      </w:r>
      <w:r w:rsidR="00BA32E2">
        <w:t xml:space="preserve">, </w:t>
      </w:r>
      <w:r w:rsidRPr="00EF7FCF">
        <w:t xml:space="preserve">Exh. B at </w:t>
      </w:r>
      <w:r w:rsidR="00DB261A">
        <w:t>4</w:t>
      </w:r>
      <w:r w:rsidRPr="00EF7FCF">
        <w:t>.</w:t>
      </w:r>
    </w:p>
  </w:footnote>
  <w:footnote w:id="80">
    <w:p w:rsidR="00E7414F" w:rsidRPr="00EF7FCF" w:rsidP="00E7414F" w14:paraId="6729AB84" w14:textId="77777777">
      <w:pPr>
        <w:pStyle w:val="FootnoteText"/>
        <w:rPr>
          <w:i/>
          <w:iCs/>
        </w:rPr>
      </w:pPr>
      <w:r w:rsidRPr="00EF7FCF">
        <w:rPr>
          <w:rStyle w:val="FootnoteReference"/>
          <w:sz w:val="20"/>
        </w:rPr>
        <w:footnoteRef/>
      </w:r>
      <w:r w:rsidRPr="00EF7FCF">
        <w:t xml:space="preserve"> </w:t>
      </w:r>
      <w:r w:rsidRPr="00EF7FCF">
        <w:rPr>
          <w:i/>
          <w:iCs/>
        </w:rPr>
        <w:t>Id.</w:t>
      </w:r>
    </w:p>
  </w:footnote>
  <w:footnote w:id="81">
    <w:p w:rsidR="00E7414F" w:rsidRPr="00EF7FCF" w:rsidP="00E7414F" w14:paraId="44A5DA91" w14:textId="2C69617F">
      <w:pPr>
        <w:pStyle w:val="FootnoteText"/>
        <w:rPr>
          <w:i/>
          <w:iCs/>
        </w:rPr>
      </w:pPr>
      <w:r w:rsidRPr="00EF7FCF">
        <w:rPr>
          <w:rStyle w:val="FootnoteReference"/>
          <w:sz w:val="20"/>
        </w:rPr>
        <w:footnoteRef/>
      </w:r>
      <w:r w:rsidRPr="00EF7FCF">
        <w:t xml:space="preserve"> </w:t>
      </w:r>
      <w:r w:rsidRPr="00EF7FCF">
        <w:rPr>
          <w:i/>
          <w:iCs/>
        </w:rPr>
        <w:t>Id</w:t>
      </w:r>
      <w:r w:rsidRPr="00EF7FCF">
        <w:t>.</w:t>
      </w:r>
    </w:p>
  </w:footnote>
  <w:footnote w:id="82">
    <w:p w:rsidR="00E7414F" w:rsidRPr="00EF7FCF" w:rsidP="00E7414F" w14:paraId="29BED0EE" w14:textId="42C1AD20">
      <w:pPr>
        <w:pStyle w:val="FootnoteText"/>
        <w:rPr>
          <w:i/>
          <w:iCs/>
        </w:rPr>
      </w:pPr>
      <w:r w:rsidRPr="00EF7FCF">
        <w:rPr>
          <w:rStyle w:val="FootnoteReference"/>
          <w:sz w:val="20"/>
        </w:rPr>
        <w:footnoteRef/>
      </w:r>
      <w:r w:rsidRPr="00EF7FCF">
        <w:t xml:space="preserve"> </w:t>
      </w:r>
      <w:r w:rsidR="00BA32E2">
        <w:rPr>
          <w:i/>
          <w:iCs/>
        </w:rPr>
        <w:t xml:space="preserve">Id. </w:t>
      </w:r>
      <w:r w:rsidRPr="00EF7FCF" w:rsidR="00C66692">
        <w:t xml:space="preserve">at </w:t>
      </w:r>
      <w:r w:rsidRPr="00EF7FCF">
        <w:t xml:space="preserve">Exh. A at </w:t>
      </w:r>
      <w:r w:rsidR="006938E4">
        <w:t>3.</w:t>
      </w:r>
    </w:p>
  </w:footnote>
  <w:footnote w:id="83">
    <w:p w:rsidR="00E7414F" w:rsidRPr="00A53756" w:rsidP="00E7414F" w14:paraId="186215A7" w14:textId="77777777">
      <w:pPr>
        <w:pStyle w:val="FootnoteText"/>
      </w:pPr>
      <w:r w:rsidRPr="00EF7FCF">
        <w:rPr>
          <w:rStyle w:val="FootnoteReference"/>
          <w:sz w:val="20"/>
        </w:rPr>
        <w:footnoteRef/>
      </w:r>
      <w:r w:rsidRPr="00EF7FCF">
        <w:t xml:space="preserve"> </w:t>
      </w:r>
      <w:r>
        <w:rPr>
          <w:i/>
          <w:iCs/>
        </w:rPr>
        <w:t>Id</w:t>
      </w:r>
      <w:r>
        <w:t>.</w:t>
      </w:r>
    </w:p>
  </w:footnote>
  <w:footnote w:id="84">
    <w:p w:rsidR="00E7414F" w:rsidRPr="00EF7FCF" w:rsidP="00E7414F" w14:paraId="05E55D52" w14:textId="77777777">
      <w:pPr>
        <w:pStyle w:val="FootnoteText"/>
        <w:rPr>
          <w:i/>
          <w:iCs/>
        </w:rPr>
      </w:pPr>
      <w:r w:rsidRPr="00EF7FCF">
        <w:rPr>
          <w:rStyle w:val="FootnoteReference"/>
          <w:sz w:val="20"/>
        </w:rPr>
        <w:footnoteRef/>
      </w:r>
      <w:r w:rsidRPr="00EF7FCF">
        <w:t xml:space="preserve"> </w:t>
      </w:r>
      <w:r w:rsidRPr="00EF7FCF">
        <w:rPr>
          <w:i/>
          <w:iCs/>
        </w:rPr>
        <w:t>Id.</w:t>
      </w:r>
    </w:p>
  </w:footnote>
  <w:footnote w:id="85">
    <w:p w:rsidR="00E7414F" w:rsidRPr="00EF7FCF" w:rsidP="00E7414F" w14:paraId="4B39C85D" w14:textId="77777777">
      <w:pPr>
        <w:pStyle w:val="FootnoteText"/>
        <w:rPr>
          <w:i/>
          <w:iCs/>
        </w:rPr>
      </w:pPr>
      <w:r w:rsidRPr="00EF7FCF">
        <w:rPr>
          <w:rStyle w:val="FootnoteReference"/>
          <w:sz w:val="20"/>
        </w:rPr>
        <w:footnoteRef/>
      </w:r>
      <w:r w:rsidRPr="00EF7FCF">
        <w:t xml:space="preserve"> </w:t>
      </w:r>
      <w:r w:rsidRPr="00EF7FCF">
        <w:rPr>
          <w:i/>
          <w:iCs/>
        </w:rPr>
        <w:t>Id.</w:t>
      </w:r>
    </w:p>
  </w:footnote>
  <w:footnote w:id="86">
    <w:p w:rsidR="00E7414F" w:rsidRPr="00EF7FCF" w:rsidP="00E7414F" w14:paraId="02C86CC2" w14:textId="31D6FEFC">
      <w:pPr>
        <w:pStyle w:val="FootnoteText"/>
      </w:pPr>
      <w:r w:rsidRPr="00EF7FCF">
        <w:rPr>
          <w:rStyle w:val="FootnoteReference"/>
          <w:sz w:val="20"/>
        </w:rPr>
        <w:footnoteRef/>
      </w:r>
      <w:r w:rsidRPr="00EF7FCF">
        <w:t xml:space="preserve"> </w:t>
      </w:r>
      <w:r w:rsidRPr="001A573F" w:rsidR="00D7627E">
        <w:rPr>
          <w:bCs/>
        </w:rPr>
        <w:t xml:space="preserve">GI DI </w:t>
      </w:r>
      <w:r w:rsidR="00D7627E">
        <w:rPr>
          <w:bCs/>
        </w:rPr>
        <w:t xml:space="preserve">Iris </w:t>
      </w:r>
      <w:r w:rsidRPr="001A573F" w:rsidR="00D7627E">
        <w:rPr>
          <w:bCs/>
        </w:rPr>
        <w:t>Acquisition</w:t>
      </w:r>
      <w:r w:rsidRPr="00EF7FCF" w:rsidR="00D7627E">
        <w:t xml:space="preserve"> </w:t>
      </w:r>
      <w:r w:rsidRPr="00EF7FCF">
        <w:t>Application</w:t>
      </w:r>
      <w:r w:rsidR="00E92071">
        <w:t xml:space="preserve"> at</w:t>
      </w:r>
      <w:r w:rsidRPr="00EF7FCF">
        <w:t xml:space="preserve"> Exh. B at 4.</w:t>
      </w:r>
    </w:p>
  </w:footnote>
  <w:footnote w:id="87">
    <w:p w:rsidR="00CA3F3D" w:rsidP="00CA3F3D" w14:paraId="00976BAC" w14:textId="603D4928">
      <w:pPr>
        <w:pStyle w:val="FootnoteText"/>
      </w:pPr>
      <w:r>
        <w:rPr>
          <w:rStyle w:val="FootnoteReference"/>
        </w:rPr>
        <w:footnoteRef/>
      </w:r>
      <w:r>
        <w:t xml:space="preserve"> </w:t>
      </w:r>
      <w:r w:rsidRPr="001A573F" w:rsidR="00D7627E">
        <w:rPr>
          <w:bCs/>
        </w:rPr>
        <w:t xml:space="preserve">GI DI </w:t>
      </w:r>
      <w:r w:rsidR="00D7627E">
        <w:rPr>
          <w:bCs/>
        </w:rPr>
        <w:t xml:space="preserve">Iris </w:t>
      </w:r>
      <w:r w:rsidRPr="001A573F" w:rsidR="00D7627E">
        <w:rPr>
          <w:bCs/>
        </w:rPr>
        <w:t>Acquisition</w:t>
      </w:r>
      <w:r w:rsidR="00D7627E">
        <w:t xml:space="preserve"> Petition </w:t>
      </w:r>
      <w:r>
        <w:t>Jul</w:t>
      </w:r>
      <w:r w:rsidR="00812AA4">
        <w:t>.</w:t>
      </w:r>
      <w:r>
        <w:t xml:space="preserve"> 8, 2022 Supplement at 2. </w:t>
      </w:r>
    </w:p>
  </w:footnote>
  <w:footnote w:id="88">
    <w:p w:rsidR="00CA3F3D" w:rsidP="00CA3F3D" w14:paraId="4C0A458E" w14:textId="72A0A17C">
      <w:pPr>
        <w:pStyle w:val="FootnoteText"/>
      </w:pPr>
      <w:r>
        <w:rPr>
          <w:rStyle w:val="FootnoteReference"/>
        </w:rPr>
        <w:footnoteRef/>
      </w:r>
      <w:r>
        <w:t xml:space="preserve"> </w:t>
      </w:r>
      <w:r w:rsidRPr="001A573F" w:rsidR="0079250C">
        <w:rPr>
          <w:bCs/>
        </w:rPr>
        <w:t xml:space="preserve">GI DI </w:t>
      </w:r>
      <w:r w:rsidR="0079250C">
        <w:rPr>
          <w:bCs/>
        </w:rPr>
        <w:t xml:space="preserve">Iris </w:t>
      </w:r>
      <w:r w:rsidRPr="001A573F" w:rsidR="0079250C">
        <w:rPr>
          <w:bCs/>
        </w:rPr>
        <w:t>Acquisition</w:t>
      </w:r>
      <w:r w:rsidR="0079250C">
        <w:t xml:space="preserve"> Petition </w:t>
      </w:r>
      <w:r>
        <w:t>Jul</w:t>
      </w:r>
      <w:r w:rsidR="00812AA4">
        <w:t>.</w:t>
      </w:r>
      <w:r>
        <w:t xml:space="preserve"> 8, 2022 Supplement at 1. </w:t>
      </w:r>
    </w:p>
  </w:footnote>
  <w:footnote w:id="89">
    <w:p w:rsidR="00212868" w14:paraId="0BDE72F5" w14:textId="07C1D9D0">
      <w:pPr>
        <w:pStyle w:val="FootnoteText"/>
      </w:pPr>
      <w:r>
        <w:rPr>
          <w:rStyle w:val="FootnoteReference"/>
        </w:rPr>
        <w:footnoteRef/>
      </w:r>
      <w:r>
        <w:t xml:space="preserve"> </w:t>
      </w:r>
      <w:r w:rsidR="004C7B57">
        <w:t xml:space="preserve">47 CFR </w:t>
      </w:r>
      <w:r w:rsidRPr="00BD156B" w:rsidR="004C7B57">
        <w:t>§</w:t>
      </w:r>
      <w:r w:rsidR="004C7B57">
        <w:t>1.5001(h).</w:t>
      </w:r>
    </w:p>
  </w:footnote>
  <w:footnote w:id="90">
    <w:p w:rsidR="00CA3F3D" w:rsidP="00CA3F3D" w14:paraId="411B2889" w14:textId="49B8E6A8">
      <w:pPr>
        <w:pStyle w:val="FootnoteText"/>
      </w:pPr>
      <w:r>
        <w:rPr>
          <w:rStyle w:val="FootnoteReference"/>
        </w:rPr>
        <w:footnoteRef/>
      </w:r>
      <w:r>
        <w:t xml:space="preserve"> </w:t>
      </w:r>
      <w:r w:rsidRPr="001A573F" w:rsidR="0079250C">
        <w:rPr>
          <w:bCs/>
        </w:rPr>
        <w:t xml:space="preserve">GI DI </w:t>
      </w:r>
      <w:r w:rsidR="0079250C">
        <w:rPr>
          <w:bCs/>
        </w:rPr>
        <w:t xml:space="preserve">Iris </w:t>
      </w:r>
      <w:r w:rsidRPr="001A573F" w:rsidR="0079250C">
        <w:rPr>
          <w:bCs/>
        </w:rPr>
        <w:t>Acquisition</w:t>
      </w:r>
      <w:r w:rsidR="0079250C">
        <w:t xml:space="preserve"> </w:t>
      </w:r>
      <w:r>
        <w:t>Petition at 1.</w:t>
      </w:r>
    </w:p>
  </w:footnote>
  <w:footnote w:id="91">
    <w:p w:rsidR="003230E2" w14:paraId="54334B41" w14:textId="267C9E9F">
      <w:pPr>
        <w:pStyle w:val="FootnoteText"/>
      </w:pPr>
      <w:r>
        <w:rPr>
          <w:rStyle w:val="FootnoteReference"/>
        </w:rPr>
        <w:footnoteRef/>
      </w:r>
      <w:r>
        <w:t xml:space="preserve"> </w:t>
      </w:r>
      <w:r w:rsidRPr="00BF0487" w:rsidR="00BF0487">
        <w:rPr>
          <w:bCs/>
        </w:rPr>
        <w:t>47 CFR § 1.5004.</w:t>
      </w:r>
      <w:r w:rsidR="009114E7">
        <w:rPr>
          <w:bCs/>
        </w:rPr>
        <w:t xml:space="preserve"> </w:t>
      </w:r>
      <w:r w:rsidRPr="00BF0487" w:rsidR="00BF0487">
        <w:rPr>
          <w:bCs/>
        </w:rPr>
        <w:t xml:space="preserve"> A few of the terms and conditions set forth in section 1.5004 of the Commission’s rules are as follows: (1) where a previously unapproved foreign-organized entity is inserted into the vertical ownership chain of</w:t>
      </w:r>
      <w:r w:rsidR="00EA52DC">
        <w:rPr>
          <w:bCs/>
        </w:rPr>
        <w:t xml:space="preserve"> </w:t>
      </w:r>
      <w:r w:rsidRPr="00BF0487" w:rsidR="00BF0487">
        <w:rPr>
          <w:bCs/>
        </w:rPr>
        <w:t>a licensee, or its controlling U.S.-organized parent, without prior Commission approval, the licensee shall file a</w:t>
      </w:r>
      <w:r w:rsidR="00EA52DC">
        <w:rPr>
          <w:bCs/>
        </w:rPr>
        <w:t xml:space="preserve"> </w:t>
      </w:r>
      <w:r w:rsidRPr="00BF0487" w:rsidR="00BF0487">
        <w:rPr>
          <w:bCs/>
        </w:rPr>
        <w:t>letter to the attention of the Chief, International Bureau, within 30 days after the insertion of the new, foreign-organized entity; (2) a licensee that has received a foreign ownership ruling, including a U.S.-organized successor-in-interest to such licensee as part of a pro forma reorganization, or any subsidiary or affiliate relying on such</w:t>
      </w:r>
      <w:r w:rsidR="002F3C7C">
        <w:rPr>
          <w:bCs/>
        </w:rPr>
        <w:t xml:space="preserve"> </w:t>
      </w:r>
      <w:r w:rsidRPr="00BF0487" w:rsidR="00BF0487">
        <w:rPr>
          <w:bCs/>
        </w:rPr>
        <w:t>licensee’s ruling, shall file a new petition for declaratory ruling under § 1.5000 to obtain Commission approval</w:t>
      </w:r>
      <w:r w:rsidR="002F3C7C">
        <w:rPr>
          <w:bCs/>
        </w:rPr>
        <w:t xml:space="preserve"> </w:t>
      </w:r>
      <w:r w:rsidRPr="00BF0487" w:rsidR="00BF0487">
        <w:rPr>
          <w:bCs/>
        </w:rPr>
        <w:t>before its foreign ownership exceeds the routine terms and conditions of this section, and/or any specific terms of</w:t>
      </w:r>
      <w:r w:rsidR="002F3C7C">
        <w:rPr>
          <w:bCs/>
        </w:rPr>
        <w:t xml:space="preserve"> </w:t>
      </w:r>
      <w:r w:rsidRPr="00BF0487" w:rsidR="00BF0487">
        <w:rPr>
          <w:bCs/>
        </w:rPr>
        <w:t>conditions of its rulings; and (3) if at any time the licensee, including any successor-in interest and any subsidiary or</w:t>
      </w:r>
      <w:r w:rsidR="002F3C7C">
        <w:rPr>
          <w:bCs/>
        </w:rPr>
        <w:t xml:space="preserve"> </w:t>
      </w:r>
      <w:r w:rsidRPr="00BF0487" w:rsidR="00BF0487">
        <w:rPr>
          <w:bCs/>
        </w:rPr>
        <w:t>affiliate knows, or has reason to know, that it is no longer in compliance with its foreign ownership rulings or the</w:t>
      </w:r>
      <w:r w:rsidR="00E66E76">
        <w:rPr>
          <w:bCs/>
        </w:rPr>
        <w:t xml:space="preserve"> </w:t>
      </w:r>
      <w:r w:rsidRPr="00BF0487" w:rsidR="00BF0487">
        <w:rPr>
          <w:bCs/>
        </w:rPr>
        <w:t>Commission’s rules relating to foreign ownership, it shall file a statement with the Commission explaining the</w:t>
      </w:r>
      <w:r w:rsidR="00E66E76">
        <w:rPr>
          <w:bCs/>
        </w:rPr>
        <w:t xml:space="preserve"> </w:t>
      </w:r>
      <w:r w:rsidRPr="00BF0487" w:rsidR="00BF0487">
        <w:rPr>
          <w:bCs/>
        </w:rPr>
        <w:t>circumstances within 30 days of the date it knew, or had reason to know, that it was no longer in compliance.</w:t>
      </w:r>
      <w:r w:rsidR="00E31A73">
        <w:rPr>
          <w:bCs/>
        </w:rPr>
        <w:t xml:space="preserve"> </w:t>
      </w:r>
      <w:r w:rsidR="00927BCE">
        <w:rPr>
          <w:bCs/>
        </w:rPr>
        <w:t xml:space="preserve"> </w:t>
      </w:r>
      <w:r w:rsidRPr="005C1790" w:rsidR="00E31A73">
        <w:rPr>
          <w:rStyle w:val="ssparacontent"/>
          <w:i/>
          <w:iCs/>
        </w:rPr>
        <w:t>Id</w:t>
      </w:r>
      <w:r w:rsidR="00E31A73">
        <w:rPr>
          <w:rStyle w:val="ssparacontent"/>
        </w:rPr>
        <w:t>.</w:t>
      </w:r>
    </w:p>
  </w:footnote>
  <w:footnote w:id="92">
    <w:p w:rsidR="00CA3F3D" w:rsidP="00CA3F3D" w14:paraId="49EEEDCE" w14:textId="27F8F9DA">
      <w:pPr>
        <w:pStyle w:val="FootnoteText"/>
      </w:pPr>
      <w:r>
        <w:rPr>
          <w:rStyle w:val="FootnoteReference"/>
        </w:rPr>
        <w:footnoteRef/>
      </w:r>
      <w:r>
        <w:t xml:space="preserve"> </w:t>
      </w:r>
      <w:r w:rsidRPr="001A573F" w:rsidR="0079250C">
        <w:rPr>
          <w:bCs/>
        </w:rPr>
        <w:t xml:space="preserve">GI DI </w:t>
      </w:r>
      <w:r w:rsidR="0079250C">
        <w:rPr>
          <w:bCs/>
        </w:rPr>
        <w:t xml:space="preserve">Iris </w:t>
      </w:r>
      <w:r w:rsidRPr="001A573F" w:rsidR="0079250C">
        <w:rPr>
          <w:bCs/>
        </w:rPr>
        <w:t>Acquisition</w:t>
      </w:r>
      <w:r w:rsidR="0079250C">
        <w:t xml:space="preserve"> </w:t>
      </w:r>
      <w:r>
        <w:t xml:space="preserve">Petition at 8; </w:t>
      </w:r>
      <w:r w:rsidRPr="008253FC">
        <w:rPr>
          <w:bCs/>
        </w:rPr>
        <w:t>47 CFR § 1.500</w:t>
      </w:r>
      <w:r w:rsidR="00452DFC">
        <w:rPr>
          <w:bCs/>
        </w:rPr>
        <w:t>2</w:t>
      </w:r>
      <w:r w:rsidRPr="008253FC">
        <w:rPr>
          <w:bCs/>
        </w:rPr>
        <w:t>.</w:t>
      </w:r>
      <w:r w:rsidR="001D0372">
        <w:rPr>
          <w:bCs/>
        </w:rPr>
        <w:t xml:space="preserve"> </w:t>
      </w:r>
    </w:p>
  </w:footnote>
  <w:footnote w:id="93">
    <w:p w:rsidR="00CA3F3D" w:rsidP="00CA3F3D" w14:paraId="6E25D019" w14:textId="77777777">
      <w:pPr>
        <w:pStyle w:val="FootnoteText"/>
      </w:pPr>
      <w:r>
        <w:rPr>
          <w:rStyle w:val="FootnoteReference"/>
        </w:rPr>
        <w:footnoteRef/>
      </w:r>
      <w:r>
        <w:t xml:space="preserve"> </w:t>
      </w:r>
      <w:r w:rsidRPr="001753B1">
        <w:rPr>
          <w:bCs/>
        </w:rPr>
        <w:t>47 CFR § 1.5001(i); 47 CFR § 1.5001(k)</w:t>
      </w:r>
      <w:r>
        <w:rPr>
          <w:bCs/>
        </w:rPr>
        <w:t>.</w:t>
      </w:r>
    </w:p>
  </w:footnote>
  <w:footnote w:id="94">
    <w:p w:rsidR="00F7755B" w:rsidP="00F7755B" w14:paraId="6B12050D" w14:textId="77777777">
      <w:pPr>
        <w:pStyle w:val="FootnoteText"/>
      </w:pPr>
      <w:r>
        <w:rPr>
          <w:rStyle w:val="FootnoteReference"/>
        </w:rPr>
        <w:footnoteRef/>
      </w:r>
      <w:r>
        <w:t xml:space="preserve"> </w:t>
      </w:r>
      <w:r w:rsidRPr="00BF0487">
        <w:rPr>
          <w:bCs/>
        </w:rPr>
        <w:t xml:space="preserve">47 CFR §§ </w:t>
      </w:r>
      <w:r>
        <w:rPr>
          <w:bCs/>
        </w:rPr>
        <w:t xml:space="preserve">1.5001, </w:t>
      </w:r>
      <w:r w:rsidRPr="00BF0487">
        <w:rPr>
          <w:bCs/>
        </w:rPr>
        <w:t>1.5004</w:t>
      </w:r>
      <w:r>
        <w:rPr>
          <w:bCs/>
        </w:rPr>
        <w:t xml:space="preserve">.  Section 1.5004(a)(1) states that a </w:t>
      </w:r>
      <w:r>
        <w:rPr>
          <w:rStyle w:val="ssparacontent"/>
        </w:rPr>
        <w:t>“‘100 percent aggregate allowance’ is subject to the requirement that the licensee seek and obtain Commission approval before any foreign individual, entity, or ‘group’ not previously approved acquires, directly and/or indirectly, more than 5 percent of the U.S. parent’s outstanding capital stock (equity) and/or voting stock, or a controlling interest, with the exception of any foreign individual, entity, or ‘group’ that acquires an equity and/or voting interest of 10 percent or less, provided that the interest is exempt under § 1.5001(i)(3).”</w:t>
      </w:r>
      <w:r w:rsidRPr="00C16D84">
        <w:rPr>
          <w:bCs/>
        </w:rPr>
        <w:t xml:space="preserve"> </w:t>
      </w:r>
      <w:r>
        <w:rPr>
          <w:bCs/>
        </w:rPr>
        <w:t xml:space="preserve"> </w:t>
      </w:r>
      <w:r w:rsidRPr="00BF0487">
        <w:rPr>
          <w:bCs/>
        </w:rPr>
        <w:t>47 CFR § 1.5004</w:t>
      </w:r>
      <w:r>
        <w:rPr>
          <w:bCs/>
        </w:rPr>
        <w:t xml:space="preserve">.  </w:t>
      </w:r>
    </w:p>
  </w:footnote>
  <w:footnote w:id="95">
    <w:p w:rsidR="00875E49" w14:paraId="2793EF21" w14:textId="05FF2F59">
      <w:pPr>
        <w:pStyle w:val="FootnoteText"/>
      </w:pPr>
      <w:r>
        <w:rPr>
          <w:rStyle w:val="FootnoteReference"/>
        </w:rPr>
        <w:footnoteRef/>
      </w:r>
      <w:r>
        <w:t xml:space="preserve"> </w:t>
      </w:r>
      <w:r w:rsidRPr="006B42DB" w:rsidR="006B42DB">
        <w:t>47 CFR §§ 1.5002-1.5003</w:t>
      </w:r>
      <w:r w:rsidR="006B42DB">
        <w:t xml:space="preserve">. </w:t>
      </w:r>
    </w:p>
  </w:footnote>
  <w:footnote w:id="96">
    <w:p w:rsidR="00C13987" w14:paraId="609C0DD8" w14:textId="30D8EA93">
      <w:pPr>
        <w:pStyle w:val="FootnoteText"/>
      </w:pPr>
      <w:r>
        <w:rPr>
          <w:rStyle w:val="FootnoteReference"/>
        </w:rPr>
        <w:footnoteRef/>
      </w:r>
      <w:r>
        <w:t xml:space="preserve"> </w:t>
      </w:r>
      <w:r w:rsidRPr="00114D8E" w:rsidR="00114D8E">
        <w:t>47 CFR § 1.5004, note to paragraph (a).</w:t>
      </w:r>
    </w:p>
  </w:footnote>
  <w:footnote w:id="97">
    <w:p w:rsidR="00992961" w14:paraId="143556EE" w14:textId="0CE0332B">
      <w:pPr>
        <w:pStyle w:val="FootnoteText"/>
      </w:pPr>
      <w:r>
        <w:rPr>
          <w:rStyle w:val="FootnoteReference"/>
        </w:rPr>
        <w:footnoteRef/>
      </w:r>
      <w:r>
        <w:t xml:space="preserve"> </w:t>
      </w:r>
      <w:r w:rsidRPr="00AB4678" w:rsidR="00566724">
        <w:rPr>
          <w:i/>
          <w:iCs/>
        </w:rPr>
        <w:t>See Process Reform for Executive Branch Review of Certain FCC Applications and Petitions Involving Foreign Ownership</w:t>
      </w:r>
      <w:r w:rsidR="00566724">
        <w:t>, IB Docket 16-155, Report and Order, 35 FCC Rcd 10927, 10936, para. 2</w:t>
      </w:r>
      <w:r w:rsidR="00201C9B">
        <w:t>4</w:t>
      </w:r>
      <w:r w:rsidR="00566724">
        <w:t xml:space="preserve"> (2020) (</w:t>
      </w:r>
      <w:r w:rsidRPr="00AB4678" w:rsidR="00566724">
        <w:rPr>
          <w:i/>
          <w:iCs/>
        </w:rPr>
        <w:t>Executive Branch Review Process Order</w:t>
      </w:r>
      <w:r w:rsidR="00566724">
        <w:t>); 47 CFR § 1.40001(a)(1).</w:t>
      </w:r>
    </w:p>
  </w:footnote>
  <w:footnote w:id="98">
    <w:p w:rsidR="00827DEB" w:rsidRPr="00363C97" w14:paraId="3A815A2D" w14:textId="7010F4A6">
      <w:pPr>
        <w:pStyle w:val="FootnoteText"/>
        <w:rPr>
          <w:i/>
        </w:rPr>
      </w:pPr>
      <w:r>
        <w:rPr>
          <w:rStyle w:val="FootnoteReference"/>
        </w:rPr>
        <w:footnoteRef/>
      </w:r>
      <w:r>
        <w:t xml:space="preserve"> Although we did not formally refer the Application</w:t>
      </w:r>
      <w:r w:rsidR="00ED65C8">
        <w:t>s</w:t>
      </w:r>
      <w:r>
        <w:t xml:space="preserve"> and Petition</w:t>
      </w:r>
      <w:r w:rsidR="00ED65C8">
        <w:t>s</w:t>
      </w:r>
      <w:r>
        <w:t>, per standard practice, we provided a courtesy copy of the public notice</w:t>
      </w:r>
      <w:r w:rsidR="00ED65C8">
        <w:t>s</w:t>
      </w:r>
      <w:r>
        <w:t xml:space="preserve"> to the </w:t>
      </w:r>
      <w:r w:rsidR="005945C1">
        <w:t>A</w:t>
      </w:r>
      <w:r>
        <w:t xml:space="preserve">gencies.  </w:t>
      </w:r>
      <w:r w:rsidR="00F35877">
        <w:rPr>
          <w:i/>
          <w:iCs/>
        </w:rPr>
        <w:t xml:space="preserve">Oct. </w:t>
      </w:r>
      <w:r w:rsidR="00485AAF">
        <w:rPr>
          <w:i/>
          <w:iCs/>
        </w:rPr>
        <w:t>4, 2022 Public Notice</w:t>
      </w:r>
      <w:r w:rsidR="00847574">
        <w:rPr>
          <w:i/>
          <w:iCs/>
        </w:rPr>
        <w:t xml:space="preserve"> </w:t>
      </w:r>
      <w:r w:rsidR="00847574">
        <w:t xml:space="preserve">at </w:t>
      </w:r>
      <w:r w:rsidR="00831A0A">
        <w:t xml:space="preserve">4-5; </w:t>
      </w:r>
      <w:r w:rsidRPr="008532AC">
        <w:rPr>
          <w:i/>
        </w:rPr>
        <w:t>Dec</w:t>
      </w:r>
      <w:r>
        <w:rPr>
          <w:i/>
          <w:iCs/>
        </w:rPr>
        <w:t>. 14, 2022 Public Notice</w:t>
      </w:r>
      <w:r>
        <w:t xml:space="preserve"> at 9.</w:t>
      </w:r>
      <w:r w:rsidR="0050529C">
        <w:t xml:space="preserve">  </w:t>
      </w:r>
      <w:r w:rsidR="0050529C">
        <w:rPr>
          <w:i/>
          <w:iCs/>
        </w:rPr>
        <w:t xml:space="preserve">See </w:t>
      </w:r>
      <w:r w:rsidRPr="00AB4678" w:rsidR="0050529C">
        <w:rPr>
          <w:i/>
          <w:iCs/>
        </w:rPr>
        <w:t>Executive Branch Review Process Order</w:t>
      </w:r>
      <w:r w:rsidR="003D2514">
        <w:rPr>
          <w:i/>
          <w:iCs/>
        </w:rPr>
        <w:t xml:space="preserve">, </w:t>
      </w:r>
      <w:r w:rsidR="00C30F9C">
        <w:t xml:space="preserve">35 FCC Rcd </w:t>
      </w:r>
      <w:r w:rsidR="003D2514">
        <w:t>at 10939, para 30, n.81.</w:t>
      </w:r>
    </w:p>
  </w:footnote>
  <w:footnote w:id="99">
    <w:p w:rsidR="00295BDC" w14:paraId="6383A601" w14:textId="531ECFCA">
      <w:pPr>
        <w:pStyle w:val="FootnoteText"/>
      </w:pPr>
      <w:r>
        <w:rPr>
          <w:rStyle w:val="FootnoteReference"/>
        </w:rPr>
        <w:footnoteRef/>
      </w:r>
      <w:r>
        <w:t xml:space="preserve"> </w:t>
      </w:r>
      <w:r w:rsidRPr="008532AC" w:rsidR="008532AC">
        <w:rPr>
          <w:i/>
          <w:iCs/>
        </w:rPr>
        <w:t>Dec.</w:t>
      </w:r>
      <w:r w:rsidR="008532AC">
        <w:rPr>
          <w:i/>
          <w:iCs/>
        </w:rPr>
        <w:t xml:space="preserve"> 14, 2022 Public Notice</w:t>
      </w:r>
      <w:r w:rsidR="008532AC">
        <w:t xml:space="preserve"> at 9.</w:t>
      </w:r>
      <w:r w:rsidR="006B21C5">
        <w:t xml:space="preserve">  </w:t>
      </w:r>
    </w:p>
  </w:footnote>
  <w:footnote w:id="100">
    <w:p w:rsidR="00E96452" w:rsidRPr="001A071A" w14:paraId="18183D3C" w14:textId="6F3ACFF7">
      <w:pPr>
        <w:pStyle w:val="FootnoteText"/>
        <w:rPr>
          <w:i/>
          <w:iCs/>
        </w:rPr>
      </w:pPr>
      <w:r>
        <w:rPr>
          <w:rStyle w:val="FootnoteReference"/>
        </w:rPr>
        <w:footnoteRef/>
      </w:r>
      <w:r>
        <w:t xml:space="preserve"> </w:t>
      </w:r>
      <w:r w:rsidR="00A0585B">
        <w:rPr>
          <w:i/>
          <w:iCs/>
        </w:rPr>
        <w:t xml:space="preserve">Oct. 4, 2022 Public Notice </w:t>
      </w:r>
      <w:r w:rsidR="00A0585B">
        <w:t>at 4-5.</w:t>
      </w:r>
      <w:r w:rsidR="00163112">
        <w:t xml:space="preserve"> </w:t>
      </w:r>
      <w:r w:rsidR="00927BCE">
        <w:t xml:space="preserve"> </w:t>
      </w:r>
      <w:r w:rsidR="00163112">
        <w:rPr>
          <w:i/>
          <w:iCs/>
        </w:rPr>
        <w:t xml:space="preserve">See </w:t>
      </w:r>
      <w:r w:rsidRPr="00AB4678" w:rsidR="00163112">
        <w:rPr>
          <w:i/>
        </w:rPr>
        <w:t>Executive Branch Review Process Order</w:t>
      </w:r>
      <w:r w:rsidR="00163112">
        <w:t>, 35 FCC Rcd at 1093</w:t>
      </w:r>
      <w:r w:rsidR="00C7608E">
        <w:t xml:space="preserve">8-39, </w:t>
      </w:r>
      <w:r w:rsidR="00163112">
        <w:t>paras</w:t>
      </w:r>
      <w:r w:rsidR="00C7608E">
        <w:t>.</w:t>
      </w:r>
      <w:r w:rsidR="00163112">
        <w:t xml:space="preserve"> </w:t>
      </w:r>
      <w:r w:rsidR="00C7608E">
        <w:t xml:space="preserve">30, 32. </w:t>
      </w:r>
    </w:p>
  </w:footnote>
  <w:footnote w:id="101">
    <w:p w:rsidR="008E5CAD" w14:paraId="4EFA2917" w14:textId="34710E1E">
      <w:pPr>
        <w:pStyle w:val="FootnoteText"/>
      </w:pPr>
      <w:r>
        <w:rPr>
          <w:rStyle w:val="FootnoteReference"/>
        </w:rPr>
        <w:footnoteRef/>
      </w:r>
      <w:r>
        <w:t xml:space="preserve"> </w:t>
      </w:r>
      <w:r w:rsidRPr="00AB4678">
        <w:rPr>
          <w:i/>
        </w:rPr>
        <w:t>Executive Branch Review Process Order</w:t>
      </w:r>
      <w:r>
        <w:t>, 35 FCC Rcd at 10934-36, paras 17, 24; 47 CFR § 1.40001(a)(1).</w:t>
      </w:r>
    </w:p>
  </w:footnote>
  <w:footnote w:id="102">
    <w:p w:rsidR="005614FA" w:rsidRPr="0087506E" w:rsidP="0087506E" w14:paraId="48229861" w14:textId="781E51C1">
      <w:pPr>
        <w:pStyle w:val="FootnoteText"/>
      </w:pPr>
      <w:r w:rsidRPr="00EF7FCF">
        <w:rPr>
          <w:rStyle w:val="FootnoteReference"/>
          <w:sz w:val="20"/>
        </w:rPr>
        <w:footnoteRef/>
      </w:r>
      <w:r w:rsidRPr="00EF7FCF" w:rsidR="001A5851">
        <w:t xml:space="preserve"> </w:t>
      </w:r>
      <w:r w:rsidRPr="00EF7FCF" w:rsidR="001A5851">
        <w:rPr>
          <w:i/>
          <w:iCs/>
        </w:rPr>
        <w:t>See</w:t>
      </w:r>
      <w:r w:rsidRPr="00EF7FCF" w:rsidR="001A5851">
        <w:t xml:space="preserve"> 47 U.S.C. § 214(a); 47 CF</w:t>
      </w:r>
      <w:r w:rsidRPr="0087506E" w:rsidR="001A5851">
        <w:t>R § 63.03</w:t>
      </w:r>
      <w:r w:rsidR="001A3629">
        <w:t xml:space="preserve">.  </w:t>
      </w:r>
      <w:r w:rsidRPr="001A3629" w:rsidR="001A3629">
        <w:rPr>
          <w:i/>
          <w:iCs/>
        </w:rPr>
        <w:t>See, e.g., Applications of Level 3 Communications, Inc. and CenturyLink, Inc. for Consent to Transfer Control of Licenses and Authorizations</w:t>
      </w:r>
      <w:r w:rsidR="001A3629">
        <w:t>, Memorandum Opinion and Order, 32 FCC Rcd 9581, 9594, 9605, paras. 26 and 52 (2017) (finding no harm to competition in CenturyLink’s incumbent LEC territory, nor outside of CenturyLink’s incumbent LEC territory, where applicants operate as competitive LECs, and further finding that the transaction “will expand the on-net reach of the newly combined firm resulting in a more effective and stronger competitor against larger cable and incumbent LEC competitors, among others, particularly outside of Century Link's incumbent LEC region, where it, like Level 3, operates as a competitive LEC.”)</w:t>
      </w:r>
      <w:r w:rsidRPr="0087506E">
        <w:t xml:space="preserve">.  </w:t>
      </w:r>
    </w:p>
  </w:footnote>
  <w:footnote w:id="103">
    <w:p w:rsidR="001C16CD" w:rsidRPr="00EF7FCF" w:rsidP="001C16CD" w14:paraId="2FDD8366" w14:textId="7DC86BE5">
      <w:pPr>
        <w:pStyle w:val="FootnoteText"/>
      </w:pPr>
      <w:r w:rsidRPr="00EF7FCF">
        <w:rPr>
          <w:rStyle w:val="FootnoteReference"/>
          <w:sz w:val="20"/>
        </w:rPr>
        <w:footnoteRef/>
      </w:r>
      <w:r w:rsidRPr="00EF7FCF">
        <w:t xml:space="preserve"> </w:t>
      </w:r>
      <w:r w:rsidR="00D90CA2">
        <w:rPr>
          <w:i/>
          <w:iCs/>
        </w:rPr>
        <w:t>See</w:t>
      </w:r>
      <w:r w:rsidRPr="003B12B4" w:rsidR="003B12B4">
        <w:rPr>
          <w:color w:val="231F20"/>
          <w:szCs w:val="22"/>
        </w:rPr>
        <w:t xml:space="preserve"> </w:t>
      </w:r>
      <w:r w:rsidR="003B12B4">
        <w:rPr>
          <w:color w:val="231F20"/>
          <w:szCs w:val="22"/>
        </w:rPr>
        <w:t xml:space="preserve">GI DI Iris </w:t>
      </w:r>
      <w:r w:rsidRPr="00DC1015" w:rsidR="003B12B4">
        <w:rPr>
          <w:color w:val="231F20"/>
          <w:szCs w:val="22"/>
        </w:rPr>
        <w:t xml:space="preserve">Acquisition </w:t>
      </w:r>
      <w:r w:rsidR="003B12B4">
        <w:rPr>
          <w:color w:val="231F20"/>
          <w:szCs w:val="22"/>
        </w:rPr>
        <w:t>Application</w:t>
      </w:r>
      <w:r w:rsidRPr="00EF7FCF">
        <w:t xml:space="preserve"> at 4, 6-7.</w:t>
      </w:r>
    </w:p>
  </w:footnote>
  <w:footnote w:id="104">
    <w:p w:rsidR="001C16CD" w:rsidRPr="001C16CD" w14:paraId="337A351B" w14:textId="3D1A6549">
      <w:pPr>
        <w:pStyle w:val="FootnoteText"/>
      </w:pPr>
      <w:r>
        <w:rPr>
          <w:rStyle w:val="FootnoteReference"/>
        </w:rPr>
        <w:footnoteRef/>
      </w:r>
      <w:r>
        <w:t xml:space="preserve"> </w:t>
      </w:r>
      <w:r>
        <w:rPr>
          <w:i/>
          <w:iCs/>
        </w:rPr>
        <w:t>See RBE Public Notices</w:t>
      </w:r>
      <w:r w:rsidR="00653272">
        <w:t xml:space="preserve">; November Supplement at 4 and </w:t>
      </w:r>
      <w:r w:rsidR="001A3629">
        <w:t>Attach. (</w:t>
      </w:r>
      <w:r w:rsidR="00653272">
        <w:t xml:space="preserve">Nov. 15, 2022 Verification of David A. Smolen, Secretary of </w:t>
      </w:r>
      <w:bookmarkStart w:id="8" w:name="_Hlk123504116"/>
      <w:r w:rsidR="00653272">
        <w:t xml:space="preserve">GI DI Iris Acquisition Inc. </w:t>
      </w:r>
      <w:bookmarkEnd w:id="8"/>
      <w:r w:rsidR="00653272">
        <w:t xml:space="preserve">(stating that to the extent Skybeam, Essex, and /or their affiliate AirCanopy do not comply with RBE obligations, GI DI Iris Acquisition Inc. understands that the Commission can seek support recovery from GI DI Iris Acquisition Inc., and </w:t>
      </w:r>
      <w:r w:rsidR="00F66CE6">
        <w:t xml:space="preserve">that </w:t>
      </w:r>
      <w:r w:rsidR="00653272">
        <w:t>it will ensure that they meet all RBE obligations)</w:t>
      </w:r>
      <w:r w:rsidR="001A3629">
        <w:t>)</w:t>
      </w:r>
      <w:r w:rsidR="00653272">
        <w:t>.</w:t>
      </w:r>
    </w:p>
  </w:footnote>
  <w:footnote w:id="105">
    <w:p w:rsidR="001A3629" w14:paraId="53371191" w14:textId="5300858E">
      <w:pPr>
        <w:pStyle w:val="FootnoteText"/>
      </w:pPr>
      <w:r>
        <w:rPr>
          <w:rStyle w:val="FootnoteReference"/>
        </w:rPr>
        <w:footnoteRef/>
      </w:r>
      <w:r>
        <w:t xml:space="preserve"> 47 U.S.C. § 214(e); 47 CFR § 54.101.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6A3A7B3" w14:textId="24B04668">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r w:rsidR="00133F33">
      <w:rPr>
        <w:spacing w:val="-2"/>
      </w:rPr>
      <w:t>DADA</w:t>
    </w:r>
  </w:p>
  <w:p w:rsidR="009838BC" w:rsidRPr="009838BC" w:rsidP="009838BC" w14:paraId="1F65380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E4A414" w14:textId="2AFE9325">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stroked="f">
          <v:textbox>
            <w:txbxContent>
              <w:p w:rsidR="009838BC" w:rsidRPr="000F0CB5" w:rsidP="009838BC" w14:paraId="1C85E3E0" w14:textId="77777777">
                <w:pPr>
                  <w:rPr>
                    <w:rFonts w:ascii="Arial" w:hAnsi="Arial"/>
                    <w:b/>
                  </w:rPr>
                </w:pPr>
                <w:r w:rsidRPr="000F0CB5">
                  <w:rPr>
                    <w:rFonts w:ascii="Arial" w:hAnsi="Arial"/>
                    <w:b/>
                  </w:rPr>
                  <w:t>Federal Communications Commission</w:t>
                </w:r>
              </w:p>
              <w:p w:rsidR="009838BC" w:rsidRPr="000F0CB5" w:rsidP="009838BC" w14:paraId="5783D5ED" w14:textId="77777777">
                <w:pPr>
                  <w:rPr>
                    <w:rFonts w:ascii="Arial" w:hAnsi="Arial"/>
                    <w:b/>
                  </w:rPr>
                </w:pPr>
                <w:r w:rsidRPr="000F0CB5">
                  <w:rPr>
                    <w:rFonts w:ascii="Arial" w:hAnsi="Arial"/>
                    <w:b/>
                  </w:rPr>
                  <w:t>4</w:t>
                </w:r>
                <w:r w:rsidR="008C5D18">
                  <w:rPr>
                    <w:rFonts w:ascii="Arial" w:hAnsi="Arial"/>
                    <w:b/>
                  </w:rPr>
                  <w:t>5 L St., N.E.</w:t>
                </w:r>
              </w:p>
              <w:p w:rsidR="009838BC" w:rsidP="009838BC" w14:paraId="77B2BEDC" w14:textId="77777777">
                <w:pPr>
                  <w:rPr>
                    <w:rFonts w:ascii="Arial" w:hAnsi="Arial"/>
                    <w:sz w:val="24"/>
                  </w:rPr>
                </w:pPr>
                <w:r w:rsidRPr="000F0CB5">
                  <w:rPr>
                    <w:rFonts w:ascii="Arial" w:hAnsi="Arial"/>
                    <w:b/>
                  </w:rPr>
                  <w:t>Washington, D.C. 20554</w:t>
                </w:r>
              </w:p>
            </w:txbxContent>
          </v:textbox>
          <w10:wrap anchorx="margin"/>
        </v:shape>
      </w:pict>
    </w:r>
    <w:r w:rsidR="00EE685E">
      <w:rPr>
        <w:noProof/>
      </w:rPr>
      <w:drawing>
        <wp:anchor distT="0" distB="0" distL="114300" distR="114300" simplePos="0" relativeHeight="25165926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1BE86421" w:rsidR="00AB5832">
      <w:rPr>
        <w:rFonts w:ascii="Arial" w:hAnsi="Arial" w:cs="Arial"/>
        <w:b/>
        <w:sz w:val="96"/>
        <w:szCs w:val="96"/>
      </w:rPr>
      <w:t>PUBLIC NOTICE</w:t>
    </w:r>
  </w:p>
  <w:p w:rsidR="009838BC" w:rsidRPr="00357D50" w:rsidP="009838BC" w14:paraId="3177775F" w14:textId="32AA450B">
    <w:pPr>
      <w:spacing w:before="40"/>
      <w:rPr>
        <w:rFonts w:ascii="Arial" w:hAnsi="Arial" w:cs="Arial"/>
        <w:b/>
        <w:sz w:val="96"/>
      </w:rPr>
    </w:pPr>
    <w:r>
      <w:rPr>
        <w:noProof/>
      </w:rPr>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0288" from="1250.4pt,56.7pt" to="1718.4pt,56.7pt" o:allowincell="f">
          <w10:wrap anchorx="margin"/>
        </v:line>
      </w:pict>
    </w:r>
    <w:r>
      <w:rPr>
        <w:noProof/>
      </w:rPr>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1312" o:allowincell="f" stroked="f">
          <v:textbox inset=",0,,0">
            <w:txbxContent>
              <w:p w:rsidR="009838BC" w:rsidP="009838BC" w14:paraId="7EED3D7E" w14:textId="77777777">
                <w:pPr>
                  <w:spacing w:before="40"/>
                  <w:jc w:val="right"/>
                  <w:rPr>
                    <w:rFonts w:ascii="Arial" w:hAnsi="Arial"/>
                    <w:b/>
                    <w:sz w:val="16"/>
                  </w:rPr>
                </w:pPr>
                <w:r>
                  <w:rPr>
                    <w:rFonts w:ascii="Arial" w:hAnsi="Arial"/>
                    <w:b/>
                    <w:sz w:val="16"/>
                  </w:rPr>
                  <w:t>News Media Information 202 / 418-0500</w:t>
                </w:r>
              </w:p>
              <w:p w:rsidR="009838BC" w:rsidP="009838BC" w14:paraId="6E5D05F4"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paraId="01BA5329" w14:textId="77777777">
                <w:pPr>
                  <w:jc w:val="right"/>
                </w:pPr>
              </w:p>
            </w:txbxContent>
          </v:textbox>
        </v:shape>
      </w:pict>
    </w:r>
  </w:p>
  <w:p w:rsidR="006F7393" w:rsidRPr="009838BC" w:rsidP="009838BC" w14:paraId="4F2B44C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FA"/>
    <w:rsid w:val="0000072B"/>
    <w:rsid w:val="00001B43"/>
    <w:rsid w:val="00003948"/>
    <w:rsid w:val="00004AE4"/>
    <w:rsid w:val="00004B0C"/>
    <w:rsid w:val="00004CA5"/>
    <w:rsid w:val="0000522C"/>
    <w:rsid w:val="00005F6F"/>
    <w:rsid w:val="000068BA"/>
    <w:rsid w:val="0000693C"/>
    <w:rsid w:val="000072CE"/>
    <w:rsid w:val="000100E5"/>
    <w:rsid w:val="000116E1"/>
    <w:rsid w:val="000121A1"/>
    <w:rsid w:val="00012DF0"/>
    <w:rsid w:val="0001350B"/>
    <w:rsid w:val="00013A30"/>
    <w:rsid w:val="00013A8B"/>
    <w:rsid w:val="00014676"/>
    <w:rsid w:val="00014B80"/>
    <w:rsid w:val="0001508B"/>
    <w:rsid w:val="00015B33"/>
    <w:rsid w:val="00016146"/>
    <w:rsid w:val="00020E26"/>
    <w:rsid w:val="00020EE0"/>
    <w:rsid w:val="00020F00"/>
    <w:rsid w:val="00021128"/>
    <w:rsid w:val="00021445"/>
    <w:rsid w:val="00022328"/>
    <w:rsid w:val="00023702"/>
    <w:rsid w:val="00023A26"/>
    <w:rsid w:val="00023BC7"/>
    <w:rsid w:val="00024DBC"/>
    <w:rsid w:val="000251AD"/>
    <w:rsid w:val="000257E6"/>
    <w:rsid w:val="00025A76"/>
    <w:rsid w:val="00026295"/>
    <w:rsid w:val="00026533"/>
    <w:rsid w:val="000265A4"/>
    <w:rsid w:val="00026C9F"/>
    <w:rsid w:val="00031276"/>
    <w:rsid w:val="000314AF"/>
    <w:rsid w:val="00031B0C"/>
    <w:rsid w:val="00031F6B"/>
    <w:rsid w:val="000329C4"/>
    <w:rsid w:val="0003360D"/>
    <w:rsid w:val="00033822"/>
    <w:rsid w:val="00035CA2"/>
    <w:rsid w:val="00036039"/>
    <w:rsid w:val="00036519"/>
    <w:rsid w:val="000369A2"/>
    <w:rsid w:val="00037987"/>
    <w:rsid w:val="00037D73"/>
    <w:rsid w:val="00037F90"/>
    <w:rsid w:val="0004035B"/>
    <w:rsid w:val="0004282C"/>
    <w:rsid w:val="00042D5B"/>
    <w:rsid w:val="00043271"/>
    <w:rsid w:val="00043F44"/>
    <w:rsid w:val="00044033"/>
    <w:rsid w:val="00044930"/>
    <w:rsid w:val="00044B7C"/>
    <w:rsid w:val="00044F6D"/>
    <w:rsid w:val="00046459"/>
    <w:rsid w:val="00047A93"/>
    <w:rsid w:val="00050535"/>
    <w:rsid w:val="00050FF0"/>
    <w:rsid w:val="00052952"/>
    <w:rsid w:val="00052B29"/>
    <w:rsid w:val="00054303"/>
    <w:rsid w:val="00054A2C"/>
    <w:rsid w:val="00054C0C"/>
    <w:rsid w:val="00055C03"/>
    <w:rsid w:val="0005643D"/>
    <w:rsid w:val="00056AA5"/>
    <w:rsid w:val="00056AE4"/>
    <w:rsid w:val="00056D2A"/>
    <w:rsid w:val="00057CA1"/>
    <w:rsid w:val="00061EE2"/>
    <w:rsid w:val="00061FFB"/>
    <w:rsid w:val="000624E4"/>
    <w:rsid w:val="000635A3"/>
    <w:rsid w:val="00063E6D"/>
    <w:rsid w:val="00064299"/>
    <w:rsid w:val="000651BA"/>
    <w:rsid w:val="00065405"/>
    <w:rsid w:val="00065852"/>
    <w:rsid w:val="000658AB"/>
    <w:rsid w:val="00070A46"/>
    <w:rsid w:val="000737E6"/>
    <w:rsid w:val="00073CB1"/>
    <w:rsid w:val="00073CD4"/>
    <w:rsid w:val="00074080"/>
    <w:rsid w:val="00075AD2"/>
    <w:rsid w:val="00076847"/>
    <w:rsid w:val="00077358"/>
    <w:rsid w:val="00077BAF"/>
    <w:rsid w:val="00077FDE"/>
    <w:rsid w:val="000805B2"/>
    <w:rsid w:val="00081829"/>
    <w:rsid w:val="0008236D"/>
    <w:rsid w:val="0008300F"/>
    <w:rsid w:val="00084914"/>
    <w:rsid w:val="0008501D"/>
    <w:rsid w:val="0008604E"/>
    <w:rsid w:val="00086547"/>
    <w:rsid w:val="00086A73"/>
    <w:rsid w:val="00086BB1"/>
    <w:rsid w:val="000875BF"/>
    <w:rsid w:val="00087A2D"/>
    <w:rsid w:val="000930BF"/>
    <w:rsid w:val="000930CA"/>
    <w:rsid w:val="00093216"/>
    <w:rsid w:val="00093A25"/>
    <w:rsid w:val="00094C5A"/>
    <w:rsid w:val="00094DB1"/>
    <w:rsid w:val="00095698"/>
    <w:rsid w:val="00096D8C"/>
    <w:rsid w:val="000A0A09"/>
    <w:rsid w:val="000A0B2C"/>
    <w:rsid w:val="000A0B31"/>
    <w:rsid w:val="000A199B"/>
    <w:rsid w:val="000A2350"/>
    <w:rsid w:val="000A25DE"/>
    <w:rsid w:val="000A2ED0"/>
    <w:rsid w:val="000A3401"/>
    <w:rsid w:val="000A34FA"/>
    <w:rsid w:val="000A4200"/>
    <w:rsid w:val="000A49DE"/>
    <w:rsid w:val="000A514A"/>
    <w:rsid w:val="000A5287"/>
    <w:rsid w:val="000A5734"/>
    <w:rsid w:val="000A6453"/>
    <w:rsid w:val="000A6454"/>
    <w:rsid w:val="000A719C"/>
    <w:rsid w:val="000A7928"/>
    <w:rsid w:val="000B1B51"/>
    <w:rsid w:val="000B1C26"/>
    <w:rsid w:val="000B2582"/>
    <w:rsid w:val="000B2DFC"/>
    <w:rsid w:val="000B32AE"/>
    <w:rsid w:val="000B5226"/>
    <w:rsid w:val="000B5E26"/>
    <w:rsid w:val="000B7E0F"/>
    <w:rsid w:val="000C0B65"/>
    <w:rsid w:val="000C170E"/>
    <w:rsid w:val="000C2156"/>
    <w:rsid w:val="000C234E"/>
    <w:rsid w:val="000C4E81"/>
    <w:rsid w:val="000C5EF2"/>
    <w:rsid w:val="000C6CCE"/>
    <w:rsid w:val="000C762B"/>
    <w:rsid w:val="000D049C"/>
    <w:rsid w:val="000D061F"/>
    <w:rsid w:val="000D1594"/>
    <w:rsid w:val="000D21D0"/>
    <w:rsid w:val="000D2362"/>
    <w:rsid w:val="000D24FA"/>
    <w:rsid w:val="000D285F"/>
    <w:rsid w:val="000D2D5A"/>
    <w:rsid w:val="000D425C"/>
    <w:rsid w:val="000D43E3"/>
    <w:rsid w:val="000D4464"/>
    <w:rsid w:val="000D5C01"/>
    <w:rsid w:val="000D6336"/>
    <w:rsid w:val="000D65F8"/>
    <w:rsid w:val="000D66FC"/>
    <w:rsid w:val="000D7059"/>
    <w:rsid w:val="000D79D7"/>
    <w:rsid w:val="000D7BF5"/>
    <w:rsid w:val="000D7EDC"/>
    <w:rsid w:val="000E042F"/>
    <w:rsid w:val="000E1B74"/>
    <w:rsid w:val="000E3365"/>
    <w:rsid w:val="000E3D42"/>
    <w:rsid w:val="000E3E15"/>
    <w:rsid w:val="000E5884"/>
    <w:rsid w:val="000E62A7"/>
    <w:rsid w:val="000E6601"/>
    <w:rsid w:val="000E78A7"/>
    <w:rsid w:val="000E7B0B"/>
    <w:rsid w:val="000E7D3D"/>
    <w:rsid w:val="000F0CB5"/>
    <w:rsid w:val="000F106F"/>
    <w:rsid w:val="000F2642"/>
    <w:rsid w:val="000F3340"/>
    <w:rsid w:val="000F5321"/>
    <w:rsid w:val="000F5A6B"/>
    <w:rsid w:val="000F5BA5"/>
    <w:rsid w:val="000F7A10"/>
    <w:rsid w:val="000F7AFB"/>
    <w:rsid w:val="00100F58"/>
    <w:rsid w:val="001019F8"/>
    <w:rsid w:val="00102599"/>
    <w:rsid w:val="00104D1A"/>
    <w:rsid w:val="00105594"/>
    <w:rsid w:val="0010577B"/>
    <w:rsid w:val="0010652D"/>
    <w:rsid w:val="001100ED"/>
    <w:rsid w:val="0011067B"/>
    <w:rsid w:val="00110703"/>
    <w:rsid w:val="00110841"/>
    <w:rsid w:val="00110D05"/>
    <w:rsid w:val="00111F4E"/>
    <w:rsid w:val="00112866"/>
    <w:rsid w:val="00112C60"/>
    <w:rsid w:val="00113152"/>
    <w:rsid w:val="00113741"/>
    <w:rsid w:val="00113C01"/>
    <w:rsid w:val="0011430F"/>
    <w:rsid w:val="00114D8E"/>
    <w:rsid w:val="00116919"/>
    <w:rsid w:val="00117A3F"/>
    <w:rsid w:val="00120E76"/>
    <w:rsid w:val="00121A2C"/>
    <w:rsid w:val="00122BD5"/>
    <w:rsid w:val="00124081"/>
    <w:rsid w:val="00125B49"/>
    <w:rsid w:val="0012675C"/>
    <w:rsid w:val="001268B2"/>
    <w:rsid w:val="00127766"/>
    <w:rsid w:val="0013026C"/>
    <w:rsid w:val="00130890"/>
    <w:rsid w:val="0013107E"/>
    <w:rsid w:val="0013223F"/>
    <w:rsid w:val="00132A8E"/>
    <w:rsid w:val="001332A5"/>
    <w:rsid w:val="00133F33"/>
    <w:rsid w:val="001341C5"/>
    <w:rsid w:val="0013493B"/>
    <w:rsid w:val="0013571C"/>
    <w:rsid w:val="001359C0"/>
    <w:rsid w:val="00135CBF"/>
    <w:rsid w:val="0013694B"/>
    <w:rsid w:val="00136BF6"/>
    <w:rsid w:val="00137084"/>
    <w:rsid w:val="00137807"/>
    <w:rsid w:val="0014075E"/>
    <w:rsid w:val="00140A58"/>
    <w:rsid w:val="00140D5A"/>
    <w:rsid w:val="00141E57"/>
    <w:rsid w:val="00142838"/>
    <w:rsid w:val="0014346D"/>
    <w:rsid w:val="00143908"/>
    <w:rsid w:val="00144126"/>
    <w:rsid w:val="00144732"/>
    <w:rsid w:val="00145870"/>
    <w:rsid w:val="00146035"/>
    <w:rsid w:val="001468AB"/>
    <w:rsid w:val="001473B8"/>
    <w:rsid w:val="001524C8"/>
    <w:rsid w:val="00152D53"/>
    <w:rsid w:val="00152F0C"/>
    <w:rsid w:val="001541A8"/>
    <w:rsid w:val="001547AA"/>
    <w:rsid w:val="0015490A"/>
    <w:rsid w:val="00154B6D"/>
    <w:rsid w:val="00154DE9"/>
    <w:rsid w:val="0015502A"/>
    <w:rsid w:val="00155B5A"/>
    <w:rsid w:val="0015600E"/>
    <w:rsid w:val="0015616C"/>
    <w:rsid w:val="001569B1"/>
    <w:rsid w:val="00157C16"/>
    <w:rsid w:val="00160172"/>
    <w:rsid w:val="001622A2"/>
    <w:rsid w:val="00162A3E"/>
    <w:rsid w:val="00163112"/>
    <w:rsid w:val="00164EF4"/>
    <w:rsid w:val="001652F4"/>
    <w:rsid w:val="00165492"/>
    <w:rsid w:val="00166A47"/>
    <w:rsid w:val="00167D4D"/>
    <w:rsid w:val="00170BE4"/>
    <w:rsid w:val="00170F70"/>
    <w:rsid w:val="00172DFA"/>
    <w:rsid w:val="001738AF"/>
    <w:rsid w:val="001753B1"/>
    <w:rsid w:val="0017572C"/>
    <w:rsid w:val="00177D3A"/>
    <w:rsid w:val="0018034E"/>
    <w:rsid w:val="00182565"/>
    <w:rsid w:val="00182970"/>
    <w:rsid w:val="00183843"/>
    <w:rsid w:val="00184008"/>
    <w:rsid w:val="0018447B"/>
    <w:rsid w:val="001844AA"/>
    <w:rsid w:val="001848B0"/>
    <w:rsid w:val="001859F7"/>
    <w:rsid w:val="0019092F"/>
    <w:rsid w:val="00190AD7"/>
    <w:rsid w:val="00190C2F"/>
    <w:rsid w:val="00190F3C"/>
    <w:rsid w:val="001920BB"/>
    <w:rsid w:val="001931BD"/>
    <w:rsid w:val="001938B8"/>
    <w:rsid w:val="00193DEB"/>
    <w:rsid w:val="00194D91"/>
    <w:rsid w:val="00195F75"/>
    <w:rsid w:val="00196625"/>
    <w:rsid w:val="00196761"/>
    <w:rsid w:val="001973A4"/>
    <w:rsid w:val="001979D9"/>
    <w:rsid w:val="00197A72"/>
    <w:rsid w:val="00197A8C"/>
    <w:rsid w:val="001A0457"/>
    <w:rsid w:val="001A071A"/>
    <w:rsid w:val="001A22F3"/>
    <w:rsid w:val="001A2637"/>
    <w:rsid w:val="001A3500"/>
    <w:rsid w:val="001A35E0"/>
    <w:rsid w:val="001A3629"/>
    <w:rsid w:val="001A3735"/>
    <w:rsid w:val="001A46A2"/>
    <w:rsid w:val="001A4F19"/>
    <w:rsid w:val="001A573F"/>
    <w:rsid w:val="001A5851"/>
    <w:rsid w:val="001A5EB3"/>
    <w:rsid w:val="001A6361"/>
    <w:rsid w:val="001A6FE3"/>
    <w:rsid w:val="001A75D6"/>
    <w:rsid w:val="001B01A1"/>
    <w:rsid w:val="001B0C38"/>
    <w:rsid w:val="001B3CBD"/>
    <w:rsid w:val="001B3CE8"/>
    <w:rsid w:val="001B3FBE"/>
    <w:rsid w:val="001B433A"/>
    <w:rsid w:val="001B4D7C"/>
    <w:rsid w:val="001B50C3"/>
    <w:rsid w:val="001B5F4B"/>
    <w:rsid w:val="001C063F"/>
    <w:rsid w:val="001C0DFD"/>
    <w:rsid w:val="001C16CD"/>
    <w:rsid w:val="001C1773"/>
    <w:rsid w:val="001C20EE"/>
    <w:rsid w:val="001C2305"/>
    <w:rsid w:val="001C4480"/>
    <w:rsid w:val="001C4AD0"/>
    <w:rsid w:val="001C516F"/>
    <w:rsid w:val="001C52D8"/>
    <w:rsid w:val="001C560F"/>
    <w:rsid w:val="001C5E07"/>
    <w:rsid w:val="001C6450"/>
    <w:rsid w:val="001D0372"/>
    <w:rsid w:val="001D05D2"/>
    <w:rsid w:val="001D06F7"/>
    <w:rsid w:val="001D070E"/>
    <w:rsid w:val="001D11C0"/>
    <w:rsid w:val="001D149A"/>
    <w:rsid w:val="001D1C4C"/>
    <w:rsid w:val="001D23C1"/>
    <w:rsid w:val="001D35C5"/>
    <w:rsid w:val="001D4DCB"/>
    <w:rsid w:val="001D5D80"/>
    <w:rsid w:val="001D5F4A"/>
    <w:rsid w:val="001D659A"/>
    <w:rsid w:val="001D6BCF"/>
    <w:rsid w:val="001E01CA"/>
    <w:rsid w:val="001E3A45"/>
    <w:rsid w:val="001E44DE"/>
    <w:rsid w:val="001E541D"/>
    <w:rsid w:val="001E6C3E"/>
    <w:rsid w:val="001E75AD"/>
    <w:rsid w:val="001F058A"/>
    <w:rsid w:val="001F0592"/>
    <w:rsid w:val="001F07AF"/>
    <w:rsid w:val="001F07ED"/>
    <w:rsid w:val="001F1CB2"/>
    <w:rsid w:val="001F3CE1"/>
    <w:rsid w:val="001F44D9"/>
    <w:rsid w:val="001F4B6E"/>
    <w:rsid w:val="001F5256"/>
    <w:rsid w:val="001F57C3"/>
    <w:rsid w:val="001F5C0A"/>
    <w:rsid w:val="001F7031"/>
    <w:rsid w:val="0020070A"/>
    <w:rsid w:val="00200862"/>
    <w:rsid w:val="002008E2"/>
    <w:rsid w:val="00200BDA"/>
    <w:rsid w:val="00200C8C"/>
    <w:rsid w:val="0020154E"/>
    <w:rsid w:val="00201651"/>
    <w:rsid w:val="00201C9B"/>
    <w:rsid w:val="00203253"/>
    <w:rsid w:val="00203846"/>
    <w:rsid w:val="00204A6E"/>
    <w:rsid w:val="00206077"/>
    <w:rsid w:val="002060D9"/>
    <w:rsid w:val="0020681A"/>
    <w:rsid w:val="00207477"/>
    <w:rsid w:val="002078DE"/>
    <w:rsid w:val="002079E0"/>
    <w:rsid w:val="002117C6"/>
    <w:rsid w:val="0021218D"/>
    <w:rsid w:val="00212868"/>
    <w:rsid w:val="00212C99"/>
    <w:rsid w:val="002139B2"/>
    <w:rsid w:val="00215E8C"/>
    <w:rsid w:val="0021699A"/>
    <w:rsid w:val="00216B5D"/>
    <w:rsid w:val="00217C14"/>
    <w:rsid w:val="00217C82"/>
    <w:rsid w:val="002202CD"/>
    <w:rsid w:val="002206F5"/>
    <w:rsid w:val="00220FF7"/>
    <w:rsid w:val="00222056"/>
    <w:rsid w:val="00222183"/>
    <w:rsid w:val="00222BE0"/>
    <w:rsid w:val="0022384C"/>
    <w:rsid w:val="00224767"/>
    <w:rsid w:val="00225068"/>
    <w:rsid w:val="00225852"/>
    <w:rsid w:val="00225F44"/>
    <w:rsid w:val="00226457"/>
    <w:rsid w:val="00226822"/>
    <w:rsid w:val="00230773"/>
    <w:rsid w:val="002313B1"/>
    <w:rsid w:val="00231B56"/>
    <w:rsid w:val="002334CD"/>
    <w:rsid w:val="00234086"/>
    <w:rsid w:val="00234139"/>
    <w:rsid w:val="00234BBD"/>
    <w:rsid w:val="00234EC6"/>
    <w:rsid w:val="002353C2"/>
    <w:rsid w:val="00235CAB"/>
    <w:rsid w:val="00236552"/>
    <w:rsid w:val="0023776E"/>
    <w:rsid w:val="00237A6A"/>
    <w:rsid w:val="00237B5F"/>
    <w:rsid w:val="0024502A"/>
    <w:rsid w:val="00245A76"/>
    <w:rsid w:val="00246B59"/>
    <w:rsid w:val="00247E00"/>
    <w:rsid w:val="00250214"/>
    <w:rsid w:val="0025082C"/>
    <w:rsid w:val="00250FE1"/>
    <w:rsid w:val="002517DA"/>
    <w:rsid w:val="00251ACF"/>
    <w:rsid w:val="00253579"/>
    <w:rsid w:val="002537B0"/>
    <w:rsid w:val="00254B11"/>
    <w:rsid w:val="00254E20"/>
    <w:rsid w:val="002575B6"/>
    <w:rsid w:val="00257B2A"/>
    <w:rsid w:val="0026024B"/>
    <w:rsid w:val="00260594"/>
    <w:rsid w:val="002613EF"/>
    <w:rsid w:val="002615D5"/>
    <w:rsid w:val="002647AE"/>
    <w:rsid w:val="00264B12"/>
    <w:rsid w:val="002655BA"/>
    <w:rsid w:val="002656A5"/>
    <w:rsid w:val="00266803"/>
    <w:rsid w:val="00266BE5"/>
    <w:rsid w:val="00266D58"/>
    <w:rsid w:val="00267004"/>
    <w:rsid w:val="00267391"/>
    <w:rsid w:val="002674A0"/>
    <w:rsid w:val="00267B03"/>
    <w:rsid w:val="002714F8"/>
    <w:rsid w:val="00271ADC"/>
    <w:rsid w:val="00272292"/>
    <w:rsid w:val="0027260D"/>
    <w:rsid w:val="00272AEB"/>
    <w:rsid w:val="00272C73"/>
    <w:rsid w:val="0027478B"/>
    <w:rsid w:val="002768BC"/>
    <w:rsid w:val="00276C89"/>
    <w:rsid w:val="00276D20"/>
    <w:rsid w:val="0028215E"/>
    <w:rsid w:val="00282B30"/>
    <w:rsid w:val="0028321C"/>
    <w:rsid w:val="002837A8"/>
    <w:rsid w:val="00285017"/>
    <w:rsid w:val="002853DC"/>
    <w:rsid w:val="00293CA6"/>
    <w:rsid w:val="00293E37"/>
    <w:rsid w:val="00295423"/>
    <w:rsid w:val="00295BDC"/>
    <w:rsid w:val="00295C41"/>
    <w:rsid w:val="00295DD2"/>
    <w:rsid w:val="00295E60"/>
    <w:rsid w:val="002978EE"/>
    <w:rsid w:val="00297D66"/>
    <w:rsid w:val="002A01C2"/>
    <w:rsid w:val="002A0EDC"/>
    <w:rsid w:val="002A101D"/>
    <w:rsid w:val="002A1D47"/>
    <w:rsid w:val="002A2D2E"/>
    <w:rsid w:val="002A32E1"/>
    <w:rsid w:val="002A5366"/>
    <w:rsid w:val="002A5554"/>
    <w:rsid w:val="002A656C"/>
    <w:rsid w:val="002A6D6A"/>
    <w:rsid w:val="002A7B65"/>
    <w:rsid w:val="002B0207"/>
    <w:rsid w:val="002B105E"/>
    <w:rsid w:val="002B1E3E"/>
    <w:rsid w:val="002B28A6"/>
    <w:rsid w:val="002B2F76"/>
    <w:rsid w:val="002B6B7A"/>
    <w:rsid w:val="002B70B3"/>
    <w:rsid w:val="002B7120"/>
    <w:rsid w:val="002B7628"/>
    <w:rsid w:val="002C0912"/>
    <w:rsid w:val="002C0DB3"/>
    <w:rsid w:val="002C25C4"/>
    <w:rsid w:val="002C3967"/>
    <w:rsid w:val="002C5F00"/>
    <w:rsid w:val="002C72D2"/>
    <w:rsid w:val="002C7A90"/>
    <w:rsid w:val="002C7CBD"/>
    <w:rsid w:val="002D063E"/>
    <w:rsid w:val="002D1292"/>
    <w:rsid w:val="002D4642"/>
    <w:rsid w:val="002D4701"/>
    <w:rsid w:val="002D4C3A"/>
    <w:rsid w:val="002D62DD"/>
    <w:rsid w:val="002D66F6"/>
    <w:rsid w:val="002D7B8C"/>
    <w:rsid w:val="002E014A"/>
    <w:rsid w:val="002E02E3"/>
    <w:rsid w:val="002E0AEF"/>
    <w:rsid w:val="002E0BB1"/>
    <w:rsid w:val="002E1427"/>
    <w:rsid w:val="002E142A"/>
    <w:rsid w:val="002E19B2"/>
    <w:rsid w:val="002E2925"/>
    <w:rsid w:val="002E2F68"/>
    <w:rsid w:val="002E3328"/>
    <w:rsid w:val="002E3568"/>
    <w:rsid w:val="002E62F1"/>
    <w:rsid w:val="002E6E74"/>
    <w:rsid w:val="002E7399"/>
    <w:rsid w:val="002E73D3"/>
    <w:rsid w:val="002E77A2"/>
    <w:rsid w:val="002F0D62"/>
    <w:rsid w:val="002F1A05"/>
    <w:rsid w:val="002F1AFF"/>
    <w:rsid w:val="002F1F37"/>
    <w:rsid w:val="002F2194"/>
    <w:rsid w:val="002F2339"/>
    <w:rsid w:val="002F25D0"/>
    <w:rsid w:val="002F3C7C"/>
    <w:rsid w:val="002F5774"/>
    <w:rsid w:val="002F6138"/>
    <w:rsid w:val="002F6575"/>
    <w:rsid w:val="002F6AA7"/>
    <w:rsid w:val="002F7546"/>
    <w:rsid w:val="00300497"/>
    <w:rsid w:val="003008DF"/>
    <w:rsid w:val="003021BA"/>
    <w:rsid w:val="0030319B"/>
    <w:rsid w:val="00303B43"/>
    <w:rsid w:val="00304081"/>
    <w:rsid w:val="003049FC"/>
    <w:rsid w:val="00306C0E"/>
    <w:rsid w:val="00306CDE"/>
    <w:rsid w:val="00307030"/>
    <w:rsid w:val="003076F9"/>
    <w:rsid w:val="00307C9F"/>
    <w:rsid w:val="00307D64"/>
    <w:rsid w:val="003105A2"/>
    <w:rsid w:val="00310B36"/>
    <w:rsid w:val="00310D90"/>
    <w:rsid w:val="003117D9"/>
    <w:rsid w:val="0031328E"/>
    <w:rsid w:val="00313CDC"/>
    <w:rsid w:val="00314A08"/>
    <w:rsid w:val="003162C1"/>
    <w:rsid w:val="00316CC7"/>
    <w:rsid w:val="00317FD5"/>
    <w:rsid w:val="00321BF5"/>
    <w:rsid w:val="0032232A"/>
    <w:rsid w:val="00322EE5"/>
    <w:rsid w:val="003230E2"/>
    <w:rsid w:val="00324210"/>
    <w:rsid w:val="00324A95"/>
    <w:rsid w:val="003250EB"/>
    <w:rsid w:val="0032526D"/>
    <w:rsid w:val="003257B3"/>
    <w:rsid w:val="00325898"/>
    <w:rsid w:val="00325D29"/>
    <w:rsid w:val="00326A6D"/>
    <w:rsid w:val="003275FD"/>
    <w:rsid w:val="00327DB6"/>
    <w:rsid w:val="003303BE"/>
    <w:rsid w:val="00330585"/>
    <w:rsid w:val="003310F5"/>
    <w:rsid w:val="00331320"/>
    <w:rsid w:val="003321A7"/>
    <w:rsid w:val="003348AF"/>
    <w:rsid w:val="00336573"/>
    <w:rsid w:val="0033674A"/>
    <w:rsid w:val="003401C1"/>
    <w:rsid w:val="00340D1A"/>
    <w:rsid w:val="00341740"/>
    <w:rsid w:val="00341BC4"/>
    <w:rsid w:val="00341E03"/>
    <w:rsid w:val="00342028"/>
    <w:rsid w:val="00342231"/>
    <w:rsid w:val="003426CF"/>
    <w:rsid w:val="003427A1"/>
    <w:rsid w:val="00342B14"/>
    <w:rsid w:val="0034350A"/>
    <w:rsid w:val="00343749"/>
    <w:rsid w:val="00343AC9"/>
    <w:rsid w:val="00343C93"/>
    <w:rsid w:val="00343FC6"/>
    <w:rsid w:val="00346979"/>
    <w:rsid w:val="0034720D"/>
    <w:rsid w:val="0035010A"/>
    <w:rsid w:val="003503F7"/>
    <w:rsid w:val="00351115"/>
    <w:rsid w:val="003513FD"/>
    <w:rsid w:val="00351A25"/>
    <w:rsid w:val="00352480"/>
    <w:rsid w:val="003524DD"/>
    <w:rsid w:val="00352752"/>
    <w:rsid w:val="00352FD3"/>
    <w:rsid w:val="003543D5"/>
    <w:rsid w:val="003554DE"/>
    <w:rsid w:val="00355D35"/>
    <w:rsid w:val="00356635"/>
    <w:rsid w:val="00357D50"/>
    <w:rsid w:val="003602A6"/>
    <w:rsid w:val="0036092B"/>
    <w:rsid w:val="00360D36"/>
    <w:rsid w:val="00360DC6"/>
    <w:rsid w:val="003630C6"/>
    <w:rsid w:val="00363C97"/>
    <w:rsid w:val="00364F86"/>
    <w:rsid w:val="00365812"/>
    <w:rsid w:val="00365C03"/>
    <w:rsid w:val="00365FE9"/>
    <w:rsid w:val="00366176"/>
    <w:rsid w:val="00366B3B"/>
    <w:rsid w:val="003672DD"/>
    <w:rsid w:val="003672E4"/>
    <w:rsid w:val="00370856"/>
    <w:rsid w:val="00370CB7"/>
    <w:rsid w:val="0037160D"/>
    <w:rsid w:val="00371E2E"/>
    <w:rsid w:val="00372F2B"/>
    <w:rsid w:val="00373B57"/>
    <w:rsid w:val="00374124"/>
    <w:rsid w:val="00374588"/>
    <w:rsid w:val="003749E7"/>
    <w:rsid w:val="00374A4B"/>
    <w:rsid w:val="00375612"/>
    <w:rsid w:val="003769DC"/>
    <w:rsid w:val="0037713E"/>
    <w:rsid w:val="00380244"/>
    <w:rsid w:val="0038232A"/>
    <w:rsid w:val="003831E6"/>
    <w:rsid w:val="0038381B"/>
    <w:rsid w:val="003864C5"/>
    <w:rsid w:val="003867DF"/>
    <w:rsid w:val="00387A00"/>
    <w:rsid w:val="00387A0B"/>
    <w:rsid w:val="00387E44"/>
    <w:rsid w:val="0039172B"/>
    <w:rsid w:val="003918B1"/>
    <w:rsid w:val="00391901"/>
    <w:rsid w:val="003925DC"/>
    <w:rsid w:val="0039341D"/>
    <w:rsid w:val="00393BD1"/>
    <w:rsid w:val="00394123"/>
    <w:rsid w:val="003941E1"/>
    <w:rsid w:val="003948F7"/>
    <w:rsid w:val="00394B07"/>
    <w:rsid w:val="00394D56"/>
    <w:rsid w:val="00395924"/>
    <w:rsid w:val="00396931"/>
    <w:rsid w:val="00397286"/>
    <w:rsid w:val="003976D0"/>
    <w:rsid w:val="00397845"/>
    <w:rsid w:val="00397DC8"/>
    <w:rsid w:val="003A091C"/>
    <w:rsid w:val="003A25FE"/>
    <w:rsid w:val="003A2BF3"/>
    <w:rsid w:val="003A30C1"/>
    <w:rsid w:val="003B0550"/>
    <w:rsid w:val="003B0E76"/>
    <w:rsid w:val="003B12B4"/>
    <w:rsid w:val="003B1AE1"/>
    <w:rsid w:val="003B2AF1"/>
    <w:rsid w:val="003B694F"/>
    <w:rsid w:val="003B6C24"/>
    <w:rsid w:val="003B703D"/>
    <w:rsid w:val="003B7B7D"/>
    <w:rsid w:val="003B7F22"/>
    <w:rsid w:val="003C0F75"/>
    <w:rsid w:val="003C211A"/>
    <w:rsid w:val="003C2C65"/>
    <w:rsid w:val="003C2EDA"/>
    <w:rsid w:val="003C3672"/>
    <w:rsid w:val="003C3A0E"/>
    <w:rsid w:val="003C3B45"/>
    <w:rsid w:val="003C3DA2"/>
    <w:rsid w:val="003C4F61"/>
    <w:rsid w:val="003C6994"/>
    <w:rsid w:val="003C742C"/>
    <w:rsid w:val="003C790C"/>
    <w:rsid w:val="003C7925"/>
    <w:rsid w:val="003D0DA2"/>
    <w:rsid w:val="003D2514"/>
    <w:rsid w:val="003D2BC9"/>
    <w:rsid w:val="003D30B3"/>
    <w:rsid w:val="003D346F"/>
    <w:rsid w:val="003D3A1C"/>
    <w:rsid w:val="003D3C04"/>
    <w:rsid w:val="003D67D5"/>
    <w:rsid w:val="003D7025"/>
    <w:rsid w:val="003E1481"/>
    <w:rsid w:val="003E1557"/>
    <w:rsid w:val="003E1F38"/>
    <w:rsid w:val="003E2EFE"/>
    <w:rsid w:val="003E302F"/>
    <w:rsid w:val="003E376F"/>
    <w:rsid w:val="003E3BD2"/>
    <w:rsid w:val="003E4EA4"/>
    <w:rsid w:val="003E5278"/>
    <w:rsid w:val="003E6C3A"/>
    <w:rsid w:val="003E7A34"/>
    <w:rsid w:val="003E7B6C"/>
    <w:rsid w:val="003E7F73"/>
    <w:rsid w:val="003F171C"/>
    <w:rsid w:val="003F1F10"/>
    <w:rsid w:val="003F33A3"/>
    <w:rsid w:val="003F35CB"/>
    <w:rsid w:val="003F3BD3"/>
    <w:rsid w:val="003F40CA"/>
    <w:rsid w:val="003F527F"/>
    <w:rsid w:val="003F541D"/>
    <w:rsid w:val="003F6F77"/>
    <w:rsid w:val="003F729D"/>
    <w:rsid w:val="003F7803"/>
    <w:rsid w:val="00400391"/>
    <w:rsid w:val="00400A85"/>
    <w:rsid w:val="00400B36"/>
    <w:rsid w:val="00400BB2"/>
    <w:rsid w:val="004010FB"/>
    <w:rsid w:val="00401D7C"/>
    <w:rsid w:val="00402612"/>
    <w:rsid w:val="00403249"/>
    <w:rsid w:val="00403A9D"/>
    <w:rsid w:val="00404228"/>
    <w:rsid w:val="00404C8C"/>
    <w:rsid w:val="00405B4D"/>
    <w:rsid w:val="004064CE"/>
    <w:rsid w:val="004067C5"/>
    <w:rsid w:val="00406C09"/>
    <w:rsid w:val="00407B0B"/>
    <w:rsid w:val="00411593"/>
    <w:rsid w:val="00411ADF"/>
    <w:rsid w:val="00412410"/>
    <w:rsid w:val="00412D8F"/>
    <w:rsid w:val="00412FC5"/>
    <w:rsid w:val="00413423"/>
    <w:rsid w:val="00413901"/>
    <w:rsid w:val="0041406D"/>
    <w:rsid w:val="004150EE"/>
    <w:rsid w:val="00417A15"/>
    <w:rsid w:val="004201DF"/>
    <w:rsid w:val="00420839"/>
    <w:rsid w:val="00420BD6"/>
    <w:rsid w:val="004210EE"/>
    <w:rsid w:val="004216EA"/>
    <w:rsid w:val="00422276"/>
    <w:rsid w:val="00422302"/>
    <w:rsid w:val="004226CB"/>
    <w:rsid w:val="004242F1"/>
    <w:rsid w:val="004250F3"/>
    <w:rsid w:val="00425487"/>
    <w:rsid w:val="004265FE"/>
    <w:rsid w:val="0042778A"/>
    <w:rsid w:val="00431394"/>
    <w:rsid w:val="00431CD4"/>
    <w:rsid w:val="00432B99"/>
    <w:rsid w:val="00432CA4"/>
    <w:rsid w:val="00433B16"/>
    <w:rsid w:val="00434321"/>
    <w:rsid w:val="0043512C"/>
    <w:rsid w:val="004352C3"/>
    <w:rsid w:val="00435751"/>
    <w:rsid w:val="00435A8D"/>
    <w:rsid w:val="00436577"/>
    <w:rsid w:val="004375BB"/>
    <w:rsid w:val="00437A8D"/>
    <w:rsid w:val="00437AA2"/>
    <w:rsid w:val="004414BC"/>
    <w:rsid w:val="00442ABE"/>
    <w:rsid w:val="00442DAC"/>
    <w:rsid w:val="00443296"/>
    <w:rsid w:val="004432A0"/>
    <w:rsid w:val="00444217"/>
    <w:rsid w:val="00444668"/>
    <w:rsid w:val="00444A69"/>
    <w:rsid w:val="00445A00"/>
    <w:rsid w:val="00445DEC"/>
    <w:rsid w:val="00445FF5"/>
    <w:rsid w:val="00446C97"/>
    <w:rsid w:val="00450BAE"/>
    <w:rsid w:val="00450EF1"/>
    <w:rsid w:val="004510E5"/>
    <w:rsid w:val="00451533"/>
    <w:rsid w:val="00451B0F"/>
    <w:rsid w:val="00451B7A"/>
    <w:rsid w:val="00452B84"/>
    <w:rsid w:val="00452DFC"/>
    <w:rsid w:val="004533C7"/>
    <w:rsid w:val="00455FE7"/>
    <w:rsid w:val="0045616C"/>
    <w:rsid w:val="00456626"/>
    <w:rsid w:val="00457390"/>
    <w:rsid w:val="0046014C"/>
    <w:rsid w:val="00460438"/>
    <w:rsid w:val="00460854"/>
    <w:rsid w:val="00460868"/>
    <w:rsid w:val="00461009"/>
    <w:rsid w:val="0046125F"/>
    <w:rsid w:val="0046283F"/>
    <w:rsid w:val="004629C3"/>
    <w:rsid w:val="00462B5B"/>
    <w:rsid w:val="004633B5"/>
    <w:rsid w:val="004633CC"/>
    <w:rsid w:val="004634D5"/>
    <w:rsid w:val="0046455E"/>
    <w:rsid w:val="00464719"/>
    <w:rsid w:val="00465225"/>
    <w:rsid w:val="004665AD"/>
    <w:rsid w:val="0046692F"/>
    <w:rsid w:val="00466A5E"/>
    <w:rsid w:val="00466B8E"/>
    <w:rsid w:val="00471700"/>
    <w:rsid w:val="00472D76"/>
    <w:rsid w:val="00473436"/>
    <w:rsid w:val="00473C70"/>
    <w:rsid w:val="00475583"/>
    <w:rsid w:val="00475605"/>
    <w:rsid w:val="00481ADF"/>
    <w:rsid w:val="00482807"/>
    <w:rsid w:val="004836B4"/>
    <w:rsid w:val="00484FB0"/>
    <w:rsid w:val="00485408"/>
    <w:rsid w:val="00485AAF"/>
    <w:rsid w:val="00487524"/>
    <w:rsid w:val="004876D1"/>
    <w:rsid w:val="00487B73"/>
    <w:rsid w:val="00487E06"/>
    <w:rsid w:val="004903BF"/>
    <w:rsid w:val="0049121D"/>
    <w:rsid w:val="004917A3"/>
    <w:rsid w:val="004925F1"/>
    <w:rsid w:val="00492CA3"/>
    <w:rsid w:val="004943CA"/>
    <w:rsid w:val="0049481A"/>
    <w:rsid w:val="00494FC2"/>
    <w:rsid w:val="004952B7"/>
    <w:rsid w:val="004954BE"/>
    <w:rsid w:val="00496106"/>
    <w:rsid w:val="004970AF"/>
    <w:rsid w:val="00497A8E"/>
    <w:rsid w:val="004A1735"/>
    <w:rsid w:val="004A228D"/>
    <w:rsid w:val="004A24EE"/>
    <w:rsid w:val="004A266C"/>
    <w:rsid w:val="004A4917"/>
    <w:rsid w:val="004A4DF9"/>
    <w:rsid w:val="004A56AE"/>
    <w:rsid w:val="004A591B"/>
    <w:rsid w:val="004A6559"/>
    <w:rsid w:val="004A76EA"/>
    <w:rsid w:val="004B091D"/>
    <w:rsid w:val="004B0AB6"/>
    <w:rsid w:val="004B1FA7"/>
    <w:rsid w:val="004B2C62"/>
    <w:rsid w:val="004B4857"/>
    <w:rsid w:val="004B49FF"/>
    <w:rsid w:val="004B5FF7"/>
    <w:rsid w:val="004B74E6"/>
    <w:rsid w:val="004B7560"/>
    <w:rsid w:val="004B7CB7"/>
    <w:rsid w:val="004C0AE9"/>
    <w:rsid w:val="004C0FAB"/>
    <w:rsid w:val="004C12D0"/>
    <w:rsid w:val="004C1EDB"/>
    <w:rsid w:val="004C27F9"/>
    <w:rsid w:val="004C2EE3"/>
    <w:rsid w:val="004C3112"/>
    <w:rsid w:val="004C34C7"/>
    <w:rsid w:val="004C3C59"/>
    <w:rsid w:val="004C52A9"/>
    <w:rsid w:val="004C6A6F"/>
    <w:rsid w:val="004C7B57"/>
    <w:rsid w:val="004D04B5"/>
    <w:rsid w:val="004D119D"/>
    <w:rsid w:val="004D1621"/>
    <w:rsid w:val="004D1DAC"/>
    <w:rsid w:val="004D22C3"/>
    <w:rsid w:val="004D2650"/>
    <w:rsid w:val="004D27ED"/>
    <w:rsid w:val="004D449B"/>
    <w:rsid w:val="004D4E12"/>
    <w:rsid w:val="004D5434"/>
    <w:rsid w:val="004D6598"/>
    <w:rsid w:val="004D67AF"/>
    <w:rsid w:val="004D6A80"/>
    <w:rsid w:val="004D6E22"/>
    <w:rsid w:val="004D6E68"/>
    <w:rsid w:val="004D7D41"/>
    <w:rsid w:val="004E09F3"/>
    <w:rsid w:val="004E0D76"/>
    <w:rsid w:val="004E1B98"/>
    <w:rsid w:val="004E1DB1"/>
    <w:rsid w:val="004E25FA"/>
    <w:rsid w:val="004E398E"/>
    <w:rsid w:val="004E3D83"/>
    <w:rsid w:val="004E3F88"/>
    <w:rsid w:val="004E3FDD"/>
    <w:rsid w:val="004E4A22"/>
    <w:rsid w:val="004E52F4"/>
    <w:rsid w:val="004E62DF"/>
    <w:rsid w:val="004E6E97"/>
    <w:rsid w:val="004F0082"/>
    <w:rsid w:val="004F01F2"/>
    <w:rsid w:val="004F0287"/>
    <w:rsid w:val="004F1A92"/>
    <w:rsid w:val="004F47C8"/>
    <w:rsid w:val="004F60B8"/>
    <w:rsid w:val="004F6D55"/>
    <w:rsid w:val="004F73EA"/>
    <w:rsid w:val="00500FC1"/>
    <w:rsid w:val="00502A93"/>
    <w:rsid w:val="00503447"/>
    <w:rsid w:val="00503499"/>
    <w:rsid w:val="005038E6"/>
    <w:rsid w:val="00503AF1"/>
    <w:rsid w:val="0050529C"/>
    <w:rsid w:val="00505914"/>
    <w:rsid w:val="00505C9D"/>
    <w:rsid w:val="00506150"/>
    <w:rsid w:val="00506154"/>
    <w:rsid w:val="00506244"/>
    <w:rsid w:val="00507D4F"/>
    <w:rsid w:val="00510027"/>
    <w:rsid w:val="00511968"/>
    <w:rsid w:val="00511CF8"/>
    <w:rsid w:val="00513010"/>
    <w:rsid w:val="005140DB"/>
    <w:rsid w:val="0051445C"/>
    <w:rsid w:val="00514E97"/>
    <w:rsid w:val="005155B3"/>
    <w:rsid w:val="00515AF8"/>
    <w:rsid w:val="00515E5B"/>
    <w:rsid w:val="00517F3E"/>
    <w:rsid w:val="005207EE"/>
    <w:rsid w:val="00521A6E"/>
    <w:rsid w:val="00522ACB"/>
    <w:rsid w:val="00523E13"/>
    <w:rsid w:val="005242BB"/>
    <w:rsid w:val="005244EB"/>
    <w:rsid w:val="00525F43"/>
    <w:rsid w:val="0052690B"/>
    <w:rsid w:val="00527282"/>
    <w:rsid w:val="005275D8"/>
    <w:rsid w:val="0053122A"/>
    <w:rsid w:val="005319B2"/>
    <w:rsid w:val="00531BA6"/>
    <w:rsid w:val="005337AE"/>
    <w:rsid w:val="00537321"/>
    <w:rsid w:val="00537761"/>
    <w:rsid w:val="005377A4"/>
    <w:rsid w:val="005403D0"/>
    <w:rsid w:val="00540DEE"/>
    <w:rsid w:val="00541351"/>
    <w:rsid w:val="00541534"/>
    <w:rsid w:val="00541609"/>
    <w:rsid w:val="0054212F"/>
    <w:rsid w:val="005423FB"/>
    <w:rsid w:val="00543033"/>
    <w:rsid w:val="00543900"/>
    <w:rsid w:val="00543DB9"/>
    <w:rsid w:val="00543FDB"/>
    <w:rsid w:val="0054447F"/>
    <w:rsid w:val="0054533A"/>
    <w:rsid w:val="00545696"/>
    <w:rsid w:val="0054574D"/>
    <w:rsid w:val="00545A25"/>
    <w:rsid w:val="00545ED6"/>
    <w:rsid w:val="0054672B"/>
    <w:rsid w:val="005467D3"/>
    <w:rsid w:val="005474BA"/>
    <w:rsid w:val="0054771D"/>
    <w:rsid w:val="00550294"/>
    <w:rsid w:val="0055091A"/>
    <w:rsid w:val="00551DBD"/>
    <w:rsid w:val="005524FA"/>
    <w:rsid w:val="00552994"/>
    <w:rsid w:val="00552AD7"/>
    <w:rsid w:val="005535FB"/>
    <w:rsid w:val="00554FA4"/>
    <w:rsid w:val="0055614C"/>
    <w:rsid w:val="00556A82"/>
    <w:rsid w:val="005570C3"/>
    <w:rsid w:val="0055713F"/>
    <w:rsid w:val="00560A4A"/>
    <w:rsid w:val="00560DA3"/>
    <w:rsid w:val="005614D1"/>
    <w:rsid w:val="005614FA"/>
    <w:rsid w:val="005617D7"/>
    <w:rsid w:val="00561843"/>
    <w:rsid w:val="00561898"/>
    <w:rsid w:val="00562709"/>
    <w:rsid w:val="005629D6"/>
    <w:rsid w:val="00562A49"/>
    <w:rsid w:val="00562CF5"/>
    <w:rsid w:val="00564E6C"/>
    <w:rsid w:val="00565374"/>
    <w:rsid w:val="00566724"/>
    <w:rsid w:val="00566892"/>
    <w:rsid w:val="00566CAD"/>
    <w:rsid w:val="00567083"/>
    <w:rsid w:val="00567191"/>
    <w:rsid w:val="005671DC"/>
    <w:rsid w:val="00567245"/>
    <w:rsid w:val="00567508"/>
    <w:rsid w:val="0056772C"/>
    <w:rsid w:val="0057016F"/>
    <w:rsid w:val="00570C1F"/>
    <w:rsid w:val="00572DA2"/>
    <w:rsid w:val="0057328A"/>
    <w:rsid w:val="00575933"/>
    <w:rsid w:val="00575F09"/>
    <w:rsid w:val="005761D6"/>
    <w:rsid w:val="00577322"/>
    <w:rsid w:val="005778FA"/>
    <w:rsid w:val="00577FFE"/>
    <w:rsid w:val="00580FEC"/>
    <w:rsid w:val="00581431"/>
    <w:rsid w:val="00581BAC"/>
    <w:rsid w:val="00581C8B"/>
    <w:rsid w:val="005820C0"/>
    <w:rsid w:val="005820D4"/>
    <w:rsid w:val="0058375B"/>
    <w:rsid w:val="005839AD"/>
    <w:rsid w:val="00584645"/>
    <w:rsid w:val="005846D7"/>
    <w:rsid w:val="00584F14"/>
    <w:rsid w:val="00585872"/>
    <w:rsid w:val="005862A0"/>
    <w:rsid w:val="00586D1F"/>
    <w:rsid w:val="00587D89"/>
    <w:rsid w:val="00587DBF"/>
    <w:rsid w:val="00587FEF"/>
    <w:rsid w:val="00590FE9"/>
    <w:rsid w:val="0059109A"/>
    <w:rsid w:val="005915B3"/>
    <w:rsid w:val="00591ADF"/>
    <w:rsid w:val="00591B5E"/>
    <w:rsid w:val="0059278E"/>
    <w:rsid w:val="00592FC6"/>
    <w:rsid w:val="00593FE6"/>
    <w:rsid w:val="005945C1"/>
    <w:rsid w:val="005946DE"/>
    <w:rsid w:val="00594C23"/>
    <w:rsid w:val="00594D35"/>
    <w:rsid w:val="00595AB7"/>
    <w:rsid w:val="00596502"/>
    <w:rsid w:val="00596976"/>
    <w:rsid w:val="00596D77"/>
    <w:rsid w:val="00597284"/>
    <w:rsid w:val="0059795F"/>
    <w:rsid w:val="005A0E75"/>
    <w:rsid w:val="005A3729"/>
    <w:rsid w:val="005A4051"/>
    <w:rsid w:val="005A46FB"/>
    <w:rsid w:val="005A4C28"/>
    <w:rsid w:val="005A5CCB"/>
    <w:rsid w:val="005A768D"/>
    <w:rsid w:val="005A76E1"/>
    <w:rsid w:val="005A7839"/>
    <w:rsid w:val="005B01B4"/>
    <w:rsid w:val="005B0B73"/>
    <w:rsid w:val="005B1013"/>
    <w:rsid w:val="005B1183"/>
    <w:rsid w:val="005B11A1"/>
    <w:rsid w:val="005B16D0"/>
    <w:rsid w:val="005B1CBC"/>
    <w:rsid w:val="005B31BB"/>
    <w:rsid w:val="005B43C4"/>
    <w:rsid w:val="005B4BA9"/>
    <w:rsid w:val="005B50CD"/>
    <w:rsid w:val="005B517D"/>
    <w:rsid w:val="005B5A7A"/>
    <w:rsid w:val="005B6886"/>
    <w:rsid w:val="005B6EBE"/>
    <w:rsid w:val="005B7B49"/>
    <w:rsid w:val="005C0B7B"/>
    <w:rsid w:val="005C14BF"/>
    <w:rsid w:val="005C1743"/>
    <w:rsid w:val="005C1790"/>
    <w:rsid w:val="005C469A"/>
    <w:rsid w:val="005C50A6"/>
    <w:rsid w:val="005C5478"/>
    <w:rsid w:val="005C680A"/>
    <w:rsid w:val="005C6A1B"/>
    <w:rsid w:val="005D1826"/>
    <w:rsid w:val="005D2CE1"/>
    <w:rsid w:val="005D3067"/>
    <w:rsid w:val="005D34BA"/>
    <w:rsid w:val="005D362C"/>
    <w:rsid w:val="005D47C0"/>
    <w:rsid w:val="005D4F0D"/>
    <w:rsid w:val="005D527C"/>
    <w:rsid w:val="005D5652"/>
    <w:rsid w:val="005D5E9F"/>
    <w:rsid w:val="005D63A0"/>
    <w:rsid w:val="005D6DD5"/>
    <w:rsid w:val="005E04A9"/>
    <w:rsid w:val="005E15F6"/>
    <w:rsid w:val="005E5091"/>
    <w:rsid w:val="005E6331"/>
    <w:rsid w:val="005E6CB7"/>
    <w:rsid w:val="005E7217"/>
    <w:rsid w:val="005E7250"/>
    <w:rsid w:val="005E74A9"/>
    <w:rsid w:val="005F04CD"/>
    <w:rsid w:val="005F15D2"/>
    <w:rsid w:val="005F2393"/>
    <w:rsid w:val="005F2DFF"/>
    <w:rsid w:val="005F43F5"/>
    <w:rsid w:val="005F4DF9"/>
    <w:rsid w:val="005F62A6"/>
    <w:rsid w:val="005F681E"/>
    <w:rsid w:val="005F71F6"/>
    <w:rsid w:val="00600ECD"/>
    <w:rsid w:val="00601E8B"/>
    <w:rsid w:val="00603A47"/>
    <w:rsid w:val="00603DD3"/>
    <w:rsid w:val="006051EA"/>
    <w:rsid w:val="00605F96"/>
    <w:rsid w:val="00607719"/>
    <w:rsid w:val="00607814"/>
    <w:rsid w:val="00607BA5"/>
    <w:rsid w:val="0061082C"/>
    <w:rsid w:val="006114B1"/>
    <w:rsid w:val="006117EC"/>
    <w:rsid w:val="00612BCA"/>
    <w:rsid w:val="0061408B"/>
    <w:rsid w:val="00614091"/>
    <w:rsid w:val="0061425F"/>
    <w:rsid w:val="006164AF"/>
    <w:rsid w:val="0062103D"/>
    <w:rsid w:val="00621301"/>
    <w:rsid w:val="00621378"/>
    <w:rsid w:val="0062233F"/>
    <w:rsid w:val="006228CD"/>
    <w:rsid w:val="00623B5C"/>
    <w:rsid w:val="00623C51"/>
    <w:rsid w:val="00623DBE"/>
    <w:rsid w:val="00625540"/>
    <w:rsid w:val="0062554D"/>
    <w:rsid w:val="00625576"/>
    <w:rsid w:val="00625906"/>
    <w:rsid w:val="00625F6D"/>
    <w:rsid w:val="00626E1F"/>
    <w:rsid w:val="00626EB6"/>
    <w:rsid w:val="006273FB"/>
    <w:rsid w:val="006275B0"/>
    <w:rsid w:val="00627AB8"/>
    <w:rsid w:val="00630B26"/>
    <w:rsid w:val="0063129C"/>
    <w:rsid w:val="00631A3F"/>
    <w:rsid w:val="00631B71"/>
    <w:rsid w:val="006322C0"/>
    <w:rsid w:val="0063427F"/>
    <w:rsid w:val="006353A3"/>
    <w:rsid w:val="006354E6"/>
    <w:rsid w:val="0063612C"/>
    <w:rsid w:val="00640C81"/>
    <w:rsid w:val="006410A5"/>
    <w:rsid w:val="006410FF"/>
    <w:rsid w:val="00641BA2"/>
    <w:rsid w:val="00641CAC"/>
    <w:rsid w:val="00642113"/>
    <w:rsid w:val="006423C3"/>
    <w:rsid w:val="00642E7B"/>
    <w:rsid w:val="00642F8A"/>
    <w:rsid w:val="00644AE5"/>
    <w:rsid w:val="00645527"/>
    <w:rsid w:val="00645C5E"/>
    <w:rsid w:val="00645DA6"/>
    <w:rsid w:val="00647555"/>
    <w:rsid w:val="00647638"/>
    <w:rsid w:val="00647D18"/>
    <w:rsid w:val="0065062F"/>
    <w:rsid w:val="006506D4"/>
    <w:rsid w:val="00650A84"/>
    <w:rsid w:val="006512C2"/>
    <w:rsid w:val="0065137B"/>
    <w:rsid w:val="00652E32"/>
    <w:rsid w:val="00652FB2"/>
    <w:rsid w:val="00653262"/>
    <w:rsid w:val="00653272"/>
    <w:rsid w:val="00653570"/>
    <w:rsid w:val="006538D7"/>
    <w:rsid w:val="00655D03"/>
    <w:rsid w:val="00661BF6"/>
    <w:rsid w:val="006629F5"/>
    <w:rsid w:val="00663E55"/>
    <w:rsid w:val="0066410D"/>
    <w:rsid w:val="00664AB4"/>
    <w:rsid w:val="00665339"/>
    <w:rsid w:val="00666985"/>
    <w:rsid w:val="00666DE5"/>
    <w:rsid w:val="006678A0"/>
    <w:rsid w:val="006709B6"/>
    <w:rsid w:val="00674AD6"/>
    <w:rsid w:val="006758DB"/>
    <w:rsid w:val="00676118"/>
    <w:rsid w:val="00676902"/>
    <w:rsid w:val="00677E44"/>
    <w:rsid w:val="00677F3D"/>
    <w:rsid w:val="006807DC"/>
    <w:rsid w:val="00683F84"/>
    <w:rsid w:val="00684AF9"/>
    <w:rsid w:val="006855B6"/>
    <w:rsid w:val="00685F58"/>
    <w:rsid w:val="00686E4C"/>
    <w:rsid w:val="00686F9A"/>
    <w:rsid w:val="006902FD"/>
    <w:rsid w:val="0069167D"/>
    <w:rsid w:val="006938E4"/>
    <w:rsid w:val="00693AC0"/>
    <w:rsid w:val="00694A33"/>
    <w:rsid w:val="00694DCA"/>
    <w:rsid w:val="00694FE5"/>
    <w:rsid w:val="00695A8A"/>
    <w:rsid w:val="006961FB"/>
    <w:rsid w:val="006966C2"/>
    <w:rsid w:val="00696D1A"/>
    <w:rsid w:val="006979D9"/>
    <w:rsid w:val="006A01E2"/>
    <w:rsid w:val="006A0AAD"/>
    <w:rsid w:val="006A0D4E"/>
    <w:rsid w:val="006A2490"/>
    <w:rsid w:val="006A281B"/>
    <w:rsid w:val="006A2DE7"/>
    <w:rsid w:val="006A3141"/>
    <w:rsid w:val="006A3A67"/>
    <w:rsid w:val="006A3EDC"/>
    <w:rsid w:val="006A5FE3"/>
    <w:rsid w:val="006A61D8"/>
    <w:rsid w:val="006A6460"/>
    <w:rsid w:val="006A6660"/>
    <w:rsid w:val="006A6A81"/>
    <w:rsid w:val="006B0CF7"/>
    <w:rsid w:val="006B135C"/>
    <w:rsid w:val="006B1854"/>
    <w:rsid w:val="006B21C5"/>
    <w:rsid w:val="006B29D9"/>
    <w:rsid w:val="006B3292"/>
    <w:rsid w:val="006B3642"/>
    <w:rsid w:val="006B42DB"/>
    <w:rsid w:val="006B6F46"/>
    <w:rsid w:val="006B7324"/>
    <w:rsid w:val="006B7BC2"/>
    <w:rsid w:val="006C046F"/>
    <w:rsid w:val="006C0D7D"/>
    <w:rsid w:val="006C2193"/>
    <w:rsid w:val="006C21A4"/>
    <w:rsid w:val="006C2FFD"/>
    <w:rsid w:val="006C308D"/>
    <w:rsid w:val="006C4147"/>
    <w:rsid w:val="006C440B"/>
    <w:rsid w:val="006C4FA3"/>
    <w:rsid w:val="006C54FF"/>
    <w:rsid w:val="006C6103"/>
    <w:rsid w:val="006C6DAB"/>
    <w:rsid w:val="006C735C"/>
    <w:rsid w:val="006D0985"/>
    <w:rsid w:val="006D14C6"/>
    <w:rsid w:val="006D1A0A"/>
    <w:rsid w:val="006D36AE"/>
    <w:rsid w:val="006D40DD"/>
    <w:rsid w:val="006D4404"/>
    <w:rsid w:val="006D441F"/>
    <w:rsid w:val="006D530C"/>
    <w:rsid w:val="006D5976"/>
    <w:rsid w:val="006D6039"/>
    <w:rsid w:val="006D6057"/>
    <w:rsid w:val="006D7608"/>
    <w:rsid w:val="006D7BDD"/>
    <w:rsid w:val="006E009F"/>
    <w:rsid w:val="006E138F"/>
    <w:rsid w:val="006E26AF"/>
    <w:rsid w:val="006E465E"/>
    <w:rsid w:val="006E7D0D"/>
    <w:rsid w:val="006F05D5"/>
    <w:rsid w:val="006F08FC"/>
    <w:rsid w:val="006F0FF7"/>
    <w:rsid w:val="006F17E0"/>
    <w:rsid w:val="006F3B79"/>
    <w:rsid w:val="006F3D18"/>
    <w:rsid w:val="006F414E"/>
    <w:rsid w:val="006F4980"/>
    <w:rsid w:val="006F4BB7"/>
    <w:rsid w:val="006F4C5E"/>
    <w:rsid w:val="006F4E31"/>
    <w:rsid w:val="006F50C1"/>
    <w:rsid w:val="006F56A6"/>
    <w:rsid w:val="006F665E"/>
    <w:rsid w:val="006F7393"/>
    <w:rsid w:val="006F75F4"/>
    <w:rsid w:val="006F798B"/>
    <w:rsid w:val="006F7AC9"/>
    <w:rsid w:val="0070074C"/>
    <w:rsid w:val="007007A9"/>
    <w:rsid w:val="00701222"/>
    <w:rsid w:val="007012BE"/>
    <w:rsid w:val="007013BD"/>
    <w:rsid w:val="0070224F"/>
    <w:rsid w:val="00703E20"/>
    <w:rsid w:val="007041B6"/>
    <w:rsid w:val="00704BD3"/>
    <w:rsid w:val="00705800"/>
    <w:rsid w:val="007062A8"/>
    <w:rsid w:val="00707219"/>
    <w:rsid w:val="007074D0"/>
    <w:rsid w:val="007079A4"/>
    <w:rsid w:val="00707A23"/>
    <w:rsid w:val="0071115E"/>
    <w:rsid w:val="00711450"/>
    <w:rsid w:val="007115F7"/>
    <w:rsid w:val="007134E1"/>
    <w:rsid w:val="00713A5D"/>
    <w:rsid w:val="00715218"/>
    <w:rsid w:val="00715B3A"/>
    <w:rsid w:val="00715EDB"/>
    <w:rsid w:val="00715FFC"/>
    <w:rsid w:val="00720F5E"/>
    <w:rsid w:val="00721126"/>
    <w:rsid w:val="007222E0"/>
    <w:rsid w:val="007225A2"/>
    <w:rsid w:val="00722FC2"/>
    <w:rsid w:val="00724FA2"/>
    <w:rsid w:val="00725983"/>
    <w:rsid w:val="00726373"/>
    <w:rsid w:val="00726D1B"/>
    <w:rsid w:val="00726EDC"/>
    <w:rsid w:val="007279D2"/>
    <w:rsid w:val="00731531"/>
    <w:rsid w:val="00732121"/>
    <w:rsid w:val="0073282C"/>
    <w:rsid w:val="007332D4"/>
    <w:rsid w:val="00734B63"/>
    <w:rsid w:val="00734BC7"/>
    <w:rsid w:val="00735F4F"/>
    <w:rsid w:val="00736ACF"/>
    <w:rsid w:val="0074032E"/>
    <w:rsid w:val="007403BB"/>
    <w:rsid w:val="00740B5A"/>
    <w:rsid w:val="00740CB6"/>
    <w:rsid w:val="00740E45"/>
    <w:rsid w:val="00741A9E"/>
    <w:rsid w:val="00741C5A"/>
    <w:rsid w:val="007421CB"/>
    <w:rsid w:val="0074275C"/>
    <w:rsid w:val="00743E63"/>
    <w:rsid w:val="00745CEF"/>
    <w:rsid w:val="00746384"/>
    <w:rsid w:val="00746620"/>
    <w:rsid w:val="0074675A"/>
    <w:rsid w:val="0074680A"/>
    <w:rsid w:val="0075028C"/>
    <w:rsid w:val="007508CD"/>
    <w:rsid w:val="007510DD"/>
    <w:rsid w:val="007511FA"/>
    <w:rsid w:val="00753177"/>
    <w:rsid w:val="007542B0"/>
    <w:rsid w:val="00754B28"/>
    <w:rsid w:val="00754C53"/>
    <w:rsid w:val="0075520D"/>
    <w:rsid w:val="00756167"/>
    <w:rsid w:val="007568A0"/>
    <w:rsid w:val="00757235"/>
    <w:rsid w:val="00757E7C"/>
    <w:rsid w:val="0076085D"/>
    <w:rsid w:val="007610CF"/>
    <w:rsid w:val="00761C02"/>
    <w:rsid w:val="00762973"/>
    <w:rsid w:val="00762E25"/>
    <w:rsid w:val="0076313C"/>
    <w:rsid w:val="00764008"/>
    <w:rsid w:val="0076436F"/>
    <w:rsid w:val="00764565"/>
    <w:rsid w:val="007645D7"/>
    <w:rsid w:val="00764A7C"/>
    <w:rsid w:val="00765338"/>
    <w:rsid w:val="00766275"/>
    <w:rsid w:val="00766323"/>
    <w:rsid w:val="00766FF4"/>
    <w:rsid w:val="00767B25"/>
    <w:rsid w:val="00770C40"/>
    <w:rsid w:val="00770D1C"/>
    <w:rsid w:val="0077152F"/>
    <w:rsid w:val="00773E26"/>
    <w:rsid w:val="0077475B"/>
    <w:rsid w:val="00774787"/>
    <w:rsid w:val="00775A64"/>
    <w:rsid w:val="007762B6"/>
    <w:rsid w:val="00776BE8"/>
    <w:rsid w:val="0078053A"/>
    <w:rsid w:val="00781400"/>
    <w:rsid w:val="0078237A"/>
    <w:rsid w:val="00782750"/>
    <w:rsid w:val="00785689"/>
    <w:rsid w:val="00785C26"/>
    <w:rsid w:val="007867BD"/>
    <w:rsid w:val="00786F54"/>
    <w:rsid w:val="00790F00"/>
    <w:rsid w:val="00791BD7"/>
    <w:rsid w:val="00791CF2"/>
    <w:rsid w:val="0079250C"/>
    <w:rsid w:val="00792694"/>
    <w:rsid w:val="00794B5C"/>
    <w:rsid w:val="00795081"/>
    <w:rsid w:val="00795530"/>
    <w:rsid w:val="00795692"/>
    <w:rsid w:val="0079676F"/>
    <w:rsid w:val="00797295"/>
    <w:rsid w:val="0079754B"/>
    <w:rsid w:val="007979CB"/>
    <w:rsid w:val="007A0288"/>
    <w:rsid w:val="007A0626"/>
    <w:rsid w:val="007A0FF2"/>
    <w:rsid w:val="007A1B41"/>
    <w:rsid w:val="007A1E6D"/>
    <w:rsid w:val="007A4210"/>
    <w:rsid w:val="007A5AB0"/>
    <w:rsid w:val="007A5CE9"/>
    <w:rsid w:val="007A63B4"/>
    <w:rsid w:val="007A7CAF"/>
    <w:rsid w:val="007B12D5"/>
    <w:rsid w:val="007B2CEA"/>
    <w:rsid w:val="007B2E1D"/>
    <w:rsid w:val="007B3F83"/>
    <w:rsid w:val="007B58E3"/>
    <w:rsid w:val="007B5C94"/>
    <w:rsid w:val="007B65CA"/>
    <w:rsid w:val="007B7125"/>
    <w:rsid w:val="007B72CC"/>
    <w:rsid w:val="007B78B5"/>
    <w:rsid w:val="007C0AC0"/>
    <w:rsid w:val="007C1BC6"/>
    <w:rsid w:val="007C1EFE"/>
    <w:rsid w:val="007C2228"/>
    <w:rsid w:val="007C2BC0"/>
    <w:rsid w:val="007C32F4"/>
    <w:rsid w:val="007C34A9"/>
    <w:rsid w:val="007C38B1"/>
    <w:rsid w:val="007C5851"/>
    <w:rsid w:val="007C5A77"/>
    <w:rsid w:val="007C674D"/>
    <w:rsid w:val="007C6936"/>
    <w:rsid w:val="007C6A29"/>
    <w:rsid w:val="007C7659"/>
    <w:rsid w:val="007C7963"/>
    <w:rsid w:val="007D0576"/>
    <w:rsid w:val="007D06C7"/>
    <w:rsid w:val="007D1C6A"/>
    <w:rsid w:val="007D3761"/>
    <w:rsid w:val="007D3887"/>
    <w:rsid w:val="007D45B5"/>
    <w:rsid w:val="007D6907"/>
    <w:rsid w:val="007D691F"/>
    <w:rsid w:val="007D70F9"/>
    <w:rsid w:val="007D7A1A"/>
    <w:rsid w:val="007E0234"/>
    <w:rsid w:val="007E1DEE"/>
    <w:rsid w:val="007E2463"/>
    <w:rsid w:val="007E365F"/>
    <w:rsid w:val="007E4081"/>
    <w:rsid w:val="007E540D"/>
    <w:rsid w:val="007E6AF7"/>
    <w:rsid w:val="007E7638"/>
    <w:rsid w:val="007F0013"/>
    <w:rsid w:val="007F030A"/>
    <w:rsid w:val="007F134D"/>
    <w:rsid w:val="007F14B6"/>
    <w:rsid w:val="007F2FED"/>
    <w:rsid w:val="007F3247"/>
    <w:rsid w:val="007F6E58"/>
    <w:rsid w:val="007F7DA5"/>
    <w:rsid w:val="00800E8E"/>
    <w:rsid w:val="00800EF2"/>
    <w:rsid w:val="00803A76"/>
    <w:rsid w:val="0080584C"/>
    <w:rsid w:val="00805AD7"/>
    <w:rsid w:val="00805D58"/>
    <w:rsid w:val="008068FD"/>
    <w:rsid w:val="008112CF"/>
    <w:rsid w:val="00811E77"/>
    <w:rsid w:val="00812AA4"/>
    <w:rsid w:val="0081300C"/>
    <w:rsid w:val="0081315E"/>
    <w:rsid w:val="008136B2"/>
    <w:rsid w:val="008165B0"/>
    <w:rsid w:val="00816769"/>
    <w:rsid w:val="00816A06"/>
    <w:rsid w:val="00816B4B"/>
    <w:rsid w:val="008212B2"/>
    <w:rsid w:val="0082161D"/>
    <w:rsid w:val="008217D3"/>
    <w:rsid w:val="00822CE0"/>
    <w:rsid w:val="00822DE2"/>
    <w:rsid w:val="00823A2B"/>
    <w:rsid w:val="00823B45"/>
    <w:rsid w:val="008253FC"/>
    <w:rsid w:val="00825867"/>
    <w:rsid w:val="00826B90"/>
    <w:rsid w:val="00826D03"/>
    <w:rsid w:val="008279FA"/>
    <w:rsid w:val="00827DEB"/>
    <w:rsid w:val="008301C5"/>
    <w:rsid w:val="00830FBE"/>
    <w:rsid w:val="0083126A"/>
    <w:rsid w:val="0083148F"/>
    <w:rsid w:val="008314B2"/>
    <w:rsid w:val="0083155B"/>
    <w:rsid w:val="00831602"/>
    <w:rsid w:val="008319CC"/>
    <w:rsid w:val="00831A0A"/>
    <w:rsid w:val="00831BCB"/>
    <w:rsid w:val="00831C45"/>
    <w:rsid w:val="00831C66"/>
    <w:rsid w:val="0083222C"/>
    <w:rsid w:val="00833115"/>
    <w:rsid w:val="008331E8"/>
    <w:rsid w:val="008335A3"/>
    <w:rsid w:val="0083364B"/>
    <w:rsid w:val="00835201"/>
    <w:rsid w:val="00836C11"/>
    <w:rsid w:val="00836E32"/>
    <w:rsid w:val="008372FF"/>
    <w:rsid w:val="00837677"/>
    <w:rsid w:val="00837B23"/>
    <w:rsid w:val="00837C62"/>
    <w:rsid w:val="00837E1B"/>
    <w:rsid w:val="00840488"/>
    <w:rsid w:val="00841AB1"/>
    <w:rsid w:val="00841CB8"/>
    <w:rsid w:val="00842ED0"/>
    <w:rsid w:val="00843611"/>
    <w:rsid w:val="00843ACA"/>
    <w:rsid w:val="00844B52"/>
    <w:rsid w:val="00845944"/>
    <w:rsid w:val="00845F7A"/>
    <w:rsid w:val="00847574"/>
    <w:rsid w:val="00847DAB"/>
    <w:rsid w:val="00850A95"/>
    <w:rsid w:val="00851E64"/>
    <w:rsid w:val="00852B7F"/>
    <w:rsid w:val="00852D9E"/>
    <w:rsid w:val="008532AC"/>
    <w:rsid w:val="00853376"/>
    <w:rsid w:val="00854E0C"/>
    <w:rsid w:val="008575BC"/>
    <w:rsid w:val="0086049B"/>
    <w:rsid w:val="008620FC"/>
    <w:rsid w:val="00862CC1"/>
    <w:rsid w:val="00864EA1"/>
    <w:rsid w:val="008652E5"/>
    <w:rsid w:val="00867166"/>
    <w:rsid w:val="00867F22"/>
    <w:rsid w:val="008710EB"/>
    <w:rsid w:val="00871349"/>
    <w:rsid w:val="0087363C"/>
    <w:rsid w:val="00873FCB"/>
    <w:rsid w:val="008741D5"/>
    <w:rsid w:val="00874E83"/>
    <w:rsid w:val="0087506E"/>
    <w:rsid w:val="00875C69"/>
    <w:rsid w:val="00875E49"/>
    <w:rsid w:val="0087607A"/>
    <w:rsid w:val="00876862"/>
    <w:rsid w:val="00876EF5"/>
    <w:rsid w:val="00877D69"/>
    <w:rsid w:val="008802A4"/>
    <w:rsid w:val="00880408"/>
    <w:rsid w:val="00880549"/>
    <w:rsid w:val="00880768"/>
    <w:rsid w:val="008808F1"/>
    <w:rsid w:val="00880C4A"/>
    <w:rsid w:val="00880FB0"/>
    <w:rsid w:val="00881B18"/>
    <w:rsid w:val="00881E26"/>
    <w:rsid w:val="00882920"/>
    <w:rsid w:val="008837FE"/>
    <w:rsid w:val="00883966"/>
    <w:rsid w:val="00883B03"/>
    <w:rsid w:val="0088442D"/>
    <w:rsid w:val="00886492"/>
    <w:rsid w:val="00887171"/>
    <w:rsid w:val="00891D02"/>
    <w:rsid w:val="0089228A"/>
    <w:rsid w:val="00892EE9"/>
    <w:rsid w:val="008933E1"/>
    <w:rsid w:val="008938FA"/>
    <w:rsid w:val="008946E1"/>
    <w:rsid w:val="00894B83"/>
    <w:rsid w:val="00894BC4"/>
    <w:rsid w:val="0089612D"/>
    <w:rsid w:val="00896D50"/>
    <w:rsid w:val="008A17CD"/>
    <w:rsid w:val="008A1D9F"/>
    <w:rsid w:val="008A205A"/>
    <w:rsid w:val="008A2196"/>
    <w:rsid w:val="008A27CE"/>
    <w:rsid w:val="008A2FC5"/>
    <w:rsid w:val="008A3DBC"/>
    <w:rsid w:val="008A46FE"/>
    <w:rsid w:val="008A55D8"/>
    <w:rsid w:val="008A6586"/>
    <w:rsid w:val="008A7F2B"/>
    <w:rsid w:val="008B077A"/>
    <w:rsid w:val="008B2254"/>
    <w:rsid w:val="008B29AD"/>
    <w:rsid w:val="008B2CFE"/>
    <w:rsid w:val="008B3844"/>
    <w:rsid w:val="008B4B8B"/>
    <w:rsid w:val="008B4BDC"/>
    <w:rsid w:val="008B520C"/>
    <w:rsid w:val="008C05DF"/>
    <w:rsid w:val="008C22FD"/>
    <w:rsid w:val="008C2513"/>
    <w:rsid w:val="008C27F3"/>
    <w:rsid w:val="008C54AD"/>
    <w:rsid w:val="008C5D18"/>
    <w:rsid w:val="008C7457"/>
    <w:rsid w:val="008C7DFF"/>
    <w:rsid w:val="008D0956"/>
    <w:rsid w:val="008D264C"/>
    <w:rsid w:val="008D4A59"/>
    <w:rsid w:val="008D4FBF"/>
    <w:rsid w:val="008D5335"/>
    <w:rsid w:val="008D61E8"/>
    <w:rsid w:val="008D74A7"/>
    <w:rsid w:val="008D763E"/>
    <w:rsid w:val="008D7ABC"/>
    <w:rsid w:val="008E182E"/>
    <w:rsid w:val="008E2346"/>
    <w:rsid w:val="008E2682"/>
    <w:rsid w:val="008E34ED"/>
    <w:rsid w:val="008E38C2"/>
    <w:rsid w:val="008E3C63"/>
    <w:rsid w:val="008E4647"/>
    <w:rsid w:val="008E48E9"/>
    <w:rsid w:val="008E514D"/>
    <w:rsid w:val="008E5BEE"/>
    <w:rsid w:val="008E5C36"/>
    <w:rsid w:val="008E5CAD"/>
    <w:rsid w:val="008E7395"/>
    <w:rsid w:val="008F030B"/>
    <w:rsid w:val="008F0635"/>
    <w:rsid w:val="008F072E"/>
    <w:rsid w:val="008F1174"/>
    <w:rsid w:val="008F1449"/>
    <w:rsid w:val="008F2714"/>
    <w:rsid w:val="008F271A"/>
    <w:rsid w:val="008F3678"/>
    <w:rsid w:val="008F51CC"/>
    <w:rsid w:val="008F5B17"/>
    <w:rsid w:val="008F5EFB"/>
    <w:rsid w:val="008F61FD"/>
    <w:rsid w:val="008F6E6D"/>
    <w:rsid w:val="008F79C3"/>
    <w:rsid w:val="008F7A6C"/>
    <w:rsid w:val="00900F11"/>
    <w:rsid w:val="00902D04"/>
    <w:rsid w:val="009037CB"/>
    <w:rsid w:val="00903F62"/>
    <w:rsid w:val="009067A7"/>
    <w:rsid w:val="00907017"/>
    <w:rsid w:val="009101AD"/>
    <w:rsid w:val="009101E3"/>
    <w:rsid w:val="00910C35"/>
    <w:rsid w:val="00910CD9"/>
    <w:rsid w:val="00910F12"/>
    <w:rsid w:val="009114E7"/>
    <w:rsid w:val="00914196"/>
    <w:rsid w:val="009142AB"/>
    <w:rsid w:val="009147E5"/>
    <w:rsid w:val="0091637B"/>
    <w:rsid w:val="00916C4B"/>
    <w:rsid w:val="009178E3"/>
    <w:rsid w:val="00921384"/>
    <w:rsid w:val="009223BB"/>
    <w:rsid w:val="0092301C"/>
    <w:rsid w:val="00923792"/>
    <w:rsid w:val="00923990"/>
    <w:rsid w:val="00924BA4"/>
    <w:rsid w:val="00925606"/>
    <w:rsid w:val="00926503"/>
    <w:rsid w:val="00926607"/>
    <w:rsid w:val="00926990"/>
    <w:rsid w:val="009274DD"/>
    <w:rsid w:val="009278A5"/>
    <w:rsid w:val="00927BCE"/>
    <w:rsid w:val="00927F8C"/>
    <w:rsid w:val="009300E5"/>
    <w:rsid w:val="00930E7B"/>
    <w:rsid w:val="00930ECF"/>
    <w:rsid w:val="009313B3"/>
    <w:rsid w:val="0093332C"/>
    <w:rsid w:val="00933CCA"/>
    <w:rsid w:val="00933E54"/>
    <w:rsid w:val="00934DC1"/>
    <w:rsid w:val="0093521F"/>
    <w:rsid w:val="00935F8E"/>
    <w:rsid w:val="00936141"/>
    <w:rsid w:val="00936B7C"/>
    <w:rsid w:val="009371F3"/>
    <w:rsid w:val="00937750"/>
    <w:rsid w:val="00937A80"/>
    <w:rsid w:val="0094057C"/>
    <w:rsid w:val="00940B3B"/>
    <w:rsid w:val="009412C8"/>
    <w:rsid w:val="00942D09"/>
    <w:rsid w:val="00943C68"/>
    <w:rsid w:val="00944ACC"/>
    <w:rsid w:val="0094531B"/>
    <w:rsid w:val="0094532F"/>
    <w:rsid w:val="00951BF0"/>
    <w:rsid w:val="00952392"/>
    <w:rsid w:val="00952D2A"/>
    <w:rsid w:val="00953B91"/>
    <w:rsid w:val="00953CF8"/>
    <w:rsid w:val="009547C8"/>
    <w:rsid w:val="009558F7"/>
    <w:rsid w:val="009564A8"/>
    <w:rsid w:val="0095750E"/>
    <w:rsid w:val="009577A3"/>
    <w:rsid w:val="009578E5"/>
    <w:rsid w:val="00961615"/>
    <w:rsid w:val="0096279A"/>
    <w:rsid w:val="00964403"/>
    <w:rsid w:val="00964856"/>
    <w:rsid w:val="009660E8"/>
    <w:rsid w:val="00966906"/>
    <w:rsid w:val="0096729D"/>
    <w:rsid w:val="00967DD0"/>
    <w:rsid w:val="00967E9D"/>
    <w:rsid w:val="00972B30"/>
    <w:rsid w:val="00972C71"/>
    <w:rsid w:val="00972E87"/>
    <w:rsid w:val="00973676"/>
    <w:rsid w:val="009748F2"/>
    <w:rsid w:val="00975901"/>
    <w:rsid w:val="00975A08"/>
    <w:rsid w:val="00975E59"/>
    <w:rsid w:val="00976129"/>
    <w:rsid w:val="00976A40"/>
    <w:rsid w:val="00976F9B"/>
    <w:rsid w:val="00980335"/>
    <w:rsid w:val="0098044A"/>
    <w:rsid w:val="00980DD3"/>
    <w:rsid w:val="00980F85"/>
    <w:rsid w:val="00981B30"/>
    <w:rsid w:val="009838BC"/>
    <w:rsid w:val="00983F69"/>
    <w:rsid w:val="0098423B"/>
    <w:rsid w:val="00984AF1"/>
    <w:rsid w:val="0098517C"/>
    <w:rsid w:val="009859C6"/>
    <w:rsid w:val="009863EE"/>
    <w:rsid w:val="00987A9D"/>
    <w:rsid w:val="00987BFE"/>
    <w:rsid w:val="00987D28"/>
    <w:rsid w:val="00991DFE"/>
    <w:rsid w:val="00992961"/>
    <w:rsid w:val="00994298"/>
    <w:rsid w:val="00994AB7"/>
    <w:rsid w:val="00994BFF"/>
    <w:rsid w:val="00994D7A"/>
    <w:rsid w:val="00995B12"/>
    <w:rsid w:val="00996CE4"/>
    <w:rsid w:val="009973DB"/>
    <w:rsid w:val="0099762D"/>
    <w:rsid w:val="009A006F"/>
    <w:rsid w:val="009A09D6"/>
    <w:rsid w:val="009A1B7B"/>
    <w:rsid w:val="009A2F5C"/>
    <w:rsid w:val="009A328E"/>
    <w:rsid w:val="009A3E2C"/>
    <w:rsid w:val="009A6F24"/>
    <w:rsid w:val="009A700B"/>
    <w:rsid w:val="009A78A6"/>
    <w:rsid w:val="009B00B2"/>
    <w:rsid w:val="009B13B5"/>
    <w:rsid w:val="009B2722"/>
    <w:rsid w:val="009B3219"/>
    <w:rsid w:val="009B3988"/>
    <w:rsid w:val="009B3AE0"/>
    <w:rsid w:val="009B63B0"/>
    <w:rsid w:val="009B7490"/>
    <w:rsid w:val="009B7947"/>
    <w:rsid w:val="009B7AD6"/>
    <w:rsid w:val="009C138A"/>
    <w:rsid w:val="009C2AC9"/>
    <w:rsid w:val="009C4595"/>
    <w:rsid w:val="009C4AF7"/>
    <w:rsid w:val="009C502D"/>
    <w:rsid w:val="009C553D"/>
    <w:rsid w:val="009C720A"/>
    <w:rsid w:val="009C7B6C"/>
    <w:rsid w:val="009C7DAC"/>
    <w:rsid w:val="009D0D46"/>
    <w:rsid w:val="009D1829"/>
    <w:rsid w:val="009D1AAA"/>
    <w:rsid w:val="009D1AC8"/>
    <w:rsid w:val="009D1D13"/>
    <w:rsid w:val="009D28AB"/>
    <w:rsid w:val="009D302A"/>
    <w:rsid w:val="009D36AB"/>
    <w:rsid w:val="009D402B"/>
    <w:rsid w:val="009D4C5D"/>
    <w:rsid w:val="009D539A"/>
    <w:rsid w:val="009D548A"/>
    <w:rsid w:val="009D5DC0"/>
    <w:rsid w:val="009E04F9"/>
    <w:rsid w:val="009E0A80"/>
    <w:rsid w:val="009E1FAA"/>
    <w:rsid w:val="009E23DC"/>
    <w:rsid w:val="009E395E"/>
    <w:rsid w:val="009E3C5F"/>
    <w:rsid w:val="009E4C10"/>
    <w:rsid w:val="009E557B"/>
    <w:rsid w:val="009E5E78"/>
    <w:rsid w:val="009E5FD8"/>
    <w:rsid w:val="009E6A07"/>
    <w:rsid w:val="009E7BF2"/>
    <w:rsid w:val="009F0E63"/>
    <w:rsid w:val="009F1A32"/>
    <w:rsid w:val="009F21AC"/>
    <w:rsid w:val="009F223A"/>
    <w:rsid w:val="009F3477"/>
    <w:rsid w:val="009F3AFB"/>
    <w:rsid w:val="009F5540"/>
    <w:rsid w:val="009F5801"/>
    <w:rsid w:val="009F5A59"/>
    <w:rsid w:val="009F63C1"/>
    <w:rsid w:val="00A00673"/>
    <w:rsid w:val="00A00E91"/>
    <w:rsid w:val="00A012DE"/>
    <w:rsid w:val="00A0135A"/>
    <w:rsid w:val="00A01408"/>
    <w:rsid w:val="00A02194"/>
    <w:rsid w:val="00A021BA"/>
    <w:rsid w:val="00A02D2C"/>
    <w:rsid w:val="00A03141"/>
    <w:rsid w:val="00A0371B"/>
    <w:rsid w:val="00A03BAF"/>
    <w:rsid w:val="00A0410D"/>
    <w:rsid w:val="00A04D43"/>
    <w:rsid w:val="00A0585B"/>
    <w:rsid w:val="00A0642A"/>
    <w:rsid w:val="00A07202"/>
    <w:rsid w:val="00A10214"/>
    <w:rsid w:val="00A102D8"/>
    <w:rsid w:val="00A1158B"/>
    <w:rsid w:val="00A11853"/>
    <w:rsid w:val="00A11D54"/>
    <w:rsid w:val="00A1201F"/>
    <w:rsid w:val="00A13342"/>
    <w:rsid w:val="00A13733"/>
    <w:rsid w:val="00A137DC"/>
    <w:rsid w:val="00A14C71"/>
    <w:rsid w:val="00A15671"/>
    <w:rsid w:val="00A15E07"/>
    <w:rsid w:val="00A15F4C"/>
    <w:rsid w:val="00A164A0"/>
    <w:rsid w:val="00A16A8A"/>
    <w:rsid w:val="00A16F4C"/>
    <w:rsid w:val="00A16F74"/>
    <w:rsid w:val="00A209DC"/>
    <w:rsid w:val="00A211E9"/>
    <w:rsid w:val="00A21B5D"/>
    <w:rsid w:val="00A223A9"/>
    <w:rsid w:val="00A22C88"/>
    <w:rsid w:val="00A23AB5"/>
    <w:rsid w:val="00A24523"/>
    <w:rsid w:val="00A24EE9"/>
    <w:rsid w:val="00A259C2"/>
    <w:rsid w:val="00A3076F"/>
    <w:rsid w:val="00A30B56"/>
    <w:rsid w:val="00A31443"/>
    <w:rsid w:val="00A31D8F"/>
    <w:rsid w:val="00A32F4F"/>
    <w:rsid w:val="00A332DD"/>
    <w:rsid w:val="00A340B7"/>
    <w:rsid w:val="00A3439E"/>
    <w:rsid w:val="00A3479E"/>
    <w:rsid w:val="00A35B4E"/>
    <w:rsid w:val="00A35F74"/>
    <w:rsid w:val="00A362A2"/>
    <w:rsid w:val="00A37216"/>
    <w:rsid w:val="00A375E2"/>
    <w:rsid w:val="00A37C06"/>
    <w:rsid w:val="00A40D5A"/>
    <w:rsid w:val="00A41BA3"/>
    <w:rsid w:val="00A42016"/>
    <w:rsid w:val="00A42065"/>
    <w:rsid w:val="00A438E4"/>
    <w:rsid w:val="00A43FC4"/>
    <w:rsid w:val="00A443BF"/>
    <w:rsid w:val="00A44AF8"/>
    <w:rsid w:val="00A44C9E"/>
    <w:rsid w:val="00A459DA"/>
    <w:rsid w:val="00A45E67"/>
    <w:rsid w:val="00A45F4F"/>
    <w:rsid w:val="00A51C63"/>
    <w:rsid w:val="00A51EA6"/>
    <w:rsid w:val="00A51EB0"/>
    <w:rsid w:val="00A53756"/>
    <w:rsid w:val="00A53B9D"/>
    <w:rsid w:val="00A53F54"/>
    <w:rsid w:val="00A55467"/>
    <w:rsid w:val="00A55DF0"/>
    <w:rsid w:val="00A57489"/>
    <w:rsid w:val="00A5776B"/>
    <w:rsid w:val="00A600A9"/>
    <w:rsid w:val="00A60342"/>
    <w:rsid w:val="00A609FA"/>
    <w:rsid w:val="00A6161C"/>
    <w:rsid w:val="00A62BA0"/>
    <w:rsid w:val="00A62C16"/>
    <w:rsid w:val="00A64059"/>
    <w:rsid w:val="00A66A59"/>
    <w:rsid w:val="00A70A65"/>
    <w:rsid w:val="00A70EE1"/>
    <w:rsid w:val="00A72424"/>
    <w:rsid w:val="00A724F7"/>
    <w:rsid w:val="00A726A5"/>
    <w:rsid w:val="00A7279B"/>
    <w:rsid w:val="00A73461"/>
    <w:rsid w:val="00A73E51"/>
    <w:rsid w:val="00A749E1"/>
    <w:rsid w:val="00A75406"/>
    <w:rsid w:val="00A75AF7"/>
    <w:rsid w:val="00A7702C"/>
    <w:rsid w:val="00A77920"/>
    <w:rsid w:val="00A80250"/>
    <w:rsid w:val="00A82B73"/>
    <w:rsid w:val="00A832D0"/>
    <w:rsid w:val="00A85847"/>
    <w:rsid w:val="00A86407"/>
    <w:rsid w:val="00A866AC"/>
    <w:rsid w:val="00A876ED"/>
    <w:rsid w:val="00A907BC"/>
    <w:rsid w:val="00A91B8C"/>
    <w:rsid w:val="00A93188"/>
    <w:rsid w:val="00A932B5"/>
    <w:rsid w:val="00A93A40"/>
    <w:rsid w:val="00A94A8E"/>
    <w:rsid w:val="00A94D95"/>
    <w:rsid w:val="00A959B6"/>
    <w:rsid w:val="00A95B87"/>
    <w:rsid w:val="00A95D1A"/>
    <w:rsid w:val="00A97096"/>
    <w:rsid w:val="00A9774F"/>
    <w:rsid w:val="00A9796D"/>
    <w:rsid w:val="00AA140B"/>
    <w:rsid w:val="00AA1E1E"/>
    <w:rsid w:val="00AA1FB9"/>
    <w:rsid w:val="00AA2C4C"/>
    <w:rsid w:val="00AA3A4D"/>
    <w:rsid w:val="00AA3BCD"/>
    <w:rsid w:val="00AA55B7"/>
    <w:rsid w:val="00AA5B9E"/>
    <w:rsid w:val="00AA5EDB"/>
    <w:rsid w:val="00AA78B3"/>
    <w:rsid w:val="00AB0193"/>
    <w:rsid w:val="00AB10F6"/>
    <w:rsid w:val="00AB1744"/>
    <w:rsid w:val="00AB205D"/>
    <w:rsid w:val="00AB2407"/>
    <w:rsid w:val="00AB25AA"/>
    <w:rsid w:val="00AB3626"/>
    <w:rsid w:val="00AB4678"/>
    <w:rsid w:val="00AB4E1D"/>
    <w:rsid w:val="00AB4F8E"/>
    <w:rsid w:val="00AB53DF"/>
    <w:rsid w:val="00AB545C"/>
    <w:rsid w:val="00AB5832"/>
    <w:rsid w:val="00AB5A06"/>
    <w:rsid w:val="00AB63F8"/>
    <w:rsid w:val="00AB6B12"/>
    <w:rsid w:val="00AB6E2B"/>
    <w:rsid w:val="00AB7463"/>
    <w:rsid w:val="00AB7D8D"/>
    <w:rsid w:val="00AB7E65"/>
    <w:rsid w:val="00AC0421"/>
    <w:rsid w:val="00AC1B58"/>
    <w:rsid w:val="00AC2158"/>
    <w:rsid w:val="00AC228F"/>
    <w:rsid w:val="00AC27C6"/>
    <w:rsid w:val="00AC34D1"/>
    <w:rsid w:val="00AC4A21"/>
    <w:rsid w:val="00AC55CD"/>
    <w:rsid w:val="00AD09CD"/>
    <w:rsid w:val="00AD19AB"/>
    <w:rsid w:val="00AD236F"/>
    <w:rsid w:val="00AD29D9"/>
    <w:rsid w:val="00AD32C8"/>
    <w:rsid w:val="00AD3F3B"/>
    <w:rsid w:val="00AD4788"/>
    <w:rsid w:val="00AD5B2B"/>
    <w:rsid w:val="00AD6330"/>
    <w:rsid w:val="00AD7407"/>
    <w:rsid w:val="00AD7624"/>
    <w:rsid w:val="00AD7795"/>
    <w:rsid w:val="00AD7A55"/>
    <w:rsid w:val="00AE1801"/>
    <w:rsid w:val="00AE19F5"/>
    <w:rsid w:val="00AE1C61"/>
    <w:rsid w:val="00AE2DC1"/>
    <w:rsid w:val="00AE2FDC"/>
    <w:rsid w:val="00AE4BF4"/>
    <w:rsid w:val="00AE4DDE"/>
    <w:rsid w:val="00AE5595"/>
    <w:rsid w:val="00AE66A2"/>
    <w:rsid w:val="00AE7AF7"/>
    <w:rsid w:val="00AF04BE"/>
    <w:rsid w:val="00AF0959"/>
    <w:rsid w:val="00AF0A17"/>
    <w:rsid w:val="00AF12DF"/>
    <w:rsid w:val="00AF13A4"/>
    <w:rsid w:val="00AF35EA"/>
    <w:rsid w:val="00AF3CB7"/>
    <w:rsid w:val="00AF50BB"/>
    <w:rsid w:val="00AF62AF"/>
    <w:rsid w:val="00AF65A4"/>
    <w:rsid w:val="00AF69BD"/>
    <w:rsid w:val="00AF72DB"/>
    <w:rsid w:val="00AF77E2"/>
    <w:rsid w:val="00B0004C"/>
    <w:rsid w:val="00B00AA0"/>
    <w:rsid w:val="00B00AEC"/>
    <w:rsid w:val="00B00DBA"/>
    <w:rsid w:val="00B0160A"/>
    <w:rsid w:val="00B017D4"/>
    <w:rsid w:val="00B01C39"/>
    <w:rsid w:val="00B02D90"/>
    <w:rsid w:val="00B03849"/>
    <w:rsid w:val="00B03E73"/>
    <w:rsid w:val="00B04B30"/>
    <w:rsid w:val="00B04B83"/>
    <w:rsid w:val="00B06299"/>
    <w:rsid w:val="00B07067"/>
    <w:rsid w:val="00B0772B"/>
    <w:rsid w:val="00B07744"/>
    <w:rsid w:val="00B07A45"/>
    <w:rsid w:val="00B07E5C"/>
    <w:rsid w:val="00B10109"/>
    <w:rsid w:val="00B12076"/>
    <w:rsid w:val="00B120EA"/>
    <w:rsid w:val="00B146F8"/>
    <w:rsid w:val="00B15244"/>
    <w:rsid w:val="00B15EBB"/>
    <w:rsid w:val="00B16436"/>
    <w:rsid w:val="00B168F8"/>
    <w:rsid w:val="00B16972"/>
    <w:rsid w:val="00B17B6A"/>
    <w:rsid w:val="00B20A76"/>
    <w:rsid w:val="00B22C1D"/>
    <w:rsid w:val="00B23858"/>
    <w:rsid w:val="00B239E0"/>
    <w:rsid w:val="00B23D00"/>
    <w:rsid w:val="00B26233"/>
    <w:rsid w:val="00B26959"/>
    <w:rsid w:val="00B27C23"/>
    <w:rsid w:val="00B302A0"/>
    <w:rsid w:val="00B30A6A"/>
    <w:rsid w:val="00B31993"/>
    <w:rsid w:val="00B326E3"/>
    <w:rsid w:val="00B33044"/>
    <w:rsid w:val="00B33244"/>
    <w:rsid w:val="00B332E9"/>
    <w:rsid w:val="00B338D4"/>
    <w:rsid w:val="00B33A64"/>
    <w:rsid w:val="00B3519A"/>
    <w:rsid w:val="00B3690C"/>
    <w:rsid w:val="00B377E9"/>
    <w:rsid w:val="00B37EC9"/>
    <w:rsid w:val="00B407D9"/>
    <w:rsid w:val="00B40C5C"/>
    <w:rsid w:val="00B40D05"/>
    <w:rsid w:val="00B41957"/>
    <w:rsid w:val="00B41D5F"/>
    <w:rsid w:val="00B42CA7"/>
    <w:rsid w:val="00B42EC6"/>
    <w:rsid w:val="00B44102"/>
    <w:rsid w:val="00B44339"/>
    <w:rsid w:val="00B45E8F"/>
    <w:rsid w:val="00B4617C"/>
    <w:rsid w:val="00B46251"/>
    <w:rsid w:val="00B4634F"/>
    <w:rsid w:val="00B47E10"/>
    <w:rsid w:val="00B510F3"/>
    <w:rsid w:val="00B51AA3"/>
    <w:rsid w:val="00B53561"/>
    <w:rsid w:val="00B549C0"/>
    <w:rsid w:val="00B557CF"/>
    <w:rsid w:val="00B564E6"/>
    <w:rsid w:val="00B56C1E"/>
    <w:rsid w:val="00B603CC"/>
    <w:rsid w:val="00B60510"/>
    <w:rsid w:val="00B60F49"/>
    <w:rsid w:val="00B61FEA"/>
    <w:rsid w:val="00B63124"/>
    <w:rsid w:val="00B642DC"/>
    <w:rsid w:val="00B64B0F"/>
    <w:rsid w:val="00B64EFA"/>
    <w:rsid w:val="00B6593C"/>
    <w:rsid w:val="00B674FB"/>
    <w:rsid w:val="00B7124D"/>
    <w:rsid w:val="00B722CE"/>
    <w:rsid w:val="00B727C0"/>
    <w:rsid w:val="00B737EB"/>
    <w:rsid w:val="00B73C0C"/>
    <w:rsid w:val="00B74C1F"/>
    <w:rsid w:val="00B74D4D"/>
    <w:rsid w:val="00B75AC5"/>
    <w:rsid w:val="00B75BDD"/>
    <w:rsid w:val="00B76F89"/>
    <w:rsid w:val="00B772FF"/>
    <w:rsid w:val="00B80497"/>
    <w:rsid w:val="00B80CBC"/>
    <w:rsid w:val="00B811F7"/>
    <w:rsid w:val="00B812E9"/>
    <w:rsid w:val="00B82285"/>
    <w:rsid w:val="00B853AB"/>
    <w:rsid w:val="00B85732"/>
    <w:rsid w:val="00B8645E"/>
    <w:rsid w:val="00B86B11"/>
    <w:rsid w:val="00B87334"/>
    <w:rsid w:val="00B878AF"/>
    <w:rsid w:val="00B900DE"/>
    <w:rsid w:val="00B9120E"/>
    <w:rsid w:val="00B91262"/>
    <w:rsid w:val="00B92971"/>
    <w:rsid w:val="00B92D6F"/>
    <w:rsid w:val="00B9351F"/>
    <w:rsid w:val="00B959E6"/>
    <w:rsid w:val="00B95AB3"/>
    <w:rsid w:val="00B96194"/>
    <w:rsid w:val="00B97772"/>
    <w:rsid w:val="00BA0058"/>
    <w:rsid w:val="00BA0366"/>
    <w:rsid w:val="00BA0710"/>
    <w:rsid w:val="00BA10C9"/>
    <w:rsid w:val="00BA2037"/>
    <w:rsid w:val="00BA2561"/>
    <w:rsid w:val="00BA27E7"/>
    <w:rsid w:val="00BA2C61"/>
    <w:rsid w:val="00BA2E0A"/>
    <w:rsid w:val="00BA32E2"/>
    <w:rsid w:val="00BA38DB"/>
    <w:rsid w:val="00BA4B78"/>
    <w:rsid w:val="00BA581B"/>
    <w:rsid w:val="00BA5A3A"/>
    <w:rsid w:val="00BA5CD8"/>
    <w:rsid w:val="00BA5DC6"/>
    <w:rsid w:val="00BA60BE"/>
    <w:rsid w:val="00BA6196"/>
    <w:rsid w:val="00BA6654"/>
    <w:rsid w:val="00BA7E58"/>
    <w:rsid w:val="00BB0389"/>
    <w:rsid w:val="00BB0FA3"/>
    <w:rsid w:val="00BB251C"/>
    <w:rsid w:val="00BB4217"/>
    <w:rsid w:val="00BB42C0"/>
    <w:rsid w:val="00BB441F"/>
    <w:rsid w:val="00BB4946"/>
    <w:rsid w:val="00BB4FFD"/>
    <w:rsid w:val="00BB599C"/>
    <w:rsid w:val="00BB5BDD"/>
    <w:rsid w:val="00BB5D59"/>
    <w:rsid w:val="00BB64AF"/>
    <w:rsid w:val="00BC0A08"/>
    <w:rsid w:val="00BC1A56"/>
    <w:rsid w:val="00BC22D6"/>
    <w:rsid w:val="00BC2363"/>
    <w:rsid w:val="00BC267D"/>
    <w:rsid w:val="00BC2CE1"/>
    <w:rsid w:val="00BC379C"/>
    <w:rsid w:val="00BC3977"/>
    <w:rsid w:val="00BC3A12"/>
    <w:rsid w:val="00BC5544"/>
    <w:rsid w:val="00BC56E5"/>
    <w:rsid w:val="00BC6D8C"/>
    <w:rsid w:val="00BC734E"/>
    <w:rsid w:val="00BC7694"/>
    <w:rsid w:val="00BD01B8"/>
    <w:rsid w:val="00BD156B"/>
    <w:rsid w:val="00BD15E4"/>
    <w:rsid w:val="00BD1606"/>
    <w:rsid w:val="00BD16C2"/>
    <w:rsid w:val="00BD1AAD"/>
    <w:rsid w:val="00BD1F31"/>
    <w:rsid w:val="00BD2A98"/>
    <w:rsid w:val="00BD2F02"/>
    <w:rsid w:val="00BD4DB1"/>
    <w:rsid w:val="00BD50D7"/>
    <w:rsid w:val="00BD5737"/>
    <w:rsid w:val="00BD5792"/>
    <w:rsid w:val="00BD5BE3"/>
    <w:rsid w:val="00BD5F70"/>
    <w:rsid w:val="00BD6DF9"/>
    <w:rsid w:val="00BE0814"/>
    <w:rsid w:val="00BE0965"/>
    <w:rsid w:val="00BE167F"/>
    <w:rsid w:val="00BE16AD"/>
    <w:rsid w:val="00BE1D14"/>
    <w:rsid w:val="00BE36A7"/>
    <w:rsid w:val="00BE50EF"/>
    <w:rsid w:val="00BE5228"/>
    <w:rsid w:val="00BE56D6"/>
    <w:rsid w:val="00BE58C2"/>
    <w:rsid w:val="00BE6279"/>
    <w:rsid w:val="00BE6E62"/>
    <w:rsid w:val="00BE7DF4"/>
    <w:rsid w:val="00BF0487"/>
    <w:rsid w:val="00BF0523"/>
    <w:rsid w:val="00BF0A44"/>
    <w:rsid w:val="00BF2FF6"/>
    <w:rsid w:val="00BF3F21"/>
    <w:rsid w:val="00BF50E9"/>
    <w:rsid w:val="00BF708A"/>
    <w:rsid w:val="00C00BCF"/>
    <w:rsid w:val="00C01500"/>
    <w:rsid w:val="00C02411"/>
    <w:rsid w:val="00C025F8"/>
    <w:rsid w:val="00C03F95"/>
    <w:rsid w:val="00C05934"/>
    <w:rsid w:val="00C068DB"/>
    <w:rsid w:val="00C06A79"/>
    <w:rsid w:val="00C06F25"/>
    <w:rsid w:val="00C104A4"/>
    <w:rsid w:val="00C118CB"/>
    <w:rsid w:val="00C134B1"/>
    <w:rsid w:val="00C13987"/>
    <w:rsid w:val="00C13B15"/>
    <w:rsid w:val="00C15ABB"/>
    <w:rsid w:val="00C162FC"/>
    <w:rsid w:val="00C167B5"/>
    <w:rsid w:val="00C16A23"/>
    <w:rsid w:val="00C16AF2"/>
    <w:rsid w:val="00C16B6D"/>
    <w:rsid w:val="00C16D84"/>
    <w:rsid w:val="00C16F61"/>
    <w:rsid w:val="00C17705"/>
    <w:rsid w:val="00C17E82"/>
    <w:rsid w:val="00C20036"/>
    <w:rsid w:val="00C204F1"/>
    <w:rsid w:val="00C20E0F"/>
    <w:rsid w:val="00C22C0A"/>
    <w:rsid w:val="00C22E3A"/>
    <w:rsid w:val="00C25B09"/>
    <w:rsid w:val="00C26303"/>
    <w:rsid w:val="00C26C07"/>
    <w:rsid w:val="00C2732B"/>
    <w:rsid w:val="00C27755"/>
    <w:rsid w:val="00C27A8D"/>
    <w:rsid w:val="00C27F96"/>
    <w:rsid w:val="00C30165"/>
    <w:rsid w:val="00C304CC"/>
    <w:rsid w:val="00C30F9C"/>
    <w:rsid w:val="00C3171E"/>
    <w:rsid w:val="00C320DA"/>
    <w:rsid w:val="00C3233A"/>
    <w:rsid w:val="00C32E9D"/>
    <w:rsid w:val="00C32F75"/>
    <w:rsid w:val="00C33577"/>
    <w:rsid w:val="00C34006"/>
    <w:rsid w:val="00C3451A"/>
    <w:rsid w:val="00C34A80"/>
    <w:rsid w:val="00C34D8B"/>
    <w:rsid w:val="00C34F7C"/>
    <w:rsid w:val="00C35272"/>
    <w:rsid w:val="00C35FD9"/>
    <w:rsid w:val="00C367FB"/>
    <w:rsid w:val="00C37133"/>
    <w:rsid w:val="00C37734"/>
    <w:rsid w:val="00C3789B"/>
    <w:rsid w:val="00C40A4E"/>
    <w:rsid w:val="00C4203C"/>
    <w:rsid w:val="00C426B1"/>
    <w:rsid w:val="00C43445"/>
    <w:rsid w:val="00C44279"/>
    <w:rsid w:val="00C45A39"/>
    <w:rsid w:val="00C45C14"/>
    <w:rsid w:val="00C47385"/>
    <w:rsid w:val="00C50009"/>
    <w:rsid w:val="00C50259"/>
    <w:rsid w:val="00C502B2"/>
    <w:rsid w:val="00C52922"/>
    <w:rsid w:val="00C52F49"/>
    <w:rsid w:val="00C539F7"/>
    <w:rsid w:val="00C55A81"/>
    <w:rsid w:val="00C606BF"/>
    <w:rsid w:val="00C60B00"/>
    <w:rsid w:val="00C6289E"/>
    <w:rsid w:val="00C63C4E"/>
    <w:rsid w:val="00C63E0B"/>
    <w:rsid w:val="00C6510A"/>
    <w:rsid w:val="00C65846"/>
    <w:rsid w:val="00C65B71"/>
    <w:rsid w:val="00C66692"/>
    <w:rsid w:val="00C66D26"/>
    <w:rsid w:val="00C7200D"/>
    <w:rsid w:val="00C728E1"/>
    <w:rsid w:val="00C72A3C"/>
    <w:rsid w:val="00C72BA7"/>
    <w:rsid w:val="00C732EA"/>
    <w:rsid w:val="00C74077"/>
    <w:rsid w:val="00C74A3A"/>
    <w:rsid w:val="00C75426"/>
    <w:rsid w:val="00C75D3F"/>
    <w:rsid w:val="00C75F50"/>
    <w:rsid w:val="00C75F87"/>
    <w:rsid w:val="00C7608E"/>
    <w:rsid w:val="00C76EAD"/>
    <w:rsid w:val="00C7701C"/>
    <w:rsid w:val="00C8119B"/>
    <w:rsid w:val="00C81543"/>
    <w:rsid w:val="00C822C7"/>
    <w:rsid w:val="00C8256A"/>
    <w:rsid w:val="00C82732"/>
    <w:rsid w:val="00C82B6B"/>
    <w:rsid w:val="00C83DE1"/>
    <w:rsid w:val="00C8443C"/>
    <w:rsid w:val="00C844BA"/>
    <w:rsid w:val="00C84DAF"/>
    <w:rsid w:val="00C84EF7"/>
    <w:rsid w:val="00C863AC"/>
    <w:rsid w:val="00C870B2"/>
    <w:rsid w:val="00C87D20"/>
    <w:rsid w:val="00C90D6A"/>
    <w:rsid w:val="00C912EE"/>
    <w:rsid w:val="00C918F3"/>
    <w:rsid w:val="00C93A72"/>
    <w:rsid w:val="00C93BC0"/>
    <w:rsid w:val="00C93FA6"/>
    <w:rsid w:val="00C9521D"/>
    <w:rsid w:val="00C95690"/>
    <w:rsid w:val="00C95AE7"/>
    <w:rsid w:val="00CA0359"/>
    <w:rsid w:val="00CA0C45"/>
    <w:rsid w:val="00CA0D98"/>
    <w:rsid w:val="00CA0EA9"/>
    <w:rsid w:val="00CA128E"/>
    <w:rsid w:val="00CA1779"/>
    <w:rsid w:val="00CA1AF8"/>
    <w:rsid w:val="00CA28FD"/>
    <w:rsid w:val="00CA3E69"/>
    <w:rsid w:val="00CA3E9B"/>
    <w:rsid w:val="00CA3F3D"/>
    <w:rsid w:val="00CA3FCF"/>
    <w:rsid w:val="00CA56AA"/>
    <w:rsid w:val="00CA5A72"/>
    <w:rsid w:val="00CA5B27"/>
    <w:rsid w:val="00CA60A9"/>
    <w:rsid w:val="00CA6C14"/>
    <w:rsid w:val="00CA7487"/>
    <w:rsid w:val="00CB04E4"/>
    <w:rsid w:val="00CB28B2"/>
    <w:rsid w:val="00CB31F4"/>
    <w:rsid w:val="00CB5385"/>
    <w:rsid w:val="00CB5AB8"/>
    <w:rsid w:val="00CB5DC0"/>
    <w:rsid w:val="00CB634B"/>
    <w:rsid w:val="00CB739A"/>
    <w:rsid w:val="00CB7B9B"/>
    <w:rsid w:val="00CB7DE4"/>
    <w:rsid w:val="00CC00AD"/>
    <w:rsid w:val="00CC051E"/>
    <w:rsid w:val="00CC08EF"/>
    <w:rsid w:val="00CC0DE8"/>
    <w:rsid w:val="00CC231E"/>
    <w:rsid w:val="00CC26AA"/>
    <w:rsid w:val="00CC2F1F"/>
    <w:rsid w:val="00CC349E"/>
    <w:rsid w:val="00CC36DF"/>
    <w:rsid w:val="00CC3A85"/>
    <w:rsid w:val="00CC3D2A"/>
    <w:rsid w:val="00CC57EF"/>
    <w:rsid w:val="00CC637D"/>
    <w:rsid w:val="00CC6A10"/>
    <w:rsid w:val="00CC72B6"/>
    <w:rsid w:val="00CC76E7"/>
    <w:rsid w:val="00CD04D9"/>
    <w:rsid w:val="00CD0F31"/>
    <w:rsid w:val="00CD249A"/>
    <w:rsid w:val="00CD3498"/>
    <w:rsid w:val="00CD38A6"/>
    <w:rsid w:val="00CD3988"/>
    <w:rsid w:val="00CD419C"/>
    <w:rsid w:val="00CD48B6"/>
    <w:rsid w:val="00CD5466"/>
    <w:rsid w:val="00CD5F4A"/>
    <w:rsid w:val="00CD70C6"/>
    <w:rsid w:val="00CD76A8"/>
    <w:rsid w:val="00CE003A"/>
    <w:rsid w:val="00CE06B8"/>
    <w:rsid w:val="00CE2186"/>
    <w:rsid w:val="00CE3215"/>
    <w:rsid w:val="00CE3415"/>
    <w:rsid w:val="00CE345B"/>
    <w:rsid w:val="00CE4740"/>
    <w:rsid w:val="00CE528E"/>
    <w:rsid w:val="00CE54EE"/>
    <w:rsid w:val="00CE55AC"/>
    <w:rsid w:val="00CE5BF2"/>
    <w:rsid w:val="00CE60B3"/>
    <w:rsid w:val="00CE6206"/>
    <w:rsid w:val="00CE6314"/>
    <w:rsid w:val="00CE6E8D"/>
    <w:rsid w:val="00CE7B1C"/>
    <w:rsid w:val="00CE7E80"/>
    <w:rsid w:val="00CF07D7"/>
    <w:rsid w:val="00CF09CF"/>
    <w:rsid w:val="00CF0A0C"/>
    <w:rsid w:val="00CF1866"/>
    <w:rsid w:val="00CF2434"/>
    <w:rsid w:val="00CF2516"/>
    <w:rsid w:val="00CF28E3"/>
    <w:rsid w:val="00CF2C41"/>
    <w:rsid w:val="00CF437D"/>
    <w:rsid w:val="00CF5145"/>
    <w:rsid w:val="00CF5732"/>
    <w:rsid w:val="00CF67EF"/>
    <w:rsid w:val="00CF6C6E"/>
    <w:rsid w:val="00CF6C9A"/>
    <w:rsid w:val="00CF7BC5"/>
    <w:rsid w:val="00D00536"/>
    <w:rsid w:val="00D00BE2"/>
    <w:rsid w:val="00D00E15"/>
    <w:rsid w:val="00D00F84"/>
    <w:rsid w:val="00D0218D"/>
    <w:rsid w:val="00D02B16"/>
    <w:rsid w:val="00D031AF"/>
    <w:rsid w:val="00D038BA"/>
    <w:rsid w:val="00D04DE6"/>
    <w:rsid w:val="00D05BDF"/>
    <w:rsid w:val="00D06021"/>
    <w:rsid w:val="00D0694D"/>
    <w:rsid w:val="00D104A4"/>
    <w:rsid w:val="00D11147"/>
    <w:rsid w:val="00D122B7"/>
    <w:rsid w:val="00D12A37"/>
    <w:rsid w:val="00D12B3C"/>
    <w:rsid w:val="00D12E9D"/>
    <w:rsid w:val="00D12EE6"/>
    <w:rsid w:val="00D12F0B"/>
    <w:rsid w:val="00D13CA1"/>
    <w:rsid w:val="00D140A5"/>
    <w:rsid w:val="00D14358"/>
    <w:rsid w:val="00D160F6"/>
    <w:rsid w:val="00D1659E"/>
    <w:rsid w:val="00D16611"/>
    <w:rsid w:val="00D17748"/>
    <w:rsid w:val="00D17886"/>
    <w:rsid w:val="00D216CD"/>
    <w:rsid w:val="00D22820"/>
    <w:rsid w:val="00D22954"/>
    <w:rsid w:val="00D234AA"/>
    <w:rsid w:val="00D23647"/>
    <w:rsid w:val="00D236AA"/>
    <w:rsid w:val="00D23B4D"/>
    <w:rsid w:val="00D243AB"/>
    <w:rsid w:val="00D24D1A"/>
    <w:rsid w:val="00D26019"/>
    <w:rsid w:val="00D2634E"/>
    <w:rsid w:val="00D268B1"/>
    <w:rsid w:val="00D26B42"/>
    <w:rsid w:val="00D274E3"/>
    <w:rsid w:val="00D3052B"/>
    <w:rsid w:val="00D305C0"/>
    <w:rsid w:val="00D30EF0"/>
    <w:rsid w:val="00D33326"/>
    <w:rsid w:val="00D33FD7"/>
    <w:rsid w:val="00D34469"/>
    <w:rsid w:val="00D3468D"/>
    <w:rsid w:val="00D34C5D"/>
    <w:rsid w:val="00D34FCF"/>
    <w:rsid w:val="00D3671D"/>
    <w:rsid w:val="00D36C5A"/>
    <w:rsid w:val="00D37821"/>
    <w:rsid w:val="00D40CC8"/>
    <w:rsid w:val="00D4145E"/>
    <w:rsid w:val="00D42BC0"/>
    <w:rsid w:val="00D434C5"/>
    <w:rsid w:val="00D435AD"/>
    <w:rsid w:val="00D43737"/>
    <w:rsid w:val="00D438C3"/>
    <w:rsid w:val="00D45468"/>
    <w:rsid w:val="00D455EA"/>
    <w:rsid w:val="00D47AF7"/>
    <w:rsid w:val="00D5018D"/>
    <w:rsid w:val="00D515D4"/>
    <w:rsid w:val="00D51ABE"/>
    <w:rsid w:val="00D52914"/>
    <w:rsid w:val="00D54397"/>
    <w:rsid w:val="00D544C1"/>
    <w:rsid w:val="00D54E82"/>
    <w:rsid w:val="00D5543D"/>
    <w:rsid w:val="00D554F6"/>
    <w:rsid w:val="00D57CDC"/>
    <w:rsid w:val="00D600DA"/>
    <w:rsid w:val="00D624C0"/>
    <w:rsid w:val="00D62692"/>
    <w:rsid w:val="00D62A15"/>
    <w:rsid w:val="00D62E42"/>
    <w:rsid w:val="00D63B24"/>
    <w:rsid w:val="00D63F2C"/>
    <w:rsid w:val="00D64329"/>
    <w:rsid w:val="00D64D48"/>
    <w:rsid w:val="00D64E81"/>
    <w:rsid w:val="00D65774"/>
    <w:rsid w:val="00D66455"/>
    <w:rsid w:val="00D670D8"/>
    <w:rsid w:val="00D67833"/>
    <w:rsid w:val="00D727E8"/>
    <w:rsid w:val="00D75367"/>
    <w:rsid w:val="00D755AD"/>
    <w:rsid w:val="00D7627E"/>
    <w:rsid w:val="00D76631"/>
    <w:rsid w:val="00D77A0E"/>
    <w:rsid w:val="00D77EA5"/>
    <w:rsid w:val="00D802AB"/>
    <w:rsid w:val="00D805FC"/>
    <w:rsid w:val="00D81805"/>
    <w:rsid w:val="00D81B37"/>
    <w:rsid w:val="00D830B2"/>
    <w:rsid w:val="00D831B8"/>
    <w:rsid w:val="00D83847"/>
    <w:rsid w:val="00D846C5"/>
    <w:rsid w:val="00D8472B"/>
    <w:rsid w:val="00D851AB"/>
    <w:rsid w:val="00D857D2"/>
    <w:rsid w:val="00D8586A"/>
    <w:rsid w:val="00D860F5"/>
    <w:rsid w:val="00D86DBD"/>
    <w:rsid w:val="00D86DD3"/>
    <w:rsid w:val="00D86ECD"/>
    <w:rsid w:val="00D8730B"/>
    <w:rsid w:val="00D9051D"/>
    <w:rsid w:val="00D905CC"/>
    <w:rsid w:val="00D90CA2"/>
    <w:rsid w:val="00D91A74"/>
    <w:rsid w:val="00D94258"/>
    <w:rsid w:val="00D952C7"/>
    <w:rsid w:val="00D97850"/>
    <w:rsid w:val="00DA114F"/>
    <w:rsid w:val="00DA16E9"/>
    <w:rsid w:val="00DA1730"/>
    <w:rsid w:val="00DA2529"/>
    <w:rsid w:val="00DA393A"/>
    <w:rsid w:val="00DA3EDF"/>
    <w:rsid w:val="00DA4114"/>
    <w:rsid w:val="00DA455F"/>
    <w:rsid w:val="00DA6EB6"/>
    <w:rsid w:val="00DA7C99"/>
    <w:rsid w:val="00DA7F7C"/>
    <w:rsid w:val="00DB0707"/>
    <w:rsid w:val="00DB0A82"/>
    <w:rsid w:val="00DB0DBE"/>
    <w:rsid w:val="00DB1072"/>
    <w:rsid w:val="00DB130A"/>
    <w:rsid w:val="00DB189E"/>
    <w:rsid w:val="00DB18E5"/>
    <w:rsid w:val="00DB1FC1"/>
    <w:rsid w:val="00DB2369"/>
    <w:rsid w:val="00DB251D"/>
    <w:rsid w:val="00DB261A"/>
    <w:rsid w:val="00DB2D6A"/>
    <w:rsid w:val="00DB30BE"/>
    <w:rsid w:val="00DB3939"/>
    <w:rsid w:val="00DB43BC"/>
    <w:rsid w:val="00DB5456"/>
    <w:rsid w:val="00DB54CA"/>
    <w:rsid w:val="00DB6B1F"/>
    <w:rsid w:val="00DB7A26"/>
    <w:rsid w:val="00DB7FD3"/>
    <w:rsid w:val="00DC062A"/>
    <w:rsid w:val="00DC0F15"/>
    <w:rsid w:val="00DC1015"/>
    <w:rsid w:val="00DC10A1"/>
    <w:rsid w:val="00DC2056"/>
    <w:rsid w:val="00DC241E"/>
    <w:rsid w:val="00DC4046"/>
    <w:rsid w:val="00DC655F"/>
    <w:rsid w:val="00DC76A8"/>
    <w:rsid w:val="00DD0019"/>
    <w:rsid w:val="00DD0A6B"/>
    <w:rsid w:val="00DD0F22"/>
    <w:rsid w:val="00DD1741"/>
    <w:rsid w:val="00DD3601"/>
    <w:rsid w:val="00DD4A7F"/>
    <w:rsid w:val="00DD531D"/>
    <w:rsid w:val="00DD53A4"/>
    <w:rsid w:val="00DD617A"/>
    <w:rsid w:val="00DD61DB"/>
    <w:rsid w:val="00DD6264"/>
    <w:rsid w:val="00DD7BBA"/>
    <w:rsid w:val="00DD7BC9"/>
    <w:rsid w:val="00DD7EBD"/>
    <w:rsid w:val="00DE0515"/>
    <w:rsid w:val="00DE0983"/>
    <w:rsid w:val="00DE0FD9"/>
    <w:rsid w:val="00DE12B6"/>
    <w:rsid w:val="00DE295D"/>
    <w:rsid w:val="00DE2A62"/>
    <w:rsid w:val="00DE2B4D"/>
    <w:rsid w:val="00DE34D4"/>
    <w:rsid w:val="00DE4EC0"/>
    <w:rsid w:val="00DE5B59"/>
    <w:rsid w:val="00DE5D9B"/>
    <w:rsid w:val="00DE6939"/>
    <w:rsid w:val="00DF0D95"/>
    <w:rsid w:val="00DF1677"/>
    <w:rsid w:val="00DF1735"/>
    <w:rsid w:val="00DF2770"/>
    <w:rsid w:val="00DF2C63"/>
    <w:rsid w:val="00DF480C"/>
    <w:rsid w:val="00DF5485"/>
    <w:rsid w:val="00DF582C"/>
    <w:rsid w:val="00DF62B6"/>
    <w:rsid w:val="00DF6896"/>
    <w:rsid w:val="00DF7DB3"/>
    <w:rsid w:val="00E00AFA"/>
    <w:rsid w:val="00E00FB6"/>
    <w:rsid w:val="00E03157"/>
    <w:rsid w:val="00E0334B"/>
    <w:rsid w:val="00E04CD4"/>
    <w:rsid w:val="00E058C8"/>
    <w:rsid w:val="00E0620F"/>
    <w:rsid w:val="00E0660D"/>
    <w:rsid w:val="00E06892"/>
    <w:rsid w:val="00E06AEE"/>
    <w:rsid w:val="00E07225"/>
    <w:rsid w:val="00E104AB"/>
    <w:rsid w:val="00E1053E"/>
    <w:rsid w:val="00E11273"/>
    <w:rsid w:val="00E1154F"/>
    <w:rsid w:val="00E11D6F"/>
    <w:rsid w:val="00E1207C"/>
    <w:rsid w:val="00E12AFD"/>
    <w:rsid w:val="00E14FB1"/>
    <w:rsid w:val="00E15562"/>
    <w:rsid w:val="00E155B7"/>
    <w:rsid w:val="00E172B4"/>
    <w:rsid w:val="00E207E2"/>
    <w:rsid w:val="00E20E14"/>
    <w:rsid w:val="00E21D6F"/>
    <w:rsid w:val="00E24343"/>
    <w:rsid w:val="00E248A3"/>
    <w:rsid w:val="00E268C2"/>
    <w:rsid w:val="00E30135"/>
    <w:rsid w:val="00E30160"/>
    <w:rsid w:val="00E304D8"/>
    <w:rsid w:val="00E3191C"/>
    <w:rsid w:val="00E31A73"/>
    <w:rsid w:val="00E31D63"/>
    <w:rsid w:val="00E32012"/>
    <w:rsid w:val="00E33BD7"/>
    <w:rsid w:val="00E34C32"/>
    <w:rsid w:val="00E36916"/>
    <w:rsid w:val="00E37650"/>
    <w:rsid w:val="00E37D94"/>
    <w:rsid w:val="00E404DC"/>
    <w:rsid w:val="00E4058C"/>
    <w:rsid w:val="00E41AA7"/>
    <w:rsid w:val="00E42E35"/>
    <w:rsid w:val="00E4369A"/>
    <w:rsid w:val="00E43FC4"/>
    <w:rsid w:val="00E447A7"/>
    <w:rsid w:val="00E45AEF"/>
    <w:rsid w:val="00E4632D"/>
    <w:rsid w:val="00E4699A"/>
    <w:rsid w:val="00E469C7"/>
    <w:rsid w:val="00E46BD0"/>
    <w:rsid w:val="00E46EE4"/>
    <w:rsid w:val="00E47F69"/>
    <w:rsid w:val="00E5009C"/>
    <w:rsid w:val="00E50424"/>
    <w:rsid w:val="00E506BE"/>
    <w:rsid w:val="00E50C9A"/>
    <w:rsid w:val="00E51F9F"/>
    <w:rsid w:val="00E5212E"/>
    <w:rsid w:val="00E5219C"/>
    <w:rsid w:val="00E5288C"/>
    <w:rsid w:val="00E5409F"/>
    <w:rsid w:val="00E54315"/>
    <w:rsid w:val="00E54E7B"/>
    <w:rsid w:val="00E5538A"/>
    <w:rsid w:val="00E554FC"/>
    <w:rsid w:val="00E55885"/>
    <w:rsid w:val="00E56CED"/>
    <w:rsid w:val="00E56F44"/>
    <w:rsid w:val="00E60707"/>
    <w:rsid w:val="00E60810"/>
    <w:rsid w:val="00E623A0"/>
    <w:rsid w:val="00E63465"/>
    <w:rsid w:val="00E6414A"/>
    <w:rsid w:val="00E66E76"/>
    <w:rsid w:val="00E7040C"/>
    <w:rsid w:val="00E70449"/>
    <w:rsid w:val="00E70CEE"/>
    <w:rsid w:val="00E71155"/>
    <w:rsid w:val="00E72298"/>
    <w:rsid w:val="00E73C71"/>
    <w:rsid w:val="00E7414F"/>
    <w:rsid w:val="00E74949"/>
    <w:rsid w:val="00E74CDB"/>
    <w:rsid w:val="00E75FEA"/>
    <w:rsid w:val="00E8026C"/>
    <w:rsid w:val="00E80CC0"/>
    <w:rsid w:val="00E83662"/>
    <w:rsid w:val="00E83E39"/>
    <w:rsid w:val="00E84A3D"/>
    <w:rsid w:val="00E84C10"/>
    <w:rsid w:val="00E84C6F"/>
    <w:rsid w:val="00E85BEC"/>
    <w:rsid w:val="00E86853"/>
    <w:rsid w:val="00E869F6"/>
    <w:rsid w:val="00E870F4"/>
    <w:rsid w:val="00E871B4"/>
    <w:rsid w:val="00E87914"/>
    <w:rsid w:val="00E87DE3"/>
    <w:rsid w:val="00E87E19"/>
    <w:rsid w:val="00E90B2A"/>
    <w:rsid w:val="00E90B50"/>
    <w:rsid w:val="00E919EB"/>
    <w:rsid w:val="00E92071"/>
    <w:rsid w:val="00E92AF6"/>
    <w:rsid w:val="00E93EA4"/>
    <w:rsid w:val="00E942B0"/>
    <w:rsid w:val="00E94322"/>
    <w:rsid w:val="00E94C1B"/>
    <w:rsid w:val="00E94C74"/>
    <w:rsid w:val="00E9579E"/>
    <w:rsid w:val="00E95CAA"/>
    <w:rsid w:val="00E96452"/>
    <w:rsid w:val="00E96674"/>
    <w:rsid w:val="00E96B4B"/>
    <w:rsid w:val="00E973CB"/>
    <w:rsid w:val="00E97E07"/>
    <w:rsid w:val="00EA004F"/>
    <w:rsid w:val="00EA1749"/>
    <w:rsid w:val="00EA1B8B"/>
    <w:rsid w:val="00EA2589"/>
    <w:rsid w:val="00EA26A3"/>
    <w:rsid w:val="00EA2D81"/>
    <w:rsid w:val="00EA41A0"/>
    <w:rsid w:val="00EA45E2"/>
    <w:rsid w:val="00EA52DC"/>
    <w:rsid w:val="00EA5568"/>
    <w:rsid w:val="00EA64B9"/>
    <w:rsid w:val="00EB00E0"/>
    <w:rsid w:val="00EB0ED4"/>
    <w:rsid w:val="00EB1284"/>
    <w:rsid w:val="00EB2C44"/>
    <w:rsid w:val="00EB381A"/>
    <w:rsid w:val="00EB3EA4"/>
    <w:rsid w:val="00EB44D3"/>
    <w:rsid w:val="00EB45E8"/>
    <w:rsid w:val="00EB662D"/>
    <w:rsid w:val="00EB697D"/>
    <w:rsid w:val="00EB6DD1"/>
    <w:rsid w:val="00EB7AE5"/>
    <w:rsid w:val="00EC0185"/>
    <w:rsid w:val="00EC7832"/>
    <w:rsid w:val="00ED0158"/>
    <w:rsid w:val="00ED17EC"/>
    <w:rsid w:val="00ED305E"/>
    <w:rsid w:val="00ED3237"/>
    <w:rsid w:val="00ED3899"/>
    <w:rsid w:val="00ED3976"/>
    <w:rsid w:val="00ED3EC8"/>
    <w:rsid w:val="00ED49DC"/>
    <w:rsid w:val="00ED4A2F"/>
    <w:rsid w:val="00ED65C8"/>
    <w:rsid w:val="00ED68E3"/>
    <w:rsid w:val="00ED6921"/>
    <w:rsid w:val="00ED6A8F"/>
    <w:rsid w:val="00EE1A5E"/>
    <w:rsid w:val="00EE2179"/>
    <w:rsid w:val="00EE2471"/>
    <w:rsid w:val="00EE514A"/>
    <w:rsid w:val="00EE543E"/>
    <w:rsid w:val="00EE5A18"/>
    <w:rsid w:val="00EE60A2"/>
    <w:rsid w:val="00EE685E"/>
    <w:rsid w:val="00EE694D"/>
    <w:rsid w:val="00EE73BE"/>
    <w:rsid w:val="00EE7987"/>
    <w:rsid w:val="00EE7C4A"/>
    <w:rsid w:val="00EE7D05"/>
    <w:rsid w:val="00EF034C"/>
    <w:rsid w:val="00EF1765"/>
    <w:rsid w:val="00EF201A"/>
    <w:rsid w:val="00EF21DA"/>
    <w:rsid w:val="00EF3D9F"/>
    <w:rsid w:val="00EF42A2"/>
    <w:rsid w:val="00EF4B75"/>
    <w:rsid w:val="00EF54B5"/>
    <w:rsid w:val="00EF58AA"/>
    <w:rsid w:val="00EF7FCF"/>
    <w:rsid w:val="00F00B24"/>
    <w:rsid w:val="00F00D60"/>
    <w:rsid w:val="00F01272"/>
    <w:rsid w:val="00F0128F"/>
    <w:rsid w:val="00F0136F"/>
    <w:rsid w:val="00F01780"/>
    <w:rsid w:val="00F01C79"/>
    <w:rsid w:val="00F01E73"/>
    <w:rsid w:val="00F01F22"/>
    <w:rsid w:val="00F021FA"/>
    <w:rsid w:val="00F02881"/>
    <w:rsid w:val="00F02B0C"/>
    <w:rsid w:val="00F040D7"/>
    <w:rsid w:val="00F047CB"/>
    <w:rsid w:val="00F05874"/>
    <w:rsid w:val="00F05959"/>
    <w:rsid w:val="00F05F09"/>
    <w:rsid w:val="00F06210"/>
    <w:rsid w:val="00F10CC2"/>
    <w:rsid w:val="00F11748"/>
    <w:rsid w:val="00F131D6"/>
    <w:rsid w:val="00F138D1"/>
    <w:rsid w:val="00F140E4"/>
    <w:rsid w:val="00F147FA"/>
    <w:rsid w:val="00F14D69"/>
    <w:rsid w:val="00F15FCF"/>
    <w:rsid w:val="00F22738"/>
    <w:rsid w:val="00F22FBB"/>
    <w:rsid w:val="00F253A7"/>
    <w:rsid w:val="00F2614A"/>
    <w:rsid w:val="00F26794"/>
    <w:rsid w:val="00F273CF"/>
    <w:rsid w:val="00F2741A"/>
    <w:rsid w:val="00F30997"/>
    <w:rsid w:val="00F3146E"/>
    <w:rsid w:val="00F330EE"/>
    <w:rsid w:val="00F3319E"/>
    <w:rsid w:val="00F34DA8"/>
    <w:rsid w:val="00F35877"/>
    <w:rsid w:val="00F35C78"/>
    <w:rsid w:val="00F4004B"/>
    <w:rsid w:val="00F40289"/>
    <w:rsid w:val="00F40922"/>
    <w:rsid w:val="00F41BA6"/>
    <w:rsid w:val="00F41C45"/>
    <w:rsid w:val="00F440C0"/>
    <w:rsid w:val="00F450CA"/>
    <w:rsid w:val="00F45CAA"/>
    <w:rsid w:val="00F46236"/>
    <w:rsid w:val="00F46412"/>
    <w:rsid w:val="00F50E03"/>
    <w:rsid w:val="00F51D9A"/>
    <w:rsid w:val="00F51E0C"/>
    <w:rsid w:val="00F530FB"/>
    <w:rsid w:val="00F54ED1"/>
    <w:rsid w:val="00F55824"/>
    <w:rsid w:val="00F55EB9"/>
    <w:rsid w:val="00F57480"/>
    <w:rsid w:val="00F57ACA"/>
    <w:rsid w:val="00F60F87"/>
    <w:rsid w:val="00F62179"/>
    <w:rsid w:val="00F62E97"/>
    <w:rsid w:val="00F62FFB"/>
    <w:rsid w:val="00F638C7"/>
    <w:rsid w:val="00F64209"/>
    <w:rsid w:val="00F64496"/>
    <w:rsid w:val="00F651B5"/>
    <w:rsid w:val="00F65FA6"/>
    <w:rsid w:val="00F6607E"/>
    <w:rsid w:val="00F662FA"/>
    <w:rsid w:val="00F663EF"/>
    <w:rsid w:val="00F66AA2"/>
    <w:rsid w:val="00F66CE6"/>
    <w:rsid w:val="00F66D37"/>
    <w:rsid w:val="00F71196"/>
    <w:rsid w:val="00F71A14"/>
    <w:rsid w:val="00F724B0"/>
    <w:rsid w:val="00F72B31"/>
    <w:rsid w:val="00F736D5"/>
    <w:rsid w:val="00F73E29"/>
    <w:rsid w:val="00F756BF"/>
    <w:rsid w:val="00F75A30"/>
    <w:rsid w:val="00F7755B"/>
    <w:rsid w:val="00F77C12"/>
    <w:rsid w:val="00F77D20"/>
    <w:rsid w:val="00F83A70"/>
    <w:rsid w:val="00F83E49"/>
    <w:rsid w:val="00F8568F"/>
    <w:rsid w:val="00F87AB5"/>
    <w:rsid w:val="00F87CAE"/>
    <w:rsid w:val="00F90487"/>
    <w:rsid w:val="00F9056B"/>
    <w:rsid w:val="00F90677"/>
    <w:rsid w:val="00F91281"/>
    <w:rsid w:val="00F918E1"/>
    <w:rsid w:val="00F93ADE"/>
    <w:rsid w:val="00F93BF5"/>
    <w:rsid w:val="00F94351"/>
    <w:rsid w:val="00F9476E"/>
    <w:rsid w:val="00F948B7"/>
    <w:rsid w:val="00F952DE"/>
    <w:rsid w:val="00F954EA"/>
    <w:rsid w:val="00F95BC0"/>
    <w:rsid w:val="00F95CB1"/>
    <w:rsid w:val="00F96246"/>
    <w:rsid w:val="00F9692D"/>
    <w:rsid w:val="00F96F63"/>
    <w:rsid w:val="00F97FCB"/>
    <w:rsid w:val="00FA033F"/>
    <w:rsid w:val="00FA20D5"/>
    <w:rsid w:val="00FA2563"/>
    <w:rsid w:val="00FA2958"/>
    <w:rsid w:val="00FA3284"/>
    <w:rsid w:val="00FA34B8"/>
    <w:rsid w:val="00FA3555"/>
    <w:rsid w:val="00FA3CF8"/>
    <w:rsid w:val="00FA4B9D"/>
    <w:rsid w:val="00FA5320"/>
    <w:rsid w:val="00FA5797"/>
    <w:rsid w:val="00FA5A7E"/>
    <w:rsid w:val="00FA6295"/>
    <w:rsid w:val="00FA6456"/>
    <w:rsid w:val="00FA738B"/>
    <w:rsid w:val="00FA7FD7"/>
    <w:rsid w:val="00FB06C0"/>
    <w:rsid w:val="00FB0771"/>
    <w:rsid w:val="00FB08FB"/>
    <w:rsid w:val="00FB0983"/>
    <w:rsid w:val="00FB0C4F"/>
    <w:rsid w:val="00FB0F7C"/>
    <w:rsid w:val="00FB11B9"/>
    <w:rsid w:val="00FB2779"/>
    <w:rsid w:val="00FB2A1C"/>
    <w:rsid w:val="00FB368C"/>
    <w:rsid w:val="00FB444B"/>
    <w:rsid w:val="00FB46A9"/>
    <w:rsid w:val="00FB50BE"/>
    <w:rsid w:val="00FB52CA"/>
    <w:rsid w:val="00FB6AA4"/>
    <w:rsid w:val="00FB75D6"/>
    <w:rsid w:val="00FB7973"/>
    <w:rsid w:val="00FB7B48"/>
    <w:rsid w:val="00FC01C3"/>
    <w:rsid w:val="00FC0C5B"/>
    <w:rsid w:val="00FC1277"/>
    <w:rsid w:val="00FC1589"/>
    <w:rsid w:val="00FC24AE"/>
    <w:rsid w:val="00FC291F"/>
    <w:rsid w:val="00FC3341"/>
    <w:rsid w:val="00FC3BC5"/>
    <w:rsid w:val="00FC4E43"/>
    <w:rsid w:val="00FC51D9"/>
    <w:rsid w:val="00FC565D"/>
    <w:rsid w:val="00FC6889"/>
    <w:rsid w:val="00FC7365"/>
    <w:rsid w:val="00FD0039"/>
    <w:rsid w:val="00FD0BE1"/>
    <w:rsid w:val="00FD171E"/>
    <w:rsid w:val="00FD294F"/>
    <w:rsid w:val="00FD2D82"/>
    <w:rsid w:val="00FD315D"/>
    <w:rsid w:val="00FD66E7"/>
    <w:rsid w:val="00FD6F96"/>
    <w:rsid w:val="00FD7201"/>
    <w:rsid w:val="00FD77E2"/>
    <w:rsid w:val="00FE0EE0"/>
    <w:rsid w:val="00FE0FBA"/>
    <w:rsid w:val="00FE2CAF"/>
    <w:rsid w:val="00FE300D"/>
    <w:rsid w:val="00FE33D9"/>
    <w:rsid w:val="00FE3B39"/>
    <w:rsid w:val="00FE4AB1"/>
    <w:rsid w:val="00FE509A"/>
    <w:rsid w:val="00FE535C"/>
    <w:rsid w:val="00FE605C"/>
    <w:rsid w:val="00FE65AC"/>
    <w:rsid w:val="00FE715E"/>
    <w:rsid w:val="00FE730B"/>
    <w:rsid w:val="00FE78D4"/>
    <w:rsid w:val="00FF0687"/>
    <w:rsid w:val="00FF154D"/>
    <w:rsid w:val="00FF2AC3"/>
    <w:rsid w:val="00FF361E"/>
    <w:rsid w:val="00FF379F"/>
    <w:rsid w:val="00FF38C2"/>
    <w:rsid w:val="00FF448B"/>
    <w:rsid w:val="00FF4B9A"/>
    <w:rsid w:val="00FF5050"/>
    <w:rsid w:val="00FF5E8A"/>
    <w:rsid w:val="00FF6B9D"/>
    <w:rsid w:val="00FF7419"/>
    <w:rsid w:val="00FF7796"/>
    <w:rsid w:val="026453B0"/>
    <w:rsid w:val="1BE86421"/>
    <w:rsid w:val="363EB4C3"/>
    <w:rsid w:val="3C5A074B"/>
    <w:rsid w:val="4504E3A3"/>
    <w:rsid w:val="45B67520"/>
    <w:rsid w:val="53589570"/>
    <w:rsid w:val="59FE5593"/>
    <w:rsid w:val="64999244"/>
    <w:rsid w:val="7008137D"/>
    <w:rsid w:val="76AAAB77"/>
    <w:rsid w:val="7AA6E11D"/>
    <w:rsid w:val="7F6C1144"/>
    <w:rsid w:val="7F96BAC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175FC37"/>
  <w15:docId w15:val="{AFA35E71-649C-45E5-81DB-9693E2AF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unhideWhenUsed/>
    <w:rsid w:val="00642E7B"/>
    <w:rPr>
      <w:sz w:val="20"/>
    </w:rPr>
  </w:style>
  <w:style w:type="character" w:customStyle="1" w:styleId="CommentTextChar">
    <w:name w:val="Comment Text Char"/>
    <w:link w:val="CommentText"/>
    <w:uiPriority w:val="99"/>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C3789B"/>
  </w:style>
  <w:style w:type="paragraph" w:styleId="Caption">
    <w:name w:val="caption"/>
    <w:basedOn w:val="Normal"/>
    <w:next w:val="Normal"/>
    <w:qFormat/>
    <w:rsid w:val="00121A2C"/>
    <w:pPr>
      <w:widowControl/>
      <w:spacing w:before="120" w:after="120"/>
    </w:pPr>
    <w:rPr>
      <w:b/>
      <w:snapToGrid/>
      <w:kern w:val="0"/>
    </w:rPr>
  </w:style>
  <w:style w:type="paragraph" w:styleId="Revision">
    <w:name w:val="Revision"/>
    <w:hidden/>
    <w:uiPriority w:val="99"/>
    <w:semiHidden/>
    <w:rsid w:val="00A94D95"/>
    <w:rPr>
      <w:snapToGrid w:val="0"/>
      <w:kern w:val="28"/>
      <w:sz w:val="22"/>
    </w:rPr>
  </w:style>
  <w:style w:type="character" w:customStyle="1" w:styleId="ssparacontent">
    <w:name w:val="ss_paracontent"/>
    <w:basedOn w:val="DefaultParagraphFont"/>
    <w:rsid w:val="00C8443C"/>
  </w:style>
  <w:style w:type="character" w:styleId="UnresolvedMention">
    <w:name w:val="Unresolved Mention"/>
    <w:basedOn w:val="DefaultParagraphFont"/>
    <w:uiPriority w:val="99"/>
    <w:rsid w:val="0015490A"/>
    <w:rPr>
      <w:color w:val="605E5C"/>
      <w:shd w:val="clear" w:color="auto" w:fill="E1DFDD"/>
    </w:rPr>
  </w:style>
  <w:style w:type="character" w:styleId="Emphasis">
    <w:name w:val="Emphasis"/>
    <w:uiPriority w:val="20"/>
    <w:qFormat/>
    <w:rsid w:val="001549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rural-broadband-experiment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