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6EC8" w14:paraId="5FBF9B50" w14:textId="77777777">
      <w:pPr>
        <w:jc w:val="right"/>
        <w:rPr>
          <w:b/>
          <w:sz w:val="24"/>
        </w:rPr>
      </w:pPr>
    </w:p>
    <w:p w:rsidR="007B4C78" w14:paraId="5E78EA6B" w14:textId="5B7E0C25">
      <w:pPr>
        <w:jc w:val="right"/>
        <w:rPr>
          <w:b/>
          <w:sz w:val="24"/>
        </w:rPr>
      </w:pPr>
      <w:r>
        <w:rPr>
          <w:b/>
          <w:sz w:val="24"/>
        </w:rPr>
        <w:t xml:space="preserve">DA </w:t>
      </w:r>
      <w:r w:rsidR="000A2B4C">
        <w:rPr>
          <w:b/>
          <w:sz w:val="24"/>
        </w:rPr>
        <w:t>23-482</w:t>
      </w:r>
    </w:p>
    <w:p w:rsidR="007B4C78" w14:paraId="5FC5FA37" w14:textId="49B1D270">
      <w:pPr>
        <w:spacing w:before="60"/>
        <w:jc w:val="right"/>
        <w:rPr>
          <w:b/>
          <w:sz w:val="24"/>
        </w:rPr>
      </w:pPr>
      <w:r>
        <w:rPr>
          <w:b/>
          <w:sz w:val="24"/>
        </w:rPr>
        <w:t xml:space="preserve">Released:  </w:t>
      </w:r>
      <w:r w:rsidR="00A81E03">
        <w:rPr>
          <w:b/>
          <w:sz w:val="24"/>
        </w:rPr>
        <w:t>June 6, 2023</w:t>
      </w:r>
    </w:p>
    <w:p w:rsidR="007B4C78" w14:paraId="491CE6AC" w14:textId="77777777">
      <w:pPr>
        <w:jc w:val="right"/>
        <w:rPr>
          <w:sz w:val="24"/>
        </w:rPr>
      </w:pPr>
    </w:p>
    <w:p w:rsidR="008013E2" w:rsidP="00F41302" w14:paraId="40596A99" w14:textId="4930AC7C">
      <w:pPr>
        <w:jc w:val="center"/>
        <w:rPr>
          <w:rFonts w:ascii="Times New Roman Bold" w:hAnsi="Times New Roman Bold"/>
          <w:b/>
          <w:caps/>
          <w:sz w:val="24"/>
        </w:rPr>
      </w:pPr>
      <w:r>
        <w:rPr>
          <w:rFonts w:ascii="Times New Roman Bold" w:hAnsi="Times New Roman Bold"/>
          <w:b/>
          <w:caps/>
          <w:sz w:val="24"/>
        </w:rPr>
        <w:t>P</w:t>
      </w:r>
      <w:r w:rsidR="00565463">
        <w:rPr>
          <w:rFonts w:ascii="Times New Roman Bold" w:hAnsi="Times New Roman Bold"/>
          <w:b/>
          <w:caps/>
          <w:sz w:val="24"/>
        </w:rPr>
        <w:t xml:space="preserve">UBLIC SAFETY AND HOMELAND SECURITY BUREAU </w:t>
      </w:r>
      <w:r w:rsidR="00C6447C">
        <w:rPr>
          <w:rFonts w:ascii="Times New Roman Bold" w:hAnsi="Times New Roman Bold"/>
          <w:b/>
          <w:caps/>
          <w:sz w:val="24"/>
        </w:rPr>
        <w:t xml:space="preserve">updates </w:t>
      </w:r>
      <w:r w:rsidR="00CA0D04">
        <w:rPr>
          <w:rFonts w:ascii="Times New Roman Bold" w:hAnsi="Times New Roman Bold"/>
          <w:b/>
          <w:caps/>
          <w:sz w:val="24"/>
        </w:rPr>
        <w:t>GUIDANCE</w:t>
      </w:r>
      <w:r w:rsidR="00A27C26">
        <w:rPr>
          <w:rFonts w:ascii="Times New Roman Bold" w:hAnsi="Times New Roman Bold"/>
          <w:b/>
          <w:caps/>
          <w:sz w:val="24"/>
        </w:rPr>
        <w:t xml:space="preserve"> </w:t>
      </w:r>
      <w:r w:rsidR="00F625CA">
        <w:rPr>
          <w:rFonts w:ascii="Times New Roman Bold" w:hAnsi="Times New Roman Bold"/>
          <w:b/>
          <w:caps/>
          <w:sz w:val="24"/>
        </w:rPr>
        <w:t xml:space="preserve">for Filing State Emergency Alert System (EAS) </w:t>
      </w:r>
      <w:r w:rsidR="00F41302">
        <w:rPr>
          <w:rFonts w:ascii="Times New Roman Bold" w:hAnsi="Times New Roman Bold"/>
          <w:b/>
          <w:caps/>
          <w:sz w:val="24"/>
        </w:rPr>
        <w:t xml:space="preserve">Plans and </w:t>
      </w:r>
      <w:r w:rsidR="00D20342">
        <w:rPr>
          <w:rFonts w:ascii="Times New Roman Bold" w:hAnsi="Times New Roman Bold"/>
          <w:b/>
          <w:caps/>
          <w:sz w:val="24"/>
        </w:rPr>
        <w:t xml:space="preserve">monitoring assignment amendments </w:t>
      </w:r>
      <w:r w:rsidR="003F7E35">
        <w:rPr>
          <w:rFonts w:ascii="Times New Roman Bold" w:hAnsi="Times New Roman Bold"/>
          <w:b/>
          <w:caps/>
          <w:sz w:val="24"/>
        </w:rPr>
        <w:t xml:space="preserve">in the </w:t>
      </w:r>
    </w:p>
    <w:p w:rsidR="004146B1" w:rsidP="00F41302" w14:paraId="58D133CE" w14:textId="4FBA7CFA">
      <w:pPr>
        <w:jc w:val="center"/>
        <w:rPr>
          <w:rFonts w:ascii="Times New Roman Bold" w:hAnsi="Times New Roman Bold"/>
          <w:b/>
          <w:caps/>
          <w:sz w:val="24"/>
        </w:rPr>
      </w:pPr>
      <w:r>
        <w:rPr>
          <w:rFonts w:ascii="Times New Roman Bold" w:hAnsi="Times New Roman Bold"/>
          <w:b/>
          <w:caps/>
          <w:sz w:val="24"/>
        </w:rPr>
        <w:t xml:space="preserve">Alert Reporting System (ARS) </w:t>
      </w:r>
      <w:r w:rsidR="00F625CA">
        <w:rPr>
          <w:rFonts w:ascii="Times New Roman Bold" w:hAnsi="Times New Roman Bold"/>
          <w:b/>
          <w:caps/>
          <w:sz w:val="24"/>
        </w:rPr>
        <w:t xml:space="preserve"> </w:t>
      </w:r>
    </w:p>
    <w:p w:rsidR="007469C1" w14:paraId="71E08BC2" w14:textId="77777777">
      <w:pPr>
        <w:jc w:val="center"/>
        <w:rPr>
          <w:b/>
          <w:sz w:val="24"/>
        </w:rPr>
      </w:pPr>
    </w:p>
    <w:p w:rsidR="007B4C78" w14:paraId="0C48CD5A" w14:textId="4EBD7F4E">
      <w:pPr>
        <w:jc w:val="center"/>
        <w:rPr>
          <w:b/>
          <w:sz w:val="24"/>
        </w:rPr>
      </w:pPr>
      <w:r>
        <w:rPr>
          <w:b/>
          <w:sz w:val="24"/>
        </w:rPr>
        <w:t xml:space="preserve">PS Docket 15-94 </w:t>
      </w:r>
    </w:p>
    <w:p w:rsidR="007B4C78" w14:paraId="2FE23B84" w14:textId="77777777">
      <w:bookmarkStart w:id="0" w:name="TOChere"/>
    </w:p>
    <w:p w:rsidR="00F625CA" w:rsidP="00D052B2" w14:paraId="362E4BDB" w14:textId="470F2CD2">
      <w:pPr>
        <w:pStyle w:val="ParaNum"/>
        <w:numPr>
          <w:ilvl w:val="0"/>
          <w:numId w:val="0"/>
        </w:numPr>
        <w:snapToGrid w:val="0"/>
        <w:ind w:firstLine="720"/>
      </w:pPr>
      <w:r>
        <w:t>By this Public Notice</w:t>
      </w:r>
      <w:r w:rsidR="009B1F43">
        <w:t>,</w:t>
      </w:r>
      <w:r>
        <w:t xml:space="preserve"> the </w:t>
      </w:r>
      <w:r w:rsidR="00F12987">
        <w:t>Public Safety and Homeland Security Bureau</w:t>
      </w:r>
      <w:r>
        <w:t xml:space="preserve"> </w:t>
      </w:r>
      <w:r w:rsidR="009B1F43">
        <w:t xml:space="preserve">(Bureau) </w:t>
      </w:r>
      <w:r w:rsidR="00362D86">
        <w:t xml:space="preserve">announces changes to the process </w:t>
      </w:r>
      <w:r w:rsidR="00CA0D04">
        <w:t xml:space="preserve">for </w:t>
      </w:r>
      <w:r w:rsidR="00721456">
        <w:t xml:space="preserve">State Emergency Communications Committees (SECCs) </w:t>
      </w:r>
      <w:r w:rsidR="00362D86">
        <w:t xml:space="preserve">to </w:t>
      </w:r>
      <w:r w:rsidR="00CA0D04">
        <w:t>fil</w:t>
      </w:r>
      <w:r w:rsidR="00362D86">
        <w:t xml:space="preserve">e and seek the Bureau’s approval of amendments to </w:t>
      </w:r>
      <w:r w:rsidR="00CA0D04">
        <w:t xml:space="preserve">State </w:t>
      </w:r>
      <w:r w:rsidR="00696C2E">
        <w:t>E</w:t>
      </w:r>
      <w:r w:rsidR="00CA0D04">
        <w:t xml:space="preserve">mergency Alert System (EAS) </w:t>
      </w:r>
      <w:r w:rsidR="001D3978">
        <w:t>P</w:t>
      </w:r>
      <w:r w:rsidR="00CA0D04">
        <w:t>lans</w:t>
      </w:r>
      <w:r w:rsidR="00517D54">
        <w:t xml:space="preserve"> (EAS Plan</w:t>
      </w:r>
      <w:r w:rsidR="00EB2C44">
        <w:t>s</w:t>
      </w:r>
      <w:r w:rsidR="00517D54">
        <w:t>)</w:t>
      </w:r>
      <w:r w:rsidR="00CA0D04">
        <w:t xml:space="preserve"> </w:t>
      </w:r>
      <w:r w:rsidR="00880F84">
        <w:t>i</w:t>
      </w:r>
      <w:r w:rsidR="00CA0D04">
        <w:t xml:space="preserve">n the </w:t>
      </w:r>
      <w:r w:rsidR="005178BF">
        <w:t>Alert Reporting System (ARS) database</w:t>
      </w:r>
      <w:r w:rsidR="00265AEB">
        <w:t>.</w:t>
      </w:r>
      <w:r>
        <w:rPr>
          <w:rStyle w:val="FootnoteReference"/>
        </w:rPr>
        <w:footnoteReference w:id="3"/>
      </w:r>
      <w:r w:rsidR="00265AEB">
        <w:t xml:space="preserve">  </w:t>
      </w:r>
      <w:r w:rsidR="0078390B">
        <w:t xml:space="preserve">Specifically, </w:t>
      </w:r>
      <w:r w:rsidR="007A5907">
        <w:t>t</w:t>
      </w:r>
      <w:r w:rsidR="00362D86">
        <w:t>he changes described in t</w:t>
      </w:r>
      <w:r w:rsidR="00E456E4">
        <w:t>his Public Notice</w:t>
      </w:r>
      <w:r w:rsidR="005178BF">
        <w:t xml:space="preserve"> </w:t>
      </w:r>
      <w:r w:rsidR="00362D86">
        <w:t xml:space="preserve">will </w:t>
      </w:r>
      <w:r w:rsidR="007A5907">
        <w:t xml:space="preserve">allow for </w:t>
      </w:r>
      <w:r w:rsidR="00F10DA9">
        <w:t xml:space="preserve">filing of </w:t>
      </w:r>
      <w:r w:rsidR="00245CF5">
        <w:t>update</w:t>
      </w:r>
      <w:r w:rsidR="00F10DA9">
        <w:t xml:space="preserve">s to </w:t>
      </w:r>
      <w:r w:rsidR="00245CF5">
        <w:t>EAS Plan</w:t>
      </w:r>
      <w:r w:rsidR="00F10DA9">
        <w:t>s</w:t>
      </w:r>
      <w:r w:rsidR="00245CF5">
        <w:t xml:space="preserve"> </w:t>
      </w:r>
      <w:r w:rsidR="00DE782F">
        <w:t>throughout the year</w:t>
      </w:r>
      <w:r w:rsidR="00C51881">
        <w:t xml:space="preserve"> and will streamline the </w:t>
      </w:r>
      <w:r w:rsidR="00C87378">
        <w:t>Bureau’s review and approval process</w:t>
      </w:r>
      <w:r w:rsidR="00AB610C">
        <w:t xml:space="preserve"> for updated plans</w:t>
      </w:r>
      <w:r w:rsidR="00C87378">
        <w:t xml:space="preserve">.  </w:t>
      </w:r>
      <w:r w:rsidR="00141729">
        <w:t>In addition,</w:t>
      </w:r>
      <w:r w:rsidR="00E07096">
        <w:t xml:space="preserve"> </w:t>
      </w:r>
      <w:r w:rsidR="00141729">
        <w:t>t</w:t>
      </w:r>
      <w:r w:rsidR="00D052B2">
        <w:t xml:space="preserve">his Public Notice provides </w:t>
      </w:r>
      <w:r w:rsidR="00097C7C">
        <w:t xml:space="preserve">guidance </w:t>
      </w:r>
      <w:r w:rsidR="00D052B2">
        <w:t>for SECCs on</w:t>
      </w:r>
      <w:r w:rsidR="00F75E9A">
        <w:t xml:space="preserve"> </w:t>
      </w:r>
      <w:r w:rsidR="00DB2856">
        <w:t xml:space="preserve">amending </w:t>
      </w:r>
      <w:r w:rsidR="00330D58">
        <w:t xml:space="preserve">their </w:t>
      </w:r>
      <w:r w:rsidR="00DB2856">
        <w:t xml:space="preserve">EAS plans to </w:t>
      </w:r>
      <w:r w:rsidR="001D0C50">
        <w:t xml:space="preserve">seek approval for updated monitoring assignments. </w:t>
      </w:r>
      <w:r w:rsidR="00D052B2">
        <w:t xml:space="preserve"> </w:t>
      </w:r>
    </w:p>
    <w:p w:rsidR="00937F6F" w:rsidRPr="00937F6F" w:rsidP="00744C1C" w14:paraId="4A7637F4" w14:textId="21AFDF45">
      <w:pPr>
        <w:pStyle w:val="ParaNum"/>
        <w:numPr>
          <w:ilvl w:val="0"/>
          <w:numId w:val="0"/>
        </w:numPr>
        <w:snapToGrid w:val="0"/>
        <w:rPr>
          <w:b/>
          <w:bCs/>
        </w:rPr>
      </w:pPr>
      <w:r>
        <w:rPr>
          <w:b/>
          <w:bCs/>
        </w:rPr>
        <w:t xml:space="preserve">Updated </w:t>
      </w:r>
      <w:r w:rsidRPr="00937F6F">
        <w:rPr>
          <w:b/>
          <w:bCs/>
        </w:rPr>
        <w:t xml:space="preserve">ARS Plans May </w:t>
      </w:r>
      <w:r w:rsidR="00157DD2">
        <w:rPr>
          <w:b/>
          <w:bCs/>
        </w:rPr>
        <w:t xml:space="preserve">Now </w:t>
      </w:r>
      <w:r w:rsidRPr="00937F6F">
        <w:rPr>
          <w:b/>
          <w:bCs/>
        </w:rPr>
        <w:t xml:space="preserve">Be </w:t>
      </w:r>
      <w:r>
        <w:rPr>
          <w:b/>
          <w:bCs/>
        </w:rPr>
        <w:t>S</w:t>
      </w:r>
      <w:r>
        <w:rPr>
          <w:b/>
          <w:bCs/>
        </w:rPr>
        <w:t xml:space="preserve">ubmitted </w:t>
      </w:r>
      <w:r w:rsidRPr="00937F6F">
        <w:rPr>
          <w:b/>
          <w:bCs/>
        </w:rPr>
        <w:t>Year-Round</w:t>
      </w:r>
    </w:p>
    <w:p w:rsidR="00937F6F" w:rsidP="00744C1C" w14:paraId="61803D64" w14:textId="73152C56">
      <w:pPr>
        <w:pStyle w:val="ParaNum"/>
        <w:numPr>
          <w:ilvl w:val="0"/>
          <w:numId w:val="0"/>
        </w:numPr>
        <w:snapToGrid w:val="0"/>
        <w:ind w:firstLine="720"/>
      </w:pPr>
      <w:r>
        <w:t>SECCs are required to update their State EAS Plans and submit them for Commission review and approval “not less frequently than annually.”</w:t>
      </w:r>
      <w:r>
        <w:rPr>
          <w:rStyle w:val="FootnoteReference"/>
        </w:rPr>
        <w:footnoteReference w:id="4"/>
      </w:r>
      <w:r>
        <w:t xml:space="preserve">  Previously, SECCs could file EAS Plans in ARS for review and approval only once annually.  Once the Bureau approved a filed EAS Plan, the SECC could make and save changes to it in ARS but could not submit such changes for Bureau approval until 30 days prior to the date when its annual update </w:t>
      </w:r>
      <w:r w:rsidR="00744C1C">
        <w:t xml:space="preserve">was </w:t>
      </w:r>
      <w:r>
        <w:t xml:space="preserve">due.  </w:t>
      </w:r>
    </w:p>
    <w:p w:rsidR="00937F6F" w:rsidP="008B5A27" w14:paraId="5A0AC37D" w14:textId="6C7CB945">
      <w:pPr>
        <w:pStyle w:val="ParaNum"/>
        <w:numPr>
          <w:ilvl w:val="0"/>
          <w:numId w:val="0"/>
        </w:numPr>
        <w:snapToGrid w:val="0"/>
        <w:ind w:firstLine="720"/>
      </w:pPr>
      <w:r w:rsidRPr="0041712C">
        <w:t>T</w:t>
      </w:r>
      <w:r w:rsidRPr="0041712C">
        <w:t xml:space="preserve">he Bureau </w:t>
      </w:r>
      <w:r w:rsidRPr="0041712C">
        <w:t xml:space="preserve">now </w:t>
      </w:r>
      <w:r w:rsidRPr="0041712C">
        <w:t>has implemented changes to ARS to enable SECCs to submit changes to the</w:t>
      </w:r>
      <w:r w:rsidR="00744C1C">
        <w:t>ir</w:t>
      </w:r>
      <w:r w:rsidRPr="0041712C">
        <w:t xml:space="preserve"> previously approved </w:t>
      </w:r>
      <w:r w:rsidRPr="0041712C">
        <w:t xml:space="preserve">EAS </w:t>
      </w:r>
      <w:r w:rsidRPr="0041712C">
        <w:t xml:space="preserve">Plans and seek the Bureau’s approval of such changes at any time.  </w:t>
      </w:r>
      <w:r w:rsidRPr="0041712C">
        <w:t xml:space="preserve">Bureau staff will review </w:t>
      </w:r>
      <w:r w:rsidR="00B3626E">
        <w:t xml:space="preserve">such </w:t>
      </w:r>
      <w:r w:rsidR="00063449">
        <w:t xml:space="preserve">submissions as </w:t>
      </w:r>
      <w:r w:rsidR="00744C1C">
        <w:t xml:space="preserve">they are </w:t>
      </w:r>
      <w:r w:rsidR="00063449">
        <w:t>filed</w:t>
      </w:r>
      <w:r w:rsidRPr="0041712C">
        <w:t xml:space="preserve">.  </w:t>
      </w:r>
    </w:p>
    <w:p w:rsidR="00E32712" w:rsidRPr="004146B1" w14:paraId="52D833FA" w14:textId="0FA92E30">
      <w:pPr>
        <w:pStyle w:val="ParaNum"/>
        <w:numPr>
          <w:ilvl w:val="0"/>
          <w:numId w:val="0"/>
        </w:numPr>
        <w:snapToGrid w:val="0"/>
        <w:rPr>
          <w:b/>
          <w:bCs/>
        </w:rPr>
      </w:pPr>
      <w:r>
        <w:rPr>
          <w:b/>
          <w:bCs/>
        </w:rPr>
        <w:t xml:space="preserve">Use of ARS </w:t>
      </w:r>
      <w:r w:rsidR="006E05E4">
        <w:rPr>
          <w:b/>
          <w:bCs/>
        </w:rPr>
        <w:t xml:space="preserve">for </w:t>
      </w:r>
      <w:r w:rsidRPr="004146B1">
        <w:rPr>
          <w:b/>
          <w:bCs/>
        </w:rPr>
        <w:t>Amend</w:t>
      </w:r>
      <w:r w:rsidR="002A722F">
        <w:rPr>
          <w:b/>
          <w:bCs/>
        </w:rPr>
        <w:t>ing</w:t>
      </w:r>
      <w:r w:rsidR="006E05E4">
        <w:rPr>
          <w:b/>
          <w:bCs/>
        </w:rPr>
        <w:t xml:space="preserve"> </w:t>
      </w:r>
      <w:r w:rsidR="00533ABE">
        <w:rPr>
          <w:b/>
          <w:bCs/>
        </w:rPr>
        <w:t>Monitoring Assig</w:t>
      </w:r>
      <w:r w:rsidR="00FC4C5B">
        <w:rPr>
          <w:b/>
          <w:bCs/>
        </w:rPr>
        <w:t>n</w:t>
      </w:r>
      <w:r w:rsidR="00533ABE">
        <w:rPr>
          <w:b/>
          <w:bCs/>
        </w:rPr>
        <w:t>ments</w:t>
      </w:r>
    </w:p>
    <w:p w:rsidR="005C20AB" w:rsidP="00744C1C" w14:paraId="3502A40C" w14:textId="0ECADF3B">
      <w:pPr>
        <w:pStyle w:val="ParaNum"/>
        <w:numPr>
          <w:ilvl w:val="0"/>
          <w:numId w:val="0"/>
        </w:numPr>
        <w:snapToGrid w:val="0"/>
        <w:ind w:firstLine="720"/>
      </w:pPr>
      <w:bookmarkStart w:id="1" w:name="_Hlk130202165"/>
      <w:r>
        <w:t xml:space="preserve">This </w:t>
      </w:r>
      <w:r w:rsidR="008261E2">
        <w:t>ARS system enhancement will</w:t>
      </w:r>
      <w:r w:rsidR="005E507B">
        <w:t xml:space="preserve"> </w:t>
      </w:r>
      <w:r w:rsidR="00652F3A">
        <w:t>allow</w:t>
      </w:r>
      <w:r w:rsidR="005E507B">
        <w:t xml:space="preserve"> SECCs </w:t>
      </w:r>
      <w:r w:rsidR="00652F3A">
        <w:t xml:space="preserve">to submit </w:t>
      </w:r>
      <w:r w:rsidR="00184D20">
        <w:t xml:space="preserve">and seek Bureau approval for </w:t>
      </w:r>
      <w:r w:rsidR="008261E2">
        <w:t>update</w:t>
      </w:r>
      <w:r w:rsidR="00184D20">
        <w:t>d</w:t>
      </w:r>
      <w:r w:rsidR="008261E2">
        <w:t xml:space="preserve"> monitoring assignment</w:t>
      </w:r>
      <w:r w:rsidR="00C00D4F">
        <w:t xml:space="preserve"> amendments</w:t>
      </w:r>
      <w:r w:rsidR="008261E2">
        <w:t xml:space="preserve"> in their </w:t>
      </w:r>
      <w:r w:rsidR="00472ECB">
        <w:t xml:space="preserve">EAS Plans </w:t>
      </w:r>
      <w:r w:rsidR="00184D20">
        <w:t xml:space="preserve">at </w:t>
      </w:r>
      <w:r w:rsidR="000173CA">
        <w:t xml:space="preserve">any time </w:t>
      </w:r>
      <w:r w:rsidR="00472ECB">
        <w:t>throughout the year</w:t>
      </w:r>
      <w:r w:rsidR="005E507B">
        <w:t xml:space="preserve">.  </w:t>
      </w:r>
      <w:r w:rsidRPr="0041712C" w:rsidR="007B0B82">
        <w:t xml:space="preserve">This </w:t>
      </w:r>
      <w:r w:rsidR="007B0B82">
        <w:t>feature</w:t>
      </w:r>
      <w:r w:rsidRPr="0041712C" w:rsidR="007B0B82">
        <w:t xml:space="preserve"> will enable SECCs to update their EAS Plans for new monitoring assignments that may occur at </w:t>
      </w:r>
      <w:r w:rsidRPr="0041712C" w:rsidR="007B0B82">
        <w:t xml:space="preserve">irregular intervals and keep their plans up to date.  It also will make it largely unnecessary </w:t>
      </w:r>
      <w:r w:rsidR="00C00D4F">
        <w:t>for SECCs or EAS Participants</w:t>
      </w:r>
      <w:r>
        <w:rPr>
          <w:rStyle w:val="FootnoteReference"/>
        </w:rPr>
        <w:footnoteReference w:id="5"/>
      </w:r>
      <w:r w:rsidR="00C00D4F">
        <w:t xml:space="preserve"> to</w:t>
      </w:r>
      <w:r w:rsidRPr="0041712C" w:rsidR="007B0B82">
        <w:t xml:space="preserve"> request waivers</w:t>
      </w:r>
      <w:r>
        <w:rPr>
          <w:rStyle w:val="FootnoteReference"/>
        </w:rPr>
        <w:footnoteReference w:id="6"/>
      </w:r>
      <w:r w:rsidRPr="0041712C" w:rsidR="007B0B82">
        <w:t xml:space="preserve"> to obtain approval of such changes before the annual update</w:t>
      </w:r>
      <w:r w:rsidR="00C00D4F">
        <w:t>.  A</w:t>
      </w:r>
      <w:r w:rsidRPr="0041712C" w:rsidR="007B0B82">
        <w:t xml:space="preserve">lthough </w:t>
      </w:r>
      <w:r w:rsidR="00744C1C">
        <w:t xml:space="preserve">the </w:t>
      </w:r>
      <w:r w:rsidR="00C00D4F">
        <w:t>traditional</w:t>
      </w:r>
      <w:r w:rsidRPr="0041712C" w:rsidR="007B0B82">
        <w:t xml:space="preserve"> </w:t>
      </w:r>
      <w:r w:rsidR="00744C1C">
        <w:t xml:space="preserve">monitoring waiver </w:t>
      </w:r>
      <w:r w:rsidRPr="0041712C" w:rsidR="007B0B82">
        <w:t>process will continue to be available</w:t>
      </w:r>
      <w:r w:rsidR="00C00D4F">
        <w:t>,</w:t>
      </w:r>
      <w:r w:rsidRPr="0041712C" w:rsidR="007B0B82">
        <w:t xml:space="preserve"> </w:t>
      </w:r>
      <w:r w:rsidR="00C00D4F">
        <w:t>t</w:t>
      </w:r>
      <w:r w:rsidR="007B0B82">
        <w:t xml:space="preserve">he Bureau </w:t>
      </w:r>
      <w:r w:rsidR="00744C1C">
        <w:t xml:space="preserve">encourages SECCs to use the newly </w:t>
      </w:r>
      <w:r w:rsidR="007B0B82">
        <w:t>automat</w:t>
      </w:r>
      <w:r w:rsidR="00744C1C">
        <w:t xml:space="preserve">ed EAS Plan amendment </w:t>
      </w:r>
      <w:r w:rsidR="007B0B82">
        <w:t>process incorporat</w:t>
      </w:r>
      <w:r w:rsidR="00744C1C">
        <w:t xml:space="preserve">ed </w:t>
      </w:r>
      <w:r w:rsidR="007B0B82">
        <w:t>into ARS</w:t>
      </w:r>
      <w:r w:rsidRPr="0041712C" w:rsidR="007B0B82">
        <w:t xml:space="preserve"> whenever possible.</w:t>
      </w:r>
      <w:r>
        <w:rPr>
          <w:rStyle w:val="FootnoteReference"/>
        </w:rPr>
        <w:footnoteReference w:id="7"/>
      </w:r>
      <w:r w:rsidRPr="0041712C" w:rsidR="007B0B82">
        <w:t xml:space="preserve">  </w:t>
      </w:r>
      <w:r w:rsidR="00744C1C">
        <w:t>T</w:t>
      </w:r>
      <w:r w:rsidR="007B0B82">
        <w:t>he Bureau</w:t>
      </w:r>
      <w:r w:rsidRPr="0041712C" w:rsidR="007B0B82">
        <w:t xml:space="preserve"> </w:t>
      </w:r>
      <w:r w:rsidR="00744C1C">
        <w:t xml:space="preserve">also </w:t>
      </w:r>
      <w:r w:rsidRPr="0041712C" w:rsidR="007B0B82">
        <w:t>urge</w:t>
      </w:r>
      <w:r w:rsidR="007B0B82">
        <w:t>s</w:t>
      </w:r>
      <w:r w:rsidRPr="0041712C" w:rsidR="007B0B82">
        <w:t xml:space="preserve"> EAS Participants to begin monitoring new EAS sources that they can reach immediately when they can no longer receive an old source reliably, without waiting for formal Bureau approval, to ensure the EAS system is consistently functioning during emergencies.  </w:t>
      </w:r>
    </w:p>
    <w:p w:rsidR="00C26EEF" w:rsidRPr="0041712C" w:rsidP="002C197E" w14:paraId="0300AE4C" w14:textId="249998E6">
      <w:pPr>
        <w:pStyle w:val="ParaNum"/>
        <w:numPr>
          <w:ilvl w:val="0"/>
          <w:numId w:val="0"/>
        </w:numPr>
        <w:snapToGrid w:val="0"/>
        <w:ind w:firstLine="720"/>
      </w:pPr>
      <w:r>
        <w:t xml:space="preserve">This </w:t>
      </w:r>
      <w:r w:rsidR="005C20AB">
        <w:t xml:space="preserve">monitoring assignment amendment </w:t>
      </w:r>
      <w:r>
        <w:t xml:space="preserve">option will be available to SECCs that </w:t>
      </w:r>
      <w:r w:rsidR="00856DC4">
        <w:t xml:space="preserve">are submitting or have </w:t>
      </w:r>
      <w:r>
        <w:t>already sub</w:t>
      </w:r>
      <w:r w:rsidR="00F30529">
        <w:t xml:space="preserve">mitted complete EAS </w:t>
      </w:r>
      <w:r w:rsidR="00D341C5">
        <w:t>P</w:t>
      </w:r>
      <w:r w:rsidR="00F30529">
        <w:t xml:space="preserve">lans in ARS. </w:t>
      </w:r>
      <w:r w:rsidR="00E442A4">
        <w:t xml:space="preserve"> </w:t>
      </w:r>
      <w:r w:rsidR="00C71E4F">
        <w:t xml:space="preserve">A </w:t>
      </w:r>
      <w:r w:rsidR="00624E7D">
        <w:t xml:space="preserve">monitoring assignment </w:t>
      </w:r>
      <w:r w:rsidR="00FD3F9B">
        <w:t>amendment</w:t>
      </w:r>
      <w:r w:rsidR="001C73B7">
        <w:t xml:space="preserve"> </w:t>
      </w:r>
      <w:r w:rsidR="00FD3F9B">
        <w:t>s</w:t>
      </w:r>
      <w:r w:rsidR="001C73B7">
        <w:t>ubmission</w:t>
      </w:r>
      <w:r w:rsidR="00624E7D">
        <w:t xml:space="preserve"> will be treated as a newly submitted EAS Plan.  If the </w:t>
      </w:r>
      <w:r w:rsidR="00517D54">
        <w:t xml:space="preserve">Bureau approves the </w:t>
      </w:r>
      <w:r w:rsidR="00624E7D">
        <w:t>submission, the SECC</w:t>
      </w:r>
      <w:r w:rsidR="00517D54">
        <w:t xml:space="preserve"> </w:t>
      </w:r>
      <w:r w:rsidR="00CE7EB5">
        <w:t xml:space="preserve">will be </w:t>
      </w:r>
      <w:r w:rsidR="00613870">
        <w:t xml:space="preserve">considered to have </w:t>
      </w:r>
      <w:r w:rsidR="00517D54">
        <w:t>satisfied it</w:t>
      </w:r>
      <w:r w:rsidR="00624E7D">
        <w:t>s annual filing requirement for another year</w:t>
      </w:r>
      <w:r w:rsidR="00066CEB">
        <w:t>, and its next annual update will be due one year later</w:t>
      </w:r>
      <w:r w:rsidR="00624E7D">
        <w:t xml:space="preserve">. </w:t>
      </w:r>
      <w:r w:rsidR="00C71E4F">
        <w:t xml:space="preserve"> </w:t>
      </w:r>
      <w:bookmarkEnd w:id="1"/>
    </w:p>
    <w:p w:rsidR="00F17A10" w:rsidRPr="0041712C" w:rsidP="00EF60B6" w14:paraId="1A293E30" w14:textId="5BF2C8C6">
      <w:pPr>
        <w:pStyle w:val="ParaNum"/>
        <w:numPr>
          <w:ilvl w:val="0"/>
          <w:numId w:val="0"/>
        </w:numPr>
        <w:snapToGrid w:val="0"/>
        <w:ind w:firstLine="720"/>
      </w:pPr>
      <w:r w:rsidRPr="0041712C">
        <w:rPr>
          <w:i/>
          <w:iCs/>
        </w:rPr>
        <w:t xml:space="preserve">Descriptive </w:t>
      </w:r>
      <w:r w:rsidRPr="0041712C" w:rsidR="004C0E50">
        <w:rPr>
          <w:i/>
          <w:iCs/>
        </w:rPr>
        <w:t xml:space="preserve">Narrative </w:t>
      </w:r>
      <w:r w:rsidRPr="0041712C">
        <w:rPr>
          <w:i/>
          <w:iCs/>
        </w:rPr>
        <w:t>Attachment</w:t>
      </w:r>
      <w:r w:rsidRPr="0041712C">
        <w:t xml:space="preserve">.  </w:t>
      </w:r>
      <w:r w:rsidRPr="0041712C">
        <w:t>In order to ensure prompt review and approval</w:t>
      </w:r>
      <w:r w:rsidRPr="0041712C" w:rsidR="00D67F4B">
        <w:t xml:space="preserve"> of monitoring changes</w:t>
      </w:r>
      <w:r w:rsidRPr="0041712C">
        <w:t xml:space="preserve">, </w:t>
      </w:r>
      <w:r w:rsidR="00F42A34">
        <w:t>the Bureau</w:t>
      </w:r>
      <w:r w:rsidRPr="0041712C">
        <w:t xml:space="preserve"> </w:t>
      </w:r>
      <w:r w:rsidR="004875A5">
        <w:t>reco</w:t>
      </w:r>
      <w:r w:rsidR="000B1623">
        <w:t xml:space="preserve">mmends that </w:t>
      </w:r>
      <w:r w:rsidRPr="0041712C">
        <w:t xml:space="preserve">SECCs submitting monitoring </w:t>
      </w:r>
      <w:r w:rsidRPr="0041712C" w:rsidR="00D67F4B">
        <w:t>amendments</w:t>
      </w:r>
      <w:r w:rsidRPr="0041712C">
        <w:t xml:space="preserve"> via ARS include an attachment identifying the </w:t>
      </w:r>
      <w:r w:rsidRPr="0041712C" w:rsidR="00B67F00">
        <w:t xml:space="preserve">specific </w:t>
      </w:r>
      <w:r w:rsidRPr="0041712C">
        <w:t>EAS Participant</w:t>
      </w:r>
      <w:r w:rsidRPr="0041712C" w:rsidR="00B67F00">
        <w:t xml:space="preserve">s whose monitoring assignments </w:t>
      </w:r>
      <w:r w:rsidR="00EB2C44">
        <w:t xml:space="preserve">are being </w:t>
      </w:r>
      <w:r w:rsidRPr="0041712C" w:rsidR="00B67F00">
        <w:t>modified</w:t>
      </w:r>
      <w:r w:rsidRPr="0041712C" w:rsidR="00630B44">
        <w:t xml:space="preserve"> and </w:t>
      </w:r>
      <w:r w:rsidR="00EB2C44">
        <w:t xml:space="preserve">the new assignments </w:t>
      </w:r>
      <w:r w:rsidRPr="0041712C" w:rsidR="00630B44">
        <w:t xml:space="preserve">for which </w:t>
      </w:r>
      <w:r w:rsidRPr="0041712C" w:rsidR="00EF60B6">
        <w:t xml:space="preserve">they seek </w:t>
      </w:r>
      <w:r w:rsidRPr="0041712C" w:rsidR="00630B44">
        <w:t>approval</w:t>
      </w:r>
      <w:r w:rsidRPr="0041712C" w:rsidR="00660D38">
        <w:t xml:space="preserve">.  </w:t>
      </w:r>
    </w:p>
    <w:p w:rsidR="00554CE6" w:rsidRPr="0041712C" w:rsidP="00554CE6" w14:paraId="73B15F54" w14:textId="56E43D05">
      <w:pPr>
        <w:pStyle w:val="ParaNum"/>
        <w:numPr>
          <w:ilvl w:val="0"/>
          <w:numId w:val="0"/>
        </w:numPr>
        <w:snapToGrid w:val="0"/>
        <w:rPr>
          <w:b/>
          <w:bCs/>
        </w:rPr>
      </w:pPr>
      <w:r w:rsidRPr="0041712C">
        <w:rPr>
          <w:b/>
          <w:bCs/>
        </w:rPr>
        <w:t>Plan</w:t>
      </w:r>
      <w:r w:rsidRPr="0041712C" w:rsidR="001D2D11">
        <w:rPr>
          <w:b/>
          <w:bCs/>
        </w:rPr>
        <w:t>ned</w:t>
      </w:r>
      <w:r w:rsidRPr="0041712C">
        <w:rPr>
          <w:b/>
          <w:bCs/>
        </w:rPr>
        <w:t xml:space="preserve"> </w:t>
      </w:r>
      <w:r w:rsidRPr="0041712C" w:rsidR="001600F0">
        <w:rPr>
          <w:b/>
          <w:bCs/>
        </w:rPr>
        <w:t>Monitoring Assignment</w:t>
      </w:r>
      <w:r w:rsidRPr="0041712C" w:rsidR="001D2D11">
        <w:rPr>
          <w:b/>
          <w:bCs/>
        </w:rPr>
        <w:t xml:space="preserve"> Changes</w:t>
      </w:r>
      <w:r w:rsidRPr="0041712C" w:rsidR="001600F0">
        <w:rPr>
          <w:b/>
          <w:bCs/>
        </w:rPr>
        <w:t xml:space="preserve"> </w:t>
      </w:r>
    </w:p>
    <w:p w:rsidR="00554CE6" w:rsidRPr="0041712C" w:rsidP="00EB2C44" w14:paraId="1D9DE0BF" w14:textId="3E895B80">
      <w:pPr>
        <w:pStyle w:val="ParaNum"/>
        <w:numPr>
          <w:ilvl w:val="0"/>
          <w:numId w:val="0"/>
        </w:numPr>
        <w:snapToGrid w:val="0"/>
        <w:ind w:firstLine="720"/>
      </w:pPr>
      <w:r w:rsidRPr="0041712C">
        <w:t xml:space="preserve">In addition, </w:t>
      </w:r>
      <w:r w:rsidR="00180CCA">
        <w:t xml:space="preserve">we </w:t>
      </w:r>
      <w:r w:rsidRPr="0041712C">
        <w:t>clarify that</w:t>
      </w:r>
      <w:r w:rsidRPr="0041712C" w:rsidR="00EF60B6">
        <w:t xml:space="preserve"> </w:t>
      </w:r>
      <w:r w:rsidRPr="0041712C" w:rsidR="00BE0E8F">
        <w:t>any EAS Plan filing</w:t>
      </w:r>
      <w:r w:rsidRPr="0041712C" w:rsidR="00CB1A4D">
        <w:t xml:space="preserve"> – whether </w:t>
      </w:r>
      <w:r w:rsidR="00C71E4F">
        <w:t xml:space="preserve">an </w:t>
      </w:r>
      <w:r w:rsidRPr="0041712C" w:rsidR="00CB1A4D">
        <w:t xml:space="preserve">annual </w:t>
      </w:r>
      <w:r w:rsidR="00C71E4F">
        <w:t xml:space="preserve">updated plan </w:t>
      </w:r>
      <w:r w:rsidRPr="0041712C" w:rsidR="00CB1A4D">
        <w:t>or a</w:t>
      </w:r>
      <w:r w:rsidR="00F42AE5">
        <w:t>n</w:t>
      </w:r>
      <w:r w:rsidRPr="0041712C" w:rsidR="00151F62">
        <w:t xml:space="preserve"> </w:t>
      </w:r>
      <w:r w:rsidR="00C71E4F">
        <w:t xml:space="preserve">amendment to specific </w:t>
      </w:r>
      <w:r w:rsidRPr="0041712C" w:rsidR="00CB1A4D">
        <w:t>monitoring assignment</w:t>
      </w:r>
      <w:r w:rsidR="00C71E4F">
        <w:t>s</w:t>
      </w:r>
      <w:r w:rsidR="00F42AE5">
        <w:t xml:space="preserve"> outside the regular update cycle</w:t>
      </w:r>
      <w:r w:rsidRPr="0041712C" w:rsidR="00CB1A4D">
        <w:t xml:space="preserve"> – may contain</w:t>
      </w:r>
      <w:r w:rsidRPr="0041712C">
        <w:t xml:space="preserve"> monitoring assignments </w:t>
      </w:r>
      <w:r w:rsidRPr="0041712C" w:rsidR="006066DE">
        <w:t xml:space="preserve">that EAS Participants are </w:t>
      </w:r>
      <w:r w:rsidRPr="0041712C">
        <w:t xml:space="preserve">in the process of </w:t>
      </w:r>
      <w:r w:rsidR="00F42AE5">
        <w:t xml:space="preserve">carrying out but have not yet fully </w:t>
      </w:r>
      <w:r w:rsidRPr="0041712C">
        <w:t>implement</w:t>
      </w:r>
      <w:r w:rsidR="00F42AE5">
        <w:t>ed</w:t>
      </w:r>
      <w:r w:rsidRPr="0041712C">
        <w:t xml:space="preserve">.  For example, if the SECC has assigned or is in the process of assigning a satellite monitoring source to an EAS </w:t>
      </w:r>
      <w:r w:rsidRPr="0041712C" w:rsidR="001C73B7">
        <w:t>P</w:t>
      </w:r>
      <w:r w:rsidRPr="0041712C">
        <w:t xml:space="preserve">articipant, but the EAS </w:t>
      </w:r>
      <w:r w:rsidRPr="0041712C" w:rsidR="001C73B7">
        <w:t>P</w:t>
      </w:r>
      <w:r w:rsidRPr="0041712C">
        <w:t>articipant has not yet acquired the receiver equipment for that signal, the SECC may include that planned assignment in its EAS Plan submission</w:t>
      </w:r>
      <w:r w:rsidRPr="0041712C" w:rsidR="005E4878">
        <w:t xml:space="preserve"> in the appropriate monitoring table</w:t>
      </w:r>
      <w:r w:rsidRPr="0041712C">
        <w:t xml:space="preserve">.  SECCs submitting </w:t>
      </w:r>
      <w:r w:rsidRPr="0041712C" w:rsidR="00B73F2C">
        <w:t xml:space="preserve">such </w:t>
      </w:r>
      <w:r w:rsidRPr="0041712C" w:rsidR="0083353C">
        <w:t>planned</w:t>
      </w:r>
      <w:r w:rsidRPr="0041712C" w:rsidR="005B2EC5">
        <w:t xml:space="preserve"> mon</w:t>
      </w:r>
      <w:r w:rsidRPr="0041712C" w:rsidR="00671D7E">
        <w:t xml:space="preserve">itoring </w:t>
      </w:r>
      <w:r w:rsidRPr="0041712C" w:rsidR="005B2EC5">
        <w:t xml:space="preserve">assignments </w:t>
      </w:r>
      <w:r w:rsidR="00F35BD7">
        <w:t xml:space="preserve">should </w:t>
      </w:r>
      <w:r w:rsidRPr="0041712C">
        <w:t>indicat</w:t>
      </w:r>
      <w:r w:rsidR="009969EB">
        <w:t>e</w:t>
      </w:r>
      <w:r w:rsidRPr="0041712C">
        <w:t xml:space="preserve"> </w:t>
      </w:r>
      <w:r w:rsidR="00C108BD">
        <w:t xml:space="preserve">in an attachment </w:t>
      </w:r>
      <w:r w:rsidRPr="0041712C">
        <w:t>which assignment</w:t>
      </w:r>
      <w:r w:rsidRPr="0041712C" w:rsidR="00F93040">
        <w:t xml:space="preserve"> changes</w:t>
      </w:r>
      <w:r w:rsidRPr="0041712C">
        <w:t xml:space="preserve"> </w:t>
      </w:r>
      <w:r w:rsidRPr="0041712C" w:rsidR="006066DE">
        <w:t>have not yet been implemented</w:t>
      </w:r>
      <w:r w:rsidR="009969EB">
        <w:t xml:space="preserve"> </w:t>
      </w:r>
      <w:r w:rsidRPr="0041712C" w:rsidR="00092362">
        <w:t xml:space="preserve">and </w:t>
      </w:r>
      <w:r w:rsidR="009969EB">
        <w:t xml:space="preserve">the date by which </w:t>
      </w:r>
      <w:r w:rsidRPr="0041712C" w:rsidR="00092362">
        <w:t>completion is expected</w:t>
      </w:r>
      <w:r w:rsidRPr="0041712C">
        <w:t xml:space="preserve">.  </w:t>
      </w:r>
      <w:r w:rsidR="009D69FD">
        <w:t>If</w:t>
      </w:r>
      <w:r w:rsidR="00125F0C">
        <w:t xml:space="preserve">, </w:t>
      </w:r>
      <w:r w:rsidR="00693F0F">
        <w:t xml:space="preserve">during </w:t>
      </w:r>
      <w:r w:rsidR="00125F0C">
        <w:t xml:space="preserve">the process of implementation, the </w:t>
      </w:r>
      <w:r w:rsidR="00693F0F">
        <w:t>SECC</w:t>
      </w:r>
      <w:r w:rsidR="005E0060">
        <w:t>’</w:t>
      </w:r>
      <w:r w:rsidR="00693F0F">
        <w:t>s actual</w:t>
      </w:r>
      <w:r w:rsidR="00125F0C">
        <w:t xml:space="preserve"> assignments </w:t>
      </w:r>
      <w:r w:rsidR="00693F0F">
        <w:t xml:space="preserve">to EAS Participants </w:t>
      </w:r>
      <w:r w:rsidR="00125F0C">
        <w:t xml:space="preserve">change from what was </w:t>
      </w:r>
      <w:r w:rsidR="00746C25">
        <w:t xml:space="preserve">planned and </w:t>
      </w:r>
      <w:r w:rsidR="00125F0C">
        <w:t>reported, SECCs should</w:t>
      </w:r>
      <w:r w:rsidR="00693F0F">
        <w:t xml:space="preserve"> promptly update </w:t>
      </w:r>
      <w:r w:rsidR="00161438">
        <w:t xml:space="preserve">and resubmit </w:t>
      </w:r>
      <w:r w:rsidR="00693F0F">
        <w:t>their EAS Plans to reflect the final</w:t>
      </w:r>
      <w:r w:rsidR="00161438">
        <w:t xml:space="preserve"> monitoring assignments.</w:t>
      </w:r>
      <w:r w:rsidR="00125F0C">
        <w:t xml:space="preserve"> </w:t>
      </w:r>
      <w:r w:rsidR="009A73BD">
        <w:t xml:space="preserve">  </w:t>
      </w:r>
    </w:p>
    <w:p w:rsidR="00552962" w:rsidRPr="0041712C" w:rsidP="00F00200" w14:paraId="51A39B87" w14:textId="33CC4CC5">
      <w:pPr>
        <w:pStyle w:val="ParaNum"/>
        <w:keepNext/>
        <w:numPr>
          <w:ilvl w:val="0"/>
          <w:numId w:val="0"/>
        </w:numPr>
        <w:snapToGrid w:val="0"/>
        <w:rPr>
          <w:b/>
          <w:bCs/>
        </w:rPr>
      </w:pPr>
      <w:r w:rsidRPr="0041712C">
        <w:rPr>
          <w:b/>
          <w:bCs/>
        </w:rPr>
        <w:t xml:space="preserve">Simplifying </w:t>
      </w:r>
      <w:r w:rsidR="00575194">
        <w:rPr>
          <w:b/>
          <w:bCs/>
        </w:rPr>
        <w:t xml:space="preserve">EAS </w:t>
      </w:r>
      <w:r w:rsidRPr="0041712C">
        <w:rPr>
          <w:b/>
          <w:bCs/>
        </w:rPr>
        <w:t>Monitoring Assignments</w:t>
      </w:r>
    </w:p>
    <w:p w:rsidR="00E77BF2" w:rsidP="00E37A27" w14:paraId="7DEA10D0" w14:textId="6BEFB811">
      <w:pPr>
        <w:pStyle w:val="ParaNum"/>
        <w:numPr>
          <w:ilvl w:val="0"/>
          <w:numId w:val="0"/>
        </w:numPr>
        <w:snapToGrid w:val="0"/>
        <w:ind w:firstLine="720"/>
      </w:pPr>
      <w:r w:rsidRPr="0041712C">
        <w:t xml:space="preserve">For purposes of expediting approval of proposed </w:t>
      </w:r>
      <w:r w:rsidRPr="0041712C" w:rsidR="00207D36">
        <w:t xml:space="preserve">State </w:t>
      </w:r>
      <w:r w:rsidRPr="0041712C" w:rsidR="00552962">
        <w:t xml:space="preserve">EAS </w:t>
      </w:r>
      <w:r w:rsidRPr="0041712C">
        <w:t>Plan</w:t>
      </w:r>
      <w:r w:rsidRPr="0041712C" w:rsidR="007C0E3F">
        <w:t>s</w:t>
      </w:r>
      <w:r w:rsidRPr="0041712C">
        <w:t xml:space="preserve"> </w:t>
      </w:r>
      <w:r w:rsidRPr="0041712C" w:rsidR="007C0E3F">
        <w:t xml:space="preserve">and </w:t>
      </w:r>
      <w:r w:rsidRPr="0041712C">
        <w:t xml:space="preserve">amendments, </w:t>
      </w:r>
      <w:r w:rsidRPr="0041712C" w:rsidR="00AB29FA">
        <w:t>the Bureau</w:t>
      </w:r>
      <w:r w:rsidRPr="0041712C" w:rsidR="00C1092B">
        <w:t xml:space="preserve"> further </w:t>
      </w:r>
      <w:r w:rsidR="00924505">
        <w:t xml:space="preserve">recommends </w:t>
      </w:r>
      <w:r w:rsidRPr="0041712C" w:rsidR="008459B0">
        <w:t>that</w:t>
      </w:r>
      <w:r w:rsidRPr="0041712C" w:rsidR="006066DE">
        <w:t xml:space="preserve"> SECCs </w:t>
      </w:r>
      <w:r w:rsidR="00B7507C">
        <w:t xml:space="preserve">configure </w:t>
      </w:r>
      <w:r w:rsidRPr="0041712C" w:rsidR="006066DE">
        <w:t>their</w:t>
      </w:r>
      <w:r w:rsidRPr="0041712C" w:rsidR="00C1092B">
        <w:t xml:space="preserve"> monitoring assignments </w:t>
      </w:r>
      <w:r w:rsidRPr="0041712C" w:rsidR="00276760">
        <w:t xml:space="preserve">by assigning </w:t>
      </w:r>
      <w:r w:rsidR="00F42AE5">
        <w:t xml:space="preserve">as many </w:t>
      </w:r>
      <w:r w:rsidRPr="0041712C" w:rsidR="00276760">
        <w:t xml:space="preserve">EAS Participants </w:t>
      </w:r>
      <w:r w:rsidR="00F42AE5">
        <w:t xml:space="preserve">as possible </w:t>
      </w:r>
      <w:r w:rsidRPr="0041712C" w:rsidR="00276760">
        <w:t xml:space="preserve">to </w:t>
      </w:r>
      <w:r w:rsidRPr="0041712C" w:rsidR="00276760">
        <w:rPr>
          <w:i/>
          <w:iCs/>
        </w:rPr>
        <w:t xml:space="preserve">directly </w:t>
      </w:r>
      <w:r w:rsidRPr="0041712C" w:rsidR="00276760">
        <w:t xml:space="preserve">monitor (with no intermediate </w:t>
      </w:r>
      <w:r w:rsidRPr="0041712C" w:rsidR="00276F3D">
        <w:t>links</w:t>
      </w:r>
      <w:r w:rsidRPr="0041712C" w:rsidR="00276760">
        <w:t xml:space="preserve">) </w:t>
      </w:r>
      <w:r w:rsidRPr="0041712C" w:rsidR="00E34608">
        <w:t xml:space="preserve">one </w:t>
      </w:r>
      <w:r w:rsidRPr="0041712C" w:rsidR="00B463C4">
        <w:t xml:space="preserve">or more </w:t>
      </w:r>
      <w:r w:rsidRPr="0041712C" w:rsidR="00276760">
        <w:t>source</w:t>
      </w:r>
      <w:r w:rsidRPr="0041712C" w:rsidR="00B463C4">
        <w:t>s</w:t>
      </w:r>
      <w:r w:rsidRPr="0041712C" w:rsidR="00276760">
        <w:t xml:space="preserve"> that receive the </w:t>
      </w:r>
      <w:r w:rsidRPr="0041712C" w:rsidR="00B463C4">
        <w:t>National Emergency Message (</w:t>
      </w:r>
      <w:r w:rsidRPr="0041712C" w:rsidR="00276760">
        <w:t>EAN</w:t>
      </w:r>
      <w:r w:rsidRPr="0041712C" w:rsidR="00B463C4">
        <w:t>) signal</w:t>
      </w:r>
      <w:r w:rsidRPr="0041712C" w:rsidR="00276760">
        <w:t xml:space="preserve"> directly from the Federal Emergency Management Agency (FEMA)</w:t>
      </w:r>
      <w:r w:rsidRPr="0041712C" w:rsidR="001F48FF">
        <w:t>.  By way of background,</w:t>
      </w:r>
      <w:r w:rsidRPr="0041712C" w:rsidR="00B463C4">
        <w:t xml:space="preserve"> </w:t>
      </w:r>
      <w:r w:rsidRPr="0041712C" w:rsidR="002373E9">
        <w:t>participant</w:t>
      </w:r>
      <w:r w:rsidRPr="0041712C" w:rsidR="00B463C4">
        <w:t>s</w:t>
      </w:r>
      <w:r w:rsidRPr="0041712C" w:rsidR="002373E9">
        <w:t xml:space="preserve"> </w:t>
      </w:r>
      <w:r w:rsidRPr="0041712C" w:rsidR="00063712">
        <w:t xml:space="preserve">in </w:t>
      </w:r>
      <w:r w:rsidRPr="0041712C" w:rsidR="002373E9">
        <w:t xml:space="preserve">the </w:t>
      </w:r>
      <w:r w:rsidRPr="0041712C" w:rsidR="00063712">
        <w:t>National Public Warning System (NPWS)</w:t>
      </w:r>
      <w:r w:rsidRPr="0041712C" w:rsidR="00D53AC3">
        <w:t xml:space="preserve"> – </w:t>
      </w:r>
      <w:r w:rsidRPr="0041712C" w:rsidR="00063712">
        <w:t>previously known as</w:t>
      </w:r>
      <w:r w:rsidR="00063712">
        <w:t xml:space="preserve"> the Primary Entry Point (PEP)</w:t>
      </w:r>
      <w:r w:rsidR="00B463C4">
        <w:t xml:space="preserve"> </w:t>
      </w:r>
      <w:r w:rsidR="006E38F7">
        <w:t>system</w:t>
      </w:r>
      <w:r w:rsidR="00672015">
        <w:t xml:space="preserve"> </w:t>
      </w:r>
      <w:r w:rsidR="00D53AC3">
        <w:t xml:space="preserve">– </w:t>
      </w:r>
      <w:r w:rsidRPr="0041712C" w:rsidR="006E38F7">
        <w:t>deliver</w:t>
      </w:r>
      <w:r w:rsidR="006E38F7">
        <w:t xml:space="preserve"> the EAN </w:t>
      </w:r>
      <w:r w:rsidR="000D4B53">
        <w:t xml:space="preserve">alert </w:t>
      </w:r>
      <w:r w:rsidR="006E38F7">
        <w:t xml:space="preserve">from FEMA to the </w:t>
      </w:r>
      <w:r w:rsidR="006E38F7">
        <w:t>EAS</w:t>
      </w:r>
      <w:r w:rsidR="00E35589">
        <w:t xml:space="preserve"> Participants</w:t>
      </w:r>
      <w:r w:rsidR="006E38F7">
        <w:t>.</w:t>
      </w:r>
      <w:r>
        <w:rPr>
          <w:rStyle w:val="FootnoteReference"/>
        </w:rPr>
        <w:footnoteReference w:id="8"/>
      </w:r>
      <w:r w:rsidR="00276F3D">
        <w:t xml:space="preserve"> </w:t>
      </w:r>
      <w:r w:rsidR="006741CE">
        <w:t xml:space="preserve"> </w:t>
      </w:r>
      <w:r w:rsidR="00B463C4">
        <w:t xml:space="preserve">FEMA has designated </w:t>
      </w:r>
      <w:r w:rsidR="00276760">
        <w:t xml:space="preserve">77 broadcast radio stations that collectively serve 90 percent of the nation’s </w:t>
      </w:r>
      <w:r w:rsidR="007C0E3F">
        <w:t xml:space="preserve">population, </w:t>
      </w:r>
      <w:r w:rsidR="00276760">
        <w:t>as well as three satellite networks, each covering virtually the entire continental United States</w:t>
      </w:r>
      <w:r w:rsidR="00B463C4">
        <w:t>, to play this role</w:t>
      </w:r>
      <w:r w:rsidR="00276760">
        <w:t>.</w:t>
      </w:r>
      <w:r>
        <w:rPr>
          <w:rStyle w:val="FootnoteReference"/>
        </w:rPr>
        <w:footnoteReference w:id="9"/>
      </w:r>
      <w:r w:rsidR="00F42AE5">
        <w:t xml:space="preserve">  The broad geographic availability of these sources should make it possible for most EAS Participants to monitor signals from one or more of them</w:t>
      </w:r>
      <w:r w:rsidR="00EE45BB">
        <w:t xml:space="preserve"> directly</w:t>
      </w:r>
      <w:r w:rsidR="00066CEB">
        <w:t xml:space="preserve">, regardless of whether such EAS Participants are designated as Local Primaries (LPs), Participating Nationals (PNs), or any other </w:t>
      </w:r>
      <w:r w:rsidR="00E37A27">
        <w:t xml:space="preserve">status </w:t>
      </w:r>
      <w:r w:rsidR="00066CEB">
        <w:t>in the EAS Plan</w:t>
      </w:r>
      <w:r w:rsidR="00F42AE5">
        <w:t>.</w:t>
      </w:r>
      <w:r w:rsidR="00E34608">
        <w:t xml:space="preserve">  </w:t>
      </w:r>
      <w:r w:rsidR="0005595F">
        <w:t xml:space="preserve">The Bureau recommends that </w:t>
      </w:r>
      <w:r w:rsidR="00B463C4">
        <w:t xml:space="preserve">EAS Plans, whenever possible, minimize the number of intermediate links for EAS Participants to monitor such sources.  </w:t>
      </w:r>
      <w:r w:rsidR="00E34608">
        <w:t>Appendix A to this Public Notice illustrat</w:t>
      </w:r>
      <w:r w:rsidR="00BF2C45">
        <w:t>e</w:t>
      </w:r>
      <w:r w:rsidR="00EE45BB">
        <w:t>s</w:t>
      </w:r>
      <w:r w:rsidR="00BF2C45">
        <w:t xml:space="preserve"> </w:t>
      </w:r>
      <w:r w:rsidR="00B30CF6">
        <w:t xml:space="preserve">recommended </w:t>
      </w:r>
      <w:r w:rsidR="007F2113">
        <w:t>configuration</w:t>
      </w:r>
      <w:r w:rsidR="002B53D8">
        <w:t>s</w:t>
      </w:r>
      <w:r w:rsidR="007F2113">
        <w:t xml:space="preserve"> of </w:t>
      </w:r>
      <w:r w:rsidR="00E34608">
        <w:t>monitoring assignments.</w:t>
      </w:r>
    </w:p>
    <w:p w:rsidR="00810157" w:rsidP="00AE3F3D" w14:paraId="0685A23C" w14:textId="40296F24">
      <w:pPr>
        <w:pStyle w:val="ParaNum"/>
        <w:numPr>
          <w:ilvl w:val="0"/>
          <w:numId w:val="0"/>
        </w:numPr>
        <w:snapToGrid w:val="0"/>
        <w:ind w:firstLine="720"/>
      </w:pPr>
      <w:r w:rsidRPr="00810157">
        <w:t>For questions regarding this Public Notice, please contact</w:t>
      </w:r>
      <w:r>
        <w:t xml:space="preserve"> </w:t>
      </w:r>
      <w:r w:rsidR="00FA2EAF">
        <w:t xml:space="preserve">Maureen Bizhko, Attorney-Advisor, Policy and Licensing Division, Public Safety and Homeland Security Bureau, at (202) 418-0011 or </w:t>
      </w:r>
      <w:hyperlink r:id="rId5" w:history="1">
        <w:r w:rsidRPr="007C2ED2" w:rsidR="00FA2EAF">
          <w:rPr>
            <w:rStyle w:val="Hyperlink"/>
          </w:rPr>
          <w:t>Maureen.Bizhko@fcc.gov</w:t>
        </w:r>
      </w:hyperlink>
      <w:r w:rsidR="005B7474">
        <w:t xml:space="preserve">, </w:t>
      </w:r>
      <w:r w:rsidR="00656DC4">
        <w:t>or C</w:t>
      </w:r>
      <w:r w:rsidR="000D4B53">
        <w:t xml:space="preserve">hris </w:t>
      </w:r>
      <w:r w:rsidR="00276F3D">
        <w:t xml:space="preserve">Fedeli, </w:t>
      </w:r>
      <w:r w:rsidR="00135797">
        <w:t xml:space="preserve">Attorney-Advisor, </w:t>
      </w:r>
      <w:r w:rsidR="00276F3D">
        <w:t xml:space="preserve">Policy and Licensing Division, </w:t>
      </w:r>
      <w:r w:rsidR="00135797">
        <w:t xml:space="preserve">Public Safety and Homeland Security Bureau, </w:t>
      </w:r>
      <w:r w:rsidR="005178BF">
        <w:t>at (202) 418-</w:t>
      </w:r>
      <w:r w:rsidR="00276F3D">
        <w:t xml:space="preserve">1514 </w:t>
      </w:r>
      <w:r>
        <w:t>or</w:t>
      </w:r>
      <w:r w:rsidR="00276F3D">
        <w:t xml:space="preserve"> </w:t>
      </w:r>
      <w:hyperlink r:id="rId6" w:history="1">
        <w:r w:rsidRPr="00AF268A" w:rsidR="00276F3D">
          <w:rPr>
            <w:rStyle w:val="Hyperlink"/>
          </w:rPr>
          <w:t>Christopher.Fedeli@fcc.gov</w:t>
        </w:r>
      </w:hyperlink>
      <w:r w:rsidR="00276F3D">
        <w:t xml:space="preserve">. </w:t>
      </w:r>
      <w:r>
        <w:t xml:space="preserve"> </w:t>
      </w:r>
    </w:p>
    <w:p w:rsidR="00810157" w14:paraId="509F4446" w14:textId="77777777"/>
    <w:p w:rsidR="00E34608" w:rsidP="00E34608" w14:paraId="597F6D00" w14:textId="77777777">
      <w:pPr>
        <w:jc w:val="center"/>
        <w:rPr>
          <w:b/>
          <w:bCs/>
        </w:rPr>
      </w:pPr>
      <w:r w:rsidRPr="00810157">
        <w:rPr>
          <w:b/>
          <w:bCs/>
        </w:rPr>
        <w:t>- FCC -</w:t>
      </w:r>
      <w:bookmarkEnd w:id="0"/>
    </w:p>
    <w:p w:rsidR="00E34608" w:rsidP="00E34608" w14:paraId="08856EF2" w14:textId="77777777">
      <w:pPr>
        <w:widowControl/>
        <w:rPr>
          <w:b/>
          <w:bCs/>
        </w:rPr>
      </w:pPr>
      <w:r>
        <w:rPr>
          <w:b/>
          <w:bCs/>
        </w:rPr>
        <w:br w:type="page"/>
      </w:r>
    </w:p>
    <w:p w:rsidR="00E34608" w:rsidP="00E34608" w14:paraId="01FDFA82" w14:textId="05DB46C8">
      <w:pPr>
        <w:jc w:val="center"/>
        <w:rPr>
          <w:b/>
          <w:bCs/>
        </w:rPr>
      </w:pPr>
      <w:r>
        <w:rPr>
          <w:b/>
          <w:bCs/>
        </w:rPr>
        <w:t xml:space="preserve">Appendix A:  </w:t>
      </w:r>
      <w:r w:rsidR="002B53D8">
        <w:rPr>
          <w:b/>
          <w:bCs/>
        </w:rPr>
        <w:t>Recommended Monitoring Assignment Configurations</w:t>
      </w:r>
    </w:p>
    <w:p w:rsidR="00E34608" w:rsidP="00E34608" w14:paraId="5C2FE90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5"/>
        <w:gridCol w:w="1336"/>
        <w:gridCol w:w="1336"/>
        <w:gridCol w:w="1335"/>
        <w:gridCol w:w="1336"/>
        <w:gridCol w:w="1336"/>
        <w:gridCol w:w="1336"/>
      </w:tblGrid>
      <w:tr w14:paraId="4E2ABBB0" w14:textId="77777777" w:rsidTr="008C15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35" w:type="dxa"/>
            <w:vAlign w:val="center"/>
          </w:tcPr>
          <w:p w:rsidR="00E34608" w:rsidP="008C1516" w14:paraId="350BAF33" w14:textId="77777777">
            <w:pPr>
              <w:spacing w:before="120" w:after="120"/>
              <w:jc w:val="center"/>
            </w:pPr>
          </w:p>
        </w:tc>
        <w:tc>
          <w:tcPr>
            <w:tcW w:w="1336" w:type="dxa"/>
            <w:vAlign w:val="center"/>
          </w:tcPr>
          <w:p w:rsidR="00E34608" w:rsidP="008C1516" w14:paraId="1C4D0275" w14:textId="77777777">
            <w:pPr>
              <w:spacing w:before="120" w:after="120"/>
              <w:jc w:val="center"/>
            </w:pPr>
          </w:p>
        </w:tc>
        <w:tc>
          <w:tcPr>
            <w:tcW w:w="1336" w:type="dxa"/>
            <w:tcBorders>
              <w:right w:val="single" w:sz="12" w:space="0" w:color="auto"/>
            </w:tcBorders>
            <w:vAlign w:val="center"/>
          </w:tcPr>
          <w:p w:rsidR="00E34608" w:rsidP="008C1516" w14:paraId="51640E8E" w14:textId="77777777">
            <w:pPr>
              <w:spacing w:before="120" w:after="120"/>
              <w:jc w:val="center"/>
            </w:pPr>
          </w:p>
        </w:tc>
        <w:tc>
          <w:tcPr>
            <w:tcW w:w="13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068F4571" w14:textId="77777777">
            <w:pPr>
              <w:spacing w:before="120" w:after="120"/>
              <w:jc w:val="center"/>
            </w:pPr>
            <w:r>
              <w:rPr>
                <w:noProof/>
                <w:snapToGrid/>
                <w:lang w:bidi="he-IL"/>
              </w:rPr>
              <mc:AlternateContent>
                <mc:Choice Requires="wps">
                  <w:drawing>
                    <wp:anchor distT="0" distB="0" distL="114300" distR="114300" simplePos="0" relativeHeight="251666432" behindDoc="0" locked="0" layoutInCell="1" allowOverlap="1">
                      <wp:simplePos x="0" y="0"/>
                      <wp:positionH relativeFrom="column">
                        <wp:posOffset>358775</wp:posOffset>
                      </wp:positionH>
                      <wp:positionV relativeFrom="paragraph">
                        <wp:posOffset>300355</wp:posOffset>
                      </wp:positionV>
                      <wp:extent cx="0" cy="647700"/>
                      <wp:effectExtent l="57150" t="38100" r="57150" b="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477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5" type="#_x0000_t32" style="width:0;height:51pt;margin-top:23.65pt;margin-left:28.25pt;flip:y;mso-wrap-distance-bottom:0;mso-wrap-distance-left:9pt;mso-wrap-distance-right:9pt;mso-wrap-distance-top:0;mso-wrap-style:square;position:absolute;visibility:visible;z-index:251667456" strokecolor="red" strokeweight="2.25pt">
                      <v:stroke joinstyle="miter" endarrow="block"/>
                    </v:shape>
                  </w:pict>
                </mc:Fallback>
              </mc:AlternateContent>
            </w:r>
            <w:r>
              <w:t>FEMA</w:t>
            </w:r>
          </w:p>
        </w:tc>
        <w:tc>
          <w:tcPr>
            <w:tcW w:w="1336" w:type="dxa"/>
            <w:tcBorders>
              <w:left w:val="single" w:sz="12" w:space="0" w:color="auto"/>
            </w:tcBorders>
            <w:vAlign w:val="center"/>
          </w:tcPr>
          <w:p w:rsidR="00E34608" w:rsidP="008C1516" w14:paraId="4167AA16" w14:textId="77777777">
            <w:pPr>
              <w:spacing w:before="120" w:after="120"/>
              <w:jc w:val="center"/>
            </w:pPr>
          </w:p>
        </w:tc>
        <w:tc>
          <w:tcPr>
            <w:tcW w:w="1336" w:type="dxa"/>
            <w:vAlign w:val="center"/>
          </w:tcPr>
          <w:p w:rsidR="00E34608" w:rsidP="008C1516" w14:paraId="40F4E403" w14:textId="77777777">
            <w:pPr>
              <w:spacing w:before="120" w:after="120"/>
              <w:jc w:val="center"/>
            </w:pPr>
          </w:p>
        </w:tc>
        <w:tc>
          <w:tcPr>
            <w:tcW w:w="1336" w:type="dxa"/>
            <w:vAlign w:val="center"/>
          </w:tcPr>
          <w:p w:rsidR="00E34608" w:rsidP="008C1516" w14:paraId="0DDC0EA6" w14:textId="77777777">
            <w:pPr>
              <w:spacing w:before="120" w:after="120"/>
              <w:jc w:val="center"/>
            </w:pPr>
          </w:p>
        </w:tc>
      </w:tr>
      <w:tr w14:paraId="1362D4F7" w14:textId="77777777" w:rsidTr="008C1516">
        <w:tblPrEx>
          <w:tblW w:w="0" w:type="auto"/>
          <w:tblLook w:val="04A0"/>
        </w:tblPrEx>
        <w:tc>
          <w:tcPr>
            <w:tcW w:w="1335" w:type="dxa"/>
            <w:vAlign w:val="center"/>
          </w:tcPr>
          <w:p w:rsidR="00E34608" w:rsidP="008C1516" w14:paraId="586F306B" w14:textId="77777777">
            <w:pPr>
              <w:spacing w:before="120" w:after="120"/>
              <w:jc w:val="center"/>
            </w:pPr>
          </w:p>
        </w:tc>
        <w:tc>
          <w:tcPr>
            <w:tcW w:w="1336" w:type="dxa"/>
            <w:vAlign w:val="center"/>
          </w:tcPr>
          <w:p w:rsidR="00E34608" w:rsidP="008C1516" w14:paraId="3CA15EC6" w14:textId="77777777">
            <w:pPr>
              <w:spacing w:before="120" w:after="120"/>
              <w:jc w:val="center"/>
            </w:pPr>
            <w:r>
              <w:rPr>
                <w:noProof/>
                <w:snapToGrid/>
                <w:lang w:bidi="he-IL"/>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-9525</wp:posOffset>
                      </wp:positionV>
                      <wp:extent cx="1581150" cy="628650"/>
                      <wp:effectExtent l="19050" t="57150" r="0" b="1905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1150" cy="628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width:124.5pt;height:49.5pt;margin-top:-0.75pt;margin-left:26.1pt;flip:y;mso-height-percent:0;mso-height-relative:margin;mso-width-percent:0;mso-width-relative:margin;mso-wrap-distance-bottom:0;mso-wrap-distance-left:9pt;mso-wrap-distance-right:9pt;mso-wrap-distance-top:0;mso-wrap-style:square;position:absolute;visibility:visible;z-index:251659264" strokecolor="red" strokeweight="2.25pt">
                      <v:stroke joinstyle="miter" endarrow="block"/>
                    </v:shape>
                  </w:pict>
                </mc:Fallback>
              </mc:AlternateContent>
            </w:r>
          </w:p>
        </w:tc>
        <w:tc>
          <w:tcPr>
            <w:tcW w:w="1336" w:type="dxa"/>
            <w:vAlign w:val="center"/>
          </w:tcPr>
          <w:p w:rsidR="00E34608" w:rsidP="008C1516" w14:paraId="15BDACF8" w14:textId="77777777">
            <w:pPr>
              <w:spacing w:before="120" w:after="120"/>
              <w:jc w:val="center"/>
            </w:pPr>
          </w:p>
        </w:tc>
        <w:tc>
          <w:tcPr>
            <w:tcW w:w="1335" w:type="dxa"/>
            <w:tcBorders>
              <w:top w:val="single" w:sz="12" w:space="0" w:color="auto"/>
            </w:tcBorders>
            <w:vAlign w:val="center"/>
          </w:tcPr>
          <w:p w:rsidR="00E34608" w:rsidP="008C1516" w14:paraId="28A1742C" w14:textId="77777777">
            <w:pPr>
              <w:spacing w:before="120" w:after="120"/>
              <w:jc w:val="center"/>
            </w:pPr>
          </w:p>
        </w:tc>
        <w:tc>
          <w:tcPr>
            <w:tcW w:w="1336" w:type="dxa"/>
            <w:vAlign w:val="center"/>
          </w:tcPr>
          <w:p w:rsidR="00E34608" w:rsidP="008C1516" w14:paraId="54F279CD" w14:textId="77777777">
            <w:pPr>
              <w:spacing w:before="120" w:after="120"/>
              <w:jc w:val="center"/>
            </w:pPr>
          </w:p>
        </w:tc>
        <w:tc>
          <w:tcPr>
            <w:tcW w:w="1336" w:type="dxa"/>
            <w:vAlign w:val="center"/>
          </w:tcPr>
          <w:p w:rsidR="00E34608" w:rsidP="008C1516" w14:paraId="753781B0" w14:textId="77777777">
            <w:pPr>
              <w:spacing w:before="120" w:after="120"/>
              <w:jc w:val="center"/>
            </w:pPr>
            <w:r>
              <w:rPr>
                <w:noProof/>
                <w:snapToGrid/>
                <w:lang w:bidi="he-IL"/>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-9525</wp:posOffset>
                      </wp:positionV>
                      <wp:extent cx="1438275" cy="638175"/>
                      <wp:effectExtent l="38100" t="38100" r="9525" b="28575"/>
                      <wp:wrapNone/>
                      <wp:docPr id="4" name="Straight Arrow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438275" cy="638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7" type="#_x0000_t32" style="width:113.25pt;height:50.25pt;margin-top:-0.75pt;margin-left:-89.4pt;flip:x y;mso-height-percent:0;mso-height-relative:margin;mso-width-percent:0;mso-width-relative:margin;mso-wrap-distance-bottom:0;mso-wrap-distance-left:9pt;mso-wrap-distance-right:9pt;mso-wrap-distance-top:0;mso-wrap-style:square;position:absolute;visibility:visible;z-index:251661312" strokecolor="red" strokeweight="2.25pt">
                      <v:stroke joinstyle="miter" endarrow="block"/>
                    </v:shape>
                  </w:pict>
                </mc:Fallback>
              </mc:AlternateContent>
            </w:r>
          </w:p>
        </w:tc>
        <w:tc>
          <w:tcPr>
            <w:tcW w:w="1336" w:type="dxa"/>
            <w:vAlign w:val="center"/>
          </w:tcPr>
          <w:p w:rsidR="00E34608" w:rsidP="008C1516" w14:paraId="6D77436E" w14:textId="77777777">
            <w:pPr>
              <w:spacing w:before="120" w:after="120"/>
              <w:jc w:val="center"/>
            </w:pPr>
          </w:p>
        </w:tc>
      </w:tr>
      <w:tr w14:paraId="14BC39EA" w14:textId="77777777" w:rsidTr="008C1516">
        <w:tblPrEx>
          <w:tblW w:w="0" w:type="auto"/>
          <w:tblLook w:val="04A0"/>
        </w:tblPrEx>
        <w:tc>
          <w:tcPr>
            <w:tcW w:w="1335" w:type="dxa"/>
            <w:vAlign w:val="center"/>
          </w:tcPr>
          <w:p w:rsidR="00E34608" w:rsidP="008C1516" w14:paraId="5190C0E6" w14:textId="77777777">
            <w:pPr>
              <w:spacing w:before="120" w:after="120"/>
              <w:jc w:val="center"/>
            </w:pPr>
          </w:p>
        </w:tc>
        <w:tc>
          <w:tcPr>
            <w:tcW w:w="1336" w:type="dxa"/>
            <w:tcBorders>
              <w:bottom w:val="single" w:sz="12" w:space="0" w:color="auto"/>
            </w:tcBorders>
            <w:vAlign w:val="center"/>
          </w:tcPr>
          <w:p w:rsidR="00E34608" w:rsidP="008C1516" w14:paraId="39452819" w14:textId="77777777">
            <w:pPr>
              <w:spacing w:before="120" w:after="120"/>
              <w:jc w:val="center"/>
            </w:pPr>
          </w:p>
        </w:tc>
        <w:tc>
          <w:tcPr>
            <w:tcW w:w="1336" w:type="dxa"/>
            <w:vAlign w:val="center"/>
          </w:tcPr>
          <w:p w:rsidR="00E34608" w:rsidP="008C1516" w14:paraId="2D201A2E" w14:textId="77777777">
            <w:pPr>
              <w:spacing w:before="120" w:after="120"/>
              <w:jc w:val="center"/>
            </w:pPr>
          </w:p>
        </w:tc>
        <w:tc>
          <w:tcPr>
            <w:tcW w:w="1335" w:type="dxa"/>
            <w:tcBorders>
              <w:bottom w:val="single" w:sz="12" w:space="0" w:color="auto"/>
            </w:tcBorders>
            <w:vAlign w:val="center"/>
          </w:tcPr>
          <w:p w:rsidR="00E34608" w:rsidP="008C1516" w14:paraId="43991B0C" w14:textId="77777777">
            <w:pPr>
              <w:spacing w:before="120" w:after="120"/>
              <w:jc w:val="center"/>
            </w:pPr>
          </w:p>
        </w:tc>
        <w:tc>
          <w:tcPr>
            <w:tcW w:w="1336" w:type="dxa"/>
            <w:vAlign w:val="center"/>
          </w:tcPr>
          <w:p w:rsidR="00E34608" w:rsidP="008C1516" w14:paraId="63AF6802" w14:textId="77777777">
            <w:pPr>
              <w:spacing w:before="120" w:after="120"/>
              <w:jc w:val="center"/>
            </w:pPr>
          </w:p>
        </w:tc>
        <w:tc>
          <w:tcPr>
            <w:tcW w:w="1336" w:type="dxa"/>
            <w:tcBorders>
              <w:bottom w:val="single" w:sz="12" w:space="0" w:color="auto"/>
            </w:tcBorders>
            <w:vAlign w:val="center"/>
          </w:tcPr>
          <w:p w:rsidR="00E34608" w:rsidP="008C1516" w14:paraId="5B360DF6" w14:textId="77777777">
            <w:pPr>
              <w:spacing w:before="120" w:after="120"/>
              <w:jc w:val="center"/>
            </w:pPr>
          </w:p>
        </w:tc>
        <w:tc>
          <w:tcPr>
            <w:tcW w:w="1336" w:type="dxa"/>
            <w:vAlign w:val="center"/>
          </w:tcPr>
          <w:p w:rsidR="00E34608" w:rsidP="008C1516" w14:paraId="43C26C29" w14:textId="77777777">
            <w:pPr>
              <w:spacing w:before="120" w:after="120"/>
              <w:jc w:val="center"/>
            </w:pPr>
          </w:p>
        </w:tc>
      </w:tr>
      <w:tr w14:paraId="6D5874E1" w14:textId="77777777" w:rsidTr="008C1516">
        <w:tblPrEx>
          <w:tblW w:w="0" w:type="auto"/>
          <w:tblLook w:val="04A0"/>
        </w:tblPrEx>
        <w:tc>
          <w:tcPr>
            <w:tcW w:w="1335" w:type="dxa"/>
            <w:tcBorders>
              <w:right w:val="single" w:sz="12" w:space="0" w:color="auto"/>
            </w:tcBorders>
            <w:vAlign w:val="center"/>
          </w:tcPr>
          <w:p w:rsidR="00E34608" w:rsidP="008C1516" w14:paraId="14067165" w14:textId="77777777">
            <w:pPr>
              <w:spacing w:before="120" w:after="120"/>
              <w:jc w:val="center"/>
            </w:pPr>
          </w:p>
        </w:tc>
        <w:tc>
          <w:tcPr>
            <w:tcW w:w="13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FE47D6" w14:paraId="5638E9AF" w14:textId="5AB69901">
            <w:pPr>
              <w:spacing w:before="120" w:after="120"/>
              <w:jc w:val="center"/>
            </w:pPr>
            <w:r>
              <w:rPr>
                <w:noProof/>
                <w:snapToGrid/>
                <w:lang w:bidi="he-IL"/>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628015</wp:posOffset>
                      </wp:positionV>
                      <wp:extent cx="1581150" cy="647700"/>
                      <wp:effectExtent l="19050" t="57150" r="0" b="19050"/>
                      <wp:wrapNone/>
                      <wp:docPr id="9" name="Straight Arrow Connector 9"/>
                      <wp:cNvGraphicFramePr/>
                      <a:graphic xmlns:a="http://schemas.openxmlformats.org/drawingml/2006/main">
                        <a:graphicData uri="http://schemas.microsoft.com/office/word/2010/wordprocessingShape">
                          <wps:wsp xmlns:wps="http://schemas.microsoft.com/office/word/2010/wordprocessingShape">
                            <wps:cNvCnPr/>
                            <wps:spPr>
                              <a:xfrm flipV="1">
                                <a:off x="0" y="0"/>
                                <a:ext cx="1581150" cy="647700"/>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8" type="#_x0000_t32" style="width:124.5pt;height:51pt;margin-top:49.45pt;margin-left:26.1pt;flip:y;mso-wrap-distance-bottom:0;mso-wrap-distance-left:9pt;mso-wrap-distance-right:9pt;mso-wrap-distance-top:0;mso-wrap-style:square;position:absolute;visibility:visible;z-index:251675648" strokecolor="red" strokeweight="2.75pt">
                      <v:stroke joinstyle="miter" linestyle="thinThin" endarrow="block"/>
                    </v:shape>
                  </w:pict>
                </mc:Fallback>
              </mc:AlternateContent>
            </w:r>
            <w:r>
              <w:t xml:space="preserve">NPWS/PEP Radio </w:t>
            </w:r>
            <w:r w:rsidR="00FE47D6">
              <w:t>Station</w:t>
            </w:r>
          </w:p>
        </w:tc>
        <w:tc>
          <w:tcPr>
            <w:tcW w:w="1336" w:type="dxa"/>
            <w:tcBorders>
              <w:left w:val="single" w:sz="12" w:space="0" w:color="auto"/>
              <w:right w:val="single" w:sz="12" w:space="0" w:color="auto"/>
            </w:tcBorders>
            <w:vAlign w:val="center"/>
          </w:tcPr>
          <w:p w:rsidR="00E34608" w:rsidP="008C1516" w14:paraId="6069CF0A" w14:textId="77777777">
            <w:pPr>
              <w:spacing w:before="120" w:after="120"/>
              <w:jc w:val="center"/>
            </w:pPr>
          </w:p>
        </w:tc>
        <w:tc>
          <w:tcPr>
            <w:tcW w:w="13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5638A51F" w14:textId="77777777">
            <w:pPr>
              <w:spacing w:before="120" w:after="120"/>
              <w:jc w:val="center"/>
            </w:pPr>
            <w:r>
              <w:rPr>
                <w:noProof/>
                <w:snapToGrid/>
                <w:lang w:bidi="he-IL"/>
              </w:rPr>
              <mc:AlternateContent>
                <mc:Choice Requires="wps">
                  <w:drawing>
                    <wp:anchor distT="0" distB="0" distL="114300" distR="114300" simplePos="0" relativeHeight="251672576" behindDoc="0" locked="0" layoutInCell="1" allowOverlap="1">
                      <wp:simplePos x="0" y="0"/>
                      <wp:positionH relativeFrom="column">
                        <wp:posOffset>454025</wp:posOffset>
                      </wp:positionH>
                      <wp:positionV relativeFrom="paragraph">
                        <wp:posOffset>628015</wp:posOffset>
                      </wp:positionV>
                      <wp:extent cx="1543050" cy="647700"/>
                      <wp:effectExtent l="0" t="57150" r="19050" b="19050"/>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543050" cy="647700"/>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9" type="#_x0000_t32" style="width:121.5pt;height:51pt;margin-top:49.45pt;margin-left:35.75pt;flip:x y;mso-wrap-distance-bottom:0;mso-wrap-distance-left:9pt;mso-wrap-distance-right:9pt;mso-wrap-distance-top:0;mso-wrap-style:square;position:absolute;visibility:visible;z-index:251673600" strokecolor="red" strokeweight="2.75pt">
                      <v:stroke joinstyle="miter" linestyle="thinThin" endarrow="block"/>
                    </v:shape>
                  </w:pict>
                </mc:Fallback>
              </mc:AlternateContent>
            </w:r>
            <w:r>
              <w:rPr>
                <w:noProof/>
                <w:snapToGrid/>
                <w:lang w:bidi="he-IL"/>
              </w:rPr>
              <mc:AlternateContent>
                <mc:Choice Requires="wps">
                  <w:drawing>
                    <wp:anchor distT="0" distB="0" distL="114300" distR="114300" simplePos="0" relativeHeight="251670528" behindDoc="0" locked="0" layoutInCell="1" allowOverlap="1">
                      <wp:simplePos x="0" y="0"/>
                      <wp:positionH relativeFrom="column">
                        <wp:posOffset>301625</wp:posOffset>
                      </wp:positionH>
                      <wp:positionV relativeFrom="paragraph">
                        <wp:posOffset>628015</wp:posOffset>
                      </wp:positionV>
                      <wp:extent cx="0" cy="1800225"/>
                      <wp:effectExtent l="57150" t="38100" r="57150" b="9525"/>
                      <wp:wrapNone/>
                      <wp:docPr id="8" name="Straight Arrow Connector 8"/>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800225"/>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30" type="#_x0000_t32" style="width:0;height:141.75pt;margin-top:49.45pt;margin-left:23.75pt;flip:y;mso-height-percent:0;mso-height-relative:margin;mso-width-percent:0;mso-width-relative:margin;mso-wrap-distance-bottom:0;mso-wrap-distance-left:9pt;mso-wrap-distance-right:9pt;mso-wrap-distance-top:0;mso-wrap-style:square;position:absolute;visibility:visible;z-index:251671552" strokecolor="red" strokeweight="2.75pt">
                      <v:stroke joinstyle="miter" linestyle="thinThin" endarrow="block"/>
                    </v:shape>
                  </w:pict>
                </mc:Fallback>
              </mc:AlternateContent>
            </w:r>
            <w:r>
              <w:t>NPWS Satellite Network A</w:t>
            </w:r>
          </w:p>
        </w:tc>
        <w:tc>
          <w:tcPr>
            <w:tcW w:w="1336" w:type="dxa"/>
            <w:tcBorders>
              <w:left w:val="single" w:sz="12" w:space="0" w:color="auto"/>
              <w:right w:val="single" w:sz="12" w:space="0" w:color="auto"/>
            </w:tcBorders>
            <w:vAlign w:val="center"/>
          </w:tcPr>
          <w:p w:rsidR="00E34608" w:rsidP="008C1516" w14:paraId="56238514" w14:textId="77777777">
            <w:pPr>
              <w:spacing w:before="120" w:after="120"/>
              <w:jc w:val="center"/>
            </w:pPr>
          </w:p>
        </w:tc>
        <w:tc>
          <w:tcPr>
            <w:tcW w:w="13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2BB542E8" w14:textId="77777777">
            <w:pPr>
              <w:spacing w:before="120" w:after="120"/>
              <w:jc w:val="center"/>
            </w:pPr>
            <w:r>
              <w:t>NPWS Satellite Network B</w:t>
            </w:r>
          </w:p>
        </w:tc>
        <w:tc>
          <w:tcPr>
            <w:tcW w:w="1336" w:type="dxa"/>
            <w:tcBorders>
              <w:left w:val="single" w:sz="12" w:space="0" w:color="auto"/>
            </w:tcBorders>
            <w:vAlign w:val="center"/>
          </w:tcPr>
          <w:p w:rsidR="00E34608" w:rsidP="008C1516" w14:paraId="63D494AC" w14:textId="77777777">
            <w:pPr>
              <w:spacing w:before="120" w:after="120"/>
              <w:jc w:val="center"/>
            </w:pPr>
          </w:p>
        </w:tc>
      </w:tr>
      <w:tr w14:paraId="0768E96A" w14:textId="77777777" w:rsidTr="008C1516">
        <w:tblPrEx>
          <w:tblW w:w="0" w:type="auto"/>
          <w:tblLook w:val="04A0"/>
        </w:tblPrEx>
        <w:tc>
          <w:tcPr>
            <w:tcW w:w="1335" w:type="dxa"/>
            <w:vAlign w:val="center"/>
          </w:tcPr>
          <w:p w:rsidR="00E34608" w:rsidP="008C1516" w14:paraId="7588D93D" w14:textId="77777777">
            <w:pPr>
              <w:spacing w:before="120" w:after="120"/>
              <w:jc w:val="center"/>
            </w:pPr>
          </w:p>
        </w:tc>
        <w:tc>
          <w:tcPr>
            <w:tcW w:w="1336" w:type="dxa"/>
            <w:tcBorders>
              <w:top w:val="single" w:sz="12" w:space="0" w:color="auto"/>
            </w:tcBorders>
            <w:vAlign w:val="center"/>
          </w:tcPr>
          <w:p w:rsidR="00E34608" w:rsidP="008C1516" w14:paraId="1E0302F5" w14:textId="77777777">
            <w:pPr>
              <w:spacing w:before="120" w:after="120"/>
              <w:jc w:val="center"/>
            </w:pPr>
            <w:r>
              <w:rPr>
                <w:noProof/>
                <w:snapToGrid/>
                <w:lang w:bidi="he-IL"/>
              </w:rP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ragraph">
                        <wp:posOffset>-28575</wp:posOffset>
                      </wp:positionV>
                      <wp:extent cx="0" cy="647700"/>
                      <wp:effectExtent l="57150" t="38100" r="57150" b="0"/>
                      <wp:wrapNone/>
                      <wp:docPr id="7" name="Straight Arrow Connector 7"/>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47700"/>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31" type="#_x0000_t32" style="width:0;height:51pt;margin-top:-2.25pt;margin-left:26.25pt;flip:y;mso-height-percent:0;mso-height-relative:margin;mso-width-percent:0;mso-width-relative:margin;mso-wrap-distance-bottom:0;mso-wrap-distance-left:9pt;mso-wrap-distance-right:9pt;mso-wrap-distance-top:0;mso-wrap-style:square;position:absolute;visibility:visible;z-index:251669504" strokecolor="red" strokeweight="2.75pt">
                      <v:stroke joinstyle="miter" linestyle="thinThin" endarrow="block"/>
                    </v:shape>
                  </w:pict>
                </mc:Fallback>
              </mc:AlternateContent>
            </w:r>
          </w:p>
        </w:tc>
        <w:tc>
          <w:tcPr>
            <w:tcW w:w="1336" w:type="dxa"/>
            <w:vAlign w:val="center"/>
          </w:tcPr>
          <w:p w:rsidR="00E34608" w:rsidP="008C1516" w14:paraId="749525FA" w14:textId="77777777">
            <w:pPr>
              <w:spacing w:before="120" w:after="120"/>
              <w:jc w:val="center"/>
            </w:pPr>
          </w:p>
        </w:tc>
        <w:tc>
          <w:tcPr>
            <w:tcW w:w="1335" w:type="dxa"/>
            <w:tcBorders>
              <w:top w:val="single" w:sz="12" w:space="0" w:color="auto"/>
            </w:tcBorders>
            <w:vAlign w:val="center"/>
          </w:tcPr>
          <w:p w:rsidR="00E34608" w:rsidP="008C1516" w14:paraId="18DED1C6" w14:textId="77777777">
            <w:pPr>
              <w:spacing w:before="120" w:after="120"/>
              <w:jc w:val="center"/>
            </w:pPr>
            <w:r>
              <w:rPr>
                <w:noProof/>
                <w:snapToGrid/>
                <w:lang w:bidi="he-IL"/>
              </w:rPr>
              <mc:AlternateContent>
                <mc:Choice Requires="wps">
                  <w:drawing>
                    <wp:anchor distT="0" distB="0" distL="114300" distR="114300" simplePos="0" relativeHeight="251662336" behindDoc="0" locked="0" layoutInCell="1" allowOverlap="1">
                      <wp:simplePos x="0" y="0"/>
                      <wp:positionH relativeFrom="column">
                        <wp:posOffset>-1364615</wp:posOffset>
                      </wp:positionH>
                      <wp:positionV relativeFrom="paragraph">
                        <wp:posOffset>1295400</wp:posOffset>
                      </wp:positionV>
                      <wp:extent cx="1666875" cy="476250"/>
                      <wp:effectExtent l="19050" t="57150" r="9525" b="19050"/>
                      <wp:wrapNone/>
                      <wp:docPr id="5" name="Straight Arrow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666875" cy="476250"/>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32" type="#_x0000_t32" style="width:131.25pt;height:37.5pt;margin-top:102pt;margin-left:-107.45pt;flip:x y;mso-height-percent:0;mso-height-relative:margin;mso-width-percent:0;mso-width-relative:margin;mso-wrap-distance-bottom:0;mso-wrap-distance-left:9pt;mso-wrap-distance-right:9pt;mso-wrap-distance-top:0;mso-wrap-style:square;position:absolute;visibility:visible;z-index:251663360" strokecolor="red" strokeweight="2.75pt">
                      <v:stroke joinstyle="miter" linestyle="thinThin" endarrow="block"/>
                    </v:shape>
                  </w:pict>
                </mc:Fallback>
              </mc:AlternateContent>
            </w:r>
          </w:p>
        </w:tc>
        <w:tc>
          <w:tcPr>
            <w:tcW w:w="1336" w:type="dxa"/>
            <w:vAlign w:val="center"/>
          </w:tcPr>
          <w:p w:rsidR="00E34608" w:rsidP="008C1516" w14:paraId="37224669" w14:textId="77777777">
            <w:pPr>
              <w:spacing w:before="120" w:after="120"/>
              <w:jc w:val="center"/>
            </w:pPr>
          </w:p>
        </w:tc>
        <w:tc>
          <w:tcPr>
            <w:tcW w:w="1336" w:type="dxa"/>
            <w:tcBorders>
              <w:top w:val="single" w:sz="12" w:space="0" w:color="auto"/>
            </w:tcBorders>
            <w:vAlign w:val="center"/>
          </w:tcPr>
          <w:p w:rsidR="00E34608" w:rsidP="008C1516" w14:paraId="38F40DCD" w14:textId="77777777">
            <w:pPr>
              <w:spacing w:before="120" w:after="120"/>
              <w:jc w:val="center"/>
            </w:pPr>
            <w:r>
              <w:rPr>
                <w:noProof/>
                <w:snapToGrid/>
                <w:lang w:bidi="he-IL"/>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-20955</wp:posOffset>
                      </wp:positionV>
                      <wp:extent cx="0" cy="647700"/>
                      <wp:effectExtent l="57150" t="38100" r="57150" b="0"/>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647700"/>
                              </a:xfrm>
                              <a:prstGeom prst="straightConnector1">
                                <a:avLst/>
                              </a:prstGeom>
                              <a:ln w="34925" cmpd="dbl">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33" type="#_x0000_t32" style="width:0;height:51pt;margin-top:-1.65pt;margin-left:28.8pt;flip:y;mso-height-percent:0;mso-height-relative:margin;mso-width-percent:0;mso-width-relative:margin;mso-wrap-distance-bottom:0;mso-wrap-distance-left:9pt;mso-wrap-distance-right:9pt;mso-wrap-distance-top:0;mso-wrap-style:square;position:absolute;visibility:visible;z-index:251665408" strokecolor="red" strokeweight="2.75pt">
                      <v:stroke joinstyle="miter" linestyle="thinThin" endarrow="block"/>
                    </v:shape>
                  </w:pict>
                </mc:Fallback>
              </mc:AlternateContent>
            </w:r>
          </w:p>
        </w:tc>
        <w:tc>
          <w:tcPr>
            <w:tcW w:w="1336" w:type="dxa"/>
            <w:vAlign w:val="center"/>
          </w:tcPr>
          <w:p w:rsidR="00E34608" w:rsidP="008C1516" w14:paraId="05C23B48" w14:textId="77777777">
            <w:pPr>
              <w:spacing w:before="120" w:after="120"/>
              <w:jc w:val="center"/>
            </w:pPr>
          </w:p>
        </w:tc>
      </w:tr>
      <w:tr w14:paraId="6967AD00" w14:textId="77777777" w:rsidTr="008C1516">
        <w:tblPrEx>
          <w:tblW w:w="0" w:type="auto"/>
          <w:tblLook w:val="04A0"/>
        </w:tblPrEx>
        <w:tc>
          <w:tcPr>
            <w:tcW w:w="1335" w:type="dxa"/>
            <w:vAlign w:val="center"/>
          </w:tcPr>
          <w:p w:rsidR="00E34608" w:rsidP="008C1516" w14:paraId="5ECF3A15" w14:textId="77777777">
            <w:pPr>
              <w:spacing w:before="120" w:after="120"/>
              <w:jc w:val="center"/>
            </w:pPr>
          </w:p>
        </w:tc>
        <w:tc>
          <w:tcPr>
            <w:tcW w:w="1336" w:type="dxa"/>
            <w:tcBorders>
              <w:bottom w:val="single" w:sz="12" w:space="0" w:color="auto"/>
            </w:tcBorders>
            <w:vAlign w:val="center"/>
          </w:tcPr>
          <w:p w:rsidR="00E34608" w:rsidP="008C1516" w14:paraId="4EF428C5" w14:textId="77777777">
            <w:pPr>
              <w:spacing w:before="120" w:after="120"/>
              <w:jc w:val="center"/>
            </w:pPr>
          </w:p>
        </w:tc>
        <w:tc>
          <w:tcPr>
            <w:tcW w:w="1336" w:type="dxa"/>
            <w:vAlign w:val="center"/>
          </w:tcPr>
          <w:p w:rsidR="00E34608" w:rsidP="008C1516" w14:paraId="07CCF20D" w14:textId="77777777">
            <w:pPr>
              <w:spacing w:before="120" w:after="120"/>
              <w:jc w:val="center"/>
            </w:pPr>
          </w:p>
        </w:tc>
        <w:tc>
          <w:tcPr>
            <w:tcW w:w="1335" w:type="dxa"/>
            <w:vAlign w:val="center"/>
          </w:tcPr>
          <w:p w:rsidR="00E34608" w:rsidP="008C1516" w14:paraId="5C6E8016" w14:textId="77777777">
            <w:pPr>
              <w:spacing w:before="120" w:after="120"/>
              <w:jc w:val="center"/>
            </w:pPr>
          </w:p>
        </w:tc>
        <w:tc>
          <w:tcPr>
            <w:tcW w:w="1336" w:type="dxa"/>
            <w:vAlign w:val="center"/>
          </w:tcPr>
          <w:p w:rsidR="00E34608" w:rsidP="008C1516" w14:paraId="1634C202" w14:textId="77777777">
            <w:pPr>
              <w:spacing w:before="120" w:after="120"/>
              <w:jc w:val="center"/>
            </w:pPr>
          </w:p>
        </w:tc>
        <w:tc>
          <w:tcPr>
            <w:tcW w:w="1336" w:type="dxa"/>
            <w:tcBorders>
              <w:bottom w:val="single" w:sz="12" w:space="0" w:color="auto"/>
            </w:tcBorders>
            <w:vAlign w:val="center"/>
          </w:tcPr>
          <w:p w:rsidR="00E34608" w:rsidP="008C1516" w14:paraId="01037D6E" w14:textId="77777777">
            <w:pPr>
              <w:spacing w:before="120" w:after="120"/>
              <w:jc w:val="center"/>
            </w:pPr>
          </w:p>
        </w:tc>
        <w:tc>
          <w:tcPr>
            <w:tcW w:w="1336" w:type="dxa"/>
            <w:vAlign w:val="center"/>
          </w:tcPr>
          <w:p w:rsidR="00E34608" w:rsidP="008C1516" w14:paraId="7DEF88FF" w14:textId="77777777">
            <w:pPr>
              <w:spacing w:before="120" w:after="120"/>
              <w:jc w:val="center"/>
            </w:pPr>
          </w:p>
        </w:tc>
      </w:tr>
      <w:tr w14:paraId="0BFDBFAA" w14:textId="77777777" w:rsidTr="008C1516">
        <w:tblPrEx>
          <w:tblW w:w="0" w:type="auto"/>
          <w:tblLook w:val="04A0"/>
        </w:tblPrEx>
        <w:tc>
          <w:tcPr>
            <w:tcW w:w="1335" w:type="dxa"/>
            <w:tcBorders>
              <w:right w:val="single" w:sz="12" w:space="0" w:color="auto"/>
            </w:tcBorders>
            <w:vAlign w:val="center"/>
          </w:tcPr>
          <w:p w:rsidR="00E34608" w:rsidP="008C1516" w14:paraId="4964C2E0" w14:textId="77777777">
            <w:pPr>
              <w:spacing w:before="120" w:after="120"/>
              <w:jc w:val="center"/>
            </w:pPr>
          </w:p>
        </w:tc>
        <w:tc>
          <w:tcPr>
            <w:tcW w:w="13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3994D81A" w14:textId="77777777">
            <w:pPr>
              <w:spacing w:before="120" w:after="120"/>
              <w:jc w:val="center"/>
            </w:pPr>
            <w:r>
              <w:t>EAS Participant #1</w:t>
            </w:r>
          </w:p>
        </w:tc>
        <w:tc>
          <w:tcPr>
            <w:tcW w:w="1336" w:type="dxa"/>
            <w:tcBorders>
              <w:left w:val="single" w:sz="12" w:space="0" w:color="auto"/>
            </w:tcBorders>
            <w:vAlign w:val="center"/>
          </w:tcPr>
          <w:p w:rsidR="00E34608" w:rsidP="008C1516" w14:paraId="1E333749" w14:textId="77777777">
            <w:pPr>
              <w:spacing w:before="120" w:after="120"/>
              <w:jc w:val="center"/>
            </w:pPr>
          </w:p>
        </w:tc>
        <w:tc>
          <w:tcPr>
            <w:tcW w:w="1335" w:type="dxa"/>
            <w:vAlign w:val="center"/>
          </w:tcPr>
          <w:p w:rsidR="00E34608" w:rsidP="008C1516" w14:paraId="2DDCBD31" w14:textId="77777777">
            <w:pPr>
              <w:spacing w:before="120" w:after="120"/>
              <w:jc w:val="center"/>
            </w:pPr>
          </w:p>
        </w:tc>
        <w:tc>
          <w:tcPr>
            <w:tcW w:w="1336" w:type="dxa"/>
            <w:tcBorders>
              <w:right w:val="single" w:sz="12" w:space="0" w:color="auto"/>
            </w:tcBorders>
            <w:vAlign w:val="center"/>
          </w:tcPr>
          <w:p w:rsidR="00E34608" w:rsidP="008C1516" w14:paraId="0852DA32" w14:textId="77777777">
            <w:pPr>
              <w:spacing w:before="120" w:after="120"/>
              <w:jc w:val="center"/>
            </w:pPr>
          </w:p>
        </w:tc>
        <w:tc>
          <w:tcPr>
            <w:tcW w:w="13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6D895806" w14:textId="77777777">
            <w:pPr>
              <w:spacing w:before="120" w:after="120"/>
              <w:jc w:val="center"/>
            </w:pPr>
            <w:r>
              <w:t>EAS Participant #2</w:t>
            </w:r>
          </w:p>
        </w:tc>
        <w:tc>
          <w:tcPr>
            <w:tcW w:w="1336" w:type="dxa"/>
            <w:tcBorders>
              <w:left w:val="single" w:sz="12" w:space="0" w:color="auto"/>
            </w:tcBorders>
            <w:vAlign w:val="center"/>
          </w:tcPr>
          <w:p w:rsidR="00E34608" w:rsidP="008C1516" w14:paraId="4902D04C" w14:textId="77777777">
            <w:pPr>
              <w:spacing w:before="120" w:after="120"/>
              <w:jc w:val="center"/>
            </w:pPr>
          </w:p>
        </w:tc>
      </w:tr>
      <w:tr w14:paraId="51C4AAE1" w14:textId="77777777" w:rsidTr="008C1516">
        <w:tblPrEx>
          <w:tblW w:w="0" w:type="auto"/>
          <w:tblLook w:val="04A0"/>
        </w:tblPrEx>
        <w:tc>
          <w:tcPr>
            <w:tcW w:w="1335" w:type="dxa"/>
            <w:vAlign w:val="center"/>
          </w:tcPr>
          <w:p w:rsidR="00E34608" w:rsidP="008C1516" w14:paraId="20AE9E3F" w14:textId="77777777">
            <w:pPr>
              <w:spacing w:before="120" w:after="120"/>
              <w:jc w:val="center"/>
            </w:pPr>
          </w:p>
        </w:tc>
        <w:tc>
          <w:tcPr>
            <w:tcW w:w="1336" w:type="dxa"/>
            <w:tcBorders>
              <w:top w:val="single" w:sz="12" w:space="0" w:color="auto"/>
            </w:tcBorders>
            <w:vAlign w:val="center"/>
          </w:tcPr>
          <w:p w:rsidR="00E34608" w:rsidP="008C1516" w14:paraId="65F9A748" w14:textId="77777777">
            <w:pPr>
              <w:spacing w:before="120" w:after="120"/>
              <w:jc w:val="center"/>
            </w:pPr>
          </w:p>
        </w:tc>
        <w:tc>
          <w:tcPr>
            <w:tcW w:w="1336" w:type="dxa"/>
            <w:vAlign w:val="center"/>
          </w:tcPr>
          <w:p w:rsidR="00E34608" w:rsidP="008C1516" w14:paraId="3593718A" w14:textId="77777777">
            <w:pPr>
              <w:spacing w:before="120" w:after="120"/>
              <w:jc w:val="center"/>
            </w:pPr>
          </w:p>
        </w:tc>
        <w:tc>
          <w:tcPr>
            <w:tcW w:w="1335" w:type="dxa"/>
            <w:vAlign w:val="center"/>
          </w:tcPr>
          <w:p w:rsidR="00E34608" w:rsidP="008C1516" w14:paraId="747782B0" w14:textId="77777777">
            <w:pPr>
              <w:spacing w:before="120" w:after="120"/>
              <w:jc w:val="center"/>
            </w:pPr>
          </w:p>
        </w:tc>
        <w:tc>
          <w:tcPr>
            <w:tcW w:w="1336" w:type="dxa"/>
            <w:vAlign w:val="center"/>
          </w:tcPr>
          <w:p w:rsidR="00E34608" w:rsidP="008C1516" w14:paraId="27DD85B0" w14:textId="77777777">
            <w:pPr>
              <w:spacing w:before="120" w:after="120"/>
              <w:jc w:val="center"/>
            </w:pPr>
          </w:p>
        </w:tc>
        <w:tc>
          <w:tcPr>
            <w:tcW w:w="1336" w:type="dxa"/>
            <w:tcBorders>
              <w:top w:val="single" w:sz="12" w:space="0" w:color="auto"/>
            </w:tcBorders>
            <w:vAlign w:val="center"/>
          </w:tcPr>
          <w:p w:rsidR="00E34608" w:rsidP="008C1516" w14:paraId="785E6C34" w14:textId="77777777">
            <w:pPr>
              <w:spacing w:before="120" w:after="120"/>
              <w:jc w:val="center"/>
            </w:pPr>
            <w:r>
              <w:rPr>
                <w:noProof/>
                <w:snapToGrid/>
                <w:lang w:bidi="he-IL"/>
              </w:rPr>
              <mc:AlternateContent>
                <mc:Choice Requires="wps">
                  <w:drawing>
                    <wp:anchor distT="0" distB="0" distL="114300" distR="114300" simplePos="0" relativeHeight="251676672" behindDoc="0" locked="0" layoutInCell="1" allowOverlap="1">
                      <wp:simplePos x="0" y="0"/>
                      <wp:positionH relativeFrom="column">
                        <wp:posOffset>367665</wp:posOffset>
                      </wp:positionH>
                      <wp:positionV relativeFrom="paragraph">
                        <wp:posOffset>-1270</wp:posOffset>
                      </wp:positionV>
                      <wp:extent cx="0" cy="1752600"/>
                      <wp:effectExtent l="57150" t="38100" r="57150" b="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wps:spPr>
                              <a:xfrm flipV="1">
                                <a:off x="0" y="0"/>
                                <a:ext cx="0" cy="1752600"/>
                              </a:xfrm>
                              <a:prstGeom prst="straightConnector1">
                                <a:avLst/>
                              </a:prstGeom>
                              <a:ln w="3810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34" type="#_x0000_t32" style="width:0;height:138pt;margin-top:-0.1pt;margin-left:28.95pt;flip:y;mso-wrap-distance-bottom:0;mso-wrap-distance-left:9pt;mso-wrap-distance-right:9pt;mso-wrap-distance-top:0;mso-wrap-style:square;position:absolute;visibility:visible;z-index:251677696" strokecolor="#0070c0" strokeweight="3pt">
                      <v:stroke joinstyle="miter" dashstyle="solid" endarrow="block"/>
                    </v:shape>
                  </w:pict>
                </mc:Fallback>
              </mc:AlternateContent>
            </w:r>
          </w:p>
        </w:tc>
        <w:tc>
          <w:tcPr>
            <w:tcW w:w="1336" w:type="dxa"/>
            <w:vAlign w:val="center"/>
          </w:tcPr>
          <w:p w:rsidR="00E34608" w:rsidP="008C1516" w14:paraId="5969FABB" w14:textId="77777777">
            <w:pPr>
              <w:spacing w:before="120" w:after="120"/>
              <w:jc w:val="center"/>
            </w:pPr>
          </w:p>
        </w:tc>
      </w:tr>
      <w:tr w14:paraId="124857CB" w14:textId="77777777" w:rsidTr="008C1516">
        <w:tblPrEx>
          <w:tblW w:w="0" w:type="auto"/>
          <w:tblLook w:val="04A0"/>
        </w:tblPrEx>
        <w:tc>
          <w:tcPr>
            <w:tcW w:w="1335" w:type="dxa"/>
            <w:vAlign w:val="center"/>
          </w:tcPr>
          <w:p w:rsidR="00E34608" w:rsidP="008C1516" w14:paraId="00DC5681" w14:textId="77777777">
            <w:pPr>
              <w:jc w:val="center"/>
            </w:pPr>
          </w:p>
        </w:tc>
        <w:tc>
          <w:tcPr>
            <w:tcW w:w="1336" w:type="dxa"/>
            <w:vAlign w:val="center"/>
          </w:tcPr>
          <w:p w:rsidR="00E34608" w:rsidP="008C1516" w14:paraId="1FEF4165" w14:textId="77777777">
            <w:pPr>
              <w:jc w:val="center"/>
            </w:pPr>
          </w:p>
        </w:tc>
        <w:tc>
          <w:tcPr>
            <w:tcW w:w="1336" w:type="dxa"/>
            <w:vAlign w:val="center"/>
          </w:tcPr>
          <w:p w:rsidR="00E34608" w:rsidP="008C1516" w14:paraId="38AC91D1" w14:textId="77777777">
            <w:pPr>
              <w:jc w:val="center"/>
            </w:pPr>
          </w:p>
        </w:tc>
        <w:tc>
          <w:tcPr>
            <w:tcW w:w="1335" w:type="dxa"/>
            <w:tcBorders>
              <w:bottom w:val="single" w:sz="12" w:space="0" w:color="auto"/>
            </w:tcBorders>
            <w:vAlign w:val="center"/>
          </w:tcPr>
          <w:p w:rsidR="00E34608" w:rsidP="008C1516" w14:paraId="4F62C0E6" w14:textId="77777777">
            <w:pPr>
              <w:jc w:val="center"/>
            </w:pPr>
          </w:p>
        </w:tc>
        <w:tc>
          <w:tcPr>
            <w:tcW w:w="1336" w:type="dxa"/>
            <w:vAlign w:val="center"/>
          </w:tcPr>
          <w:p w:rsidR="00E34608" w:rsidP="008C1516" w14:paraId="1A8F221B" w14:textId="77777777">
            <w:pPr>
              <w:jc w:val="center"/>
            </w:pPr>
          </w:p>
        </w:tc>
        <w:tc>
          <w:tcPr>
            <w:tcW w:w="1336" w:type="dxa"/>
            <w:vAlign w:val="center"/>
          </w:tcPr>
          <w:p w:rsidR="00E34608" w:rsidP="008C1516" w14:paraId="001C2487" w14:textId="77777777">
            <w:pPr>
              <w:jc w:val="center"/>
            </w:pPr>
          </w:p>
        </w:tc>
        <w:tc>
          <w:tcPr>
            <w:tcW w:w="1336" w:type="dxa"/>
            <w:vAlign w:val="center"/>
          </w:tcPr>
          <w:p w:rsidR="00E34608" w:rsidP="008C1516" w14:paraId="52B203CB" w14:textId="77777777">
            <w:pPr>
              <w:jc w:val="center"/>
            </w:pPr>
          </w:p>
        </w:tc>
      </w:tr>
      <w:tr w14:paraId="52C00FEA" w14:textId="77777777" w:rsidTr="008C1516">
        <w:tblPrEx>
          <w:tblW w:w="0" w:type="auto"/>
          <w:tblLook w:val="04A0"/>
        </w:tblPrEx>
        <w:tc>
          <w:tcPr>
            <w:tcW w:w="1335" w:type="dxa"/>
            <w:vAlign w:val="center"/>
          </w:tcPr>
          <w:p w:rsidR="00E34608" w:rsidP="008C1516" w14:paraId="7C5CCED3" w14:textId="77777777">
            <w:pPr>
              <w:spacing w:before="120" w:after="120"/>
              <w:jc w:val="center"/>
            </w:pPr>
          </w:p>
        </w:tc>
        <w:tc>
          <w:tcPr>
            <w:tcW w:w="1336" w:type="dxa"/>
            <w:vAlign w:val="center"/>
          </w:tcPr>
          <w:p w:rsidR="00E34608" w:rsidP="008C1516" w14:paraId="0F776AD1" w14:textId="77777777">
            <w:pPr>
              <w:spacing w:before="120" w:after="120"/>
              <w:jc w:val="center"/>
            </w:pPr>
          </w:p>
        </w:tc>
        <w:tc>
          <w:tcPr>
            <w:tcW w:w="1336" w:type="dxa"/>
            <w:tcBorders>
              <w:right w:val="single" w:sz="12" w:space="0" w:color="auto"/>
            </w:tcBorders>
            <w:vAlign w:val="center"/>
          </w:tcPr>
          <w:p w:rsidR="00E34608" w:rsidP="008C1516" w14:paraId="734998A2" w14:textId="77777777">
            <w:pPr>
              <w:spacing w:before="120" w:after="120"/>
              <w:jc w:val="center"/>
            </w:pPr>
          </w:p>
        </w:tc>
        <w:tc>
          <w:tcPr>
            <w:tcW w:w="13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69716E58" w14:textId="77777777">
            <w:pPr>
              <w:spacing w:before="120" w:after="120"/>
              <w:jc w:val="center"/>
            </w:pPr>
            <w:r>
              <w:t>EAS Participant #3</w:t>
            </w:r>
          </w:p>
        </w:tc>
        <w:tc>
          <w:tcPr>
            <w:tcW w:w="1336" w:type="dxa"/>
            <w:tcBorders>
              <w:left w:val="single" w:sz="12" w:space="0" w:color="auto"/>
            </w:tcBorders>
            <w:vAlign w:val="center"/>
          </w:tcPr>
          <w:p w:rsidR="00E34608" w:rsidP="008C1516" w14:paraId="3FA30A99" w14:textId="77777777">
            <w:pPr>
              <w:spacing w:before="120" w:after="120"/>
              <w:jc w:val="center"/>
            </w:pPr>
          </w:p>
        </w:tc>
        <w:tc>
          <w:tcPr>
            <w:tcW w:w="1336" w:type="dxa"/>
            <w:vAlign w:val="center"/>
          </w:tcPr>
          <w:p w:rsidR="00E34608" w:rsidP="008C1516" w14:paraId="6CDA673F" w14:textId="77777777">
            <w:pPr>
              <w:spacing w:before="120" w:after="120"/>
              <w:jc w:val="center"/>
            </w:pPr>
          </w:p>
        </w:tc>
        <w:tc>
          <w:tcPr>
            <w:tcW w:w="1336" w:type="dxa"/>
            <w:vAlign w:val="center"/>
          </w:tcPr>
          <w:p w:rsidR="00E34608" w:rsidP="008C1516" w14:paraId="11B7C9A9" w14:textId="77777777">
            <w:pPr>
              <w:spacing w:before="120" w:after="120"/>
              <w:jc w:val="center"/>
            </w:pPr>
          </w:p>
        </w:tc>
      </w:tr>
      <w:tr w14:paraId="4B422CF5" w14:textId="77777777" w:rsidTr="008C1516">
        <w:tblPrEx>
          <w:tblW w:w="0" w:type="auto"/>
          <w:tblLook w:val="04A0"/>
        </w:tblPrEx>
        <w:tc>
          <w:tcPr>
            <w:tcW w:w="1335" w:type="dxa"/>
            <w:vAlign w:val="center"/>
          </w:tcPr>
          <w:p w:rsidR="00E34608" w:rsidP="008C1516" w14:paraId="2D2F74B4" w14:textId="77777777">
            <w:pPr>
              <w:spacing w:before="120" w:after="120"/>
              <w:jc w:val="center"/>
            </w:pPr>
          </w:p>
        </w:tc>
        <w:tc>
          <w:tcPr>
            <w:tcW w:w="1336" w:type="dxa"/>
            <w:vAlign w:val="center"/>
          </w:tcPr>
          <w:p w:rsidR="00E34608" w:rsidP="008C1516" w14:paraId="109CD810" w14:textId="77777777">
            <w:pPr>
              <w:spacing w:before="120" w:after="120"/>
              <w:jc w:val="center"/>
            </w:pPr>
          </w:p>
        </w:tc>
        <w:tc>
          <w:tcPr>
            <w:tcW w:w="1336" w:type="dxa"/>
            <w:vAlign w:val="center"/>
          </w:tcPr>
          <w:p w:rsidR="00E34608" w:rsidP="008C1516" w14:paraId="6C1999E7" w14:textId="77777777">
            <w:pPr>
              <w:spacing w:before="120" w:after="120"/>
              <w:jc w:val="center"/>
            </w:pPr>
          </w:p>
        </w:tc>
        <w:tc>
          <w:tcPr>
            <w:tcW w:w="1335" w:type="dxa"/>
            <w:tcBorders>
              <w:top w:val="single" w:sz="12" w:space="0" w:color="auto"/>
            </w:tcBorders>
            <w:vAlign w:val="center"/>
          </w:tcPr>
          <w:p w:rsidR="00E34608" w:rsidP="008C1516" w14:paraId="2D3226AF" w14:textId="77777777">
            <w:pPr>
              <w:spacing w:before="120" w:after="120"/>
              <w:jc w:val="center"/>
            </w:pPr>
            <w:r>
              <w:rPr>
                <w:noProof/>
                <w:snapToGrid/>
                <w:lang w:bidi="he-IL"/>
              </w:rPr>
              <mc:AlternateContent>
                <mc:Choice Requires="wps">
                  <w:drawing>
                    <wp:anchor distT="0" distB="0" distL="114300" distR="114300" simplePos="0" relativeHeight="251678720" behindDoc="0" locked="0" layoutInCell="1" allowOverlap="1">
                      <wp:simplePos x="0" y="0"/>
                      <wp:positionH relativeFrom="column">
                        <wp:posOffset>301625</wp:posOffset>
                      </wp:positionH>
                      <wp:positionV relativeFrom="paragraph">
                        <wp:posOffset>3810</wp:posOffset>
                      </wp:positionV>
                      <wp:extent cx="1762125" cy="609600"/>
                      <wp:effectExtent l="0" t="57150" r="9525" b="19050"/>
                      <wp:wrapNone/>
                      <wp:docPr id="12" name="Straight Arrow Connector 12"/>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762125" cy="609600"/>
                              </a:xfrm>
                              <a:prstGeom prst="straightConnector1">
                                <a:avLst/>
                              </a:prstGeom>
                              <a:ln w="3810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35" type="#_x0000_t32" style="width:138.75pt;height:48pt;margin-top:0.3pt;margin-left:23.75pt;flip:x y;mso-wrap-distance-bottom:0;mso-wrap-distance-left:9pt;mso-wrap-distance-right:9pt;mso-wrap-distance-top:0;mso-wrap-style:square;position:absolute;visibility:visible;z-index:251679744" strokecolor="#0070c0" strokeweight="3pt">
                      <v:stroke joinstyle="miter" dashstyle="solid" endarrow="block"/>
                    </v:shape>
                  </w:pict>
                </mc:Fallback>
              </mc:AlternateContent>
            </w:r>
          </w:p>
        </w:tc>
        <w:tc>
          <w:tcPr>
            <w:tcW w:w="1336" w:type="dxa"/>
            <w:vAlign w:val="center"/>
          </w:tcPr>
          <w:p w:rsidR="00E34608" w:rsidP="008C1516" w14:paraId="7802D379" w14:textId="77777777">
            <w:pPr>
              <w:spacing w:before="120" w:after="120"/>
              <w:jc w:val="center"/>
            </w:pPr>
          </w:p>
        </w:tc>
        <w:tc>
          <w:tcPr>
            <w:tcW w:w="1336" w:type="dxa"/>
            <w:vAlign w:val="center"/>
          </w:tcPr>
          <w:p w:rsidR="00E34608" w:rsidP="008C1516" w14:paraId="1F77C93D" w14:textId="77777777">
            <w:pPr>
              <w:spacing w:before="120" w:after="120"/>
              <w:jc w:val="center"/>
            </w:pPr>
          </w:p>
        </w:tc>
        <w:tc>
          <w:tcPr>
            <w:tcW w:w="1336" w:type="dxa"/>
            <w:vAlign w:val="center"/>
          </w:tcPr>
          <w:p w:rsidR="00E34608" w:rsidP="008C1516" w14:paraId="516FDB70" w14:textId="77777777">
            <w:pPr>
              <w:spacing w:before="120" w:after="120"/>
              <w:jc w:val="center"/>
            </w:pPr>
          </w:p>
        </w:tc>
      </w:tr>
      <w:tr w14:paraId="5F4210A8" w14:textId="77777777" w:rsidTr="008C1516">
        <w:tblPrEx>
          <w:tblW w:w="0" w:type="auto"/>
          <w:tblLook w:val="04A0"/>
        </w:tblPrEx>
        <w:tc>
          <w:tcPr>
            <w:tcW w:w="1335" w:type="dxa"/>
            <w:vAlign w:val="center"/>
          </w:tcPr>
          <w:p w:rsidR="00E34608" w:rsidP="008C1516" w14:paraId="44C3819B" w14:textId="77777777">
            <w:pPr>
              <w:spacing w:before="120" w:after="120"/>
              <w:jc w:val="center"/>
            </w:pPr>
          </w:p>
        </w:tc>
        <w:tc>
          <w:tcPr>
            <w:tcW w:w="1336" w:type="dxa"/>
            <w:vAlign w:val="center"/>
          </w:tcPr>
          <w:p w:rsidR="00E34608" w:rsidP="008C1516" w14:paraId="1B4FDF8B" w14:textId="77777777">
            <w:pPr>
              <w:spacing w:before="120" w:after="120"/>
              <w:jc w:val="center"/>
            </w:pPr>
          </w:p>
        </w:tc>
        <w:tc>
          <w:tcPr>
            <w:tcW w:w="1336" w:type="dxa"/>
            <w:vAlign w:val="center"/>
          </w:tcPr>
          <w:p w:rsidR="00E34608" w:rsidP="008C1516" w14:paraId="623F8EDE" w14:textId="77777777">
            <w:pPr>
              <w:spacing w:before="120" w:after="120"/>
              <w:jc w:val="center"/>
            </w:pPr>
          </w:p>
        </w:tc>
        <w:tc>
          <w:tcPr>
            <w:tcW w:w="1335" w:type="dxa"/>
            <w:vAlign w:val="center"/>
          </w:tcPr>
          <w:p w:rsidR="00E34608" w:rsidP="008C1516" w14:paraId="3B58BD68" w14:textId="77777777">
            <w:pPr>
              <w:spacing w:before="120" w:after="120"/>
              <w:jc w:val="center"/>
            </w:pPr>
          </w:p>
        </w:tc>
        <w:tc>
          <w:tcPr>
            <w:tcW w:w="1336" w:type="dxa"/>
            <w:vAlign w:val="center"/>
          </w:tcPr>
          <w:p w:rsidR="00E34608" w:rsidP="008C1516" w14:paraId="566701B1" w14:textId="77777777">
            <w:pPr>
              <w:spacing w:before="120" w:after="120"/>
              <w:jc w:val="center"/>
            </w:pPr>
          </w:p>
        </w:tc>
        <w:tc>
          <w:tcPr>
            <w:tcW w:w="1336" w:type="dxa"/>
            <w:tcBorders>
              <w:bottom w:val="single" w:sz="12" w:space="0" w:color="auto"/>
            </w:tcBorders>
            <w:vAlign w:val="center"/>
          </w:tcPr>
          <w:p w:rsidR="00E34608" w:rsidP="008C1516" w14:paraId="48B8C502" w14:textId="77777777">
            <w:pPr>
              <w:spacing w:before="120" w:after="120"/>
              <w:jc w:val="center"/>
            </w:pPr>
          </w:p>
        </w:tc>
        <w:tc>
          <w:tcPr>
            <w:tcW w:w="1336" w:type="dxa"/>
            <w:vAlign w:val="center"/>
          </w:tcPr>
          <w:p w:rsidR="00E34608" w:rsidP="008C1516" w14:paraId="736AB22B" w14:textId="77777777">
            <w:pPr>
              <w:spacing w:before="120" w:after="120"/>
              <w:jc w:val="center"/>
            </w:pPr>
          </w:p>
        </w:tc>
      </w:tr>
      <w:tr w14:paraId="3F80F47B" w14:textId="77777777" w:rsidTr="008C1516">
        <w:tblPrEx>
          <w:tblW w:w="0" w:type="auto"/>
          <w:tblLook w:val="04A0"/>
        </w:tblPrEx>
        <w:tc>
          <w:tcPr>
            <w:tcW w:w="1335" w:type="dxa"/>
            <w:vAlign w:val="center"/>
          </w:tcPr>
          <w:p w:rsidR="00E34608" w:rsidP="008C1516" w14:paraId="0485F2BF" w14:textId="77777777">
            <w:pPr>
              <w:spacing w:before="120" w:after="120"/>
              <w:jc w:val="center"/>
            </w:pPr>
          </w:p>
        </w:tc>
        <w:tc>
          <w:tcPr>
            <w:tcW w:w="1336" w:type="dxa"/>
            <w:vAlign w:val="center"/>
          </w:tcPr>
          <w:p w:rsidR="00E34608" w:rsidP="008C1516" w14:paraId="21BE4A94" w14:textId="77777777">
            <w:pPr>
              <w:spacing w:before="120" w:after="120"/>
              <w:jc w:val="center"/>
            </w:pPr>
          </w:p>
        </w:tc>
        <w:tc>
          <w:tcPr>
            <w:tcW w:w="1336" w:type="dxa"/>
            <w:vAlign w:val="center"/>
          </w:tcPr>
          <w:p w:rsidR="00E34608" w:rsidP="008C1516" w14:paraId="1C3FC44B" w14:textId="77777777">
            <w:pPr>
              <w:spacing w:before="120" w:after="120"/>
              <w:jc w:val="center"/>
            </w:pPr>
          </w:p>
        </w:tc>
        <w:tc>
          <w:tcPr>
            <w:tcW w:w="1335" w:type="dxa"/>
            <w:vAlign w:val="center"/>
          </w:tcPr>
          <w:p w:rsidR="00E34608" w:rsidP="008C1516" w14:paraId="555A3162" w14:textId="77777777">
            <w:pPr>
              <w:spacing w:before="120" w:after="120"/>
              <w:jc w:val="center"/>
            </w:pPr>
          </w:p>
        </w:tc>
        <w:tc>
          <w:tcPr>
            <w:tcW w:w="1336" w:type="dxa"/>
            <w:tcBorders>
              <w:right w:val="single" w:sz="12" w:space="0" w:color="auto"/>
            </w:tcBorders>
            <w:vAlign w:val="center"/>
          </w:tcPr>
          <w:p w:rsidR="00E34608" w:rsidP="008C1516" w14:paraId="00256907" w14:textId="77777777">
            <w:pPr>
              <w:spacing w:before="120" w:after="120"/>
              <w:jc w:val="center"/>
            </w:pPr>
          </w:p>
        </w:tc>
        <w:tc>
          <w:tcPr>
            <w:tcW w:w="13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34608" w:rsidP="008C1516" w14:paraId="363ADEA7" w14:textId="77777777">
            <w:pPr>
              <w:spacing w:before="120" w:after="120"/>
              <w:jc w:val="center"/>
            </w:pPr>
            <w:r>
              <w:t>EAS Participant #4</w:t>
            </w:r>
          </w:p>
        </w:tc>
        <w:tc>
          <w:tcPr>
            <w:tcW w:w="1336" w:type="dxa"/>
            <w:tcBorders>
              <w:left w:val="single" w:sz="12" w:space="0" w:color="auto"/>
            </w:tcBorders>
            <w:vAlign w:val="center"/>
          </w:tcPr>
          <w:p w:rsidR="00E34608" w:rsidP="008C1516" w14:paraId="0B7C6D7C" w14:textId="77777777">
            <w:pPr>
              <w:spacing w:before="120" w:after="120"/>
              <w:jc w:val="center"/>
            </w:pPr>
          </w:p>
        </w:tc>
      </w:tr>
    </w:tbl>
    <w:p w:rsidR="00E34608" w:rsidP="00E34608" w14:paraId="516F1762" w14:textId="77777777"/>
    <w:p w:rsidR="00E34608" w:rsidP="00BF2C45" w14:paraId="2DE0F35A" w14:textId="12C84555">
      <w:pPr>
        <w:spacing w:after="120"/>
      </w:pPr>
      <w:r>
        <w:t xml:space="preserve">The diagram above shows two EAS Participants that directly monitor signals from two FEMA-designated NPWS sources: EAS Participant #1 monitors an NPWS/PEP radio </w:t>
      </w:r>
      <w:r w:rsidR="00FE47D6">
        <w:t>station</w:t>
      </w:r>
      <w:r>
        <w:t xml:space="preserve"> and an NPWS satellite network, while EAS Participant #2 monitors two different NPWS satellite networks.  </w:t>
      </w:r>
      <w:r w:rsidR="00BF2C45">
        <w:t xml:space="preserve">The diagram also shows a </w:t>
      </w:r>
      <w:r>
        <w:t xml:space="preserve">third entity (EAS Participant #3) </w:t>
      </w:r>
      <w:r w:rsidR="00BF2C45">
        <w:t xml:space="preserve">that </w:t>
      </w:r>
      <w:r>
        <w:t xml:space="preserve">directly monitors signals from one NPWS source (a satellite network) and indirectly monitors signals from a different NPWS source by directly monitoring EAS Participant #1, which in turn directly monitors the NPWS/PEP radio </w:t>
      </w:r>
      <w:r w:rsidR="00FE47D6">
        <w:t>station</w:t>
      </w:r>
      <w:r>
        <w:t xml:space="preserve">.  </w:t>
      </w:r>
    </w:p>
    <w:p w:rsidR="007B4C78" w:rsidRPr="00810157" w:rsidP="00B3626E" w14:paraId="090B0487" w14:textId="176AE85E">
      <w:pPr>
        <w:spacing w:after="120"/>
        <w:rPr>
          <w:b/>
          <w:bCs/>
        </w:rPr>
      </w:pPr>
      <w:r>
        <w:t xml:space="preserve">While the rules permit assignments like those shown for EAS Participant #4 in the illustration, which directly monitors signals from two EAS Participants with diverse connections to different NPWS sources (thus avoiding any potential single points of failure), </w:t>
      </w:r>
      <w:r w:rsidR="00FE47D6">
        <w:t xml:space="preserve">such arrangements are not </w:t>
      </w:r>
      <w:r>
        <w:t>ideal</w:t>
      </w:r>
      <w:r w:rsidR="00FE47D6">
        <w:t xml:space="preserve">.  If possible, </w:t>
      </w:r>
      <w:r w:rsidR="00BF2C45">
        <w:t xml:space="preserve">most </w:t>
      </w:r>
      <w:r w:rsidR="00FE47D6">
        <w:t>EAS Participant</w:t>
      </w:r>
      <w:r w:rsidR="00BF2C45">
        <w:t>s</w:t>
      </w:r>
      <w:r w:rsidR="00FE47D6">
        <w:t xml:space="preserve"> </w:t>
      </w:r>
      <w:r>
        <w:t xml:space="preserve">should have </w:t>
      </w:r>
      <w:r w:rsidR="00FE47D6">
        <w:t xml:space="preserve">at least one </w:t>
      </w:r>
      <w:r>
        <w:t xml:space="preserve">direct </w:t>
      </w:r>
      <w:r w:rsidR="00FE47D6">
        <w:t>monitoring connection</w:t>
      </w:r>
      <w:r>
        <w:t xml:space="preserve"> to </w:t>
      </w:r>
      <w:r w:rsidR="00FE47D6">
        <w:t>an</w:t>
      </w:r>
      <w:r>
        <w:t xml:space="preserve"> NPWS source</w:t>
      </w:r>
      <w:r w:rsidR="00E37A27">
        <w:t>, like EAS Participant #3 in the diagram; or two such direct connections, like EAS Participants #1 and #2</w:t>
      </w:r>
      <w:r w:rsidR="00FE47D6">
        <w:t>.  As shown in the diagram, EAS Participant #4 has no such direct connections and therefore</w:t>
      </w:r>
      <w:r>
        <w:t xml:space="preserve"> </w:t>
      </w:r>
      <w:r w:rsidR="00FE47D6">
        <w:t xml:space="preserve">it </w:t>
      </w:r>
      <w:r>
        <w:t>need</w:t>
      </w:r>
      <w:r w:rsidR="006C21E2">
        <w:t>s</w:t>
      </w:r>
      <w:r>
        <w:t xml:space="preserve"> </w:t>
      </w:r>
      <w:r w:rsidR="006C21E2">
        <w:t>multiple</w:t>
      </w:r>
      <w:r>
        <w:t xml:space="preserve"> </w:t>
      </w:r>
      <w:r w:rsidR="006C21E2">
        <w:t xml:space="preserve">intermediate </w:t>
      </w:r>
      <w:r>
        <w:t xml:space="preserve">connections to pick up the </w:t>
      </w:r>
      <w:r w:rsidR="00BF2C45">
        <w:t xml:space="preserve">EAN </w:t>
      </w:r>
      <w:r>
        <w:t>signal from FEMA</w:t>
      </w:r>
      <w:r w:rsidR="00E9576C">
        <w:t xml:space="preserve">.  </w:t>
      </w:r>
      <w:r w:rsidR="00832C90">
        <w:t>While t</w:t>
      </w:r>
      <w:r w:rsidR="00E9576C">
        <w:t>hi</w:t>
      </w:r>
      <w:r w:rsidR="00EF3D72">
        <w:t xml:space="preserve">s arrangement </w:t>
      </w:r>
      <w:r w:rsidR="00832C90">
        <w:t xml:space="preserve">is permissible under the rules, it </w:t>
      </w:r>
      <w:r w:rsidR="00BF00E2">
        <w:t xml:space="preserve">is not preferred because it is more likely to </w:t>
      </w:r>
      <w:r w:rsidR="00EF3D72">
        <w:t>result in audio signal attenuation or loss and</w:t>
      </w:r>
      <w:r w:rsidR="006C21E2">
        <w:t xml:space="preserve"> increas</w:t>
      </w:r>
      <w:r w:rsidR="00EF3D72">
        <w:t>es</w:t>
      </w:r>
      <w:r w:rsidR="006C21E2">
        <w:t xml:space="preserve"> the risk of transmission failure through multiplication of links</w:t>
      </w:r>
      <w:r>
        <w:t>.</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BB4" w14:paraId="33A2B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15BB4" w14:paraId="038737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BB4" w14:paraId="7FA8D603" w14:textId="029FF207">
    <w:pPr>
      <w:pStyle w:val="Footer"/>
      <w:jc w:val="center"/>
    </w:pPr>
    <w:r>
      <w:fldChar w:fldCharType="begin"/>
    </w:r>
    <w:r>
      <w:instrText xml:space="preserve"> PAGE   \* MERGEFORMAT </w:instrText>
    </w:r>
    <w:r>
      <w:fldChar w:fldCharType="separate"/>
    </w:r>
    <w:r w:rsidR="00B3626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BB4" w14:paraId="0A9AF8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4884" w14:paraId="314C8D21" w14:textId="77777777">
      <w:r>
        <w:separator/>
      </w:r>
    </w:p>
  </w:footnote>
  <w:footnote w:type="continuationSeparator" w:id="1">
    <w:p w:rsidR="00544884" w14:paraId="7F74FC25" w14:textId="77777777">
      <w:pPr>
        <w:rPr>
          <w:sz w:val="20"/>
        </w:rPr>
      </w:pPr>
      <w:r>
        <w:rPr>
          <w:sz w:val="20"/>
        </w:rPr>
        <w:t xml:space="preserve">(Continued from previous page)  </w:t>
      </w:r>
      <w:r>
        <w:rPr>
          <w:sz w:val="20"/>
        </w:rPr>
        <w:separator/>
      </w:r>
    </w:p>
  </w:footnote>
  <w:footnote w:type="continuationNotice" w:id="2">
    <w:p w:rsidR="00544884" w14:paraId="237BA885" w14:textId="77777777">
      <w:pPr>
        <w:jc w:val="right"/>
        <w:rPr>
          <w:sz w:val="20"/>
        </w:rPr>
      </w:pPr>
      <w:r>
        <w:rPr>
          <w:sz w:val="20"/>
        </w:rPr>
        <w:t>(continued….)</w:t>
      </w:r>
    </w:p>
  </w:footnote>
  <w:footnote w:id="3">
    <w:p w:rsidR="00D15BB4" w:rsidRPr="00265AEB" w:rsidP="00F41302" w14:paraId="130F21D9" w14:textId="78015C63">
      <w:pPr>
        <w:pStyle w:val="FootnoteText"/>
      </w:pPr>
      <w:r>
        <w:rPr>
          <w:rStyle w:val="FootnoteReference"/>
        </w:rPr>
        <w:footnoteRef/>
      </w:r>
      <w:r>
        <w:t xml:space="preserve"> </w:t>
      </w:r>
      <w:r w:rsidR="00D32242">
        <w:t xml:space="preserve">State EAS Plans describe EAS operations and delineate the responsibilities of </w:t>
      </w:r>
      <w:r w:rsidRPr="00250A6C" w:rsidR="00D32242">
        <w:t xml:space="preserve">EAS Participants </w:t>
      </w:r>
      <w:r w:rsidR="00D32242">
        <w:t>(</w:t>
      </w:r>
      <w:r w:rsidR="00D32242">
        <w:rPr>
          <w:i/>
          <w:iCs/>
        </w:rPr>
        <w:t>i.e.</w:t>
      </w:r>
      <w:r w:rsidR="00D32242">
        <w:t xml:space="preserve">, broadcast stations, cable systems, and certain other entities) to monitor signals from other, specified </w:t>
      </w:r>
      <w:r w:rsidRPr="00250A6C" w:rsidR="00D32242">
        <w:t>EAS Participants</w:t>
      </w:r>
      <w:r w:rsidR="00D32242">
        <w:t xml:space="preserve"> in order to receive and transmit certain emergency alert messages.</w:t>
      </w:r>
      <w:r w:rsidR="00D32242">
        <w:t xml:space="preserve"> </w:t>
      </w:r>
      <w:r w:rsidR="00D32242">
        <w:t xml:space="preserve"> </w:t>
      </w:r>
      <w:r w:rsidR="00D32242">
        <w:rPr>
          <w:color w:val="000000"/>
          <w:shd w:val="clear" w:color="auto" w:fill="FFFFFF"/>
        </w:rPr>
        <w:t>ARS is the online system that SECCs use to file their</w:t>
      </w:r>
      <w:r w:rsidRPr="004A34E7" w:rsidR="00D32242">
        <w:rPr>
          <w:color w:val="000000"/>
          <w:shd w:val="clear" w:color="auto" w:fill="FFFFFF"/>
        </w:rPr>
        <w:t xml:space="preserve"> </w:t>
      </w:r>
      <w:r w:rsidRPr="00BC19B3" w:rsidR="00D32242">
        <w:rPr>
          <w:color w:val="000000"/>
          <w:shd w:val="clear" w:color="auto" w:fill="FFFFFF"/>
        </w:rPr>
        <w:t>State EAS Plans</w:t>
      </w:r>
      <w:r w:rsidR="00D32242">
        <w:rPr>
          <w:color w:val="000000"/>
          <w:shd w:val="clear" w:color="auto" w:fill="FFFFFF"/>
        </w:rPr>
        <w:t xml:space="preserve"> and that the Bureau uses to review and approve them</w:t>
      </w:r>
      <w:r w:rsidRPr="00BC19B3" w:rsidR="00D32242">
        <w:rPr>
          <w:color w:val="000000"/>
          <w:shd w:val="clear" w:color="auto" w:fill="FFFFFF"/>
        </w:rPr>
        <w:t>.</w:t>
      </w:r>
      <w:r w:rsidR="00D32242">
        <w:rPr>
          <w:color w:val="000000"/>
          <w:shd w:val="clear" w:color="auto" w:fill="FFFFFF"/>
        </w:rPr>
        <w:t xml:space="preserve">  </w:t>
      </w:r>
      <w:r w:rsidR="00D32242">
        <w:rPr>
          <w:i/>
          <w:iCs/>
          <w:color w:val="000000"/>
          <w:shd w:val="clear" w:color="auto" w:fill="FFFFFF"/>
        </w:rPr>
        <w:t xml:space="preserve">See </w:t>
      </w:r>
      <w:r w:rsidR="00D32242">
        <w:t xml:space="preserve">47 CFR §§ 11.2(b), 11.11(a) (defining and listing categories of EAS Participants that are subject to EAS rules); </w:t>
      </w:r>
      <w:r w:rsidR="00D32242">
        <w:rPr>
          <w:i/>
          <w:iCs/>
        </w:rPr>
        <w:t>id.</w:t>
      </w:r>
      <w:r w:rsidR="00D32242">
        <w:t xml:space="preserve"> </w:t>
      </w:r>
      <w:r w:rsidRPr="004D5CF1" w:rsidR="00D32242">
        <w:rPr>
          <w:color w:val="000000"/>
          <w:shd w:val="clear" w:color="auto" w:fill="FFFFFF"/>
        </w:rPr>
        <w:t>§ 11.21</w:t>
      </w:r>
      <w:r w:rsidR="00D32242">
        <w:rPr>
          <w:color w:val="000000"/>
          <w:shd w:val="clear" w:color="auto" w:fill="FFFFFF"/>
        </w:rPr>
        <w:t xml:space="preserve"> (specifying contents of State EAS Plans)</w:t>
      </w:r>
      <w:r w:rsidR="00803A58">
        <w:rPr>
          <w:color w:val="000000"/>
          <w:shd w:val="clear" w:color="auto" w:fill="FFFFFF"/>
        </w:rPr>
        <w:t>;</w:t>
      </w:r>
      <w:r w:rsidR="00D32242">
        <w:t xml:space="preserve"> </w:t>
      </w:r>
      <w:r w:rsidRPr="00D32242" w:rsidR="00D32242">
        <w:rPr>
          <w:i/>
          <w:iCs/>
        </w:rPr>
        <w:t>Amendment of Part 11 of the Commission's Rules Regarding the Emergency Alert System</w:t>
      </w:r>
      <w:r w:rsidR="00D32242">
        <w:t xml:space="preserve">, </w:t>
      </w:r>
      <w:r w:rsidR="00F41302">
        <w:t xml:space="preserve">Report and Order, </w:t>
      </w:r>
      <w:r w:rsidR="00D32242">
        <w:t xml:space="preserve">PS Docket No. 15-94, </w:t>
      </w:r>
      <w:r w:rsidR="00D32242">
        <w:rPr>
          <w:rStyle w:val="item-value"/>
        </w:rPr>
        <w:t>33 FCC Rcd 3627 (2018) (establishing ARS)</w:t>
      </w:r>
      <w:r w:rsidR="00C61E85">
        <w:t xml:space="preserve">; </w:t>
      </w:r>
      <w:r w:rsidR="008D230E">
        <w:rPr>
          <w:i/>
          <w:iCs/>
        </w:rPr>
        <w:t>P</w:t>
      </w:r>
      <w:r w:rsidRPr="009B6199" w:rsidR="009B6199">
        <w:rPr>
          <w:i/>
          <w:iCs/>
        </w:rPr>
        <w:t>SHSB Announces Deadline for Compliance with State EAS Plan Content Requirements and EAS Designations</w:t>
      </w:r>
      <w:r w:rsidRPr="009B6199" w:rsidR="009B6199">
        <w:t xml:space="preserve">, Public Notice, </w:t>
      </w:r>
      <w:r w:rsidR="00AD339F">
        <w:t xml:space="preserve">PS Docket 15-94, </w:t>
      </w:r>
      <w:r w:rsidRPr="009B6199" w:rsidR="009B6199">
        <w:t>DA 21-</w:t>
      </w:r>
      <w:r w:rsidR="00A42C0B">
        <w:t>8</w:t>
      </w:r>
      <w:r w:rsidRPr="009B6199" w:rsidR="009B6199">
        <w:t>69</w:t>
      </w:r>
      <w:r w:rsidR="009B6199">
        <w:t xml:space="preserve"> </w:t>
      </w:r>
      <w:r w:rsidRPr="009B6199" w:rsidR="009B6199">
        <w:t>(July 20, 2021) (announc</w:t>
      </w:r>
      <w:r w:rsidR="00F41302">
        <w:t xml:space="preserve">ing July 5, 2022 </w:t>
      </w:r>
      <w:r w:rsidRPr="009B6199" w:rsidR="009B6199">
        <w:t xml:space="preserve">deadline for compliance with </w:t>
      </w:r>
      <w:r w:rsidR="00F41302">
        <w:t xml:space="preserve">2018 revisions of </w:t>
      </w:r>
      <w:r w:rsidRPr="009B6199" w:rsidR="009B6199">
        <w:t xml:space="preserve">sections </w:t>
      </w:r>
      <w:r w:rsidR="00F41302">
        <w:t xml:space="preserve">11.18 and </w:t>
      </w:r>
      <w:r w:rsidRPr="009B6199" w:rsidR="009B6199">
        <w:t xml:space="preserve">11.21(a)(1)-(7)).  </w:t>
      </w:r>
    </w:p>
  </w:footnote>
  <w:footnote w:id="4">
    <w:p w:rsidR="00937F6F" w:rsidP="00937F6F" w14:paraId="5FC5DC65" w14:textId="77777777">
      <w:pPr>
        <w:pStyle w:val="FootnoteText"/>
      </w:pPr>
      <w:r>
        <w:rPr>
          <w:rStyle w:val="FootnoteReference"/>
        </w:rPr>
        <w:footnoteRef/>
      </w:r>
      <w:r>
        <w:rPr>
          <w:i/>
          <w:iCs/>
          <w:color w:val="000000"/>
          <w:shd w:val="clear" w:color="auto" w:fill="FFFFFF"/>
        </w:rPr>
        <w:t xml:space="preserve"> </w:t>
      </w:r>
      <w:r w:rsidRPr="00C64975">
        <w:rPr>
          <w:color w:val="000000"/>
          <w:shd w:val="clear" w:color="auto" w:fill="FFFFFF"/>
        </w:rPr>
        <w:t>47 U.S.C. § 1206(b)(1)(B)</w:t>
      </w:r>
      <w:r>
        <w:rPr>
          <w:color w:val="000000"/>
          <w:shd w:val="clear" w:color="auto" w:fill="FFFFFF"/>
        </w:rPr>
        <w:t xml:space="preserve">; </w:t>
      </w:r>
      <w:r>
        <w:rPr>
          <w:i/>
          <w:iCs/>
          <w:color w:val="000000"/>
          <w:shd w:val="clear" w:color="auto" w:fill="FFFFFF"/>
        </w:rPr>
        <w:t xml:space="preserve">see also </w:t>
      </w:r>
      <w:r w:rsidRPr="004D5CF1">
        <w:rPr>
          <w:color w:val="000000"/>
          <w:shd w:val="clear" w:color="auto" w:fill="FFFFFF"/>
        </w:rPr>
        <w:t>47 CFR § 11.21</w:t>
      </w:r>
      <w:r>
        <w:rPr>
          <w:color w:val="000000"/>
          <w:shd w:val="clear" w:color="auto" w:fill="FFFFFF"/>
        </w:rPr>
        <w:t xml:space="preserve">.  </w:t>
      </w:r>
    </w:p>
  </w:footnote>
  <w:footnote w:id="5">
    <w:p w:rsidR="00C00D4F" w:rsidP="00C00D4F" w14:paraId="4544E15B" w14:textId="77B6667F">
      <w:pPr>
        <w:pStyle w:val="FootnoteText"/>
      </w:pPr>
      <w:r>
        <w:rPr>
          <w:rStyle w:val="FootnoteReference"/>
        </w:rPr>
        <w:footnoteRef/>
      </w:r>
      <w:r>
        <w:t xml:space="preserve"> </w:t>
      </w:r>
      <w:r w:rsidRPr="001C73B7">
        <w:t>E</w:t>
      </w:r>
      <w:r>
        <w:t>AS Participants are the e</w:t>
      </w:r>
      <w:r w:rsidRPr="001C73B7">
        <w:t>ntities</w:t>
      </w:r>
      <w:r>
        <w:t xml:space="preserve"> that are</w:t>
      </w:r>
      <w:r w:rsidRPr="001C73B7">
        <w:t xml:space="preserve"> required </w:t>
      </w:r>
      <w:r>
        <w:t xml:space="preserve">to comply with </w:t>
      </w:r>
      <w:r w:rsidRPr="001C73B7">
        <w:t>the Commission</w:t>
      </w:r>
      <w:r>
        <w:t>’</w:t>
      </w:r>
      <w:r w:rsidRPr="001C73B7">
        <w:t xml:space="preserve">s </w:t>
      </w:r>
      <w:r>
        <w:t xml:space="preserve">EAS </w:t>
      </w:r>
      <w:r w:rsidRPr="001C73B7">
        <w:t xml:space="preserve">rules, e.g., analog radio and television stations, and wired and wireless cable television systems, DBS, DTV, SDARS, digital cable and DAB, and wireline video systems. 47 CFR </w:t>
      </w:r>
      <w:r>
        <w:t>§</w:t>
      </w:r>
      <w:r w:rsidR="00066CEB">
        <w:t>§</w:t>
      </w:r>
      <w:r>
        <w:t xml:space="preserve"> </w:t>
      </w:r>
      <w:r w:rsidRPr="001C73B7">
        <w:t>11.2(b)</w:t>
      </w:r>
      <w:r w:rsidR="00066CEB">
        <w:t>, 11.11(a)-(c)</w:t>
      </w:r>
      <w:r>
        <w:t>.</w:t>
      </w:r>
    </w:p>
  </w:footnote>
  <w:footnote w:id="6">
    <w:p w:rsidR="007B0B82" w:rsidP="007B0B82" w14:paraId="45866021" w14:textId="617763A4">
      <w:pPr>
        <w:pStyle w:val="FootnoteText"/>
      </w:pPr>
      <w:r>
        <w:rPr>
          <w:rStyle w:val="FootnoteReference"/>
        </w:rPr>
        <w:footnoteRef/>
      </w:r>
      <w:r>
        <w:t xml:space="preserve"> </w:t>
      </w:r>
      <w:r w:rsidRPr="003F4513">
        <w:rPr>
          <w:i/>
          <w:iCs/>
        </w:rPr>
        <w:t>See</w:t>
      </w:r>
      <w:r>
        <w:t xml:space="preserve"> </w:t>
      </w:r>
      <w:r w:rsidRPr="00C26EEF">
        <w:t>47 CFR § 11.52(d)(3)</w:t>
      </w:r>
      <w:r w:rsidRPr="00803A58">
        <w:t xml:space="preserve"> </w:t>
      </w:r>
      <w:r>
        <w:t>(</w:t>
      </w:r>
      <w:r>
        <w:rPr>
          <w:color w:val="000000"/>
          <w:shd w:val="clear" w:color="auto" w:fill="FFFFFF"/>
        </w:rPr>
        <w:t>“</w:t>
      </w:r>
      <w:r w:rsidRPr="00660CFD">
        <w:rPr>
          <w:color w:val="000000"/>
          <w:shd w:val="clear" w:color="auto" w:fill="FFFFFF"/>
        </w:rPr>
        <w:t xml:space="preserve">If the required EAS message sources cannot be received, alternate arrangements or </w:t>
      </w:r>
      <w:r>
        <w:t>a waiver may be obtained by written request to the Chief, Public Safety and Homeland Security Bureau.  In an emergency, a waiver may be issued over the telephone with a follow up letter to confirm temporary or permanent reassignment”)</w:t>
      </w:r>
      <w:r w:rsidRPr="00C26EEF">
        <w:t>.</w:t>
      </w:r>
    </w:p>
  </w:footnote>
  <w:footnote w:id="7">
    <w:p w:rsidR="007B0B82" w:rsidP="007B0B82" w14:paraId="65137BDB" w14:textId="77777777">
      <w:pPr>
        <w:pStyle w:val="FootnoteText"/>
      </w:pPr>
      <w:r>
        <w:rPr>
          <w:rStyle w:val="FootnoteReference"/>
        </w:rPr>
        <w:footnoteRef/>
      </w:r>
      <w:r>
        <w:t xml:space="preserve"> When doing so, the SECC also should provide notice of the proposed changed monitoring assignments to any EAS Participants that, under the terms of the existing EAS Plan, are assigned to monitor (directly or indirectly) the signals transmitted by the EAS Participant whose assignments would be changed by the proposal.  The ARS automatically notifies Bureau staff when such filings are submitted.</w:t>
      </w:r>
    </w:p>
  </w:footnote>
  <w:footnote w:id="8">
    <w:p w:rsidR="00B463C4" w:rsidP="00BF2C45" w14:paraId="658BC444" w14:textId="2DD6E487">
      <w:pPr>
        <w:pStyle w:val="FootnoteText"/>
      </w:pPr>
      <w:r>
        <w:rPr>
          <w:rStyle w:val="FootnoteReference"/>
        </w:rPr>
        <w:footnoteRef/>
      </w:r>
      <w:r>
        <w:t xml:space="preserve"> </w:t>
      </w:r>
      <w:r>
        <w:rPr>
          <w:i/>
          <w:iCs/>
        </w:rPr>
        <w:t xml:space="preserve">See </w:t>
      </w:r>
      <w:r>
        <w:t>FEMA, “</w:t>
      </w:r>
      <w:r w:rsidRPr="00E537CF">
        <w:t>Broadcasters and Wireless Providers</w:t>
      </w:r>
      <w:r>
        <w:t xml:space="preserve">,” National Public Warning System, </w:t>
      </w:r>
      <w:r w:rsidR="00364F10">
        <w:t xml:space="preserve">available at </w:t>
      </w:r>
      <w:hyperlink r:id="rId1" w:history="1">
        <w:r w:rsidRPr="00364F10" w:rsidR="00364F10">
          <w:rPr>
            <w:rStyle w:val="Hyperlink"/>
          </w:rPr>
          <w:t>https://www.fema.gov/emergency-managers/practitioners/integrated-public-alert-warning-system/broadcasters-wireless</w:t>
        </w:r>
      </w:hyperlink>
      <w:r>
        <w:t xml:space="preserve"> (accessed </w:t>
      </w:r>
      <w:r w:rsidR="00954316">
        <w:t>June</w:t>
      </w:r>
      <w:r>
        <w:t xml:space="preserve"> </w:t>
      </w:r>
      <w:r w:rsidR="00954316">
        <w:t>5</w:t>
      </w:r>
      <w:r>
        <w:t>, 2023).</w:t>
      </w:r>
    </w:p>
  </w:footnote>
  <w:footnote w:id="9">
    <w:p w:rsidR="007C0E3F" w:rsidP="000001F1" w14:paraId="70C92E2C" w14:textId="2828CF67">
      <w:pPr>
        <w:pStyle w:val="FootnoteText"/>
      </w:pPr>
      <w:r>
        <w:rPr>
          <w:rStyle w:val="FootnoteReference"/>
        </w:rPr>
        <w:footnoteRef/>
      </w:r>
      <w:r>
        <w:t xml:space="preserve"> </w:t>
      </w:r>
      <w:r>
        <w:rPr>
          <w:i/>
          <w:iCs/>
        </w:rPr>
        <w:t xml:space="preserve">See </w:t>
      </w:r>
      <w:r w:rsidR="00236430">
        <w:t>FEMA</w:t>
      </w:r>
      <w:r w:rsidR="005F511D">
        <w:t>,</w:t>
      </w:r>
      <w:r w:rsidR="00236430">
        <w:t xml:space="preserve"> </w:t>
      </w:r>
      <w:r w:rsidR="00364F10">
        <w:t>“</w:t>
      </w:r>
      <w:r w:rsidRPr="00364F10" w:rsidR="00364F10">
        <w:t>FEMA and Audacy</w:t>
      </w:r>
      <w:r w:rsidR="00364F10">
        <w:t>’</w:t>
      </w:r>
      <w:r w:rsidRPr="00364F10" w:rsidR="00364F10">
        <w:t>s WWL Radio Unveil New Emergency Broadcast Studio</w:t>
      </w:r>
      <w:r w:rsidR="000001F1">
        <w:t>,</w:t>
      </w:r>
      <w:r w:rsidR="00364F10">
        <w:t>”</w:t>
      </w:r>
      <w:r w:rsidR="000001F1">
        <w:t xml:space="preserve"> </w:t>
      </w:r>
      <w:r w:rsidR="00931B15">
        <w:t>(June 28, 2022)</w:t>
      </w:r>
      <w:r w:rsidR="000001F1">
        <w:t>, at 4 (</w:t>
      </w:r>
      <w:r w:rsidR="002D45BB">
        <w:t>“</w:t>
      </w:r>
      <w:r w:rsidRPr="00CD55BC" w:rsidR="00CD55BC">
        <w:t>Currently, there are 77 PEP stations that reach more than 90 percent of the U.S. population</w:t>
      </w:r>
      <w:r w:rsidR="00CD55BC">
        <w:t>…</w:t>
      </w:r>
      <w:r w:rsidR="000001F1">
        <w:t>.</w:t>
      </w:r>
      <w:r w:rsidR="002D45BB">
        <w:t>”</w:t>
      </w:r>
      <w:r w:rsidR="000001F1">
        <w:t xml:space="preserve">), available at </w:t>
      </w:r>
      <w:hyperlink r:id="rId2" w:history="1">
        <w:r w:rsidRPr="00C6058A" w:rsidR="00E5175D">
          <w:rPr>
            <w:rStyle w:val="Hyperlink"/>
          </w:rPr>
          <w:t>https://www.fema.gov/press-release/20220628/fema-and-audacys-wwl-radio-unveil-new-emergency-broadcast-studio</w:t>
        </w:r>
      </w:hyperlink>
      <w:r w:rsidR="008B5A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BB4" w14:paraId="4A0ED42B" w14:textId="47BD7E04">
    <w:pPr>
      <w:tabs>
        <w:tab w:val="center" w:pos="4680"/>
        <w:tab w:val="right" w:pos="9360"/>
      </w:tabs>
    </w:pPr>
    <w:r>
      <w:rPr>
        <w:b/>
      </w:rPr>
      <w:tab/>
      <w:t>Federal Communications Commission</w:t>
    </w:r>
    <w:r>
      <w:rPr>
        <w:b/>
      </w:rPr>
      <w:tab/>
    </w:r>
    <w:r w:rsidR="00164C4C">
      <w:rPr>
        <w:b/>
      </w:rPr>
      <w:t>DA 23-482</w:t>
    </w:r>
  </w:p>
  <w:p w:rsidR="00D15BB4" w14:paraId="35EE6471" w14:textId="3D5407A4">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D15BB4" w14:paraId="15900F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3F3D" w:rsidRPr="00A866AC" w:rsidP="00AE3F3D" w14:paraId="39E823CE" w14:textId="77777777">
    <w:pPr>
      <w:spacing w:before="40"/>
      <w:rPr>
        <w:rFonts w:ascii="Arial" w:hAnsi="Arial" w:cs="Arial"/>
        <w:b/>
        <w:sz w:val="96"/>
      </w:rPr>
    </w:pPr>
    <w:r>
      <w:rPr>
        <w:noProof/>
        <w:lang w:bidi="he-IL"/>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AE3F3D" w:rsidP="00AE3F3D" w14:textId="77777777">
                          <w:pPr>
                            <w:rPr>
                              <w:rFonts w:ascii="Arial" w:hAnsi="Arial"/>
                              <w:b/>
                            </w:rPr>
                          </w:pPr>
                          <w:r>
                            <w:rPr>
                              <w:rFonts w:ascii="Arial" w:hAnsi="Arial"/>
                              <w:b/>
                            </w:rPr>
                            <w:t>Federal Communications Commission</w:t>
                          </w:r>
                        </w:p>
                        <w:p w:rsidR="00AE3F3D" w:rsidP="00AE3F3D" w14:textId="77777777">
                          <w:pPr>
                            <w:rPr>
                              <w:rFonts w:ascii="Arial" w:hAnsi="Arial"/>
                              <w:b/>
                            </w:rPr>
                          </w:pPr>
                          <w:r>
                            <w:rPr>
                              <w:rFonts w:ascii="Arial" w:hAnsi="Arial"/>
                              <w:b/>
                            </w:rPr>
                            <w:t>45 L St., N.E.</w:t>
                          </w:r>
                        </w:p>
                        <w:p w:rsidR="00AE3F3D" w:rsidP="00AE3F3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E3F3D" w:rsidP="00AE3F3D" w14:paraId="03D25C15" w14:textId="77777777">
                    <w:pPr>
                      <w:rPr>
                        <w:rFonts w:ascii="Arial" w:hAnsi="Arial"/>
                        <w:b/>
                      </w:rPr>
                    </w:pPr>
                    <w:r>
                      <w:rPr>
                        <w:rFonts w:ascii="Arial" w:hAnsi="Arial"/>
                        <w:b/>
                      </w:rPr>
                      <w:t>Federal Communications Commission</w:t>
                    </w:r>
                  </w:p>
                  <w:p w:rsidR="00AE3F3D" w:rsidP="00AE3F3D" w14:paraId="38233B5D" w14:textId="77777777">
                    <w:pPr>
                      <w:rPr>
                        <w:rFonts w:ascii="Arial" w:hAnsi="Arial"/>
                        <w:b/>
                      </w:rPr>
                    </w:pPr>
                    <w:r>
                      <w:rPr>
                        <w:rFonts w:ascii="Arial" w:hAnsi="Arial"/>
                        <w:b/>
                      </w:rPr>
                      <w:t>45 L St., N.E.</w:t>
                    </w:r>
                  </w:p>
                  <w:p w:rsidR="00AE3F3D" w:rsidP="00AE3F3D" w14:paraId="3AA93F4B" w14:textId="77777777">
                    <w:pPr>
                      <w:rPr>
                        <w:rFonts w:ascii="Arial" w:hAnsi="Arial"/>
                        <w:sz w:val="24"/>
                      </w:rPr>
                    </w:pPr>
                    <w:r>
                      <w:rPr>
                        <w:rFonts w:ascii="Arial" w:hAnsi="Arial"/>
                        <w:b/>
                      </w:rPr>
                      <w:t>Washington, D.C. 20554</w:t>
                    </w:r>
                  </w:p>
                </w:txbxContent>
              </v:textbox>
              <w10:wrap anchorx="margin"/>
            </v:shape>
          </w:pict>
        </mc:Fallback>
      </mc:AlternateContent>
    </w:r>
    <w:r>
      <w:rPr>
        <w:noProof/>
        <w:lang w:bidi="he-IL"/>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15BB4" w:rsidRPr="00AE3F3D" w:rsidP="00AE3F3D" w14:paraId="7B9A84F8" w14:textId="76B76444">
    <w:pPr>
      <w:spacing w:before="40"/>
      <w:rPr>
        <w:rFonts w:ascii="Arial" w:hAnsi="Arial" w:cs="Arial"/>
        <w:b/>
        <w:sz w:val="96"/>
      </w:rPr>
    </w:pPr>
    <w:r>
      <w:rPr>
        <w:noProof/>
        <w:lang w:bidi="he-IL"/>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lang w:bidi="he-IL"/>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AE3F3D" w:rsidP="00AE3F3D" w14:textId="77777777">
                          <w:pPr>
                            <w:spacing w:before="40"/>
                            <w:jc w:val="right"/>
                            <w:rPr>
                              <w:rFonts w:ascii="Arial" w:hAnsi="Arial"/>
                              <w:b/>
                              <w:sz w:val="16"/>
                            </w:rPr>
                          </w:pPr>
                          <w:r>
                            <w:rPr>
                              <w:rFonts w:ascii="Arial" w:hAnsi="Arial"/>
                              <w:b/>
                              <w:sz w:val="16"/>
                            </w:rPr>
                            <w:t>News Media Information 202 / 418-0500</w:t>
                          </w:r>
                        </w:p>
                        <w:p w:rsidR="00AE3F3D" w:rsidP="00AE3F3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AE3F3D" w:rsidP="00AE3F3D" w14:paraId="095AF2C6" w14:textId="77777777">
                    <w:pPr>
                      <w:spacing w:before="40"/>
                      <w:jc w:val="right"/>
                      <w:rPr>
                        <w:rFonts w:ascii="Arial" w:hAnsi="Arial"/>
                        <w:b/>
                        <w:sz w:val="16"/>
                      </w:rPr>
                    </w:pPr>
                    <w:r>
                      <w:rPr>
                        <w:rFonts w:ascii="Arial" w:hAnsi="Arial"/>
                        <w:b/>
                        <w:sz w:val="16"/>
                      </w:rPr>
                      <w:t>News Media Information 202 / 418-0500</w:t>
                    </w:r>
                  </w:p>
                  <w:p w:rsidR="00AE3F3D" w:rsidP="00AE3F3D" w14:paraId="012038C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00"/>
    <w:rsid w:val="000001F1"/>
    <w:rsid w:val="00001138"/>
    <w:rsid w:val="0000412A"/>
    <w:rsid w:val="00017215"/>
    <w:rsid w:val="000173CA"/>
    <w:rsid w:val="00026C46"/>
    <w:rsid w:val="00042786"/>
    <w:rsid w:val="000451E4"/>
    <w:rsid w:val="00046E39"/>
    <w:rsid w:val="0005330E"/>
    <w:rsid w:val="00054B60"/>
    <w:rsid w:val="0005595F"/>
    <w:rsid w:val="000568AB"/>
    <w:rsid w:val="00063449"/>
    <w:rsid w:val="00063712"/>
    <w:rsid w:val="0006596C"/>
    <w:rsid w:val="00065F66"/>
    <w:rsid w:val="00066CEB"/>
    <w:rsid w:val="00077E4E"/>
    <w:rsid w:val="00087292"/>
    <w:rsid w:val="00092362"/>
    <w:rsid w:val="00097AC0"/>
    <w:rsid w:val="00097C7C"/>
    <w:rsid w:val="000A2B4C"/>
    <w:rsid w:val="000A7541"/>
    <w:rsid w:val="000A7645"/>
    <w:rsid w:val="000B109C"/>
    <w:rsid w:val="000B1623"/>
    <w:rsid w:val="000B183E"/>
    <w:rsid w:val="000C32BE"/>
    <w:rsid w:val="000C5DBE"/>
    <w:rsid w:val="000D2E79"/>
    <w:rsid w:val="000D4B53"/>
    <w:rsid w:val="000D640A"/>
    <w:rsid w:val="000E0DA5"/>
    <w:rsid w:val="000E13DA"/>
    <w:rsid w:val="000E5616"/>
    <w:rsid w:val="000E71AD"/>
    <w:rsid w:val="000F00AF"/>
    <w:rsid w:val="000F2F05"/>
    <w:rsid w:val="000F382E"/>
    <w:rsid w:val="000F490B"/>
    <w:rsid w:val="0010004F"/>
    <w:rsid w:val="00101435"/>
    <w:rsid w:val="00102CBA"/>
    <w:rsid w:val="00107ABE"/>
    <w:rsid w:val="00110950"/>
    <w:rsid w:val="00114EB1"/>
    <w:rsid w:val="00125F0C"/>
    <w:rsid w:val="00126772"/>
    <w:rsid w:val="00127014"/>
    <w:rsid w:val="0013018A"/>
    <w:rsid w:val="00135797"/>
    <w:rsid w:val="00135ED5"/>
    <w:rsid w:val="00136AF1"/>
    <w:rsid w:val="001379AD"/>
    <w:rsid w:val="00141729"/>
    <w:rsid w:val="00142D2C"/>
    <w:rsid w:val="00143A7F"/>
    <w:rsid w:val="00143E0D"/>
    <w:rsid w:val="0014781A"/>
    <w:rsid w:val="00151F62"/>
    <w:rsid w:val="001568FB"/>
    <w:rsid w:val="00157DD2"/>
    <w:rsid w:val="001600F0"/>
    <w:rsid w:val="00161438"/>
    <w:rsid w:val="00164C4C"/>
    <w:rsid w:val="00166219"/>
    <w:rsid w:val="001665D5"/>
    <w:rsid w:val="00172795"/>
    <w:rsid w:val="0017519C"/>
    <w:rsid w:val="00180CCA"/>
    <w:rsid w:val="00184D20"/>
    <w:rsid w:val="001A65F7"/>
    <w:rsid w:val="001A6ED0"/>
    <w:rsid w:val="001B202B"/>
    <w:rsid w:val="001B3900"/>
    <w:rsid w:val="001B4540"/>
    <w:rsid w:val="001C38C6"/>
    <w:rsid w:val="001C4D2B"/>
    <w:rsid w:val="001C73B7"/>
    <w:rsid w:val="001D0C50"/>
    <w:rsid w:val="001D2D11"/>
    <w:rsid w:val="001D3978"/>
    <w:rsid w:val="001E3E8C"/>
    <w:rsid w:val="001E5D54"/>
    <w:rsid w:val="001E7735"/>
    <w:rsid w:val="001F4891"/>
    <w:rsid w:val="001F48FF"/>
    <w:rsid w:val="00200EDA"/>
    <w:rsid w:val="0020332F"/>
    <w:rsid w:val="00203555"/>
    <w:rsid w:val="00207060"/>
    <w:rsid w:val="00207D36"/>
    <w:rsid w:val="00217B13"/>
    <w:rsid w:val="0022196D"/>
    <w:rsid w:val="0022447A"/>
    <w:rsid w:val="00227E54"/>
    <w:rsid w:val="0023043D"/>
    <w:rsid w:val="00231963"/>
    <w:rsid w:val="00234871"/>
    <w:rsid w:val="00236430"/>
    <w:rsid w:val="00236D87"/>
    <w:rsid w:val="002373E9"/>
    <w:rsid w:val="00245CF5"/>
    <w:rsid w:val="00250A6C"/>
    <w:rsid w:val="00252898"/>
    <w:rsid w:val="00253FC5"/>
    <w:rsid w:val="002578A0"/>
    <w:rsid w:val="00260BAA"/>
    <w:rsid w:val="00265AEB"/>
    <w:rsid w:val="0027151B"/>
    <w:rsid w:val="00271FA1"/>
    <w:rsid w:val="002762E5"/>
    <w:rsid w:val="00276760"/>
    <w:rsid w:val="00276F3D"/>
    <w:rsid w:val="00290AC6"/>
    <w:rsid w:val="00291FCC"/>
    <w:rsid w:val="002A277C"/>
    <w:rsid w:val="002A722F"/>
    <w:rsid w:val="002B0EA7"/>
    <w:rsid w:val="002B53D8"/>
    <w:rsid w:val="002C0181"/>
    <w:rsid w:val="002C197E"/>
    <w:rsid w:val="002C26E8"/>
    <w:rsid w:val="002C411C"/>
    <w:rsid w:val="002C4789"/>
    <w:rsid w:val="002C7A5A"/>
    <w:rsid w:val="002D399F"/>
    <w:rsid w:val="002D45BB"/>
    <w:rsid w:val="002E04DA"/>
    <w:rsid w:val="002E15C0"/>
    <w:rsid w:val="002E23B3"/>
    <w:rsid w:val="002E3C3D"/>
    <w:rsid w:val="002F2224"/>
    <w:rsid w:val="002F42AB"/>
    <w:rsid w:val="002F4B17"/>
    <w:rsid w:val="0030192C"/>
    <w:rsid w:val="00305EFB"/>
    <w:rsid w:val="00313F9D"/>
    <w:rsid w:val="00317433"/>
    <w:rsid w:val="003174F9"/>
    <w:rsid w:val="00330D58"/>
    <w:rsid w:val="003312A7"/>
    <w:rsid w:val="00334BD9"/>
    <w:rsid w:val="00346DE0"/>
    <w:rsid w:val="0036112B"/>
    <w:rsid w:val="00361A8C"/>
    <w:rsid w:val="00362D86"/>
    <w:rsid w:val="00364F10"/>
    <w:rsid w:val="003672EC"/>
    <w:rsid w:val="00373480"/>
    <w:rsid w:val="00374F39"/>
    <w:rsid w:val="00376F25"/>
    <w:rsid w:val="003812D5"/>
    <w:rsid w:val="003837ED"/>
    <w:rsid w:val="00391EC4"/>
    <w:rsid w:val="003B1045"/>
    <w:rsid w:val="003B1D6A"/>
    <w:rsid w:val="003B7522"/>
    <w:rsid w:val="003C40C0"/>
    <w:rsid w:val="003C513E"/>
    <w:rsid w:val="003C59A8"/>
    <w:rsid w:val="003C692C"/>
    <w:rsid w:val="003C761B"/>
    <w:rsid w:val="003D4BDC"/>
    <w:rsid w:val="003D64BA"/>
    <w:rsid w:val="003E0BF0"/>
    <w:rsid w:val="003E2E34"/>
    <w:rsid w:val="003F3080"/>
    <w:rsid w:val="003F4513"/>
    <w:rsid w:val="003F542F"/>
    <w:rsid w:val="003F78BD"/>
    <w:rsid w:val="003F7E35"/>
    <w:rsid w:val="004044A1"/>
    <w:rsid w:val="00404564"/>
    <w:rsid w:val="004104B3"/>
    <w:rsid w:val="0041165C"/>
    <w:rsid w:val="004116BB"/>
    <w:rsid w:val="004146B1"/>
    <w:rsid w:val="0041712C"/>
    <w:rsid w:val="00422C1E"/>
    <w:rsid w:val="00426252"/>
    <w:rsid w:val="00426886"/>
    <w:rsid w:val="00430741"/>
    <w:rsid w:val="00431194"/>
    <w:rsid w:val="0043196E"/>
    <w:rsid w:val="00440518"/>
    <w:rsid w:val="00447105"/>
    <w:rsid w:val="0045547F"/>
    <w:rsid w:val="00455FF4"/>
    <w:rsid w:val="00465C62"/>
    <w:rsid w:val="00467568"/>
    <w:rsid w:val="00472ECB"/>
    <w:rsid w:val="004734D6"/>
    <w:rsid w:val="00481AC0"/>
    <w:rsid w:val="004875A5"/>
    <w:rsid w:val="00490D8B"/>
    <w:rsid w:val="00491EAF"/>
    <w:rsid w:val="00492898"/>
    <w:rsid w:val="00495FF5"/>
    <w:rsid w:val="004A019A"/>
    <w:rsid w:val="004A055C"/>
    <w:rsid w:val="004A34E7"/>
    <w:rsid w:val="004A5F0D"/>
    <w:rsid w:val="004A6A49"/>
    <w:rsid w:val="004B695F"/>
    <w:rsid w:val="004B73C8"/>
    <w:rsid w:val="004C0E50"/>
    <w:rsid w:val="004C47FD"/>
    <w:rsid w:val="004D3198"/>
    <w:rsid w:val="004D5CF1"/>
    <w:rsid w:val="004E0743"/>
    <w:rsid w:val="004E16E1"/>
    <w:rsid w:val="004E1879"/>
    <w:rsid w:val="004E5A66"/>
    <w:rsid w:val="005032F4"/>
    <w:rsid w:val="00512FB3"/>
    <w:rsid w:val="005178BF"/>
    <w:rsid w:val="00517D54"/>
    <w:rsid w:val="005213EE"/>
    <w:rsid w:val="00522412"/>
    <w:rsid w:val="005234D3"/>
    <w:rsid w:val="00525C77"/>
    <w:rsid w:val="005335B1"/>
    <w:rsid w:val="00533ABE"/>
    <w:rsid w:val="00535EB0"/>
    <w:rsid w:val="00536C1E"/>
    <w:rsid w:val="00544884"/>
    <w:rsid w:val="005512EB"/>
    <w:rsid w:val="00552962"/>
    <w:rsid w:val="005529FD"/>
    <w:rsid w:val="005531A9"/>
    <w:rsid w:val="00553249"/>
    <w:rsid w:val="00554CE6"/>
    <w:rsid w:val="00556082"/>
    <w:rsid w:val="0055626B"/>
    <w:rsid w:val="0056095F"/>
    <w:rsid w:val="00563DD3"/>
    <w:rsid w:val="00565463"/>
    <w:rsid w:val="00575194"/>
    <w:rsid w:val="00577F2D"/>
    <w:rsid w:val="00587982"/>
    <w:rsid w:val="00590191"/>
    <w:rsid w:val="00590AD3"/>
    <w:rsid w:val="0059528F"/>
    <w:rsid w:val="005A2BA3"/>
    <w:rsid w:val="005A749D"/>
    <w:rsid w:val="005B2EC5"/>
    <w:rsid w:val="005B7474"/>
    <w:rsid w:val="005C20AB"/>
    <w:rsid w:val="005C353C"/>
    <w:rsid w:val="005C3D7E"/>
    <w:rsid w:val="005C6F76"/>
    <w:rsid w:val="005D47AA"/>
    <w:rsid w:val="005D4B7F"/>
    <w:rsid w:val="005D62CC"/>
    <w:rsid w:val="005D6E36"/>
    <w:rsid w:val="005E0060"/>
    <w:rsid w:val="005E1745"/>
    <w:rsid w:val="005E4878"/>
    <w:rsid w:val="005E48DC"/>
    <w:rsid w:val="005E507B"/>
    <w:rsid w:val="005E5552"/>
    <w:rsid w:val="005F006A"/>
    <w:rsid w:val="005F1A4B"/>
    <w:rsid w:val="005F511D"/>
    <w:rsid w:val="005F5BE4"/>
    <w:rsid w:val="005F62D1"/>
    <w:rsid w:val="005F7546"/>
    <w:rsid w:val="0060125A"/>
    <w:rsid w:val="006066DE"/>
    <w:rsid w:val="00606A7E"/>
    <w:rsid w:val="00613870"/>
    <w:rsid w:val="006243CD"/>
    <w:rsid w:val="00624E7D"/>
    <w:rsid w:val="006250E5"/>
    <w:rsid w:val="00625F78"/>
    <w:rsid w:val="00630B44"/>
    <w:rsid w:val="00632194"/>
    <w:rsid w:val="00633FD9"/>
    <w:rsid w:val="00641F48"/>
    <w:rsid w:val="006514F8"/>
    <w:rsid w:val="00652C42"/>
    <w:rsid w:val="00652F3A"/>
    <w:rsid w:val="00654E81"/>
    <w:rsid w:val="00655294"/>
    <w:rsid w:val="00655735"/>
    <w:rsid w:val="0065621B"/>
    <w:rsid w:val="00656DC4"/>
    <w:rsid w:val="00660CFD"/>
    <w:rsid w:val="00660D38"/>
    <w:rsid w:val="00661AE0"/>
    <w:rsid w:val="00665736"/>
    <w:rsid w:val="00670733"/>
    <w:rsid w:val="00671D7E"/>
    <w:rsid w:val="00672015"/>
    <w:rsid w:val="006741CE"/>
    <w:rsid w:val="0068093B"/>
    <w:rsid w:val="00687658"/>
    <w:rsid w:val="00687860"/>
    <w:rsid w:val="00691506"/>
    <w:rsid w:val="0069296E"/>
    <w:rsid w:val="00693B22"/>
    <w:rsid w:val="00693F0F"/>
    <w:rsid w:val="00694BEB"/>
    <w:rsid w:val="0069659A"/>
    <w:rsid w:val="00696C2E"/>
    <w:rsid w:val="006A0343"/>
    <w:rsid w:val="006B18BC"/>
    <w:rsid w:val="006B232F"/>
    <w:rsid w:val="006B5765"/>
    <w:rsid w:val="006C21E2"/>
    <w:rsid w:val="006C2D74"/>
    <w:rsid w:val="006D198F"/>
    <w:rsid w:val="006D6100"/>
    <w:rsid w:val="006E05E4"/>
    <w:rsid w:val="006E38F7"/>
    <w:rsid w:val="006E3D7C"/>
    <w:rsid w:val="006E7D01"/>
    <w:rsid w:val="006F271E"/>
    <w:rsid w:val="006F5DD0"/>
    <w:rsid w:val="006F6649"/>
    <w:rsid w:val="006F67F2"/>
    <w:rsid w:val="006F77B4"/>
    <w:rsid w:val="00707033"/>
    <w:rsid w:val="007103EF"/>
    <w:rsid w:val="00710E74"/>
    <w:rsid w:val="00712959"/>
    <w:rsid w:val="00721456"/>
    <w:rsid w:val="00735247"/>
    <w:rsid w:val="0073709F"/>
    <w:rsid w:val="00742752"/>
    <w:rsid w:val="00744C1C"/>
    <w:rsid w:val="007469C1"/>
    <w:rsid w:val="00746C25"/>
    <w:rsid w:val="007508EB"/>
    <w:rsid w:val="00764101"/>
    <w:rsid w:val="00765101"/>
    <w:rsid w:val="00765614"/>
    <w:rsid w:val="00771A4A"/>
    <w:rsid w:val="0077356D"/>
    <w:rsid w:val="0078390B"/>
    <w:rsid w:val="00784BFD"/>
    <w:rsid w:val="007861C3"/>
    <w:rsid w:val="0078630D"/>
    <w:rsid w:val="007937AD"/>
    <w:rsid w:val="007A050F"/>
    <w:rsid w:val="007A0D74"/>
    <w:rsid w:val="007A5907"/>
    <w:rsid w:val="007B0763"/>
    <w:rsid w:val="007B08E0"/>
    <w:rsid w:val="007B0B82"/>
    <w:rsid w:val="007B0C27"/>
    <w:rsid w:val="007B146E"/>
    <w:rsid w:val="007B4C78"/>
    <w:rsid w:val="007C0E3F"/>
    <w:rsid w:val="007C2035"/>
    <w:rsid w:val="007C275F"/>
    <w:rsid w:val="007C2ED2"/>
    <w:rsid w:val="007C4154"/>
    <w:rsid w:val="007E0F8E"/>
    <w:rsid w:val="007E5DA6"/>
    <w:rsid w:val="007F2113"/>
    <w:rsid w:val="007F7D7C"/>
    <w:rsid w:val="008013E2"/>
    <w:rsid w:val="00803295"/>
    <w:rsid w:val="00803A58"/>
    <w:rsid w:val="00810157"/>
    <w:rsid w:val="00811A81"/>
    <w:rsid w:val="00817A38"/>
    <w:rsid w:val="008261E2"/>
    <w:rsid w:val="00832C90"/>
    <w:rsid w:val="0083353C"/>
    <w:rsid w:val="0083356E"/>
    <w:rsid w:val="008349D3"/>
    <w:rsid w:val="008405E5"/>
    <w:rsid w:val="00840F9A"/>
    <w:rsid w:val="00841E1B"/>
    <w:rsid w:val="0084331D"/>
    <w:rsid w:val="008443BE"/>
    <w:rsid w:val="0084524A"/>
    <w:rsid w:val="008459B0"/>
    <w:rsid w:val="00856DC4"/>
    <w:rsid w:val="0086227B"/>
    <w:rsid w:val="00862330"/>
    <w:rsid w:val="008623CD"/>
    <w:rsid w:val="008756EE"/>
    <w:rsid w:val="00880F84"/>
    <w:rsid w:val="00881FD8"/>
    <w:rsid w:val="008846C6"/>
    <w:rsid w:val="008875A3"/>
    <w:rsid w:val="00890D7A"/>
    <w:rsid w:val="0089109C"/>
    <w:rsid w:val="008925BF"/>
    <w:rsid w:val="008B3AEB"/>
    <w:rsid w:val="008B5A27"/>
    <w:rsid w:val="008B7A18"/>
    <w:rsid w:val="008C1516"/>
    <w:rsid w:val="008D230E"/>
    <w:rsid w:val="008E1CD7"/>
    <w:rsid w:val="008E476C"/>
    <w:rsid w:val="008E6EC8"/>
    <w:rsid w:val="008E72AD"/>
    <w:rsid w:val="008F4888"/>
    <w:rsid w:val="008F558B"/>
    <w:rsid w:val="00901DDC"/>
    <w:rsid w:val="00902CD2"/>
    <w:rsid w:val="009048D7"/>
    <w:rsid w:val="00907CE5"/>
    <w:rsid w:val="0091386F"/>
    <w:rsid w:val="00924505"/>
    <w:rsid w:val="00925F89"/>
    <w:rsid w:val="00927D3B"/>
    <w:rsid w:val="00931B15"/>
    <w:rsid w:val="00937F6F"/>
    <w:rsid w:val="009539AE"/>
    <w:rsid w:val="00954316"/>
    <w:rsid w:val="009570D2"/>
    <w:rsid w:val="00962822"/>
    <w:rsid w:val="00966CB4"/>
    <w:rsid w:val="00977158"/>
    <w:rsid w:val="00980468"/>
    <w:rsid w:val="0098203D"/>
    <w:rsid w:val="00982047"/>
    <w:rsid w:val="00990C1B"/>
    <w:rsid w:val="00993AE1"/>
    <w:rsid w:val="0099466D"/>
    <w:rsid w:val="009969EB"/>
    <w:rsid w:val="009A3050"/>
    <w:rsid w:val="009A31F1"/>
    <w:rsid w:val="009A73BD"/>
    <w:rsid w:val="009B06CB"/>
    <w:rsid w:val="009B1F43"/>
    <w:rsid w:val="009B26EB"/>
    <w:rsid w:val="009B46AA"/>
    <w:rsid w:val="009B6199"/>
    <w:rsid w:val="009B68FD"/>
    <w:rsid w:val="009C169F"/>
    <w:rsid w:val="009D017D"/>
    <w:rsid w:val="009D52AD"/>
    <w:rsid w:val="009D69FD"/>
    <w:rsid w:val="009D7E18"/>
    <w:rsid w:val="009F5A93"/>
    <w:rsid w:val="009F5D69"/>
    <w:rsid w:val="009F66BC"/>
    <w:rsid w:val="00A0325B"/>
    <w:rsid w:val="00A06225"/>
    <w:rsid w:val="00A1345D"/>
    <w:rsid w:val="00A13B3F"/>
    <w:rsid w:val="00A20810"/>
    <w:rsid w:val="00A21C0E"/>
    <w:rsid w:val="00A27C26"/>
    <w:rsid w:val="00A32C22"/>
    <w:rsid w:val="00A35F08"/>
    <w:rsid w:val="00A42C0B"/>
    <w:rsid w:val="00A4432C"/>
    <w:rsid w:val="00A510C8"/>
    <w:rsid w:val="00A5573A"/>
    <w:rsid w:val="00A60EB2"/>
    <w:rsid w:val="00A626FC"/>
    <w:rsid w:val="00A73E9F"/>
    <w:rsid w:val="00A73EDE"/>
    <w:rsid w:val="00A77FAC"/>
    <w:rsid w:val="00A800AC"/>
    <w:rsid w:val="00A81E03"/>
    <w:rsid w:val="00A82B2E"/>
    <w:rsid w:val="00A85F06"/>
    <w:rsid w:val="00A86580"/>
    <w:rsid w:val="00A866AC"/>
    <w:rsid w:val="00A87035"/>
    <w:rsid w:val="00A92C0E"/>
    <w:rsid w:val="00A97C03"/>
    <w:rsid w:val="00A97C1C"/>
    <w:rsid w:val="00AB29FA"/>
    <w:rsid w:val="00AB610C"/>
    <w:rsid w:val="00AD213A"/>
    <w:rsid w:val="00AD339F"/>
    <w:rsid w:val="00AE185B"/>
    <w:rsid w:val="00AE3F3D"/>
    <w:rsid w:val="00AF268A"/>
    <w:rsid w:val="00B02589"/>
    <w:rsid w:val="00B07B03"/>
    <w:rsid w:val="00B13E6C"/>
    <w:rsid w:val="00B1566F"/>
    <w:rsid w:val="00B16B23"/>
    <w:rsid w:val="00B25954"/>
    <w:rsid w:val="00B3065C"/>
    <w:rsid w:val="00B30CF6"/>
    <w:rsid w:val="00B328C1"/>
    <w:rsid w:val="00B32AC4"/>
    <w:rsid w:val="00B3626E"/>
    <w:rsid w:val="00B36EEF"/>
    <w:rsid w:val="00B425CC"/>
    <w:rsid w:val="00B4396A"/>
    <w:rsid w:val="00B461F1"/>
    <w:rsid w:val="00B463C4"/>
    <w:rsid w:val="00B5125C"/>
    <w:rsid w:val="00B520AF"/>
    <w:rsid w:val="00B64AB0"/>
    <w:rsid w:val="00B654AB"/>
    <w:rsid w:val="00B67F00"/>
    <w:rsid w:val="00B71C71"/>
    <w:rsid w:val="00B731B6"/>
    <w:rsid w:val="00B73F2C"/>
    <w:rsid w:val="00B7507C"/>
    <w:rsid w:val="00B81444"/>
    <w:rsid w:val="00BA22AD"/>
    <w:rsid w:val="00BC06AD"/>
    <w:rsid w:val="00BC19B3"/>
    <w:rsid w:val="00BC6BC4"/>
    <w:rsid w:val="00BD7109"/>
    <w:rsid w:val="00BE0E8F"/>
    <w:rsid w:val="00BE1614"/>
    <w:rsid w:val="00BE45FF"/>
    <w:rsid w:val="00BF00E2"/>
    <w:rsid w:val="00BF2C45"/>
    <w:rsid w:val="00BF362B"/>
    <w:rsid w:val="00BF4B03"/>
    <w:rsid w:val="00BF5973"/>
    <w:rsid w:val="00BF7A7F"/>
    <w:rsid w:val="00C00AA8"/>
    <w:rsid w:val="00C00D4F"/>
    <w:rsid w:val="00C02690"/>
    <w:rsid w:val="00C0522D"/>
    <w:rsid w:val="00C108BD"/>
    <w:rsid w:val="00C1092B"/>
    <w:rsid w:val="00C10F19"/>
    <w:rsid w:val="00C12534"/>
    <w:rsid w:val="00C16C9C"/>
    <w:rsid w:val="00C1705A"/>
    <w:rsid w:val="00C23695"/>
    <w:rsid w:val="00C25746"/>
    <w:rsid w:val="00C26EEF"/>
    <w:rsid w:val="00C2727B"/>
    <w:rsid w:val="00C278EB"/>
    <w:rsid w:val="00C32025"/>
    <w:rsid w:val="00C35E3A"/>
    <w:rsid w:val="00C372D8"/>
    <w:rsid w:val="00C45FC7"/>
    <w:rsid w:val="00C51881"/>
    <w:rsid w:val="00C543BF"/>
    <w:rsid w:val="00C5762A"/>
    <w:rsid w:val="00C6058A"/>
    <w:rsid w:val="00C61E85"/>
    <w:rsid w:val="00C6447C"/>
    <w:rsid w:val="00C64975"/>
    <w:rsid w:val="00C6573B"/>
    <w:rsid w:val="00C70BF8"/>
    <w:rsid w:val="00C71E4F"/>
    <w:rsid w:val="00C85F91"/>
    <w:rsid w:val="00C87378"/>
    <w:rsid w:val="00CA0D04"/>
    <w:rsid w:val="00CA1A68"/>
    <w:rsid w:val="00CB04FC"/>
    <w:rsid w:val="00CB1A4D"/>
    <w:rsid w:val="00CB7FCA"/>
    <w:rsid w:val="00CC0EA1"/>
    <w:rsid w:val="00CC2FF0"/>
    <w:rsid w:val="00CD55BC"/>
    <w:rsid w:val="00CD7CFF"/>
    <w:rsid w:val="00CE387C"/>
    <w:rsid w:val="00CE7EB5"/>
    <w:rsid w:val="00CF1117"/>
    <w:rsid w:val="00CF53F0"/>
    <w:rsid w:val="00CF6BD5"/>
    <w:rsid w:val="00D01CFB"/>
    <w:rsid w:val="00D052B2"/>
    <w:rsid w:val="00D05E84"/>
    <w:rsid w:val="00D06AAE"/>
    <w:rsid w:val="00D107C5"/>
    <w:rsid w:val="00D15169"/>
    <w:rsid w:val="00D15BB4"/>
    <w:rsid w:val="00D16C56"/>
    <w:rsid w:val="00D2028B"/>
    <w:rsid w:val="00D20342"/>
    <w:rsid w:val="00D216CD"/>
    <w:rsid w:val="00D30252"/>
    <w:rsid w:val="00D32242"/>
    <w:rsid w:val="00D341C5"/>
    <w:rsid w:val="00D46044"/>
    <w:rsid w:val="00D52198"/>
    <w:rsid w:val="00D53AC3"/>
    <w:rsid w:val="00D53E1A"/>
    <w:rsid w:val="00D543BA"/>
    <w:rsid w:val="00D6245D"/>
    <w:rsid w:val="00D62916"/>
    <w:rsid w:val="00D64169"/>
    <w:rsid w:val="00D67F4B"/>
    <w:rsid w:val="00D73A26"/>
    <w:rsid w:val="00D73C7F"/>
    <w:rsid w:val="00D74A75"/>
    <w:rsid w:val="00D75387"/>
    <w:rsid w:val="00D8015E"/>
    <w:rsid w:val="00D8734A"/>
    <w:rsid w:val="00D91EDB"/>
    <w:rsid w:val="00D95EFF"/>
    <w:rsid w:val="00DA0C82"/>
    <w:rsid w:val="00DA7F98"/>
    <w:rsid w:val="00DB112A"/>
    <w:rsid w:val="00DB2856"/>
    <w:rsid w:val="00DC07E0"/>
    <w:rsid w:val="00DC62AC"/>
    <w:rsid w:val="00DD06EB"/>
    <w:rsid w:val="00DD104B"/>
    <w:rsid w:val="00DD6942"/>
    <w:rsid w:val="00DE7696"/>
    <w:rsid w:val="00DE782F"/>
    <w:rsid w:val="00DF1556"/>
    <w:rsid w:val="00DF1DCF"/>
    <w:rsid w:val="00DF30A0"/>
    <w:rsid w:val="00DF5A45"/>
    <w:rsid w:val="00E011EC"/>
    <w:rsid w:val="00E04706"/>
    <w:rsid w:val="00E07096"/>
    <w:rsid w:val="00E1283F"/>
    <w:rsid w:val="00E162DB"/>
    <w:rsid w:val="00E210A1"/>
    <w:rsid w:val="00E21FA0"/>
    <w:rsid w:val="00E2475F"/>
    <w:rsid w:val="00E25E1A"/>
    <w:rsid w:val="00E32712"/>
    <w:rsid w:val="00E330E2"/>
    <w:rsid w:val="00E34608"/>
    <w:rsid w:val="00E35589"/>
    <w:rsid w:val="00E36354"/>
    <w:rsid w:val="00E364F3"/>
    <w:rsid w:val="00E37A27"/>
    <w:rsid w:val="00E40ABC"/>
    <w:rsid w:val="00E442A4"/>
    <w:rsid w:val="00E452E0"/>
    <w:rsid w:val="00E456E4"/>
    <w:rsid w:val="00E47F1B"/>
    <w:rsid w:val="00E5175D"/>
    <w:rsid w:val="00E537CF"/>
    <w:rsid w:val="00E54A5A"/>
    <w:rsid w:val="00E6176C"/>
    <w:rsid w:val="00E64C34"/>
    <w:rsid w:val="00E70980"/>
    <w:rsid w:val="00E77BF2"/>
    <w:rsid w:val="00E8504F"/>
    <w:rsid w:val="00E87002"/>
    <w:rsid w:val="00E90A91"/>
    <w:rsid w:val="00E947CC"/>
    <w:rsid w:val="00E9576C"/>
    <w:rsid w:val="00EB1718"/>
    <w:rsid w:val="00EB2C44"/>
    <w:rsid w:val="00EB369D"/>
    <w:rsid w:val="00EB5669"/>
    <w:rsid w:val="00EB789A"/>
    <w:rsid w:val="00EC20A0"/>
    <w:rsid w:val="00EC2B1A"/>
    <w:rsid w:val="00EC5029"/>
    <w:rsid w:val="00EE0B17"/>
    <w:rsid w:val="00EE1DBE"/>
    <w:rsid w:val="00EE45BB"/>
    <w:rsid w:val="00EE4D35"/>
    <w:rsid w:val="00EE75DD"/>
    <w:rsid w:val="00EF00A3"/>
    <w:rsid w:val="00EF0797"/>
    <w:rsid w:val="00EF0985"/>
    <w:rsid w:val="00EF3D72"/>
    <w:rsid w:val="00EF429A"/>
    <w:rsid w:val="00EF60B6"/>
    <w:rsid w:val="00EF736F"/>
    <w:rsid w:val="00F00200"/>
    <w:rsid w:val="00F01EB5"/>
    <w:rsid w:val="00F10DA9"/>
    <w:rsid w:val="00F116C1"/>
    <w:rsid w:val="00F12987"/>
    <w:rsid w:val="00F13B71"/>
    <w:rsid w:val="00F17A10"/>
    <w:rsid w:val="00F20150"/>
    <w:rsid w:val="00F20B15"/>
    <w:rsid w:val="00F21529"/>
    <w:rsid w:val="00F26E1E"/>
    <w:rsid w:val="00F30529"/>
    <w:rsid w:val="00F30E7B"/>
    <w:rsid w:val="00F356BD"/>
    <w:rsid w:val="00F35BD7"/>
    <w:rsid w:val="00F41302"/>
    <w:rsid w:val="00F42A34"/>
    <w:rsid w:val="00F42AE5"/>
    <w:rsid w:val="00F447E6"/>
    <w:rsid w:val="00F45857"/>
    <w:rsid w:val="00F56759"/>
    <w:rsid w:val="00F625CA"/>
    <w:rsid w:val="00F634CB"/>
    <w:rsid w:val="00F74C66"/>
    <w:rsid w:val="00F75B61"/>
    <w:rsid w:val="00F75E9A"/>
    <w:rsid w:val="00F76451"/>
    <w:rsid w:val="00F7782D"/>
    <w:rsid w:val="00F93040"/>
    <w:rsid w:val="00F937A5"/>
    <w:rsid w:val="00F95629"/>
    <w:rsid w:val="00F95881"/>
    <w:rsid w:val="00FA14A9"/>
    <w:rsid w:val="00FA2ACF"/>
    <w:rsid w:val="00FA2EAF"/>
    <w:rsid w:val="00FB6DA4"/>
    <w:rsid w:val="00FC4C5B"/>
    <w:rsid w:val="00FC5DAD"/>
    <w:rsid w:val="00FC6C89"/>
    <w:rsid w:val="00FD1ADA"/>
    <w:rsid w:val="00FD3F9B"/>
    <w:rsid w:val="00FE00B9"/>
    <w:rsid w:val="00FE246A"/>
    <w:rsid w:val="00FE2A5E"/>
    <w:rsid w:val="00FE47D6"/>
    <w:rsid w:val="00FE7D29"/>
    <w:rsid w:val="00FF3300"/>
    <w:rsid w:val="00FF3EF3"/>
    <w:rsid w:val="00FF63ED"/>
    <w:rsid w:val="00FF749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6483A43"/>
  <w15:chartTrackingRefBased/>
  <w15:docId w15:val="{9A802BB4-DC85-4ABB-B363-3BEBAAC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fn"/>
    <w:link w:val="FootnoteTextChar"/>
    <w:semiHidden/>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 Char,fn Char"/>
    <w:basedOn w:val="DefaultParagraphFont"/>
    <w:link w:val="FootnoteText"/>
    <w:semiHidden/>
    <w:locked/>
    <w:rsid w:val="003F3080"/>
  </w:style>
  <w:style w:type="character" w:customStyle="1" w:styleId="ParaNumChar">
    <w:name w:val="ParaNum Char"/>
    <w:link w:val="ParaNum"/>
    <w:locked/>
    <w:rsid w:val="003F3080"/>
    <w:rPr>
      <w:snapToGrid w:val="0"/>
      <w:kern w:val="28"/>
      <w:sz w:val="22"/>
    </w:rPr>
  </w:style>
  <w:style w:type="paragraph" w:styleId="Revision">
    <w:name w:val="Revision"/>
    <w:hidden/>
    <w:uiPriority w:val="99"/>
    <w:semiHidden/>
    <w:rsid w:val="009A3050"/>
    <w:rPr>
      <w:snapToGrid w:val="0"/>
      <w:kern w:val="28"/>
      <w:sz w:val="22"/>
    </w:rPr>
  </w:style>
  <w:style w:type="character" w:styleId="CommentReference">
    <w:name w:val="annotation reference"/>
    <w:uiPriority w:val="99"/>
    <w:semiHidden/>
    <w:unhideWhenUsed/>
    <w:rsid w:val="00901DDC"/>
    <w:rPr>
      <w:sz w:val="16"/>
      <w:szCs w:val="16"/>
    </w:rPr>
  </w:style>
  <w:style w:type="paragraph" w:styleId="CommentText">
    <w:name w:val="annotation text"/>
    <w:basedOn w:val="Normal"/>
    <w:link w:val="CommentTextChar"/>
    <w:uiPriority w:val="99"/>
    <w:unhideWhenUsed/>
    <w:rsid w:val="00901DDC"/>
    <w:rPr>
      <w:sz w:val="20"/>
    </w:rPr>
  </w:style>
  <w:style w:type="character" w:customStyle="1" w:styleId="CommentTextChar">
    <w:name w:val="Comment Text Char"/>
    <w:link w:val="CommentText"/>
    <w:uiPriority w:val="99"/>
    <w:rsid w:val="00901DDC"/>
    <w:rPr>
      <w:snapToGrid w:val="0"/>
      <w:kern w:val="28"/>
    </w:rPr>
  </w:style>
  <w:style w:type="paragraph" w:styleId="CommentSubject">
    <w:name w:val="annotation subject"/>
    <w:basedOn w:val="CommentText"/>
    <w:next w:val="CommentText"/>
    <w:link w:val="CommentSubjectChar"/>
    <w:uiPriority w:val="99"/>
    <w:semiHidden/>
    <w:unhideWhenUsed/>
    <w:rsid w:val="00901DDC"/>
    <w:rPr>
      <w:b/>
      <w:bCs/>
    </w:rPr>
  </w:style>
  <w:style w:type="character" w:customStyle="1" w:styleId="CommentSubjectChar">
    <w:name w:val="Comment Subject Char"/>
    <w:link w:val="CommentSubject"/>
    <w:uiPriority w:val="99"/>
    <w:semiHidden/>
    <w:rsid w:val="00901DDC"/>
    <w:rPr>
      <w:b/>
      <w:bCs/>
      <w:snapToGrid w:val="0"/>
      <w:kern w:val="28"/>
    </w:rPr>
  </w:style>
  <w:style w:type="paragraph" w:styleId="BalloonText">
    <w:name w:val="Balloon Text"/>
    <w:basedOn w:val="Normal"/>
    <w:link w:val="BalloonTextChar"/>
    <w:uiPriority w:val="99"/>
    <w:semiHidden/>
    <w:unhideWhenUsed/>
    <w:rsid w:val="00A6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2"/>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E210A1"/>
    <w:rPr>
      <w:color w:val="605E5C"/>
      <w:shd w:val="clear" w:color="auto" w:fill="E1DFDD"/>
    </w:rPr>
  </w:style>
  <w:style w:type="character" w:styleId="FollowedHyperlink">
    <w:name w:val="FollowedHyperlink"/>
    <w:basedOn w:val="DefaultParagraphFont"/>
    <w:uiPriority w:val="99"/>
    <w:semiHidden/>
    <w:unhideWhenUsed/>
    <w:rsid w:val="002E04DA"/>
    <w:rPr>
      <w:color w:val="954F72" w:themeColor="followedHyperlink"/>
      <w:u w:val="single"/>
    </w:rPr>
  </w:style>
  <w:style w:type="character" w:customStyle="1" w:styleId="one-click-content">
    <w:name w:val="one-click-content"/>
    <w:basedOn w:val="DefaultParagraphFont"/>
    <w:rsid w:val="005D62CC"/>
  </w:style>
  <w:style w:type="character" w:customStyle="1" w:styleId="luna-example">
    <w:name w:val="luna-example"/>
    <w:basedOn w:val="DefaultParagraphFont"/>
    <w:rsid w:val="005D62CC"/>
  </w:style>
  <w:style w:type="character" w:customStyle="1" w:styleId="url">
    <w:name w:val="url"/>
    <w:basedOn w:val="DefaultParagraphFont"/>
    <w:rsid w:val="00670733"/>
  </w:style>
  <w:style w:type="character" w:customStyle="1" w:styleId="UnresolvedMention3">
    <w:name w:val="Unresolved Mention3"/>
    <w:basedOn w:val="DefaultParagraphFont"/>
    <w:uiPriority w:val="99"/>
    <w:semiHidden/>
    <w:unhideWhenUsed/>
    <w:rsid w:val="00253FC5"/>
    <w:rPr>
      <w:color w:val="605E5C"/>
      <w:shd w:val="clear" w:color="auto" w:fill="E1DFDD"/>
    </w:rPr>
  </w:style>
  <w:style w:type="character" w:customStyle="1" w:styleId="cf01">
    <w:name w:val="cf01"/>
    <w:basedOn w:val="DefaultParagraphFont"/>
    <w:rsid w:val="00252898"/>
    <w:rPr>
      <w:rFonts w:ascii="Segoe UI" w:hAnsi="Segoe UI" w:cs="Segoe UI" w:hint="default"/>
      <w:sz w:val="18"/>
      <w:szCs w:val="18"/>
    </w:rPr>
  </w:style>
  <w:style w:type="table" w:styleId="TableGrid">
    <w:name w:val="Table Grid"/>
    <w:basedOn w:val="TableNormal"/>
    <w:uiPriority w:val="59"/>
    <w:rsid w:val="00E3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76F3D"/>
    <w:rPr>
      <w:color w:val="605E5C"/>
      <w:shd w:val="clear" w:color="auto" w:fill="E1DFDD"/>
    </w:rPr>
  </w:style>
  <w:style w:type="character" w:customStyle="1" w:styleId="item-value">
    <w:name w:val="item-value"/>
    <w:basedOn w:val="DefaultParagraphFont"/>
    <w:rsid w:val="00D32242"/>
  </w:style>
  <w:style w:type="character" w:styleId="UnresolvedMention">
    <w:name w:val="Unresolved Mention"/>
    <w:basedOn w:val="DefaultParagraphFont"/>
    <w:uiPriority w:val="99"/>
    <w:semiHidden/>
    <w:unhideWhenUsed/>
    <w:rsid w:val="006F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ureen.Bizhko@fcc.gov" TargetMode="External" /><Relationship Id="rId6" Type="http://schemas.openxmlformats.org/officeDocument/2006/relationships/hyperlink" Target="mailto:Christopher.Fedeli@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emergency-managers/practitioners/integrated-public-alert-warning-system/broadcasters-wireless" TargetMode="External" /><Relationship Id="rId2" Type="http://schemas.openxmlformats.org/officeDocument/2006/relationships/hyperlink" Target="https://www.fema.gov/press-release/20220628/fema-and-audacys-wwl-radio-unveil-new-emergency-broadcast-studi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avid%20&amp;%20Emily\Downloads\Public%20Notice%20Form%20One%20Filing%20Deadline%202022%20clean%20to%20DF%20+%20dlf.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Form One Filing Deadline 2022 clean to DF + dlf</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