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44BF3" w:rsidRPr="009B5E4C" w14:paraId="5C72CFEA" w14:textId="77777777">
      <w:pPr>
        <w:jc w:val="right"/>
        <w:rPr>
          <w:szCs w:val="22"/>
        </w:rPr>
      </w:pPr>
    </w:p>
    <w:p w:rsidR="00344BF3" w:rsidRPr="003957BB" w14:paraId="3B9F33BA" w14:textId="1223920F">
      <w:pPr>
        <w:jc w:val="right"/>
        <w:rPr>
          <w:b/>
          <w:szCs w:val="22"/>
        </w:rPr>
      </w:pPr>
      <w:r w:rsidRPr="003957BB">
        <w:rPr>
          <w:b/>
          <w:szCs w:val="22"/>
        </w:rPr>
        <w:t>DA 2</w:t>
      </w:r>
      <w:r w:rsidR="00FD0318">
        <w:rPr>
          <w:b/>
          <w:szCs w:val="22"/>
        </w:rPr>
        <w:t>3</w:t>
      </w:r>
      <w:r w:rsidRPr="003957BB">
        <w:rPr>
          <w:b/>
          <w:szCs w:val="22"/>
        </w:rPr>
        <w:t>-</w:t>
      </w:r>
      <w:r w:rsidR="00394DDE">
        <w:rPr>
          <w:b/>
          <w:szCs w:val="22"/>
        </w:rPr>
        <w:t>4</w:t>
      </w:r>
    </w:p>
    <w:p w:rsidR="00344BF3" w:rsidRPr="003957BB" w14:paraId="659039BD" w14:textId="077A5897">
      <w:pPr>
        <w:spacing w:before="60"/>
        <w:jc w:val="right"/>
        <w:rPr>
          <w:b/>
          <w:szCs w:val="22"/>
        </w:rPr>
      </w:pPr>
      <w:r w:rsidRPr="003957BB">
        <w:rPr>
          <w:b/>
          <w:szCs w:val="22"/>
        </w:rPr>
        <w:t xml:space="preserve">Released:  </w:t>
      </w:r>
      <w:r w:rsidR="00FD0318">
        <w:rPr>
          <w:b/>
          <w:szCs w:val="22"/>
        </w:rPr>
        <w:t>January</w:t>
      </w:r>
      <w:r w:rsidRPr="003957BB" w:rsidR="00113659">
        <w:rPr>
          <w:b/>
          <w:szCs w:val="22"/>
        </w:rPr>
        <w:t xml:space="preserve"> </w:t>
      </w:r>
      <w:r w:rsidR="00FD0318">
        <w:rPr>
          <w:b/>
          <w:szCs w:val="22"/>
        </w:rPr>
        <w:t>4</w:t>
      </w:r>
      <w:r w:rsidRPr="003957BB" w:rsidR="00624B0B">
        <w:rPr>
          <w:b/>
          <w:szCs w:val="22"/>
        </w:rPr>
        <w:t xml:space="preserve">, </w:t>
      </w:r>
      <w:r w:rsidRPr="003957BB" w:rsidR="00E27E2F">
        <w:rPr>
          <w:b/>
          <w:szCs w:val="22"/>
        </w:rPr>
        <w:t>202</w:t>
      </w:r>
      <w:r w:rsidR="00FD0318">
        <w:rPr>
          <w:b/>
          <w:szCs w:val="22"/>
        </w:rPr>
        <w:t>3</w:t>
      </w:r>
    </w:p>
    <w:p w:rsidR="00344BF3" w:rsidRPr="003957BB" w14:paraId="6903F953" w14:textId="77777777">
      <w:pPr>
        <w:jc w:val="right"/>
        <w:rPr>
          <w:szCs w:val="22"/>
        </w:rPr>
      </w:pPr>
    </w:p>
    <w:p w:rsidR="00344BF3" w:rsidRPr="003957BB" w:rsidP="00123CFC" w14:paraId="5880D40C" w14:textId="2590F109">
      <w:pPr>
        <w:spacing w:after="240"/>
        <w:jc w:val="center"/>
        <w:rPr>
          <w:b/>
          <w:caps/>
          <w:szCs w:val="22"/>
        </w:rPr>
      </w:pPr>
      <w:r w:rsidRPr="003957BB">
        <w:rPr>
          <w:b/>
          <w:caps/>
          <w:szCs w:val="22"/>
        </w:rPr>
        <w:t xml:space="preserve">MEDIA BUREAU ANNOUNCES FILING OF PETITION FOR DECLARATORY RULING BY </w:t>
      </w:r>
      <w:r w:rsidRPr="003957BB" w:rsidR="00AA2107">
        <w:rPr>
          <w:b/>
          <w:caps/>
          <w:szCs w:val="22"/>
        </w:rPr>
        <w:t xml:space="preserve">searchlight ii hmt, l.p. </w:t>
      </w:r>
      <w:r w:rsidR="00435D0A">
        <w:rPr>
          <w:b/>
          <w:caps/>
          <w:szCs w:val="22"/>
        </w:rPr>
        <w:t xml:space="preserve"> </w:t>
      </w:r>
    </w:p>
    <w:p w:rsidR="00344BF3" w:rsidRPr="003957BB" w14:paraId="6153A39A" w14:textId="6261765B">
      <w:pPr>
        <w:jc w:val="center"/>
        <w:rPr>
          <w:b/>
          <w:szCs w:val="22"/>
        </w:rPr>
      </w:pPr>
      <w:r w:rsidRPr="003957BB">
        <w:rPr>
          <w:b/>
          <w:szCs w:val="22"/>
        </w:rPr>
        <w:t>MB Docket No. 2</w:t>
      </w:r>
      <w:r w:rsidR="00FD0318">
        <w:rPr>
          <w:b/>
          <w:szCs w:val="22"/>
        </w:rPr>
        <w:t>3</w:t>
      </w:r>
      <w:r w:rsidRPr="003957BB">
        <w:rPr>
          <w:b/>
          <w:szCs w:val="22"/>
        </w:rPr>
        <w:t>-</w:t>
      </w:r>
      <w:r w:rsidR="00FD0318">
        <w:rPr>
          <w:b/>
          <w:szCs w:val="22"/>
        </w:rPr>
        <w:t>2</w:t>
      </w:r>
    </w:p>
    <w:p w:rsidR="00344BF3" w:rsidRPr="003957BB" w14:paraId="60B84394" w14:textId="77777777">
      <w:pPr>
        <w:rPr>
          <w:szCs w:val="22"/>
        </w:rPr>
      </w:pPr>
      <w:bookmarkStart w:id="0" w:name="TOChere"/>
    </w:p>
    <w:bookmarkEnd w:id="0"/>
    <w:p w:rsidR="00624B0B" w:rsidRPr="003957BB" w:rsidP="00624B0B" w14:paraId="18056F8B" w14:textId="420BB4E8">
      <w:pPr>
        <w:widowControl/>
        <w:spacing w:after="160" w:line="259" w:lineRule="auto"/>
        <w:rPr>
          <w:rFonts w:eastAsia="Calibri"/>
          <w:b/>
          <w:snapToGrid/>
          <w:kern w:val="0"/>
          <w:szCs w:val="22"/>
        </w:rPr>
      </w:pPr>
      <w:r w:rsidRPr="003957BB">
        <w:rPr>
          <w:rFonts w:eastAsia="Calibri"/>
          <w:b/>
          <w:snapToGrid/>
          <w:kern w:val="0"/>
          <w:szCs w:val="22"/>
        </w:rPr>
        <w:t xml:space="preserve">Comment Date:  </w:t>
      </w:r>
      <w:r w:rsidR="00FD0318">
        <w:rPr>
          <w:rFonts w:eastAsia="Calibri"/>
          <w:b/>
          <w:snapToGrid/>
          <w:kern w:val="0"/>
          <w:szCs w:val="22"/>
        </w:rPr>
        <w:t>February</w:t>
      </w:r>
      <w:r w:rsidRPr="003957BB" w:rsidR="00113659">
        <w:rPr>
          <w:rFonts w:eastAsia="Calibri"/>
          <w:b/>
          <w:snapToGrid/>
          <w:kern w:val="0"/>
          <w:szCs w:val="22"/>
        </w:rPr>
        <w:t xml:space="preserve"> </w:t>
      </w:r>
      <w:r w:rsidR="00FD0318">
        <w:rPr>
          <w:rFonts w:eastAsia="Calibri"/>
          <w:b/>
          <w:snapToGrid/>
          <w:kern w:val="0"/>
          <w:szCs w:val="22"/>
        </w:rPr>
        <w:t>3</w:t>
      </w:r>
      <w:r w:rsidRPr="003957BB" w:rsidR="00113659">
        <w:rPr>
          <w:rFonts w:eastAsia="Calibri"/>
          <w:b/>
          <w:snapToGrid/>
          <w:kern w:val="0"/>
          <w:szCs w:val="22"/>
        </w:rPr>
        <w:t>, 202</w:t>
      </w:r>
      <w:r w:rsidR="00C10B34">
        <w:rPr>
          <w:rFonts w:eastAsia="Calibri"/>
          <w:b/>
          <w:snapToGrid/>
          <w:kern w:val="0"/>
          <w:szCs w:val="22"/>
        </w:rPr>
        <w:t>3</w:t>
      </w:r>
    </w:p>
    <w:p w:rsidR="00624B0B" w:rsidRPr="003957BB" w:rsidP="00624B0B" w14:paraId="2394D4C1" w14:textId="34EE2C9A">
      <w:pPr>
        <w:widowControl/>
        <w:spacing w:after="160" w:line="259" w:lineRule="auto"/>
        <w:rPr>
          <w:rFonts w:eastAsia="Calibri"/>
          <w:b/>
          <w:snapToGrid/>
          <w:kern w:val="0"/>
          <w:szCs w:val="22"/>
        </w:rPr>
      </w:pPr>
      <w:r w:rsidRPr="003957BB">
        <w:rPr>
          <w:rFonts w:eastAsia="Calibri"/>
          <w:b/>
          <w:snapToGrid/>
          <w:kern w:val="0"/>
          <w:szCs w:val="22"/>
        </w:rPr>
        <w:t xml:space="preserve">Reply Date:  </w:t>
      </w:r>
      <w:r w:rsidR="00FD0318">
        <w:rPr>
          <w:rFonts w:eastAsia="Calibri"/>
          <w:b/>
          <w:snapToGrid/>
          <w:kern w:val="0"/>
          <w:szCs w:val="22"/>
        </w:rPr>
        <w:t>February</w:t>
      </w:r>
      <w:r w:rsidRPr="003957BB" w:rsidR="00113659">
        <w:rPr>
          <w:rFonts w:eastAsia="Calibri"/>
          <w:b/>
          <w:snapToGrid/>
          <w:kern w:val="0"/>
          <w:szCs w:val="22"/>
        </w:rPr>
        <w:t xml:space="preserve"> </w:t>
      </w:r>
      <w:r w:rsidR="00FD0318">
        <w:rPr>
          <w:rFonts w:eastAsia="Calibri"/>
          <w:b/>
          <w:snapToGrid/>
          <w:kern w:val="0"/>
          <w:szCs w:val="22"/>
        </w:rPr>
        <w:t>21</w:t>
      </w:r>
      <w:r w:rsidRPr="003957BB" w:rsidR="00113659">
        <w:rPr>
          <w:rFonts w:eastAsia="Calibri"/>
          <w:b/>
          <w:snapToGrid/>
          <w:kern w:val="0"/>
          <w:szCs w:val="22"/>
        </w:rPr>
        <w:t>, 202</w:t>
      </w:r>
      <w:r w:rsidR="00C10B34">
        <w:rPr>
          <w:rFonts w:eastAsia="Calibri"/>
          <w:b/>
          <w:snapToGrid/>
          <w:kern w:val="0"/>
          <w:szCs w:val="22"/>
        </w:rPr>
        <w:t>3</w:t>
      </w:r>
    </w:p>
    <w:p w:rsidR="0041063F" w:rsidRPr="003957BB" w:rsidP="0041063F" w14:paraId="7DF99CE2" w14:textId="20B2DC08">
      <w:pPr>
        <w:ind w:firstLine="720"/>
        <w:rPr>
          <w:szCs w:val="22"/>
        </w:rPr>
      </w:pPr>
      <w:r w:rsidRPr="003957BB">
        <w:rPr>
          <w:rFonts w:eastAsia="Calibri"/>
          <w:szCs w:val="22"/>
        </w:rPr>
        <w:t>Searchlight II HMT, L.P.</w:t>
      </w:r>
      <w:r w:rsidRPr="003957BB">
        <w:rPr>
          <w:snapToGrid/>
          <w:kern w:val="0"/>
          <w:szCs w:val="22"/>
        </w:rPr>
        <w:t xml:space="preserve"> (</w:t>
      </w:r>
      <w:r w:rsidRPr="003957BB">
        <w:rPr>
          <w:szCs w:val="22"/>
        </w:rPr>
        <w:t>Searchlight II HMT</w:t>
      </w:r>
      <w:r w:rsidRPr="003957BB" w:rsidR="0055404C">
        <w:rPr>
          <w:szCs w:val="22"/>
        </w:rPr>
        <w:t xml:space="preserve"> or Petitioner</w:t>
      </w:r>
      <w:r w:rsidRPr="003957BB">
        <w:rPr>
          <w:snapToGrid/>
          <w:kern w:val="0"/>
          <w:szCs w:val="22"/>
        </w:rPr>
        <w:t>)</w:t>
      </w:r>
      <w:r w:rsidRPr="003957BB">
        <w:rPr>
          <w:szCs w:val="22"/>
        </w:rPr>
        <w:t xml:space="preserve"> </w:t>
      </w:r>
      <w:r w:rsidRPr="003957BB">
        <w:rPr>
          <w:snapToGrid/>
          <w:kern w:val="0"/>
          <w:szCs w:val="22"/>
        </w:rPr>
        <w:t>has filed a petition for declaratory ruling</w:t>
      </w:r>
      <w:r>
        <w:rPr>
          <w:rStyle w:val="FootnoteReference"/>
          <w:snapToGrid/>
          <w:kern w:val="0"/>
          <w:szCs w:val="22"/>
        </w:rPr>
        <w:footnoteReference w:id="3"/>
      </w:r>
      <w:r w:rsidRPr="003957BB">
        <w:rPr>
          <w:snapToGrid/>
          <w:kern w:val="0"/>
          <w:szCs w:val="22"/>
        </w:rPr>
        <w:t xml:space="preserve"> (Petition) requesting the Federal Communications Commission (Commission)</w:t>
      </w:r>
      <w:r w:rsidRPr="003957BB" w:rsidR="00614093">
        <w:rPr>
          <w:snapToGrid/>
          <w:kern w:val="0"/>
          <w:szCs w:val="22"/>
        </w:rPr>
        <w:t xml:space="preserve"> </w:t>
      </w:r>
      <w:r w:rsidRPr="003957BB" w:rsidR="00343E35">
        <w:rPr>
          <w:snapToGrid/>
          <w:kern w:val="0"/>
          <w:szCs w:val="22"/>
        </w:rPr>
        <w:t xml:space="preserve">to </w:t>
      </w:r>
      <w:r w:rsidRPr="003957BB" w:rsidR="00614093">
        <w:rPr>
          <w:snapToGrid/>
          <w:kern w:val="0"/>
          <w:szCs w:val="22"/>
        </w:rPr>
        <w:t xml:space="preserve">find that it would be in the public interest to </w:t>
      </w:r>
      <w:r w:rsidR="00F67ADB">
        <w:rPr>
          <w:snapToGrid/>
          <w:kern w:val="0"/>
          <w:szCs w:val="22"/>
        </w:rPr>
        <w:t xml:space="preserve">permit </w:t>
      </w:r>
      <w:r w:rsidR="00511E0A">
        <w:rPr>
          <w:snapToGrid/>
          <w:kern w:val="0"/>
          <w:szCs w:val="22"/>
        </w:rPr>
        <w:t xml:space="preserve">foreign ownership of </w:t>
      </w:r>
      <w:r w:rsidRPr="00EE7AD6" w:rsidR="00887109">
        <w:rPr>
          <w:snapToGrid/>
          <w:kern w:val="0"/>
          <w:szCs w:val="22"/>
        </w:rPr>
        <w:t>Searchlight II HMT’s controlling U.S.</w:t>
      </w:r>
      <w:r w:rsidR="000547C2">
        <w:rPr>
          <w:snapToGrid/>
          <w:kern w:val="0"/>
          <w:szCs w:val="22"/>
        </w:rPr>
        <w:t xml:space="preserve"> parent</w:t>
      </w:r>
      <w:r w:rsidR="00D828F1">
        <w:rPr>
          <w:snapToGrid/>
          <w:kern w:val="0"/>
          <w:szCs w:val="22"/>
        </w:rPr>
        <w:t>,</w:t>
      </w:r>
      <w:r w:rsidR="00400057">
        <w:rPr>
          <w:snapToGrid/>
          <w:kern w:val="0"/>
          <w:szCs w:val="22"/>
        </w:rPr>
        <w:t xml:space="preserve"> Hemisphere Media Group, Inc. (HMTV)</w:t>
      </w:r>
      <w:r w:rsidR="000557C3">
        <w:rPr>
          <w:snapToGrid/>
          <w:kern w:val="0"/>
          <w:szCs w:val="22"/>
        </w:rPr>
        <w:t>,</w:t>
      </w:r>
      <w:r w:rsidR="000547C2">
        <w:rPr>
          <w:snapToGrid/>
          <w:kern w:val="0"/>
          <w:szCs w:val="22"/>
        </w:rPr>
        <w:t xml:space="preserve"> to exceed the </w:t>
      </w:r>
      <w:r w:rsidR="000A04BC">
        <w:rPr>
          <w:snapToGrid/>
          <w:kern w:val="0"/>
          <w:szCs w:val="22"/>
        </w:rPr>
        <w:t xml:space="preserve">25% benchmarks </w:t>
      </w:r>
      <w:r w:rsidR="002147BF">
        <w:rPr>
          <w:snapToGrid/>
          <w:kern w:val="0"/>
          <w:szCs w:val="22"/>
        </w:rPr>
        <w:t>in section 310(b)(4)</w:t>
      </w:r>
      <w:r w:rsidR="000160EF">
        <w:rPr>
          <w:snapToGrid/>
          <w:kern w:val="0"/>
          <w:szCs w:val="22"/>
        </w:rPr>
        <w:t xml:space="preserve"> </w:t>
      </w:r>
      <w:r w:rsidR="00B356EE">
        <w:rPr>
          <w:snapToGrid/>
          <w:kern w:val="0"/>
          <w:szCs w:val="22"/>
        </w:rPr>
        <w:t>o</w:t>
      </w:r>
      <w:r w:rsidR="002E0B3B">
        <w:rPr>
          <w:snapToGrid/>
          <w:kern w:val="0"/>
          <w:szCs w:val="22"/>
        </w:rPr>
        <w:t>f</w:t>
      </w:r>
      <w:r w:rsidR="00B356EE">
        <w:rPr>
          <w:snapToGrid/>
          <w:kern w:val="0"/>
          <w:szCs w:val="22"/>
        </w:rPr>
        <w:t xml:space="preserve"> the </w:t>
      </w:r>
      <w:r w:rsidR="008C5ED6">
        <w:rPr>
          <w:snapToGrid/>
          <w:kern w:val="0"/>
          <w:szCs w:val="22"/>
        </w:rPr>
        <w:t>Communications Act of 19</w:t>
      </w:r>
      <w:r w:rsidR="00B211D2">
        <w:rPr>
          <w:snapToGrid/>
          <w:kern w:val="0"/>
          <w:szCs w:val="22"/>
        </w:rPr>
        <w:t>34</w:t>
      </w:r>
      <w:r w:rsidR="001C42A5">
        <w:rPr>
          <w:snapToGrid/>
          <w:kern w:val="0"/>
          <w:szCs w:val="22"/>
        </w:rPr>
        <w:t xml:space="preserve">, </w:t>
      </w:r>
      <w:r w:rsidR="007961EF">
        <w:rPr>
          <w:snapToGrid/>
          <w:kern w:val="0"/>
          <w:szCs w:val="22"/>
        </w:rPr>
        <w:t xml:space="preserve">as </w:t>
      </w:r>
      <w:r w:rsidR="001C42A5">
        <w:rPr>
          <w:snapToGrid/>
          <w:kern w:val="0"/>
          <w:szCs w:val="22"/>
        </w:rPr>
        <w:t>amended</w:t>
      </w:r>
      <w:r w:rsidRPr="003957BB">
        <w:rPr>
          <w:snapToGrid/>
          <w:kern w:val="0"/>
          <w:szCs w:val="22"/>
        </w:rPr>
        <w:t>.</w:t>
      </w:r>
      <w:r>
        <w:rPr>
          <w:rStyle w:val="FootnoteReference"/>
          <w:snapToGrid/>
          <w:kern w:val="0"/>
          <w:szCs w:val="22"/>
        </w:rPr>
        <w:footnoteReference w:id="4"/>
      </w:r>
      <w:r w:rsidRPr="003957BB">
        <w:rPr>
          <w:snapToGrid/>
          <w:kern w:val="0"/>
          <w:szCs w:val="22"/>
        </w:rPr>
        <w:t xml:space="preserve"> </w:t>
      </w:r>
      <w:bookmarkStart w:id="1" w:name="_Hlk39225405"/>
      <w:r w:rsidRPr="003957BB">
        <w:rPr>
          <w:snapToGrid/>
          <w:kern w:val="0"/>
          <w:szCs w:val="22"/>
        </w:rPr>
        <w:t xml:space="preserve"> </w:t>
      </w:r>
      <w:r w:rsidRPr="003957BB">
        <w:rPr>
          <w:szCs w:val="22"/>
        </w:rPr>
        <w:t>HMTV</w:t>
      </w:r>
      <w:r w:rsidR="00F25750">
        <w:rPr>
          <w:szCs w:val="22"/>
        </w:rPr>
        <w:t xml:space="preserve"> has an </w:t>
      </w:r>
      <w:r w:rsidRPr="003957BB">
        <w:rPr>
          <w:szCs w:val="22"/>
        </w:rPr>
        <w:t xml:space="preserve">existing declaratory </w:t>
      </w:r>
      <w:r w:rsidRPr="003957BB" w:rsidR="00472AB6">
        <w:rPr>
          <w:szCs w:val="22"/>
        </w:rPr>
        <w:t xml:space="preserve">ruling </w:t>
      </w:r>
      <w:r w:rsidRPr="003957BB">
        <w:rPr>
          <w:szCs w:val="22"/>
        </w:rPr>
        <w:t>in which the</w:t>
      </w:r>
      <w:r w:rsidRPr="003957BB">
        <w:rPr>
          <w:szCs w:val="22"/>
        </w:rPr>
        <w:t xml:space="preserve"> Commission previously authorized foreign </w:t>
      </w:r>
      <w:r w:rsidR="00F25750">
        <w:rPr>
          <w:szCs w:val="22"/>
        </w:rPr>
        <w:t>ownership</w:t>
      </w:r>
      <w:r w:rsidRPr="003957BB">
        <w:rPr>
          <w:szCs w:val="22"/>
        </w:rPr>
        <w:t xml:space="preserve"> up to 100 percent of HMTV’s equity and voting interests in the aggregate</w:t>
      </w:r>
      <w:r w:rsidRPr="003957BB" w:rsidR="00614093">
        <w:rPr>
          <w:szCs w:val="22"/>
        </w:rPr>
        <w:t>.</w:t>
      </w:r>
      <w:r>
        <w:rPr>
          <w:rStyle w:val="FootnoteReference"/>
          <w:szCs w:val="22"/>
        </w:rPr>
        <w:footnoteReference w:id="5"/>
      </w:r>
      <w:r w:rsidRPr="003957BB">
        <w:rPr>
          <w:szCs w:val="22"/>
        </w:rPr>
        <w:t xml:space="preserve">  </w:t>
      </w:r>
      <w:r w:rsidRPr="003957BB">
        <w:rPr>
          <w:szCs w:val="22"/>
        </w:rPr>
        <w:t xml:space="preserve"> </w:t>
      </w:r>
      <w:r w:rsidR="00B50137">
        <w:rPr>
          <w:szCs w:val="22"/>
        </w:rPr>
        <w:t xml:space="preserve"> </w:t>
      </w:r>
    </w:p>
    <w:bookmarkEnd w:id="1"/>
    <w:p w:rsidR="00CB201B" w:rsidRPr="003957BB" w:rsidP="00CB201B" w14:paraId="2B89E25E" w14:textId="77777777">
      <w:pPr>
        <w:widowControl/>
        <w:autoSpaceDE w:val="0"/>
        <w:autoSpaceDN w:val="0"/>
        <w:adjustRightInd w:val="0"/>
        <w:rPr>
          <w:szCs w:val="22"/>
        </w:rPr>
      </w:pPr>
    </w:p>
    <w:p w:rsidR="00CB201B" w:rsidRPr="003957BB" w:rsidP="00472AB6" w14:paraId="07D70D2E" w14:textId="05B8B6D1">
      <w:pPr>
        <w:widowControl/>
        <w:autoSpaceDE w:val="0"/>
        <w:autoSpaceDN w:val="0"/>
        <w:adjustRightInd w:val="0"/>
        <w:ind w:firstLine="720"/>
        <w:rPr>
          <w:szCs w:val="22"/>
        </w:rPr>
      </w:pPr>
      <w:r w:rsidRPr="003957BB">
        <w:rPr>
          <w:szCs w:val="22"/>
        </w:rPr>
        <w:t xml:space="preserve">The </w:t>
      </w:r>
      <w:r w:rsidRPr="003957BB" w:rsidR="00343E35">
        <w:rPr>
          <w:szCs w:val="22"/>
        </w:rPr>
        <w:t>Commission</w:t>
      </w:r>
      <w:r w:rsidRPr="003957BB">
        <w:rPr>
          <w:szCs w:val="22"/>
        </w:rPr>
        <w:t>’s</w:t>
      </w:r>
      <w:r w:rsidRPr="003957BB" w:rsidR="00343E35">
        <w:rPr>
          <w:szCs w:val="22"/>
        </w:rPr>
        <w:t xml:space="preserve"> approval is being sought in connection with two applications pending at the Commission to </w:t>
      </w:r>
      <w:r w:rsidRPr="003957BB" w:rsidR="00A345E3">
        <w:rPr>
          <w:szCs w:val="22"/>
        </w:rPr>
        <w:t xml:space="preserve">(1) </w:t>
      </w:r>
      <w:r w:rsidRPr="003957BB" w:rsidR="00343E35">
        <w:rPr>
          <w:szCs w:val="22"/>
        </w:rPr>
        <w:t>transfer control of broadcast television licenses held by Televicentro of Puerto Rico, LLC</w:t>
      </w:r>
      <w:r w:rsidRPr="003957BB" w:rsidR="00EE7C0D">
        <w:rPr>
          <w:szCs w:val="22"/>
        </w:rPr>
        <w:t xml:space="preserve"> (Televicentro)</w:t>
      </w:r>
      <w:r w:rsidRPr="003957BB" w:rsidR="00343E35">
        <w:rPr>
          <w:szCs w:val="22"/>
        </w:rPr>
        <w:t>, an indirect, wholly owned subsidiary of HMTV, from Gato Investments LP</w:t>
      </w:r>
      <w:r w:rsidRPr="003957BB" w:rsidR="00EE7C0D">
        <w:rPr>
          <w:szCs w:val="22"/>
        </w:rPr>
        <w:t xml:space="preserve"> (Gato)</w:t>
      </w:r>
      <w:r w:rsidRPr="003957BB" w:rsidR="00343E35">
        <w:rPr>
          <w:szCs w:val="22"/>
        </w:rPr>
        <w:t xml:space="preserve"> to Searchlight II HMT</w:t>
      </w:r>
      <w:r>
        <w:rPr>
          <w:rStyle w:val="FootnoteReference"/>
          <w:szCs w:val="22"/>
        </w:rPr>
        <w:footnoteReference w:id="6"/>
      </w:r>
      <w:r w:rsidRPr="003957BB" w:rsidR="00421366">
        <w:rPr>
          <w:szCs w:val="22"/>
        </w:rPr>
        <w:t xml:space="preserve"> (HMTV </w:t>
      </w:r>
      <w:r w:rsidRPr="003957BB" w:rsidR="00705C94">
        <w:rPr>
          <w:szCs w:val="22"/>
        </w:rPr>
        <w:t>Transaction</w:t>
      </w:r>
      <w:r w:rsidRPr="003957BB" w:rsidR="00421366">
        <w:rPr>
          <w:szCs w:val="22"/>
        </w:rPr>
        <w:t>)</w:t>
      </w:r>
      <w:r w:rsidRPr="003957BB" w:rsidR="00A345E3">
        <w:rPr>
          <w:szCs w:val="22"/>
        </w:rPr>
        <w:t>;</w:t>
      </w:r>
      <w:r w:rsidRPr="003957BB" w:rsidR="00343E35">
        <w:rPr>
          <w:szCs w:val="22"/>
        </w:rPr>
        <w:t xml:space="preserve"> and </w:t>
      </w:r>
      <w:r w:rsidRPr="003957BB" w:rsidR="00A345E3">
        <w:rPr>
          <w:szCs w:val="22"/>
        </w:rPr>
        <w:t>(2)</w:t>
      </w:r>
      <w:r w:rsidRPr="003957BB" w:rsidR="00343E35">
        <w:rPr>
          <w:szCs w:val="22"/>
        </w:rPr>
        <w:t xml:space="preserve"> transfer control of</w:t>
      </w:r>
      <w:r w:rsidRPr="003957BB" w:rsidR="00421366">
        <w:rPr>
          <w:szCs w:val="22"/>
        </w:rPr>
        <w:t xml:space="preserve"> </w:t>
      </w:r>
      <w:r w:rsidRPr="003957BB" w:rsidR="00343E35">
        <w:rPr>
          <w:szCs w:val="22"/>
        </w:rPr>
        <w:t xml:space="preserve">WLII/WSUR Licensee Partnership, </w:t>
      </w:r>
      <w:r w:rsidRPr="003957BB" w:rsidR="00343E35">
        <w:rPr>
          <w:szCs w:val="22"/>
        </w:rPr>
        <w:t>G.P.</w:t>
      </w:r>
      <w:r w:rsidRPr="003957BB" w:rsidR="00EE7C0D">
        <w:rPr>
          <w:szCs w:val="22"/>
        </w:rPr>
        <w:t xml:space="preserve"> (WLII/WSUR)</w:t>
      </w:r>
      <w:r w:rsidRPr="003957BB" w:rsidR="00343E35">
        <w:rPr>
          <w:szCs w:val="22"/>
        </w:rPr>
        <w:t>, a subsidiary of Univision of Puerto Rico, Inc.,</w:t>
      </w:r>
      <w:r w:rsidRPr="003957BB" w:rsidR="00421366">
        <w:rPr>
          <w:szCs w:val="22"/>
        </w:rPr>
        <w:t xml:space="preserve"> </w:t>
      </w:r>
      <w:r w:rsidRPr="003957BB" w:rsidR="00343E35">
        <w:rPr>
          <w:szCs w:val="22"/>
        </w:rPr>
        <w:t xml:space="preserve">and an indirect, wholly owned subsidiary of </w:t>
      </w:r>
      <w:r w:rsidRPr="003957BB" w:rsidR="00343E35">
        <w:rPr>
          <w:szCs w:val="22"/>
        </w:rPr>
        <w:t>TelevisaUnivision</w:t>
      </w:r>
      <w:r w:rsidRPr="003957BB" w:rsidR="00343E35">
        <w:rPr>
          <w:szCs w:val="22"/>
        </w:rPr>
        <w:t>, Inc.</w:t>
      </w:r>
      <w:r w:rsidR="000B75A9">
        <w:rPr>
          <w:szCs w:val="22"/>
        </w:rPr>
        <w:t>,</w:t>
      </w:r>
      <w:r w:rsidRPr="003957BB" w:rsidR="00343E35">
        <w:rPr>
          <w:szCs w:val="22"/>
        </w:rPr>
        <w:t xml:space="preserve"> from Univision Puerto Rico Station</w:t>
      </w:r>
      <w:r w:rsidRPr="003957BB" w:rsidR="00421366">
        <w:rPr>
          <w:szCs w:val="22"/>
        </w:rPr>
        <w:t xml:space="preserve"> </w:t>
      </w:r>
      <w:r w:rsidRPr="003957BB" w:rsidR="00343E35">
        <w:rPr>
          <w:szCs w:val="22"/>
        </w:rPr>
        <w:t xml:space="preserve">Operating Company to Intermedia </w:t>
      </w:r>
      <w:r w:rsidRPr="003957BB" w:rsidR="00343E35">
        <w:rPr>
          <w:szCs w:val="22"/>
        </w:rPr>
        <w:t>Español</w:t>
      </w:r>
      <w:r w:rsidRPr="003957BB" w:rsidR="00343E35">
        <w:rPr>
          <w:szCs w:val="22"/>
        </w:rPr>
        <w:t>, Inc.</w:t>
      </w:r>
      <w:r w:rsidRPr="003957BB" w:rsidR="00421366">
        <w:rPr>
          <w:szCs w:val="22"/>
        </w:rPr>
        <w:t xml:space="preserve"> (TU </w:t>
      </w:r>
      <w:r w:rsidRPr="003957BB" w:rsidR="00705C94">
        <w:rPr>
          <w:szCs w:val="22"/>
        </w:rPr>
        <w:t>Transaction</w:t>
      </w:r>
      <w:r w:rsidRPr="003957BB" w:rsidR="00421366">
        <w:rPr>
          <w:szCs w:val="22"/>
        </w:rPr>
        <w:t>).</w:t>
      </w:r>
      <w:r>
        <w:rPr>
          <w:rStyle w:val="FootnoteReference"/>
          <w:szCs w:val="22"/>
        </w:rPr>
        <w:footnoteReference w:id="7"/>
      </w:r>
      <w:r w:rsidRPr="003957BB" w:rsidR="00343E35">
        <w:rPr>
          <w:szCs w:val="22"/>
        </w:rPr>
        <w:t xml:space="preserve">  </w:t>
      </w:r>
    </w:p>
    <w:p w:rsidR="00A345E3" w:rsidRPr="003957BB" w:rsidP="00CB201B" w14:paraId="1C9BFF16" w14:textId="77777777">
      <w:pPr>
        <w:widowControl/>
        <w:autoSpaceDE w:val="0"/>
        <w:autoSpaceDN w:val="0"/>
        <w:adjustRightInd w:val="0"/>
        <w:rPr>
          <w:szCs w:val="22"/>
        </w:rPr>
      </w:pPr>
    </w:p>
    <w:p w:rsidR="00CB201B" w:rsidRPr="003957BB" w:rsidP="006312D2" w14:paraId="0074C293" w14:textId="237429BB">
      <w:pPr>
        <w:ind w:firstLine="720"/>
        <w:rPr>
          <w:szCs w:val="22"/>
        </w:rPr>
      </w:pPr>
      <w:r w:rsidRPr="003957BB">
        <w:rPr>
          <w:szCs w:val="22"/>
        </w:rPr>
        <w:t>The Petition lays out the proposed post-closing</w:t>
      </w:r>
      <w:r w:rsidRPr="003957BB" w:rsidR="00421366">
        <w:rPr>
          <w:szCs w:val="22"/>
        </w:rPr>
        <w:t xml:space="preserve"> </w:t>
      </w:r>
      <w:r w:rsidRPr="003957BB">
        <w:rPr>
          <w:szCs w:val="22"/>
        </w:rPr>
        <w:t>ownership of HMTV</w:t>
      </w:r>
      <w:r w:rsidRPr="003957BB" w:rsidR="00EE7C0D">
        <w:rPr>
          <w:szCs w:val="22"/>
        </w:rPr>
        <w:t>, Televicentro, and WLII/WSUR</w:t>
      </w:r>
      <w:r w:rsidRPr="003957BB" w:rsidR="00C30614">
        <w:rPr>
          <w:szCs w:val="22"/>
        </w:rPr>
        <w:t xml:space="preserve"> in light of the HMTV and TU Transactions</w:t>
      </w:r>
      <w:r w:rsidRPr="003957BB" w:rsidR="00EE7C0D">
        <w:rPr>
          <w:szCs w:val="22"/>
        </w:rPr>
        <w:t>.</w:t>
      </w:r>
      <w:r>
        <w:rPr>
          <w:rStyle w:val="FootnoteReference"/>
          <w:szCs w:val="22"/>
        </w:rPr>
        <w:footnoteReference w:id="8"/>
      </w:r>
      <w:r w:rsidRPr="003957BB" w:rsidR="00421366">
        <w:rPr>
          <w:szCs w:val="22"/>
        </w:rPr>
        <w:t xml:space="preserve">  </w:t>
      </w:r>
      <w:r w:rsidRPr="003957BB" w:rsidR="00421366">
        <w:rPr>
          <w:snapToGrid/>
          <w:kern w:val="0"/>
          <w:szCs w:val="22"/>
        </w:rPr>
        <w:t>Upon the closing of the wind-up of Gato, Searchlight II HMT will hold 100 percent of the membership interests in HWK Parent, LLC, and will indirectly hold 100 percent of the equity and voting interests in HMTV.</w:t>
      </w:r>
      <w:r>
        <w:rPr>
          <w:rStyle w:val="FootnoteReference"/>
          <w:snapToGrid/>
          <w:kern w:val="0"/>
          <w:szCs w:val="22"/>
        </w:rPr>
        <w:footnoteReference w:id="9"/>
      </w:r>
      <w:r w:rsidRPr="003957BB" w:rsidR="00421366">
        <w:rPr>
          <w:snapToGrid/>
          <w:kern w:val="0"/>
          <w:szCs w:val="22"/>
        </w:rPr>
        <w:t xml:space="preserve">  At the same time as the closing of the </w:t>
      </w:r>
      <w:r w:rsidRPr="003957BB" w:rsidR="00325F28">
        <w:rPr>
          <w:snapToGrid/>
          <w:kern w:val="0"/>
          <w:szCs w:val="22"/>
        </w:rPr>
        <w:t>HMTV Transaction</w:t>
      </w:r>
      <w:r w:rsidRPr="003957BB" w:rsidR="00421366">
        <w:rPr>
          <w:snapToGrid/>
          <w:kern w:val="0"/>
          <w:szCs w:val="22"/>
        </w:rPr>
        <w:t>, Searchlight Capital II EXU AIV, L.P., Searchlight Capital II PV, L.P., and SC II HMT, L.P., which each hold warrants in Searchlight II HMT, will exercise their respective warrants and will be issued new limited partnership interests in Searchlight II HMT.</w:t>
      </w:r>
      <w:r>
        <w:rPr>
          <w:rStyle w:val="FootnoteReference"/>
          <w:snapToGrid/>
          <w:kern w:val="0"/>
          <w:szCs w:val="22"/>
        </w:rPr>
        <w:footnoteReference w:id="10"/>
      </w:r>
      <w:r w:rsidRPr="003957BB" w:rsidR="00472AB6">
        <w:rPr>
          <w:snapToGrid/>
          <w:kern w:val="0"/>
          <w:szCs w:val="22"/>
        </w:rPr>
        <w:t xml:space="preserve"> </w:t>
      </w:r>
      <w:r w:rsidRPr="003957BB" w:rsidR="00421366">
        <w:rPr>
          <w:snapToGrid/>
          <w:kern w:val="0"/>
          <w:szCs w:val="22"/>
        </w:rPr>
        <w:t xml:space="preserve"> As a result, each of these investment fund vehicles will hold indirect equity interests in HMTV.</w:t>
      </w:r>
      <w:r>
        <w:rPr>
          <w:rStyle w:val="FootnoteReference"/>
          <w:snapToGrid/>
          <w:kern w:val="0"/>
          <w:szCs w:val="22"/>
        </w:rPr>
        <w:footnoteReference w:id="11"/>
      </w:r>
      <w:r w:rsidRPr="003957BB" w:rsidR="00421366">
        <w:rPr>
          <w:snapToGrid/>
          <w:kern w:val="0"/>
          <w:szCs w:val="22"/>
        </w:rPr>
        <w:t xml:space="preserve"> </w:t>
      </w:r>
      <w:r w:rsidRPr="003957BB" w:rsidR="00472AB6">
        <w:rPr>
          <w:snapToGrid/>
          <w:kern w:val="0"/>
          <w:szCs w:val="22"/>
        </w:rPr>
        <w:t xml:space="preserve"> </w:t>
      </w:r>
      <w:r w:rsidRPr="003957BB" w:rsidR="00421366">
        <w:rPr>
          <w:snapToGrid/>
          <w:kern w:val="0"/>
          <w:szCs w:val="22"/>
        </w:rPr>
        <w:t xml:space="preserve">Conversion of the warrants to equity interests will cause attribution of foreign ownership interests indirectly in HMTV through certain Searchlight investment fund entities organized in the Cayman Islands and that are ultimately controlled by </w:t>
      </w:r>
      <w:r w:rsidRPr="003957BB" w:rsidR="00831722">
        <w:rPr>
          <w:snapToGrid/>
          <w:kern w:val="0"/>
          <w:szCs w:val="22"/>
        </w:rPr>
        <w:t>foreign</w:t>
      </w:r>
      <w:r w:rsidRPr="003957BB" w:rsidR="00421366">
        <w:rPr>
          <w:snapToGrid/>
          <w:kern w:val="0"/>
          <w:szCs w:val="22"/>
        </w:rPr>
        <w:t xml:space="preserve"> individuals, as well as through the </w:t>
      </w:r>
      <w:r w:rsidRPr="003957BB" w:rsidR="00831722">
        <w:rPr>
          <w:snapToGrid/>
          <w:kern w:val="0"/>
          <w:szCs w:val="22"/>
        </w:rPr>
        <w:t>foreign</w:t>
      </w:r>
      <w:r w:rsidRPr="003957BB" w:rsidR="00421366">
        <w:rPr>
          <w:snapToGrid/>
          <w:kern w:val="0"/>
          <w:szCs w:val="22"/>
        </w:rPr>
        <w:t xml:space="preserve"> limited partners in each of the investment fund entities.</w:t>
      </w:r>
      <w:r>
        <w:rPr>
          <w:rStyle w:val="FootnoteReference"/>
          <w:snapToGrid/>
          <w:kern w:val="0"/>
          <w:szCs w:val="22"/>
        </w:rPr>
        <w:footnoteReference w:id="12"/>
      </w:r>
      <w:r w:rsidRPr="003957BB" w:rsidR="00421366">
        <w:rPr>
          <w:snapToGrid/>
          <w:kern w:val="0"/>
          <w:szCs w:val="22"/>
        </w:rPr>
        <w:t xml:space="preserve">  In addition, the proposed TU Transaction will ultimately result in the transfer of control of the WLII/WSUR broadcast radio stations to HMTV.</w:t>
      </w:r>
      <w:r>
        <w:rPr>
          <w:rStyle w:val="FootnoteReference"/>
          <w:snapToGrid/>
          <w:kern w:val="0"/>
          <w:szCs w:val="22"/>
        </w:rPr>
        <w:footnoteReference w:id="13"/>
      </w:r>
      <w:r w:rsidRPr="003957BB" w:rsidR="00421366">
        <w:rPr>
          <w:snapToGrid/>
          <w:kern w:val="0"/>
          <w:szCs w:val="22"/>
        </w:rPr>
        <w:t xml:space="preserve">  HMTV is the parent of Intermedia </w:t>
      </w:r>
      <w:r w:rsidRPr="003957BB" w:rsidR="00421366">
        <w:rPr>
          <w:snapToGrid/>
          <w:kern w:val="0"/>
          <w:szCs w:val="22"/>
        </w:rPr>
        <w:t>Español</w:t>
      </w:r>
      <w:r w:rsidRPr="003957BB" w:rsidR="00421366">
        <w:rPr>
          <w:snapToGrid/>
          <w:kern w:val="0"/>
          <w:szCs w:val="22"/>
        </w:rPr>
        <w:t>, Inc.</w:t>
      </w:r>
      <w:r w:rsidRPr="003957BB" w:rsidR="000520DD">
        <w:rPr>
          <w:snapToGrid/>
          <w:kern w:val="0"/>
          <w:szCs w:val="22"/>
        </w:rPr>
        <w:t xml:space="preserve"> (Intermedia </w:t>
      </w:r>
      <w:r w:rsidRPr="003957BB" w:rsidR="000520DD">
        <w:rPr>
          <w:snapToGrid/>
          <w:kern w:val="0"/>
          <w:szCs w:val="22"/>
        </w:rPr>
        <w:t>Español</w:t>
      </w:r>
      <w:r w:rsidRPr="003957BB" w:rsidR="000520DD">
        <w:rPr>
          <w:snapToGrid/>
          <w:kern w:val="0"/>
          <w:szCs w:val="22"/>
        </w:rPr>
        <w:t>)</w:t>
      </w:r>
      <w:r w:rsidRPr="003957BB" w:rsidR="00421366">
        <w:rPr>
          <w:snapToGrid/>
          <w:kern w:val="0"/>
          <w:szCs w:val="22"/>
        </w:rPr>
        <w:t xml:space="preserve">, and HMTV and Intermedia </w:t>
      </w:r>
      <w:r w:rsidRPr="003957BB" w:rsidR="00421366">
        <w:rPr>
          <w:snapToGrid/>
          <w:kern w:val="0"/>
          <w:szCs w:val="22"/>
        </w:rPr>
        <w:t>Español</w:t>
      </w:r>
      <w:r w:rsidRPr="003957BB" w:rsidR="00421366">
        <w:rPr>
          <w:snapToGrid/>
          <w:kern w:val="0"/>
          <w:szCs w:val="22"/>
        </w:rPr>
        <w:t xml:space="preserve"> will be directly ultimately controlled by Searchlight II HMT.</w:t>
      </w:r>
      <w:r>
        <w:rPr>
          <w:rStyle w:val="FootnoteReference"/>
          <w:snapToGrid/>
          <w:kern w:val="0"/>
          <w:szCs w:val="22"/>
        </w:rPr>
        <w:footnoteReference w:id="14"/>
      </w:r>
      <w:r w:rsidRPr="003957BB" w:rsidR="00421366">
        <w:rPr>
          <w:szCs w:val="22"/>
        </w:rPr>
        <w:br/>
      </w:r>
    </w:p>
    <w:p w:rsidR="00CB201B" w:rsidRPr="003957BB" w:rsidP="00CB201B" w14:paraId="1A59303C" w14:textId="65CE051B">
      <w:pPr>
        <w:widowControl/>
        <w:autoSpaceDE w:val="0"/>
        <w:autoSpaceDN w:val="0"/>
        <w:adjustRightInd w:val="0"/>
        <w:ind w:firstLine="720"/>
        <w:rPr>
          <w:szCs w:val="22"/>
        </w:rPr>
      </w:pPr>
      <w:r w:rsidRPr="001E5CD2">
        <w:rPr>
          <w:szCs w:val="22"/>
        </w:rPr>
        <w:t xml:space="preserve">Pursuant to section 1.5001(h) of the </w:t>
      </w:r>
      <w:r w:rsidR="00D516B3">
        <w:rPr>
          <w:szCs w:val="22"/>
        </w:rPr>
        <w:t>Commission’s</w:t>
      </w:r>
      <w:r w:rsidR="00D45BC6">
        <w:rPr>
          <w:szCs w:val="22"/>
        </w:rPr>
        <w:t xml:space="preserve"> </w:t>
      </w:r>
      <w:r w:rsidRPr="001E5CD2">
        <w:rPr>
          <w:szCs w:val="22"/>
        </w:rPr>
        <w:t>rules, the Petitioner request</w:t>
      </w:r>
      <w:r w:rsidR="00B77228">
        <w:rPr>
          <w:szCs w:val="22"/>
        </w:rPr>
        <w:t>s</w:t>
      </w:r>
      <w:r w:rsidRPr="001E5CD2">
        <w:rPr>
          <w:szCs w:val="22"/>
        </w:rPr>
        <w:t xml:space="preserve"> approval of up to an aggregate</w:t>
      </w:r>
      <w:r w:rsidR="00F85D31">
        <w:rPr>
          <w:szCs w:val="22"/>
        </w:rPr>
        <w:t xml:space="preserve"> </w:t>
      </w:r>
      <w:r w:rsidRPr="001E5CD2">
        <w:rPr>
          <w:szCs w:val="22"/>
        </w:rPr>
        <w:t xml:space="preserve">100% indirect foreign ownership of the controlling U.S. parent, </w:t>
      </w:r>
      <w:r w:rsidR="00F85D31">
        <w:rPr>
          <w:szCs w:val="22"/>
        </w:rPr>
        <w:t>HMTV</w:t>
      </w:r>
      <w:r w:rsidRPr="001E5CD2">
        <w:rPr>
          <w:szCs w:val="22"/>
        </w:rPr>
        <w:t>.</w:t>
      </w:r>
      <w:r>
        <w:rPr>
          <w:rStyle w:val="FootnoteReference"/>
          <w:szCs w:val="22"/>
        </w:rPr>
        <w:footnoteReference w:id="15"/>
      </w:r>
      <w:r w:rsidR="00B27010">
        <w:rPr>
          <w:szCs w:val="22"/>
        </w:rPr>
        <w:t xml:space="preserve"> </w:t>
      </w:r>
      <w:r w:rsidR="00E473BD">
        <w:rPr>
          <w:szCs w:val="22"/>
        </w:rPr>
        <w:t xml:space="preserve"> </w:t>
      </w:r>
      <w:r w:rsidRPr="003957BB">
        <w:rPr>
          <w:szCs w:val="22"/>
        </w:rPr>
        <w:t>In the Petition, Searchlight II HMT requests specific approval</w:t>
      </w:r>
      <w:r>
        <w:rPr>
          <w:rStyle w:val="FootnoteReference"/>
          <w:szCs w:val="22"/>
        </w:rPr>
        <w:footnoteReference w:id="16"/>
      </w:r>
      <w:r w:rsidRPr="003957BB">
        <w:rPr>
          <w:szCs w:val="22"/>
        </w:rPr>
        <w:t xml:space="preserve"> for certain foreign individuals and entities that will hold, indirectly, more than five percent of the equity and/or voting interests of HMTV and </w:t>
      </w:r>
      <w:r w:rsidR="00C32EF4">
        <w:rPr>
          <w:szCs w:val="22"/>
        </w:rPr>
        <w:t>advance approval</w:t>
      </w:r>
      <w:r>
        <w:rPr>
          <w:rStyle w:val="FootnoteReference"/>
          <w:szCs w:val="22"/>
        </w:rPr>
        <w:footnoteReference w:id="17"/>
      </w:r>
      <w:r w:rsidR="00C32EF4">
        <w:rPr>
          <w:szCs w:val="22"/>
        </w:rPr>
        <w:t xml:space="preserve"> </w:t>
      </w:r>
      <w:r w:rsidRPr="003957BB">
        <w:rPr>
          <w:szCs w:val="22"/>
        </w:rPr>
        <w:t>for each individual and entity to increase their interests in HMTV to certain percentages</w:t>
      </w:r>
      <w:r w:rsidRPr="003957BB" w:rsidR="000570D1">
        <w:rPr>
          <w:szCs w:val="22"/>
        </w:rPr>
        <w:t xml:space="preserve"> at some future time</w:t>
      </w:r>
      <w:r w:rsidRPr="003957BB">
        <w:rPr>
          <w:szCs w:val="22"/>
        </w:rPr>
        <w:t>.</w:t>
      </w:r>
      <w:r>
        <w:rPr>
          <w:rStyle w:val="FootnoteReference"/>
          <w:szCs w:val="22"/>
        </w:rPr>
        <w:footnoteReference w:id="18"/>
      </w:r>
      <w:r w:rsidRPr="003957BB">
        <w:rPr>
          <w:szCs w:val="22"/>
        </w:rPr>
        <w:t xml:space="preserve">  Specifically, the Petition </w:t>
      </w:r>
      <w:r w:rsidRPr="003957BB" w:rsidR="000570D1">
        <w:rPr>
          <w:szCs w:val="22"/>
        </w:rPr>
        <w:t xml:space="preserve">makes the following requests for </w:t>
      </w:r>
      <w:r w:rsidR="0041587B">
        <w:rPr>
          <w:szCs w:val="22"/>
        </w:rPr>
        <w:t>advance</w:t>
      </w:r>
      <w:r w:rsidRPr="003957BB" w:rsidR="0041587B">
        <w:rPr>
          <w:szCs w:val="22"/>
        </w:rPr>
        <w:t xml:space="preserve"> </w:t>
      </w:r>
      <w:r w:rsidRPr="003957BB" w:rsidR="000570D1">
        <w:rPr>
          <w:szCs w:val="22"/>
        </w:rPr>
        <w:t>approval</w:t>
      </w:r>
      <w:r w:rsidRPr="003957BB">
        <w:rPr>
          <w:szCs w:val="22"/>
        </w:rPr>
        <w:t>: Erol Uzumeri</w:t>
      </w:r>
      <w:r w:rsidRPr="003957BB" w:rsidR="000570D1">
        <w:rPr>
          <w:szCs w:val="22"/>
        </w:rPr>
        <w:t xml:space="preserve"> (Canada)</w:t>
      </w:r>
      <w:r w:rsidRPr="003957BB">
        <w:rPr>
          <w:szCs w:val="22"/>
        </w:rPr>
        <w:t xml:space="preserve"> to hold up to 49.9% equity and be deemed to hold 100% voting; Oliver Haarmann</w:t>
      </w:r>
      <w:r w:rsidRPr="003957BB" w:rsidR="000570D1">
        <w:rPr>
          <w:szCs w:val="22"/>
        </w:rPr>
        <w:t xml:space="preserve"> (Germany)</w:t>
      </w:r>
      <w:r w:rsidRPr="003957BB">
        <w:rPr>
          <w:szCs w:val="22"/>
        </w:rPr>
        <w:t xml:space="preserve"> to hold up to 49.9% equity and be deemed to hold 100% voting; Searchlight Capital II PV, L.P.</w:t>
      </w:r>
      <w:r w:rsidRPr="003957BB" w:rsidR="000570D1">
        <w:rPr>
          <w:szCs w:val="22"/>
        </w:rPr>
        <w:t xml:space="preserve"> (Cayman Islands)</w:t>
      </w:r>
      <w:r w:rsidRPr="003957BB">
        <w:rPr>
          <w:szCs w:val="22"/>
        </w:rPr>
        <w:t xml:space="preserve"> to hold up to 100% equity and be deemed to hold 100% voting; SC II HMT Holdings, Ltd.</w:t>
      </w:r>
      <w:r w:rsidRPr="003957BB" w:rsidR="000570D1">
        <w:rPr>
          <w:szCs w:val="22"/>
        </w:rPr>
        <w:t xml:space="preserve"> (Cayman Islands)</w:t>
      </w:r>
      <w:r w:rsidRPr="003957BB">
        <w:rPr>
          <w:szCs w:val="22"/>
        </w:rPr>
        <w:t xml:space="preserve"> to hold up to 100% equity and be deemed to hold 100% voting; Searchlight Capital II UNR AIV, L.P.</w:t>
      </w:r>
      <w:r w:rsidRPr="003957BB" w:rsidR="000570D1">
        <w:rPr>
          <w:szCs w:val="22"/>
        </w:rPr>
        <w:t xml:space="preserve"> (Cayman Islands)</w:t>
      </w:r>
      <w:r w:rsidRPr="003957BB">
        <w:rPr>
          <w:szCs w:val="22"/>
        </w:rPr>
        <w:t xml:space="preserve"> to hold up to 100% equity and be deemed to hold 100% voting; and Searchlight Capital Partners II GP, L.P.</w:t>
      </w:r>
      <w:r w:rsidRPr="003957BB" w:rsidR="000570D1">
        <w:rPr>
          <w:szCs w:val="22"/>
        </w:rPr>
        <w:t xml:space="preserve"> (Cayman Islands)</w:t>
      </w:r>
      <w:r w:rsidRPr="003957BB">
        <w:rPr>
          <w:szCs w:val="22"/>
        </w:rPr>
        <w:t xml:space="preserve"> to hold up to 100% equity and be deemed to hold 100% voting.</w:t>
      </w:r>
      <w:r>
        <w:rPr>
          <w:rStyle w:val="FootnoteReference"/>
          <w:szCs w:val="22"/>
        </w:rPr>
        <w:footnoteReference w:id="19"/>
      </w:r>
      <w:r w:rsidRPr="003957BB" w:rsidR="00F079EC">
        <w:rPr>
          <w:szCs w:val="22"/>
        </w:rPr>
        <w:t xml:space="preserve">  </w:t>
      </w:r>
      <w:r w:rsidRPr="003957BB" w:rsidR="00F079EC">
        <w:rPr>
          <w:rFonts w:eastAsia="Calibri"/>
          <w:szCs w:val="22"/>
        </w:rPr>
        <w:t>Searchlight II HMT</w:t>
      </w:r>
      <w:r w:rsidRPr="003957BB" w:rsidR="00F079EC">
        <w:rPr>
          <w:rFonts w:eastAsia="Calibri"/>
          <w:snapToGrid/>
          <w:kern w:val="0"/>
          <w:szCs w:val="22"/>
        </w:rPr>
        <w:t xml:space="preserve"> contends that granting this Petition is in the public interest </w:t>
      </w:r>
      <w:r w:rsidRPr="003957BB" w:rsidR="00F079EC">
        <w:rPr>
          <w:rFonts w:eastAsia="Calibri"/>
          <w:snapToGrid/>
          <w:kern w:val="0"/>
          <w:szCs w:val="22"/>
        </w:rPr>
        <w:t xml:space="preserve">because it will, </w:t>
      </w:r>
      <w:r w:rsidRPr="003957BB" w:rsidR="00F079EC">
        <w:rPr>
          <w:rFonts w:eastAsia="Calibri"/>
          <w:i/>
          <w:iCs/>
          <w:snapToGrid/>
          <w:kern w:val="0"/>
          <w:szCs w:val="22"/>
        </w:rPr>
        <w:t>inter alia</w:t>
      </w:r>
      <w:r w:rsidRPr="003957BB" w:rsidR="00F079EC">
        <w:rPr>
          <w:rFonts w:eastAsia="Calibri"/>
          <w:snapToGrid/>
          <w:kern w:val="0"/>
          <w:szCs w:val="22"/>
        </w:rPr>
        <w:t>, further the Commission’s goals of encouraging</w:t>
      </w:r>
      <w:r w:rsidRPr="003957BB" w:rsidR="0058669F">
        <w:rPr>
          <w:rFonts w:eastAsia="Calibri"/>
          <w:snapToGrid/>
          <w:kern w:val="0"/>
          <w:szCs w:val="22"/>
        </w:rPr>
        <w:t xml:space="preserve"> greater access to</w:t>
      </w:r>
      <w:r w:rsidRPr="003957BB" w:rsidR="00F079EC">
        <w:rPr>
          <w:rFonts w:eastAsia="Calibri"/>
          <w:snapToGrid/>
          <w:kern w:val="0"/>
          <w:szCs w:val="22"/>
        </w:rPr>
        <w:t xml:space="preserve"> foreign investment in broadcast stations</w:t>
      </w:r>
      <w:r w:rsidRPr="003957BB" w:rsidR="0058669F">
        <w:rPr>
          <w:rFonts w:eastAsia="Calibri"/>
          <w:snapToGrid/>
          <w:kern w:val="0"/>
          <w:szCs w:val="22"/>
        </w:rPr>
        <w:t xml:space="preserve"> and increasing regulatory transparency</w:t>
      </w:r>
      <w:r w:rsidRPr="003957BB" w:rsidR="00F079EC">
        <w:rPr>
          <w:rFonts w:eastAsia="Calibri"/>
          <w:snapToGrid/>
          <w:kern w:val="0"/>
          <w:szCs w:val="22"/>
        </w:rPr>
        <w:t>.</w:t>
      </w:r>
      <w:r>
        <w:rPr>
          <w:rStyle w:val="FootnoteReference"/>
          <w:rFonts w:eastAsia="Calibri"/>
          <w:snapToGrid/>
          <w:kern w:val="0"/>
          <w:szCs w:val="22"/>
        </w:rPr>
        <w:footnoteReference w:id="20"/>
      </w:r>
      <w:r w:rsidRPr="003957BB" w:rsidR="00F079EC">
        <w:rPr>
          <w:rFonts w:eastAsia="Calibri"/>
          <w:snapToGrid/>
          <w:kern w:val="0"/>
          <w:szCs w:val="22"/>
        </w:rPr>
        <w:t xml:space="preserve">  </w:t>
      </w:r>
    </w:p>
    <w:p w:rsidR="00E964C8" w:rsidRPr="003957BB" w:rsidP="006312D2" w14:paraId="1F8D4A52" w14:textId="4735D658">
      <w:pPr>
        <w:ind w:firstLine="720"/>
        <w:rPr>
          <w:szCs w:val="22"/>
        </w:rPr>
      </w:pPr>
      <w:r w:rsidRPr="003957BB">
        <w:rPr>
          <w:szCs w:val="22"/>
        </w:rPr>
        <w:br/>
      </w:r>
      <w:r w:rsidRPr="003957BB">
        <w:rPr>
          <w:snapToGrid/>
          <w:kern w:val="0"/>
          <w:szCs w:val="22"/>
        </w:rPr>
        <w:tab/>
        <w:t>According to the Petition,</w:t>
      </w:r>
      <w:r w:rsidRPr="003957BB" w:rsidR="00441B7A">
        <w:rPr>
          <w:snapToGrid/>
          <w:kern w:val="0"/>
          <w:szCs w:val="22"/>
        </w:rPr>
        <w:t xml:space="preserve"> </w:t>
      </w:r>
      <w:r w:rsidRPr="003957BB" w:rsidR="00441B7A">
        <w:rPr>
          <w:szCs w:val="22"/>
        </w:rPr>
        <w:t>Searchlight Capital Partners, L.P. (“Searchlight”) provides management and other advisory services to Searchlight-affiliated investment funds</w:t>
      </w:r>
      <w:r w:rsidRPr="003957BB" w:rsidR="006312D2">
        <w:rPr>
          <w:szCs w:val="22"/>
        </w:rPr>
        <w:t xml:space="preserve"> in return for a fee.</w:t>
      </w:r>
      <w:r>
        <w:rPr>
          <w:rStyle w:val="FootnoteReference"/>
          <w:szCs w:val="22"/>
        </w:rPr>
        <w:footnoteReference w:id="21"/>
      </w:r>
      <w:r w:rsidRPr="003957BB" w:rsidR="006312D2">
        <w:rPr>
          <w:szCs w:val="22"/>
        </w:rPr>
        <w:t xml:space="preserve">  </w:t>
      </w:r>
      <w:r w:rsidRPr="003957BB" w:rsidR="00F079EC">
        <w:rPr>
          <w:szCs w:val="22"/>
        </w:rPr>
        <w:t>Nonetheless, t</w:t>
      </w:r>
      <w:r w:rsidRPr="003957BB" w:rsidR="006312D2">
        <w:rPr>
          <w:szCs w:val="22"/>
        </w:rPr>
        <w:t>he Petition asserts that Searchlight has</w:t>
      </w:r>
      <w:r w:rsidRPr="003957BB" w:rsidR="00441B7A">
        <w:rPr>
          <w:szCs w:val="22"/>
        </w:rPr>
        <w:t xml:space="preserve"> no economic ownership interest in </w:t>
      </w:r>
      <w:r w:rsidRPr="003957BB" w:rsidR="006312D2">
        <w:rPr>
          <w:szCs w:val="22"/>
        </w:rPr>
        <w:t>the investment funds</w:t>
      </w:r>
      <w:r w:rsidRPr="003957BB" w:rsidR="00441B7A">
        <w:rPr>
          <w:szCs w:val="22"/>
        </w:rPr>
        <w:t xml:space="preserve"> and has no decision-making authority with respect to their operations.</w:t>
      </w:r>
      <w:r>
        <w:rPr>
          <w:rStyle w:val="FootnoteReference"/>
          <w:szCs w:val="22"/>
        </w:rPr>
        <w:footnoteReference w:id="22"/>
      </w:r>
      <w:r w:rsidRPr="003957BB" w:rsidR="00441B7A">
        <w:rPr>
          <w:szCs w:val="22"/>
        </w:rPr>
        <w:t xml:space="preserve"> </w:t>
      </w:r>
      <w:r w:rsidRPr="003957BB" w:rsidR="00441B7A">
        <w:rPr>
          <w:snapToGrid/>
          <w:kern w:val="0"/>
          <w:szCs w:val="22"/>
        </w:rPr>
        <w:t xml:space="preserve"> </w:t>
      </w:r>
      <w:r w:rsidRPr="003957BB" w:rsidR="00995E27">
        <w:rPr>
          <w:snapToGrid/>
          <w:kern w:val="0"/>
          <w:szCs w:val="22"/>
        </w:rPr>
        <w:t xml:space="preserve">The Petition asserts that </w:t>
      </w:r>
      <w:r w:rsidRPr="003957BB" w:rsidR="00995E27">
        <w:rPr>
          <w:szCs w:val="22"/>
        </w:rPr>
        <w:t>a</w:t>
      </w:r>
      <w:r w:rsidRPr="003957BB" w:rsidR="00441B7A">
        <w:rPr>
          <w:szCs w:val="22"/>
        </w:rPr>
        <w:t>ll management and decision-making authority with respect to the funds rests with the general partners of the funds.</w:t>
      </w:r>
      <w:r>
        <w:rPr>
          <w:rStyle w:val="FootnoteReference"/>
          <w:szCs w:val="22"/>
        </w:rPr>
        <w:footnoteReference w:id="23"/>
      </w:r>
      <w:r w:rsidRPr="003957BB" w:rsidR="00441B7A">
        <w:rPr>
          <w:szCs w:val="22"/>
        </w:rPr>
        <w:t xml:space="preserve">  Petitioner states that Searchlight is controlled by its general partner, Searchlight Capital Partners, LLC (Delaware), which is controlled by its three members, Messrs. Eric Zinterhofer (United States), Eric Uzumeri (Canada), and Oliver Haarmann (Germany).</w:t>
      </w:r>
      <w:r>
        <w:rPr>
          <w:rStyle w:val="FootnoteReference"/>
          <w:szCs w:val="22"/>
        </w:rPr>
        <w:footnoteReference w:id="24"/>
      </w:r>
      <w:r w:rsidRPr="003957BB" w:rsidR="00441B7A">
        <w:rPr>
          <w:szCs w:val="22"/>
        </w:rPr>
        <w:t xml:space="preserve">  These same three individuals are also the only limited partners of Searchlight.</w:t>
      </w:r>
      <w:r>
        <w:rPr>
          <w:rStyle w:val="FootnoteReference"/>
          <w:szCs w:val="22"/>
        </w:rPr>
        <w:footnoteReference w:id="25"/>
      </w:r>
      <w:r w:rsidRPr="003957BB" w:rsidR="00441B7A">
        <w:rPr>
          <w:szCs w:val="22"/>
        </w:rPr>
        <w:t xml:space="preserve">  All other funds that Searchlight manages are also controlled by Messrs.  Zinterhofer, Uzumeri, and Haarmann.</w:t>
      </w:r>
      <w:r>
        <w:rPr>
          <w:rStyle w:val="FootnoteReference"/>
          <w:szCs w:val="22"/>
        </w:rPr>
        <w:footnoteReference w:id="26"/>
      </w:r>
      <w:r w:rsidRPr="003957BB" w:rsidR="00441B7A">
        <w:rPr>
          <w:szCs w:val="22"/>
        </w:rPr>
        <w:t xml:space="preserve">  Petitioner states that aside from Mr. Zinterhofer, neither Searchlight, nor any of its employees have any active or direct role at </w:t>
      </w:r>
      <w:r w:rsidRPr="003957BB" w:rsidR="00F079EC">
        <w:rPr>
          <w:szCs w:val="22"/>
        </w:rPr>
        <w:t>HMTV</w:t>
      </w:r>
      <w:r w:rsidRPr="003957BB" w:rsidR="00441B7A">
        <w:rPr>
          <w:szCs w:val="22"/>
        </w:rPr>
        <w:t xml:space="preserve"> or its subsidiaries.</w:t>
      </w:r>
      <w:r>
        <w:rPr>
          <w:rStyle w:val="FootnoteReference"/>
          <w:szCs w:val="22"/>
        </w:rPr>
        <w:footnoteReference w:id="27"/>
      </w:r>
      <w:r w:rsidRPr="003957BB" w:rsidR="006312D2">
        <w:rPr>
          <w:szCs w:val="22"/>
        </w:rPr>
        <w:t xml:space="preserve">  </w:t>
      </w:r>
    </w:p>
    <w:p w:rsidR="00E964C8" w:rsidRPr="003957BB" w:rsidP="00E964C8" w14:paraId="3D30C57A" w14:textId="77777777">
      <w:pPr>
        <w:ind w:firstLine="720"/>
        <w:rPr>
          <w:szCs w:val="22"/>
        </w:rPr>
      </w:pPr>
    </w:p>
    <w:p w:rsidR="00624B0B" w:rsidRPr="003957BB" w:rsidP="00EC55D4" w14:paraId="2750FA74" w14:textId="70A08F9F">
      <w:pPr>
        <w:widowControl/>
        <w:spacing w:after="120"/>
        <w:ind w:firstLine="720"/>
        <w:rPr>
          <w:snapToGrid/>
          <w:kern w:val="0"/>
          <w:szCs w:val="22"/>
        </w:rPr>
      </w:pPr>
      <w:r w:rsidRPr="003957BB">
        <w:rPr>
          <w:snapToGrid/>
          <w:kern w:val="0"/>
          <w:szCs w:val="22"/>
        </w:rPr>
        <w:t xml:space="preserve">The </w:t>
      </w:r>
      <w:r w:rsidRPr="003957BB">
        <w:rPr>
          <w:rFonts w:eastAsia="Calibri"/>
          <w:snapToGrid/>
          <w:kern w:val="0"/>
          <w:szCs w:val="22"/>
        </w:rPr>
        <w:t>Petition</w:t>
      </w:r>
      <w:r w:rsidRPr="003957BB">
        <w:rPr>
          <w:snapToGrid/>
          <w:kern w:val="0"/>
          <w:szCs w:val="22"/>
        </w:rPr>
        <w:t xml:space="preserve"> has </w:t>
      </w:r>
      <w:r w:rsidRPr="003957BB">
        <w:rPr>
          <w:rFonts w:eastAsia="Calibri"/>
          <w:snapToGrid/>
          <w:kern w:val="0"/>
          <w:szCs w:val="22"/>
        </w:rPr>
        <w:t>been</w:t>
      </w:r>
      <w:r w:rsidRPr="003957BB">
        <w:rPr>
          <w:snapToGrid/>
          <w:kern w:val="0"/>
          <w:szCs w:val="22"/>
        </w:rPr>
        <w:t xml:space="preserve"> </w:t>
      </w:r>
      <w:r w:rsidRPr="003957BB">
        <w:rPr>
          <w:rFonts w:eastAsia="Calibri"/>
          <w:snapToGrid/>
          <w:kern w:val="0"/>
          <w:szCs w:val="22"/>
        </w:rPr>
        <w:t>found</w:t>
      </w:r>
      <w:r w:rsidRPr="003957BB">
        <w:rPr>
          <w:snapToGrid/>
          <w:kern w:val="0"/>
          <w:szCs w:val="22"/>
        </w:rPr>
        <w:t xml:space="preserve">, on initial review, to be acceptable for filing.  The Commission may require </w:t>
      </w:r>
      <w:r w:rsidRPr="003957BB" w:rsidR="00EA2175">
        <w:rPr>
          <w:snapToGrid/>
          <w:kern w:val="0"/>
          <w:szCs w:val="22"/>
        </w:rPr>
        <w:t xml:space="preserve">Searchlight II HMT, L.P. </w:t>
      </w:r>
      <w:r w:rsidRPr="003957BB">
        <w:rPr>
          <w:snapToGrid/>
          <w:kern w:val="0"/>
          <w:szCs w:val="22"/>
        </w:rPr>
        <w:t xml:space="preserve">to submit </w:t>
      </w:r>
      <w:r w:rsidRPr="003957BB">
        <w:rPr>
          <w:rFonts w:eastAsia="Calibri"/>
          <w:snapToGrid/>
          <w:kern w:val="0"/>
          <w:szCs w:val="22"/>
        </w:rPr>
        <w:t>additional</w:t>
      </w:r>
      <w:r w:rsidRPr="003957BB">
        <w:rPr>
          <w:snapToGrid/>
          <w:kern w:val="0"/>
          <w:szCs w:val="22"/>
        </w:rPr>
        <w:t xml:space="preserve"> documents or statements of fact that in </w:t>
      </w:r>
      <w:r w:rsidRPr="003957BB" w:rsidR="00AC2826">
        <w:rPr>
          <w:snapToGrid/>
          <w:kern w:val="0"/>
          <w:szCs w:val="22"/>
        </w:rPr>
        <w:t>the Commission’s</w:t>
      </w:r>
      <w:r w:rsidRPr="003957BB">
        <w:rPr>
          <w:snapToGrid/>
          <w:kern w:val="0"/>
          <w:szCs w:val="22"/>
        </w:rPr>
        <w:t xml:space="preserve"> judgment may be necessary.  The Commission also reserves the right to return the Petition if, on further examination, it is determined to be defective and not in conformance with its rules and policies.</w:t>
      </w:r>
      <w:r w:rsidRPr="003957BB">
        <w:rPr>
          <w:rFonts w:eastAsia="Calibri"/>
          <w:snapToGrid/>
          <w:kern w:val="0"/>
          <w:szCs w:val="22"/>
        </w:rPr>
        <w:t xml:space="preserve">  </w:t>
      </w:r>
      <w:r w:rsidRPr="003957BB" w:rsidR="00EC55D4">
        <w:rPr>
          <w:rFonts w:eastAsia="Calibri"/>
          <w:snapToGrid/>
          <w:kern w:val="0"/>
          <w:szCs w:val="22"/>
        </w:rPr>
        <w:t xml:space="preserve">In addition, pursuant to Commission practice, the Petition will be referred to relevant Executive Branch agencies for their views on any national security, law enforcement, foreign policy, or trade policy concerns related to the foreign ownership of </w:t>
      </w:r>
      <w:r w:rsidRPr="003957BB" w:rsidR="00EA2175">
        <w:rPr>
          <w:rFonts w:eastAsia="Calibri"/>
          <w:snapToGrid/>
          <w:kern w:val="0"/>
          <w:szCs w:val="22"/>
        </w:rPr>
        <w:t>Searchlight II HMT, L.P</w:t>
      </w:r>
      <w:r w:rsidRPr="003957BB" w:rsidR="00EC55D4">
        <w:rPr>
          <w:rFonts w:eastAsia="Calibri"/>
          <w:snapToGrid/>
          <w:kern w:val="0"/>
          <w:szCs w:val="22"/>
        </w:rPr>
        <w:t>.</w:t>
      </w:r>
      <w:r>
        <w:rPr>
          <w:rStyle w:val="FootnoteReference"/>
          <w:rFonts w:eastAsia="Calibri"/>
          <w:snapToGrid/>
          <w:kern w:val="0"/>
          <w:szCs w:val="22"/>
        </w:rPr>
        <w:footnoteReference w:id="28"/>
      </w:r>
      <w:r w:rsidRPr="003957BB" w:rsidR="007442E8">
        <w:rPr>
          <w:rFonts w:eastAsia="Calibri"/>
          <w:snapToGrid/>
          <w:kern w:val="0"/>
          <w:szCs w:val="22"/>
        </w:rPr>
        <w:t xml:space="preserve"> </w:t>
      </w:r>
    </w:p>
    <w:p w:rsidR="00624B0B" w:rsidRPr="003957BB" w:rsidP="006302AF" w14:paraId="68A509A2" w14:textId="77777777">
      <w:pPr>
        <w:keepNext/>
        <w:keepLines/>
        <w:widowControl/>
        <w:autoSpaceDE w:val="0"/>
        <w:autoSpaceDN w:val="0"/>
        <w:adjustRightInd w:val="0"/>
        <w:spacing w:after="120" w:line="259" w:lineRule="auto"/>
        <w:rPr>
          <w:rFonts w:eastAsia="Calibri"/>
          <w:b/>
          <w:bCs/>
          <w:snapToGrid/>
          <w:color w:val="000000"/>
          <w:kern w:val="0"/>
          <w:szCs w:val="22"/>
        </w:rPr>
      </w:pPr>
      <w:bookmarkStart w:id="2" w:name="_Hlk65686154"/>
      <w:r w:rsidRPr="003957BB">
        <w:rPr>
          <w:rFonts w:eastAsia="Calibri"/>
          <w:b/>
          <w:bCs/>
          <w:i/>
          <w:iCs/>
          <w:snapToGrid/>
          <w:color w:val="000000"/>
          <w:kern w:val="0"/>
          <w:szCs w:val="22"/>
        </w:rPr>
        <w:t>EX PARTE</w:t>
      </w:r>
      <w:r w:rsidRPr="003957BB">
        <w:rPr>
          <w:rFonts w:eastAsia="Calibri"/>
          <w:b/>
          <w:bCs/>
          <w:snapToGrid/>
          <w:color w:val="000000"/>
          <w:kern w:val="0"/>
          <w:szCs w:val="22"/>
        </w:rPr>
        <w:t xml:space="preserve"> STATUS OF THIS PROCEEDING</w:t>
      </w:r>
    </w:p>
    <w:p w:rsidR="00624B0B" w:rsidRPr="003957BB" w:rsidP="006302AF" w14:paraId="1E6F6F5C" w14:textId="77777777">
      <w:pPr>
        <w:keepNext/>
        <w:keepLines/>
        <w:widowControl/>
        <w:spacing w:after="120"/>
        <w:ind w:firstLine="720"/>
        <w:rPr>
          <w:rFonts w:eastAsia="Calibri"/>
          <w:snapToGrid/>
          <w:kern w:val="0"/>
          <w:szCs w:val="22"/>
        </w:rPr>
      </w:pPr>
      <w:r w:rsidRPr="003957BB">
        <w:rPr>
          <w:rFonts w:eastAsia="Calibri"/>
          <w:snapToGrid/>
          <w:kern w:val="0"/>
          <w:szCs w:val="22"/>
        </w:rPr>
        <w:t xml:space="preserve">In order to assure the staff’s ability to discuss and obtain information needed to resolve the issues presented, by this Public Notice and pursuant to Section 1.1200(a) of the </w:t>
      </w:r>
      <w:r w:rsidRPr="003957BB" w:rsidR="00FB2943">
        <w:rPr>
          <w:rFonts w:eastAsia="Calibri"/>
          <w:snapToGrid/>
          <w:kern w:val="0"/>
          <w:szCs w:val="22"/>
        </w:rPr>
        <w:t>R</w:t>
      </w:r>
      <w:r w:rsidRPr="003957BB">
        <w:rPr>
          <w:rFonts w:eastAsia="Calibri"/>
          <w:snapToGrid/>
          <w:kern w:val="0"/>
          <w:szCs w:val="22"/>
        </w:rPr>
        <w:t>ules,</w:t>
      </w:r>
      <w:r>
        <w:rPr>
          <w:rFonts w:eastAsia="Calibri"/>
          <w:snapToGrid/>
          <w:kern w:val="0"/>
          <w:szCs w:val="22"/>
          <w:vertAlign w:val="superscript"/>
        </w:rPr>
        <w:footnoteReference w:id="29"/>
      </w:r>
      <w:r w:rsidRPr="003957BB">
        <w:rPr>
          <w:rFonts w:eastAsia="Calibri"/>
          <w:snapToGrid/>
          <w:kern w:val="0"/>
          <w:szCs w:val="22"/>
        </w:rPr>
        <w:t xml:space="preserve"> we establish a docket for this proceeding and announce that the </w:t>
      </w:r>
      <w:r w:rsidRPr="003957BB">
        <w:rPr>
          <w:rFonts w:eastAsia="Calibri"/>
          <w:i/>
          <w:snapToGrid/>
          <w:kern w:val="0"/>
          <w:szCs w:val="22"/>
        </w:rPr>
        <w:t xml:space="preserve">ex </w:t>
      </w:r>
      <w:r w:rsidRPr="003957BB">
        <w:rPr>
          <w:rFonts w:eastAsia="Calibri"/>
          <w:i/>
          <w:snapToGrid/>
          <w:kern w:val="0"/>
          <w:szCs w:val="22"/>
        </w:rPr>
        <w:t>parte</w:t>
      </w:r>
      <w:r w:rsidRPr="003957BB">
        <w:rPr>
          <w:rFonts w:eastAsia="Calibri"/>
          <w:snapToGrid/>
          <w:kern w:val="0"/>
          <w:szCs w:val="22"/>
        </w:rPr>
        <w:t xml:space="preserve"> procedures applicable to permit-but-disclose proceedings will govern our consideration of </w:t>
      </w:r>
      <w:r w:rsidRPr="003957BB" w:rsidR="004A17E6">
        <w:rPr>
          <w:rFonts w:eastAsia="Calibri"/>
          <w:snapToGrid/>
          <w:kern w:val="0"/>
          <w:szCs w:val="22"/>
        </w:rPr>
        <w:t xml:space="preserve">this </w:t>
      </w:r>
      <w:r w:rsidRPr="003957BB" w:rsidR="00604DD0">
        <w:rPr>
          <w:rFonts w:eastAsia="Calibri"/>
          <w:snapToGrid/>
          <w:kern w:val="0"/>
          <w:szCs w:val="22"/>
        </w:rPr>
        <w:t>P</w:t>
      </w:r>
      <w:r w:rsidRPr="003957BB" w:rsidR="004A17E6">
        <w:rPr>
          <w:rFonts w:eastAsia="Calibri"/>
          <w:snapToGrid/>
          <w:kern w:val="0"/>
          <w:szCs w:val="22"/>
        </w:rPr>
        <w:t>etition</w:t>
      </w:r>
      <w:r w:rsidRPr="003957BB">
        <w:rPr>
          <w:rFonts w:eastAsia="Calibri"/>
          <w:snapToGrid/>
          <w:kern w:val="0"/>
          <w:szCs w:val="22"/>
        </w:rPr>
        <w:t>.</w:t>
      </w:r>
      <w:r>
        <w:rPr>
          <w:rFonts w:eastAsia="Calibri"/>
          <w:snapToGrid/>
          <w:kern w:val="0"/>
          <w:szCs w:val="22"/>
          <w:vertAlign w:val="superscript"/>
        </w:rPr>
        <w:footnoteReference w:id="30"/>
      </w:r>
      <w:r w:rsidRPr="003957BB">
        <w:rPr>
          <w:rFonts w:eastAsia="Calibri"/>
          <w:snapToGrid/>
          <w:kern w:val="0"/>
          <w:szCs w:val="22"/>
        </w:rPr>
        <w:t xml:space="preserve">  </w:t>
      </w:r>
    </w:p>
    <w:p w:rsidR="00624B0B" w:rsidRPr="003957BB" w:rsidP="00137E0A" w14:paraId="340FD84A" w14:textId="0BC8B4B5">
      <w:pPr>
        <w:widowControl/>
        <w:spacing w:after="120"/>
        <w:ind w:firstLine="720"/>
        <w:rPr>
          <w:rFonts w:eastAsia="Calibri"/>
          <w:snapToGrid/>
          <w:kern w:val="0"/>
          <w:szCs w:val="22"/>
        </w:rPr>
      </w:pPr>
      <w:r w:rsidRPr="003957BB">
        <w:rPr>
          <w:rFonts w:eastAsia="Calibri"/>
          <w:snapToGrid/>
          <w:kern w:val="0"/>
          <w:szCs w:val="22"/>
        </w:rPr>
        <w:t xml:space="preserve">Persons making </w:t>
      </w:r>
      <w:r w:rsidRPr="003957BB">
        <w:rPr>
          <w:rFonts w:eastAsia="Calibri"/>
          <w:i/>
          <w:snapToGrid/>
          <w:kern w:val="0"/>
          <w:szCs w:val="22"/>
        </w:rPr>
        <w:t xml:space="preserve">ex </w:t>
      </w:r>
      <w:r w:rsidRPr="003957BB">
        <w:rPr>
          <w:rFonts w:eastAsia="Calibri"/>
          <w:i/>
          <w:snapToGrid/>
          <w:kern w:val="0"/>
          <w:szCs w:val="22"/>
        </w:rPr>
        <w:t>parte</w:t>
      </w:r>
      <w:r w:rsidRPr="003957BB">
        <w:rPr>
          <w:rFonts w:eastAsia="Calibri"/>
          <w:i/>
          <w:snapToGrid/>
          <w:kern w:val="0"/>
          <w:szCs w:val="22"/>
        </w:rPr>
        <w:t xml:space="preserve"> </w:t>
      </w:r>
      <w:r w:rsidRPr="003957BB">
        <w:rPr>
          <w:rFonts w:eastAsia="Calibri"/>
          <w:snapToGrid/>
          <w:color w:val="000000"/>
          <w:kern w:val="0"/>
          <w:szCs w:val="22"/>
        </w:rPr>
        <w:t>presentations</w:t>
      </w:r>
      <w:r w:rsidRPr="003957BB">
        <w:rPr>
          <w:rFonts w:eastAsia="Calibri"/>
          <w:snapToGrid/>
          <w:kern w:val="0"/>
          <w:szCs w:val="22"/>
        </w:rPr>
        <w:t xml:space="preserve"> must file a copy of any written presentation or a memorandum summarizing any oral presentation within two business days after the presentation (unless a </w:t>
      </w:r>
      <w:r w:rsidRPr="003957BB">
        <w:rPr>
          <w:rFonts w:eastAsia="Calibri"/>
          <w:snapToGrid/>
          <w:kern w:val="0"/>
          <w:szCs w:val="22"/>
        </w:rPr>
        <w:t xml:space="preserve">different deadline applicable to the Sunshine period applies).  Persons making oral </w:t>
      </w:r>
      <w:r w:rsidRPr="003957BB">
        <w:rPr>
          <w:rFonts w:eastAsia="Calibri"/>
          <w:i/>
          <w:iCs/>
          <w:snapToGrid/>
          <w:kern w:val="0"/>
          <w:szCs w:val="22"/>
        </w:rPr>
        <w:t xml:space="preserve">ex </w:t>
      </w:r>
      <w:r w:rsidRPr="003957BB">
        <w:rPr>
          <w:rFonts w:eastAsia="Calibri"/>
          <w:i/>
          <w:iCs/>
          <w:snapToGrid/>
          <w:kern w:val="0"/>
          <w:szCs w:val="22"/>
        </w:rPr>
        <w:t>parte</w:t>
      </w:r>
      <w:r w:rsidRPr="003957BB">
        <w:rPr>
          <w:rFonts w:eastAsia="Calibri"/>
          <w:i/>
          <w:iCs/>
          <w:snapToGrid/>
          <w:kern w:val="0"/>
          <w:szCs w:val="22"/>
        </w:rPr>
        <w:t xml:space="preserve"> </w:t>
      </w:r>
      <w:r w:rsidRPr="003957BB">
        <w:rPr>
          <w:rFonts w:eastAsia="Calibri"/>
          <w:snapToGrid/>
          <w:kern w:val="0"/>
          <w:szCs w:val="22"/>
        </w:rPr>
        <w:t xml:space="preserve">presentations are reminded that memoranda summarizing the presentation must (1) list all persons attending or otherwise participating in the meeting at which the </w:t>
      </w:r>
      <w:r w:rsidRPr="003957BB">
        <w:rPr>
          <w:rFonts w:eastAsia="Calibri"/>
          <w:i/>
          <w:iCs/>
          <w:snapToGrid/>
          <w:kern w:val="0"/>
          <w:szCs w:val="22"/>
        </w:rPr>
        <w:t xml:space="preserve">ex </w:t>
      </w:r>
      <w:r w:rsidRPr="003957BB">
        <w:rPr>
          <w:rFonts w:eastAsia="Calibri"/>
          <w:i/>
          <w:iCs/>
          <w:snapToGrid/>
          <w:kern w:val="0"/>
          <w:szCs w:val="22"/>
        </w:rPr>
        <w:t>parte</w:t>
      </w:r>
      <w:r w:rsidRPr="003957BB">
        <w:rPr>
          <w:rFonts w:eastAsia="Calibri"/>
          <w:i/>
          <w:iCs/>
          <w:snapToGrid/>
          <w:kern w:val="0"/>
          <w:szCs w:val="22"/>
        </w:rPr>
        <w:t xml:space="preserve"> </w:t>
      </w:r>
      <w:r w:rsidRPr="003957BB">
        <w:rPr>
          <w:rFonts w:eastAsia="Calibri"/>
          <w:snapToGrid/>
          <w:kern w:val="0"/>
          <w:szCs w:val="22"/>
        </w:rPr>
        <w:t>presentation was made, and (2) summarize all data presented and arguments made during the presentation.</w:t>
      </w:r>
      <w:r>
        <w:rPr>
          <w:rStyle w:val="FootnoteReference"/>
          <w:rFonts w:eastAsia="Calibri"/>
          <w:snapToGrid/>
          <w:kern w:val="0"/>
          <w:szCs w:val="22"/>
        </w:rPr>
        <w:footnoteReference w:id="31"/>
      </w:r>
      <w:r w:rsidRPr="003957BB">
        <w:rPr>
          <w:rFonts w:eastAsia="Calibri"/>
          <w:snapToGrid/>
          <w:kern w:val="0"/>
          <w:szCs w:val="22"/>
        </w:rPr>
        <w:t xml:space="preserve">  If the presentation consisted in whole or in part of data or arguments already reflected in the presenter’s written comments, memoranda, or other filings in the proceeding, then the presenter may provide citations to such data or arguments in his or her prior comments, memoranda, or other filings (specifying the relevant page and/or paragraph numbers where such data or arguments can be found) in lieu of summarizing them in the memorandum.</w:t>
      </w:r>
      <w:r>
        <w:rPr>
          <w:rStyle w:val="FootnoteReference"/>
          <w:rFonts w:eastAsia="Calibri"/>
          <w:snapToGrid/>
          <w:kern w:val="0"/>
          <w:szCs w:val="22"/>
        </w:rPr>
        <w:footnoteReference w:id="32"/>
      </w:r>
      <w:r w:rsidRPr="003957BB">
        <w:rPr>
          <w:rFonts w:eastAsia="Calibri"/>
          <w:snapToGrid/>
          <w:kern w:val="0"/>
          <w:szCs w:val="22"/>
        </w:rPr>
        <w:t xml:space="preserve">  Documents shown or given to Commission staff during </w:t>
      </w:r>
      <w:r w:rsidRPr="003957BB">
        <w:rPr>
          <w:rFonts w:eastAsia="Calibri"/>
          <w:i/>
          <w:iCs/>
          <w:snapToGrid/>
          <w:kern w:val="0"/>
          <w:szCs w:val="22"/>
        </w:rPr>
        <w:t xml:space="preserve">ex </w:t>
      </w:r>
      <w:r w:rsidRPr="003957BB">
        <w:rPr>
          <w:rFonts w:eastAsia="Calibri"/>
          <w:i/>
          <w:iCs/>
          <w:snapToGrid/>
          <w:kern w:val="0"/>
          <w:szCs w:val="22"/>
        </w:rPr>
        <w:t>parte</w:t>
      </w:r>
      <w:r w:rsidRPr="003957BB">
        <w:rPr>
          <w:rFonts w:eastAsia="Calibri"/>
          <w:i/>
          <w:iCs/>
          <w:snapToGrid/>
          <w:kern w:val="0"/>
          <w:szCs w:val="22"/>
        </w:rPr>
        <w:t xml:space="preserve"> </w:t>
      </w:r>
      <w:r w:rsidRPr="003957BB">
        <w:rPr>
          <w:rFonts w:eastAsia="Calibri"/>
          <w:snapToGrid/>
          <w:kern w:val="0"/>
          <w:szCs w:val="22"/>
        </w:rPr>
        <w:t xml:space="preserve">meetings are deemed to be written </w:t>
      </w:r>
      <w:r w:rsidRPr="003957BB">
        <w:rPr>
          <w:rFonts w:eastAsia="Calibri"/>
          <w:i/>
          <w:iCs/>
          <w:snapToGrid/>
          <w:kern w:val="0"/>
          <w:szCs w:val="22"/>
        </w:rPr>
        <w:t xml:space="preserve">ex </w:t>
      </w:r>
      <w:r w:rsidRPr="003957BB">
        <w:rPr>
          <w:rFonts w:eastAsia="Calibri"/>
          <w:i/>
          <w:iCs/>
          <w:snapToGrid/>
          <w:kern w:val="0"/>
          <w:szCs w:val="22"/>
        </w:rPr>
        <w:t>parte</w:t>
      </w:r>
      <w:r w:rsidRPr="003957BB">
        <w:rPr>
          <w:rFonts w:eastAsia="Calibri"/>
          <w:snapToGrid/>
          <w:kern w:val="0"/>
          <w:szCs w:val="22"/>
        </w:rPr>
        <w:t xml:space="preserve"> presentations and must be filed consistent with section 1.1206(b) of the </w:t>
      </w:r>
      <w:r w:rsidRPr="003957BB" w:rsidR="00C8486A">
        <w:rPr>
          <w:rFonts w:eastAsia="Calibri"/>
          <w:snapToGrid/>
          <w:kern w:val="0"/>
          <w:szCs w:val="22"/>
        </w:rPr>
        <w:t>R</w:t>
      </w:r>
      <w:r w:rsidRPr="003957BB">
        <w:rPr>
          <w:rFonts w:eastAsia="Calibri"/>
          <w:snapToGrid/>
          <w:kern w:val="0"/>
          <w:szCs w:val="22"/>
        </w:rPr>
        <w:t>ules.</w:t>
      </w:r>
      <w:r>
        <w:rPr>
          <w:rFonts w:eastAsia="Calibri"/>
          <w:snapToGrid/>
          <w:kern w:val="0"/>
          <w:szCs w:val="22"/>
          <w:vertAlign w:val="superscript"/>
        </w:rPr>
        <w:footnoteReference w:id="33"/>
      </w:r>
      <w:r w:rsidRPr="003957BB">
        <w:rPr>
          <w:rFonts w:eastAsia="Calibri"/>
          <w:snapToGrid/>
          <w:kern w:val="0"/>
          <w:szCs w:val="22"/>
        </w:rPr>
        <w:t xml:space="preserve">  Participants in this proceeding should familiarize themselves with the Commission’s </w:t>
      </w:r>
      <w:r w:rsidRPr="003957BB">
        <w:rPr>
          <w:rFonts w:eastAsia="Calibri"/>
          <w:i/>
          <w:iCs/>
          <w:snapToGrid/>
          <w:kern w:val="0"/>
          <w:szCs w:val="22"/>
        </w:rPr>
        <w:t xml:space="preserve">ex </w:t>
      </w:r>
      <w:r w:rsidRPr="003957BB">
        <w:rPr>
          <w:rFonts w:eastAsia="Calibri"/>
          <w:i/>
          <w:iCs/>
          <w:snapToGrid/>
          <w:kern w:val="0"/>
          <w:szCs w:val="22"/>
        </w:rPr>
        <w:t>parte</w:t>
      </w:r>
      <w:r w:rsidRPr="003957BB">
        <w:rPr>
          <w:rFonts w:eastAsia="Calibri"/>
          <w:i/>
          <w:iCs/>
          <w:snapToGrid/>
          <w:kern w:val="0"/>
          <w:szCs w:val="22"/>
        </w:rPr>
        <w:t xml:space="preserve"> </w:t>
      </w:r>
      <w:r w:rsidRPr="003957BB">
        <w:rPr>
          <w:rFonts w:eastAsia="Calibri"/>
          <w:snapToGrid/>
          <w:kern w:val="0"/>
          <w:szCs w:val="22"/>
        </w:rPr>
        <w:t>rules.</w:t>
      </w:r>
      <w:r>
        <w:rPr>
          <w:rFonts w:eastAsia="Calibri"/>
          <w:snapToGrid/>
          <w:kern w:val="0"/>
          <w:szCs w:val="22"/>
          <w:vertAlign w:val="superscript"/>
        </w:rPr>
        <w:footnoteReference w:id="34"/>
      </w:r>
      <w:r w:rsidRPr="003957BB">
        <w:rPr>
          <w:rFonts w:eastAsia="Calibri"/>
          <w:snapToGrid/>
          <w:kern w:val="0"/>
          <w:szCs w:val="22"/>
        </w:rPr>
        <w:t xml:space="preserve">  We strongly urge parties to use the Electronic Comment Filing System (ECFS) to file </w:t>
      </w:r>
      <w:r w:rsidRPr="003957BB">
        <w:rPr>
          <w:rFonts w:eastAsia="Calibri"/>
          <w:i/>
          <w:iCs/>
          <w:snapToGrid/>
          <w:kern w:val="0"/>
          <w:szCs w:val="22"/>
        </w:rPr>
        <w:t xml:space="preserve">ex </w:t>
      </w:r>
      <w:r w:rsidRPr="003957BB">
        <w:rPr>
          <w:rFonts w:eastAsia="Calibri"/>
          <w:i/>
          <w:iCs/>
          <w:snapToGrid/>
          <w:kern w:val="0"/>
          <w:szCs w:val="22"/>
        </w:rPr>
        <w:t>parte</w:t>
      </w:r>
      <w:r w:rsidRPr="003957BB">
        <w:rPr>
          <w:rFonts w:eastAsia="Calibri"/>
          <w:snapToGrid/>
          <w:kern w:val="0"/>
          <w:szCs w:val="22"/>
        </w:rPr>
        <w:t xml:space="preserve"> submissions.  All </w:t>
      </w:r>
      <w:r w:rsidRPr="003957BB">
        <w:rPr>
          <w:rFonts w:eastAsia="Calibri"/>
          <w:i/>
          <w:snapToGrid/>
          <w:kern w:val="0"/>
          <w:szCs w:val="22"/>
        </w:rPr>
        <w:t xml:space="preserve">ex </w:t>
      </w:r>
      <w:r w:rsidRPr="003957BB">
        <w:rPr>
          <w:rFonts w:eastAsia="Calibri"/>
          <w:i/>
          <w:snapToGrid/>
          <w:kern w:val="0"/>
          <w:szCs w:val="22"/>
        </w:rPr>
        <w:t>parte</w:t>
      </w:r>
      <w:r w:rsidRPr="003957BB">
        <w:rPr>
          <w:rFonts w:eastAsia="Calibri"/>
          <w:snapToGrid/>
          <w:kern w:val="0"/>
          <w:szCs w:val="22"/>
        </w:rPr>
        <w:t xml:space="preserve"> filings must be clearly labeled as such and must reference MB Docket No. 2</w:t>
      </w:r>
      <w:r w:rsidR="00FD0318">
        <w:rPr>
          <w:rFonts w:eastAsia="Calibri"/>
          <w:snapToGrid/>
          <w:kern w:val="0"/>
          <w:szCs w:val="22"/>
        </w:rPr>
        <w:t>3</w:t>
      </w:r>
      <w:r w:rsidRPr="003957BB">
        <w:rPr>
          <w:rFonts w:eastAsia="Calibri"/>
          <w:snapToGrid/>
          <w:kern w:val="0"/>
          <w:szCs w:val="22"/>
        </w:rPr>
        <w:t>-</w:t>
      </w:r>
      <w:r w:rsidR="00FD0318">
        <w:rPr>
          <w:rFonts w:eastAsia="Calibri"/>
          <w:snapToGrid/>
          <w:kern w:val="0"/>
          <w:szCs w:val="22"/>
        </w:rPr>
        <w:t>2</w:t>
      </w:r>
      <w:r w:rsidRPr="003957BB">
        <w:rPr>
          <w:rFonts w:eastAsia="Calibri"/>
          <w:snapToGrid/>
          <w:kern w:val="0"/>
          <w:szCs w:val="22"/>
        </w:rPr>
        <w:t>.</w:t>
      </w:r>
    </w:p>
    <w:bookmarkEnd w:id="2"/>
    <w:p w:rsidR="00624B0B" w:rsidRPr="003957BB" w:rsidP="00C711D9" w14:paraId="5EE96DBE" w14:textId="77777777">
      <w:pPr>
        <w:keepNext/>
        <w:keepLines/>
        <w:widowControl/>
        <w:autoSpaceDE w:val="0"/>
        <w:autoSpaceDN w:val="0"/>
        <w:adjustRightInd w:val="0"/>
        <w:spacing w:after="120" w:line="259" w:lineRule="auto"/>
        <w:rPr>
          <w:rFonts w:eastAsia="Calibri"/>
          <w:b/>
          <w:bCs/>
          <w:snapToGrid/>
          <w:color w:val="000000"/>
          <w:kern w:val="0"/>
          <w:szCs w:val="22"/>
        </w:rPr>
      </w:pPr>
      <w:r w:rsidRPr="003957BB">
        <w:rPr>
          <w:rFonts w:eastAsia="Calibri"/>
          <w:b/>
          <w:bCs/>
          <w:snapToGrid/>
          <w:color w:val="000000"/>
          <w:kern w:val="0"/>
          <w:szCs w:val="22"/>
        </w:rPr>
        <w:t>GENERAL INFORMATION</w:t>
      </w:r>
    </w:p>
    <w:p w:rsidR="00624B0B" w:rsidRPr="003957BB" w:rsidP="00137E0A" w14:paraId="3C23EA37" w14:textId="20F71210">
      <w:pPr>
        <w:widowControl/>
        <w:spacing w:after="120"/>
        <w:ind w:firstLine="720"/>
        <w:rPr>
          <w:rFonts w:eastAsia="Calibri"/>
          <w:snapToGrid/>
          <w:color w:val="000000"/>
          <w:kern w:val="0"/>
          <w:szCs w:val="22"/>
        </w:rPr>
      </w:pPr>
      <w:r w:rsidRPr="003957BB">
        <w:rPr>
          <w:rFonts w:eastAsia="Calibri"/>
          <w:snapToGrid/>
          <w:color w:val="000000"/>
          <w:kern w:val="0"/>
          <w:szCs w:val="22"/>
        </w:rPr>
        <w:t xml:space="preserve">The </w:t>
      </w:r>
      <w:r w:rsidRPr="003957BB" w:rsidR="001F55D6">
        <w:rPr>
          <w:rFonts w:eastAsia="Calibri"/>
          <w:snapToGrid/>
          <w:color w:val="000000"/>
          <w:kern w:val="0"/>
          <w:szCs w:val="22"/>
        </w:rPr>
        <w:t>Petition</w:t>
      </w:r>
      <w:r w:rsidRPr="003957BB">
        <w:rPr>
          <w:rFonts w:eastAsia="Calibri"/>
          <w:snapToGrid/>
          <w:color w:val="000000"/>
          <w:kern w:val="0"/>
          <w:szCs w:val="22"/>
        </w:rPr>
        <w:t xml:space="preserve"> referred to in this Public Notice has been accepted for filing upon initial review.  The Commission reserves the right to return any </w:t>
      </w:r>
      <w:r w:rsidRPr="003957BB" w:rsidR="004B4423">
        <w:rPr>
          <w:rFonts w:eastAsia="Calibri"/>
          <w:snapToGrid/>
          <w:color w:val="000000"/>
          <w:kern w:val="0"/>
          <w:szCs w:val="22"/>
        </w:rPr>
        <w:t>filing</w:t>
      </w:r>
      <w:r w:rsidRPr="003957BB">
        <w:rPr>
          <w:rFonts w:eastAsia="Calibri"/>
          <w:snapToGrid/>
          <w:color w:val="000000"/>
          <w:kern w:val="0"/>
          <w:szCs w:val="22"/>
        </w:rPr>
        <w:t xml:space="preserve"> if, upon further examination, it is determined to be defective and not in conformance with the Commission’s rules or policies.  Interested persons must file </w:t>
      </w:r>
      <w:r w:rsidRPr="003957BB" w:rsidR="006D0D2C">
        <w:rPr>
          <w:rFonts w:eastAsia="Calibri"/>
          <w:snapToGrid/>
          <w:color w:val="000000"/>
          <w:kern w:val="0"/>
          <w:szCs w:val="22"/>
        </w:rPr>
        <w:t>comments</w:t>
      </w:r>
      <w:r w:rsidRPr="003957BB">
        <w:rPr>
          <w:rFonts w:eastAsia="Calibri"/>
          <w:snapToGrid/>
          <w:color w:val="000000"/>
          <w:kern w:val="0"/>
          <w:szCs w:val="22"/>
        </w:rPr>
        <w:t xml:space="preserve"> no later than </w:t>
      </w:r>
      <w:r w:rsidR="00FD0318">
        <w:rPr>
          <w:rFonts w:eastAsia="Calibri"/>
          <w:snapToGrid/>
          <w:color w:val="000000"/>
          <w:kern w:val="0"/>
          <w:szCs w:val="22"/>
        </w:rPr>
        <w:t>February 3, 2023</w:t>
      </w:r>
      <w:r w:rsidRPr="003957BB" w:rsidR="00477555">
        <w:rPr>
          <w:rFonts w:eastAsia="Calibri"/>
          <w:snapToGrid/>
          <w:color w:val="000000"/>
          <w:kern w:val="0"/>
          <w:szCs w:val="22"/>
        </w:rPr>
        <w:t xml:space="preserve">.  </w:t>
      </w:r>
      <w:r w:rsidRPr="003957BB">
        <w:rPr>
          <w:rFonts w:eastAsia="Calibri"/>
          <w:snapToGrid/>
          <w:color w:val="000000"/>
          <w:kern w:val="0"/>
          <w:szCs w:val="22"/>
        </w:rPr>
        <w:t xml:space="preserve">Replies must be filed no later than </w:t>
      </w:r>
      <w:r w:rsidR="00FD0318">
        <w:rPr>
          <w:rFonts w:eastAsia="Calibri"/>
          <w:snapToGrid/>
          <w:color w:val="000000"/>
          <w:kern w:val="0"/>
          <w:szCs w:val="22"/>
        </w:rPr>
        <w:t>February 21, 2023</w:t>
      </w:r>
      <w:r w:rsidRPr="00104889">
        <w:rPr>
          <w:rFonts w:eastAsia="Calibri"/>
          <w:snapToGrid/>
          <w:color w:val="000000"/>
          <w:kern w:val="0"/>
          <w:szCs w:val="22"/>
        </w:rPr>
        <w:t>.</w:t>
      </w:r>
      <w:r w:rsidRPr="003957BB">
        <w:rPr>
          <w:rFonts w:eastAsia="Calibri"/>
          <w:snapToGrid/>
          <w:color w:val="000000"/>
          <w:kern w:val="0"/>
          <w:szCs w:val="22"/>
        </w:rPr>
        <w:t xml:space="preserve">  </w:t>
      </w:r>
    </w:p>
    <w:p w:rsidR="00624B0B" w:rsidRPr="003957BB" w:rsidP="00137E0A" w14:paraId="48DD11CD" w14:textId="77777777">
      <w:pPr>
        <w:widowControl/>
        <w:spacing w:after="120"/>
        <w:ind w:firstLine="720"/>
        <w:rPr>
          <w:rFonts w:eastAsia="Calibri"/>
          <w:snapToGrid/>
          <w:color w:val="000000"/>
          <w:kern w:val="0"/>
          <w:szCs w:val="22"/>
        </w:rPr>
      </w:pPr>
      <w:r w:rsidRPr="003957BB">
        <w:rPr>
          <w:rFonts w:eastAsia="Calibri"/>
          <w:snapToGrid/>
          <w:color w:val="000000"/>
          <w:kern w:val="0"/>
          <w:szCs w:val="22"/>
        </w:rPr>
        <w:t xml:space="preserve">To allow the Commission to consider fully all substantive issues regarding the </w:t>
      </w:r>
      <w:r w:rsidRPr="003957BB" w:rsidR="001F55D6">
        <w:rPr>
          <w:rFonts w:eastAsia="Calibri"/>
          <w:snapToGrid/>
          <w:color w:val="000000"/>
          <w:kern w:val="0"/>
          <w:szCs w:val="22"/>
        </w:rPr>
        <w:t>P</w:t>
      </w:r>
      <w:r w:rsidRPr="003957BB" w:rsidR="00BB71F1">
        <w:rPr>
          <w:rFonts w:eastAsia="Calibri"/>
          <w:snapToGrid/>
          <w:color w:val="000000"/>
          <w:kern w:val="0"/>
          <w:szCs w:val="22"/>
        </w:rPr>
        <w:t>etition</w:t>
      </w:r>
      <w:r w:rsidRPr="003957BB">
        <w:rPr>
          <w:rFonts w:eastAsia="Calibri"/>
          <w:snapToGrid/>
          <w:color w:val="000000"/>
          <w:kern w:val="0"/>
          <w:szCs w:val="22"/>
        </w:rPr>
        <w:t xml:space="preserve"> in as timely and efficient a manner as possible, commenters should raise all issues in their initial filings.  A party or interested person seeking to raise a new issue after the </w:t>
      </w:r>
      <w:r w:rsidRPr="003957BB" w:rsidR="008625A9">
        <w:rPr>
          <w:rFonts w:eastAsia="Calibri"/>
          <w:snapToGrid/>
          <w:color w:val="000000"/>
          <w:kern w:val="0"/>
          <w:szCs w:val="22"/>
        </w:rPr>
        <w:t>comment period</w:t>
      </w:r>
      <w:r w:rsidRPr="003957BB">
        <w:rPr>
          <w:rFonts w:eastAsia="Calibri"/>
          <w:snapToGrid/>
          <w:color w:val="000000"/>
          <w:kern w:val="0"/>
          <w:szCs w:val="22"/>
        </w:rPr>
        <w:t xml:space="preserve"> has closed must show good cause why it was not possible for it to have raised the issue previously.  Submissions after the </w:t>
      </w:r>
      <w:r w:rsidRPr="003957BB" w:rsidR="004A12C6">
        <w:rPr>
          <w:rFonts w:eastAsia="Calibri"/>
          <w:snapToGrid/>
          <w:color w:val="000000"/>
          <w:kern w:val="0"/>
          <w:szCs w:val="22"/>
        </w:rPr>
        <w:t>comment period</w:t>
      </w:r>
      <w:r w:rsidRPr="003957BB">
        <w:rPr>
          <w:rFonts w:eastAsia="Calibri"/>
          <w:snapToGrid/>
          <w:color w:val="000000"/>
          <w:kern w:val="0"/>
          <w:szCs w:val="22"/>
        </w:rPr>
        <w:t xml:space="preserve"> has closed that seek to raise new issues based on new facts or newly discovered facts should be filed within 15 days after such facts are discovered.  Absent such a showing of good cause, any issues not timely raised may be disregarded by the Commission.</w:t>
      </w:r>
    </w:p>
    <w:p w:rsidR="00624B0B" w:rsidRPr="003957BB" w:rsidP="00137E0A" w14:paraId="6400CCCC" w14:textId="649DF213">
      <w:pPr>
        <w:widowControl/>
        <w:spacing w:after="120"/>
        <w:ind w:firstLine="720"/>
        <w:rPr>
          <w:rFonts w:eastAsia="Calibri"/>
          <w:snapToGrid/>
          <w:color w:val="000000"/>
          <w:kern w:val="0"/>
          <w:szCs w:val="22"/>
        </w:rPr>
      </w:pPr>
      <w:bookmarkStart w:id="4" w:name="co_pp_sp_999_3_1"/>
      <w:bookmarkStart w:id="5" w:name="co_pp_sp_4493_7385_1"/>
      <w:bookmarkEnd w:id="4"/>
      <w:bookmarkEnd w:id="5"/>
      <w:r w:rsidRPr="003957BB">
        <w:rPr>
          <w:rFonts w:eastAsia="Calibri"/>
          <w:snapToGrid/>
          <w:color w:val="000000"/>
          <w:kern w:val="0"/>
          <w:szCs w:val="22"/>
        </w:rPr>
        <w:t>All filings concerning matters referenced in this Public Notice should refer to MB Docket No. 2</w:t>
      </w:r>
      <w:r w:rsidR="00FD0318">
        <w:rPr>
          <w:rFonts w:eastAsia="Calibri"/>
          <w:snapToGrid/>
          <w:color w:val="000000"/>
          <w:kern w:val="0"/>
          <w:szCs w:val="22"/>
        </w:rPr>
        <w:t>3</w:t>
      </w:r>
      <w:r w:rsidRPr="003957BB" w:rsidR="00113659">
        <w:rPr>
          <w:rFonts w:eastAsia="Calibri"/>
          <w:snapToGrid/>
          <w:color w:val="000000"/>
          <w:kern w:val="0"/>
          <w:szCs w:val="22"/>
        </w:rPr>
        <w:noBreakHyphen/>
      </w:r>
      <w:r w:rsidR="00FD0318">
        <w:rPr>
          <w:rFonts w:eastAsia="Calibri"/>
          <w:snapToGrid/>
          <w:color w:val="000000"/>
          <w:kern w:val="0"/>
          <w:szCs w:val="22"/>
        </w:rPr>
        <w:t>2</w:t>
      </w:r>
      <w:r w:rsidRPr="003957BB">
        <w:rPr>
          <w:rFonts w:eastAsia="Calibri"/>
          <w:snapToGrid/>
          <w:color w:val="000000"/>
          <w:kern w:val="0"/>
          <w:szCs w:val="22"/>
        </w:rPr>
        <w:t>, as well as the specific file numbers of the individual applications or other matters to which the filings pertain.</w:t>
      </w:r>
    </w:p>
    <w:p w:rsidR="00624B0B" w:rsidRPr="003957BB" w:rsidP="00137E0A" w14:paraId="0DBD9A76" w14:textId="77777777">
      <w:pPr>
        <w:widowControl/>
        <w:spacing w:after="120"/>
        <w:ind w:firstLine="720"/>
        <w:rPr>
          <w:rFonts w:eastAsia="Calibri"/>
          <w:snapToGrid/>
          <w:kern w:val="0"/>
          <w:szCs w:val="22"/>
        </w:rPr>
      </w:pPr>
      <w:r w:rsidRPr="003957BB">
        <w:rPr>
          <w:rFonts w:eastAsia="Calibri"/>
          <w:i/>
          <w:iCs/>
          <w:snapToGrid/>
          <w:kern w:val="0"/>
          <w:szCs w:val="22"/>
        </w:rPr>
        <w:t>Filing Requirements</w:t>
      </w:r>
      <w:r w:rsidRPr="003957BB">
        <w:rPr>
          <w:rFonts w:eastAsia="Calibri"/>
          <w:snapToGrid/>
          <w:kern w:val="0"/>
          <w:szCs w:val="22"/>
        </w:rPr>
        <w:t xml:space="preserve">.  </w:t>
      </w:r>
      <w:r w:rsidRPr="003957BB" w:rsidR="008A3EB7">
        <w:rPr>
          <w:rFonts w:eastAsia="Calibri"/>
          <w:snapToGrid/>
          <w:kern w:val="0"/>
          <w:szCs w:val="22"/>
        </w:rPr>
        <w:t>Submissions</w:t>
      </w:r>
      <w:r w:rsidRPr="003957BB">
        <w:rPr>
          <w:rFonts w:eastAsia="Calibri"/>
          <w:snapToGrid/>
          <w:kern w:val="0"/>
          <w:szCs w:val="22"/>
        </w:rPr>
        <w:t xml:space="preserve"> may be filed </w:t>
      </w:r>
      <w:r w:rsidRPr="003957BB" w:rsidR="004F3D71">
        <w:rPr>
          <w:rFonts w:eastAsia="Calibri"/>
          <w:snapToGrid/>
          <w:kern w:val="0"/>
          <w:szCs w:val="22"/>
        </w:rPr>
        <w:t xml:space="preserve">electronically </w:t>
      </w:r>
      <w:r w:rsidRPr="003957BB">
        <w:rPr>
          <w:rFonts w:eastAsia="Calibri"/>
          <w:snapToGrid/>
          <w:kern w:val="0"/>
          <w:szCs w:val="22"/>
        </w:rPr>
        <w:t>using ECFS</w:t>
      </w:r>
      <w:r w:rsidRPr="003957BB" w:rsidR="004F3D71">
        <w:rPr>
          <w:rFonts w:eastAsia="Calibri"/>
          <w:snapToGrid/>
          <w:kern w:val="0"/>
          <w:szCs w:val="22"/>
        </w:rPr>
        <w:t xml:space="preserve"> or by filing paper copies</w:t>
      </w:r>
      <w:r w:rsidRPr="003957BB">
        <w:rPr>
          <w:rFonts w:eastAsia="Calibri"/>
          <w:snapToGrid/>
          <w:kern w:val="0"/>
          <w:szCs w:val="22"/>
        </w:rPr>
        <w:t>.</w:t>
      </w:r>
      <w:r>
        <w:rPr>
          <w:rFonts w:eastAsia="Calibri"/>
          <w:snapToGrid/>
          <w:kern w:val="0"/>
          <w:szCs w:val="22"/>
          <w:vertAlign w:val="superscript"/>
        </w:rPr>
        <w:footnoteReference w:id="35"/>
      </w:r>
      <w:r w:rsidRPr="003957BB">
        <w:rPr>
          <w:rFonts w:eastAsia="Calibri"/>
          <w:snapToGrid/>
          <w:kern w:val="0"/>
          <w:szCs w:val="22"/>
        </w:rPr>
        <w:t xml:space="preserve"> </w:t>
      </w:r>
    </w:p>
    <w:p w:rsidR="00624B0B" w:rsidRPr="003957BB" w:rsidP="00137E0A" w14:paraId="3DDB4702" w14:textId="77777777">
      <w:pPr>
        <w:widowControl/>
        <w:numPr>
          <w:ilvl w:val="0"/>
          <w:numId w:val="8"/>
        </w:numPr>
        <w:spacing w:after="120"/>
        <w:rPr>
          <w:rFonts w:eastAsia="Calibri"/>
          <w:snapToGrid/>
          <w:kern w:val="0"/>
          <w:szCs w:val="22"/>
        </w:rPr>
      </w:pPr>
      <w:r w:rsidRPr="003957BB">
        <w:rPr>
          <w:rFonts w:eastAsia="Calibri"/>
          <w:snapToGrid/>
          <w:kern w:val="0"/>
          <w:szCs w:val="22"/>
        </w:rPr>
        <w:t xml:space="preserve">Electronic Filers:  </w:t>
      </w:r>
      <w:r w:rsidRPr="003957BB" w:rsidR="006955A5">
        <w:rPr>
          <w:rFonts w:eastAsia="Calibri"/>
          <w:snapToGrid/>
          <w:kern w:val="0"/>
          <w:szCs w:val="22"/>
        </w:rPr>
        <w:t>Document</w:t>
      </w:r>
      <w:r w:rsidRPr="003957BB">
        <w:rPr>
          <w:rFonts w:eastAsia="Calibri"/>
          <w:snapToGrid/>
          <w:kern w:val="0"/>
          <w:szCs w:val="22"/>
        </w:rPr>
        <w:t xml:space="preserve">s may be filed electronically using the Internet by accessing ECFS:  </w:t>
      </w:r>
      <w:hyperlink r:id="rId5" w:history="1">
        <w:r w:rsidRPr="003957BB">
          <w:rPr>
            <w:rFonts w:eastAsia="Calibri"/>
            <w:snapToGrid/>
            <w:color w:val="0000FF"/>
            <w:kern w:val="0"/>
            <w:szCs w:val="22"/>
            <w:u w:val="single"/>
          </w:rPr>
          <w:t>http://apps.fcc.gov/ecfs/</w:t>
        </w:r>
      </w:hyperlink>
      <w:r w:rsidRPr="003957BB">
        <w:rPr>
          <w:rFonts w:eastAsia="Calibri"/>
          <w:snapToGrid/>
          <w:kern w:val="0"/>
          <w:szCs w:val="22"/>
        </w:rPr>
        <w:t xml:space="preserve">.  </w:t>
      </w:r>
    </w:p>
    <w:p w:rsidR="00624B0B" w:rsidRPr="003957BB" w:rsidP="00137E0A" w14:paraId="203FDCAA" w14:textId="77777777">
      <w:pPr>
        <w:widowControl/>
        <w:numPr>
          <w:ilvl w:val="0"/>
          <w:numId w:val="8"/>
        </w:numPr>
        <w:spacing w:after="120"/>
        <w:rPr>
          <w:rFonts w:eastAsia="Calibri"/>
          <w:snapToGrid/>
          <w:kern w:val="0"/>
          <w:szCs w:val="22"/>
        </w:rPr>
      </w:pPr>
      <w:r w:rsidRPr="003957BB">
        <w:rPr>
          <w:rFonts w:eastAsia="Calibri"/>
          <w:snapToGrid/>
          <w:kern w:val="0"/>
          <w:szCs w:val="22"/>
        </w:rPr>
        <w:t xml:space="preserve">Paper Filers:  Parties who choose to file by paper must file an original and one copy of each filing. </w:t>
      </w:r>
    </w:p>
    <w:p w:rsidR="00624B0B" w:rsidRPr="003957BB" w:rsidP="00137E0A" w14:paraId="4D011D6E" w14:textId="77777777">
      <w:pPr>
        <w:widowControl/>
        <w:numPr>
          <w:ilvl w:val="0"/>
          <w:numId w:val="8"/>
        </w:numPr>
        <w:spacing w:after="120"/>
        <w:rPr>
          <w:rFonts w:eastAsia="Calibri"/>
          <w:snapToGrid/>
          <w:kern w:val="0"/>
          <w:szCs w:val="22"/>
        </w:rPr>
      </w:pPr>
      <w:r w:rsidRPr="003957BB">
        <w:rPr>
          <w:rFonts w:eastAsia="Calibri"/>
          <w:snapToGrid/>
          <w:kern w:val="0"/>
          <w:szCs w:val="22"/>
        </w:rPr>
        <w:t>Filings can be sent by commercial overnight courier, or by first-class or overnight U.S. Postal Service mail.  All filings must be addressed to the Commission’s Secretary, Office of the Secretary, Federal Communications Commission.</w:t>
      </w:r>
    </w:p>
    <w:p w:rsidR="00624B0B" w:rsidRPr="003957BB" w:rsidP="00137E0A" w14:paraId="3ED2DD3A" w14:textId="77777777">
      <w:pPr>
        <w:widowControl/>
        <w:numPr>
          <w:ilvl w:val="1"/>
          <w:numId w:val="8"/>
        </w:numPr>
        <w:spacing w:after="120"/>
        <w:rPr>
          <w:rFonts w:eastAsia="Calibri"/>
          <w:snapToGrid/>
          <w:kern w:val="0"/>
          <w:szCs w:val="22"/>
        </w:rPr>
      </w:pPr>
      <w:r w:rsidRPr="003957BB">
        <w:rPr>
          <w:rFonts w:eastAsia="Calibri"/>
          <w:snapToGrid/>
          <w:kern w:val="0"/>
          <w:szCs w:val="22"/>
        </w:rPr>
        <w:t xml:space="preserve">Commercial overnight mail (other than U.S. Postal Service Express Mail and Priority Mail) must be sent to 9050 Junction Drive, Annapolis Junction, MD 20701.  </w:t>
      </w:r>
    </w:p>
    <w:p w:rsidR="00624B0B" w:rsidRPr="003957BB" w:rsidP="00137E0A" w14:paraId="3A7DD2DC" w14:textId="77777777">
      <w:pPr>
        <w:widowControl/>
        <w:numPr>
          <w:ilvl w:val="1"/>
          <w:numId w:val="8"/>
        </w:numPr>
        <w:spacing w:after="120"/>
        <w:rPr>
          <w:rFonts w:eastAsia="Calibri"/>
          <w:snapToGrid/>
          <w:kern w:val="0"/>
          <w:szCs w:val="22"/>
        </w:rPr>
      </w:pPr>
      <w:r w:rsidRPr="003957BB">
        <w:rPr>
          <w:rFonts w:eastAsia="Calibri"/>
          <w:snapToGrid/>
          <w:kern w:val="0"/>
          <w:szCs w:val="22"/>
        </w:rPr>
        <w:t>U.S. Postal Service first-class, Express, and Priority mail must be addressed to 45 L Street NE, Washington, DC 20554</w:t>
      </w:r>
    </w:p>
    <w:p w:rsidR="00624B0B" w:rsidRPr="003957BB" w:rsidP="00137E0A" w14:paraId="080F2521" w14:textId="77777777">
      <w:pPr>
        <w:widowControl/>
        <w:numPr>
          <w:ilvl w:val="0"/>
          <w:numId w:val="8"/>
        </w:numPr>
        <w:spacing w:after="120"/>
        <w:rPr>
          <w:rFonts w:eastAsia="Calibri"/>
          <w:snapToGrid/>
          <w:kern w:val="0"/>
          <w:szCs w:val="22"/>
        </w:rPr>
      </w:pPr>
      <w:r w:rsidRPr="003957BB">
        <w:rPr>
          <w:rFonts w:eastAsia="Calibri"/>
          <w:snapToGrid/>
          <w:kern w:val="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rFonts w:eastAsia="Calibri"/>
          <w:snapToGrid/>
          <w:kern w:val="0"/>
          <w:szCs w:val="22"/>
          <w:vertAlign w:val="superscript"/>
        </w:rPr>
        <w:footnoteReference w:id="36"/>
      </w:r>
      <w:r w:rsidRPr="003957BB">
        <w:rPr>
          <w:rFonts w:eastAsia="Calibri"/>
          <w:snapToGrid/>
          <w:kern w:val="0"/>
          <w:szCs w:val="22"/>
        </w:rPr>
        <w:t xml:space="preserve"> </w:t>
      </w:r>
    </w:p>
    <w:p w:rsidR="00624B0B" w:rsidRPr="003957BB" w:rsidP="00137E0A" w14:paraId="48102959" w14:textId="77777777">
      <w:pPr>
        <w:widowControl/>
        <w:numPr>
          <w:ilvl w:val="0"/>
          <w:numId w:val="8"/>
        </w:numPr>
        <w:spacing w:after="120"/>
        <w:rPr>
          <w:rFonts w:eastAsia="Calibri"/>
          <w:snapToGrid/>
          <w:kern w:val="0"/>
          <w:szCs w:val="22"/>
        </w:rPr>
      </w:pPr>
      <w:r w:rsidRPr="003957BB">
        <w:rPr>
          <w:rFonts w:eastAsia="Calibri"/>
          <w:snapToGrid/>
          <w:kern w:val="0"/>
          <w:szCs w:val="22"/>
        </w:rPr>
        <w:t xml:space="preserve">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  </w:t>
      </w:r>
    </w:p>
    <w:p w:rsidR="00624B0B" w:rsidRPr="003957BB" w:rsidP="00E8230B" w14:paraId="2F0F0450" w14:textId="77777777">
      <w:pPr>
        <w:keepNext/>
        <w:keepLines/>
        <w:widowControl/>
        <w:autoSpaceDE w:val="0"/>
        <w:autoSpaceDN w:val="0"/>
        <w:adjustRightInd w:val="0"/>
        <w:spacing w:after="120" w:line="259" w:lineRule="auto"/>
        <w:rPr>
          <w:rFonts w:eastAsia="Calibri"/>
          <w:snapToGrid/>
          <w:color w:val="000000"/>
          <w:kern w:val="0"/>
          <w:szCs w:val="22"/>
        </w:rPr>
      </w:pPr>
      <w:r w:rsidRPr="003957BB">
        <w:rPr>
          <w:rFonts w:eastAsia="Calibri"/>
          <w:b/>
          <w:bCs/>
          <w:snapToGrid/>
          <w:color w:val="000000"/>
          <w:kern w:val="0"/>
          <w:szCs w:val="22"/>
        </w:rPr>
        <w:t>In addition, one copy of each submission must be sent to the following</w:t>
      </w:r>
      <w:r w:rsidRPr="003957BB">
        <w:rPr>
          <w:rFonts w:eastAsia="Calibri"/>
          <w:snapToGrid/>
          <w:color w:val="000000"/>
          <w:kern w:val="0"/>
          <w:szCs w:val="22"/>
        </w:rPr>
        <w:t>:</w:t>
      </w:r>
    </w:p>
    <w:p w:rsidR="00624B0B" w:rsidRPr="003957BB" w:rsidP="00137E0A" w14:paraId="6E2547C1" w14:textId="65DAB8CB">
      <w:pPr>
        <w:widowControl/>
        <w:numPr>
          <w:ilvl w:val="0"/>
          <w:numId w:val="8"/>
        </w:numPr>
        <w:spacing w:after="120"/>
        <w:rPr>
          <w:rStyle w:val="Hyperlink"/>
          <w:rFonts w:eastAsia="Calibri"/>
          <w:snapToGrid/>
          <w:color w:val="000000"/>
          <w:kern w:val="0"/>
          <w:szCs w:val="22"/>
        </w:rPr>
      </w:pPr>
      <w:r w:rsidRPr="003957BB">
        <w:rPr>
          <w:rFonts w:eastAsia="Calibri"/>
          <w:snapToGrid/>
          <w:color w:val="000000"/>
          <w:kern w:val="0"/>
          <w:szCs w:val="22"/>
        </w:rPr>
        <w:t xml:space="preserve">David </w:t>
      </w:r>
      <w:r w:rsidRPr="003957BB" w:rsidR="00E57A20">
        <w:rPr>
          <w:rFonts w:eastAsia="Calibri"/>
          <w:snapToGrid/>
          <w:kern w:val="0"/>
          <w:szCs w:val="22"/>
        </w:rPr>
        <w:t>Brown</w:t>
      </w:r>
      <w:r w:rsidRPr="003957BB">
        <w:rPr>
          <w:rFonts w:eastAsia="Calibri"/>
          <w:snapToGrid/>
          <w:color w:val="000000"/>
          <w:kern w:val="0"/>
          <w:szCs w:val="22"/>
        </w:rPr>
        <w:t>, Video Division, Media Bureau, e-mail</w:t>
      </w:r>
      <w:r w:rsidRPr="003957BB" w:rsidR="00E57A20">
        <w:rPr>
          <w:rFonts w:eastAsia="Calibri"/>
          <w:snapToGrid/>
          <w:color w:val="000000"/>
          <w:kern w:val="0"/>
          <w:szCs w:val="22"/>
        </w:rPr>
        <w:t xml:space="preserve"> </w:t>
      </w:r>
      <w:hyperlink r:id="rId6" w:history="1">
        <w:r w:rsidRPr="003957BB" w:rsidR="00F147E8">
          <w:rPr>
            <w:rStyle w:val="Hyperlink"/>
            <w:rFonts w:eastAsia="Calibri"/>
            <w:snapToGrid/>
            <w:kern w:val="0"/>
            <w:szCs w:val="22"/>
          </w:rPr>
          <w:t>David.Brown@fcc.gov</w:t>
        </w:r>
      </w:hyperlink>
      <w:r w:rsidRPr="003957BB" w:rsidR="00F147E8">
        <w:rPr>
          <w:rFonts w:eastAsia="Calibri"/>
          <w:snapToGrid/>
          <w:color w:val="000000"/>
          <w:kern w:val="0"/>
          <w:szCs w:val="22"/>
        </w:rPr>
        <w:t xml:space="preserve"> </w:t>
      </w:r>
    </w:p>
    <w:p w:rsidR="00F147E8" w:rsidRPr="003957BB" w:rsidP="00F147E8" w14:paraId="273E9706" w14:textId="5F4137F1">
      <w:pPr>
        <w:widowControl/>
        <w:numPr>
          <w:ilvl w:val="0"/>
          <w:numId w:val="8"/>
        </w:numPr>
        <w:spacing w:after="120"/>
        <w:rPr>
          <w:rStyle w:val="Hyperlink"/>
          <w:rFonts w:eastAsia="Calibri"/>
          <w:snapToGrid/>
          <w:kern w:val="0"/>
          <w:szCs w:val="22"/>
        </w:rPr>
      </w:pPr>
      <w:r w:rsidRPr="003957BB">
        <w:rPr>
          <w:rFonts w:eastAsia="Calibri"/>
          <w:color w:val="000000"/>
          <w:szCs w:val="22"/>
        </w:rPr>
        <w:t>Emily Harrison</w:t>
      </w:r>
      <w:r w:rsidRPr="003957BB" w:rsidR="000D3A9D">
        <w:rPr>
          <w:rFonts w:eastAsia="Calibri"/>
          <w:color w:val="000000"/>
          <w:szCs w:val="22"/>
        </w:rPr>
        <w:t>, Video Division, Media Bureau, e-mail</w:t>
      </w:r>
      <w:r w:rsidRPr="003957BB" w:rsidR="000D3A9D">
        <w:rPr>
          <w:rStyle w:val="Hyperlink"/>
          <w:rFonts w:eastAsia="Calibri"/>
          <w:snapToGrid/>
          <w:kern w:val="0"/>
          <w:szCs w:val="22"/>
        </w:rPr>
        <w:t xml:space="preserve"> </w:t>
      </w:r>
      <w:hyperlink r:id="rId7" w:history="1">
        <w:r w:rsidRPr="003957BB">
          <w:rPr>
            <w:rStyle w:val="Hyperlink"/>
            <w:rFonts w:eastAsia="Calibri"/>
            <w:snapToGrid/>
            <w:kern w:val="0"/>
            <w:szCs w:val="22"/>
          </w:rPr>
          <w:t>Emily.Harrison@fcc.gov</w:t>
        </w:r>
      </w:hyperlink>
    </w:p>
    <w:p w:rsidR="00624B0B" w:rsidRPr="003957BB" w:rsidP="00137E0A" w14:paraId="273487D7" w14:textId="72B9E7C5">
      <w:pPr>
        <w:widowControl/>
        <w:spacing w:after="120"/>
        <w:ind w:firstLine="720"/>
        <w:rPr>
          <w:rFonts w:eastAsia="Calibri"/>
          <w:snapToGrid/>
          <w:color w:val="000000"/>
          <w:kern w:val="0"/>
          <w:szCs w:val="22"/>
        </w:rPr>
      </w:pPr>
      <w:r w:rsidRPr="003957BB">
        <w:rPr>
          <w:rFonts w:eastAsia="Calibri"/>
          <w:snapToGrid/>
          <w:color w:val="000000"/>
          <w:kern w:val="0"/>
          <w:szCs w:val="22"/>
        </w:rPr>
        <w:t xml:space="preserve">Any submission that is e-mailed to David </w:t>
      </w:r>
      <w:r w:rsidRPr="003957BB" w:rsidR="00E57A20">
        <w:rPr>
          <w:rFonts w:eastAsia="Calibri"/>
          <w:snapToGrid/>
          <w:color w:val="000000"/>
          <w:kern w:val="0"/>
          <w:szCs w:val="22"/>
        </w:rPr>
        <w:t>Brown or</w:t>
      </w:r>
      <w:r w:rsidRPr="003957BB" w:rsidR="00CD37D9">
        <w:rPr>
          <w:rFonts w:eastAsia="Calibri"/>
          <w:snapToGrid/>
          <w:color w:val="000000"/>
          <w:kern w:val="0"/>
          <w:szCs w:val="22"/>
        </w:rPr>
        <w:t xml:space="preserve"> </w:t>
      </w:r>
      <w:r w:rsidRPr="003957BB" w:rsidR="00AA2107">
        <w:rPr>
          <w:rFonts w:eastAsia="Calibri"/>
          <w:snapToGrid/>
          <w:color w:val="000000"/>
          <w:kern w:val="0"/>
          <w:szCs w:val="22"/>
        </w:rPr>
        <w:t>Emily Harrison</w:t>
      </w:r>
      <w:r w:rsidRPr="003957BB">
        <w:rPr>
          <w:rFonts w:eastAsia="Calibri"/>
          <w:snapToGrid/>
          <w:color w:val="000000"/>
          <w:kern w:val="0"/>
          <w:szCs w:val="22"/>
        </w:rPr>
        <w:t xml:space="preserve"> should include in the subject line of the e-mail:  (1) MB Docket No. 2</w:t>
      </w:r>
      <w:r w:rsidR="00FD0318">
        <w:rPr>
          <w:rFonts w:eastAsia="Calibri"/>
          <w:snapToGrid/>
          <w:color w:val="000000"/>
          <w:kern w:val="0"/>
          <w:szCs w:val="22"/>
        </w:rPr>
        <w:t>3</w:t>
      </w:r>
      <w:r w:rsidRPr="003957BB">
        <w:rPr>
          <w:rFonts w:eastAsia="Calibri"/>
          <w:snapToGrid/>
          <w:color w:val="000000"/>
          <w:kern w:val="0"/>
          <w:szCs w:val="22"/>
        </w:rPr>
        <w:t>-</w:t>
      </w:r>
      <w:r w:rsidR="00FD0318">
        <w:rPr>
          <w:rFonts w:eastAsia="Calibri"/>
          <w:snapToGrid/>
          <w:color w:val="000000"/>
          <w:kern w:val="0"/>
          <w:szCs w:val="22"/>
        </w:rPr>
        <w:t>2</w:t>
      </w:r>
      <w:r w:rsidRPr="003957BB">
        <w:rPr>
          <w:rFonts w:eastAsia="Calibri"/>
          <w:snapToGrid/>
          <w:color w:val="000000"/>
          <w:kern w:val="0"/>
          <w:szCs w:val="22"/>
        </w:rPr>
        <w:t>; (2) the name of the submitting party; (3) a brief description or title identifying the type of document being submitted (</w:t>
      </w:r>
      <w:r w:rsidRPr="003957BB">
        <w:rPr>
          <w:rFonts w:eastAsia="Calibri"/>
          <w:i/>
          <w:iCs/>
          <w:snapToGrid/>
          <w:color w:val="000000"/>
          <w:kern w:val="0"/>
          <w:szCs w:val="22"/>
        </w:rPr>
        <w:t>e.g.</w:t>
      </w:r>
      <w:r w:rsidRPr="003957BB">
        <w:rPr>
          <w:rFonts w:eastAsia="Calibri"/>
          <w:snapToGrid/>
          <w:color w:val="000000"/>
          <w:kern w:val="0"/>
          <w:szCs w:val="22"/>
        </w:rPr>
        <w:t>, MB Docket No. 2</w:t>
      </w:r>
      <w:r w:rsidR="00FD0318">
        <w:rPr>
          <w:rFonts w:eastAsia="Calibri"/>
          <w:snapToGrid/>
          <w:color w:val="000000"/>
          <w:kern w:val="0"/>
          <w:szCs w:val="22"/>
        </w:rPr>
        <w:t>3</w:t>
      </w:r>
      <w:r w:rsidRPr="003957BB">
        <w:rPr>
          <w:rFonts w:eastAsia="Calibri"/>
          <w:snapToGrid/>
          <w:color w:val="000000"/>
          <w:kern w:val="0"/>
          <w:szCs w:val="22"/>
        </w:rPr>
        <w:t>-</w:t>
      </w:r>
      <w:r w:rsidR="00FD0318">
        <w:rPr>
          <w:rFonts w:eastAsia="Calibri"/>
          <w:snapToGrid/>
          <w:color w:val="000000"/>
          <w:kern w:val="0"/>
          <w:szCs w:val="22"/>
        </w:rPr>
        <w:t>2</w:t>
      </w:r>
      <w:r w:rsidRPr="003957BB">
        <w:rPr>
          <w:rFonts w:eastAsia="Calibri"/>
          <w:snapToGrid/>
          <w:color w:val="000000"/>
          <w:kern w:val="0"/>
          <w:szCs w:val="22"/>
        </w:rPr>
        <w:t xml:space="preserve">, </w:t>
      </w:r>
      <w:r w:rsidRPr="003957BB" w:rsidR="00AA2107">
        <w:rPr>
          <w:rFonts w:eastAsia="Calibri"/>
          <w:snapToGrid/>
          <w:color w:val="000000"/>
          <w:kern w:val="0"/>
          <w:szCs w:val="22"/>
        </w:rPr>
        <w:t>Searchlight II HMT, L.P.</w:t>
      </w:r>
      <w:r w:rsidRPr="003957BB" w:rsidR="003C188E">
        <w:rPr>
          <w:rFonts w:eastAsia="Calibri"/>
          <w:snapToGrid/>
          <w:color w:val="000000"/>
          <w:kern w:val="0"/>
          <w:szCs w:val="22"/>
        </w:rPr>
        <w:t xml:space="preserve"> Petition for Declaratory Ruling</w:t>
      </w:r>
      <w:r w:rsidRPr="003957BB">
        <w:rPr>
          <w:rFonts w:eastAsia="Calibri"/>
          <w:snapToGrid/>
          <w:color w:val="000000"/>
          <w:kern w:val="0"/>
          <w:szCs w:val="22"/>
        </w:rPr>
        <w:t xml:space="preserve">, </w:t>
      </w:r>
      <w:r w:rsidRPr="003957BB">
        <w:rPr>
          <w:rFonts w:eastAsia="Calibri"/>
          <w:i/>
          <w:iCs/>
          <w:snapToGrid/>
          <w:color w:val="000000"/>
          <w:kern w:val="0"/>
          <w:szCs w:val="22"/>
        </w:rPr>
        <w:t xml:space="preserve">Ex </w:t>
      </w:r>
      <w:r w:rsidRPr="003957BB">
        <w:rPr>
          <w:rFonts w:eastAsia="Calibri"/>
          <w:i/>
          <w:iCs/>
          <w:snapToGrid/>
          <w:color w:val="000000"/>
          <w:kern w:val="0"/>
          <w:szCs w:val="22"/>
        </w:rPr>
        <w:t>Parte</w:t>
      </w:r>
      <w:r w:rsidRPr="003957BB">
        <w:rPr>
          <w:rFonts w:eastAsia="Calibri"/>
          <w:snapToGrid/>
          <w:color w:val="000000"/>
          <w:kern w:val="0"/>
          <w:szCs w:val="22"/>
        </w:rPr>
        <w:t xml:space="preserve"> Notice).</w:t>
      </w:r>
    </w:p>
    <w:p w:rsidR="00624B0B" w:rsidRPr="003957BB" w:rsidP="00137E0A" w14:paraId="254C0199" w14:textId="77777777">
      <w:pPr>
        <w:widowControl/>
        <w:spacing w:after="120"/>
        <w:ind w:firstLine="720"/>
        <w:rPr>
          <w:rFonts w:eastAsia="Calibri"/>
          <w:snapToGrid/>
          <w:kern w:val="0"/>
          <w:szCs w:val="22"/>
        </w:rPr>
      </w:pPr>
      <w:bookmarkStart w:id="6" w:name="co_pp_sp_999_4_1"/>
      <w:bookmarkStart w:id="7" w:name="co_pp_sp_4493_7386_1"/>
      <w:bookmarkEnd w:id="6"/>
      <w:bookmarkEnd w:id="7"/>
      <w:r w:rsidRPr="003957BB">
        <w:rPr>
          <w:rFonts w:eastAsia="Calibri"/>
          <w:i/>
          <w:iCs/>
          <w:snapToGrid/>
          <w:kern w:val="0"/>
          <w:szCs w:val="22"/>
        </w:rPr>
        <w:t>Availability of Documents</w:t>
      </w:r>
      <w:r w:rsidRPr="003957BB">
        <w:rPr>
          <w:rFonts w:eastAsia="Calibri"/>
          <w:snapToGrid/>
          <w:kern w:val="0"/>
          <w:szCs w:val="22"/>
        </w:rPr>
        <w:t xml:space="preserve">.  </w:t>
      </w:r>
      <w:r w:rsidRPr="003957BB">
        <w:rPr>
          <w:rFonts w:eastAsia="Calibri"/>
          <w:snapToGrid/>
          <w:color w:val="000000"/>
          <w:kern w:val="0"/>
          <w:szCs w:val="22"/>
        </w:rPr>
        <w:t>Documents</w:t>
      </w:r>
      <w:r w:rsidRPr="003957BB">
        <w:rPr>
          <w:rFonts w:eastAsia="Calibri"/>
          <w:snapToGrid/>
          <w:kern w:val="0"/>
          <w:szCs w:val="22"/>
        </w:rPr>
        <w:t xml:space="preserve"> in this proceeding are available electronically through ECFS.  ECFS may be accessed on the Commission’s Internet website at </w:t>
      </w:r>
      <w:hyperlink r:id="rId8" w:history="1">
        <w:r w:rsidRPr="003957BB">
          <w:rPr>
            <w:rFonts w:eastAsia="Calibri"/>
            <w:snapToGrid/>
            <w:color w:val="0000FF"/>
            <w:kern w:val="0"/>
            <w:szCs w:val="22"/>
            <w:u w:val="single"/>
          </w:rPr>
          <w:t>http://www.fcc.gov</w:t>
        </w:r>
      </w:hyperlink>
      <w:r w:rsidRPr="003957BB">
        <w:rPr>
          <w:rFonts w:eastAsia="Calibri"/>
          <w:snapToGrid/>
          <w:kern w:val="0"/>
          <w:szCs w:val="22"/>
        </w:rPr>
        <w:t>.</w:t>
      </w:r>
    </w:p>
    <w:p w:rsidR="00624B0B" w:rsidRPr="003957BB" w:rsidP="00137E0A" w14:paraId="6FE610CA" w14:textId="77777777">
      <w:pPr>
        <w:widowControl/>
        <w:spacing w:after="120"/>
        <w:ind w:firstLine="720"/>
        <w:rPr>
          <w:rFonts w:eastAsia="Calibri"/>
          <w:snapToGrid/>
          <w:kern w:val="0"/>
          <w:szCs w:val="22"/>
        </w:rPr>
      </w:pPr>
      <w:r w:rsidRPr="003957BB">
        <w:rPr>
          <w:rFonts w:eastAsia="Calibri"/>
          <w:i/>
          <w:iCs/>
          <w:snapToGrid/>
          <w:kern w:val="0"/>
          <w:szCs w:val="22"/>
        </w:rPr>
        <w:t>People with Disabilities</w:t>
      </w:r>
      <w:r w:rsidRPr="003957BB">
        <w:rPr>
          <w:rFonts w:eastAsia="Calibri"/>
          <w:snapToGrid/>
          <w:kern w:val="0"/>
          <w:szCs w:val="22"/>
        </w:rPr>
        <w:t xml:space="preserve">.  To </w:t>
      </w:r>
      <w:r w:rsidRPr="003957BB">
        <w:rPr>
          <w:rFonts w:eastAsia="Calibri"/>
          <w:snapToGrid/>
          <w:color w:val="000000"/>
          <w:kern w:val="0"/>
          <w:szCs w:val="22"/>
        </w:rPr>
        <w:t>request</w:t>
      </w:r>
      <w:r w:rsidRPr="003957BB">
        <w:rPr>
          <w:rFonts w:eastAsia="Calibri"/>
          <w:snapToGrid/>
          <w:kern w:val="0"/>
          <w:szCs w:val="22"/>
        </w:rPr>
        <w:t xml:space="preserve"> materials in accessible formats for people with disabilities (braille, large print, electronic files, audio format), send an e-mail to </w:t>
      </w:r>
      <w:hyperlink r:id="rId9" w:history="1">
        <w:r w:rsidRPr="003957BB" w:rsidR="0059605A">
          <w:rPr>
            <w:rStyle w:val="Hyperlink"/>
            <w:rFonts w:eastAsia="Calibri"/>
            <w:snapToGrid/>
            <w:kern w:val="0"/>
            <w:szCs w:val="22"/>
          </w:rPr>
          <w:t>fcc504@fcc.gov</w:t>
        </w:r>
      </w:hyperlink>
      <w:r w:rsidRPr="003957BB" w:rsidR="0059605A">
        <w:rPr>
          <w:rFonts w:eastAsia="Calibri"/>
          <w:snapToGrid/>
          <w:kern w:val="0"/>
          <w:szCs w:val="22"/>
        </w:rPr>
        <w:t xml:space="preserve"> </w:t>
      </w:r>
      <w:r w:rsidRPr="003957BB">
        <w:rPr>
          <w:rFonts w:eastAsia="Calibri"/>
          <w:snapToGrid/>
          <w:kern w:val="0"/>
          <w:szCs w:val="22"/>
        </w:rPr>
        <w:t>or call the Consumer &amp; Governmental Affairs Bureau at 202-418-0530 (voice), 202-418-0432 (TTY).</w:t>
      </w:r>
    </w:p>
    <w:p w:rsidR="00624B0B" w:rsidRPr="003957BB" w:rsidP="00137E0A" w14:paraId="681EF6CA" w14:textId="400CBB7D">
      <w:pPr>
        <w:widowControl/>
        <w:spacing w:after="120"/>
        <w:ind w:firstLine="720"/>
        <w:rPr>
          <w:rFonts w:eastAsia="Calibri"/>
          <w:snapToGrid/>
          <w:color w:val="000000"/>
          <w:kern w:val="0"/>
          <w:szCs w:val="22"/>
        </w:rPr>
      </w:pPr>
      <w:r w:rsidRPr="003957BB">
        <w:rPr>
          <w:rFonts w:eastAsia="Calibri"/>
          <w:snapToGrid/>
          <w:color w:val="000000"/>
          <w:kern w:val="0"/>
          <w:szCs w:val="22"/>
        </w:rPr>
        <w:t xml:space="preserve">For further information, contact David </w:t>
      </w:r>
      <w:r w:rsidRPr="003957BB" w:rsidR="00B027E4">
        <w:rPr>
          <w:rFonts w:eastAsia="Calibri"/>
          <w:snapToGrid/>
          <w:color w:val="000000"/>
          <w:kern w:val="0"/>
          <w:szCs w:val="22"/>
        </w:rPr>
        <w:t xml:space="preserve">Brown </w:t>
      </w:r>
      <w:r w:rsidRPr="003957BB">
        <w:rPr>
          <w:rFonts w:eastAsia="Calibri"/>
          <w:snapToGrid/>
          <w:color w:val="000000"/>
          <w:kern w:val="0"/>
          <w:szCs w:val="22"/>
        </w:rPr>
        <w:t>at (202) 418-16</w:t>
      </w:r>
      <w:r w:rsidRPr="003957BB" w:rsidR="009E15F2">
        <w:rPr>
          <w:rFonts w:eastAsia="Calibri"/>
          <w:snapToGrid/>
          <w:color w:val="000000"/>
          <w:kern w:val="0"/>
          <w:szCs w:val="22"/>
        </w:rPr>
        <w:t>45</w:t>
      </w:r>
      <w:r w:rsidRPr="003957BB" w:rsidR="00B027E4">
        <w:rPr>
          <w:rFonts w:eastAsia="Calibri"/>
          <w:snapToGrid/>
          <w:color w:val="000000"/>
          <w:kern w:val="0"/>
          <w:szCs w:val="22"/>
        </w:rPr>
        <w:t xml:space="preserve"> or</w:t>
      </w:r>
      <w:r w:rsidRPr="003957BB" w:rsidR="00CD37D9">
        <w:rPr>
          <w:rFonts w:eastAsia="Calibri"/>
          <w:snapToGrid/>
          <w:color w:val="000000"/>
          <w:kern w:val="0"/>
          <w:szCs w:val="22"/>
        </w:rPr>
        <w:t xml:space="preserve"> </w:t>
      </w:r>
      <w:r w:rsidRPr="003957BB" w:rsidR="00AA2107">
        <w:rPr>
          <w:rFonts w:eastAsia="Calibri"/>
          <w:snapToGrid/>
          <w:color w:val="000000"/>
          <w:kern w:val="0"/>
          <w:szCs w:val="22"/>
        </w:rPr>
        <w:t>Emily Harrison</w:t>
      </w:r>
      <w:r w:rsidRPr="003957BB" w:rsidR="00CD37D9">
        <w:rPr>
          <w:rFonts w:eastAsia="Calibri"/>
          <w:snapToGrid/>
          <w:color w:val="000000"/>
          <w:kern w:val="0"/>
          <w:szCs w:val="22"/>
        </w:rPr>
        <w:t xml:space="preserve"> at (202) 418-</w:t>
      </w:r>
      <w:r w:rsidRPr="003957BB" w:rsidR="00AA2107">
        <w:rPr>
          <w:rFonts w:eastAsia="Calibri"/>
          <w:snapToGrid/>
          <w:color w:val="000000"/>
          <w:kern w:val="0"/>
          <w:szCs w:val="22"/>
        </w:rPr>
        <w:t>1665</w:t>
      </w:r>
      <w:r w:rsidRPr="003957BB">
        <w:rPr>
          <w:rFonts w:eastAsia="Calibri"/>
          <w:snapToGrid/>
          <w:color w:val="000000"/>
          <w:kern w:val="0"/>
          <w:szCs w:val="22"/>
        </w:rPr>
        <w:t>.  For press inquiries, contact Janice Wise at (202) 418-</w:t>
      </w:r>
      <w:r w:rsidRPr="003957BB" w:rsidR="000D6652">
        <w:rPr>
          <w:rFonts w:eastAsia="Calibri"/>
          <w:snapToGrid/>
          <w:color w:val="000000"/>
          <w:kern w:val="0"/>
          <w:szCs w:val="22"/>
        </w:rPr>
        <w:t>81</w:t>
      </w:r>
      <w:r w:rsidRPr="003957BB">
        <w:rPr>
          <w:rFonts w:eastAsia="Calibri"/>
          <w:snapToGrid/>
          <w:color w:val="000000"/>
          <w:kern w:val="0"/>
          <w:szCs w:val="22"/>
        </w:rPr>
        <w:t>65.</w:t>
      </w:r>
    </w:p>
    <w:p w:rsidR="00624B0B" w:rsidRPr="003957BB" w:rsidP="00137E0A" w14:paraId="06EE8252" w14:textId="0F9290CD">
      <w:pPr>
        <w:widowControl/>
        <w:spacing w:after="120"/>
        <w:ind w:firstLine="720"/>
        <w:rPr>
          <w:rFonts w:eastAsia="Calibri"/>
          <w:snapToGrid/>
          <w:color w:val="000000"/>
          <w:kern w:val="0"/>
          <w:szCs w:val="22"/>
        </w:rPr>
      </w:pPr>
      <w:r w:rsidRPr="003957BB">
        <w:rPr>
          <w:rFonts w:eastAsia="Calibri"/>
          <w:snapToGrid/>
          <w:kern w:val="0"/>
          <w:szCs w:val="22"/>
        </w:rPr>
        <w:t xml:space="preserve">This action is taken by the Chief, </w:t>
      </w:r>
      <w:r w:rsidRPr="003957BB">
        <w:rPr>
          <w:rFonts w:eastAsia="Calibri"/>
          <w:snapToGrid/>
          <w:color w:val="000000"/>
          <w:kern w:val="0"/>
          <w:szCs w:val="22"/>
        </w:rPr>
        <w:t>Media</w:t>
      </w:r>
      <w:r w:rsidRPr="003957BB">
        <w:rPr>
          <w:rFonts w:eastAsia="Calibri"/>
          <w:snapToGrid/>
          <w:kern w:val="0"/>
          <w:szCs w:val="22"/>
        </w:rPr>
        <w:t xml:space="preserve"> Bureau, pursuant to authority delegated by sections 0.61 and 0.283 of the Commission’s rules.</w:t>
      </w:r>
      <w:r>
        <w:rPr>
          <w:rFonts w:eastAsia="Calibri"/>
          <w:snapToGrid/>
          <w:kern w:val="0"/>
          <w:szCs w:val="22"/>
          <w:vertAlign w:val="superscript"/>
        </w:rPr>
        <w:footnoteReference w:id="37"/>
      </w:r>
      <w:r w:rsidR="00606768">
        <w:rPr>
          <w:rFonts w:eastAsia="Calibri"/>
          <w:snapToGrid/>
          <w:kern w:val="0"/>
          <w:szCs w:val="22"/>
        </w:rPr>
        <w:t xml:space="preserve"> </w:t>
      </w:r>
      <w:r w:rsidR="00390A73">
        <w:rPr>
          <w:rFonts w:eastAsia="Calibri"/>
          <w:snapToGrid/>
          <w:kern w:val="0"/>
          <w:szCs w:val="22"/>
        </w:rPr>
        <w:t xml:space="preserve"> </w:t>
      </w:r>
    </w:p>
    <w:p w:rsidR="00344BF3" w:rsidRPr="009B5E4C" w:rsidP="00181972" w14:paraId="070A3C97" w14:textId="77777777">
      <w:pPr>
        <w:widowControl/>
        <w:spacing w:after="160" w:line="259" w:lineRule="auto"/>
        <w:jc w:val="center"/>
        <w:rPr>
          <w:rFonts w:eastAsia="Calibri"/>
          <w:b/>
          <w:bCs/>
          <w:snapToGrid/>
          <w:kern w:val="0"/>
          <w:szCs w:val="22"/>
        </w:rPr>
      </w:pPr>
      <w:r w:rsidRPr="003957BB">
        <w:rPr>
          <w:rFonts w:eastAsia="Calibri"/>
          <w:b/>
          <w:bCs/>
          <w:snapToGrid/>
          <w:kern w:val="0"/>
          <w:szCs w:val="22"/>
        </w:rPr>
        <w:t>- FCC -</w:t>
      </w:r>
    </w:p>
    <w:p w:rsidR="00B554AD" w:rsidRPr="009B5E4C" w14:paraId="2EC31432" w14:textId="77777777">
      <w:pPr>
        <w:rPr>
          <w:szCs w:val="22"/>
        </w:rPr>
      </w:pPr>
    </w:p>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4F178679" w14:textId="77777777">
    <w:pPr>
      <w:pStyle w:val="Footer"/>
      <w:framePr w:wrap="around" w:vAnchor="text" w:hAnchor="margin" w:xAlign="center" w:y="1"/>
    </w:pPr>
    <w:r>
      <w:fldChar w:fldCharType="begin"/>
    </w:r>
    <w:r>
      <w:instrText xml:space="preserve">PAGE  </w:instrText>
    </w:r>
    <w:r w:rsidR="00394DDE">
      <w:fldChar w:fldCharType="separate"/>
    </w:r>
    <w:r>
      <w:fldChar w:fldCharType="end"/>
    </w:r>
  </w:p>
  <w:p w:rsidR="00344BF3" w14:paraId="548EB6F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08D046C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77912E1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C73EF" w14:paraId="690CAD9D" w14:textId="77777777">
      <w:r>
        <w:separator/>
      </w:r>
    </w:p>
  </w:footnote>
  <w:footnote w:type="continuationSeparator" w:id="1">
    <w:p w:rsidR="00AC73EF" w14:paraId="4BAD65DE" w14:textId="77777777">
      <w:pPr>
        <w:rPr>
          <w:sz w:val="20"/>
        </w:rPr>
      </w:pPr>
      <w:r>
        <w:rPr>
          <w:sz w:val="20"/>
        </w:rPr>
        <w:t xml:space="preserve">(Continued from previous page)  </w:t>
      </w:r>
      <w:r>
        <w:rPr>
          <w:sz w:val="20"/>
        </w:rPr>
        <w:separator/>
      </w:r>
    </w:p>
  </w:footnote>
  <w:footnote w:type="continuationNotice" w:id="2">
    <w:p w:rsidR="00AC73EF" w14:paraId="1ECFEBA7" w14:textId="77777777">
      <w:pPr>
        <w:jc w:val="right"/>
        <w:rPr>
          <w:sz w:val="20"/>
        </w:rPr>
      </w:pPr>
      <w:r>
        <w:rPr>
          <w:sz w:val="20"/>
        </w:rPr>
        <w:t>(continued….)</w:t>
      </w:r>
    </w:p>
  </w:footnote>
  <w:footnote w:id="3">
    <w:p w:rsidR="00614093" w:rsidRPr="006E392B" w:rsidP="00EE7C0D" w14:paraId="4BEE0713" w14:textId="0D1C4D20">
      <w:pPr>
        <w:widowControl/>
        <w:autoSpaceDE w:val="0"/>
        <w:autoSpaceDN w:val="0"/>
        <w:adjustRightInd w:val="0"/>
        <w:spacing w:after="120"/>
        <w:rPr>
          <w:snapToGrid/>
          <w:kern w:val="0"/>
          <w:sz w:val="20"/>
        </w:rPr>
      </w:pPr>
      <w:r w:rsidRPr="006E392B">
        <w:rPr>
          <w:rStyle w:val="FootnoteReference"/>
          <w:sz w:val="20"/>
        </w:rPr>
        <w:footnoteRef/>
      </w:r>
      <w:r w:rsidRPr="006E392B">
        <w:rPr>
          <w:sz w:val="20"/>
        </w:rPr>
        <w:t xml:space="preserve"> 47 U.S.C. § 310(b)(4)</w:t>
      </w:r>
      <w:r w:rsidRPr="006E392B" w:rsidR="0065049E">
        <w:rPr>
          <w:sz w:val="20"/>
        </w:rPr>
        <w:t xml:space="preserve"> </w:t>
      </w:r>
      <w:r w:rsidRPr="006E392B" w:rsidR="0065049E">
        <w:rPr>
          <w:snapToGrid/>
          <w:kern w:val="0"/>
          <w:sz w:val="20"/>
        </w:rPr>
        <w:t xml:space="preserve">(“No broadcast or common carrier or aeronautical </w:t>
      </w:r>
      <w:r w:rsidRPr="006E392B" w:rsidR="0065049E">
        <w:rPr>
          <w:snapToGrid/>
          <w:kern w:val="0"/>
          <w:sz w:val="20"/>
        </w:rPr>
        <w:t>en</w:t>
      </w:r>
      <w:r w:rsidRPr="006E392B" w:rsidR="0065049E">
        <w:rPr>
          <w:snapToGrid/>
          <w:kern w:val="0"/>
          <w:sz w:val="20"/>
        </w:rPr>
        <w:t xml:space="preserve"> route or aeronautical fixed radio station license shall be granted to or held by</w:t>
      </w:r>
      <w:r w:rsidRPr="006E392B" w:rsidR="00CA69E0">
        <w:rPr>
          <w:snapToGrid/>
          <w:kern w:val="0"/>
          <w:sz w:val="20"/>
        </w:rPr>
        <w:t xml:space="preserve"> . . . </w:t>
      </w:r>
      <w:r w:rsidRPr="006E392B" w:rsidR="0065049E">
        <w:rPr>
          <w:snapToGrid/>
          <w:kern w:val="0"/>
          <w:sz w:val="20"/>
        </w:rPr>
        <w:t>any corporation directly or indirectly controlled by any other corporation of which more than one-fourth of the capital stock is owned of record or voted by aliens, their representatives, or by a foreign government or representative thereof, or by any corporation organized under the laws of a foreign country, if the Commission finds that the public interest will be served by the refusal or revocation of such license</w:t>
      </w:r>
      <w:r w:rsidRPr="006E392B" w:rsidR="00B866A4">
        <w:rPr>
          <w:snapToGrid/>
          <w:kern w:val="0"/>
          <w:sz w:val="20"/>
        </w:rPr>
        <w:t>.</w:t>
      </w:r>
      <w:r w:rsidRPr="006E392B" w:rsidR="0065049E">
        <w:rPr>
          <w:snapToGrid/>
          <w:kern w:val="0"/>
          <w:sz w:val="20"/>
        </w:rPr>
        <w:t>”)</w:t>
      </w:r>
      <w:r w:rsidRPr="006E392B">
        <w:rPr>
          <w:sz w:val="20"/>
        </w:rPr>
        <w:t xml:space="preserve">.  </w:t>
      </w:r>
      <w:r w:rsidRPr="006E392B">
        <w:rPr>
          <w:i/>
          <w:iCs/>
          <w:sz w:val="20"/>
        </w:rPr>
        <w:t>See also</w:t>
      </w:r>
      <w:r w:rsidRPr="006E392B">
        <w:rPr>
          <w:sz w:val="20"/>
        </w:rPr>
        <w:t xml:space="preserve"> 47 CFR § 1.5000 </w:t>
      </w:r>
      <w:r w:rsidRPr="006E392B">
        <w:rPr>
          <w:i/>
          <w:iCs/>
          <w:sz w:val="20"/>
        </w:rPr>
        <w:t>et seq.</w:t>
      </w:r>
    </w:p>
  </w:footnote>
  <w:footnote w:id="4">
    <w:p w:rsidR="00E964C8" w:rsidRPr="006E392B" w:rsidP="00EE7C0D" w14:paraId="0A68EEA1" w14:textId="307507A0">
      <w:pPr>
        <w:pStyle w:val="FootnoteText"/>
      </w:pPr>
      <w:r w:rsidRPr="006E392B">
        <w:rPr>
          <w:rStyle w:val="FootnoteReference"/>
          <w:sz w:val="20"/>
        </w:rPr>
        <w:footnoteRef/>
      </w:r>
      <w:r w:rsidRPr="006E392B">
        <w:t xml:space="preserve"> </w:t>
      </w:r>
      <w:r w:rsidRPr="006E392B" w:rsidR="00614093">
        <w:t xml:space="preserve">Petition at </w:t>
      </w:r>
      <w:r w:rsidRPr="006E392B" w:rsidR="00B46005">
        <w:t>2</w:t>
      </w:r>
      <w:r w:rsidRPr="006E392B" w:rsidR="00614093">
        <w:t>.</w:t>
      </w:r>
      <w:r w:rsidRPr="006E392B" w:rsidR="00B46005">
        <w:t xml:space="preserve">  The Petition was filed on September 23, 2022, amended on October 13, 2022 (Amended &amp; Restated</w:t>
      </w:r>
      <w:r w:rsidRPr="006E392B" w:rsidR="00F64F22">
        <w:t xml:space="preserve"> Petition</w:t>
      </w:r>
      <w:r w:rsidRPr="006E392B" w:rsidR="00B46005">
        <w:t>), and further amended on November 10, 2022 (Second Amended &amp; Restated</w:t>
      </w:r>
      <w:r w:rsidRPr="006E392B" w:rsidR="00F64F22">
        <w:t xml:space="preserve"> Petition</w:t>
      </w:r>
      <w:r w:rsidRPr="006E392B" w:rsidR="00B46005">
        <w:t xml:space="preserve">).  </w:t>
      </w:r>
    </w:p>
  </w:footnote>
  <w:footnote w:id="5">
    <w:p w:rsidR="00E964C8" w:rsidRPr="006E392B" w:rsidP="00EE7C0D" w14:paraId="76974ADC" w14:textId="59374AB9">
      <w:pPr>
        <w:widowControl/>
        <w:autoSpaceDE w:val="0"/>
        <w:autoSpaceDN w:val="0"/>
        <w:adjustRightInd w:val="0"/>
        <w:spacing w:after="120"/>
        <w:rPr>
          <w:snapToGrid/>
          <w:kern w:val="0"/>
          <w:sz w:val="20"/>
        </w:rPr>
      </w:pPr>
      <w:r w:rsidRPr="006E392B">
        <w:rPr>
          <w:rStyle w:val="FootnoteReference"/>
          <w:sz w:val="20"/>
        </w:rPr>
        <w:footnoteRef/>
      </w:r>
      <w:r w:rsidRPr="006E392B">
        <w:rPr>
          <w:sz w:val="20"/>
        </w:rPr>
        <w:t xml:space="preserve"> </w:t>
      </w:r>
      <w:r w:rsidRPr="006E392B">
        <w:rPr>
          <w:i/>
          <w:iCs/>
          <w:sz w:val="20"/>
        </w:rPr>
        <w:t>See Hemisphere Media Group, Inc. Petition for Declaratory Ruling</w:t>
      </w:r>
      <w:r w:rsidRPr="006E392B">
        <w:rPr>
          <w:sz w:val="20"/>
        </w:rPr>
        <w:t xml:space="preserve">, Declaratory Ruling and Memorandum Opinion and Order, 34 FCC </w:t>
      </w:r>
      <w:r w:rsidRPr="006E392B">
        <w:rPr>
          <w:sz w:val="20"/>
        </w:rPr>
        <w:t>Rcd</w:t>
      </w:r>
      <w:r w:rsidRPr="006E392B">
        <w:rPr>
          <w:sz w:val="20"/>
        </w:rPr>
        <w:t xml:space="preserve"> 10504 (2019)</w:t>
      </w:r>
      <w:r w:rsidRPr="006E392B" w:rsidR="00EE7C0D">
        <w:rPr>
          <w:sz w:val="20"/>
        </w:rPr>
        <w:t xml:space="preserve"> (</w:t>
      </w:r>
      <w:r w:rsidRPr="006E392B" w:rsidR="00EE7C0D">
        <w:rPr>
          <w:i/>
          <w:iCs/>
          <w:sz w:val="20"/>
        </w:rPr>
        <w:t>Hemisphere Declaratory Ruling</w:t>
      </w:r>
      <w:r w:rsidRPr="006E392B" w:rsidR="00EE7C0D">
        <w:rPr>
          <w:sz w:val="20"/>
        </w:rPr>
        <w:t>)</w:t>
      </w:r>
      <w:r w:rsidRPr="006E392B">
        <w:rPr>
          <w:sz w:val="20"/>
        </w:rPr>
        <w:t>.</w:t>
      </w:r>
      <w:r w:rsidRPr="006E392B" w:rsidR="00F64F22">
        <w:rPr>
          <w:sz w:val="20"/>
        </w:rPr>
        <w:t xml:space="preserve">  The Amended &amp; Restated Petition made clear that Searchlight II HMT was seeking a new ruling under </w:t>
      </w:r>
      <w:r w:rsidRPr="006E392B" w:rsidR="005560BC">
        <w:rPr>
          <w:sz w:val="20"/>
        </w:rPr>
        <w:t xml:space="preserve">section 310(b)(4) of the Act and </w:t>
      </w:r>
      <w:r w:rsidRPr="006E392B" w:rsidR="00F64F22">
        <w:rPr>
          <w:sz w:val="20"/>
        </w:rPr>
        <w:t xml:space="preserve">section 1.5000 </w:t>
      </w:r>
      <w:r w:rsidRPr="006E392B" w:rsidR="00F64F22">
        <w:rPr>
          <w:i/>
          <w:iCs/>
          <w:sz w:val="20"/>
        </w:rPr>
        <w:t>et seq</w:t>
      </w:r>
      <w:r w:rsidRPr="006E392B" w:rsidR="00F64F22">
        <w:rPr>
          <w:sz w:val="20"/>
        </w:rPr>
        <w:t xml:space="preserve">. of the Commission’s rules, but to the extent necessary, requested the Commission to reissue its approval for foreign entities and/or individuals, in the aggregate, to hold up to 100 percent of HMTV’s equity and voting interests.  </w:t>
      </w:r>
      <w:r w:rsidRPr="006E392B" w:rsidR="00F64F22">
        <w:rPr>
          <w:i/>
          <w:iCs/>
          <w:sz w:val="20"/>
        </w:rPr>
        <w:t xml:space="preserve">See </w:t>
      </w:r>
      <w:r w:rsidRPr="006E392B" w:rsidR="00F64F22">
        <w:rPr>
          <w:sz w:val="20"/>
        </w:rPr>
        <w:t xml:space="preserve">47 CFR § 1.5000 </w:t>
      </w:r>
      <w:r w:rsidRPr="006E392B" w:rsidR="00F64F22">
        <w:rPr>
          <w:i/>
          <w:iCs/>
          <w:sz w:val="20"/>
        </w:rPr>
        <w:t>et seq.</w:t>
      </w:r>
      <w:r w:rsidRPr="006E392B" w:rsidR="00EE7C0D">
        <w:rPr>
          <w:sz w:val="20"/>
        </w:rPr>
        <w:t xml:space="preserve">  The </w:t>
      </w:r>
      <w:r w:rsidRPr="006E392B" w:rsidR="00EE7C0D">
        <w:rPr>
          <w:i/>
          <w:iCs/>
          <w:sz w:val="20"/>
        </w:rPr>
        <w:t>Hemisphere Declaratory Ruling</w:t>
      </w:r>
      <w:r w:rsidRPr="006E392B" w:rsidR="00EE7C0D">
        <w:rPr>
          <w:sz w:val="20"/>
        </w:rPr>
        <w:t xml:space="preserve"> provided specific approval for certain foreign investors, but the interests held by those investors were acquired by Gato Investments LP</w:t>
      </w:r>
      <w:r w:rsidRPr="006E392B" w:rsidR="00421366">
        <w:rPr>
          <w:sz w:val="20"/>
        </w:rPr>
        <w:t xml:space="preserve"> (Gato)</w:t>
      </w:r>
      <w:r w:rsidRPr="006E392B" w:rsidR="00EE7C0D">
        <w:rPr>
          <w:sz w:val="20"/>
        </w:rPr>
        <w:t xml:space="preserve"> in connection with a take-private transaction that was consummated on September 13, 2022.  </w:t>
      </w:r>
      <w:r w:rsidRPr="006E392B" w:rsidR="00EE7C0D">
        <w:rPr>
          <w:snapToGrid/>
          <w:kern w:val="0"/>
          <w:sz w:val="20"/>
        </w:rPr>
        <w:t xml:space="preserve">Upon the closing of that transaction, 100 percent of the outstanding common stock of HMTV </w:t>
      </w:r>
      <w:r w:rsidRPr="006E392B" w:rsidR="009B5E4C">
        <w:rPr>
          <w:snapToGrid/>
          <w:kern w:val="0"/>
          <w:sz w:val="20"/>
        </w:rPr>
        <w:t>became</w:t>
      </w:r>
      <w:r w:rsidRPr="006E392B" w:rsidR="00EE7C0D">
        <w:rPr>
          <w:snapToGrid/>
          <w:kern w:val="0"/>
          <w:sz w:val="20"/>
        </w:rPr>
        <w:t xml:space="preserve"> indirectly owned by Gato, and HMTV </w:t>
      </w:r>
      <w:r w:rsidRPr="006E392B" w:rsidR="00072214">
        <w:rPr>
          <w:snapToGrid/>
          <w:kern w:val="0"/>
          <w:sz w:val="20"/>
        </w:rPr>
        <w:t>became</w:t>
      </w:r>
      <w:r w:rsidRPr="006E392B" w:rsidR="00EE7C0D">
        <w:rPr>
          <w:snapToGrid/>
          <w:kern w:val="0"/>
          <w:sz w:val="20"/>
        </w:rPr>
        <w:t xml:space="preserve"> no longer publicly traded. </w:t>
      </w:r>
      <w:r w:rsidRPr="006E392B" w:rsidR="00325F28">
        <w:rPr>
          <w:snapToGrid/>
          <w:kern w:val="0"/>
          <w:sz w:val="20"/>
        </w:rPr>
        <w:t xml:space="preserve"> </w:t>
      </w:r>
      <w:r w:rsidRPr="006E392B" w:rsidR="00EE7C0D">
        <w:rPr>
          <w:i/>
          <w:iCs/>
          <w:snapToGrid/>
          <w:kern w:val="0"/>
          <w:sz w:val="20"/>
        </w:rPr>
        <w:t xml:space="preserve">See </w:t>
      </w:r>
      <w:r w:rsidRPr="006E392B" w:rsidR="00EE7C0D">
        <w:rPr>
          <w:snapToGrid/>
          <w:kern w:val="0"/>
          <w:sz w:val="20"/>
        </w:rPr>
        <w:t>LMS File No. 0000191021.</w:t>
      </w:r>
      <w:r w:rsidRPr="006E392B" w:rsidR="00421366">
        <w:rPr>
          <w:snapToGrid/>
          <w:kern w:val="0"/>
          <w:sz w:val="20"/>
        </w:rPr>
        <w:t xml:space="preserve"> </w:t>
      </w:r>
      <w:r w:rsidRPr="006E392B" w:rsidR="00EE7C0D">
        <w:rPr>
          <w:i/>
          <w:iCs/>
          <w:sz w:val="20"/>
        </w:rPr>
        <w:t xml:space="preserve"> See</w:t>
      </w:r>
      <w:r w:rsidRPr="006E392B" w:rsidR="00EE7C0D">
        <w:rPr>
          <w:sz w:val="20"/>
        </w:rPr>
        <w:t xml:space="preserve"> </w:t>
      </w:r>
      <w:r w:rsidRPr="006E392B" w:rsidR="00421366">
        <w:rPr>
          <w:i/>
          <w:iCs/>
          <w:sz w:val="20"/>
        </w:rPr>
        <w:t>also</w:t>
      </w:r>
      <w:r w:rsidRPr="006E392B" w:rsidR="00421366">
        <w:rPr>
          <w:sz w:val="20"/>
        </w:rPr>
        <w:t xml:space="preserve"> </w:t>
      </w:r>
      <w:r w:rsidRPr="006E392B" w:rsidR="00EE7C0D">
        <w:rPr>
          <w:sz w:val="20"/>
        </w:rPr>
        <w:t xml:space="preserve">Amended &amp; Restated Petition at </w:t>
      </w:r>
      <w:r w:rsidRPr="006E392B" w:rsidR="005560BC">
        <w:rPr>
          <w:sz w:val="20"/>
        </w:rPr>
        <w:t>2-</w:t>
      </w:r>
      <w:r w:rsidRPr="006E392B" w:rsidR="00EE7C0D">
        <w:rPr>
          <w:sz w:val="20"/>
        </w:rPr>
        <w:t xml:space="preserve">3 and </w:t>
      </w:r>
      <w:r w:rsidRPr="006E392B" w:rsidR="00EE7C0D">
        <w:rPr>
          <w:sz w:val="20"/>
        </w:rPr>
        <w:t>n</w:t>
      </w:r>
      <w:r w:rsidRPr="006E392B" w:rsidR="00A220A5">
        <w:rPr>
          <w:sz w:val="20"/>
        </w:rPr>
        <w:t>n</w:t>
      </w:r>
      <w:r w:rsidRPr="006E392B" w:rsidR="00EE7C0D">
        <w:rPr>
          <w:sz w:val="20"/>
        </w:rPr>
        <w:t>.</w:t>
      </w:r>
      <w:r w:rsidRPr="006E392B" w:rsidR="00A220A5">
        <w:rPr>
          <w:sz w:val="20"/>
        </w:rPr>
        <w:t xml:space="preserve"> 4 and </w:t>
      </w:r>
      <w:r w:rsidRPr="006E392B" w:rsidR="00EE7C0D">
        <w:rPr>
          <w:sz w:val="20"/>
        </w:rPr>
        <w:t>6.</w:t>
      </w:r>
    </w:p>
  </w:footnote>
  <w:footnote w:id="6">
    <w:p w:rsidR="00343E35" w:rsidRPr="006E392B" w:rsidP="00EE7C0D" w14:paraId="16C3DD3F" w14:textId="404B7608">
      <w:pPr>
        <w:pStyle w:val="FootnoteText"/>
      </w:pPr>
      <w:r w:rsidRPr="006E392B">
        <w:rPr>
          <w:rStyle w:val="FootnoteReference"/>
          <w:sz w:val="20"/>
        </w:rPr>
        <w:footnoteRef/>
      </w:r>
      <w:r w:rsidRPr="006E392B">
        <w:t xml:space="preserve"> Second Amended &amp; Restated Petition at 1.</w:t>
      </w:r>
    </w:p>
  </w:footnote>
  <w:footnote w:id="7">
    <w:p w:rsidR="00343E35" w:rsidRPr="006E392B" w:rsidP="00EE7C0D" w14:paraId="3459457A" w14:textId="692517A8">
      <w:pPr>
        <w:pStyle w:val="FootnoteText"/>
      </w:pPr>
      <w:r w:rsidRPr="006E392B">
        <w:rPr>
          <w:rStyle w:val="FootnoteReference"/>
          <w:sz w:val="20"/>
        </w:rPr>
        <w:footnoteRef/>
      </w:r>
      <w:r w:rsidRPr="006E392B">
        <w:t xml:space="preserve"> </w:t>
      </w:r>
      <w:r w:rsidRPr="006E392B">
        <w:rPr>
          <w:i/>
          <w:iCs/>
        </w:rPr>
        <w:t>Id</w:t>
      </w:r>
      <w:r w:rsidRPr="006E392B">
        <w:t>.</w:t>
      </w:r>
    </w:p>
  </w:footnote>
  <w:footnote w:id="8">
    <w:p w:rsidR="00A22183" w:rsidRPr="006E392B" w14:paraId="7930A794" w14:textId="39CB8593">
      <w:pPr>
        <w:pStyle w:val="FootnoteText"/>
      </w:pPr>
      <w:r w:rsidRPr="006E392B">
        <w:rPr>
          <w:rStyle w:val="FootnoteReference"/>
          <w:sz w:val="20"/>
        </w:rPr>
        <w:footnoteRef/>
      </w:r>
      <w:r w:rsidRPr="006E392B">
        <w:t xml:space="preserve"> </w:t>
      </w:r>
      <w:r w:rsidRPr="006E392B">
        <w:rPr>
          <w:i/>
          <w:iCs/>
        </w:rPr>
        <w:t>Id</w:t>
      </w:r>
      <w:r w:rsidRPr="006E392B">
        <w:t>. at 6-8, Exhibit A.</w:t>
      </w:r>
    </w:p>
  </w:footnote>
  <w:footnote w:id="9">
    <w:p w:rsidR="00472AB6" w:rsidRPr="006E392B" w14:paraId="1A3FF4FA" w14:textId="01336E33">
      <w:pPr>
        <w:pStyle w:val="FootnoteText"/>
      </w:pPr>
      <w:r w:rsidRPr="006E392B">
        <w:rPr>
          <w:rStyle w:val="FootnoteReference"/>
          <w:sz w:val="20"/>
        </w:rPr>
        <w:footnoteRef/>
      </w:r>
      <w:r w:rsidRPr="006E392B">
        <w:t xml:space="preserve"> </w:t>
      </w:r>
      <w:r w:rsidRPr="006E392B">
        <w:rPr>
          <w:i/>
          <w:iCs/>
        </w:rPr>
        <w:t>Id</w:t>
      </w:r>
      <w:r w:rsidRPr="006E392B">
        <w:t>. at 6.</w:t>
      </w:r>
    </w:p>
  </w:footnote>
  <w:footnote w:id="10">
    <w:p w:rsidR="00472AB6" w:rsidRPr="006E392B" w14:paraId="4FE5B830" w14:textId="4A368B54">
      <w:pPr>
        <w:pStyle w:val="FootnoteText"/>
      </w:pPr>
      <w:r w:rsidRPr="006E392B">
        <w:rPr>
          <w:rStyle w:val="FootnoteReference"/>
          <w:sz w:val="20"/>
        </w:rPr>
        <w:footnoteRef/>
      </w:r>
      <w:r w:rsidRPr="006E392B">
        <w:t xml:space="preserve"> </w:t>
      </w:r>
      <w:r w:rsidRPr="006E392B">
        <w:rPr>
          <w:i/>
          <w:iCs/>
        </w:rPr>
        <w:t>Id</w:t>
      </w:r>
      <w:r w:rsidRPr="006E392B">
        <w:t>. at 6-7.</w:t>
      </w:r>
    </w:p>
  </w:footnote>
  <w:footnote w:id="11">
    <w:p w:rsidR="00472AB6" w:rsidRPr="006E392B" w14:paraId="2E958954" w14:textId="43A2B96F">
      <w:pPr>
        <w:pStyle w:val="FootnoteText"/>
      </w:pPr>
      <w:r w:rsidRPr="006E392B">
        <w:rPr>
          <w:rStyle w:val="FootnoteReference"/>
          <w:sz w:val="20"/>
        </w:rPr>
        <w:footnoteRef/>
      </w:r>
      <w:r w:rsidRPr="006E392B">
        <w:t xml:space="preserve"> </w:t>
      </w:r>
      <w:r w:rsidRPr="006E392B">
        <w:rPr>
          <w:i/>
          <w:iCs/>
        </w:rPr>
        <w:t>Id</w:t>
      </w:r>
      <w:r w:rsidRPr="006E392B">
        <w:t>. at 7.</w:t>
      </w:r>
    </w:p>
  </w:footnote>
  <w:footnote w:id="12">
    <w:p w:rsidR="00472AB6" w:rsidRPr="006E392B" w14:paraId="45F76EF3" w14:textId="33B3D75C">
      <w:pPr>
        <w:pStyle w:val="FootnoteText"/>
      </w:pPr>
      <w:r w:rsidRPr="006E392B">
        <w:rPr>
          <w:rStyle w:val="FootnoteReference"/>
          <w:sz w:val="20"/>
        </w:rPr>
        <w:footnoteRef/>
      </w:r>
      <w:r w:rsidRPr="006E392B">
        <w:t xml:space="preserve"> </w:t>
      </w:r>
      <w:r w:rsidRPr="006E392B">
        <w:rPr>
          <w:i/>
          <w:iCs/>
        </w:rPr>
        <w:t>Id</w:t>
      </w:r>
      <w:r w:rsidRPr="006E392B">
        <w:t>.</w:t>
      </w:r>
    </w:p>
  </w:footnote>
  <w:footnote w:id="13">
    <w:p w:rsidR="00472AB6" w:rsidRPr="006E392B" w14:paraId="7F63197B" w14:textId="0DF1CE95">
      <w:pPr>
        <w:pStyle w:val="FootnoteText"/>
      </w:pPr>
      <w:r w:rsidRPr="006E392B">
        <w:rPr>
          <w:rStyle w:val="FootnoteReference"/>
          <w:sz w:val="20"/>
        </w:rPr>
        <w:footnoteRef/>
      </w:r>
      <w:r w:rsidRPr="006E392B">
        <w:t xml:space="preserve"> </w:t>
      </w:r>
      <w:r w:rsidRPr="006E392B">
        <w:rPr>
          <w:i/>
          <w:iCs/>
        </w:rPr>
        <w:t>Id</w:t>
      </w:r>
      <w:r w:rsidRPr="006E392B">
        <w:t>. at</w:t>
      </w:r>
      <w:r w:rsidRPr="006E392B" w:rsidR="00D973A7">
        <w:t xml:space="preserve"> 8.</w:t>
      </w:r>
    </w:p>
  </w:footnote>
  <w:footnote w:id="14">
    <w:p w:rsidR="00472AB6" w:rsidRPr="006E392B" w14:paraId="73E3C4B7" w14:textId="4A83062C">
      <w:pPr>
        <w:pStyle w:val="FootnoteText"/>
      </w:pPr>
      <w:r w:rsidRPr="006E392B">
        <w:rPr>
          <w:rStyle w:val="FootnoteReference"/>
          <w:sz w:val="20"/>
        </w:rPr>
        <w:footnoteRef/>
      </w:r>
      <w:r w:rsidRPr="006E392B">
        <w:t xml:space="preserve"> </w:t>
      </w:r>
      <w:r w:rsidRPr="006E392B">
        <w:rPr>
          <w:i/>
          <w:iCs/>
        </w:rPr>
        <w:t>Id</w:t>
      </w:r>
      <w:r w:rsidRPr="006E392B">
        <w:t>.</w:t>
      </w:r>
    </w:p>
  </w:footnote>
  <w:footnote w:id="15">
    <w:p w:rsidR="001B70D9" w:rsidRPr="006E392B" w14:paraId="3482B468" w14:textId="12F032CB">
      <w:pPr>
        <w:pStyle w:val="FootnoteText"/>
      </w:pPr>
      <w:r w:rsidRPr="006E392B">
        <w:rPr>
          <w:rStyle w:val="FootnoteReference"/>
          <w:sz w:val="20"/>
        </w:rPr>
        <w:footnoteRef/>
      </w:r>
      <w:r w:rsidRPr="006E392B">
        <w:t xml:space="preserve"> </w:t>
      </w:r>
      <w:r w:rsidRPr="006E392B" w:rsidR="00352390">
        <w:t xml:space="preserve">47 </w:t>
      </w:r>
      <w:r w:rsidRPr="006E392B" w:rsidR="004677DA">
        <w:t xml:space="preserve">CFR </w:t>
      </w:r>
      <w:r w:rsidRPr="006E392B" w:rsidR="00AC0C62">
        <w:t xml:space="preserve">§ </w:t>
      </w:r>
      <w:r w:rsidRPr="006E392B" w:rsidR="00E92ADF">
        <w:t>1.5001(h)</w:t>
      </w:r>
      <w:r w:rsidRPr="006E392B" w:rsidR="00A57775">
        <w:t xml:space="preserve">. </w:t>
      </w:r>
    </w:p>
  </w:footnote>
  <w:footnote w:id="16">
    <w:p w:rsidR="000143C3" w:rsidRPr="006E392B" w14:paraId="35EF2965" w14:textId="23D95091">
      <w:pPr>
        <w:pStyle w:val="FootnoteText"/>
      </w:pPr>
      <w:r w:rsidRPr="006E392B">
        <w:rPr>
          <w:rStyle w:val="FootnoteReference"/>
          <w:sz w:val="20"/>
        </w:rPr>
        <w:footnoteRef/>
      </w:r>
      <w:r w:rsidRPr="006E392B">
        <w:t xml:space="preserve"> 47 CFR § 1.5001</w:t>
      </w:r>
      <w:r w:rsidRPr="006E392B" w:rsidR="00A83F1E">
        <w:t xml:space="preserve">(i). </w:t>
      </w:r>
    </w:p>
  </w:footnote>
  <w:footnote w:id="17">
    <w:p w:rsidR="00A83F1E" w:rsidRPr="006E392B" w14:paraId="27AEBADA" w14:textId="62F494B4">
      <w:pPr>
        <w:pStyle w:val="FootnoteText"/>
      </w:pPr>
      <w:r w:rsidRPr="006E392B">
        <w:rPr>
          <w:rStyle w:val="FootnoteReference"/>
          <w:sz w:val="20"/>
        </w:rPr>
        <w:footnoteRef/>
      </w:r>
      <w:r w:rsidRPr="006E392B">
        <w:t xml:space="preserve"> 47 CFR § 1.5001(k). </w:t>
      </w:r>
    </w:p>
  </w:footnote>
  <w:footnote w:id="18">
    <w:p w:rsidR="00CB201B" w:rsidRPr="006E392B" w:rsidP="00CB201B" w14:paraId="6A9C356D" w14:textId="4A010EA0">
      <w:pPr>
        <w:pStyle w:val="FootnoteText"/>
      </w:pPr>
      <w:r w:rsidRPr="006E392B">
        <w:rPr>
          <w:rStyle w:val="FootnoteReference"/>
          <w:sz w:val="20"/>
        </w:rPr>
        <w:footnoteRef/>
      </w:r>
      <w:r w:rsidRPr="006E392B">
        <w:t xml:space="preserve"> </w:t>
      </w:r>
      <w:r w:rsidRPr="006E392B" w:rsidR="00E92ADF">
        <w:t xml:space="preserve">Second Amended &amp; Restated Petition </w:t>
      </w:r>
      <w:r w:rsidRPr="006E392B">
        <w:t>at 16.</w:t>
      </w:r>
    </w:p>
  </w:footnote>
  <w:footnote w:id="19">
    <w:p w:rsidR="000570D1" w:rsidRPr="006E392B" w14:paraId="08083EB8" w14:textId="05E02322">
      <w:pPr>
        <w:pStyle w:val="FootnoteText"/>
      </w:pPr>
      <w:r w:rsidRPr="006E392B">
        <w:rPr>
          <w:rStyle w:val="FootnoteReference"/>
          <w:sz w:val="20"/>
        </w:rPr>
        <w:footnoteRef/>
      </w:r>
      <w:r w:rsidRPr="006E392B">
        <w:t xml:space="preserve"> </w:t>
      </w:r>
      <w:r w:rsidRPr="006E392B">
        <w:rPr>
          <w:i/>
          <w:iCs/>
        </w:rPr>
        <w:t>Id</w:t>
      </w:r>
      <w:r w:rsidRPr="006E392B">
        <w:t>.</w:t>
      </w:r>
    </w:p>
  </w:footnote>
  <w:footnote w:id="20">
    <w:p w:rsidR="00F079EC" w:rsidRPr="006E392B" w:rsidP="00F079EC" w14:paraId="6E8CFC08" w14:textId="253AFCAB">
      <w:pPr>
        <w:pStyle w:val="FootnoteText"/>
      </w:pPr>
      <w:r w:rsidRPr="006E392B">
        <w:rPr>
          <w:rStyle w:val="FootnoteReference"/>
          <w:sz w:val="20"/>
        </w:rPr>
        <w:footnoteRef/>
      </w:r>
      <w:r w:rsidRPr="006E392B">
        <w:t xml:space="preserve"> </w:t>
      </w:r>
      <w:r w:rsidRPr="006E392B">
        <w:rPr>
          <w:i/>
          <w:iCs/>
        </w:rPr>
        <w:t xml:space="preserve">See </w:t>
      </w:r>
      <w:r w:rsidRPr="006E392B" w:rsidR="000647F1">
        <w:rPr>
          <w:i/>
          <w:iCs/>
        </w:rPr>
        <w:t>i</w:t>
      </w:r>
      <w:r w:rsidRPr="006E392B" w:rsidR="00F448F8">
        <w:rPr>
          <w:i/>
          <w:iCs/>
        </w:rPr>
        <w:t>d</w:t>
      </w:r>
      <w:r w:rsidRPr="006E392B" w:rsidR="00F448F8">
        <w:t>.</w:t>
      </w:r>
      <w:r w:rsidRPr="006E392B">
        <w:t xml:space="preserve"> at 16-18; </w:t>
      </w:r>
      <w:r w:rsidRPr="006E392B">
        <w:rPr>
          <w:i/>
          <w:iCs/>
        </w:rPr>
        <w:t>see also Review of Foreign Ownership Policies for Broadcast, Common Carrier and Aeronautical Radio Licensees under Section 310(b)(4) of the Communications Act of 1934, as Amended</w:t>
      </w:r>
      <w:r w:rsidRPr="006E392B">
        <w:t xml:space="preserve">, Report and Order, 31 FCC </w:t>
      </w:r>
      <w:r w:rsidRPr="006E392B">
        <w:t>Rcd</w:t>
      </w:r>
      <w:r w:rsidRPr="006E392B">
        <w:t xml:space="preserve"> 11272, 11273, para. 2 (2016).</w:t>
      </w:r>
    </w:p>
  </w:footnote>
  <w:footnote w:id="21">
    <w:p w:rsidR="004C3FA4" w:rsidRPr="006E392B" w14:paraId="6734AA6F" w14:textId="12AD10C2">
      <w:pPr>
        <w:pStyle w:val="FootnoteText"/>
      </w:pPr>
      <w:r w:rsidRPr="006E392B">
        <w:rPr>
          <w:rStyle w:val="FootnoteReference"/>
          <w:sz w:val="20"/>
        </w:rPr>
        <w:footnoteRef/>
      </w:r>
      <w:r w:rsidRPr="006E392B">
        <w:t xml:space="preserve"> </w:t>
      </w:r>
      <w:r w:rsidRPr="006E392B" w:rsidR="00767ED3">
        <w:t>Second Amended &amp; Restated Petition</w:t>
      </w:r>
      <w:r w:rsidRPr="006E392B">
        <w:t xml:space="preserve"> at n.10.</w:t>
      </w:r>
    </w:p>
  </w:footnote>
  <w:footnote w:id="22">
    <w:p w:rsidR="004C3FA4" w:rsidRPr="006E392B" w14:paraId="2D06D6AE" w14:textId="7F491202">
      <w:pPr>
        <w:pStyle w:val="FootnoteText"/>
      </w:pPr>
      <w:r w:rsidRPr="006E392B">
        <w:rPr>
          <w:rStyle w:val="FootnoteReference"/>
          <w:sz w:val="20"/>
        </w:rPr>
        <w:footnoteRef/>
      </w:r>
      <w:r w:rsidRPr="006E392B">
        <w:t xml:space="preserve"> </w:t>
      </w:r>
      <w:r w:rsidRPr="006E392B">
        <w:rPr>
          <w:i/>
          <w:iCs/>
        </w:rPr>
        <w:t>Id</w:t>
      </w:r>
      <w:r w:rsidRPr="006E392B">
        <w:t>.</w:t>
      </w:r>
    </w:p>
  </w:footnote>
  <w:footnote w:id="23">
    <w:p w:rsidR="004C3FA4" w:rsidRPr="006E392B" w14:paraId="15874C1C" w14:textId="656427DF">
      <w:pPr>
        <w:pStyle w:val="FootnoteText"/>
      </w:pPr>
      <w:r w:rsidRPr="006E392B">
        <w:rPr>
          <w:rStyle w:val="FootnoteReference"/>
          <w:sz w:val="20"/>
        </w:rPr>
        <w:footnoteRef/>
      </w:r>
      <w:r w:rsidRPr="006E392B">
        <w:t xml:space="preserve"> </w:t>
      </w:r>
      <w:r w:rsidRPr="006E392B">
        <w:rPr>
          <w:i/>
          <w:iCs/>
        </w:rPr>
        <w:t>Id</w:t>
      </w:r>
      <w:r w:rsidRPr="006E392B">
        <w:t>.</w:t>
      </w:r>
    </w:p>
  </w:footnote>
  <w:footnote w:id="24">
    <w:p w:rsidR="004C3FA4" w:rsidRPr="006E392B" w14:paraId="30CC92FF" w14:textId="743940B3">
      <w:pPr>
        <w:pStyle w:val="FootnoteText"/>
      </w:pPr>
      <w:r w:rsidRPr="006E392B">
        <w:rPr>
          <w:rStyle w:val="FootnoteReference"/>
          <w:sz w:val="20"/>
        </w:rPr>
        <w:footnoteRef/>
      </w:r>
      <w:r w:rsidRPr="006E392B">
        <w:t xml:space="preserve"> </w:t>
      </w:r>
      <w:r w:rsidRPr="006E392B">
        <w:rPr>
          <w:i/>
          <w:iCs/>
        </w:rPr>
        <w:t>Id</w:t>
      </w:r>
      <w:r w:rsidRPr="006E392B">
        <w:t>.</w:t>
      </w:r>
    </w:p>
  </w:footnote>
  <w:footnote w:id="25">
    <w:p w:rsidR="004C3FA4" w:rsidRPr="006E392B" w14:paraId="516A0F14" w14:textId="4D6CE282">
      <w:pPr>
        <w:pStyle w:val="FootnoteText"/>
      </w:pPr>
      <w:r w:rsidRPr="006E392B">
        <w:rPr>
          <w:rStyle w:val="FootnoteReference"/>
          <w:sz w:val="20"/>
        </w:rPr>
        <w:footnoteRef/>
      </w:r>
      <w:r w:rsidRPr="006E392B">
        <w:t xml:space="preserve"> </w:t>
      </w:r>
      <w:r w:rsidRPr="006E392B">
        <w:rPr>
          <w:i/>
          <w:iCs/>
        </w:rPr>
        <w:t>Id</w:t>
      </w:r>
      <w:r w:rsidRPr="006E392B">
        <w:t>.</w:t>
      </w:r>
    </w:p>
  </w:footnote>
  <w:footnote w:id="26">
    <w:p w:rsidR="004C3FA4" w:rsidRPr="006E392B" w14:paraId="2EA25AF8" w14:textId="7C5591BE">
      <w:pPr>
        <w:pStyle w:val="FootnoteText"/>
      </w:pPr>
      <w:r w:rsidRPr="006E392B">
        <w:rPr>
          <w:rStyle w:val="FootnoteReference"/>
          <w:sz w:val="20"/>
        </w:rPr>
        <w:footnoteRef/>
      </w:r>
      <w:r w:rsidRPr="006E392B">
        <w:t xml:space="preserve"> </w:t>
      </w:r>
      <w:r w:rsidRPr="006E392B">
        <w:rPr>
          <w:i/>
          <w:iCs/>
        </w:rPr>
        <w:t>Id</w:t>
      </w:r>
      <w:r w:rsidRPr="006E392B">
        <w:t>.</w:t>
      </w:r>
    </w:p>
  </w:footnote>
  <w:footnote w:id="27">
    <w:p w:rsidR="004C3FA4" w:rsidRPr="006E392B" w14:paraId="05A2DA4E" w14:textId="23DFE6D9">
      <w:pPr>
        <w:pStyle w:val="FootnoteText"/>
      </w:pPr>
      <w:r w:rsidRPr="006E392B">
        <w:rPr>
          <w:rStyle w:val="FootnoteReference"/>
          <w:sz w:val="20"/>
        </w:rPr>
        <w:footnoteRef/>
      </w:r>
      <w:r w:rsidRPr="006E392B">
        <w:t xml:space="preserve"> </w:t>
      </w:r>
      <w:r w:rsidRPr="006E392B">
        <w:rPr>
          <w:i/>
          <w:iCs/>
        </w:rPr>
        <w:t>Id</w:t>
      </w:r>
      <w:r w:rsidRPr="006E392B">
        <w:t>.</w:t>
      </w:r>
    </w:p>
  </w:footnote>
  <w:footnote w:id="28">
    <w:p w:rsidR="00EC55D4" w:rsidRPr="006E392B" w:rsidP="00EE7C0D" w14:paraId="0F641CDE" w14:textId="08D3966F">
      <w:pPr>
        <w:pStyle w:val="FootnoteText"/>
      </w:pPr>
      <w:r w:rsidRPr="006E392B">
        <w:rPr>
          <w:rStyle w:val="FootnoteReference"/>
          <w:sz w:val="20"/>
        </w:rPr>
        <w:footnoteRef/>
      </w:r>
      <w:r w:rsidRPr="006E392B">
        <w:t xml:space="preserve"> </w:t>
      </w:r>
      <w:r w:rsidRPr="006E392B">
        <w:rPr>
          <w:i/>
          <w:iCs/>
        </w:rPr>
        <w:t>See Process Reform for Executive Branch Review of Certain FCC Applications and Petitions Involving Foreign Ownership</w:t>
      </w:r>
      <w:r w:rsidRPr="006E392B">
        <w:t xml:space="preserve">, IB Docket 16-155, Report and Order, 35 FCC </w:t>
      </w:r>
      <w:r w:rsidRPr="006E392B">
        <w:t>Rcd</w:t>
      </w:r>
      <w:r w:rsidRPr="006E392B">
        <w:t xml:space="preserve"> 10927 (2020). </w:t>
      </w:r>
      <w:r w:rsidRPr="006E392B" w:rsidR="000E39A3">
        <w:t xml:space="preserve"> </w:t>
      </w:r>
      <w:r w:rsidRPr="006E392B">
        <w:rPr>
          <w:i/>
          <w:iCs/>
        </w:rPr>
        <w:t>See also Rules and Policies on Foreign Participation in the U.S. Telecommunications Market; Market Entry and Regulation of Foreign-Affiliated Entities</w:t>
      </w:r>
      <w:r w:rsidRPr="006E392B">
        <w:t xml:space="preserve">, IB Docket Nos. 97-142 and 95-22, Report and Order and Order on Reconsideration, 12 FCC </w:t>
      </w:r>
      <w:r w:rsidRPr="006E392B">
        <w:t>Rcd</w:t>
      </w:r>
      <w:r w:rsidRPr="006E392B">
        <w:t xml:space="preserve"> 23891, 2391</w:t>
      </w:r>
      <w:r w:rsidRPr="006E392B" w:rsidR="00F304B5">
        <w:t>9</w:t>
      </w:r>
      <w:r w:rsidRPr="006E392B">
        <w:t>-</w:t>
      </w:r>
      <w:r w:rsidRPr="006E392B" w:rsidR="00F304B5">
        <w:t>20</w:t>
      </w:r>
      <w:r w:rsidRPr="006E392B">
        <w:t>, paras. 61-63 (1997) (</w:t>
      </w:r>
      <w:r w:rsidRPr="006E392B">
        <w:rPr>
          <w:i/>
          <w:iCs/>
        </w:rPr>
        <w:t>Foreign Participation Order</w:t>
      </w:r>
      <w:r w:rsidRPr="006E392B">
        <w:t xml:space="preserve">), </w:t>
      </w:r>
      <w:r w:rsidRPr="006E392B">
        <w:rPr>
          <w:i/>
          <w:iCs/>
        </w:rPr>
        <w:t>recon. denied</w:t>
      </w:r>
      <w:r w:rsidRPr="006E392B">
        <w:t xml:space="preserve">, 15 FCC </w:t>
      </w:r>
      <w:r w:rsidRPr="006E392B">
        <w:t>Rcd</w:t>
      </w:r>
      <w:r w:rsidRPr="006E392B">
        <w:t xml:space="preserve"> 18158 (2000).</w:t>
      </w:r>
    </w:p>
  </w:footnote>
  <w:footnote w:id="29">
    <w:p w:rsidR="00624B0B" w:rsidRPr="006E392B" w:rsidP="00EE7C0D" w14:paraId="0EB42028" w14:textId="77777777">
      <w:pPr>
        <w:pStyle w:val="FootnoteText"/>
        <w:widowControl w:val="0"/>
      </w:pPr>
      <w:r w:rsidRPr="006E392B">
        <w:rPr>
          <w:rStyle w:val="FootnoteReference"/>
          <w:sz w:val="20"/>
        </w:rPr>
        <w:footnoteRef/>
      </w:r>
      <w:r w:rsidRPr="006E392B">
        <w:t xml:space="preserve"> 47 CFR § 1.1200(a).</w:t>
      </w:r>
    </w:p>
  </w:footnote>
  <w:footnote w:id="30">
    <w:p w:rsidR="00624B0B" w:rsidRPr="006E392B" w:rsidP="00EE7C0D" w14:paraId="2F425827" w14:textId="77777777">
      <w:pPr>
        <w:pStyle w:val="FootnoteText"/>
        <w:widowControl w:val="0"/>
      </w:pPr>
      <w:r w:rsidRPr="006E392B">
        <w:rPr>
          <w:rStyle w:val="FootnoteReference"/>
          <w:sz w:val="20"/>
        </w:rPr>
        <w:footnoteRef/>
      </w:r>
      <w:r w:rsidRPr="006E392B">
        <w:t xml:space="preserve"> </w:t>
      </w:r>
      <w:r w:rsidRPr="006E392B">
        <w:rPr>
          <w:i/>
        </w:rPr>
        <w:t>See</w:t>
      </w:r>
      <w:r w:rsidRPr="006E392B">
        <w:t xml:space="preserve"> </w:t>
      </w:r>
      <w:bookmarkStart w:id="3" w:name="_Hlk72341813"/>
      <w:r w:rsidRPr="006E392B">
        <w:rPr>
          <w:iCs/>
        </w:rPr>
        <w:t>47 CFR</w:t>
      </w:r>
      <w:r w:rsidRPr="006E392B">
        <w:t xml:space="preserve"> § 1.1206.</w:t>
      </w:r>
      <w:bookmarkEnd w:id="3"/>
    </w:p>
  </w:footnote>
  <w:footnote w:id="31">
    <w:p w:rsidR="00FB6508" w:rsidRPr="006E392B" w:rsidP="00EE7C0D" w14:paraId="1F3C9DCC" w14:textId="77777777">
      <w:pPr>
        <w:pStyle w:val="FootnoteText"/>
      </w:pPr>
      <w:r w:rsidRPr="006E392B">
        <w:rPr>
          <w:rStyle w:val="FootnoteReference"/>
          <w:sz w:val="20"/>
        </w:rPr>
        <w:footnoteRef/>
      </w:r>
      <w:r w:rsidRPr="006E392B">
        <w:t xml:space="preserve"> </w:t>
      </w:r>
      <w:r w:rsidRPr="006E392B" w:rsidR="007A0126">
        <w:rPr>
          <w:snapToGrid w:val="0"/>
        </w:rPr>
        <w:t>47 CFR § 1.1206(b)(1).</w:t>
      </w:r>
    </w:p>
  </w:footnote>
  <w:footnote w:id="32">
    <w:p w:rsidR="001A4CA3" w:rsidRPr="006E392B" w:rsidP="00EE7C0D" w14:paraId="737E557A" w14:textId="77777777">
      <w:pPr>
        <w:pStyle w:val="FootnoteText"/>
      </w:pPr>
      <w:r w:rsidRPr="006E392B">
        <w:rPr>
          <w:rStyle w:val="FootnoteReference"/>
          <w:sz w:val="20"/>
        </w:rPr>
        <w:footnoteRef/>
      </w:r>
      <w:r w:rsidRPr="006E392B">
        <w:t xml:space="preserve"> </w:t>
      </w:r>
      <w:r w:rsidRPr="006E392B" w:rsidR="005F595A">
        <w:rPr>
          <w:i/>
          <w:iCs/>
        </w:rPr>
        <w:t>Id</w:t>
      </w:r>
      <w:r w:rsidRPr="006E392B">
        <w:t>.</w:t>
      </w:r>
    </w:p>
  </w:footnote>
  <w:footnote w:id="33">
    <w:p w:rsidR="00624B0B" w:rsidRPr="006E392B" w:rsidP="00EE7C0D" w14:paraId="50A21644" w14:textId="77777777">
      <w:pPr>
        <w:pStyle w:val="FootnoteText"/>
        <w:widowControl w:val="0"/>
      </w:pPr>
      <w:r w:rsidRPr="006E392B">
        <w:rPr>
          <w:rStyle w:val="FootnoteReference"/>
          <w:sz w:val="20"/>
        </w:rPr>
        <w:footnoteRef/>
      </w:r>
      <w:r w:rsidRPr="006E392B">
        <w:t xml:space="preserve"> 47 CFR § 1.1206(b)</w:t>
      </w:r>
      <w:r w:rsidRPr="006E392B" w:rsidR="009D3FE4">
        <w:t>.</w:t>
      </w:r>
    </w:p>
  </w:footnote>
  <w:footnote w:id="34">
    <w:p w:rsidR="00624B0B" w:rsidRPr="006E392B" w:rsidP="00EE7C0D" w14:paraId="753D0CBC" w14:textId="77777777">
      <w:pPr>
        <w:pStyle w:val="FootnoteText"/>
        <w:widowControl w:val="0"/>
      </w:pPr>
      <w:r w:rsidRPr="006E392B">
        <w:rPr>
          <w:rStyle w:val="FootnoteReference"/>
          <w:sz w:val="20"/>
        </w:rPr>
        <w:footnoteRef/>
      </w:r>
      <w:r w:rsidRPr="006E392B">
        <w:t xml:space="preserve"> </w:t>
      </w:r>
      <w:r w:rsidRPr="006E392B" w:rsidR="00AB3D1F">
        <w:rPr>
          <w:i/>
          <w:iCs/>
        </w:rPr>
        <w:t xml:space="preserve">See </w:t>
      </w:r>
      <w:r w:rsidRPr="006E392B">
        <w:t>47 CFR § 1.120</w:t>
      </w:r>
      <w:r w:rsidRPr="006E392B" w:rsidR="00F27E49">
        <w:t xml:space="preserve">0 </w:t>
      </w:r>
      <w:r w:rsidRPr="006E392B" w:rsidR="00F27E49">
        <w:rPr>
          <w:i/>
          <w:iCs/>
        </w:rPr>
        <w:t>et seq.</w:t>
      </w:r>
    </w:p>
  </w:footnote>
  <w:footnote w:id="35">
    <w:p w:rsidR="00624B0B" w:rsidRPr="006E392B" w:rsidP="00EE7C0D" w14:paraId="421E86ED" w14:textId="77777777">
      <w:pPr>
        <w:pStyle w:val="FootnoteText"/>
        <w:widowControl w:val="0"/>
      </w:pPr>
      <w:r w:rsidRPr="006E392B">
        <w:rPr>
          <w:rStyle w:val="FootnoteReference"/>
          <w:sz w:val="20"/>
        </w:rPr>
        <w:footnoteRef/>
      </w:r>
      <w:r w:rsidRPr="006E392B">
        <w:t xml:space="preserve"> </w:t>
      </w:r>
      <w:r w:rsidRPr="006E392B">
        <w:rPr>
          <w:i/>
        </w:rPr>
        <w:t>See</w:t>
      </w:r>
      <w:r w:rsidRPr="006E392B">
        <w:t xml:space="preserve"> </w:t>
      </w:r>
      <w:r w:rsidRPr="006E392B">
        <w:rPr>
          <w:i/>
        </w:rPr>
        <w:t>Electronic Filing of Documents in Rulemaking Proceedings</w:t>
      </w:r>
      <w:r w:rsidRPr="006E392B">
        <w:t xml:space="preserve">, Report and Order, 13 FCC </w:t>
      </w:r>
      <w:r w:rsidRPr="006E392B">
        <w:t>Rcd</w:t>
      </w:r>
      <w:r w:rsidRPr="006E392B">
        <w:t xml:space="preserve"> 11322 (1998).</w:t>
      </w:r>
    </w:p>
  </w:footnote>
  <w:footnote w:id="36">
    <w:p w:rsidR="00624B0B" w:rsidRPr="006E392B" w:rsidP="00EE7C0D" w14:paraId="282B0B0A" w14:textId="77777777">
      <w:pPr>
        <w:pStyle w:val="ParaNum"/>
        <w:numPr>
          <w:ilvl w:val="0"/>
          <w:numId w:val="0"/>
        </w:numPr>
        <w:rPr>
          <w:sz w:val="20"/>
        </w:rPr>
      </w:pPr>
      <w:r w:rsidRPr="006E392B">
        <w:rPr>
          <w:rStyle w:val="FootnoteReference"/>
          <w:sz w:val="20"/>
        </w:rPr>
        <w:footnoteRef/>
      </w:r>
      <w:r w:rsidRPr="006E392B">
        <w:rPr>
          <w:sz w:val="20"/>
        </w:rPr>
        <w:t xml:space="preserve"> </w:t>
      </w:r>
      <w:r w:rsidRPr="006E392B">
        <w:rPr>
          <w:i/>
          <w:iCs/>
          <w:sz w:val="20"/>
        </w:rPr>
        <w:t>See</w:t>
      </w:r>
      <w:r w:rsidRPr="006E392B">
        <w:rPr>
          <w:sz w:val="20"/>
        </w:rPr>
        <w:t xml:space="preserve"> </w:t>
      </w:r>
      <w:r w:rsidRPr="006E392B">
        <w:rPr>
          <w:i/>
          <w:iCs/>
          <w:sz w:val="20"/>
        </w:rPr>
        <w:t>FCC Announces Closure of FCC Headquarters Open Window and Change in Hand-Delivery Policy</w:t>
      </w:r>
      <w:r w:rsidRPr="006E392B">
        <w:rPr>
          <w:sz w:val="20"/>
        </w:rPr>
        <w:t xml:space="preserve">, Public Notice, 35 FCC </w:t>
      </w:r>
      <w:r w:rsidRPr="006E392B">
        <w:rPr>
          <w:sz w:val="20"/>
        </w:rPr>
        <w:t>Rcd</w:t>
      </w:r>
      <w:r w:rsidRPr="006E392B">
        <w:rPr>
          <w:sz w:val="20"/>
        </w:rPr>
        <w:t xml:space="preserve"> 2788 (2020).</w:t>
      </w:r>
    </w:p>
  </w:footnote>
  <w:footnote w:id="37">
    <w:p w:rsidR="00624B0B" w:rsidRPr="006E392B" w:rsidP="00EE7C0D" w14:paraId="1653496A" w14:textId="77777777">
      <w:pPr>
        <w:pStyle w:val="FootnoteText"/>
        <w:widowControl w:val="0"/>
      </w:pPr>
      <w:r w:rsidRPr="006E392B">
        <w:rPr>
          <w:rStyle w:val="FootnoteReference"/>
          <w:sz w:val="20"/>
        </w:rPr>
        <w:footnoteRef/>
      </w:r>
      <w:r w:rsidRPr="006E392B">
        <w:t xml:space="preserve"> 47 CFR §§ 0.61 and 0.283.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268C29A5" w14:textId="36745F7D">
    <w:pPr>
      <w:tabs>
        <w:tab w:val="center" w:pos="4680"/>
        <w:tab w:val="right" w:pos="9360"/>
      </w:tabs>
    </w:pPr>
    <w:r>
      <w:rPr>
        <w:b/>
      </w:rPr>
      <w:tab/>
      <w:t>Federal Communications Commission</w:t>
    </w:r>
    <w:r>
      <w:rPr>
        <w:b/>
      </w:rPr>
      <w:tab/>
    </w:r>
    <w:r w:rsidR="002E723D">
      <w:rPr>
        <w:b/>
      </w:rPr>
      <w:t>DA 2</w:t>
    </w:r>
    <w:r w:rsidR="00FD0318">
      <w:rPr>
        <w:b/>
      </w:rPr>
      <w:t>3</w:t>
    </w:r>
    <w:r w:rsidR="002E723D">
      <w:rPr>
        <w:b/>
      </w:rPr>
      <w:t>-</w:t>
    </w:r>
    <w:r w:rsidR="00394DDE">
      <w:rPr>
        <w:b/>
      </w:rPr>
      <w:t>4</w:t>
    </w:r>
  </w:p>
  <w:p w:rsidR="00344BF3" w14:paraId="6A26727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44BF3" w14:paraId="6002ED3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44BF3" w14:paraId="5D322A2E" w14:textId="77777777">
    <w:pPr>
      <w:pStyle w:val="Header"/>
      <w:ind w:left="-990"/>
      <w:rPr>
        <w:noProof/>
        <w:snapToGrid/>
        <w:sz w:val="20"/>
        <w:szCs w:val="20"/>
      </w:rPr>
    </w:pPr>
    <w:r>
      <w:rPr>
        <w:noProof/>
        <w:snapToGrid/>
      </w:rPr>
      <w:drawing>
        <wp:inline distT="0" distB="0" distL="0" distR="0">
          <wp:extent cx="6505575" cy="144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6505575" cy="1447800"/>
                  </a:xfrm>
                  <a:prstGeom prst="rect">
                    <a:avLst/>
                  </a:prstGeom>
                  <a:noFill/>
                  <a:ln>
                    <a:noFill/>
                  </a:ln>
                </pic:spPr>
              </pic:pic>
            </a:graphicData>
          </a:graphic>
        </wp:inline>
      </w:drawing>
    </w:r>
  </w:p>
  <w:p w:rsidR="00344BF3" w14:paraId="688912AE" w14:textId="77777777">
    <w:pPr>
      <w:pStyle w:val="Header"/>
      <w:ind w:left="-99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7408C3"/>
    <w:multiLevelType w:val="hybridMultilevel"/>
    <w:tmpl w:val="B99AE74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7">
    <w:nsid w:val="77E01EBE"/>
    <w:multiLevelType w:val="hybridMultilevel"/>
    <w:tmpl w:val="23C21A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B0B"/>
    <w:rsid w:val="00001932"/>
    <w:rsid w:val="00002482"/>
    <w:rsid w:val="000028C0"/>
    <w:rsid w:val="000039F8"/>
    <w:rsid w:val="00006239"/>
    <w:rsid w:val="0001061E"/>
    <w:rsid w:val="00010E5B"/>
    <w:rsid w:val="00011F15"/>
    <w:rsid w:val="00012C41"/>
    <w:rsid w:val="000131D0"/>
    <w:rsid w:val="00013DCD"/>
    <w:rsid w:val="00014003"/>
    <w:rsid w:val="000143C3"/>
    <w:rsid w:val="00015169"/>
    <w:rsid w:val="0001533D"/>
    <w:rsid w:val="000158EF"/>
    <w:rsid w:val="00015FF3"/>
    <w:rsid w:val="000160EF"/>
    <w:rsid w:val="00016F1B"/>
    <w:rsid w:val="000202DC"/>
    <w:rsid w:val="00020AF9"/>
    <w:rsid w:val="00022362"/>
    <w:rsid w:val="00022C63"/>
    <w:rsid w:val="0002301B"/>
    <w:rsid w:val="00023864"/>
    <w:rsid w:val="00023DF2"/>
    <w:rsid w:val="00023FC4"/>
    <w:rsid w:val="0002623F"/>
    <w:rsid w:val="00026EED"/>
    <w:rsid w:val="0003422E"/>
    <w:rsid w:val="00034711"/>
    <w:rsid w:val="00034E7D"/>
    <w:rsid w:val="0003545E"/>
    <w:rsid w:val="00041847"/>
    <w:rsid w:val="00041AE2"/>
    <w:rsid w:val="00043F0C"/>
    <w:rsid w:val="0004506A"/>
    <w:rsid w:val="00045AC9"/>
    <w:rsid w:val="0004622D"/>
    <w:rsid w:val="00050060"/>
    <w:rsid w:val="000503F6"/>
    <w:rsid w:val="000504EF"/>
    <w:rsid w:val="00051CA4"/>
    <w:rsid w:val="000520DD"/>
    <w:rsid w:val="00052650"/>
    <w:rsid w:val="000539E8"/>
    <w:rsid w:val="000547C2"/>
    <w:rsid w:val="00055072"/>
    <w:rsid w:val="000557C3"/>
    <w:rsid w:val="00056766"/>
    <w:rsid w:val="000568A8"/>
    <w:rsid w:val="000570D1"/>
    <w:rsid w:val="000572A9"/>
    <w:rsid w:val="00057B2E"/>
    <w:rsid w:val="000608A3"/>
    <w:rsid w:val="00062547"/>
    <w:rsid w:val="00063272"/>
    <w:rsid w:val="00063FEC"/>
    <w:rsid w:val="00064696"/>
    <w:rsid w:val="000647F1"/>
    <w:rsid w:val="00065309"/>
    <w:rsid w:val="000654E3"/>
    <w:rsid w:val="00065C37"/>
    <w:rsid w:val="00066F97"/>
    <w:rsid w:val="000702B1"/>
    <w:rsid w:val="00070E39"/>
    <w:rsid w:val="00072214"/>
    <w:rsid w:val="00073995"/>
    <w:rsid w:val="0007433A"/>
    <w:rsid w:val="00076F0C"/>
    <w:rsid w:val="000805EE"/>
    <w:rsid w:val="00081449"/>
    <w:rsid w:val="00084676"/>
    <w:rsid w:val="00084DDC"/>
    <w:rsid w:val="0008569F"/>
    <w:rsid w:val="00087EE4"/>
    <w:rsid w:val="000919E5"/>
    <w:rsid w:val="00091FE0"/>
    <w:rsid w:val="00092609"/>
    <w:rsid w:val="0009261F"/>
    <w:rsid w:val="000926BC"/>
    <w:rsid w:val="00094896"/>
    <w:rsid w:val="000952DC"/>
    <w:rsid w:val="000961EF"/>
    <w:rsid w:val="000A04BC"/>
    <w:rsid w:val="000A08DF"/>
    <w:rsid w:val="000A2686"/>
    <w:rsid w:val="000A26CD"/>
    <w:rsid w:val="000A437E"/>
    <w:rsid w:val="000A531C"/>
    <w:rsid w:val="000A55D0"/>
    <w:rsid w:val="000B01EC"/>
    <w:rsid w:val="000B0B67"/>
    <w:rsid w:val="000B2936"/>
    <w:rsid w:val="000B33BB"/>
    <w:rsid w:val="000B3F12"/>
    <w:rsid w:val="000B461F"/>
    <w:rsid w:val="000B4F4B"/>
    <w:rsid w:val="000B5123"/>
    <w:rsid w:val="000B5D80"/>
    <w:rsid w:val="000B6917"/>
    <w:rsid w:val="000B6FD4"/>
    <w:rsid w:val="000B738C"/>
    <w:rsid w:val="000B74CB"/>
    <w:rsid w:val="000B75A9"/>
    <w:rsid w:val="000B78DD"/>
    <w:rsid w:val="000C0CEF"/>
    <w:rsid w:val="000C1334"/>
    <w:rsid w:val="000C1643"/>
    <w:rsid w:val="000C19A7"/>
    <w:rsid w:val="000C2FBC"/>
    <w:rsid w:val="000C3126"/>
    <w:rsid w:val="000C459E"/>
    <w:rsid w:val="000C470A"/>
    <w:rsid w:val="000C5314"/>
    <w:rsid w:val="000C6030"/>
    <w:rsid w:val="000D03A8"/>
    <w:rsid w:val="000D16B3"/>
    <w:rsid w:val="000D2924"/>
    <w:rsid w:val="000D3A9D"/>
    <w:rsid w:val="000D4125"/>
    <w:rsid w:val="000D6652"/>
    <w:rsid w:val="000E07C1"/>
    <w:rsid w:val="000E1211"/>
    <w:rsid w:val="000E158F"/>
    <w:rsid w:val="000E261E"/>
    <w:rsid w:val="000E35F2"/>
    <w:rsid w:val="000E39A3"/>
    <w:rsid w:val="000E5C50"/>
    <w:rsid w:val="000E768A"/>
    <w:rsid w:val="000F09EA"/>
    <w:rsid w:val="000F1179"/>
    <w:rsid w:val="000F19DA"/>
    <w:rsid w:val="000F4594"/>
    <w:rsid w:val="000F468C"/>
    <w:rsid w:val="000F5926"/>
    <w:rsid w:val="000F66FB"/>
    <w:rsid w:val="000F6C74"/>
    <w:rsid w:val="000F6D89"/>
    <w:rsid w:val="001030FF"/>
    <w:rsid w:val="001033BB"/>
    <w:rsid w:val="00104889"/>
    <w:rsid w:val="001065E0"/>
    <w:rsid w:val="00110D6F"/>
    <w:rsid w:val="00111752"/>
    <w:rsid w:val="00112A2B"/>
    <w:rsid w:val="00112C92"/>
    <w:rsid w:val="00113659"/>
    <w:rsid w:val="00113E46"/>
    <w:rsid w:val="001141B3"/>
    <w:rsid w:val="0011604C"/>
    <w:rsid w:val="001162E0"/>
    <w:rsid w:val="00117850"/>
    <w:rsid w:val="001217B0"/>
    <w:rsid w:val="00122858"/>
    <w:rsid w:val="00123CFC"/>
    <w:rsid w:val="0012465E"/>
    <w:rsid w:val="00124C1E"/>
    <w:rsid w:val="00125AE7"/>
    <w:rsid w:val="00130A5A"/>
    <w:rsid w:val="00130B01"/>
    <w:rsid w:val="001337E9"/>
    <w:rsid w:val="00135255"/>
    <w:rsid w:val="00135DE1"/>
    <w:rsid w:val="00136087"/>
    <w:rsid w:val="0013697E"/>
    <w:rsid w:val="0013698F"/>
    <w:rsid w:val="0013721E"/>
    <w:rsid w:val="00137E0A"/>
    <w:rsid w:val="0014040F"/>
    <w:rsid w:val="00141059"/>
    <w:rsid w:val="0014167C"/>
    <w:rsid w:val="00142669"/>
    <w:rsid w:val="0014478E"/>
    <w:rsid w:val="00144948"/>
    <w:rsid w:val="001451B1"/>
    <w:rsid w:val="001453A5"/>
    <w:rsid w:val="00146433"/>
    <w:rsid w:val="00147585"/>
    <w:rsid w:val="001476E4"/>
    <w:rsid w:val="00147E5E"/>
    <w:rsid w:val="001552C9"/>
    <w:rsid w:val="00155339"/>
    <w:rsid w:val="00155C63"/>
    <w:rsid w:val="00156EAE"/>
    <w:rsid w:val="00157287"/>
    <w:rsid w:val="00161E6F"/>
    <w:rsid w:val="00162EF5"/>
    <w:rsid w:val="00163D82"/>
    <w:rsid w:val="00164500"/>
    <w:rsid w:val="00166920"/>
    <w:rsid w:val="0017121A"/>
    <w:rsid w:val="0017168F"/>
    <w:rsid w:val="001718EA"/>
    <w:rsid w:val="00174304"/>
    <w:rsid w:val="0017436D"/>
    <w:rsid w:val="00174381"/>
    <w:rsid w:val="00174597"/>
    <w:rsid w:val="001755B8"/>
    <w:rsid w:val="00177C96"/>
    <w:rsid w:val="00180F05"/>
    <w:rsid w:val="00181972"/>
    <w:rsid w:val="001823CA"/>
    <w:rsid w:val="00185B9C"/>
    <w:rsid w:val="00186DC8"/>
    <w:rsid w:val="00186E1B"/>
    <w:rsid w:val="00190B44"/>
    <w:rsid w:val="00190F78"/>
    <w:rsid w:val="00192B03"/>
    <w:rsid w:val="001972FA"/>
    <w:rsid w:val="001979A6"/>
    <w:rsid w:val="00197F38"/>
    <w:rsid w:val="001A2E98"/>
    <w:rsid w:val="001A2ED6"/>
    <w:rsid w:val="001A4CA3"/>
    <w:rsid w:val="001A676F"/>
    <w:rsid w:val="001A767B"/>
    <w:rsid w:val="001B24FD"/>
    <w:rsid w:val="001B2E5E"/>
    <w:rsid w:val="001B427C"/>
    <w:rsid w:val="001B6221"/>
    <w:rsid w:val="001B6911"/>
    <w:rsid w:val="001B70D9"/>
    <w:rsid w:val="001C0E17"/>
    <w:rsid w:val="001C2116"/>
    <w:rsid w:val="001C3CEF"/>
    <w:rsid w:val="001C3E0E"/>
    <w:rsid w:val="001C42A5"/>
    <w:rsid w:val="001C46B8"/>
    <w:rsid w:val="001C47A4"/>
    <w:rsid w:val="001C4B21"/>
    <w:rsid w:val="001C605F"/>
    <w:rsid w:val="001C62F9"/>
    <w:rsid w:val="001C7AF0"/>
    <w:rsid w:val="001D4371"/>
    <w:rsid w:val="001D47A8"/>
    <w:rsid w:val="001D57DF"/>
    <w:rsid w:val="001E105E"/>
    <w:rsid w:val="001E3581"/>
    <w:rsid w:val="001E54B7"/>
    <w:rsid w:val="001E5CD2"/>
    <w:rsid w:val="001F00D8"/>
    <w:rsid w:val="001F33F2"/>
    <w:rsid w:val="001F3D4F"/>
    <w:rsid w:val="001F50FD"/>
    <w:rsid w:val="001F53F1"/>
    <w:rsid w:val="001F55D6"/>
    <w:rsid w:val="001F5BE0"/>
    <w:rsid w:val="001F64FC"/>
    <w:rsid w:val="001F6C3B"/>
    <w:rsid w:val="001F7648"/>
    <w:rsid w:val="002012AE"/>
    <w:rsid w:val="00201C76"/>
    <w:rsid w:val="002023D9"/>
    <w:rsid w:val="00203BD8"/>
    <w:rsid w:val="002048F3"/>
    <w:rsid w:val="002051FC"/>
    <w:rsid w:val="00206405"/>
    <w:rsid w:val="0021124F"/>
    <w:rsid w:val="00211998"/>
    <w:rsid w:val="002140D8"/>
    <w:rsid w:val="002147BF"/>
    <w:rsid w:val="00215B04"/>
    <w:rsid w:val="00216B64"/>
    <w:rsid w:val="00217DD3"/>
    <w:rsid w:val="00220F68"/>
    <w:rsid w:val="002224DC"/>
    <w:rsid w:val="002227FD"/>
    <w:rsid w:val="00225023"/>
    <w:rsid w:val="002262B2"/>
    <w:rsid w:val="00227555"/>
    <w:rsid w:val="00232646"/>
    <w:rsid w:val="002326A1"/>
    <w:rsid w:val="00233994"/>
    <w:rsid w:val="00233AF7"/>
    <w:rsid w:val="00235AE7"/>
    <w:rsid w:val="00241EA5"/>
    <w:rsid w:val="00242779"/>
    <w:rsid w:val="002431B9"/>
    <w:rsid w:val="00245917"/>
    <w:rsid w:val="002460EA"/>
    <w:rsid w:val="00246497"/>
    <w:rsid w:val="00247707"/>
    <w:rsid w:val="00247A53"/>
    <w:rsid w:val="00247A98"/>
    <w:rsid w:val="0025160A"/>
    <w:rsid w:val="0025226D"/>
    <w:rsid w:val="00252293"/>
    <w:rsid w:val="002526E0"/>
    <w:rsid w:val="002526EC"/>
    <w:rsid w:val="00252FBE"/>
    <w:rsid w:val="002538EE"/>
    <w:rsid w:val="002545E1"/>
    <w:rsid w:val="00254EC4"/>
    <w:rsid w:val="0025503A"/>
    <w:rsid w:val="00255187"/>
    <w:rsid w:val="0025618C"/>
    <w:rsid w:val="00256635"/>
    <w:rsid w:val="00256FDC"/>
    <w:rsid w:val="002612DB"/>
    <w:rsid w:val="00262043"/>
    <w:rsid w:val="002646AC"/>
    <w:rsid w:val="00267DCC"/>
    <w:rsid w:val="00267EE0"/>
    <w:rsid w:val="00270E00"/>
    <w:rsid w:val="002726D1"/>
    <w:rsid w:val="002765D2"/>
    <w:rsid w:val="002802C7"/>
    <w:rsid w:val="00280EBF"/>
    <w:rsid w:val="00281952"/>
    <w:rsid w:val="00283392"/>
    <w:rsid w:val="00283ED5"/>
    <w:rsid w:val="00284EE3"/>
    <w:rsid w:val="002864A1"/>
    <w:rsid w:val="00290635"/>
    <w:rsid w:val="00290862"/>
    <w:rsid w:val="002919E3"/>
    <w:rsid w:val="00292D08"/>
    <w:rsid w:val="002934FD"/>
    <w:rsid w:val="00294804"/>
    <w:rsid w:val="00295552"/>
    <w:rsid w:val="00296082"/>
    <w:rsid w:val="002A22E1"/>
    <w:rsid w:val="002A3B26"/>
    <w:rsid w:val="002A4AFD"/>
    <w:rsid w:val="002A66C0"/>
    <w:rsid w:val="002B10D5"/>
    <w:rsid w:val="002B2125"/>
    <w:rsid w:val="002B245A"/>
    <w:rsid w:val="002B4D95"/>
    <w:rsid w:val="002C0589"/>
    <w:rsid w:val="002C1C83"/>
    <w:rsid w:val="002C1D6E"/>
    <w:rsid w:val="002C2D88"/>
    <w:rsid w:val="002C2DCC"/>
    <w:rsid w:val="002C3909"/>
    <w:rsid w:val="002C4068"/>
    <w:rsid w:val="002C45DE"/>
    <w:rsid w:val="002C5ECB"/>
    <w:rsid w:val="002D1CC2"/>
    <w:rsid w:val="002D3650"/>
    <w:rsid w:val="002D44A6"/>
    <w:rsid w:val="002D4C1D"/>
    <w:rsid w:val="002D57C8"/>
    <w:rsid w:val="002D58C3"/>
    <w:rsid w:val="002D5979"/>
    <w:rsid w:val="002D7521"/>
    <w:rsid w:val="002E09B6"/>
    <w:rsid w:val="002E0B3B"/>
    <w:rsid w:val="002E106F"/>
    <w:rsid w:val="002E18C7"/>
    <w:rsid w:val="002E1C0B"/>
    <w:rsid w:val="002E26C5"/>
    <w:rsid w:val="002E4966"/>
    <w:rsid w:val="002E6E4A"/>
    <w:rsid w:val="002E723D"/>
    <w:rsid w:val="002F011A"/>
    <w:rsid w:val="002F13FD"/>
    <w:rsid w:val="002F1D8D"/>
    <w:rsid w:val="002F2D90"/>
    <w:rsid w:val="002F3A04"/>
    <w:rsid w:val="002F62FD"/>
    <w:rsid w:val="002F6D48"/>
    <w:rsid w:val="00300FB8"/>
    <w:rsid w:val="00302037"/>
    <w:rsid w:val="0030282F"/>
    <w:rsid w:val="00302C6F"/>
    <w:rsid w:val="00303AC1"/>
    <w:rsid w:val="00304EF2"/>
    <w:rsid w:val="003055C7"/>
    <w:rsid w:val="00306FAA"/>
    <w:rsid w:val="0030768E"/>
    <w:rsid w:val="00307981"/>
    <w:rsid w:val="003109A6"/>
    <w:rsid w:val="00310BFA"/>
    <w:rsid w:val="003137B4"/>
    <w:rsid w:val="00313904"/>
    <w:rsid w:val="00313A29"/>
    <w:rsid w:val="0031432E"/>
    <w:rsid w:val="00314927"/>
    <w:rsid w:val="00315FCC"/>
    <w:rsid w:val="0032026D"/>
    <w:rsid w:val="003207F6"/>
    <w:rsid w:val="00320AD7"/>
    <w:rsid w:val="00320CB0"/>
    <w:rsid w:val="003226F8"/>
    <w:rsid w:val="003239A1"/>
    <w:rsid w:val="00323A80"/>
    <w:rsid w:val="00323EA2"/>
    <w:rsid w:val="00325DBC"/>
    <w:rsid w:val="00325F28"/>
    <w:rsid w:val="00326901"/>
    <w:rsid w:val="00326DC9"/>
    <w:rsid w:val="00327106"/>
    <w:rsid w:val="00334BE3"/>
    <w:rsid w:val="00334CB0"/>
    <w:rsid w:val="00335DBC"/>
    <w:rsid w:val="003379FE"/>
    <w:rsid w:val="003411E0"/>
    <w:rsid w:val="003416CA"/>
    <w:rsid w:val="00341841"/>
    <w:rsid w:val="00341DF2"/>
    <w:rsid w:val="00342747"/>
    <w:rsid w:val="00343E35"/>
    <w:rsid w:val="00344BF3"/>
    <w:rsid w:val="0034553F"/>
    <w:rsid w:val="00347BC1"/>
    <w:rsid w:val="003503F7"/>
    <w:rsid w:val="00352390"/>
    <w:rsid w:val="00352C22"/>
    <w:rsid w:val="00353807"/>
    <w:rsid w:val="00353EC2"/>
    <w:rsid w:val="0035407A"/>
    <w:rsid w:val="00354560"/>
    <w:rsid w:val="00354F65"/>
    <w:rsid w:val="00355F77"/>
    <w:rsid w:val="003565AE"/>
    <w:rsid w:val="00356AE4"/>
    <w:rsid w:val="00356B29"/>
    <w:rsid w:val="00356E4A"/>
    <w:rsid w:val="00367A38"/>
    <w:rsid w:val="00371261"/>
    <w:rsid w:val="003715EA"/>
    <w:rsid w:val="00372553"/>
    <w:rsid w:val="003732DB"/>
    <w:rsid w:val="0037371C"/>
    <w:rsid w:val="003752B2"/>
    <w:rsid w:val="00375AF1"/>
    <w:rsid w:val="00375CAC"/>
    <w:rsid w:val="00376489"/>
    <w:rsid w:val="003766CF"/>
    <w:rsid w:val="00377098"/>
    <w:rsid w:val="0038012F"/>
    <w:rsid w:val="0038065E"/>
    <w:rsid w:val="00380B8D"/>
    <w:rsid w:val="00380BBE"/>
    <w:rsid w:val="00382D74"/>
    <w:rsid w:val="00383A59"/>
    <w:rsid w:val="00384D19"/>
    <w:rsid w:val="00387291"/>
    <w:rsid w:val="00387ADE"/>
    <w:rsid w:val="003904E4"/>
    <w:rsid w:val="00390A73"/>
    <w:rsid w:val="00392B54"/>
    <w:rsid w:val="00394DDE"/>
    <w:rsid w:val="003953A1"/>
    <w:rsid w:val="003957BB"/>
    <w:rsid w:val="0039689F"/>
    <w:rsid w:val="00396DAE"/>
    <w:rsid w:val="003A06E9"/>
    <w:rsid w:val="003A0C0C"/>
    <w:rsid w:val="003A0CCC"/>
    <w:rsid w:val="003A11FF"/>
    <w:rsid w:val="003A1371"/>
    <w:rsid w:val="003A311C"/>
    <w:rsid w:val="003A3D4A"/>
    <w:rsid w:val="003A4EB7"/>
    <w:rsid w:val="003A5236"/>
    <w:rsid w:val="003A5350"/>
    <w:rsid w:val="003A53CA"/>
    <w:rsid w:val="003A6403"/>
    <w:rsid w:val="003A7052"/>
    <w:rsid w:val="003A7A62"/>
    <w:rsid w:val="003A7C4E"/>
    <w:rsid w:val="003B07B9"/>
    <w:rsid w:val="003B15FF"/>
    <w:rsid w:val="003B184E"/>
    <w:rsid w:val="003B1CBA"/>
    <w:rsid w:val="003B2776"/>
    <w:rsid w:val="003B3001"/>
    <w:rsid w:val="003B385D"/>
    <w:rsid w:val="003B408C"/>
    <w:rsid w:val="003B4C63"/>
    <w:rsid w:val="003B56F6"/>
    <w:rsid w:val="003B6F09"/>
    <w:rsid w:val="003C0907"/>
    <w:rsid w:val="003C188E"/>
    <w:rsid w:val="003C19C9"/>
    <w:rsid w:val="003C2AF7"/>
    <w:rsid w:val="003C2B07"/>
    <w:rsid w:val="003C3A37"/>
    <w:rsid w:val="003C5C69"/>
    <w:rsid w:val="003D0831"/>
    <w:rsid w:val="003D1481"/>
    <w:rsid w:val="003D1902"/>
    <w:rsid w:val="003D225F"/>
    <w:rsid w:val="003D4242"/>
    <w:rsid w:val="003D5546"/>
    <w:rsid w:val="003D5E34"/>
    <w:rsid w:val="003D6506"/>
    <w:rsid w:val="003E023C"/>
    <w:rsid w:val="003E05AE"/>
    <w:rsid w:val="003E0FE0"/>
    <w:rsid w:val="003E39E8"/>
    <w:rsid w:val="003E3B49"/>
    <w:rsid w:val="003E4037"/>
    <w:rsid w:val="003E61CB"/>
    <w:rsid w:val="003F0E9A"/>
    <w:rsid w:val="003F1CA3"/>
    <w:rsid w:val="003F1E73"/>
    <w:rsid w:val="003F478C"/>
    <w:rsid w:val="003F5293"/>
    <w:rsid w:val="003F6351"/>
    <w:rsid w:val="003F77A1"/>
    <w:rsid w:val="00400057"/>
    <w:rsid w:val="00401B6A"/>
    <w:rsid w:val="00402A69"/>
    <w:rsid w:val="00402C59"/>
    <w:rsid w:val="0040524F"/>
    <w:rsid w:val="00405702"/>
    <w:rsid w:val="00405D6D"/>
    <w:rsid w:val="004069CB"/>
    <w:rsid w:val="0041063F"/>
    <w:rsid w:val="00411787"/>
    <w:rsid w:val="00412147"/>
    <w:rsid w:val="00412E23"/>
    <w:rsid w:val="004131C6"/>
    <w:rsid w:val="004131D1"/>
    <w:rsid w:val="00414C06"/>
    <w:rsid w:val="0041534A"/>
    <w:rsid w:val="0041587B"/>
    <w:rsid w:val="00415E09"/>
    <w:rsid w:val="00415FCB"/>
    <w:rsid w:val="004200CE"/>
    <w:rsid w:val="00420278"/>
    <w:rsid w:val="004211FD"/>
    <w:rsid w:val="00421366"/>
    <w:rsid w:val="0042449E"/>
    <w:rsid w:val="004247A5"/>
    <w:rsid w:val="004304CA"/>
    <w:rsid w:val="00430A31"/>
    <w:rsid w:val="00430B49"/>
    <w:rsid w:val="00431463"/>
    <w:rsid w:val="00432141"/>
    <w:rsid w:val="00432212"/>
    <w:rsid w:val="004327C4"/>
    <w:rsid w:val="00432E91"/>
    <w:rsid w:val="00435D0A"/>
    <w:rsid w:val="00435EC9"/>
    <w:rsid w:val="0043685F"/>
    <w:rsid w:val="00437637"/>
    <w:rsid w:val="00441140"/>
    <w:rsid w:val="004413F4"/>
    <w:rsid w:val="00441B7A"/>
    <w:rsid w:val="00442647"/>
    <w:rsid w:val="00442D58"/>
    <w:rsid w:val="00443B78"/>
    <w:rsid w:val="0044421A"/>
    <w:rsid w:val="00444845"/>
    <w:rsid w:val="00444F7E"/>
    <w:rsid w:val="0044556A"/>
    <w:rsid w:val="00445B4C"/>
    <w:rsid w:val="0044603B"/>
    <w:rsid w:val="00447C89"/>
    <w:rsid w:val="004505DE"/>
    <w:rsid w:val="00452681"/>
    <w:rsid w:val="004528A1"/>
    <w:rsid w:val="0045618A"/>
    <w:rsid w:val="004563B8"/>
    <w:rsid w:val="00456842"/>
    <w:rsid w:val="004569F6"/>
    <w:rsid w:val="00456F5F"/>
    <w:rsid w:val="00460229"/>
    <w:rsid w:val="004607BE"/>
    <w:rsid w:val="00462201"/>
    <w:rsid w:val="004624EC"/>
    <w:rsid w:val="004634D9"/>
    <w:rsid w:val="004677DA"/>
    <w:rsid w:val="00470A02"/>
    <w:rsid w:val="00472AB6"/>
    <w:rsid w:val="00472E85"/>
    <w:rsid w:val="0047369D"/>
    <w:rsid w:val="004741CD"/>
    <w:rsid w:val="0047491F"/>
    <w:rsid w:val="00475F54"/>
    <w:rsid w:val="00475FD9"/>
    <w:rsid w:val="00476030"/>
    <w:rsid w:val="00476D56"/>
    <w:rsid w:val="00476FFB"/>
    <w:rsid w:val="00477194"/>
    <w:rsid w:val="00477555"/>
    <w:rsid w:val="00477B28"/>
    <w:rsid w:val="00481084"/>
    <w:rsid w:val="00481763"/>
    <w:rsid w:val="0048280D"/>
    <w:rsid w:val="00482972"/>
    <w:rsid w:val="004833B4"/>
    <w:rsid w:val="00483855"/>
    <w:rsid w:val="00484E3D"/>
    <w:rsid w:val="00485C95"/>
    <w:rsid w:val="004864F3"/>
    <w:rsid w:val="00487962"/>
    <w:rsid w:val="00487B08"/>
    <w:rsid w:val="00487D41"/>
    <w:rsid w:val="00491370"/>
    <w:rsid w:val="00491792"/>
    <w:rsid w:val="004919D1"/>
    <w:rsid w:val="004920B9"/>
    <w:rsid w:val="00493A7D"/>
    <w:rsid w:val="004948B2"/>
    <w:rsid w:val="00494C4F"/>
    <w:rsid w:val="0049633F"/>
    <w:rsid w:val="004A0CEF"/>
    <w:rsid w:val="004A12C6"/>
    <w:rsid w:val="004A1795"/>
    <w:rsid w:val="004A17E6"/>
    <w:rsid w:val="004A4C29"/>
    <w:rsid w:val="004A5A65"/>
    <w:rsid w:val="004A6F1B"/>
    <w:rsid w:val="004A7E01"/>
    <w:rsid w:val="004B18BC"/>
    <w:rsid w:val="004B1946"/>
    <w:rsid w:val="004B20D3"/>
    <w:rsid w:val="004B2AC6"/>
    <w:rsid w:val="004B30BE"/>
    <w:rsid w:val="004B3435"/>
    <w:rsid w:val="004B379B"/>
    <w:rsid w:val="004B3D2C"/>
    <w:rsid w:val="004B4423"/>
    <w:rsid w:val="004B560C"/>
    <w:rsid w:val="004B569F"/>
    <w:rsid w:val="004B6A20"/>
    <w:rsid w:val="004B74BD"/>
    <w:rsid w:val="004C17C1"/>
    <w:rsid w:val="004C3FA4"/>
    <w:rsid w:val="004C4C17"/>
    <w:rsid w:val="004C5634"/>
    <w:rsid w:val="004C6FE2"/>
    <w:rsid w:val="004D2066"/>
    <w:rsid w:val="004D30CA"/>
    <w:rsid w:val="004D35C7"/>
    <w:rsid w:val="004D576A"/>
    <w:rsid w:val="004D6C34"/>
    <w:rsid w:val="004E0D48"/>
    <w:rsid w:val="004E1E08"/>
    <w:rsid w:val="004E1EEC"/>
    <w:rsid w:val="004E2D3F"/>
    <w:rsid w:val="004E3803"/>
    <w:rsid w:val="004E52EA"/>
    <w:rsid w:val="004E75F9"/>
    <w:rsid w:val="004F24F1"/>
    <w:rsid w:val="004F2A8C"/>
    <w:rsid w:val="004F3CC0"/>
    <w:rsid w:val="004F3D71"/>
    <w:rsid w:val="004F48F7"/>
    <w:rsid w:val="004F4F01"/>
    <w:rsid w:val="004F671A"/>
    <w:rsid w:val="004F7A42"/>
    <w:rsid w:val="00501565"/>
    <w:rsid w:val="00501BCC"/>
    <w:rsid w:val="00501FEB"/>
    <w:rsid w:val="00502F6C"/>
    <w:rsid w:val="00504D67"/>
    <w:rsid w:val="0050518A"/>
    <w:rsid w:val="00505F2F"/>
    <w:rsid w:val="00506AA2"/>
    <w:rsid w:val="00511E0A"/>
    <w:rsid w:val="00512710"/>
    <w:rsid w:val="005142BC"/>
    <w:rsid w:val="00521D9B"/>
    <w:rsid w:val="00523B35"/>
    <w:rsid w:val="0052536D"/>
    <w:rsid w:val="00525B68"/>
    <w:rsid w:val="005262C7"/>
    <w:rsid w:val="00527752"/>
    <w:rsid w:val="005279D8"/>
    <w:rsid w:val="0053080D"/>
    <w:rsid w:val="00530CE2"/>
    <w:rsid w:val="00534FCA"/>
    <w:rsid w:val="005379AB"/>
    <w:rsid w:val="0054190C"/>
    <w:rsid w:val="00543046"/>
    <w:rsid w:val="00543ABB"/>
    <w:rsid w:val="00543F55"/>
    <w:rsid w:val="00544266"/>
    <w:rsid w:val="00544B75"/>
    <w:rsid w:val="00544E0E"/>
    <w:rsid w:val="005457B9"/>
    <w:rsid w:val="00547C23"/>
    <w:rsid w:val="00550A80"/>
    <w:rsid w:val="00550FEF"/>
    <w:rsid w:val="00551E7A"/>
    <w:rsid w:val="00552556"/>
    <w:rsid w:val="00552CDD"/>
    <w:rsid w:val="0055404C"/>
    <w:rsid w:val="005545A6"/>
    <w:rsid w:val="005560BC"/>
    <w:rsid w:val="005602DF"/>
    <w:rsid w:val="00562DC1"/>
    <w:rsid w:val="005632E0"/>
    <w:rsid w:val="005638CD"/>
    <w:rsid w:val="00565276"/>
    <w:rsid w:val="0056562A"/>
    <w:rsid w:val="00565654"/>
    <w:rsid w:val="0056571C"/>
    <w:rsid w:val="00565C1E"/>
    <w:rsid w:val="00567338"/>
    <w:rsid w:val="005677AB"/>
    <w:rsid w:val="00567DDB"/>
    <w:rsid w:val="0057025D"/>
    <w:rsid w:val="005707AE"/>
    <w:rsid w:val="00570DFC"/>
    <w:rsid w:val="00571D82"/>
    <w:rsid w:val="0057230A"/>
    <w:rsid w:val="00572E59"/>
    <w:rsid w:val="00575694"/>
    <w:rsid w:val="00576651"/>
    <w:rsid w:val="005773DC"/>
    <w:rsid w:val="00577A50"/>
    <w:rsid w:val="00582515"/>
    <w:rsid w:val="00583050"/>
    <w:rsid w:val="0058484A"/>
    <w:rsid w:val="00584FC5"/>
    <w:rsid w:val="0058578E"/>
    <w:rsid w:val="0058669F"/>
    <w:rsid w:val="005910CB"/>
    <w:rsid w:val="0059447F"/>
    <w:rsid w:val="00594DF7"/>
    <w:rsid w:val="00595A02"/>
    <w:rsid w:val="0059605A"/>
    <w:rsid w:val="00597426"/>
    <w:rsid w:val="005A3600"/>
    <w:rsid w:val="005A388A"/>
    <w:rsid w:val="005A46F7"/>
    <w:rsid w:val="005A55CB"/>
    <w:rsid w:val="005A7DB6"/>
    <w:rsid w:val="005B016B"/>
    <w:rsid w:val="005B068C"/>
    <w:rsid w:val="005B0869"/>
    <w:rsid w:val="005B1F11"/>
    <w:rsid w:val="005B1F36"/>
    <w:rsid w:val="005B3B40"/>
    <w:rsid w:val="005B3E38"/>
    <w:rsid w:val="005B56A1"/>
    <w:rsid w:val="005B6818"/>
    <w:rsid w:val="005B6829"/>
    <w:rsid w:val="005B68FB"/>
    <w:rsid w:val="005B77BA"/>
    <w:rsid w:val="005C0B50"/>
    <w:rsid w:val="005C31BE"/>
    <w:rsid w:val="005C3458"/>
    <w:rsid w:val="005C3ADD"/>
    <w:rsid w:val="005C3B49"/>
    <w:rsid w:val="005C714A"/>
    <w:rsid w:val="005D3B11"/>
    <w:rsid w:val="005D3C82"/>
    <w:rsid w:val="005D3CD3"/>
    <w:rsid w:val="005D42FD"/>
    <w:rsid w:val="005D480E"/>
    <w:rsid w:val="005D49D4"/>
    <w:rsid w:val="005E0B9A"/>
    <w:rsid w:val="005E1C91"/>
    <w:rsid w:val="005E2AE8"/>
    <w:rsid w:val="005E2BB1"/>
    <w:rsid w:val="005E3C08"/>
    <w:rsid w:val="005E428D"/>
    <w:rsid w:val="005E6B03"/>
    <w:rsid w:val="005F0703"/>
    <w:rsid w:val="005F0E84"/>
    <w:rsid w:val="005F0FC0"/>
    <w:rsid w:val="005F1992"/>
    <w:rsid w:val="005F462B"/>
    <w:rsid w:val="005F566E"/>
    <w:rsid w:val="005F595A"/>
    <w:rsid w:val="0060029B"/>
    <w:rsid w:val="00600886"/>
    <w:rsid w:val="00602203"/>
    <w:rsid w:val="006022CC"/>
    <w:rsid w:val="00603327"/>
    <w:rsid w:val="00603D0A"/>
    <w:rsid w:val="00604164"/>
    <w:rsid w:val="006045F2"/>
    <w:rsid w:val="00604DD0"/>
    <w:rsid w:val="00605669"/>
    <w:rsid w:val="00605862"/>
    <w:rsid w:val="00605CE4"/>
    <w:rsid w:val="006065CD"/>
    <w:rsid w:val="00606768"/>
    <w:rsid w:val="0061063F"/>
    <w:rsid w:val="00614093"/>
    <w:rsid w:val="006153B8"/>
    <w:rsid w:val="006166C2"/>
    <w:rsid w:val="00616B7B"/>
    <w:rsid w:val="00620BED"/>
    <w:rsid w:val="0062108F"/>
    <w:rsid w:val="00621121"/>
    <w:rsid w:val="0062295F"/>
    <w:rsid w:val="00623784"/>
    <w:rsid w:val="00623C72"/>
    <w:rsid w:val="00624425"/>
    <w:rsid w:val="00624B0B"/>
    <w:rsid w:val="00624C05"/>
    <w:rsid w:val="0062592E"/>
    <w:rsid w:val="00626124"/>
    <w:rsid w:val="00627D33"/>
    <w:rsid w:val="00627D83"/>
    <w:rsid w:val="006302AF"/>
    <w:rsid w:val="006308B0"/>
    <w:rsid w:val="00630F68"/>
    <w:rsid w:val="006312D2"/>
    <w:rsid w:val="00632E6A"/>
    <w:rsid w:val="00632F97"/>
    <w:rsid w:val="0063422E"/>
    <w:rsid w:val="00634F33"/>
    <w:rsid w:val="00635052"/>
    <w:rsid w:val="00635356"/>
    <w:rsid w:val="0063558E"/>
    <w:rsid w:val="00637288"/>
    <w:rsid w:val="0063765A"/>
    <w:rsid w:val="00637AB8"/>
    <w:rsid w:val="00637F6F"/>
    <w:rsid w:val="006423E4"/>
    <w:rsid w:val="006427DD"/>
    <w:rsid w:val="0064351F"/>
    <w:rsid w:val="00643C90"/>
    <w:rsid w:val="00647DFF"/>
    <w:rsid w:val="0065044D"/>
    <w:rsid w:val="0065049E"/>
    <w:rsid w:val="006513F2"/>
    <w:rsid w:val="00651CC7"/>
    <w:rsid w:val="00653CD0"/>
    <w:rsid w:val="00653D90"/>
    <w:rsid w:val="0065405A"/>
    <w:rsid w:val="0065625D"/>
    <w:rsid w:val="00656678"/>
    <w:rsid w:val="00657925"/>
    <w:rsid w:val="00660F73"/>
    <w:rsid w:val="00661018"/>
    <w:rsid w:val="006662B9"/>
    <w:rsid w:val="00667301"/>
    <w:rsid w:val="00670861"/>
    <w:rsid w:val="006716E9"/>
    <w:rsid w:val="00674DF1"/>
    <w:rsid w:val="00676562"/>
    <w:rsid w:val="00676E95"/>
    <w:rsid w:val="006772A1"/>
    <w:rsid w:val="006779CB"/>
    <w:rsid w:val="0068045F"/>
    <w:rsid w:val="006808BC"/>
    <w:rsid w:val="00683447"/>
    <w:rsid w:val="00684C09"/>
    <w:rsid w:val="00685040"/>
    <w:rsid w:val="006862D3"/>
    <w:rsid w:val="00687633"/>
    <w:rsid w:val="0068775A"/>
    <w:rsid w:val="006877A0"/>
    <w:rsid w:val="00691C18"/>
    <w:rsid w:val="00693734"/>
    <w:rsid w:val="00693E5E"/>
    <w:rsid w:val="006955A5"/>
    <w:rsid w:val="006A07A5"/>
    <w:rsid w:val="006A1062"/>
    <w:rsid w:val="006A1662"/>
    <w:rsid w:val="006A4EE9"/>
    <w:rsid w:val="006A5751"/>
    <w:rsid w:val="006A623E"/>
    <w:rsid w:val="006A6D43"/>
    <w:rsid w:val="006A7BA2"/>
    <w:rsid w:val="006B1FCA"/>
    <w:rsid w:val="006B2994"/>
    <w:rsid w:val="006B3229"/>
    <w:rsid w:val="006B33C8"/>
    <w:rsid w:val="006B508A"/>
    <w:rsid w:val="006B5B8C"/>
    <w:rsid w:val="006B6624"/>
    <w:rsid w:val="006B6AD4"/>
    <w:rsid w:val="006B6D2F"/>
    <w:rsid w:val="006C3468"/>
    <w:rsid w:val="006C3A10"/>
    <w:rsid w:val="006C43BF"/>
    <w:rsid w:val="006C4AD1"/>
    <w:rsid w:val="006C4DC3"/>
    <w:rsid w:val="006C5A67"/>
    <w:rsid w:val="006C69BB"/>
    <w:rsid w:val="006C6B19"/>
    <w:rsid w:val="006C6C05"/>
    <w:rsid w:val="006C742C"/>
    <w:rsid w:val="006D0A6D"/>
    <w:rsid w:val="006D0D2C"/>
    <w:rsid w:val="006D2C7E"/>
    <w:rsid w:val="006D3D29"/>
    <w:rsid w:val="006D3FEA"/>
    <w:rsid w:val="006D517D"/>
    <w:rsid w:val="006D5272"/>
    <w:rsid w:val="006D5955"/>
    <w:rsid w:val="006D6C00"/>
    <w:rsid w:val="006D7D97"/>
    <w:rsid w:val="006E0A59"/>
    <w:rsid w:val="006E103F"/>
    <w:rsid w:val="006E1BCA"/>
    <w:rsid w:val="006E25A6"/>
    <w:rsid w:val="006E31A5"/>
    <w:rsid w:val="006E3458"/>
    <w:rsid w:val="006E392B"/>
    <w:rsid w:val="006E68DD"/>
    <w:rsid w:val="006E69FD"/>
    <w:rsid w:val="006F31F6"/>
    <w:rsid w:val="006F326D"/>
    <w:rsid w:val="006F33D1"/>
    <w:rsid w:val="006F38A4"/>
    <w:rsid w:val="006F4E88"/>
    <w:rsid w:val="006F6650"/>
    <w:rsid w:val="006F6D28"/>
    <w:rsid w:val="006F7380"/>
    <w:rsid w:val="006F7A1D"/>
    <w:rsid w:val="00700B0C"/>
    <w:rsid w:val="0070241F"/>
    <w:rsid w:val="0070573D"/>
    <w:rsid w:val="0070578E"/>
    <w:rsid w:val="00705C94"/>
    <w:rsid w:val="007105B7"/>
    <w:rsid w:val="00710DBD"/>
    <w:rsid w:val="00710DF2"/>
    <w:rsid w:val="0071106E"/>
    <w:rsid w:val="00712B65"/>
    <w:rsid w:val="007145D3"/>
    <w:rsid w:val="0071460A"/>
    <w:rsid w:val="00715583"/>
    <w:rsid w:val="00721459"/>
    <w:rsid w:val="0072390C"/>
    <w:rsid w:val="00723E0D"/>
    <w:rsid w:val="0072433A"/>
    <w:rsid w:val="007266DC"/>
    <w:rsid w:val="007307F6"/>
    <w:rsid w:val="00730D3E"/>
    <w:rsid w:val="007316AE"/>
    <w:rsid w:val="007319FD"/>
    <w:rsid w:val="007353AC"/>
    <w:rsid w:val="00736058"/>
    <w:rsid w:val="007371DC"/>
    <w:rsid w:val="00737AA5"/>
    <w:rsid w:val="007406A2"/>
    <w:rsid w:val="00740FAE"/>
    <w:rsid w:val="00741E8E"/>
    <w:rsid w:val="007442E8"/>
    <w:rsid w:val="0074486C"/>
    <w:rsid w:val="00744DE2"/>
    <w:rsid w:val="00744FF6"/>
    <w:rsid w:val="007457E4"/>
    <w:rsid w:val="00754C1F"/>
    <w:rsid w:val="00756FC9"/>
    <w:rsid w:val="0076033E"/>
    <w:rsid w:val="00762DB4"/>
    <w:rsid w:val="00764A66"/>
    <w:rsid w:val="007653D6"/>
    <w:rsid w:val="007656F1"/>
    <w:rsid w:val="00765BB8"/>
    <w:rsid w:val="00765D07"/>
    <w:rsid w:val="0076749C"/>
    <w:rsid w:val="00767588"/>
    <w:rsid w:val="00767D36"/>
    <w:rsid w:val="00767ED3"/>
    <w:rsid w:val="007703E6"/>
    <w:rsid w:val="007726C5"/>
    <w:rsid w:val="00774A45"/>
    <w:rsid w:val="00774ABC"/>
    <w:rsid w:val="0077562F"/>
    <w:rsid w:val="00775FA9"/>
    <w:rsid w:val="0077631C"/>
    <w:rsid w:val="00777241"/>
    <w:rsid w:val="007808A5"/>
    <w:rsid w:val="00780D66"/>
    <w:rsid w:val="007815E5"/>
    <w:rsid w:val="00781B41"/>
    <w:rsid w:val="00781C82"/>
    <w:rsid w:val="007821CC"/>
    <w:rsid w:val="007824EB"/>
    <w:rsid w:val="0078368A"/>
    <w:rsid w:val="0078544B"/>
    <w:rsid w:val="00786552"/>
    <w:rsid w:val="00786B34"/>
    <w:rsid w:val="0078710C"/>
    <w:rsid w:val="00787308"/>
    <w:rsid w:val="0079152F"/>
    <w:rsid w:val="00793277"/>
    <w:rsid w:val="0079345F"/>
    <w:rsid w:val="00793582"/>
    <w:rsid w:val="0079369C"/>
    <w:rsid w:val="00794907"/>
    <w:rsid w:val="007961EF"/>
    <w:rsid w:val="007963C0"/>
    <w:rsid w:val="00796785"/>
    <w:rsid w:val="00797002"/>
    <w:rsid w:val="00797102"/>
    <w:rsid w:val="00797A40"/>
    <w:rsid w:val="00797F16"/>
    <w:rsid w:val="007A0126"/>
    <w:rsid w:val="007A255B"/>
    <w:rsid w:val="007A2F70"/>
    <w:rsid w:val="007A4F99"/>
    <w:rsid w:val="007A6CDC"/>
    <w:rsid w:val="007A7B8E"/>
    <w:rsid w:val="007B003F"/>
    <w:rsid w:val="007B35BE"/>
    <w:rsid w:val="007B3F07"/>
    <w:rsid w:val="007B560A"/>
    <w:rsid w:val="007B6424"/>
    <w:rsid w:val="007B72BA"/>
    <w:rsid w:val="007B7343"/>
    <w:rsid w:val="007B74D4"/>
    <w:rsid w:val="007C0570"/>
    <w:rsid w:val="007C243D"/>
    <w:rsid w:val="007C30CD"/>
    <w:rsid w:val="007C5A5C"/>
    <w:rsid w:val="007C7576"/>
    <w:rsid w:val="007D059B"/>
    <w:rsid w:val="007D06C9"/>
    <w:rsid w:val="007D085E"/>
    <w:rsid w:val="007D286A"/>
    <w:rsid w:val="007D2E1F"/>
    <w:rsid w:val="007D386D"/>
    <w:rsid w:val="007D3FF6"/>
    <w:rsid w:val="007D53E1"/>
    <w:rsid w:val="007D5D20"/>
    <w:rsid w:val="007D73D1"/>
    <w:rsid w:val="007E1011"/>
    <w:rsid w:val="007E1BF9"/>
    <w:rsid w:val="007E2022"/>
    <w:rsid w:val="007E2404"/>
    <w:rsid w:val="007E60F4"/>
    <w:rsid w:val="007E6A0B"/>
    <w:rsid w:val="007E7CD5"/>
    <w:rsid w:val="007F06CC"/>
    <w:rsid w:val="007F0B3D"/>
    <w:rsid w:val="007F1E39"/>
    <w:rsid w:val="007F2004"/>
    <w:rsid w:val="007F4008"/>
    <w:rsid w:val="007F42CA"/>
    <w:rsid w:val="007F5D77"/>
    <w:rsid w:val="007F7174"/>
    <w:rsid w:val="00800A90"/>
    <w:rsid w:val="00801D02"/>
    <w:rsid w:val="00802E07"/>
    <w:rsid w:val="008039F4"/>
    <w:rsid w:val="00806822"/>
    <w:rsid w:val="00806D87"/>
    <w:rsid w:val="0081121A"/>
    <w:rsid w:val="00811E41"/>
    <w:rsid w:val="00812A54"/>
    <w:rsid w:val="00812B8B"/>
    <w:rsid w:val="00813927"/>
    <w:rsid w:val="00813B68"/>
    <w:rsid w:val="00813CE3"/>
    <w:rsid w:val="00813F91"/>
    <w:rsid w:val="0081498A"/>
    <w:rsid w:val="00814BBA"/>
    <w:rsid w:val="00816AD5"/>
    <w:rsid w:val="008210B3"/>
    <w:rsid w:val="008214C8"/>
    <w:rsid w:val="0082265F"/>
    <w:rsid w:val="0082396B"/>
    <w:rsid w:val="008239D9"/>
    <w:rsid w:val="00824D71"/>
    <w:rsid w:val="00824DA6"/>
    <w:rsid w:val="0082685E"/>
    <w:rsid w:val="008277EE"/>
    <w:rsid w:val="00827FEE"/>
    <w:rsid w:val="0083158A"/>
    <w:rsid w:val="00831722"/>
    <w:rsid w:val="00831792"/>
    <w:rsid w:val="00835B2F"/>
    <w:rsid w:val="00836A07"/>
    <w:rsid w:val="0083738B"/>
    <w:rsid w:val="008374CD"/>
    <w:rsid w:val="008375EF"/>
    <w:rsid w:val="0083761B"/>
    <w:rsid w:val="008376D7"/>
    <w:rsid w:val="008377BA"/>
    <w:rsid w:val="00837B42"/>
    <w:rsid w:val="00837D8D"/>
    <w:rsid w:val="0084039F"/>
    <w:rsid w:val="0084064E"/>
    <w:rsid w:val="00842053"/>
    <w:rsid w:val="008438C7"/>
    <w:rsid w:val="00844E45"/>
    <w:rsid w:val="00846B5A"/>
    <w:rsid w:val="008515C4"/>
    <w:rsid w:val="00852088"/>
    <w:rsid w:val="00852864"/>
    <w:rsid w:val="0085347D"/>
    <w:rsid w:val="00853FCC"/>
    <w:rsid w:val="00854552"/>
    <w:rsid w:val="00855444"/>
    <w:rsid w:val="00855FB3"/>
    <w:rsid w:val="008604B4"/>
    <w:rsid w:val="0086064B"/>
    <w:rsid w:val="008608B0"/>
    <w:rsid w:val="00861E66"/>
    <w:rsid w:val="008623BF"/>
    <w:rsid w:val="008625A9"/>
    <w:rsid w:val="008636ED"/>
    <w:rsid w:val="00867F57"/>
    <w:rsid w:val="008701D2"/>
    <w:rsid w:val="00870346"/>
    <w:rsid w:val="00872266"/>
    <w:rsid w:val="008725F9"/>
    <w:rsid w:val="0087524C"/>
    <w:rsid w:val="008755BF"/>
    <w:rsid w:val="008809C0"/>
    <w:rsid w:val="00883816"/>
    <w:rsid w:val="00886530"/>
    <w:rsid w:val="00887109"/>
    <w:rsid w:val="00891174"/>
    <w:rsid w:val="00891AE1"/>
    <w:rsid w:val="00895495"/>
    <w:rsid w:val="0089779D"/>
    <w:rsid w:val="008A05D3"/>
    <w:rsid w:val="008A2A02"/>
    <w:rsid w:val="008A2FD4"/>
    <w:rsid w:val="008A3D8B"/>
    <w:rsid w:val="008A3EB7"/>
    <w:rsid w:val="008A5CA9"/>
    <w:rsid w:val="008A6DA9"/>
    <w:rsid w:val="008B13E0"/>
    <w:rsid w:val="008B337C"/>
    <w:rsid w:val="008B4687"/>
    <w:rsid w:val="008B7262"/>
    <w:rsid w:val="008C0C44"/>
    <w:rsid w:val="008C5DF2"/>
    <w:rsid w:val="008C5ED6"/>
    <w:rsid w:val="008C62F3"/>
    <w:rsid w:val="008C664E"/>
    <w:rsid w:val="008C7C94"/>
    <w:rsid w:val="008C7D97"/>
    <w:rsid w:val="008D117B"/>
    <w:rsid w:val="008D13FC"/>
    <w:rsid w:val="008D184C"/>
    <w:rsid w:val="008D25A2"/>
    <w:rsid w:val="008D2C4C"/>
    <w:rsid w:val="008D62BD"/>
    <w:rsid w:val="008D7517"/>
    <w:rsid w:val="008D7C05"/>
    <w:rsid w:val="008E18EA"/>
    <w:rsid w:val="008E1E53"/>
    <w:rsid w:val="008E21DC"/>
    <w:rsid w:val="008E2ABA"/>
    <w:rsid w:val="008E35AF"/>
    <w:rsid w:val="008E473C"/>
    <w:rsid w:val="008E6608"/>
    <w:rsid w:val="008E6BA9"/>
    <w:rsid w:val="008E74A2"/>
    <w:rsid w:val="008E751F"/>
    <w:rsid w:val="008F08A0"/>
    <w:rsid w:val="008F0944"/>
    <w:rsid w:val="008F2E37"/>
    <w:rsid w:val="008F38B1"/>
    <w:rsid w:val="008F42F9"/>
    <w:rsid w:val="008F48E8"/>
    <w:rsid w:val="008F4A7A"/>
    <w:rsid w:val="008F5C27"/>
    <w:rsid w:val="008F6075"/>
    <w:rsid w:val="008F677A"/>
    <w:rsid w:val="008F68EA"/>
    <w:rsid w:val="008F7FA8"/>
    <w:rsid w:val="009001B3"/>
    <w:rsid w:val="00902ABF"/>
    <w:rsid w:val="009034D5"/>
    <w:rsid w:val="00903A7D"/>
    <w:rsid w:val="00905684"/>
    <w:rsid w:val="009060B5"/>
    <w:rsid w:val="009078CF"/>
    <w:rsid w:val="00910212"/>
    <w:rsid w:val="00912C58"/>
    <w:rsid w:val="009145B5"/>
    <w:rsid w:val="00914A32"/>
    <w:rsid w:val="00915AA3"/>
    <w:rsid w:val="00916711"/>
    <w:rsid w:val="00917ADB"/>
    <w:rsid w:val="00920100"/>
    <w:rsid w:val="00920D05"/>
    <w:rsid w:val="009216D0"/>
    <w:rsid w:val="00925D5F"/>
    <w:rsid w:val="00927002"/>
    <w:rsid w:val="00927641"/>
    <w:rsid w:val="009337FE"/>
    <w:rsid w:val="00935BE1"/>
    <w:rsid w:val="009360C5"/>
    <w:rsid w:val="00936D70"/>
    <w:rsid w:val="00937BC2"/>
    <w:rsid w:val="009402A0"/>
    <w:rsid w:val="0094185B"/>
    <w:rsid w:val="00941967"/>
    <w:rsid w:val="009423EE"/>
    <w:rsid w:val="00943116"/>
    <w:rsid w:val="0094453E"/>
    <w:rsid w:val="00944916"/>
    <w:rsid w:val="00945AFF"/>
    <w:rsid w:val="00946244"/>
    <w:rsid w:val="00947E69"/>
    <w:rsid w:val="00950F15"/>
    <w:rsid w:val="00951F54"/>
    <w:rsid w:val="00953A83"/>
    <w:rsid w:val="00954513"/>
    <w:rsid w:val="00956454"/>
    <w:rsid w:val="00956C0A"/>
    <w:rsid w:val="00956CAE"/>
    <w:rsid w:val="009570E0"/>
    <w:rsid w:val="00957C40"/>
    <w:rsid w:val="009601E2"/>
    <w:rsid w:val="00960827"/>
    <w:rsid w:val="009620E9"/>
    <w:rsid w:val="00963394"/>
    <w:rsid w:val="00964569"/>
    <w:rsid w:val="0096472A"/>
    <w:rsid w:val="0096531A"/>
    <w:rsid w:val="00967096"/>
    <w:rsid w:val="009712E7"/>
    <w:rsid w:val="00971A09"/>
    <w:rsid w:val="00972A77"/>
    <w:rsid w:val="0097328B"/>
    <w:rsid w:val="00973E84"/>
    <w:rsid w:val="0097414F"/>
    <w:rsid w:val="0097457C"/>
    <w:rsid w:val="00974A9B"/>
    <w:rsid w:val="009755D8"/>
    <w:rsid w:val="00975A20"/>
    <w:rsid w:val="0097710F"/>
    <w:rsid w:val="009776FD"/>
    <w:rsid w:val="00981252"/>
    <w:rsid w:val="009812D7"/>
    <w:rsid w:val="0098244E"/>
    <w:rsid w:val="00983683"/>
    <w:rsid w:val="00985999"/>
    <w:rsid w:val="00985E3E"/>
    <w:rsid w:val="00985F80"/>
    <w:rsid w:val="0098610F"/>
    <w:rsid w:val="0098632F"/>
    <w:rsid w:val="00991771"/>
    <w:rsid w:val="00991892"/>
    <w:rsid w:val="009922AC"/>
    <w:rsid w:val="009925FB"/>
    <w:rsid w:val="00993215"/>
    <w:rsid w:val="00994866"/>
    <w:rsid w:val="00995C01"/>
    <w:rsid w:val="00995E27"/>
    <w:rsid w:val="009A1534"/>
    <w:rsid w:val="009A2523"/>
    <w:rsid w:val="009A273B"/>
    <w:rsid w:val="009A74A3"/>
    <w:rsid w:val="009A7796"/>
    <w:rsid w:val="009A79BF"/>
    <w:rsid w:val="009B1CAF"/>
    <w:rsid w:val="009B3B4D"/>
    <w:rsid w:val="009B55F5"/>
    <w:rsid w:val="009B5E4C"/>
    <w:rsid w:val="009B5F52"/>
    <w:rsid w:val="009B61CC"/>
    <w:rsid w:val="009B62F9"/>
    <w:rsid w:val="009C1CFC"/>
    <w:rsid w:val="009C2046"/>
    <w:rsid w:val="009C2FB0"/>
    <w:rsid w:val="009C50A7"/>
    <w:rsid w:val="009C51D3"/>
    <w:rsid w:val="009C535E"/>
    <w:rsid w:val="009C584E"/>
    <w:rsid w:val="009C591D"/>
    <w:rsid w:val="009C67BD"/>
    <w:rsid w:val="009D3FE4"/>
    <w:rsid w:val="009D5310"/>
    <w:rsid w:val="009D561A"/>
    <w:rsid w:val="009D62C8"/>
    <w:rsid w:val="009D69EC"/>
    <w:rsid w:val="009D71B0"/>
    <w:rsid w:val="009D71E3"/>
    <w:rsid w:val="009E1250"/>
    <w:rsid w:val="009E15F2"/>
    <w:rsid w:val="009E2092"/>
    <w:rsid w:val="009E3E03"/>
    <w:rsid w:val="009E5A0D"/>
    <w:rsid w:val="009E66E5"/>
    <w:rsid w:val="009E6834"/>
    <w:rsid w:val="009E7BA1"/>
    <w:rsid w:val="009F1BB4"/>
    <w:rsid w:val="009F338E"/>
    <w:rsid w:val="009F5E10"/>
    <w:rsid w:val="00A00126"/>
    <w:rsid w:val="00A01C35"/>
    <w:rsid w:val="00A01C9D"/>
    <w:rsid w:val="00A01F4B"/>
    <w:rsid w:val="00A027CB"/>
    <w:rsid w:val="00A02FF5"/>
    <w:rsid w:val="00A0304B"/>
    <w:rsid w:val="00A031F3"/>
    <w:rsid w:val="00A040CE"/>
    <w:rsid w:val="00A05534"/>
    <w:rsid w:val="00A068C1"/>
    <w:rsid w:val="00A070BB"/>
    <w:rsid w:val="00A07DDC"/>
    <w:rsid w:val="00A1273C"/>
    <w:rsid w:val="00A13022"/>
    <w:rsid w:val="00A133B3"/>
    <w:rsid w:val="00A1350E"/>
    <w:rsid w:val="00A15B91"/>
    <w:rsid w:val="00A20771"/>
    <w:rsid w:val="00A220A5"/>
    <w:rsid w:val="00A22183"/>
    <w:rsid w:val="00A22489"/>
    <w:rsid w:val="00A23DE7"/>
    <w:rsid w:val="00A24587"/>
    <w:rsid w:val="00A26AF0"/>
    <w:rsid w:val="00A32452"/>
    <w:rsid w:val="00A3348D"/>
    <w:rsid w:val="00A345E3"/>
    <w:rsid w:val="00A3502C"/>
    <w:rsid w:val="00A369E4"/>
    <w:rsid w:val="00A40A4A"/>
    <w:rsid w:val="00A43191"/>
    <w:rsid w:val="00A43729"/>
    <w:rsid w:val="00A43CF4"/>
    <w:rsid w:val="00A44F5B"/>
    <w:rsid w:val="00A508E4"/>
    <w:rsid w:val="00A52B0E"/>
    <w:rsid w:val="00A561E1"/>
    <w:rsid w:val="00A56CD5"/>
    <w:rsid w:val="00A571A3"/>
    <w:rsid w:val="00A57775"/>
    <w:rsid w:val="00A62583"/>
    <w:rsid w:val="00A62F39"/>
    <w:rsid w:val="00A6543A"/>
    <w:rsid w:val="00A65FED"/>
    <w:rsid w:val="00A66F95"/>
    <w:rsid w:val="00A71404"/>
    <w:rsid w:val="00A72E77"/>
    <w:rsid w:val="00A73605"/>
    <w:rsid w:val="00A7507E"/>
    <w:rsid w:val="00A7617F"/>
    <w:rsid w:val="00A7668B"/>
    <w:rsid w:val="00A76A8E"/>
    <w:rsid w:val="00A77A99"/>
    <w:rsid w:val="00A805EA"/>
    <w:rsid w:val="00A808F0"/>
    <w:rsid w:val="00A80D57"/>
    <w:rsid w:val="00A83A34"/>
    <w:rsid w:val="00A83F1E"/>
    <w:rsid w:val="00A84748"/>
    <w:rsid w:val="00A847B3"/>
    <w:rsid w:val="00A85159"/>
    <w:rsid w:val="00A86213"/>
    <w:rsid w:val="00A87479"/>
    <w:rsid w:val="00A87668"/>
    <w:rsid w:val="00A87C9A"/>
    <w:rsid w:val="00A90586"/>
    <w:rsid w:val="00A90685"/>
    <w:rsid w:val="00A9217E"/>
    <w:rsid w:val="00A946C2"/>
    <w:rsid w:val="00A94AFD"/>
    <w:rsid w:val="00A9515B"/>
    <w:rsid w:val="00A95872"/>
    <w:rsid w:val="00A97601"/>
    <w:rsid w:val="00AA1705"/>
    <w:rsid w:val="00AA1AB9"/>
    <w:rsid w:val="00AA2107"/>
    <w:rsid w:val="00AA2B97"/>
    <w:rsid w:val="00AA3DA4"/>
    <w:rsid w:val="00AA42E5"/>
    <w:rsid w:val="00AA4E7A"/>
    <w:rsid w:val="00AA5A13"/>
    <w:rsid w:val="00AA6178"/>
    <w:rsid w:val="00AA6414"/>
    <w:rsid w:val="00AB125B"/>
    <w:rsid w:val="00AB2808"/>
    <w:rsid w:val="00AB2C1D"/>
    <w:rsid w:val="00AB3D1F"/>
    <w:rsid w:val="00AB4412"/>
    <w:rsid w:val="00AB5E84"/>
    <w:rsid w:val="00AB633D"/>
    <w:rsid w:val="00AC0C62"/>
    <w:rsid w:val="00AC22F4"/>
    <w:rsid w:val="00AC2826"/>
    <w:rsid w:val="00AC2865"/>
    <w:rsid w:val="00AC3400"/>
    <w:rsid w:val="00AC344A"/>
    <w:rsid w:val="00AC36A9"/>
    <w:rsid w:val="00AC54C2"/>
    <w:rsid w:val="00AC5574"/>
    <w:rsid w:val="00AC6E28"/>
    <w:rsid w:val="00AC73EF"/>
    <w:rsid w:val="00AD0B03"/>
    <w:rsid w:val="00AD141E"/>
    <w:rsid w:val="00AD29D0"/>
    <w:rsid w:val="00AD4729"/>
    <w:rsid w:val="00AD4F08"/>
    <w:rsid w:val="00AD58FA"/>
    <w:rsid w:val="00AD59A3"/>
    <w:rsid w:val="00AD6434"/>
    <w:rsid w:val="00AD7290"/>
    <w:rsid w:val="00AE101C"/>
    <w:rsid w:val="00AE15A0"/>
    <w:rsid w:val="00AE3025"/>
    <w:rsid w:val="00AE3B04"/>
    <w:rsid w:val="00AE5D73"/>
    <w:rsid w:val="00AE6A2C"/>
    <w:rsid w:val="00AF04E5"/>
    <w:rsid w:val="00AF0F05"/>
    <w:rsid w:val="00AF1190"/>
    <w:rsid w:val="00AF2D61"/>
    <w:rsid w:val="00AF301C"/>
    <w:rsid w:val="00AF388B"/>
    <w:rsid w:val="00AF3986"/>
    <w:rsid w:val="00AF41C7"/>
    <w:rsid w:val="00AF7533"/>
    <w:rsid w:val="00B0167A"/>
    <w:rsid w:val="00B027E4"/>
    <w:rsid w:val="00B03AD0"/>
    <w:rsid w:val="00B04026"/>
    <w:rsid w:val="00B04A16"/>
    <w:rsid w:val="00B04C32"/>
    <w:rsid w:val="00B04C48"/>
    <w:rsid w:val="00B04C6A"/>
    <w:rsid w:val="00B04D15"/>
    <w:rsid w:val="00B05582"/>
    <w:rsid w:val="00B05B49"/>
    <w:rsid w:val="00B0788D"/>
    <w:rsid w:val="00B11424"/>
    <w:rsid w:val="00B118F4"/>
    <w:rsid w:val="00B149DE"/>
    <w:rsid w:val="00B14BD1"/>
    <w:rsid w:val="00B15992"/>
    <w:rsid w:val="00B20C7E"/>
    <w:rsid w:val="00B211D2"/>
    <w:rsid w:val="00B224E5"/>
    <w:rsid w:val="00B23837"/>
    <w:rsid w:val="00B25713"/>
    <w:rsid w:val="00B26DDC"/>
    <w:rsid w:val="00B27010"/>
    <w:rsid w:val="00B272C0"/>
    <w:rsid w:val="00B31395"/>
    <w:rsid w:val="00B33CF5"/>
    <w:rsid w:val="00B3491C"/>
    <w:rsid w:val="00B356EE"/>
    <w:rsid w:val="00B3572C"/>
    <w:rsid w:val="00B358D8"/>
    <w:rsid w:val="00B35948"/>
    <w:rsid w:val="00B35B51"/>
    <w:rsid w:val="00B37326"/>
    <w:rsid w:val="00B37C9C"/>
    <w:rsid w:val="00B37FCA"/>
    <w:rsid w:val="00B425B8"/>
    <w:rsid w:val="00B42D13"/>
    <w:rsid w:val="00B431C5"/>
    <w:rsid w:val="00B4455D"/>
    <w:rsid w:val="00B448E5"/>
    <w:rsid w:val="00B44B15"/>
    <w:rsid w:val="00B45C11"/>
    <w:rsid w:val="00B46005"/>
    <w:rsid w:val="00B4650A"/>
    <w:rsid w:val="00B46C00"/>
    <w:rsid w:val="00B47EA4"/>
    <w:rsid w:val="00B47EFD"/>
    <w:rsid w:val="00B50137"/>
    <w:rsid w:val="00B5170D"/>
    <w:rsid w:val="00B520EC"/>
    <w:rsid w:val="00B52ED7"/>
    <w:rsid w:val="00B53334"/>
    <w:rsid w:val="00B5393B"/>
    <w:rsid w:val="00B543AF"/>
    <w:rsid w:val="00B554AD"/>
    <w:rsid w:val="00B55E10"/>
    <w:rsid w:val="00B55E52"/>
    <w:rsid w:val="00B564BF"/>
    <w:rsid w:val="00B566A8"/>
    <w:rsid w:val="00B56E93"/>
    <w:rsid w:val="00B57FF7"/>
    <w:rsid w:val="00B60CD3"/>
    <w:rsid w:val="00B61D8A"/>
    <w:rsid w:val="00B6290E"/>
    <w:rsid w:val="00B62FA3"/>
    <w:rsid w:val="00B65B6C"/>
    <w:rsid w:val="00B66534"/>
    <w:rsid w:val="00B71EE3"/>
    <w:rsid w:val="00B71EFD"/>
    <w:rsid w:val="00B74025"/>
    <w:rsid w:val="00B74DC7"/>
    <w:rsid w:val="00B771F7"/>
    <w:rsid w:val="00B77228"/>
    <w:rsid w:val="00B7797B"/>
    <w:rsid w:val="00B779C1"/>
    <w:rsid w:val="00B8019E"/>
    <w:rsid w:val="00B8256D"/>
    <w:rsid w:val="00B83618"/>
    <w:rsid w:val="00B83DE2"/>
    <w:rsid w:val="00B844B0"/>
    <w:rsid w:val="00B866A4"/>
    <w:rsid w:val="00B866A8"/>
    <w:rsid w:val="00B87438"/>
    <w:rsid w:val="00B9008E"/>
    <w:rsid w:val="00B90B9F"/>
    <w:rsid w:val="00B90DD6"/>
    <w:rsid w:val="00B9155A"/>
    <w:rsid w:val="00B91CEE"/>
    <w:rsid w:val="00B925DD"/>
    <w:rsid w:val="00B9264E"/>
    <w:rsid w:val="00B944E8"/>
    <w:rsid w:val="00B95596"/>
    <w:rsid w:val="00B958CB"/>
    <w:rsid w:val="00B95A32"/>
    <w:rsid w:val="00B96009"/>
    <w:rsid w:val="00BA0964"/>
    <w:rsid w:val="00BA196F"/>
    <w:rsid w:val="00BA3359"/>
    <w:rsid w:val="00BA3E1E"/>
    <w:rsid w:val="00BA4B03"/>
    <w:rsid w:val="00BA5643"/>
    <w:rsid w:val="00BA6027"/>
    <w:rsid w:val="00BA7DD0"/>
    <w:rsid w:val="00BA7E02"/>
    <w:rsid w:val="00BB1387"/>
    <w:rsid w:val="00BB2783"/>
    <w:rsid w:val="00BB312B"/>
    <w:rsid w:val="00BB71F1"/>
    <w:rsid w:val="00BC1E43"/>
    <w:rsid w:val="00BC3A58"/>
    <w:rsid w:val="00BC4176"/>
    <w:rsid w:val="00BC4697"/>
    <w:rsid w:val="00BC4EAE"/>
    <w:rsid w:val="00BC6BF5"/>
    <w:rsid w:val="00BC7C95"/>
    <w:rsid w:val="00BD328F"/>
    <w:rsid w:val="00BD3781"/>
    <w:rsid w:val="00BD5339"/>
    <w:rsid w:val="00BD6AA7"/>
    <w:rsid w:val="00BD6D96"/>
    <w:rsid w:val="00BE08E8"/>
    <w:rsid w:val="00BE1BF9"/>
    <w:rsid w:val="00BE35E2"/>
    <w:rsid w:val="00BE5250"/>
    <w:rsid w:val="00BE68A9"/>
    <w:rsid w:val="00BF0206"/>
    <w:rsid w:val="00BF1DD9"/>
    <w:rsid w:val="00BF323A"/>
    <w:rsid w:val="00BF59E3"/>
    <w:rsid w:val="00BF75E7"/>
    <w:rsid w:val="00C01C1B"/>
    <w:rsid w:val="00C02A4E"/>
    <w:rsid w:val="00C0365D"/>
    <w:rsid w:val="00C065AE"/>
    <w:rsid w:val="00C07084"/>
    <w:rsid w:val="00C07839"/>
    <w:rsid w:val="00C10B34"/>
    <w:rsid w:val="00C10C45"/>
    <w:rsid w:val="00C1389F"/>
    <w:rsid w:val="00C13F63"/>
    <w:rsid w:val="00C14F52"/>
    <w:rsid w:val="00C17760"/>
    <w:rsid w:val="00C17904"/>
    <w:rsid w:val="00C223D8"/>
    <w:rsid w:val="00C22B8C"/>
    <w:rsid w:val="00C22CD9"/>
    <w:rsid w:val="00C236F7"/>
    <w:rsid w:val="00C24A8C"/>
    <w:rsid w:val="00C24C2F"/>
    <w:rsid w:val="00C25433"/>
    <w:rsid w:val="00C258BB"/>
    <w:rsid w:val="00C3058B"/>
    <w:rsid w:val="00C30614"/>
    <w:rsid w:val="00C3242A"/>
    <w:rsid w:val="00C32889"/>
    <w:rsid w:val="00C32EF4"/>
    <w:rsid w:val="00C350EF"/>
    <w:rsid w:val="00C3516E"/>
    <w:rsid w:val="00C359B3"/>
    <w:rsid w:val="00C359D8"/>
    <w:rsid w:val="00C406BC"/>
    <w:rsid w:val="00C40875"/>
    <w:rsid w:val="00C4124D"/>
    <w:rsid w:val="00C41DFA"/>
    <w:rsid w:val="00C42C65"/>
    <w:rsid w:val="00C44144"/>
    <w:rsid w:val="00C45793"/>
    <w:rsid w:val="00C50FAF"/>
    <w:rsid w:val="00C526CE"/>
    <w:rsid w:val="00C52A01"/>
    <w:rsid w:val="00C53D11"/>
    <w:rsid w:val="00C54D8B"/>
    <w:rsid w:val="00C55956"/>
    <w:rsid w:val="00C576CE"/>
    <w:rsid w:val="00C5791C"/>
    <w:rsid w:val="00C60C0A"/>
    <w:rsid w:val="00C60DF0"/>
    <w:rsid w:val="00C62754"/>
    <w:rsid w:val="00C64372"/>
    <w:rsid w:val="00C6655E"/>
    <w:rsid w:val="00C673AD"/>
    <w:rsid w:val="00C711D9"/>
    <w:rsid w:val="00C71FC8"/>
    <w:rsid w:val="00C72355"/>
    <w:rsid w:val="00C72913"/>
    <w:rsid w:val="00C752BD"/>
    <w:rsid w:val="00C754E2"/>
    <w:rsid w:val="00C75D66"/>
    <w:rsid w:val="00C7606A"/>
    <w:rsid w:val="00C77B01"/>
    <w:rsid w:val="00C80F5D"/>
    <w:rsid w:val="00C81FED"/>
    <w:rsid w:val="00C83CFD"/>
    <w:rsid w:val="00C8486A"/>
    <w:rsid w:val="00C8632C"/>
    <w:rsid w:val="00C92E0B"/>
    <w:rsid w:val="00C94D7D"/>
    <w:rsid w:val="00C96346"/>
    <w:rsid w:val="00C96FA2"/>
    <w:rsid w:val="00C973DE"/>
    <w:rsid w:val="00CA0E6B"/>
    <w:rsid w:val="00CA2401"/>
    <w:rsid w:val="00CA3089"/>
    <w:rsid w:val="00CA3182"/>
    <w:rsid w:val="00CA3418"/>
    <w:rsid w:val="00CA35A8"/>
    <w:rsid w:val="00CA3D34"/>
    <w:rsid w:val="00CA4843"/>
    <w:rsid w:val="00CA4FA4"/>
    <w:rsid w:val="00CA5A4D"/>
    <w:rsid w:val="00CA6557"/>
    <w:rsid w:val="00CA69E0"/>
    <w:rsid w:val="00CA6C6D"/>
    <w:rsid w:val="00CA7B38"/>
    <w:rsid w:val="00CB027A"/>
    <w:rsid w:val="00CB201B"/>
    <w:rsid w:val="00CB2F4B"/>
    <w:rsid w:val="00CB30A3"/>
    <w:rsid w:val="00CB3A2E"/>
    <w:rsid w:val="00CB5134"/>
    <w:rsid w:val="00CB52C6"/>
    <w:rsid w:val="00CB599B"/>
    <w:rsid w:val="00CB712B"/>
    <w:rsid w:val="00CB74D7"/>
    <w:rsid w:val="00CB7A32"/>
    <w:rsid w:val="00CB7B22"/>
    <w:rsid w:val="00CC0564"/>
    <w:rsid w:val="00CC3D63"/>
    <w:rsid w:val="00CC466F"/>
    <w:rsid w:val="00CC5B15"/>
    <w:rsid w:val="00CD03CF"/>
    <w:rsid w:val="00CD37D9"/>
    <w:rsid w:val="00CD49FF"/>
    <w:rsid w:val="00CD5F22"/>
    <w:rsid w:val="00CD65A4"/>
    <w:rsid w:val="00CE01BE"/>
    <w:rsid w:val="00CE1124"/>
    <w:rsid w:val="00CE30DE"/>
    <w:rsid w:val="00CE313F"/>
    <w:rsid w:val="00CE3300"/>
    <w:rsid w:val="00CE4608"/>
    <w:rsid w:val="00CE4B13"/>
    <w:rsid w:val="00CE5262"/>
    <w:rsid w:val="00CE683B"/>
    <w:rsid w:val="00CE6A45"/>
    <w:rsid w:val="00CF0015"/>
    <w:rsid w:val="00CF039D"/>
    <w:rsid w:val="00CF31AB"/>
    <w:rsid w:val="00CF402B"/>
    <w:rsid w:val="00CF5272"/>
    <w:rsid w:val="00CF7866"/>
    <w:rsid w:val="00D00471"/>
    <w:rsid w:val="00D023B2"/>
    <w:rsid w:val="00D0300D"/>
    <w:rsid w:val="00D04DBA"/>
    <w:rsid w:val="00D04F35"/>
    <w:rsid w:val="00D050C6"/>
    <w:rsid w:val="00D05E08"/>
    <w:rsid w:val="00D064DA"/>
    <w:rsid w:val="00D06A42"/>
    <w:rsid w:val="00D06AA9"/>
    <w:rsid w:val="00D06F91"/>
    <w:rsid w:val="00D07166"/>
    <w:rsid w:val="00D07A47"/>
    <w:rsid w:val="00D07B67"/>
    <w:rsid w:val="00D10109"/>
    <w:rsid w:val="00D10538"/>
    <w:rsid w:val="00D118EF"/>
    <w:rsid w:val="00D12089"/>
    <w:rsid w:val="00D133E8"/>
    <w:rsid w:val="00D13615"/>
    <w:rsid w:val="00D147D8"/>
    <w:rsid w:val="00D14E82"/>
    <w:rsid w:val="00D16390"/>
    <w:rsid w:val="00D215A2"/>
    <w:rsid w:val="00D21EC2"/>
    <w:rsid w:val="00D232DF"/>
    <w:rsid w:val="00D23E3F"/>
    <w:rsid w:val="00D24C12"/>
    <w:rsid w:val="00D25239"/>
    <w:rsid w:val="00D25F1F"/>
    <w:rsid w:val="00D30E05"/>
    <w:rsid w:val="00D34149"/>
    <w:rsid w:val="00D34B96"/>
    <w:rsid w:val="00D34D77"/>
    <w:rsid w:val="00D34D9F"/>
    <w:rsid w:val="00D36A4C"/>
    <w:rsid w:val="00D36C26"/>
    <w:rsid w:val="00D36E02"/>
    <w:rsid w:val="00D40B0A"/>
    <w:rsid w:val="00D4122C"/>
    <w:rsid w:val="00D419C8"/>
    <w:rsid w:val="00D4444F"/>
    <w:rsid w:val="00D45BC6"/>
    <w:rsid w:val="00D461D6"/>
    <w:rsid w:val="00D46E7F"/>
    <w:rsid w:val="00D5013D"/>
    <w:rsid w:val="00D504BF"/>
    <w:rsid w:val="00D516B3"/>
    <w:rsid w:val="00D52512"/>
    <w:rsid w:val="00D52A71"/>
    <w:rsid w:val="00D53166"/>
    <w:rsid w:val="00D536E8"/>
    <w:rsid w:val="00D538B0"/>
    <w:rsid w:val="00D539B4"/>
    <w:rsid w:val="00D53C18"/>
    <w:rsid w:val="00D55C4E"/>
    <w:rsid w:val="00D55DD0"/>
    <w:rsid w:val="00D56791"/>
    <w:rsid w:val="00D61282"/>
    <w:rsid w:val="00D62722"/>
    <w:rsid w:val="00D6320D"/>
    <w:rsid w:val="00D63C60"/>
    <w:rsid w:val="00D64748"/>
    <w:rsid w:val="00D64FC7"/>
    <w:rsid w:val="00D664F7"/>
    <w:rsid w:val="00D66673"/>
    <w:rsid w:val="00D669E3"/>
    <w:rsid w:val="00D71C5A"/>
    <w:rsid w:val="00D73C44"/>
    <w:rsid w:val="00D75CDD"/>
    <w:rsid w:val="00D7661B"/>
    <w:rsid w:val="00D77075"/>
    <w:rsid w:val="00D800F9"/>
    <w:rsid w:val="00D81013"/>
    <w:rsid w:val="00D8265D"/>
    <w:rsid w:val="00D827D4"/>
    <w:rsid w:val="00D828F1"/>
    <w:rsid w:val="00D82DDF"/>
    <w:rsid w:val="00D83380"/>
    <w:rsid w:val="00D83747"/>
    <w:rsid w:val="00D84FFE"/>
    <w:rsid w:val="00D85165"/>
    <w:rsid w:val="00D86EAE"/>
    <w:rsid w:val="00D87E16"/>
    <w:rsid w:val="00D9066D"/>
    <w:rsid w:val="00D90A74"/>
    <w:rsid w:val="00D918B0"/>
    <w:rsid w:val="00D92E05"/>
    <w:rsid w:val="00D94874"/>
    <w:rsid w:val="00D973A7"/>
    <w:rsid w:val="00DA01EC"/>
    <w:rsid w:val="00DA030F"/>
    <w:rsid w:val="00DA18E8"/>
    <w:rsid w:val="00DA41E7"/>
    <w:rsid w:val="00DA45C8"/>
    <w:rsid w:val="00DA4B0C"/>
    <w:rsid w:val="00DA7832"/>
    <w:rsid w:val="00DA7A25"/>
    <w:rsid w:val="00DB1EDF"/>
    <w:rsid w:val="00DB3433"/>
    <w:rsid w:val="00DB5092"/>
    <w:rsid w:val="00DB53AF"/>
    <w:rsid w:val="00DB7F68"/>
    <w:rsid w:val="00DC1873"/>
    <w:rsid w:val="00DC2264"/>
    <w:rsid w:val="00DC2F90"/>
    <w:rsid w:val="00DC586A"/>
    <w:rsid w:val="00DC5FBF"/>
    <w:rsid w:val="00DC73B9"/>
    <w:rsid w:val="00DC7968"/>
    <w:rsid w:val="00DD0217"/>
    <w:rsid w:val="00DD1718"/>
    <w:rsid w:val="00DD1924"/>
    <w:rsid w:val="00DD2B80"/>
    <w:rsid w:val="00DD60FC"/>
    <w:rsid w:val="00DD66CB"/>
    <w:rsid w:val="00DE110D"/>
    <w:rsid w:val="00DE2228"/>
    <w:rsid w:val="00DE3558"/>
    <w:rsid w:val="00DE35FF"/>
    <w:rsid w:val="00DE701D"/>
    <w:rsid w:val="00DE7D39"/>
    <w:rsid w:val="00DF1E3E"/>
    <w:rsid w:val="00DF2012"/>
    <w:rsid w:val="00DF2719"/>
    <w:rsid w:val="00DF4DBA"/>
    <w:rsid w:val="00DF4EB8"/>
    <w:rsid w:val="00DF50CC"/>
    <w:rsid w:val="00DF595F"/>
    <w:rsid w:val="00DF7918"/>
    <w:rsid w:val="00E006F6"/>
    <w:rsid w:val="00E00B8B"/>
    <w:rsid w:val="00E011EF"/>
    <w:rsid w:val="00E01592"/>
    <w:rsid w:val="00E0186F"/>
    <w:rsid w:val="00E0199E"/>
    <w:rsid w:val="00E02A20"/>
    <w:rsid w:val="00E02A2C"/>
    <w:rsid w:val="00E03259"/>
    <w:rsid w:val="00E0382F"/>
    <w:rsid w:val="00E064F3"/>
    <w:rsid w:val="00E06B28"/>
    <w:rsid w:val="00E07E9C"/>
    <w:rsid w:val="00E1025F"/>
    <w:rsid w:val="00E10415"/>
    <w:rsid w:val="00E11690"/>
    <w:rsid w:val="00E11AF0"/>
    <w:rsid w:val="00E11C5D"/>
    <w:rsid w:val="00E12DC2"/>
    <w:rsid w:val="00E14096"/>
    <w:rsid w:val="00E14731"/>
    <w:rsid w:val="00E1578B"/>
    <w:rsid w:val="00E15E94"/>
    <w:rsid w:val="00E16912"/>
    <w:rsid w:val="00E174F3"/>
    <w:rsid w:val="00E20002"/>
    <w:rsid w:val="00E227B9"/>
    <w:rsid w:val="00E22E0A"/>
    <w:rsid w:val="00E24155"/>
    <w:rsid w:val="00E253C3"/>
    <w:rsid w:val="00E266E3"/>
    <w:rsid w:val="00E27E2F"/>
    <w:rsid w:val="00E30686"/>
    <w:rsid w:val="00E32534"/>
    <w:rsid w:val="00E34939"/>
    <w:rsid w:val="00E35AC1"/>
    <w:rsid w:val="00E36EB4"/>
    <w:rsid w:val="00E40504"/>
    <w:rsid w:val="00E43CAA"/>
    <w:rsid w:val="00E43F3E"/>
    <w:rsid w:val="00E44A18"/>
    <w:rsid w:val="00E44BCA"/>
    <w:rsid w:val="00E455A2"/>
    <w:rsid w:val="00E473BD"/>
    <w:rsid w:val="00E50012"/>
    <w:rsid w:val="00E50592"/>
    <w:rsid w:val="00E50CD5"/>
    <w:rsid w:val="00E54BE7"/>
    <w:rsid w:val="00E57A20"/>
    <w:rsid w:val="00E60642"/>
    <w:rsid w:val="00E61608"/>
    <w:rsid w:val="00E63557"/>
    <w:rsid w:val="00E63B7F"/>
    <w:rsid w:val="00E63C16"/>
    <w:rsid w:val="00E6500B"/>
    <w:rsid w:val="00E6752C"/>
    <w:rsid w:val="00E71CB7"/>
    <w:rsid w:val="00E73CE7"/>
    <w:rsid w:val="00E74CA8"/>
    <w:rsid w:val="00E75130"/>
    <w:rsid w:val="00E77298"/>
    <w:rsid w:val="00E778C3"/>
    <w:rsid w:val="00E8230B"/>
    <w:rsid w:val="00E83780"/>
    <w:rsid w:val="00E83E1E"/>
    <w:rsid w:val="00E8449C"/>
    <w:rsid w:val="00E850DF"/>
    <w:rsid w:val="00E9101E"/>
    <w:rsid w:val="00E912E8"/>
    <w:rsid w:val="00E91509"/>
    <w:rsid w:val="00E91D10"/>
    <w:rsid w:val="00E92ADF"/>
    <w:rsid w:val="00E93502"/>
    <w:rsid w:val="00E94A5E"/>
    <w:rsid w:val="00E956E9"/>
    <w:rsid w:val="00E964C8"/>
    <w:rsid w:val="00E97FD3"/>
    <w:rsid w:val="00EA2175"/>
    <w:rsid w:val="00EA512C"/>
    <w:rsid w:val="00EA745B"/>
    <w:rsid w:val="00EA75E6"/>
    <w:rsid w:val="00EB2AA7"/>
    <w:rsid w:val="00EB2B21"/>
    <w:rsid w:val="00EB3F38"/>
    <w:rsid w:val="00EB4596"/>
    <w:rsid w:val="00EB5BD2"/>
    <w:rsid w:val="00EB74B1"/>
    <w:rsid w:val="00EB7D65"/>
    <w:rsid w:val="00EC08C2"/>
    <w:rsid w:val="00EC3753"/>
    <w:rsid w:val="00EC55D4"/>
    <w:rsid w:val="00EC603D"/>
    <w:rsid w:val="00EC6B9A"/>
    <w:rsid w:val="00ED0D2B"/>
    <w:rsid w:val="00ED12A5"/>
    <w:rsid w:val="00ED35FE"/>
    <w:rsid w:val="00ED4A40"/>
    <w:rsid w:val="00ED56F8"/>
    <w:rsid w:val="00ED5F2D"/>
    <w:rsid w:val="00ED7136"/>
    <w:rsid w:val="00ED749C"/>
    <w:rsid w:val="00ED75B6"/>
    <w:rsid w:val="00ED78CD"/>
    <w:rsid w:val="00ED7ABD"/>
    <w:rsid w:val="00EE004D"/>
    <w:rsid w:val="00EE04AD"/>
    <w:rsid w:val="00EE0676"/>
    <w:rsid w:val="00EE0B76"/>
    <w:rsid w:val="00EE1E7E"/>
    <w:rsid w:val="00EE29D3"/>
    <w:rsid w:val="00EE342B"/>
    <w:rsid w:val="00EE438A"/>
    <w:rsid w:val="00EE7846"/>
    <w:rsid w:val="00EE7AD6"/>
    <w:rsid w:val="00EE7C0D"/>
    <w:rsid w:val="00EF1861"/>
    <w:rsid w:val="00EF2135"/>
    <w:rsid w:val="00EF3ECB"/>
    <w:rsid w:val="00EF5DBB"/>
    <w:rsid w:val="00EF6392"/>
    <w:rsid w:val="00EF65EE"/>
    <w:rsid w:val="00EF7371"/>
    <w:rsid w:val="00F00B34"/>
    <w:rsid w:val="00F013C3"/>
    <w:rsid w:val="00F020E6"/>
    <w:rsid w:val="00F02F3C"/>
    <w:rsid w:val="00F032D6"/>
    <w:rsid w:val="00F051D6"/>
    <w:rsid w:val="00F052B1"/>
    <w:rsid w:val="00F05391"/>
    <w:rsid w:val="00F05556"/>
    <w:rsid w:val="00F05711"/>
    <w:rsid w:val="00F05B16"/>
    <w:rsid w:val="00F0739F"/>
    <w:rsid w:val="00F079EC"/>
    <w:rsid w:val="00F10860"/>
    <w:rsid w:val="00F120DF"/>
    <w:rsid w:val="00F143F1"/>
    <w:rsid w:val="00F14432"/>
    <w:rsid w:val="00F147E8"/>
    <w:rsid w:val="00F14CEA"/>
    <w:rsid w:val="00F153EE"/>
    <w:rsid w:val="00F16F2D"/>
    <w:rsid w:val="00F178CE"/>
    <w:rsid w:val="00F20019"/>
    <w:rsid w:val="00F21A4A"/>
    <w:rsid w:val="00F23159"/>
    <w:rsid w:val="00F240AA"/>
    <w:rsid w:val="00F25361"/>
    <w:rsid w:val="00F25750"/>
    <w:rsid w:val="00F266B4"/>
    <w:rsid w:val="00F26A18"/>
    <w:rsid w:val="00F27B8A"/>
    <w:rsid w:val="00F27E49"/>
    <w:rsid w:val="00F304B5"/>
    <w:rsid w:val="00F30C07"/>
    <w:rsid w:val="00F31268"/>
    <w:rsid w:val="00F31820"/>
    <w:rsid w:val="00F34437"/>
    <w:rsid w:val="00F34B68"/>
    <w:rsid w:val="00F34DFF"/>
    <w:rsid w:val="00F3522C"/>
    <w:rsid w:val="00F35D5C"/>
    <w:rsid w:val="00F35EF6"/>
    <w:rsid w:val="00F36D8E"/>
    <w:rsid w:val="00F36EE0"/>
    <w:rsid w:val="00F374A9"/>
    <w:rsid w:val="00F378EB"/>
    <w:rsid w:val="00F41C2A"/>
    <w:rsid w:val="00F425A7"/>
    <w:rsid w:val="00F42CDC"/>
    <w:rsid w:val="00F4378D"/>
    <w:rsid w:val="00F43981"/>
    <w:rsid w:val="00F44201"/>
    <w:rsid w:val="00F4477B"/>
    <w:rsid w:val="00F448F8"/>
    <w:rsid w:val="00F44ED4"/>
    <w:rsid w:val="00F46BA7"/>
    <w:rsid w:val="00F4789A"/>
    <w:rsid w:val="00F51021"/>
    <w:rsid w:val="00F5508F"/>
    <w:rsid w:val="00F55660"/>
    <w:rsid w:val="00F55FA5"/>
    <w:rsid w:val="00F55FFE"/>
    <w:rsid w:val="00F56485"/>
    <w:rsid w:val="00F57720"/>
    <w:rsid w:val="00F57C65"/>
    <w:rsid w:val="00F61B70"/>
    <w:rsid w:val="00F6284E"/>
    <w:rsid w:val="00F631CA"/>
    <w:rsid w:val="00F64F22"/>
    <w:rsid w:val="00F65217"/>
    <w:rsid w:val="00F67ADB"/>
    <w:rsid w:val="00F715F7"/>
    <w:rsid w:val="00F71FDC"/>
    <w:rsid w:val="00F74AEF"/>
    <w:rsid w:val="00F74CC6"/>
    <w:rsid w:val="00F813AC"/>
    <w:rsid w:val="00F8179D"/>
    <w:rsid w:val="00F81881"/>
    <w:rsid w:val="00F81958"/>
    <w:rsid w:val="00F82352"/>
    <w:rsid w:val="00F83989"/>
    <w:rsid w:val="00F83C86"/>
    <w:rsid w:val="00F85D31"/>
    <w:rsid w:val="00F85E24"/>
    <w:rsid w:val="00F869A0"/>
    <w:rsid w:val="00F90693"/>
    <w:rsid w:val="00F91B01"/>
    <w:rsid w:val="00F924AB"/>
    <w:rsid w:val="00F93356"/>
    <w:rsid w:val="00F93C4A"/>
    <w:rsid w:val="00F93D09"/>
    <w:rsid w:val="00F93E9F"/>
    <w:rsid w:val="00F94386"/>
    <w:rsid w:val="00F943FD"/>
    <w:rsid w:val="00F94781"/>
    <w:rsid w:val="00F94AAD"/>
    <w:rsid w:val="00F961AB"/>
    <w:rsid w:val="00F96571"/>
    <w:rsid w:val="00FA269B"/>
    <w:rsid w:val="00FA2A67"/>
    <w:rsid w:val="00FA4359"/>
    <w:rsid w:val="00FA45A5"/>
    <w:rsid w:val="00FA5C56"/>
    <w:rsid w:val="00FB0557"/>
    <w:rsid w:val="00FB05FE"/>
    <w:rsid w:val="00FB2165"/>
    <w:rsid w:val="00FB26F5"/>
    <w:rsid w:val="00FB2943"/>
    <w:rsid w:val="00FB3679"/>
    <w:rsid w:val="00FB3AE4"/>
    <w:rsid w:val="00FB3BAB"/>
    <w:rsid w:val="00FB40A1"/>
    <w:rsid w:val="00FB63FB"/>
    <w:rsid w:val="00FB6463"/>
    <w:rsid w:val="00FB6508"/>
    <w:rsid w:val="00FB681B"/>
    <w:rsid w:val="00FB699F"/>
    <w:rsid w:val="00FB74E7"/>
    <w:rsid w:val="00FC0F99"/>
    <w:rsid w:val="00FC2F6B"/>
    <w:rsid w:val="00FC310F"/>
    <w:rsid w:val="00FC513B"/>
    <w:rsid w:val="00FC62AC"/>
    <w:rsid w:val="00FC799C"/>
    <w:rsid w:val="00FD01D7"/>
    <w:rsid w:val="00FD0318"/>
    <w:rsid w:val="00FD1576"/>
    <w:rsid w:val="00FD1FF0"/>
    <w:rsid w:val="00FD2837"/>
    <w:rsid w:val="00FD4F81"/>
    <w:rsid w:val="00FD53AC"/>
    <w:rsid w:val="00FD67EA"/>
    <w:rsid w:val="00FE0B26"/>
    <w:rsid w:val="00FE0E00"/>
    <w:rsid w:val="00FE2A8C"/>
    <w:rsid w:val="00FE49D8"/>
    <w:rsid w:val="00FE57D6"/>
    <w:rsid w:val="00FE6563"/>
    <w:rsid w:val="00FF16D7"/>
    <w:rsid w:val="00FF1FC7"/>
    <w:rsid w:val="00FF27D5"/>
    <w:rsid w:val="00FF4F6A"/>
    <w:rsid w:val="00FF61AC"/>
    <w:rsid w:val="00FF7169"/>
    <w:rsid w:val="00FF74A2"/>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63BC8535"/>
  <w15:chartTrackingRefBased/>
  <w15:docId w15:val="{BA5229E1-61A4-4728-A8C5-94DEB31E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 Char,Footnote Text Char1,Footnote Text Char1 Char Char,Footnote Text Char1 Char Char Char,Footnote Text Char1 Char1,Footnote Text Char2,Footnote Text Char2 Char Char,Styl,f,fn,fn Char1"/>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styleId="UnresolvedMention">
    <w:name w:val="Unresolved Mention"/>
    <w:uiPriority w:val="99"/>
    <w:unhideWhenUsed/>
    <w:rPr>
      <w:color w:val="605E5C"/>
      <w:shd w:val="clear" w:color="auto" w:fill="E1DFDD"/>
    </w:rPr>
  </w:style>
  <w:style w:type="character" w:customStyle="1" w:styleId="FootnoteTextChar">
    <w:name w:val="Footnote Text Char"/>
    <w:aliases w:val="ALTS FOOTNOTE Char Char,ALTS FOOTNOTE Char1,Footnote Text Char Char Char,Footnote Text Char1 Char,Footnote Text Char1 Char Char Char Char,Footnote Text Char1 Char Char Char1,Footnote Text Char1 Char1 Char,Footnote Text Char2 Char"/>
    <w:link w:val="FootnoteText"/>
    <w:rsid w:val="00624B0B"/>
  </w:style>
  <w:style w:type="character" w:customStyle="1" w:styleId="ParaNumChar">
    <w:name w:val="ParaNum Char"/>
    <w:link w:val="ParaNum"/>
    <w:rsid w:val="00624B0B"/>
    <w:rPr>
      <w:snapToGrid w:val="0"/>
      <w:kern w:val="28"/>
      <w:sz w:val="22"/>
    </w:rPr>
  </w:style>
  <w:style w:type="table" w:styleId="TableGrid">
    <w:name w:val="Table Grid"/>
    <w:basedOn w:val="TableNormal"/>
    <w:uiPriority w:val="59"/>
    <w:rsid w:val="00624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43FD"/>
    <w:rPr>
      <w:rFonts w:ascii="Segoe UI" w:hAnsi="Segoe UI" w:cs="Segoe UI"/>
      <w:sz w:val="18"/>
      <w:szCs w:val="18"/>
    </w:rPr>
  </w:style>
  <w:style w:type="character" w:customStyle="1" w:styleId="BalloonTextChar">
    <w:name w:val="Balloon Text Char"/>
    <w:link w:val="BalloonText"/>
    <w:uiPriority w:val="99"/>
    <w:semiHidden/>
    <w:rsid w:val="00F943FD"/>
    <w:rPr>
      <w:rFonts w:ascii="Segoe UI" w:hAnsi="Segoe UI" w:cs="Segoe UI"/>
      <w:snapToGrid w:val="0"/>
      <w:kern w:val="28"/>
      <w:sz w:val="18"/>
      <w:szCs w:val="18"/>
    </w:rPr>
  </w:style>
  <w:style w:type="character" w:styleId="CommentReference">
    <w:name w:val="annotation reference"/>
    <w:uiPriority w:val="99"/>
    <w:semiHidden/>
    <w:unhideWhenUsed/>
    <w:rsid w:val="001F7648"/>
    <w:rPr>
      <w:sz w:val="16"/>
      <w:szCs w:val="16"/>
    </w:rPr>
  </w:style>
  <w:style w:type="paragraph" w:styleId="CommentText">
    <w:name w:val="annotation text"/>
    <w:basedOn w:val="Normal"/>
    <w:link w:val="CommentTextChar"/>
    <w:uiPriority w:val="99"/>
    <w:unhideWhenUsed/>
    <w:rsid w:val="001F7648"/>
    <w:rPr>
      <w:sz w:val="20"/>
    </w:rPr>
  </w:style>
  <w:style w:type="character" w:customStyle="1" w:styleId="CommentTextChar">
    <w:name w:val="Comment Text Char"/>
    <w:link w:val="CommentText"/>
    <w:uiPriority w:val="99"/>
    <w:rsid w:val="001F7648"/>
    <w:rPr>
      <w:snapToGrid w:val="0"/>
      <w:kern w:val="28"/>
    </w:rPr>
  </w:style>
  <w:style w:type="paragraph" w:styleId="CommentSubject">
    <w:name w:val="annotation subject"/>
    <w:basedOn w:val="CommentText"/>
    <w:next w:val="CommentText"/>
    <w:link w:val="CommentSubjectChar"/>
    <w:uiPriority w:val="99"/>
    <w:semiHidden/>
    <w:unhideWhenUsed/>
    <w:rsid w:val="001F7648"/>
    <w:rPr>
      <w:b/>
      <w:bCs/>
    </w:rPr>
  </w:style>
  <w:style w:type="character" w:customStyle="1" w:styleId="CommentSubjectChar">
    <w:name w:val="Comment Subject Char"/>
    <w:link w:val="CommentSubject"/>
    <w:uiPriority w:val="99"/>
    <w:semiHidden/>
    <w:rsid w:val="001F7648"/>
    <w:rPr>
      <w:b/>
      <w:bCs/>
      <w:snapToGrid w:val="0"/>
      <w:kern w:val="28"/>
    </w:rPr>
  </w:style>
  <w:style w:type="paragraph" w:styleId="Revision">
    <w:name w:val="Revision"/>
    <w:hidden/>
    <w:uiPriority w:val="99"/>
    <w:semiHidden/>
    <w:rsid w:val="00B944E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David.Brown@fcc.gov" TargetMode="External" /><Relationship Id="rId7" Type="http://schemas.openxmlformats.org/officeDocument/2006/relationships/hyperlink" Target="mailto:Emily.Harrison@fcc.gov" TargetMode="External" /><Relationship Id="rId8" Type="http://schemas.openxmlformats.org/officeDocument/2006/relationships/hyperlink" Target="http://www.fcc.gov" TargetMode="External" /><Relationship Id="rId9" Type="http://schemas.openxmlformats.org/officeDocument/2006/relationships/hyperlink" Target="mailto:fcc504@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