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6B6578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C48E6A8" w14:textId="77777777">
      <w:pPr>
        <w:pStyle w:val="StyleBoldCentered"/>
      </w:pPr>
      <w:r>
        <w:t>F</w:t>
      </w:r>
      <w:r>
        <w:rPr>
          <w:caps w:val="0"/>
        </w:rPr>
        <w:t>ederal Communications Commission</w:t>
      </w:r>
    </w:p>
    <w:p w:rsidR="004C2EE3" w:rsidP="00096D8C" w14:paraId="33C5843D" w14:textId="77777777">
      <w:pPr>
        <w:pStyle w:val="StyleBoldCentered"/>
      </w:pPr>
      <w:r>
        <w:rPr>
          <w:caps w:val="0"/>
        </w:rPr>
        <w:t>Washington, D.C. 20554</w:t>
      </w:r>
    </w:p>
    <w:p w:rsidR="004C2EE3" w:rsidP="0070224F" w14:paraId="3B6EDD65" w14:textId="77777777"/>
    <w:p w:rsidR="004C2EE3" w:rsidP="0070224F" w14:paraId="27303F3D" w14:textId="77777777"/>
    <w:tbl>
      <w:tblPr>
        <w:tblW w:w="0" w:type="auto"/>
        <w:tblLayout w:type="fixed"/>
        <w:tblLook w:val="0000"/>
      </w:tblPr>
      <w:tblGrid>
        <w:gridCol w:w="4698"/>
        <w:gridCol w:w="630"/>
        <w:gridCol w:w="4248"/>
      </w:tblGrid>
      <w:tr w14:paraId="5B2C2F6F" w14:textId="77777777">
        <w:tblPrEx>
          <w:tblW w:w="0" w:type="auto"/>
          <w:tblLayout w:type="fixed"/>
          <w:tblLook w:val="0000"/>
        </w:tblPrEx>
        <w:tc>
          <w:tcPr>
            <w:tcW w:w="4698" w:type="dxa"/>
          </w:tcPr>
          <w:p w:rsidR="004C2EE3" w14:paraId="00F6CEF2" w14:textId="77777777">
            <w:pPr>
              <w:tabs>
                <w:tab w:val="center" w:pos="4680"/>
              </w:tabs>
              <w:suppressAutoHyphens/>
              <w:rPr>
                <w:spacing w:val="-2"/>
              </w:rPr>
            </w:pPr>
            <w:r>
              <w:rPr>
                <w:spacing w:val="-2"/>
              </w:rPr>
              <w:t>In the Matter of</w:t>
            </w:r>
          </w:p>
          <w:p w:rsidR="004C2EE3" w14:paraId="176DCDD8" w14:textId="77777777">
            <w:pPr>
              <w:tabs>
                <w:tab w:val="center" w:pos="4680"/>
              </w:tabs>
              <w:suppressAutoHyphens/>
              <w:rPr>
                <w:spacing w:val="-2"/>
              </w:rPr>
            </w:pPr>
          </w:p>
          <w:p w:rsidR="006829D8" w:rsidP="006829D8" w14:paraId="1511FA84" w14:textId="77777777">
            <w:pPr>
              <w:tabs>
                <w:tab w:val="center" w:pos="4680"/>
              </w:tabs>
              <w:suppressAutoHyphens/>
              <w:rPr>
                <w:spacing w:val="-2"/>
              </w:rPr>
            </w:pPr>
            <w:r>
              <w:rPr>
                <w:spacing w:val="-2"/>
              </w:rPr>
              <w:t>Connect America Fund</w:t>
            </w:r>
          </w:p>
          <w:p w:rsidR="006829D8" w:rsidP="006829D8" w14:paraId="6DC450B9" w14:textId="77777777">
            <w:pPr>
              <w:tabs>
                <w:tab w:val="center" w:pos="4680"/>
              </w:tabs>
              <w:suppressAutoHyphens/>
              <w:rPr>
                <w:spacing w:val="-2"/>
              </w:rPr>
            </w:pPr>
          </w:p>
          <w:p w:rsidR="006829D8" w:rsidP="006829D8" w14:paraId="1F59C0F2" w14:textId="77777777">
            <w:pPr>
              <w:tabs>
                <w:tab w:val="center" w:pos="4680"/>
              </w:tabs>
              <w:suppressAutoHyphens/>
              <w:rPr>
                <w:spacing w:val="-2"/>
              </w:rPr>
            </w:pPr>
            <w:r>
              <w:rPr>
                <w:spacing w:val="-2"/>
              </w:rPr>
              <w:t xml:space="preserve">The Rural Digital Opportunity Fund </w:t>
            </w:r>
          </w:p>
          <w:p w:rsidR="006829D8" w:rsidP="006829D8" w14:paraId="514BC194" w14:textId="77777777">
            <w:pPr>
              <w:tabs>
                <w:tab w:val="center" w:pos="4680"/>
              </w:tabs>
              <w:suppressAutoHyphens/>
              <w:rPr>
                <w:spacing w:val="-2"/>
              </w:rPr>
            </w:pPr>
            <w:r>
              <w:rPr>
                <w:spacing w:val="-2"/>
              </w:rPr>
              <w:t>Auction (Auction 904)</w:t>
            </w:r>
          </w:p>
          <w:p w:rsidR="004C2EE3" w:rsidRPr="007115F7" w:rsidP="007115F7" w14:paraId="6A7E8639" w14:textId="6D05DD91">
            <w:pPr>
              <w:tabs>
                <w:tab w:val="center" w:pos="4680"/>
              </w:tabs>
              <w:suppressAutoHyphens/>
              <w:rPr>
                <w:spacing w:val="-2"/>
              </w:rPr>
            </w:pPr>
          </w:p>
        </w:tc>
        <w:tc>
          <w:tcPr>
            <w:tcW w:w="630" w:type="dxa"/>
          </w:tcPr>
          <w:p w:rsidR="004C2EE3" w14:paraId="12F02B3D" w14:textId="77777777">
            <w:pPr>
              <w:tabs>
                <w:tab w:val="center" w:pos="4680"/>
              </w:tabs>
              <w:suppressAutoHyphens/>
              <w:rPr>
                <w:b/>
                <w:spacing w:val="-2"/>
              </w:rPr>
            </w:pPr>
            <w:r>
              <w:rPr>
                <w:b/>
                <w:spacing w:val="-2"/>
              </w:rPr>
              <w:t>)</w:t>
            </w:r>
          </w:p>
          <w:p w:rsidR="004C2EE3" w14:paraId="22B77BF5" w14:textId="77777777">
            <w:pPr>
              <w:tabs>
                <w:tab w:val="center" w:pos="4680"/>
              </w:tabs>
              <w:suppressAutoHyphens/>
              <w:rPr>
                <w:b/>
                <w:spacing w:val="-2"/>
              </w:rPr>
            </w:pPr>
            <w:r>
              <w:rPr>
                <w:b/>
                <w:spacing w:val="-2"/>
              </w:rPr>
              <w:t>)</w:t>
            </w:r>
          </w:p>
          <w:p w:rsidR="004C2EE3" w14:paraId="741B33B4" w14:textId="77777777">
            <w:pPr>
              <w:tabs>
                <w:tab w:val="center" w:pos="4680"/>
              </w:tabs>
              <w:suppressAutoHyphens/>
              <w:rPr>
                <w:b/>
                <w:spacing w:val="-2"/>
              </w:rPr>
            </w:pPr>
            <w:r>
              <w:rPr>
                <w:b/>
                <w:spacing w:val="-2"/>
              </w:rPr>
              <w:t>)</w:t>
            </w:r>
          </w:p>
          <w:p w:rsidR="004C2EE3" w14:paraId="529B6817" w14:textId="77777777">
            <w:pPr>
              <w:tabs>
                <w:tab w:val="center" w:pos="4680"/>
              </w:tabs>
              <w:suppressAutoHyphens/>
              <w:rPr>
                <w:b/>
                <w:spacing w:val="-2"/>
              </w:rPr>
            </w:pPr>
            <w:r>
              <w:rPr>
                <w:b/>
                <w:spacing w:val="-2"/>
              </w:rPr>
              <w:t>)</w:t>
            </w:r>
          </w:p>
          <w:p w:rsidR="004C2EE3" w14:paraId="2EF5232E" w14:textId="77777777">
            <w:pPr>
              <w:tabs>
                <w:tab w:val="center" w:pos="4680"/>
              </w:tabs>
              <w:suppressAutoHyphens/>
              <w:rPr>
                <w:b/>
                <w:spacing w:val="-2"/>
              </w:rPr>
            </w:pPr>
            <w:r>
              <w:rPr>
                <w:b/>
                <w:spacing w:val="-2"/>
              </w:rPr>
              <w:t>)</w:t>
            </w:r>
          </w:p>
          <w:p w:rsidR="004C2EE3" w14:paraId="0D5379F9" w14:textId="77777777">
            <w:pPr>
              <w:tabs>
                <w:tab w:val="center" w:pos="4680"/>
              </w:tabs>
              <w:suppressAutoHyphens/>
              <w:rPr>
                <w:b/>
                <w:spacing w:val="-2"/>
              </w:rPr>
            </w:pPr>
            <w:r>
              <w:rPr>
                <w:b/>
                <w:spacing w:val="-2"/>
              </w:rPr>
              <w:t>)</w:t>
            </w:r>
          </w:p>
          <w:p w:rsidR="004C2EE3" w:rsidRPr="00FF7535" w14:paraId="0E722B52" w14:textId="1430A45B">
            <w:pPr>
              <w:tabs>
                <w:tab w:val="center" w:pos="4680"/>
              </w:tabs>
              <w:suppressAutoHyphens/>
              <w:rPr>
                <w:b/>
                <w:spacing w:val="-2"/>
              </w:rPr>
            </w:pPr>
            <w:r>
              <w:rPr>
                <w:b/>
                <w:spacing w:val="-2"/>
              </w:rPr>
              <w:t>)</w:t>
            </w:r>
          </w:p>
        </w:tc>
        <w:tc>
          <w:tcPr>
            <w:tcW w:w="4248" w:type="dxa"/>
          </w:tcPr>
          <w:p w:rsidR="004C2EE3" w14:paraId="4CF4A495" w14:textId="77777777">
            <w:pPr>
              <w:tabs>
                <w:tab w:val="center" w:pos="4680"/>
              </w:tabs>
              <w:suppressAutoHyphens/>
              <w:rPr>
                <w:spacing w:val="-2"/>
              </w:rPr>
            </w:pPr>
          </w:p>
          <w:p w:rsidR="004C2EE3" w14:paraId="605AC005" w14:textId="77777777">
            <w:pPr>
              <w:pStyle w:val="TOAHeading"/>
              <w:tabs>
                <w:tab w:val="center" w:pos="4680"/>
                <w:tab w:val="clear" w:pos="9360"/>
              </w:tabs>
              <w:rPr>
                <w:spacing w:val="-2"/>
              </w:rPr>
            </w:pPr>
          </w:p>
          <w:p w:rsidR="006829D8" w:rsidP="006829D8" w14:paraId="5AEFBF90" w14:textId="77777777">
            <w:pPr>
              <w:tabs>
                <w:tab w:val="center" w:pos="4680"/>
              </w:tabs>
              <w:suppressAutoHyphens/>
              <w:rPr>
                <w:spacing w:val="-2"/>
              </w:rPr>
            </w:pPr>
            <w:r>
              <w:rPr>
                <w:spacing w:val="-2"/>
              </w:rPr>
              <w:t>WC Docket No. 10-90</w:t>
            </w:r>
          </w:p>
          <w:p w:rsidR="006829D8" w:rsidP="006829D8" w14:paraId="3A94CBAF" w14:textId="77777777">
            <w:pPr>
              <w:tabs>
                <w:tab w:val="center" w:pos="4680"/>
              </w:tabs>
              <w:suppressAutoHyphens/>
              <w:rPr>
                <w:spacing w:val="-2"/>
              </w:rPr>
            </w:pPr>
          </w:p>
          <w:p w:rsidR="004C2EE3" w:rsidP="006829D8" w14:paraId="14855C22" w14:textId="7956C047">
            <w:pPr>
              <w:tabs>
                <w:tab w:val="center" w:pos="4680"/>
              </w:tabs>
              <w:suppressAutoHyphens/>
              <w:rPr>
                <w:spacing w:val="-2"/>
              </w:rPr>
            </w:pPr>
            <w:r>
              <w:rPr>
                <w:spacing w:val="-2"/>
              </w:rPr>
              <w:t>AU Docket No. 20-34</w:t>
            </w:r>
          </w:p>
        </w:tc>
      </w:tr>
    </w:tbl>
    <w:p w:rsidR="004C2EE3" w:rsidP="0070224F" w14:paraId="4924A02C" w14:textId="77777777"/>
    <w:p w:rsidR="00841AB1" w:rsidP="00F021FA" w14:paraId="1D219293" w14:textId="7243A948">
      <w:pPr>
        <w:pStyle w:val="StyleBoldCentered"/>
      </w:pPr>
      <w:r>
        <w:t>order</w:t>
      </w:r>
    </w:p>
    <w:p w:rsidR="004C2EE3" w14:paraId="2C00DC08" w14:textId="77777777">
      <w:pPr>
        <w:tabs>
          <w:tab w:val="left" w:pos="-720"/>
        </w:tabs>
        <w:suppressAutoHyphens/>
        <w:spacing w:line="227" w:lineRule="auto"/>
        <w:rPr>
          <w:spacing w:val="-2"/>
        </w:rPr>
      </w:pPr>
    </w:p>
    <w:p w:rsidR="004C2EE3" w:rsidP="00133F79" w14:paraId="3805F573" w14:textId="50508921">
      <w:pPr>
        <w:tabs>
          <w:tab w:val="left" w:pos="720"/>
          <w:tab w:val="right" w:pos="9360"/>
        </w:tabs>
        <w:suppressAutoHyphens/>
        <w:spacing w:line="227" w:lineRule="auto"/>
        <w:rPr>
          <w:spacing w:val="-2"/>
        </w:rPr>
      </w:pPr>
      <w:r>
        <w:rPr>
          <w:b/>
          <w:spacing w:val="-2"/>
        </w:rPr>
        <w:t xml:space="preserve">Adopted:  </w:t>
      </w:r>
      <w:r w:rsidR="006829D8">
        <w:rPr>
          <w:b/>
          <w:spacing w:val="-2"/>
        </w:rPr>
        <w:t>June 14,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829D8">
        <w:rPr>
          <w:b/>
          <w:spacing w:val="-2"/>
        </w:rPr>
        <w:t>June 14, 2023</w:t>
      </w:r>
    </w:p>
    <w:p w:rsidR="00822CE0" w14:paraId="57A60EBF" w14:textId="77777777"/>
    <w:p w:rsidR="004C2EE3" w14:paraId="1890AAA7" w14:textId="6982A719">
      <w:pPr>
        <w:rPr>
          <w:spacing w:val="-2"/>
        </w:rPr>
      </w:pPr>
      <w:r>
        <w:t xml:space="preserve">By </w:t>
      </w:r>
      <w:r w:rsidR="004E4A22">
        <w:t>the</w:t>
      </w:r>
      <w:r w:rsidR="002A2D2E">
        <w:t xml:space="preserve"> </w:t>
      </w:r>
      <w:r w:rsidR="006829D8">
        <w:rPr>
          <w:spacing w:val="-2"/>
        </w:rPr>
        <w:t>Chief, Wireline Competition Bureau</w:t>
      </w:r>
      <w:r>
        <w:rPr>
          <w:spacing w:val="-2"/>
        </w:rPr>
        <w:t>:</w:t>
      </w:r>
    </w:p>
    <w:p w:rsidR="00822CE0" w14:paraId="00EF866A" w14:textId="77777777">
      <w:pPr>
        <w:rPr>
          <w:spacing w:val="-2"/>
        </w:rPr>
      </w:pPr>
    </w:p>
    <w:p w:rsidR="006829D8" w:rsidP="006829D8" w14:paraId="37D29463" w14:textId="77777777">
      <w:pPr>
        <w:pStyle w:val="Heading1"/>
      </w:pPr>
      <w:r>
        <w:t>Introduction</w:t>
      </w:r>
    </w:p>
    <w:p w:rsidR="006829D8" w:rsidRPr="00C9299B" w:rsidP="006829D8" w14:paraId="249372E8" w14:textId="77777777">
      <w:pPr>
        <w:pStyle w:val="ParaNum"/>
        <w:numPr>
          <w:ilvl w:val="0"/>
          <w:numId w:val="7"/>
        </w:numPr>
        <w:tabs>
          <w:tab w:val="clear" w:pos="1080"/>
          <w:tab w:val="num" w:pos="1440"/>
        </w:tabs>
      </w:pPr>
      <w:r w:rsidRPr="00133C02">
        <w:t>In this</w:t>
      </w:r>
      <w:r>
        <w:t xml:space="preserve"> Order, the Wireline Competition Bureau (Bureau) grants Docomo Pacific, Inc.’s (DPAC) petition</w:t>
      </w:r>
      <w:r>
        <w:rPr>
          <w:rStyle w:val="FootnoteReference"/>
        </w:rPr>
        <w:footnoteReference w:id="3"/>
      </w:r>
      <w:r>
        <w:t xml:space="preserve"> requesting a six-month waiver of the Commission’s requirement that Rural Digital Opportunity Fund auction (Auction 904) recipients obtain letters of credit (LOCs) from banks that maintain a Weiss bank safety rating of B- or better.</w:t>
      </w:r>
      <w:r>
        <w:rPr>
          <w:rStyle w:val="FootnoteReference"/>
        </w:rPr>
        <w:footnoteReference w:id="4"/>
      </w:r>
      <w:r>
        <w:t xml:space="preserve">  This waiver will allow DPAC, which provides service in Guam and the Northern Mariana Islands, to maintain its letter of credit </w:t>
      </w:r>
      <w:bookmarkStart w:id="0" w:name="_Hlk36464921"/>
      <w:r>
        <w:t>with its current bank until December 6, 2023.</w:t>
      </w:r>
    </w:p>
    <w:bookmarkEnd w:id="0"/>
    <w:p w:rsidR="006829D8" w:rsidP="006829D8" w14:paraId="47ABF90F" w14:textId="77777777">
      <w:pPr>
        <w:pStyle w:val="Heading1"/>
      </w:pPr>
      <w:r>
        <w:t>Background</w:t>
      </w:r>
    </w:p>
    <w:p w:rsidR="006829D8" w:rsidRPr="00D3563D" w:rsidP="006829D8" w14:paraId="2B7E98EE" w14:textId="77777777">
      <w:pPr>
        <w:pStyle w:val="ParaNum"/>
        <w:numPr>
          <w:ilvl w:val="0"/>
          <w:numId w:val="7"/>
        </w:numPr>
        <w:tabs>
          <w:tab w:val="clear" w:pos="1080"/>
          <w:tab w:val="num" w:pos="1440"/>
        </w:tabs>
      </w:pPr>
      <w:r>
        <w:t>The Commission requires that before being authorized to receive support awarded by Auction 904, an applicant must obtain an LOC issued by a qualified bank to protect the public’s funds.</w:t>
      </w:r>
      <w:r>
        <w:rPr>
          <w:rStyle w:val="FootnoteReference"/>
        </w:rPr>
        <w:footnoteReference w:id="5"/>
      </w:r>
      <w:r>
        <w:t xml:space="preserve">  To insure the availability of funds should the Commission need to draw against an LOC, the Commission has several eligibility criteria for banks issuing LOCs.</w:t>
      </w:r>
      <w:r>
        <w:rPr>
          <w:rStyle w:val="FootnoteReference"/>
        </w:rPr>
        <w:footnoteReference w:id="6"/>
      </w:r>
      <w:r>
        <w:t xml:space="preserve">  One of these requirements is that the issuing bank must maintain a Weiss bank safety rating of at least a B-.  The Commission determined that Weiss provides “</w:t>
      </w:r>
      <w:r w:rsidRPr="00181AA3">
        <w:t>an independent and objective</w:t>
      </w:r>
      <w:r>
        <w:t xml:space="preserve"> </w:t>
      </w:r>
      <w:r w:rsidRPr="00181AA3">
        <w:t>perspective of the safety of the banks it rates based on capitalization, asset quality, profitability, liquidity,</w:t>
      </w:r>
      <w:r>
        <w:t xml:space="preserve"> </w:t>
      </w:r>
      <w:r w:rsidRPr="00181AA3">
        <w:t>and stability indexes</w:t>
      </w:r>
      <w:r>
        <w:t>,” and that banks with a rating of B- or higher had shown that they “</w:t>
      </w:r>
      <w:r w:rsidRPr="001B083B">
        <w:t>offer</w:t>
      </w:r>
      <w:r>
        <w:t>[]</w:t>
      </w:r>
      <w:r w:rsidRPr="001B083B">
        <w:t xml:space="preserve"> good financial security and ha</w:t>
      </w:r>
      <w:r>
        <w:t>[</w:t>
      </w:r>
      <w:r>
        <w:t>ve</w:t>
      </w:r>
      <w:r>
        <w:t>]</w:t>
      </w:r>
      <w:r w:rsidRPr="001B083B">
        <w:t xml:space="preserve"> the</w:t>
      </w:r>
      <w:r>
        <w:t xml:space="preserve"> </w:t>
      </w:r>
      <w:r w:rsidRPr="001B083B">
        <w:t>resources to deal with a variety of adverse economic conditions</w:t>
      </w:r>
      <w:r>
        <w:t>.”</w:t>
      </w:r>
      <w:r>
        <w:rPr>
          <w:rStyle w:val="FootnoteReference"/>
        </w:rPr>
        <w:footnoteReference w:id="7"/>
      </w:r>
    </w:p>
    <w:p w:rsidR="006829D8" w:rsidRPr="008B1908" w:rsidP="00FF7535" w14:paraId="32BDAC31" w14:textId="77777777">
      <w:pPr>
        <w:pStyle w:val="ParaNum"/>
        <w:widowControl/>
        <w:numPr>
          <w:ilvl w:val="0"/>
          <w:numId w:val="7"/>
        </w:numPr>
        <w:tabs>
          <w:tab w:val="clear" w:pos="1080"/>
          <w:tab w:val="num" w:pos="1440"/>
        </w:tabs>
      </w:pPr>
      <w:r>
        <w:rPr>
          <w:i/>
          <w:iCs/>
        </w:rPr>
        <w:t>DPAC</w:t>
      </w:r>
      <w:r>
        <w:rPr>
          <w:i/>
        </w:rPr>
        <w:t xml:space="preserve">’s </w:t>
      </w:r>
      <w:r w:rsidRPr="00C43DCE">
        <w:rPr>
          <w:i/>
        </w:rPr>
        <w:t>Petition</w:t>
      </w:r>
      <w:r>
        <w:rPr>
          <w:iCs/>
        </w:rPr>
        <w:t>.</w:t>
      </w:r>
      <w:r>
        <w:rPr>
          <w:i/>
        </w:rPr>
        <w:t xml:space="preserve">  </w:t>
      </w:r>
      <w:r w:rsidRPr="00C43DCE">
        <w:rPr>
          <w:iCs/>
        </w:rPr>
        <w:t>In</w:t>
      </w:r>
      <w:r>
        <w:rPr>
          <w:iCs/>
        </w:rPr>
        <w:t xml:space="preserve"> its petition, DPAC explains that it initially obtained an LOC from the Bank of Hawaii, which met the Commission’s requirements at the time the LOCs were issued.</w:t>
      </w:r>
      <w:r>
        <w:rPr>
          <w:rStyle w:val="FootnoteReference"/>
          <w:iCs/>
        </w:rPr>
        <w:footnoteReference w:id="8"/>
      </w:r>
      <w:r>
        <w:rPr>
          <w:iCs/>
        </w:rPr>
        <w:t xml:space="preserve">  On May 5, 2023, DPAC received notice that its amended LOC from the Bank of Hawaii was no longer acceptable, </w:t>
      </w:r>
      <w:r w:rsidRPr="2214DD48">
        <w:t>because the Bank of Hawaii’s Weiss bank safety rating had fallen below a B-.</w:t>
      </w:r>
      <w:r>
        <w:rPr>
          <w:rStyle w:val="FootnoteReference"/>
          <w:iCs/>
          <w:sz w:val="22"/>
          <w:szCs w:val="22"/>
        </w:rPr>
        <w:footnoteReference w:id="9"/>
      </w:r>
      <w:r w:rsidRPr="00786249">
        <w:rPr>
          <w:iCs/>
          <w:szCs w:val="22"/>
        </w:rPr>
        <w:t xml:space="preserve">  </w:t>
      </w:r>
      <w:r w:rsidRPr="2214DD48">
        <w:t>DPAC moved to obtain a new LOC from a bank that meets Commission requirements</w:t>
      </w:r>
      <w:r w:rsidRPr="00786249">
        <w:rPr>
          <w:iCs/>
          <w:szCs w:val="22"/>
        </w:rPr>
        <w:t>.</w:t>
      </w:r>
      <w:r w:rsidRPr="2214DD48">
        <w:t xml:space="preserve">  On May 24, 2023,</w:t>
      </w:r>
      <w:r w:rsidRPr="00786249">
        <w:rPr>
          <w:iCs/>
          <w:szCs w:val="22"/>
        </w:rPr>
        <w:t xml:space="preserve"> </w:t>
      </w:r>
      <w:r w:rsidRPr="2214DD48">
        <w:t xml:space="preserve">Super-Typhoon </w:t>
      </w:r>
      <w:r w:rsidRPr="2214DD48">
        <w:t>Mawar</w:t>
      </w:r>
      <w:r w:rsidRPr="2214DD48">
        <w:t xml:space="preserve"> made landfall in both Guam and the Northern Mariana Islands and caused significant destruction</w:t>
      </w:r>
      <w:r w:rsidRPr="00786249">
        <w:rPr>
          <w:szCs w:val="22"/>
        </w:rPr>
        <w:t>.</w:t>
      </w:r>
      <w:r>
        <w:rPr>
          <w:rStyle w:val="FootnoteReference"/>
          <w:sz w:val="22"/>
          <w:szCs w:val="22"/>
        </w:rPr>
        <w:footnoteReference w:id="10"/>
      </w:r>
    </w:p>
    <w:p w:rsidR="006829D8" w:rsidRPr="006D6D46" w:rsidP="006829D8" w14:paraId="3183A373" w14:textId="77777777">
      <w:pPr>
        <w:pStyle w:val="ParaNum"/>
        <w:numPr>
          <w:ilvl w:val="0"/>
          <w:numId w:val="7"/>
        </w:numPr>
        <w:tabs>
          <w:tab w:val="clear" w:pos="1080"/>
          <w:tab w:val="num" w:pos="1440"/>
        </w:tabs>
      </w:pPr>
      <w:r w:rsidRPr="4E9FC32E">
        <w:t>In its petition, DPAC seeks a six-month waiver of the requirement that LOC issuing banks maintain a Weiss bank safety rating of at least a B- in order to obtain new LOCs from a bank that meets the Commission’s requirements.</w:t>
      </w:r>
      <w:r>
        <w:rPr>
          <w:rStyle w:val="FootnoteReference"/>
        </w:rPr>
        <w:footnoteReference w:id="11"/>
      </w:r>
      <w:r>
        <w:rPr>
          <w:iCs/>
        </w:rPr>
        <w:t xml:space="preserve">  </w:t>
      </w:r>
      <w:r w:rsidRPr="4E9FC32E">
        <w:t>DPAC explains that, in the aftermath of the typhoon, it does</w:t>
      </w:r>
      <w:r w:rsidRPr="006516DF">
        <w:rPr>
          <w:iCs/>
        </w:rPr>
        <w:t xml:space="preserve"> </w:t>
      </w:r>
      <w:r>
        <w:rPr>
          <w:iCs/>
        </w:rPr>
        <w:t>“</w:t>
      </w:r>
      <w:r w:rsidRPr="4E9FC32E">
        <w:t>not have the resources to collaborate on creating a new letter of credit relationship at this time” with any other bank that provides services in Guam and the Northern Mariana Islands</w:t>
      </w:r>
      <w:r>
        <w:t>; moreover, any such bank is likely</w:t>
      </w:r>
      <w:r w:rsidRPr="4E9FC32E">
        <w:t xml:space="preserve"> facing similar issues</w:t>
      </w:r>
      <w:r>
        <w:t xml:space="preserve"> dealing with the aftermath of Super-Typhoon </w:t>
      </w:r>
      <w:r>
        <w:t>Mawar</w:t>
      </w:r>
      <w:r>
        <w:rPr>
          <w:iCs/>
        </w:rPr>
        <w:t>.</w:t>
      </w:r>
      <w:r>
        <w:rPr>
          <w:rStyle w:val="FootnoteReference"/>
        </w:rPr>
        <w:footnoteReference w:id="12"/>
      </w:r>
      <w:r w:rsidRPr="006516DF">
        <w:rPr>
          <w:iCs/>
        </w:rPr>
        <w:t xml:space="preserve"> </w:t>
      </w:r>
      <w:r>
        <w:rPr>
          <w:iCs/>
        </w:rPr>
        <w:t xml:space="preserve"> </w:t>
      </w:r>
      <w:r w:rsidRPr="4E9FC32E">
        <w:t>A six-month waiver would allow DPAC to maintain its existing LOC with the Bank of Hawaii while it obtains a new LOC from a bank that meets the Commission’s requirements, and would allow DPAC to continue to receive Auction 904 support during the duration of the waiver</w:t>
      </w:r>
      <w:r>
        <w:rPr>
          <w:iCs/>
        </w:rPr>
        <w:t>.</w:t>
      </w:r>
      <w:r>
        <w:rPr>
          <w:rStyle w:val="FootnoteReference"/>
        </w:rPr>
        <w:footnoteReference w:id="13"/>
      </w:r>
      <w:r w:rsidRPr="4E9FC32E">
        <w:t xml:space="preserve">  In support of its petition, DPAC states that it has</w:t>
      </w:r>
      <w:r>
        <w:rPr>
          <w:iCs/>
        </w:rPr>
        <w:t xml:space="preserve"> “</w:t>
      </w:r>
      <w:r w:rsidRPr="4E9FC32E">
        <w:t>maintained compliance with all RDOF rules and requirements” that are within its control,</w:t>
      </w:r>
      <w:r>
        <w:rPr>
          <w:rStyle w:val="FootnoteReference"/>
        </w:rPr>
        <w:footnoteReference w:id="14"/>
      </w:r>
      <w:r w:rsidRPr="4E9FC32E">
        <w:t xml:space="preserve"> and that, without a waiver, DPAC would face suspended support payments as it struggled to recover from a natural disaster.</w:t>
      </w:r>
      <w:r>
        <w:rPr>
          <w:rStyle w:val="FootnoteReference"/>
        </w:rPr>
        <w:footnoteReference w:id="15"/>
      </w:r>
      <w:r>
        <w:rPr>
          <w:iCs/>
        </w:rPr>
        <w:t xml:space="preserve">  </w:t>
      </w:r>
      <w:r w:rsidRPr="4E9FC32E">
        <w:t>DPAC also notes that a waiver would be consistent with our earlier, temporary waivers of the LOC rules to allow support recipients to obtain new LOCs from banks that met the Commission’s requirements</w:t>
      </w:r>
      <w:r>
        <w:rPr>
          <w:iCs/>
        </w:rPr>
        <w:t>.</w:t>
      </w:r>
      <w:r>
        <w:rPr>
          <w:rStyle w:val="FootnoteReference"/>
        </w:rPr>
        <w:footnoteReference w:id="16"/>
      </w:r>
    </w:p>
    <w:p w:rsidR="006829D8" w:rsidP="006829D8" w14:paraId="22224FD7" w14:textId="77777777">
      <w:pPr>
        <w:pStyle w:val="Heading1"/>
      </w:pPr>
      <w:r>
        <w:t>Discussion</w:t>
      </w:r>
    </w:p>
    <w:p w:rsidR="006829D8" w:rsidP="006829D8" w14:paraId="195DB583" w14:textId="77777777">
      <w:pPr>
        <w:pStyle w:val="ParaNum"/>
        <w:widowControl/>
        <w:numPr>
          <w:ilvl w:val="0"/>
          <w:numId w:val="7"/>
        </w:numPr>
        <w:tabs>
          <w:tab w:val="clear" w:pos="1080"/>
          <w:tab w:val="num" w:pos="1440"/>
        </w:tabs>
      </w:pPr>
      <w:r>
        <w:t>Generally, the Commission’s rules may be waived for good cause shown.</w:t>
      </w:r>
      <w:r>
        <w:rPr>
          <w:rStyle w:val="FootnoteReference"/>
        </w:rPr>
        <w:footnoteReference w:id="17"/>
      </w:r>
      <w:r>
        <w:t xml:space="preserve">  </w:t>
      </w:r>
      <w:r w:rsidRPr="00BB3C3D">
        <w:t>W</w:t>
      </w:r>
      <w:r w:rsidRPr="2CAF735A">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8"/>
      </w:r>
      <w:r w:rsidRPr="00F6751B">
        <w:t xml:space="preserve">  </w:t>
      </w:r>
      <w:r w:rsidRPr="00B0199B">
        <w:t>A rule may be waived where the particular facts make strict compliance inconsistent with the public interest.</w:t>
      </w:r>
      <w:r>
        <w:rPr>
          <w:rStyle w:val="FootnoteReference"/>
        </w:rPr>
        <w:footnoteReference w:id="19"/>
      </w:r>
      <w:r w:rsidRPr="00B0199B">
        <w:t xml:space="preserve">  In addition, the Commission may take into account considerations of hardship, equity, or more effective implementation of overall policy on an individual basis.</w:t>
      </w:r>
      <w:r>
        <w:rPr>
          <w:rStyle w:val="FootnoteReference"/>
        </w:rPr>
        <w:footnoteReference w:id="20"/>
      </w:r>
      <w:r w:rsidRPr="00F6751B">
        <w:t xml:space="preserve">  </w:t>
      </w:r>
      <w:r>
        <w:t xml:space="preserve">We find good cause to grant DPAC’s petition and temporarily waive section </w:t>
      </w:r>
      <w:r w:rsidRPr="006F6C74">
        <w:t>54.804(c)(2)</w:t>
      </w:r>
      <w:r>
        <w:t>(</w:t>
      </w:r>
      <w:r>
        <w:t>i</w:t>
      </w:r>
      <w:r>
        <w:t xml:space="preserve">)(B) of our rules until December 6, 2023.  If at that time DPAC has not </w:t>
      </w:r>
      <w:r>
        <w:t>obtained LOCs for all of its Auction 904 awards from a bank that meets the Commission’s requirements, we will suspend DPAC’s monthly support payments and DPAC may be subject to additional non-compliance measures.</w:t>
      </w:r>
      <w:r>
        <w:rPr>
          <w:rStyle w:val="FootnoteReference"/>
        </w:rPr>
        <w:footnoteReference w:id="21"/>
      </w:r>
      <w:r>
        <w:t xml:space="preserve">     </w:t>
      </w:r>
    </w:p>
    <w:p w:rsidR="006829D8" w:rsidP="006829D8" w14:paraId="3B09243A" w14:textId="77777777">
      <w:pPr>
        <w:pStyle w:val="ParaNum"/>
        <w:widowControl/>
        <w:numPr>
          <w:ilvl w:val="0"/>
          <w:numId w:val="7"/>
        </w:numPr>
        <w:tabs>
          <w:tab w:val="clear" w:pos="1080"/>
          <w:tab w:val="num" w:pos="1440"/>
        </w:tabs>
      </w:pPr>
      <w:r>
        <w:t>We find that circumstances support a finding of good cause to grant the petition.  DPAC states that it has complied with all Auction 904 rules, except for maintaining an LOC with a bank with an acceptable Weiss bank safety rating.  Once DPAC was notified that it needed to obtain a new LOC from a different bank, it took steps to do so.</w:t>
      </w:r>
      <w:r>
        <w:rPr>
          <w:rStyle w:val="FootnoteReference"/>
        </w:rPr>
        <w:footnoteReference w:id="22"/>
      </w:r>
      <w:r>
        <w:t xml:space="preserve"> </w:t>
      </w:r>
      <w:r w:rsidRPr="004227FB">
        <w:t xml:space="preserve"> </w:t>
      </w:r>
      <w:r>
        <w:t xml:space="preserve">DPAC’s ability to obtain a new LOC from an acceptable bank has been impeded by the destruction caused by Super-Typhoon </w:t>
      </w:r>
      <w:r>
        <w:t>Mawar</w:t>
      </w:r>
      <w:r>
        <w:t>,</w:t>
      </w:r>
      <w:r>
        <w:rPr>
          <w:rStyle w:val="FootnoteReference"/>
        </w:rPr>
        <w:footnoteReference w:id="23"/>
      </w:r>
      <w:r>
        <w:t xml:space="preserve"> and providing a temporary waiver will allow DPAC to continue to receive Auction 904 support as it, along with all of Guam and the Northern Mariana Islands, recovers from the Super-Typhoon’s damage.</w:t>
      </w:r>
    </w:p>
    <w:p w:rsidR="006829D8" w:rsidP="006829D8" w14:paraId="68BFA367" w14:textId="77777777">
      <w:pPr>
        <w:pStyle w:val="ParaNum"/>
        <w:widowControl/>
        <w:numPr>
          <w:ilvl w:val="0"/>
          <w:numId w:val="7"/>
        </w:numPr>
        <w:tabs>
          <w:tab w:val="clear" w:pos="1080"/>
          <w:tab w:val="num" w:pos="1440"/>
        </w:tabs>
      </w:pPr>
      <w:r>
        <w:t xml:space="preserve">Granting DPAC a temporary waiver is also consistent with our precedent.  We previously issued temporary waivers to allow Point Broadband and </w:t>
      </w:r>
      <w:r>
        <w:t>ECFiber</w:t>
      </w:r>
      <w:r>
        <w:t xml:space="preserve"> to continue using their existing LOCs from banks with a Weiss safety rating of C+ in order to allow both providers to obtain new LOCs from a bank with an acceptable Weiss safety rating.</w:t>
      </w:r>
      <w:r>
        <w:rPr>
          <w:rStyle w:val="FootnoteReference"/>
        </w:rPr>
        <w:footnoteReference w:id="24"/>
      </w:r>
      <w:r>
        <w:t xml:space="preserve">  For the same reasons, and additionally because of the strain on resources caused by Super-Typhoon </w:t>
      </w:r>
      <w:r>
        <w:t>Mawar</w:t>
      </w:r>
      <w:r>
        <w:t>, we grant DPAC’s request for a temporary waiver.</w:t>
      </w:r>
    </w:p>
    <w:p w:rsidR="006829D8" w:rsidP="006829D8" w14:paraId="1AEC9A8F" w14:textId="77777777">
      <w:pPr>
        <w:pStyle w:val="ParaNum"/>
        <w:numPr>
          <w:ilvl w:val="0"/>
          <w:numId w:val="7"/>
        </w:numPr>
        <w:tabs>
          <w:tab w:val="clear" w:pos="1080"/>
          <w:tab w:val="num" w:pos="1440"/>
        </w:tabs>
      </w:pPr>
      <w:r>
        <w:t>We emphasize, however, that auction support recipients must ensure that banks issuing LOCs comply with all of our eligibility rules.  We rely on an independent standard to assess the stability of financial institutions because the Commission does not have the expertise to evaluate banks’ financial health.</w:t>
      </w:r>
      <w:r>
        <w:rPr>
          <w:rStyle w:val="FootnoteReference"/>
        </w:rPr>
        <w:footnoteReference w:id="25"/>
      </w:r>
      <w:r>
        <w:t xml:space="preserve">  Additionally, we note that the bank that ultimately provides DPAC with its updated LOC must have a Weiss bank safety rating of B- or better.</w:t>
      </w:r>
      <w:r>
        <w:rPr>
          <w:rStyle w:val="FootnoteReference"/>
        </w:rPr>
        <w:footnoteReference w:id="26"/>
      </w:r>
    </w:p>
    <w:p w:rsidR="006829D8" w:rsidP="006829D8" w14:paraId="01F22842" w14:textId="77777777">
      <w:pPr>
        <w:pStyle w:val="Heading1"/>
      </w:pPr>
      <w:r>
        <w:t>Ordering Clauses</w:t>
      </w:r>
    </w:p>
    <w:p w:rsidR="006829D8" w:rsidRPr="0019242C" w:rsidP="006829D8" w14:paraId="41FF2A51" w14:textId="77777777">
      <w:pPr>
        <w:pStyle w:val="ParaNum"/>
        <w:numPr>
          <w:ilvl w:val="0"/>
          <w:numId w:val="7"/>
        </w:numPr>
        <w:tabs>
          <w:tab w:val="clear" w:pos="1080"/>
          <w:tab w:val="num" w:pos="1440"/>
        </w:tabs>
      </w:pPr>
      <w:r w:rsidRPr="0019242C">
        <w:t>Accordingly, IT IS ORDERED, pursuant to sections 1, 4(</w:t>
      </w:r>
      <w:r w:rsidRPr="0019242C">
        <w:t>i</w:t>
      </w:r>
      <w:r w:rsidRPr="0019242C">
        <w:t>), 5(c), and 254 of the Communications Act of 1934, as amended, 47 U.S.C. §§ 151, 154(</w:t>
      </w:r>
      <w:r w:rsidRPr="0019242C">
        <w:t>i</w:t>
      </w:r>
      <w:r w:rsidRPr="0019242C">
        <w:t>), 155(c), 254, and sections 0.91, 0.291,</w:t>
      </w:r>
      <w:r>
        <w:t xml:space="preserve"> </w:t>
      </w:r>
      <w:r w:rsidRPr="0019242C">
        <w:t>and 1.3 of the Commission’s rules, 47 CFR §§ 0.91, 0.291,</w:t>
      </w:r>
      <w:r>
        <w:t xml:space="preserve"> </w:t>
      </w:r>
      <w:r w:rsidRPr="0019242C">
        <w:t>1.3, that this Order IS ADOPTED.</w:t>
      </w:r>
    </w:p>
    <w:p w:rsidR="006829D8" w:rsidP="006829D8" w14:paraId="7507440F" w14:textId="77777777">
      <w:pPr>
        <w:pStyle w:val="ParaNum"/>
        <w:numPr>
          <w:ilvl w:val="0"/>
          <w:numId w:val="7"/>
        </w:numPr>
        <w:tabs>
          <w:tab w:val="clear" w:pos="1080"/>
          <w:tab w:val="num" w:pos="1440"/>
        </w:tabs>
      </w:pPr>
      <w:r w:rsidRPr="0019242C">
        <w:t>IT IS FURTHER ORDERED that</w:t>
      </w:r>
      <w:r>
        <w:t xml:space="preserve"> the petition for temporary waiver filed by Docomo Pacific, Inc. IS GRANTED.</w:t>
      </w:r>
    </w:p>
    <w:p w:rsidR="006829D8" w:rsidP="006829D8" w14:paraId="32CAF41A" w14:textId="77777777">
      <w:pPr>
        <w:pStyle w:val="ParaNum"/>
        <w:keepNext/>
        <w:pageBreakBefore/>
        <w:numPr>
          <w:ilvl w:val="0"/>
          <w:numId w:val="7"/>
        </w:numPr>
        <w:tabs>
          <w:tab w:val="clear" w:pos="1080"/>
          <w:tab w:val="num" w:pos="1440"/>
        </w:tabs>
      </w:pPr>
      <w:r w:rsidRPr="0019242C">
        <w:t>IT IS FURTHER ORDERED that, pursuant to section 1.102(b)(1) of the Commission’s rules, 47 CFR § 1.102(b)(1), this Order SHALL BE EFFECTIVE upon release.</w:t>
      </w:r>
    </w:p>
    <w:p w:rsidR="006829D8" w:rsidP="006829D8" w14:paraId="0B33C0F9" w14:textId="77777777">
      <w:pPr>
        <w:pStyle w:val="ParaNum"/>
        <w:numPr>
          <w:ilvl w:val="0"/>
          <w:numId w:val="0"/>
        </w:numPr>
        <w:tabs>
          <w:tab w:val="num" w:pos="1440"/>
        </w:tabs>
      </w:pPr>
    </w:p>
    <w:p w:rsidR="006829D8" w:rsidP="006829D8" w14:paraId="5B7EC774" w14:textId="77777777">
      <w:r>
        <w:tab/>
      </w:r>
      <w:r>
        <w:tab/>
      </w:r>
      <w:r>
        <w:tab/>
      </w:r>
      <w:r>
        <w:tab/>
      </w:r>
      <w:r>
        <w:tab/>
      </w:r>
      <w:r>
        <w:tab/>
        <w:t>FEDERAL COMMUNICATIONS COMMISSION</w:t>
      </w:r>
    </w:p>
    <w:p w:rsidR="006829D8" w:rsidP="006829D8" w14:paraId="29B6936B" w14:textId="77777777"/>
    <w:p w:rsidR="006829D8" w:rsidP="006829D8" w14:paraId="5C424763" w14:textId="77777777"/>
    <w:p w:rsidR="006829D8" w:rsidP="006829D8" w14:paraId="75B980CC" w14:textId="77777777"/>
    <w:p w:rsidR="006829D8" w:rsidP="006829D8" w14:paraId="688EF829" w14:textId="77777777"/>
    <w:p w:rsidR="006829D8" w:rsidP="006829D8" w14:paraId="4FD32605" w14:textId="77777777">
      <w:r>
        <w:tab/>
      </w:r>
      <w:r>
        <w:tab/>
      </w:r>
      <w:r>
        <w:tab/>
      </w:r>
      <w:r>
        <w:tab/>
      </w:r>
      <w:r>
        <w:tab/>
      </w:r>
      <w:r>
        <w:tab/>
        <w:t>Trent B. Harkrader</w:t>
      </w:r>
    </w:p>
    <w:p w:rsidR="006829D8" w:rsidP="006829D8" w14:paraId="72666195" w14:textId="77777777">
      <w:r>
        <w:tab/>
      </w:r>
      <w:r>
        <w:tab/>
      </w:r>
      <w:r>
        <w:tab/>
      </w:r>
      <w:r>
        <w:tab/>
      </w:r>
      <w:r>
        <w:tab/>
      </w:r>
      <w:r>
        <w:tab/>
        <w:t>Chief</w:t>
      </w:r>
    </w:p>
    <w:p w:rsidR="00412FC5" w:rsidP="006829D8" w14:paraId="00043766" w14:textId="5CBA942D">
      <w:r>
        <w:tab/>
      </w:r>
      <w:r>
        <w:tab/>
      </w:r>
      <w:r>
        <w:tab/>
      </w:r>
      <w:r>
        <w:tab/>
      </w:r>
      <w:r>
        <w:tab/>
      </w:r>
      <w:r>
        <w:tab/>
        <w:t>Wireline Competition Bure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84DC3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018F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F7535" w14:paraId="6132C28C" w14:textId="0B6614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6E045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06E7" w14:paraId="0704B4C4" w14:textId="77777777">
      <w:r>
        <w:separator/>
      </w:r>
    </w:p>
  </w:footnote>
  <w:footnote w:type="continuationSeparator" w:id="1">
    <w:p w:rsidR="00A306E7" w:rsidP="00C721AC" w14:paraId="7F4F0747" w14:textId="77777777">
      <w:pPr>
        <w:spacing w:before="120"/>
        <w:rPr>
          <w:sz w:val="20"/>
        </w:rPr>
      </w:pPr>
      <w:r>
        <w:rPr>
          <w:sz w:val="20"/>
        </w:rPr>
        <w:t xml:space="preserve">(Continued from previous page)  </w:t>
      </w:r>
      <w:r>
        <w:rPr>
          <w:sz w:val="20"/>
        </w:rPr>
        <w:separator/>
      </w:r>
    </w:p>
  </w:footnote>
  <w:footnote w:type="continuationNotice" w:id="2">
    <w:p w:rsidR="00A306E7" w:rsidP="00C721AC" w14:paraId="7921D62D" w14:textId="77777777">
      <w:pPr>
        <w:jc w:val="right"/>
        <w:rPr>
          <w:sz w:val="20"/>
        </w:rPr>
      </w:pPr>
      <w:r>
        <w:rPr>
          <w:sz w:val="20"/>
        </w:rPr>
        <w:t>(continued….)</w:t>
      </w:r>
    </w:p>
  </w:footnote>
  <w:footnote w:id="3">
    <w:p w:rsidR="006829D8" w:rsidRPr="00480EC3" w:rsidP="006829D8" w14:paraId="7CD376B5" w14:textId="77777777">
      <w:pPr>
        <w:pStyle w:val="FootnoteText"/>
      </w:pPr>
      <w:r>
        <w:rPr>
          <w:rStyle w:val="FootnoteReference"/>
        </w:rPr>
        <w:footnoteRef/>
      </w:r>
      <w:r>
        <w:t xml:space="preserve"> Docomo Pacific, Inc. Petition for Waiver, WC Docket No. 10-90, AU Docket No. 20-34 (filed June 6, 2023) (</w:t>
      </w:r>
      <w:r>
        <w:rPr>
          <w:i/>
          <w:iCs/>
        </w:rPr>
        <w:t>DPAC Petition</w:t>
      </w:r>
      <w:r>
        <w:t>).</w:t>
      </w:r>
    </w:p>
  </w:footnote>
  <w:footnote w:id="4">
    <w:p w:rsidR="006829D8" w:rsidP="006829D8" w14:paraId="577E0154" w14:textId="77777777">
      <w:pPr>
        <w:pStyle w:val="FootnoteText"/>
      </w:pPr>
      <w:r>
        <w:rPr>
          <w:rStyle w:val="FootnoteReference"/>
        </w:rPr>
        <w:footnoteRef/>
      </w:r>
      <w:r>
        <w:t xml:space="preserve"> 47 CFR §</w:t>
      </w:r>
      <w:r w:rsidRPr="006F6C74">
        <w:t xml:space="preserve"> 54.804(c)(2)</w:t>
      </w:r>
      <w:r>
        <w:t>(</w:t>
      </w:r>
      <w:r>
        <w:t>i</w:t>
      </w:r>
      <w:r>
        <w:t>)(B).</w:t>
      </w:r>
    </w:p>
  </w:footnote>
  <w:footnote w:id="5">
    <w:p w:rsidR="006829D8" w:rsidP="006829D8" w14:paraId="1805CBDC" w14:textId="77777777">
      <w:pPr>
        <w:pStyle w:val="FootnoteText"/>
      </w:pPr>
      <w:r>
        <w:rPr>
          <w:rStyle w:val="FootnoteReference"/>
        </w:rPr>
        <w:footnoteRef/>
      </w:r>
      <w:r>
        <w:t xml:space="preserve"> 47 CFR § 54.804(c); </w:t>
      </w:r>
      <w:r w:rsidRPr="00B03C2A">
        <w:rPr>
          <w:i/>
          <w:iCs/>
        </w:rPr>
        <w:t>Connect America Fund et al.</w:t>
      </w:r>
      <w:r>
        <w:t xml:space="preserve">, WC Docket No. 10-90 et al., Report and Order and Further Notice of Proposed Rulemaking, 31 FCC </w:t>
      </w:r>
      <w:r>
        <w:t>Rcd</w:t>
      </w:r>
      <w:r>
        <w:t xml:space="preserve"> 5949, 5989-99, paras. 119-40 (2016) (</w:t>
      </w:r>
      <w:r w:rsidRPr="00B03C2A">
        <w:rPr>
          <w:i/>
          <w:iCs/>
        </w:rPr>
        <w:t>CAF Phase II Auction Order</w:t>
      </w:r>
      <w:r>
        <w:t xml:space="preserve">); </w:t>
      </w:r>
      <w:r w:rsidRPr="00C20B18">
        <w:rPr>
          <w:i/>
        </w:rPr>
        <w:t xml:space="preserve">Rural Digital Opportunity Fund </w:t>
      </w:r>
      <w:r w:rsidRPr="00C20B18">
        <w:rPr>
          <w:i/>
          <w:iCs/>
        </w:rPr>
        <w:t>et al.</w:t>
      </w:r>
      <w:r w:rsidRPr="00C20B18">
        <w:t xml:space="preserve">, WC Docket No. 19-126 et al., Report and Order, 35 FCC </w:t>
      </w:r>
      <w:r w:rsidRPr="00C20B18">
        <w:t>Rcd</w:t>
      </w:r>
      <w:r w:rsidRPr="00C20B18">
        <w:t xml:space="preserve"> 686, 7</w:t>
      </w:r>
      <w:r>
        <w:t>29-35</w:t>
      </w:r>
      <w:r w:rsidRPr="00C20B18">
        <w:t>, para</w:t>
      </w:r>
      <w:r>
        <w:t>s</w:t>
      </w:r>
      <w:r w:rsidRPr="00C20B18">
        <w:t xml:space="preserve">. </w:t>
      </w:r>
      <w:r>
        <w:t>96-112</w:t>
      </w:r>
      <w:r w:rsidRPr="00C20B18">
        <w:t xml:space="preserve"> (2020) (</w:t>
      </w:r>
      <w:r w:rsidRPr="00C20B18">
        <w:rPr>
          <w:i/>
          <w:iCs/>
        </w:rPr>
        <w:t>Rural Digital Opportunity Fund Order</w:t>
      </w:r>
      <w:r w:rsidRPr="00C20B18">
        <w:t>).</w:t>
      </w:r>
    </w:p>
  </w:footnote>
  <w:footnote w:id="6">
    <w:p w:rsidR="006829D8" w:rsidP="006829D8" w14:paraId="316A7051" w14:textId="77777777">
      <w:pPr>
        <w:pStyle w:val="FootnoteText"/>
      </w:pPr>
      <w:r>
        <w:rPr>
          <w:rStyle w:val="FootnoteReference"/>
        </w:rPr>
        <w:footnoteRef/>
      </w:r>
      <w:r>
        <w:t xml:space="preserve"> 47 CFR § 54.804(c).</w:t>
      </w:r>
    </w:p>
  </w:footnote>
  <w:footnote w:id="7">
    <w:p w:rsidR="006829D8" w:rsidRPr="003B3ADA" w:rsidP="006829D8" w14:paraId="5B63B282" w14:textId="77777777">
      <w:pPr>
        <w:pStyle w:val="FootnoteText"/>
      </w:pPr>
      <w:r>
        <w:rPr>
          <w:rStyle w:val="FootnoteReference"/>
        </w:rPr>
        <w:footnoteRef/>
      </w:r>
      <w:r>
        <w:t xml:space="preserve"> </w:t>
      </w:r>
      <w:r w:rsidRPr="00B03C2A">
        <w:rPr>
          <w:i/>
          <w:iCs/>
        </w:rPr>
        <w:t>CAF Phase II Auction Order</w:t>
      </w:r>
      <w:r>
        <w:t xml:space="preserve">, 31 FCC </w:t>
      </w:r>
      <w:r>
        <w:t>Rcd</w:t>
      </w:r>
      <w:r>
        <w:t xml:space="preserve"> at 5993, para. 127.</w:t>
      </w:r>
    </w:p>
  </w:footnote>
  <w:footnote w:id="8">
    <w:p w:rsidR="006829D8" w:rsidRPr="00EE5AD3" w:rsidP="006829D8" w14:paraId="1AC41253" w14:textId="77777777">
      <w:pPr>
        <w:pStyle w:val="FootnoteText"/>
      </w:pPr>
      <w:r>
        <w:rPr>
          <w:rStyle w:val="FootnoteReference"/>
        </w:rPr>
        <w:footnoteRef/>
      </w:r>
      <w:r>
        <w:t xml:space="preserve"> </w:t>
      </w:r>
      <w:r>
        <w:rPr>
          <w:i/>
          <w:iCs/>
        </w:rPr>
        <w:t xml:space="preserve">DPAC Petition </w:t>
      </w:r>
      <w:r>
        <w:t>at 2-3.</w:t>
      </w:r>
    </w:p>
  </w:footnote>
  <w:footnote w:id="9">
    <w:p w:rsidR="006829D8" w:rsidRPr="009C3CE7" w:rsidP="006829D8" w14:paraId="6EFFBF9C" w14:textId="77777777">
      <w:pPr>
        <w:pStyle w:val="FootnoteText"/>
      </w:pPr>
      <w:r>
        <w:rPr>
          <w:rStyle w:val="FootnoteReference"/>
        </w:rPr>
        <w:footnoteRef/>
      </w:r>
      <w:r>
        <w:t xml:space="preserve"> </w:t>
      </w:r>
      <w:r>
        <w:rPr>
          <w:i/>
          <w:iCs/>
        </w:rPr>
        <w:t>Id.</w:t>
      </w:r>
      <w:r>
        <w:t xml:space="preserve"> at 3.</w:t>
      </w:r>
    </w:p>
  </w:footnote>
  <w:footnote w:id="10">
    <w:p w:rsidR="006829D8" w:rsidRPr="00786249" w:rsidP="006829D8" w14:paraId="6466AC1F" w14:textId="77777777">
      <w:pPr>
        <w:pStyle w:val="FootnoteText"/>
      </w:pPr>
      <w:r>
        <w:rPr>
          <w:rStyle w:val="FootnoteReference"/>
        </w:rPr>
        <w:footnoteRef/>
      </w:r>
      <w:r>
        <w:t xml:space="preserve"> </w:t>
      </w:r>
      <w:r>
        <w:rPr>
          <w:i/>
          <w:iCs/>
        </w:rPr>
        <w:t xml:space="preserve">Id. </w:t>
      </w:r>
      <w:r>
        <w:t>at 4.</w:t>
      </w:r>
    </w:p>
  </w:footnote>
  <w:footnote w:id="11">
    <w:p w:rsidR="006829D8" w:rsidRPr="00D959EB" w:rsidP="006829D8" w14:paraId="51E60331" w14:textId="77777777">
      <w:pPr>
        <w:pStyle w:val="FootnoteText"/>
      </w:pPr>
      <w:r>
        <w:rPr>
          <w:rStyle w:val="FootnoteReference"/>
        </w:rPr>
        <w:footnoteRef/>
      </w:r>
      <w:r>
        <w:t xml:space="preserve"> </w:t>
      </w:r>
      <w:r>
        <w:rPr>
          <w:i/>
          <w:iCs/>
        </w:rPr>
        <w:t xml:space="preserve">Id. </w:t>
      </w:r>
      <w:r>
        <w:t>at 7.</w:t>
      </w:r>
    </w:p>
  </w:footnote>
  <w:footnote w:id="12">
    <w:p w:rsidR="006829D8" w:rsidRPr="008744DB" w:rsidP="006829D8" w14:paraId="00155827" w14:textId="77777777">
      <w:pPr>
        <w:pStyle w:val="FootnoteText"/>
      </w:pPr>
      <w:r>
        <w:rPr>
          <w:rStyle w:val="FootnoteReference"/>
        </w:rPr>
        <w:footnoteRef/>
      </w:r>
      <w:r>
        <w:t xml:space="preserve"> </w:t>
      </w:r>
      <w:r>
        <w:rPr>
          <w:i/>
          <w:iCs/>
        </w:rPr>
        <w:t xml:space="preserve">Id. </w:t>
      </w:r>
      <w:r>
        <w:t>at 4.</w:t>
      </w:r>
    </w:p>
  </w:footnote>
  <w:footnote w:id="13">
    <w:p w:rsidR="006829D8" w:rsidRPr="00D21840" w:rsidP="006829D8" w14:paraId="4DE3927B" w14:textId="77777777">
      <w:pPr>
        <w:pStyle w:val="FootnoteText"/>
      </w:pPr>
      <w:r>
        <w:rPr>
          <w:rStyle w:val="FootnoteReference"/>
        </w:rPr>
        <w:footnoteRef/>
      </w:r>
      <w:r>
        <w:t xml:space="preserve"> </w:t>
      </w:r>
      <w:r>
        <w:rPr>
          <w:i/>
          <w:iCs/>
        </w:rPr>
        <w:t xml:space="preserve">Id. </w:t>
      </w:r>
      <w:r>
        <w:t>at 6-7.</w:t>
      </w:r>
    </w:p>
  </w:footnote>
  <w:footnote w:id="14">
    <w:p w:rsidR="006829D8" w:rsidRPr="007050F4" w:rsidP="006829D8" w14:paraId="2E774902" w14:textId="77777777">
      <w:pPr>
        <w:pStyle w:val="FootnoteText"/>
      </w:pPr>
      <w:r>
        <w:rPr>
          <w:rStyle w:val="FootnoteReference"/>
        </w:rPr>
        <w:footnoteRef/>
      </w:r>
      <w:r>
        <w:t xml:space="preserve"> </w:t>
      </w:r>
      <w:r>
        <w:rPr>
          <w:i/>
          <w:iCs/>
        </w:rPr>
        <w:t xml:space="preserve">Id. </w:t>
      </w:r>
      <w:r>
        <w:t>at 6.</w:t>
      </w:r>
    </w:p>
  </w:footnote>
  <w:footnote w:id="15">
    <w:p w:rsidR="006829D8" w:rsidRPr="0005057E" w:rsidP="006829D8" w14:paraId="3138AE6A" w14:textId="77777777">
      <w:pPr>
        <w:pStyle w:val="FootnoteText"/>
      </w:pPr>
      <w:r>
        <w:rPr>
          <w:rStyle w:val="FootnoteReference"/>
        </w:rPr>
        <w:footnoteRef/>
      </w:r>
      <w:r>
        <w:t xml:space="preserve"> </w:t>
      </w:r>
      <w:r>
        <w:rPr>
          <w:i/>
          <w:iCs/>
        </w:rPr>
        <w:t xml:space="preserve">Id. </w:t>
      </w:r>
      <w:r>
        <w:t>at 6-7.</w:t>
      </w:r>
    </w:p>
  </w:footnote>
  <w:footnote w:id="16">
    <w:p w:rsidR="006829D8" w:rsidRPr="0063000C" w:rsidP="006829D8" w14:paraId="6687E66E" w14:textId="77777777">
      <w:pPr>
        <w:pStyle w:val="FootnoteText"/>
      </w:pPr>
      <w:r>
        <w:rPr>
          <w:rStyle w:val="FootnoteReference"/>
        </w:rPr>
        <w:footnoteRef/>
      </w:r>
      <w:r>
        <w:t xml:space="preserve"> </w:t>
      </w:r>
      <w:r>
        <w:rPr>
          <w:i/>
          <w:iCs/>
        </w:rPr>
        <w:t xml:space="preserve">Id. </w:t>
      </w:r>
      <w:r>
        <w:t xml:space="preserve">at 5 (citing </w:t>
      </w:r>
      <w:r w:rsidRPr="000A15CF">
        <w:rPr>
          <w:i/>
          <w:iCs/>
        </w:rPr>
        <w:t>Connect America Fund et al.</w:t>
      </w:r>
      <w:r>
        <w:t xml:space="preserve">, </w:t>
      </w:r>
      <w:r w:rsidRPr="000A15CF">
        <w:t xml:space="preserve">WC Docket No. 10-90 </w:t>
      </w:r>
      <w:r>
        <w:t>et al.</w:t>
      </w:r>
      <w:r w:rsidRPr="000A15CF">
        <w:t xml:space="preserve">, </w:t>
      </w:r>
      <w:r>
        <w:t xml:space="preserve">Order, DA </w:t>
      </w:r>
      <w:r w:rsidRPr="000A15CF">
        <w:t>22-951 (</w:t>
      </w:r>
      <w:r>
        <w:t>WCB</w:t>
      </w:r>
      <w:r w:rsidRPr="000A15CF">
        <w:t xml:space="preserve"> Sept. 13, 2022) (Point Broadband</w:t>
      </w:r>
      <w:r>
        <w:t xml:space="preserve"> Order</w:t>
      </w:r>
      <w:r w:rsidRPr="000A15CF">
        <w:t>)</w:t>
      </w:r>
      <w:r>
        <w:t xml:space="preserve">; </w:t>
      </w:r>
      <w:r w:rsidRPr="000A15CF">
        <w:rPr>
          <w:i/>
          <w:iCs/>
        </w:rPr>
        <w:t>Connect America Fund et al.</w:t>
      </w:r>
      <w:r>
        <w:t xml:space="preserve">, </w:t>
      </w:r>
      <w:r w:rsidRPr="000A15CF">
        <w:t xml:space="preserve">WC Docket No. 10-90 </w:t>
      </w:r>
      <w:r>
        <w:t>et al.</w:t>
      </w:r>
      <w:r w:rsidRPr="000A15CF">
        <w:t xml:space="preserve">, </w:t>
      </w:r>
      <w:r>
        <w:t>Order, DA 23-419</w:t>
      </w:r>
      <w:r w:rsidRPr="000A15CF">
        <w:t xml:space="preserve"> (</w:t>
      </w:r>
      <w:r>
        <w:t>WCB</w:t>
      </w:r>
      <w:r w:rsidRPr="000A15CF">
        <w:t xml:space="preserve"> </w:t>
      </w:r>
      <w:r>
        <w:t>May 17</w:t>
      </w:r>
      <w:r w:rsidRPr="000A15CF">
        <w:t>, 202</w:t>
      </w:r>
      <w:r>
        <w:t>3</w:t>
      </w:r>
      <w:r w:rsidRPr="000A15CF">
        <w:t>)</w:t>
      </w:r>
      <w:r>
        <w:t xml:space="preserve"> (</w:t>
      </w:r>
      <w:r>
        <w:t>ECFiber</w:t>
      </w:r>
      <w:r>
        <w:t xml:space="preserve"> Order)).</w:t>
      </w:r>
    </w:p>
  </w:footnote>
  <w:footnote w:id="17">
    <w:p w:rsidR="006829D8" w:rsidP="006829D8" w14:paraId="06A00692" w14:textId="77777777">
      <w:pPr>
        <w:pStyle w:val="FootnoteText"/>
      </w:pPr>
      <w:r>
        <w:rPr>
          <w:rStyle w:val="FootnoteReference"/>
        </w:rPr>
        <w:footnoteRef/>
      </w:r>
      <w:r>
        <w:t xml:space="preserve"> </w:t>
      </w:r>
      <w:r w:rsidRPr="007F4A5D">
        <w:t>47 CFR § 1.3</w:t>
      </w:r>
      <w:r>
        <w:t>.</w:t>
      </w:r>
    </w:p>
  </w:footnote>
  <w:footnote w:id="18">
    <w:p w:rsidR="006829D8" w:rsidRPr="008C2A06" w:rsidP="006829D8" w14:paraId="4428C523"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Pr>
          <w:i/>
          <w:iCs/>
        </w:rPr>
        <w:t>WAIT Radio</w:t>
      </w:r>
      <w:r>
        <w:rPr>
          <w:i/>
        </w:rPr>
        <w:t>)</w:t>
      </w:r>
      <w:r>
        <w:t>) (</w:t>
      </w:r>
      <w:r w:rsidRPr="00691864">
        <w:rPr>
          <w:i/>
        </w:rPr>
        <w:t>Northeast Cellular</w:t>
      </w:r>
      <w:r>
        <w:t>).</w:t>
      </w:r>
      <w:r w:rsidRPr="008C2A06">
        <w:rPr>
          <w:i/>
        </w:rPr>
        <w:t xml:space="preserve"> </w:t>
      </w:r>
    </w:p>
  </w:footnote>
  <w:footnote w:id="19">
    <w:p w:rsidR="006829D8" w:rsidP="006829D8" w14:paraId="6B1FAF19" w14:textId="77777777">
      <w:pPr>
        <w:pStyle w:val="FootnoteText"/>
      </w:pPr>
      <w:r>
        <w:rPr>
          <w:rStyle w:val="FootnoteReference"/>
        </w:rPr>
        <w:footnoteRef/>
      </w:r>
      <w:r>
        <w:t xml:space="preserve"> </w:t>
      </w:r>
      <w:r w:rsidRPr="00D70794">
        <w:rPr>
          <w:i/>
          <w:iCs/>
        </w:rPr>
        <w:t>Northeast Cellular</w:t>
      </w:r>
      <w:r>
        <w:t xml:space="preserve">, </w:t>
      </w:r>
      <w:r w:rsidRPr="00B0199B">
        <w:t xml:space="preserve">897 F.2d </w:t>
      </w:r>
      <w:r>
        <w:t>at</w:t>
      </w:r>
      <w:r w:rsidRPr="00B0199B">
        <w:t xml:space="preserve"> 1166.</w:t>
      </w:r>
    </w:p>
  </w:footnote>
  <w:footnote w:id="20">
    <w:p w:rsidR="006829D8" w:rsidP="006829D8" w14:paraId="398D34B0" w14:textId="77777777">
      <w:pPr>
        <w:pStyle w:val="FootnoteText"/>
      </w:pPr>
      <w:r>
        <w:rPr>
          <w:rStyle w:val="FootnoteReference"/>
        </w:rPr>
        <w:footnoteRef/>
      </w:r>
      <w:r>
        <w:t xml:space="preserve"> </w:t>
      </w:r>
      <w:r w:rsidRPr="00D70794">
        <w:rPr>
          <w:i/>
          <w:iCs/>
        </w:rPr>
        <w:t>WAIT Radio</w:t>
      </w:r>
      <w:r w:rsidRPr="00B0199B">
        <w:t xml:space="preserve">, 418 F.2d </w:t>
      </w:r>
      <w:r>
        <w:t>at</w:t>
      </w:r>
      <w:r w:rsidRPr="00B0199B">
        <w:t xml:space="preserve"> 1157</w:t>
      </w:r>
      <w:r>
        <w:t>.</w:t>
      </w:r>
    </w:p>
  </w:footnote>
  <w:footnote w:id="21">
    <w:p w:rsidR="006829D8" w:rsidRPr="002D0553" w:rsidP="006829D8" w14:paraId="792B1F46" w14:textId="77777777">
      <w:pPr>
        <w:pStyle w:val="FootnoteText"/>
      </w:pPr>
      <w:r>
        <w:rPr>
          <w:rStyle w:val="FootnoteReference"/>
        </w:rPr>
        <w:footnoteRef/>
      </w:r>
      <w:r>
        <w:t xml:space="preserve"> </w:t>
      </w:r>
      <w:r w:rsidRPr="0071679A">
        <w:rPr>
          <w:i/>
          <w:iCs/>
        </w:rPr>
        <w:t>See</w:t>
      </w:r>
      <w:r>
        <w:rPr>
          <w:i/>
          <w:iCs/>
        </w:rPr>
        <w:t>, e.g.</w:t>
      </w:r>
      <w:r w:rsidRPr="00AF60E2">
        <w:t xml:space="preserve">, </w:t>
      </w:r>
      <w:r>
        <w:t xml:space="preserve">47 CFR §§ 54.320(c), 54.806(b); </w:t>
      </w:r>
      <w:r w:rsidRPr="00C20B18">
        <w:rPr>
          <w:i/>
          <w:iCs/>
        </w:rPr>
        <w:t>Rural Digital Opportunity Fund Order</w:t>
      </w:r>
      <w:r>
        <w:t xml:space="preserve">, 35 FCC </w:t>
      </w:r>
      <w:r>
        <w:t>Rcd</w:t>
      </w:r>
      <w:r>
        <w:t xml:space="preserve"> at 732, para. 107.</w:t>
      </w:r>
    </w:p>
  </w:footnote>
  <w:footnote w:id="22">
    <w:p w:rsidR="006829D8" w:rsidRPr="00E74753" w:rsidP="006829D8" w14:paraId="065BAA62" w14:textId="77777777">
      <w:pPr>
        <w:pStyle w:val="FootnoteText"/>
      </w:pPr>
      <w:r>
        <w:rPr>
          <w:rStyle w:val="FootnoteReference"/>
        </w:rPr>
        <w:footnoteRef/>
      </w:r>
      <w:r>
        <w:t xml:space="preserve"> </w:t>
      </w:r>
      <w:r>
        <w:rPr>
          <w:i/>
          <w:iCs/>
        </w:rPr>
        <w:t xml:space="preserve">DPAC Petition </w:t>
      </w:r>
      <w:r>
        <w:t>at 3.</w:t>
      </w:r>
    </w:p>
  </w:footnote>
  <w:footnote w:id="23">
    <w:p w:rsidR="006829D8" w:rsidP="006829D8" w14:paraId="05A41F16" w14:textId="77777777">
      <w:pPr>
        <w:pStyle w:val="FootnoteText"/>
      </w:pPr>
      <w:r>
        <w:rPr>
          <w:rStyle w:val="FootnoteReference"/>
        </w:rPr>
        <w:footnoteRef/>
      </w:r>
      <w:r>
        <w:t xml:space="preserve"> </w:t>
      </w:r>
      <w:r w:rsidRPr="00481109">
        <w:rPr>
          <w:i/>
          <w:iCs/>
        </w:rPr>
        <w:t>Id</w:t>
      </w:r>
      <w:r>
        <w:t>. at 6 (noting that “</w:t>
      </w:r>
      <w:r w:rsidRPr="00481109">
        <w:t xml:space="preserve">no businesses on the island </w:t>
      </w:r>
      <w:r>
        <w:t>[]</w:t>
      </w:r>
      <w:r w:rsidRPr="00481109">
        <w:t xml:space="preserve"> are in a position to resume daily activities</w:t>
      </w:r>
      <w:r>
        <w:t>”).</w:t>
      </w:r>
    </w:p>
  </w:footnote>
  <w:footnote w:id="24">
    <w:p w:rsidR="006829D8" w:rsidRPr="00582DAC" w:rsidP="006829D8" w14:paraId="04494C4A" w14:textId="77777777">
      <w:pPr>
        <w:pStyle w:val="FootnoteText"/>
      </w:pPr>
      <w:r>
        <w:rPr>
          <w:rStyle w:val="FootnoteReference"/>
        </w:rPr>
        <w:footnoteRef/>
      </w:r>
      <w:r>
        <w:t xml:space="preserve"> </w:t>
      </w:r>
      <w:r>
        <w:rPr>
          <w:i/>
          <w:iCs/>
        </w:rPr>
        <w:t xml:space="preserve">See generally </w:t>
      </w:r>
      <w:r>
        <w:t xml:space="preserve">Point Broadband Order; </w:t>
      </w:r>
      <w:r>
        <w:t>ECFiber</w:t>
      </w:r>
      <w:r>
        <w:t xml:space="preserve"> Order.</w:t>
      </w:r>
    </w:p>
  </w:footnote>
  <w:footnote w:id="25">
    <w:p w:rsidR="006829D8" w:rsidRPr="006C4319" w:rsidP="006829D8" w14:paraId="0B005654" w14:textId="77777777">
      <w:pPr>
        <w:pStyle w:val="FootnoteText"/>
      </w:pPr>
      <w:r>
        <w:rPr>
          <w:rStyle w:val="FootnoteReference"/>
        </w:rPr>
        <w:footnoteRef/>
      </w:r>
      <w:r>
        <w:t xml:space="preserve"> </w:t>
      </w:r>
      <w:r>
        <w:rPr>
          <w:i/>
          <w:iCs/>
        </w:rPr>
        <w:t xml:space="preserve">See </w:t>
      </w:r>
      <w:r w:rsidRPr="00B03C2A">
        <w:rPr>
          <w:i/>
          <w:iCs/>
        </w:rPr>
        <w:t>CAF Phase II Auction Order</w:t>
      </w:r>
      <w:r>
        <w:t xml:space="preserve">, 31 FCC </w:t>
      </w:r>
      <w:r>
        <w:t>Rcd</w:t>
      </w:r>
      <w:r>
        <w:t xml:space="preserve"> at 5992-93, para. 126 (noting the importance of “</w:t>
      </w:r>
      <w:r w:rsidRPr="00A73554">
        <w:t>maintaining objective</w:t>
      </w:r>
      <w:r>
        <w:t xml:space="preserve"> </w:t>
      </w:r>
      <w:r w:rsidRPr="00A73554">
        <w:t>criteria that will provide sufficient assurance that letters of credit issued</w:t>
      </w:r>
      <w:r>
        <w:t xml:space="preserve"> [to Auction support recipients] will be honored”).</w:t>
      </w:r>
    </w:p>
  </w:footnote>
  <w:footnote w:id="26">
    <w:p w:rsidR="006829D8" w:rsidRPr="00DC043C" w:rsidP="006829D8" w14:paraId="26FC84C5" w14:textId="77777777">
      <w:pPr>
        <w:pStyle w:val="FootnoteText"/>
      </w:pPr>
      <w:r>
        <w:rPr>
          <w:rStyle w:val="FootnoteReference"/>
        </w:rPr>
        <w:footnoteRef/>
      </w:r>
      <w:r>
        <w:t xml:space="preserve"> </w:t>
      </w:r>
      <w:r>
        <w:rPr>
          <w:i/>
          <w:iCs/>
        </w:rPr>
        <w:t xml:space="preserve">See DPAC Petition </w:t>
      </w:r>
      <w:r>
        <w:t xml:space="preserve">at 3, n.14 (noting that the bank from which DPAC planned to obtain its new LOC, after the Bank of Hawaii’s Weiss bank safety rating fell below B-, also had its Weiss bank safety rating fall below a 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CEDD43" w14:textId="50AF4A8A">
    <w:pPr>
      <w:pStyle w:val="Header"/>
      <w:rPr>
        <w:b w:val="0"/>
      </w:rPr>
    </w:pPr>
    <w:r>
      <w:tab/>
      <w:t>Federal Communications Commission</w:t>
    </w:r>
    <w:r>
      <w:tab/>
    </w:r>
    <w:r w:rsidR="00883D52">
      <w:t>DA 23-513</w:t>
    </w:r>
  </w:p>
  <w:p w:rsidR="00D25FB5" w:rsidRPr="006829D8" w:rsidP="006829D8" w14:paraId="7CBCF049" w14:textId="386ECD4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0EB766" w14:textId="657849D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83D52">
      <w:rPr>
        <w:spacing w:val="-2"/>
      </w:rPr>
      <w:t>DA 23-513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D8"/>
    <w:rsid w:val="00036039"/>
    <w:rsid w:val="00037F90"/>
    <w:rsid w:val="0005057E"/>
    <w:rsid w:val="000875BF"/>
    <w:rsid w:val="00096D8C"/>
    <w:rsid w:val="000A15CF"/>
    <w:rsid w:val="000C0B65"/>
    <w:rsid w:val="000E05FE"/>
    <w:rsid w:val="000E3D42"/>
    <w:rsid w:val="00122BD5"/>
    <w:rsid w:val="00133C02"/>
    <w:rsid w:val="00133F79"/>
    <w:rsid w:val="00181AA3"/>
    <w:rsid w:val="0019242C"/>
    <w:rsid w:val="00194A66"/>
    <w:rsid w:val="001B083B"/>
    <w:rsid w:val="001D6BCF"/>
    <w:rsid w:val="001E01CA"/>
    <w:rsid w:val="00275CF5"/>
    <w:rsid w:val="0028301F"/>
    <w:rsid w:val="00285017"/>
    <w:rsid w:val="002A2D2E"/>
    <w:rsid w:val="002C00E8"/>
    <w:rsid w:val="002D0553"/>
    <w:rsid w:val="00343749"/>
    <w:rsid w:val="003660ED"/>
    <w:rsid w:val="003B0550"/>
    <w:rsid w:val="003B3ADA"/>
    <w:rsid w:val="003B694F"/>
    <w:rsid w:val="003F171C"/>
    <w:rsid w:val="00412FC5"/>
    <w:rsid w:val="00422276"/>
    <w:rsid w:val="004227FB"/>
    <w:rsid w:val="004242F1"/>
    <w:rsid w:val="00445A00"/>
    <w:rsid w:val="00451B0F"/>
    <w:rsid w:val="00480EC3"/>
    <w:rsid w:val="00481109"/>
    <w:rsid w:val="004C2EE3"/>
    <w:rsid w:val="004E4A22"/>
    <w:rsid w:val="00511968"/>
    <w:rsid w:val="0055614C"/>
    <w:rsid w:val="00566D06"/>
    <w:rsid w:val="00582DAC"/>
    <w:rsid w:val="005E14C2"/>
    <w:rsid w:val="00607BA5"/>
    <w:rsid w:val="0061180A"/>
    <w:rsid w:val="00626EB6"/>
    <w:rsid w:val="0063000C"/>
    <w:rsid w:val="006516DF"/>
    <w:rsid w:val="00655D03"/>
    <w:rsid w:val="006829D8"/>
    <w:rsid w:val="00683388"/>
    <w:rsid w:val="00683F84"/>
    <w:rsid w:val="00691864"/>
    <w:rsid w:val="006A6A81"/>
    <w:rsid w:val="006C4319"/>
    <w:rsid w:val="006D6D46"/>
    <w:rsid w:val="006F6C74"/>
    <w:rsid w:val="006F7393"/>
    <w:rsid w:val="0070224F"/>
    <w:rsid w:val="007050F4"/>
    <w:rsid w:val="007115F7"/>
    <w:rsid w:val="0071679A"/>
    <w:rsid w:val="00785689"/>
    <w:rsid w:val="00786249"/>
    <w:rsid w:val="0079754B"/>
    <w:rsid w:val="007A1E6D"/>
    <w:rsid w:val="007B0EB2"/>
    <w:rsid w:val="007F4A5D"/>
    <w:rsid w:val="00810B6F"/>
    <w:rsid w:val="00822CE0"/>
    <w:rsid w:val="00841AB1"/>
    <w:rsid w:val="008744DB"/>
    <w:rsid w:val="00883D52"/>
    <w:rsid w:val="008B1908"/>
    <w:rsid w:val="008C2A06"/>
    <w:rsid w:val="008C68F1"/>
    <w:rsid w:val="00921803"/>
    <w:rsid w:val="00926503"/>
    <w:rsid w:val="009726D8"/>
    <w:rsid w:val="009C3CE7"/>
    <w:rsid w:val="009D7308"/>
    <w:rsid w:val="009F76DB"/>
    <w:rsid w:val="00A306E7"/>
    <w:rsid w:val="00A32C3B"/>
    <w:rsid w:val="00A45F4F"/>
    <w:rsid w:val="00A600A9"/>
    <w:rsid w:val="00A73554"/>
    <w:rsid w:val="00AA55B7"/>
    <w:rsid w:val="00AA5B9E"/>
    <w:rsid w:val="00AB2407"/>
    <w:rsid w:val="00AB53DF"/>
    <w:rsid w:val="00AF60E2"/>
    <w:rsid w:val="00B0199B"/>
    <w:rsid w:val="00B03C2A"/>
    <w:rsid w:val="00B07E5C"/>
    <w:rsid w:val="00B811F7"/>
    <w:rsid w:val="00BA5DC6"/>
    <w:rsid w:val="00BA6196"/>
    <w:rsid w:val="00BB3C3D"/>
    <w:rsid w:val="00BC6D8C"/>
    <w:rsid w:val="00C20B18"/>
    <w:rsid w:val="00C34006"/>
    <w:rsid w:val="00C36B4C"/>
    <w:rsid w:val="00C426B1"/>
    <w:rsid w:val="00C43DCE"/>
    <w:rsid w:val="00C66160"/>
    <w:rsid w:val="00C721AC"/>
    <w:rsid w:val="00C90D6A"/>
    <w:rsid w:val="00C9299B"/>
    <w:rsid w:val="00CA247E"/>
    <w:rsid w:val="00CA6D21"/>
    <w:rsid w:val="00CC72B6"/>
    <w:rsid w:val="00D0218D"/>
    <w:rsid w:val="00D21840"/>
    <w:rsid w:val="00D25FB5"/>
    <w:rsid w:val="00D3563D"/>
    <w:rsid w:val="00D44223"/>
    <w:rsid w:val="00D70794"/>
    <w:rsid w:val="00D959EB"/>
    <w:rsid w:val="00DA2529"/>
    <w:rsid w:val="00DB130A"/>
    <w:rsid w:val="00DB2EBB"/>
    <w:rsid w:val="00DC043C"/>
    <w:rsid w:val="00DC10A1"/>
    <w:rsid w:val="00DC655F"/>
    <w:rsid w:val="00DD0B59"/>
    <w:rsid w:val="00DD7EBD"/>
    <w:rsid w:val="00DF62B6"/>
    <w:rsid w:val="00E07225"/>
    <w:rsid w:val="00E5409F"/>
    <w:rsid w:val="00E74753"/>
    <w:rsid w:val="00EE5AD3"/>
    <w:rsid w:val="00EE6488"/>
    <w:rsid w:val="00F021FA"/>
    <w:rsid w:val="00F62E97"/>
    <w:rsid w:val="00F64209"/>
    <w:rsid w:val="00F6751B"/>
    <w:rsid w:val="00F93BF5"/>
    <w:rsid w:val="00FF7535"/>
    <w:rsid w:val="2214DD48"/>
    <w:rsid w:val="2CAF735A"/>
    <w:rsid w:val="4E9FC3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4AC4CA"/>
  <w15:chartTrackingRefBased/>
  <w15:docId w15:val="{911D6056-B47F-44A0-9E83-E14BA13F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7535"/>
    <w:pPr>
      <w:widowControl w:val="0"/>
    </w:pPr>
    <w:rPr>
      <w:snapToGrid w:val="0"/>
      <w:kern w:val="28"/>
      <w:sz w:val="22"/>
    </w:rPr>
  </w:style>
  <w:style w:type="paragraph" w:styleId="Heading1">
    <w:name w:val="heading 1"/>
    <w:basedOn w:val="Normal"/>
    <w:next w:val="ParaNum"/>
    <w:link w:val="Heading1Char"/>
    <w:qFormat/>
    <w:rsid w:val="00FF75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F7535"/>
    <w:pPr>
      <w:keepNext/>
      <w:numPr>
        <w:ilvl w:val="1"/>
        <w:numId w:val="3"/>
      </w:numPr>
      <w:spacing w:after="120"/>
      <w:outlineLvl w:val="1"/>
    </w:pPr>
    <w:rPr>
      <w:b/>
    </w:rPr>
  </w:style>
  <w:style w:type="paragraph" w:styleId="Heading3">
    <w:name w:val="heading 3"/>
    <w:basedOn w:val="Normal"/>
    <w:next w:val="ParaNum"/>
    <w:qFormat/>
    <w:rsid w:val="00FF7535"/>
    <w:pPr>
      <w:keepNext/>
      <w:numPr>
        <w:ilvl w:val="2"/>
        <w:numId w:val="3"/>
      </w:numPr>
      <w:tabs>
        <w:tab w:val="left" w:pos="2160"/>
      </w:tabs>
      <w:spacing w:after="120"/>
      <w:outlineLvl w:val="2"/>
    </w:pPr>
    <w:rPr>
      <w:b/>
    </w:rPr>
  </w:style>
  <w:style w:type="paragraph" w:styleId="Heading4">
    <w:name w:val="heading 4"/>
    <w:basedOn w:val="Normal"/>
    <w:next w:val="ParaNum"/>
    <w:qFormat/>
    <w:rsid w:val="00FF7535"/>
    <w:pPr>
      <w:keepNext/>
      <w:numPr>
        <w:ilvl w:val="3"/>
        <w:numId w:val="3"/>
      </w:numPr>
      <w:tabs>
        <w:tab w:val="left" w:pos="2880"/>
      </w:tabs>
      <w:spacing w:after="120"/>
      <w:outlineLvl w:val="3"/>
    </w:pPr>
    <w:rPr>
      <w:b/>
    </w:rPr>
  </w:style>
  <w:style w:type="paragraph" w:styleId="Heading5">
    <w:name w:val="heading 5"/>
    <w:basedOn w:val="Normal"/>
    <w:next w:val="ParaNum"/>
    <w:qFormat/>
    <w:rsid w:val="00FF753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F7535"/>
    <w:pPr>
      <w:numPr>
        <w:ilvl w:val="5"/>
        <w:numId w:val="3"/>
      </w:numPr>
      <w:tabs>
        <w:tab w:val="left" w:pos="4320"/>
      </w:tabs>
      <w:spacing w:after="120"/>
      <w:outlineLvl w:val="5"/>
    </w:pPr>
    <w:rPr>
      <w:b/>
    </w:rPr>
  </w:style>
  <w:style w:type="paragraph" w:styleId="Heading7">
    <w:name w:val="heading 7"/>
    <w:basedOn w:val="Normal"/>
    <w:next w:val="ParaNum"/>
    <w:qFormat/>
    <w:rsid w:val="00FF753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F753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F75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F75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535"/>
  </w:style>
  <w:style w:type="paragraph" w:customStyle="1" w:styleId="ParaNum">
    <w:name w:val="ParaNum"/>
    <w:basedOn w:val="Normal"/>
    <w:link w:val="ParaNumChar"/>
    <w:rsid w:val="00FF7535"/>
    <w:pPr>
      <w:numPr>
        <w:numId w:val="2"/>
      </w:numPr>
      <w:tabs>
        <w:tab w:val="clear" w:pos="1080"/>
        <w:tab w:val="num" w:pos="1440"/>
      </w:tabs>
      <w:spacing w:after="120"/>
    </w:pPr>
  </w:style>
  <w:style w:type="paragraph" w:styleId="EndnoteText">
    <w:name w:val="endnote text"/>
    <w:basedOn w:val="Normal"/>
    <w:semiHidden/>
    <w:rsid w:val="00FF7535"/>
    <w:rPr>
      <w:sz w:val="20"/>
    </w:rPr>
  </w:style>
  <w:style w:type="character" w:styleId="EndnoteReference">
    <w:name w:val="endnote reference"/>
    <w:semiHidden/>
    <w:rsid w:val="00FF7535"/>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FF753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F7535"/>
    <w:rPr>
      <w:rFonts w:ascii="Times New Roman" w:hAnsi="Times New Roman"/>
      <w:dstrike w:val="0"/>
      <w:color w:val="auto"/>
      <w:sz w:val="20"/>
      <w:vertAlign w:val="superscript"/>
    </w:rPr>
  </w:style>
  <w:style w:type="paragraph" w:styleId="TOC1">
    <w:name w:val="toc 1"/>
    <w:basedOn w:val="Normal"/>
    <w:next w:val="Normal"/>
    <w:semiHidden/>
    <w:rsid w:val="00FF75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F7535"/>
    <w:pPr>
      <w:tabs>
        <w:tab w:val="left" w:pos="720"/>
        <w:tab w:val="right" w:leader="dot" w:pos="9360"/>
      </w:tabs>
      <w:suppressAutoHyphens/>
      <w:ind w:left="720" w:right="720" w:hanging="360"/>
    </w:pPr>
    <w:rPr>
      <w:noProof/>
    </w:rPr>
  </w:style>
  <w:style w:type="paragraph" w:styleId="TOC3">
    <w:name w:val="toc 3"/>
    <w:basedOn w:val="Normal"/>
    <w:next w:val="Normal"/>
    <w:semiHidden/>
    <w:rsid w:val="00FF75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F75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F75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F75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F75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F75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F75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F7535"/>
    <w:pPr>
      <w:tabs>
        <w:tab w:val="right" w:pos="9360"/>
      </w:tabs>
      <w:suppressAutoHyphens/>
    </w:pPr>
  </w:style>
  <w:style w:type="character" w:customStyle="1" w:styleId="EquationCaption">
    <w:name w:val="_Equation Caption"/>
    <w:rsid w:val="00FF7535"/>
  </w:style>
  <w:style w:type="paragraph" w:styleId="Header">
    <w:name w:val="header"/>
    <w:basedOn w:val="Normal"/>
    <w:autoRedefine/>
    <w:rsid w:val="00FF7535"/>
    <w:pPr>
      <w:tabs>
        <w:tab w:val="center" w:pos="4680"/>
        <w:tab w:val="right" w:pos="9360"/>
      </w:tabs>
    </w:pPr>
    <w:rPr>
      <w:b/>
    </w:rPr>
  </w:style>
  <w:style w:type="paragraph" w:styleId="Footer">
    <w:name w:val="footer"/>
    <w:basedOn w:val="Normal"/>
    <w:link w:val="FooterChar"/>
    <w:uiPriority w:val="99"/>
    <w:rsid w:val="00FF7535"/>
    <w:pPr>
      <w:tabs>
        <w:tab w:val="center" w:pos="4320"/>
        <w:tab w:val="right" w:pos="8640"/>
      </w:tabs>
    </w:pPr>
  </w:style>
  <w:style w:type="character" w:styleId="PageNumber">
    <w:name w:val="page number"/>
    <w:basedOn w:val="DefaultParagraphFont"/>
    <w:rsid w:val="00FF7535"/>
  </w:style>
  <w:style w:type="paragraph" w:styleId="BlockText">
    <w:name w:val="Block Text"/>
    <w:basedOn w:val="Normal"/>
    <w:rsid w:val="00FF7535"/>
    <w:pPr>
      <w:spacing w:after="240"/>
      <w:ind w:left="1440" w:right="1440"/>
    </w:pPr>
  </w:style>
  <w:style w:type="paragraph" w:customStyle="1" w:styleId="Paratitle">
    <w:name w:val="Para title"/>
    <w:basedOn w:val="Normal"/>
    <w:rsid w:val="00FF7535"/>
    <w:pPr>
      <w:tabs>
        <w:tab w:val="center" w:pos="9270"/>
      </w:tabs>
      <w:spacing w:after="240"/>
    </w:pPr>
    <w:rPr>
      <w:spacing w:val="-2"/>
    </w:rPr>
  </w:style>
  <w:style w:type="paragraph" w:customStyle="1" w:styleId="Bullet">
    <w:name w:val="Bullet"/>
    <w:basedOn w:val="Normal"/>
    <w:rsid w:val="00FF7535"/>
    <w:pPr>
      <w:tabs>
        <w:tab w:val="left" w:pos="2160"/>
      </w:tabs>
      <w:spacing w:after="220"/>
      <w:ind w:left="2160" w:hanging="720"/>
    </w:pPr>
  </w:style>
  <w:style w:type="paragraph" w:customStyle="1" w:styleId="TableFormat">
    <w:name w:val="TableFormat"/>
    <w:basedOn w:val="Bullet"/>
    <w:rsid w:val="00FF7535"/>
    <w:pPr>
      <w:tabs>
        <w:tab w:val="clear" w:pos="2160"/>
        <w:tab w:val="left" w:pos="5040"/>
      </w:tabs>
      <w:ind w:left="5040" w:hanging="3600"/>
    </w:pPr>
  </w:style>
  <w:style w:type="paragraph" w:customStyle="1" w:styleId="TOCTitle">
    <w:name w:val="TOC Title"/>
    <w:basedOn w:val="Normal"/>
    <w:rsid w:val="00FF75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7535"/>
    <w:pPr>
      <w:jc w:val="center"/>
    </w:pPr>
    <w:rPr>
      <w:rFonts w:ascii="Times New Roman Bold" w:hAnsi="Times New Roman Bold"/>
      <w:b/>
      <w:bCs/>
      <w:caps/>
      <w:szCs w:val="22"/>
    </w:rPr>
  </w:style>
  <w:style w:type="character" w:styleId="Hyperlink">
    <w:name w:val="Hyperlink"/>
    <w:rsid w:val="00FF7535"/>
    <w:rPr>
      <w:color w:val="0000FF"/>
      <w:u w:val="single"/>
    </w:rPr>
  </w:style>
  <w:style w:type="character" w:customStyle="1" w:styleId="FooterChar">
    <w:name w:val="Footer Char"/>
    <w:link w:val="Footer"/>
    <w:uiPriority w:val="99"/>
    <w:rsid w:val="00FF7535"/>
    <w:rPr>
      <w:snapToGrid w:val="0"/>
      <w:kern w:val="28"/>
      <w:sz w:val="22"/>
    </w:rPr>
  </w:style>
  <w:style w:type="character" w:customStyle="1" w:styleId="Heading1Char">
    <w:name w:val="Heading 1 Char"/>
    <w:link w:val="Heading1"/>
    <w:rsid w:val="006829D8"/>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6829D8"/>
  </w:style>
  <w:style w:type="character" w:customStyle="1" w:styleId="ParaNumChar">
    <w:name w:val="ParaNum Char"/>
    <w:link w:val="ParaNum"/>
    <w:locked/>
    <w:rsid w:val="006829D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