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31FB8" w:rsidP="00131FB8" w14:paraId="06EC414B" w14:textId="3712AC10">
      <w:pPr>
        <w:tabs>
          <w:tab w:val="left" w:pos="6480"/>
        </w:tabs>
        <w:ind w:left="5760" w:firstLine="720"/>
        <w:rPr>
          <w:sz w:val="20"/>
        </w:rPr>
      </w:pPr>
    </w:p>
    <w:p w:rsidR="009A3195" w:rsidRPr="009A3195" w:rsidP="009A3195" w14:paraId="01CE9E75" w14:textId="7AB2DA33">
      <w:pPr>
        <w:tabs>
          <w:tab w:val="left" w:pos="-1440"/>
          <w:tab w:val="left" w:pos="-720"/>
          <w:tab w:val="left" w:pos="4788"/>
          <w:tab w:val="left" w:pos="5040"/>
          <w:tab w:val="left" w:pos="6480"/>
        </w:tabs>
        <w:suppressAutoHyphens/>
        <w:outlineLvl w:val="0"/>
        <w:rPr>
          <w:b/>
          <w:snapToGrid/>
          <w:color w:val="000000"/>
          <w:sz w:val="22"/>
          <w:szCs w:val="22"/>
        </w:rPr>
      </w:pPr>
      <w:r>
        <w:rPr>
          <w:b/>
          <w:color w:val="000000"/>
        </w:rPr>
        <w:tab/>
      </w:r>
      <w:r>
        <w:rPr>
          <w:b/>
          <w:color w:val="000000"/>
        </w:rPr>
        <w:tab/>
      </w:r>
      <w:r>
        <w:rPr>
          <w:b/>
          <w:color w:val="000000"/>
        </w:rPr>
        <w:tab/>
      </w:r>
      <w:r w:rsidRPr="009A3195">
        <w:rPr>
          <w:b/>
          <w:color w:val="000000"/>
          <w:sz w:val="22"/>
          <w:szCs w:val="22"/>
        </w:rPr>
        <w:t>DA 23-</w:t>
      </w:r>
      <w:r w:rsidR="00732805">
        <w:rPr>
          <w:b/>
          <w:color w:val="000000"/>
          <w:sz w:val="22"/>
          <w:szCs w:val="22"/>
        </w:rPr>
        <w:t>542</w:t>
      </w:r>
    </w:p>
    <w:p w:rsidR="009A3195" w:rsidRPr="009A3195" w:rsidP="009A3195" w14:paraId="6EA19564" w14:textId="77777777">
      <w:pPr>
        <w:tabs>
          <w:tab w:val="left" w:pos="-1440"/>
          <w:tab w:val="left" w:pos="-720"/>
          <w:tab w:val="left" w:pos="4788"/>
          <w:tab w:val="left" w:pos="5040"/>
          <w:tab w:val="left" w:pos="6480"/>
        </w:tabs>
        <w:suppressAutoHyphens/>
        <w:outlineLvl w:val="0"/>
        <w:rPr>
          <w:i/>
          <w:color w:val="000000"/>
          <w:sz w:val="22"/>
          <w:szCs w:val="22"/>
        </w:rPr>
      </w:pPr>
      <w:r w:rsidRPr="009A3195">
        <w:rPr>
          <w:color w:val="000000"/>
          <w:sz w:val="22"/>
          <w:szCs w:val="22"/>
        </w:rPr>
        <w:tab/>
      </w:r>
      <w:r w:rsidRPr="009A3195">
        <w:rPr>
          <w:color w:val="000000"/>
          <w:sz w:val="22"/>
          <w:szCs w:val="22"/>
        </w:rPr>
        <w:tab/>
      </w:r>
      <w:r w:rsidRPr="009A3195">
        <w:rPr>
          <w:color w:val="000000"/>
          <w:sz w:val="22"/>
          <w:szCs w:val="22"/>
        </w:rPr>
        <w:tab/>
      </w:r>
      <w:r w:rsidRPr="009A3195">
        <w:rPr>
          <w:i/>
          <w:color w:val="000000"/>
          <w:sz w:val="22"/>
          <w:szCs w:val="22"/>
        </w:rPr>
        <w:t>In Reply Refer to:</w:t>
      </w:r>
    </w:p>
    <w:p w:rsidR="009A3195" w:rsidRPr="009A3195" w:rsidP="009A3195" w14:paraId="47ED0196" w14:textId="5D899E4A">
      <w:pPr>
        <w:tabs>
          <w:tab w:val="left" w:pos="0"/>
          <w:tab w:val="left" w:pos="6480"/>
        </w:tabs>
        <w:suppressAutoHyphens/>
        <w:outlineLvl w:val="0"/>
        <w:rPr>
          <w:color w:val="000000"/>
          <w:sz w:val="22"/>
          <w:szCs w:val="22"/>
        </w:rPr>
      </w:pPr>
      <w:r w:rsidRPr="009A3195">
        <w:rPr>
          <w:color w:val="000000"/>
          <w:sz w:val="22"/>
          <w:szCs w:val="22"/>
        </w:rPr>
        <w:tab/>
      </w:r>
      <w:r w:rsidRPr="009A3195">
        <w:rPr>
          <w:b/>
          <w:sz w:val="22"/>
          <w:szCs w:val="22"/>
        </w:rPr>
        <w:t>1800B3-ALV</w:t>
      </w:r>
    </w:p>
    <w:p w:rsidR="009A3195" w:rsidRPr="009A3195" w:rsidP="009A3195" w14:paraId="6A62A364" w14:textId="2AC89A81">
      <w:pPr>
        <w:tabs>
          <w:tab w:val="left" w:pos="0"/>
        </w:tabs>
        <w:suppressAutoHyphens/>
        <w:outlineLvl w:val="0"/>
        <w:rPr>
          <w:b/>
          <w:color w:val="000000"/>
          <w:sz w:val="22"/>
          <w:szCs w:val="22"/>
          <w:u w:val="single"/>
        </w:rPr>
      </w:pP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r>
      <w:r w:rsidRPr="009A3195">
        <w:rPr>
          <w:color w:val="000000"/>
          <w:sz w:val="22"/>
          <w:szCs w:val="22"/>
        </w:rPr>
        <w:tab/>
        <w:t xml:space="preserve">Released: </w:t>
      </w:r>
      <w:r w:rsidRPr="009A3195">
        <w:rPr>
          <w:b/>
          <w:color w:val="000000"/>
          <w:sz w:val="22"/>
          <w:szCs w:val="22"/>
        </w:rPr>
        <w:t xml:space="preserve">June </w:t>
      </w:r>
      <w:r w:rsidR="00D628E6">
        <w:rPr>
          <w:b/>
          <w:color w:val="000000"/>
          <w:sz w:val="22"/>
          <w:szCs w:val="22"/>
        </w:rPr>
        <w:t>23</w:t>
      </w:r>
      <w:r w:rsidRPr="009A3195">
        <w:rPr>
          <w:b/>
          <w:color w:val="000000"/>
          <w:sz w:val="22"/>
          <w:szCs w:val="22"/>
        </w:rPr>
        <w:t>, 2023</w:t>
      </w:r>
    </w:p>
    <w:p w:rsidR="00A558C5" w:rsidRPr="009A3195" w:rsidP="00B23D20" w14:paraId="42EDB068" w14:textId="69F15AA1">
      <w:pPr>
        <w:tabs>
          <w:tab w:val="left" w:pos="6480"/>
        </w:tabs>
        <w:ind w:firstLine="720"/>
        <w:rPr>
          <w:sz w:val="22"/>
          <w:szCs w:val="22"/>
        </w:rPr>
      </w:pPr>
      <w:r w:rsidRPr="009A3195">
        <w:rPr>
          <w:sz w:val="22"/>
          <w:szCs w:val="22"/>
        </w:rPr>
        <w:tab/>
      </w:r>
    </w:p>
    <w:p w:rsidR="00A558C5" w:rsidP="00131FB8" w14:paraId="01E186B3" w14:textId="77777777">
      <w:pPr>
        <w:rPr>
          <w:sz w:val="22"/>
          <w:szCs w:val="22"/>
        </w:rPr>
      </w:pPr>
    </w:p>
    <w:p w:rsidR="00A558C5" w:rsidP="002E4511" w14:paraId="032FB2E8" w14:textId="28B8E039">
      <w:pPr>
        <w:rPr>
          <w:sz w:val="22"/>
          <w:szCs w:val="22"/>
        </w:rPr>
      </w:pPr>
      <w:r>
        <w:rPr>
          <w:sz w:val="22"/>
          <w:szCs w:val="22"/>
        </w:rPr>
        <w:t xml:space="preserve">Fort Myers Broadcasting Company </w:t>
      </w:r>
      <w:hyperlink r:id="rId5" w:history="1"/>
    </w:p>
    <w:p w:rsidR="002E4511" w:rsidP="002E4511" w14:paraId="3C6E6FEE" w14:textId="4F409F6B">
      <w:pPr>
        <w:rPr>
          <w:sz w:val="22"/>
          <w:szCs w:val="22"/>
        </w:rPr>
      </w:pPr>
      <w:r>
        <w:rPr>
          <w:sz w:val="22"/>
          <w:szCs w:val="22"/>
        </w:rPr>
        <w:t>Jennifer A. Johnson, Esq.</w:t>
      </w:r>
    </w:p>
    <w:p w:rsidR="002E4511" w:rsidP="002E4511" w14:paraId="7D309992" w14:textId="3D29DAC5">
      <w:pPr>
        <w:rPr>
          <w:sz w:val="22"/>
          <w:szCs w:val="22"/>
        </w:rPr>
      </w:pPr>
      <w:r>
        <w:rPr>
          <w:sz w:val="22"/>
          <w:szCs w:val="22"/>
        </w:rPr>
        <w:t>Covington &amp; Burling LLP</w:t>
      </w:r>
    </w:p>
    <w:p w:rsidR="002E4511" w:rsidP="002E4511" w14:paraId="09BA7EAD" w14:textId="138D86FB">
      <w:pPr>
        <w:rPr>
          <w:sz w:val="22"/>
          <w:szCs w:val="22"/>
        </w:rPr>
      </w:pPr>
      <w:r>
        <w:rPr>
          <w:sz w:val="22"/>
          <w:szCs w:val="22"/>
        </w:rPr>
        <w:t>One City</w:t>
      </w:r>
      <w:r w:rsidR="00F53E8B">
        <w:rPr>
          <w:sz w:val="22"/>
          <w:szCs w:val="22"/>
        </w:rPr>
        <w:t xml:space="preserve"> </w:t>
      </w:r>
      <w:r>
        <w:rPr>
          <w:sz w:val="22"/>
          <w:szCs w:val="22"/>
        </w:rPr>
        <w:t>Center</w:t>
      </w:r>
    </w:p>
    <w:p w:rsidR="002E4511" w:rsidP="002E4511" w14:paraId="25227258" w14:textId="720900E9">
      <w:pPr>
        <w:rPr>
          <w:sz w:val="22"/>
          <w:szCs w:val="22"/>
        </w:rPr>
      </w:pPr>
      <w:r>
        <w:rPr>
          <w:sz w:val="22"/>
          <w:szCs w:val="22"/>
        </w:rPr>
        <w:t>850 Tenth Street NW</w:t>
      </w:r>
    </w:p>
    <w:p w:rsidR="002E4511" w:rsidP="002E4511" w14:paraId="5E74E7C6" w14:textId="37E57CC0">
      <w:pPr>
        <w:rPr>
          <w:sz w:val="22"/>
          <w:szCs w:val="22"/>
        </w:rPr>
      </w:pPr>
      <w:r>
        <w:rPr>
          <w:sz w:val="22"/>
          <w:szCs w:val="22"/>
        </w:rPr>
        <w:t>Washington, DC 20001</w:t>
      </w:r>
    </w:p>
    <w:p w:rsidR="002E4511" w:rsidP="002E4511" w14:paraId="79EFA032" w14:textId="0DC1DBFD">
      <w:pPr>
        <w:rPr>
          <w:sz w:val="22"/>
          <w:szCs w:val="22"/>
        </w:rPr>
      </w:pPr>
      <w:r>
        <w:rPr>
          <w:sz w:val="22"/>
          <w:szCs w:val="22"/>
        </w:rPr>
        <w:t>(sent by electronic mail to: jjohnson@cov.com)</w:t>
      </w:r>
    </w:p>
    <w:p w:rsidR="0026010A" w:rsidP="00131FB8" w14:paraId="7DF8FF7F" w14:textId="77777777">
      <w:pPr>
        <w:rPr>
          <w:sz w:val="22"/>
          <w:szCs w:val="22"/>
        </w:rPr>
      </w:pPr>
    </w:p>
    <w:p w:rsidR="00C959C6" w:rsidP="00131FB8" w14:paraId="5CB7CAC4" w14:textId="4C661490">
      <w:pPr>
        <w:rPr>
          <w:sz w:val="22"/>
          <w:szCs w:val="22"/>
        </w:rPr>
      </w:pPr>
      <w:r>
        <w:rPr>
          <w:sz w:val="22"/>
          <w:szCs w:val="22"/>
        </w:rPr>
        <w:t>Sumarrase, Inc.</w:t>
      </w:r>
    </w:p>
    <w:p w:rsidR="00ED63A5" w:rsidP="00131FB8" w14:paraId="6A2633CB" w14:textId="3A96652D">
      <w:pPr>
        <w:rPr>
          <w:sz w:val="22"/>
          <w:szCs w:val="22"/>
        </w:rPr>
      </w:pPr>
      <w:r>
        <w:rPr>
          <w:sz w:val="22"/>
          <w:szCs w:val="22"/>
        </w:rPr>
        <w:t>c/o Mr. Dwayne Williams</w:t>
      </w:r>
    </w:p>
    <w:p w:rsidR="00ED63A5" w:rsidP="00131FB8" w14:paraId="36B43302" w14:textId="1EFC4455">
      <w:pPr>
        <w:rPr>
          <w:sz w:val="22"/>
          <w:szCs w:val="22"/>
        </w:rPr>
      </w:pPr>
      <w:r>
        <w:rPr>
          <w:sz w:val="22"/>
          <w:szCs w:val="22"/>
        </w:rPr>
        <w:t>3507 Lee Blvd., Suite 254</w:t>
      </w:r>
    </w:p>
    <w:p w:rsidR="00ED63A5" w:rsidP="00131FB8" w14:paraId="4ED6354A" w14:textId="3A22FC82">
      <w:pPr>
        <w:rPr>
          <w:sz w:val="22"/>
          <w:szCs w:val="22"/>
        </w:rPr>
      </w:pPr>
      <w:r>
        <w:rPr>
          <w:sz w:val="22"/>
          <w:szCs w:val="22"/>
        </w:rPr>
        <w:t>Lehigh Acres, FL 33971</w:t>
      </w:r>
    </w:p>
    <w:p w:rsidR="0026010A" w:rsidP="00131FB8" w14:paraId="6B3DE5A2" w14:textId="245BBEAC">
      <w:pPr>
        <w:rPr>
          <w:sz w:val="22"/>
          <w:szCs w:val="22"/>
        </w:rPr>
      </w:pPr>
      <w:r>
        <w:rPr>
          <w:sz w:val="22"/>
          <w:szCs w:val="22"/>
        </w:rPr>
        <w:t xml:space="preserve">(sent by electronic mail to: </w:t>
      </w:r>
      <w:r w:rsidR="00155EF6">
        <w:rPr>
          <w:sz w:val="22"/>
          <w:szCs w:val="22"/>
        </w:rPr>
        <w:t>info@suga957.com</w:t>
      </w:r>
      <w:r>
        <w:rPr>
          <w:sz w:val="22"/>
          <w:szCs w:val="22"/>
        </w:rPr>
        <w:t>)</w:t>
      </w:r>
    </w:p>
    <w:p w:rsidR="00131FB8" w:rsidP="00131FB8" w14:paraId="3EE4FC85" w14:textId="4D039B97">
      <w:pPr>
        <w:rPr>
          <w:sz w:val="22"/>
          <w:szCs w:val="22"/>
        </w:rPr>
      </w:pPr>
    </w:p>
    <w:p w:rsidR="00C616AB" w:rsidRPr="008F1233" w:rsidP="00131FB8" w14:paraId="1E74DBD4" w14:textId="77777777">
      <w:pPr>
        <w:rPr>
          <w:sz w:val="22"/>
          <w:szCs w:val="22"/>
        </w:rPr>
      </w:pPr>
    </w:p>
    <w:p w:rsidR="00131FB8" w:rsidP="00131FB8" w14:paraId="71B843BE" w14:textId="3C17C4EC">
      <w:pPr>
        <w:tabs>
          <w:tab w:val="left" w:pos="0"/>
        </w:tabs>
        <w:suppressAutoHyphens/>
        <w:ind w:left="5040" w:hanging="5040"/>
        <w:rPr>
          <w:b/>
          <w:bCs/>
          <w:sz w:val="22"/>
          <w:szCs w:val="22"/>
        </w:rPr>
      </w:pPr>
      <w:r>
        <w:rPr>
          <w:sz w:val="22"/>
          <w:szCs w:val="22"/>
        </w:rPr>
        <w:t xml:space="preserve">                                                                    </w:t>
      </w:r>
      <w:r w:rsidRPr="000E1E3E">
        <w:rPr>
          <w:sz w:val="22"/>
          <w:szCs w:val="22"/>
        </w:rPr>
        <w:t>In re:</w:t>
      </w:r>
      <w:r w:rsidRPr="000E1E3E">
        <w:rPr>
          <w:sz w:val="22"/>
          <w:szCs w:val="22"/>
        </w:rPr>
        <w:tab/>
      </w:r>
      <w:r w:rsidRPr="00204266" w:rsidR="00204266">
        <w:rPr>
          <w:b/>
          <w:bCs/>
          <w:sz w:val="22"/>
          <w:szCs w:val="22"/>
        </w:rPr>
        <w:t>W</w:t>
      </w:r>
      <w:r w:rsidR="006D5997">
        <w:rPr>
          <w:b/>
          <w:bCs/>
          <w:sz w:val="22"/>
          <w:szCs w:val="22"/>
        </w:rPr>
        <w:t>23</w:t>
      </w:r>
      <w:r w:rsidR="00FF26DC">
        <w:rPr>
          <w:b/>
          <w:bCs/>
          <w:sz w:val="22"/>
          <w:szCs w:val="22"/>
        </w:rPr>
        <w:t>9CL</w:t>
      </w:r>
      <w:r w:rsidR="006D5997">
        <w:rPr>
          <w:b/>
          <w:bCs/>
          <w:sz w:val="22"/>
          <w:szCs w:val="22"/>
        </w:rPr>
        <w:t xml:space="preserve">, </w:t>
      </w:r>
      <w:r w:rsidR="00FF26DC">
        <w:rPr>
          <w:b/>
          <w:bCs/>
          <w:sz w:val="22"/>
          <w:szCs w:val="22"/>
        </w:rPr>
        <w:t>Golden Gate, FL</w:t>
      </w:r>
    </w:p>
    <w:p w:rsidR="00447BBC" w:rsidP="00131FB8" w14:paraId="76EA5D7C" w14:textId="6EF00717">
      <w:pPr>
        <w:tabs>
          <w:tab w:val="left" w:pos="0"/>
        </w:tabs>
        <w:suppressAutoHyphens/>
        <w:ind w:left="5040" w:hanging="5040"/>
        <w:rPr>
          <w:b/>
          <w:bCs/>
          <w:sz w:val="22"/>
          <w:szCs w:val="22"/>
        </w:rPr>
      </w:pPr>
      <w:r>
        <w:rPr>
          <w:b/>
          <w:bCs/>
          <w:sz w:val="22"/>
          <w:szCs w:val="22"/>
        </w:rPr>
        <w:tab/>
      </w:r>
      <w:r w:rsidRPr="00447BBC">
        <w:rPr>
          <w:b/>
          <w:bCs/>
          <w:sz w:val="22"/>
          <w:szCs w:val="22"/>
        </w:rPr>
        <w:t>Fort Myers Broadcasting Company</w:t>
      </w:r>
    </w:p>
    <w:p w:rsidR="00131FB8" w:rsidRPr="00C0276D" w:rsidP="00131FB8" w14:paraId="450BD087" w14:textId="79E73710">
      <w:pPr>
        <w:tabs>
          <w:tab w:val="left" w:pos="0"/>
        </w:tabs>
        <w:suppressAutoHyphens/>
        <w:ind w:left="5040" w:hanging="5040"/>
        <w:rPr>
          <w:sz w:val="22"/>
          <w:szCs w:val="22"/>
        </w:rPr>
      </w:pPr>
      <w:r>
        <w:rPr>
          <w:b/>
          <w:bCs/>
          <w:sz w:val="22"/>
          <w:szCs w:val="22"/>
        </w:rPr>
        <w:tab/>
      </w:r>
      <w:r w:rsidRPr="00C0276D">
        <w:rPr>
          <w:sz w:val="22"/>
          <w:szCs w:val="22"/>
        </w:rPr>
        <w:t xml:space="preserve">Facility ID No. </w:t>
      </w:r>
      <w:r w:rsidR="00FF26DC">
        <w:rPr>
          <w:sz w:val="22"/>
          <w:szCs w:val="22"/>
        </w:rPr>
        <w:t>139116</w:t>
      </w:r>
    </w:p>
    <w:p w:rsidR="00131FB8" w:rsidRPr="00C0276D" w:rsidP="00131FB8" w14:paraId="714B924C" w14:textId="1D23124E">
      <w:pPr>
        <w:tabs>
          <w:tab w:val="left" w:pos="0"/>
        </w:tabs>
        <w:suppressAutoHyphens/>
        <w:ind w:left="5040" w:hanging="5040"/>
        <w:rPr>
          <w:sz w:val="22"/>
          <w:szCs w:val="22"/>
        </w:rPr>
      </w:pPr>
      <w:r w:rsidRPr="00C0276D">
        <w:rPr>
          <w:sz w:val="22"/>
          <w:szCs w:val="22"/>
        </w:rPr>
        <w:tab/>
        <w:t xml:space="preserve">File No. </w:t>
      </w:r>
      <w:r w:rsidR="005A7C44">
        <w:t>0000120834</w:t>
      </w:r>
    </w:p>
    <w:p w:rsidR="00131FB8" w:rsidRPr="009853A3" w:rsidP="00131FB8" w14:paraId="7B3863D8" w14:textId="77777777">
      <w:pPr>
        <w:tabs>
          <w:tab w:val="left" w:pos="0"/>
        </w:tabs>
        <w:suppressAutoHyphens/>
        <w:ind w:left="5040" w:hanging="5040"/>
        <w:rPr>
          <w:b/>
          <w:bCs/>
          <w:sz w:val="22"/>
          <w:szCs w:val="22"/>
        </w:rPr>
      </w:pPr>
    </w:p>
    <w:p w:rsidR="00131FB8" w:rsidRPr="004337A2" w:rsidP="00CF3DDA" w14:paraId="255C8049" w14:textId="528346AE">
      <w:pPr>
        <w:tabs>
          <w:tab w:val="left" w:pos="0"/>
        </w:tabs>
        <w:suppressAutoHyphens/>
        <w:ind w:left="5040" w:hanging="5040"/>
        <w:rPr>
          <w:b/>
          <w:bCs/>
          <w:sz w:val="22"/>
          <w:szCs w:val="22"/>
        </w:rPr>
      </w:pPr>
      <w:r>
        <w:rPr>
          <w:b/>
          <w:bCs/>
          <w:sz w:val="22"/>
          <w:szCs w:val="22"/>
        </w:rPr>
        <w:tab/>
        <w:t xml:space="preserve">Application for License  </w:t>
      </w:r>
      <w:r w:rsidRPr="009853A3">
        <w:rPr>
          <w:b/>
          <w:bCs/>
          <w:sz w:val="22"/>
          <w:szCs w:val="22"/>
        </w:rPr>
        <w:tab/>
      </w:r>
    </w:p>
    <w:p w:rsidR="00131FB8" w:rsidRPr="00B15796" w:rsidP="00131FB8" w14:paraId="68B240FE" w14:textId="4EC7EAF1">
      <w:pPr>
        <w:tabs>
          <w:tab w:val="left" w:pos="0"/>
        </w:tabs>
        <w:suppressAutoHyphens/>
        <w:ind w:left="5040" w:hanging="5040"/>
        <w:rPr>
          <w:b/>
          <w:sz w:val="22"/>
          <w:szCs w:val="22"/>
        </w:rPr>
      </w:pPr>
      <w:r>
        <w:rPr>
          <w:sz w:val="22"/>
          <w:szCs w:val="22"/>
        </w:rPr>
        <w:tab/>
      </w:r>
      <w:r w:rsidRPr="00B15796">
        <w:rPr>
          <w:b/>
          <w:sz w:val="22"/>
          <w:szCs w:val="22"/>
        </w:rPr>
        <w:t xml:space="preserve">Petition </w:t>
      </w:r>
      <w:r>
        <w:rPr>
          <w:b/>
          <w:sz w:val="22"/>
          <w:szCs w:val="22"/>
        </w:rPr>
        <w:t>for Reconsideration</w:t>
      </w:r>
      <w:r w:rsidR="00051823">
        <w:rPr>
          <w:b/>
          <w:sz w:val="22"/>
          <w:szCs w:val="22"/>
        </w:rPr>
        <w:t>/Interference Complaint</w:t>
      </w:r>
    </w:p>
    <w:p w:rsidR="00131FB8" w:rsidRPr="008F1233" w:rsidP="00131FB8" w14:paraId="19742D43" w14:textId="77777777">
      <w:pPr>
        <w:tabs>
          <w:tab w:val="left" w:pos="4680"/>
          <w:tab w:val="left" w:pos="5040"/>
        </w:tabs>
        <w:rPr>
          <w:sz w:val="22"/>
          <w:szCs w:val="22"/>
        </w:rPr>
      </w:pPr>
      <w:r w:rsidRPr="008F1233">
        <w:rPr>
          <w:sz w:val="22"/>
          <w:szCs w:val="22"/>
        </w:rPr>
        <w:tab/>
      </w:r>
      <w:r w:rsidRPr="008F1233">
        <w:rPr>
          <w:sz w:val="22"/>
          <w:szCs w:val="22"/>
        </w:rPr>
        <w:tab/>
      </w:r>
    </w:p>
    <w:p w:rsidR="00131FB8" w:rsidP="00131FB8" w14:paraId="18F926C7" w14:textId="4CD4131D">
      <w:pPr>
        <w:tabs>
          <w:tab w:val="left" w:pos="6840"/>
        </w:tabs>
        <w:rPr>
          <w:sz w:val="22"/>
          <w:szCs w:val="22"/>
        </w:rPr>
      </w:pPr>
      <w:r>
        <w:rPr>
          <w:sz w:val="22"/>
          <w:szCs w:val="22"/>
        </w:rPr>
        <w:t xml:space="preserve">Dear </w:t>
      </w:r>
      <w:r w:rsidR="00A558C5">
        <w:rPr>
          <w:sz w:val="22"/>
          <w:szCs w:val="22"/>
        </w:rPr>
        <w:t>Counsel and Petitioner</w:t>
      </w:r>
      <w:r w:rsidRPr="008F5818">
        <w:rPr>
          <w:sz w:val="22"/>
          <w:szCs w:val="22"/>
        </w:rPr>
        <w:t>:</w:t>
      </w:r>
    </w:p>
    <w:p w:rsidR="00131FB8" w:rsidRPr="008F5818" w:rsidP="00131FB8" w14:paraId="2951660E" w14:textId="77777777">
      <w:pPr>
        <w:tabs>
          <w:tab w:val="left" w:pos="6840"/>
        </w:tabs>
        <w:rPr>
          <w:sz w:val="22"/>
          <w:szCs w:val="22"/>
        </w:rPr>
      </w:pPr>
    </w:p>
    <w:p w:rsidR="00131FB8" w:rsidRPr="00C80BAE" w:rsidP="00131FB8" w14:paraId="32C4DEAF" w14:textId="45CD1194">
      <w:pPr>
        <w:ind w:firstLine="720"/>
        <w:rPr>
          <w:snapToGrid/>
          <w:sz w:val="22"/>
          <w:szCs w:val="22"/>
        </w:rPr>
      </w:pPr>
      <w:r w:rsidRPr="008F5818">
        <w:rPr>
          <w:snapToGrid/>
          <w:sz w:val="22"/>
          <w:szCs w:val="22"/>
        </w:rPr>
        <w:t xml:space="preserve">We have before us </w:t>
      </w:r>
      <w:r w:rsidR="00A558C5">
        <w:rPr>
          <w:snapToGrid/>
          <w:sz w:val="22"/>
          <w:szCs w:val="22"/>
        </w:rPr>
        <w:t>a</w:t>
      </w:r>
      <w:r w:rsidR="00981D17">
        <w:rPr>
          <w:snapToGrid/>
          <w:sz w:val="22"/>
          <w:szCs w:val="22"/>
        </w:rPr>
        <w:t xml:space="preserve"> </w:t>
      </w:r>
      <w:r>
        <w:rPr>
          <w:snapToGrid/>
          <w:sz w:val="22"/>
          <w:szCs w:val="22"/>
        </w:rPr>
        <w:t xml:space="preserve">Petition for </w:t>
      </w:r>
      <w:r w:rsidRPr="00C80BAE">
        <w:rPr>
          <w:snapToGrid/>
          <w:sz w:val="22"/>
          <w:szCs w:val="22"/>
        </w:rPr>
        <w:t>Reconsideration (Petition), filed b</w:t>
      </w:r>
      <w:r w:rsidRPr="00C80BAE" w:rsidR="00D577FA">
        <w:rPr>
          <w:snapToGrid/>
          <w:sz w:val="22"/>
          <w:szCs w:val="22"/>
        </w:rPr>
        <w:t xml:space="preserve">y </w:t>
      </w:r>
      <w:r w:rsidRPr="00C80BAE" w:rsidR="00D577FA">
        <w:rPr>
          <w:sz w:val="22"/>
          <w:szCs w:val="22"/>
        </w:rPr>
        <w:t>Dwayne Williams d/b/a Sumar</w:t>
      </w:r>
      <w:r w:rsidR="00B333EF">
        <w:rPr>
          <w:sz w:val="22"/>
          <w:szCs w:val="22"/>
        </w:rPr>
        <w:t>r</w:t>
      </w:r>
      <w:r w:rsidRPr="00C80BAE" w:rsidR="00D577FA">
        <w:rPr>
          <w:sz w:val="22"/>
          <w:szCs w:val="22"/>
        </w:rPr>
        <w:t>ase, Inc. (</w:t>
      </w:r>
      <w:r w:rsidRPr="00C80BAE" w:rsidR="00D27D6C">
        <w:rPr>
          <w:sz w:val="22"/>
          <w:szCs w:val="22"/>
        </w:rPr>
        <w:t>Sumarrase</w:t>
      </w:r>
      <w:r w:rsidRPr="00C80BAE" w:rsidR="00D577FA">
        <w:rPr>
          <w:sz w:val="22"/>
          <w:szCs w:val="22"/>
        </w:rPr>
        <w:t>), licensee of WSGD-LP</w:t>
      </w:r>
      <w:r w:rsidRPr="00C80BAE">
        <w:rPr>
          <w:snapToGrid/>
          <w:sz w:val="22"/>
          <w:szCs w:val="22"/>
        </w:rPr>
        <w:t>,</w:t>
      </w:r>
      <w:r w:rsidRPr="00C80BAE" w:rsidR="00A558C5">
        <w:rPr>
          <w:snapToGrid/>
          <w:sz w:val="22"/>
          <w:szCs w:val="22"/>
        </w:rPr>
        <w:t xml:space="preserve"> </w:t>
      </w:r>
      <w:r w:rsidR="007B5AA3">
        <w:rPr>
          <w:snapToGrid/>
          <w:sz w:val="22"/>
          <w:szCs w:val="22"/>
        </w:rPr>
        <w:t xml:space="preserve">Lehigh Acres, Florida, </w:t>
      </w:r>
      <w:r w:rsidRPr="00C80BAE" w:rsidR="00A558C5">
        <w:rPr>
          <w:snapToGrid/>
          <w:sz w:val="22"/>
          <w:szCs w:val="22"/>
        </w:rPr>
        <w:t>and responsive pleadings.</w:t>
      </w:r>
      <w:r>
        <w:rPr>
          <w:rStyle w:val="FootnoteReference"/>
          <w:rFonts w:ascii="Times New Roman" w:hAnsi="Times New Roman"/>
          <w:snapToGrid/>
          <w:sz w:val="22"/>
          <w:szCs w:val="22"/>
        </w:rPr>
        <w:footnoteReference w:id="2"/>
      </w:r>
      <w:r w:rsidRPr="00C80BAE">
        <w:rPr>
          <w:snapToGrid/>
          <w:sz w:val="22"/>
          <w:szCs w:val="22"/>
        </w:rPr>
        <w:t xml:space="preserve"> </w:t>
      </w:r>
      <w:r w:rsidRPr="00C80BAE" w:rsidR="00A558C5">
        <w:rPr>
          <w:snapToGrid/>
          <w:sz w:val="22"/>
          <w:szCs w:val="22"/>
        </w:rPr>
        <w:t xml:space="preserve"> </w:t>
      </w:r>
      <w:r w:rsidRPr="00C80BAE" w:rsidR="00D27D6C">
        <w:rPr>
          <w:snapToGrid/>
          <w:sz w:val="22"/>
          <w:szCs w:val="22"/>
        </w:rPr>
        <w:t>Sumar</w:t>
      </w:r>
      <w:r w:rsidR="00B333EF">
        <w:rPr>
          <w:snapToGrid/>
          <w:sz w:val="22"/>
          <w:szCs w:val="22"/>
        </w:rPr>
        <w:t>r</w:t>
      </w:r>
      <w:r w:rsidRPr="00C80BAE" w:rsidR="00D27D6C">
        <w:rPr>
          <w:snapToGrid/>
          <w:sz w:val="22"/>
          <w:szCs w:val="22"/>
        </w:rPr>
        <w:t>ase</w:t>
      </w:r>
      <w:r w:rsidRPr="00C80BAE" w:rsidR="00982266">
        <w:rPr>
          <w:snapToGrid/>
          <w:sz w:val="22"/>
          <w:szCs w:val="22"/>
        </w:rPr>
        <w:t xml:space="preserve"> </w:t>
      </w:r>
      <w:r w:rsidRPr="00C80BAE">
        <w:rPr>
          <w:snapToGrid/>
          <w:sz w:val="22"/>
          <w:szCs w:val="22"/>
        </w:rPr>
        <w:t>seek</w:t>
      </w:r>
      <w:r w:rsidRPr="00C80BAE" w:rsidR="00982266">
        <w:rPr>
          <w:snapToGrid/>
          <w:sz w:val="22"/>
          <w:szCs w:val="22"/>
        </w:rPr>
        <w:t>s</w:t>
      </w:r>
      <w:r w:rsidRPr="00C80BAE">
        <w:rPr>
          <w:snapToGrid/>
          <w:sz w:val="22"/>
          <w:szCs w:val="22"/>
        </w:rPr>
        <w:t xml:space="preserve"> reconsideration of the</w:t>
      </w:r>
      <w:r w:rsidRPr="00C80BAE" w:rsidR="00A13651">
        <w:rPr>
          <w:snapToGrid/>
          <w:sz w:val="22"/>
          <w:szCs w:val="22"/>
        </w:rPr>
        <w:t xml:space="preserve"> </w:t>
      </w:r>
      <w:r w:rsidRPr="00C80BAE">
        <w:rPr>
          <w:snapToGrid/>
          <w:sz w:val="22"/>
          <w:szCs w:val="22"/>
        </w:rPr>
        <w:t xml:space="preserve">grant by the Audio Division, Media Bureau (Bureau) of the </w:t>
      </w:r>
      <w:r w:rsidRPr="00C80BAE">
        <w:rPr>
          <w:snapToGrid/>
          <w:sz w:val="22"/>
          <w:szCs w:val="22"/>
        </w:rPr>
        <w:t xml:space="preserve">above-referenced </w:t>
      </w:r>
      <w:r w:rsidRPr="00C80BAE" w:rsidR="005C1817">
        <w:rPr>
          <w:snapToGrid/>
          <w:sz w:val="22"/>
          <w:szCs w:val="22"/>
        </w:rPr>
        <w:t xml:space="preserve">covering license </w:t>
      </w:r>
      <w:r w:rsidRPr="00C80BAE">
        <w:rPr>
          <w:snapToGrid/>
          <w:sz w:val="22"/>
          <w:szCs w:val="22"/>
        </w:rPr>
        <w:t>application (</w:t>
      </w:r>
      <w:r w:rsidR="00D678AB">
        <w:rPr>
          <w:snapToGrid/>
          <w:sz w:val="22"/>
          <w:szCs w:val="22"/>
        </w:rPr>
        <w:t xml:space="preserve">License </w:t>
      </w:r>
      <w:r w:rsidRPr="00C80BAE">
        <w:rPr>
          <w:snapToGrid/>
          <w:sz w:val="22"/>
          <w:szCs w:val="22"/>
        </w:rPr>
        <w:t>Application)</w:t>
      </w:r>
      <w:r>
        <w:rPr>
          <w:rStyle w:val="FootnoteReference"/>
          <w:rFonts w:ascii="Times New Roman" w:hAnsi="Times New Roman"/>
          <w:snapToGrid/>
          <w:sz w:val="22"/>
          <w:szCs w:val="22"/>
        </w:rPr>
        <w:footnoteReference w:id="3"/>
      </w:r>
      <w:r w:rsidRPr="00C80BAE" w:rsidR="00A13651">
        <w:rPr>
          <w:snapToGrid/>
          <w:sz w:val="22"/>
          <w:szCs w:val="22"/>
        </w:rPr>
        <w:t xml:space="preserve"> </w:t>
      </w:r>
      <w:r w:rsidRPr="00C80BAE" w:rsidR="005C1817">
        <w:rPr>
          <w:snapToGrid/>
          <w:sz w:val="22"/>
          <w:szCs w:val="22"/>
        </w:rPr>
        <w:t>for</w:t>
      </w:r>
      <w:r w:rsidRPr="00C80BAE">
        <w:rPr>
          <w:snapToGrid/>
          <w:sz w:val="22"/>
          <w:szCs w:val="22"/>
        </w:rPr>
        <w:t xml:space="preserve"> FM Translator Station </w:t>
      </w:r>
      <w:r w:rsidRPr="00C80BAE" w:rsidR="00BA13A6">
        <w:rPr>
          <w:snapToGrid/>
          <w:sz w:val="22"/>
          <w:szCs w:val="22"/>
        </w:rPr>
        <w:t>W239CL</w:t>
      </w:r>
      <w:r w:rsidRPr="00C80BAE">
        <w:rPr>
          <w:snapToGrid/>
          <w:sz w:val="22"/>
          <w:szCs w:val="22"/>
        </w:rPr>
        <w:t>,</w:t>
      </w:r>
      <w:r w:rsidRPr="00C80BAE" w:rsidR="00197E03">
        <w:rPr>
          <w:snapToGrid/>
          <w:sz w:val="22"/>
          <w:szCs w:val="22"/>
        </w:rPr>
        <w:t xml:space="preserve"> Golden Gate, Florida</w:t>
      </w:r>
      <w:r w:rsidRPr="00C80BAE">
        <w:rPr>
          <w:snapToGrid/>
          <w:sz w:val="22"/>
          <w:szCs w:val="22"/>
        </w:rPr>
        <w:t>.  For the reasons discussed below, we d</w:t>
      </w:r>
      <w:r w:rsidRPr="00C80BAE" w:rsidR="00D27D6C">
        <w:rPr>
          <w:snapToGrid/>
          <w:sz w:val="22"/>
          <w:szCs w:val="22"/>
        </w:rPr>
        <w:t>ismiss</w:t>
      </w:r>
      <w:r w:rsidRPr="00C80BAE">
        <w:rPr>
          <w:snapToGrid/>
          <w:sz w:val="22"/>
          <w:szCs w:val="22"/>
        </w:rPr>
        <w:t xml:space="preserve"> the Petition and uphold the grant of the </w:t>
      </w:r>
      <w:r w:rsidR="00F52C1D">
        <w:rPr>
          <w:snapToGrid/>
          <w:sz w:val="22"/>
          <w:szCs w:val="22"/>
        </w:rPr>
        <w:t xml:space="preserve">License </w:t>
      </w:r>
      <w:r w:rsidRPr="00C80BAE">
        <w:rPr>
          <w:snapToGrid/>
          <w:sz w:val="22"/>
          <w:szCs w:val="22"/>
        </w:rPr>
        <w:t xml:space="preserve">Application.  </w:t>
      </w:r>
    </w:p>
    <w:p w:rsidR="00131FB8" w:rsidP="00131FB8" w14:paraId="459FB0DF" w14:textId="77777777">
      <w:pPr>
        <w:ind w:firstLine="720"/>
        <w:rPr>
          <w:snapToGrid/>
          <w:sz w:val="22"/>
          <w:szCs w:val="22"/>
        </w:rPr>
      </w:pPr>
    </w:p>
    <w:p w:rsidR="0077510C" w:rsidP="00131FB8" w14:paraId="73F5DC7C" w14:textId="7B6C2619">
      <w:pPr>
        <w:ind w:firstLine="720"/>
        <w:rPr>
          <w:rFonts w:eastAsia="Calibri"/>
          <w:snapToGrid/>
          <w:sz w:val="22"/>
          <w:szCs w:val="22"/>
        </w:rPr>
      </w:pPr>
      <w:r>
        <w:rPr>
          <w:rFonts w:eastAsia="Calibri"/>
          <w:b/>
          <w:snapToGrid/>
          <w:sz w:val="22"/>
          <w:szCs w:val="22"/>
        </w:rPr>
        <w:t xml:space="preserve">Background.  </w:t>
      </w:r>
      <w:r>
        <w:rPr>
          <w:rFonts w:eastAsia="Calibri"/>
          <w:snapToGrid/>
          <w:sz w:val="22"/>
          <w:szCs w:val="22"/>
        </w:rPr>
        <w:t>On</w:t>
      </w:r>
      <w:r w:rsidR="002B30EA">
        <w:rPr>
          <w:rFonts w:eastAsia="Calibri"/>
          <w:snapToGrid/>
          <w:sz w:val="22"/>
          <w:szCs w:val="22"/>
        </w:rPr>
        <w:t xml:space="preserve"> </w:t>
      </w:r>
      <w:r>
        <w:rPr>
          <w:rFonts w:eastAsia="Calibri"/>
          <w:snapToGrid/>
          <w:sz w:val="22"/>
          <w:szCs w:val="22"/>
        </w:rPr>
        <w:t xml:space="preserve">February 28, 2020, </w:t>
      </w:r>
      <w:r w:rsidR="002B30EA">
        <w:rPr>
          <w:rFonts w:eastAsia="Calibri"/>
          <w:snapToGrid/>
          <w:sz w:val="22"/>
          <w:szCs w:val="22"/>
        </w:rPr>
        <w:t>Fort Myers Broadcasting Company (FMBC)</w:t>
      </w:r>
      <w:r>
        <w:rPr>
          <w:rFonts w:eastAsia="Calibri"/>
          <w:snapToGrid/>
          <w:sz w:val="22"/>
          <w:szCs w:val="22"/>
        </w:rPr>
        <w:t>, the licensee of FM Translator Station W239CL, filed an application for a minor modification to change the W239CL licensed transmitter site and modify its facilities.</w:t>
      </w:r>
      <w:r>
        <w:rPr>
          <w:rStyle w:val="FootnoteReference"/>
          <w:rFonts w:eastAsia="Calibri"/>
          <w:snapToGrid/>
          <w:szCs w:val="22"/>
        </w:rPr>
        <w:footnoteReference w:id="4"/>
      </w:r>
      <w:r>
        <w:rPr>
          <w:rFonts w:eastAsia="Calibri"/>
          <w:snapToGrid/>
          <w:sz w:val="22"/>
          <w:szCs w:val="22"/>
        </w:rPr>
        <w:t xml:space="preserve">  The Bureau granted this uncontested application on </w:t>
      </w:r>
      <w:r w:rsidR="0072295C">
        <w:rPr>
          <w:rFonts w:eastAsia="Calibri"/>
          <w:snapToGrid/>
          <w:sz w:val="22"/>
          <w:szCs w:val="22"/>
        </w:rPr>
        <w:t>March 13, 2020</w:t>
      </w:r>
      <w:r>
        <w:rPr>
          <w:rFonts w:eastAsia="Calibri"/>
          <w:snapToGrid/>
          <w:sz w:val="22"/>
          <w:szCs w:val="22"/>
        </w:rPr>
        <w:t xml:space="preserve">.  On </w:t>
      </w:r>
      <w:r w:rsidR="0072295C">
        <w:rPr>
          <w:rFonts w:eastAsia="Calibri"/>
          <w:snapToGrid/>
          <w:sz w:val="22"/>
          <w:szCs w:val="22"/>
        </w:rPr>
        <w:t>August 27, 2020</w:t>
      </w:r>
      <w:r>
        <w:rPr>
          <w:rFonts w:eastAsia="Calibri"/>
          <w:snapToGrid/>
          <w:sz w:val="22"/>
          <w:szCs w:val="22"/>
        </w:rPr>
        <w:t>, FMBC filed the subject license application to cover the modified W239CL permit.</w:t>
      </w:r>
      <w:r>
        <w:rPr>
          <w:rStyle w:val="FootnoteReference"/>
          <w:rFonts w:eastAsia="Calibri"/>
          <w:snapToGrid/>
          <w:szCs w:val="22"/>
        </w:rPr>
        <w:footnoteReference w:id="5"/>
      </w:r>
      <w:r>
        <w:rPr>
          <w:rFonts w:eastAsia="Calibri"/>
          <w:snapToGrid/>
          <w:sz w:val="22"/>
          <w:szCs w:val="22"/>
        </w:rPr>
        <w:t xml:space="preserve">  The </w:t>
      </w:r>
      <w:r w:rsidR="00B965EE">
        <w:rPr>
          <w:rFonts w:eastAsia="Calibri"/>
          <w:snapToGrid/>
          <w:sz w:val="22"/>
          <w:szCs w:val="22"/>
        </w:rPr>
        <w:t xml:space="preserve">License </w:t>
      </w:r>
      <w:r>
        <w:rPr>
          <w:rFonts w:eastAsia="Calibri"/>
          <w:snapToGrid/>
          <w:sz w:val="22"/>
          <w:szCs w:val="22"/>
        </w:rPr>
        <w:t>Application was granted on</w:t>
      </w:r>
      <w:r w:rsidR="0072295C">
        <w:rPr>
          <w:rFonts w:eastAsia="Calibri"/>
          <w:snapToGrid/>
          <w:sz w:val="22"/>
          <w:szCs w:val="22"/>
        </w:rPr>
        <w:t xml:space="preserve"> September 25, 2020.</w:t>
      </w:r>
      <w:r>
        <w:rPr>
          <w:rStyle w:val="FootnoteReference"/>
          <w:rFonts w:eastAsia="Calibri"/>
          <w:snapToGrid/>
          <w:szCs w:val="22"/>
        </w:rPr>
        <w:footnoteReference w:id="6"/>
      </w:r>
      <w:r>
        <w:rPr>
          <w:rFonts w:eastAsia="Calibri"/>
          <w:snapToGrid/>
          <w:sz w:val="22"/>
          <w:szCs w:val="22"/>
        </w:rPr>
        <w:t xml:space="preserve">  </w:t>
      </w:r>
    </w:p>
    <w:p w:rsidR="0077510C" w:rsidP="00131FB8" w14:paraId="54B0F935" w14:textId="77777777">
      <w:pPr>
        <w:ind w:firstLine="720"/>
        <w:rPr>
          <w:rFonts w:eastAsia="Calibri"/>
          <w:snapToGrid/>
          <w:sz w:val="22"/>
          <w:szCs w:val="22"/>
        </w:rPr>
      </w:pPr>
    </w:p>
    <w:p w:rsidR="00291B5F" w:rsidP="00291B5F" w14:paraId="7F0B76E8" w14:textId="0E70322D">
      <w:pPr>
        <w:ind w:firstLine="720"/>
        <w:rPr>
          <w:rFonts w:eastAsia="Calibri"/>
          <w:snapToGrid/>
          <w:sz w:val="22"/>
          <w:szCs w:val="22"/>
        </w:rPr>
      </w:pPr>
      <w:r>
        <w:rPr>
          <w:rFonts w:eastAsia="Calibri"/>
          <w:snapToGrid/>
          <w:sz w:val="22"/>
          <w:szCs w:val="22"/>
        </w:rPr>
        <w:t xml:space="preserve">On October 6, 2020, Sumarrase filed </w:t>
      </w:r>
      <w:r>
        <w:rPr>
          <w:rFonts w:eastAsia="Calibri"/>
          <w:snapToGrid/>
          <w:sz w:val="22"/>
          <w:szCs w:val="22"/>
        </w:rPr>
        <w:t>its</w:t>
      </w:r>
      <w:r>
        <w:rPr>
          <w:rFonts w:eastAsia="Calibri"/>
          <w:snapToGrid/>
          <w:sz w:val="22"/>
          <w:szCs w:val="22"/>
        </w:rPr>
        <w:t xml:space="preserve"> Petition</w:t>
      </w:r>
      <w:r>
        <w:rPr>
          <w:rFonts w:eastAsia="Calibri"/>
          <w:snapToGrid/>
          <w:sz w:val="22"/>
          <w:szCs w:val="22"/>
        </w:rPr>
        <w:t xml:space="preserve"> for </w:t>
      </w:r>
      <w:r w:rsidR="00A94BC8">
        <w:rPr>
          <w:rFonts w:eastAsia="Calibri"/>
          <w:snapToGrid/>
          <w:sz w:val="22"/>
          <w:szCs w:val="22"/>
        </w:rPr>
        <w:t>R</w:t>
      </w:r>
      <w:r>
        <w:rPr>
          <w:rFonts w:eastAsia="Calibri"/>
          <w:snapToGrid/>
          <w:sz w:val="22"/>
          <w:szCs w:val="22"/>
        </w:rPr>
        <w:t>econsideration of the grant of the W239CL license application,</w:t>
      </w:r>
      <w:r w:rsidR="00C80BAE">
        <w:rPr>
          <w:rFonts w:eastAsia="Calibri"/>
          <w:snapToGrid/>
          <w:sz w:val="22"/>
          <w:szCs w:val="22"/>
        </w:rPr>
        <w:t xml:space="preserve"> </w:t>
      </w:r>
      <w:r w:rsidR="00B631DE">
        <w:rPr>
          <w:rFonts w:eastAsia="Calibri"/>
          <w:snapToGrid/>
          <w:sz w:val="22"/>
          <w:szCs w:val="22"/>
        </w:rPr>
        <w:t xml:space="preserve">arguing that W239CL causes interference to </w:t>
      </w:r>
      <w:r w:rsidR="007B6ED1">
        <w:rPr>
          <w:rFonts w:eastAsia="Calibri"/>
          <w:snapToGrid/>
          <w:sz w:val="22"/>
          <w:szCs w:val="22"/>
        </w:rPr>
        <w:t xml:space="preserve">Sumarrase's </w:t>
      </w:r>
      <w:r w:rsidR="00E06883">
        <w:rPr>
          <w:rFonts w:eastAsia="Calibri"/>
          <w:snapToGrid/>
          <w:sz w:val="22"/>
          <w:szCs w:val="22"/>
        </w:rPr>
        <w:t>“</w:t>
      </w:r>
      <w:r w:rsidR="007B5AA3">
        <w:rPr>
          <w:rFonts w:eastAsia="Calibri"/>
          <w:snapToGrid/>
          <w:sz w:val="22"/>
          <w:szCs w:val="22"/>
        </w:rPr>
        <w:t>previously authorized</w:t>
      </w:r>
      <w:r w:rsidR="00E06883">
        <w:rPr>
          <w:rFonts w:eastAsia="Calibri"/>
          <w:snapToGrid/>
          <w:sz w:val="22"/>
          <w:szCs w:val="22"/>
        </w:rPr>
        <w:t>”</w:t>
      </w:r>
      <w:r w:rsidR="007B5AA3">
        <w:rPr>
          <w:rFonts w:eastAsia="Calibri"/>
          <w:snapToGrid/>
          <w:sz w:val="22"/>
          <w:szCs w:val="22"/>
        </w:rPr>
        <w:t xml:space="preserve"> </w:t>
      </w:r>
      <w:r w:rsidR="00B631DE">
        <w:rPr>
          <w:rFonts w:eastAsia="Calibri"/>
          <w:snapToGrid/>
          <w:sz w:val="22"/>
          <w:szCs w:val="22"/>
        </w:rPr>
        <w:t>co-channel LPFM station</w:t>
      </w:r>
      <w:r w:rsidR="00967125">
        <w:rPr>
          <w:rFonts w:eastAsia="Calibri"/>
          <w:snapToGrid/>
          <w:sz w:val="22"/>
          <w:szCs w:val="22"/>
        </w:rPr>
        <w:t xml:space="preserve"> WSGD-LP</w:t>
      </w:r>
      <w:r w:rsidR="001F2CBC">
        <w:rPr>
          <w:rFonts w:eastAsia="Calibri"/>
          <w:snapToGrid/>
          <w:sz w:val="22"/>
          <w:szCs w:val="22"/>
        </w:rPr>
        <w:t>, Lehigh Acres, Florida.</w:t>
      </w:r>
      <w:r>
        <w:rPr>
          <w:rFonts w:eastAsia="Calibri"/>
          <w:snapToGrid/>
          <w:sz w:val="22"/>
          <w:szCs w:val="22"/>
        </w:rPr>
        <w:t xml:space="preserve">  To support its interference claim, Sumarrase submits (1) maps showing the specific locations of interference inside the 45 dBu contour</w:t>
      </w:r>
      <w:r w:rsidR="00ED3727">
        <w:rPr>
          <w:rFonts w:eastAsia="Calibri"/>
          <w:snapToGrid/>
          <w:sz w:val="22"/>
          <w:szCs w:val="22"/>
        </w:rPr>
        <w:t>;</w:t>
      </w:r>
      <w:r>
        <w:rPr>
          <w:rFonts w:eastAsia="Calibri"/>
          <w:snapToGrid/>
          <w:sz w:val="22"/>
          <w:szCs w:val="22"/>
        </w:rPr>
        <w:t xml:space="preserve"> (2) a package of 13 listener complaints “covering 21 qualifying locations within the WSGD-LP 45 dBu contour”</w:t>
      </w:r>
      <w:r w:rsidR="00F02AA8">
        <w:rPr>
          <w:rFonts w:eastAsia="Calibri"/>
          <w:snapToGrid/>
          <w:sz w:val="22"/>
          <w:szCs w:val="22"/>
        </w:rPr>
        <w:t>; and (3) a declaration from an engineer, Steven L. White, certifying that he “calculated the U/D ratios and prepared the maps in th</w:t>
      </w:r>
      <w:r w:rsidR="006837FF">
        <w:rPr>
          <w:rFonts w:eastAsia="Calibri"/>
          <w:snapToGrid/>
          <w:sz w:val="22"/>
          <w:szCs w:val="22"/>
        </w:rPr>
        <w:t>e</w:t>
      </w:r>
      <w:r w:rsidR="00F02AA8">
        <w:rPr>
          <w:rFonts w:eastAsia="Calibri"/>
          <w:snapToGrid/>
          <w:sz w:val="22"/>
          <w:szCs w:val="22"/>
        </w:rPr>
        <w:t xml:space="preserve"> exhibit.”</w:t>
      </w:r>
      <w:r>
        <w:rPr>
          <w:rStyle w:val="FootnoteReference"/>
          <w:rFonts w:eastAsia="Calibri"/>
          <w:snapToGrid/>
          <w:szCs w:val="22"/>
        </w:rPr>
        <w:footnoteReference w:id="7"/>
      </w:r>
      <w:r>
        <w:rPr>
          <w:rFonts w:eastAsia="Calibri"/>
          <w:snapToGrid/>
          <w:sz w:val="22"/>
          <w:szCs w:val="22"/>
        </w:rPr>
        <w:t xml:space="preserve">  </w:t>
      </w:r>
    </w:p>
    <w:p w:rsidR="006837FF" w:rsidP="00291B5F" w14:paraId="26F090D7" w14:textId="3441E0D8">
      <w:pPr>
        <w:ind w:firstLine="720"/>
        <w:rPr>
          <w:rFonts w:eastAsia="Calibri"/>
          <w:snapToGrid/>
          <w:sz w:val="22"/>
          <w:szCs w:val="22"/>
        </w:rPr>
      </w:pPr>
    </w:p>
    <w:p w:rsidR="00326F89" w:rsidP="00326F89" w14:paraId="41766329" w14:textId="0B6D5E66">
      <w:pPr>
        <w:ind w:firstLine="720"/>
        <w:rPr>
          <w:rFonts w:eastAsia="Calibri"/>
          <w:snapToGrid/>
          <w:sz w:val="22"/>
          <w:szCs w:val="22"/>
        </w:rPr>
      </w:pPr>
      <w:r>
        <w:rPr>
          <w:rFonts w:eastAsia="Calibri"/>
          <w:snapToGrid/>
          <w:sz w:val="22"/>
          <w:szCs w:val="22"/>
        </w:rPr>
        <w:t xml:space="preserve">Sumarrase explains that it </w:t>
      </w:r>
      <w:r w:rsidR="007A336F">
        <w:rPr>
          <w:rFonts w:eastAsia="Calibri"/>
          <w:snapToGrid/>
          <w:sz w:val="22"/>
          <w:szCs w:val="22"/>
        </w:rPr>
        <w:t xml:space="preserve">previously </w:t>
      </w:r>
      <w:r>
        <w:rPr>
          <w:rFonts w:eastAsia="Calibri"/>
          <w:snapToGrid/>
          <w:sz w:val="22"/>
          <w:szCs w:val="22"/>
        </w:rPr>
        <w:t>sent its listener complaints of interference to FMBC</w:t>
      </w:r>
      <w:r w:rsidR="007A336F">
        <w:rPr>
          <w:rFonts w:eastAsia="Calibri"/>
          <w:snapToGrid/>
          <w:sz w:val="22"/>
          <w:szCs w:val="22"/>
        </w:rPr>
        <w:t>, and on September 23, 2020, FMBC responded by accusing Sumarrase of operating high power facilities and request</w:t>
      </w:r>
      <w:r w:rsidR="00F726BE">
        <w:rPr>
          <w:rFonts w:eastAsia="Calibri"/>
          <w:snapToGrid/>
          <w:sz w:val="22"/>
          <w:szCs w:val="22"/>
        </w:rPr>
        <w:t>ed</w:t>
      </w:r>
      <w:r w:rsidR="007A336F">
        <w:rPr>
          <w:rFonts w:eastAsia="Calibri"/>
          <w:snapToGrid/>
          <w:sz w:val="22"/>
          <w:szCs w:val="22"/>
        </w:rPr>
        <w:t xml:space="preserve"> </w:t>
      </w:r>
      <w:r w:rsidR="00F52C1D">
        <w:rPr>
          <w:rFonts w:eastAsia="Calibri"/>
          <w:snapToGrid/>
          <w:sz w:val="22"/>
          <w:szCs w:val="22"/>
        </w:rPr>
        <w:t>that Sumarrase provide a</w:t>
      </w:r>
      <w:r w:rsidR="007A336F">
        <w:rPr>
          <w:rFonts w:eastAsia="Calibri"/>
          <w:snapToGrid/>
          <w:sz w:val="22"/>
          <w:szCs w:val="22"/>
        </w:rPr>
        <w:t xml:space="preserve"> detailed engineering statement and open WSGD-LP for inspection by FMBC.</w:t>
      </w:r>
      <w:r>
        <w:rPr>
          <w:rStyle w:val="FootnoteReference"/>
          <w:rFonts w:eastAsia="Calibri"/>
          <w:snapToGrid/>
          <w:szCs w:val="22"/>
        </w:rPr>
        <w:footnoteReference w:id="8"/>
      </w:r>
      <w:r w:rsidR="002879AA">
        <w:rPr>
          <w:rFonts w:eastAsia="Calibri"/>
          <w:snapToGrid/>
          <w:sz w:val="22"/>
          <w:szCs w:val="22"/>
        </w:rPr>
        <w:t xml:space="preserve">  Sumarrase states that it subsequently reiterated to FMBC that “it is operating within its authorized parameters to make </w:t>
      </w:r>
      <w:r w:rsidR="00F726BE">
        <w:rPr>
          <w:rFonts w:eastAsia="Calibri"/>
          <w:snapToGrid/>
          <w:sz w:val="22"/>
          <w:szCs w:val="22"/>
        </w:rPr>
        <w:t>22 ERP at 200 feet”</w:t>
      </w:r>
      <w:r w:rsidR="00BA7D6D">
        <w:rPr>
          <w:rFonts w:eastAsia="Calibri"/>
          <w:snapToGrid/>
          <w:sz w:val="22"/>
          <w:szCs w:val="22"/>
        </w:rPr>
        <w:t xml:space="preserve"> and denied FMBC access to its transmitter site due to a pending motion “related to earlier unauthorized access by FMBC employees.”</w:t>
      </w:r>
      <w:r>
        <w:rPr>
          <w:rStyle w:val="FootnoteReference"/>
          <w:rFonts w:eastAsia="Calibri"/>
          <w:snapToGrid/>
          <w:szCs w:val="22"/>
        </w:rPr>
        <w:footnoteReference w:id="9"/>
      </w:r>
      <w:r>
        <w:rPr>
          <w:rFonts w:eastAsia="Calibri"/>
          <w:snapToGrid/>
          <w:sz w:val="22"/>
          <w:szCs w:val="22"/>
        </w:rPr>
        <w:t xml:space="preserve">  Sumarrase urges the Bureau to require FMBC to cease operation of its FM translator station until it can resolve the demonstrated interference.  If FMBC cannot resolve the interference, Sumarrase requests that the Bureau reconsider and deny the W239CL license application.  </w:t>
      </w:r>
    </w:p>
    <w:p w:rsidR="00291B5F" w:rsidP="00326F89" w14:paraId="50DCAC42" w14:textId="75C6E8EB">
      <w:pPr>
        <w:ind w:firstLine="720"/>
        <w:rPr>
          <w:rFonts w:eastAsia="Calibri"/>
          <w:snapToGrid/>
          <w:sz w:val="22"/>
          <w:szCs w:val="22"/>
        </w:rPr>
      </w:pPr>
    </w:p>
    <w:p w:rsidR="00AA61B3" w:rsidP="0072295C" w14:paraId="09DC03B0" w14:textId="25C187BE">
      <w:pPr>
        <w:ind w:firstLine="720"/>
        <w:rPr>
          <w:rFonts w:eastAsia="Calibri"/>
          <w:snapToGrid/>
          <w:sz w:val="22"/>
          <w:szCs w:val="22"/>
        </w:rPr>
      </w:pPr>
      <w:r>
        <w:rPr>
          <w:rFonts w:eastAsia="Calibri"/>
          <w:snapToGrid/>
          <w:sz w:val="22"/>
          <w:szCs w:val="22"/>
        </w:rPr>
        <w:t xml:space="preserve">In its Opposition, FMBC </w:t>
      </w:r>
      <w:r w:rsidR="006F17CA">
        <w:rPr>
          <w:rFonts w:eastAsia="Calibri"/>
          <w:snapToGrid/>
          <w:sz w:val="22"/>
          <w:szCs w:val="22"/>
        </w:rPr>
        <w:t>argues that the Petition is both procedurally and substantively deficient.</w:t>
      </w:r>
      <w:r w:rsidR="00DE4CED">
        <w:rPr>
          <w:rFonts w:eastAsia="Calibri"/>
          <w:snapToGrid/>
          <w:sz w:val="22"/>
          <w:szCs w:val="22"/>
        </w:rPr>
        <w:t xml:space="preserve">  Specifically, FMBC argues that the Petition is procedurally defective because it does not conform to the requirements of section 1.106 of the Commission’s rules.</w:t>
      </w:r>
      <w:r>
        <w:rPr>
          <w:rStyle w:val="FootnoteReference"/>
          <w:rFonts w:eastAsia="Calibri"/>
          <w:snapToGrid/>
          <w:szCs w:val="22"/>
        </w:rPr>
        <w:footnoteReference w:id="10"/>
      </w:r>
      <w:r w:rsidR="00DE4CED">
        <w:rPr>
          <w:rFonts w:eastAsia="Calibri"/>
          <w:snapToGrid/>
          <w:sz w:val="22"/>
          <w:szCs w:val="22"/>
        </w:rPr>
        <w:t xml:space="preserve">  FMBC </w:t>
      </w:r>
      <w:r w:rsidR="000B7C12">
        <w:rPr>
          <w:rFonts w:eastAsia="Calibri"/>
          <w:snapToGrid/>
          <w:sz w:val="22"/>
          <w:szCs w:val="22"/>
        </w:rPr>
        <w:t>asserts</w:t>
      </w:r>
      <w:r w:rsidR="00DE4CED">
        <w:rPr>
          <w:rFonts w:eastAsia="Calibri"/>
          <w:snapToGrid/>
          <w:sz w:val="22"/>
          <w:szCs w:val="22"/>
        </w:rPr>
        <w:t xml:space="preserve"> that Sumarrase fails to explain why it waited until after the grant of the License Application to raise its interference allegations</w:t>
      </w:r>
      <w:r>
        <w:rPr>
          <w:rStyle w:val="FootnoteReference"/>
          <w:rFonts w:eastAsia="Calibri"/>
          <w:snapToGrid/>
          <w:szCs w:val="22"/>
        </w:rPr>
        <w:footnoteReference w:id="11"/>
      </w:r>
      <w:r w:rsidR="00DE4CED">
        <w:rPr>
          <w:rFonts w:eastAsia="Calibri"/>
          <w:snapToGrid/>
          <w:sz w:val="22"/>
          <w:szCs w:val="22"/>
        </w:rPr>
        <w:t xml:space="preserve"> and that the Petition is part of Sumarrase’s “pattern of abusive reconsideration filings.”</w:t>
      </w:r>
      <w:r>
        <w:rPr>
          <w:rStyle w:val="FootnoteReference"/>
          <w:rFonts w:eastAsia="Calibri"/>
          <w:snapToGrid/>
          <w:szCs w:val="22"/>
        </w:rPr>
        <w:footnoteReference w:id="12"/>
      </w:r>
      <w:r w:rsidR="00DE4CED">
        <w:rPr>
          <w:rFonts w:eastAsia="Calibri"/>
          <w:snapToGrid/>
          <w:sz w:val="22"/>
          <w:szCs w:val="22"/>
        </w:rPr>
        <w:t xml:space="preserve">  FMBC </w:t>
      </w:r>
      <w:r w:rsidR="000B7C12">
        <w:rPr>
          <w:rFonts w:eastAsia="Calibri"/>
          <w:snapToGrid/>
          <w:sz w:val="22"/>
          <w:szCs w:val="22"/>
        </w:rPr>
        <w:t>contends</w:t>
      </w:r>
      <w:r w:rsidR="00DE4CED">
        <w:rPr>
          <w:rFonts w:eastAsia="Calibri"/>
          <w:snapToGrid/>
          <w:sz w:val="22"/>
          <w:szCs w:val="22"/>
        </w:rPr>
        <w:t xml:space="preserve"> that the </w:t>
      </w:r>
      <w:r w:rsidR="00DE4CED">
        <w:rPr>
          <w:rFonts w:eastAsia="Calibri"/>
          <w:snapToGrid/>
          <w:sz w:val="22"/>
          <w:szCs w:val="22"/>
        </w:rPr>
        <w:t xml:space="preserve">Petition </w:t>
      </w:r>
      <w:r w:rsidR="000B7C12">
        <w:rPr>
          <w:rFonts w:eastAsia="Calibri"/>
          <w:snapToGrid/>
          <w:sz w:val="22"/>
          <w:szCs w:val="22"/>
        </w:rPr>
        <w:t xml:space="preserve">is also substantively deficient because (1) </w:t>
      </w:r>
      <w:r w:rsidR="0073045F">
        <w:rPr>
          <w:rFonts w:eastAsia="Calibri"/>
          <w:snapToGrid/>
          <w:sz w:val="22"/>
          <w:szCs w:val="22"/>
        </w:rPr>
        <w:t>the Petition</w:t>
      </w:r>
      <w:r w:rsidR="000B7C12">
        <w:rPr>
          <w:rFonts w:eastAsia="Calibri"/>
          <w:snapToGrid/>
          <w:sz w:val="22"/>
          <w:szCs w:val="22"/>
        </w:rPr>
        <w:t xml:space="preserve"> violates section 74.1203(a)(3) of the rules</w:t>
      </w:r>
      <w:r w:rsidR="004263EB">
        <w:rPr>
          <w:rFonts w:eastAsia="Calibri"/>
          <w:snapToGrid/>
          <w:sz w:val="22"/>
          <w:szCs w:val="22"/>
        </w:rPr>
        <w:t>;</w:t>
      </w:r>
      <w:r>
        <w:rPr>
          <w:rStyle w:val="FootnoteReference"/>
          <w:rFonts w:eastAsia="Calibri"/>
          <w:snapToGrid/>
          <w:szCs w:val="22"/>
        </w:rPr>
        <w:footnoteReference w:id="13"/>
      </w:r>
      <w:r w:rsidR="00F129B9">
        <w:rPr>
          <w:rFonts w:eastAsia="Calibri"/>
          <w:snapToGrid/>
          <w:sz w:val="22"/>
          <w:szCs w:val="22"/>
        </w:rPr>
        <w:t xml:space="preserve"> (2)</w:t>
      </w:r>
      <w:r w:rsidR="004263EB">
        <w:rPr>
          <w:rFonts w:eastAsia="Calibri"/>
          <w:snapToGrid/>
          <w:sz w:val="22"/>
          <w:szCs w:val="22"/>
        </w:rPr>
        <w:t xml:space="preserve"> Sumarrase neither constructed nor operated authorized facilities for WSGD-LP</w:t>
      </w:r>
      <w:r w:rsidR="006C00D3">
        <w:rPr>
          <w:rFonts w:eastAsia="Calibri"/>
          <w:snapToGrid/>
          <w:sz w:val="22"/>
          <w:szCs w:val="22"/>
        </w:rPr>
        <w:t>;</w:t>
      </w:r>
      <w:r>
        <w:rPr>
          <w:rStyle w:val="FootnoteReference"/>
          <w:rFonts w:eastAsia="Calibri"/>
          <w:snapToGrid/>
          <w:szCs w:val="22"/>
        </w:rPr>
        <w:footnoteReference w:id="14"/>
      </w:r>
      <w:r w:rsidR="004263EB">
        <w:rPr>
          <w:rFonts w:eastAsia="Calibri"/>
          <w:snapToGrid/>
          <w:sz w:val="22"/>
          <w:szCs w:val="22"/>
        </w:rPr>
        <w:t xml:space="preserve"> and (3) grant of the W239CL license application did not increase interference to WSGD-LP.</w:t>
      </w:r>
      <w:r>
        <w:rPr>
          <w:rStyle w:val="FootnoteReference"/>
          <w:rFonts w:eastAsia="Calibri"/>
          <w:snapToGrid/>
          <w:szCs w:val="22"/>
        </w:rPr>
        <w:footnoteReference w:id="15"/>
      </w:r>
      <w:r w:rsidR="00F129B9">
        <w:rPr>
          <w:rFonts w:eastAsia="Calibri"/>
          <w:snapToGrid/>
          <w:sz w:val="22"/>
          <w:szCs w:val="22"/>
        </w:rPr>
        <w:t xml:space="preserve"> </w:t>
      </w:r>
      <w:r w:rsidR="006F17CA">
        <w:rPr>
          <w:rFonts w:eastAsia="Calibri"/>
          <w:snapToGrid/>
          <w:sz w:val="22"/>
          <w:szCs w:val="22"/>
        </w:rPr>
        <w:t xml:space="preserve">  </w:t>
      </w:r>
    </w:p>
    <w:p w:rsidR="006F17CA" w:rsidP="0072295C" w14:paraId="554E7AD2" w14:textId="77777777">
      <w:pPr>
        <w:ind w:firstLine="720"/>
        <w:rPr>
          <w:rFonts w:eastAsia="Calibri"/>
          <w:snapToGrid/>
          <w:sz w:val="22"/>
          <w:szCs w:val="22"/>
        </w:rPr>
      </w:pPr>
    </w:p>
    <w:p w:rsidR="001D3965" w:rsidP="0072295C" w14:paraId="5D872E66" w14:textId="5EDE88E2">
      <w:pPr>
        <w:ind w:firstLine="720"/>
        <w:rPr>
          <w:sz w:val="22"/>
          <w:szCs w:val="22"/>
        </w:rPr>
      </w:pPr>
      <w:r>
        <w:rPr>
          <w:sz w:val="22"/>
          <w:szCs w:val="22"/>
        </w:rPr>
        <w:t>In its Reply, Sumarrase</w:t>
      </w:r>
      <w:r w:rsidR="005162A9">
        <w:rPr>
          <w:sz w:val="22"/>
          <w:szCs w:val="22"/>
        </w:rPr>
        <w:t xml:space="preserve"> asserts that its Petition is timely </w:t>
      </w:r>
      <w:r w:rsidR="00017AD8">
        <w:rPr>
          <w:sz w:val="22"/>
          <w:szCs w:val="22"/>
        </w:rPr>
        <w:t>because it is “plainly obvious that ‘actual interference’ cannot be identified until an interfering translator is on the air.”</w:t>
      </w:r>
      <w:r>
        <w:rPr>
          <w:rStyle w:val="FootnoteReference"/>
          <w:szCs w:val="22"/>
        </w:rPr>
        <w:footnoteReference w:id="16"/>
      </w:r>
      <w:r w:rsidR="00017AD8">
        <w:rPr>
          <w:sz w:val="22"/>
          <w:szCs w:val="22"/>
        </w:rPr>
        <w:t xml:space="preserve">  Sumarrase also</w:t>
      </w:r>
      <w:r w:rsidR="00676F4E">
        <w:rPr>
          <w:sz w:val="22"/>
          <w:szCs w:val="22"/>
        </w:rPr>
        <w:t xml:space="preserve"> </w:t>
      </w:r>
      <w:r w:rsidR="00304A5B">
        <w:rPr>
          <w:sz w:val="22"/>
          <w:szCs w:val="22"/>
        </w:rPr>
        <w:t>states</w:t>
      </w:r>
      <w:r w:rsidR="00676F4E">
        <w:rPr>
          <w:sz w:val="22"/>
          <w:szCs w:val="22"/>
        </w:rPr>
        <w:t xml:space="preserve"> that WSGD-LP is the “earlier authorization for interference consideration”</w:t>
      </w:r>
      <w:r>
        <w:rPr>
          <w:rStyle w:val="FootnoteReference"/>
          <w:szCs w:val="22"/>
        </w:rPr>
        <w:footnoteReference w:id="17"/>
      </w:r>
      <w:r w:rsidR="001323ED">
        <w:rPr>
          <w:sz w:val="22"/>
          <w:szCs w:val="22"/>
        </w:rPr>
        <w:t xml:space="preserve"> </w:t>
      </w:r>
      <w:r w:rsidR="00ED50B4">
        <w:rPr>
          <w:sz w:val="22"/>
          <w:szCs w:val="22"/>
        </w:rPr>
        <w:t xml:space="preserve">and </w:t>
      </w:r>
      <w:r w:rsidR="001323ED">
        <w:rPr>
          <w:sz w:val="22"/>
          <w:szCs w:val="22"/>
        </w:rPr>
        <w:t>refutes FMBC’s accusation that WSGD-LP was improperly constructed and operated</w:t>
      </w:r>
      <w:r w:rsidR="00ED50B4">
        <w:rPr>
          <w:sz w:val="22"/>
          <w:szCs w:val="22"/>
        </w:rPr>
        <w:t>.</w:t>
      </w:r>
      <w:r>
        <w:rPr>
          <w:rStyle w:val="FootnoteReference"/>
          <w:szCs w:val="22"/>
        </w:rPr>
        <w:footnoteReference w:id="18"/>
      </w:r>
      <w:r w:rsidR="00ED50B4">
        <w:rPr>
          <w:sz w:val="22"/>
          <w:szCs w:val="22"/>
        </w:rPr>
        <w:t xml:space="preserve">  </w:t>
      </w:r>
      <w:r w:rsidR="001323ED">
        <w:rPr>
          <w:sz w:val="22"/>
          <w:szCs w:val="22"/>
        </w:rPr>
        <w:t xml:space="preserve"> </w:t>
      </w:r>
      <w:r w:rsidR="00676F4E">
        <w:rPr>
          <w:sz w:val="22"/>
          <w:szCs w:val="22"/>
        </w:rPr>
        <w:t xml:space="preserve">  </w:t>
      </w:r>
      <w:r w:rsidR="00017AD8">
        <w:rPr>
          <w:sz w:val="22"/>
          <w:szCs w:val="22"/>
        </w:rPr>
        <w:t xml:space="preserve">   </w:t>
      </w:r>
    </w:p>
    <w:p w:rsidR="001D3965" w:rsidP="0072295C" w14:paraId="33134942" w14:textId="77777777">
      <w:pPr>
        <w:ind w:firstLine="720"/>
        <w:rPr>
          <w:sz w:val="22"/>
          <w:szCs w:val="22"/>
        </w:rPr>
      </w:pPr>
    </w:p>
    <w:p w:rsidR="001D3965" w:rsidRPr="00647FEA" w:rsidP="001D3965" w14:paraId="05EE43A5" w14:textId="77777777">
      <w:pPr>
        <w:ind w:firstLine="720"/>
        <w:rPr>
          <w:snapToGrid/>
          <w:sz w:val="22"/>
          <w:szCs w:val="22"/>
        </w:rPr>
      </w:pPr>
      <w:r>
        <w:rPr>
          <w:b/>
          <w:color w:val="212121"/>
          <w:sz w:val="22"/>
          <w:szCs w:val="22"/>
        </w:rPr>
        <w:t xml:space="preserve">Discussion.  </w:t>
      </w:r>
      <w:r>
        <w:rPr>
          <w:color w:val="212121"/>
          <w:sz w:val="22"/>
          <w:szCs w:val="22"/>
        </w:rPr>
        <w:t xml:space="preserve">We dismiss the Petition as procedurally defective.  </w:t>
      </w:r>
      <w:r w:rsidRPr="00647FEA">
        <w:rPr>
          <w:color w:val="3D3D3D"/>
          <w:sz w:val="22"/>
          <w:szCs w:val="22"/>
        </w:rPr>
        <w:t>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Pr>
          <w:rStyle w:val="FootnoteReference"/>
          <w:color w:val="3D3D3D"/>
          <w:szCs w:val="22"/>
        </w:rPr>
        <w:footnoteReference w:id="19"/>
      </w:r>
      <w:r w:rsidRPr="00647FEA">
        <w:rPr>
          <w:color w:val="3D3D3D"/>
          <w:sz w:val="22"/>
          <w:szCs w:val="22"/>
        </w:rPr>
        <w:t xml:space="preserve"> </w:t>
      </w:r>
      <w:r>
        <w:rPr>
          <w:color w:val="3D3D3D"/>
          <w:sz w:val="22"/>
          <w:szCs w:val="22"/>
        </w:rPr>
        <w:t xml:space="preserve"> </w:t>
      </w:r>
      <w:r w:rsidRPr="00647FEA">
        <w:rPr>
          <w:color w:val="3D3D3D"/>
          <w:sz w:val="22"/>
          <w:szCs w:val="22"/>
        </w:rPr>
        <w:t>If the petitioner is not a party to the proceeding, it must state with particularity the manner in which its interests are adversely affected and show good reason why it was not possible to participate in the earlier stages of the proceeding.</w:t>
      </w:r>
      <w:r>
        <w:rPr>
          <w:rStyle w:val="FootnoteReference"/>
          <w:color w:val="3D3D3D"/>
          <w:szCs w:val="22"/>
        </w:rPr>
        <w:footnoteReference w:id="20"/>
      </w:r>
    </w:p>
    <w:p w:rsidR="001D3965" w:rsidP="001D3965" w14:paraId="20A5BC2D" w14:textId="77777777">
      <w:pPr>
        <w:ind w:firstLine="720"/>
        <w:rPr>
          <w:color w:val="212121"/>
          <w:sz w:val="22"/>
          <w:szCs w:val="22"/>
        </w:rPr>
      </w:pPr>
    </w:p>
    <w:p w:rsidR="001D3965" w:rsidP="001D3965" w14:paraId="1130DCC6" w14:textId="7D2711EB">
      <w:pPr>
        <w:ind w:firstLine="720"/>
        <w:rPr>
          <w:color w:val="212121"/>
          <w:sz w:val="22"/>
          <w:szCs w:val="22"/>
        </w:rPr>
      </w:pPr>
      <w:r>
        <w:rPr>
          <w:color w:val="212121"/>
          <w:sz w:val="22"/>
          <w:szCs w:val="22"/>
        </w:rPr>
        <w:t xml:space="preserve">Although from </w:t>
      </w:r>
      <w:r w:rsidR="0011192E">
        <w:rPr>
          <w:color w:val="212121"/>
          <w:sz w:val="22"/>
          <w:szCs w:val="22"/>
        </w:rPr>
        <w:t xml:space="preserve">early </w:t>
      </w:r>
      <w:r w:rsidR="0040210B">
        <w:rPr>
          <w:color w:val="212121"/>
          <w:sz w:val="22"/>
          <w:szCs w:val="22"/>
        </w:rPr>
        <w:t>2020</w:t>
      </w:r>
      <w:r>
        <w:rPr>
          <w:color w:val="212121"/>
          <w:sz w:val="22"/>
          <w:szCs w:val="22"/>
        </w:rPr>
        <w:t xml:space="preserve">, Sumarrase filed numerous </w:t>
      </w:r>
      <w:r w:rsidR="001155E2">
        <w:rPr>
          <w:color w:val="212121"/>
          <w:sz w:val="22"/>
          <w:szCs w:val="22"/>
        </w:rPr>
        <w:t xml:space="preserve">complaints and </w:t>
      </w:r>
      <w:r>
        <w:rPr>
          <w:color w:val="212121"/>
          <w:sz w:val="22"/>
          <w:szCs w:val="22"/>
        </w:rPr>
        <w:t>petitions against FMBC, regarding the alleged interference W239CL causes to WSGD-LP,</w:t>
      </w:r>
      <w:r>
        <w:rPr>
          <w:rStyle w:val="FootnoteReference"/>
          <w:color w:val="212121"/>
          <w:szCs w:val="22"/>
        </w:rPr>
        <w:footnoteReference w:id="21"/>
      </w:r>
      <w:r>
        <w:rPr>
          <w:color w:val="212121"/>
          <w:sz w:val="22"/>
          <w:szCs w:val="22"/>
        </w:rPr>
        <w:t xml:space="preserve"> Sumarrase</w:t>
      </w:r>
      <w:r>
        <w:rPr>
          <w:color w:val="212121"/>
          <w:sz w:val="22"/>
          <w:szCs w:val="22"/>
        </w:rPr>
        <w:t xml:space="preserve"> failed to </w:t>
      </w:r>
      <w:r w:rsidR="005C46FE">
        <w:rPr>
          <w:color w:val="212121"/>
          <w:sz w:val="22"/>
          <w:szCs w:val="22"/>
        </w:rPr>
        <w:t>object to</w:t>
      </w:r>
      <w:r>
        <w:rPr>
          <w:color w:val="212121"/>
          <w:sz w:val="22"/>
          <w:szCs w:val="22"/>
        </w:rPr>
        <w:t xml:space="preserve"> the</w:t>
      </w:r>
      <w:r w:rsidR="001155E2">
        <w:rPr>
          <w:color w:val="212121"/>
          <w:sz w:val="22"/>
          <w:szCs w:val="22"/>
        </w:rPr>
        <w:t xml:space="preserve"> W239CL modification application</w:t>
      </w:r>
      <w:r>
        <w:rPr>
          <w:rStyle w:val="FootnoteReference"/>
          <w:color w:val="212121"/>
          <w:szCs w:val="22"/>
        </w:rPr>
        <w:footnoteReference w:id="22"/>
      </w:r>
      <w:r w:rsidR="0040210B">
        <w:rPr>
          <w:color w:val="212121"/>
          <w:sz w:val="22"/>
          <w:szCs w:val="22"/>
        </w:rPr>
        <w:t xml:space="preserve"> or contest the License Application.</w:t>
      </w:r>
      <w:r>
        <w:rPr>
          <w:color w:val="212121"/>
          <w:sz w:val="22"/>
          <w:szCs w:val="22"/>
        </w:rPr>
        <w:t xml:space="preserve">  </w:t>
      </w:r>
      <w:r w:rsidR="0011192E">
        <w:rPr>
          <w:color w:val="212121"/>
          <w:sz w:val="22"/>
          <w:szCs w:val="22"/>
        </w:rPr>
        <w:t xml:space="preserve">During the six-month period from the </w:t>
      </w:r>
      <w:r w:rsidR="00675AA5">
        <w:rPr>
          <w:color w:val="212121"/>
          <w:sz w:val="22"/>
          <w:szCs w:val="22"/>
        </w:rPr>
        <w:t xml:space="preserve">February 2020, </w:t>
      </w:r>
      <w:r w:rsidR="0011192E">
        <w:rPr>
          <w:color w:val="212121"/>
          <w:sz w:val="22"/>
          <w:szCs w:val="22"/>
        </w:rPr>
        <w:t xml:space="preserve">filing of the W239CL modification application </w:t>
      </w:r>
      <w:r w:rsidR="00675AA5">
        <w:rPr>
          <w:color w:val="212121"/>
          <w:sz w:val="22"/>
          <w:szCs w:val="22"/>
        </w:rPr>
        <w:t>to the subsequent, August 2020, submission of the License Application, Sumarrase could have</w:t>
      </w:r>
      <w:r w:rsidR="003B31F8">
        <w:rPr>
          <w:color w:val="212121"/>
          <w:sz w:val="22"/>
          <w:szCs w:val="22"/>
        </w:rPr>
        <w:t xml:space="preserve"> presented information regarding the predicted interference</w:t>
      </w:r>
      <w:r w:rsidR="00550754">
        <w:rPr>
          <w:color w:val="212121"/>
          <w:sz w:val="22"/>
          <w:szCs w:val="22"/>
        </w:rPr>
        <w:t>, but neglected to do so.</w:t>
      </w:r>
      <w:r>
        <w:rPr>
          <w:rStyle w:val="FootnoteReference"/>
          <w:color w:val="212121"/>
          <w:szCs w:val="22"/>
        </w:rPr>
        <w:footnoteReference w:id="23"/>
      </w:r>
      <w:r w:rsidR="00675AA5">
        <w:rPr>
          <w:color w:val="212121"/>
          <w:sz w:val="22"/>
          <w:szCs w:val="22"/>
        </w:rPr>
        <w:t xml:space="preserve"> </w:t>
      </w:r>
      <w:r w:rsidR="0011192E">
        <w:rPr>
          <w:color w:val="212121"/>
          <w:sz w:val="22"/>
          <w:szCs w:val="22"/>
        </w:rPr>
        <w:t xml:space="preserve"> </w:t>
      </w:r>
      <w:r w:rsidR="00675AA5">
        <w:rPr>
          <w:color w:val="212121"/>
          <w:sz w:val="22"/>
          <w:szCs w:val="22"/>
        </w:rPr>
        <w:t xml:space="preserve">We find that </w:t>
      </w:r>
      <w:r w:rsidR="001155E2">
        <w:rPr>
          <w:color w:val="212121"/>
          <w:sz w:val="22"/>
          <w:szCs w:val="22"/>
        </w:rPr>
        <w:t>Sumarrase</w:t>
      </w:r>
      <w:r>
        <w:rPr>
          <w:color w:val="212121"/>
          <w:sz w:val="22"/>
          <w:szCs w:val="22"/>
        </w:rPr>
        <w:t xml:space="preserve"> was not a party to the proceeding and has not justified </w:t>
      </w:r>
      <w:r w:rsidR="008A7E1C">
        <w:rPr>
          <w:color w:val="212121"/>
          <w:sz w:val="22"/>
          <w:szCs w:val="22"/>
        </w:rPr>
        <w:t>its</w:t>
      </w:r>
      <w:r>
        <w:rPr>
          <w:color w:val="212121"/>
          <w:sz w:val="22"/>
          <w:szCs w:val="22"/>
        </w:rPr>
        <w:t xml:space="preserve"> failure to participate earlier.  </w:t>
      </w:r>
      <w:r w:rsidR="002B182C">
        <w:rPr>
          <w:color w:val="212121"/>
          <w:sz w:val="22"/>
          <w:szCs w:val="22"/>
        </w:rPr>
        <w:t>Further</w:t>
      </w:r>
      <w:r w:rsidR="0040210B">
        <w:rPr>
          <w:color w:val="212121"/>
          <w:sz w:val="22"/>
          <w:szCs w:val="22"/>
        </w:rPr>
        <w:t>, we n</w:t>
      </w:r>
      <w:r w:rsidR="00132DC6">
        <w:rPr>
          <w:color w:val="212121"/>
          <w:sz w:val="22"/>
          <w:szCs w:val="22"/>
        </w:rPr>
        <w:t>ote</w:t>
      </w:r>
      <w:r w:rsidR="0040210B">
        <w:rPr>
          <w:color w:val="212121"/>
          <w:sz w:val="22"/>
          <w:szCs w:val="22"/>
        </w:rPr>
        <w:t xml:space="preserve"> </w:t>
      </w:r>
      <w:r w:rsidR="00B32372">
        <w:rPr>
          <w:color w:val="212121"/>
          <w:sz w:val="22"/>
          <w:szCs w:val="22"/>
        </w:rPr>
        <w:t xml:space="preserve">that </w:t>
      </w:r>
      <w:r w:rsidR="0040210B">
        <w:rPr>
          <w:color w:val="212121"/>
          <w:sz w:val="22"/>
          <w:szCs w:val="22"/>
        </w:rPr>
        <w:t>the</w:t>
      </w:r>
      <w:r w:rsidR="00B32372">
        <w:rPr>
          <w:color w:val="212121"/>
          <w:sz w:val="22"/>
          <w:szCs w:val="22"/>
        </w:rPr>
        <w:t xml:space="preserve"> FMBC </w:t>
      </w:r>
      <w:r w:rsidRPr="00B32372" w:rsidR="00B32372">
        <w:rPr>
          <w:color w:val="3D3D3D"/>
          <w:sz w:val="22"/>
          <w:szCs w:val="22"/>
          <w:shd w:val="clear" w:color="auto" w:fill="FFFFFF"/>
        </w:rPr>
        <w:t>License Application</w:t>
      </w:r>
      <w:r w:rsidR="00B32372">
        <w:rPr>
          <w:color w:val="3D3D3D"/>
          <w:sz w:val="22"/>
          <w:szCs w:val="22"/>
          <w:shd w:val="clear" w:color="auto" w:fill="FFFFFF"/>
        </w:rPr>
        <w:t xml:space="preserve"> is</w:t>
      </w:r>
      <w:r w:rsidRPr="00B32372" w:rsidR="00B32372">
        <w:rPr>
          <w:color w:val="3D3D3D"/>
          <w:sz w:val="22"/>
          <w:szCs w:val="22"/>
          <w:shd w:val="clear" w:color="auto" w:fill="FFFFFF"/>
        </w:rPr>
        <w:t xml:space="preserve"> entitled</w:t>
      </w:r>
      <w:r w:rsidR="002B182C">
        <w:rPr>
          <w:color w:val="3D3D3D"/>
          <w:sz w:val="22"/>
          <w:szCs w:val="22"/>
          <w:shd w:val="clear" w:color="auto" w:fill="FFFFFF"/>
        </w:rPr>
        <w:t xml:space="preserve">, under </w:t>
      </w:r>
      <w:r w:rsidR="00E06883">
        <w:rPr>
          <w:color w:val="3D3D3D"/>
          <w:sz w:val="22"/>
          <w:szCs w:val="22"/>
          <w:shd w:val="clear" w:color="auto" w:fill="FFFFFF"/>
        </w:rPr>
        <w:t>s</w:t>
      </w:r>
      <w:r w:rsidR="002B182C">
        <w:rPr>
          <w:color w:val="3D3D3D"/>
          <w:sz w:val="22"/>
          <w:szCs w:val="22"/>
          <w:shd w:val="clear" w:color="auto" w:fill="FFFFFF"/>
        </w:rPr>
        <w:t>ection 319(c) of the</w:t>
      </w:r>
      <w:r w:rsidR="00E167CA">
        <w:rPr>
          <w:color w:val="3D3D3D"/>
          <w:sz w:val="22"/>
          <w:szCs w:val="22"/>
          <w:shd w:val="clear" w:color="auto" w:fill="FFFFFF"/>
        </w:rPr>
        <w:t xml:space="preserve"> Communications Act of 1934, as amended,</w:t>
      </w:r>
      <w:r>
        <w:rPr>
          <w:rStyle w:val="FootnoteReference"/>
          <w:color w:val="3D3D3D"/>
          <w:szCs w:val="22"/>
          <w:shd w:val="clear" w:color="auto" w:fill="FFFFFF"/>
        </w:rPr>
        <w:footnoteReference w:id="24"/>
      </w:r>
      <w:r w:rsidRPr="00B32372" w:rsidR="00B32372">
        <w:rPr>
          <w:color w:val="3D3D3D"/>
          <w:sz w:val="22"/>
          <w:szCs w:val="22"/>
          <w:shd w:val="clear" w:color="auto" w:fill="FFFFFF"/>
        </w:rPr>
        <w:t xml:space="preserve"> to a high degree of protection and a presumption that the public interest determination made during the underlying construction permit proceedings continues in effect unless </w:t>
      </w:r>
      <w:r w:rsidR="00D14B6A">
        <w:rPr>
          <w:color w:val="3D3D3D"/>
          <w:sz w:val="22"/>
          <w:szCs w:val="22"/>
          <w:shd w:val="clear" w:color="auto" w:fill="FFFFFF"/>
        </w:rPr>
        <w:t xml:space="preserve">extraordinary </w:t>
      </w:r>
      <w:r w:rsidRPr="00B32372" w:rsidR="00B32372">
        <w:rPr>
          <w:color w:val="3D3D3D"/>
          <w:sz w:val="22"/>
          <w:szCs w:val="22"/>
          <w:shd w:val="clear" w:color="auto" w:fill="FFFFFF"/>
        </w:rPr>
        <w:t>circumstances</w:t>
      </w:r>
      <w:r>
        <w:rPr>
          <w:rStyle w:val="FootnoteReference"/>
          <w:color w:val="3D3D3D"/>
          <w:szCs w:val="22"/>
          <w:shd w:val="clear" w:color="auto" w:fill="FFFFFF"/>
        </w:rPr>
        <w:footnoteReference w:id="25"/>
      </w:r>
      <w:r w:rsidRPr="00B32372" w:rsidR="00B32372">
        <w:rPr>
          <w:color w:val="3D3D3D"/>
          <w:sz w:val="22"/>
          <w:szCs w:val="22"/>
          <w:shd w:val="clear" w:color="auto" w:fill="FFFFFF"/>
        </w:rPr>
        <w:t xml:space="preserve"> have arisen that would make operation of the </w:t>
      </w:r>
      <w:r w:rsidR="00B32372">
        <w:rPr>
          <w:color w:val="3D3D3D"/>
          <w:sz w:val="22"/>
          <w:szCs w:val="22"/>
          <w:shd w:val="clear" w:color="auto" w:fill="FFFFFF"/>
        </w:rPr>
        <w:t>translator</w:t>
      </w:r>
      <w:r w:rsidRPr="00B32372" w:rsidR="00B32372">
        <w:rPr>
          <w:color w:val="3D3D3D"/>
          <w:sz w:val="22"/>
          <w:szCs w:val="22"/>
          <w:shd w:val="clear" w:color="auto" w:fill="FFFFFF"/>
        </w:rPr>
        <w:t xml:space="preserve"> against the public interest</w:t>
      </w:r>
      <w:r w:rsidR="00B32372">
        <w:rPr>
          <w:color w:val="3D3D3D"/>
          <w:sz w:val="22"/>
          <w:szCs w:val="22"/>
          <w:shd w:val="clear" w:color="auto" w:fill="FFFFFF"/>
        </w:rPr>
        <w:t>.</w:t>
      </w:r>
      <w:r>
        <w:rPr>
          <w:rStyle w:val="FootnoteReference"/>
          <w:color w:val="3D3D3D"/>
          <w:szCs w:val="22"/>
          <w:shd w:val="clear" w:color="auto" w:fill="FFFFFF"/>
        </w:rPr>
        <w:footnoteReference w:id="26"/>
      </w:r>
      <w:r w:rsidR="00F03D5C">
        <w:rPr>
          <w:color w:val="3D3D3D"/>
          <w:sz w:val="22"/>
          <w:szCs w:val="22"/>
          <w:shd w:val="clear" w:color="auto" w:fill="FFFFFF"/>
        </w:rPr>
        <w:t xml:space="preserve">  Sumarrase has not </w:t>
      </w:r>
      <w:r w:rsidR="002B182C">
        <w:rPr>
          <w:color w:val="3D3D3D"/>
          <w:sz w:val="22"/>
          <w:szCs w:val="22"/>
          <w:shd w:val="clear" w:color="auto" w:fill="FFFFFF"/>
        </w:rPr>
        <w:t>demonstrated good cause to deviate from the</w:t>
      </w:r>
      <w:r w:rsidR="005D6452">
        <w:rPr>
          <w:color w:val="3D3D3D"/>
          <w:sz w:val="22"/>
          <w:szCs w:val="22"/>
          <w:shd w:val="clear" w:color="auto" w:fill="FFFFFF"/>
        </w:rPr>
        <w:t xml:space="preserve"> stringent</w:t>
      </w:r>
      <w:r w:rsidR="002B182C">
        <w:rPr>
          <w:color w:val="3D3D3D"/>
          <w:sz w:val="22"/>
          <w:szCs w:val="22"/>
          <w:shd w:val="clear" w:color="auto" w:fill="FFFFFF"/>
        </w:rPr>
        <w:t xml:space="preserve"> </w:t>
      </w:r>
      <w:r w:rsidR="00C65106">
        <w:rPr>
          <w:color w:val="3D3D3D"/>
          <w:sz w:val="22"/>
          <w:szCs w:val="22"/>
          <w:shd w:val="clear" w:color="auto" w:fill="FFFFFF"/>
        </w:rPr>
        <w:t>s</w:t>
      </w:r>
      <w:r w:rsidR="002B182C">
        <w:rPr>
          <w:color w:val="3D3D3D"/>
          <w:sz w:val="22"/>
          <w:szCs w:val="22"/>
          <w:shd w:val="clear" w:color="auto" w:fill="FFFFFF"/>
        </w:rPr>
        <w:t>ection 319(c) mandate.</w:t>
      </w:r>
      <w:r w:rsidRPr="00B32372" w:rsidR="0040210B">
        <w:rPr>
          <w:color w:val="212121"/>
          <w:sz w:val="22"/>
          <w:szCs w:val="22"/>
        </w:rPr>
        <w:t xml:space="preserve"> </w:t>
      </w:r>
    </w:p>
    <w:p w:rsidR="001D3965" w:rsidP="001D3965" w14:paraId="1A9243EA" w14:textId="77777777">
      <w:pPr>
        <w:ind w:firstLine="720"/>
        <w:rPr>
          <w:color w:val="212121"/>
          <w:sz w:val="22"/>
          <w:szCs w:val="22"/>
        </w:rPr>
      </w:pPr>
    </w:p>
    <w:p w:rsidR="004B079E" w:rsidP="004B079E" w14:paraId="55A401A1" w14:textId="47766299">
      <w:pPr>
        <w:ind w:firstLine="720"/>
        <w:rPr>
          <w:sz w:val="22"/>
          <w:szCs w:val="22"/>
        </w:rPr>
      </w:pPr>
      <w:r>
        <w:rPr>
          <w:snapToGrid/>
          <w:sz w:val="22"/>
          <w:szCs w:val="22"/>
        </w:rPr>
        <w:t>Moreover, we note that even if we were to consider the Petition on its merits, we would deny it.</w:t>
      </w:r>
      <w:r w:rsidR="0050034D">
        <w:rPr>
          <w:snapToGrid/>
          <w:sz w:val="22"/>
          <w:szCs w:val="22"/>
        </w:rPr>
        <w:t xml:space="preserve">  To present an actionable claim of interference, a complainant must submit, </w:t>
      </w:r>
      <w:r w:rsidR="00044629">
        <w:rPr>
          <w:i/>
          <w:iCs/>
          <w:snapToGrid/>
          <w:sz w:val="22"/>
          <w:szCs w:val="22"/>
        </w:rPr>
        <w:t xml:space="preserve">inter alia, </w:t>
      </w:r>
      <w:r w:rsidR="00044629">
        <w:rPr>
          <w:snapToGrid/>
          <w:sz w:val="22"/>
          <w:szCs w:val="22"/>
        </w:rPr>
        <w:t>(1) the required minimum number of valid listeners complaints</w:t>
      </w:r>
      <w:r w:rsidR="00304A5B">
        <w:rPr>
          <w:snapToGrid/>
          <w:sz w:val="22"/>
          <w:szCs w:val="22"/>
        </w:rPr>
        <w:t>;</w:t>
      </w:r>
      <w:r>
        <w:rPr>
          <w:rStyle w:val="FootnoteReference"/>
          <w:snapToGrid/>
          <w:szCs w:val="22"/>
        </w:rPr>
        <w:footnoteReference w:id="27"/>
      </w:r>
      <w:r w:rsidR="00044629">
        <w:rPr>
          <w:snapToGrid/>
          <w:sz w:val="22"/>
          <w:szCs w:val="22"/>
        </w:rPr>
        <w:t xml:space="preserve"> </w:t>
      </w:r>
      <w:r w:rsidR="00044629">
        <w:rPr>
          <w:sz w:val="22"/>
          <w:szCs w:val="22"/>
        </w:rPr>
        <w:t>(2) a map plotting the specific location of the alleged interference in relation to the complaining station’s 45 dBμ contour; and (3) a statement that the complaining station is operating within its licensed parameters.</w:t>
      </w:r>
      <w:r>
        <w:rPr>
          <w:rStyle w:val="FootnoteReference"/>
          <w:szCs w:val="22"/>
        </w:rPr>
        <w:footnoteReference w:id="28"/>
      </w:r>
      <w:r w:rsidR="003D0AF7">
        <w:rPr>
          <w:snapToGrid/>
          <w:sz w:val="22"/>
          <w:szCs w:val="22"/>
        </w:rPr>
        <w:t xml:space="preserve"> </w:t>
      </w:r>
      <w:r w:rsidR="005C46FE">
        <w:rPr>
          <w:snapToGrid/>
          <w:sz w:val="22"/>
          <w:szCs w:val="22"/>
        </w:rPr>
        <w:t xml:space="preserve"> </w:t>
      </w:r>
      <w:r w:rsidR="00F944CB">
        <w:rPr>
          <w:snapToGrid/>
          <w:sz w:val="22"/>
          <w:szCs w:val="22"/>
        </w:rPr>
        <w:t xml:space="preserve">On the surface, </w:t>
      </w:r>
      <w:r w:rsidR="005C46FE">
        <w:rPr>
          <w:snapToGrid/>
          <w:sz w:val="22"/>
          <w:szCs w:val="22"/>
        </w:rPr>
        <w:t>Sumarrase appears to</w:t>
      </w:r>
      <w:r w:rsidR="00304A5B">
        <w:rPr>
          <w:snapToGrid/>
          <w:sz w:val="22"/>
          <w:szCs w:val="22"/>
        </w:rPr>
        <w:t xml:space="preserve"> provide</w:t>
      </w:r>
      <w:r w:rsidR="005C46FE">
        <w:rPr>
          <w:snapToGrid/>
          <w:sz w:val="22"/>
          <w:szCs w:val="22"/>
        </w:rPr>
        <w:t xml:space="preserve"> the requisite </w:t>
      </w:r>
      <w:r w:rsidR="00EF1570">
        <w:rPr>
          <w:snapToGrid/>
          <w:sz w:val="22"/>
          <w:szCs w:val="22"/>
        </w:rPr>
        <w:t xml:space="preserve">information for a </w:t>
      </w:r>
      <w:r w:rsidR="003D0AF7">
        <w:rPr>
          <w:snapToGrid/>
          <w:sz w:val="22"/>
          <w:szCs w:val="22"/>
        </w:rPr>
        <w:t xml:space="preserve">valid </w:t>
      </w:r>
      <w:r w:rsidR="00EF1570">
        <w:rPr>
          <w:snapToGrid/>
          <w:sz w:val="22"/>
          <w:szCs w:val="22"/>
        </w:rPr>
        <w:t>translator interference claim package</w:t>
      </w:r>
      <w:r w:rsidR="004249BC">
        <w:rPr>
          <w:snapToGrid/>
          <w:sz w:val="22"/>
          <w:szCs w:val="22"/>
        </w:rPr>
        <w:t xml:space="preserve">, including, a statement that it operates WSGD-LP within its licensed parameters.  </w:t>
      </w:r>
      <w:r>
        <w:rPr>
          <w:snapToGrid/>
          <w:sz w:val="22"/>
          <w:szCs w:val="22"/>
        </w:rPr>
        <w:t>A station,</w:t>
      </w:r>
      <w:r w:rsidR="00F00B8D">
        <w:rPr>
          <w:snapToGrid/>
          <w:sz w:val="22"/>
          <w:szCs w:val="22"/>
        </w:rPr>
        <w:t xml:space="preserve"> </w:t>
      </w:r>
      <w:r w:rsidRPr="00F00B8D" w:rsidR="00F00B8D">
        <w:rPr>
          <w:i/>
          <w:iCs/>
          <w:snapToGrid/>
          <w:sz w:val="22"/>
          <w:szCs w:val="22"/>
        </w:rPr>
        <w:t>if</w:t>
      </w:r>
      <w:r w:rsidR="00F00B8D">
        <w:rPr>
          <w:snapToGrid/>
          <w:sz w:val="22"/>
          <w:szCs w:val="22"/>
        </w:rPr>
        <w:t xml:space="preserve"> </w:t>
      </w:r>
      <w:r>
        <w:rPr>
          <w:snapToGrid/>
          <w:sz w:val="22"/>
          <w:szCs w:val="22"/>
        </w:rPr>
        <w:t>operating accord</w:t>
      </w:r>
      <w:r w:rsidR="00FA047A">
        <w:rPr>
          <w:snapToGrid/>
          <w:sz w:val="22"/>
          <w:szCs w:val="22"/>
        </w:rPr>
        <w:t>ing</w:t>
      </w:r>
      <w:r>
        <w:rPr>
          <w:snapToGrid/>
          <w:sz w:val="22"/>
          <w:szCs w:val="22"/>
        </w:rPr>
        <w:t xml:space="preserve"> to its licensed parameters, is entitled to protection from interference.      </w:t>
      </w:r>
      <w:r>
        <w:rPr>
          <w:sz w:val="22"/>
          <w:szCs w:val="22"/>
        </w:rPr>
        <w:t xml:space="preserve"> </w:t>
      </w:r>
    </w:p>
    <w:p w:rsidR="00F944CB" w:rsidP="004B079E" w14:paraId="448D6742" w14:textId="7FBF2EBC">
      <w:pPr>
        <w:ind w:firstLine="720"/>
        <w:rPr>
          <w:sz w:val="22"/>
          <w:szCs w:val="22"/>
        </w:rPr>
      </w:pPr>
    </w:p>
    <w:p w:rsidR="002C2FFF" w:rsidP="004B079E" w14:paraId="31EF8F44" w14:textId="793EEFE5">
      <w:pPr>
        <w:ind w:firstLine="720"/>
        <w:rPr>
          <w:snapToGrid/>
          <w:sz w:val="22"/>
          <w:szCs w:val="22"/>
        </w:rPr>
      </w:pPr>
      <w:r>
        <w:rPr>
          <w:sz w:val="22"/>
          <w:szCs w:val="22"/>
        </w:rPr>
        <w:t xml:space="preserve">WSGD-LP is licensed to operate with a </w:t>
      </w:r>
      <w:r w:rsidR="00A020BE">
        <w:rPr>
          <w:sz w:val="22"/>
          <w:szCs w:val="22"/>
        </w:rPr>
        <w:t>one</w:t>
      </w:r>
      <w:r>
        <w:rPr>
          <w:sz w:val="22"/>
          <w:szCs w:val="22"/>
        </w:rPr>
        <w:t>-bay, Shively model 6812</w:t>
      </w:r>
      <w:r w:rsidR="00D67710">
        <w:rPr>
          <w:sz w:val="22"/>
          <w:szCs w:val="22"/>
        </w:rPr>
        <w:t>B</w:t>
      </w:r>
      <w:r>
        <w:rPr>
          <w:sz w:val="22"/>
          <w:szCs w:val="22"/>
        </w:rPr>
        <w:t>-1, nondirectional antenna at a maximum ERP of 22 watts and TPO of 22 watts.</w:t>
      </w:r>
      <w:r>
        <w:rPr>
          <w:rStyle w:val="FootnoteReference"/>
          <w:szCs w:val="22"/>
        </w:rPr>
        <w:footnoteReference w:id="29"/>
      </w:r>
      <w:r>
        <w:rPr>
          <w:sz w:val="22"/>
          <w:szCs w:val="22"/>
        </w:rPr>
        <w:t xml:space="preserve">  </w:t>
      </w:r>
      <w:r w:rsidR="00F944CB">
        <w:rPr>
          <w:sz w:val="22"/>
          <w:szCs w:val="22"/>
        </w:rPr>
        <w:t xml:space="preserve">FMBC claims that </w:t>
      </w:r>
      <w:r w:rsidR="00414E20">
        <w:rPr>
          <w:sz w:val="22"/>
          <w:szCs w:val="22"/>
        </w:rPr>
        <w:t>Sumarrase “neither constructed nor operated FCC-authorized facilities for WSGD-LP,”</w:t>
      </w:r>
      <w:r>
        <w:rPr>
          <w:rStyle w:val="FootnoteReference"/>
          <w:szCs w:val="22"/>
        </w:rPr>
        <w:footnoteReference w:id="30"/>
      </w:r>
      <w:r w:rsidR="00414E20">
        <w:rPr>
          <w:sz w:val="22"/>
          <w:szCs w:val="22"/>
        </w:rPr>
        <w:t xml:space="preserve"> </w:t>
      </w:r>
      <w:r w:rsidR="00F00B8D">
        <w:rPr>
          <w:sz w:val="22"/>
          <w:szCs w:val="22"/>
        </w:rPr>
        <w:t xml:space="preserve">and it, </w:t>
      </w:r>
      <w:r w:rsidR="00F00B8D">
        <w:rPr>
          <w:i/>
          <w:iCs/>
          <w:sz w:val="22"/>
          <w:szCs w:val="22"/>
        </w:rPr>
        <w:t>inter alia, “</w:t>
      </w:r>
      <w:r w:rsidR="00F00B8D">
        <w:rPr>
          <w:sz w:val="22"/>
          <w:szCs w:val="22"/>
        </w:rPr>
        <w:t xml:space="preserve">utilized an antenna that differed from its authorized antenna” and “operated with transmitter power output </w:t>
      </w:r>
      <w:r w:rsidR="00047D7C">
        <w:rPr>
          <w:sz w:val="22"/>
          <w:szCs w:val="22"/>
        </w:rPr>
        <w:t xml:space="preserve">(TPO) </w:t>
      </w:r>
      <w:r w:rsidR="00047D7C">
        <w:rPr>
          <w:sz w:val="22"/>
          <w:szCs w:val="22"/>
        </w:rPr>
        <w:t xml:space="preserve">levels </w:t>
      </w:r>
      <w:r w:rsidR="00F00B8D">
        <w:rPr>
          <w:sz w:val="22"/>
          <w:szCs w:val="22"/>
        </w:rPr>
        <w:t xml:space="preserve">that exceeded the </w:t>
      </w:r>
      <w:r w:rsidR="00047D7C">
        <w:rPr>
          <w:sz w:val="22"/>
          <w:szCs w:val="22"/>
        </w:rPr>
        <w:t>authorized TPO.”</w:t>
      </w:r>
      <w:r>
        <w:rPr>
          <w:rStyle w:val="FootnoteReference"/>
          <w:szCs w:val="22"/>
        </w:rPr>
        <w:footnoteReference w:id="31"/>
      </w:r>
      <w:r w:rsidR="006013B8">
        <w:rPr>
          <w:sz w:val="22"/>
          <w:szCs w:val="22"/>
        </w:rPr>
        <w:t xml:space="preserve">  Although Sumarrase repeatedly refutes FMBC’s claim and insists that </w:t>
      </w:r>
      <w:r w:rsidR="006013B8">
        <w:rPr>
          <w:snapToGrid/>
          <w:sz w:val="22"/>
          <w:szCs w:val="22"/>
        </w:rPr>
        <w:t>“WSGD-LP was properly constructed and is properly operated,”</w:t>
      </w:r>
      <w:r>
        <w:rPr>
          <w:rStyle w:val="FootnoteReference"/>
          <w:snapToGrid/>
          <w:szCs w:val="22"/>
        </w:rPr>
        <w:footnoteReference w:id="32"/>
      </w:r>
      <w:r w:rsidR="006013B8">
        <w:rPr>
          <w:snapToGrid/>
          <w:sz w:val="22"/>
          <w:szCs w:val="22"/>
        </w:rPr>
        <w:t xml:space="preserve"> it conversely concedes</w:t>
      </w:r>
      <w:r w:rsidR="004A58D6">
        <w:rPr>
          <w:snapToGrid/>
          <w:sz w:val="22"/>
          <w:szCs w:val="22"/>
        </w:rPr>
        <w:t xml:space="preserve"> that it </w:t>
      </w:r>
      <w:r w:rsidR="00AC3B18">
        <w:rPr>
          <w:snapToGrid/>
          <w:sz w:val="22"/>
          <w:szCs w:val="22"/>
        </w:rPr>
        <w:t xml:space="preserve">did not </w:t>
      </w:r>
      <w:r w:rsidR="004A58D6">
        <w:rPr>
          <w:snapToGrid/>
          <w:sz w:val="22"/>
          <w:szCs w:val="22"/>
        </w:rPr>
        <w:t>instal</w:t>
      </w:r>
      <w:r w:rsidR="00AC3B18">
        <w:rPr>
          <w:snapToGrid/>
          <w:sz w:val="22"/>
          <w:szCs w:val="22"/>
        </w:rPr>
        <w:t>l</w:t>
      </w:r>
      <w:r w:rsidR="004A58D6">
        <w:rPr>
          <w:snapToGrid/>
          <w:sz w:val="22"/>
          <w:szCs w:val="22"/>
        </w:rPr>
        <w:t xml:space="preserve"> the</w:t>
      </w:r>
      <w:r w:rsidR="00AC3B18">
        <w:rPr>
          <w:snapToGrid/>
          <w:sz w:val="22"/>
          <w:szCs w:val="22"/>
        </w:rPr>
        <w:t xml:space="preserve"> one-bay antenna</w:t>
      </w:r>
      <w:r w:rsidR="004A58D6">
        <w:rPr>
          <w:snapToGrid/>
          <w:sz w:val="22"/>
          <w:szCs w:val="22"/>
        </w:rPr>
        <w:t xml:space="preserve"> authorized in its license.</w:t>
      </w:r>
      <w:r>
        <w:rPr>
          <w:rStyle w:val="FootnoteReference"/>
          <w:snapToGrid/>
          <w:szCs w:val="22"/>
        </w:rPr>
        <w:footnoteReference w:id="33"/>
      </w:r>
      <w:r>
        <w:rPr>
          <w:snapToGrid/>
          <w:sz w:val="22"/>
          <w:szCs w:val="22"/>
        </w:rPr>
        <w:t xml:space="preserve">  Specifically, Sumarrase explains that it:</w:t>
      </w:r>
    </w:p>
    <w:p w:rsidR="002C2FFF" w:rsidP="004B079E" w14:paraId="1EF482B3" w14:textId="77777777">
      <w:pPr>
        <w:ind w:firstLine="720"/>
        <w:rPr>
          <w:snapToGrid/>
          <w:sz w:val="22"/>
          <w:szCs w:val="22"/>
        </w:rPr>
      </w:pPr>
    </w:p>
    <w:p w:rsidR="00525752" w:rsidP="00525752" w14:paraId="3CC6D3F3" w14:textId="15F08550">
      <w:pPr>
        <w:ind w:left="720"/>
        <w:rPr>
          <w:snapToGrid/>
          <w:sz w:val="22"/>
          <w:szCs w:val="22"/>
        </w:rPr>
      </w:pPr>
      <w:r>
        <w:rPr>
          <w:snapToGrid/>
          <w:sz w:val="22"/>
          <w:szCs w:val="22"/>
        </w:rPr>
        <w:t>“initially filed for its construction permit specifying a single bay Shively 6812B antenna system.  In an amendment that was denied, two bays were proposed … When it came time to order the antenna, a 2-bay antenna was ordered … Sumarrase’s consulting engineer was not aware of the actual order and substitution, and the Shively 6812B-1 was inadvertently specified with its corresponding TPO on the forthcoming license application</w:t>
      </w:r>
      <w:r w:rsidR="000261B0">
        <w:rPr>
          <w:snapToGrid/>
          <w:sz w:val="22"/>
          <w:szCs w:val="22"/>
        </w:rPr>
        <w:t xml:space="preserve"> … Recently in an attempt to mitigate interference and upon learning that the information regarding the substitute antenna was not communicated properly in its license application, Sumarrase has attempted to conform as closely as possible to the single bay requested on the license application …”</w:t>
      </w:r>
      <w:r>
        <w:rPr>
          <w:rStyle w:val="FootnoteReference"/>
          <w:snapToGrid/>
          <w:szCs w:val="22"/>
        </w:rPr>
        <w:footnoteReference w:id="34"/>
      </w:r>
    </w:p>
    <w:p w:rsidR="00525752" w:rsidP="00525752" w14:paraId="0E92E1C9" w14:textId="77777777">
      <w:pPr>
        <w:ind w:firstLine="720"/>
        <w:rPr>
          <w:sz w:val="22"/>
          <w:szCs w:val="22"/>
        </w:rPr>
      </w:pPr>
      <w:r>
        <w:rPr>
          <w:snapToGrid/>
          <w:sz w:val="22"/>
          <w:szCs w:val="22"/>
        </w:rPr>
        <w:t xml:space="preserve"> </w:t>
      </w:r>
      <w:r w:rsidR="00047D7C">
        <w:rPr>
          <w:sz w:val="22"/>
          <w:szCs w:val="22"/>
        </w:rPr>
        <w:t xml:space="preserve"> </w:t>
      </w:r>
    </w:p>
    <w:p w:rsidR="00CA082A" w:rsidRPr="00CA082A" w:rsidP="00CA082A" w14:paraId="768B1D41" w14:textId="2A89BE70">
      <w:pPr>
        <w:ind w:firstLine="720"/>
        <w:rPr>
          <w:snapToGrid/>
          <w:sz w:val="22"/>
          <w:szCs w:val="22"/>
        </w:rPr>
      </w:pPr>
      <w:r>
        <w:rPr>
          <w:sz w:val="22"/>
          <w:szCs w:val="22"/>
        </w:rPr>
        <w:t xml:space="preserve">It is, therefore, undisputed that </w:t>
      </w:r>
      <w:r w:rsidR="00A020BE">
        <w:rPr>
          <w:sz w:val="22"/>
          <w:szCs w:val="22"/>
        </w:rPr>
        <w:t>Sumarrase</w:t>
      </w:r>
      <w:r>
        <w:rPr>
          <w:sz w:val="22"/>
          <w:szCs w:val="22"/>
        </w:rPr>
        <w:t xml:space="preserve"> has operated </w:t>
      </w:r>
      <w:r w:rsidR="00A020BE">
        <w:rPr>
          <w:sz w:val="22"/>
          <w:szCs w:val="22"/>
        </w:rPr>
        <w:t xml:space="preserve">WSGD-LP </w:t>
      </w:r>
      <w:r>
        <w:rPr>
          <w:sz w:val="22"/>
          <w:szCs w:val="22"/>
        </w:rPr>
        <w:t xml:space="preserve">with an unauthorized </w:t>
      </w:r>
      <w:r w:rsidR="00C71472">
        <w:rPr>
          <w:sz w:val="22"/>
          <w:szCs w:val="22"/>
        </w:rPr>
        <w:t xml:space="preserve">two-bay </w:t>
      </w:r>
      <w:r w:rsidRPr="00E17E1E">
        <w:rPr>
          <w:sz w:val="22"/>
          <w:szCs w:val="22"/>
        </w:rPr>
        <w:t>antenna</w:t>
      </w:r>
      <w:r w:rsidRPr="00E17E1E" w:rsidR="00C71472">
        <w:rPr>
          <w:sz w:val="22"/>
          <w:szCs w:val="22"/>
        </w:rPr>
        <w:t xml:space="preserve">, instead of the single-bay antenna specified on the </w:t>
      </w:r>
      <w:r w:rsidRPr="00E17E1E" w:rsidR="00CD0065">
        <w:rPr>
          <w:sz w:val="22"/>
          <w:szCs w:val="22"/>
        </w:rPr>
        <w:t xml:space="preserve">WSGD-LP </w:t>
      </w:r>
      <w:r w:rsidRPr="00E17E1E" w:rsidR="00C71472">
        <w:rPr>
          <w:sz w:val="22"/>
          <w:szCs w:val="22"/>
        </w:rPr>
        <w:t>license,</w:t>
      </w:r>
      <w:r w:rsidRPr="00E17E1E">
        <w:rPr>
          <w:sz w:val="22"/>
          <w:szCs w:val="22"/>
        </w:rPr>
        <w:t xml:space="preserve"> and </w:t>
      </w:r>
      <w:r w:rsidR="00E8787D">
        <w:rPr>
          <w:sz w:val="22"/>
          <w:szCs w:val="22"/>
        </w:rPr>
        <w:t xml:space="preserve">apparently </w:t>
      </w:r>
      <w:r w:rsidRPr="00E17E1E">
        <w:rPr>
          <w:sz w:val="22"/>
          <w:szCs w:val="22"/>
        </w:rPr>
        <w:t>violated section</w:t>
      </w:r>
      <w:r>
        <w:rPr>
          <w:sz w:val="22"/>
          <w:szCs w:val="22"/>
        </w:rPr>
        <w:t xml:space="preserve"> 73.845 of the Commission’s rules.</w:t>
      </w:r>
      <w:r>
        <w:rPr>
          <w:rStyle w:val="FootnoteReference"/>
          <w:szCs w:val="22"/>
        </w:rPr>
        <w:footnoteReference w:id="35"/>
      </w:r>
      <w:r>
        <w:rPr>
          <w:sz w:val="22"/>
          <w:szCs w:val="22"/>
        </w:rPr>
        <w:t xml:space="preserve">  </w:t>
      </w:r>
      <w:r w:rsidR="00A4106C">
        <w:rPr>
          <w:sz w:val="22"/>
          <w:szCs w:val="22"/>
        </w:rPr>
        <w:t xml:space="preserve">The Commission must rely on licensees for the accuracy of the information </w:t>
      </w:r>
      <w:r w:rsidR="00AC3B18">
        <w:rPr>
          <w:sz w:val="22"/>
          <w:szCs w:val="22"/>
        </w:rPr>
        <w:t>provided</w:t>
      </w:r>
      <w:r w:rsidR="00A4106C">
        <w:rPr>
          <w:sz w:val="22"/>
          <w:szCs w:val="22"/>
        </w:rPr>
        <w:t xml:space="preserve"> in license</w:t>
      </w:r>
      <w:r w:rsidR="00AC3B18">
        <w:rPr>
          <w:sz w:val="22"/>
          <w:szCs w:val="22"/>
        </w:rPr>
        <w:t xml:space="preserve"> </w:t>
      </w:r>
      <w:r w:rsidR="00A4106C">
        <w:rPr>
          <w:sz w:val="22"/>
          <w:szCs w:val="22"/>
        </w:rPr>
        <w:t xml:space="preserve">applications and reflected in station licenses.  Sumarrase’s failure to specify the correct antenna in its license application has resulted in it operating at a variance from its licensed parameters </w:t>
      </w:r>
      <w:r w:rsidR="003C6825">
        <w:rPr>
          <w:sz w:val="22"/>
          <w:szCs w:val="22"/>
        </w:rPr>
        <w:t>and, potentially, to the alleged interference between WSGD-LP and W239CL</w:t>
      </w:r>
      <w:r w:rsidR="00734F0B">
        <w:rPr>
          <w:sz w:val="22"/>
          <w:szCs w:val="22"/>
        </w:rPr>
        <w:t>.</w:t>
      </w:r>
      <w:r>
        <w:rPr>
          <w:rStyle w:val="FootnoteReference"/>
          <w:szCs w:val="22"/>
        </w:rPr>
        <w:footnoteReference w:id="36"/>
      </w:r>
      <w:r w:rsidR="003C6825">
        <w:rPr>
          <w:sz w:val="22"/>
          <w:szCs w:val="22"/>
        </w:rPr>
        <w:t xml:space="preserve">  Sumarrase’s violation precludes us from acting on its interference complaint.</w:t>
      </w:r>
      <w:r w:rsidR="004D13A9">
        <w:rPr>
          <w:sz w:val="22"/>
          <w:szCs w:val="22"/>
        </w:rPr>
        <w:t xml:space="preserve">  The responsibility for correcting the antenna error and accepting the consequences </w:t>
      </w:r>
      <w:r w:rsidR="00FF287D">
        <w:rPr>
          <w:sz w:val="22"/>
          <w:szCs w:val="22"/>
        </w:rPr>
        <w:t>lies</w:t>
      </w:r>
      <w:r w:rsidR="004D13A9">
        <w:rPr>
          <w:sz w:val="22"/>
          <w:szCs w:val="22"/>
        </w:rPr>
        <w:t xml:space="preserve"> with Sumarrase.</w:t>
      </w:r>
      <w:r w:rsidR="001F03DF">
        <w:rPr>
          <w:sz w:val="22"/>
          <w:szCs w:val="22"/>
        </w:rPr>
        <w:t xml:space="preserve">  </w:t>
      </w:r>
      <w:r w:rsidR="0054586A">
        <w:rPr>
          <w:sz w:val="22"/>
          <w:szCs w:val="22"/>
        </w:rPr>
        <w:t xml:space="preserve">In a separate action we are issuing a </w:t>
      </w:r>
      <w:r w:rsidR="00F53E8B">
        <w:rPr>
          <w:sz w:val="22"/>
          <w:szCs w:val="22"/>
        </w:rPr>
        <w:t>N</w:t>
      </w:r>
      <w:r w:rsidR="00390028">
        <w:rPr>
          <w:sz w:val="22"/>
          <w:szCs w:val="22"/>
        </w:rPr>
        <w:t xml:space="preserve">otice of </w:t>
      </w:r>
      <w:r w:rsidR="00F53E8B">
        <w:rPr>
          <w:sz w:val="22"/>
          <w:szCs w:val="22"/>
        </w:rPr>
        <w:t>A</w:t>
      </w:r>
      <w:r w:rsidR="00390028">
        <w:rPr>
          <w:sz w:val="22"/>
          <w:szCs w:val="22"/>
        </w:rPr>
        <w:t xml:space="preserve">pparent </w:t>
      </w:r>
      <w:r w:rsidR="00F53E8B">
        <w:rPr>
          <w:sz w:val="22"/>
          <w:szCs w:val="22"/>
        </w:rPr>
        <w:t>L</w:t>
      </w:r>
      <w:r w:rsidR="00390028">
        <w:rPr>
          <w:sz w:val="22"/>
          <w:szCs w:val="22"/>
        </w:rPr>
        <w:t xml:space="preserve">iability </w:t>
      </w:r>
      <w:r w:rsidR="00F53E8B">
        <w:rPr>
          <w:sz w:val="22"/>
          <w:szCs w:val="22"/>
        </w:rPr>
        <w:t xml:space="preserve">for Forfeiture </w:t>
      </w:r>
      <w:r w:rsidR="00390028">
        <w:rPr>
          <w:sz w:val="22"/>
          <w:szCs w:val="22"/>
        </w:rPr>
        <w:t xml:space="preserve">to </w:t>
      </w:r>
      <w:r w:rsidR="00390028">
        <w:rPr>
          <w:sz w:val="22"/>
          <w:szCs w:val="22"/>
        </w:rPr>
        <w:t>Sumarrase</w:t>
      </w:r>
      <w:r w:rsidR="00390028">
        <w:rPr>
          <w:sz w:val="22"/>
          <w:szCs w:val="22"/>
        </w:rPr>
        <w:t xml:space="preserve"> for</w:t>
      </w:r>
      <w:r w:rsidR="001F03DF">
        <w:rPr>
          <w:sz w:val="22"/>
          <w:szCs w:val="22"/>
        </w:rPr>
        <w:t xml:space="preserve"> </w:t>
      </w:r>
      <w:r w:rsidR="00E8787D">
        <w:rPr>
          <w:sz w:val="22"/>
          <w:szCs w:val="22"/>
        </w:rPr>
        <w:t xml:space="preserve">apparently </w:t>
      </w:r>
      <w:r w:rsidR="00EE1B33">
        <w:rPr>
          <w:sz w:val="22"/>
          <w:szCs w:val="22"/>
        </w:rPr>
        <w:t>violating section 73.845 of the Commission’s rules</w:t>
      </w:r>
      <w:r w:rsidR="004C61C7">
        <w:rPr>
          <w:sz w:val="22"/>
          <w:szCs w:val="22"/>
        </w:rPr>
        <w:t xml:space="preserve"> by operating with an unauthorized antenna</w:t>
      </w:r>
      <w:r w:rsidR="000C0840">
        <w:rPr>
          <w:sz w:val="22"/>
          <w:szCs w:val="22"/>
        </w:rPr>
        <w:t>.</w:t>
      </w:r>
      <w:r w:rsidR="00EE1B33">
        <w:rPr>
          <w:sz w:val="22"/>
          <w:szCs w:val="22"/>
        </w:rPr>
        <w:t xml:space="preserve"> </w:t>
      </w:r>
      <w:r w:rsidR="000C0840">
        <w:rPr>
          <w:sz w:val="22"/>
          <w:szCs w:val="22"/>
        </w:rPr>
        <w:t xml:space="preserve"> We also</w:t>
      </w:r>
      <w:r w:rsidR="00EE1B33">
        <w:rPr>
          <w:sz w:val="22"/>
          <w:szCs w:val="22"/>
        </w:rPr>
        <w:t xml:space="preserve"> mandate that Sumarrase </w:t>
      </w:r>
      <w:r w:rsidR="004A5D76">
        <w:rPr>
          <w:sz w:val="22"/>
          <w:szCs w:val="22"/>
        </w:rPr>
        <w:t>either</w:t>
      </w:r>
      <w:r w:rsidR="004C61C7">
        <w:rPr>
          <w:sz w:val="22"/>
          <w:szCs w:val="22"/>
        </w:rPr>
        <w:t xml:space="preserve"> promptly </w:t>
      </w:r>
      <w:r w:rsidR="004A5D76">
        <w:rPr>
          <w:sz w:val="22"/>
          <w:szCs w:val="22"/>
        </w:rPr>
        <w:t xml:space="preserve">return WSGD-LP to its licensed parameters or </w:t>
      </w:r>
      <w:r w:rsidR="00EE1B33">
        <w:rPr>
          <w:sz w:val="22"/>
          <w:szCs w:val="22"/>
        </w:rPr>
        <w:t xml:space="preserve">file an application for a minor modification of its station license to correct the </w:t>
      </w:r>
      <w:r w:rsidR="00450907">
        <w:rPr>
          <w:sz w:val="22"/>
          <w:szCs w:val="22"/>
        </w:rPr>
        <w:t>violation</w:t>
      </w:r>
      <w:r>
        <w:rPr>
          <w:rStyle w:val="FootnoteReference"/>
          <w:szCs w:val="22"/>
        </w:rPr>
        <w:footnoteReference w:id="37"/>
      </w:r>
      <w:r w:rsidR="004A5D76">
        <w:rPr>
          <w:sz w:val="22"/>
          <w:szCs w:val="22"/>
        </w:rPr>
        <w:t xml:space="preserve"> and reflect the manner in which it has been operating</w:t>
      </w:r>
      <w:r w:rsidR="00EE1B33">
        <w:rPr>
          <w:sz w:val="22"/>
          <w:szCs w:val="22"/>
        </w:rPr>
        <w:t>.</w:t>
      </w:r>
      <w:r>
        <w:rPr>
          <w:rStyle w:val="FootnoteReference"/>
          <w:szCs w:val="22"/>
        </w:rPr>
        <w:footnoteReference w:id="38"/>
      </w:r>
    </w:p>
    <w:p w:rsidR="00CA082A" w:rsidP="00F7323E" w14:paraId="39EC569B" w14:textId="77777777">
      <w:pPr>
        <w:widowControl/>
        <w:shd w:val="clear" w:color="auto" w:fill="FFFFFF"/>
        <w:textAlignment w:val="baseline"/>
        <w:rPr>
          <w:rFonts w:eastAsia="Calibri"/>
          <w:snapToGrid/>
          <w:sz w:val="22"/>
          <w:szCs w:val="22"/>
        </w:rPr>
      </w:pPr>
    </w:p>
    <w:p w:rsidR="00365863" w14:paraId="34F26A6C" w14:textId="77777777">
      <w:pPr>
        <w:widowControl/>
        <w:spacing w:after="200" w:line="276" w:lineRule="auto"/>
        <w:rPr>
          <w:rFonts w:eastAsia="Calibri"/>
          <w:b/>
          <w:bCs/>
          <w:snapToGrid/>
          <w:sz w:val="22"/>
          <w:szCs w:val="22"/>
        </w:rPr>
      </w:pPr>
      <w:r>
        <w:rPr>
          <w:rFonts w:eastAsia="Calibri"/>
          <w:b/>
          <w:bCs/>
          <w:snapToGrid/>
          <w:sz w:val="22"/>
          <w:szCs w:val="22"/>
        </w:rPr>
        <w:br w:type="page"/>
      </w:r>
    </w:p>
    <w:p w:rsidR="00F7323E" w:rsidRPr="00F7323E" w:rsidP="00CA082A" w14:paraId="7E05DBCC" w14:textId="3DCE7885">
      <w:pPr>
        <w:widowControl/>
        <w:shd w:val="clear" w:color="auto" w:fill="FFFFFF"/>
        <w:ind w:firstLine="720"/>
        <w:textAlignment w:val="baseline"/>
        <w:rPr>
          <w:rFonts w:eastAsiaTheme="minorHAnsi"/>
          <w:snapToGrid/>
          <w:color w:val="2E2E2E"/>
          <w:sz w:val="22"/>
          <w:szCs w:val="22"/>
        </w:rPr>
      </w:pPr>
      <w:r>
        <w:rPr>
          <w:rFonts w:eastAsia="Calibri"/>
          <w:b/>
          <w:bCs/>
          <w:snapToGrid/>
          <w:sz w:val="22"/>
          <w:szCs w:val="22"/>
        </w:rPr>
        <w:t xml:space="preserve">Conclusion/Actions.  </w:t>
      </w:r>
      <w:r w:rsidR="00131FB8">
        <w:rPr>
          <w:rFonts w:eastAsia="Calibri"/>
          <w:snapToGrid/>
          <w:sz w:val="22"/>
          <w:szCs w:val="22"/>
        </w:rPr>
        <w:t>Ac</w:t>
      </w:r>
      <w:r w:rsidRPr="008F5818" w:rsidR="00131FB8">
        <w:rPr>
          <w:rFonts w:eastAsia="Calibri"/>
          <w:snapToGrid/>
          <w:sz w:val="22"/>
          <w:szCs w:val="22"/>
        </w:rPr>
        <w:t xml:space="preserve">cordingly, IT IS ORDERED that the </w:t>
      </w:r>
      <w:r w:rsidR="00131FB8">
        <w:rPr>
          <w:rFonts w:eastAsia="Calibri"/>
          <w:snapToGrid/>
          <w:sz w:val="22"/>
          <w:szCs w:val="22"/>
        </w:rPr>
        <w:t>Petition for Reconsideration</w:t>
      </w:r>
      <w:r w:rsidRPr="008F5818" w:rsidR="00131FB8">
        <w:rPr>
          <w:rFonts w:eastAsia="Calibri"/>
          <w:snapToGrid/>
          <w:sz w:val="22"/>
          <w:szCs w:val="22"/>
        </w:rPr>
        <w:t xml:space="preserve">, filed </w:t>
      </w:r>
      <w:r w:rsidR="0072295C">
        <w:rPr>
          <w:rFonts w:eastAsia="Calibri"/>
          <w:snapToGrid/>
          <w:sz w:val="22"/>
          <w:szCs w:val="22"/>
        </w:rPr>
        <w:t>October 6</w:t>
      </w:r>
      <w:r w:rsidR="00131FB8">
        <w:rPr>
          <w:rFonts w:eastAsia="Calibri"/>
          <w:snapToGrid/>
          <w:sz w:val="22"/>
          <w:szCs w:val="22"/>
        </w:rPr>
        <w:t>,</w:t>
      </w:r>
      <w:r w:rsidR="0072295C">
        <w:rPr>
          <w:rFonts w:eastAsia="Calibri"/>
          <w:snapToGrid/>
          <w:sz w:val="22"/>
          <w:szCs w:val="22"/>
        </w:rPr>
        <w:t xml:space="preserve"> 2020,</w:t>
      </w:r>
      <w:r w:rsidRPr="008F5818" w:rsidR="00131FB8">
        <w:rPr>
          <w:rFonts w:eastAsia="Calibri"/>
          <w:snapToGrid/>
          <w:sz w:val="22"/>
          <w:szCs w:val="22"/>
        </w:rPr>
        <w:t xml:space="preserve"> </w:t>
      </w:r>
      <w:r w:rsidR="00131FB8">
        <w:rPr>
          <w:rFonts w:eastAsia="Calibri"/>
          <w:snapToGrid/>
          <w:sz w:val="22"/>
          <w:szCs w:val="22"/>
        </w:rPr>
        <w:t xml:space="preserve">by </w:t>
      </w:r>
      <w:r w:rsidR="0072295C">
        <w:rPr>
          <w:rFonts w:eastAsia="Calibri"/>
          <w:snapToGrid/>
          <w:sz w:val="22"/>
          <w:szCs w:val="22"/>
        </w:rPr>
        <w:t>Sumarrase, Inc.</w:t>
      </w:r>
      <w:r w:rsidR="00131FB8">
        <w:rPr>
          <w:rFonts w:eastAsia="Calibri"/>
          <w:snapToGrid/>
          <w:sz w:val="22"/>
          <w:szCs w:val="22"/>
        </w:rPr>
        <w:t>, IS</w:t>
      </w:r>
      <w:r w:rsidRPr="008F5818" w:rsidR="00131FB8">
        <w:rPr>
          <w:rFonts w:eastAsia="Calibri"/>
          <w:snapToGrid/>
          <w:sz w:val="22"/>
          <w:szCs w:val="22"/>
        </w:rPr>
        <w:t xml:space="preserve"> D</w:t>
      </w:r>
      <w:r w:rsidR="00131FB8">
        <w:rPr>
          <w:rFonts w:eastAsia="Calibri"/>
          <w:snapToGrid/>
          <w:sz w:val="22"/>
          <w:szCs w:val="22"/>
        </w:rPr>
        <w:t>ISMISSED.</w:t>
      </w:r>
      <w:r>
        <w:rPr>
          <w:rFonts w:eastAsia="Calibri"/>
          <w:snapToGrid/>
          <w:sz w:val="22"/>
          <w:szCs w:val="22"/>
        </w:rPr>
        <w:t xml:space="preserve">  </w:t>
      </w:r>
    </w:p>
    <w:p w:rsidR="00131FB8" w:rsidP="00131FB8" w14:paraId="59F9B63D" w14:textId="6381C3AB">
      <w:pPr>
        <w:rPr>
          <w:rFonts w:eastAsia="Calibri"/>
          <w:snapToGrid/>
          <w:sz w:val="22"/>
          <w:szCs w:val="22"/>
        </w:rPr>
      </w:pPr>
      <w:r>
        <w:rPr>
          <w:rFonts w:eastAsia="Calibri"/>
          <w:snapToGrid/>
          <w:sz w:val="22"/>
          <w:szCs w:val="22"/>
        </w:rPr>
        <w:t xml:space="preserve"> </w:t>
      </w:r>
    </w:p>
    <w:p w:rsidR="00131FB8" w:rsidP="00131FB8" w14:paraId="5BD11807" w14:textId="77777777">
      <w:pPr>
        <w:ind w:firstLine="720"/>
        <w:rPr>
          <w:rFonts w:eastAsia="Calibri"/>
          <w:snapToGrid/>
          <w:sz w:val="22"/>
          <w:szCs w:val="22"/>
        </w:rPr>
      </w:pPr>
    </w:p>
    <w:p w:rsidR="00131FB8" w:rsidRPr="008F5818" w:rsidP="00131FB8" w14:paraId="7F93A486" w14:textId="77777777">
      <w:pPr>
        <w:pStyle w:val="BodyText"/>
        <w:ind w:left="5040"/>
        <w:rPr>
          <w:sz w:val="22"/>
          <w:szCs w:val="22"/>
        </w:rPr>
      </w:pPr>
      <w:r w:rsidRPr="008F5818">
        <w:rPr>
          <w:sz w:val="22"/>
          <w:szCs w:val="22"/>
        </w:rPr>
        <w:t>Sincerely,</w:t>
      </w:r>
    </w:p>
    <w:p w:rsidR="00131FB8" w:rsidRPr="008F5818" w:rsidP="00131FB8" w14:paraId="5E1B9CAB" w14:textId="77777777">
      <w:pPr>
        <w:pStyle w:val="BodyText"/>
        <w:rPr>
          <w:sz w:val="22"/>
          <w:szCs w:val="22"/>
        </w:rPr>
      </w:pPr>
    </w:p>
    <w:p w:rsidR="00131FB8" w:rsidRPr="008F5818" w:rsidP="00131FB8" w14:paraId="64562CDA" w14:textId="77777777">
      <w:pPr>
        <w:pStyle w:val="BodyText"/>
        <w:rPr>
          <w:sz w:val="22"/>
          <w:szCs w:val="22"/>
        </w:rPr>
      </w:pPr>
    </w:p>
    <w:p w:rsidR="00131FB8" w:rsidRPr="008F5818" w:rsidP="00131FB8" w14:paraId="59039424" w14:textId="77777777">
      <w:pPr>
        <w:pStyle w:val="BodyText"/>
        <w:rPr>
          <w:sz w:val="22"/>
          <w:szCs w:val="22"/>
        </w:rPr>
      </w:pPr>
    </w:p>
    <w:p w:rsidR="00131FB8" w:rsidRPr="008F5818" w:rsidP="00131FB8" w14:paraId="795706F6" w14:textId="77777777">
      <w:pPr>
        <w:pStyle w:val="BodyText"/>
        <w:rPr>
          <w:sz w:val="22"/>
          <w:szCs w:val="22"/>
        </w:rPr>
      </w:pP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r>
      <w:r>
        <w:rPr>
          <w:sz w:val="22"/>
          <w:szCs w:val="22"/>
        </w:rPr>
        <w:t>Albert Shuldiner</w:t>
      </w:r>
    </w:p>
    <w:p w:rsidR="00131FB8" w:rsidRPr="008F5818" w:rsidP="00131FB8" w14:paraId="1AB2FC10" w14:textId="77777777">
      <w:pPr>
        <w:pStyle w:val="BodyText"/>
        <w:rPr>
          <w:sz w:val="22"/>
          <w:szCs w:val="22"/>
        </w:rPr>
      </w:pP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r>
      <w:r w:rsidRPr="008F5818">
        <w:rPr>
          <w:sz w:val="22"/>
          <w:szCs w:val="22"/>
        </w:rPr>
        <w:tab/>
        <w:t>Chief, Audio Division</w:t>
      </w:r>
    </w:p>
    <w:p w:rsidR="00131FB8" w:rsidP="00CA082A" w14:paraId="7357AB7A" w14:textId="30FD0422">
      <w:pPr>
        <w:ind w:left="2160" w:firstLine="720"/>
        <w:rPr>
          <w:sz w:val="22"/>
          <w:szCs w:val="22"/>
        </w:rPr>
      </w:pPr>
      <w:r w:rsidRPr="008F5818">
        <w:rPr>
          <w:sz w:val="22"/>
          <w:szCs w:val="22"/>
        </w:rPr>
        <w:tab/>
      </w:r>
      <w:r w:rsidRPr="008F5818">
        <w:rPr>
          <w:sz w:val="22"/>
          <w:szCs w:val="22"/>
        </w:rPr>
        <w:tab/>
      </w:r>
      <w:r w:rsidRPr="008F5818">
        <w:rPr>
          <w:sz w:val="22"/>
          <w:szCs w:val="22"/>
        </w:rPr>
        <w:tab/>
        <w:t>M</w:t>
      </w:r>
      <w:r w:rsidR="00CA082A">
        <w:rPr>
          <w:sz w:val="22"/>
          <w:szCs w:val="22"/>
        </w:rPr>
        <w:t>edia Bureau</w:t>
      </w:r>
    </w:p>
    <w:sectPr w:rsidSect="00BF6E58">
      <w:headerReference w:type="default" r:id="rId6"/>
      <w:footerReference w:type="even" r:id="rId7"/>
      <w:footerReference w:type="default" r:id="rId8"/>
      <w:headerReference w:type="first" r:id="rId9"/>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SansPro-It">
    <w:altName w:val="Calibri"/>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09FECF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0F793D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58CAF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CB1">
      <w:rPr>
        <w:rStyle w:val="PageNumber"/>
        <w:noProof/>
      </w:rPr>
      <w:t>3</w:t>
    </w:r>
    <w:r>
      <w:rPr>
        <w:rStyle w:val="PageNumber"/>
      </w:rPr>
      <w:fldChar w:fldCharType="end"/>
    </w:r>
  </w:p>
  <w:p w:rsidR="00BF6E58" w14:paraId="7D5884B2" w14:textId="77777777">
    <w:pPr>
      <w:spacing w:before="140" w:line="100" w:lineRule="exact"/>
      <w:rPr>
        <w:sz w:val="10"/>
      </w:rPr>
    </w:pPr>
  </w:p>
  <w:p w:rsidR="00BF6E58" w14:paraId="47E7A9DC" w14:textId="77777777">
    <w:pPr>
      <w:suppressAutoHyphens/>
      <w:spacing w:line="227" w:lineRule="auto"/>
      <w:jc w:val="both"/>
    </w:pPr>
  </w:p>
  <w:p w:rsidR="00BF6E58" w14:paraId="1D6C26E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53F6" w:rsidP="00DE5E79" w14:paraId="5B456936" w14:textId="77777777">
      <w:r>
        <w:separator/>
      </w:r>
    </w:p>
  </w:footnote>
  <w:footnote w:type="continuationSeparator" w:id="1">
    <w:p w:rsidR="00C053F6" w:rsidP="00DE5E79" w14:paraId="50F3C517" w14:textId="77777777">
      <w:r>
        <w:continuationSeparator/>
      </w:r>
    </w:p>
  </w:footnote>
  <w:footnote w:id="2">
    <w:p w:rsidR="00131FB8" w:rsidRPr="009E08ED" w:rsidP="00131FB8" w14:paraId="4B122AD6" w14:textId="55F225AC">
      <w:pPr>
        <w:pStyle w:val="FootnoteText"/>
      </w:pPr>
      <w:r w:rsidRPr="009E08ED">
        <w:rPr>
          <w:rStyle w:val="FootnoteReference"/>
          <w:rFonts w:ascii="Times New Roman" w:hAnsi="Times New Roman"/>
        </w:rPr>
        <w:footnoteRef/>
      </w:r>
      <w:r w:rsidRPr="009E08ED">
        <w:t xml:space="preserve"> </w:t>
      </w:r>
      <w:r w:rsidRPr="009E08ED" w:rsidR="00D27D6C">
        <w:t xml:space="preserve">Petition for Reconsideration of Sumarrase, Pleading </w:t>
      </w:r>
      <w:r w:rsidR="00A94BC8">
        <w:t xml:space="preserve">File </w:t>
      </w:r>
      <w:r w:rsidRPr="009E08ED" w:rsidR="00D27D6C">
        <w:t>No. 0000124025 (Oct, 6, 2020</w:t>
      </w:r>
      <w:r w:rsidRPr="009E08ED" w:rsidR="00B37248">
        <w:t>)</w:t>
      </w:r>
      <w:r w:rsidRPr="009E08ED" w:rsidR="00D27D6C">
        <w:t>; Opposition t</w:t>
      </w:r>
      <w:r w:rsidRPr="009E08ED" w:rsidR="006E71FE">
        <w:t xml:space="preserve">o </w:t>
      </w:r>
      <w:r w:rsidRPr="009E08ED" w:rsidR="00D27D6C">
        <w:t>Petition for Reconsideration</w:t>
      </w:r>
      <w:r w:rsidRPr="009E08ED" w:rsidR="00D164A4">
        <w:t xml:space="preserve"> (Opposition),</w:t>
      </w:r>
      <w:r w:rsidRPr="009E08ED" w:rsidR="00D27D6C">
        <w:t xml:space="preserve"> filed by Fort Myers Broadcasting Company (FMBC), Pleading </w:t>
      </w:r>
      <w:r w:rsidR="00A94BC8">
        <w:t xml:space="preserve">File </w:t>
      </w:r>
      <w:r w:rsidRPr="009E08ED" w:rsidR="00D27D6C">
        <w:t>No. 00001</w:t>
      </w:r>
      <w:r w:rsidRPr="009E08ED" w:rsidR="009A3380">
        <w:t>24701</w:t>
      </w:r>
      <w:r w:rsidRPr="009E08ED" w:rsidR="00D27D6C">
        <w:t xml:space="preserve"> (</w:t>
      </w:r>
      <w:r w:rsidRPr="009E08ED" w:rsidR="00B37248">
        <w:t>Oct. 15</w:t>
      </w:r>
      <w:r w:rsidRPr="009E08ED" w:rsidR="00D27D6C">
        <w:t xml:space="preserve">, 2020); </w:t>
      </w:r>
      <w:r w:rsidRPr="009E08ED" w:rsidR="00E11E2F">
        <w:t>Sumarrase Reply to Opposition</w:t>
      </w:r>
      <w:r w:rsidRPr="009E08ED" w:rsidR="00242975">
        <w:t xml:space="preserve"> (Reply)</w:t>
      </w:r>
      <w:r w:rsidRPr="009E08ED" w:rsidR="00E11E2F">
        <w:t xml:space="preserve">, Pleading </w:t>
      </w:r>
      <w:r w:rsidR="00A94BC8">
        <w:t xml:space="preserve">File </w:t>
      </w:r>
      <w:r w:rsidRPr="009E08ED" w:rsidR="00E11E2F">
        <w:t xml:space="preserve">No. 0000125099 (Oct. 27, 2020); FMBC Motion for Leave to File, Pleading </w:t>
      </w:r>
      <w:r w:rsidR="00A94BC8">
        <w:t xml:space="preserve">File </w:t>
      </w:r>
      <w:r w:rsidRPr="009E08ED" w:rsidR="00E11E2F">
        <w:t>No. 000012</w:t>
      </w:r>
      <w:r w:rsidRPr="009E08ED" w:rsidR="009A3380">
        <w:t>5498</w:t>
      </w:r>
      <w:r w:rsidRPr="009E08ED" w:rsidR="00E11E2F">
        <w:t xml:space="preserve"> (Nov. 4, 2020); </w:t>
      </w:r>
      <w:r w:rsidRPr="009E08ED" w:rsidR="00BE0615">
        <w:t xml:space="preserve">FMBC Motion for Leave to Dismiss Reply to Opposition, Pleading </w:t>
      </w:r>
      <w:r w:rsidR="00740048">
        <w:t xml:space="preserve">File </w:t>
      </w:r>
      <w:r w:rsidRPr="009E08ED" w:rsidR="00BE0615">
        <w:t xml:space="preserve">No. </w:t>
      </w:r>
      <w:r w:rsidRPr="009E08ED" w:rsidR="00826929">
        <w:t xml:space="preserve">0000125502 (Nov. 4, 2020); Sumarrase Opposition to Motion to Dismiss, Pleading </w:t>
      </w:r>
      <w:r w:rsidR="00740048">
        <w:t xml:space="preserve">File </w:t>
      </w:r>
      <w:r w:rsidRPr="009E08ED" w:rsidR="00826929">
        <w:t>No. 000012</w:t>
      </w:r>
      <w:r w:rsidRPr="009E08ED" w:rsidR="009A3380">
        <w:t>5689</w:t>
      </w:r>
      <w:r w:rsidRPr="009E08ED" w:rsidR="00826929">
        <w:t xml:space="preserve"> (Nov. 9, 2020);</w:t>
      </w:r>
      <w:r w:rsidRPr="009E08ED" w:rsidR="009A3380">
        <w:t xml:space="preserve"> FMBC </w:t>
      </w:r>
      <w:r w:rsidRPr="009E08ED" w:rsidR="001E0EFE">
        <w:t>Reply to Opposition to Motion to Dismiss</w:t>
      </w:r>
      <w:r w:rsidRPr="009E08ED" w:rsidR="009A3380">
        <w:t xml:space="preserve">, Pleading </w:t>
      </w:r>
      <w:r w:rsidR="00740048">
        <w:t xml:space="preserve">File </w:t>
      </w:r>
      <w:r w:rsidRPr="009E08ED" w:rsidR="009A3380">
        <w:t xml:space="preserve">No. 0000125979 (Nov. 13, 2020); and Sumarrase </w:t>
      </w:r>
      <w:r w:rsidRPr="009E08ED" w:rsidR="00956C73">
        <w:t xml:space="preserve">“Final </w:t>
      </w:r>
      <w:r w:rsidRPr="009E08ED" w:rsidR="009A3380">
        <w:t>Reply</w:t>
      </w:r>
      <w:r w:rsidRPr="009E08ED" w:rsidR="00956C73">
        <w:t xml:space="preserve"> to any FMBC to FCC Motions</w:t>
      </w:r>
      <w:r w:rsidRPr="009E08ED" w:rsidR="009A3380">
        <w:t>,</w:t>
      </w:r>
      <w:r w:rsidRPr="009E08ED" w:rsidR="00956C73">
        <w:t>”</w:t>
      </w:r>
      <w:r w:rsidRPr="009E08ED" w:rsidR="009A3380">
        <w:t xml:space="preserve"> Pleading </w:t>
      </w:r>
      <w:r w:rsidR="00740048">
        <w:t xml:space="preserve">File </w:t>
      </w:r>
      <w:r w:rsidRPr="009E08ED" w:rsidR="009A3380">
        <w:t xml:space="preserve">No. 0000126454 (Nov. 19, 2020).  </w:t>
      </w:r>
      <w:r w:rsidRPr="009E08ED" w:rsidR="00705EB0">
        <w:t xml:space="preserve">In addition, </w:t>
      </w:r>
      <w:r w:rsidRPr="009E08ED" w:rsidR="00F77F9E">
        <w:t xml:space="preserve">between </w:t>
      </w:r>
      <w:r w:rsidRPr="009E08ED" w:rsidR="00885A1A">
        <w:t xml:space="preserve">February 5, 2021, and March 5, 2021, Sumarrase sent several emails to Bureau staff regarding </w:t>
      </w:r>
      <w:r w:rsidRPr="009E08ED" w:rsidR="006E71FE">
        <w:t>further allegations against</w:t>
      </w:r>
      <w:r w:rsidRPr="009E08ED" w:rsidR="00FF0A14">
        <w:t xml:space="preserve"> FMBC</w:t>
      </w:r>
      <w:r w:rsidRPr="009E08ED" w:rsidR="00885A1A">
        <w:t>.  Bureau staff subsequently notified Sumarrase that</w:t>
      </w:r>
      <w:r w:rsidRPr="009E08ED" w:rsidR="00FF0A14">
        <w:t xml:space="preserve"> the emails, which were not served on the other party to this proceeding, </w:t>
      </w:r>
      <w:r w:rsidRPr="009E08ED" w:rsidR="00ED3727">
        <w:t>were</w:t>
      </w:r>
      <w:r w:rsidRPr="009E08ED" w:rsidR="00FF0A14">
        <w:t xml:space="preserve"> prohibited </w:t>
      </w:r>
      <w:r w:rsidRPr="009E08ED" w:rsidR="00FF0A14">
        <w:rPr>
          <w:i/>
          <w:iCs/>
        </w:rPr>
        <w:t>ex parte</w:t>
      </w:r>
      <w:r w:rsidRPr="009E08ED" w:rsidR="00FF0A14">
        <w:t xml:space="preserve"> communications.</w:t>
      </w:r>
      <w:r w:rsidRPr="009E08ED" w:rsidR="00705EB0">
        <w:t xml:space="preserve"> </w:t>
      </w:r>
      <w:r w:rsidRPr="009E08ED" w:rsidR="00826929">
        <w:t xml:space="preserve"> </w:t>
      </w:r>
      <w:r w:rsidRPr="009E08ED" w:rsidR="00BE0615">
        <w:t xml:space="preserve"> </w:t>
      </w:r>
      <w:r w:rsidRPr="009E08ED" w:rsidR="00E11E2F">
        <w:t xml:space="preserve"> </w:t>
      </w:r>
    </w:p>
  </w:footnote>
  <w:footnote w:id="3">
    <w:p w:rsidR="00F72F7D" w:rsidRPr="00F72F7D" w14:paraId="491E3514" w14:textId="05C6FA92">
      <w:pPr>
        <w:pStyle w:val="FootnoteText"/>
      </w:pPr>
      <w:r w:rsidRPr="009E08ED">
        <w:rPr>
          <w:rStyle w:val="FootnoteReference"/>
          <w:rFonts w:ascii="Times New Roman" w:hAnsi="Times New Roman"/>
        </w:rPr>
        <w:footnoteRef/>
      </w:r>
      <w:r w:rsidRPr="009E08ED">
        <w:t xml:space="preserve"> </w:t>
      </w:r>
      <w:r w:rsidRPr="009E08ED">
        <w:rPr>
          <w:i/>
          <w:iCs/>
        </w:rPr>
        <w:t xml:space="preserve">See </w:t>
      </w:r>
      <w:r w:rsidR="00B965EE">
        <w:t xml:space="preserve">Application </w:t>
      </w:r>
      <w:r w:rsidRPr="009E08ED">
        <w:t>File No. 0000120834, granted September 25, 2020.</w:t>
      </w:r>
      <w:r>
        <w:t xml:space="preserve"> </w:t>
      </w:r>
    </w:p>
  </w:footnote>
  <w:footnote w:id="4">
    <w:p w:rsidR="0077510C" w:rsidRPr="006F0638" w14:paraId="5368F338" w14:textId="60FA5DA7">
      <w:pPr>
        <w:pStyle w:val="FootnoteText"/>
      </w:pPr>
      <w:r w:rsidRPr="006F0638">
        <w:rPr>
          <w:rStyle w:val="FootnoteReference"/>
          <w:rFonts w:ascii="Times New Roman" w:hAnsi="Times New Roman"/>
        </w:rPr>
        <w:footnoteRef/>
      </w:r>
      <w:r w:rsidRPr="006F0638">
        <w:t xml:space="preserve"> </w:t>
      </w:r>
      <w:r w:rsidRPr="006F0638">
        <w:rPr>
          <w:i/>
          <w:iCs/>
        </w:rPr>
        <w:t xml:space="preserve">See </w:t>
      </w:r>
      <w:r w:rsidR="00B965EE">
        <w:t xml:space="preserve">Application </w:t>
      </w:r>
      <w:r w:rsidRPr="006F0638">
        <w:t>File No.</w:t>
      </w:r>
      <w:r w:rsidRPr="006F0638" w:rsidR="00F7460F">
        <w:t xml:space="preserve"> </w:t>
      </w:r>
      <w:r w:rsidR="00BC1A54">
        <w:t>0000106772</w:t>
      </w:r>
      <w:r w:rsidRPr="006F0638" w:rsidR="00F7460F">
        <w:t xml:space="preserve">. </w:t>
      </w:r>
    </w:p>
  </w:footnote>
  <w:footnote w:id="5">
    <w:p w:rsidR="00E72833" w14:paraId="7A99A3E1" w14:textId="68A81648">
      <w:pPr>
        <w:pStyle w:val="FootnoteText"/>
      </w:pPr>
      <w:r>
        <w:rPr>
          <w:rStyle w:val="FootnoteReference"/>
        </w:rPr>
        <w:footnoteRef/>
      </w:r>
      <w:r>
        <w:t xml:space="preserve"> </w:t>
      </w:r>
      <w:r w:rsidRPr="003B789B" w:rsidR="00CD3406">
        <w:rPr>
          <w:i/>
          <w:iCs/>
        </w:rPr>
        <w:t xml:space="preserve">See </w:t>
      </w:r>
      <w:r w:rsidR="00CD3406">
        <w:rPr>
          <w:i/>
          <w:iCs/>
        </w:rPr>
        <w:t xml:space="preserve">Applications, </w:t>
      </w:r>
      <w:r w:rsidR="00CD3406">
        <w:t>Pub</w:t>
      </w:r>
      <w:r w:rsidRPr="003B789B" w:rsidR="00CD3406">
        <w:t xml:space="preserve">lic Notice, </w:t>
      </w:r>
      <w:r w:rsidR="008C4A04">
        <w:t>Report No. PN-1-200831-01</w:t>
      </w:r>
      <w:r w:rsidR="00BD577D">
        <w:t xml:space="preserve"> </w:t>
      </w:r>
      <w:r w:rsidRPr="003B789B" w:rsidR="00CD3406">
        <w:t>(</w:t>
      </w:r>
      <w:r w:rsidR="008C4A04">
        <w:t>August 31</w:t>
      </w:r>
      <w:r w:rsidRPr="003B789B" w:rsidR="00CD3406">
        <w:t>, 202</w:t>
      </w:r>
      <w:r w:rsidR="008C4A04">
        <w:t>0</w:t>
      </w:r>
      <w:r w:rsidRPr="003B789B" w:rsidR="00CD3406">
        <w:t>)</w:t>
      </w:r>
      <w:r w:rsidR="00CD3406">
        <w:t>.</w:t>
      </w:r>
    </w:p>
  </w:footnote>
  <w:footnote w:id="6">
    <w:p w:rsidR="00E72833" w14:paraId="7EFE8E8E" w14:textId="37E43A1E">
      <w:pPr>
        <w:pStyle w:val="FootnoteText"/>
      </w:pPr>
      <w:r>
        <w:rPr>
          <w:rStyle w:val="FootnoteReference"/>
        </w:rPr>
        <w:footnoteRef/>
      </w:r>
      <w:r>
        <w:t xml:space="preserve"> </w:t>
      </w:r>
      <w:r w:rsidRPr="003B789B" w:rsidR="00CD3406">
        <w:rPr>
          <w:i/>
          <w:iCs/>
        </w:rPr>
        <w:t>See Actions</w:t>
      </w:r>
      <w:r w:rsidRPr="003B789B" w:rsidR="00CD3406">
        <w:t xml:space="preserve">, Public Notice, </w:t>
      </w:r>
      <w:r w:rsidR="00BD577D">
        <w:t xml:space="preserve">Report No. PN-2-200929-01 </w:t>
      </w:r>
      <w:r w:rsidRPr="003B789B" w:rsidR="00CD3406">
        <w:t>(</w:t>
      </w:r>
      <w:r w:rsidR="00BD577D">
        <w:t>September 29</w:t>
      </w:r>
      <w:r w:rsidRPr="003B789B" w:rsidR="00CD3406">
        <w:t>, 202</w:t>
      </w:r>
      <w:r w:rsidR="00BD577D">
        <w:t>0</w:t>
      </w:r>
      <w:r w:rsidRPr="003B789B" w:rsidR="00CD3406">
        <w:t>)</w:t>
      </w:r>
      <w:r w:rsidR="00CD3406">
        <w:t>.</w:t>
      </w:r>
    </w:p>
  </w:footnote>
  <w:footnote w:id="7">
    <w:p w:rsidR="00F02AA8" w:rsidRPr="006F0638" w14:paraId="1E1E7435" w14:textId="4C265E09">
      <w:pPr>
        <w:pStyle w:val="FootnoteText"/>
      </w:pPr>
      <w:r w:rsidRPr="006F0638">
        <w:rPr>
          <w:rStyle w:val="FootnoteReference"/>
          <w:rFonts w:ascii="Times New Roman" w:hAnsi="Times New Roman"/>
        </w:rPr>
        <w:footnoteRef/>
      </w:r>
      <w:r w:rsidRPr="006F0638">
        <w:t xml:space="preserve"> </w:t>
      </w:r>
      <w:r w:rsidRPr="006F0638">
        <w:rPr>
          <w:i/>
          <w:iCs/>
        </w:rPr>
        <w:t xml:space="preserve">See </w:t>
      </w:r>
      <w:r w:rsidRPr="006F0638">
        <w:t>Petition at 2 and Exhibit 1.</w:t>
      </w:r>
    </w:p>
  </w:footnote>
  <w:footnote w:id="8">
    <w:p w:rsidR="007A336F" w:rsidRPr="006F0638" w14:paraId="4BE69997" w14:textId="795FD600">
      <w:pPr>
        <w:pStyle w:val="FootnoteText"/>
      </w:pPr>
      <w:r w:rsidRPr="006F0638">
        <w:rPr>
          <w:rStyle w:val="FootnoteReference"/>
          <w:rFonts w:ascii="Times New Roman" w:hAnsi="Times New Roman"/>
        </w:rPr>
        <w:footnoteRef/>
      </w:r>
      <w:r w:rsidRPr="006F0638">
        <w:t xml:space="preserve"> </w:t>
      </w:r>
      <w:r w:rsidRPr="006F0638">
        <w:rPr>
          <w:i/>
          <w:iCs/>
        </w:rPr>
        <w:t xml:space="preserve">Id. </w:t>
      </w:r>
      <w:r w:rsidRPr="006F0638">
        <w:t>at 1-2.</w:t>
      </w:r>
    </w:p>
  </w:footnote>
  <w:footnote w:id="9">
    <w:p w:rsidR="00BA7D6D" w:rsidRPr="006F0638" w14:paraId="1DD157AD" w14:textId="1342D675">
      <w:pPr>
        <w:pStyle w:val="FootnoteText"/>
      </w:pPr>
      <w:r w:rsidRPr="006F0638">
        <w:rPr>
          <w:rStyle w:val="FootnoteReference"/>
          <w:rFonts w:ascii="Times New Roman" w:hAnsi="Times New Roman"/>
        </w:rPr>
        <w:footnoteRef/>
      </w:r>
      <w:r w:rsidRPr="006F0638">
        <w:t xml:space="preserve"> </w:t>
      </w:r>
      <w:r w:rsidRPr="006F0638">
        <w:rPr>
          <w:i/>
          <w:iCs/>
        </w:rPr>
        <w:t>Id.</w:t>
      </w:r>
      <w:r w:rsidRPr="006F0638">
        <w:t xml:space="preserve"> at 2.  </w:t>
      </w:r>
      <w:r w:rsidRPr="006F0638">
        <w:rPr>
          <w:i/>
          <w:iCs/>
        </w:rPr>
        <w:t>See also Sumarrase, Inc. v. Fort Meyers Broadcasting Co.</w:t>
      </w:r>
      <w:r w:rsidRPr="006F0638">
        <w:t xml:space="preserve">, </w:t>
      </w:r>
      <w:r w:rsidR="00BE48EB">
        <w:t>Circuit Court of the Twe</w:t>
      </w:r>
      <w:r w:rsidR="007B3B8A">
        <w:t>ntieth</w:t>
      </w:r>
      <w:r w:rsidR="00BE48EB">
        <w:t xml:space="preserve"> Judicial Circuit, Lee County, Florida, </w:t>
      </w:r>
      <w:r w:rsidRPr="006F0638">
        <w:t>Case No. 202-CA-004070</w:t>
      </w:r>
      <w:r w:rsidR="007B3B8A">
        <w:t xml:space="preserve"> (</w:t>
      </w:r>
      <w:r w:rsidR="005D7937">
        <w:t xml:space="preserve">June 22, </w:t>
      </w:r>
      <w:r w:rsidR="007B3B8A">
        <w:t>2020)</w:t>
      </w:r>
      <w:r w:rsidRPr="006F0638">
        <w:t>.</w:t>
      </w:r>
      <w:r w:rsidRPr="006F0638" w:rsidR="00326F89">
        <w:t xml:space="preserve">  Sumarrase states that on September 25, 2020, its tower landlord notified it that FMBC was attempting to gain access to WSGD-LP.</w:t>
      </w:r>
      <w:r w:rsidR="00D02432">
        <w:t xml:space="preserve">  The case was dismissed without prejudice on November 30, 2020.</w:t>
      </w:r>
      <w:r w:rsidRPr="006F0638" w:rsidR="00326F89">
        <w:t xml:space="preserve">  </w:t>
      </w:r>
      <w:r w:rsidRPr="006F0638">
        <w:t xml:space="preserve">    </w:t>
      </w:r>
    </w:p>
  </w:footnote>
  <w:footnote w:id="10">
    <w:p w:rsidR="00DE4CED" w:rsidRPr="006F0638" w14:paraId="6B192BB4" w14:textId="0B414B82">
      <w:pPr>
        <w:pStyle w:val="FootnoteText"/>
      </w:pPr>
      <w:r w:rsidRPr="006F0638">
        <w:rPr>
          <w:rStyle w:val="FootnoteReference"/>
          <w:rFonts w:ascii="Times New Roman" w:hAnsi="Times New Roman"/>
        </w:rPr>
        <w:footnoteRef/>
      </w:r>
      <w:r w:rsidRPr="006F0638">
        <w:t xml:space="preserve"> </w:t>
      </w:r>
      <w:r w:rsidRPr="006F0638">
        <w:rPr>
          <w:i/>
          <w:iCs/>
        </w:rPr>
        <w:t xml:space="preserve">See </w:t>
      </w:r>
      <w:r w:rsidRPr="006F0638">
        <w:t>47 CFR § 1.106.</w:t>
      </w:r>
    </w:p>
  </w:footnote>
  <w:footnote w:id="11">
    <w:p w:rsidR="00DE4CED" w:rsidRPr="006F0638" w14:paraId="138116C0" w14:textId="2C956C46">
      <w:pPr>
        <w:pStyle w:val="FootnoteText"/>
      </w:pPr>
      <w:r w:rsidRPr="006F0638">
        <w:rPr>
          <w:rStyle w:val="FootnoteReference"/>
          <w:rFonts w:ascii="Times New Roman" w:hAnsi="Times New Roman"/>
        </w:rPr>
        <w:footnoteRef/>
      </w:r>
      <w:r w:rsidRPr="006F0638">
        <w:t xml:space="preserve"> Objection at 1.</w:t>
      </w:r>
    </w:p>
  </w:footnote>
  <w:footnote w:id="12">
    <w:p w:rsidR="00DE4CED" w:rsidRPr="006949F0" w14:paraId="3F375544" w14:textId="377566FF">
      <w:pPr>
        <w:pStyle w:val="FootnoteText"/>
      </w:pPr>
      <w:r w:rsidRPr="006F0638">
        <w:rPr>
          <w:rStyle w:val="FootnoteReference"/>
          <w:rFonts w:ascii="Times New Roman" w:hAnsi="Times New Roman"/>
        </w:rPr>
        <w:footnoteRef/>
      </w:r>
      <w:r w:rsidRPr="006F0638">
        <w:t xml:space="preserve"> </w:t>
      </w:r>
      <w:r w:rsidRPr="006F0638">
        <w:rPr>
          <w:i/>
          <w:iCs/>
        </w:rPr>
        <w:t xml:space="preserve">Id. </w:t>
      </w:r>
      <w:r w:rsidRPr="006F0638">
        <w:t xml:space="preserve">at 2.  </w:t>
      </w:r>
      <w:r w:rsidRPr="006F0638">
        <w:rPr>
          <w:i/>
          <w:iCs/>
        </w:rPr>
        <w:t>See</w:t>
      </w:r>
      <w:r w:rsidRPr="006F0638">
        <w:t xml:space="preserve"> </w:t>
      </w:r>
      <w:r w:rsidRPr="006F0638" w:rsidR="00ED3727">
        <w:t>Pleading</w:t>
      </w:r>
      <w:r w:rsidRPr="006F0638">
        <w:t xml:space="preserve"> </w:t>
      </w:r>
      <w:r w:rsidR="005B5314">
        <w:t xml:space="preserve">File </w:t>
      </w:r>
      <w:r w:rsidRPr="006F0638">
        <w:t>Nos. 0000106515 (February 24, 2020</w:t>
      </w:r>
      <w:r w:rsidRPr="006F0638" w:rsidR="00ED3727">
        <w:t xml:space="preserve">); 0000108726 and 0000108741 (March 23, 2020); </w:t>
      </w:r>
      <w:r w:rsidRPr="006F0638">
        <w:t>0000119563 (July 31, 2020)</w:t>
      </w:r>
      <w:r w:rsidRPr="006F0638" w:rsidR="00ED3727">
        <w:t>;</w:t>
      </w:r>
      <w:r w:rsidRPr="006F0638">
        <w:t xml:space="preserve"> 0000120308 (August 11, 2020)</w:t>
      </w:r>
      <w:r w:rsidRPr="006F0638" w:rsidR="00ED3727">
        <w:t>;</w:t>
      </w:r>
      <w:r w:rsidRPr="006F0638">
        <w:t xml:space="preserve"> 0000120661 (August 31, 2020)</w:t>
      </w:r>
      <w:r w:rsidRPr="006F0638" w:rsidR="00ED3727">
        <w:t>;</w:t>
      </w:r>
      <w:r w:rsidRPr="006F0638">
        <w:t xml:space="preserve"> and 0000124025 (October 6, 2020).</w:t>
      </w:r>
      <w:r w:rsidRPr="006F0638" w:rsidR="00ED3727">
        <w:t xml:space="preserve">  These pleadings, seeking reconsideration of the grant of the W239CL renewal application due to alleged interference to WSGD-LP, were dismissed on December 10, 2020.  </w:t>
      </w:r>
      <w:r w:rsidRPr="006F0638" w:rsidR="00ED3727">
        <w:rPr>
          <w:i/>
          <w:iCs/>
        </w:rPr>
        <w:t xml:space="preserve">See </w:t>
      </w:r>
      <w:r w:rsidRPr="006F0638" w:rsidR="00ED3727">
        <w:t>Letter from</w:t>
      </w:r>
      <w:r w:rsidR="002E2746">
        <w:t xml:space="preserve"> Albert Shuldiner, Chief, Audio Division</w:t>
      </w:r>
      <w:r w:rsidRPr="006F0638" w:rsidR="00ED3727">
        <w:t xml:space="preserve"> to </w:t>
      </w:r>
      <w:r w:rsidR="002E2746">
        <w:t>Sumarrase, Inc.</w:t>
      </w:r>
      <w:r w:rsidR="00080043">
        <w:t>, Ref. 1800B3-</w:t>
      </w:r>
      <w:r w:rsidR="00197109">
        <w:t>SS</w:t>
      </w:r>
      <w:r w:rsidR="002E2746">
        <w:t xml:space="preserve"> </w:t>
      </w:r>
      <w:r w:rsidRPr="006F0638" w:rsidR="00ED3727">
        <w:t>(finding</w:t>
      </w:r>
      <w:r w:rsidRPr="006F0638" w:rsidR="00B06D0B">
        <w:t xml:space="preserve">, </w:t>
      </w:r>
      <w:r w:rsidRPr="006F0638" w:rsidR="00B06D0B">
        <w:rPr>
          <w:i/>
          <w:iCs/>
        </w:rPr>
        <w:t>inter alia</w:t>
      </w:r>
      <w:r w:rsidRPr="006F0638" w:rsidR="00B06D0B">
        <w:t>,</w:t>
      </w:r>
      <w:r w:rsidRPr="006F0638" w:rsidR="00ED3727">
        <w:t xml:space="preserve"> that Sumarrase lacks standing to request reconsideration, its lone declaration is not probative that</w:t>
      </w:r>
      <w:r w:rsidRPr="006949F0" w:rsidR="00ED3727">
        <w:t xml:space="preserve"> W239CL will interfere with WSGD-LP, and Sumarrase’s petitions w</w:t>
      </w:r>
      <w:r w:rsidRPr="006949F0" w:rsidR="00B06D0B">
        <w:t>e</w:t>
      </w:r>
      <w:r w:rsidRPr="006949F0" w:rsidR="00ED3727">
        <w:t>re not accompanied by an affidavit or declaration from a qualified engineer, as required by section 1.106(e) of the rules</w:t>
      </w:r>
      <w:r w:rsidRPr="006949F0" w:rsidR="00B06D0B">
        <w:t>, and other information that the Commission requires for a valid and actionable interference claim)</w:t>
      </w:r>
      <w:r w:rsidRPr="006949F0" w:rsidR="00ED3727">
        <w:t>.</w:t>
      </w:r>
      <w:r w:rsidRPr="006949F0">
        <w:t xml:space="preserve"> </w:t>
      </w:r>
    </w:p>
  </w:footnote>
  <w:footnote w:id="13">
    <w:p w:rsidR="00F129B9" w:rsidRPr="006949F0" w14:paraId="2807F23E" w14:textId="707123B4">
      <w:pPr>
        <w:pStyle w:val="FootnoteText"/>
      </w:pPr>
      <w:r w:rsidRPr="006949F0">
        <w:rPr>
          <w:rStyle w:val="FootnoteReference"/>
          <w:rFonts w:ascii="Times New Roman" w:hAnsi="Times New Roman"/>
        </w:rPr>
        <w:footnoteRef/>
      </w:r>
      <w:r w:rsidRPr="006949F0">
        <w:t xml:space="preserve"> 47 CFR § 74.1203(a)(3)</w:t>
      </w:r>
      <w:r w:rsidRPr="006949F0" w:rsidR="006466CE">
        <w:t xml:space="preserve"> (prohibiting an authorized FM translator station to continue to operate if it causes any actual interference to “the direct reception by the public of the off-the-air signals of any full-service station or previously authorized secondary station”).  FMBC states that W239CL was first authorized in 2007, more than 10 years before WSGD-LP applied for its initial license</w:t>
      </w:r>
      <w:r w:rsidR="00BE6FC3">
        <w:t xml:space="preserve">, and therefore Sumarrase’s claim that WSGD-LP is a </w:t>
      </w:r>
      <w:r w:rsidR="00E06883">
        <w:t>“</w:t>
      </w:r>
      <w:r w:rsidR="00BE6FC3">
        <w:t>previously authorized station</w:t>
      </w:r>
      <w:r w:rsidR="00E06883">
        <w:t>”</w:t>
      </w:r>
      <w:r w:rsidR="00BE6FC3">
        <w:t xml:space="preserve"> is </w:t>
      </w:r>
      <w:r w:rsidR="007B421F">
        <w:t>untrue</w:t>
      </w:r>
      <w:r w:rsidRPr="006949F0" w:rsidR="006466CE">
        <w:t>.</w:t>
      </w:r>
      <w:r w:rsidRPr="006949F0" w:rsidR="004A1A2B">
        <w:t xml:space="preserve">  </w:t>
      </w:r>
      <w:r w:rsidRPr="006949F0" w:rsidR="004A1A2B">
        <w:rPr>
          <w:i/>
          <w:iCs/>
        </w:rPr>
        <w:t xml:space="preserve">See </w:t>
      </w:r>
      <w:r w:rsidRPr="006949F0" w:rsidR="004A1A2B">
        <w:t>Opposition at 2.</w:t>
      </w:r>
      <w:r w:rsidRPr="006949F0">
        <w:t xml:space="preserve"> </w:t>
      </w:r>
    </w:p>
  </w:footnote>
  <w:footnote w:id="14">
    <w:p w:rsidR="004A1A2B" w:rsidRPr="006949F0" w14:paraId="6AFCDBB8" w14:textId="4B79FD92">
      <w:pPr>
        <w:pStyle w:val="FootnoteText"/>
      </w:pPr>
      <w:r w:rsidRPr="006949F0">
        <w:rPr>
          <w:rStyle w:val="FootnoteReference"/>
          <w:rFonts w:ascii="Times New Roman" w:hAnsi="Times New Roman"/>
        </w:rPr>
        <w:footnoteRef/>
      </w:r>
      <w:r w:rsidRPr="006949F0">
        <w:t xml:space="preserve"> Opposition at 3-4.  FMBC alleges that Sumarrase operates its station </w:t>
      </w:r>
      <w:r w:rsidRPr="006949F0" w:rsidR="001A3A02">
        <w:t xml:space="preserve">above its authorized power </w:t>
      </w:r>
      <w:r w:rsidRPr="006949F0">
        <w:t xml:space="preserve">using an unauthorized antenna.  </w:t>
      </w:r>
      <w:r w:rsidRPr="006949F0">
        <w:rPr>
          <w:i/>
          <w:iCs/>
        </w:rPr>
        <w:t>Id.</w:t>
      </w:r>
      <w:r w:rsidRPr="006949F0">
        <w:t xml:space="preserve">  </w:t>
      </w:r>
    </w:p>
  </w:footnote>
  <w:footnote w:id="15">
    <w:p w:rsidR="004A1A2B" w:rsidRPr="006949F0" w14:paraId="7F8565B4" w14:textId="62EAD9AD">
      <w:pPr>
        <w:pStyle w:val="FootnoteText"/>
      </w:pPr>
      <w:r w:rsidRPr="006949F0">
        <w:rPr>
          <w:rStyle w:val="FootnoteReference"/>
          <w:rFonts w:ascii="Times New Roman" w:hAnsi="Times New Roman"/>
        </w:rPr>
        <w:footnoteRef/>
      </w:r>
      <w:r w:rsidRPr="006949F0">
        <w:t xml:space="preserve"> </w:t>
      </w:r>
      <w:r w:rsidRPr="006949F0">
        <w:rPr>
          <w:i/>
          <w:iCs/>
        </w:rPr>
        <w:t xml:space="preserve">Id. </w:t>
      </w:r>
      <w:r w:rsidRPr="006949F0">
        <w:t xml:space="preserve">at 4-5.  </w:t>
      </w:r>
      <w:r w:rsidRPr="006949F0">
        <w:rPr>
          <w:i/>
          <w:iCs/>
        </w:rPr>
        <w:t xml:space="preserve">See also </w:t>
      </w:r>
      <w:r w:rsidRPr="006949F0">
        <w:t>Technical Exhibit to Opposition (explaining that the purpose of the exhibit is to “demonstrate that W239CL’s currently licensed facilities are predicted to cause less interference to WSGD-LP</w:t>
      </w:r>
      <w:r w:rsidRPr="006949F0" w:rsidR="001A3A02">
        <w:t xml:space="preserve"> than W239CL’s previously licensed facilities (File No. BLFT-20170412AAL)</w:t>
      </w:r>
      <w:r w:rsidR="00D01C59">
        <w:t>.”</w:t>
      </w:r>
      <w:r w:rsidR="001C170D">
        <w:t>)</w:t>
      </w:r>
      <w:r w:rsidRPr="006949F0" w:rsidR="001A3A02">
        <w:t>.</w:t>
      </w:r>
    </w:p>
  </w:footnote>
  <w:footnote w:id="16">
    <w:p w:rsidR="00017AD8" w14:paraId="3036E46C" w14:textId="5A294CF4">
      <w:pPr>
        <w:pStyle w:val="FootnoteText"/>
      </w:pPr>
      <w:r w:rsidRPr="006949F0">
        <w:rPr>
          <w:rStyle w:val="FootnoteReference"/>
          <w:rFonts w:ascii="Times New Roman" w:hAnsi="Times New Roman"/>
        </w:rPr>
        <w:footnoteRef/>
      </w:r>
      <w:r w:rsidRPr="006949F0">
        <w:t xml:space="preserve"> Reply at 2.</w:t>
      </w:r>
      <w:r w:rsidRPr="006949F0" w:rsidR="00F77F9E">
        <w:t xml:space="preserve">  </w:t>
      </w:r>
    </w:p>
  </w:footnote>
  <w:footnote w:id="17">
    <w:p w:rsidR="001323ED" w:rsidRPr="001323ED" w14:paraId="0DF6534C" w14:textId="6C0F5FEC">
      <w:pPr>
        <w:pStyle w:val="FootnoteText"/>
      </w:pPr>
      <w:r>
        <w:rPr>
          <w:rStyle w:val="FootnoteReference"/>
        </w:rPr>
        <w:footnoteRef/>
      </w:r>
      <w:r>
        <w:t xml:space="preserve"> </w:t>
      </w:r>
      <w:r>
        <w:rPr>
          <w:i/>
          <w:iCs/>
        </w:rPr>
        <w:t xml:space="preserve">Id. </w:t>
      </w:r>
      <w:r>
        <w:t>at 2.</w:t>
      </w:r>
    </w:p>
  </w:footnote>
  <w:footnote w:id="18">
    <w:p w:rsidR="001323ED" w:rsidRPr="001323ED" w14:paraId="627810C7" w14:textId="511640BE">
      <w:pPr>
        <w:pStyle w:val="FootnoteText"/>
      </w:pPr>
      <w:r>
        <w:rPr>
          <w:rStyle w:val="FootnoteReference"/>
        </w:rPr>
        <w:footnoteRef/>
      </w:r>
      <w:r>
        <w:t xml:space="preserve"> </w:t>
      </w:r>
      <w:r>
        <w:rPr>
          <w:i/>
          <w:iCs/>
        </w:rPr>
        <w:t xml:space="preserve">Id. </w:t>
      </w:r>
      <w:r>
        <w:t>at 3-5.</w:t>
      </w:r>
      <w:r w:rsidR="001C170D">
        <w:t xml:space="preserve">  </w:t>
      </w:r>
      <w:r w:rsidRPr="006949F0" w:rsidR="001C170D">
        <w:t>On November 4, 2020, FMBC filed a “Motion to Dismiss Reply to Opposition,” arguing that the Sumarrase Reply violate</w:t>
      </w:r>
      <w:r w:rsidR="001C170D">
        <w:t>s</w:t>
      </w:r>
      <w:r w:rsidRPr="006949F0" w:rsidR="001C170D">
        <w:t xml:space="preserve"> section 1.52 of the rules and must </w:t>
      </w:r>
      <w:r w:rsidR="001C170D">
        <w:t xml:space="preserve">therefore be </w:t>
      </w:r>
      <w:r w:rsidRPr="006949F0" w:rsidR="001C170D">
        <w:t xml:space="preserve">dismissed without further consideration.  We disagree.  Section 1.52 of the rules states that “[t]he original of all petitions, motions, pleadings, briefs and other documents filed by any party represented by counsel shall be signed by at least one attorney of record in his individual name, whose address shall be stated. A party who is not represented by an attorney shall sign and verify the document and state his address.”  </w:t>
      </w:r>
      <w:r w:rsidR="001C170D">
        <w:rPr>
          <w:i/>
          <w:iCs/>
        </w:rPr>
        <w:t xml:space="preserve">See </w:t>
      </w:r>
      <w:r w:rsidRPr="006949F0" w:rsidR="001C170D">
        <w:t xml:space="preserve">47 CFR § 1.52.  </w:t>
      </w:r>
      <w:r w:rsidR="001C170D">
        <w:t>Sumarrase is not represented by counsel, but the</w:t>
      </w:r>
      <w:r w:rsidRPr="006949F0" w:rsidR="001C170D">
        <w:t xml:space="preserve"> Commission’s database indicates that Dwayne Williams</w:t>
      </w:r>
      <w:r w:rsidR="001C170D">
        <w:t>,</w:t>
      </w:r>
      <w:r w:rsidRPr="006949F0" w:rsidR="001C170D">
        <w:t xml:space="preserve">  the owner of Sumarrase, Inc</w:t>
      </w:r>
      <w:r w:rsidR="001C170D">
        <w:t>.,</w:t>
      </w:r>
      <w:r w:rsidRPr="006949F0" w:rsidR="001C170D">
        <w:t xml:space="preserve"> signed and verified the Reply and stated his address.  </w:t>
      </w:r>
      <w:r w:rsidR="001C170D">
        <w:t>Accordingly</w:t>
      </w:r>
      <w:r w:rsidRPr="006949F0" w:rsidR="001C170D">
        <w:t>, Sumarrase did not violate section 1.52 of the</w:t>
      </w:r>
      <w:r w:rsidR="001C170D">
        <w:t xml:space="preserve"> r</w:t>
      </w:r>
      <w:r w:rsidRPr="006949F0" w:rsidR="001C170D">
        <w:t>ules</w:t>
      </w:r>
      <w:r w:rsidR="001C170D">
        <w:t>,</w:t>
      </w:r>
      <w:r w:rsidRPr="006949F0" w:rsidR="001C170D">
        <w:t xml:space="preserve"> and </w:t>
      </w:r>
      <w:r w:rsidR="001C170D">
        <w:t>we find no</w:t>
      </w:r>
      <w:r w:rsidRPr="006949F0" w:rsidR="001C170D">
        <w:t xml:space="preserve"> reason to dismiss or otherwise disregard</w:t>
      </w:r>
      <w:r w:rsidR="001C170D">
        <w:t xml:space="preserve"> the Sumarrase Reply. </w:t>
      </w:r>
    </w:p>
  </w:footnote>
  <w:footnote w:id="19">
    <w:p w:rsidR="001D3965" w:rsidRPr="00DE753F" w:rsidP="001D3965" w14:paraId="62DAA06E" w14:textId="77777777">
      <w:pPr>
        <w:pStyle w:val="FootnoteText"/>
      </w:pPr>
      <w:r>
        <w:rPr>
          <w:rStyle w:val="FootnoteReference"/>
        </w:rPr>
        <w:footnoteRef/>
      </w:r>
      <w:r>
        <w:t xml:space="preserve"> </w:t>
      </w:r>
      <w:r>
        <w:rPr>
          <w:i/>
        </w:rPr>
        <w:t xml:space="preserve">See </w:t>
      </w:r>
      <w:r>
        <w:t xml:space="preserve">47 CFR § 1.106(c), (d); </w:t>
      </w:r>
      <w:r>
        <w:rPr>
          <w:i/>
        </w:rPr>
        <w:t>see also WWIZ, Inc.</w:t>
      </w:r>
      <w:r>
        <w:t xml:space="preserve">, Memorandum Opinion and Order, 37 FCC 685, 686, para. 2 (1964), </w:t>
      </w:r>
      <w:r>
        <w:rPr>
          <w:i/>
        </w:rPr>
        <w:t xml:space="preserve">aff’d sub nom. Lorain Journal Co. v. FCC, </w:t>
      </w:r>
      <w:r>
        <w:t xml:space="preserve">351 F.2d 824 (D.C. Cir. 1965), </w:t>
      </w:r>
      <w:r>
        <w:rPr>
          <w:i/>
        </w:rPr>
        <w:t>cert. denied</w:t>
      </w:r>
      <w:r>
        <w:t>, 387 U.S. 967 (1966).</w:t>
      </w:r>
    </w:p>
  </w:footnote>
  <w:footnote w:id="20">
    <w:p w:rsidR="001D3965" w:rsidRPr="00CA25CD" w:rsidP="001D3965" w14:paraId="784975A6" w14:textId="77777777">
      <w:pPr>
        <w:pStyle w:val="FootnoteText"/>
      </w:pPr>
      <w:r>
        <w:rPr>
          <w:rStyle w:val="FootnoteReference"/>
        </w:rPr>
        <w:footnoteRef/>
      </w:r>
      <w:r>
        <w:t xml:space="preserve"> </w:t>
      </w:r>
      <w:r>
        <w:rPr>
          <w:i/>
        </w:rPr>
        <w:t xml:space="preserve">See </w:t>
      </w:r>
      <w:r>
        <w:t>47 CFR § 1.106(b)(1).</w:t>
      </w:r>
    </w:p>
  </w:footnote>
  <w:footnote w:id="21">
    <w:p w:rsidR="00452EF8" w:rsidRPr="00376E39" w14:paraId="667C84D1" w14:textId="3789B605">
      <w:pPr>
        <w:pStyle w:val="FootnoteText"/>
      </w:pPr>
      <w:r w:rsidRPr="00376E39">
        <w:rPr>
          <w:rStyle w:val="FootnoteReference"/>
          <w:rFonts w:ascii="Times New Roman" w:hAnsi="Times New Roman"/>
        </w:rPr>
        <w:footnoteRef/>
      </w:r>
      <w:r w:rsidRPr="00376E39">
        <w:t xml:space="preserve"> </w:t>
      </w:r>
      <w:r w:rsidRPr="00376E39">
        <w:rPr>
          <w:i/>
          <w:iCs/>
        </w:rPr>
        <w:t>See</w:t>
      </w:r>
      <w:r w:rsidRPr="00376E39">
        <w:t xml:space="preserve">, </w:t>
      </w:r>
      <w:r w:rsidRPr="00376E39">
        <w:rPr>
          <w:i/>
          <w:iCs/>
        </w:rPr>
        <w:t xml:space="preserve">e.g., </w:t>
      </w:r>
      <w:r w:rsidRPr="00376E39" w:rsidR="00B624FB">
        <w:t xml:space="preserve">Pleading </w:t>
      </w:r>
      <w:r w:rsidR="00977551">
        <w:t xml:space="preserve">File </w:t>
      </w:r>
      <w:r w:rsidRPr="00376E39" w:rsidR="00B624FB">
        <w:t>Nos.</w:t>
      </w:r>
      <w:r w:rsidRPr="00376E39" w:rsidR="00023CAE">
        <w:t xml:space="preserve"> 0000106515 (February 24, 2020); 0000108726 and 0000108741 (March 23, 2020)</w:t>
      </w:r>
      <w:r w:rsidRPr="00376E39" w:rsidR="0092679C">
        <w:t xml:space="preserve">; </w:t>
      </w:r>
      <w:r w:rsidRPr="00376E39" w:rsidR="0092679C">
        <w:rPr>
          <w:i/>
          <w:iCs/>
        </w:rPr>
        <w:t xml:space="preserve">see also supra </w:t>
      </w:r>
      <w:r w:rsidRPr="00376E39" w:rsidR="0092679C">
        <w:t xml:space="preserve">note </w:t>
      </w:r>
      <w:r w:rsidR="0079410E">
        <w:t>8</w:t>
      </w:r>
      <w:r w:rsidRPr="00376E39" w:rsidR="0092679C">
        <w:t>.</w:t>
      </w:r>
    </w:p>
  </w:footnote>
  <w:footnote w:id="22">
    <w:p w:rsidR="00ED32C2" w14:paraId="5EE7548A" w14:textId="595DEF8E">
      <w:pPr>
        <w:pStyle w:val="FootnoteText"/>
      </w:pPr>
      <w:r>
        <w:rPr>
          <w:rStyle w:val="FootnoteReference"/>
        </w:rPr>
        <w:footnoteRef/>
      </w:r>
      <w:r>
        <w:t xml:space="preserve"> </w:t>
      </w:r>
      <w:r w:rsidRPr="00E72833">
        <w:rPr>
          <w:i/>
          <w:iCs/>
        </w:rPr>
        <w:t>See supra</w:t>
      </w:r>
      <w:r>
        <w:t xml:space="preserve"> note 3. </w:t>
      </w:r>
    </w:p>
  </w:footnote>
  <w:footnote w:id="23">
    <w:p w:rsidR="0033696C" w:rsidRPr="0033696C" w14:paraId="32DFF297" w14:textId="11CF2E24">
      <w:pPr>
        <w:pStyle w:val="FootnoteText"/>
      </w:pPr>
      <w:r>
        <w:rPr>
          <w:rStyle w:val="FootnoteReference"/>
        </w:rPr>
        <w:footnoteRef/>
      </w:r>
      <w:r>
        <w:t xml:space="preserve"> </w:t>
      </w:r>
      <w:r>
        <w:rPr>
          <w:i/>
          <w:iCs/>
        </w:rPr>
        <w:t>See Amendment of Part 74 of the Rules Regarding FM Translator Interference</w:t>
      </w:r>
      <w:r>
        <w:t>, Report and Order, 34 FCC Rcd 3457 (2019) (e</w:t>
      </w:r>
      <w:r w:rsidR="007E17F1">
        <w:t>stablishing</w:t>
      </w:r>
      <w:r>
        <w:t xml:space="preserve"> </w:t>
      </w:r>
      <w:r w:rsidR="007E17F1">
        <w:t xml:space="preserve">technical criteria to assess predicted interference and </w:t>
      </w:r>
      <w:r w:rsidR="00105A7B">
        <w:t>procedures for filing predicted interference claims); 47 CFR §</w:t>
      </w:r>
      <w:r w:rsidR="008F4D97">
        <w:t xml:space="preserve"> 74.</w:t>
      </w:r>
      <w:r w:rsidR="00521B64">
        <w:t>1204(f).</w:t>
      </w:r>
    </w:p>
  </w:footnote>
  <w:footnote w:id="24">
    <w:p w:rsidR="004947AD" w:rsidRPr="004947AD" w:rsidP="004947AD" w14:paraId="770BB1BD" w14:textId="04BDB2C9">
      <w:pPr>
        <w:widowControl/>
        <w:shd w:val="clear" w:color="auto" w:fill="FFFFFF"/>
        <w:spacing w:after="120"/>
        <w:textAlignment w:val="baseline"/>
        <w:rPr>
          <w:snapToGrid/>
          <w:color w:val="3D3D3D"/>
          <w:sz w:val="20"/>
        </w:rPr>
      </w:pPr>
      <w:r>
        <w:rPr>
          <w:rStyle w:val="FootnoteReference"/>
        </w:rPr>
        <w:footnoteRef/>
      </w:r>
      <w:r>
        <w:t xml:space="preserve"> </w:t>
      </w:r>
      <w:r w:rsidRPr="003428A2">
        <w:rPr>
          <w:sz w:val="20"/>
        </w:rPr>
        <w:t>47 U.S.C. § 319(c)</w:t>
      </w:r>
      <w:r w:rsidRPr="003428A2" w:rsidR="003428A2">
        <w:rPr>
          <w:sz w:val="20"/>
        </w:rPr>
        <w:t xml:space="preserve"> </w:t>
      </w:r>
      <w:r w:rsidRPr="003428A2" w:rsidR="003428A2">
        <w:rPr>
          <w:snapToGrid/>
          <w:color w:val="3D3D3D"/>
          <w:sz w:val="20"/>
        </w:rPr>
        <w:t>(requiring the Commission to issue a license where a construction permit has been granted</w:t>
      </w:r>
      <w:r w:rsidR="003428A2">
        <w:rPr>
          <w:snapToGrid/>
          <w:color w:val="3D3D3D"/>
          <w:sz w:val="20"/>
        </w:rPr>
        <w:t>,</w:t>
      </w:r>
      <w:r w:rsidRPr="003428A2" w:rsidR="003428A2">
        <w:rPr>
          <w:snapToGrid/>
          <w:color w:val="3D3D3D"/>
          <w:sz w:val="20"/>
        </w:rPr>
        <w:t xml:space="preserve"> and it appears that the terms of such permit have been met, and “that no cause or circumstance arising or first coming to the knowledge of the Commission since the granting of the permit would, in the judgment of the Commission, make the operation of such station against the public interest ...”)</w:t>
      </w:r>
      <w:r w:rsidR="00AC6892">
        <w:rPr>
          <w:snapToGrid/>
          <w:color w:val="3D3D3D"/>
          <w:sz w:val="20"/>
        </w:rPr>
        <w:t>.</w:t>
      </w:r>
    </w:p>
  </w:footnote>
  <w:footnote w:id="25">
    <w:p w:rsidR="004947AD" w:rsidP="004947AD" w14:paraId="43FB55D3" w14:textId="7C80724D">
      <w:pPr>
        <w:pStyle w:val="FootnoteText"/>
      </w:pPr>
      <w:r>
        <w:rPr>
          <w:rStyle w:val="FootnoteReference"/>
        </w:rPr>
        <w:footnoteRef/>
      </w:r>
      <w:r>
        <w:t xml:space="preserve"> </w:t>
      </w:r>
      <w:r w:rsidR="00AC6892">
        <w:rPr>
          <w:i/>
          <w:iCs/>
        </w:rPr>
        <w:t xml:space="preserve">See, e.g., </w:t>
      </w:r>
      <w:r w:rsidR="00132DC6">
        <w:rPr>
          <w:i/>
          <w:iCs/>
        </w:rPr>
        <w:t>Whidbey Broadcasting Service, Inc.</w:t>
      </w:r>
      <w:r w:rsidR="00132DC6">
        <w:t xml:space="preserve">, </w:t>
      </w:r>
      <w:r w:rsidR="003428A2">
        <w:t xml:space="preserve">Memorandum Opinion and Order, </w:t>
      </w:r>
      <w:r w:rsidR="00132DC6">
        <w:t xml:space="preserve">4 FCC Rcd 8726, 8727 (1989). </w:t>
      </w:r>
    </w:p>
  </w:footnote>
  <w:footnote w:id="26">
    <w:p w:rsidR="00B32372" w:rsidRPr="00214D71" w:rsidP="004947AD" w14:paraId="6D1644B6" w14:textId="3AF8CE9C">
      <w:pPr>
        <w:pStyle w:val="FootnoteText"/>
        <w:spacing w:after="0"/>
      </w:pPr>
      <w:r>
        <w:rPr>
          <w:rStyle w:val="FootnoteReference"/>
        </w:rPr>
        <w:footnoteRef/>
      </w:r>
      <w:r w:rsidR="00263459">
        <w:t xml:space="preserve"> The Commission traditionally is reluctant to designate license applications for hearing, and in most cases, considers the grant of the license application to follow almost automatically from the issuance of the construction permit and completion of construction.  </w:t>
      </w:r>
      <w:r w:rsidR="00263459">
        <w:rPr>
          <w:i/>
          <w:iCs/>
        </w:rPr>
        <w:t>See, e.g.,</w:t>
      </w:r>
      <w:r w:rsidR="00F53F0F">
        <w:rPr>
          <w:i/>
          <w:iCs/>
        </w:rPr>
        <w:t xml:space="preserve"> Meyer Broad. Co.</w:t>
      </w:r>
      <w:r w:rsidR="00F53F0F">
        <w:t>, Memorandum Opinion and Order, 65 FCC 2d</w:t>
      </w:r>
      <w:r w:rsidR="00E17846">
        <w:t xml:space="preserve"> </w:t>
      </w:r>
      <w:r w:rsidR="00F53F0F">
        <w:t xml:space="preserve"> 438, 441, para. 9 (1977)</w:t>
      </w:r>
      <w:r w:rsidR="004947AD">
        <w:rPr>
          <w:rFonts w:ascii="SourceSansPro-It" w:hAnsi="SourceSansPro-It" w:eastAsiaTheme="minorHAnsi" w:cs="SourceSansPro-It"/>
          <w:i/>
          <w:iCs/>
          <w:snapToGrid/>
          <w:color w:val="2E2E2E"/>
          <w:sz w:val="25"/>
          <w:szCs w:val="25"/>
        </w:rPr>
        <w:t>.</w:t>
      </w:r>
    </w:p>
  </w:footnote>
  <w:footnote w:id="27">
    <w:p w:rsidR="004947AD" w:rsidP="004947AD" w14:paraId="6AEC4270" w14:textId="77777777">
      <w:pPr>
        <w:pStyle w:val="FootnoteText"/>
        <w:spacing w:after="0"/>
      </w:pPr>
    </w:p>
    <w:p w:rsidR="00044629" w:rsidRPr="00044629" w:rsidP="004947AD" w14:paraId="7D36F12C" w14:textId="1C184A6F">
      <w:pPr>
        <w:pStyle w:val="FootnoteText"/>
      </w:pPr>
      <w:r>
        <w:rPr>
          <w:rStyle w:val="FootnoteReference"/>
        </w:rPr>
        <w:footnoteRef/>
      </w:r>
      <w:r>
        <w:t xml:space="preserve"> </w:t>
      </w:r>
      <w:r>
        <w:rPr>
          <w:i/>
          <w:iCs/>
        </w:rPr>
        <w:t xml:space="preserve">See </w:t>
      </w:r>
      <w:r>
        <w:t>47 CFR § 74.1203(a)(3).</w:t>
      </w:r>
    </w:p>
  </w:footnote>
  <w:footnote w:id="28">
    <w:p w:rsidR="00044629" w:rsidRPr="00952005" w14:paraId="4DE9AAA0" w14:textId="5526F44D">
      <w:pPr>
        <w:pStyle w:val="FootnoteText"/>
      </w:pPr>
      <w:r w:rsidRPr="00952005">
        <w:rPr>
          <w:rStyle w:val="FootnoteReference"/>
          <w:rFonts w:ascii="Times New Roman" w:hAnsi="Times New Roman"/>
        </w:rPr>
        <w:footnoteRef/>
      </w:r>
      <w:r w:rsidRPr="00952005">
        <w:t xml:space="preserve"> </w:t>
      </w:r>
      <w:r w:rsidRPr="00952005">
        <w:rPr>
          <w:i/>
          <w:iCs/>
        </w:rPr>
        <w:t xml:space="preserve">Id.  </w:t>
      </w:r>
    </w:p>
  </w:footnote>
  <w:footnote w:id="29">
    <w:p w:rsidR="006F53B1" w:rsidRPr="006F53B1" w14:paraId="28DF2D93" w14:textId="7A22EDE2">
      <w:pPr>
        <w:pStyle w:val="FootnoteText"/>
      </w:pPr>
      <w:r>
        <w:rPr>
          <w:rStyle w:val="FootnoteReference"/>
        </w:rPr>
        <w:footnoteRef/>
      </w:r>
      <w:r>
        <w:t xml:space="preserve"> </w:t>
      </w:r>
      <w:r>
        <w:rPr>
          <w:i/>
          <w:iCs/>
        </w:rPr>
        <w:t xml:space="preserve">See </w:t>
      </w:r>
      <w:r>
        <w:t>File No. BLL-20180104AAH.</w:t>
      </w:r>
    </w:p>
  </w:footnote>
  <w:footnote w:id="30">
    <w:p w:rsidR="00414E20" w:rsidRPr="00F00B8D" w14:paraId="18DA94B5" w14:textId="45E91A40">
      <w:pPr>
        <w:pStyle w:val="FootnoteText"/>
        <w:rPr>
          <w:i/>
          <w:iCs/>
        </w:rPr>
      </w:pPr>
      <w:r>
        <w:rPr>
          <w:rStyle w:val="FootnoteReference"/>
        </w:rPr>
        <w:footnoteRef/>
      </w:r>
      <w:r>
        <w:t xml:space="preserve"> Opposition at 3.</w:t>
      </w:r>
      <w:r w:rsidR="00F00B8D">
        <w:t xml:space="preserve">  FMBC alleges that the “technical portion of the WSGD-LP license application was a complete fiction.”  </w:t>
      </w:r>
      <w:r w:rsidR="00F00B8D">
        <w:rPr>
          <w:i/>
          <w:iCs/>
        </w:rPr>
        <w:t>Id.</w:t>
      </w:r>
    </w:p>
  </w:footnote>
  <w:footnote w:id="31">
    <w:p w:rsidR="00047D7C" w:rsidRPr="00047D7C" w14:paraId="6F5F027D" w14:textId="616B2773">
      <w:pPr>
        <w:pStyle w:val="FootnoteText"/>
      </w:pPr>
      <w:r>
        <w:rPr>
          <w:rStyle w:val="FootnoteReference"/>
        </w:rPr>
        <w:footnoteRef/>
      </w:r>
      <w:r>
        <w:t xml:space="preserve"> </w:t>
      </w:r>
      <w:r>
        <w:rPr>
          <w:i/>
          <w:iCs/>
        </w:rPr>
        <w:t xml:space="preserve">Id. </w:t>
      </w:r>
      <w:r>
        <w:t>at Technical Exhibit, prepared by W. Jeffrey Reynolds, du Treil, Lundin &amp; Rackley, Inc.</w:t>
      </w:r>
    </w:p>
  </w:footnote>
  <w:footnote w:id="32">
    <w:p w:rsidR="006013B8" w14:paraId="75AB1B24" w14:textId="6681F7FB">
      <w:pPr>
        <w:pStyle w:val="FootnoteText"/>
      </w:pPr>
      <w:r>
        <w:rPr>
          <w:rStyle w:val="FootnoteReference"/>
        </w:rPr>
        <w:footnoteRef/>
      </w:r>
      <w:r>
        <w:t xml:space="preserve"> Reply at </w:t>
      </w:r>
      <w:r w:rsidR="004A58D6">
        <w:t>3.</w:t>
      </w:r>
    </w:p>
  </w:footnote>
  <w:footnote w:id="33">
    <w:p w:rsidR="004A58D6" w:rsidRPr="004A58D6" w14:paraId="1962A434" w14:textId="50AAC99F">
      <w:pPr>
        <w:pStyle w:val="FootnoteText"/>
      </w:pPr>
      <w:r>
        <w:rPr>
          <w:rStyle w:val="FootnoteReference"/>
        </w:rPr>
        <w:footnoteRef/>
      </w:r>
      <w:r>
        <w:t xml:space="preserve"> </w:t>
      </w:r>
      <w:r>
        <w:rPr>
          <w:i/>
          <w:iCs/>
        </w:rPr>
        <w:t xml:space="preserve">Id. </w:t>
      </w:r>
      <w:r>
        <w:t>at 3-5.</w:t>
      </w:r>
    </w:p>
  </w:footnote>
  <w:footnote w:id="34">
    <w:p w:rsidR="000261B0" w:rsidRPr="00F528AB" w14:paraId="3EF52F27" w14:textId="70529EA9">
      <w:pPr>
        <w:pStyle w:val="FootnoteText"/>
      </w:pPr>
      <w:r>
        <w:rPr>
          <w:rStyle w:val="FootnoteReference"/>
        </w:rPr>
        <w:footnoteRef/>
      </w:r>
      <w:r>
        <w:t xml:space="preserve"> Reply at 4.  </w:t>
      </w:r>
      <w:r w:rsidR="00F528AB">
        <w:t xml:space="preserve">Sumarrase argues that “importantly, WSGD-LP has always operated with 22W ERP from its authorized height.  Only during the brief periods suspiciously corresponding to the unauthorized site access by FMBC … was WSGD-LP ever over power.”  </w:t>
      </w:r>
      <w:r w:rsidR="00F528AB">
        <w:rPr>
          <w:i/>
          <w:iCs/>
        </w:rPr>
        <w:t xml:space="preserve">Id. </w:t>
      </w:r>
      <w:r w:rsidR="00F528AB">
        <w:t>at 5.</w:t>
      </w:r>
    </w:p>
  </w:footnote>
  <w:footnote w:id="35">
    <w:p w:rsidR="000909CC" w:rsidRPr="000909CC" w14:paraId="36C896FA" w14:textId="2AD17E3A">
      <w:pPr>
        <w:pStyle w:val="FootnoteText"/>
      </w:pPr>
      <w:r>
        <w:rPr>
          <w:rStyle w:val="FootnoteReference"/>
        </w:rPr>
        <w:footnoteRef/>
      </w:r>
      <w:r>
        <w:t xml:space="preserve"> </w:t>
      </w:r>
      <w:r>
        <w:rPr>
          <w:i/>
          <w:iCs/>
        </w:rPr>
        <w:t xml:space="preserve">See </w:t>
      </w:r>
      <w:r>
        <w:t>47 CFR §73.845 (“Each LPFM licensee is responsible for maintaining and operating its broadcast station in a manner that complies with the technical rules set forth elsewhere in this part and in accordance with the terms of the station authorization…”).</w:t>
      </w:r>
    </w:p>
  </w:footnote>
  <w:footnote w:id="36">
    <w:p w:rsidR="004B0A34" w14:paraId="518B73D0" w14:textId="6C714153">
      <w:pPr>
        <w:pStyle w:val="FootnoteText"/>
      </w:pPr>
      <w:r>
        <w:rPr>
          <w:rStyle w:val="FootnoteReference"/>
        </w:rPr>
        <w:footnoteRef/>
      </w:r>
      <w:r>
        <w:t xml:space="preserve"> </w:t>
      </w:r>
      <w:r w:rsidR="00B23D20">
        <w:t xml:space="preserve">We emphasize not only the importance of building and operating a station consistent with the terms of </w:t>
      </w:r>
      <w:r w:rsidR="00484366">
        <w:t xml:space="preserve">the </w:t>
      </w:r>
      <w:r w:rsidR="00B23D20">
        <w:t xml:space="preserve">authorization, but also the importance of reviewing and ensuring the accuracy of the information contained in the license application and subsequent authorization. </w:t>
      </w:r>
    </w:p>
  </w:footnote>
  <w:footnote w:id="37">
    <w:p w:rsidR="004C61C7" w:rsidRPr="004C61C7" w14:paraId="3D58356B" w14:textId="261D7F1C">
      <w:pPr>
        <w:pStyle w:val="FootnoteText"/>
      </w:pPr>
      <w:r>
        <w:rPr>
          <w:rStyle w:val="FootnoteReference"/>
        </w:rPr>
        <w:footnoteRef/>
      </w:r>
      <w:r>
        <w:t xml:space="preserve"> </w:t>
      </w:r>
      <w:r>
        <w:rPr>
          <w:i/>
          <w:iCs/>
        </w:rPr>
        <w:t>See, e.g., Zwerling Broadcasting System</w:t>
      </w:r>
      <w:r>
        <w:t xml:space="preserve">, Forfeiture Order, </w:t>
      </w:r>
      <w:r w:rsidR="00A8595A">
        <w:t xml:space="preserve">DA 22-1238 (2022) (ordering station operating with non-conforming operations to either return to its licensed parameters or file to modify its station authorization). </w:t>
      </w:r>
    </w:p>
  </w:footnote>
  <w:footnote w:id="38">
    <w:p w:rsidR="00450907" w14:paraId="476998A7" w14:textId="627069D2">
      <w:pPr>
        <w:pStyle w:val="FootnoteText"/>
      </w:pPr>
      <w:r>
        <w:rPr>
          <w:rStyle w:val="FootnoteReference"/>
        </w:rPr>
        <w:footnoteRef/>
      </w:r>
      <w:r>
        <w:t xml:space="preserve"> </w:t>
      </w:r>
      <w:r w:rsidR="00AF27E9">
        <w:t>If WSGD-LP still receives interference from W239CL, after</w:t>
      </w:r>
      <w:r>
        <w:t xml:space="preserve"> </w:t>
      </w:r>
      <w:r w:rsidR="0056061F">
        <w:t>correct</w:t>
      </w:r>
      <w:r w:rsidR="00AF27E9">
        <w:t>ing</w:t>
      </w:r>
      <w:r w:rsidR="0056061F">
        <w:t xml:space="preserve"> the violation and </w:t>
      </w:r>
      <w:r>
        <w:t>operat</w:t>
      </w:r>
      <w:r w:rsidR="00AF27E9">
        <w:t>ing</w:t>
      </w:r>
      <w:r>
        <w:t xml:space="preserve"> with</w:t>
      </w:r>
      <w:r w:rsidR="00AF27E9">
        <w:t>in</w:t>
      </w:r>
      <w:r>
        <w:t xml:space="preserve"> its approved and licensed </w:t>
      </w:r>
      <w:r w:rsidR="00AF27E9">
        <w:t>parameters</w:t>
      </w:r>
      <w:r>
        <w:t>, it</w:t>
      </w:r>
      <w:r w:rsidR="0056061F">
        <w:t xml:space="preserve"> is not precluded from filing</w:t>
      </w:r>
      <w:r>
        <w:t xml:space="preserve"> another interference complaint</w:t>
      </w:r>
      <w:r w:rsidR="00AF27E9">
        <w:t>.</w:t>
      </w:r>
      <w:r w:rsidR="000416AD">
        <w:t xml:space="preserve">  Any such complaint must include all necessary requirements as specified in sections 74.1201(k) and 74.1203(a)(3) of the </w:t>
      </w:r>
      <w:r w:rsidR="000C0840">
        <w:t>r</w:t>
      </w:r>
      <w:r w:rsidR="000416AD">
        <w:t>ules.</w:t>
      </w:r>
      <w:r w:rsidR="00A41C1D">
        <w:t xml:space="preserve">  47 CFR §§ 74.1201(k) and 74.1203(a).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643DD9B4" w14:textId="77777777">
    <w:pPr>
      <w:tabs>
        <w:tab w:val="center" w:pos="4680"/>
        <w:tab w:val="right" w:pos="9360"/>
      </w:tabs>
      <w:suppressAutoHyphens/>
      <w:spacing w:line="227" w:lineRule="auto"/>
      <w:jc w:val="both"/>
      <w:rPr>
        <w:rFonts w:ascii="Calisto MT" w:hAnsi="Calisto MT"/>
        <w:spacing w:val="-2"/>
      </w:rPr>
    </w:pPr>
  </w:p>
  <w:p w:rsidR="00BF6E58" w14:paraId="33D5BC89" w14:textId="77777777">
    <w:pPr>
      <w:tabs>
        <w:tab w:val="left" w:pos="-720"/>
      </w:tabs>
      <w:suppressAutoHyphens/>
      <w:spacing w:line="19" w:lineRule="exact"/>
      <w:jc w:val="both"/>
      <w:rPr>
        <w:sz w:val="10"/>
      </w:rPr>
    </w:pPr>
  </w:p>
  <w:p w:rsidR="00BF6E58" w14:paraId="29AEAE0F" w14:textId="77777777">
    <w:pPr>
      <w:tabs>
        <w:tab w:val="left" w:pos="-720"/>
      </w:tabs>
      <w:suppressAutoHyphens/>
      <w:spacing w:line="19" w:lineRule="exact"/>
      <w:jc w:val="both"/>
      <w:rPr>
        <w:sz w:val="10"/>
      </w:rPr>
    </w:pPr>
  </w:p>
  <w:p w:rsidR="00BF6E58" w14:paraId="2D584A92" w14:textId="77777777">
    <w:pPr>
      <w:tabs>
        <w:tab w:val="left" w:pos="-720"/>
      </w:tabs>
      <w:suppressAutoHyphens/>
      <w:spacing w:line="19" w:lineRule="exact"/>
      <w:jc w:val="both"/>
      <w:rPr>
        <w:sz w:val="10"/>
      </w:rPr>
    </w:pPr>
  </w:p>
  <w:p w:rsidR="00BF6E58" w14:paraId="2F3183B4" w14:textId="77777777">
    <w:pPr>
      <w:tabs>
        <w:tab w:val="left" w:pos="-720"/>
      </w:tabs>
      <w:suppressAutoHyphens/>
      <w:spacing w:line="19" w:lineRule="exact"/>
      <w:jc w:val="both"/>
      <w:rPr>
        <w:sz w:val="10"/>
      </w:rPr>
    </w:pPr>
  </w:p>
  <w:p w:rsidR="00BF6E58" w14:paraId="199660DE"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0F8" w:rsidP="003E1DF5" w14:paraId="2C66D229" w14:textId="77777777">
    <w:pPr>
      <w:pStyle w:val="Heading2"/>
      <w:spacing w:line="240" w:lineRule="auto"/>
      <w:rPr>
        <w:rFonts w:ascii="CG Times" w:hAnsi="CG Times"/>
        <w:b/>
        <w:color w:val="000000"/>
        <w:szCs w:val="24"/>
      </w:rPr>
    </w:pPr>
    <w:r>
      <w:rPr>
        <w:rFonts w:ascii="CG Times" w:hAnsi="CG Times"/>
        <w:b/>
        <w:noProof/>
        <w:snapToGrid/>
        <w:color w:val="000000"/>
        <w:szCs w:val="24"/>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156210</wp:posOffset>
          </wp:positionV>
          <wp:extent cx="806450" cy="8001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seal-bw-2020.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6450" cy="800100"/>
                  </a:xfrm>
                  <a:prstGeom prst="rect">
                    <a:avLst/>
                  </a:prstGeom>
                </pic:spPr>
              </pic:pic>
            </a:graphicData>
          </a:graphic>
        </wp:anchor>
      </w:drawing>
    </w:r>
  </w:p>
  <w:p w:rsidR="00BF6E58" w:rsidRPr="00504897" w:rsidP="003E1DF5" w14:paraId="7F993A6B" w14:textId="77777777">
    <w:pPr>
      <w:pStyle w:val="Heading2"/>
      <w:spacing w:line="240" w:lineRule="auto"/>
      <w:rPr>
        <w:rFonts w:ascii="CG Times" w:hAnsi="CG Times"/>
        <w:b/>
        <w:color w:val="000000"/>
        <w:szCs w:val="24"/>
      </w:rPr>
    </w:pPr>
    <w:r w:rsidRPr="00504897">
      <w:rPr>
        <w:rFonts w:ascii="CG Times" w:hAnsi="CG Times"/>
        <w:b/>
        <w:color w:val="000000"/>
        <w:szCs w:val="24"/>
      </w:rPr>
      <w:t>Federal Communications Commission</w:t>
    </w:r>
  </w:p>
  <w:p w:rsidR="00BF6E58" w:rsidRPr="00504897" w:rsidP="003E1DF5" w14:paraId="34631EAC"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D2B746A"/>
    <w:multiLevelType w:val="hybridMultilevel"/>
    <w:tmpl w:val="2DF0C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4">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8"/>
    <w:rsid w:val="00001A81"/>
    <w:rsid w:val="00004E6A"/>
    <w:rsid w:val="0000758F"/>
    <w:rsid w:val="000078C9"/>
    <w:rsid w:val="00012853"/>
    <w:rsid w:val="00015BD9"/>
    <w:rsid w:val="00017AD8"/>
    <w:rsid w:val="00020E90"/>
    <w:rsid w:val="00022013"/>
    <w:rsid w:val="0002304A"/>
    <w:rsid w:val="00023CAE"/>
    <w:rsid w:val="000261B0"/>
    <w:rsid w:val="00031017"/>
    <w:rsid w:val="00034D92"/>
    <w:rsid w:val="0004128E"/>
    <w:rsid w:val="000416AD"/>
    <w:rsid w:val="00041977"/>
    <w:rsid w:val="00042569"/>
    <w:rsid w:val="00042D42"/>
    <w:rsid w:val="00042E1B"/>
    <w:rsid w:val="00044629"/>
    <w:rsid w:val="00045208"/>
    <w:rsid w:val="00045EAA"/>
    <w:rsid w:val="00047815"/>
    <w:rsid w:val="00047D7C"/>
    <w:rsid w:val="00051823"/>
    <w:rsid w:val="00051CE2"/>
    <w:rsid w:val="00053B86"/>
    <w:rsid w:val="000541CA"/>
    <w:rsid w:val="000624CA"/>
    <w:rsid w:val="00066D72"/>
    <w:rsid w:val="00070FCF"/>
    <w:rsid w:val="000727AB"/>
    <w:rsid w:val="0008000F"/>
    <w:rsid w:val="00080043"/>
    <w:rsid w:val="00082358"/>
    <w:rsid w:val="00087CDE"/>
    <w:rsid w:val="000909CC"/>
    <w:rsid w:val="00091CF8"/>
    <w:rsid w:val="000946FE"/>
    <w:rsid w:val="000A0EEF"/>
    <w:rsid w:val="000A1BB8"/>
    <w:rsid w:val="000A5EE5"/>
    <w:rsid w:val="000B0118"/>
    <w:rsid w:val="000B690E"/>
    <w:rsid w:val="000B7C12"/>
    <w:rsid w:val="000C0840"/>
    <w:rsid w:val="000C17E2"/>
    <w:rsid w:val="000C4D57"/>
    <w:rsid w:val="000C619E"/>
    <w:rsid w:val="000D08B1"/>
    <w:rsid w:val="000D0D02"/>
    <w:rsid w:val="000D401B"/>
    <w:rsid w:val="000E147D"/>
    <w:rsid w:val="000E1E3E"/>
    <w:rsid w:val="000E6F11"/>
    <w:rsid w:val="000E798B"/>
    <w:rsid w:val="000F1FE7"/>
    <w:rsid w:val="000F400A"/>
    <w:rsid w:val="000F53CC"/>
    <w:rsid w:val="00101AA7"/>
    <w:rsid w:val="00105A7B"/>
    <w:rsid w:val="00107965"/>
    <w:rsid w:val="0011192E"/>
    <w:rsid w:val="001125E7"/>
    <w:rsid w:val="001155E2"/>
    <w:rsid w:val="00116B10"/>
    <w:rsid w:val="00126366"/>
    <w:rsid w:val="00127191"/>
    <w:rsid w:val="00130105"/>
    <w:rsid w:val="00131FB8"/>
    <w:rsid w:val="001323ED"/>
    <w:rsid w:val="00132ACB"/>
    <w:rsid w:val="00132DC6"/>
    <w:rsid w:val="001333BF"/>
    <w:rsid w:val="00134547"/>
    <w:rsid w:val="00136843"/>
    <w:rsid w:val="00136D33"/>
    <w:rsid w:val="00137E5E"/>
    <w:rsid w:val="00140611"/>
    <w:rsid w:val="00142DE0"/>
    <w:rsid w:val="00143955"/>
    <w:rsid w:val="00143A81"/>
    <w:rsid w:val="00143D4A"/>
    <w:rsid w:val="00143EB1"/>
    <w:rsid w:val="00146805"/>
    <w:rsid w:val="00151259"/>
    <w:rsid w:val="00151323"/>
    <w:rsid w:val="001538FE"/>
    <w:rsid w:val="001544CE"/>
    <w:rsid w:val="001545B9"/>
    <w:rsid w:val="00155EF6"/>
    <w:rsid w:val="001565CA"/>
    <w:rsid w:val="0015710F"/>
    <w:rsid w:val="00163DC2"/>
    <w:rsid w:val="001674FC"/>
    <w:rsid w:val="001708D8"/>
    <w:rsid w:val="001746A7"/>
    <w:rsid w:val="00174C40"/>
    <w:rsid w:val="001773E5"/>
    <w:rsid w:val="00177C2F"/>
    <w:rsid w:val="00180AAE"/>
    <w:rsid w:val="00183611"/>
    <w:rsid w:val="0019152B"/>
    <w:rsid w:val="001922F0"/>
    <w:rsid w:val="0019332E"/>
    <w:rsid w:val="00197109"/>
    <w:rsid w:val="00197366"/>
    <w:rsid w:val="00197E03"/>
    <w:rsid w:val="001A1612"/>
    <w:rsid w:val="001A3A02"/>
    <w:rsid w:val="001A4257"/>
    <w:rsid w:val="001A724B"/>
    <w:rsid w:val="001B28FC"/>
    <w:rsid w:val="001B3387"/>
    <w:rsid w:val="001B38D0"/>
    <w:rsid w:val="001B47E9"/>
    <w:rsid w:val="001B66EF"/>
    <w:rsid w:val="001C057C"/>
    <w:rsid w:val="001C170D"/>
    <w:rsid w:val="001C1B89"/>
    <w:rsid w:val="001C32DC"/>
    <w:rsid w:val="001C458A"/>
    <w:rsid w:val="001C481D"/>
    <w:rsid w:val="001C655A"/>
    <w:rsid w:val="001C7040"/>
    <w:rsid w:val="001D0696"/>
    <w:rsid w:val="001D24A8"/>
    <w:rsid w:val="001D3965"/>
    <w:rsid w:val="001E0EFE"/>
    <w:rsid w:val="001E329B"/>
    <w:rsid w:val="001F03DF"/>
    <w:rsid w:val="001F2CBC"/>
    <w:rsid w:val="001F319E"/>
    <w:rsid w:val="001F3C59"/>
    <w:rsid w:val="001F4B25"/>
    <w:rsid w:val="001F53F9"/>
    <w:rsid w:val="001F6D38"/>
    <w:rsid w:val="00201064"/>
    <w:rsid w:val="00204266"/>
    <w:rsid w:val="002054E0"/>
    <w:rsid w:val="00206D48"/>
    <w:rsid w:val="002073F7"/>
    <w:rsid w:val="002117F1"/>
    <w:rsid w:val="00214561"/>
    <w:rsid w:val="00214BAF"/>
    <w:rsid w:val="00214D71"/>
    <w:rsid w:val="00220F78"/>
    <w:rsid w:val="0022115A"/>
    <w:rsid w:val="00224DB4"/>
    <w:rsid w:val="00224DD0"/>
    <w:rsid w:val="00231138"/>
    <w:rsid w:val="002411DD"/>
    <w:rsid w:val="00242975"/>
    <w:rsid w:val="0024615B"/>
    <w:rsid w:val="00247119"/>
    <w:rsid w:val="0024766A"/>
    <w:rsid w:val="00254090"/>
    <w:rsid w:val="00256682"/>
    <w:rsid w:val="0026010A"/>
    <w:rsid w:val="0026055B"/>
    <w:rsid w:val="00260905"/>
    <w:rsid w:val="00261967"/>
    <w:rsid w:val="00263459"/>
    <w:rsid w:val="00263563"/>
    <w:rsid w:val="00265D4E"/>
    <w:rsid w:val="00267E65"/>
    <w:rsid w:val="0027253D"/>
    <w:rsid w:val="00272AF0"/>
    <w:rsid w:val="00282254"/>
    <w:rsid w:val="0028336C"/>
    <w:rsid w:val="00285DB8"/>
    <w:rsid w:val="00286436"/>
    <w:rsid w:val="002879AA"/>
    <w:rsid w:val="00291B5F"/>
    <w:rsid w:val="00291FA1"/>
    <w:rsid w:val="0029439B"/>
    <w:rsid w:val="00294D17"/>
    <w:rsid w:val="002A3A3E"/>
    <w:rsid w:val="002A51D0"/>
    <w:rsid w:val="002A654A"/>
    <w:rsid w:val="002A6E4E"/>
    <w:rsid w:val="002A7D51"/>
    <w:rsid w:val="002B182C"/>
    <w:rsid w:val="002B30EA"/>
    <w:rsid w:val="002B5B3D"/>
    <w:rsid w:val="002C2FFF"/>
    <w:rsid w:val="002C39D7"/>
    <w:rsid w:val="002D7B4C"/>
    <w:rsid w:val="002D7DDA"/>
    <w:rsid w:val="002E2746"/>
    <w:rsid w:val="002E4511"/>
    <w:rsid w:val="002E528E"/>
    <w:rsid w:val="002E7A94"/>
    <w:rsid w:val="002F2AD6"/>
    <w:rsid w:val="002F4B26"/>
    <w:rsid w:val="0030097C"/>
    <w:rsid w:val="00302503"/>
    <w:rsid w:val="00304A5B"/>
    <w:rsid w:val="00307FB9"/>
    <w:rsid w:val="003103E2"/>
    <w:rsid w:val="003163EA"/>
    <w:rsid w:val="00321F39"/>
    <w:rsid w:val="00323E49"/>
    <w:rsid w:val="003260E0"/>
    <w:rsid w:val="00326D67"/>
    <w:rsid w:val="00326F89"/>
    <w:rsid w:val="00330C08"/>
    <w:rsid w:val="0033696C"/>
    <w:rsid w:val="00340958"/>
    <w:rsid w:val="003428A2"/>
    <w:rsid w:val="00344CA0"/>
    <w:rsid w:val="00345803"/>
    <w:rsid w:val="00347EE5"/>
    <w:rsid w:val="00352CFE"/>
    <w:rsid w:val="00356528"/>
    <w:rsid w:val="00357D30"/>
    <w:rsid w:val="003615DF"/>
    <w:rsid w:val="00362AB0"/>
    <w:rsid w:val="00363FE7"/>
    <w:rsid w:val="00365863"/>
    <w:rsid w:val="0037110B"/>
    <w:rsid w:val="00376E39"/>
    <w:rsid w:val="0037772A"/>
    <w:rsid w:val="003879A5"/>
    <w:rsid w:val="00390028"/>
    <w:rsid w:val="00392984"/>
    <w:rsid w:val="00393680"/>
    <w:rsid w:val="0039436A"/>
    <w:rsid w:val="003979BE"/>
    <w:rsid w:val="003B0C54"/>
    <w:rsid w:val="003B31F8"/>
    <w:rsid w:val="003B59B8"/>
    <w:rsid w:val="003B789B"/>
    <w:rsid w:val="003C1DBC"/>
    <w:rsid w:val="003C4C64"/>
    <w:rsid w:val="003C6825"/>
    <w:rsid w:val="003C6E5D"/>
    <w:rsid w:val="003D0AF7"/>
    <w:rsid w:val="003D1D72"/>
    <w:rsid w:val="003D38F5"/>
    <w:rsid w:val="003D4953"/>
    <w:rsid w:val="003D6B6F"/>
    <w:rsid w:val="003E1DF5"/>
    <w:rsid w:val="003F0A77"/>
    <w:rsid w:val="003F2285"/>
    <w:rsid w:val="0040210B"/>
    <w:rsid w:val="0040489E"/>
    <w:rsid w:val="00404A2A"/>
    <w:rsid w:val="00411D1B"/>
    <w:rsid w:val="004134DE"/>
    <w:rsid w:val="00414E20"/>
    <w:rsid w:val="004152ED"/>
    <w:rsid w:val="004157F9"/>
    <w:rsid w:val="00420949"/>
    <w:rsid w:val="00422CE3"/>
    <w:rsid w:val="004249BC"/>
    <w:rsid w:val="004263EB"/>
    <w:rsid w:val="00432962"/>
    <w:rsid w:val="004337A2"/>
    <w:rsid w:val="00436669"/>
    <w:rsid w:val="0044495C"/>
    <w:rsid w:val="00447BBC"/>
    <w:rsid w:val="0045079A"/>
    <w:rsid w:val="00450907"/>
    <w:rsid w:val="00452EF8"/>
    <w:rsid w:val="00465902"/>
    <w:rsid w:val="004728F3"/>
    <w:rsid w:val="00476BB2"/>
    <w:rsid w:val="0048224B"/>
    <w:rsid w:val="00484366"/>
    <w:rsid w:val="00484E9F"/>
    <w:rsid w:val="00493725"/>
    <w:rsid w:val="00494216"/>
    <w:rsid w:val="004947AD"/>
    <w:rsid w:val="004A1A2B"/>
    <w:rsid w:val="004A58D6"/>
    <w:rsid w:val="004A5D76"/>
    <w:rsid w:val="004A7EE0"/>
    <w:rsid w:val="004B0291"/>
    <w:rsid w:val="004B079E"/>
    <w:rsid w:val="004B0A34"/>
    <w:rsid w:val="004B3D55"/>
    <w:rsid w:val="004B63D4"/>
    <w:rsid w:val="004C343C"/>
    <w:rsid w:val="004C4D7F"/>
    <w:rsid w:val="004C61C7"/>
    <w:rsid w:val="004C6CBF"/>
    <w:rsid w:val="004D026A"/>
    <w:rsid w:val="004D13A9"/>
    <w:rsid w:val="004D1E20"/>
    <w:rsid w:val="004D280C"/>
    <w:rsid w:val="004D31FF"/>
    <w:rsid w:val="004D511C"/>
    <w:rsid w:val="004D6759"/>
    <w:rsid w:val="004E13A9"/>
    <w:rsid w:val="004E495F"/>
    <w:rsid w:val="004E69EB"/>
    <w:rsid w:val="004F43CE"/>
    <w:rsid w:val="004F6651"/>
    <w:rsid w:val="0050034D"/>
    <w:rsid w:val="00504897"/>
    <w:rsid w:val="00507408"/>
    <w:rsid w:val="00512E81"/>
    <w:rsid w:val="00514478"/>
    <w:rsid w:val="005162A9"/>
    <w:rsid w:val="00521B64"/>
    <w:rsid w:val="005245BF"/>
    <w:rsid w:val="00525752"/>
    <w:rsid w:val="00526333"/>
    <w:rsid w:val="00527768"/>
    <w:rsid w:val="00536B6B"/>
    <w:rsid w:val="00541C0D"/>
    <w:rsid w:val="00542C49"/>
    <w:rsid w:val="00544166"/>
    <w:rsid w:val="0054492F"/>
    <w:rsid w:val="00544B21"/>
    <w:rsid w:val="0054586A"/>
    <w:rsid w:val="005459F8"/>
    <w:rsid w:val="00546FFA"/>
    <w:rsid w:val="005471D3"/>
    <w:rsid w:val="00550754"/>
    <w:rsid w:val="00553626"/>
    <w:rsid w:val="00556A2B"/>
    <w:rsid w:val="00557BAD"/>
    <w:rsid w:val="0056061F"/>
    <w:rsid w:val="0056590D"/>
    <w:rsid w:val="005745EF"/>
    <w:rsid w:val="005834B6"/>
    <w:rsid w:val="005937D7"/>
    <w:rsid w:val="005A1CF0"/>
    <w:rsid w:val="005A3548"/>
    <w:rsid w:val="005A3A94"/>
    <w:rsid w:val="005A7C44"/>
    <w:rsid w:val="005B189C"/>
    <w:rsid w:val="005B2481"/>
    <w:rsid w:val="005B5314"/>
    <w:rsid w:val="005B7C05"/>
    <w:rsid w:val="005C0E2D"/>
    <w:rsid w:val="005C1772"/>
    <w:rsid w:val="005C1817"/>
    <w:rsid w:val="005C2D6E"/>
    <w:rsid w:val="005C2F93"/>
    <w:rsid w:val="005C46FE"/>
    <w:rsid w:val="005C5DB9"/>
    <w:rsid w:val="005C6A7C"/>
    <w:rsid w:val="005D3E84"/>
    <w:rsid w:val="005D407D"/>
    <w:rsid w:val="005D6452"/>
    <w:rsid w:val="005D7937"/>
    <w:rsid w:val="005D7CF5"/>
    <w:rsid w:val="005F3A37"/>
    <w:rsid w:val="005F5198"/>
    <w:rsid w:val="005F581E"/>
    <w:rsid w:val="005F5FC3"/>
    <w:rsid w:val="005F6A9C"/>
    <w:rsid w:val="005F6B6F"/>
    <w:rsid w:val="005F7568"/>
    <w:rsid w:val="0060135A"/>
    <w:rsid w:val="006013B8"/>
    <w:rsid w:val="00602923"/>
    <w:rsid w:val="00613658"/>
    <w:rsid w:val="006152C7"/>
    <w:rsid w:val="00622AD7"/>
    <w:rsid w:val="00627072"/>
    <w:rsid w:val="00631A89"/>
    <w:rsid w:val="006466CE"/>
    <w:rsid w:val="00647CA3"/>
    <w:rsid w:val="00647FEA"/>
    <w:rsid w:val="00656B66"/>
    <w:rsid w:val="00662424"/>
    <w:rsid w:val="00666C68"/>
    <w:rsid w:val="00666CE1"/>
    <w:rsid w:val="00667DA3"/>
    <w:rsid w:val="00675AA5"/>
    <w:rsid w:val="00676F4E"/>
    <w:rsid w:val="00677C41"/>
    <w:rsid w:val="00682E31"/>
    <w:rsid w:val="006837FF"/>
    <w:rsid w:val="00684012"/>
    <w:rsid w:val="006949F0"/>
    <w:rsid w:val="006A3E62"/>
    <w:rsid w:val="006B0944"/>
    <w:rsid w:val="006B26A7"/>
    <w:rsid w:val="006B3B97"/>
    <w:rsid w:val="006B7804"/>
    <w:rsid w:val="006C00D3"/>
    <w:rsid w:val="006C1725"/>
    <w:rsid w:val="006C4231"/>
    <w:rsid w:val="006C4A14"/>
    <w:rsid w:val="006C6791"/>
    <w:rsid w:val="006D5997"/>
    <w:rsid w:val="006E128B"/>
    <w:rsid w:val="006E3675"/>
    <w:rsid w:val="006E3AF1"/>
    <w:rsid w:val="006E46F6"/>
    <w:rsid w:val="006E71FE"/>
    <w:rsid w:val="006F0638"/>
    <w:rsid w:val="006F0C70"/>
    <w:rsid w:val="006F17CA"/>
    <w:rsid w:val="006F259A"/>
    <w:rsid w:val="006F53B1"/>
    <w:rsid w:val="007038F8"/>
    <w:rsid w:val="00705EB0"/>
    <w:rsid w:val="007141DE"/>
    <w:rsid w:val="00716DD0"/>
    <w:rsid w:val="00716EEA"/>
    <w:rsid w:val="007227A3"/>
    <w:rsid w:val="0072295C"/>
    <w:rsid w:val="007234EB"/>
    <w:rsid w:val="007257A6"/>
    <w:rsid w:val="0073045F"/>
    <w:rsid w:val="00732805"/>
    <w:rsid w:val="00733D52"/>
    <w:rsid w:val="00734F0B"/>
    <w:rsid w:val="007378CF"/>
    <w:rsid w:val="00740048"/>
    <w:rsid w:val="00740E18"/>
    <w:rsid w:val="00742038"/>
    <w:rsid w:val="007513CC"/>
    <w:rsid w:val="00752679"/>
    <w:rsid w:val="0075508F"/>
    <w:rsid w:val="00756F39"/>
    <w:rsid w:val="00762D7C"/>
    <w:rsid w:val="00763B66"/>
    <w:rsid w:val="007666B1"/>
    <w:rsid w:val="00771A46"/>
    <w:rsid w:val="0077510C"/>
    <w:rsid w:val="0077599A"/>
    <w:rsid w:val="00776968"/>
    <w:rsid w:val="007828C8"/>
    <w:rsid w:val="00782DFF"/>
    <w:rsid w:val="00785030"/>
    <w:rsid w:val="00793F60"/>
    <w:rsid w:val="0079410E"/>
    <w:rsid w:val="007971DC"/>
    <w:rsid w:val="007973C2"/>
    <w:rsid w:val="007A0281"/>
    <w:rsid w:val="007A20F1"/>
    <w:rsid w:val="007A336F"/>
    <w:rsid w:val="007A5F15"/>
    <w:rsid w:val="007B0610"/>
    <w:rsid w:val="007B3B8A"/>
    <w:rsid w:val="007B421F"/>
    <w:rsid w:val="007B44A2"/>
    <w:rsid w:val="007B5AA3"/>
    <w:rsid w:val="007B6ED1"/>
    <w:rsid w:val="007C2C8D"/>
    <w:rsid w:val="007C2FFE"/>
    <w:rsid w:val="007C4294"/>
    <w:rsid w:val="007C79FB"/>
    <w:rsid w:val="007C7FE1"/>
    <w:rsid w:val="007D188F"/>
    <w:rsid w:val="007D4EB1"/>
    <w:rsid w:val="007E01BB"/>
    <w:rsid w:val="007E1593"/>
    <w:rsid w:val="007E17F1"/>
    <w:rsid w:val="007E7696"/>
    <w:rsid w:val="007E7EF8"/>
    <w:rsid w:val="007F2959"/>
    <w:rsid w:val="007F65AD"/>
    <w:rsid w:val="007F7EC1"/>
    <w:rsid w:val="0080577C"/>
    <w:rsid w:val="00806E9C"/>
    <w:rsid w:val="00810780"/>
    <w:rsid w:val="008107D4"/>
    <w:rsid w:val="00811565"/>
    <w:rsid w:val="00812A68"/>
    <w:rsid w:val="00813105"/>
    <w:rsid w:val="00816254"/>
    <w:rsid w:val="00816977"/>
    <w:rsid w:val="00817999"/>
    <w:rsid w:val="00826929"/>
    <w:rsid w:val="00826CB1"/>
    <w:rsid w:val="008301F7"/>
    <w:rsid w:val="00830223"/>
    <w:rsid w:val="00830993"/>
    <w:rsid w:val="0083143B"/>
    <w:rsid w:val="00831CFE"/>
    <w:rsid w:val="00834CDC"/>
    <w:rsid w:val="00842060"/>
    <w:rsid w:val="0085133B"/>
    <w:rsid w:val="0086071E"/>
    <w:rsid w:val="00873AC9"/>
    <w:rsid w:val="008763EF"/>
    <w:rsid w:val="00877D93"/>
    <w:rsid w:val="00885A1A"/>
    <w:rsid w:val="008868E9"/>
    <w:rsid w:val="00892F27"/>
    <w:rsid w:val="0089655A"/>
    <w:rsid w:val="008A0F7C"/>
    <w:rsid w:val="008A2A90"/>
    <w:rsid w:val="008A3DAC"/>
    <w:rsid w:val="008A7E1C"/>
    <w:rsid w:val="008B69BD"/>
    <w:rsid w:val="008B7C07"/>
    <w:rsid w:val="008C0219"/>
    <w:rsid w:val="008C1026"/>
    <w:rsid w:val="008C2CC0"/>
    <w:rsid w:val="008C4A04"/>
    <w:rsid w:val="008D2845"/>
    <w:rsid w:val="008D364F"/>
    <w:rsid w:val="008D6478"/>
    <w:rsid w:val="008E08F9"/>
    <w:rsid w:val="008E2529"/>
    <w:rsid w:val="008E41BE"/>
    <w:rsid w:val="008E4553"/>
    <w:rsid w:val="008E477B"/>
    <w:rsid w:val="008E4F70"/>
    <w:rsid w:val="008E735F"/>
    <w:rsid w:val="008F1233"/>
    <w:rsid w:val="008F124A"/>
    <w:rsid w:val="008F4D97"/>
    <w:rsid w:val="008F5818"/>
    <w:rsid w:val="0092040F"/>
    <w:rsid w:val="009250D8"/>
    <w:rsid w:val="0092591D"/>
    <w:rsid w:val="0092679C"/>
    <w:rsid w:val="00943117"/>
    <w:rsid w:val="00952005"/>
    <w:rsid w:val="00952364"/>
    <w:rsid w:val="0095517D"/>
    <w:rsid w:val="00956255"/>
    <w:rsid w:val="00956C73"/>
    <w:rsid w:val="00957134"/>
    <w:rsid w:val="00957D4A"/>
    <w:rsid w:val="0096145A"/>
    <w:rsid w:val="009645D9"/>
    <w:rsid w:val="00967125"/>
    <w:rsid w:val="00971649"/>
    <w:rsid w:val="00972258"/>
    <w:rsid w:val="00974C3C"/>
    <w:rsid w:val="009774D0"/>
    <w:rsid w:val="00977551"/>
    <w:rsid w:val="00977F6F"/>
    <w:rsid w:val="00981632"/>
    <w:rsid w:val="00981D17"/>
    <w:rsid w:val="00982266"/>
    <w:rsid w:val="00983FB7"/>
    <w:rsid w:val="009853A3"/>
    <w:rsid w:val="009939E8"/>
    <w:rsid w:val="00994A50"/>
    <w:rsid w:val="00995D89"/>
    <w:rsid w:val="00997DEA"/>
    <w:rsid w:val="009A3195"/>
    <w:rsid w:val="009A3380"/>
    <w:rsid w:val="009A5915"/>
    <w:rsid w:val="009B53C8"/>
    <w:rsid w:val="009B7C4A"/>
    <w:rsid w:val="009C03F3"/>
    <w:rsid w:val="009C4A06"/>
    <w:rsid w:val="009C4FA9"/>
    <w:rsid w:val="009D4517"/>
    <w:rsid w:val="009D4F17"/>
    <w:rsid w:val="009D6D00"/>
    <w:rsid w:val="009D7B1A"/>
    <w:rsid w:val="009E08ED"/>
    <w:rsid w:val="009E4CBB"/>
    <w:rsid w:val="009E4D66"/>
    <w:rsid w:val="009E50F4"/>
    <w:rsid w:val="009E75F2"/>
    <w:rsid w:val="009E7C1A"/>
    <w:rsid w:val="009F097A"/>
    <w:rsid w:val="00A00449"/>
    <w:rsid w:val="00A020BE"/>
    <w:rsid w:val="00A027DB"/>
    <w:rsid w:val="00A04AC0"/>
    <w:rsid w:val="00A04E76"/>
    <w:rsid w:val="00A11ECD"/>
    <w:rsid w:val="00A13651"/>
    <w:rsid w:val="00A13696"/>
    <w:rsid w:val="00A164D6"/>
    <w:rsid w:val="00A26A72"/>
    <w:rsid w:val="00A34539"/>
    <w:rsid w:val="00A4106C"/>
    <w:rsid w:val="00A416AB"/>
    <w:rsid w:val="00A41C1D"/>
    <w:rsid w:val="00A4415F"/>
    <w:rsid w:val="00A44784"/>
    <w:rsid w:val="00A47B6D"/>
    <w:rsid w:val="00A53E1D"/>
    <w:rsid w:val="00A558C5"/>
    <w:rsid w:val="00A55D3A"/>
    <w:rsid w:val="00A632C0"/>
    <w:rsid w:val="00A65CF6"/>
    <w:rsid w:val="00A72A26"/>
    <w:rsid w:val="00A7439D"/>
    <w:rsid w:val="00A82A67"/>
    <w:rsid w:val="00A84C5B"/>
    <w:rsid w:val="00A85433"/>
    <w:rsid w:val="00A8595A"/>
    <w:rsid w:val="00A85CED"/>
    <w:rsid w:val="00A90AD0"/>
    <w:rsid w:val="00A941D1"/>
    <w:rsid w:val="00A94BC8"/>
    <w:rsid w:val="00AA0C4E"/>
    <w:rsid w:val="00AA1F22"/>
    <w:rsid w:val="00AA2B4C"/>
    <w:rsid w:val="00AA2EAD"/>
    <w:rsid w:val="00AA4185"/>
    <w:rsid w:val="00AA61B3"/>
    <w:rsid w:val="00AB3552"/>
    <w:rsid w:val="00AB3822"/>
    <w:rsid w:val="00AB434D"/>
    <w:rsid w:val="00AB551F"/>
    <w:rsid w:val="00AB6A52"/>
    <w:rsid w:val="00AB7626"/>
    <w:rsid w:val="00AC1E97"/>
    <w:rsid w:val="00AC38C9"/>
    <w:rsid w:val="00AC3B18"/>
    <w:rsid w:val="00AC542D"/>
    <w:rsid w:val="00AC6892"/>
    <w:rsid w:val="00AD0980"/>
    <w:rsid w:val="00AD0F3C"/>
    <w:rsid w:val="00AD7CF1"/>
    <w:rsid w:val="00AE6389"/>
    <w:rsid w:val="00AE707E"/>
    <w:rsid w:val="00AF25CF"/>
    <w:rsid w:val="00AF27E9"/>
    <w:rsid w:val="00AF415F"/>
    <w:rsid w:val="00AF5BFA"/>
    <w:rsid w:val="00AF769D"/>
    <w:rsid w:val="00B00E38"/>
    <w:rsid w:val="00B013E4"/>
    <w:rsid w:val="00B03D71"/>
    <w:rsid w:val="00B03F5B"/>
    <w:rsid w:val="00B0557A"/>
    <w:rsid w:val="00B06C14"/>
    <w:rsid w:val="00B06D0B"/>
    <w:rsid w:val="00B07B0F"/>
    <w:rsid w:val="00B14142"/>
    <w:rsid w:val="00B15796"/>
    <w:rsid w:val="00B2051E"/>
    <w:rsid w:val="00B210EB"/>
    <w:rsid w:val="00B21BF1"/>
    <w:rsid w:val="00B2225C"/>
    <w:rsid w:val="00B22FD1"/>
    <w:rsid w:val="00B23D20"/>
    <w:rsid w:val="00B32372"/>
    <w:rsid w:val="00B32503"/>
    <w:rsid w:val="00B333EF"/>
    <w:rsid w:val="00B347AE"/>
    <w:rsid w:val="00B37248"/>
    <w:rsid w:val="00B4704E"/>
    <w:rsid w:val="00B474E0"/>
    <w:rsid w:val="00B47A4C"/>
    <w:rsid w:val="00B53079"/>
    <w:rsid w:val="00B624FB"/>
    <w:rsid w:val="00B631DE"/>
    <w:rsid w:val="00B634BB"/>
    <w:rsid w:val="00B72380"/>
    <w:rsid w:val="00B811CD"/>
    <w:rsid w:val="00B83121"/>
    <w:rsid w:val="00B834CB"/>
    <w:rsid w:val="00B8372F"/>
    <w:rsid w:val="00B85E10"/>
    <w:rsid w:val="00B9195D"/>
    <w:rsid w:val="00B92627"/>
    <w:rsid w:val="00B94BF9"/>
    <w:rsid w:val="00B95475"/>
    <w:rsid w:val="00B965EE"/>
    <w:rsid w:val="00B967C9"/>
    <w:rsid w:val="00BA13A6"/>
    <w:rsid w:val="00BA318D"/>
    <w:rsid w:val="00BA3EF8"/>
    <w:rsid w:val="00BA553D"/>
    <w:rsid w:val="00BA7D6D"/>
    <w:rsid w:val="00BB2AEA"/>
    <w:rsid w:val="00BB4EE0"/>
    <w:rsid w:val="00BB52F7"/>
    <w:rsid w:val="00BC190E"/>
    <w:rsid w:val="00BC1A54"/>
    <w:rsid w:val="00BD577D"/>
    <w:rsid w:val="00BD68B0"/>
    <w:rsid w:val="00BE0615"/>
    <w:rsid w:val="00BE48EB"/>
    <w:rsid w:val="00BE6FC3"/>
    <w:rsid w:val="00BF123A"/>
    <w:rsid w:val="00BF64D5"/>
    <w:rsid w:val="00BF6E58"/>
    <w:rsid w:val="00BF745B"/>
    <w:rsid w:val="00C02293"/>
    <w:rsid w:val="00C0276D"/>
    <w:rsid w:val="00C042D0"/>
    <w:rsid w:val="00C04F1C"/>
    <w:rsid w:val="00C053F6"/>
    <w:rsid w:val="00C1060F"/>
    <w:rsid w:val="00C1217A"/>
    <w:rsid w:val="00C12B90"/>
    <w:rsid w:val="00C25BA6"/>
    <w:rsid w:val="00C26DBA"/>
    <w:rsid w:val="00C2749A"/>
    <w:rsid w:val="00C34168"/>
    <w:rsid w:val="00C34AB3"/>
    <w:rsid w:val="00C41848"/>
    <w:rsid w:val="00C435E3"/>
    <w:rsid w:val="00C47948"/>
    <w:rsid w:val="00C5616B"/>
    <w:rsid w:val="00C575D6"/>
    <w:rsid w:val="00C616AB"/>
    <w:rsid w:val="00C63236"/>
    <w:rsid w:val="00C6371B"/>
    <w:rsid w:val="00C65106"/>
    <w:rsid w:val="00C661BD"/>
    <w:rsid w:val="00C674C5"/>
    <w:rsid w:val="00C679E2"/>
    <w:rsid w:val="00C70CD9"/>
    <w:rsid w:val="00C70DE7"/>
    <w:rsid w:val="00C71472"/>
    <w:rsid w:val="00C75BAD"/>
    <w:rsid w:val="00C80BAE"/>
    <w:rsid w:val="00C81AA5"/>
    <w:rsid w:val="00C858F9"/>
    <w:rsid w:val="00C87C06"/>
    <w:rsid w:val="00C929D2"/>
    <w:rsid w:val="00C959C6"/>
    <w:rsid w:val="00CA01C7"/>
    <w:rsid w:val="00CA082A"/>
    <w:rsid w:val="00CA1882"/>
    <w:rsid w:val="00CA25CD"/>
    <w:rsid w:val="00CA796E"/>
    <w:rsid w:val="00CB7DAA"/>
    <w:rsid w:val="00CC325D"/>
    <w:rsid w:val="00CC475D"/>
    <w:rsid w:val="00CC5E5B"/>
    <w:rsid w:val="00CD0065"/>
    <w:rsid w:val="00CD1EC6"/>
    <w:rsid w:val="00CD28FD"/>
    <w:rsid w:val="00CD3406"/>
    <w:rsid w:val="00CD4E42"/>
    <w:rsid w:val="00CD4FF3"/>
    <w:rsid w:val="00CD6ACF"/>
    <w:rsid w:val="00CE10EB"/>
    <w:rsid w:val="00CE11EA"/>
    <w:rsid w:val="00CE12ED"/>
    <w:rsid w:val="00CE1EB5"/>
    <w:rsid w:val="00CE20D7"/>
    <w:rsid w:val="00CF1BC9"/>
    <w:rsid w:val="00CF3DDA"/>
    <w:rsid w:val="00CF4315"/>
    <w:rsid w:val="00CF7641"/>
    <w:rsid w:val="00D015FD"/>
    <w:rsid w:val="00D01965"/>
    <w:rsid w:val="00D01C59"/>
    <w:rsid w:val="00D02432"/>
    <w:rsid w:val="00D04BD8"/>
    <w:rsid w:val="00D14B6A"/>
    <w:rsid w:val="00D15281"/>
    <w:rsid w:val="00D15F3E"/>
    <w:rsid w:val="00D164A4"/>
    <w:rsid w:val="00D21B8A"/>
    <w:rsid w:val="00D27559"/>
    <w:rsid w:val="00D27D6C"/>
    <w:rsid w:val="00D32885"/>
    <w:rsid w:val="00D37475"/>
    <w:rsid w:val="00D403AF"/>
    <w:rsid w:val="00D42BD3"/>
    <w:rsid w:val="00D44A6F"/>
    <w:rsid w:val="00D51F8B"/>
    <w:rsid w:val="00D5510E"/>
    <w:rsid w:val="00D577FA"/>
    <w:rsid w:val="00D62892"/>
    <w:rsid w:val="00D628E6"/>
    <w:rsid w:val="00D63BB3"/>
    <w:rsid w:val="00D64505"/>
    <w:rsid w:val="00D67710"/>
    <w:rsid w:val="00D678AB"/>
    <w:rsid w:val="00D67EF8"/>
    <w:rsid w:val="00D72206"/>
    <w:rsid w:val="00D734A6"/>
    <w:rsid w:val="00D73FD2"/>
    <w:rsid w:val="00D74FBB"/>
    <w:rsid w:val="00D7731A"/>
    <w:rsid w:val="00D804A1"/>
    <w:rsid w:val="00D8069F"/>
    <w:rsid w:val="00D80CFA"/>
    <w:rsid w:val="00D816DA"/>
    <w:rsid w:val="00D82D7D"/>
    <w:rsid w:val="00D853EB"/>
    <w:rsid w:val="00D872E4"/>
    <w:rsid w:val="00D933D1"/>
    <w:rsid w:val="00D93A62"/>
    <w:rsid w:val="00D94159"/>
    <w:rsid w:val="00D9620C"/>
    <w:rsid w:val="00D9638C"/>
    <w:rsid w:val="00DA1617"/>
    <w:rsid w:val="00DA1F79"/>
    <w:rsid w:val="00DA621E"/>
    <w:rsid w:val="00DA6F6E"/>
    <w:rsid w:val="00DB341F"/>
    <w:rsid w:val="00DB4801"/>
    <w:rsid w:val="00DB4E31"/>
    <w:rsid w:val="00DC0306"/>
    <w:rsid w:val="00DC3AA8"/>
    <w:rsid w:val="00DC55BE"/>
    <w:rsid w:val="00DD0852"/>
    <w:rsid w:val="00DD0DAA"/>
    <w:rsid w:val="00DE0E5F"/>
    <w:rsid w:val="00DE408A"/>
    <w:rsid w:val="00DE4CED"/>
    <w:rsid w:val="00DE5E79"/>
    <w:rsid w:val="00DE753F"/>
    <w:rsid w:val="00DF3226"/>
    <w:rsid w:val="00DF4787"/>
    <w:rsid w:val="00E004E5"/>
    <w:rsid w:val="00E064D7"/>
    <w:rsid w:val="00E06883"/>
    <w:rsid w:val="00E078A8"/>
    <w:rsid w:val="00E07B6E"/>
    <w:rsid w:val="00E10975"/>
    <w:rsid w:val="00E11E2F"/>
    <w:rsid w:val="00E126AC"/>
    <w:rsid w:val="00E14275"/>
    <w:rsid w:val="00E15396"/>
    <w:rsid w:val="00E15B66"/>
    <w:rsid w:val="00E167CA"/>
    <w:rsid w:val="00E17846"/>
    <w:rsid w:val="00E17E1E"/>
    <w:rsid w:val="00E202D0"/>
    <w:rsid w:val="00E32245"/>
    <w:rsid w:val="00E34D9A"/>
    <w:rsid w:val="00E35A96"/>
    <w:rsid w:val="00E4320E"/>
    <w:rsid w:val="00E4532C"/>
    <w:rsid w:val="00E47C02"/>
    <w:rsid w:val="00E507CA"/>
    <w:rsid w:val="00E51198"/>
    <w:rsid w:val="00E527A6"/>
    <w:rsid w:val="00E54142"/>
    <w:rsid w:val="00E55EB6"/>
    <w:rsid w:val="00E60CCB"/>
    <w:rsid w:val="00E64B73"/>
    <w:rsid w:val="00E6600C"/>
    <w:rsid w:val="00E72833"/>
    <w:rsid w:val="00E7603D"/>
    <w:rsid w:val="00E80676"/>
    <w:rsid w:val="00E80D54"/>
    <w:rsid w:val="00E82352"/>
    <w:rsid w:val="00E85C45"/>
    <w:rsid w:val="00E8787D"/>
    <w:rsid w:val="00E92677"/>
    <w:rsid w:val="00E94B44"/>
    <w:rsid w:val="00E97407"/>
    <w:rsid w:val="00EA222F"/>
    <w:rsid w:val="00EA439E"/>
    <w:rsid w:val="00EA451F"/>
    <w:rsid w:val="00EA4730"/>
    <w:rsid w:val="00EA48CE"/>
    <w:rsid w:val="00EB046D"/>
    <w:rsid w:val="00EB2772"/>
    <w:rsid w:val="00EB4794"/>
    <w:rsid w:val="00EB766E"/>
    <w:rsid w:val="00EC190E"/>
    <w:rsid w:val="00EC2A43"/>
    <w:rsid w:val="00EC6AC1"/>
    <w:rsid w:val="00ED017B"/>
    <w:rsid w:val="00ED05A3"/>
    <w:rsid w:val="00ED32C2"/>
    <w:rsid w:val="00ED3727"/>
    <w:rsid w:val="00ED50B4"/>
    <w:rsid w:val="00ED63A5"/>
    <w:rsid w:val="00EE1B33"/>
    <w:rsid w:val="00EE381C"/>
    <w:rsid w:val="00EE4BA2"/>
    <w:rsid w:val="00EE631F"/>
    <w:rsid w:val="00EF1570"/>
    <w:rsid w:val="00EF1A2D"/>
    <w:rsid w:val="00EF3AE7"/>
    <w:rsid w:val="00EF42BB"/>
    <w:rsid w:val="00EF665F"/>
    <w:rsid w:val="00F00B8D"/>
    <w:rsid w:val="00F017F1"/>
    <w:rsid w:val="00F020F8"/>
    <w:rsid w:val="00F02AA8"/>
    <w:rsid w:val="00F02BFF"/>
    <w:rsid w:val="00F03D5C"/>
    <w:rsid w:val="00F1094A"/>
    <w:rsid w:val="00F129B9"/>
    <w:rsid w:val="00F144D3"/>
    <w:rsid w:val="00F16681"/>
    <w:rsid w:val="00F1714A"/>
    <w:rsid w:val="00F17F71"/>
    <w:rsid w:val="00F22217"/>
    <w:rsid w:val="00F24EB0"/>
    <w:rsid w:val="00F27AF1"/>
    <w:rsid w:val="00F32678"/>
    <w:rsid w:val="00F33371"/>
    <w:rsid w:val="00F33E65"/>
    <w:rsid w:val="00F33E8B"/>
    <w:rsid w:val="00F34E58"/>
    <w:rsid w:val="00F35809"/>
    <w:rsid w:val="00F37419"/>
    <w:rsid w:val="00F41F37"/>
    <w:rsid w:val="00F41F55"/>
    <w:rsid w:val="00F43E03"/>
    <w:rsid w:val="00F4556A"/>
    <w:rsid w:val="00F47677"/>
    <w:rsid w:val="00F47688"/>
    <w:rsid w:val="00F519EA"/>
    <w:rsid w:val="00F528AB"/>
    <w:rsid w:val="00F52C1D"/>
    <w:rsid w:val="00F53246"/>
    <w:rsid w:val="00F536A5"/>
    <w:rsid w:val="00F53E8B"/>
    <w:rsid w:val="00F53F0F"/>
    <w:rsid w:val="00F6086C"/>
    <w:rsid w:val="00F60EE2"/>
    <w:rsid w:val="00F61B8E"/>
    <w:rsid w:val="00F61FF1"/>
    <w:rsid w:val="00F6491D"/>
    <w:rsid w:val="00F726BE"/>
    <w:rsid w:val="00F72F7D"/>
    <w:rsid w:val="00F7323E"/>
    <w:rsid w:val="00F7460F"/>
    <w:rsid w:val="00F762EE"/>
    <w:rsid w:val="00F77F9E"/>
    <w:rsid w:val="00F82086"/>
    <w:rsid w:val="00F86F50"/>
    <w:rsid w:val="00F91375"/>
    <w:rsid w:val="00F944CB"/>
    <w:rsid w:val="00F95451"/>
    <w:rsid w:val="00F96333"/>
    <w:rsid w:val="00FA047A"/>
    <w:rsid w:val="00FA6545"/>
    <w:rsid w:val="00FA6DF5"/>
    <w:rsid w:val="00FB139B"/>
    <w:rsid w:val="00FB4150"/>
    <w:rsid w:val="00FB5640"/>
    <w:rsid w:val="00FB7113"/>
    <w:rsid w:val="00FC16F5"/>
    <w:rsid w:val="00FC2F5D"/>
    <w:rsid w:val="00FC3D13"/>
    <w:rsid w:val="00FC3D70"/>
    <w:rsid w:val="00FC626C"/>
    <w:rsid w:val="00FD1D24"/>
    <w:rsid w:val="00FD3DA6"/>
    <w:rsid w:val="00FD5136"/>
    <w:rsid w:val="00FD54EE"/>
    <w:rsid w:val="00FD6413"/>
    <w:rsid w:val="00FE3B5B"/>
    <w:rsid w:val="00FE3C3A"/>
    <w:rsid w:val="00FE4CB1"/>
    <w:rsid w:val="00FE4CDF"/>
    <w:rsid w:val="00FF0A14"/>
    <w:rsid w:val="00FF1E66"/>
    <w:rsid w:val="00FF26DC"/>
    <w:rsid w:val="00FF287D"/>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F16F94"/>
  <w15:docId w15:val="{E88E28DE-9194-4E16-B329-77189080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qFormat/>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unhideWhenUsed/>
    <w:rsid w:val="0027253D"/>
    <w:rPr>
      <w:sz w:val="20"/>
    </w:rPr>
  </w:style>
  <w:style w:type="character" w:customStyle="1" w:styleId="CommentTextChar">
    <w:name w:val="Comment Text Char"/>
    <w:basedOn w:val="DefaultParagraphFont"/>
    <w:link w:val="CommentText"/>
    <w:uiPriority w:val="99"/>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cohovertext">
    <w:name w:val="co_hovertext"/>
    <w:basedOn w:val="DefaultParagraphFont"/>
    <w:rsid w:val="00CF4315"/>
  </w:style>
  <w:style w:type="character" w:customStyle="1" w:styleId="counderline">
    <w:name w:val="co_underline"/>
    <w:basedOn w:val="DefaultParagraphFont"/>
    <w:rsid w:val="00716EEA"/>
  </w:style>
  <w:style w:type="character" w:customStyle="1" w:styleId="costarpage">
    <w:name w:val="co_starpage"/>
    <w:basedOn w:val="DefaultParagraphFont"/>
    <w:rsid w:val="00E6600C"/>
  </w:style>
  <w:style w:type="paragraph" w:customStyle="1" w:styleId="xmsonormal">
    <w:name w:val="x_msonormal"/>
    <w:basedOn w:val="Normal"/>
    <w:rsid w:val="00AA2B4C"/>
    <w:pPr>
      <w:widowControl/>
    </w:pPr>
    <w:rPr>
      <w:rFonts w:ascii="Calibri" w:hAnsi="Calibri" w:eastAsiaTheme="minorHAnsi" w:cs="Calibri"/>
      <w:snapToGrid/>
      <w:sz w:val="22"/>
      <w:szCs w:val="22"/>
    </w:rPr>
  </w:style>
  <w:style w:type="character" w:styleId="Strong">
    <w:name w:val="Strong"/>
    <w:basedOn w:val="DefaultParagraphFont"/>
    <w:uiPriority w:val="22"/>
    <w:qFormat/>
    <w:rsid w:val="00AA2B4C"/>
    <w:rPr>
      <w:b/>
      <w:bCs/>
    </w:rPr>
  </w:style>
  <w:style w:type="paragraph" w:customStyle="1" w:styleId="Default">
    <w:name w:val="Default"/>
    <w:rsid w:val="004C343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1A54"/>
    <w:pPr>
      <w:spacing w:after="0" w:line="240" w:lineRule="auto"/>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2E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