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5884" w:rsidP="00C82B6B" w14:paraId="14B177E1" w14:textId="77777777">
      <w:pPr>
        <w:jc w:val="right"/>
        <w:rPr>
          <w:sz w:val="24"/>
        </w:rPr>
      </w:pPr>
    </w:p>
    <w:p w:rsidR="00013A8B" w:rsidRPr="00B20363" w:rsidP="00013A8B" w14:paraId="7750B486" w14:textId="69535AE2">
      <w:pPr>
        <w:jc w:val="right"/>
        <w:rPr>
          <w:b/>
          <w:sz w:val="24"/>
        </w:rPr>
      </w:pPr>
      <w:r>
        <w:rPr>
          <w:b/>
          <w:sz w:val="24"/>
        </w:rPr>
        <w:t>DA 23-54</w:t>
      </w:r>
    </w:p>
    <w:p w:rsidR="00013A8B" w:rsidRPr="00B20363" w:rsidP="00013A8B" w14:paraId="6E2A64F3" w14:textId="09AB1C66">
      <w:pPr>
        <w:spacing w:before="60"/>
        <w:jc w:val="right"/>
        <w:rPr>
          <w:b/>
          <w:sz w:val="24"/>
        </w:rPr>
      </w:pPr>
      <w:r>
        <w:rPr>
          <w:b/>
          <w:sz w:val="24"/>
        </w:rPr>
        <w:t xml:space="preserve">Released:  </w:t>
      </w:r>
      <w:r w:rsidR="003D3C17">
        <w:rPr>
          <w:b/>
          <w:sz w:val="24"/>
        </w:rPr>
        <w:t>January 20, 2023</w:t>
      </w:r>
    </w:p>
    <w:p w:rsidR="00013A8B" w:rsidP="00013A8B" w14:paraId="6B6FAA3F" w14:textId="77777777">
      <w:pPr>
        <w:jc w:val="right"/>
        <w:rPr>
          <w:sz w:val="24"/>
        </w:rPr>
      </w:pPr>
    </w:p>
    <w:p w:rsidR="003D3C17" w:rsidP="003D3C17" w14:paraId="41398C8F" w14:textId="193ECEA5">
      <w:pPr>
        <w:jc w:val="center"/>
        <w:rPr>
          <w:rFonts w:ascii="Times New Roman Bold" w:hAnsi="Times New Roman Bold"/>
          <w:b/>
          <w:caps/>
          <w:sz w:val="24"/>
        </w:rPr>
      </w:pPr>
      <w:bookmarkStart w:id="0" w:name="_Hlk12442914"/>
      <w:r w:rsidRPr="003D3C17">
        <w:rPr>
          <w:rFonts w:ascii="Times New Roman Bold" w:hAnsi="Times New Roman Bold"/>
          <w:b/>
          <w:caps/>
          <w:sz w:val="24"/>
        </w:rPr>
        <w:t xml:space="preserve">Wireline Competition BUREAU Announces Comment Dates FOR </w:t>
      </w:r>
      <w:bookmarkEnd w:id="0"/>
      <w:r w:rsidRPr="003D3C17">
        <w:rPr>
          <w:rFonts w:ascii="Times New Roman Bold" w:hAnsi="Times New Roman Bold"/>
          <w:b/>
          <w:caps/>
          <w:sz w:val="24"/>
        </w:rPr>
        <w:t>the Preventing Digital Discrimination notice of proposed Rulemaking</w:t>
      </w:r>
    </w:p>
    <w:p w:rsidR="003D3C17" w:rsidRPr="003D3C17" w:rsidP="003D3C17" w14:paraId="198A61C4" w14:textId="77777777">
      <w:pPr>
        <w:jc w:val="center"/>
        <w:rPr>
          <w:rFonts w:ascii="Times New Roman Bold" w:hAnsi="Times New Roman Bold"/>
          <w:b/>
          <w:caps/>
          <w:sz w:val="24"/>
        </w:rPr>
      </w:pPr>
    </w:p>
    <w:p w:rsidR="003D3C17" w:rsidP="003D3C17" w14:paraId="78568E56" w14:textId="1C0E24DE">
      <w:pPr>
        <w:jc w:val="center"/>
        <w:rPr>
          <w:b/>
          <w:sz w:val="24"/>
        </w:rPr>
      </w:pPr>
      <w:bookmarkStart w:id="1" w:name="_Hlk12442886"/>
      <w:r w:rsidRPr="003D3C17">
        <w:rPr>
          <w:b/>
          <w:sz w:val="24"/>
        </w:rPr>
        <w:t>GN Docket No. 22-69</w:t>
      </w:r>
      <w:bookmarkEnd w:id="1"/>
    </w:p>
    <w:p w:rsidR="003D3C17" w:rsidP="003D3C17" w14:paraId="65A917F6" w14:textId="230924DE">
      <w:pPr>
        <w:jc w:val="center"/>
        <w:rPr>
          <w:b/>
          <w:sz w:val="24"/>
        </w:rPr>
      </w:pPr>
    </w:p>
    <w:p w:rsidR="003D3C17" w:rsidRPr="00AC3BBE" w:rsidP="003D3C17" w14:paraId="4E7D0120" w14:textId="77777777">
      <w:pPr>
        <w:rPr>
          <w:b/>
          <w:szCs w:val="22"/>
        </w:rPr>
      </w:pPr>
      <w:r w:rsidRPr="00AC3BBE">
        <w:rPr>
          <w:b/>
          <w:szCs w:val="22"/>
        </w:rPr>
        <w:t xml:space="preserve">Comment Date:  </w:t>
      </w:r>
      <w:r>
        <w:rPr>
          <w:b/>
          <w:szCs w:val="22"/>
        </w:rPr>
        <w:t>February 21</w:t>
      </w:r>
      <w:r w:rsidRPr="00D774D5">
        <w:rPr>
          <w:b/>
          <w:szCs w:val="22"/>
        </w:rPr>
        <w:t>,</w:t>
      </w:r>
      <w:r w:rsidRPr="00AC3BBE">
        <w:rPr>
          <w:b/>
          <w:szCs w:val="22"/>
        </w:rPr>
        <w:t xml:space="preserve"> 202</w:t>
      </w:r>
      <w:r>
        <w:rPr>
          <w:b/>
          <w:szCs w:val="22"/>
        </w:rPr>
        <w:t>3</w:t>
      </w:r>
      <w:r w:rsidRPr="00AC3BBE">
        <w:rPr>
          <w:b/>
          <w:szCs w:val="22"/>
        </w:rPr>
        <w:t xml:space="preserve"> </w:t>
      </w:r>
    </w:p>
    <w:p w:rsidR="003D3C17" w:rsidRPr="00AC3BBE" w:rsidP="003D3C17" w14:paraId="2CA0F9EC" w14:textId="77777777">
      <w:pPr>
        <w:rPr>
          <w:b/>
        </w:rPr>
      </w:pPr>
      <w:r w:rsidRPr="021B6125">
        <w:rPr>
          <w:b/>
        </w:rPr>
        <w:t xml:space="preserve">Reply Comment Date:  </w:t>
      </w:r>
      <w:r w:rsidRPr="000778FD">
        <w:rPr>
          <w:b/>
        </w:rPr>
        <w:t xml:space="preserve">March </w:t>
      </w:r>
      <w:r w:rsidRPr="000778FD">
        <w:rPr>
          <w:b/>
          <w:bCs/>
        </w:rPr>
        <w:t>21</w:t>
      </w:r>
      <w:r w:rsidRPr="009E7351">
        <w:rPr>
          <w:b/>
        </w:rPr>
        <w:t>,</w:t>
      </w:r>
      <w:r w:rsidRPr="021B6125">
        <w:rPr>
          <w:b/>
        </w:rPr>
        <w:t xml:space="preserve"> 2023 </w:t>
      </w:r>
    </w:p>
    <w:p w:rsidR="003D3C17" w:rsidRPr="00AC3BBE" w:rsidP="003D3C17" w14:paraId="36A0AFA5" w14:textId="77777777">
      <w:pPr>
        <w:rPr>
          <w:szCs w:val="22"/>
        </w:rPr>
      </w:pPr>
    </w:p>
    <w:p w:rsidR="003D3C17" w:rsidRPr="00491610" w:rsidP="003D3C17" w14:paraId="4D7F2FC5" w14:textId="77777777">
      <w:pPr>
        <w:spacing w:after="120"/>
        <w:ind w:firstLine="720"/>
        <w:rPr>
          <w:szCs w:val="22"/>
        </w:rPr>
      </w:pPr>
      <w:r w:rsidRPr="00AC3BBE">
        <w:rPr>
          <w:szCs w:val="22"/>
        </w:rPr>
        <w:t xml:space="preserve">On </w:t>
      </w:r>
      <w:r>
        <w:rPr>
          <w:szCs w:val="22"/>
        </w:rPr>
        <w:t>December 22</w:t>
      </w:r>
      <w:r w:rsidRPr="00AC3BBE">
        <w:rPr>
          <w:szCs w:val="22"/>
        </w:rPr>
        <w:t>, 20</w:t>
      </w:r>
      <w:r>
        <w:rPr>
          <w:szCs w:val="22"/>
        </w:rPr>
        <w:t>22</w:t>
      </w:r>
      <w:r w:rsidRPr="00AC3BBE">
        <w:rPr>
          <w:szCs w:val="22"/>
        </w:rPr>
        <w:t>, the C</w:t>
      </w:r>
      <w:r>
        <w:rPr>
          <w:szCs w:val="22"/>
        </w:rPr>
        <w:t xml:space="preserve">ommission released a Notice of Proposed Rulemaking </w:t>
      </w:r>
      <w:r w:rsidRPr="00371059">
        <w:rPr>
          <w:szCs w:val="22"/>
        </w:rPr>
        <w:t>seeking comment</w:t>
      </w:r>
      <w:r>
        <w:rPr>
          <w:szCs w:val="22"/>
        </w:rPr>
        <w:t xml:space="preserve"> on potential rules to address digital discrimination of access to broadband, pursuant to section 60506 of the Infrastructure Investment and Jobs Act of 2021.</w:t>
      </w:r>
      <w:r>
        <w:rPr>
          <w:rStyle w:val="FootnoteReference"/>
          <w:szCs w:val="22"/>
        </w:rPr>
        <w:footnoteReference w:id="3"/>
      </w:r>
      <w:r>
        <w:rPr>
          <w:szCs w:val="22"/>
        </w:rPr>
        <w:t xml:space="preserve">  </w:t>
      </w:r>
      <w:r>
        <w:t xml:space="preserve">Specifically, in the </w:t>
      </w:r>
      <w:r>
        <w:rPr>
          <w:i/>
          <w:iCs/>
        </w:rPr>
        <w:t xml:space="preserve">Preventing Digital Discrimination </w:t>
      </w:r>
      <w:r w:rsidRPr="00491610">
        <w:rPr>
          <w:i/>
          <w:iCs/>
        </w:rPr>
        <w:t>NPRM</w:t>
      </w:r>
      <w:r>
        <w:t xml:space="preserve">, the Commission proposes to (1) adopt a definition of “digital discrimination of access,” (2) revise the Commission’s informal consumer complaint process to accept complaints of digital discrimination of access, and (3) adopt model policies and best practices for states and localities combating digital discrimination.  The </w:t>
      </w:r>
      <w:r>
        <w:rPr>
          <w:i/>
          <w:iCs/>
        </w:rPr>
        <w:t xml:space="preserve">Preventing Digital Discrimination </w:t>
      </w:r>
      <w:r w:rsidRPr="00491610">
        <w:rPr>
          <w:i/>
          <w:iCs/>
        </w:rPr>
        <w:t>NPRM</w:t>
      </w:r>
      <w:r>
        <w:t xml:space="preserve"> also seeks comment on other rules the Commission should adopt to facilitate equal access and combat digital discrimination, and the legal authority for adopted rules. </w:t>
      </w:r>
    </w:p>
    <w:p w:rsidR="003D3C17" w:rsidP="003D3C17" w14:paraId="235888D0" w14:textId="77777777">
      <w:pPr>
        <w:pStyle w:val="ParaNum"/>
        <w:numPr>
          <w:ilvl w:val="0"/>
          <w:numId w:val="0"/>
        </w:numPr>
        <w:ind w:firstLine="720"/>
      </w:pPr>
      <w:r w:rsidRPr="021B6125">
        <w:t xml:space="preserve">On January </w:t>
      </w:r>
      <w:r>
        <w:t>20</w:t>
      </w:r>
      <w:r w:rsidRPr="00D774D5">
        <w:rPr>
          <w:szCs w:val="22"/>
        </w:rPr>
        <w:t>,</w:t>
      </w:r>
      <w:r w:rsidRPr="009675AB">
        <w:rPr>
          <w:szCs w:val="22"/>
        </w:rPr>
        <w:t xml:space="preserve"> </w:t>
      </w:r>
      <w:r w:rsidRPr="021B6125">
        <w:t>2023</w:t>
      </w:r>
      <w:r>
        <w:rPr>
          <w:szCs w:val="22"/>
        </w:rPr>
        <w:t xml:space="preserve">, </w:t>
      </w:r>
      <w:r w:rsidRPr="021B6125">
        <w:t xml:space="preserve">a summary of the </w:t>
      </w:r>
      <w:r w:rsidRPr="021B6125">
        <w:rPr>
          <w:i/>
        </w:rPr>
        <w:t>Preventing Digital Discrimination NPRM</w:t>
      </w:r>
      <w:r w:rsidRPr="021B6125">
        <w:t xml:space="preserve"> was published in the Federal Register</w:t>
      </w:r>
      <w:r w:rsidRPr="00232777">
        <w:t>.</w:t>
      </w:r>
      <w:r>
        <w:rPr>
          <w:rStyle w:val="FootnoteReference"/>
        </w:rPr>
        <w:footnoteReference w:id="4"/>
      </w:r>
      <w:r w:rsidRPr="021B6125">
        <w:t xml:space="preserve">  Accordingly, comments are due on or before</w:t>
      </w:r>
      <w:r w:rsidRPr="009675AB">
        <w:rPr>
          <w:szCs w:val="22"/>
        </w:rPr>
        <w:t xml:space="preserve"> </w:t>
      </w:r>
      <w:r w:rsidRPr="021B6125">
        <w:rPr>
          <w:b/>
        </w:rPr>
        <w:t>February 21, 2023</w:t>
      </w:r>
      <w:r w:rsidRPr="009675AB">
        <w:rPr>
          <w:szCs w:val="22"/>
        </w:rPr>
        <w:t>,</w:t>
      </w:r>
      <w:r w:rsidRPr="021B6125">
        <w:t xml:space="preserve"> and reply comments are due on or before</w:t>
      </w:r>
      <w:r w:rsidRPr="009675AB">
        <w:rPr>
          <w:szCs w:val="22"/>
        </w:rPr>
        <w:t xml:space="preserve"> </w:t>
      </w:r>
      <w:r w:rsidRPr="00232777">
        <w:rPr>
          <w:b/>
        </w:rPr>
        <w:t xml:space="preserve">March </w:t>
      </w:r>
      <w:r w:rsidRPr="00232777">
        <w:rPr>
          <w:b/>
          <w:bCs/>
        </w:rPr>
        <w:t>21</w:t>
      </w:r>
      <w:r w:rsidRPr="009E7351">
        <w:rPr>
          <w:b/>
        </w:rPr>
        <w:t>,</w:t>
      </w:r>
      <w:r w:rsidRPr="021B6125">
        <w:rPr>
          <w:b/>
        </w:rPr>
        <w:t xml:space="preserve"> 2023</w:t>
      </w:r>
      <w:r w:rsidRPr="021B6125">
        <w:t xml:space="preserve">.  Complete comment filing instructions are set forth in the </w:t>
      </w:r>
      <w:r w:rsidRPr="021B6125">
        <w:rPr>
          <w:i/>
        </w:rPr>
        <w:t>Preventing Digital Discrimination NPRM</w:t>
      </w:r>
      <w:r w:rsidRPr="009675AB">
        <w:rPr>
          <w:szCs w:val="22"/>
        </w:rPr>
        <w:t>.</w:t>
      </w:r>
      <w:r>
        <w:rPr>
          <w:rStyle w:val="FootnoteReference"/>
        </w:rPr>
        <w:footnoteReference w:id="5"/>
      </w:r>
    </w:p>
    <w:p w:rsidR="003D3C17" w:rsidRPr="00AC3BBE" w:rsidP="003D3C17" w14:paraId="16854ACA" w14:textId="77777777">
      <w:pPr>
        <w:spacing w:after="120"/>
        <w:ind w:firstLine="720"/>
        <w:rPr>
          <w:szCs w:val="22"/>
        </w:rPr>
      </w:pPr>
      <w:r w:rsidRPr="005D1E64">
        <w:rPr>
          <w:szCs w:val="22"/>
        </w:rPr>
        <w:t xml:space="preserve">To request materials in accessible formats for people with disabilities (Braille, large print, electronic files, audio format), send an e-mail to </w:t>
      </w:r>
      <w:hyperlink r:id="rId5" w:history="1">
        <w:r w:rsidRPr="005D1E64">
          <w:rPr>
            <w:rStyle w:val="Hyperlink"/>
            <w:szCs w:val="22"/>
          </w:rPr>
          <w:t>fcc504@fcc.gov</w:t>
        </w:r>
      </w:hyperlink>
      <w:r w:rsidRPr="005D1E64">
        <w:rPr>
          <w:szCs w:val="22"/>
        </w:rPr>
        <w:t xml:space="preserve"> or call the Consumer and Governmental Affairs Bureau at (202) 418-0530 (voice).  </w:t>
      </w:r>
    </w:p>
    <w:p w:rsidR="003D3C17" w:rsidRPr="00AC3BBE" w:rsidP="003D3C17" w14:paraId="1292D5D7" w14:textId="77777777">
      <w:pPr>
        <w:rPr>
          <w:szCs w:val="22"/>
        </w:rPr>
      </w:pPr>
      <w:r w:rsidRPr="00AC3BBE">
        <w:rPr>
          <w:szCs w:val="22"/>
        </w:rPr>
        <w:tab/>
        <w:t xml:space="preserve">For further information, contact </w:t>
      </w:r>
      <w:r>
        <w:rPr>
          <w:szCs w:val="22"/>
        </w:rPr>
        <w:t>Aurélie Mathieu</w:t>
      </w:r>
      <w:r w:rsidRPr="00AC3BBE">
        <w:rPr>
          <w:szCs w:val="22"/>
        </w:rPr>
        <w:t xml:space="preserve">, </w:t>
      </w:r>
      <w:r>
        <w:rPr>
          <w:szCs w:val="22"/>
        </w:rPr>
        <w:t xml:space="preserve">Competition Policy Division, Wireline Competition </w:t>
      </w:r>
      <w:r w:rsidRPr="00AC3BBE">
        <w:rPr>
          <w:szCs w:val="22"/>
        </w:rPr>
        <w:t>Bureau, at (</w:t>
      </w:r>
      <w:r>
        <w:rPr>
          <w:szCs w:val="22"/>
        </w:rPr>
        <w:t>202</w:t>
      </w:r>
      <w:r w:rsidRPr="00AC3BBE">
        <w:rPr>
          <w:szCs w:val="22"/>
        </w:rPr>
        <w:t xml:space="preserve">) </w:t>
      </w:r>
      <w:r>
        <w:rPr>
          <w:szCs w:val="22"/>
        </w:rPr>
        <w:t>418</w:t>
      </w:r>
      <w:r w:rsidRPr="00AC3BBE">
        <w:rPr>
          <w:szCs w:val="22"/>
        </w:rPr>
        <w:t>-</w:t>
      </w:r>
      <w:r>
        <w:rPr>
          <w:szCs w:val="22"/>
        </w:rPr>
        <w:t>2194 (voice)</w:t>
      </w:r>
      <w:r w:rsidRPr="00AC3BBE">
        <w:rPr>
          <w:szCs w:val="22"/>
        </w:rPr>
        <w:t xml:space="preserve"> or</w:t>
      </w:r>
      <w:r>
        <w:rPr>
          <w:szCs w:val="22"/>
        </w:rPr>
        <w:t xml:space="preserve"> e-mail at Aurelie.Mathieu</w:t>
      </w:r>
      <w:r w:rsidRPr="00AC3BBE">
        <w:rPr>
          <w:szCs w:val="22"/>
        </w:rPr>
        <w:t>@fcc.gov.</w:t>
      </w:r>
    </w:p>
    <w:p w:rsidR="003D3C17" w:rsidRPr="00AC3BBE" w:rsidP="003D3C17" w14:paraId="26226443" w14:textId="77777777">
      <w:pPr>
        <w:jc w:val="right"/>
        <w:rPr>
          <w:szCs w:val="22"/>
        </w:rPr>
      </w:pPr>
    </w:p>
    <w:p w:rsidR="00930ECF" w:rsidRPr="003D3C17" w:rsidP="003D3C17" w14:paraId="6D8EE2B3" w14:textId="78059CA1">
      <w:pPr>
        <w:pStyle w:val="Paragraph"/>
        <w:spacing w:after="120"/>
        <w:ind w:right="-90"/>
        <w:jc w:val="center"/>
        <w:rPr>
          <w:b/>
          <w:color w:val="0000FF"/>
          <w:szCs w:val="22"/>
          <w:u w:val="single"/>
        </w:rPr>
      </w:pPr>
      <w:r w:rsidRPr="005D1E64">
        <w:rPr>
          <w:b/>
          <w:szCs w:val="22"/>
        </w:rPr>
        <w:t xml:space="preserve">- FCC </w:t>
      </w:r>
      <w:r>
        <w:rPr>
          <w:b/>
          <w:szCs w:val="22"/>
        </w:rPr>
        <w:t>-</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BBDF80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E1C7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3C07B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3F8A0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3C17" w14:paraId="038F0057" w14:textId="77777777">
      <w:r>
        <w:separator/>
      </w:r>
    </w:p>
  </w:footnote>
  <w:footnote w:type="continuationSeparator" w:id="1">
    <w:p w:rsidR="003D3C17" w14:paraId="2123BE4E" w14:textId="77777777">
      <w:pPr>
        <w:rPr>
          <w:sz w:val="20"/>
        </w:rPr>
      </w:pPr>
      <w:r>
        <w:rPr>
          <w:sz w:val="20"/>
        </w:rPr>
        <w:t xml:space="preserve">(Continued from previous page)  </w:t>
      </w:r>
      <w:r>
        <w:rPr>
          <w:sz w:val="20"/>
        </w:rPr>
        <w:separator/>
      </w:r>
    </w:p>
  </w:footnote>
  <w:footnote w:type="continuationNotice" w:id="2">
    <w:p w:rsidR="003D3C17" w:rsidP="00910F12" w14:paraId="414BA5F8" w14:textId="77777777">
      <w:pPr>
        <w:jc w:val="right"/>
        <w:rPr>
          <w:sz w:val="20"/>
        </w:rPr>
      </w:pPr>
      <w:r>
        <w:rPr>
          <w:sz w:val="20"/>
        </w:rPr>
        <w:t>(continued….)</w:t>
      </w:r>
    </w:p>
  </w:footnote>
  <w:footnote w:id="3">
    <w:p w:rsidR="003D3C17" w:rsidRPr="00491610" w:rsidP="003D3C17" w14:paraId="0DAF2296" w14:textId="77777777">
      <w:pPr>
        <w:pStyle w:val="FootnoteText"/>
      </w:pPr>
      <w:r>
        <w:rPr>
          <w:rStyle w:val="FootnoteReference"/>
        </w:rPr>
        <w:footnoteRef/>
      </w:r>
      <w:r>
        <w:t xml:space="preserve"> </w:t>
      </w:r>
      <w:r>
        <w:rPr>
          <w:i/>
          <w:iCs/>
          <w:snapToGrid w:val="0"/>
        </w:rPr>
        <w:t xml:space="preserve">See </w:t>
      </w:r>
      <w:r w:rsidRPr="003A1C5A">
        <w:rPr>
          <w:i/>
          <w:iCs/>
          <w:snapToGrid w:val="0"/>
        </w:rPr>
        <w:t>Implementing the Infrastructure Investment and Jobs Act: Prevention and Elimination of Digital Discrimination</w:t>
      </w:r>
      <w:r>
        <w:rPr>
          <w:snapToGrid w:val="0"/>
        </w:rPr>
        <w:t xml:space="preserve">, GN Docket No. 22-69, Notice of Proposed Rulemaking, FCC 22-98 (rel. Dec. 22, 2022) </w:t>
      </w:r>
      <w:r>
        <w:t>(</w:t>
      </w:r>
      <w:r>
        <w:rPr>
          <w:i/>
          <w:iCs/>
        </w:rPr>
        <w:t>Preventing Digital Discrimination</w:t>
      </w:r>
      <w:r w:rsidRPr="00CE1124">
        <w:rPr>
          <w:i/>
          <w:iCs/>
        </w:rPr>
        <w:t xml:space="preserve"> NPRM</w:t>
      </w:r>
      <w:r>
        <w:t xml:space="preserve">); </w:t>
      </w:r>
      <w:r w:rsidRPr="002F1C1F">
        <w:rPr>
          <w:i/>
          <w:iCs/>
        </w:rPr>
        <w:t>see also</w:t>
      </w:r>
      <w:r>
        <w:t xml:space="preserve"> Infrastructure Investment and Jobs Act, Pub. L. No. </w:t>
      </w:r>
      <w:r w:rsidRPr="00DA106B">
        <w:t xml:space="preserve">117-58, </w:t>
      </w:r>
      <w:r w:rsidRPr="004D6EEA">
        <w:t>135</w:t>
      </w:r>
      <w:r w:rsidRPr="00AD24DD">
        <w:t xml:space="preserve"> Stat. </w:t>
      </w:r>
      <w:r w:rsidRPr="004D6EEA">
        <w:t>429</w:t>
      </w:r>
      <w:r>
        <w:t>, § 60506 (2021)</w:t>
      </w:r>
      <w:r w:rsidRPr="005466D4">
        <w:t>.</w:t>
      </w:r>
    </w:p>
  </w:footnote>
  <w:footnote w:id="4">
    <w:p w:rsidR="003D3C17" w:rsidRPr="00265E69" w:rsidP="003D3C17" w14:paraId="12CE9FF3" w14:textId="77777777">
      <w:pPr>
        <w:pStyle w:val="FootnoteText"/>
      </w:pPr>
      <w:r w:rsidRPr="00265E69">
        <w:rPr>
          <w:rStyle w:val="FootnoteReference"/>
        </w:rPr>
        <w:footnoteRef/>
      </w:r>
      <w:r w:rsidRPr="00265E69">
        <w:t xml:space="preserve"> Federal Communications Commission, </w:t>
      </w:r>
      <w:r w:rsidRPr="00DB301E">
        <w:t>Implementing the Infrastructure Investment and Jobs Act: Prevention and Elimination of Digital Discrimination</w:t>
      </w:r>
      <w:r>
        <w:t xml:space="preserve">, Proposed Rule, </w:t>
      </w:r>
      <w:r w:rsidRPr="008E4FF0">
        <w:t>88 Fed. Reg. 3681</w:t>
      </w:r>
      <w:r>
        <w:t xml:space="preserve"> (</w:t>
      </w:r>
      <w:r w:rsidRPr="00232777">
        <w:t xml:space="preserve">Jan. </w:t>
      </w:r>
      <w:r>
        <w:t>20, 2023)</w:t>
      </w:r>
      <w:r w:rsidRPr="009675AB">
        <w:t>.</w:t>
      </w:r>
      <w:r w:rsidRPr="00265E69">
        <w:t xml:space="preserve"> </w:t>
      </w:r>
    </w:p>
  </w:footnote>
  <w:footnote w:id="5">
    <w:p w:rsidR="003D3C17" w:rsidRPr="00631AE1" w:rsidP="003D3C17" w14:paraId="1BDADD62" w14:textId="77777777">
      <w:pPr>
        <w:pStyle w:val="FootnoteText"/>
        <w:rPr>
          <w:i/>
        </w:rPr>
      </w:pPr>
      <w:r w:rsidRPr="00265E69">
        <w:rPr>
          <w:rStyle w:val="FootnoteReference"/>
        </w:rPr>
        <w:footnoteRef/>
      </w:r>
      <w:r w:rsidRPr="00265E69">
        <w:t xml:space="preserve"> </w:t>
      </w:r>
      <w:r>
        <w:rPr>
          <w:i/>
        </w:rPr>
        <w:t xml:space="preserve">Preventing Digital Discrimination NPRM </w:t>
      </w:r>
      <w:r w:rsidRPr="00265E69">
        <w:t xml:space="preserve">at </w:t>
      </w:r>
      <w:r>
        <w:t>para. 97</w:t>
      </w:r>
      <w:r w:rsidRPr="009675AB">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3948CB6"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4E6D5D1"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6A5998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572CA9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76641C75" w14:textId="77777777">
                <w:pPr>
                  <w:rPr>
                    <w:rFonts w:ascii="Arial" w:hAnsi="Arial"/>
                    <w:b/>
                    <w:snapToGrid/>
                  </w:rPr>
                </w:pPr>
                <w:r>
                  <w:rPr>
                    <w:rFonts w:ascii="Arial" w:hAnsi="Arial"/>
                    <w:b/>
                  </w:rPr>
                  <w:t>Federal Communications Commission</w:t>
                </w:r>
              </w:p>
              <w:p w:rsidR="00DE0AB8" w:rsidP="00DE0AB8" w14:paraId="79A4A797" w14:textId="77777777">
                <w:pPr>
                  <w:rPr>
                    <w:rFonts w:ascii="Arial" w:hAnsi="Arial"/>
                    <w:b/>
                  </w:rPr>
                </w:pPr>
                <w:r>
                  <w:rPr>
                    <w:rFonts w:ascii="Arial" w:hAnsi="Arial"/>
                    <w:b/>
                  </w:rPr>
                  <w:t>45 L Street NE</w:t>
                </w:r>
              </w:p>
              <w:p w:rsidR="009838BC" w:rsidP="00DE0AB8" w14:paraId="3CBE4C0F"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3FD1F25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0F993786" w14:textId="77777777">
                <w:pPr>
                  <w:spacing w:before="40"/>
                  <w:jc w:val="right"/>
                  <w:rPr>
                    <w:rFonts w:ascii="Arial" w:hAnsi="Arial"/>
                    <w:b/>
                    <w:sz w:val="16"/>
                  </w:rPr>
                </w:pPr>
                <w:r>
                  <w:rPr>
                    <w:rFonts w:ascii="Arial" w:hAnsi="Arial"/>
                    <w:b/>
                    <w:sz w:val="16"/>
                  </w:rPr>
                  <w:t>News Media Information 202 / 418-0500</w:t>
                </w:r>
              </w:p>
              <w:p w:rsidR="009838BC" w:rsidP="009838BC" w14:paraId="03F3D9F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CFC7FE3" w14:textId="29DD2C5F">
                <w:pPr>
                  <w:jc w:val="right"/>
                </w:pPr>
              </w:p>
            </w:txbxContent>
          </v:textbox>
        </v:shape>
      </w:pict>
    </w:r>
  </w:p>
  <w:p w:rsidR="006F7393" w:rsidRPr="009838BC" w:rsidP="009838BC" w14:paraId="7449FED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17"/>
    <w:rsid w:val="000072CE"/>
    <w:rsid w:val="00013A8B"/>
    <w:rsid w:val="00021445"/>
    <w:rsid w:val="00036039"/>
    <w:rsid w:val="00037F90"/>
    <w:rsid w:val="000778FD"/>
    <w:rsid w:val="000875BF"/>
    <w:rsid w:val="00096D8C"/>
    <w:rsid w:val="000C0B65"/>
    <w:rsid w:val="000E3D42"/>
    <w:rsid w:val="000E5884"/>
    <w:rsid w:val="00122BD5"/>
    <w:rsid w:val="001979D9"/>
    <w:rsid w:val="001D6BCF"/>
    <w:rsid w:val="001E01CA"/>
    <w:rsid w:val="002060D9"/>
    <w:rsid w:val="00226822"/>
    <w:rsid w:val="00232777"/>
    <w:rsid w:val="00260594"/>
    <w:rsid w:val="00265E69"/>
    <w:rsid w:val="00285017"/>
    <w:rsid w:val="002A2D2E"/>
    <w:rsid w:val="002F1C1F"/>
    <w:rsid w:val="00343749"/>
    <w:rsid w:val="00357D50"/>
    <w:rsid w:val="00371059"/>
    <w:rsid w:val="003925DC"/>
    <w:rsid w:val="003A1C5A"/>
    <w:rsid w:val="003B0550"/>
    <w:rsid w:val="003B694F"/>
    <w:rsid w:val="003D3C17"/>
    <w:rsid w:val="003F171C"/>
    <w:rsid w:val="00412FC5"/>
    <w:rsid w:val="00422276"/>
    <w:rsid w:val="004242F1"/>
    <w:rsid w:val="00445A00"/>
    <w:rsid w:val="00451B0F"/>
    <w:rsid w:val="0046125F"/>
    <w:rsid w:val="00487524"/>
    <w:rsid w:val="00491610"/>
    <w:rsid w:val="00496106"/>
    <w:rsid w:val="004C12D0"/>
    <w:rsid w:val="004C2EE3"/>
    <w:rsid w:val="004D6EEA"/>
    <w:rsid w:val="004E4A22"/>
    <w:rsid w:val="00511968"/>
    <w:rsid w:val="005466D4"/>
    <w:rsid w:val="0055614C"/>
    <w:rsid w:val="005D1E64"/>
    <w:rsid w:val="00607BA5"/>
    <w:rsid w:val="00626EB6"/>
    <w:rsid w:val="00631AE1"/>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C22FD"/>
    <w:rsid w:val="008E4FF0"/>
    <w:rsid w:val="00910F12"/>
    <w:rsid w:val="00926503"/>
    <w:rsid w:val="00930ECF"/>
    <w:rsid w:val="009675AB"/>
    <w:rsid w:val="009838BC"/>
    <w:rsid w:val="009E7351"/>
    <w:rsid w:val="00A45F4F"/>
    <w:rsid w:val="00A600A9"/>
    <w:rsid w:val="00A866AC"/>
    <w:rsid w:val="00AA55B7"/>
    <w:rsid w:val="00AA5B9E"/>
    <w:rsid w:val="00AB2407"/>
    <w:rsid w:val="00AB53DF"/>
    <w:rsid w:val="00AC3BBE"/>
    <w:rsid w:val="00AD24DD"/>
    <w:rsid w:val="00B07E5C"/>
    <w:rsid w:val="00B20363"/>
    <w:rsid w:val="00B326E3"/>
    <w:rsid w:val="00B811F7"/>
    <w:rsid w:val="00BA5DC6"/>
    <w:rsid w:val="00BA6196"/>
    <w:rsid w:val="00BC6D8C"/>
    <w:rsid w:val="00C16AF2"/>
    <w:rsid w:val="00C34006"/>
    <w:rsid w:val="00C426B1"/>
    <w:rsid w:val="00C82B6B"/>
    <w:rsid w:val="00C90D6A"/>
    <w:rsid w:val="00CC72B6"/>
    <w:rsid w:val="00CE1124"/>
    <w:rsid w:val="00D0218D"/>
    <w:rsid w:val="00D216CD"/>
    <w:rsid w:val="00D774D5"/>
    <w:rsid w:val="00D83BE3"/>
    <w:rsid w:val="00DA106B"/>
    <w:rsid w:val="00DA2529"/>
    <w:rsid w:val="00DB130A"/>
    <w:rsid w:val="00DB301E"/>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21B61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F874AB"/>
  <w15:chartTrackingRefBased/>
  <w15:docId w15:val="{85E690DD-F367-4530-B246-46B76830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ootnote Text Char3,f,fn,fn Char"/>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3 Char,f Char"/>
    <w:link w:val="FootnoteText"/>
    <w:rsid w:val="003D3C17"/>
  </w:style>
  <w:style w:type="paragraph" w:customStyle="1" w:styleId="Paragraph">
    <w:name w:val="Paragraph"/>
    <w:basedOn w:val="Normal"/>
    <w:rsid w:val="003D3C17"/>
    <w:pPr>
      <w:suppressAutoHyphens/>
      <w:spacing w:after="200"/>
    </w:pPr>
  </w:style>
  <w:style w:type="character" w:customStyle="1" w:styleId="ParaNumChar">
    <w:name w:val="ParaNum Char"/>
    <w:link w:val="ParaNum"/>
    <w:locked/>
    <w:rsid w:val="003D3C1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