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03A6C" w:rsidP="00F03A6C" w14:paraId="2856E13A" w14:textId="51280EF9">
      <w:pPr>
        <w:jc w:val="right"/>
        <w:rPr>
          <w:b/>
          <w:szCs w:val="22"/>
        </w:rPr>
      </w:pPr>
      <w:r>
        <w:rPr>
          <w:b/>
          <w:szCs w:val="22"/>
        </w:rPr>
        <w:t>DA 2</w:t>
      </w:r>
      <w:r w:rsidR="00EB1170">
        <w:rPr>
          <w:b/>
          <w:szCs w:val="22"/>
        </w:rPr>
        <w:t>3</w:t>
      </w:r>
      <w:r>
        <w:rPr>
          <w:b/>
          <w:szCs w:val="22"/>
        </w:rPr>
        <w:t>-</w:t>
      </w:r>
      <w:r w:rsidR="00693926">
        <w:rPr>
          <w:b/>
          <w:szCs w:val="22"/>
        </w:rPr>
        <w:t>55</w:t>
      </w:r>
    </w:p>
    <w:p w:rsidR="00F03A6C" w:rsidP="00F03A6C" w14:paraId="51EF9D0B" w14:textId="35C9CF95">
      <w:pPr>
        <w:jc w:val="right"/>
        <w:rPr>
          <w:b/>
          <w:szCs w:val="22"/>
        </w:rPr>
      </w:pPr>
      <w:r>
        <w:rPr>
          <w:b/>
          <w:szCs w:val="22"/>
        </w:rPr>
        <w:t xml:space="preserve">Released: </w:t>
      </w:r>
      <w:r w:rsidR="00693926">
        <w:rPr>
          <w:b/>
          <w:szCs w:val="22"/>
        </w:rPr>
        <w:t>January 20, 2023</w:t>
      </w:r>
      <w:r>
        <w:rPr>
          <w:b/>
          <w:szCs w:val="22"/>
        </w:rPr>
        <w:t xml:space="preserve"> </w:t>
      </w:r>
    </w:p>
    <w:p w:rsidR="00F03A6C" w:rsidP="00F03A6C" w14:paraId="70688A2E" w14:textId="77777777">
      <w:pPr>
        <w:jc w:val="right"/>
        <w:rPr>
          <w:szCs w:val="22"/>
        </w:rPr>
      </w:pPr>
    </w:p>
    <w:p w:rsidR="00F03A6C" w:rsidP="00F03A6C" w14:paraId="758A0915" w14:textId="599A1C65">
      <w:pPr>
        <w:spacing w:after="240"/>
        <w:jc w:val="center"/>
        <w:rPr>
          <w:b/>
          <w:caps/>
          <w:szCs w:val="22"/>
        </w:rPr>
      </w:pPr>
      <w:r>
        <w:rPr>
          <w:b/>
          <w:caps/>
          <w:szCs w:val="22"/>
        </w:rPr>
        <w:t>Public safety and homeland security bureau seeks COMMENT ON REGION 34 (OKLAHOMA) 700 mhz regional plan</w:t>
      </w:r>
      <w:r w:rsidR="00F018B1">
        <w:rPr>
          <w:b/>
          <w:caps/>
          <w:szCs w:val="22"/>
        </w:rPr>
        <w:t xml:space="preserve"> UPDATE</w:t>
      </w:r>
    </w:p>
    <w:p w:rsidR="00F03A6C" w:rsidP="00F03A6C" w14:paraId="4B8B6CEE" w14:textId="77777777">
      <w:pPr>
        <w:spacing w:after="240"/>
        <w:jc w:val="center"/>
        <w:rPr>
          <w:b/>
          <w:szCs w:val="22"/>
        </w:rPr>
      </w:pPr>
      <w:r>
        <w:rPr>
          <w:b/>
          <w:szCs w:val="22"/>
        </w:rPr>
        <w:t>WT Docket No. 02-378</w:t>
      </w:r>
    </w:p>
    <w:p w:rsidR="00F03A6C" w:rsidP="00F03A6C" w14:paraId="3EDEBB81" w14:textId="35381D3B">
      <w:pPr>
        <w:rPr>
          <w:b/>
          <w:szCs w:val="22"/>
        </w:rPr>
      </w:pPr>
      <w:r>
        <w:rPr>
          <w:b/>
          <w:szCs w:val="22"/>
        </w:rPr>
        <w:t xml:space="preserve">Comments Due: </w:t>
      </w:r>
      <w:r w:rsidR="00823058">
        <w:rPr>
          <w:b/>
          <w:szCs w:val="22"/>
        </w:rPr>
        <w:t>February 2</w:t>
      </w:r>
      <w:r w:rsidR="00BE55E1">
        <w:rPr>
          <w:b/>
          <w:szCs w:val="22"/>
        </w:rPr>
        <w:t>1</w:t>
      </w:r>
      <w:r w:rsidR="00823058">
        <w:rPr>
          <w:b/>
          <w:szCs w:val="22"/>
        </w:rPr>
        <w:t xml:space="preserve">, </w:t>
      </w:r>
      <w:r>
        <w:rPr>
          <w:b/>
          <w:szCs w:val="22"/>
        </w:rPr>
        <w:t>20</w:t>
      </w:r>
      <w:r w:rsidR="00167C88">
        <w:rPr>
          <w:b/>
          <w:szCs w:val="22"/>
        </w:rPr>
        <w:t>2</w:t>
      </w:r>
      <w:r w:rsidR="00EB1170">
        <w:rPr>
          <w:b/>
          <w:szCs w:val="22"/>
        </w:rPr>
        <w:t>3</w:t>
      </w:r>
      <w:r>
        <w:rPr>
          <w:b/>
          <w:szCs w:val="22"/>
        </w:rPr>
        <w:t xml:space="preserve"> </w:t>
      </w:r>
    </w:p>
    <w:p w:rsidR="00F03A6C" w:rsidP="00F03A6C" w14:paraId="01CC23ED" w14:textId="17A62288">
      <w:pPr>
        <w:rPr>
          <w:b/>
          <w:szCs w:val="22"/>
        </w:rPr>
      </w:pPr>
      <w:r>
        <w:rPr>
          <w:b/>
          <w:szCs w:val="22"/>
        </w:rPr>
        <w:t xml:space="preserve">Reply Comments Due: </w:t>
      </w:r>
      <w:r w:rsidR="00823058">
        <w:rPr>
          <w:b/>
          <w:szCs w:val="22"/>
        </w:rPr>
        <w:t xml:space="preserve">March </w:t>
      </w:r>
      <w:r w:rsidR="00961588">
        <w:rPr>
          <w:b/>
          <w:szCs w:val="22"/>
        </w:rPr>
        <w:t>8</w:t>
      </w:r>
      <w:r w:rsidR="00823058">
        <w:rPr>
          <w:b/>
          <w:szCs w:val="22"/>
        </w:rPr>
        <w:t>,</w:t>
      </w:r>
      <w:r>
        <w:rPr>
          <w:b/>
          <w:szCs w:val="22"/>
        </w:rPr>
        <w:t xml:space="preserve"> 20</w:t>
      </w:r>
      <w:r w:rsidR="00167C88">
        <w:rPr>
          <w:b/>
          <w:szCs w:val="22"/>
        </w:rPr>
        <w:t>2</w:t>
      </w:r>
      <w:r w:rsidR="00EB1170">
        <w:rPr>
          <w:b/>
          <w:szCs w:val="22"/>
        </w:rPr>
        <w:t>3</w:t>
      </w:r>
    </w:p>
    <w:p w:rsidR="00F03A6C" w:rsidP="00F03A6C" w14:paraId="0F8AE955" w14:textId="77777777">
      <w:pPr>
        <w:rPr>
          <w:rFonts w:ascii="TimesNewRoman" w:hAnsi="TimesNewRoman" w:cs="TimesNewRoman"/>
          <w:color w:val="000000"/>
          <w:szCs w:val="22"/>
        </w:rPr>
      </w:pPr>
    </w:p>
    <w:p w:rsidR="00F03A6C" w:rsidP="00FC575A" w14:paraId="5F261821" w14:textId="7E9056EE">
      <w:pPr>
        <w:widowControl/>
        <w:ind w:firstLine="720"/>
      </w:pPr>
      <w:r>
        <w:rPr>
          <w:i/>
        </w:rPr>
        <w:t xml:space="preserve">Introduction.  </w:t>
      </w:r>
      <w:r w:rsidRPr="00C815BB" w:rsidR="00C815BB">
        <w:rPr>
          <w:iCs/>
        </w:rPr>
        <w:t>By this Public Notice, the Public Safety and Homeland Security Bureau (Bureau) seeks comment on the</w:t>
      </w:r>
      <w:r>
        <w:t xml:space="preserve"> Region </w:t>
      </w:r>
      <w:r w:rsidR="00731748">
        <w:t>34</w:t>
      </w:r>
      <w:r>
        <w:t xml:space="preserve"> (</w:t>
      </w:r>
      <w:r w:rsidR="00731748">
        <w:t>Oklahoma</w:t>
      </w:r>
      <w:r>
        <w:t>)</w:t>
      </w:r>
      <w:r>
        <w:rPr>
          <w:rStyle w:val="FootnoteReference"/>
        </w:rPr>
        <w:footnoteReference w:id="3"/>
      </w:r>
      <w:r>
        <w:t xml:space="preserve"> </w:t>
      </w:r>
      <w:r w:rsidR="001A2191">
        <w:t>–</w:t>
      </w:r>
      <w:r w:rsidR="00024558">
        <w:t xml:space="preserve"> </w:t>
      </w:r>
      <w:r>
        <w:t xml:space="preserve">Regional Planning Committee (RPC) proposed </w:t>
      </w:r>
      <w:r w:rsidR="00037FD6">
        <w:t xml:space="preserve">modifications to its </w:t>
      </w:r>
      <w:r w:rsidR="00F53528">
        <w:t xml:space="preserve">700 MHz </w:t>
      </w:r>
      <w:r>
        <w:t>Public Safety Plan (Plan) for General Use</w:t>
      </w:r>
      <w:r>
        <w:rPr>
          <w:rStyle w:val="FootnoteReference"/>
        </w:rPr>
        <w:footnoteReference w:id="4"/>
      </w:r>
      <w:r>
        <w:t xml:space="preserve"> spectrum in the </w:t>
      </w:r>
      <w:r w:rsidR="00875E29">
        <w:t>narrowband segment of the 700 MHz band (</w:t>
      </w:r>
      <w:r>
        <w:t>769-775/799-805 MHz</w:t>
      </w:r>
      <w:r w:rsidR="00BA2539">
        <w:t>)</w:t>
      </w:r>
      <w:r>
        <w:t>.</w:t>
      </w:r>
      <w:r>
        <w:rPr>
          <w:rStyle w:val="FootnoteReference"/>
        </w:rPr>
        <w:footnoteReference w:id="5"/>
      </w:r>
      <w:r>
        <w:t xml:space="preserve">    </w:t>
      </w:r>
    </w:p>
    <w:p w:rsidR="00F03A6C" w:rsidP="00FC575A" w14:paraId="537887F3" w14:textId="77777777">
      <w:pPr>
        <w:widowControl/>
        <w:ind w:firstLine="720"/>
      </w:pPr>
    </w:p>
    <w:p w:rsidR="00F03A6C" w:rsidP="00FC575A" w14:paraId="52044693" w14:textId="21275FBB">
      <w:pPr>
        <w:widowControl/>
        <w:ind w:firstLine="720"/>
      </w:pPr>
      <w:r>
        <w:rPr>
          <w:i/>
          <w:szCs w:val="22"/>
        </w:rPr>
        <w:t xml:space="preserve">Background.  </w:t>
      </w:r>
      <w:r>
        <w:rPr>
          <w:szCs w:val="22"/>
        </w:rPr>
        <w:t xml:space="preserve">In 1998, the Commission established a structure to allow RPCs optimal flexibility to meet state and local needs, encourage innovative use of </w:t>
      </w:r>
      <w:r w:rsidR="00C81DD5">
        <w:rPr>
          <w:szCs w:val="22"/>
        </w:rPr>
        <w:t xml:space="preserve">narrowband </w:t>
      </w:r>
      <w:r>
        <w:rPr>
          <w:szCs w:val="22"/>
        </w:rPr>
        <w:t>spectrum</w:t>
      </w:r>
      <w:r w:rsidR="00024558">
        <w:rPr>
          <w:szCs w:val="22"/>
        </w:rPr>
        <w:t xml:space="preserve"> in the 700 MHz band</w:t>
      </w:r>
      <w:r>
        <w:rPr>
          <w:szCs w:val="22"/>
        </w:rPr>
        <w:t>, and accommodate new and as yet unanticipated developments in technology and equipment.</w:t>
      </w:r>
      <w:r>
        <w:rPr>
          <w:rStyle w:val="FootnoteReference"/>
          <w:szCs w:val="22"/>
        </w:rPr>
        <w:footnoteReference w:id="6"/>
      </w:r>
      <w:r>
        <w:rPr>
          <w:szCs w:val="22"/>
        </w:rPr>
        <w:t xml:space="preserve">  Each of the fifty-five (55) RPCs is required to submit its plan </w:t>
      </w:r>
      <w:r w:rsidR="00BA2539">
        <w:rPr>
          <w:szCs w:val="22"/>
        </w:rPr>
        <w:t xml:space="preserve">for </w:t>
      </w:r>
      <w:r>
        <w:rPr>
          <w:szCs w:val="22"/>
        </w:rPr>
        <w:t>General Use spectrum.</w:t>
      </w:r>
      <w:r>
        <w:rPr>
          <w:rStyle w:val="FootnoteReference"/>
          <w:szCs w:val="22"/>
        </w:rPr>
        <w:footnoteReference w:id="7"/>
      </w:r>
      <w:r>
        <w:rPr>
          <w:szCs w:val="22"/>
        </w:rPr>
        <w:t xml:space="preserve">  The Commission’s role in relation to the RPCs is limited to (1) defining the regional boundaries; (2) requiring fair and open procedures, </w:t>
      </w:r>
      <w:r>
        <w:rPr>
          <w:i/>
          <w:szCs w:val="22"/>
        </w:rPr>
        <w:t>i.e.</w:t>
      </w:r>
      <w:r>
        <w:rPr>
          <w:szCs w:val="22"/>
        </w:rPr>
        <w:t>, requiring notice, opportunity for comment, and reasonable consideration; (3) specifying the elements that all regional plans must include; and (4) reviewing and accepting proposed plans (or amendments to approved plans) or rejecting them with an explanation.</w:t>
      </w:r>
      <w:r>
        <w:rPr>
          <w:rStyle w:val="FootnoteReference"/>
          <w:szCs w:val="22"/>
        </w:rPr>
        <w:footnoteReference w:id="8"/>
      </w:r>
      <w:r>
        <w:t xml:space="preserve"> </w:t>
      </w:r>
    </w:p>
    <w:p w:rsidR="00F03A6C" w:rsidP="00FC575A" w14:paraId="5389154F" w14:textId="5F6C8A63">
      <w:pPr>
        <w:widowControl/>
        <w:tabs>
          <w:tab w:val="left" w:pos="-720"/>
        </w:tabs>
        <w:suppressAutoHyphens/>
        <w:rPr>
          <w:szCs w:val="22"/>
        </w:rPr>
      </w:pPr>
      <w:r>
        <w:rPr>
          <w:rFonts w:cs="Tahoma"/>
        </w:rPr>
        <w:tab/>
      </w:r>
    </w:p>
    <w:p w:rsidR="00EA6464" w:rsidP="00FC575A" w14:paraId="514396D3" w14:textId="67FA8F76">
      <w:pPr>
        <w:widowControl/>
        <w:ind w:firstLine="720"/>
        <w:rPr>
          <w:szCs w:val="22"/>
        </w:rPr>
      </w:pPr>
      <w:r>
        <w:rPr>
          <w:i/>
          <w:szCs w:val="22"/>
        </w:rPr>
        <w:t xml:space="preserve">The Region </w:t>
      </w:r>
      <w:r w:rsidR="00374FE4">
        <w:rPr>
          <w:i/>
          <w:szCs w:val="22"/>
        </w:rPr>
        <w:t>34</w:t>
      </w:r>
      <w:r>
        <w:rPr>
          <w:i/>
          <w:szCs w:val="22"/>
        </w:rPr>
        <w:t xml:space="preserve"> 700 MHz Plan</w:t>
      </w:r>
      <w:r w:rsidR="00374FE4">
        <w:rPr>
          <w:i/>
          <w:szCs w:val="22"/>
        </w:rPr>
        <w:t xml:space="preserve"> Update</w:t>
      </w:r>
      <w:r>
        <w:rPr>
          <w:i/>
          <w:szCs w:val="22"/>
        </w:rPr>
        <w:t xml:space="preserve">.  </w:t>
      </w:r>
      <w:r w:rsidR="00FF1EC5">
        <w:t>On January 12, 2021</w:t>
      </w:r>
      <w:r w:rsidR="00084959">
        <w:t xml:space="preserve">, </w:t>
      </w:r>
      <w:r w:rsidRPr="00F53528" w:rsidR="00F53528">
        <w:rPr>
          <w:szCs w:val="22"/>
        </w:rPr>
        <w:t>the RPC submitted an amendment to the Region 34</w:t>
      </w:r>
      <w:r w:rsidR="00000EBA">
        <w:rPr>
          <w:szCs w:val="22"/>
        </w:rPr>
        <w:t xml:space="preserve"> </w:t>
      </w:r>
      <w:r w:rsidR="00D4731F">
        <w:rPr>
          <w:szCs w:val="22"/>
        </w:rPr>
        <w:t xml:space="preserve">– </w:t>
      </w:r>
      <w:r w:rsidR="00CD1F4D">
        <w:t>700 MHz Plan</w:t>
      </w:r>
      <w:r>
        <w:rPr>
          <w:szCs w:val="22"/>
        </w:rPr>
        <w:t>.</w:t>
      </w:r>
      <w:r>
        <w:rPr>
          <w:rStyle w:val="FootnoteReference"/>
          <w:szCs w:val="22"/>
        </w:rPr>
        <w:footnoteReference w:id="9"/>
      </w:r>
      <w:r>
        <w:rPr>
          <w:szCs w:val="22"/>
        </w:rPr>
        <w:t xml:space="preserve">  </w:t>
      </w:r>
      <w:r w:rsidRPr="00EA6464">
        <w:rPr>
          <w:szCs w:val="22"/>
        </w:rPr>
        <w:t>In its amendment, the RPC proposes</w:t>
      </w:r>
      <w:r w:rsidR="00D938D1">
        <w:rPr>
          <w:szCs w:val="22"/>
        </w:rPr>
        <w:t>,</w:t>
      </w:r>
      <w:r w:rsidRPr="00EA6464">
        <w:rPr>
          <w:szCs w:val="22"/>
        </w:rPr>
        <w:t xml:space="preserve"> </w:t>
      </w:r>
      <w:r w:rsidR="00374B97">
        <w:rPr>
          <w:szCs w:val="22"/>
        </w:rPr>
        <w:t>among other things</w:t>
      </w:r>
      <w:r w:rsidR="00D938D1">
        <w:rPr>
          <w:szCs w:val="22"/>
        </w:rPr>
        <w:t>,</w:t>
      </w:r>
      <w:r w:rsidRPr="00D938D1" w:rsidR="00D938D1">
        <w:rPr>
          <w:szCs w:val="22"/>
        </w:rPr>
        <w:t xml:space="preserve"> </w:t>
      </w:r>
      <w:r w:rsidRPr="00EA6464" w:rsidR="00D938D1">
        <w:rPr>
          <w:szCs w:val="22"/>
        </w:rPr>
        <w:t>to</w:t>
      </w:r>
      <w:r w:rsidR="00946637">
        <w:rPr>
          <w:szCs w:val="22"/>
        </w:rPr>
        <w:t>:</w:t>
      </w:r>
    </w:p>
    <w:p w:rsidR="00A85521" w:rsidP="00FC575A" w14:paraId="10C29870" w14:textId="7AF95033">
      <w:pPr>
        <w:widowControl/>
        <w:ind w:firstLine="720"/>
        <w:rPr>
          <w:szCs w:val="22"/>
        </w:rPr>
      </w:pPr>
    </w:p>
    <w:p w:rsidR="008C1F97" w:rsidP="00FC575A" w14:paraId="334E8F55" w14:textId="757003E1">
      <w:pPr>
        <w:pStyle w:val="ListParagraph"/>
        <w:widowControl/>
        <w:numPr>
          <w:ilvl w:val="0"/>
          <w:numId w:val="19"/>
        </w:numPr>
        <w:spacing w:after="120"/>
        <w:contextualSpacing w:val="0"/>
        <w:rPr>
          <w:szCs w:val="22"/>
        </w:rPr>
      </w:pPr>
      <w:r>
        <w:rPr>
          <w:szCs w:val="22"/>
        </w:rPr>
        <w:t xml:space="preserve">Indicate that </w:t>
      </w:r>
      <w:r w:rsidR="00C46A37">
        <w:rPr>
          <w:szCs w:val="22"/>
        </w:rPr>
        <w:t xml:space="preserve">all “Pre-Assignment” </w:t>
      </w:r>
      <w:r w:rsidR="006737FA">
        <w:rPr>
          <w:szCs w:val="22"/>
        </w:rPr>
        <w:t xml:space="preserve">channel </w:t>
      </w:r>
      <w:r w:rsidR="00C46A37">
        <w:rPr>
          <w:szCs w:val="22"/>
        </w:rPr>
        <w:t xml:space="preserve">pools have </w:t>
      </w:r>
      <w:r w:rsidR="00C46A37">
        <w:rPr>
          <w:szCs w:val="22"/>
        </w:rPr>
        <w:t>expired</w:t>
      </w:r>
      <w:r w:rsidR="00C46A37">
        <w:rPr>
          <w:szCs w:val="22"/>
        </w:rPr>
        <w:t xml:space="preserve"> and that </w:t>
      </w:r>
      <w:r w:rsidR="000931B3">
        <w:rPr>
          <w:szCs w:val="22"/>
        </w:rPr>
        <w:t xml:space="preserve">the </w:t>
      </w:r>
      <w:r w:rsidR="00AB02D1">
        <w:rPr>
          <w:szCs w:val="22"/>
        </w:rPr>
        <w:t xml:space="preserve">RPC will </w:t>
      </w:r>
      <w:r w:rsidR="00544F25">
        <w:rPr>
          <w:szCs w:val="22"/>
        </w:rPr>
        <w:t xml:space="preserve">now </w:t>
      </w:r>
      <w:r w:rsidR="006737FA">
        <w:rPr>
          <w:szCs w:val="22"/>
        </w:rPr>
        <w:t>process all</w:t>
      </w:r>
      <w:r w:rsidR="00FB51BB">
        <w:rPr>
          <w:szCs w:val="22"/>
        </w:rPr>
        <w:t xml:space="preserve"> </w:t>
      </w:r>
      <w:r w:rsidR="00037C88">
        <w:rPr>
          <w:szCs w:val="22"/>
        </w:rPr>
        <w:t xml:space="preserve">applications for </w:t>
      </w:r>
      <w:r w:rsidR="001137C3">
        <w:rPr>
          <w:szCs w:val="22"/>
        </w:rPr>
        <w:t xml:space="preserve">General Use channels </w:t>
      </w:r>
      <w:r w:rsidR="00037C88">
        <w:rPr>
          <w:szCs w:val="22"/>
        </w:rPr>
        <w:t>on a first-come, first-served basis</w:t>
      </w:r>
      <w:r w:rsidR="00173F0F">
        <w:rPr>
          <w:szCs w:val="22"/>
        </w:rPr>
        <w:t>;</w:t>
      </w:r>
      <w:r>
        <w:rPr>
          <w:rStyle w:val="FootnoteReference"/>
          <w:szCs w:val="22"/>
        </w:rPr>
        <w:footnoteReference w:id="10"/>
      </w:r>
    </w:p>
    <w:p w:rsidR="00CB7C46" w:rsidP="00FC575A" w14:paraId="023E5F2C" w14:textId="14250B26">
      <w:pPr>
        <w:pStyle w:val="ListParagraph"/>
        <w:widowControl/>
        <w:numPr>
          <w:ilvl w:val="0"/>
          <w:numId w:val="19"/>
        </w:numPr>
        <w:spacing w:after="120"/>
        <w:contextualSpacing w:val="0"/>
        <w:rPr>
          <w:szCs w:val="22"/>
        </w:rPr>
      </w:pPr>
      <w:r>
        <w:rPr>
          <w:szCs w:val="22"/>
        </w:rPr>
        <w:t xml:space="preserve">Incorporate </w:t>
      </w:r>
      <w:r w:rsidR="00344F08">
        <w:rPr>
          <w:szCs w:val="22"/>
        </w:rPr>
        <w:t xml:space="preserve">the </w:t>
      </w:r>
      <w:r w:rsidR="007124CF">
        <w:rPr>
          <w:szCs w:val="22"/>
        </w:rPr>
        <w:t>S</w:t>
      </w:r>
      <w:r>
        <w:rPr>
          <w:szCs w:val="22"/>
        </w:rPr>
        <w:t xml:space="preserve">tate </w:t>
      </w:r>
      <w:r w:rsidR="007124CF">
        <w:rPr>
          <w:szCs w:val="22"/>
        </w:rPr>
        <w:t>L</w:t>
      </w:r>
      <w:r>
        <w:rPr>
          <w:szCs w:val="22"/>
        </w:rPr>
        <w:t xml:space="preserve">icense channels into </w:t>
      </w:r>
      <w:r w:rsidR="00D938D1">
        <w:rPr>
          <w:szCs w:val="22"/>
        </w:rPr>
        <w:t xml:space="preserve">its </w:t>
      </w:r>
      <w:r>
        <w:rPr>
          <w:szCs w:val="22"/>
        </w:rPr>
        <w:t xml:space="preserve">plan but </w:t>
      </w:r>
      <w:r w:rsidR="00345E94">
        <w:rPr>
          <w:szCs w:val="22"/>
        </w:rPr>
        <w:t xml:space="preserve">reserve </w:t>
      </w:r>
      <w:r w:rsidR="002224C8">
        <w:rPr>
          <w:szCs w:val="22"/>
        </w:rPr>
        <w:t>the</w:t>
      </w:r>
      <w:r w:rsidR="00CD453C">
        <w:rPr>
          <w:szCs w:val="22"/>
        </w:rPr>
        <w:t xml:space="preserve">m </w:t>
      </w:r>
      <w:r w:rsidR="009F631B">
        <w:rPr>
          <w:szCs w:val="22"/>
        </w:rPr>
        <w:t xml:space="preserve">for </w:t>
      </w:r>
      <w:r w:rsidR="00345E94">
        <w:rPr>
          <w:szCs w:val="22"/>
        </w:rPr>
        <w:t xml:space="preserve">site-by-site </w:t>
      </w:r>
      <w:r w:rsidR="007124CF">
        <w:rPr>
          <w:szCs w:val="22"/>
        </w:rPr>
        <w:t xml:space="preserve">licensing to </w:t>
      </w:r>
      <w:r w:rsidR="009F631B">
        <w:rPr>
          <w:szCs w:val="22"/>
        </w:rPr>
        <w:t xml:space="preserve">the state until </w:t>
      </w:r>
      <w:r w:rsidRPr="009F631B" w:rsidR="009F631B">
        <w:rPr>
          <w:szCs w:val="22"/>
        </w:rPr>
        <w:t xml:space="preserve">all other </w:t>
      </w:r>
      <w:r w:rsidR="002224C8">
        <w:rPr>
          <w:szCs w:val="22"/>
        </w:rPr>
        <w:t>“</w:t>
      </w:r>
      <w:r w:rsidRPr="009F631B" w:rsidR="009F631B">
        <w:rPr>
          <w:szCs w:val="22"/>
        </w:rPr>
        <w:t>General Access</w:t>
      </w:r>
      <w:r w:rsidR="002224C8">
        <w:rPr>
          <w:szCs w:val="22"/>
        </w:rPr>
        <w:t>”</w:t>
      </w:r>
      <w:r w:rsidRPr="009F631B" w:rsidR="009F631B">
        <w:rPr>
          <w:szCs w:val="22"/>
        </w:rPr>
        <w:t xml:space="preserve"> channel</w:t>
      </w:r>
      <w:r w:rsidR="002224C8">
        <w:rPr>
          <w:szCs w:val="22"/>
        </w:rPr>
        <w:t>s</w:t>
      </w:r>
      <w:r w:rsidRPr="009F631B" w:rsidR="009F631B">
        <w:rPr>
          <w:szCs w:val="22"/>
        </w:rPr>
        <w:t xml:space="preserve"> </w:t>
      </w:r>
      <w:r w:rsidR="00CB099E">
        <w:rPr>
          <w:szCs w:val="22"/>
        </w:rPr>
        <w:t xml:space="preserve">are </w:t>
      </w:r>
      <w:r w:rsidRPr="009F631B" w:rsidR="009F631B">
        <w:rPr>
          <w:szCs w:val="22"/>
        </w:rPr>
        <w:t>allotted to other licensees</w:t>
      </w:r>
      <w:r w:rsidR="002224C8">
        <w:rPr>
          <w:szCs w:val="22"/>
        </w:rPr>
        <w:t>;</w:t>
      </w:r>
      <w:r>
        <w:rPr>
          <w:rStyle w:val="FootnoteReference"/>
          <w:szCs w:val="22"/>
        </w:rPr>
        <w:footnoteReference w:id="11"/>
      </w:r>
    </w:p>
    <w:p w:rsidR="004B4E56" w:rsidRPr="00E765A3" w:rsidP="00FC575A" w14:paraId="0A3751D3" w14:textId="3BBF0C55">
      <w:pPr>
        <w:pStyle w:val="ListParagraph"/>
        <w:widowControl/>
        <w:numPr>
          <w:ilvl w:val="0"/>
          <w:numId w:val="19"/>
        </w:numPr>
        <w:spacing w:after="120"/>
        <w:contextualSpacing w:val="0"/>
        <w:rPr>
          <w:szCs w:val="22"/>
        </w:rPr>
      </w:pPr>
      <w:r w:rsidRPr="00E765A3">
        <w:rPr>
          <w:szCs w:val="22"/>
        </w:rPr>
        <w:t xml:space="preserve">Specify that operation on interoperability channels </w:t>
      </w:r>
      <w:r w:rsidRPr="00E765A3" w:rsidR="003C4FE2">
        <w:rPr>
          <w:szCs w:val="22"/>
        </w:rPr>
        <w:t xml:space="preserve">will be guided by the most </w:t>
      </w:r>
      <w:r w:rsidRPr="00E765A3" w:rsidR="00E765A3">
        <w:rPr>
          <w:szCs w:val="22"/>
        </w:rPr>
        <w:t>recent version of the National Interoperability Field Operations Guide (NIFOG), the State of Oklahoma Statewide Communications Interoperability Plan (SCIP) and local Tactical Interoperability Communications Plans (TICP)</w:t>
      </w:r>
      <w:r w:rsidR="00710AC0">
        <w:rPr>
          <w:szCs w:val="22"/>
        </w:rPr>
        <w:t>;</w:t>
      </w:r>
      <w:r>
        <w:rPr>
          <w:rStyle w:val="FootnoteReference"/>
          <w:szCs w:val="22"/>
        </w:rPr>
        <w:footnoteReference w:id="12"/>
      </w:r>
    </w:p>
    <w:p w:rsidR="004C2CAE" w:rsidP="00FC575A" w14:paraId="57F95566" w14:textId="6A2CD549">
      <w:pPr>
        <w:pStyle w:val="ListParagraph"/>
        <w:widowControl/>
        <w:numPr>
          <w:ilvl w:val="0"/>
          <w:numId w:val="19"/>
        </w:numPr>
        <w:spacing w:after="120"/>
        <w:contextualSpacing w:val="0"/>
        <w:rPr>
          <w:szCs w:val="22"/>
        </w:rPr>
      </w:pPr>
      <w:r>
        <w:rPr>
          <w:szCs w:val="22"/>
        </w:rPr>
        <w:t xml:space="preserve">Incorporate the </w:t>
      </w:r>
      <w:r w:rsidR="004D68B9">
        <w:rPr>
          <w:szCs w:val="22"/>
        </w:rPr>
        <w:t xml:space="preserve">Air-to-Ground </w:t>
      </w:r>
      <w:r w:rsidR="00514D84">
        <w:rPr>
          <w:szCs w:val="22"/>
        </w:rPr>
        <w:t xml:space="preserve">and former Reserve </w:t>
      </w:r>
      <w:r w:rsidR="004D68B9">
        <w:rPr>
          <w:szCs w:val="22"/>
        </w:rPr>
        <w:t>channels into its plan;</w:t>
      </w:r>
      <w:r>
        <w:rPr>
          <w:rStyle w:val="FootnoteReference"/>
          <w:szCs w:val="22"/>
        </w:rPr>
        <w:footnoteReference w:id="13"/>
      </w:r>
    </w:p>
    <w:p w:rsidR="00A32FD6" w:rsidP="00FC575A" w14:paraId="54FF3A0B" w14:textId="08E7C67B">
      <w:pPr>
        <w:pStyle w:val="ListParagraph"/>
        <w:widowControl/>
        <w:numPr>
          <w:ilvl w:val="0"/>
          <w:numId w:val="19"/>
        </w:numPr>
        <w:spacing w:after="120"/>
        <w:contextualSpacing w:val="0"/>
        <w:rPr>
          <w:szCs w:val="22"/>
        </w:rPr>
      </w:pPr>
      <w:r>
        <w:rPr>
          <w:szCs w:val="22"/>
        </w:rPr>
        <w:t xml:space="preserve">Designate </w:t>
      </w:r>
      <w:r w:rsidR="00147C75">
        <w:rPr>
          <w:szCs w:val="22"/>
        </w:rPr>
        <w:t xml:space="preserve">six former Reserve </w:t>
      </w:r>
      <w:r>
        <w:rPr>
          <w:szCs w:val="22"/>
        </w:rPr>
        <w:t>channels for</w:t>
      </w:r>
      <w:r w:rsidR="00147C75">
        <w:rPr>
          <w:szCs w:val="22"/>
        </w:rPr>
        <w:t xml:space="preserve"> deployable trunked </w:t>
      </w:r>
      <w:r w:rsidR="00147C75">
        <w:rPr>
          <w:szCs w:val="22"/>
        </w:rPr>
        <w:t>systems</w:t>
      </w:r>
      <w:r w:rsidR="002245CD">
        <w:rPr>
          <w:szCs w:val="22"/>
        </w:rPr>
        <w:t>;</w:t>
      </w:r>
      <w:r>
        <w:rPr>
          <w:rStyle w:val="FootnoteReference"/>
          <w:szCs w:val="22"/>
        </w:rPr>
        <w:footnoteReference w:id="14"/>
      </w:r>
      <w:r>
        <w:rPr>
          <w:szCs w:val="22"/>
        </w:rPr>
        <w:t xml:space="preserve"> </w:t>
      </w:r>
    </w:p>
    <w:p w:rsidR="0095711B" w:rsidRPr="00630049" w:rsidP="00FC575A" w14:paraId="500FEAD6" w14:textId="38EC262B">
      <w:pPr>
        <w:pStyle w:val="ListParagraph"/>
        <w:widowControl/>
        <w:numPr>
          <w:ilvl w:val="0"/>
          <w:numId w:val="19"/>
        </w:numPr>
        <w:contextualSpacing w:val="0"/>
        <w:rPr>
          <w:szCs w:val="22"/>
        </w:rPr>
      </w:pPr>
      <w:r>
        <w:rPr>
          <w:szCs w:val="22"/>
        </w:rPr>
        <w:t>Allow meeting</w:t>
      </w:r>
      <w:r w:rsidR="002D0598">
        <w:rPr>
          <w:szCs w:val="22"/>
        </w:rPr>
        <w:t>s</w:t>
      </w:r>
      <w:r>
        <w:rPr>
          <w:szCs w:val="22"/>
        </w:rPr>
        <w:t xml:space="preserve"> of the RPC to be </w:t>
      </w:r>
      <w:r w:rsidR="00B02F14">
        <w:rPr>
          <w:szCs w:val="22"/>
        </w:rPr>
        <w:t xml:space="preserve">held </w:t>
      </w:r>
      <w:r w:rsidR="002D0598">
        <w:rPr>
          <w:szCs w:val="22"/>
        </w:rPr>
        <w:t xml:space="preserve">in </w:t>
      </w:r>
      <w:r>
        <w:rPr>
          <w:szCs w:val="22"/>
        </w:rPr>
        <w:t xml:space="preserve">person or </w:t>
      </w:r>
      <w:r w:rsidR="002D0598">
        <w:rPr>
          <w:szCs w:val="22"/>
        </w:rPr>
        <w:t>virtual</w:t>
      </w:r>
      <w:r w:rsidR="008A05AE">
        <w:rPr>
          <w:szCs w:val="22"/>
        </w:rPr>
        <w:t>.</w:t>
      </w:r>
      <w:r>
        <w:rPr>
          <w:rStyle w:val="FootnoteReference"/>
          <w:szCs w:val="22"/>
        </w:rPr>
        <w:footnoteReference w:id="15"/>
      </w:r>
    </w:p>
    <w:p w:rsidR="00E115C4" w:rsidP="00FC575A" w14:paraId="0F1CFA27" w14:textId="77777777">
      <w:pPr>
        <w:widowControl/>
        <w:ind w:firstLine="720"/>
        <w:rPr>
          <w:szCs w:val="22"/>
        </w:rPr>
      </w:pPr>
    </w:p>
    <w:p w:rsidR="005B1A77" w:rsidP="00FC575A" w14:paraId="5D244781" w14:textId="77777777">
      <w:pPr>
        <w:widowControl/>
        <w:ind w:firstLine="720"/>
        <w:rPr>
          <w:szCs w:val="22"/>
        </w:rPr>
      </w:pPr>
      <w:r w:rsidRPr="00F63B78">
        <w:rPr>
          <w:szCs w:val="22"/>
        </w:rPr>
        <w:t xml:space="preserve">Region 34’s RPC received concurrence letters for the proposed Plan Amendment from its </w:t>
      </w:r>
      <w:r w:rsidR="00B80285">
        <w:rPr>
          <w:szCs w:val="22"/>
        </w:rPr>
        <w:t xml:space="preserve">nine </w:t>
      </w:r>
      <w:r w:rsidRPr="006E04BC">
        <w:rPr>
          <w:szCs w:val="22"/>
        </w:rPr>
        <w:t xml:space="preserve">adjacent regions: </w:t>
      </w:r>
      <w:r w:rsidRPr="008D5284" w:rsidR="008D5284">
        <w:rPr>
          <w:szCs w:val="22"/>
        </w:rPr>
        <w:t xml:space="preserve">Region 4 </w:t>
      </w:r>
      <w:r w:rsidR="006965E4">
        <w:rPr>
          <w:szCs w:val="22"/>
        </w:rPr>
        <w:t>(</w:t>
      </w:r>
      <w:r w:rsidRPr="008D5284" w:rsidR="008D5284">
        <w:rPr>
          <w:szCs w:val="22"/>
        </w:rPr>
        <w:t>Arkansas</w:t>
      </w:r>
      <w:r w:rsidR="006965E4">
        <w:rPr>
          <w:szCs w:val="22"/>
        </w:rPr>
        <w:t xml:space="preserve">), </w:t>
      </w:r>
      <w:r w:rsidRPr="008D5284" w:rsidR="008D5284">
        <w:rPr>
          <w:szCs w:val="22"/>
        </w:rPr>
        <w:t>Region 7</w:t>
      </w:r>
      <w:r w:rsidR="00AB6C6F">
        <w:rPr>
          <w:szCs w:val="22"/>
        </w:rPr>
        <w:t xml:space="preserve"> (</w:t>
      </w:r>
      <w:r w:rsidRPr="008D5284" w:rsidR="008D5284">
        <w:rPr>
          <w:szCs w:val="22"/>
        </w:rPr>
        <w:t>Colorado</w:t>
      </w:r>
      <w:r w:rsidR="00AB6C6F">
        <w:rPr>
          <w:szCs w:val="22"/>
        </w:rPr>
        <w:t xml:space="preserve">), </w:t>
      </w:r>
      <w:r w:rsidRPr="008D5284" w:rsidR="008D5284">
        <w:rPr>
          <w:szCs w:val="22"/>
        </w:rPr>
        <w:t>Region 16</w:t>
      </w:r>
      <w:r w:rsidR="00AB6C6F">
        <w:rPr>
          <w:szCs w:val="22"/>
        </w:rPr>
        <w:t xml:space="preserve"> (</w:t>
      </w:r>
      <w:r w:rsidRPr="008D5284" w:rsidR="008D5284">
        <w:rPr>
          <w:szCs w:val="22"/>
        </w:rPr>
        <w:t>Kansas</w:t>
      </w:r>
      <w:r w:rsidR="00AB6C6F">
        <w:rPr>
          <w:szCs w:val="22"/>
        </w:rPr>
        <w:t xml:space="preserve">), </w:t>
      </w:r>
      <w:r w:rsidRPr="008D5284" w:rsidR="008D5284">
        <w:rPr>
          <w:szCs w:val="22"/>
        </w:rPr>
        <w:t>Region 18</w:t>
      </w:r>
      <w:r w:rsidR="00B00B05">
        <w:rPr>
          <w:szCs w:val="22"/>
        </w:rPr>
        <w:t xml:space="preserve"> (</w:t>
      </w:r>
      <w:r w:rsidRPr="008D5284" w:rsidR="008D5284">
        <w:rPr>
          <w:szCs w:val="22"/>
        </w:rPr>
        <w:t>Louisiana</w:t>
      </w:r>
      <w:r w:rsidR="00B00B05">
        <w:rPr>
          <w:szCs w:val="22"/>
        </w:rPr>
        <w:t xml:space="preserve">), </w:t>
      </w:r>
      <w:r w:rsidRPr="008D5284" w:rsidR="008D5284">
        <w:rPr>
          <w:szCs w:val="22"/>
        </w:rPr>
        <w:t>Region 24</w:t>
      </w:r>
      <w:r w:rsidR="00B00B05">
        <w:rPr>
          <w:szCs w:val="22"/>
        </w:rPr>
        <w:t xml:space="preserve"> (</w:t>
      </w:r>
      <w:r w:rsidRPr="008D5284" w:rsidR="008D5284">
        <w:rPr>
          <w:szCs w:val="22"/>
        </w:rPr>
        <w:t>Missouri</w:t>
      </w:r>
      <w:r w:rsidR="00B00B05">
        <w:rPr>
          <w:szCs w:val="22"/>
        </w:rPr>
        <w:t xml:space="preserve">), </w:t>
      </w:r>
      <w:r w:rsidRPr="008D5284" w:rsidR="008D5284">
        <w:rPr>
          <w:szCs w:val="22"/>
        </w:rPr>
        <w:t>Region 29</w:t>
      </w:r>
      <w:r w:rsidR="00B00B05">
        <w:rPr>
          <w:szCs w:val="22"/>
        </w:rPr>
        <w:t xml:space="preserve"> (</w:t>
      </w:r>
      <w:r w:rsidRPr="008D5284" w:rsidR="008D5284">
        <w:rPr>
          <w:szCs w:val="22"/>
        </w:rPr>
        <w:t>New Mexico</w:t>
      </w:r>
      <w:r w:rsidR="00B00B05">
        <w:rPr>
          <w:szCs w:val="22"/>
        </w:rPr>
        <w:t xml:space="preserve">), </w:t>
      </w:r>
      <w:r w:rsidRPr="008D5284" w:rsidR="008D5284">
        <w:rPr>
          <w:szCs w:val="22"/>
        </w:rPr>
        <w:t>Region 40</w:t>
      </w:r>
      <w:r w:rsidR="00B00B05">
        <w:rPr>
          <w:szCs w:val="22"/>
        </w:rPr>
        <w:t xml:space="preserve"> (</w:t>
      </w:r>
      <w:r w:rsidRPr="008D5284" w:rsidR="008D5284">
        <w:rPr>
          <w:szCs w:val="22"/>
        </w:rPr>
        <w:t xml:space="preserve">Texas </w:t>
      </w:r>
      <w:r w:rsidR="00B00B05">
        <w:rPr>
          <w:szCs w:val="22"/>
        </w:rPr>
        <w:t xml:space="preserve">- </w:t>
      </w:r>
      <w:r w:rsidRPr="008D5284" w:rsidR="008D5284">
        <w:rPr>
          <w:szCs w:val="22"/>
        </w:rPr>
        <w:t>Dallas)</w:t>
      </w:r>
      <w:r w:rsidR="005B450A">
        <w:rPr>
          <w:szCs w:val="22"/>
        </w:rPr>
        <w:t xml:space="preserve">, </w:t>
      </w:r>
      <w:r w:rsidRPr="008D5284" w:rsidR="008D5284">
        <w:rPr>
          <w:szCs w:val="22"/>
        </w:rPr>
        <w:t>Region 50</w:t>
      </w:r>
      <w:r w:rsidR="005B450A">
        <w:rPr>
          <w:szCs w:val="22"/>
        </w:rPr>
        <w:t xml:space="preserve"> (</w:t>
      </w:r>
      <w:r w:rsidRPr="008D5284" w:rsidR="008D5284">
        <w:rPr>
          <w:szCs w:val="22"/>
        </w:rPr>
        <w:t xml:space="preserve">Texas </w:t>
      </w:r>
      <w:r w:rsidR="005B450A">
        <w:rPr>
          <w:szCs w:val="22"/>
        </w:rPr>
        <w:t xml:space="preserve">- </w:t>
      </w:r>
      <w:r w:rsidRPr="008D5284" w:rsidR="008D5284">
        <w:rPr>
          <w:szCs w:val="22"/>
        </w:rPr>
        <w:t>El Paso)</w:t>
      </w:r>
      <w:r w:rsidR="005B450A">
        <w:rPr>
          <w:szCs w:val="22"/>
        </w:rPr>
        <w:t xml:space="preserve">, </w:t>
      </w:r>
      <w:r w:rsidRPr="008D5284" w:rsidR="008D5284">
        <w:rPr>
          <w:szCs w:val="22"/>
        </w:rPr>
        <w:t>Region 52</w:t>
      </w:r>
      <w:r w:rsidR="005B450A">
        <w:rPr>
          <w:szCs w:val="22"/>
        </w:rPr>
        <w:t xml:space="preserve"> (</w:t>
      </w:r>
      <w:r w:rsidRPr="008D5284" w:rsidR="008D5284">
        <w:rPr>
          <w:szCs w:val="22"/>
        </w:rPr>
        <w:t xml:space="preserve">Texas </w:t>
      </w:r>
      <w:r w:rsidR="00E7632C">
        <w:rPr>
          <w:szCs w:val="22"/>
        </w:rPr>
        <w:t xml:space="preserve">- </w:t>
      </w:r>
      <w:r w:rsidRPr="008D5284" w:rsidR="008D5284">
        <w:rPr>
          <w:szCs w:val="22"/>
        </w:rPr>
        <w:t>Lubbock)</w:t>
      </w:r>
      <w:r w:rsidRPr="006E04BC">
        <w:rPr>
          <w:szCs w:val="22"/>
        </w:rPr>
        <w:t>.</w:t>
      </w:r>
      <w:r>
        <w:rPr>
          <w:rStyle w:val="FootnoteReference"/>
          <w:szCs w:val="22"/>
        </w:rPr>
        <w:footnoteReference w:id="16"/>
      </w:r>
      <w:r w:rsidRPr="00F63B78">
        <w:rPr>
          <w:szCs w:val="22"/>
        </w:rPr>
        <w:t xml:space="preserve">  </w:t>
      </w:r>
    </w:p>
    <w:p w:rsidR="005B1A77" w:rsidP="00FC575A" w14:paraId="23EE8DE3" w14:textId="77777777">
      <w:pPr>
        <w:widowControl/>
        <w:ind w:firstLine="720"/>
        <w:rPr>
          <w:szCs w:val="22"/>
        </w:rPr>
      </w:pPr>
    </w:p>
    <w:p w:rsidR="00F63B78" w:rsidRPr="00F63B78" w:rsidP="00FC575A" w14:paraId="4CCFE986" w14:textId="4C73E9FB">
      <w:pPr>
        <w:widowControl/>
        <w:ind w:firstLine="720"/>
        <w:rPr>
          <w:szCs w:val="22"/>
        </w:rPr>
      </w:pPr>
      <w:r>
        <w:rPr>
          <w:szCs w:val="22"/>
        </w:rPr>
        <w:t xml:space="preserve">We have reviewed the Region 34 Plan Amendment and find that it sufficiently complies with the applicable Commission rules and policies, and tentatively accept it.  </w:t>
      </w:r>
    </w:p>
    <w:p w:rsidR="00F63B78" w:rsidRPr="00F63B78" w:rsidP="00FC575A" w14:paraId="5F3E8C8C" w14:textId="77777777">
      <w:pPr>
        <w:pStyle w:val="ListParagraph"/>
        <w:widowControl/>
        <w:ind w:left="1440"/>
        <w:rPr>
          <w:szCs w:val="22"/>
        </w:rPr>
      </w:pPr>
    </w:p>
    <w:p w:rsidR="00EA6464" w:rsidRPr="008A05AE" w:rsidP="00FC575A" w14:paraId="34EE3CEA" w14:textId="1072AF4E">
      <w:pPr>
        <w:widowControl/>
        <w:ind w:firstLine="720"/>
        <w:rPr>
          <w:color w:val="000000"/>
          <w:szCs w:val="22"/>
        </w:rPr>
      </w:pPr>
      <w:r w:rsidRPr="00F63B78">
        <w:rPr>
          <w:i/>
          <w:color w:val="000000"/>
          <w:szCs w:val="22"/>
        </w:rPr>
        <w:t>Request for Comments on the Region 34 Plan Amendment.</w:t>
      </w:r>
      <w:r w:rsidRPr="00F63B78">
        <w:rPr>
          <w:b/>
          <w:i/>
          <w:color w:val="000000"/>
          <w:szCs w:val="22"/>
        </w:rPr>
        <w:t xml:space="preserve"> </w:t>
      </w:r>
      <w:r w:rsidRPr="00F63B78">
        <w:rPr>
          <w:i/>
          <w:color w:val="000000"/>
          <w:szCs w:val="22"/>
        </w:rPr>
        <w:t xml:space="preserve"> </w:t>
      </w:r>
      <w:r w:rsidRPr="00F63B78">
        <w:rPr>
          <w:color w:val="000000"/>
          <w:szCs w:val="22"/>
        </w:rPr>
        <w:t xml:space="preserve">Prior to taking further action on the RPC’s proposal to amend its </w:t>
      </w:r>
      <w:r w:rsidR="00672A9D">
        <w:rPr>
          <w:color w:val="000000"/>
          <w:szCs w:val="22"/>
        </w:rPr>
        <w:t>7</w:t>
      </w:r>
      <w:r w:rsidRPr="00F63B78">
        <w:rPr>
          <w:color w:val="000000"/>
          <w:szCs w:val="22"/>
        </w:rPr>
        <w:t xml:space="preserve">00 MHz plan, by this </w:t>
      </w:r>
      <w:r w:rsidRPr="00F63B78">
        <w:rPr>
          <w:i/>
          <w:color w:val="000000"/>
          <w:szCs w:val="22"/>
        </w:rPr>
        <w:t>Public Notice</w:t>
      </w:r>
      <w:r w:rsidRPr="00F63B78">
        <w:rPr>
          <w:color w:val="000000"/>
          <w:szCs w:val="22"/>
        </w:rPr>
        <w:t xml:space="preserve">, we solicit comment on the Region 34 Plan Amendment.  </w:t>
      </w:r>
      <w:r w:rsidRPr="004074E3">
        <w:rPr>
          <w:color w:val="000000"/>
          <w:szCs w:val="22"/>
        </w:rPr>
        <w:t xml:space="preserve">The Plan Amendment is available through ECFS at </w:t>
      </w:r>
      <w:hyperlink r:id="rId5" w:history="1">
        <w:r w:rsidRPr="004074E3">
          <w:rPr>
            <w:rStyle w:val="Hyperlink"/>
            <w:szCs w:val="22"/>
          </w:rPr>
          <w:t>ecfs@fcc.gov</w:t>
        </w:r>
      </w:hyperlink>
      <w:r w:rsidRPr="004074E3">
        <w:rPr>
          <w:color w:val="000000"/>
          <w:szCs w:val="22"/>
        </w:rPr>
        <w:t xml:space="preserve"> under </w:t>
      </w:r>
      <w:r w:rsidR="00EB5CFA">
        <w:rPr>
          <w:color w:val="000000"/>
          <w:szCs w:val="22"/>
        </w:rPr>
        <w:t>WT</w:t>
      </w:r>
      <w:r w:rsidRPr="004074E3">
        <w:rPr>
          <w:color w:val="000000"/>
          <w:szCs w:val="22"/>
        </w:rPr>
        <w:t xml:space="preserve"> Docket No. </w:t>
      </w:r>
      <w:r w:rsidRPr="00D438C8" w:rsidR="00D438C8">
        <w:rPr>
          <w:color w:val="000000"/>
          <w:szCs w:val="22"/>
        </w:rPr>
        <w:t>02-378</w:t>
      </w:r>
      <w:r w:rsidRPr="00F63B78">
        <w:rPr>
          <w:color w:val="000000"/>
          <w:szCs w:val="22"/>
        </w:rPr>
        <w:t>.</w:t>
      </w:r>
    </w:p>
    <w:p w:rsidR="00F65404" w:rsidRPr="00205576" w:rsidP="00FC575A" w14:paraId="7667D4A7" w14:textId="555D67F3">
      <w:pPr>
        <w:widowControl/>
        <w:ind w:firstLine="720"/>
        <w:rPr>
          <w:szCs w:val="22"/>
          <w:u w:val="single"/>
        </w:rPr>
      </w:pPr>
      <w:r w:rsidRPr="00205576">
        <w:rPr>
          <w:szCs w:val="22"/>
          <w:u w:val="single"/>
        </w:rPr>
        <w:t>Instructions for Filing Comments</w:t>
      </w:r>
    </w:p>
    <w:p w:rsidR="00F65404" w:rsidP="00FC575A" w14:paraId="68A0F6AF" w14:textId="77777777">
      <w:pPr>
        <w:widowControl/>
        <w:ind w:firstLine="720"/>
        <w:rPr>
          <w:szCs w:val="22"/>
        </w:rPr>
      </w:pPr>
    </w:p>
    <w:p w:rsidR="00F03A6C" w:rsidP="00FC575A" w14:paraId="09D0D192" w14:textId="1FA1E960">
      <w:pPr>
        <w:widowControl/>
        <w:ind w:firstLine="720"/>
        <w:rPr>
          <w:iCs/>
          <w:color w:val="000000"/>
          <w:szCs w:val="22"/>
        </w:rPr>
      </w:pPr>
      <w:r>
        <w:rPr>
          <w:szCs w:val="22"/>
        </w:rPr>
        <w:t xml:space="preserve">Pursuant to Sections 1.415 and 1.419 of the Commission’s rules, 47 C.F.R. §§ 1.415, 1.419, interested parties may file comments on the Region </w:t>
      </w:r>
      <w:r w:rsidR="00681DEC">
        <w:rPr>
          <w:szCs w:val="22"/>
        </w:rPr>
        <w:t>34</w:t>
      </w:r>
      <w:r>
        <w:rPr>
          <w:szCs w:val="22"/>
        </w:rPr>
        <w:t xml:space="preserve"> 700 MHz Plan </w:t>
      </w:r>
      <w:r w:rsidR="00681DEC">
        <w:rPr>
          <w:szCs w:val="22"/>
        </w:rPr>
        <w:t xml:space="preserve">Amendment </w:t>
      </w:r>
      <w:r>
        <w:rPr>
          <w:szCs w:val="22"/>
        </w:rPr>
        <w:t xml:space="preserve">on or before </w:t>
      </w:r>
      <w:r w:rsidRPr="00EB39FD" w:rsidR="00EB39FD">
        <w:rPr>
          <w:b/>
          <w:szCs w:val="22"/>
        </w:rPr>
        <w:t>February 21, 2023</w:t>
      </w:r>
      <w:r>
        <w:rPr>
          <w:szCs w:val="22"/>
        </w:rPr>
        <w:t xml:space="preserve">, and reply comments on or before </w:t>
      </w:r>
      <w:r w:rsidRPr="00CC2DE2" w:rsidR="00CC2DE2">
        <w:rPr>
          <w:b/>
          <w:bCs/>
          <w:szCs w:val="22"/>
        </w:rPr>
        <w:t>March 8, 2023</w:t>
      </w:r>
      <w:r>
        <w:rPr>
          <w:szCs w:val="22"/>
        </w:rPr>
        <w:t>.</w:t>
      </w:r>
      <w:r>
        <w:rPr>
          <w:b/>
          <w:szCs w:val="22"/>
        </w:rPr>
        <w:t xml:space="preserve">  </w:t>
      </w:r>
      <w:r>
        <w:rPr>
          <w:color w:val="000000"/>
          <w:szCs w:val="22"/>
        </w:rPr>
        <w:t xml:space="preserve">All comments and reply comments should reference the subject Plan </w:t>
      </w:r>
      <w:r>
        <w:rPr>
          <w:iCs/>
          <w:color w:val="000000"/>
          <w:szCs w:val="22"/>
        </w:rPr>
        <w:t>and</w:t>
      </w:r>
      <w:r>
        <w:rPr>
          <w:b/>
          <w:iCs/>
          <w:color w:val="000000"/>
          <w:szCs w:val="22"/>
        </w:rPr>
        <w:t xml:space="preserve"> WT Docket No. 02-378</w:t>
      </w:r>
      <w:r>
        <w:rPr>
          <w:color w:val="000000"/>
          <w:szCs w:val="22"/>
        </w:rPr>
        <w:t>.</w:t>
      </w:r>
      <w:r>
        <w:rPr>
          <w:iCs/>
          <w:color w:val="000000"/>
          <w:szCs w:val="22"/>
        </w:rPr>
        <w:t xml:space="preserve">  </w:t>
      </w:r>
    </w:p>
    <w:p w:rsidR="00F03A6C" w:rsidP="00FC575A" w14:paraId="2B047959" w14:textId="77777777">
      <w:pPr>
        <w:widowControl/>
        <w:ind w:left="1440" w:hanging="720"/>
        <w:rPr>
          <w:szCs w:val="22"/>
        </w:rPr>
      </w:pPr>
    </w:p>
    <w:p w:rsidR="00F03A6C" w:rsidP="00FC575A" w14:paraId="65B024B8" w14:textId="3D73A18D">
      <w:pPr>
        <w:widowControl/>
        <w:numPr>
          <w:ilvl w:val="0"/>
          <w:numId w:val="15"/>
        </w:numPr>
        <w:tabs>
          <w:tab w:val="clear" w:pos="1800"/>
        </w:tabs>
        <w:ind w:left="720"/>
        <w:rPr>
          <w:szCs w:val="22"/>
        </w:rPr>
      </w:pPr>
      <w:r>
        <w:rPr>
          <w:rFonts w:cs="Courier New"/>
          <w:szCs w:val="22"/>
          <w:u w:val="single"/>
        </w:rPr>
        <w:t>Electronic Filers</w:t>
      </w:r>
      <w:r>
        <w:rPr>
          <w:rFonts w:cs="Courier New"/>
          <w:szCs w:val="22"/>
        </w:rPr>
        <w:t xml:space="preserve">:  </w:t>
      </w:r>
      <w:r w:rsidRPr="00637EA5" w:rsidR="00637EA5">
        <w:rPr>
          <w:rFonts w:cs="Courier New"/>
          <w:szCs w:val="22"/>
        </w:rPr>
        <w:t xml:space="preserve">Comments may be filed electronically using the Internet by accessing the ECFS:  </w:t>
      </w:r>
      <w:hyperlink r:id="rId6" w:history="1">
        <w:r w:rsidRPr="007D275A" w:rsidR="00B81294">
          <w:rPr>
            <w:rStyle w:val="Hyperlink"/>
            <w:rFonts w:cs="Courier New"/>
            <w:szCs w:val="22"/>
          </w:rPr>
          <w:t>http://apps.fcc.gov/ecfs/</w:t>
        </w:r>
      </w:hyperlink>
      <w:r>
        <w:rPr>
          <w:szCs w:val="22"/>
        </w:rPr>
        <w:t xml:space="preserve">.  </w:t>
      </w:r>
    </w:p>
    <w:p w:rsidR="00F03A6C" w:rsidP="00FC575A" w14:paraId="0F22743F" w14:textId="77777777">
      <w:pPr>
        <w:widowControl/>
        <w:ind w:left="720" w:hanging="720"/>
        <w:rPr>
          <w:rFonts w:cs="Courier New"/>
          <w:szCs w:val="22"/>
          <w:u w:val="single"/>
        </w:rPr>
      </w:pPr>
    </w:p>
    <w:p w:rsidR="000E6E13" w:rsidP="00FC575A" w14:paraId="71A1DCF5" w14:textId="37D9DBF2">
      <w:pPr>
        <w:widowControl/>
        <w:numPr>
          <w:ilvl w:val="0"/>
          <w:numId w:val="15"/>
        </w:numPr>
        <w:tabs>
          <w:tab w:val="clear" w:pos="1800"/>
        </w:tabs>
        <w:ind w:left="720"/>
        <w:rPr>
          <w:szCs w:val="22"/>
        </w:rPr>
      </w:pPr>
      <w:r>
        <w:rPr>
          <w:rFonts w:cs="Courier New"/>
          <w:szCs w:val="22"/>
          <w:u w:val="single"/>
        </w:rPr>
        <w:t>Paper Filers</w:t>
      </w:r>
      <w:r>
        <w:rPr>
          <w:rFonts w:cs="Courier New"/>
          <w:szCs w:val="22"/>
        </w:rPr>
        <w:t xml:space="preserve">:  </w:t>
      </w:r>
      <w:r w:rsidRPr="000E6E13">
        <w:rPr>
          <w:rFonts w:cs="Courier New"/>
          <w:szCs w:val="22"/>
        </w:rPr>
        <w:t>Parties who choose to file by paper must file an original and one copy of each filing.  Filings can be sent by hand or messenger delivery, by commercial overnight courier, or by first-class or overnight U.S. Postal Service mail.</w:t>
      </w:r>
      <w:r>
        <w:rPr>
          <w:szCs w:val="22"/>
        </w:rPr>
        <w:t xml:space="preserve"> </w:t>
      </w:r>
    </w:p>
    <w:p w:rsidR="006D6691" w:rsidRPr="006D6691" w:rsidP="00FC575A" w14:paraId="3BD794A0" w14:textId="77777777">
      <w:pPr>
        <w:widowControl/>
        <w:rPr>
          <w:szCs w:val="22"/>
        </w:rPr>
      </w:pPr>
    </w:p>
    <w:p w:rsidR="000E6E13" w:rsidRPr="00063623" w:rsidP="00FC575A" w14:paraId="69A68B4D" w14:textId="77777777">
      <w:pPr>
        <w:keepNext/>
        <w:widowControl/>
        <w:numPr>
          <w:ilvl w:val="0"/>
          <w:numId w:val="18"/>
        </w:numPr>
        <w:spacing w:after="120"/>
        <w:ind w:left="1080"/>
      </w:pPr>
      <w:r w:rsidRPr="5A3E3758">
        <w:t>Filings can be sent by commercial overnight courtier or by first-class or overnight U.S. Postal Service mail.</w:t>
      </w:r>
      <w:r>
        <w:rPr>
          <w:rStyle w:val="FootnoteReference"/>
        </w:rPr>
        <w:footnoteReference w:id="17"/>
      </w:r>
    </w:p>
    <w:p w:rsidR="000E6E13" w:rsidRPr="00063623" w:rsidP="00FC575A" w14:paraId="353B032F" w14:textId="77777777">
      <w:pPr>
        <w:keepNext/>
        <w:widowControl/>
        <w:numPr>
          <w:ilvl w:val="0"/>
          <w:numId w:val="18"/>
        </w:numPr>
        <w:spacing w:after="120"/>
        <w:ind w:left="1080"/>
        <w:rPr>
          <w:szCs w:val="22"/>
        </w:rPr>
      </w:pPr>
      <w:r w:rsidRPr="00063623">
        <w:rPr>
          <w:szCs w:val="22"/>
        </w:rPr>
        <w:t>Commercial overnight mail (other than U.S. Postal Service Express Mail and Priority Mail) must be sent to 9050 Junction Drive, Annapolis Junction, MD 20701.</w:t>
      </w:r>
    </w:p>
    <w:p w:rsidR="000E6E13" w:rsidRPr="00063623" w:rsidP="00FC575A" w14:paraId="33F5DF5E" w14:textId="77777777">
      <w:pPr>
        <w:widowControl/>
        <w:numPr>
          <w:ilvl w:val="0"/>
          <w:numId w:val="18"/>
        </w:numPr>
        <w:ind w:left="1080"/>
        <w:rPr>
          <w:szCs w:val="22"/>
        </w:rPr>
      </w:pPr>
      <w:r w:rsidRPr="00063623">
        <w:rPr>
          <w:szCs w:val="22"/>
        </w:rPr>
        <w:t>U.S. Postal Service first-class, Express, and Priority mail must be addressed to 45 L St, NE, Washington, DC 20554.</w:t>
      </w:r>
    </w:p>
    <w:p w:rsidR="00CC576D" w:rsidP="00FC575A" w14:paraId="7B185B47" w14:textId="77777777">
      <w:pPr>
        <w:widowControl/>
        <w:spacing w:after="120"/>
        <w:ind w:firstLine="720"/>
        <w:rPr>
          <w:i/>
          <w:szCs w:val="22"/>
        </w:rPr>
      </w:pPr>
    </w:p>
    <w:p w:rsidR="000E6E13" w:rsidRPr="00063623" w:rsidP="00FC575A" w14:paraId="7A86E2F3" w14:textId="73B17D14">
      <w:pPr>
        <w:widowControl/>
        <w:ind w:firstLine="720"/>
        <w:rPr>
          <w:szCs w:val="22"/>
        </w:rPr>
      </w:pPr>
      <w:r w:rsidRPr="00063623">
        <w:rPr>
          <w:i/>
          <w:szCs w:val="22"/>
        </w:rPr>
        <w:t>People with Disabilities</w:t>
      </w:r>
      <w:r w:rsidRPr="00063623">
        <w:rPr>
          <w:szCs w:val="22"/>
        </w:rPr>
        <w:t xml:space="preserve">.  To request materials in accessible formats for people with disabilities (Braille, large print, electronic files, audio format), send an e-mail to </w:t>
      </w:r>
      <w:hyperlink r:id="rId7" w:history="1">
        <w:r w:rsidRPr="00063623">
          <w:rPr>
            <w:color w:val="0000FF"/>
            <w:szCs w:val="22"/>
            <w:u w:val="single"/>
          </w:rPr>
          <w:t>fcc504@fcc.gov</w:t>
        </w:r>
      </w:hyperlink>
      <w:r w:rsidRPr="00063623">
        <w:rPr>
          <w:szCs w:val="22"/>
          <w:u w:val="single"/>
        </w:rPr>
        <w:t xml:space="preserve"> </w:t>
      </w:r>
      <w:r w:rsidRPr="00063623">
        <w:rPr>
          <w:szCs w:val="22"/>
        </w:rPr>
        <w:t>or call the Consumer &amp; Governmental Affairs Bureau at (202) 418-0530 (voice) or (202) 418-0432 (</w:t>
      </w:r>
      <w:r w:rsidRPr="00063623">
        <w:rPr>
          <w:szCs w:val="22"/>
        </w:rPr>
        <w:t>tty</w:t>
      </w:r>
      <w:r w:rsidRPr="00063623">
        <w:rPr>
          <w:szCs w:val="22"/>
        </w:rPr>
        <w:t>).</w:t>
      </w:r>
    </w:p>
    <w:p w:rsidR="00CC576D" w:rsidP="00FC575A" w14:paraId="35CD1AB6" w14:textId="77777777">
      <w:pPr>
        <w:widowControl/>
        <w:ind w:firstLine="720"/>
        <w:rPr>
          <w:szCs w:val="22"/>
        </w:rPr>
      </w:pPr>
    </w:p>
    <w:p w:rsidR="00F03A6C" w:rsidP="00FC575A" w14:paraId="622C8F81" w14:textId="0D05E273">
      <w:pPr>
        <w:widowControl/>
        <w:ind w:firstLine="720"/>
        <w:rPr>
          <w:szCs w:val="22"/>
        </w:rPr>
      </w:pPr>
      <w:r>
        <w:rPr>
          <w:szCs w:val="22"/>
        </w:rPr>
        <w:t xml:space="preserve">For further information regarding this matter, contact </w:t>
      </w:r>
      <w:r w:rsidR="00FF7301">
        <w:rPr>
          <w:szCs w:val="22"/>
        </w:rPr>
        <w:t>Brian Marenco</w:t>
      </w:r>
      <w:r w:rsidR="00FA1AEA">
        <w:rPr>
          <w:szCs w:val="22"/>
        </w:rPr>
        <w:t>, Electronics Engineer,</w:t>
      </w:r>
      <w:r>
        <w:rPr>
          <w:szCs w:val="22"/>
        </w:rPr>
        <w:t xml:space="preserve"> Policy and Licensing Division, Public Safety and Homeland Security Bureau at (202) 418-08</w:t>
      </w:r>
      <w:r w:rsidR="00FA1AEA">
        <w:rPr>
          <w:szCs w:val="22"/>
        </w:rPr>
        <w:t>3</w:t>
      </w:r>
      <w:r>
        <w:rPr>
          <w:szCs w:val="22"/>
        </w:rPr>
        <w:t xml:space="preserve">8 or </w:t>
      </w:r>
      <w:hyperlink r:id="rId8" w:history="1">
        <w:r w:rsidRPr="007D275A" w:rsidR="00A87B64">
          <w:rPr>
            <w:rStyle w:val="Hyperlink"/>
            <w:szCs w:val="22"/>
          </w:rPr>
          <w:t>Brian.Marenco@fcc.gov</w:t>
        </w:r>
      </w:hyperlink>
      <w:r>
        <w:rPr>
          <w:szCs w:val="22"/>
        </w:rPr>
        <w:t>.</w:t>
      </w:r>
    </w:p>
    <w:p w:rsidR="00F03A6C" w:rsidP="00FC575A" w14:paraId="628A2FDD" w14:textId="77777777">
      <w:pPr>
        <w:widowControl/>
        <w:rPr>
          <w:szCs w:val="22"/>
        </w:rPr>
      </w:pPr>
    </w:p>
    <w:p w:rsidR="00F03A6C" w:rsidP="00FC575A" w14:paraId="6A5B0F9E" w14:textId="77777777">
      <w:pPr>
        <w:widowControl/>
        <w:autoSpaceDE w:val="0"/>
        <w:autoSpaceDN w:val="0"/>
        <w:adjustRightInd w:val="0"/>
        <w:jc w:val="center"/>
        <w:rPr>
          <w:szCs w:val="22"/>
        </w:rPr>
      </w:pPr>
      <w:r>
        <w:rPr>
          <w:szCs w:val="22"/>
        </w:rPr>
        <w:t>- FCC -</w:t>
      </w:r>
    </w:p>
    <w:p w:rsidR="00F03A6C" w:rsidP="00FC575A" w14:paraId="4273148A" w14:textId="77777777">
      <w:pPr>
        <w:widowControl/>
        <w:jc w:val="right"/>
        <w:rPr>
          <w:szCs w:val="22"/>
        </w:rPr>
      </w:pPr>
    </w:p>
    <w:p w:rsidR="00F03A6C" w:rsidP="00FC575A" w14:paraId="53E7BA70" w14:textId="77777777">
      <w:pPr>
        <w:widowControl/>
        <w:rPr>
          <w:color w:val="000000"/>
          <w:szCs w:val="22"/>
        </w:rPr>
      </w:pPr>
    </w:p>
    <w:p w:rsidR="00702187" w:rsidRPr="00F03A6C" w:rsidP="00FC575A" w14:paraId="6F340E60" w14:textId="77777777">
      <w:pPr>
        <w:widowControl/>
      </w:pP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52D2EC0C" w14:textId="77777777">
    <w:pPr>
      <w:pStyle w:val="Footer"/>
      <w:framePr w:wrap="around" w:vAnchor="text" w:hAnchor="margin" w:xAlign="center" w:y="1"/>
    </w:pPr>
    <w:r>
      <w:fldChar w:fldCharType="begin"/>
    </w:r>
    <w:r>
      <w:instrText xml:space="preserve">PAGE  </w:instrText>
    </w:r>
    <w:r>
      <w:fldChar w:fldCharType="separate"/>
    </w:r>
    <w:r>
      <w:fldChar w:fldCharType="end"/>
    </w:r>
  </w:p>
  <w:p w:rsidR="00B6319F" w14:paraId="00B671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0B3D83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04FFFB5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0A8C" w14:paraId="516BA6D3" w14:textId="77777777">
      <w:r>
        <w:separator/>
      </w:r>
    </w:p>
  </w:footnote>
  <w:footnote w:type="continuationSeparator" w:id="1">
    <w:p w:rsidR="00AF0A8C" w14:paraId="53C3519C" w14:textId="77777777">
      <w:pPr>
        <w:rPr>
          <w:sz w:val="20"/>
        </w:rPr>
      </w:pPr>
      <w:r>
        <w:rPr>
          <w:sz w:val="20"/>
        </w:rPr>
        <w:t xml:space="preserve">(Continued from previous page)  </w:t>
      </w:r>
      <w:r>
        <w:rPr>
          <w:sz w:val="20"/>
        </w:rPr>
        <w:separator/>
      </w:r>
    </w:p>
  </w:footnote>
  <w:footnote w:type="continuationNotice" w:id="2">
    <w:p w:rsidR="00AF0A8C" w14:paraId="407162B7" w14:textId="77777777">
      <w:pPr>
        <w:jc w:val="right"/>
        <w:rPr>
          <w:sz w:val="20"/>
        </w:rPr>
      </w:pPr>
      <w:r>
        <w:rPr>
          <w:sz w:val="20"/>
        </w:rPr>
        <w:t>(</w:t>
      </w:r>
      <w:r>
        <w:rPr>
          <w:sz w:val="20"/>
        </w:rPr>
        <w:t>continued</w:t>
      </w:r>
      <w:r>
        <w:rPr>
          <w:sz w:val="20"/>
        </w:rPr>
        <w:t>….)</w:t>
      </w:r>
    </w:p>
  </w:footnote>
  <w:footnote w:id="3">
    <w:p w:rsidR="00F03A6C" w:rsidP="00F03A6C" w14:paraId="7BE83F63" w14:textId="3DD10DCB">
      <w:pPr>
        <w:autoSpaceDE w:val="0"/>
        <w:autoSpaceDN w:val="0"/>
        <w:adjustRightInd w:val="0"/>
        <w:spacing w:after="120"/>
      </w:pPr>
      <w:r>
        <w:rPr>
          <w:rStyle w:val="FootnoteReference"/>
          <w:sz w:val="20"/>
        </w:rPr>
        <w:footnoteRef/>
      </w:r>
      <w:r>
        <w:rPr>
          <w:sz w:val="20"/>
        </w:rPr>
        <w:t xml:space="preserve"> The Region </w:t>
      </w:r>
      <w:r w:rsidR="00731748">
        <w:rPr>
          <w:sz w:val="20"/>
        </w:rPr>
        <w:t>34</w:t>
      </w:r>
      <w:r>
        <w:rPr>
          <w:sz w:val="20"/>
        </w:rPr>
        <w:t xml:space="preserve"> (</w:t>
      </w:r>
      <w:r w:rsidR="00731748">
        <w:rPr>
          <w:sz w:val="20"/>
        </w:rPr>
        <w:t>Oklahoma</w:t>
      </w:r>
      <w:r>
        <w:rPr>
          <w:sz w:val="20"/>
        </w:rPr>
        <w:t xml:space="preserve">) 700 MHz regional planning area includes the entire state of </w:t>
      </w:r>
      <w:r w:rsidR="00C333CC">
        <w:rPr>
          <w:sz w:val="20"/>
        </w:rPr>
        <w:t>Oklahoma</w:t>
      </w:r>
      <w:r>
        <w:rPr>
          <w:sz w:val="20"/>
        </w:rPr>
        <w:t>.</w:t>
      </w:r>
    </w:p>
  </w:footnote>
  <w:footnote w:id="4">
    <w:p w:rsidR="00F03A6C" w:rsidP="00F03A6C" w14:paraId="17D4BDF7" w14:textId="77777777">
      <w:pPr>
        <w:pStyle w:val="FootnoteText"/>
        <w:tabs>
          <w:tab w:val="left" w:pos="6930"/>
        </w:tabs>
      </w:pPr>
      <w:r>
        <w:rPr>
          <w:rStyle w:val="FootnoteReference"/>
        </w:rPr>
        <w:footnoteRef/>
      </w:r>
      <w:r>
        <w:t xml:space="preserve"> The General Use spectrum is administered by RPCs and is licensed for public safety services on a site-by-site basis in accordance with the relevant Commission-approved regional plan and frequency coordination. </w:t>
      </w:r>
    </w:p>
  </w:footnote>
  <w:footnote w:id="5">
    <w:p w:rsidR="00F03A6C" w:rsidP="008F5A63" w14:paraId="57887017" w14:textId="5D667518">
      <w:pPr>
        <w:spacing w:after="120"/>
        <w:ind w:right="-18"/>
        <w:rPr>
          <w:b/>
        </w:rPr>
      </w:pPr>
      <w:r>
        <w:rPr>
          <w:rStyle w:val="FootnoteReference"/>
          <w:sz w:val="20"/>
        </w:rPr>
        <w:footnoteRef/>
      </w:r>
      <w:r>
        <w:rPr>
          <w:rStyle w:val="FootnoteReference"/>
        </w:rPr>
        <w:t xml:space="preserve"> </w:t>
      </w:r>
      <w:r>
        <w:rPr>
          <w:i/>
          <w:sz w:val="20"/>
        </w:rPr>
        <w:t>See</w:t>
      </w:r>
      <w:r>
        <w:rPr>
          <w:sz w:val="20"/>
        </w:rPr>
        <w:t xml:space="preserve"> Letter from </w:t>
      </w:r>
      <w:r w:rsidRPr="008F5A63" w:rsidR="008F5A63">
        <w:rPr>
          <w:sz w:val="20"/>
        </w:rPr>
        <w:t>Scott Walsh, Chair</w:t>
      </w:r>
      <w:r w:rsidR="00500E06">
        <w:rPr>
          <w:sz w:val="20"/>
        </w:rPr>
        <w:t xml:space="preserve">, </w:t>
      </w:r>
      <w:r w:rsidRPr="008F5A63" w:rsidR="008F5A63">
        <w:rPr>
          <w:sz w:val="20"/>
        </w:rPr>
        <w:t>Regional Planning Committee 34</w:t>
      </w:r>
      <w:r>
        <w:rPr>
          <w:sz w:val="20"/>
        </w:rPr>
        <w:t xml:space="preserve">, to Chief, Public Safety and Homeland Security Bureau, Federal Communications Commission, WT Docket No. 02-378 (dated </w:t>
      </w:r>
      <w:r w:rsidRPr="00583662" w:rsidR="00583662">
        <w:rPr>
          <w:sz w:val="20"/>
        </w:rPr>
        <w:t>Jan</w:t>
      </w:r>
      <w:r w:rsidR="00583662">
        <w:rPr>
          <w:sz w:val="20"/>
        </w:rPr>
        <w:t>.</w:t>
      </w:r>
      <w:r w:rsidRPr="00583662" w:rsidR="00583662">
        <w:rPr>
          <w:sz w:val="20"/>
        </w:rPr>
        <w:t xml:space="preserve"> 12, 2021</w:t>
      </w:r>
      <w:r>
        <w:rPr>
          <w:sz w:val="20"/>
        </w:rPr>
        <w:t>) (</w:t>
      </w:r>
      <w:r w:rsidR="00067D4C">
        <w:rPr>
          <w:sz w:val="20"/>
        </w:rPr>
        <w:t>Cover Letter)</w:t>
      </w:r>
      <w:r w:rsidR="00672A9D">
        <w:rPr>
          <w:sz w:val="20"/>
        </w:rPr>
        <w:t xml:space="preserve">.  </w:t>
      </w:r>
      <w:r w:rsidRPr="00672A9D" w:rsidR="00672A9D">
        <w:rPr>
          <w:i/>
          <w:iCs/>
          <w:sz w:val="20"/>
        </w:rPr>
        <w:t>See also</w:t>
      </w:r>
      <w:r w:rsidR="00B21B5E">
        <w:rPr>
          <w:sz w:val="20"/>
        </w:rPr>
        <w:t xml:space="preserve"> </w:t>
      </w:r>
      <w:r w:rsidR="00F03DCA">
        <w:rPr>
          <w:sz w:val="20"/>
        </w:rPr>
        <w:t>Region 34 700 MHz Plan Update</w:t>
      </w:r>
      <w:r w:rsidR="004A1E04">
        <w:rPr>
          <w:sz w:val="20"/>
        </w:rPr>
        <w:t xml:space="preserve">, WT Docket 02-378 </w:t>
      </w:r>
      <w:r w:rsidR="00B21B5E">
        <w:rPr>
          <w:sz w:val="20"/>
        </w:rPr>
        <w:t>(</w:t>
      </w:r>
      <w:r w:rsidR="000E46B8">
        <w:rPr>
          <w:sz w:val="20"/>
        </w:rPr>
        <w:t xml:space="preserve">filed </w:t>
      </w:r>
      <w:r w:rsidRPr="00583662" w:rsidR="00FB05FB">
        <w:rPr>
          <w:sz w:val="20"/>
        </w:rPr>
        <w:t>Jan</w:t>
      </w:r>
      <w:r w:rsidR="00FB05FB">
        <w:rPr>
          <w:sz w:val="20"/>
        </w:rPr>
        <w:t>.</w:t>
      </w:r>
      <w:r w:rsidRPr="00583662" w:rsidR="00FB05FB">
        <w:rPr>
          <w:sz w:val="20"/>
        </w:rPr>
        <w:t xml:space="preserve"> 12, 2021</w:t>
      </w:r>
      <w:r w:rsidR="00FB05FB">
        <w:rPr>
          <w:sz w:val="20"/>
        </w:rPr>
        <w:t>) (</w:t>
      </w:r>
      <w:r w:rsidR="00B21B5E">
        <w:rPr>
          <w:sz w:val="20"/>
        </w:rPr>
        <w:t>Plan Amendment)</w:t>
      </w:r>
      <w:r>
        <w:rPr>
          <w:sz w:val="20"/>
        </w:rPr>
        <w:t xml:space="preserve">. </w:t>
      </w:r>
    </w:p>
  </w:footnote>
  <w:footnote w:id="6">
    <w:p w:rsidR="00F03A6C" w:rsidP="00F03A6C" w14:paraId="28410783" w14:textId="77777777">
      <w:pPr>
        <w:pStyle w:val="FootnoteText"/>
      </w:pPr>
      <w:r>
        <w:rPr>
          <w:rStyle w:val="FootnoteReference"/>
        </w:rPr>
        <w:footnoteRef/>
      </w:r>
      <w:r>
        <w:t xml:space="preserve"> </w:t>
      </w:r>
      <w:r>
        <w:rPr>
          <w:i/>
        </w:rPr>
        <w:t>See Development of Operational, Technical and Spectrum Requirements for Meeting Federal, State and Local Public Safety Agency Communication Requirements Through the Year 2010</w:t>
      </w:r>
      <w:r>
        <w:t>, First Report and Order and Third Notice of Proposed Rulemaking</w:t>
      </w:r>
      <w:r>
        <w:rPr>
          <w:i/>
        </w:rPr>
        <w:t>,</w:t>
      </w:r>
      <w:r>
        <w:t xml:space="preserve"> 14 FCC </w:t>
      </w:r>
      <w:r>
        <w:t>Rcd</w:t>
      </w:r>
      <w:r>
        <w:t xml:space="preserve"> 152 (1998) (</w:t>
      </w:r>
      <w:r>
        <w:rPr>
          <w:i/>
        </w:rPr>
        <w:t>First Report and Order</w:t>
      </w:r>
      <w:r>
        <w:t>); Second Memorandum Opinion and Order</w:t>
      </w:r>
      <w:r>
        <w:rPr>
          <w:i/>
        </w:rPr>
        <w:t>,</w:t>
      </w:r>
      <w:r>
        <w:t xml:space="preserve"> 15 FCC </w:t>
      </w:r>
      <w:r>
        <w:t>Rcd</w:t>
      </w:r>
      <w:r>
        <w:t xml:space="preserve"> 16844 (2000).  </w:t>
      </w:r>
      <w:r>
        <w:rPr>
          <w:i/>
        </w:rPr>
        <w:t>See also</w:t>
      </w:r>
      <w:r>
        <w:t xml:space="preserve"> 47 CFR § 90.527.</w:t>
      </w:r>
    </w:p>
  </w:footnote>
  <w:footnote w:id="7">
    <w:p w:rsidR="00F03A6C" w:rsidP="00F03A6C" w14:paraId="61C9E84E" w14:textId="77777777">
      <w:pPr>
        <w:pStyle w:val="FootnoteText"/>
      </w:pPr>
      <w:r>
        <w:rPr>
          <w:rStyle w:val="FootnoteReference"/>
        </w:rPr>
        <w:footnoteRef/>
      </w:r>
      <w:r>
        <w:t xml:space="preserve"> </w:t>
      </w:r>
      <w:r>
        <w:rPr>
          <w:i/>
        </w:rPr>
        <w:t xml:space="preserve">See </w:t>
      </w:r>
      <w:r>
        <w:t xml:space="preserve">47 CFR § 90.527.  </w:t>
      </w:r>
    </w:p>
  </w:footnote>
  <w:footnote w:id="8">
    <w:p w:rsidR="00F03A6C" w:rsidP="00F03A6C" w14:paraId="19E1EFA0" w14:textId="77777777">
      <w:pPr>
        <w:pStyle w:val="FootnoteText"/>
      </w:pPr>
      <w:r>
        <w:rPr>
          <w:rStyle w:val="FootnoteReference"/>
        </w:rPr>
        <w:footnoteRef/>
      </w:r>
      <w:r>
        <w:t xml:space="preserve"> </w:t>
      </w:r>
      <w:r>
        <w:rPr>
          <w:i/>
        </w:rPr>
        <w:t>First Report and Order</w:t>
      </w:r>
      <w:r>
        <w:t xml:space="preserve">, 14 FCC </w:t>
      </w:r>
      <w:r>
        <w:t>Rcd</w:t>
      </w:r>
      <w:r>
        <w:t xml:space="preserve"> at 195 </w:t>
      </w:r>
      <w:r>
        <w:t>para</w:t>
      </w:r>
      <w:r>
        <w:t>. 87.</w:t>
      </w:r>
    </w:p>
  </w:footnote>
  <w:footnote w:id="9">
    <w:p w:rsidR="00F03A6C" w:rsidP="00F03A6C" w14:paraId="7B072B9A" w14:textId="507CF783">
      <w:pPr>
        <w:pStyle w:val="FootnoteText"/>
      </w:pPr>
      <w:r>
        <w:rPr>
          <w:rStyle w:val="FootnoteReference"/>
        </w:rPr>
        <w:footnoteRef/>
      </w:r>
      <w:r>
        <w:t xml:space="preserve"> </w:t>
      </w:r>
      <w:r w:rsidR="00B21B5E">
        <w:rPr>
          <w:i/>
          <w:iCs/>
        </w:rPr>
        <w:t xml:space="preserve">See </w:t>
      </w:r>
      <w:r w:rsidR="0056181E">
        <w:t xml:space="preserve">Cover Letter and </w:t>
      </w:r>
      <w:r w:rsidR="00B21B5E">
        <w:t xml:space="preserve">Plan Amendment.  </w:t>
      </w:r>
    </w:p>
  </w:footnote>
  <w:footnote w:id="10">
    <w:p w:rsidR="001137C3" w:rsidRPr="00DD7E7E" w14:paraId="41C2FAA6" w14:textId="48CD6D56">
      <w:pPr>
        <w:pStyle w:val="FootnoteText"/>
      </w:pPr>
      <w:r>
        <w:rPr>
          <w:rStyle w:val="FootnoteReference"/>
        </w:rPr>
        <w:footnoteRef/>
      </w:r>
      <w:r>
        <w:t xml:space="preserve"> </w:t>
      </w:r>
      <w:r>
        <w:rPr>
          <w:i/>
          <w:iCs/>
        </w:rPr>
        <w:t>Id.</w:t>
      </w:r>
      <w:r w:rsidR="00DD7E7E">
        <w:t xml:space="preserve"> at </w:t>
      </w:r>
      <w:r w:rsidR="00043034">
        <w:t xml:space="preserve">12, </w:t>
      </w:r>
      <w:r w:rsidR="001B0F09">
        <w:t>32.</w:t>
      </w:r>
    </w:p>
  </w:footnote>
  <w:footnote w:id="11">
    <w:p w:rsidR="001B0F09" w:rsidRPr="001B0F09" w14:paraId="70AE7496" w14:textId="4FD27EE3">
      <w:pPr>
        <w:pStyle w:val="FootnoteText"/>
      </w:pPr>
      <w:r>
        <w:rPr>
          <w:rStyle w:val="FootnoteReference"/>
        </w:rPr>
        <w:footnoteRef/>
      </w:r>
      <w:r>
        <w:t xml:space="preserve"> </w:t>
      </w:r>
      <w:r>
        <w:rPr>
          <w:i/>
          <w:iCs/>
        </w:rPr>
        <w:t>Id.</w:t>
      </w:r>
      <w:r>
        <w:t xml:space="preserve"> at </w:t>
      </w:r>
      <w:r w:rsidR="00B40C0E">
        <w:t>32.</w:t>
      </w:r>
      <w:r w:rsidR="00B50709">
        <w:t xml:space="preserve">  </w:t>
      </w:r>
      <w:r w:rsidRPr="002E47F3" w:rsidR="006C351A">
        <w:rPr>
          <w:i/>
          <w:iCs/>
        </w:rPr>
        <w:t>See</w:t>
      </w:r>
      <w:r w:rsidR="002E47F3">
        <w:rPr>
          <w:i/>
          <w:iCs/>
        </w:rPr>
        <w:t xml:space="preserve"> also</w:t>
      </w:r>
      <w:r w:rsidR="006C351A">
        <w:t xml:space="preserve"> 47 CFR § 90.531(b)(5</w:t>
      </w:r>
      <w:r w:rsidR="002E47F3">
        <w:t xml:space="preserve">) (listing </w:t>
      </w:r>
      <w:r w:rsidR="00402630">
        <w:t xml:space="preserve">all </w:t>
      </w:r>
      <w:r w:rsidR="002E47F3">
        <w:t>State License channels</w:t>
      </w:r>
      <w:r w:rsidR="006C351A">
        <w:t xml:space="preserve">).   </w:t>
      </w:r>
      <w:r w:rsidR="00B40C0E">
        <w:t xml:space="preserve">  </w:t>
      </w:r>
    </w:p>
  </w:footnote>
  <w:footnote w:id="12">
    <w:p w:rsidR="00710AC0" w14:paraId="55695C08" w14:textId="4B4CB9ED">
      <w:pPr>
        <w:pStyle w:val="FootnoteText"/>
      </w:pPr>
      <w:r>
        <w:rPr>
          <w:rStyle w:val="FootnoteReference"/>
        </w:rPr>
        <w:footnoteRef/>
      </w:r>
      <w:r>
        <w:t xml:space="preserve"> Plan </w:t>
      </w:r>
      <w:r w:rsidR="00672A9D">
        <w:t>Amendment</w:t>
      </w:r>
      <w:r>
        <w:t xml:space="preserve"> at </w:t>
      </w:r>
      <w:r w:rsidR="00B50709">
        <w:t>42-44.</w:t>
      </w:r>
    </w:p>
  </w:footnote>
  <w:footnote w:id="13">
    <w:p w:rsidR="00120CFC" w:rsidRPr="00207F46" w14:paraId="001769D1" w14:textId="10384000">
      <w:pPr>
        <w:pStyle w:val="FootnoteText"/>
      </w:pPr>
      <w:r>
        <w:rPr>
          <w:rStyle w:val="FootnoteReference"/>
        </w:rPr>
        <w:footnoteRef/>
      </w:r>
      <w:r>
        <w:t xml:space="preserve"> </w:t>
      </w:r>
      <w:r w:rsidR="00691867">
        <w:rPr>
          <w:i/>
          <w:iCs/>
        </w:rPr>
        <w:t>Id.</w:t>
      </w:r>
      <w:r w:rsidR="00A369BD">
        <w:rPr>
          <w:i/>
          <w:iCs/>
        </w:rPr>
        <w:t xml:space="preserve">, </w:t>
      </w:r>
      <w:r w:rsidR="00691867">
        <w:t>Appendix D</w:t>
      </w:r>
      <w:r w:rsidR="00E539C6">
        <w:t xml:space="preserve"> at </w:t>
      </w:r>
      <w:r w:rsidR="00877128">
        <w:t>61-62</w:t>
      </w:r>
      <w:r w:rsidR="00691867">
        <w:t xml:space="preserve">. </w:t>
      </w:r>
      <w:r w:rsidR="00207F46">
        <w:t xml:space="preserve"> </w:t>
      </w:r>
      <w:r w:rsidRPr="002E47F3" w:rsidR="00207F46">
        <w:rPr>
          <w:i/>
          <w:iCs/>
        </w:rPr>
        <w:t>See</w:t>
      </w:r>
      <w:r w:rsidR="00207F46">
        <w:rPr>
          <w:i/>
          <w:iCs/>
        </w:rPr>
        <w:t xml:space="preserve"> also</w:t>
      </w:r>
      <w:r w:rsidR="00207F46">
        <w:t xml:space="preserve"> 47 CFR § 90.531(b)(</w:t>
      </w:r>
      <w:r w:rsidR="00902E5D">
        <w:t>2),</w:t>
      </w:r>
      <w:r w:rsidR="002921D6">
        <w:t xml:space="preserve"> (b)(7)</w:t>
      </w:r>
      <w:r w:rsidR="00402630">
        <w:t xml:space="preserve"> </w:t>
      </w:r>
      <w:r w:rsidR="00056490">
        <w:t>(listing all Air-to-Ground and former Reserve channels)</w:t>
      </w:r>
      <w:r w:rsidR="002921D6">
        <w:t xml:space="preserve">.  </w:t>
      </w:r>
    </w:p>
  </w:footnote>
  <w:footnote w:id="14">
    <w:p w:rsidR="002245CD" w:rsidP="006C25C4" w14:paraId="3EB61032" w14:textId="039DD959">
      <w:pPr>
        <w:pStyle w:val="FootnoteText"/>
      </w:pPr>
      <w:r>
        <w:rPr>
          <w:rStyle w:val="FootnoteReference"/>
        </w:rPr>
        <w:footnoteRef/>
      </w:r>
      <w:r>
        <w:t xml:space="preserve"> Plan Amendment</w:t>
      </w:r>
      <w:r w:rsidR="00FC3762">
        <w:t xml:space="preserve">, </w:t>
      </w:r>
      <w:r>
        <w:t>Appendix D</w:t>
      </w:r>
      <w:r w:rsidR="00BB4E5C">
        <w:t xml:space="preserve"> at 64, </w:t>
      </w:r>
      <w:r w:rsidR="004F1B31">
        <w:t xml:space="preserve">65, </w:t>
      </w:r>
      <w:r w:rsidR="001D2566">
        <w:t>66, 67</w:t>
      </w:r>
      <w:r w:rsidR="00FA64B0">
        <w:t>, 92,</w:t>
      </w:r>
      <w:r w:rsidR="00841978">
        <w:t xml:space="preserve"> and</w:t>
      </w:r>
      <w:r w:rsidR="00FA64B0">
        <w:t xml:space="preserve"> 94</w:t>
      </w:r>
      <w:r w:rsidR="00065EC7">
        <w:t>.</w:t>
      </w:r>
      <w:r w:rsidR="005E3029">
        <w:t xml:space="preserve">  The deployable trunked channels coincide with recommendations from</w:t>
      </w:r>
      <w:r w:rsidR="00222120">
        <w:t xml:space="preserve"> National Public Safety Telecommunications Council and the National Regional Planning Council</w:t>
      </w:r>
      <w:r w:rsidR="00830C11">
        <w:t xml:space="preserve">.  </w:t>
      </w:r>
      <w:r w:rsidR="00830C11">
        <w:rPr>
          <w:i/>
          <w:iCs/>
        </w:rPr>
        <w:t xml:space="preserve">See </w:t>
      </w:r>
      <w:r w:rsidRPr="006C25C4" w:rsidR="00E16D58">
        <w:rPr>
          <w:i/>
          <w:iCs/>
        </w:rPr>
        <w:t xml:space="preserve">Public Safety </w:t>
      </w:r>
      <w:r w:rsidR="00B02F14">
        <w:rPr>
          <w:i/>
          <w:iCs/>
        </w:rPr>
        <w:t>a</w:t>
      </w:r>
      <w:r w:rsidRPr="006C25C4" w:rsidR="00E16D58">
        <w:rPr>
          <w:i/>
          <w:iCs/>
        </w:rPr>
        <w:t>nd Homeland Security Bureau Approves Recommended</w:t>
      </w:r>
      <w:r w:rsidR="00E16D58">
        <w:rPr>
          <w:i/>
          <w:iCs/>
        </w:rPr>
        <w:t xml:space="preserve"> </w:t>
      </w:r>
      <w:r w:rsidRPr="006C25C4" w:rsidR="00E16D58">
        <w:rPr>
          <w:i/>
          <w:iCs/>
        </w:rPr>
        <w:t xml:space="preserve">Nationwide Channels </w:t>
      </w:r>
      <w:r w:rsidR="00CD6B7E">
        <w:rPr>
          <w:i/>
          <w:iCs/>
        </w:rPr>
        <w:t>f</w:t>
      </w:r>
      <w:r w:rsidRPr="006C25C4" w:rsidR="00E16D58">
        <w:rPr>
          <w:i/>
          <w:iCs/>
        </w:rPr>
        <w:t xml:space="preserve">or Deployable Trunked Systems </w:t>
      </w:r>
      <w:r w:rsidR="00E16D58">
        <w:rPr>
          <w:i/>
          <w:iCs/>
        </w:rPr>
        <w:t>i</w:t>
      </w:r>
      <w:r w:rsidRPr="006C25C4" w:rsidR="00E16D58">
        <w:rPr>
          <w:i/>
          <w:iCs/>
        </w:rPr>
        <w:t xml:space="preserve">n </w:t>
      </w:r>
      <w:r w:rsidR="00E16D58">
        <w:rPr>
          <w:i/>
          <w:iCs/>
        </w:rPr>
        <w:t>t</w:t>
      </w:r>
      <w:r w:rsidRPr="006C25C4" w:rsidR="00E16D58">
        <w:rPr>
          <w:i/>
          <w:iCs/>
        </w:rPr>
        <w:t>he 700 M</w:t>
      </w:r>
      <w:r w:rsidR="00E16D58">
        <w:rPr>
          <w:i/>
          <w:iCs/>
        </w:rPr>
        <w:t>H</w:t>
      </w:r>
      <w:r w:rsidRPr="006C25C4" w:rsidR="00E16D58">
        <w:rPr>
          <w:i/>
          <w:iCs/>
        </w:rPr>
        <w:t>z</w:t>
      </w:r>
      <w:r w:rsidR="00E16D58">
        <w:rPr>
          <w:i/>
          <w:iCs/>
        </w:rPr>
        <w:t xml:space="preserve"> </w:t>
      </w:r>
      <w:r w:rsidRPr="006C25C4" w:rsidR="00E16D58">
        <w:rPr>
          <w:i/>
          <w:iCs/>
        </w:rPr>
        <w:t>Narrowband Public Safety Band</w:t>
      </w:r>
      <w:r w:rsidR="00E16D58">
        <w:t xml:space="preserve">, Public Notice, </w:t>
      </w:r>
      <w:r w:rsidR="00E079E9">
        <w:t xml:space="preserve">WT </w:t>
      </w:r>
      <w:r w:rsidR="007F4F40">
        <w:t xml:space="preserve">Docket </w:t>
      </w:r>
      <w:r w:rsidR="00E079E9">
        <w:t>02-</w:t>
      </w:r>
      <w:r w:rsidR="008205B7">
        <w:t xml:space="preserve">378, </w:t>
      </w:r>
      <w:r w:rsidRPr="00181F5B" w:rsidR="00181F5B">
        <w:t xml:space="preserve">30 FCC </w:t>
      </w:r>
      <w:r w:rsidRPr="00181F5B" w:rsidR="00181F5B">
        <w:t>Rcd</w:t>
      </w:r>
      <w:r w:rsidRPr="00181F5B" w:rsidR="00181F5B">
        <w:t xml:space="preserve"> 3723</w:t>
      </w:r>
      <w:r w:rsidR="004C186A">
        <w:t xml:space="preserve"> </w:t>
      </w:r>
      <w:r w:rsidR="008205B7">
        <w:t>(PSHSB 2015).</w:t>
      </w:r>
      <w:r w:rsidR="00E16D58">
        <w:t xml:space="preserve"> </w:t>
      </w:r>
    </w:p>
  </w:footnote>
  <w:footnote w:id="15">
    <w:p w:rsidR="006905A5" w14:paraId="2F98E2CB" w14:textId="2CC37295">
      <w:pPr>
        <w:pStyle w:val="FootnoteText"/>
      </w:pPr>
      <w:r>
        <w:rPr>
          <w:rStyle w:val="FootnoteReference"/>
        </w:rPr>
        <w:footnoteRef/>
      </w:r>
      <w:r>
        <w:t xml:space="preserve"> </w:t>
      </w:r>
      <w:r w:rsidR="00B6338C">
        <w:t>Plan Amendment at 9.</w:t>
      </w:r>
    </w:p>
  </w:footnote>
  <w:footnote w:id="16">
    <w:p w:rsidR="00F63B78" w:rsidP="00F63B78" w14:paraId="6A861977" w14:textId="70774A08">
      <w:pPr>
        <w:pStyle w:val="FootnoteText"/>
      </w:pPr>
      <w:r>
        <w:rPr>
          <w:rStyle w:val="FootnoteReference"/>
        </w:rPr>
        <w:footnoteRef/>
      </w:r>
      <w:r w:rsidR="005145D5">
        <w:rPr>
          <w:i/>
          <w:iCs/>
        </w:rPr>
        <w:t xml:space="preserve"> </w:t>
      </w:r>
      <w:r w:rsidRPr="005145D5">
        <w:rPr>
          <w:i/>
          <w:iCs/>
        </w:rPr>
        <w:t xml:space="preserve">See </w:t>
      </w:r>
      <w:r w:rsidRPr="005145D5">
        <w:t xml:space="preserve">Letter from Richard E. </w:t>
      </w:r>
      <w:r w:rsidRPr="005145D5">
        <w:t>Ranson</w:t>
      </w:r>
      <w:r w:rsidRPr="005145D5">
        <w:t xml:space="preserve">, Chairman Region 1, to Region 39 RPC, PR Docket No. 93-58 (Dec. 22, 2020); Letter from David Baker, Chairman Region 4, to Region 39 RPC, PR Docket No. 93-58 (Oct. 19, 2020); Letter from Ralph Bevan, Chairman Region 10, to Region 39 RPC, PR Docket No. 93-58 (Nov. 16, 2020); Letter from Michael B. Marshall, Vice Chairman Region 17, to John Johnson, Region 39 RPC, PR Docket No. 93-58 (Nov. 18, 2020); Letter from Tom Lariviere, MSRPFAC Region 23, to John Johnson, PR Docket No. 93-58 (Dec. 18, 2020); Letter from Scott Bigham, Chairman Region 24, to Region 39 RPC, PR Docket No. 93-58 (Oct. 21, 2020); Letter from Scott Smith, Chairman Region 31, to Region 39 RPC, PR Docket No. 93-58 (Nov. 17, 2020); Letter from Linn Skipper, Chairman Region 37, to Region 39 RPC, PR Docket No. 93-58 (Oct. 6, 2020); Letter from Rodney Thompson, Chairman Region 42, to Region 39 RPC, PR Docket No. 93-58 (Oct. 1, 2020); Letter from Dave </w:t>
      </w:r>
      <w:r w:rsidRPr="005145D5">
        <w:t>Saffel</w:t>
      </w:r>
      <w:r w:rsidRPr="005145D5">
        <w:t>, Chairman Region 44, to Region 39, 800 MHz RPC, PR Docket No. 93-58 (Nov. 16, 2020) (collectively filed Feb. 25, 2021 as an attachment to redline version of the Plan Amendment at 59-68</w:t>
      </w:r>
      <w:r>
        <w:t xml:space="preserve">).     </w:t>
      </w:r>
    </w:p>
  </w:footnote>
  <w:footnote w:id="17">
    <w:p w:rsidR="000E6E13" w:rsidP="000E6E13" w14:paraId="23BD8143" w14:textId="77777777">
      <w:pPr>
        <w:pStyle w:val="FootnoteText"/>
      </w:pPr>
      <w:r w:rsidRPr="00713474">
        <w:rPr>
          <w:rStyle w:val="FootnoteReference"/>
        </w:rPr>
        <w:footnoteRef/>
      </w:r>
      <w:r w:rsidRPr="00713474">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713474">
        <w:rPr>
          <w:i/>
          <w:iCs/>
        </w:rPr>
        <w:t xml:space="preserve">  FCC Announces Closure of FCC Headquarters Open Window and Change in Hand-Delivery Filing</w:t>
      </w:r>
      <w:r w:rsidRPr="00713474">
        <w:t>,</w:t>
      </w:r>
      <w:r w:rsidRPr="00713474">
        <w:rPr>
          <w:i/>
          <w:iCs/>
        </w:rPr>
        <w:t xml:space="preserve"> </w:t>
      </w:r>
      <w:r w:rsidRPr="00713474">
        <w:t>Public Notice, DA 20-304 (rel. Mar. 19,</w:t>
      </w:r>
      <w:r>
        <w:t xml:space="preserve"> </w:t>
      </w:r>
      <w:r w:rsidRPr="00713474">
        <w:t xml:space="preserve">2020).  </w:t>
      </w:r>
      <w:hyperlink r:id="rId1" w:history="1">
        <w:r w:rsidRPr="00796EC2">
          <w:rPr>
            <w:rStyle w:val="Hyperlink"/>
            <w:bdr w:val="none" w:sz="0" w:space="0" w:color="auto" w:frame="1"/>
            <w:shd w:val="clear" w:color="auto" w:fill="FFFFFF"/>
          </w:rPr>
          <w:t>https://www.fcc.gov/document/fcc-closes-headquarters-open-window-and-changes-hand-delivery-policy</w:t>
        </w:r>
      </w:hyperlink>
      <w:r w:rsidRPr="00713474">
        <w:t>.</w:t>
      </w:r>
      <w:r w:rsidRPr="00713474">
        <w:rPr>
          <w:color w:val="201F1E"/>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1EC4E009" w14:textId="135F004A">
    <w:pPr>
      <w:tabs>
        <w:tab w:val="center" w:pos="4680"/>
        <w:tab w:val="right" w:pos="9360"/>
      </w:tabs>
    </w:pPr>
    <w:r>
      <w:rPr>
        <w:b/>
      </w:rPr>
      <w:tab/>
      <w:t>Federal Communications Commission</w:t>
    </w:r>
    <w:r>
      <w:rPr>
        <w:b/>
      </w:rPr>
      <w:tab/>
    </w:r>
    <w:r w:rsidR="008762BB">
      <w:rPr>
        <w:b/>
      </w:rPr>
      <w:t xml:space="preserve">DA </w:t>
    </w:r>
    <w:r w:rsidRPr="00603558" w:rsidR="00603558">
      <w:rPr>
        <w:b/>
      </w:rPr>
      <w:t>2</w:t>
    </w:r>
    <w:r w:rsidR="000B71EB">
      <w:rPr>
        <w:b/>
      </w:rPr>
      <w:t>3</w:t>
    </w:r>
    <w:r w:rsidRPr="00603558" w:rsidR="00603558">
      <w:rPr>
        <w:b/>
      </w:rPr>
      <w:t>-</w:t>
    </w:r>
    <w:r w:rsidRPr="005058DD" w:rsidR="005058DD">
      <w:rPr>
        <w:b/>
      </w:rPr>
      <w:t>55</w:t>
    </w:r>
  </w:p>
  <w:p w:rsidR="00B6319F" w14:paraId="01D38AF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6319F" w14:paraId="2B8618F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15C7D94E"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rPr>
                              <w:rFonts w:ascii="Arial" w:hAnsi="Arial"/>
                              <w:b/>
                            </w:rPr>
                          </w:pPr>
                          <w:r>
                            <w:rPr>
                              <w:rFonts w:ascii="Arial" w:hAnsi="Arial"/>
                              <w:b/>
                            </w:rPr>
                            <w:t>Federal Communications Commission</w:t>
                          </w:r>
                        </w:p>
                        <w:p w:rsidR="00B6319F" w14:textId="77777777">
                          <w:pPr>
                            <w:rPr>
                              <w:rFonts w:ascii="Arial" w:hAnsi="Arial"/>
                              <w:b/>
                            </w:rPr>
                          </w:pPr>
                          <w:r>
                            <w:rPr>
                              <w:rFonts w:ascii="Arial" w:hAnsi="Arial"/>
                              <w:b/>
                            </w:rPr>
                            <w:t>45 L St., N.E.</w:t>
                          </w:r>
                        </w:p>
                        <w:p w:rsidR="00B6319F"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B6319F" w14:paraId="31603099" w14:textId="77777777">
                    <w:pPr>
                      <w:rPr>
                        <w:rFonts w:ascii="Arial" w:hAnsi="Arial"/>
                        <w:b/>
                      </w:rPr>
                    </w:pPr>
                    <w:r>
                      <w:rPr>
                        <w:rFonts w:ascii="Arial" w:hAnsi="Arial"/>
                        <w:b/>
                      </w:rPr>
                      <w:t>Federal Communications Commission</w:t>
                    </w:r>
                  </w:p>
                  <w:p w:rsidR="00B6319F" w14:paraId="52352A62" w14:textId="77777777">
                    <w:pPr>
                      <w:rPr>
                        <w:rFonts w:ascii="Arial" w:hAnsi="Arial"/>
                        <w:b/>
                      </w:rPr>
                    </w:pPr>
                    <w:r>
                      <w:rPr>
                        <w:rFonts w:ascii="Arial" w:hAnsi="Arial"/>
                        <w:b/>
                      </w:rPr>
                      <w:t>45 L St., N.E.</w:t>
                    </w:r>
                  </w:p>
                  <w:p w:rsidR="00B6319F" w14:paraId="5CA7D268" w14:textId="77777777">
                    <w:pPr>
                      <w:rPr>
                        <w:rFonts w:ascii="Arial" w:hAnsi="Arial"/>
                        <w:sz w:val="24"/>
                      </w:rPr>
                    </w:pPr>
                    <w:r>
                      <w:rPr>
                        <w:rFonts w:ascii="Arial" w:hAnsi="Arial"/>
                        <w:b/>
                      </w:rPr>
                      <w:t>Washington, D.C. 20554</w:t>
                    </w:r>
                  </w:p>
                </w:txbxContent>
              </v:textbox>
              <w10:wrap anchorx="margin"/>
            </v:shape>
          </w:pict>
        </mc:Fallback>
      </mc:AlternateContent>
    </w:r>
    <w:r>
      <w:rPr>
        <w:rFonts w:ascii="Arial" w:hAnsi="Arial" w:cs="Arial"/>
        <w:b/>
        <w:sz w:val="96"/>
      </w:rPr>
      <w:t>PUBLIC NOTICE</w:t>
    </w:r>
  </w:p>
  <w:p w:rsidR="00B6319F" w14:paraId="2EE84600"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spacing w:before="40"/>
                            <w:jc w:val="right"/>
                            <w:rPr>
                              <w:rFonts w:ascii="Arial" w:hAnsi="Arial"/>
                              <w:b/>
                              <w:sz w:val="16"/>
                            </w:rPr>
                          </w:pPr>
                          <w:r>
                            <w:rPr>
                              <w:rFonts w:ascii="Arial" w:hAnsi="Arial"/>
                              <w:b/>
                              <w:sz w:val="16"/>
                            </w:rPr>
                            <w:t>News Media Information 202 / 418-0500</w:t>
                          </w:r>
                        </w:p>
                        <w:p w:rsidR="00B6319F" w14:textId="77777777">
                          <w:pPr>
                            <w:jc w:val="right"/>
                            <w:rPr>
                              <w:rFonts w:ascii="Arial" w:hAnsi="Arial"/>
                              <w:b/>
                              <w:sz w:val="16"/>
                            </w:rPr>
                          </w:pPr>
                          <w:r>
                            <w:rPr>
                              <w:rFonts w:ascii="Arial" w:hAnsi="Arial"/>
                              <w:b/>
                              <w:sz w:val="16"/>
                            </w:rPr>
                            <w:t xml:space="preserve">Internet: </w:t>
                          </w:r>
                          <w:bookmarkStart w:id="0" w:name="_Hlt233824"/>
                          <w:hyperlink r:id="rId2" w:history="1">
                            <w:r>
                              <w:rPr>
                                <w:rStyle w:val="Hyperlink"/>
                                <w:rFonts w:ascii="Arial" w:hAnsi="Arial"/>
                                <w:b/>
                                <w:sz w:val="16"/>
                              </w:rPr>
                              <w:t>h</w:t>
                            </w:r>
                            <w:bookmarkEnd w:id="0"/>
                            <w:r>
                              <w:rPr>
                                <w:rStyle w:val="Hyperlink"/>
                                <w:rFonts w:ascii="Arial" w:hAnsi="Arial"/>
                                <w:b/>
                                <w:sz w:val="16"/>
                              </w:rPr>
                              <w:t>ttps://www.fcc.gov</w:t>
                            </w:r>
                          </w:hyperlink>
                        </w:p>
                        <w:p w:rsidR="00B6319F"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B6319F" w14:paraId="04A92D6F" w14:textId="77777777">
                    <w:pPr>
                      <w:spacing w:before="40"/>
                      <w:jc w:val="right"/>
                      <w:rPr>
                        <w:rFonts w:ascii="Arial" w:hAnsi="Arial"/>
                        <w:b/>
                        <w:sz w:val="16"/>
                      </w:rPr>
                    </w:pPr>
                    <w:r>
                      <w:rPr>
                        <w:rFonts w:ascii="Arial" w:hAnsi="Arial"/>
                        <w:b/>
                        <w:sz w:val="16"/>
                      </w:rPr>
                      <w:t>News Media Information 202 / 418-0500</w:t>
                    </w:r>
                  </w:p>
                  <w:p w:rsidR="00B6319F" w14:paraId="69409FAA" w14:textId="77777777">
                    <w:pPr>
                      <w:jc w:val="right"/>
                      <w:rPr>
                        <w:rFonts w:ascii="Arial" w:hAnsi="Arial"/>
                        <w:b/>
                        <w:sz w:val="16"/>
                      </w:rPr>
                    </w:pPr>
                    <w:r>
                      <w:rPr>
                        <w:rFonts w:ascii="Arial" w:hAnsi="Arial"/>
                        <w:b/>
                        <w:sz w:val="16"/>
                      </w:rPr>
                      <w:t xml:space="preserve">Internet: </w:t>
                    </w:r>
                    <w:bookmarkStart w:id="0" w:name="_Hlt233824"/>
                    <w:hyperlink r:id="rId2" w:history="1">
                      <w:r>
                        <w:rPr>
                          <w:rStyle w:val="Hyperlink"/>
                          <w:rFonts w:ascii="Arial" w:hAnsi="Arial"/>
                          <w:b/>
                          <w:sz w:val="16"/>
                        </w:rPr>
                        <w:t>h</w:t>
                      </w:r>
                      <w:bookmarkEnd w:id="0"/>
                      <w:r>
                        <w:rPr>
                          <w:rStyle w:val="Hyperlink"/>
                          <w:rFonts w:ascii="Arial" w:hAnsi="Arial"/>
                          <w:b/>
                          <w:sz w:val="16"/>
                        </w:rPr>
                        <w:t>ttps://www.fcc.gov</w:t>
                      </w:r>
                    </w:hyperlink>
                  </w:p>
                  <w:p w:rsidR="00B6319F" w14:paraId="6F3A1A44" w14:textId="77777777">
                    <w:pPr>
                      <w:jc w:val="right"/>
                    </w:pPr>
                    <w:r>
                      <w:rPr>
                        <w:rFonts w:ascii="Arial" w:hAnsi="Arial"/>
                        <w:b/>
                        <w:sz w:val="16"/>
                      </w:rPr>
                      <w:t>TTY: 1-888-835-5322</w:t>
                    </w:r>
                  </w:p>
                </w:txbxContent>
              </v:textbox>
            </v:shape>
          </w:pict>
        </mc:Fallback>
      </mc:AlternateContent>
    </w:r>
  </w:p>
  <w:p w:rsidR="00B6319F" w14:paraId="1FD23E7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16BEBB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5635CCB"/>
    <w:multiLevelType w:val="hybridMultilevel"/>
    <w:tmpl w:val="F3F0F20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DB92660"/>
    <w:multiLevelType w:val="hybridMultilevel"/>
    <w:tmpl w:val="CD8620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F584B41"/>
    <w:multiLevelType w:val="hybridMultilevel"/>
    <w:tmpl w:val="8A322A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1E65DA7"/>
    <w:multiLevelType w:val="hybridMultilevel"/>
    <w:tmpl w:val="4EA6AD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FAD5740"/>
    <w:multiLevelType w:val="hybridMultilevel"/>
    <w:tmpl w:val="07A815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5370266C"/>
    <w:multiLevelType w:val="hybridMultilevel"/>
    <w:tmpl w:val="48845B62"/>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54353E71"/>
    <w:multiLevelType w:val="hybridMultilevel"/>
    <w:tmpl w:val="6A3C09A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575817F1"/>
    <w:multiLevelType w:val="hybridMultilevel"/>
    <w:tmpl w:val="581A4760"/>
    <w:lvl w:ilvl="0">
      <w:start w:val="1"/>
      <w:numFmt w:val="bullet"/>
      <w:lvlText w:val=""/>
      <w:lvlJc w:val="left"/>
      <w:pPr>
        <w:ind w:left="1494" w:hanging="360"/>
      </w:pPr>
      <w:rPr>
        <w:rFonts w:ascii="Symbol" w:hAnsi="Symbol" w:hint="default"/>
      </w:rPr>
    </w:lvl>
    <w:lvl w:ilvl="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7">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DEE0C70"/>
    <w:multiLevelType w:val="hybridMultilevel"/>
    <w:tmpl w:val="09C40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11"/>
  </w:num>
  <w:num w:numId="5">
    <w:abstractNumId w:val="5"/>
  </w:num>
  <w:num w:numId="6">
    <w:abstractNumId w:val="2"/>
  </w:num>
  <w:num w:numId="7">
    <w:abstractNumId w:val="0"/>
  </w:num>
  <w:num w:numId="8">
    <w:abstractNumId w:val="7"/>
  </w:num>
  <w:num w:numId="9">
    <w:abstractNumId w:val="18"/>
  </w:num>
  <w:num w:numId="10">
    <w:abstractNumId w:val="14"/>
  </w:num>
  <w:num w:numId="11">
    <w:abstractNumId w:val="10"/>
  </w:num>
  <w:num w:numId="12">
    <w:abstractNumId w:val="9"/>
  </w:num>
  <w:num w:numId="13">
    <w:abstractNumId w:val="1"/>
  </w:num>
  <w:num w:numId="14">
    <w:abstractNumId w:val="15"/>
  </w:num>
  <w:num w:numId="15">
    <w:abstractNumId w:val="13"/>
  </w:num>
  <w:num w:numId="16">
    <w:abstractNumId w:val="8"/>
  </w:num>
  <w:num w:numId="17">
    <w:abstractNumId w:val="3"/>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9F"/>
    <w:rsid w:val="00000EBA"/>
    <w:rsid w:val="000017C3"/>
    <w:rsid w:val="00003CD1"/>
    <w:rsid w:val="00010EF7"/>
    <w:rsid w:val="00013E86"/>
    <w:rsid w:val="00023FC4"/>
    <w:rsid w:val="00024558"/>
    <w:rsid w:val="0002455C"/>
    <w:rsid w:val="00025F1C"/>
    <w:rsid w:val="00026646"/>
    <w:rsid w:val="00033C64"/>
    <w:rsid w:val="00034988"/>
    <w:rsid w:val="0003504B"/>
    <w:rsid w:val="00037279"/>
    <w:rsid w:val="0003781A"/>
    <w:rsid w:val="00037C88"/>
    <w:rsid w:val="00037FD6"/>
    <w:rsid w:val="0004103E"/>
    <w:rsid w:val="00043034"/>
    <w:rsid w:val="00050DB0"/>
    <w:rsid w:val="00052A75"/>
    <w:rsid w:val="00056490"/>
    <w:rsid w:val="00056F2F"/>
    <w:rsid w:val="00063096"/>
    <w:rsid w:val="00063623"/>
    <w:rsid w:val="00063DD5"/>
    <w:rsid w:val="00063E3B"/>
    <w:rsid w:val="00065EC7"/>
    <w:rsid w:val="000668AE"/>
    <w:rsid w:val="00067D4C"/>
    <w:rsid w:val="000701FC"/>
    <w:rsid w:val="000734F3"/>
    <w:rsid w:val="000751C4"/>
    <w:rsid w:val="000770A8"/>
    <w:rsid w:val="00080067"/>
    <w:rsid w:val="000822CC"/>
    <w:rsid w:val="00084959"/>
    <w:rsid w:val="00086071"/>
    <w:rsid w:val="00087CEA"/>
    <w:rsid w:val="000931B3"/>
    <w:rsid w:val="0009509A"/>
    <w:rsid w:val="000A3D24"/>
    <w:rsid w:val="000A4ECC"/>
    <w:rsid w:val="000B0079"/>
    <w:rsid w:val="000B2AC8"/>
    <w:rsid w:val="000B3110"/>
    <w:rsid w:val="000B4089"/>
    <w:rsid w:val="000B4B09"/>
    <w:rsid w:val="000B71EB"/>
    <w:rsid w:val="000C3378"/>
    <w:rsid w:val="000C4B1B"/>
    <w:rsid w:val="000C5C4E"/>
    <w:rsid w:val="000C61E2"/>
    <w:rsid w:val="000D195F"/>
    <w:rsid w:val="000D24C0"/>
    <w:rsid w:val="000D34CC"/>
    <w:rsid w:val="000D354B"/>
    <w:rsid w:val="000D5990"/>
    <w:rsid w:val="000E111A"/>
    <w:rsid w:val="000E46B8"/>
    <w:rsid w:val="000E6704"/>
    <w:rsid w:val="000E6D9C"/>
    <w:rsid w:val="000E6E13"/>
    <w:rsid w:val="000F1439"/>
    <w:rsid w:val="000F3E9E"/>
    <w:rsid w:val="00100EAB"/>
    <w:rsid w:val="001039CC"/>
    <w:rsid w:val="00104009"/>
    <w:rsid w:val="001112E5"/>
    <w:rsid w:val="00111A85"/>
    <w:rsid w:val="001137C3"/>
    <w:rsid w:val="0012032D"/>
    <w:rsid w:val="00120CFC"/>
    <w:rsid w:val="00127720"/>
    <w:rsid w:val="0013010A"/>
    <w:rsid w:val="0014126B"/>
    <w:rsid w:val="001474F6"/>
    <w:rsid w:val="00147C75"/>
    <w:rsid w:val="001501E4"/>
    <w:rsid w:val="001541F7"/>
    <w:rsid w:val="00156A1D"/>
    <w:rsid w:val="00157565"/>
    <w:rsid w:val="00157C59"/>
    <w:rsid w:val="001628C6"/>
    <w:rsid w:val="00164DE9"/>
    <w:rsid w:val="00167C88"/>
    <w:rsid w:val="00173F0F"/>
    <w:rsid w:val="001815A3"/>
    <w:rsid w:val="00181F5B"/>
    <w:rsid w:val="00184ECF"/>
    <w:rsid w:val="00187770"/>
    <w:rsid w:val="001919D3"/>
    <w:rsid w:val="00192636"/>
    <w:rsid w:val="0019275C"/>
    <w:rsid w:val="00192DE3"/>
    <w:rsid w:val="00195270"/>
    <w:rsid w:val="0019574E"/>
    <w:rsid w:val="001A2191"/>
    <w:rsid w:val="001A530E"/>
    <w:rsid w:val="001A549B"/>
    <w:rsid w:val="001A6431"/>
    <w:rsid w:val="001A7411"/>
    <w:rsid w:val="001B0C1D"/>
    <w:rsid w:val="001B0F09"/>
    <w:rsid w:val="001B1EF4"/>
    <w:rsid w:val="001B3927"/>
    <w:rsid w:val="001B707B"/>
    <w:rsid w:val="001C32B8"/>
    <w:rsid w:val="001C5518"/>
    <w:rsid w:val="001D1C74"/>
    <w:rsid w:val="001D2566"/>
    <w:rsid w:val="001D5890"/>
    <w:rsid w:val="001D613D"/>
    <w:rsid w:val="001E202F"/>
    <w:rsid w:val="001E2E0A"/>
    <w:rsid w:val="001E7251"/>
    <w:rsid w:val="001F3DDC"/>
    <w:rsid w:val="001F667F"/>
    <w:rsid w:val="002052B0"/>
    <w:rsid w:val="00205576"/>
    <w:rsid w:val="00206E2F"/>
    <w:rsid w:val="00207F46"/>
    <w:rsid w:val="0021628B"/>
    <w:rsid w:val="0021757A"/>
    <w:rsid w:val="00222120"/>
    <w:rsid w:val="002224C8"/>
    <w:rsid w:val="00223B9E"/>
    <w:rsid w:val="002245CD"/>
    <w:rsid w:val="00233684"/>
    <w:rsid w:val="002337D0"/>
    <w:rsid w:val="00240304"/>
    <w:rsid w:val="00241274"/>
    <w:rsid w:val="002435B9"/>
    <w:rsid w:val="002442C6"/>
    <w:rsid w:val="00261B2B"/>
    <w:rsid w:val="002673E5"/>
    <w:rsid w:val="00272918"/>
    <w:rsid w:val="00274627"/>
    <w:rsid w:val="0028222B"/>
    <w:rsid w:val="0028648A"/>
    <w:rsid w:val="0028654B"/>
    <w:rsid w:val="002921D6"/>
    <w:rsid w:val="00293EEC"/>
    <w:rsid w:val="00294BE8"/>
    <w:rsid w:val="00296267"/>
    <w:rsid w:val="002A0C49"/>
    <w:rsid w:val="002A154C"/>
    <w:rsid w:val="002B1019"/>
    <w:rsid w:val="002B526E"/>
    <w:rsid w:val="002B5F2B"/>
    <w:rsid w:val="002C53F3"/>
    <w:rsid w:val="002C7649"/>
    <w:rsid w:val="002D0598"/>
    <w:rsid w:val="002E266D"/>
    <w:rsid w:val="002E47F3"/>
    <w:rsid w:val="002E6741"/>
    <w:rsid w:val="002E7084"/>
    <w:rsid w:val="002F12FC"/>
    <w:rsid w:val="002F5070"/>
    <w:rsid w:val="002F52CF"/>
    <w:rsid w:val="002F57D1"/>
    <w:rsid w:val="002F5AF9"/>
    <w:rsid w:val="00302AD7"/>
    <w:rsid w:val="003042BD"/>
    <w:rsid w:val="003050BD"/>
    <w:rsid w:val="00313F54"/>
    <w:rsid w:val="0032021B"/>
    <w:rsid w:val="003202F1"/>
    <w:rsid w:val="00327A6D"/>
    <w:rsid w:val="00335006"/>
    <w:rsid w:val="00337BDC"/>
    <w:rsid w:val="00342549"/>
    <w:rsid w:val="00344F08"/>
    <w:rsid w:val="00345E94"/>
    <w:rsid w:val="00350BDD"/>
    <w:rsid w:val="00356FD1"/>
    <w:rsid w:val="00365690"/>
    <w:rsid w:val="00366960"/>
    <w:rsid w:val="0037004B"/>
    <w:rsid w:val="00374B97"/>
    <w:rsid w:val="00374FE4"/>
    <w:rsid w:val="003809CA"/>
    <w:rsid w:val="003812F8"/>
    <w:rsid w:val="00385D84"/>
    <w:rsid w:val="00386ACE"/>
    <w:rsid w:val="003909D3"/>
    <w:rsid w:val="003945F8"/>
    <w:rsid w:val="003949DC"/>
    <w:rsid w:val="003A32D7"/>
    <w:rsid w:val="003A3D08"/>
    <w:rsid w:val="003B018E"/>
    <w:rsid w:val="003B3E54"/>
    <w:rsid w:val="003B5D5A"/>
    <w:rsid w:val="003B697A"/>
    <w:rsid w:val="003B6D1D"/>
    <w:rsid w:val="003C0E6A"/>
    <w:rsid w:val="003C4986"/>
    <w:rsid w:val="003C4FE2"/>
    <w:rsid w:val="003C5AA9"/>
    <w:rsid w:val="003D2495"/>
    <w:rsid w:val="003D478D"/>
    <w:rsid w:val="003E71CD"/>
    <w:rsid w:val="003E7424"/>
    <w:rsid w:val="003E75C7"/>
    <w:rsid w:val="003E7995"/>
    <w:rsid w:val="003F0C03"/>
    <w:rsid w:val="003F4B2F"/>
    <w:rsid w:val="00402630"/>
    <w:rsid w:val="00403077"/>
    <w:rsid w:val="004064EF"/>
    <w:rsid w:val="004074E3"/>
    <w:rsid w:val="00410A11"/>
    <w:rsid w:val="00411F4F"/>
    <w:rsid w:val="004207C3"/>
    <w:rsid w:val="00422ECF"/>
    <w:rsid w:val="00432310"/>
    <w:rsid w:val="00432FA8"/>
    <w:rsid w:val="004332E8"/>
    <w:rsid w:val="00434170"/>
    <w:rsid w:val="00435623"/>
    <w:rsid w:val="00436405"/>
    <w:rsid w:val="00436556"/>
    <w:rsid w:val="00436642"/>
    <w:rsid w:val="004543A6"/>
    <w:rsid w:val="00455722"/>
    <w:rsid w:val="004643F2"/>
    <w:rsid w:val="00476D27"/>
    <w:rsid w:val="00487385"/>
    <w:rsid w:val="0049112D"/>
    <w:rsid w:val="00492583"/>
    <w:rsid w:val="0049341F"/>
    <w:rsid w:val="004A1E04"/>
    <w:rsid w:val="004A3DE1"/>
    <w:rsid w:val="004B4E56"/>
    <w:rsid w:val="004B6E41"/>
    <w:rsid w:val="004B74EE"/>
    <w:rsid w:val="004C186A"/>
    <w:rsid w:val="004C2CAE"/>
    <w:rsid w:val="004C559C"/>
    <w:rsid w:val="004D0F5C"/>
    <w:rsid w:val="004D194A"/>
    <w:rsid w:val="004D4464"/>
    <w:rsid w:val="004D68B9"/>
    <w:rsid w:val="004E0D7F"/>
    <w:rsid w:val="004E37D4"/>
    <w:rsid w:val="004E4541"/>
    <w:rsid w:val="004E48BE"/>
    <w:rsid w:val="004E49B6"/>
    <w:rsid w:val="004F0A64"/>
    <w:rsid w:val="004F0AC7"/>
    <w:rsid w:val="004F1B31"/>
    <w:rsid w:val="004F4E26"/>
    <w:rsid w:val="004F6816"/>
    <w:rsid w:val="00500E06"/>
    <w:rsid w:val="005058DD"/>
    <w:rsid w:val="00507A70"/>
    <w:rsid w:val="005145D5"/>
    <w:rsid w:val="00514D84"/>
    <w:rsid w:val="0052051B"/>
    <w:rsid w:val="005220F3"/>
    <w:rsid w:val="00526368"/>
    <w:rsid w:val="00530040"/>
    <w:rsid w:val="00532BED"/>
    <w:rsid w:val="00536B72"/>
    <w:rsid w:val="0054138D"/>
    <w:rsid w:val="00544F25"/>
    <w:rsid w:val="00545106"/>
    <w:rsid w:val="005500D1"/>
    <w:rsid w:val="0055248D"/>
    <w:rsid w:val="00553FBC"/>
    <w:rsid w:val="00556CA1"/>
    <w:rsid w:val="005611A1"/>
    <w:rsid w:val="0056181E"/>
    <w:rsid w:val="005659C4"/>
    <w:rsid w:val="00566402"/>
    <w:rsid w:val="0056661E"/>
    <w:rsid w:val="00576933"/>
    <w:rsid w:val="00583662"/>
    <w:rsid w:val="0058525D"/>
    <w:rsid w:val="00587E17"/>
    <w:rsid w:val="005A6172"/>
    <w:rsid w:val="005A6A89"/>
    <w:rsid w:val="005B0CDD"/>
    <w:rsid w:val="005B14B9"/>
    <w:rsid w:val="005B1A77"/>
    <w:rsid w:val="005B450A"/>
    <w:rsid w:val="005B6BA9"/>
    <w:rsid w:val="005B7FCF"/>
    <w:rsid w:val="005C2346"/>
    <w:rsid w:val="005D1B5B"/>
    <w:rsid w:val="005D2B4E"/>
    <w:rsid w:val="005D7679"/>
    <w:rsid w:val="005D7D67"/>
    <w:rsid w:val="005E3029"/>
    <w:rsid w:val="005E454F"/>
    <w:rsid w:val="005E5351"/>
    <w:rsid w:val="005F074E"/>
    <w:rsid w:val="005F4125"/>
    <w:rsid w:val="005F7D5D"/>
    <w:rsid w:val="00602FB7"/>
    <w:rsid w:val="006033FF"/>
    <w:rsid w:val="00603558"/>
    <w:rsid w:val="00615045"/>
    <w:rsid w:val="00620061"/>
    <w:rsid w:val="00620524"/>
    <w:rsid w:val="00621795"/>
    <w:rsid w:val="00630049"/>
    <w:rsid w:val="006300CB"/>
    <w:rsid w:val="00634326"/>
    <w:rsid w:val="00634695"/>
    <w:rsid w:val="006367EC"/>
    <w:rsid w:val="00636F7F"/>
    <w:rsid w:val="00637EA5"/>
    <w:rsid w:val="00644548"/>
    <w:rsid w:val="00646F25"/>
    <w:rsid w:val="00656DEA"/>
    <w:rsid w:val="006579FC"/>
    <w:rsid w:val="0066669E"/>
    <w:rsid w:val="00672A9D"/>
    <w:rsid w:val="006737FA"/>
    <w:rsid w:val="0067698C"/>
    <w:rsid w:val="00681DEC"/>
    <w:rsid w:val="00684FFC"/>
    <w:rsid w:val="00687AE3"/>
    <w:rsid w:val="006905A5"/>
    <w:rsid w:val="00691867"/>
    <w:rsid w:val="0069349D"/>
    <w:rsid w:val="00693926"/>
    <w:rsid w:val="0069416D"/>
    <w:rsid w:val="006965E4"/>
    <w:rsid w:val="006A0503"/>
    <w:rsid w:val="006A1C57"/>
    <w:rsid w:val="006A2D38"/>
    <w:rsid w:val="006B6EB4"/>
    <w:rsid w:val="006C25C4"/>
    <w:rsid w:val="006C351A"/>
    <w:rsid w:val="006C6FD4"/>
    <w:rsid w:val="006D4BFD"/>
    <w:rsid w:val="006D5E52"/>
    <w:rsid w:val="006D6691"/>
    <w:rsid w:val="006E04BC"/>
    <w:rsid w:val="006E098A"/>
    <w:rsid w:val="006E1054"/>
    <w:rsid w:val="006E15CF"/>
    <w:rsid w:val="006E210A"/>
    <w:rsid w:val="006E274C"/>
    <w:rsid w:val="006E68E3"/>
    <w:rsid w:val="006F048A"/>
    <w:rsid w:val="006F2C1A"/>
    <w:rsid w:val="006F7960"/>
    <w:rsid w:val="006F7BBD"/>
    <w:rsid w:val="00700A2C"/>
    <w:rsid w:val="00701329"/>
    <w:rsid w:val="007015B0"/>
    <w:rsid w:val="00701AEB"/>
    <w:rsid w:val="00702187"/>
    <w:rsid w:val="00703123"/>
    <w:rsid w:val="00710AC0"/>
    <w:rsid w:val="007124CF"/>
    <w:rsid w:val="00712B63"/>
    <w:rsid w:val="00713474"/>
    <w:rsid w:val="00714133"/>
    <w:rsid w:val="00721F3C"/>
    <w:rsid w:val="007226A5"/>
    <w:rsid w:val="00731748"/>
    <w:rsid w:val="00736BFC"/>
    <w:rsid w:val="00736EEC"/>
    <w:rsid w:val="00744D45"/>
    <w:rsid w:val="00746756"/>
    <w:rsid w:val="00757A78"/>
    <w:rsid w:val="00757EF7"/>
    <w:rsid w:val="00763874"/>
    <w:rsid w:val="00771366"/>
    <w:rsid w:val="0077401B"/>
    <w:rsid w:val="00775987"/>
    <w:rsid w:val="007776CA"/>
    <w:rsid w:val="007856C9"/>
    <w:rsid w:val="00795A64"/>
    <w:rsid w:val="00796EC2"/>
    <w:rsid w:val="007A434E"/>
    <w:rsid w:val="007A5CBB"/>
    <w:rsid w:val="007A6167"/>
    <w:rsid w:val="007B2CD4"/>
    <w:rsid w:val="007B3082"/>
    <w:rsid w:val="007B4EF3"/>
    <w:rsid w:val="007B5F0F"/>
    <w:rsid w:val="007B7A70"/>
    <w:rsid w:val="007C3ABF"/>
    <w:rsid w:val="007C7160"/>
    <w:rsid w:val="007C7EC6"/>
    <w:rsid w:val="007D275A"/>
    <w:rsid w:val="007D45C9"/>
    <w:rsid w:val="007D66A6"/>
    <w:rsid w:val="007E285B"/>
    <w:rsid w:val="007E3431"/>
    <w:rsid w:val="007E491C"/>
    <w:rsid w:val="007F2915"/>
    <w:rsid w:val="007F4F40"/>
    <w:rsid w:val="00801C15"/>
    <w:rsid w:val="00802486"/>
    <w:rsid w:val="00811455"/>
    <w:rsid w:val="00812171"/>
    <w:rsid w:val="008205B7"/>
    <w:rsid w:val="00823058"/>
    <w:rsid w:val="00830C11"/>
    <w:rsid w:val="0083416C"/>
    <w:rsid w:val="00836851"/>
    <w:rsid w:val="00841978"/>
    <w:rsid w:val="00841E47"/>
    <w:rsid w:val="00852E69"/>
    <w:rsid w:val="00861111"/>
    <w:rsid w:val="00865459"/>
    <w:rsid w:val="00866EB6"/>
    <w:rsid w:val="00871B1E"/>
    <w:rsid w:val="008754DA"/>
    <w:rsid w:val="00875E29"/>
    <w:rsid w:val="008762BB"/>
    <w:rsid w:val="00877128"/>
    <w:rsid w:val="008779BD"/>
    <w:rsid w:val="00877F15"/>
    <w:rsid w:val="00881640"/>
    <w:rsid w:val="00882B3D"/>
    <w:rsid w:val="00892E1B"/>
    <w:rsid w:val="00894421"/>
    <w:rsid w:val="00897115"/>
    <w:rsid w:val="008A05AE"/>
    <w:rsid w:val="008B286A"/>
    <w:rsid w:val="008C0E60"/>
    <w:rsid w:val="008C1F97"/>
    <w:rsid w:val="008C3EF6"/>
    <w:rsid w:val="008D098A"/>
    <w:rsid w:val="008D1938"/>
    <w:rsid w:val="008D4D41"/>
    <w:rsid w:val="008D5284"/>
    <w:rsid w:val="008D64DD"/>
    <w:rsid w:val="008D7D7A"/>
    <w:rsid w:val="008E3DEF"/>
    <w:rsid w:val="008E5B49"/>
    <w:rsid w:val="008F50DB"/>
    <w:rsid w:val="008F51AA"/>
    <w:rsid w:val="008F5A63"/>
    <w:rsid w:val="0090294E"/>
    <w:rsid w:val="00902E5D"/>
    <w:rsid w:val="009072E0"/>
    <w:rsid w:val="00913435"/>
    <w:rsid w:val="00913D1E"/>
    <w:rsid w:val="00913D92"/>
    <w:rsid w:val="00920A97"/>
    <w:rsid w:val="009269B4"/>
    <w:rsid w:val="0093328B"/>
    <w:rsid w:val="00934440"/>
    <w:rsid w:val="00937420"/>
    <w:rsid w:val="00946637"/>
    <w:rsid w:val="00953407"/>
    <w:rsid w:val="0095529E"/>
    <w:rsid w:val="0095534B"/>
    <w:rsid w:val="00955A82"/>
    <w:rsid w:val="0095711B"/>
    <w:rsid w:val="0096082E"/>
    <w:rsid w:val="00961588"/>
    <w:rsid w:val="00961D00"/>
    <w:rsid w:val="0096436D"/>
    <w:rsid w:val="00966C0C"/>
    <w:rsid w:val="00967F58"/>
    <w:rsid w:val="0097349C"/>
    <w:rsid w:val="009745F1"/>
    <w:rsid w:val="00990A58"/>
    <w:rsid w:val="0099324C"/>
    <w:rsid w:val="009B1193"/>
    <w:rsid w:val="009B24EE"/>
    <w:rsid w:val="009C0408"/>
    <w:rsid w:val="009C2962"/>
    <w:rsid w:val="009C6FFE"/>
    <w:rsid w:val="009D464B"/>
    <w:rsid w:val="009E1D41"/>
    <w:rsid w:val="009E3CB7"/>
    <w:rsid w:val="009E6281"/>
    <w:rsid w:val="009F04E5"/>
    <w:rsid w:val="009F3F32"/>
    <w:rsid w:val="009F631B"/>
    <w:rsid w:val="009F66F5"/>
    <w:rsid w:val="00A065F2"/>
    <w:rsid w:val="00A12347"/>
    <w:rsid w:val="00A2450B"/>
    <w:rsid w:val="00A27172"/>
    <w:rsid w:val="00A275FA"/>
    <w:rsid w:val="00A31EFD"/>
    <w:rsid w:val="00A32FD6"/>
    <w:rsid w:val="00A369BD"/>
    <w:rsid w:val="00A36ACB"/>
    <w:rsid w:val="00A43F91"/>
    <w:rsid w:val="00A44362"/>
    <w:rsid w:val="00A50E29"/>
    <w:rsid w:val="00A53364"/>
    <w:rsid w:val="00A55C95"/>
    <w:rsid w:val="00A6086E"/>
    <w:rsid w:val="00A65220"/>
    <w:rsid w:val="00A65CFF"/>
    <w:rsid w:val="00A71DE6"/>
    <w:rsid w:val="00A724A7"/>
    <w:rsid w:val="00A76B0B"/>
    <w:rsid w:val="00A81781"/>
    <w:rsid w:val="00A85521"/>
    <w:rsid w:val="00A87B64"/>
    <w:rsid w:val="00A937FD"/>
    <w:rsid w:val="00A96DE4"/>
    <w:rsid w:val="00A97326"/>
    <w:rsid w:val="00AA141D"/>
    <w:rsid w:val="00AA1595"/>
    <w:rsid w:val="00AA4B80"/>
    <w:rsid w:val="00AA7F20"/>
    <w:rsid w:val="00AB02D1"/>
    <w:rsid w:val="00AB3E8C"/>
    <w:rsid w:val="00AB6C6F"/>
    <w:rsid w:val="00AB7077"/>
    <w:rsid w:val="00AB7D60"/>
    <w:rsid w:val="00AC1802"/>
    <w:rsid w:val="00AC552B"/>
    <w:rsid w:val="00AC6433"/>
    <w:rsid w:val="00AC778F"/>
    <w:rsid w:val="00AD1AF3"/>
    <w:rsid w:val="00AD206D"/>
    <w:rsid w:val="00AD2E5D"/>
    <w:rsid w:val="00AD440D"/>
    <w:rsid w:val="00AE0CA2"/>
    <w:rsid w:val="00AE7AA4"/>
    <w:rsid w:val="00AE7FAA"/>
    <w:rsid w:val="00AF0A8C"/>
    <w:rsid w:val="00AF2E84"/>
    <w:rsid w:val="00AF421C"/>
    <w:rsid w:val="00AF4FB8"/>
    <w:rsid w:val="00B00B05"/>
    <w:rsid w:val="00B02F14"/>
    <w:rsid w:val="00B04318"/>
    <w:rsid w:val="00B14E1E"/>
    <w:rsid w:val="00B21A4F"/>
    <w:rsid w:val="00B21B5E"/>
    <w:rsid w:val="00B32CE0"/>
    <w:rsid w:val="00B3735D"/>
    <w:rsid w:val="00B40C0E"/>
    <w:rsid w:val="00B44832"/>
    <w:rsid w:val="00B459B6"/>
    <w:rsid w:val="00B50709"/>
    <w:rsid w:val="00B5370B"/>
    <w:rsid w:val="00B566A0"/>
    <w:rsid w:val="00B602BF"/>
    <w:rsid w:val="00B60610"/>
    <w:rsid w:val="00B6319F"/>
    <w:rsid w:val="00B6338C"/>
    <w:rsid w:val="00B731DB"/>
    <w:rsid w:val="00B76D5A"/>
    <w:rsid w:val="00B80285"/>
    <w:rsid w:val="00B81294"/>
    <w:rsid w:val="00B83955"/>
    <w:rsid w:val="00B90940"/>
    <w:rsid w:val="00B9376D"/>
    <w:rsid w:val="00BA0585"/>
    <w:rsid w:val="00BA2539"/>
    <w:rsid w:val="00BA3708"/>
    <w:rsid w:val="00BA75D1"/>
    <w:rsid w:val="00BB4E5C"/>
    <w:rsid w:val="00BB547A"/>
    <w:rsid w:val="00BB5F06"/>
    <w:rsid w:val="00BB6BC1"/>
    <w:rsid w:val="00BC0237"/>
    <w:rsid w:val="00BC168A"/>
    <w:rsid w:val="00BC68EB"/>
    <w:rsid w:val="00BC7A2F"/>
    <w:rsid w:val="00BD0F73"/>
    <w:rsid w:val="00BD4E76"/>
    <w:rsid w:val="00BE55E1"/>
    <w:rsid w:val="00C00B0F"/>
    <w:rsid w:val="00C01CEE"/>
    <w:rsid w:val="00C13A09"/>
    <w:rsid w:val="00C1720F"/>
    <w:rsid w:val="00C21DAF"/>
    <w:rsid w:val="00C22652"/>
    <w:rsid w:val="00C229B2"/>
    <w:rsid w:val="00C232C7"/>
    <w:rsid w:val="00C24711"/>
    <w:rsid w:val="00C250C0"/>
    <w:rsid w:val="00C333CC"/>
    <w:rsid w:val="00C35C18"/>
    <w:rsid w:val="00C41D41"/>
    <w:rsid w:val="00C42CDC"/>
    <w:rsid w:val="00C46A37"/>
    <w:rsid w:val="00C54723"/>
    <w:rsid w:val="00C6218F"/>
    <w:rsid w:val="00C737C1"/>
    <w:rsid w:val="00C76F63"/>
    <w:rsid w:val="00C815BB"/>
    <w:rsid w:val="00C81DD5"/>
    <w:rsid w:val="00C8323A"/>
    <w:rsid w:val="00C857B8"/>
    <w:rsid w:val="00C8736E"/>
    <w:rsid w:val="00C92539"/>
    <w:rsid w:val="00C926D0"/>
    <w:rsid w:val="00C96357"/>
    <w:rsid w:val="00C97F19"/>
    <w:rsid w:val="00CA00E2"/>
    <w:rsid w:val="00CA28A0"/>
    <w:rsid w:val="00CA4501"/>
    <w:rsid w:val="00CA6A85"/>
    <w:rsid w:val="00CB0638"/>
    <w:rsid w:val="00CB099B"/>
    <w:rsid w:val="00CB099E"/>
    <w:rsid w:val="00CB2B4F"/>
    <w:rsid w:val="00CB2C5E"/>
    <w:rsid w:val="00CB5EFF"/>
    <w:rsid w:val="00CB7C46"/>
    <w:rsid w:val="00CC0CB5"/>
    <w:rsid w:val="00CC2DE2"/>
    <w:rsid w:val="00CC4A45"/>
    <w:rsid w:val="00CC4EDA"/>
    <w:rsid w:val="00CC576D"/>
    <w:rsid w:val="00CC7502"/>
    <w:rsid w:val="00CD1F4D"/>
    <w:rsid w:val="00CD2089"/>
    <w:rsid w:val="00CD2A91"/>
    <w:rsid w:val="00CD3798"/>
    <w:rsid w:val="00CD453C"/>
    <w:rsid w:val="00CD5754"/>
    <w:rsid w:val="00CD5B66"/>
    <w:rsid w:val="00CD6B7E"/>
    <w:rsid w:val="00CE7D4A"/>
    <w:rsid w:val="00D029A9"/>
    <w:rsid w:val="00D02E39"/>
    <w:rsid w:val="00D03C6C"/>
    <w:rsid w:val="00D044A0"/>
    <w:rsid w:val="00D0450E"/>
    <w:rsid w:val="00D05805"/>
    <w:rsid w:val="00D05F61"/>
    <w:rsid w:val="00D13042"/>
    <w:rsid w:val="00D234C0"/>
    <w:rsid w:val="00D2618F"/>
    <w:rsid w:val="00D2711D"/>
    <w:rsid w:val="00D30056"/>
    <w:rsid w:val="00D42C81"/>
    <w:rsid w:val="00D432C6"/>
    <w:rsid w:val="00D438C8"/>
    <w:rsid w:val="00D4731F"/>
    <w:rsid w:val="00D65059"/>
    <w:rsid w:val="00D6702C"/>
    <w:rsid w:val="00D74D29"/>
    <w:rsid w:val="00D76A62"/>
    <w:rsid w:val="00D77B20"/>
    <w:rsid w:val="00D83BF4"/>
    <w:rsid w:val="00D85C4F"/>
    <w:rsid w:val="00D938D1"/>
    <w:rsid w:val="00DA10CB"/>
    <w:rsid w:val="00DA1F23"/>
    <w:rsid w:val="00DA3AC6"/>
    <w:rsid w:val="00DA7D5A"/>
    <w:rsid w:val="00DC6683"/>
    <w:rsid w:val="00DC66D5"/>
    <w:rsid w:val="00DD06D1"/>
    <w:rsid w:val="00DD3AE8"/>
    <w:rsid w:val="00DD7E7E"/>
    <w:rsid w:val="00DE20E3"/>
    <w:rsid w:val="00DE5393"/>
    <w:rsid w:val="00DE7AB7"/>
    <w:rsid w:val="00DF2DF8"/>
    <w:rsid w:val="00DF46A6"/>
    <w:rsid w:val="00DF60E0"/>
    <w:rsid w:val="00E010EB"/>
    <w:rsid w:val="00E02DA9"/>
    <w:rsid w:val="00E079E9"/>
    <w:rsid w:val="00E115C4"/>
    <w:rsid w:val="00E11B69"/>
    <w:rsid w:val="00E16D58"/>
    <w:rsid w:val="00E22BF2"/>
    <w:rsid w:val="00E27A16"/>
    <w:rsid w:val="00E3675F"/>
    <w:rsid w:val="00E4189A"/>
    <w:rsid w:val="00E4538D"/>
    <w:rsid w:val="00E454A4"/>
    <w:rsid w:val="00E464D9"/>
    <w:rsid w:val="00E476E2"/>
    <w:rsid w:val="00E539C6"/>
    <w:rsid w:val="00E53DBD"/>
    <w:rsid w:val="00E619D7"/>
    <w:rsid w:val="00E62FFC"/>
    <w:rsid w:val="00E64E2C"/>
    <w:rsid w:val="00E7632C"/>
    <w:rsid w:val="00E765A3"/>
    <w:rsid w:val="00E81A16"/>
    <w:rsid w:val="00E832E5"/>
    <w:rsid w:val="00E870C9"/>
    <w:rsid w:val="00E90F0D"/>
    <w:rsid w:val="00E9450C"/>
    <w:rsid w:val="00E94D35"/>
    <w:rsid w:val="00E967C6"/>
    <w:rsid w:val="00E969ED"/>
    <w:rsid w:val="00EA099E"/>
    <w:rsid w:val="00EA154B"/>
    <w:rsid w:val="00EA6464"/>
    <w:rsid w:val="00EB1170"/>
    <w:rsid w:val="00EB39FD"/>
    <w:rsid w:val="00EB4A3D"/>
    <w:rsid w:val="00EB5933"/>
    <w:rsid w:val="00EB5CFA"/>
    <w:rsid w:val="00EB6FED"/>
    <w:rsid w:val="00EC1B68"/>
    <w:rsid w:val="00ED4200"/>
    <w:rsid w:val="00ED6D5C"/>
    <w:rsid w:val="00EF0046"/>
    <w:rsid w:val="00EF10D7"/>
    <w:rsid w:val="00EF1E95"/>
    <w:rsid w:val="00EF5ABD"/>
    <w:rsid w:val="00EF7EEB"/>
    <w:rsid w:val="00F018B1"/>
    <w:rsid w:val="00F02746"/>
    <w:rsid w:val="00F03A6C"/>
    <w:rsid w:val="00F03B74"/>
    <w:rsid w:val="00F03DCA"/>
    <w:rsid w:val="00F17700"/>
    <w:rsid w:val="00F210DD"/>
    <w:rsid w:val="00F21C8B"/>
    <w:rsid w:val="00F24511"/>
    <w:rsid w:val="00F31AC3"/>
    <w:rsid w:val="00F33A56"/>
    <w:rsid w:val="00F42374"/>
    <w:rsid w:val="00F5038C"/>
    <w:rsid w:val="00F52804"/>
    <w:rsid w:val="00F53528"/>
    <w:rsid w:val="00F540A9"/>
    <w:rsid w:val="00F54D01"/>
    <w:rsid w:val="00F60A91"/>
    <w:rsid w:val="00F6147F"/>
    <w:rsid w:val="00F628EC"/>
    <w:rsid w:val="00F63B78"/>
    <w:rsid w:val="00F65404"/>
    <w:rsid w:val="00F71545"/>
    <w:rsid w:val="00F727A0"/>
    <w:rsid w:val="00F73B5D"/>
    <w:rsid w:val="00F746E6"/>
    <w:rsid w:val="00F74B3C"/>
    <w:rsid w:val="00F83FC7"/>
    <w:rsid w:val="00F85FF0"/>
    <w:rsid w:val="00F8668D"/>
    <w:rsid w:val="00F91256"/>
    <w:rsid w:val="00F92F41"/>
    <w:rsid w:val="00F960B8"/>
    <w:rsid w:val="00F96E38"/>
    <w:rsid w:val="00FA1AEA"/>
    <w:rsid w:val="00FA1C94"/>
    <w:rsid w:val="00FA64B0"/>
    <w:rsid w:val="00FA77D3"/>
    <w:rsid w:val="00FA7C48"/>
    <w:rsid w:val="00FB0537"/>
    <w:rsid w:val="00FB05FB"/>
    <w:rsid w:val="00FB204D"/>
    <w:rsid w:val="00FB51BB"/>
    <w:rsid w:val="00FB6A26"/>
    <w:rsid w:val="00FB7805"/>
    <w:rsid w:val="00FC3762"/>
    <w:rsid w:val="00FC575A"/>
    <w:rsid w:val="00FC73F0"/>
    <w:rsid w:val="00FD2784"/>
    <w:rsid w:val="00FD370B"/>
    <w:rsid w:val="00FE2F39"/>
    <w:rsid w:val="00FE309C"/>
    <w:rsid w:val="00FE4096"/>
    <w:rsid w:val="00FE69C6"/>
    <w:rsid w:val="00FF03B2"/>
    <w:rsid w:val="00FF06DA"/>
    <w:rsid w:val="00FF1EC5"/>
    <w:rsid w:val="00FF21E0"/>
    <w:rsid w:val="00FF7301"/>
    <w:rsid w:val="00FF7C7F"/>
    <w:rsid w:val="5A3E37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87F394"/>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Footnote Text Char1 Char Char1 Char,Footnote Text Char2 Char,Footnote Text Char3,Footnote Text Char3 Char Char Char Char Char,f,fn,fn Ch"/>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customStyle="1" w:styleId="FootnoteTextChar">
    <w:name w:val="Footnote Text Char"/>
    <w:aliases w:val="ALTS FOOTNOTE Char,Footnote Text Char Char Char Char,Footnote Text Char Char1 Char Char Char Char,Footnote Text Char1 Char,Footnote Text Char1 Char Char1 Char Char,Footnote Text Char2 Char Char,Footnote Text Char3 Char,f Char,fn Char"/>
    <w:link w:val="FootnoteText"/>
  </w:style>
  <w:style w:type="paragraph" w:styleId="ListParagraph">
    <w:name w:val="List Paragraph"/>
    <w:basedOn w:val="Normal"/>
    <w:uiPriority w:val="34"/>
    <w:qFormat/>
    <w:pPr>
      <w:ind w:left="720"/>
      <w:contextualSpacing/>
    </w:pPr>
  </w:style>
  <w:style w:type="character" w:customStyle="1" w:styleId="ParaNumChar1">
    <w:name w:val="ParaNum Char1"/>
    <w:link w:val="ParaNum"/>
    <w:locked/>
    <w:rPr>
      <w:snapToGrid w:val="0"/>
      <w:kern w:val="28"/>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UnresolvedMention1">
    <w:name w:val="Unresolved Mention1"/>
    <w:basedOn w:val="DefaultParagraphFont"/>
    <w:uiPriority w:val="99"/>
    <w:rsid w:val="00B9376D"/>
    <w:rPr>
      <w:color w:val="605E5C"/>
      <w:shd w:val="clear" w:color="auto" w:fill="E1DFDD"/>
    </w:rPr>
  </w:style>
  <w:style w:type="character" w:customStyle="1" w:styleId="FootnoteTextCharCharChar1">
    <w:name w:val="Footnote Text Char Char Char1"/>
    <w:aliases w:val="Footnote Text Char Char Char Char Char Char Char,Footnote Text Char1 Char Char Char Char1,Footnote Text Char1 Char1 Char1,Footnote Text Char1 Char2,Footnote Text Char2 Char1"/>
    <w:locked/>
    <w:rsid w:val="006F2C1A"/>
    <w:rPr>
      <w:rFonts w:ascii="Courier New" w:hAnsi="Courier New" w:cs="Times New Roman"/>
      <w:sz w:val="24"/>
      <w:lang w:val="en-US" w:eastAsia="en-US" w:bidi="ar-SA"/>
    </w:rPr>
  </w:style>
  <w:style w:type="character" w:styleId="UnresolvedMention">
    <w:name w:val="Unresolved Mention"/>
    <w:basedOn w:val="DefaultParagraphFont"/>
    <w:uiPriority w:val="99"/>
    <w:rsid w:val="00075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cfs@fcc.gov" TargetMode="External" /><Relationship Id="rId6" Type="http://schemas.openxmlformats.org/officeDocument/2006/relationships/hyperlink" Target="http://apps.fcc.gov/ecfs/" TargetMode="External" /><Relationship Id="rId7" Type="http://schemas.openxmlformats.org/officeDocument/2006/relationships/hyperlink" Target="mailto:fcc504@fcc.gov" TargetMode="External" /><Relationship Id="rId8" Type="http://schemas.openxmlformats.org/officeDocument/2006/relationships/hyperlink" Target="mailto:Brian.Marenco@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