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534E7C" w14:paraId="667EDDF4" w14:textId="005CDAFF">
      <w:pPr>
        <w:jc w:val="center"/>
        <w:rPr>
          <w:b/>
          <w:szCs w:val="22"/>
        </w:rPr>
      </w:pPr>
      <w:r w:rsidRPr="00534E7C">
        <w:rPr>
          <w:b/>
          <w:kern w:val="0"/>
          <w:szCs w:val="22"/>
        </w:rPr>
        <w:t>Before</w:t>
      </w:r>
      <w:r w:rsidRPr="00534E7C">
        <w:rPr>
          <w:b/>
          <w:szCs w:val="22"/>
        </w:rPr>
        <w:t xml:space="preserve"> the</w:t>
      </w:r>
    </w:p>
    <w:p w:rsidR="00921803" w:rsidRPr="00534E7C" w:rsidP="00324556" w14:paraId="2C15BCFF" w14:textId="6B355FE4">
      <w:pPr>
        <w:pStyle w:val="StyleBoldCentered"/>
        <w:tabs>
          <w:tab w:val="center" w:pos="4680"/>
          <w:tab w:val="right" w:pos="9360"/>
        </w:tabs>
        <w:jc w:val="left"/>
        <w:rPr>
          <w:rFonts w:ascii="Times New Roman" w:hAnsi="Times New Roman"/>
        </w:rPr>
      </w:pPr>
      <w:r w:rsidRPr="00534E7C">
        <w:rPr>
          <w:rFonts w:ascii="Times New Roman" w:hAnsi="Times New Roman"/>
        </w:rPr>
        <w:tab/>
      </w:r>
      <w:r w:rsidRPr="00534E7C">
        <w:rPr>
          <w:rFonts w:ascii="Times New Roman" w:hAnsi="Times New Roman"/>
        </w:rPr>
        <w:t>F</w:t>
      </w:r>
      <w:r w:rsidRPr="00534E7C">
        <w:rPr>
          <w:rFonts w:ascii="Times New Roman" w:hAnsi="Times New Roman"/>
          <w:caps w:val="0"/>
        </w:rPr>
        <w:t>ederal Communications Commission</w:t>
      </w:r>
      <w:r w:rsidRPr="00534E7C">
        <w:rPr>
          <w:rFonts w:ascii="Times New Roman" w:hAnsi="Times New Roman"/>
          <w:caps w:val="0"/>
        </w:rPr>
        <w:tab/>
      </w:r>
    </w:p>
    <w:p w:rsidR="004C2EE3" w:rsidRPr="00534E7C" w:rsidP="00096D8C" w14:paraId="590056EE" w14:textId="77777777">
      <w:pPr>
        <w:pStyle w:val="StyleBoldCentered"/>
        <w:rPr>
          <w:rFonts w:ascii="Times New Roman" w:hAnsi="Times New Roman"/>
        </w:rPr>
      </w:pPr>
      <w:r w:rsidRPr="00534E7C">
        <w:rPr>
          <w:rFonts w:ascii="Times New Roman" w:hAnsi="Times New Roman"/>
          <w:caps w:val="0"/>
        </w:rPr>
        <w:t>Washington, D.C. 20554</w:t>
      </w:r>
    </w:p>
    <w:p w:rsidR="004C2EE3" w:rsidRPr="00534E7C" w:rsidP="0070224F" w14:paraId="7D13CF8F" w14:textId="77777777">
      <w:pPr>
        <w:rPr>
          <w:szCs w:val="22"/>
        </w:rPr>
      </w:pPr>
    </w:p>
    <w:p w:rsidR="004C2EE3" w:rsidRPr="00534E7C" w:rsidP="0070224F" w14:paraId="7C0E9EC0" w14:textId="77777777">
      <w:pPr>
        <w:rPr>
          <w:szCs w:val="22"/>
        </w:rPr>
      </w:pPr>
    </w:p>
    <w:tbl>
      <w:tblPr>
        <w:tblW w:w="0" w:type="auto"/>
        <w:tblLayout w:type="fixed"/>
        <w:tblLook w:val="0000"/>
      </w:tblPr>
      <w:tblGrid>
        <w:gridCol w:w="4698"/>
        <w:gridCol w:w="630"/>
        <w:gridCol w:w="4248"/>
      </w:tblGrid>
      <w:tr w14:paraId="3BE8B8DF" w14:textId="77777777">
        <w:tblPrEx>
          <w:tblW w:w="0" w:type="auto"/>
          <w:tblLayout w:type="fixed"/>
          <w:tblLook w:val="0000"/>
        </w:tblPrEx>
        <w:tc>
          <w:tcPr>
            <w:tcW w:w="4698" w:type="dxa"/>
          </w:tcPr>
          <w:p w:rsidR="004C2EE3" w:rsidRPr="00534E7C" w14:paraId="57ED2B0D" w14:textId="77777777">
            <w:pPr>
              <w:tabs>
                <w:tab w:val="center" w:pos="4680"/>
              </w:tabs>
              <w:suppressAutoHyphens/>
              <w:rPr>
                <w:spacing w:val="-2"/>
                <w:szCs w:val="22"/>
              </w:rPr>
            </w:pPr>
            <w:r w:rsidRPr="00534E7C">
              <w:rPr>
                <w:spacing w:val="-2"/>
                <w:szCs w:val="22"/>
              </w:rPr>
              <w:t>In the Matter of</w:t>
            </w:r>
          </w:p>
          <w:p w:rsidR="004C2EE3" w:rsidRPr="00534E7C" w14:paraId="409982F1" w14:textId="77777777">
            <w:pPr>
              <w:tabs>
                <w:tab w:val="center" w:pos="4680"/>
              </w:tabs>
              <w:suppressAutoHyphens/>
              <w:rPr>
                <w:spacing w:val="-2"/>
                <w:szCs w:val="22"/>
              </w:rPr>
            </w:pPr>
          </w:p>
          <w:p w:rsidR="00090F5F" w:rsidRPr="00534E7C" w:rsidP="00D42B5E" w14:paraId="5C411CA2" w14:textId="43859D97">
            <w:pPr>
              <w:tabs>
                <w:tab w:val="center" w:pos="4680"/>
              </w:tabs>
              <w:suppressAutoHyphens/>
              <w:rPr>
                <w:spacing w:val="-2"/>
                <w:szCs w:val="22"/>
              </w:rPr>
            </w:pPr>
            <w:r w:rsidRPr="00534E7C">
              <w:rPr>
                <w:spacing w:val="-2"/>
                <w:szCs w:val="22"/>
              </w:rPr>
              <w:t>PTC-220, LLC</w:t>
            </w:r>
            <w:r w:rsidRPr="00534E7C" w:rsidR="004547F0">
              <w:rPr>
                <w:spacing w:val="-2"/>
                <w:szCs w:val="22"/>
              </w:rPr>
              <w:t>,</w:t>
            </w:r>
            <w:r w:rsidRPr="00534E7C" w:rsidR="00662AED">
              <w:rPr>
                <w:spacing w:val="-2"/>
                <w:szCs w:val="22"/>
              </w:rPr>
              <w:t xml:space="preserve"> Request</w:t>
            </w:r>
            <w:r w:rsidRPr="00534E7C" w:rsidR="00D42B5E">
              <w:rPr>
                <w:spacing w:val="-2"/>
                <w:szCs w:val="22"/>
              </w:rPr>
              <w:t xml:space="preserve"> </w:t>
            </w:r>
            <w:r w:rsidRPr="00534E7C" w:rsidR="0061145A">
              <w:rPr>
                <w:spacing w:val="-2"/>
                <w:szCs w:val="22"/>
              </w:rPr>
              <w:t xml:space="preserve">for Modification </w:t>
            </w:r>
            <w:r w:rsidRPr="00534E7C" w:rsidR="00210ED5">
              <w:rPr>
                <w:spacing w:val="-2"/>
                <w:szCs w:val="22"/>
              </w:rPr>
              <w:t>of</w:t>
            </w:r>
            <w:r w:rsidRPr="00534E7C" w:rsidR="0061145A">
              <w:rPr>
                <w:spacing w:val="-2"/>
                <w:szCs w:val="22"/>
              </w:rPr>
              <w:t xml:space="preserve"> </w:t>
            </w:r>
            <w:r w:rsidRPr="00534E7C" w:rsidR="006A2A07">
              <w:rPr>
                <w:spacing w:val="-2"/>
                <w:szCs w:val="22"/>
              </w:rPr>
              <w:t xml:space="preserve">Rule </w:t>
            </w:r>
            <w:r w:rsidRPr="00534E7C" w:rsidR="0061145A">
              <w:rPr>
                <w:spacing w:val="-2"/>
                <w:szCs w:val="22"/>
              </w:rPr>
              <w:t xml:space="preserve">Waivers to Deploy Railroad Safety </w:t>
            </w:r>
            <w:r w:rsidRPr="00534E7C" w:rsidR="00C060CD">
              <w:rPr>
                <w:spacing w:val="-2"/>
                <w:szCs w:val="22"/>
              </w:rPr>
              <w:t>Systems</w:t>
            </w:r>
            <w:r w:rsidRPr="00534E7C" w:rsidR="00E83CBC">
              <w:rPr>
                <w:spacing w:val="-2"/>
                <w:szCs w:val="22"/>
              </w:rPr>
              <w:t xml:space="preserve"> in the 220 MHz Band</w:t>
            </w:r>
            <w:r w:rsidRPr="00534E7C" w:rsidR="0061145A">
              <w:rPr>
                <w:spacing w:val="-2"/>
                <w:szCs w:val="22"/>
              </w:rPr>
              <w:t xml:space="preserve">  </w:t>
            </w:r>
          </w:p>
        </w:tc>
        <w:tc>
          <w:tcPr>
            <w:tcW w:w="630" w:type="dxa"/>
          </w:tcPr>
          <w:p w:rsidR="004C2EE3" w:rsidRPr="00534E7C" w14:paraId="48F45ED3" w14:textId="77777777">
            <w:pPr>
              <w:tabs>
                <w:tab w:val="center" w:pos="4680"/>
              </w:tabs>
              <w:suppressAutoHyphens/>
              <w:rPr>
                <w:b/>
                <w:spacing w:val="-2"/>
                <w:szCs w:val="22"/>
              </w:rPr>
            </w:pPr>
            <w:r w:rsidRPr="00534E7C">
              <w:rPr>
                <w:b/>
                <w:spacing w:val="-2"/>
                <w:szCs w:val="22"/>
              </w:rPr>
              <w:t>)</w:t>
            </w:r>
          </w:p>
          <w:p w:rsidR="004C2EE3" w:rsidRPr="00534E7C" w14:paraId="61E694AD" w14:textId="77777777">
            <w:pPr>
              <w:tabs>
                <w:tab w:val="center" w:pos="4680"/>
              </w:tabs>
              <w:suppressAutoHyphens/>
              <w:rPr>
                <w:b/>
                <w:spacing w:val="-2"/>
                <w:szCs w:val="22"/>
              </w:rPr>
            </w:pPr>
            <w:r w:rsidRPr="00534E7C">
              <w:rPr>
                <w:b/>
                <w:spacing w:val="-2"/>
                <w:szCs w:val="22"/>
              </w:rPr>
              <w:t>)</w:t>
            </w:r>
          </w:p>
          <w:p w:rsidR="004C2EE3" w:rsidRPr="00534E7C" w14:paraId="65E28A63" w14:textId="77777777">
            <w:pPr>
              <w:tabs>
                <w:tab w:val="center" w:pos="4680"/>
              </w:tabs>
              <w:suppressAutoHyphens/>
              <w:rPr>
                <w:b/>
                <w:spacing w:val="-2"/>
                <w:szCs w:val="22"/>
              </w:rPr>
            </w:pPr>
            <w:r w:rsidRPr="00534E7C">
              <w:rPr>
                <w:b/>
                <w:spacing w:val="-2"/>
                <w:szCs w:val="22"/>
              </w:rPr>
              <w:t>)</w:t>
            </w:r>
          </w:p>
          <w:p w:rsidR="004C2EE3" w:rsidRPr="00534E7C" w14:paraId="3EE3D421" w14:textId="77777777">
            <w:pPr>
              <w:tabs>
                <w:tab w:val="center" w:pos="4680"/>
              </w:tabs>
              <w:suppressAutoHyphens/>
              <w:rPr>
                <w:b/>
                <w:spacing w:val="-2"/>
                <w:szCs w:val="22"/>
              </w:rPr>
            </w:pPr>
            <w:r w:rsidRPr="00534E7C">
              <w:rPr>
                <w:b/>
                <w:spacing w:val="-2"/>
                <w:szCs w:val="22"/>
              </w:rPr>
              <w:t>)</w:t>
            </w:r>
          </w:p>
          <w:p w:rsidR="004C2EE3" w:rsidRPr="00534E7C" w14:paraId="10BE92D2" w14:textId="77777777">
            <w:pPr>
              <w:tabs>
                <w:tab w:val="center" w:pos="4680"/>
              </w:tabs>
              <w:suppressAutoHyphens/>
              <w:rPr>
                <w:spacing w:val="-2"/>
                <w:szCs w:val="22"/>
              </w:rPr>
            </w:pPr>
            <w:r w:rsidRPr="00534E7C">
              <w:rPr>
                <w:b/>
                <w:spacing w:val="-2"/>
                <w:szCs w:val="22"/>
              </w:rPr>
              <w:t>)</w:t>
            </w:r>
          </w:p>
        </w:tc>
        <w:tc>
          <w:tcPr>
            <w:tcW w:w="4248" w:type="dxa"/>
          </w:tcPr>
          <w:p w:rsidR="004C2EE3" w:rsidRPr="00534E7C" w14:paraId="7A132A26" w14:textId="77777777">
            <w:pPr>
              <w:tabs>
                <w:tab w:val="center" w:pos="4680"/>
              </w:tabs>
              <w:suppressAutoHyphens/>
              <w:rPr>
                <w:spacing w:val="-2"/>
                <w:szCs w:val="22"/>
              </w:rPr>
            </w:pPr>
          </w:p>
          <w:p w:rsidR="004C2EE3" w:rsidRPr="00534E7C" w14:paraId="4C44E5EC" w14:textId="77777777">
            <w:pPr>
              <w:pStyle w:val="TOAHeading"/>
              <w:tabs>
                <w:tab w:val="center" w:pos="4680"/>
                <w:tab w:val="clear" w:pos="9360"/>
              </w:tabs>
              <w:rPr>
                <w:spacing w:val="-2"/>
                <w:szCs w:val="22"/>
              </w:rPr>
            </w:pPr>
          </w:p>
          <w:p w:rsidR="004C2EE3" w:rsidRPr="00534E7C" w14:paraId="0A355ACA" w14:textId="29E21153">
            <w:pPr>
              <w:tabs>
                <w:tab w:val="center" w:pos="4680"/>
              </w:tabs>
              <w:suppressAutoHyphens/>
              <w:rPr>
                <w:spacing w:val="-2"/>
                <w:szCs w:val="22"/>
              </w:rPr>
            </w:pPr>
            <w:r w:rsidRPr="00534E7C">
              <w:rPr>
                <w:spacing w:val="-2"/>
                <w:szCs w:val="22"/>
              </w:rPr>
              <w:t xml:space="preserve">Lead </w:t>
            </w:r>
            <w:r w:rsidR="00090F74">
              <w:rPr>
                <w:spacing w:val="-2"/>
                <w:szCs w:val="22"/>
              </w:rPr>
              <w:t xml:space="preserve">ULS </w:t>
            </w:r>
            <w:r w:rsidRPr="00534E7C" w:rsidR="00090F5F">
              <w:rPr>
                <w:spacing w:val="-2"/>
                <w:szCs w:val="22"/>
              </w:rPr>
              <w:t xml:space="preserve">File No. </w:t>
            </w:r>
            <w:r w:rsidRPr="00534E7C" w:rsidR="003252BF">
              <w:rPr>
                <w:spacing w:val="-2"/>
                <w:szCs w:val="22"/>
              </w:rPr>
              <w:t>0009965899</w:t>
            </w:r>
          </w:p>
        </w:tc>
      </w:tr>
    </w:tbl>
    <w:p w:rsidR="004C2EE3" w:rsidRPr="00534E7C" w:rsidP="0070224F" w14:paraId="6A091368" w14:textId="3F42C311">
      <w:pPr>
        <w:rPr>
          <w:szCs w:val="22"/>
        </w:rPr>
      </w:pPr>
    </w:p>
    <w:p w:rsidR="00841AB1" w:rsidRPr="00534E7C" w:rsidP="00F021FA" w14:paraId="793A7929" w14:textId="07B3A0AE">
      <w:pPr>
        <w:pStyle w:val="StyleBoldCentered"/>
        <w:rPr>
          <w:rFonts w:ascii="Times New Roman" w:hAnsi="Times New Roman"/>
        </w:rPr>
      </w:pPr>
      <w:r w:rsidRPr="00534E7C">
        <w:rPr>
          <w:rFonts w:ascii="Times New Roman" w:hAnsi="Times New Roman"/>
        </w:rPr>
        <w:t>MemoranDum Opinion and order</w:t>
      </w:r>
    </w:p>
    <w:p w:rsidR="004C2EE3" w:rsidRPr="00534E7C" w14:paraId="534707D0" w14:textId="77777777">
      <w:pPr>
        <w:tabs>
          <w:tab w:val="left" w:pos="-720"/>
        </w:tabs>
        <w:suppressAutoHyphens/>
        <w:spacing w:line="227" w:lineRule="auto"/>
        <w:rPr>
          <w:spacing w:val="-2"/>
          <w:szCs w:val="22"/>
        </w:rPr>
      </w:pPr>
    </w:p>
    <w:p w:rsidR="004C2EE3" w:rsidP="00133F79" w14:paraId="6703A262" w14:textId="4CAC125F">
      <w:pPr>
        <w:tabs>
          <w:tab w:val="left" w:pos="720"/>
          <w:tab w:val="right" w:pos="9360"/>
        </w:tabs>
        <w:suppressAutoHyphens/>
        <w:spacing w:line="227" w:lineRule="auto"/>
        <w:rPr>
          <w:b/>
          <w:spacing w:val="-2"/>
          <w:szCs w:val="22"/>
        </w:rPr>
      </w:pPr>
      <w:r w:rsidRPr="00534E7C">
        <w:rPr>
          <w:b/>
          <w:spacing w:val="-2"/>
          <w:szCs w:val="22"/>
        </w:rPr>
        <w:t xml:space="preserve">Adopted: </w:t>
      </w:r>
      <w:r w:rsidR="00621176">
        <w:rPr>
          <w:b/>
          <w:spacing w:val="-2"/>
          <w:szCs w:val="22"/>
        </w:rPr>
        <w:t>June 29, 2023</w:t>
      </w:r>
      <w:r w:rsidRPr="00534E7C">
        <w:rPr>
          <w:b/>
          <w:spacing w:val="-2"/>
          <w:szCs w:val="22"/>
        </w:rPr>
        <w:tab/>
      </w:r>
      <w:r w:rsidRPr="00534E7C" w:rsidR="00822CE0">
        <w:rPr>
          <w:b/>
          <w:spacing w:val="-2"/>
          <w:szCs w:val="22"/>
        </w:rPr>
        <w:t>Released</w:t>
      </w:r>
      <w:r w:rsidRPr="00534E7C">
        <w:rPr>
          <w:b/>
          <w:spacing w:val="-2"/>
          <w:szCs w:val="22"/>
        </w:rPr>
        <w:t>:</w:t>
      </w:r>
      <w:r w:rsidRPr="00534E7C" w:rsidR="00822CE0">
        <w:rPr>
          <w:b/>
          <w:spacing w:val="-2"/>
          <w:szCs w:val="22"/>
        </w:rPr>
        <w:t xml:space="preserve"> </w:t>
      </w:r>
      <w:r w:rsidR="00621176">
        <w:rPr>
          <w:b/>
          <w:spacing w:val="-2"/>
          <w:szCs w:val="22"/>
        </w:rPr>
        <w:t>June 29, 2023</w:t>
      </w:r>
    </w:p>
    <w:p w:rsidR="00A218D5" w:rsidP="00133F79" w14:paraId="2272B59B" w14:textId="35BD4AC6">
      <w:pPr>
        <w:tabs>
          <w:tab w:val="left" w:pos="720"/>
          <w:tab w:val="right" w:pos="9360"/>
        </w:tabs>
        <w:suppressAutoHyphens/>
        <w:spacing w:line="227" w:lineRule="auto"/>
        <w:rPr>
          <w:b/>
          <w:spacing w:val="-2"/>
          <w:szCs w:val="22"/>
        </w:rPr>
      </w:pPr>
    </w:p>
    <w:p w:rsidR="00A218D5" w:rsidRPr="00534E7C" w:rsidP="00133F79" w14:paraId="39EA5B08" w14:textId="6EB31839">
      <w:pPr>
        <w:tabs>
          <w:tab w:val="left" w:pos="720"/>
          <w:tab w:val="right" w:pos="9360"/>
        </w:tabs>
        <w:suppressAutoHyphens/>
        <w:spacing w:line="227" w:lineRule="auto"/>
        <w:rPr>
          <w:spacing w:val="-2"/>
          <w:szCs w:val="22"/>
        </w:rPr>
      </w:pPr>
      <w:r w:rsidRPr="00534E7C">
        <w:rPr>
          <w:szCs w:val="22"/>
        </w:rPr>
        <w:t>By the Chief, Mobility Division, Wireless Telecommunications Bureau:</w:t>
      </w:r>
    </w:p>
    <w:p w:rsidR="00FC56BE" w:rsidP="00FC56BE" w14:paraId="1123D643" w14:textId="6561A0D2">
      <w:pPr>
        <w:pStyle w:val="TOCTitle"/>
      </w:pPr>
      <w:bookmarkStart w:id="0" w:name="TOChere"/>
      <w:r>
        <w:t>Table of Contents</w:t>
      </w:r>
    </w:p>
    <w:p w:rsidR="00FC56BE" w:rsidP="00FC56BE" w14:paraId="6D6390FF" w14:textId="691CF0E3">
      <w:pPr>
        <w:pStyle w:val="Paratitle"/>
      </w:pPr>
      <w:r>
        <w:t>Heading</w:t>
      </w:r>
      <w:r>
        <w:tab/>
        <w:t>Paragraph #</w:t>
      </w:r>
      <w:bookmarkStart w:id="1" w:name="start_here"/>
      <w:bookmarkEnd w:id="1"/>
    </w:p>
    <w:p w:rsidR="00FC56BE" w:rsidP="00FC56BE" w14:paraId="079C6EF7" w14:textId="4DF70964">
      <w:pPr>
        <w:pStyle w:val="TOC1"/>
        <w:rPr>
          <w:rFonts w:asciiTheme="minorHAnsi" w:eastAsiaTheme="minorEastAsia" w:hAnsiTheme="minorHAnsi" w:cstheme="minorBidi"/>
          <w:caps w:val="0"/>
          <w:snapToGrid/>
          <w:kern w:val="0"/>
          <w:szCs w:val="22"/>
        </w:rPr>
      </w:pPr>
      <w:r w:rsidRPr="005570A2">
        <w:t>I.</w:t>
      </w:r>
      <w:r>
        <w:rPr>
          <w:rFonts w:asciiTheme="minorHAnsi" w:eastAsiaTheme="minorEastAsia" w:hAnsiTheme="minorHAnsi" w:cstheme="minorBidi"/>
          <w:caps w:val="0"/>
          <w:snapToGrid/>
          <w:kern w:val="0"/>
          <w:szCs w:val="22"/>
        </w:rPr>
        <w:tab/>
      </w:r>
      <w:r w:rsidRPr="005570A2">
        <w:t>INTRODUCTION</w:t>
      </w:r>
      <w:r>
        <w:tab/>
        <w:t>1</w:t>
      </w:r>
    </w:p>
    <w:p w:rsidR="00FC56BE" w:rsidP="00FC56BE" w14:paraId="1759B1A1" w14:textId="5C8221D5">
      <w:pPr>
        <w:pStyle w:val="TOC1"/>
        <w:rPr>
          <w:rFonts w:asciiTheme="minorHAnsi" w:eastAsiaTheme="minorEastAsia" w:hAnsiTheme="minorHAnsi" w:cstheme="minorBidi"/>
          <w:caps w:val="0"/>
          <w:snapToGrid/>
          <w:kern w:val="0"/>
          <w:szCs w:val="22"/>
        </w:rPr>
      </w:pPr>
      <w:r w:rsidRPr="005570A2">
        <w:t>II.</w:t>
      </w:r>
      <w:r>
        <w:rPr>
          <w:rFonts w:asciiTheme="minorHAnsi" w:eastAsiaTheme="minorEastAsia" w:hAnsiTheme="minorHAnsi" w:cstheme="minorBidi"/>
          <w:caps w:val="0"/>
          <w:snapToGrid/>
          <w:kern w:val="0"/>
          <w:szCs w:val="22"/>
        </w:rPr>
        <w:tab/>
      </w:r>
      <w:r w:rsidRPr="005570A2">
        <w:t>Background</w:t>
      </w:r>
      <w:r>
        <w:tab/>
        <w:t>2</w:t>
      </w:r>
    </w:p>
    <w:p w:rsidR="00FC56BE" w:rsidP="00FC56BE" w14:paraId="6700344B" w14:textId="158C5BD2">
      <w:pPr>
        <w:pStyle w:val="TOC1"/>
        <w:rPr>
          <w:rFonts w:asciiTheme="minorHAnsi" w:eastAsiaTheme="minorEastAsia" w:hAnsiTheme="minorHAnsi" w:cstheme="minorBidi"/>
          <w:caps w:val="0"/>
          <w:snapToGrid/>
          <w:kern w:val="0"/>
          <w:szCs w:val="22"/>
        </w:rPr>
      </w:pPr>
      <w:r w:rsidRPr="005570A2">
        <w:t>III.</w:t>
      </w:r>
      <w:r>
        <w:rPr>
          <w:rFonts w:asciiTheme="minorHAnsi" w:eastAsiaTheme="minorEastAsia" w:hAnsiTheme="minorHAnsi" w:cstheme="minorBidi"/>
          <w:caps w:val="0"/>
          <w:snapToGrid/>
          <w:kern w:val="0"/>
          <w:szCs w:val="22"/>
        </w:rPr>
        <w:tab/>
      </w:r>
      <w:r w:rsidRPr="005570A2">
        <w:t>Discussion</w:t>
      </w:r>
      <w:r>
        <w:tab/>
        <w:t>11</w:t>
      </w:r>
    </w:p>
    <w:p w:rsidR="00FC56BE" w:rsidP="00FC56BE" w14:paraId="0DE3140A" w14:textId="3700C67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Positive Train Control Will Have the Highest Priority in the 220 MHz Band</w:t>
      </w:r>
      <w:r>
        <w:tab/>
        <w:t>13</w:t>
      </w:r>
    </w:p>
    <w:p w:rsidR="00FC56BE" w:rsidP="00FC56BE" w14:paraId="5B848199" w14:textId="0405074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Modification of the Rule Waivers Will Promote the Safety of Life and Property</w:t>
      </w:r>
      <w:r>
        <w:tab/>
        <w:t>15</w:t>
      </w:r>
    </w:p>
    <w:p w:rsidR="00FC56BE" w:rsidP="00FC56BE" w14:paraId="056CACBE" w14:textId="6227E53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Train Operation Systems</w:t>
      </w:r>
      <w:r>
        <w:tab/>
        <w:t>17</w:t>
      </w:r>
    </w:p>
    <w:p w:rsidR="00FC56BE" w:rsidP="00FC56BE" w14:paraId="352BA68D" w14:textId="31CBFCF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End-of-Train (EOT) Devices</w:t>
      </w:r>
      <w:r>
        <w:tab/>
        <w:t>18</w:t>
      </w:r>
    </w:p>
    <w:p w:rsidR="00FC56BE" w:rsidP="00FC56BE" w14:paraId="66A14B88" w14:textId="12FF932A">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Distributed Power Systems</w:t>
      </w:r>
      <w:r>
        <w:tab/>
        <w:t>21</w:t>
      </w:r>
    </w:p>
    <w:p w:rsidR="00FC56BE" w:rsidP="00FC56BE" w14:paraId="54DB9837" w14:textId="2DFF0E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Wayside Support Systems</w:t>
      </w:r>
      <w:r>
        <w:tab/>
        <w:t>23</w:t>
      </w:r>
    </w:p>
    <w:p w:rsidR="00FC56BE" w:rsidP="00FC56BE" w14:paraId="076B60D5" w14:textId="3A95F533">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Trackside Detectors</w:t>
      </w:r>
      <w:r>
        <w:tab/>
        <w:t>24</w:t>
      </w:r>
    </w:p>
    <w:p w:rsidR="00FC56BE" w:rsidP="00FC56BE" w14:paraId="3D6E7F9B" w14:textId="3F785EC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Hi-rail Limits Compliance Systems</w:t>
      </w:r>
      <w:r>
        <w:tab/>
        <w:t>25</w:t>
      </w:r>
    </w:p>
    <w:p w:rsidR="00FC56BE" w:rsidP="00FC56BE" w14:paraId="532227F0" w14:textId="61F0801F">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Grade-Crossing Safety Systems</w:t>
      </w:r>
      <w:r>
        <w:tab/>
        <w:t>26</w:t>
      </w:r>
    </w:p>
    <w:p w:rsidR="00FC56BE" w:rsidP="00FC56BE" w14:paraId="6062F8BA" w14:textId="2B53D39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Modification of Individual Rule Waivers</w:t>
      </w:r>
      <w:r>
        <w:tab/>
        <w:t>30</w:t>
      </w:r>
    </w:p>
    <w:p w:rsidR="00FC56BE" w:rsidP="00FC56BE" w14:paraId="4FECEFE8" w14:textId="653B750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Modification of 2009 Rule Waivers</w:t>
      </w:r>
      <w:r>
        <w:tab/>
        <w:t>31</w:t>
      </w:r>
    </w:p>
    <w:p w:rsidR="00FC56BE" w:rsidP="00FC56BE" w14:paraId="4FBC662E" w14:textId="435CBD1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Sections 90.713(a) and 90.717(b), Phase I Nationwide License Commercial-Use Restrictions</w:t>
      </w:r>
      <w:r>
        <w:tab/>
        <w:t>32</w:t>
      </w:r>
    </w:p>
    <w:p w:rsidR="00FC56BE" w:rsidP="00FC56BE" w14:paraId="09A8D6D2" w14:textId="5EF368C0">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 90.715(a), 220 MHz Band Base/Mobile Configuration Requirement</w:t>
      </w:r>
      <w:r>
        <w:tab/>
        <w:t>35</w:t>
      </w:r>
    </w:p>
    <w:p w:rsidR="00FC56BE" w:rsidP="00FC56BE" w14:paraId="2D45DD2E" w14:textId="4C2134AC">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Section 90.735(a), Station Identification Requirements</w:t>
      </w:r>
      <w:r>
        <w:tab/>
        <w:t>37</w:t>
      </w:r>
    </w:p>
    <w:p w:rsidR="00FC56BE" w:rsidP="00FC56BE" w14:paraId="6C42EB99" w14:textId="25A3D4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Modification of 2015 Rule Waivers</w:t>
      </w:r>
      <w:r>
        <w:tab/>
        <w:t>41</w:t>
      </w:r>
    </w:p>
    <w:p w:rsidR="00FC56BE" w:rsidP="00FC56BE" w14:paraId="5E554E22" w14:textId="1016388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Section 90.729(b), Upper 221-222 MHz Band Segment Power and Antenna Height Limits</w:t>
      </w:r>
      <w:r>
        <w:tab/>
        <w:t>41</w:t>
      </w:r>
    </w:p>
    <w:p w:rsidR="00FC56BE" w:rsidP="00FC56BE" w14:paraId="09A34A71" w14:textId="20D28C3E">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Field Strength Limit Condition, Economic Area Licenses</w:t>
      </w:r>
      <w:r>
        <w:tab/>
        <w:t>46</w:t>
      </w:r>
    </w:p>
    <w:p w:rsidR="00FC56BE" w:rsidP="00FC56BE" w14:paraId="586B8D97" w14:textId="45D3A8D3">
      <w:pPr>
        <w:pStyle w:val="TOC5"/>
        <w:tabs>
          <w:tab w:val="left" w:pos="360"/>
        </w:tabs>
        <w:rPr>
          <w:rFonts w:asciiTheme="minorHAnsi" w:eastAsiaTheme="minorEastAsia" w:hAnsiTheme="minorHAnsi" w:cstheme="minorBidi"/>
          <w:snapToGrid/>
          <w:kern w:val="0"/>
          <w:szCs w:val="22"/>
        </w:rPr>
      </w:pPr>
      <w:r w:rsidRPr="005570A2">
        <w:rPr>
          <w:color w:val="000000"/>
        </w:rPr>
        <w:t>(ii)</w:t>
      </w:r>
      <w:r>
        <w:rPr>
          <w:rFonts w:asciiTheme="minorHAnsi" w:eastAsiaTheme="minorEastAsia" w:hAnsiTheme="minorHAnsi" w:cstheme="minorBidi"/>
          <w:snapToGrid/>
          <w:kern w:val="0"/>
          <w:szCs w:val="22"/>
        </w:rPr>
        <w:tab/>
      </w:r>
      <w:r>
        <w:t>Geographic and Spectral Separation, and Noise Floor  Conditions</w:t>
      </w:r>
      <w:r>
        <w:tab/>
        <w:t>48</w:t>
      </w:r>
    </w:p>
    <w:p w:rsidR="00FC56BE" w:rsidP="00FC56BE" w14:paraId="3123D111" w14:textId="2892BA73">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Prior Notification Condition</w:t>
      </w:r>
      <w:r>
        <w:tab/>
        <w:t>52</w:t>
      </w:r>
    </w:p>
    <w:p w:rsidR="00FC56BE" w:rsidP="00FC56BE" w14:paraId="461852A4" w14:textId="02D8B85F">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 90.723(f), Coordination Requirements</w:t>
      </w:r>
      <w:r>
        <w:tab/>
        <w:t>55</w:t>
      </w:r>
    </w:p>
    <w:p w:rsidR="00FC56BE" w:rsidP="00FC56BE" w14:paraId="2E2732C6" w14:textId="493E3D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Enhanced Interference Mitigation Procedures</w:t>
      </w:r>
      <w:r>
        <w:tab/>
        <w:t>59</w:t>
      </w:r>
    </w:p>
    <w:p w:rsidR="00FC56BE" w:rsidP="00FC56BE" w14:paraId="30D39D90" w14:textId="1BF111A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Historic Preservation, Environmental, and Related Requirements</w:t>
      </w:r>
      <w:r>
        <w:tab/>
        <w:t>61</w:t>
      </w:r>
    </w:p>
    <w:p w:rsidR="00FC56BE" w:rsidP="00FC56BE" w14:paraId="415069AA" w14:textId="5606ADD2">
      <w:pPr>
        <w:pStyle w:val="TOC1"/>
        <w:rPr>
          <w:rFonts w:asciiTheme="minorHAnsi" w:eastAsiaTheme="minorEastAsia" w:hAnsiTheme="minorHAnsi" w:cstheme="minorBidi"/>
          <w:caps w:val="0"/>
          <w:snapToGrid/>
          <w:kern w:val="0"/>
          <w:szCs w:val="22"/>
        </w:rPr>
      </w:pPr>
      <w:r w:rsidRPr="005570A2">
        <w:t>IV.</w:t>
      </w:r>
      <w:r>
        <w:rPr>
          <w:rFonts w:asciiTheme="minorHAnsi" w:eastAsiaTheme="minorEastAsia" w:hAnsiTheme="minorHAnsi" w:cstheme="minorBidi"/>
          <w:caps w:val="0"/>
          <w:snapToGrid/>
          <w:kern w:val="0"/>
          <w:szCs w:val="22"/>
        </w:rPr>
        <w:tab/>
      </w:r>
      <w:r w:rsidRPr="005570A2">
        <w:t>conclusion and ordering clauses</w:t>
      </w:r>
      <w:r>
        <w:tab/>
        <w:t>64</w:t>
      </w:r>
    </w:p>
    <w:bookmarkEnd w:id="0"/>
    <w:p w:rsidR="00B20C8F" w:rsidP="003E1738" w14:paraId="0B2DE9A8" w14:textId="43C90078">
      <w:pPr>
        <w:rPr>
          <w:szCs w:val="22"/>
        </w:rPr>
      </w:pPr>
      <w:r>
        <w:rPr>
          <w:szCs w:val="22"/>
        </w:rPr>
        <w:t>APPENDIX – Modified Rule Waivers</w:t>
      </w:r>
      <w:r w:rsidR="00753974">
        <w:rPr>
          <w:szCs w:val="22"/>
        </w:rPr>
        <w:br/>
      </w:r>
    </w:p>
    <w:p w:rsidR="000F6363" w:rsidRPr="00534E7C" w:rsidP="000F6363" w14:paraId="4628204E" w14:textId="79D7CA72">
      <w:pPr>
        <w:pStyle w:val="Heading1"/>
        <w:rPr>
          <w:rFonts w:ascii="Times New Roman" w:hAnsi="Times New Roman"/>
          <w:szCs w:val="22"/>
        </w:rPr>
      </w:pPr>
      <w:bookmarkStart w:id="2" w:name="_Toc127960180"/>
      <w:bookmarkStart w:id="3" w:name="_Toc127994690"/>
      <w:bookmarkStart w:id="4" w:name="_Toc128039680"/>
      <w:bookmarkStart w:id="5" w:name="_Toc128039753"/>
      <w:bookmarkStart w:id="6" w:name="_Toc128039824"/>
      <w:bookmarkStart w:id="7" w:name="_Toc131444687"/>
      <w:bookmarkStart w:id="8" w:name="_Toc131444951"/>
      <w:bookmarkStart w:id="9" w:name="_Toc131676551"/>
      <w:bookmarkStart w:id="10" w:name="_Toc133848339"/>
      <w:r>
        <w:rPr>
          <w:rFonts w:ascii="Times New Roman" w:hAnsi="Times New Roman"/>
          <w:szCs w:val="22"/>
        </w:rPr>
        <w:t>INTRODUCTION</w:t>
      </w:r>
      <w:bookmarkEnd w:id="2"/>
      <w:bookmarkEnd w:id="3"/>
      <w:bookmarkEnd w:id="4"/>
      <w:bookmarkEnd w:id="5"/>
      <w:bookmarkEnd w:id="6"/>
      <w:bookmarkEnd w:id="7"/>
      <w:bookmarkEnd w:id="8"/>
      <w:bookmarkEnd w:id="9"/>
      <w:bookmarkEnd w:id="10"/>
    </w:p>
    <w:p w:rsidR="007439D8" w:rsidRPr="00BD5599" w:rsidP="00B528F1" w14:paraId="7262BF73" w14:textId="2AEBCB19">
      <w:pPr>
        <w:pStyle w:val="ParaNum"/>
        <w:rPr>
          <w:szCs w:val="22"/>
        </w:rPr>
      </w:pPr>
      <w:r w:rsidRPr="00534E7C">
        <w:t>In t</w:t>
      </w:r>
      <w:r w:rsidRPr="00534E7C" w:rsidR="00C52319">
        <w:t>his Memorandum Opinion and Order</w:t>
      </w:r>
      <w:r w:rsidRPr="00534E7C" w:rsidR="00445CC3">
        <w:t xml:space="preserve"> (Order)</w:t>
      </w:r>
      <w:r w:rsidRPr="00534E7C">
        <w:t xml:space="preserve">, we </w:t>
      </w:r>
      <w:r w:rsidRPr="00534E7C" w:rsidR="00C52319">
        <w:t>address the request of PTC-220, LLC (PTC-220)</w:t>
      </w:r>
      <w:r w:rsidRPr="00534E7C" w:rsidR="007E2AC6">
        <w:t>—a consortium of the nation’s seven Class I freight railroads</w:t>
      </w:r>
      <w:r>
        <w:rPr>
          <w:rStyle w:val="FootnoteReference"/>
          <w:sz w:val="22"/>
          <w:szCs w:val="22"/>
        </w:rPr>
        <w:footnoteReference w:id="3"/>
      </w:r>
      <w:r w:rsidRPr="00534E7C" w:rsidR="007E2AC6">
        <w:t>—</w:t>
      </w:r>
      <w:r w:rsidRPr="00534E7C" w:rsidR="00B12024">
        <w:t xml:space="preserve">for modification of </w:t>
      </w:r>
      <w:r w:rsidRPr="00534E7C" w:rsidR="00C52319">
        <w:t>six</w:t>
      </w:r>
      <w:r w:rsidR="00FD272F">
        <w:t xml:space="preserve"> </w:t>
      </w:r>
      <w:r w:rsidR="00F276FF">
        <w:t>existing</w:t>
      </w:r>
      <w:r w:rsidR="00FD272F">
        <w:t xml:space="preserve"> </w:t>
      </w:r>
      <w:r w:rsidRPr="00534E7C" w:rsidR="00C52319">
        <w:t xml:space="preserve">220 MHz Band </w:t>
      </w:r>
      <w:r w:rsidR="006A4C0E">
        <w:t>s</w:t>
      </w:r>
      <w:r w:rsidRPr="00534E7C" w:rsidR="008E0FA7">
        <w:t>ervice rule</w:t>
      </w:r>
      <w:r w:rsidRPr="00534E7C" w:rsidR="006570D5">
        <w:t xml:space="preserve"> waivers</w:t>
      </w:r>
      <w:r w:rsidRPr="00534E7C" w:rsidR="00B159DE">
        <w:t>.</w:t>
      </w:r>
      <w:r>
        <w:rPr>
          <w:rStyle w:val="FootnoteReference"/>
          <w:sz w:val="22"/>
          <w:szCs w:val="22"/>
        </w:rPr>
        <w:footnoteReference w:id="4"/>
      </w:r>
      <w:r w:rsidRPr="00534E7C" w:rsidR="00C52319">
        <w:t xml:space="preserve">  The Wireless Telecommunications Bureau </w:t>
      </w:r>
      <w:r w:rsidRPr="00534E7C" w:rsidR="00F64181">
        <w:t>(Bureau)</w:t>
      </w:r>
      <w:r w:rsidRPr="00534E7C" w:rsidR="001C42C9">
        <w:t xml:space="preserve"> </w:t>
      </w:r>
      <w:r w:rsidRPr="00534E7C" w:rsidR="00663C6C">
        <w:t xml:space="preserve">originally </w:t>
      </w:r>
      <w:r w:rsidRPr="00534E7C">
        <w:t xml:space="preserve">granted </w:t>
      </w:r>
      <w:r w:rsidR="003447AB">
        <w:t xml:space="preserve">PTC-220 </w:t>
      </w:r>
      <w:r w:rsidRPr="00534E7C" w:rsidR="00B159DE">
        <w:t xml:space="preserve">the </w:t>
      </w:r>
      <w:r w:rsidRPr="00534E7C" w:rsidR="000D0B3D">
        <w:t>rule waivers</w:t>
      </w:r>
      <w:r w:rsidRPr="00534E7C" w:rsidR="00EA585A">
        <w:t xml:space="preserve"> </w:t>
      </w:r>
      <w:r w:rsidRPr="00534E7C" w:rsidR="000D0B3D">
        <w:t xml:space="preserve">to </w:t>
      </w:r>
      <w:r w:rsidRPr="00534E7C">
        <w:t xml:space="preserve">enable </w:t>
      </w:r>
      <w:r w:rsidRPr="00534E7C" w:rsidR="0061145A">
        <w:t xml:space="preserve">deployment </w:t>
      </w:r>
      <w:r w:rsidRPr="00534E7C" w:rsidR="00C52319">
        <w:t>of</w:t>
      </w:r>
      <w:r w:rsidRPr="00534E7C" w:rsidR="00B159DE">
        <w:t xml:space="preserve"> </w:t>
      </w:r>
      <w:r w:rsidRPr="00534E7C" w:rsidR="007A5D85">
        <w:t>Congressi</w:t>
      </w:r>
      <w:r w:rsidRPr="00534E7C" w:rsidR="00C5685E">
        <w:t>o</w:t>
      </w:r>
      <w:r w:rsidRPr="00534E7C" w:rsidR="007A5D85">
        <w:t xml:space="preserve">nally-mandated </w:t>
      </w:r>
      <w:r w:rsidRPr="00534E7C" w:rsidR="00C52319">
        <w:t xml:space="preserve">Positive Train Control (PTC) </w:t>
      </w:r>
      <w:r w:rsidRPr="00534E7C" w:rsidR="008F0742">
        <w:t xml:space="preserve">safety </w:t>
      </w:r>
      <w:r w:rsidRPr="00534E7C" w:rsidR="00C52319">
        <w:t>system</w:t>
      </w:r>
      <w:r w:rsidRPr="00534E7C" w:rsidR="00445CC3">
        <w:t>s</w:t>
      </w:r>
      <w:r w:rsidRPr="00534E7C">
        <w:t xml:space="preserve"> in the 220 MHz Band</w:t>
      </w:r>
      <w:r w:rsidRPr="00534E7C" w:rsidR="008953EC">
        <w:t>.</w:t>
      </w:r>
      <w:r>
        <w:rPr>
          <w:rStyle w:val="FootnoteReference"/>
          <w:sz w:val="22"/>
          <w:szCs w:val="22"/>
        </w:rPr>
        <w:footnoteReference w:id="5"/>
      </w:r>
      <w:r w:rsidRPr="00534E7C" w:rsidR="00B159DE">
        <w:t xml:space="preserve">  </w:t>
      </w:r>
      <w:r w:rsidRPr="00534E7C" w:rsidR="006570D5">
        <w:t>PTC-220</w:t>
      </w:r>
      <w:r w:rsidRPr="00534E7C" w:rsidR="006A2A07">
        <w:t xml:space="preserve"> </w:t>
      </w:r>
      <w:r w:rsidRPr="00534E7C" w:rsidR="00811EA9">
        <w:t xml:space="preserve">states </w:t>
      </w:r>
      <w:r w:rsidRPr="00534E7C" w:rsidR="00663C6C">
        <w:t xml:space="preserve">that </w:t>
      </w:r>
      <w:r w:rsidRPr="00534E7C" w:rsidR="00811EA9">
        <w:t>its member</w:t>
      </w:r>
      <w:r w:rsidRPr="00534E7C" w:rsidR="005375C8">
        <w:t xml:space="preserve"> railroads</w:t>
      </w:r>
      <w:r w:rsidRPr="00534E7C" w:rsidR="00811EA9">
        <w:t xml:space="preserve"> have implemented </w:t>
      </w:r>
      <w:r w:rsidRPr="00534E7C">
        <w:t xml:space="preserve">interoperable </w:t>
      </w:r>
      <w:r w:rsidRPr="00534E7C" w:rsidR="00811EA9">
        <w:t xml:space="preserve">PTC systems as required by Congress, and </w:t>
      </w:r>
      <w:r w:rsidR="00CC43B0">
        <w:t xml:space="preserve">PTC-220 </w:t>
      </w:r>
      <w:r w:rsidRPr="00534E7C" w:rsidR="00D05187">
        <w:t xml:space="preserve">now </w:t>
      </w:r>
      <w:r w:rsidRPr="00534E7C" w:rsidR="006570D5">
        <w:t>request</w:t>
      </w:r>
      <w:r w:rsidRPr="00534E7C" w:rsidR="00B12024">
        <w:t>s</w:t>
      </w:r>
      <w:r w:rsidRPr="00534E7C" w:rsidR="006570D5">
        <w:t xml:space="preserve"> </w:t>
      </w:r>
      <w:r w:rsidRPr="00534E7C" w:rsidR="00C060CD">
        <w:t>modif</w:t>
      </w:r>
      <w:r w:rsidRPr="00534E7C" w:rsidR="001C42C9">
        <w:t xml:space="preserve">ication </w:t>
      </w:r>
      <w:r w:rsidRPr="00534E7C" w:rsidR="00EA585A">
        <w:t xml:space="preserve">of the </w:t>
      </w:r>
      <w:r w:rsidRPr="00534E7C" w:rsidR="0061145A">
        <w:t>rule waivers</w:t>
      </w:r>
      <w:r w:rsidRPr="00534E7C" w:rsidR="007532BE">
        <w:t>.</w:t>
      </w:r>
      <w:r w:rsidRPr="00534E7C" w:rsidR="006570D5">
        <w:t xml:space="preserve">  </w:t>
      </w:r>
      <w:r w:rsidRPr="00534E7C" w:rsidR="007532BE">
        <w:t xml:space="preserve">Specifically, PTC-220 requests that we expand the scope of the waiver relief to </w:t>
      </w:r>
      <w:r w:rsidR="003447AB">
        <w:t xml:space="preserve">enable the </w:t>
      </w:r>
      <w:r w:rsidRPr="00534E7C" w:rsidR="007532BE">
        <w:t>deployment of additional (i.e., non-PTC) railroad safety systems.</w:t>
      </w:r>
      <w:r>
        <w:rPr>
          <w:rStyle w:val="FootnoteReference"/>
          <w:sz w:val="22"/>
          <w:szCs w:val="22"/>
        </w:rPr>
        <w:footnoteReference w:id="6"/>
      </w:r>
      <w:r w:rsidRPr="00534E7C" w:rsidR="007532BE">
        <w:t xml:space="preserve">  </w:t>
      </w:r>
      <w:r w:rsidRPr="00534E7C" w:rsidR="00B12024">
        <w:t xml:space="preserve">For the reasons that follow, we grant PTC-220’s request subject to the terms and conditions </w:t>
      </w:r>
      <w:r w:rsidRPr="00534E7C" w:rsidR="005871C6">
        <w:t xml:space="preserve">enumerated </w:t>
      </w:r>
      <w:r w:rsidRPr="00534E7C" w:rsidR="00B12024">
        <w:t xml:space="preserve">below.  </w:t>
      </w:r>
      <w:r w:rsidRPr="00534E7C" w:rsidR="006570D5">
        <w:t xml:space="preserve">Today’s action </w:t>
      </w:r>
      <w:r w:rsidRPr="00534E7C" w:rsidR="001464BD">
        <w:t>will</w:t>
      </w:r>
      <w:r w:rsidRPr="00534E7C" w:rsidR="007027EF">
        <w:t xml:space="preserve"> enabl</w:t>
      </w:r>
      <w:r w:rsidRPr="00534E7C" w:rsidR="00811EA9">
        <w:t>e</w:t>
      </w:r>
      <w:r w:rsidRPr="00534E7C" w:rsidR="007027EF">
        <w:t xml:space="preserve"> </w:t>
      </w:r>
      <w:r w:rsidRPr="00534E7C" w:rsidR="00FF228E">
        <w:t xml:space="preserve">U.S. </w:t>
      </w:r>
      <w:r w:rsidRPr="00534E7C" w:rsidR="007027EF">
        <w:t>freight, intercity passenger</w:t>
      </w:r>
      <w:r w:rsidRPr="00534E7C" w:rsidR="003C435F">
        <w:t xml:space="preserve"> (</w:t>
      </w:r>
      <w:r w:rsidRPr="00534E7C" w:rsidR="00917187">
        <w:t>including Amtrak)</w:t>
      </w:r>
      <w:r w:rsidRPr="00534E7C" w:rsidR="007027EF">
        <w:t>, and commuter railroads to</w:t>
      </w:r>
      <w:r w:rsidRPr="00534E7C" w:rsidR="00C92791">
        <w:t xml:space="preserve"> deploy </w:t>
      </w:r>
      <w:bookmarkStart w:id="12" w:name="_Hlk134106816"/>
      <w:r w:rsidRPr="00534E7C" w:rsidR="00811EA9">
        <w:t>life- and property-saving</w:t>
      </w:r>
      <w:r>
        <w:rPr>
          <w:rStyle w:val="FootnoteReference"/>
          <w:sz w:val="22"/>
          <w:szCs w:val="22"/>
        </w:rPr>
        <w:footnoteReference w:id="7"/>
      </w:r>
      <w:r w:rsidRPr="00534E7C" w:rsidR="00811EA9">
        <w:t xml:space="preserve"> </w:t>
      </w:r>
      <w:r w:rsidRPr="00534E7C">
        <w:t xml:space="preserve">safety </w:t>
      </w:r>
      <w:r w:rsidRPr="00534E7C" w:rsidR="007027EF">
        <w:t>systems using PTC-220’s extensive</w:t>
      </w:r>
      <w:r w:rsidRPr="00534E7C" w:rsidR="007179B7">
        <w:t xml:space="preserve"> 220 MHz </w:t>
      </w:r>
      <w:r w:rsidRPr="00534E7C" w:rsidR="009F7AEA">
        <w:t xml:space="preserve">Band </w:t>
      </w:r>
      <w:r w:rsidRPr="00534E7C" w:rsidR="007027EF">
        <w:t>spectrum holdings</w:t>
      </w:r>
      <w:bookmarkEnd w:id="12"/>
      <w:r>
        <w:rPr>
          <w:rStyle w:val="FootnoteReference"/>
          <w:sz w:val="22"/>
          <w:szCs w:val="22"/>
        </w:rPr>
        <w:footnoteReference w:id="8"/>
      </w:r>
      <w:r w:rsidRPr="00534E7C" w:rsidR="00927CA1">
        <w:t xml:space="preserve"> </w:t>
      </w:r>
      <w:r w:rsidRPr="00534E7C" w:rsidR="003679E0">
        <w:t>across the nation.</w:t>
      </w:r>
    </w:p>
    <w:p w:rsidR="00C52319" w:rsidRPr="00534E7C" w:rsidP="00C52319" w14:paraId="306BC657" w14:textId="6EAF8D7A">
      <w:pPr>
        <w:pStyle w:val="Heading1"/>
        <w:rPr>
          <w:rFonts w:ascii="Times New Roman" w:hAnsi="Times New Roman"/>
          <w:szCs w:val="22"/>
        </w:rPr>
      </w:pPr>
      <w:bookmarkStart w:id="13" w:name="_Toc117162325"/>
      <w:bookmarkStart w:id="14" w:name="_Toc117170585"/>
      <w:bookmarkStart w:id="15" w:name="_Toc117179059"/>
      <w:bookmarkStart w:id="16" w:name="_Toc117516983"/>
      <w:bookmarkStart w:id="17" w:name="_Toc117517897"/>
      <w:bookmarkStart w:id="18" w:name="_Toc117518441"/>
      <w:bookmarkStart w:id="19" w:name="_Toc117518861"/>
      <w:bookmarkStart w:id="20" w:name="_Toc120523611"/>
      <w:bookmarkStart w:id="21" w:name="_Toc121150578"/>
      <w:bookmarkStart w:id="22" w:name="_Toc126158675"/>
      <w:bookmarkStart w:id="23" w:name="_Toc126158704"/>
      <w:bookmarkStart w:id="24" w:name="_Toc127960181"/>
      <w:bookmarkStart w:id="25" w:name="_Toc127994691"/>
      <w:bookmarkStart w:id="26" w:name="_Toc128039681"/>
      <w:bookmarkStart w:id="27" w:name="_Toc128039754"/>
      <w:bookmarkStart w:id="28" w:name="_Toc128039825"/>
      <w:bookmarkStart w:id="29" w:name="_Toc131444688"/>
      <w:bookmarkStart w:id="30" w:name="_Toc131444952"/>
      <w:bookmarkStart w:id="31" w:name="_Toc131676552"/>
      <w:bookmarkStart w:id="32" w:name="_Toc133848340"/>
      <w:r w:rsidRPr="00534E7C">
        <w:rPr>
          <w:rFonts w:ascii="Times New Roman" w:hAnsi="Times New Roman"/>
          <w:szCs w:val="22"/>
        </w:rPr>
        <w:t>Background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94C2D" w:rsidRPr="00534E7C" w:rsidP="00C52319" w14:paraId="3332A6FF" w14:textId="5E000173">
      <w:pPr>
        <w:pStyle w:val="ParaNum"/>
        <w:rPr>
          <w:szCs w:val="22"/>
        </w:rPr>
      </w:pPr>
      <w:r w:rsidRPr="00534E7C">
        <w:rPr>
          <w:i/>
          <w:szCs w:val="22"/>
        </w:rPr>
        <w:t>Positive Train Control</w:t>
      </w:r>
      <w:r w:rsidRPr="00534E7C">
        <w:rPr>
          <w:szCs w:val="22"/>
        </w:rPr>
        <w:t xml:space="preserve">.  The </w:t>
      </w:r>
      <w:r w:rsidRPr="00090F74">
        <w:rPr>
          <w:szCs w:val="22"/>
        </w:rPr>
        <w:t>Rail Safety Improvement Act of 2008</w:t>
      </w:r>
      <w:r w:rsidRPr="00534E7C">
        <w:rPr>
          <w:szCs w:val="22"/>
        </w:rPr>
        <w:t xml:space="preserve">, as amended by </w:t>
      </w:r>
      <w:r w:rsidRPr="00534E7C">
        <w:rPr>
          <w:iCs/>
          <w:szCs w:val="22"/>
        </w:rPr>
        <w:t xml:space="preserve">the </w:t>
      </w:r>
      <w:r w:rsidRPr="00090F74">
        <w:rPr>
          <w:rFonts w:eastAsia="Arial"/>
          <w:iCs/>
          <w:szCs w:val="22"/>
        </w:rPr>
        <w:t>Positive Train Control Enforcement and Implementation Act of 2015 (together, the Rail Safety Act),</w:t>
      </w:r>
      <w:r w:rsidRPr="00090F74">
        <w:rPr>
          <w:iCs/>
          <w:szCs w:val="22"/>
        </w:rPr>
        <w:t xml:space="preserve"> </w:t>
      </w:r>
      <w:r w:rsidRPr="00534E7C">
        <w:rPr>
          <w:szCs w:val="22"/>
        </w:rPr>
        <w:t xml:space="preserve">required most U.S. freight, </w:t>
      </w:r>
      <w:r w:rsidRPr="00534E7C" w:rsidR="00737C55">
        <w:rPr>
          <w:szCs w:val="22"/>
        </w:rPr>
        <w:t xml:space="preserve">intercity </w:t>
      </w:r>
      <w:r w:rsidRPr="00534E7C">
        <w:rPr>
          <w:szCs w:val="22"/>
        </w:rPr>
        <w:t>passenger, and commuter railroads to install and operate interoperable PTC systems by December 31, 2018.</w:t>
      </w:r>
      <w:r>
        <w:rPr>
          <w:rStyle w:val="FootnoteReference"/>
          <w:sz w:val="22"/>
          <w:szCs w:val="22"/>
        </w:rPr>
        <w:footnoteReference w:id="9"/>
      </w:r>
      <w:r w:rsidRPr="00534E7C" w:rsidR="003E0418">
        <w:rPr>
          <w:szCs w:val="22"/>
        </w:rPr>
        <w:t xml:space="preserve">  PTC systems are designed to reduce the risk of human-error rail accidents, by “prevent[ing] train-to-train collisions, over-speed derailments, incursions into established work zone limits, and the </w:t>
      </w:r>
      <w:bookmarkStart w:id="33" w:name="_Hlk134106769"/>
      <w:r w:rsidRPr="00534E7C" w:rsidR="003E0418">
        <w:rPr>
          <w:szCs w:val="22"/>
        </w:rPr>
        <w:t>movement of a train through a switch left in the wrong position</w:t>
      </w:r>
      <w:bookmarkEnd w:id="33"/>
      <w:r w:rsidRPr="00534E7C" w:rsidR="003E0418">
        <w:rPr>
          <w:szCs w:val="22"/>
        </w:rPr>
        <w:t>.”</w:t>
      </w:r>
      <w:r>
        <w:rPr>
          <w:rStyle w:val="FootnoteReference"/>
          <w:sz w:val="22"/>
          <w:szCs w:val="22"/>
        </w:rPr>
        <w:footnoteReference w:id="10"/>
      </w:r>
    </w:p>
    <w:p w:rsidR="00C52319" w:rsidRPr="00534E7C" w:rsidP="00C52319" w14:paraId="31A4D737" w14:textId="1FAB73DD">
      <w:pPr>
        <w:pStyle w:val="ParaNum"/>
        <w:rPr>
          <w:szCs w:val="22"/>
        </w:rPr>
      </w:pPr>
      <w:r w:rsidRPr="00534E7C">
        <w:rPr>
          <w:szCs w:val="22"/>
        </w:rPr>
        <w:t>Forty</w:t>
      </w:r>
      <w:r w:rsidRPr="00534E7C" w:rsidR="000D0B3D">
        <w:rPr>
          <w:szCs w:val="22"/>
        </w:rPr>
        <w:t xml:space="preserve"> </w:t>
      </w:r>
      <w:r w:rsidRPr="00534E7C">
        <w:rPr>
          <w:szCs w:val="22"/>
        </w:rPr>
        <w:t xml:space="preserve">one railroads are subject to the PTC mandate, including PTC-220’s seven members, Amtrak, 28 commuter railroads, and five other freight railroads that host regularly scheduled intercity or </w:t>
      </w:r>
      <w:r w:rsidRPr="00534E7C">
        <w:rPr>
          <w:szCs w:val="22"/>
        </w:rPr>
        <w:t>commuter rail passenger service.</w:t>
      </w:r>
      <w:r>
        <w:rPr>
          <w:rStyle w:val="FootnoteReference"/>
          <w:sz w:val="22"/>
          <w:szCs w:val="22"/>
        </w:rPr>
        <w:footnoteReference w:id="11"/>
      </w:r>
      <w:r w:rsidRPr="00534E7C">
        <w:rPr>
          <w:szCs w:val="22"/>
        </w:rPr>
        <w:t xml:space="preserve">  </w:t>
      </w:r>
      <w:r w:rsidRPr="00534E7C">
        <w:rPr>
          <w:szCs w:val="22"/>
        </w:rPr>
        <w:t>Four railroads timely met th</w:t>
      </w:r>
      <w:r w:rsidRPr="00534E7C" w:rsidR="00E05942">
        <w:rPr>
          <w:szCs w:val="22"/>
        </w:rPr>
        <w:t>e December 31, 2018</w:t>
      </w:r>
      <w:r w:rsidR="006A4C0E">
        <w:rPr>
          <w:szCs w:val="22"/>
        </w:rPr>
        <w:t>,</w:t>
      </w:r>
      <w:r w:rsidRPr="00534E7C" w:rsidR="00E05942">
        <w:rPr>
          <w:szCs w:val="22"/>
        </w:rPr>
        <w:t xml:space="preserve"> PTC implementation</w:t>
      </w:r>
      <w:r w:rsidRPr="00534E7C">
        <w:rPr>
          <w:szCs w:val="22"/>
        </w:rPr>
        <w:t xml:space="preserve"> deadline.</w:t>
      </w:r>
      <w:r>
        <w:rPr>
          <w:rStyle w:val="FootnoteReference"/>
          <w:sz w:val="22"/>
          <w:szCs w:val="22"/>
        </w:rPr>
        <w:footnoteReference w:id="12"/>
      </w:r>
      <w:r w:rsidRPr="00534E7C">
        <w:rPr>
          <w:szCs w:val="22"/>
        </w:rPr>
        <w:t xml:space="preserve">  As the Rail Safety Act</w:t>
      </w:r>
      <w:r w:rsidRPr="00534E7C">
        <w:rPr>
          <w:i/>
          <w:iCs/>
          <w:szCs w:val="22"/>
        </w:rPr>
        <w:t xml:space="preserve"> </w:t>
      </w:r>
      <w:r w:rsidRPr="00534E7C">
        <w:rPr>
          <w:szCs w:val="22"/>
        </w:rPr>
        <w:t xml:space="preserve">permits, the remaining railroads subject to the PTC mandate, including PTC-220’s seven member railroads, requested up to a </w:t>
      </w:r>
      <w:r w:rsidR="00E371A5">
        <w:rPr>
          <w:szCs w:val="22"/>
        </w:rPr>
        <w:t>two</w:t>
      </w:r>
      <w:r w:rsidRPr="00534E7C">
        <w:rPr>
          <w:szCs w:val="22"/>
        </w:rPr>
        <w:t>-year extension, until December 31, 2020, to implement PTC.</w:t>
      </w:r>
      <w:r>
        <w:rPr>
          <w:rStyle w:val="FootnoteReference"/>
          <w:sz w:val="22"/>
          <w:szCs w:val="22"/>
        </w:rPr>
        <w:footnoteReference w:id="13"/>
      </w:r>
      <w:r w:rsidRPr="00534E7C">
        <w:rPr>
          <w:szCs w:val="22"/>
        </w:rPr>
        <w:t xml:space="preserve">  The </w:t>
      </w:r>
      <w:r w:rsidRPr="00534E7C" w:rsidR="002860ED">
        <w:rPr>
          <w:szCs w:val="22"/>
        </w:rPr>
        <w:t xml:space="preserve">Federal Railroad Administration (FRA) </w:t>
      </w:r>
      <w:r w:rsidRPr="00534E7C">
        <w:rPr>
          <w:szCs w:val="22"/>
        </w:rPr>
        <w:t>found that these railroads met the statutory criteria necessary to qualify for an extended implementation schedule and, subsequently, found that the</w:t>
      </w:r>
      <w:r w:rsidRPr="00534E7C" w:rsidR="000978A5">
        <w:rPr>
          <w:szCs w:val="22"/>
        </w:rPr>
        <w:t>y</w:t>
      </w:r>
      <w:r w:rsidRPr="00534E7C">
        <w:rPr>
          <w:szCs w:val="22"/>
        </w:rPr>
        <w:t xml:space="preserve"> met their extended PTC deadlines.</w:t>
      </w:r>
      <w:r>
        <w:rPr>
          <w:rStyle w:val="FootnoteReference"/>
          <w:sz w:val="22"/>
          <w:szCs w:val="22"/>
        </w:rPr>
        <w:footnoteReference w:id="14"/>
      </w:r>
      <w:r w:rsidRPr="00534E7C">
        <w:rPr>
          <w:szCs w:val="22"/>
        </w:rPr>
        <w:t xml:space="preserve">  </w:t>
      </w:r>
    </w:p>
    <w:p w:rsidR="00FE6688" w:rsidRPr="00534E7C" w:rsidP="00FE6688" w14:paraId="264CBF9A" w14:textId="14EC2DB4">
      <w:pPr>
        <w:pStyle w:val="ParaNum"/>
        <w:rPr>
          <w:szCs w:val="22"/>
        </w:rPr>
      </w:pPr>
      <w:r w:rsidRPr="00534E7C">
        <w:rPr>
          <w:i/>
          <w:iCs/>
          <w:szCs w:val="22"/>
        </w:rPr>
        <w:t>PTC-220</w:t>
      </w:r>
      <w:r w:rsidRPr="00534E7C">
        <w:rPr>
          <w:szCs w:val="22"/>
        </w:rPr>
        <w:t>.  PTC-220 was formed to acquire and manage the necessary spectrum resources for its member</w:t>
      </w:r>
      <w:r w:rsidRPr="00534E7C" w:rsidR="00C055AA">
        <w:rPr>
          <w:szCs w:val="22"/>
        </w:rPr>
        <w:t xml:space="preserve"> railroads</w:t>
      </w:r>
      <w:r w:rsidRPr="00534E7C">
        <w:rPr>
          <w:szCs w:val="22"/>
        </w:rPr>
        <w:t xml:space="preserve"> to </w:t>
      </w:r>
      <w:r w:rsidRPr="00534E7C" w:rsidR="002860ED">
        <w:rPr>
          <w:szCs w:val="22"/>
        </w:rPr>
        <w:t xml:space="preserve">deploy </w:t>
      </w:r>
      <w:r w:rsidRPr="00534E7C" w:rsidR="00D71ED8">
        <w:rPr>
          <w:szCs w:val="22"/>
        </w:rPr>
        <w:t xml:space="preserve">interoperable </w:t>
      </w:r>
      <w:r w:rsidRPr="00534E7C">
        <w:rPr>
          <w:szCs w:val="22"/>
        </w:rPr>
        <w:t xml:space="preserve">PTC systems </w:t>
      </w:r>
      <w:r w:rsidRPr="00534E7C" w:rsidR="00D71ED8">
        <w:rPr>
          <w:szCs w:val="22"/>
        </w:rPr>
        <w:t xml:space="preserve">across </w:t>
      </w:r>
      <w:r w:rsidRPr="00534E7C">
        <w:rPr>
          <w:szCs w:val="22"/>
        </w:rPr>
        <w:t>the United States.</w:t>
      </w:r>
      <w:r>
        <w:rPr>
          <w:rStyle w:val="FootnoteReference"/>
          <w:sz w:val="22"/>
          <w:szCs w:val="22"/>
        </w:rPr>
        <w:footnoteReference w:id="15"/>
      </w:r>
      <w:r w:rsidRPr="00534E7C">
        <w:rPr>
          <w:szCs w:val="22"/>
        </w:rPr>
        <w:t xml:space="preserve">  PTC-220 has acquired spectrum in </w:t>
      </w:r>
      <w:r w:rsidRPr="00534E7C" w:rsidR="004A6976">
        <w:rPr>
          <w:szCs w:val="22"/>
        </w:rPr>
        <w:t xml:space="preserve">both </w:t>
      </w:r>
      <w:r w:rsidRPr="00534E7C">
        <w:rPr>
          <w:szCs w:val="22"/>
        </w:rPr>
        <w:t xml:space="preserve">the </w:t>
      </w:r>
      <w:bookmarkStart w:id="34" w:name="_Hlk134106947"/>
      <w:r w:rsidRPr="00534E7C">
        <w:rPr>
          <w:szCs w:val="22"/>
        </w:rPr>
        <w:t>220 MHz Band</w:t>
      </w:r>
      <w:bookmarkEnd w:id="34"/>
      <w:r w:rsidRPr="00534E7C">
        <w:rPr>
          <w:szCs w:val="22"/>
        </w:rPr>
        <w:t xml:space="preserve"> and</w:t>
      </w:r>
      <w:r w:rsidRPr="00534E7C" w:rsidR="00351EE3">
        <w:rPr>
          <w:szCs w:val="22"/>
        </w:rPr>
        <w:t xml:space="preserve">, more recently, </w:t>
      </w:r>
      <w:r w:rsidRPr="00534E7C">
        <w:rPr>
          <w:szCs w:val="22"/>
        </w:rPr>
        <w:t xml:space="preserve">in the adjacent Automated Maritime Telecommunications System (AMTS) Band to implement PTC.  </w:t>
      </w:r>
      <w:r w:rsidRPr="00534E7C" w:rsidR="000D2D05">
        <w:rPr>
          <w:szCs w:val="22"/>
        </w:rPr>
        <w:t xml:space="preserve">PTC-220 </w:t>
      </w:r>
      <w:r w:rsidRPr="00534E7C" w:rsidR="000978A5">
        <w:rPr>
          <w:szCs w:val="22"/>
        </w:rPr>
        <w:t xml:space="preserve">also </w:t>
      </w:r>
      <w:r w:rsidRPr="00534E7C" w:rsidR="000D2D05">
        <w:rPr>
          <w:szCs w:val="22"/>
        </w:rPr>
        <w:t xml:space="preserve">leases </w:t>
      </w:r>
      <w:r w:rsidRPr="00534E7C" w:rsidR="000978A5">
        <w:rPr>
          <w:szCs w:val="22"/>
        </w:rPr>
        <w:t xml:space="preserve">its </w:t>
      </w:r>
      <w:r w:rsidRPr="00534E7C" w:rsidR="000D2D05">
        <w:rPr>
          <w:szCs w:val="22"/>
        </w:rPr>
        <w:t xml:space="preserve">spectrum to </w:t>
      </w:r>
      <w:r w:rsidRPr="00534E7C" w:rsidR="004A33B5">
        <w:rPr>
          <w:szCs w:val="22"/>
        </w:rPr>
        <w:t xml:space="preserve">numerous </w:t>
      </w:r>
      <w:r w:rsidRPr="00534E7C" w:rsidR="002860ED">
        <w:rPr>
          <w:szCs w:val="22"/>
        </w:rPr>
        <w:t xml:space="preserve">other </w:t>
      </w:r>
      <w:r w:rsidRPr="00534E7C" w:rsidR="000D2D05">
        <w:rPr>
          <w:szCs w:val="22"/>
        </w:rPr>
        <w:t>railroads</w:t>
      </w:r>
      <w:r w:rsidRPr="00534E7C" w:rsidR="00C055AA">
        <w:rPr>
          <w:szCs w:val="22"/>
        </w:rPr>
        <w:t xml:space="preserve">, including passenger and commuter railroads, </w:t>
      </w:r>
      <w:r w:rsidRPr="00534E7C" w:rsidR="002860ED">
        <w:rPr>
          <w:szCs w:val="22"/>
        </w:rPr>
        <w:t xml:space="preserve">to enable </w:t>
      </w:r>
      <w:r w:rsidRPr="00534E7C" w:rsidR="000D2D05">
        <w:rPr>
          <w:szCs w:val="22"/>
        </w:rPr>
        <w:t>their PTC implementation.</w:t>
      </w:r>
      <w:r>
        <w:rPr>
          <w:rStyle w:val="FootnoteReference"/>
          <w:sz w:val="22"/>
          <w:szCs w:val="22"/>
        </w:rPr>
        <w:footnoteReference w:id="16"/>
      </w:r>
    </w:p>
    <w:p w:rsidR="00EF211B" w:rsidRPr="00534E7C" w:rsidP="00FE6688" w14:paraId="410F3414" w14:textId="4979AE37">
      <w:pPr>
        <w:pStyle w:val="ParaNum"/>
        <w:rPr>
          <w:szCs w:val="22"/>
        </w:rPr>
      </w:pPr>
      <w:bookmarkStart w:id="35" w:name="_Toc117162326"/>
      <w:bookmarkStart w:id="36" w:name="_Toc117170586"/>
      <w:bookmarkStart w:id="37" w:name="_Toc117179060"/>
      <w:bookmarkStart w:id="38" w:name="_Toc117516984"/>
      <w:bookmarkStart w:id="39" w:name="_Toc117517898"/>
      <w:bookmarkStart w:id="40" w:name="_Toc117518442"/>
      <w:bookmarkStart w:id="41" w:name="_Toc117518862"/>
      <w:bookmarkStart w:id="42" w:name="_Toc120523612"/>
      <w:r w:rsidRPr="00534E7C">
        <w:rPr>
          <w:i/>
          <w:iCs/>
          <w:szCs w:val="22"/>
        </w:rPr>
        <w:t xml:space="preserve">220 MHz Band </w:t>
      </w:r>
      <w:r w:rsidRPr="00534E7C" w:rsidR="00AB3664">
        <w:rPr>
          <w:i/>
          <w:iCs/>
          <w:szCs w:val="22"/>
        </w:rPr>
        <w:t>Licenses</w:t>
      </w:r>
      <w:bookmarkEnd w:id="35"/>
      <w:bookmarkEnd w:id="36"/>
      <w:bookmarkEnd w:id="37"/>
      <w:bookmarkEnd w:id="38"/>
      <w:bookmarkEnd w:id="39"/>
      <w:bookmarkEnd w:id="40"/>
      <w:bookmarkEnd w:id="41"/>
      <w:bookmarkEnd w:id="42"/>
      <w:r w:rsidRPr="00534E7C" w:rsidR="00FE6688">
        <w:rPr>
          <w:szCs w:val="22"/>
        </w:rPr>
        <w:t xml:space="preserve">.  </w:t>
      </w:r>
      <w:r w:rsidRPr="00534E7C">
        <w:rPr>
          <w:szCs w:val="22"/>
        </w:rPr>
        <w:t xml:space="preserve">PTC-220 </w:t>
      </w:r>
      <w:r w:rsidRPr="00534E7C" w:rsidR="00880F88">
        <w:rPr>
          <w:szCs w:val="22"/>
        </w:rPr>
        <w:t>h</w:t>
      </w:r>
      <w:r w:rsidRPr="00534E7C">
        <w:rPr>
          <w:szCs w:val="22"/>
        </w:rPr>
        <w:t xml:space="preserve">olds </w:t>
      </w:r>
      <w:r w:rsidRPr="00534E7C" w:rsidR="00FC31BA">
        <w:rPr>
          <w:szCs w:val="22"/>
        </w:rPr>
        <w:t xml:space="preserve">thirty-one </w:t>
      </w:r>
      <w:r w:rsidRPr="00534E7C">
        <w:rPr>
          <w:szCs w:val="22"/>
        </w:rPr>
        <w:t xml:space="preserve">220 MHz Band </w:t>
      </w:r>
      <w:r w:rsidRPr="00534E7C" w:rsidR="00880F88">
        <w:rPr>
          <w:szCs w:val="22"/>
        </w:rPr>
        <w:t xml:space="preserve">geographic-area </w:t>
      </w:r>
      <w:r w:rsidRPr="00534E7C">
        <w:rPr>
          <w:szCs w:val="22"/>
        </w:rPr>
        <w:t xml:space="preserve">licenses (including </w:t>
      </w:r>
      <w:r w:rsidRPr="00534E7C" w:rsidR="00684D01">
        <w:rPr>
          <w:szCs w:val="22"/>
        </w:rPr>
        <w:t xml:space="preserve">Phase I and Phase II </w:t>
      </w:r>
      <w:r w:rsidRPr="00534E7C" w:rsidR="001E56B7">
        <w:rPr>
          <w:szCs w:val="22"/>
        </w:rPr>
        <w:t>N</w:t>
      </w:r>
      <w:r w:rsidRPr="00534E7C">
        <w:rPr>
          <w:szCs w:val="22"/>
        </w:rPr>
        <w:t xml:space="preserve">ationwide, </w:t>
      </w:r>
      <w:r w:rsidRPr="00534E7C" w:rsidR="001E56B7">
        <w:rPr>
          <w:szCs w:val="22"/>
        </w:rPr>
        <w:t>Regional Economic Area Group (REAG)</w:t>
      </w:r>
      <w:r w:rsidRPr="00534E7C">
        <w:rPr>
          <w:color w:val="000000"/>
          <w:szCs w:val="22"/>
        </w:rPr>
        <w:t xml:space="preserve">, and </w:t>
      </w:r>
      <w:r w:rsidRPr="00534E7C" w:rsidR="001E56B7">
        <w:rPr>
          <w:color w:val="000000"/>
          <w:szCs w:val="22"/>
        </w:rPr>
        <w:t>Ec</w:t>
      </w:r>
      <w:r w:rsidRPr="00534E7C">
        <w:rPr>
          <w:color w:val="000000"/>
          <w:szCs w:val="22"/>
        </w:rPr>
        <w:t xml:space="preserve">onomic </w:t>
      </w:r>
      <w:r w:rsidRPr="00534E7C" w:rsidR="001E56B7">
        <w:rPr>
          <w:color w:val="000000"/>
          <w:szCs w:val="22"/>
        </w:rPr>
        <w:t xml:space="preserve">Area </w:t>
      </w:r>
      <w:r w:rsidRPr="00534E7C">
        <w:rPr>
          <w:szCs w:val="22"/>
        </w:rPr>
        <w:t>licenses)</w:t>
      </w:r>
      <w:r>
        <w:rPr>
          <w:rStyle w:val="FootnoteReference"/>
          <w:sz w:val="22"/>
          <w:szCs w:val="22"/>
        </w:rPr>
        <w:footnoteReference w:id="17"/>
      </w:r>
      <w:r w:rsidRPr="00534E7C">
        <w:rPr>
          <w:szCs w:val="22"/>
        </w:rPr>
        <w:t xml:space="preserve"> for its members </w:t>
      </w:r>
      <w:r w:rsidRPr="00534E7C" w:rsidR="00715E3D">
        <w:rPr>
          <w:szCs w:val="22"/>
        </w:rPr>
        <w:t xml:space="preserve">and </w:t>
      </w:r>
      <w:r w:rsidRPr="00534E7C" w:rsidR="00E42969">
        <w:rPr>
          <w:szCs w:val="22"/>
        </w:rPr>
        <w:t xml:space="preserve">their tenant railroads </w:t>
      </w:r>
      <w:r w:rsidRPr="00534E7C">
        <w:rPr>
          <w:szCs w:val="22"/>
        </w:rPr>
        <w:t>to deploy PTC.</w:t>
      </w:r>
      <w:r>
        <w:rPr>
          <w:rStyle w:val="FootnoteReference"/>
          <w:sz w:val="22"/>
          <w:szCs w:val="22"/>
        </w:rPr>
        <w:footnoteReference w:id="18"/>
      </w:r>
      <w:r w:rsidRPr="00534E7C" w:rsidR="00247FFC">
        <w:rPr>
          <w:szCs w:val="22"/>
        </w:rPr>
        <w:t xml:space="preserve">  </w:t>
      </w:r>
      <w:r w:rsidRPr="00534E7C" w:rsidR="000A32CE">
        <w:rPr>
          <w:szCs w:val="22"/>
        </w:rPr>
        <w:t>PTC-220</w:t>
      </w:r>
      <w:r w:rsidRPr="00534E7C" w:rsidR="00A0073F">
        <w:rPr>
          <w:szCs w:val="22"/>
        </w:rPr>
        <w:t xml:space="preserve"> also leases spectrum for its members to deploy PTC under </w:t>
      </w:r>
      <w:r w:rsidRPr="00534E7C" w:rsidR="00481070">
        <w:rPr>
          <w:szCs w:val="22"/>
        </w:rPr>
        <w:t>six</w:t>
      </w:r>
      <w:r w:rsidRPr="00534E7C" w:rsidR="000A32CE">
        <w:rPr>
          <w:szCs w:val="22"/>
        </w:rPr>
        <w:t xml:space="preserve"> </w:t>
      </w:r>
      <w:r w:rsidRPr="00534E7C" w:rsidR="000A6AA5">
        <w:rPr>
          <w:szCs w:val="22"/>
        </w:rPr>
        <w:t xml:space="preserve">220 MHz Band </w:t>
      </w:r>
      <w:r w:rsidRPr="00534E7C" w:rsidR="00A200A8">
        <w:rPr>
          <w:szCs w:val="22"/>
        </w:rPr>
        <w:t xml:space="preserve">REAG </w:t>
      </w:r>
      <w:r w:rsidRPr="00534E7C" w:rsidR="00481070">
        <w:rPr>
          <w:szCs w:val="22"/>
        </w:rPr>
        <w:t>license</w:t>
      </w:r>
      <w:r w:rsidRPr="00534E7C" w:rsidR="00A200A8">
        <w:rPr>
          <w:szCs w:val="22"/>
        </w:rPr>
        <w:t>s</w:t>
      </w:r>
      <w:r w:rsidRPr="00534E7C" w:rsidR="00481070">
        <w:rPr>
          <w:szCs w:val="22"/>
        </w:rPr>
        <w:t xml:space="preserve"> </w:t>
      </w:r>
      <w:r w:rsidRPr="00534E7C" w:rsidR="00A200A8">
        <w:rPr>
          <w:szCs w:val="22"/>
        </w:rPr>
        <w:t xml:space="preserve">held by the </w:t>
      </w:r>
      <w:r w:rsidRPr="00534E7C" w:rsidR="00A200A8">
        <w:rPr>
          <w:szCs w:val="22"/>
        </w:rPr>
        <w:t>Association of American Railroads (</w:t>
      </w:r>
      <w:r w:rsidRPr="00534E7C" w:rsidR="00F450BA">
        <w:rPr>
          <w:szCs w:val="22"/>
        </w:rPr>
        <w:t>AAR Spectrum Leases</w:t>
      </w:r>
      <w:r w:rsidRPr="00534E7C" w:rsidR="00A200A8">
        <w:rPr>
          <w:szCs w:val="22"/>
        </w:rPr>
        <w:t>).</w:t>
      </w:r>
      <w:r>
        <w:rPr>
          <w:rStyle w:val="FootnoteReference"/>
          <w:sz w:val="22"/>
          <w:szCs w:val="22"/>
        </w:rPr>
        <w:footnoteReference w:id="19"/>
      </w:r>
    </w:p>
    <w:p w:rsidR="00AD4755" w:rsidRPr="00534E7C" w:rsidP="006E77DE" w14:paraId="7C49E26B" w14:textId="5C1D5C81">
      <w:pPr>
        <w:pStyle w:val="ParaNum"/>
        <w:rPr>
          <w:szCs w:val="22"/>
        </w:rPr>
      </w:pPr>
      <w:bookmarkStart w:id="43" w:name="_Toc117162328"/>
      <w:bookmarkStart w:id="44" w:name="_Toc117170588"/>
      <w:bookmarkStart w:id="45" w:name="_Toc117179062"/>
      <w:bookmarkStart w:id="46" w:name="_Toc117516986"/>
      <w:bookmarkStart w:id="47" w:name="_Toc117517900"/>
      <w:bookmarkStart w:id="48" w:name="_Toc117518444"/>
      <w:bookmarkStart w:id="49" w:name="_Toc117518864"/>
      <w:r w:rsidRPr="00534E7C">
        <w:rPr>
          <w:i/>
          <w:iCs/>
          <w:szCs w:val="22"/>
        </w:rPr>
        <w:t>2009 Waiver</w:t>
      </w:r>
      <w:r w:rsidRPr="00534E7C" w:rsidR="00517299">
        <w:rPr>
          <w:i/>
          <w:iCs/>
          <w:szCs w:val="22"/>
        </w:rPr>
        <w:t xml:space="preserve"> Order</w:t>
      </w:r>
      <w:bookmarkEnd w:id="43"/>
      <w:bookmarkEnd w:id="44"/>
      <w:bookmarkEnd w:id="45"/>
      <w:bookmarkEnd w:id="46"/>
      <w:bookmarkEnd w:id="47"/>
      <w:bookmarkEnd w:id="48"/>
      <w:bookmarkEnd w:id="49"/>
      <w:r w:rsidRPr="00534E7C" w:rsidR="006E77DE">
        <w:rPr>
          <w:szCs w:val="22"/>
        </w:rPr>
        <w:t xml:space="preserve">.  </w:t>
      </w:r>
      <w:r w:rsidRPr="00534E7C">
        <w:rPr>
          <w:szCs w:val="22"/>
        </w:rPr>
        <w:t>In</w:t>
      </w:r>
      <w:r w:rsidRPr="00534E7C" w:rsidR="00052819">
        <w:rPr>
          <w:szCs w:val="22"/>
        </w:rPr>
        <w:t xml:space="preserve"> </w:t>
      </w:r>
      <w:r w:rsidRPr="00534E7C" w:rsidR="003653C3">
        <w:rPr>
          <w:szCs w:val="22"/>
        </w:rPr>
        <w:t xml:space="preserve">the </w:t>
      </w:r>
      <w:r w:rsidRPr="00534E7C" w:rsidR="00FE171D">
        <w:rPr>
          <w:i/>
          <w:iCs/>
          <w:szCs w:val="22"/>
        </w:rPr>
        <w:t>2009 Waiver Order</w:t>
      </w:r>
      <w:r w:rsidRPr="00534E7C">
        <w:rPr>
          <w:szCs w:val="22"/>
        </w:rPr>
        <w:t xml:space="preserve">, the Bureau granted PTC-220 </w:t>
      </w:r>
      <w:r w:rsidRPr="00534E7C">
        <w:rPr>
          <w:szCs w:val="22"/>
        </w:rPr>
        <w:t xml:space="preserve">a </w:t>
      </w:r>
      <w:r w:rsidRPr="00534E7C">
        <w:rPr>
          <w:szCs w:val="22"/>
        </w:rPr>
        <w:t>waiver of four 220 MHz Band operational rules</w:t>
      </w:r>
      <w:r w:rsidRPr="00534E7C" w:rsidR="00CA6501">
        <w:rPr>
          <w:szCs w:val="22"/>
        </w:rPr>
        <w:t xml:space="preserve"> </w:t>
      </w:r>
      <w:r w:rsidRPr="00534E7C">
        <w:rPr>
          <w:szCs w:val="22"/>
        </w:rPr>
        <w:t xml:space="preserve">to enable deployment of PTC systems in the 220 MHz </w:t>
      </w:r>
      <w:r w:rsidRPr="00534E7C" w:rsidR="00136A40">
        <w:rPr>
          <w:szCs w:val="22"/>
        </w:rPr>
        <w:t>B</w:t>
      </w:r>
      <w:r w:rsidRPr="00534E7C">
        <w:rPr>
          <w:szCs w:val="22"/>
        </w:rPr>
        <w:t>and.</w:t>
      </w:r>
      <w:r>
        <w:rPr>
          <w:rStyle w:val="FootnoteReference"/>
          <w:sz w:val="22"/>
          <w:szCs w:val="22"/>
        </w:rPr>
        <w:footnoteReference w:id="20"/>
      </w:r>
      <w:r w:rsidRPr="00534E7C" w:rsidR="00DC398B">
        <w:rPr>
          <w:szCs w:val="22"/>
        </w:rPr>
        <w:t xml:space="preserve">  The four rules include: </w:t>
      </w:r>
      <w:r w:rsidRPr="00534E7C" w:rsidR="00E33358">
        <w:rPr>
          <w:szCs w:val="22"/>
        </w:rPr>
        <w:t xml:space="preserve"> </w:t>
      </w:r>
      <w:r w:rsidRPr="00534E7C" w:rsidR="00DC398B">
        <w:rPr>
          <w:szCs w:val="22"/>
        </w:rPr>
        <w:t>sections 90.713(a) and 90.717(b) (</w:t>
      </w:r>
      <w:r w:rsidRPr="00534E7C" w:rsidR="004C3A66">
        <w:rPr>
          <w:szCs w:val="22"/>
        </w:rPr>
        <w:t xml:space="preserve">restricting certain 220 MHz Band </w:t>
      </w:r>
      <w:r w:rsidRPr="00534E7C" w:rsidR="00796596">
        <w:rPr>
          <w:szCs w:val="22"/>
        </w:rPr>
        <w:t xml:space="preserve">nationwide </w:t>
      </w:r>
      <w:r w:rsidRPr="00534E7C" w:rsidR="004C3A66">
        <w:rPr>
          <w:szCs w:val="22"/>
        </w:rPr>
        <w:t xml:space="preserve">licenses to </w:t>
      </w:r>
      <w:r w:rsidRPr="00534E7C" w:rsidR="00DC398B">
        <w:rPr>
          <w:szCs w:val="22"/>
        </w:rPr>
        <w:t>commercial use); section 90.715</w:t>
      </w:r>
      <w:r w:rsidRPr="00534E7C" w:rsidR="00E8060B">
        <w:rPr>
          <w:szCs w:val="22"/>
        </w:rPr>
        <w:t>(a)</w:t>
      </w:r>
      <w:r w:rsidRPr="00534E7C" w:rsidR="00DC398B">
        <w:rPr>
          <w:szCs w:val="22"/>
        </w:rPr>
        <w:t xml:space="preserve"> (</w:t>
      </w:r>
      <w:r w:rsidRPr="00534E7C" w:rsidR="004C3A66">
        <w:rPr>
          <w:szCs w:val="22"/>
        </w:rPr>
        <w:t xml:space="preserve">assigning base station frequencies from the 220-221 MHz band </w:t>
      </w:r>
      <w:r w:rsidRPr="00534E7C" w:rsidR="00C77B05">
        <w:rPr>
          <w:szCs w:val="22"/>
        </w:rPr>
        <w:t xml:space="preserve">segment </w:t>
      </w:r>
      <w:r w:rsidRPr="00534E7C" w:rsidR="00940F73">
        <w:rPr>
          <w:szCs w:val="22"/>
        </w:rPr>
        <w:t xml:space="preserve">and </w:t>
      </w:r>
      <w:r w:rsidRPr="00534E7C" w:rsidR="004C3A66">
        <w:rPr>
          <w:szCs w:val="22"/>
        </w:rPr>
        <w:t xml:space="preserve">mobile </w:t>
      </w:r>
      <w:r w:rsidRPr="00534E7C" w:rsidR="000978A5">
        <w:rPr>
          <w:szCs w:val="22"/>
        </w:rPr>
        <w:t xml:space="preserve">station </w:t>
      </w:r>
      <w:r w:rsidRPr="00534E7C" w:rsidR="004C3A66">
        <w:rPr>
          <w:szCs w:val="22"/>
        </w:rPr>
        <w:t>frequencies</w:t>
      </w:r>
      <w:r w:rsidRPr="00534E7C" w:rsidR="00940F73">
        <w:rPr>
          <w:szCs w:val="22"/>
        </w:rPr>
        <w:t xml:space="preserve"> </w:t>
      </w:r>
      <w:r w:rsidRPr="00534E7C" w:rsidR="004C3A66">
        <w:rPr>
          <w:szCs w:val="22"/>
        </w:rPr>
        <w:t>from the 221-222 MHz band</w:t>
      </w:r>
      <w:r w:rsidRPr="00534E7C" w:rsidR="00C77B05">
        <w:rPr>
          <w:szCs w:val="22"/>
        </w:rPr>
        <w:t xml:space="preserve"> segment</w:t>
      </w:r>
      <w:r w:rsidRPr="00534E7C" w:rsidR="00DC398B">
        <w:rPr>
          <w:szCs w:val="22"/>
        </w:rPr>
        <w:t xml:space="preserve">); and </w:t>
      </w:r>
      <w:r w:rsidRPr="00534E7C" w:rsidR="001454C5">
        <w:rPr>
          <w:szCs w:val="22"/>
        </w:rPr>
        <w:t xml:space="preserve">section </w:t>
      </w:r>
      <w:r w:rsidRPr="00534E7C" w:rsidR="004C3A66">
        <w:rPr>
          <w:szCs w:val="22"/>
        </w:rPr>
        <w:t>90.735 (</w:t>
      </w:r>
      <w:r w:rsidRPr="00534E7C" w:rsidR="000978A5">
        <w:rPr>
          <w:szCs w:val="22"/>
        </w:rPr>
        <w:t xml:space="preserve">requiring </w:t>
      </w:r>
      <w:r w:rsidRPr="00534E7C" w:rsidR="004C3A66">
        <w:rPr>
          <w:szCs w:val="22"/>
        </w:rPr>
        <w:t>station identification).</w:t>
      </w:r>
      <w:r>
        <w:rPr>
          <w:rStyle w:val="FootnoteReference"/>
          <w:sz w:val="22"/>
          <w:szCs w:val="22"/>
        </w:rPr>
        <w:footnoteReference w:id="21"/>
      </w:r>
    </w:p>
    <w:p w:rsidR="00AA2E0F" w:rsidRPr="00534E7C" w:rsidP="00B528F1" w14:paraId="5A3E0E3B" w14:textId="56B80E3E">
      <w:pPr>
        <w:pStyle w:val="ParaNum"/>
        <w:rPr>
          <w:szCs w:val="22"/>
        </w:rPr>
      </w:pPr>
      <w:r w:rsidRPr="00534E7C">
        <w:rPr>
          <w:szCs w:val="22"/>
        </w:rPr>
        <w:t>The Bureau found that waiver of section 90.715’s base/mobile configuration requirements would serve the public interest by enabling PTC deployment “in highly congested areas shared by multiple freight and commuter railroads.”</w:t>
      </w:r>
      <w:r>
        <w:rPr>
          <w:rStyle w:val="FootnoteReference"/>
          <w:sz w:val="22"/>
          <w:szCs w:val="22"/>
        </w:rPr>
        <w:footnoteReference w:id="22"/>
      </w:r>
      <w:r w:rsidRPr="00534E7C" w:rsidR="007E1B6F">
        <w:rPr>
          <w:szCs w:val="22"/>
        </w:rPr>
        <w:t xml:space="preserve">  It also found that waiver of the commercial use restrictions contained in sections 90.713(a) and 90.717(b) would </w:t>
      </w:r>
      <w:r w:rsidRPr="00534E7C" w:rsidR="00682B34">
        <w:rPr>
          <w:szCs w:val="22"/>
        </w:rPr>
        <w:t xml:space="preserve">promote </w:t>
      </w:r>
      <w:r w:rsidRPr="00534E7C" w:rsidR="007E1B6F">
        <w:rPr>
          <w:szCs w:val="22"/>
        </w:rPr>
        <w:t>the public int</w:t>
      </w:r>
      <w:r w:rsidRPr="00534E7C" w:rsidR="00682B34">
        <w:rPr>
          <w:szCs w:val="22"/>
        </w:rPr>
        <w:t>e</w:t>
      </w:r>
      <w:r w:rsidRPr="00534E7C" w:rsidR="007E1B6F">
        <w:rPr>
          <w:szCs w:val="22"/>
        </w:rPr>
        <w:t>r</w:t>
      </w:r>
      <w:r w:rsidRPr="00534E7C" w:rsidR="00682B34">
        <w:rPr>
          <w:szCs w:val="22"/>
        </w:rPr>
        <w:t>e</w:t>
      </w:r>
      <w:r w:rsidRPr="00534E7C" w:rsidR="007E1B6F">
        <w:rPr>
          <w:szCs w:val="22"/>
        </w:rPr>
        <w:t>st by</w:t>
      </w:r>
      <w:r w:rsidRPr="00534E7C" w:rsidR="00B055C2">
        <w:rPr>
          <w:szCs w:val="22"/>
        </w:rPr>
        <w:t xml:space="preserve"> </w:t>
      </w:r>
      <w:r w:rsidRPr="00534E7C" w:rsidR="007E1B6F">
        <w:rPr>
          <w:szCs w:val="22"/>
        </w:rPr>
        <w:t>allowing PTC-220 to implement a PTC system on a private basis.</w:t>
      </w:r>
      <w:r>
        <w:rPr>
          <w:rStyle w:val="FootnoteReference"/>
          <w:sz w:val="22"/>
          <w:szCs w:val="22"/>
        </w:rPr>
        <w:footnoteReference w:id="23"/>
      </w:r>
      <w:r w:rsidRPr="00534E7C" w:rsidR="00B055C2">
        <w:rPr>
          <w:szCs w:val="22"/>
        </w:rPr>
        <w:t xml:space="preserve"> </w:t>
      </w:r>
      <w:r w:rsidRPr="00534E7C">
        <w:rPr>
          <w:szCs w:val="22"/>
        </w:rPr>
        <w:t xml:space="preserve"> </w:t>
      </w:r>
      <w:r w:rsidRPr="00534E7C" w:rsidR="00AD4755">
        <w:rPr>
          <w:szCs w:val="22"/>
        </w:rPr>
        <w:t>The Bureau emphasized that the relief was “inextricably tied” to the PTC mandate and the substantial public interest benefits that would accrue from a nationwide interoperable rail safety network.</w:t>
      </w:r>
      <w:r>
        <w:rPr>
          <w:rStyle w:val="FootnoteReference"/>
          <w:sz w:val="22"/>
          <w:szCs w:val="22"/>
        </w:rPr>
        <w:footnoteReference w:id="24"/>
      </w:r>
      <w:r w:rsidRPr="00534E7C" w:rsidR="006E77DE">
        <w:rPr>
          <w:szCs w:val="22"/>
        </w:rPr>
        <w:t xml:space="preserve">  </w:t>
      </w:r>
      <w:r w:rsidRPr="00534E7C" w:rsidR="003230DF">
        <w:rPr>
          <w:szCs w:val="22"/>
        </w:rPr>
        <w:t>F</w:t>
      </w:r>
      <w:r w:rsidRPr="00534E7C" w:rsidR="008E307C">
        <w:rPr>
          <w:szCs w:val="22"/>
        </w:rPr>
        <w:t xml:space="preserve">ollowing grant of the </w:t>
      </w:r>
      <w:r w:rsidRPr="00534E7C" w:rsidR="004C3D0E">
        <w:rPr>
          <w:szCs w:val="22"/>
        </w:rPr>
        <w:t xml:space="preserve">four </w:t>
      </w:r>
      <w:r w:rsidRPr="00534E7C" w:rsidR="008E307C">
        <w:rPr>
          <w:szCs w:val="22"/>
        </w:rPr>
        <w:t xml:space="preserve">rule waivers, PTC-220 acquired </w:t>
      </w:r>
      <w:r w:rsidRPr="00534E7C" w:rsidR="00705619">
        <w:rPr>
          <w:szCs w:val="22"/>
        </w:rPr>
        <w:t xml:space="preserve">numerous </w:t>
      </w:r>
      <w:r w:rsidRPr="00534E7C" w:rsidR="008E307C">
        <w:rPr>
          <w:szCs w:val="22"/>
        </w:rPr>
        <w:t xml:space="preserve">additional 220 MHz Band licenses.  </w:t>
      </w:r>
      <w:r w:rsidRPr="00534E7C" w:rsidR="00C64822">
        <w:rPr>
          <w:szCs w:val="22"/>
        </w:rPr>
        <w:t>T</w:t>
      </w:r>
      <w:r w:rsidRPr="00534E7C" w:rsidR="008E307C">
        <w:rPr>
          <w:szCs w:val="22"/>
        </w:rPr>
        <w:t xml:space="preserve">he Bureau extended the 2009 rule waivers to these </w:t>
      </w:r>
      <w:r w:rsidRPr="00534E7C" w:rsidR="00EA5F66">
        <w:rPr>
          <w:szCs w:val="22"/>
        </w:rPr>
        <w:t xml:space="preserve">subsequently-acquired </w:t>
      </w:r>
      <w:r w:rsidRPr="00534E7C" w:rsidR="008E307C">
        <w:rPr>
          <w:szCs w:val="22"/>
        </w:rPr>
        <w:t>licenses</w:t>
      </w:r>
      <w:r w:rsidRPr="00534E7C" w:rsidR="00C64822">
        <w:rPr>
          <w:szCs w:val="22"/>
        </w:rPr>
        <w:t xml:space="preserve"> </w:t>
      </w:r>
      <w:r w:rsidRPr="00534E7C" w:rsidR="00351EE3">
        <w:rPr>
          <w:szCs w:val="22"/>
        </w:rPr>
        <w:t xml:space="preserve">to enable </w:t>
      </w:r>
      <w:r w:rsidRPr="00534E7C" w:rsidR="008E307C">
        <w:rPr>
          <w:szCs w:val="22"/>
        </w:rPr>
        <w:t>PTC</w:t>
      </w:r>
      <w:r w:rsidRPr="00534E7C" w:rsidR="00D05F92">
        <w:rPr>
          <w:szCs w:val="22"/>
        </w:rPr>
        <w:t xml:space="preserve"> deployment</w:t>
      </w:r>
      <w:r w:rsidRPr="00534E7C" w:rsidR="009B0D94">
        <w:rPr>
          <w:szCs w:val="22"/>
        </w:rPr>
        <w:t>.</w:t>
      </w:r>
      <w:r>
        <w:rPr>
          <w:rStyle w:val="FootnoteReference"/>
          <w:sz w:val="22"/>
          <w:szCs w:val="22"/>
        </w:rPr>
        <w:footnoteReference w:id="25"/>
      </w:r>
    </w:p>
    <w:p w:rsidR="006E77DE" w:rsidRPr="00534E7C" w:rsidP="00B528F1" w14:paraId="17043259" w14:textId="01B23AA6">
      <w:pPr>
        <w:pStyle w:val="ParaNum"/>
        <w:rPr>
          <w:szCs w:val="22"/>
        </w:rPr>
      </w:pPr>
      <w:bookmarkStart w:id="51" w:name="_Toc117162329"/>
      <w:bookmarkStart w:id="52" w:name="_Toc117170589"/>
      <w:bookmarkStart w:id="53" w:name="_Toc117179063"/>
      <w:bookmarkStart w:id="54" w:name="_Toc117516987"/>
      <w:bookmarkStart w:id="55" w:name="_Toc117517901"/>
      <w:bookmarkStart w:id="56" w:name="_Toc117518445"/>
      <w:bookmarkStart w:id="57" w:name="_Toc117518865"/>
      <w:r w:rsidRPr="00534E7C">
        <w:rPr>
          <w:i/>
          <w:iCs/>
          <w:szCs w:val="22"/>
        </w:rPr>
        <w:t xml:space="preserve">2015 </w:t>
      </w:r>
      <w:r w:rsidRPr="00534E7C" w:rsidR="00517299">
        <w:rPr>
          <w:i/>
          <w:iCs/>
          <w:szCs w:val="22"/>
        </w:rPr>
        <w:t>Wa</w:t>
      </w:r>
      <w:r w:rsidRPr="00534E7C">
        <w:rPr>
          <w:i/>
          <w:iCs/>
          <w:szCs w:val="22"/>
        </w:rPr>
        <w:t>iver</w:t>
      </w:r>
      <w:r w:rsidRPr="00534E7C" w:rsidR="00517299">
        <w:rPr>
          <w:i/>
          <w:iCs/>
          <w:szCs w:val="22"/>
        </w:rPr>
        <w:t xml:space="preserve"> Order</w:t>
      </w:r>
      <w:bookmarkEnd w:id="51"/>
      <w:bookmarkEnd w:id="52"/>
      <w:bookmarkEnd w:id="53"/>
      <w:bookmarkEnd w:id="54"/>
      <w:bookmarkEnd w:id="55"/>
      <w:bookmarkEnd w:id="56"/>
      <w:bookmarkEnd w:id="57"/>
      <w:r w:rsidRPr="00534E7C">
        <w:rPr>
          <w:szCs w:val="22"/>
        </w:rPr>
        <w:t xml:space="preserve">.  </w:t>
      </w:r>
      <w:r w:rsidRPr="00534E7C">
        <w:rPr>
          <w:szCs w:val="22"/>
        </w:rPr>
        <w:t xml:space="preserve">In </w:t>
      </w:r>
      <w:r w:rsidRPr="00534E7C" w:rsidR="00FE171D">
        <w:rPr>
          <w:szCs w:val="22"/>
        </w:rPr>
        <w:t xml:space="preserve">the </w:t>
      </w:r>
      <w:r w:rsidRPr="00534E7C">
        <w:rPr>
          <w:i/>
          <w:iCs/>
          <w:szCs w:val="22"/>
        </w:rPr>
        <w:t>2015</w:t>
      </w:r>
      <w:r w:rsidRPr="00534E7C" w:rsidR="00FE171D">
        <w:rPr>
          <w:i/>
          <w:iCs/>
          <w:szCs w:val="22"/>
        </w:rPr>
        <w:t xml:space="preserve"> Waiver Order</w:t>
      </w:r>
      <w:r w:rsidRPr="00534E7C">
        <w:rPr>
          <w:szCs w:val="22"/>
        </w:rPr>
        <w:t>, the Bureau granted PTC-220 a waiver of two additional rules to facilitate deployment of PTC</w:t>
      </w:r>
      <w:r w:rsidRPr="00534E7C" w:rsidR="00A821ED">
        <w:rPr>
          <w:szCs w:val="22"/>
        </w:rPr>
        <w:t xml:space="preserve"> </w:t>
      </w:r>
      <w:r w:rsidRPr="00534E7C" w:rsidR="009B1840">
        <w:rPr>
          <w:szCs w:val="22"/>
        </w:rPr>
        <w:t xml:space="preserve">systems </w:t>
      </w:r>
      <w:r w:rsidRPr="00534E7C" w:rsidR="00A821ED">
        <w:rPr>
          <w:szCs w:val="22"/>
        </w:rPr>
        <w:t>in the 220 MHz Band</w:t>
      </w:r>
      <w:r w:rsidRPr="00534E7C">
        <w:rPr>
          <w:szCs w:val="22"/>
        </w:rPr>
        <w:t>:</w:t>
      </w:r>
      <w:r>
        <w:rPr>
          <w:rStyle w:val="FootnoteReference"/>
          <w:sz w:val="22"/>
          <w:szCs w:val="22"/>
        </w:rPr>
        <w:footnoteReference w:id="26"/>
      </w:r>
      <w:r w:rsidRPr="00534E7C">
        <w:rPr>
          <w:szCs w:val="22"/>
        </w:rPr>
        <w:t xml:space="preserve"> </w:t>
      </w:r>
      <w:r w:rsidR="00950F93">
        <w:rPr>
          <w:szCs w:val="22"/>
        </w:rPr>
        <w:t xml:space="preserve"> </w:t>
      </w:r>
      <w:r w:rsidRPr="00534E7C">
        <w:rPr>
          <w:szCs w:val="22"/>
        </w:rPr>
        <w:t xml:space="preserve">section 90.729(b), which prohibits licensees from operating stations in the 221-222 MHz band </w:t>
      </w:r>
      <w:r w:rsidRPr="00534E7C" w:rsidR="009439F9">
        <w:rPr>
          <w:szCs w:val="22"/>
        </w:rPr>
        <w:t xml:space="preserve">segment </w:t>
      </w:r>
      <w:r w:rsidRPr="00534E7C">
        <w:rPr>
          <w:szCs w:val="22"/>
        </w:rPr>
        <w:t xml:space="preserve">with an effective radiated power (ERP) greater than 50 watts and with </w:t>
      </w:r>
      <w:r w:rsidR="00C47690">
        <w:rPr>
          <w:szCs w:val="22"/>
        </w:rPr>
        <w:t xml:space="preserve">an </w:t>
      </w:r>
      <w:r w:rsidRPr="00534E7C">
        <w:rPr>
          <w:szCs w:val="22"/>
        </w:rPr>
        <w:t>antenna height above average terrain (HAAT) higher than 7 meters;</w:t>
      </w:r>
      <w:r>
        <w:rPr>
          <w:rStyle w:val="FootnoteReference"/>
          <w:sz w:val="22"/>
          <w:szCs w:val="22"/>
        </w:rPr>
        <w:footnoteReference w:id="27"/>
      </w:r>
      <w:r w:rsidRPr="00534E7C">
        <w:rPr>
          <w:szCs w:val="22"/>
        </w:rPr>
        <w:t xml:space="preserve"> and section 90.723(f), which requires coordination between certain Phase II 220 MHz licensees’ facilities to ensure that frequencies are selected to avoid interference in the 220 MHz </w:t>
      </w:r>
      <w:r w:rsidR="005C7E77">
        <w:rPr>
          <w:szCs w:val="22"/>
        </w:rPr>
        <w:t>B</w:t>
      </w:r>
      <w:r w:rsidRPr="00534E7C">
        <w:rPr>
          <w:szCs w:val="22"/>
        </w:rPr>
        <w:t>and.</w:t>
      </w:r>
      <w:r>
        <w:rPr>
          <w:rStyle w:val="FootnoteReference"/>
          <w:sz w:val="22"/>
          <w:szCs w:val="22"/>
        </w:rPr>
        <w:footnoteReference w:id="28"/>
      </w:r>
      <w:r w:rsidRPr="00534E7C" w:rsidR="00FE6688">
        <w:rPr>
          <w:szCs w:val="22"/>
        </w:rPr>
        <w:t xml:space="preserve">  </w:t>
      </w:r>
      <w:r w:rsidRPr="00534E7C">
        <w:rPr>
          <w:szCs w:val="22"/>
        </w:rPr>
        <w:t xml:space="preserve">The Bureau </w:t>
      </w:r>
      <w:r w:rsidRPr="00534E7C" w:rsidR="00E83CBC">
        <w:rPr>
          <w:szCs w:val="22"/>
        </w:rPr>
        <w:t xml:space="preserve">stated </w:t>
      </w:r>
      <w:r w:rsidRPr="00534E7C">
        <w:rPr>
          <w:szCs w:val="22"/>
        </w:rPr>
        <w:t xml:space="preserve">that the </w:t>
      </w:r>
      <w:r w:rsidRPr="00534E7C" w:rsidR="00351EE3">
        <w:rPr>
          <w:szCs w:val="22"/>
        </w:rPr>
        <w:t xml:space="preserve">rule </w:t>
      </w:r>
      <w:r w:rsidRPr="00534E7C">
        <w:rPr>
          <w:szCs w:val="22"/>
        </w:rPr>
        <w:t>waiver</w:t>
      </w:r>
      <w:r w:rsidRPr="00534E7C" w:rsidR="00C831C4">
        <w:rPr>
          <w:szCs w:val="22"/>
        </w:rPr>
        <w:t xml:space="preserve">s </w:t>
      </w:r>
      <w:r w:rsidRPr="00534E7C">
        <w:rPr>
          <w:szCs w:val="22"/>
        </w:rPr>
        <w:t>w</w:t>
      </w:r>
      <w:r w:rsidRPr="00534E7C" w:rsidR="00351EE3">
        <w:rPr>
          <w:szCs w:val="22"/>
        </w:rPr>
        <w:t xml:space="preserve">ere </w:t>
      </w:r>
      <w:r w:rsidRPr="00534E7C" w:rsidR="009A30E0">
        <w:rPr>
          <w:szCs w:val="22"/>
        </w:rPr>
        <w:t xml:space="preserve">“inseparably </w:t>
      </w:r>
      <w:r w:rsidRPr="00534E7C">
        <w:rPr>
          <w:szCs w:val="22"/>
        </w:rPr>
        <w:t>tied</w:t>
      </w:r>
      <w:r w:rsidRPr="00534E7C" w:rsidR="009A30E0">
        <w:rPr>
          <w:szCs w:val="22"/>
        </w:rPr>
        <w:t>”</w:t>
      </w:r>
      <w:r w:rsidRPr="00534E7C">
        <w:rPr>
          <w:szCs w:val="22"/>
        </w:rPr>
        <w:t xml:space="preserve"> to Congress’ PTC mandate and </w:t>
      </w:r>
      <w:r w:rsidRPr="00534E7C" w:rsidR="00351EE3">
        <w:rPr>
          <w:szCs w:val="22"/>
        </w:rPr>
        <w:t>limited to PTC</w:t>
      </w:r>
      <w:r w:rsidRPr="00534E7C" w:rsidR="00F40225">
        <w:rPr>
          <w:szCs w:val="22"/>
        </w:rPr>
        <w:t>.</w:t>
      </w:r>
      <w:r>
        <w:rPr>
          <w:rStyle w:val="FootnoteReference"/>
          <w:sz w:val="22"/>
          <w:szCs w:val="22"/>
        </w:rPr>
        <w:footnoteReference w:id="29"/>
      </w:r>
    </w:p>
    <w:p w:rsidR="004A36B7" w:rsidRPr="00534E7C" w:rsidP="00FE6688" w14:paraId="6D9ACF18" w14:textId="73ACAAAC">
      <w:pPr>
        <w:pStyle w:val="ParaNum"/>
        <w:rPr>
          <w:szCs w:val="22"/>
        </w:rPr>
      </w:pPr>
      <w:bookmarkStart w:id="58" w:name="_Toc117162330"/>
      <w:bookmarkStart w:id="59" w:name="_Toc117170590"/>
      <w:bookmarkStart w:id="60" w:name="_Toc117179064"/>
      <w:bookmarkStart w:id="61" w:name="_Toc117516988"/>
      <w:bookmarkStart w:id="62" w:name="_Toc117517902"/>
      <w:bookmarkStart w:id="63" w:name="_Toc117518446"/>
      <w:bookmarkStart w:id="64" w:name="_Toc117518866"/>
      <w:bookmarkStart w:id="65" w:name="_Toc120523614"/>
      <w:r w:rsidRPr="00534E7C">
        <w:rPr>
          <w:i/>
          <w:iCs/>
          <w:szCs w:val="22"/>
        </w:rPr>
        <w:t>AMTS</w:t>
      </w:r>
      <w:r w:rsidRPr="00534E7C" w:rsidR="00517299">
        <w:rPr>
          <w:i/>
          <w:iCs/>
          <w:szCs w:val="22"/>
        </w:rPr>
        <w:t xml:space="preserve"> Band</w:t>
      </w:r>
      <w:r w:rsidRPr="00534E7C">
        <w:rPr>
          <w:i/>
          <w:iCs/>
          <w:szCs w:val="22"/>
        </w:rPr>
        <w:t xml:space="preserve"> </w:t>
      </w:r>
      <w:r w:rsidRPr="00534E7C" w:rsidR="00AB3664">
        <w:rPr>
          <w:i/>
          <w:iCs/>
          <w:szCs w:val="22"/>
        </w:rPr>
        <w:t>Licenses and Rule Waivers</w:t>
      </w:r>
      <w:bookmarkEnd w:id="58"/>
      <w:bookmarkEnd w:id="59"/>
      <w:bookmarkEnd w:id="60"/>
      <w:bookmarkEnd w:id="61"/>
      <w:bookmarkEnd w:id="62"/>
      <w:bookmarkEnd w:id="63"/>
      <w:bookmarkEnd w:id="64"/>
      <w:bookmarkEnd w:id="65"/>
      <w:r w:rsidRPr="00534E7C" w:rsidR="00FE6688">
        <w:rPr>
          <w:szCs w:val="22"/>
        </w:rPr>
        <w:t xml:space="preserve">.  </w:t>
      </w:r>
      <w:r w:rsidRPr="00534E7C" w:rsidR="00096D17">
        <w:rPr>
          <w:szCs w:val="22"/>
        </w:rPr>
        <w:t>Durin</w:t>
      </w:r>
      <w:r w:rsidRPr="00534E7C" w:rsidR="00C50A4D">
        <w:rPr>
          <w:szCs w:val="22"/>
        </w:rPr>
        <w:t>g</w:t>
      </w:r>
      <w:r w:rsidRPr="00534E7C" w:rsidR="00096D17">
        <w:rPr>
          <w:szCs w:val="22"/>
        </w:rPr>
        <w:t xml:space="preserve"> the cour</w:t>
      </w:r>
      <w:r w:rsidRPr="00534E7C" w:rsidR="00C50A4D">
        <w:rPr>
          <w:szCs w:val="22"/>
        </w:rPr>
        <w:t>s</w:t>
      </w:r>
      <w:r w:rsidRPr="00534E7C" w:rsidR="00096D17">
        <w:rPr>
          <w:szCs w:val="22"/>
        </w:rPr>
        <w:t>e of its members</w:t>
      </w:r>
      <w:r w:rsidRPr="00534E7C" w:rsidR="00C50A4D">
        <w:rPr>
          <w:szCs w:val="22"/>
        </w:rPr>
        <w:t xml:space="preserve">’ PTC deployments, </w:t>
      </w:r>
      <w:r w:rsidRPr="00534E7C">
        <w:rPr>
          <w:szCs w:val="22"/>
        </w:rPr>
        <w:t xml:space="preserve">PTC-220 determined that </w:t>
      </w:r>
      <w:r w:rsidRPr="00534E7C" w:rsidR="004A6976">
        <w:rPr>
          <w:szCs w:val="22"/>
        </w:rPr>
        <w:t xml:space="preserve">its 220 MHz Band </w:t>
      </w:r>
      <w:r w:rsidRPr="00534E7C">
        <w:rPr>
          <w:szCs w:val="22"/>
        </w:rPr>
        <w:t xml:space="preserve">spectrum holdings were </w:t>
      </w:r>
      <w:r w:rsidRPr="00534E7C" w:rsidR="00351EE3">
        <w:rPr>
          <w:szCs w:val="22"/>
        </w:rPr>
        <w:t>insufficient</w:t>
      </w:r>
      <w:r w:rsidRPr="00534E7C">
        <w:rPr>
          <w:szCs w:val="22"/>
        </w:rPr>
        <w:t xml:space="preserve"> for its </w:t>
      </w:r>
      <w:r w:rsidRPr="00534E7C">
        <w:rPr>
          <w:szCs w:val="22"/>
        </w:rPr>
        <w:t>members to deploy robust, reliable PTC systems in areas of congested rail operations.</w:t>
      </w:r>
      <w:r>
        <w:rPr>
          <w:rStyle w:val="FootnoteReference"/>
          <w:sz w:val="22"/>
          <w:szCs w:val="22"/>
        </w:rPr>
        <w:footnoteReference w:id="30"/>
      </w:r>
      <w:r w:rsidRPr="00534E7C" w:rsidR="007D7E43">
        <w:rPr>
          <w:szCs w:val="22"/>
        </w:rPr>
        <w:t xml:space="preserve">  </w:t>
      </w:r>
      <w:r w:rsidRPr="00534E7C" w:rsidR="00B0721F">
        <w:rPr>
          <w:szCs w:val="22"/>
        </w:rPr>
        <w:t xml:space="preserve">PTC-220 </w:t>
      </w:r>
      <w:r w:rsidR="006A4C0E">
        <w:rPr>
          <w:szCs w:val="22"/>
        </w:rPr>
        <w:t xml:space="preserve">also </w:t>
      </w:r>
      <w:r w:rsidRPr="00534E7C" w:rsidR="00A97348">
        <w:rPr>
          <w:szCs w:val="22"/>
        </w:rPr>
        <w:t xml:space="preserve">determined </w:t>
      </w:r>
      <w:r w:rsidRPr="00534E7C">
        <w:rPr>
          <w:szCs w:val="22"/>
        </w:rPr>
        <w:t xml:space="preserve">that there was insufficient 220 MHz </w:t>
      </w:r>
      <w:r w:rsidRPr="00534E7C" w:rsidR="00A97348">
        <w:rPr>
          <w:szCs w:val="22"/>
        </w:rPr>
        <w:t xml:space="preserve">Band </w:t>
      </w:r>
      <w:r w:rsidRPr="00534E7C">
        <w:rPr>
          <w:szCs w:val="22"/>
        </w:rPr>
        <w:t xml:space="preserve">spectrum available on the secondary market to meet </w:t>
      </w:r>
      <w:r w:rsidRPr="00534E7C" w:rsidR="003D35FB">
        <w:rPr>
          <w:szCs w:val="22"/>
        </w:rPr>
        <w:t xml:space="preserve">its members’ </w:t>
      </w:r>
      <w:r w:rsidRPr="00534E7C">
        <w:rPr>
          <w:szCs w:val="22"/>
        </w:rPr>
        <w:t>additional spectrum needs.</w:t>
      </w:r>
      <w:r>
        <w:rPr>
          <w:rStyle w:val="FootnoteReference"/>
          <w:sz w:val="22"/>
          <w:szCs w:val="22"/>
        </w:rPr>
        <w:footnoteReference w:id="31"/>
      </w:r>
      <w:r w:rsidRPr="00534E7C" w:rsidR="00FD74E6">
        <w:rPr>
          <w:szCs w:val="22"/>
        </w:rPr>
        <w:t xml:space="preserve">  </w:t>
      </w:r>
      <w:r w:rsidRPr="00534E7C">
        <w:rPr>
          <w:szCs w:val="22"/>
        </w:rPr>
        <w:t>To address this spectrum shortfall, PTC-220 acquired up to 500 kilohertz of spectrum in the adjacent 219.5-220 MHz portion of the AMTS Band</w:t>
      </w:r>
      <w:r w:rsidRPr="00534E7C">
        <w:rPr>
          <w:szCs w:val="22"/>
        </w:rPr>
        <w:t xml:space="preserve"> in AMTS Regions 2, 3, 4, 5, 6, and 10 (call signs WRDI936, WRQI879, WRDH825, WRDH826, WRDH972, and WRKK374, respectively), providing its members AMTS spectrum coverage </w:t>
      </w:r>
      <w:r w:rsidRPr="00534E7C" w:rsidR="00B80746">
        <w:rPr>
          <w:szCs w:val="22"/>
        </w:rPr>
        <w:t xml:space="preserve">across much of </w:t>
      </w:r>
      <w:r w:rsidRPr="00534E7C">
        <w:rPr>
          <w:szCs w:val="22"/>
        </w:rPr>
        <w:t xml:space="preserve">the </w:t>
      </w:r>
      <w:r w:rsidRPr="00534E7C" w:rsidR="00351EE3">
        <w:rPr>
          <w:szCs w:val="22"/>
        </w:rPr>
        <w:t>country</w:t>
      </w:r>
      <w:r w:rsidRPr="00534E7C">
        <w:rPr>
          <w:szCs w:val="22"/>
        </w:rPr>
        <w:t>.</w:t>
      </w:r>
      <w:r w:rsidRPr="00534E7C">
        <w:rPr>
          <w:szCs w:val="22"/>
        </w:rPr>
        <w:t xml:space="preserve">  </w:t>
      </w:r>
      <w:r w:rsidRPr="00534E7C" w:rsidR="00A97348">
        <w:rPr>
          <w:szCs w:val="22"/>
        </w:rPr>
        <w:t xml:space="preserve">PTC-220’s members’ existing </w:t>
      </w:r>
      <w:r w:rsidRPr="00534E7C" w:rsidR="003D35FB">
        <w:rPr>
          <w:szCs w:val="22"/>
        </w:rPr>
        <w:t xml:space="preserve">PTC </w:t>
      </w:r>
      <w:r w:rsidRPr="00534E7C">
        <w:rPr>
          <w:szCs w:val="22"/>
        </w:rPr>
        <w:t>radios c</w:t>
      </w:r>
      <w:r w:rsidRPr="00534E7C">
        <w:rPr>
          <w:szCs w:val="22"/>
        </w:rPr>
        <w:t xml:space="preserve">an </w:t>
      </w:r>
      <w:r w:rsidRPr="00534E7C">
        <w:rPr>
          <w:szCs w:val="22"/>
        </w:rPr>
        <w:t xml:space="preserve">already tune to these frequencies, making AMTS channels easy to “pool” with </w:t>
      </w:r>
      <w:r w:rsidRPr="00534E7C" w:rsidR="00A97348">
        <w:rPr>
          <w:szCs w:val="22"/>
        </w:rPr>
        <w:t xml:space="preserve">PTC-220’s </w:t>
      </w:r>
      <w:r w:rsidRPr="00534E7C">
        <w:rPr>
          <w:szCs w:val="22"/>
        </w:rPr>
        <w:t>220 MHz channels for use in PTC networks.</w:t>
      </w:r>
      <w:r>
        <w:rPr>
          <w:rStyle w:val="FootnoteReference"/>
          <w:sz w:val="22"/>
          <w:szCs w:val="22"/>
        </w:rPr>
        <w:footnoteReference w:id="32"/>
      </w:r>
    </w:p>
    <w:p w:rsidR="00C52319" w:rsidRPr="00534E7C" w:rsidP="00B528F1" w14:paraId="70FFB356" w14:textId="40B51E84">
      <w:pPr>
        <w:pStyle w:val="ParaNum"/>
        <w:rPr>
          <w:szCs w:val="22"/>
        </w:rPr>
      </w:pPr>
      <w:r>
        <w:rPr>
          <w:szCs w:val="22"/>
        </w:rPr>
        <w:t>In 2021, t</w:t>
      </w:r>
      <w:r w:rsidRPr="00534E7C">
        <w:rPr>
          <w:szCs w:val="22"/>
        </w:rPr>
        <w:t xml:space="preserve">he </w:t>
      </w:r>
      <w:r w:rsidRPr="00534E7C" w:rsidR="003D35FB">
        <w:rPr>
          <w:szCs w:val="22"/>
        </w:rPr>
        <w:t xml:space="preserve">Bureau </w:t>
      </w:r>
      <w:r w:rsidRPr="00534E7C" w:rsidR="004932C6">
        <w:rPr>
          <w:szCs w:val="22"/>
        </w:rPr>
        <w:t>grant</w:t>
      </w:r>
      <w:r w:rsidRPr="00534E7C" w:rsidR="003D35FB">
        <w:rPr>
          <w:szCs w:val="22"/>
        </w:rPr>
        <w:t>ed</w:t>
      </w:r>
      <w:r w:rsidRPr="00534E7C" w:rsidR="004932C6">
        <w:rPr>
          <w:szCs w:val="22"/>
        </w:rPr>
        <w:t xml:space="preserve"> PTC-220 </w:t>
      </w:r>
      <w:r w:rsidRPr="00534E7C" w:rsidR="00337835">
        <w:rPr>
          <w:szCs w:val="22"/>
        </w:rPr>
        <w:t xml:space="preserve">a </w:t>
      </w:r>
      <w:r w:rsidRPr="00534E7C" w:rsidR="004932C6">
        <w:rPr>
          <w:szCs w:val="22"/>
        </w:rPr>
        <w:t xml:space="preserve">waiver of </w:t>
      </w:r>
      <w:r w:rsidRPr="00534E7C" w:rsidR="00956863">
        <w:rPr>
          <w:szCs w:val="22"/>
        </w:rPr>
        <w:t xml:space="preserve">several </w:t>
      </w:r>
      <w:r w:rsidRPr="00534E7C" w:rsidR="004932C6">
        <w:rPr>
          <w:szCs w:val="22"/>
        </w:rPr>
        <w:t xml:space="preserve">Part 80 rules to </w:t>
      </w:r>
      <w:r w:rsidRPr="00534E7C" w:rsidR="00956863">
        <w:rPr>
          <w:szCs w:val="22"/>
        </w:rPr>
        <w:t>enable use of</w:t>
      </w:r>
      <w:r w:rsidRPr="00534E7C" w:rsidR="004932C6">
        <w:rPr>
          <w:szCs w:val="22"/>
        </w:rPr>
        <w:t xml:space="preserve"> the AMTS frequencies</w:t>
      </w:r>
      <w:r w:rsidRPr="00534E7C" w:rsidR="00956863">
        <w:rPr>
          <w:szCs w:val="22"/>
        </w:rPr>
        <w:t xml:space="preserve"> for </w:t>
      </w:r>
      <w:r w:rsidRPr="00534E7C" w:rsidR="004932C6">
        <w:rPr>
          <w:szCs w:val="22"/>
        </w:rPr>
        <w:t xml:space="preserve">PTC </w:t>
      </w:r>
      <w:r w:rsidRPr="00534E7C" w:rsidR="00555328">
        <w:rPr>
          <w:szCs w:val="22"/>
        </w:rPr>
        <w:t xml:space="preserve">as well as </w:t>
      </w:r>
      <w:r w:rsidRPr="00534E7C" w:rsidR="004932C6">
        <w:rPr>
          <w:szCs w:val="22"/>
        </w:rPr>
        <w:t xml:space="preserve">other rail safety </w:t>
      </w:r>
      <w:r w:rsidRPr="00534E7C" w:rsidR="00555328">
        <w:rPr>
          <w:szCs w:val="22"/>
        </w:rPr>
        <w:t xml:space="preserve">(i.e., non-PTC) </w:t>
      </w:r>
      <w:r w:rsidRPr="00534E7C" w:rsidR="00334975">
        <w:rPr>
          <w:szCs w:val="22"/>
        </w:rPr>
        <w:t>systems</w:t>
      </w:r>
      <w:r w:rsidRPr="00534E7C" w:rsidR="004932C6">
        <w:rPr>
          <w:szCs w:val="22"/>
        </w:rPr>
        <w:t>.</w:t>
      </w:r>
      <w:r>
        <w:rPr>
          <w:rStyle w:val="FootnoteReference"/>
          <w:sz w:val="22"/>
          <w:szCs w:val="22"/>
        </w:rPr>
        <w:footnoteReference w:id="33"/>
      </w:r>
      <w:r w:rsidRPr="00534E7C" w:rsidR="00943C16">
        <w:rPr>
          <w:szCs w:val="22"/>
        </w:rPr>
        <w:t xml:space="preserve">  PTC-220</w:t>
      </w:r>
      <w:r w:rsidRPr="00534E7C" w:rsidR="00334975">
        <w:rPr>
          <w:szCs w:val="22"/>
        </w:rPr>
        <w:t xml:space="preserve"> </w:t>
      </w:r>
      <w:r w:rsidRPr="00534E7C" w:rsidR="00943C16">
        <w:rPr>
          <w:szCs w:val="22"/>
        </w:rPr>
        <w:t xml:space="preserve">requests that we </w:t>
      </w:r>
      <w:r w:rsidRPr="00534E7C" w:rsidR="00956863">
        <w:rPr>
          <w:szCs w:val="22"/>
        </w:rPr>
        <w:t xml:space="preserve">modify </w:t>
      </w:r>
      <w:r w:rsidRPr="00534E7C" w:rsidR="00943C16">
        <w:rPr>
          <w:szCs w:val="22"/>
        </w:rPr>
        <w:t>the scope of its six 220 MHz Band rule waivers to permit</w:t>
      </w:r>
      <w:r w:rsidRPr="00534E7C" w:rsidR="00334975">
        <w:rPr>
          <w:szCs w:val="22"/>
        </w:rPr>
        <w:t xml:space="preserve"> </w:t>
      </w:r>
      <w:r w:rsidRPr="00534E7C" w:rsidR="00943C16">
        <w:rPr>
          <w:szCs w:val="22"/>
        </w:rPr>
        <w:t>deploy</w:t>
      </w:r>
      <w:r w:rsidRPr="00534E7C" w:rsidR="00334975">
        <w:rPr>
          <w:szCs w:val="22"/>
        </w:rPr>
        <w:t>ment of both PTC and o</w:t>
      </w:r>
      <w:r w:rsidRPr="00534E7C" w:rsidR="00943C16">
        <w:rPr>
          <w:szCs w:val="22"/>
        </w:rPr>
        <w:t xml:space="preserve">ther rail safety </w:t>
      </w:r>
      <w:r w:rsidRPr="00534E7C" w:rsidR="00FE6688">
        <w:rPr>
          <w:szCs w:val="22"/>
        </w:rPr>
        <w:t>systems</w:t>
      </w:r>
      <w:r w:rsidRPr="00534E7C" w:rsidR="00334975">
        <w:rPr>
          <w:szCs w:val="22"/>
        </w:rPr>
        <w:t>,</w:t>
      </w:r>
      <w:r w:rsidRPr="00534E7C" w:rsidR="00F40225">
        <w:rPr>
          <w:szCs w:val="22"/>
        </w:rPr>
        <w:t xml:space="preserve"> </w:t>
      </w:r>
      <w:r w:rsidRPr="00534E7C" w:rsidR="00555328">
        <w:rPr>
          <w:szCs w:val="22"/>
        </w:rPr>
        <w:t>consistent with</w:t>
      </w:r>
      <w:r w:rsidRPr="00534E7C" w:rsidR="00342A84">
        <w:rPr>
          <w:szCs w:val="22"/>
        </w:rPr>
        <w:t xml:space="preserve"> </w:t>
      </w:r>
      <w:r w:rsidRPr="00534E7C" w:rsidR="00555328">
        <w:rPr>
          <w:szCs w:val="22"/>
        </w:rPr>
        <w:t xml:space="preserve">the waiver relief we granted for </w:t>
      </w:r>
      <w:r w:rsidRPr="00534E7C" w:rsidR="00334975">
        <w:rPr>
          <w:szCs w:val="22"/>
        </w:rPr>
        <w:t xml:space="preserve">its </w:t>
      </w:r>
      <w:r w:rsidRPr="00534E7C" w:rsidR="00943C16">
        <w:rPr>
          <w:szCs w:val="22"/>
        </w:rPr>
        <w:t xml:space="preserve">AMTS Band </w:t>
      </w:r>
      <w:r w:rsidRPr="00534E7C" w:rsidR="00555328">
        <w:rPr>
          <w:szCs w:val="22"/>
        </w:rPr>
        <w:t>spectrum.</w:t>
      </w:r>
      <w:r>
        <w:rPr>
          <w:rStyle w:val="FootnoteReference"/>
          <w:sz w:val="22"/>
          <w:szCs w:val="22"/>
        </w:rPr>
        <w:footnoteReference w:id="34"/>
      </w:r>
      <w:r w:rsidRPr="00534E7C" w:rsidR="00956863">
        <w:rPr>
          <w:szCs w:val="22"/>
        </w:rPr>
        <w:t xml:space="preserve">   </w:t>
      </w:r>
    </w:p>
    <w:p w:rsidR="00C52319" w:rsidRPr="00534E7C" w:rsidP="00C52319" w14:paraId="1C8FE846" w14:textId="191FC98F">
      <w:pPr>
        <w:pStyle w:val="Heading1"/>
        <w:rPr>
          <w:rFonts w:ascii="Times New Roman" w:hAnsi="Times New Roman"/>
          <w:szCs w:val="22"/>
        </w:rPr>
      </w:pPr>
      <w:bookmarkStart w:id="66" w:name="_Toc117162331"/>
      <w:bookmarkStart w:id="67" w:name="_Toc117170591"/>
      <w:bookmarkStart w:id="68" w:name="_Toc117179065"/>
      <w:bookmarkStart w:id="69" w:name="_Toc117516989"/>
      <w:bookmarkStart w:id="70" w:name="_Toc117517903"/>
      <w:bookmarkStart w:id="71" w:name="_Toc117518447"/>
      <w:bookmarkStart w:id="72" w:name="_Toc117518867"/>
      <w:bookmarkStart w:id="73" w:name="_Toc120523615"/>
      <w:bookmarkStart w:id="74" w:name="_Toc121150579"/>
      <w:bookmarkStart w:id="75" w:name="_Toc126158676"/>
      <w:bookmarkStart w:id="76" w:name="_Toc126158705"/>
      <w:bookmarkStart w:id="77" w:name="_Toc127960182"/>
      <w:bookmarkStart w:id="78" w:name="_Toc127994692"/>
      <w:bookmarkStart w:id="79" w:name="_Toc128039682"/>
      <w:bookmarkStart w:id="80" w:name="_Toc128039755"/>
      <w:bookmarkStart w:id="81" w:name="_Toc128039826"/>
      <w:bookmarkStart w:id="82" w:name="_Toc131444689"/>
      <w:bookmarkStart w:id="83" w:name="_Toc131444953"/>
      <w:bookmarkStart w:id="84" w:name="_Toc131676553"/>
      <w:bookmarkStart w:id="85" w:name="_Toc133848341"/>
      <w:r w:rsidRPr="00534E7C">
        <w:rPr>
          <w:rFonts w:ascii="Times New Roman" w:hAnsi="Times New Roman"/>
          <w:szCs w:val="22"/>
        </w:rPr>
        <w:t>Discussion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1103B" w:rsidRPr="00534E7C" w:rsidP="00B528F1" w14:paraId="4C44C047" w14:textId="76B6BCDA">
      <w:pPr>
        <w:pStyle w:val="ParaNum"/>
        <w:rPr>
          <w:szCs w:val="22"/>
        </w:rPr>
      </w:pPr>
      <w:r w:rsidRPr="00534E7C">
        <w:rPr>
          <w:szCs w:val="22"/>
        </w:rPr>
        <w:t xml:space="preserve">For the reasons that follow, we find that the public interest </w:t>
      </w:r>
      <w:r w:rsidRPr="00534E7C" w:rsidR="00BC1803">
        <w:rPr>
          <w:szCs w:val="22"/>
        </w:rPr>
        <w:t>in the safety of life and p</w:t>
      </w:r>
      <w:r w:rsidRPr="00534E7C" w:rsidR="00C63A48">
        <w:rPr>
          <w:szCs w:val="22"/>
        </w:rPr>
        <w:t xml:space="preserve">roperty </w:t>
      </w:r>
      <w:r w:rsidR="004D6732">
        <w:rPr>
          <w:szCs w:val="22"/>
        </w:rPr>
        <w:t xml:space="preserve">and efficient use of spectrum </w:t>
      </w:r>
      <w:r w:rsidRPr="00534E7C">
        <w:rPr>
          <w:szCs w:val="22"/>
        </w:rPr>
        <w:t xml:space="preserve">will be served by </w:t>
      </w:r>
      <w:r w:rsidRPr="00534E7C" w:rsidR="00652D35">
        <w:rPr>
          <w:szCs w:val="22"/>
        </w:rPr>
        <w:t>granting PTC-220</w:t>
      </w:r>
      <w:r w:rsidRPr="00534E7C" w:rsidR="00190EE5">
        <w:rPr>
          <w:szCs w:val="22"/>
        </w:rPr>
        <w:t xml:space="preserve">’s request </w:t>
      </w:r>
      <w:r w:rsidRPr="00534E7C" w:rsidR="00652D35">
        <w:rPr>
          <w:szCs w:val="22"/>
        </w:rPr>
        <w:t xml:space="preserve">to </w:t>
      </w:r>
      <w:r w:rsidRPr="00534E7C" w:rsidR="00337835">
        <w:rPr>
          <w:szCs w:val="22"/>
        </w:rPr>
        <w:t xml:space="preserve">modify </w:t>
      </w:r>
      <w:r w:rsidRPr="00534E7C">
        <w:rPr>
          <w:szCs w:val="22"/>
        </w:rPr>
        <w:t xml:space="preserve">the scope of six </w:t>
      </w:r>
      <w:r w:rsidRPr="00534E7C" w:rsidR="002512AB">
        <w:rPr>
          <w:szCs w:val="22"/>
        </w:rPr>
        <w:t xml:space="preserve">220 MHz Band </w:t>
      </w:r>
      <w:r w:rsidRPr="00534E7C">
        <w:rPr>
          <w:szCs w:val="22"/>
        </w:rPr>
        <w:t>rule waivers</w:t>
      </w:r>
      <w:r w:rsidRPr="00534E7C" w:rsidR="00192732">
        <w:rPr>
          <w:szCs w:val="22"/>
        </w:rPr>
        <w:t xml:space="preserve"> </w:t>
      </w:r>
      <w:r w:rsidRPr="00534E7C">
        <w:rPr>
          <w:szCs w:val="22"/>
        </w:rPr>
        <w:t xml:space="preserve">to </w:t>
      </w:r>
      <w:r w:rsidR="00291381">
        <w:rPr>
          <w:szCs w:val="22"/>
        </w:rPr>
        <w:t>extend relief beyond PTC-specific uses to now include</w:t>
      </w:r>
      <w:r w:rsidRPr="00534E7C" w:rsidR="00291381">
        <w:rPr>
          <w:szCs w:val="22"/>
        </w:rPr>
        <w:t xml:space="preserve"> </w:t>
      </w:r>
      <w:r w:rsidRPr="00534E7C" w:rsidR="00BB3E8E">
        <w:rPr>
          <w:szCs w:val="22"/>
        </w:rPr>
        <w:t xml:space="preserve">the </w:t>
      </w:r>
      <w:r w:rsidRPr="00534E7C" w:rsidR="00652D35">
        <w:rPr>
          <w:szCs w:val="22"/>
        </w:rPr>
        <w:t>deploy</w:t>
      </w:r>
      <w:r w:rsidRPr="00534E7C" w:rsidR="00BB3E8E">
        <w:rPr>
          <w:szCs w:val="22"/>
        </w:rPr>
        <w:t xml:space="preserve">ment of additional </w:t>
      </w:r>
      <w:r w:rsidRPr="00534E7C" w:rsidR="00781691">
        <w:rPr>
          <w:szCs w:val="22"/>
        </w:rPr>
        <w:t xml:space="preserve">(non-PTC) </w:t>
      </w:r>
      <w:r w:rsidRPr="00534E7C">
        <w:rPr>
          <w:szCs w:val="22"/>
        </w:rPr>
        <w:t xml:space="preserve">rail safety </w:t>
      </w:r>
      <w:r w:rsidRPr="00534E7C" w:rsidR="00FE6688">
        <w:rPr>
          <w:szCs w:val="22"/>
        </w:rPr>
        <w:t>systems</w:t>
      </w:r>
      <w:r w:rsidRPr="00534E7C">
        <w:rPr>
          <w:szCs w:val="22"/>
        </w:rPr>
        <w:t>.</w:t>
      </w:r>
      <w:r w:rsidRPr="00534E7C" w:rsidR="000845A4">
        <w:rPr>
          <w:szCs w:val="22"/>
        </w:rPr>
        <w:t xml:space="preserve">  </w:t>
      </w:r>
      <w:r w:rsidRPr="00534E7C" w:rsidR="00461C5B">
        <w:rPr>
          <w:szCs w:val="22"/>
        </w:rPr>
        <w:t xml:space="preserve">Below, </w:t>
      </w:r>
      <w:r w:rsidRPr="00534E7C" w:rsidR="00DD5C1A">
        <w:rPr>
          <w:szCs w:val="22"/>
        </w:rPr>
        <w:t xml:space="preserve">we </w:t>
      </w:r>
      <w:r w:rsidRPr="00534E7C" w:rsidR="002D7EFB">
        <w:rPr>
          <w:szCs w:val="22"/>
        </w:rPr>
        <w:t xml:space="preserve">first address whether </w:t>
      </w:r>
      <w:r w:rsidRPr="00534E7C" w:rsidR="00540592">
        <w:rPr>
          <w:szCs w:val="22"/>
        </w:rPr>
        <w:t xml:space="preserve">modifying </w:t>
      </w:r>
      <w:r w:rsidRPr="00534E7C" w:rsidR="00A12F68">
        <w:rPr>
          <w:szCs w:val="22"/>
        </w:rPr>
        <w:t xml:space="preserve">the rule waivers </w:t>
      </w:r>
      <w:r w:rsidRPr="00534E7C" w:rsidR="002D7EFB">
        <w:rPr>
          <w:szCs w:val="22"/>
        </w:rPr>
        <w:t xml:space="preserve">would </w:t>
      </w:r>
      <w:r w:rsidR="00840D96">
        <w:rPr>
          <w:szCs w:val="22"/>
        </w:rPr>
        <w:t xml:space="preserve">be consistent with </w:t>
      </w:r>
      <w:r w:rsidRPr="00534E7C" w:rsidR="00A12F68">
        <w:rPr>
          <w:szCs w:val="22"/>
        </w:rPr>
        <w:t xml:space="preserve">their </w:t>
      </w:r>
      <w:r w:rsidRPr="00534E7C" w:rsidR="00956863">
        <w:rPr>
          <w:szCs w:val="22"/>
        </w:rPr>
        <w:t xml:space="preserve">fundamental </w:t>
      </w:r>
      <w:r w:rsidRPr="00534E7C" w:rsidR="00FC7F63">
        <w:rPr>
          <w:szCs w:val="22"/>
        </w:rPr>
        <w:t xml:space="preserve">purpose </w:t>
      </w:r>
      <w:r w:rsidRPr="00534E7C" w:rsidR="00A12ABC">
        <w:rPr>
          <w:szCs w:val="22"/>
        </w:rPr>
        <w:t xml:space="preserve">of </w:t>
      </w:r>
      <w:r w:rsidRPr="00534E7C" w:rsidR="00564423">
        <w:rPr>
          <w:szCs w:val="22"/>
        </w:rPr>
        <w:t>enabl</w:t>
      </w:r>
      <w:r w:rsidRPr="00534E7C" w:rsidR="00A12ABC">
        <w:rPr>
          <w:szCs w:val="22"/>
        </w:rPr>
        <w:t xml:space="preserve">ing </w:t>
      </w:r>
      <w:r w:rsidRPr="00534E7C" w:rsidR="00FC7F63">
        <w:rPr>
          <w:szCs w:val="22"/>
        </w:rPr>
        <w:t xml:space="preserve">PTC </w:t>
      </w:r>
      <w:r w:rsidRPr="00534E7C" w:rsidR="00A12F68">
        <w:rPr>
          <w:szCs w:val="22"/>
        </w:rPr>
        <w:t>deploym</w:t>
      </w:r>
      <w:r w:rsidRPr="00534E7C" w:rsidR="00564423">
        <w:rPr>
          <w:szCs w:val="22"/>
        </w:rPr>
        <w:t>ent</w:t>
      </w:r>
      <w:r w:rsidRPr="00534E7C" w:rsidR="00A12F68">
        <w:rPr>
          <w:szCs w:val="22"/>
        </w:rPr>
        <w:t xml:space="preserve"> </w:t>
      </w:r>
      <w:r w:rsidRPr="00534E7C" w:rsidR="00F57AED">
        <w:rPr>
          <w:szCs w:val="22"/>
        </w:rPr>
        <w:t>in the 220 MHz Band</w:t>
      </w:r>
      <w:r w:rsidRPr="00534E7C" w:rsidR="00A12F68">
        <w:rPr>
          <w:szCs w:val="22"/>
        </w:rPr>
        <w:t>.</w:t>
      </w:r>
      <w:r w:rsidRPr="00534E7C" w:rsidR="000B4A19">
        <w:rPr>
          <w:szCs w:val="22"/>
        </w:rPr>
        <w:t xml:space="preserve">  Second, we </w:t>
      </w:r>
      <w:r w:rsidRPr="00534E7C" w:rsidR="00DD5C1A">
        <w:rPr>
          <w:szCs w:val="22"/>
        </w:rPr>
        <w:t xml:space="preserve">discuss </w:t>
      </w:r>
      <w:r w:rsidRPr="00534E7C" w:rsidR="00C4535A">
        <w:rPr>
          <w:szCs w:val="22"/>
        </w:rPr>
        <w:t xml:space="preserve">the </w:t>
      </w:r>
      <w:r w:rsidRPr="00534E7C" w:rsidR="000845A4">
        <w:rPr>
          <w:szCs w:val="22"/>
        </w:rPr>
        <w:t xml:space="preserve">benefits </w:t>
      </w:r>
      <w:r w:rsidRPr="00534E7C" w:rsidR="00CD3B89">
        <w:rPr>
          <w:szCs w:val="22"/>
        </w:rPr>
        <w:t xml:space="preserve">of </w:t>
      </w:r>
      <w:r w:rsidRPr="00534E7C" w:rsidR="00192732">
        <w:rPr>
          <w:szCs w:val="22"/>
        </w:rPr>
        <w:t>allow</w:t>
      </w:r>
      <w:r w:rsidRPr="00534E7C" w:rsidR="00CD3B89">
        <w:rPr>
          <w:szCs w:val="22"/>
        </w:rPr>
        <w:t xml:space="preserve">ing </w:t>
      </w:r>
      <w:r w:rsidRPr="00534E7C" w:rsidR="009D492C">
        <w:rPr>
          <w:szCs w:val="22"/>
        </w:rPr>
        <w:t>PTC-220 to deploy</w:t>
      </w:r>
      <w:r w:rsidRPr="00534E7C" w:rsidR="00FE6688">
        <w:rPr>
          <w:szCs w:val="22"/>
        </w:rPr>
        <w:t xml:space="preserve"> additional </w:t>
      </w:r>
      <w:r w:rsidRPr="00534E7C" w:rsidR="00E075F8">
        <w:rPr>
          <w:szCs w:val="22"/>
        </w:rPr>
        <w:t xml:space="preserve">rail safety </w:t>
      </w:r>
      <w:r w:rsidRPr="00534E7C" w:rsidR="00FE6688">
        <w:rPr>
          <w:szCs w:val="22"/>
        </w:rPr>
        <w:t xml:space="preserve">systems </w:t>
      </w:r>
      <w:r w:rsidRPr="00534E7C" w:rsidR="00E075F8">
        <w:rPr>
          <w:szCs w:val="22"/>
        </w:rPr>
        <w:t>in the 220 MHz Band</w:t>
      </w:r>
      <w:r w:rsidRPr="00534E7C" w:rsidR="00781691">
        <w:rPr>
          <w:szCs w:val="22"/>
        </w:rPr>
        <w:t xml:space="preserve"> with the </w:t>
      </w:r>
      <w:r w:rsidRPr="00534E7C" w:rsidR="002D7EFB">
        <w:rPr>
          <w:szCs w:val="22"/>
        </w:rPr>
        <w:t xml:space="preserve">requested </w:t>
      </w:r>
      <w:r w:rsidRPr="00534E7C" w:rsidR="00781691">
        <w:rPr>
          <w:szCs w:val="22"/>
        </w:rPr>
        <w:t>waiver relief</w:t>
      </w:r>
      <w:r w:rsidRPr="00534E7C" w:rsidR="00461C5B">
        <w:rPr>
          <w:szCs w:val="22"/>
        </w:rPr>
        <w:t>.</w:t>
      </w:r>
      <w:r w:rsidRPr="00534E7C" w:rsidR="00AC29E7">
        <w:rPr>
          <w:szCs w:val="22"/>
        </w:rPr>
        <w:t xml:space="preserve">  </w:t>
      </w:r>
      <w:r w:rsidRPr="00534E7C" w:rsidR="000B4A19">
        <w:rPr>
          <w:szCs w:val="22"/>
        </w:rPr>
        <w:t>Third</w:t>
      </w:r>
      <w:r w:rsidRPr="00534E7C" w:rsidR="00DD5C1A">
        <w:rPr>
          <w:szCs w:val="22"/>
        </w:rPr>
        <w:t>,</w:t>
      </w:r>
      <w:r w:rsidRPr="00534E7C" w:rsidR="00AC29E7">
        <w:rPr>
          <w:szCs w:val="22"/>
        </w:rPr>
        <w:t xml:space="preserve"> w</w:t>
      </w:r>
      <w:r w:rsidRPr="00534E7C" w:rsidR="00461C5B">
        <w:rPr>
          <w:szCs w:val="22"/>
        </w:rPr>
        <w:t xml:space="preserve">e discuss </w:t>
      </w:r>
      <w:r w:rsidRPr="00534E7C" w:rsidR="00FE657A">
        <w:rPr>
          <w:szCs w:val="22"/>
        </w:rPr>
        <w:t xml:space="preserve">modification of </w:t>
      </w:r>
      <w:r w:rsidRPr="00534E7C" w:rsidR="00461C5B">
        <w:rPr>
          <w:szCs w:val="22"/>
        </w:rPr>
        <w:t xml:space="preserve">each rule waiver </w:t>
      </w:r>
      <w:r w:rsidRPr="00534E7C" w:rsidR="00B13E12">
        <w:rPr>
          <w:szCs w:val="22"/>
        </w:rPr>
        <w:t>and</w:t>
      </w:r>
      <w:r w:rsidRPr="00534E7C" w:rsidR="008811B7">
        <w:rPr>
          <w:szCs w:val="22"/>
        </w:rPr>
        <w:t xml:space="preserve"> </w:t>
      </w:r>
      <w:r w:rsidRPr="00534E7C" w:rsidR="00C37453">
        <w:rPr>
          <w:szCs w:val="22"/>
        </w:rPr>
        <w:t xml:space="preserve">related </w:t>
      </w:r>
      <w:r w:rsidRPr="00534E7C" w:rsidR="008811B7">
        <w:rPr>
          <w:szCs w:val="22"/>
        </w:rPr>
        <w:t xml:space="preserve">conditions </w:t>
      </w:r>
      <w:r w:rsidRPr="00534E7C" w:rsidR="002D7EFB">
        <w:rPr>
          <w:szCs w:val="22"/>
        </w:rPr>
        <w:t xml:space="preserve">concerning </w:t>
      </w:r>
      <w:r w:rsidRPr="00534E7C" w:rsidR="00C37453">
        <w:rPr>
          <w:szCs w:val="22"/>
        </w:rPr>
        <w:t xml:space="preserve">deployment of </w:t>
      </w:r>
      <w:r w:rsidR="00840D96">
        <w:rPr>
          <w:szCs w:val="22"/>
        </w:rPr>
        <w:t xml:space="preserve">additional rail safety </w:t>
      </w:r>
      <w:r w:rsidRPr="00534E7C" w:rsidR="00FE6688">
        <w:rPr>
          <w:szCs w:val="22"/>
        </w:rPr>
        <w:t xml:space="preserve">systems </w:t>
      </w:r>
      <w:r w:rsidRPr="00534E7C" w:rsidR="00C37453">
        <w:rPr>
          <w:szCs w:val="22"/>
        </w:rPr>
        <w:t xml:space="preserve">in the </w:t>
      </w:r>
      <w:r w:rsidRPr="00534E7C" w:rsidR="00C4535A">
        <w:rPr>
          <w:szCs w:val="22"/>
        </w:rPr>
        <w:t>2</w:t>
      </w:r>
      <w:r w:rsidRPr="00534E7C" w:rsidR="00192732">
        <w:rPr>
          <w:szCs w:val="22"/>
        </w:rPr>
        <w:t>2</w:t>
      </w:r>
      <w:r w:rsidRPr="00534E7C" w:rsidR="00C4535A">
        <w:rPr>
          <w:szCs w:val="22"/>
        </w:rPr>
        <w:t>0 MHz B</w:t>
      </w:r>
      <w:r w:rsidRPr="00534E7C" w:rsidR="00C37453">
        <w:rPr>
          <w:szCs w:val="22"/>
        </w:rPr>
        <w:t>and</w:t>
      </w:r>
      <w:r w:rsidRPr="00534E7C" w:rsidR="00B13E12">
        <w:rPr>
          <w:szCs w:val="22"/>
        </w:rPr>
        <w:t>.</w:t>
      </w:r>
      <w:r w:rsidRPr="00534E7C" w:rsidR="0073569E">
        <w:rPr>
          <w:szCs w:val="22"/>
        </w:rPr>
        <w:t xml:space="preserve">  </w:t>
      </w:r>
      <w:r w:rsidRPr="00534E7C" w:rsidR="00346E28">
        <w:rPr>
          <w:szCs w:val="22"/>
        </w:rPr>
        <w:t>F</w:t>
      </w:r>
      <w:r w:rsidRPr="00534E7C" w:rsidR="0069411C">
        <w:rPr>
          <w:szCs w:val="22"/>
        </w:rPr>
        <w:t>ourth</w:t>
      </w:r>
      <w:r w:rsidRPr="00534E7C" w:rsidR="0073569E">
        <w:rPr>
          <w:szCs w:val="22"/>
        </w:rPr>
        <w:t xml:space="preserve">, we </w:t>
      </w:r>
      <w:r w:rsidRPr="00534E7C" w:rsidR="0069411C">
        <w:rPr>
          <w:szCs w:val="22"/>
        </w:rPr>
        <w:t xml:space="preserve">address several </w:t>
      </w:r>
      <w:r w:rsidRPr="00534E7C" w:rsidR="0073569E">
        <w:rPr>
          <w:szCs w:val="22"/>
        </w:rPr>
        <w:t>related matters</w:t>
      </w:r>
      <w:r w:rsidRPr="00534E7C" w:rsidR="00521833">
        <w:rPr>
          <w:szCs w:val="22"/>
        </w:rPr>
        <w:t xml:space="preserve">, including </w:t>
      </w:r>
      <w:r w:rsidRPr="00534E7C" w:rsidR="007719B2">
        <w:rPr>
          <w:szCs w:val="22"/>
        </w:rPr>
        <w:t xml:space="preserve">enhanced </w:t>
      </w:r>
      <w:r w:rsidRPr="00534E7C" w:rsidR="005E27FB">
        <w:rPr>
          <w:szCs w:val="22"/>
        </w:rPr>
        <w:t xml:space="preserve">interference mitigation </w:t>
      </w:r>
      <w:r w:rsidRPr="00534E7C" w:rsidR="005E27FB">
        <w:rPr>
          <w:szCs w:val="22"/>
        </w:rPr>
        <w:t>requirements</w:t>
      </w:r>
      <w:r w:rsidRPr="00534E7C" w:rsidR="00C4535A">
        <w:rPr>
          <w:szCs w:val="22"/>
        </w:rPr>
        <w:t xml:space="preserve"> and compliance with </w:t>
      </w:r>
      <w:r w:rsidRPr="00534E7C" w:rsidR="002D7070">
        <w:rPr>
          <w:szCs w:val="22"/>
        </w:rPr>
        <w:t>h</w:t>
      </w:r>
      <w:r w:rsidRPr="00534E7C" w:rsidR="00C4535A">
        <w:rPr>
          <w:szCs w:val="22"/>
        </w:rPr>
        <w:t xml:space="preserve">istoric </w:t>
      </w:r>
      <w:r w:rsidRPr="00534E7C" w:rsidR="002D7070">
        <w:rPr>
          <w:szCs w:val="22"/>
        </w:rPr>
        <w:t>p</w:t>
      </w:r>
      <w:r w:rsidRPr="00534E7C" w:rsidR="00C4535A">
        <w:rPr>
          <w:szCs w:val="22"/>
        </w:rPr>
        <w:t xml:space="preserve">reservation and </w:t>
      </w:r>
      <w:r w:rsidR="00CF348D">
        <w:rPr>
          <w:szCs w:val="22"/>
        </w:rPr>
        <w:t>environmental review</w:t>
      </w:r>
      <w:r w:rsidRPr="00534E7C" w:rsidR="00CF348D">
        <w:rPr>
          <w:szCs w:val="22"/>
        </w:rPr>
        <w:t xml:space="preserve"> </w:t>
      </w:r>
      <w:r w:rsidRPr="00534E7C" w:rsidR="00C4535A">
        <w:rPr>
          <w:szCs w:val="22"/>
        </w:rPr>
        <w:t>requirements.</w:t>
      </w:r>
    </w:p>
    <w:p w:rsidR="000845A4" w:rsidRPr="00534E7C" w:rsidP="003C56BA" w14:paraId="51B1A6F1" w14:textId="30AB3D68">
      <w:pPr>
        <w:pStyle w:val="ParaNum"/>
        <w:rPr>
          <w:szCs w:val="22"/>
        </w:rPr>
      </w:pPr>
      <w:r w:rsidRPr="00534E7C">
        <w:rPr>
          <w:i/>
          <w:iCs/>
          <w:szCs w:val="22"/>
        </w:rPr>
        <w:t>Waiver Standard</w:t>
      </w:r>
      <w:r w:rsidRPr="00534E7C">
        <w:rPr>
          <w:szCs w:val="22"/>
        </w:rPr>
        <w:t xml:space="preserve">.  </w:t>
      </w:r>
      <w:r w:rsidRPr="00534E7C" w:rsidR="00C4535A">
        <w:rPr>
          <w:szCs w:val="22"/>
        </w:rPr>
        <w:t>Under s</w:t>
      </w:r>
      <w:r w:rsidRPr="00534E7C" w:rsidR="00DD5C1A">
        <w:rPr>
          <w:szCs w:val="22"/>
        </w:rPr>
        <w:t>ection 1.925 of the Commission’s rules</w:t>
      </w:r>
      <w:r w:rsidRPr="00534E7C" w:rsidR="00C4535A">
        <w:rPr>
          <w:szCs w:val="22"/>
        </w:rPr>
        <w:t>,</w:t>
      </w:r>
      <w:r w:rsidRPr="00534E7C" w:rsidR="00DD5C1A">
        <w:rPr>
          <w:szCs w:val="22"/>
        </w:rPr>
        <w:t xml:space="preserve"> t</w:t>
      </w:r>
      <w:r w:rsidRPr="00534E7C">
        <w:rPr>
          <w:szCs w:val="22"/>
        </w:rPr>
        <w:t>he Commission may grant a request for waiver where:</w:t>
      </w:r>
      <w:r w:rsidRPr="00534E7C" w:rsidR="00DD5C1A">
        <w:rPr>
          <w:szCs w:val="22"/>
        </w:rPr>
        <w:t xml:space="preserve"> </w:t>
      </w:r>
      <w:r w:rsidRPr="00534E7C">
        <w:rPr>
          <w:szCs w:val="22"/>
        </w:rPr>
        <w:t xml:space="preserve"> (i) the underlying purpose of a rule would not be served or would be frustrated by its application, and a grant of the requested waiver would be in the public interest; or (ii) given unique or unusual factual circumstances, application of a rule would be inequitable, unduly burdensome or contrary to the public interest, or the applicant has no reasonable alternative.</w:t>
      </w:r>
      <w:r>
        <w:rPr>
          <w:szCs w:val="22"/>
          <w:vertAlign w:val="superscript"/>
        </w:rPr>
        <w:footnoteReference w:id="35"/>
      </w:r>
      <w:r w:rsidRPr="00534E7C">
        <w:rPr>
          <w:szCs w:val="22"/>
        </w:rPr>
        <w:t xml:space="preserve">  </w:t>
      </w:r>
      <w:r w:rsidRPr="00534E7C" w:rsidR="00C4535A">
        <w:rPr>
          <w:szCs w:val="22"/>
        </w:rPr>
        <w:t>Under s</w:t>
      </w:r>
      <w:r w:rsidRPr="00534E7C" w:rsidR="00C37453">
        <w:rPr>
          <w:szCs w:val="22"/>
        </w:rPr>
        <w:t>ection 1.3 of the Commission’s rules</w:t>
      </w:r>
      <w:r w:rsidRPr="00534E7C" w:rsidR="00C4535A">
        <w:rPr>
          <w:szCs w:val="22"/>
        </w:rPr>
        <w:t xml:space="preserve">, </w:t>
      </w:r>
      <w:r w:rsidRPr="00534E7C" w:rsidR="00C37453">
        <w:rPr>
          <w:szCs w:val="22"/>
        </w:rPr>
        <w:t>the Commission may waive a rule, in whole or in part, on its own motion or on petition for good cause.</w:t>
      </w:r>
      <w:r>
        <w:rPr>
          <w:rStyle w:val="FootnoteReference"/>
          <w:sz w:val="22"/>
          <w:szCs w:val="22"/>
        </w:rPr>
        <w:footnoteReference w:id="36"/>
      </w:r>
      <w:r w:rsidRPr="00534E7C" w:rsidR="00C37453">
        <w:rPr>
          <w:szCs w:val="22"/>
        </w:rPr>
        <w:t xml:space="preserve">  Below, where applicable, we discuss application of these standards to PTC-220’s Waiver </w:t>
      </w:r>
      <w:r w:rsidR="002F332B">
        <w:rPr>
          <w:szCs w:val="22"/>
        </w:rPr>
        <w:t xml:space="preserve">Modification </w:t>
      </w:r>
      <w:r w:rsidRPr="00534E7C" w:rsidR="00C37453">
        <w:rPr>
          <w:szCs w:val="22"/>
        </w:rPr>
        <w:t xml:space="preserve">Request. </w:t>
      </w:r>
    </w:p>
    <w:p w:rsidR="000845A4" w:rsidRPr="00534E7C" w:rsidP="005F1E0D" w14:paraId="2E2F0702" w14:textId="37461B00">
      <w:pPr>
        <w:pStyle w:val="Heading2"/>
      </w:pPr>
      <w:bookmarkStart w:id="86" w:name="_Toc117162332"/>
      <w:bookmarkStart w:id="87" w:name="_Toc117170592"/>
      <w:bookmarkStart w:id="88" w:name="_Toc117179066"/>
      <w:bookmarkStart w:id="89" w:name="_Toc117516990"/>
      <w:bookmarkStart w:id="90" w:name="_Toc117517904"/>
      <w:bookmarkStart w:id="91" w:name="_Toc117518448"/>
      <w:bookmarkStart w:id="92" w:name="_Toc117518868"/>
      <w:bookmarkStart w:id="93" w:name="_Toc120523616"/>
      <w:bookmarkStart w:id="94" w:name="_Toc121150580"/>
      <w:bookmarkStart w:id="95" w:name="_Toc126158677"/>
      <w:bookmarkStart w:id="96" w:name="_Toc126158706"/>
      <w:bookmarkStart w:id="97" w:name="_Toc127960183"/>
      <w:bookmarkStart w:id="98" w:name="_Toc127994693"/>
      <w:bookmarkStart w:id="99" w:name="_Toc128039683"/>
      <w:bookmarkStart w:id="100" w:name="_Toc128039756"/>
      <w:bookmarkStart w:id="101" w:name="_Toc128039827"/>
      <w:bookmarkStart w:id="102" w:name="_Toc131444690"/>
      <w:bookmarkStart w:id="103" w:name="_Toc131444954"/>
      <w:bookmarkStart w:id="104" w:name="_Toc131676554"/>
      <w:bookmarkStart w:id="105" w:name="_Toc133848342"/>
      <w:r w:rsidRPr="00534E7C">
        <w:t xml:space="preserve">Positive Train Control </w:t>
      </w:r>
      <w:r w:rsidRPr="00534E7C" w:rsidR="00460EFE">
        <w:t xml:space="preserve">Will Have </w:t>
      </w:r>
      <w:r w:rsidRPr="00534E7C" w:rsidR="004315E1">
        <w:t xml:space="preserve">the Highest Priority </w:t>
      </w:r>
      <w:r w:rsidRPr="00534E7C" w:rsidR="00541190">
        <w:t>in the</w:t>
      </w:r>
      <w:r w:rsidRPr="00534E7C">
        <w:t xml:space="preserve"> </w:t>
      </w:r>
      <w:r w:rsidRPr="00534E7C" w:rsidR="000D6BDE">
        <w:t>220 MHz Band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534E7C" w:rsidR="000D6BDE">
        <w:t xml:space="preserve"> </w:t>
      </w:r>
      <w:r w:rsidRPr="00534E7C" w:rsidR="00DF19D1">
        <w:t xml:space="preserve"> </w:t>
      </w:r>
    </w:p>
    <w:p w:rsidR="00116997" w:rsidP="00FD272F" w14:paraId="08DAD0E7" w14:textId="703F915B">
      <w:pPr>
        <w:pStyle w:val="ParaNum"/>
      </w:pPr>
      <w:r w:rsidRPr="00534E7C">
        <w:t xml:space="preserve">PTC-220 </w:t>
      </w:r>
      <w:r w:rsidRPr="00534E7C" w:rsidR="000204D0">
        <w:t xml:space="preserve">explains </w:t>
      </w:r>
      <w:r w:rsidRPr="00534E7C">
        <w:t>that with the</w:t>
      </w:r>
      <w:r w:rsidRPr="00534E7C" w:rsidR="006F4376">
        <w:t xml:space="preserve"> rule waivers granted in the</w:t>
      </w:r>
      <w:r w:rsidRPr="00534E7C" w:rsidR="008F411B">
        <w:t xml:space="preserve"> </w:t>
      </w:r>
      <w:r w:rsidRPr="00534E7C" w:rsidR="008F411B">
        <w:rPr>
          <w:i/>
          <w:iCs/>
        </w:rPr>
        <w:t xml:space="preserve">2009 </w:t>
      </w:r>
      <w:r w:rsidRPr="00534E7C" w:rsidR="001A78D5">
        <w:rPr>
          <w:i/>
          <w:iCs/>
        </w:rPr>
        <w:t>Waiver Order</w:t>
      </w:r>
      <w:r w:rsidRPr="00534E7C" w:rsidR="001A78D5">
        <w:t xml:space="preserve"> </w:t>
      </w:r>
      <w:r w:rsidRPr="00534E7C" w:rsidR="008F411B">
        <w:t xml:space="preserve">and </w:t>
      </w:r>
      <w:r w:rsidRPr="00534E7C" w:rsidR="00460EFE">
        <w:t xml:space="preserve">in </w:t>
      </w:r>
      <w:r w:rsidRPr="00534E7C" w:rsidR="001A78D5">
        <w:t xml:space="preserve">the </w:t>
      </w:r>
      <w:r w:rsidRPr="00534E7C" w:rsidR="008F411B">
        <w:rPr>
          <w:i/>
          <w:iCs/>
        </w:rPr>
        <w:t xml:space="preserve">2015 </w:t>
      </w:r>
      <w:r w:rsidRPr="00534E7C" w:rsidR="001A78D5">
        <w:rPr>
          <w:i/>
          <w:iCs/>
        </w:rPr>
        <w:t>Waiver O</w:t>
      </w:r>
      <w:r w:rsidRPr="00534E7C" w:rsidR="00626AE7">
        <w:rPr>
          <w:i/>
          <w:iCs/>
        </w:rPr>
        <w:t>rder</w:t>
      </w:r>
      <w:r w:rsidRPr="00534E7C">
        <w:t xml:space="preserve">, its member railroads completed </w:t>
      </w:r>
      <w:r w:rsidRPr="00534E7C" w:rsidR="001A78D5">
        <w:t xml:space="preserve">their </w:t>
      </w:r>
      <w:r w:rsidRPr="00534E7C">
        <w:t xml:space="preserve">PTC </w:t>
      </w:r>
      <w:r w:rsidRPr="00534E7C" w:rsidR="000204D0">
        <w:t xml:space="preserve">implementation </w:t>
      </w:r>
      <w:r w:rsidRPr="00534E7C">
        <w:t>in November 2020, with over 57,000 railroad route miles covered by PTC service.</w:t>
      </w:r>
      <w:r>
        <w:rPr>
          <w:rStyle w:val="FootnoteReference"/>
          <w:sz w:val="22"/>
          <w:szCs w:val="22"/>
        </w:rPr>
        <w:footnoteReference w:id="37"/>
      </w:r>
      <w:r w:rsidRPr="00534E7C" w:rsidR="006B2A54">
        <w:t xml:space="preserve">  </w:t>
      </w:r>
      <w:r w:rsidRPr="00534E7C" w:rsidR="000204D0">
        <w:t xml:space="preserve">According to the FRA, </w:t>
      </w:r>
      <w:r w:rsidRPr="00534E7C">
        <w:t xml:space="preserve">all railroads </w:t>
      </w:r>
      <w:r w:rsidRPr="00534E7C" w:rsidR="00F02741">
        <w:t xml:space="preserve">subject to the PTC mandate </w:t>
      </w:r>
      <w:r w:rsidRPr="00534E7C">
        <w:t>met their obligation to deploy PTC by year</w:t>
      </w:r>
      <w:r w:rsidRPr="00534E7C" w:rsidR="00EF649A">
        <w:t>-</w:t>
      </w:r>
      <w:r w:rsidRPr="00534E7C">
        <w:t>end 2020.</w:t>
      </w:r>
      <w:r>
        <w:rPr>
          <w:rStyle w:val="FootnoteReference"/>
          <w:sz w:val="22"/>
          <w:szCs w:val="22"/>
        </w:rPr>
        <w:footnoteReference w:id="38"/>
      </w:r>
      <w:r w:rsidRPr="00534E7C" w:rsidR="004B0FE9">
        <w:t xml:space="preserve"> </w:t>
      </w:r>
      <w:r w:rsidRPr="00534E7C" w:rsidR="00A8464D">
        <w:t xml:space="preserve"> </w:t>
      </w:r>
      <w:r w:rsidRPr="00534E7C" w:rsidR="00F573B9">
        <w:t xml:space="preserve">PTC-220 </w:t>
      </w:r>
      <w:r w:rsidRPr="00534E7C" w:rsidR="00A67D9A">
        <w:t>asserts</w:t>
      </w:r>
      <w:r w:rsidRPr="00534E7C" w:rsidR="00F573B9">
        <w:t xml:space="preserve"> that allowing its members to deploy </w:t>
      </w:r>
      <w:r w:rsidRPr="00534E7C" w:rsidR="00DF19D1">
        <w:t xml:space="preserve">additional rail </w:t>
      </w:r>
      <w:r w:rsidRPr="00534E7C" w:rsidR="00F573B9">
        <w:t>“safety applications will not adversely impact the railroads’ ability to operate PTC systems in the 220 MHz band” because “</w:t>
      </w:r>
      <w:r w:rsidR="00110787">
        <w:t xml:space="preserve">[a]ll of the licenses will </w:t>
      </w:r>
      <w:bookmarkStart w:id="107" w:name="_Hlk132106032"/>
      <w:r w:rsidR="00110787">
        <w:t>continue to be used for PTC</w:t>
      </w:r>
      <w:bookmarkEnd w:id="107"/>
      <w:r w:rsidR="00110787">
        <w:t>, which will have the highest priority of any application.”</w:t>
      </w:r>
      <w:r>
        <w:rPr>
          <w:rStyle w:val="FootnoteReference"/>
          <w:szCs w:val="22"/>
        </w:rPr>
        <w:footnoteReference w:id="39"/>
      </w:r>
      <w:r w:rsidR="00110787">
        <w:t xml:space="preserve">  </w:t>
      </w:r>
      <w:r w:rsidR="001443B3">
        <w:t>PTC-220 states that</w:t>
      </w:r>
      <w:r w:rsidR="00D14DED">
        <w:t xml:space="preserve"> any </w:t>
      </w:r>
      <w:r w:rsidR="00110787">
        <w:t>a</w:t>
      </w:r>
      <w:r w:rsidR="008F3C5D">
        <w:t>dditional rail safety application</w:t>
      </w:r>
      <w:r w:rsidR="00D14DED">
        <w:t>s</w:t>
      </w:r>
      <w:r w:rsidR="008F3C5D">
        <w:t xml:space="preserve"> </w:t>
      </w:r>
      <w:r w:rsidR="00110787">
        <w:t>“</w:t>
      </w:r>
      <w:r w:rsidR="008F3C5D">
        <w:t>will only be implemented in areas where there is sufficient spectral capacity.</w:t>
      </w:r>
      <w:r w:rsidRPr="00534E7C" w:rsidR="00F573B9">
        <w:t>”</w:t>
      </w:r>
      <w:r>
        <w:rPr>
          <w:rStyle w:val="FootnoteReference"/>
          <w:sz w:val="22"/>
          <w:szCs w:val="22"/>
        </w:rPr>
        <w:footnoteReference w:id="40"/>
      </w:r>
      <w:r w:rsidRPr="00534E7C" w:rsidR="00F573B9">
        <w:t xml:space="preserve">  </w:t>
      </w:r>
    </w:p>
    <w:p w:rsidR="00F573B9" w:rsidRPr="003E08F2" w14:paraId="39627229" w14:textId="3418AC1D">
      <w:pPr>
        <w:pStyle w:val="ParaNum"/>
        <w:rPr>
          <w:szCs w:val="22"/>
        </w:rPr>
      </w:pPr>
      <w:r w:rsidRPr="003E08F2">
        <w:rPr>
          <w:szCs w:val="22"/>
        </w:rPr>
        <w:t xml:space="preserve">Based on the record before us, we find that the Bureau’s goal in limiting the </w:t>
      </w:r>
      <w:r w:rsidRPr="003E08F2" w:rsidR="006A4C0E">
        <w:rPr>
          <w:szCs w:val="22"/>
        </w:rPr>
        <w:t>initial waiver relief</w:t>
      </w:r>
      <w:r w:rsidRPr="003E08F2">
        <w:rPr>
          <w:szCs w:val="22"/>
        </w:rPr>
        <w:t xml:space="preserve"> to PTC—to enable deployment of interoperable PTC systems as mandated by Congress</w:t>
      </w:r>
      <w:r>
        <w:rPr>
          <w:rStyle w:val="FootnoteReference"/>
          <w:sz w:val="22"/>
          <w:szCs w:val="22"/>
        </w:rPr>
        <w:footnoteReference w:id="41"/>
      </w:r>
      <w:r w:rsidRPr="003E08F2">
        <w:rPr>
          <w:szCs w:val="22"/>
        </w:rPr>
        <w:t xml:space="preserve">—will not be undermined by permitting railroads to deploy complementary rail safety systems in the 220 MHz Band.  </w:t>
      </w:r>
      <w:r w:rsidRPr="003E08F2">
        <w:rPr>
          <w:szCs w:val="22"/>
        </w:rPr>
        <w:t xml:space="preserve">Consistent with </w:t>
      </w:r>
      <w:r w:rsidRPr="003E08F2" w:rsidR="00DF19D1">
        <w:rPr>
          <w:szCs w:val="22"/>
        </w:rPr>
        <w:t xml:space="preserve">PTC-220’s </w:t>
      </w:r>
      <w:r w:rsidRPr="003E08F2">
        <w:rPr>
          <w:szCs w:val="22"/>
        </w:rPr>
        <w:t>commitment, we will require PTC-220</w:t>
      </w:r>
      <w:r w:rsidRPr="003E08F2" w:rsidR="002D7070">
        <w:rPr>
          <w:szCs w:val="22"/>
        </w:rPr>
        <w:t>, as a condition of modifying the rule waivers,</w:t>
      </w:r>
      <w:r w:rsidRPr="003E08F2">
        <w:rPr>
          <w:szCs w:val="22"/>
        </w:rPr>
        <w:t xml:space="preserve"> to afford PTC the highest priority </w:t>
      </w:r>
      <w:r w:rsidRPr="003E08F2" w:rsidR="003E6F22">
        <w:rPr>
          <w:szCs w:val="22"/>
        </w:rPr>
        <w:t xml:space="preserve">on its </w:t>
      </w:r>
      <w:r w:rsidRPr="003E08F2">
        <w:rPr>
          <w:szCs w:val="22"/>
        </w:rPr>
        <w:t>220 MHz Band</w:t>
      </w:r>
      <w:r w:rsidRPr="003E08F2" w:rsidR="00C40C1C">
        <w:rPr>
          <w:szCs w:val="22"/>
        </w:rPr>
        <w:t xml:space="preserve"> spectrum</w:t>
      </w:r>
      <w:r w:rsidRPr="003E08F2" w:rsidR="00405BDD">
        <w:rPr>
          <w:szCs w:val="22"/>
        </w:rPr>
        <w:t>.</w:t>
      </w:r>
      <w:r w:rsidR="00C54FD1">
        <w:rPr>
          <w:color w:val="FF0000"/>
          <w:szCs w:val="22"/>
        </w:rPr>
        <w:t xml:space="preserve">  </w:t>
      </w:r>
      <w:r w:rsidR="003C733F">
        <w:rPr>
          <w:szCs w:val="22"/>
        </w:rPr>
        <w:t xml:space="preserve">Specifically, </w:t>
      </w:r>
      <w:r w:rsidRPr="003E08F2" w:rsidR="00405BDD">
        <w:rPr>
          <w:szCs w:val="22"/>
        </w:rPr>
        <w:t>PTC-22</w:t>
      </w:r>
      <w:r w:rsidRPr="003E08F2" w:rsidR="00C44F25">
        <w:rPr>
          <w:szCs w:val="22"/>
        </w:rPr>
        <w:t>0</w:t>
      </w:r>
      <w:r w:rsidRPr="003E08F2" w:rsidR="003E5E3F">
        <w:rPr>
          <w:szCs w:val="22"/>
        </w:rPr>
        <w:t xml:space="preserve">, </w:t>
      </w:r>
      <w:r w:rsidRPr="003E08F2" w:rsidR="00734A8C">
        <w:rPr>
          <w:szCs w:val="22"/>
        </w:rPr>
        <w:t>and any other entity using PTC-220’s currently licensed 220 MHz spectrum</w:t>
      </w:r>
      <w:r w:rsidRPr="003E08F2" w:rsidR="00206AA2">
        <w:rPr>
          <w:szCs w:val="22"/>
        </w:rPr>
        <w:t>—</w:t>
      </w:r>
      <w:r w:rsidRPr="003E08F2" w:rsidR="00DB48A4">
        <w:rPr>
          <w:szCs w:val="22"/>
        </w:rPr>
        <w:t>including</w:t>
      </w:r>
      <w:r w:rsidRPr="003E08F2" w:rsidR="00206AA2">
        <w:rPr>
          <w:szCs w:val="22"/>
        </w:rPr>
        <w:t xml:space="preserve"> </w:t>
      </w:r>
      <w:r w:rsidRPr="00BE4FFE" w:rsidR="002E31C3">
        <w:t>transfer</w:t>
      </w:r>
      <w:r w:rsidR="00E30BCE">
        <w:t>ees</w:t>
      </w:r>
      <w:r w:rsidRPr="00BE4FFE" w:rsidR="002E31C3">
        <w:t>, assign</w:t>
      </w:r>
      <w:r w:rsidR="00E30BCE">
        <w:t>ees</w:t>
      </w:r>
      <w:r w:rsidRPr="00BE4FFE" w:rsidR="002E31C3">
        <w:t>, partition</w:t>
      </w:r>
      <w:r w:rsidR="00E30BCE">
        <w:t>ees</w:t>
      </w:r>
      <w:r w:rsidRPr="00BE4FFE" w:rsidR="002E31C3">
        <w:t xml:space="preserve">, </w:t>
      </w:r>
      <w:r w:rsidRPr="00BE4FFE" w:rsidR="00E30BCE">
        <w:t>disaggregate</w:t>
      </w:r>
      <w:r w:rsidR="00F71000">
        <w:t>e</w:t>
      </w:r>
      <w:r w:rsidR="00E30BCE">
        <w:t>s</w:t>
      </w:r>
      <w:r w:rsidRPr="00BE4FFE" w:rsidR="002E31C3">
        <w:t xml:space="preserve">, </w:t>
      </w:r>
      <w:r w:rsidR="00D33735">
        <w:t xml:space="preserve">and </w:t>
      </w:r>
      <w:r w:rsidRPr="00BE4FFE" w:rsidR="00E30BCE">
        <w:t>less</w:t>
      </w:r>
      <w:r w:rsidR="00E30BCE">
        <w:t>ees</w:t>
      </w:r>
      <w:r w:rsidRPr="003E08F2" w:rsidR="00D91F08">
        <w:rPr>
          <w:szCs w:val="22"/>
        </w:rPr>
        <w:t>—</w:t>
      </w:r>
      <w:r w:rsidRPr="003E08F2" w:rsidR="00405BDD">
        <w:rPr>
          <w:szCs w:val="22"/>
        </w:rPr>
        <w:t xml:space="preserve">may </w:t>
      </w:r>
      <w:r w:rsidRPr="004861FA" w:rsidR="0018290A">
        <w:rPr>
          <w:szCs w:val="22"/>
        </w:rPr>
        <w:t xml:space="preserve">only </w:t>
      </w:r>
      <w:r w:rsidRPr="004861FA" w:rsidR="00C44F25">
        <w:rPr>
          <w:szCs w:val="22"/>
        </w:rPr>
        <w:t xml:space="preserve">implement </w:t>
      </w:r>
      <w:r w:rsidRPr="004861FA" w:rsidR="00110787">
        <w:rPr>
          <w:szCs w:val="22"/>
        </w:rPr>
        <w:t xml:space="preserve">additional </w:t>
      </w:r>
      <w:r w:rsidRPr="004861FA" w:rsidR="00247226">
        <w:rPr>
          <w:szCs w:val="22"/>
        </w:rPr>
        <w:t xml:space="preserve">(non-PTC) </w:t>
      </w:r>
      <w:r w:rsidRPr="004861FA" w:rsidR="00110787">
        <w:rPr>
          <w:szCs w:val="22"/>
        </w:rPr>
        <w:t xml:space="preserve">rail safety applications </w:t>
      </w:r>
      <w:r w:rsidRPr="004861FA" w:rsidR="0018290A">
        <w:rPr>
          <w:szCs w:val="22"/>
        </w:rPr>
        <w:t xml:space="preserve">if </w:t>
      </w:r>
      <w:r w:rsidRPr="004861FA" w:rsidR="003C733F">
        <w:rPr>
          <w:szCs w:val="22"/>
        </w:rPr>
        <w:t xml:space="preserve">the spectrum </w:t>
      </w:r>
      <w:r w:rsidRPr="004861FA" w:rsidR="00310ECE">
        <w:rPr>
          <w:szCs w:val="22"/>
        </w:rPr>
        <w:t>is unnecessary for PTC</w:t>
      </w:r>
      <w:r w:rsidRPr="004861FA" w:rsidR="00094E10">
        <w:rPr>
          <w:szCs w:val="22"/>
        </w:rPr>
        <w:t>.</w:t>
      </w:r>
      <w:r w:rsidRPr="004861FA" w:rsidR="00E57D2A">
        <w:rPr>
          <w:szCs w:val="22"/>
        </w:rPr>
        <w:t xml:space="preserve"> </w:t>
      </w:r>
      <w:r w:rsidRPr="004861FA" w:rsidR="006B2A54">
        <w:rPr>
          <w:szCs w:val="22"/>
        </w:rPr>
        <w:t xml:space="preserve"> </w:t>
      </w:r>
      <w:r w:rsidRPr="004861FA" w:rsidR="002E7C15">
        <w:rPr>
          <w:szCs w:val="22"/>
        </w:rPr>
        <w:t>A</w:t>
      </w:r>
      <w:r w:rsidRPr="004861FA" w:rsidR="003E08F2">
        <w:rPr>
          <w:szCs w:val="22"/>
        </w:rPr>
        <w:t>ccordingly, s</w:t>
      </w:r>
      <w:r w:rsidRPr="004861FA" w:rsidR="00247226">
        <w:rPr>
          <w:szCs w:val="22"/>
        </w:rPr>
        <w:t xml:space="preserve">hould PTC-220 </w:t>
      </w:r>
      <w:r w:rsidRPr="004861FA" w:rsidR="006C1405">
        <w:rPr>
          <w:szCs w:val="22"/>
        </w:rPr>
        <w:t xml:space="preserve">seek </w:t>
      </w:r>
      <w:r w:rsidRPr="004861FA" w:rsidR="00247226">
        <w:rPr>
          <w:szCs w:val="22"/>
        </w:rPr>
        <w:t xml:space="preserve">to lease or </w:t>
      </w:r>
      <w:r w:rsidRPr="004861FA" w:rsidR="00ED00B0">
        <w:rPr>
          <w:szCs w:val="22"/>
        </w:rPr>
        <w:t>otherwise</w:t>
      </w:r>
      <w:r w:rsidRPr="004861FA" w:rsidR="00247226">
        <w:rPr>
          <w:szCs w:val="22"/>
        </w:rPr>
        <w:t xml:space="preserve"> convey </w:t>
      </w:r>
      <w:r w:rsidRPr="004861FA" w:rsidR="00ED00B0">
        <w:rPr>
          <w:szCs w:val="22"/>
        </w:rPr>
        <w:t>any of its currently licensed 220 MHz spectrum</w:t>
      </w:r>
      <w:r w:rsidRPr="004861FA" w:rsidR="00DA4A83">
        <w:rPr>
          <w:szCs w:val="22"/>
        </w:rPr>
        <w:t xml:space="preserve"> for </w:t>
      </w:r>
      <w:r w:rsidRPr="004861FA" w:rsidR="00571CA0">
        <w:rPr>
          <w:szCs w:val="22"/>
        </w:rPr>
        <w:t xml:space="preserve">rail safety </w:t>
      </w:r>
      <w:r w:rsidRPr="004861FA" w:rsidR="00DA4A83">
        <w:rPr>
          <w:szCs w:val="22"/>
        </w:rPr>
        <w:t xml:space="preserve">purposes other than </w:t>
      </w:r>
      <w:r w:rsidRPr="004861FA" w:rsidR="00D12270">
        <w:rPr>
          <w:szCs w:val="22"/>
        </w:rPr>
        <w:t>PTC</w:t>
      </w:r>
      <w:r w:rsidRPr="004861FA" w:rsidR="00DA4A83">
        <w:rPr>
          <w:szCs w:val="22"/>
        </w:rPr>
        <w:t xml:space="preserve">, it must </w:t>
      </w:r>
      <w:r w:rsidRPr="004861FA" w:rsidR="003351BA">
        <w:rPr>
          <w:szCs w:val="22"/>
        </w:rPr>
        <w:t xml:space="preserve">certify that the spectrum is not required </w:t>
      </w:r>
      <w:r w:rsidRPr="004861FA" w:rsidR="005E2B9D">
        <w:rPr>
          <w:szCs w:val="22"/>
        </w:rPr>
        <w:t xml:space="preserve">by </w:t>
      </w:r>
      <w:r w:rsidRPr="004861FA" w:rsidR="005D0E35">
        <w:rPr>
          <w:szCs w:val="22"/>
        </w:rPr>
        <w:t>any</w:t>
      </w:r>
      <w:r w:rsidRPr="004861FA" w:rsidR="00446031">
        <w:rPr>
          <w:szCs w:val="22"/>
        </w:rPr>
        <w:t xml:space="preserve"> of</w:t>
      </w:r>
      <w:r w:rsidRPr="004861FA" w:rsidR="005D0E35">
        <w:rPr>
          <w:szCs w:val="22"/>
        </w:rPr>
        <w:t xml:space="preserve"> </w:t>
      </w:r>
      <w:r w:rsidRPr="004861FA" w:rsidR="009428A0">
        <w:rPr>
          <w:szCs w:val="22"/>
        </w:rPr>
        <w:t>its members</w:t>
      </w:r>
      <w:r w:rsidRPr="003E08F2" w:rsidR="00B65199">
        <w:rPr>
          <w:szCs w:val="22"/>
        </w:rPr>
        <w:t xml:space="preserve">, </w:t>
      </w:r>
      <w:r w:rsidRPr="003E08F2" w:rsidR="004F22DC">
        <w:rPr>
          <w:szCs w:val="22"/>
        </w:rPr>
        <w:t xml:space="preserve">their tenant railroads, </w:t>
      </w:r>
      <w:r w:rsidRPr="003E08F2" w:rsidR="005E2B9D">
        <w:rPr>
          <w:szCs w:val="22"/>
        </w:rPr>
        <w:t xml:space="preserve">and </w:t>
      </w:r>
      <w:r w:rsidRPr="003E08F2" w:rsidR="00B65199">
        <w:rPr>
          <w:szCs w:val="22"/>
        </w:rPr>
        <w:t xml:space="preserve">spectrum </w:t>
      </w:r>
      <w:r w:rsidRPr="003E08F2" w:rsidR="00F4314E">
        <w:rPr>
          <w:szCs w:val="22"/>
        </w:rPr>
        <w:t xml:space="preserve">lessees </w:t>
      </w:r>
      <w:r w:rsidRPr="003E08F2" w:rsidR="007F114F">
        <w:rPr>
          <w:szCs w:val="22"/>
        </w:rPr>
        <w:t>to implement PTC</w:t>
      </w:r>
      <w:r w:rsidR="00AC00D5">
        <w:rPr>
          <w:szCs w:val="22"/>
        </w:rPr>
        <w:t>.</w:t>
      </w:r>
      <w:r>
        <w:rPr>
          <w:rStyle w:val="FootnoteReference"/>
          <w:szCs w:val="22"/>
        </w:rPr>
        <w:footnoteReference w:id="42"/>
      </w:r>
    </w:p>
    <w:p w:rsidR="00541190" w:rsidRPr="00534E7C" w:rsidP="005F1E0D" w14:paraId="50D8A24A" w14:textId="37283295">
      <w:pPr>
        <w:pStyle w:val="Heading2"/>
      </w:pPr>
      <w:bookmarkStart w:id="109" w:name="_Toc117162333"/>
      <w:bookmarkStart w:id="110" w:name="_Toc117170593"/>
      <w:bookmarkStart w:id="111" w:name="_Toc117179067"/>
      <w:bookmarkStart w:id="112" w:name="_Toc117516991"/>
      <w:bookmarkStart w:id="113" w:name="_Toc117517905"/>
      <w:bookmarkStart w:id="114" w:name="_Toc117518449"/>
      <w:bookmarkStart w:id="115" w:name="_Toc117518869"/>
      <w:bookmarkStart w:id="116" w:name="_Toc120523617"/>
      <w:bookmarkStart w:id="117" w:name="_Toc121150581"/>
      <w:bookmarkStart w:id="118" w:name="_Toc126158678"/>
      <w:bookmarkStart w:id="119" w:name="_Toc126158707"/>
      <w:bookmarkStart w:id="120" w:name="_Toc127960184"/>
      <w:bookmarkStart w:id="121" w:name="_Toc127994694"/>
      <w:bookmarkStart w:id="122" w:name="_Toc128039684"/>
      <w:bookmarkStart w:id="123" w:name="_Toc128039757"/>
      <w:bookmarkStart w:id="124" w:name="_Toc128039828"/>
      <w:bookmarkStart w:id="125" w:name="_Toc131444691"/>
      <w:bookmarkStart w:id="126" w:name="_Toc131444955"/>
      <w:bookmarkStart w:id="127" w:name="_Toc131676555"/>
      <w:bookmarkStart w:id="128" w:name="_Toc133848343"/>
      <w:r w:rsidRPr="00534E7C">
        <w:t>Modification of t</w:t>
      </w:r>
      <w:r w:rsidRPr="00534E7C" w:rsidR="00AF04C3">
        <w:t xml:space="preserve">he Rule Waivers Will </w:t>
      </w:r>
      <w:r w:rsidRPr="00534E7C" w:rsidR="00B02714">
        <w:t>Promote the Safety of Life and Property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1A1A49" w:rsidRPr="00534E7C" w:rsidP="00CE2CE3" w14:paraId="2456F168" w14:textId="7A81637B">
      <w:pPr>
        <w:pStyle w:val="ParaNum"/>
        <w:rPr>
          <w:szCs w:val="22"/>
        </w:rPr>
      </w:pPr>
      <w:r w:rsidRPr="00534E7C">
        <w:rPr>
          <w:szCs w:val="22"/>
        </w:rPr>
        <w:t>We agree with PTC-220 that the public interest w</w:t>
      </w:r>
      <w:r w:rsidRPr="00534E7C" w:rsidR="006D4722">
        <w:rPr>
          <w:szCs w:val="22"/>
        </w:rPr>
        <w:t xml:space="preserve">ill </w:t>
      </w:r>
      <w:r w:rsidRPr="00534E7C">
        <w:rPr>
          <w:szCs w:val="22"/>
        </w:rPr>
        <w:t xml:space="preserve">be served by modifying the current PTC </w:t>
      </w:r>
      <w:r w:rsidRPr="00534E7C" w:rsidR="00541190">
        <w:rPr>
          <w:szCs w:val="22"/>
        </w:rPr>
        <w:t xml:space="preserve">rule </w:t>
      </w:r>
      <w:r w:rsidRPr="00534E7C">
        <w:rPr>
          <w:szCs w:val="22"/>
        </w:rPr>
        <w:t>waiver</w:t>
      </w:r>
      <w:r w:rsidRPr="00534E7C" w:rsidR="00541190">
        <w:rPr>
          <w:szCs w:val="22"/>
        </w:rPr>
        <w:t>s</w:t>
      </w:r>
      <w:r w:rsidRPr="00534E7C">
        <w:rPr>
          <w:szCs w:val="22"/>
        </w:rPr>
        <w:t xml:space="preserve"> so that its 220 MHz Band </w:t>
      </w:r>
      <w:r w:rsidR="00C27BBF">
        <w:rPr>
          <w:szCs w:val="22"/>
        </w:rPr>
        <w:t>licenses</w:t>
      </w:r>
      <w:r w:rsidRPr="00534E7C" w:rsidR="00C27BBF">
        <w:rPr>
          <w:szCs w:val="22"/>
        </w:rPr>
        <w:t xml:space="preserve"> </w:t>
      </w:r>
      <w:r w:rsidRPr="00534E7C">
        <w:rPr>
          <w:szCs w:val="22"/>
        </w:rPr>
        <w:t xml:space="preserve">could be used to deploy </w:t>
      </w:r>
      <w:r w:rsidRPr="00534E7C" w:rsidR="00541190">
        <w:rPr>
          <w:szCs w:val="22"/>
        </w:rPr>
        <w:t xml:space="preserve">additional </w:t>
      </w:r>
      <w:r w:rsidRPr="00534E7C">
        <w:rPr>
          <w:szCs w:val="22"/>
        </w:rPr>
        <w:t xml:space="preserve">rail safety </w:t>
      </w:r>
      <w:r w:rsidRPr="00534E7C" w:rsidR="00541190">
        <w:rPr>
          <w:szCs w:val="22"/>
        </w:rPr>
        <w:t xml:space="preserve">systems </w:t>
      </w:r>
      <w:r w:rsidRPr="00534E7C">
        <w:rPr>
          <w:szCs w:val="22"/>
        </w:rPr>
        <w:t>on both PTC- and non-PTC equipped rail corridors,</w:t>
      </w:r>
      <w:r>
        <w:rPr>
          <w:rStyle w:val="FootnoteReference"/>
          <w:sz w:val="22"/>
          <w:szCs w:val="22"/>
        </w:rPr>
        <w:footnoteReference w:id="43"/>
      </w:r>
      <w:r w:rsidRPr="00534E7C">
        <w:rPr>
          <w:szCs w:val="22"/>
        </w:rPr>
        <w:t xml:space="preserve"> thereby serving the Commission’s core policy goals of promoting the safety of life and property.  </w:t>
      </w:r>
      <w:r w:rsidRPr="00534E7C" w:rsidR="00AF04C3">
        <w:rPr>
          <w:szCs w:val="22"/>
        </w:rPr>
        <w:t xml:space="preserve">PTC-220’s members </w:t>
      </w:r>
      <w:r w:rsidRPr="00534E7C" w:rsidR="007B0F36">
        <w:rPr>
          <w:szCs w:val="22"/>
        </w:rPr>
        <w:t xml:space="preserve">own and </w:t>
      </w:r>
      <w:r w:rsidRPr="00534E7C" w:rsidR="00AF04C3">
        <w:rPr>
          <w:szCs w:val="22"/>
        </w:rPr>
        <w:t>operate over 9</w:t>
      </w:r>
      <w:r w:rsidRPr="00534E7C" w:rsidR="00721B8F">
        <w:rPr>
          <w:szCs w:val="22"/>
        </w:rPr>
        <w:t>0</w:t>
      </w:r>
      <w:r w:rsidRPr="00534E7C" w:rsidR="00AF04C3">
        <w:rPr>
          <w:szCs w:val="22"/>
        </w:rPr>
        <w:t>,000 route miles across the nation.</w:t>
      </w:r>
      <w:r>
        <w:rPr>
          <w:rStyle w:val="FootnoteReference"/>
          <w:sz w:val="22"/>
          <w:szCs w:val="22"/>
        </w:rPr>
        <w:footnoteReference w:id="44"/>
      </w:r>
      <w:r w:rsidRPr="00534E7C" w:rsidR="00AF04C3">
        <w:rPr>
          <w:szCs w:val="22"/>
        </w:rPr>
        <w:t xml:space="preserve">  </w:t>
      </w:r>
      <w:r w:rsidRPr="00534E7C" w:rsidR="00F02741">
        <w:rPr>
          <w:szCs w:val="22"/>
        </w:rPr>
        <w:t>O</w:t>
      </w:r>
      <w:r w:rsidRPr="00534E7C" w:rsidR="00AF04C3">
        <w:rPr>
          <w:szCs w:val="22"/>
        </w:rPr>
        <w:t>utside of the Northeast Corridor (which extends from Boston to Washington, DC), PTC-220’s member-owned tracks host m</w:t>
      </w:r>
      <w:r w:rsidRPr="00534E7C" w:rsidR="007B0F36">
        <w:rPr>
          <w:szCs w:val="22"/>
        </w:rPr>
        <w:t xml:space="preserve">ost </w:t>
      </w:r>
      <w:r w:rsidRPr="00534E7C" w:rsidR="00AF04C3">
        <w:rPr>
          <w:szCs w:val="22"/>
        </w:rPr>
        <w:t>of Amtrak’s intercity passenger rail operations and</w:t>
      </w:r>
      <w:r w:rsidRPr="00534E7C" w:rsidR="00F02741">
        <w:rPr>
          <w:szCs w:val="22"/>
        </w:rPr>
        <w:t>,</w:t>
      </w:r>
      <w:r w:rsidRPr="00534E7C" w:rsidR="00AF04C3">
        <w:rPr>
          <w:szCs w:val="22"/>
        </w:rPr>
        <w:t xml:space="preserve"> in many places</w:t>
      </w:r>
      <w:r w:rsidRPr="00534E7C" w:rsidR="00F02741">
        <w:rPr>
          <w:szCs w:val="22"/>
        </w:rPr>
        <w:t>,</w:t>
      </w:r>
      <w:r w:rsidRPr="00534E7C" w:rsidR="00AF04C3">
        <w:rPr>
          <w:szCs w:val="22"/>
        </w:rPr>
        <w:t xml:space="preserve"> host commuter rail operations.</w:t>
      </w:r>
      <w:r>
        <w:rPr>
          <w:rStyle w:val="FootnoteReference"/>
          <w:sz w:val="22"/>
          <w:szCs w:val="22"/>
        </w:rPr>
        <w:footnoteReference w:id="45"/>
      </w:r>
      <w:r w:rsidRPr="00534E7C" w:rsidR="00AF04C3">
        <w:rPr>
          <w:szCs w:val="22"/>
        </w:rPr>
        <w:t xml:space="preserve">  </w:t>
      </w:r>
      <w:r w:rsidRPr="00534E7C" w:rsidR="007B0F36">
        <w:rPr>
          <w:szCs w:val="22"/>
        </w:rPr>
        <w:t xml:space="preserve">Although </w:t>
      </w:r>
      <w:r w:rsidRPr="00534E7C" w:rsidR="00AF04C3">
        <w:rPr>
          <w:szCs w:val="22"/>
        </w:rPr>
        <w:t xml:space="preserve">PTC-220’s 220 MHz Band </w:t>
      </w:r>
      <w:r w:rsidR="005A2C88">
        <w:rPr>
          <w:szCs w:val="22"/>
        </w:rPr>
        <w:t>lice</w:t>
      </w:r>
      <w:r w:rsidR="00E057DE">
        <w:rPr>
          <w:szCs w:val="22"/>
        </w:rPr>
        <w:t xml:space="preserve">nsed </w:t>
      </w:r>
      <w:r w:rsidRPr="00534E7C" w:rsidR="00460E5F">
        <w:rPr>
          <w:szCs w:val="22"/>
        </w:rPr>
        <w:t>spectrum</w:t>
      </w:r>
      <w:r w:rsidRPr="00534E7C" w:rsidR="007B0F36">
        <w:rPr>
          <w:szCs w:val="22"/>
        </w:rPr>
        <w:t xml:space="preserve"> and the </w:t>
      </w:r>
      <w:r w:rsidRPr="00534E7C" w:rsidR="00AF04C3">
        <w:rPr>
          <w:szCs w:val="22"/>
        </w:rPr>
        <w:t>spectrum it leases from AA</w:t>
      </w:r>
      <w:r w:rsidRPr="00534E7C" w:rsidR="00C717BB">
        <w:rPr>
          <w:szCs w:val="22"/>
        </w:rPr>
        <w:t>R</w:t>
      </w:r>
      <w:r w:rsidRPr="00534E7C" w:rsidR="004315E1">
        <w:rPr>
          <w:szCs w:val="22"/>
        </w:rPr>
        <w:t xml:space="preserve"> </w:t>
      </w:r>
      <w:r w:rsidRPr="00534E7C" w:rsidR="00AF04C3">
        <w:rPr>
          <w:szCs w:val="22"/>
        </w:rPr>
        <w:t xml:space="preserve">cover </w:t>
      </w:r>
      <w:r w:rsidRPr="00534E7C" w:rsidR="007B0F36">
        <w:rPr>
          <w:szCs w:val="22"/>
        </w:rPr>
        <w:t>th</w:t>
      </w:r>
      <w:r w:rsidRPr="00534E7C" w:rsidR="004315E1">
        <w:rPr>
          <w:szCs w:val="22"/>
        </w:rPr>
        <w:t xml:space="preserve">e U.S. </w:t>
      </w:r>
      <w:r w:rsidRPr="00534E7C" w:rsidR="007B0F36">
        <w:rPr>
          <w:szCs w:val="22"/>
        </w:rPr>
        <w:t>rail network,</w:t>
      </w:r>
      <w:r>
        <w:rPr>
          <w:rStyle w:val="FootnoteReference"/>
          <w:sz w:val="22"/>
          <w:szCs w:val="22"/>
        </w:rPr>
        <w:footnoteReference w:id="46"/>
      </w:r>
      <w:r w:rsidRPr="00534E7C" w:rsidR="004315E1">
        <w:rPr>
          <w:szCs w:val="22"/>
        </w:rPr>
        <w:t xml:space="preserve"> the spectrum </w:t>
      </w:r>
      <w:r w:rsidRPr="00534E7C" w:rsidR="00C717BB">
        <w:rPr>
          <w:szCs w:val="22"/>
        </w:rPr>
        <w:t xml:space="preserve">is </w:t>
      </w:r>
      <w:r w:rsidRPr="00534E7C" w:rsidR="00AF04C3">
        <w:rPr>
          <w:szCs w:val="22"/>
        </w:rPr>
        <w:t>underutilized</w:t>
      </w:r>
      <w:r w:rsidRPr="00534E7C" w:rsidR="007B0F36">
        <w:rPr>
          <w:szCs w:val="22"/>
        </w:rPr>
        <w:t xml:space="preserve"> </w:t>
      </w:r>
      <w:r w:rsidRPr="00534E7C" w:rsidR="001A78D5">
        <w:rPr>
          <w:szCs w:val="22"/>
        </w:rPr>
        <w:t xml:space="preserve">in many areas </w:t>
      </w:r>
      <w:r w:rsidRPr="00534E7C" w:rsidR="007B0F36">
        <w:rPr>
          <w:szCs w:val="22"/>
        </w:rPr>
        <w:t xml:space="preserve">because the 220 MHz Band rule waivers’ </w:t>
      </w:r>
      <w:r w:rsidRPr="00534E7C" w:rsidR="00721B8F">
        <w:rPr>
          <w:szCs w:val="22"/>
        </w:rPr>
        <w:t xml:space="preserve">current </w:t>
      </w:r>
      <w:r w:rsidRPr="00534E7C" w:rsidR="007B0F36">
        <w:rPr>
          <w:szCs w:val="22"/>
        </w:rPr>
        <w:t>PTC-</w:t>
      </w:r>
      <w:r w:rsidR="00A02DA2">
        <w:rPr>
          <w:szCs w:val="22"/>
        </w:rPr>
        <w:t xml:space="preserve">only </w:t>
      </w:r>
      <w:r w:rsidRPr="00534E7C" w:rsidR="006D4722">
        <w:rPr>
          <w:szCs w:val="22"/>
        </w:rPr>
        <w:t>limitation</w:t>
      </w:r>
      <w:r w:rsidRPr="00534E7C" w:rsidR="001A78D5">
        <w:rPr>
          <w:szCs w:val="22"/>
        </w:rPr>
        <w:t xml:space="preserve"> </w:t>
      </w:r>
      <w:r w:rsidRPr="00534E7C">
        <w:rPr>
          <w:szCs w:val="22"/>
        </w:rPr>
        <w:t>preclude</w:t>
      </w:r>
      <w:r w:rsidRPr="00534E7C" w:rsidR="006D4722">
        <w:rPr>
          <w:szCs w:val="22"/>
        </w:rPr>
        <w:t>s</w:t>
      </w:r>
      <w:r w:rsidRPr="00534E7C">
        <w:rPr>
          <w:szCs w:val="22"/>
        </w:rPr>
        <w:t xml:space="preserve"> </w:t>
      </w:r>
      <w:r w:rsidRPr="00534E7C" w:rsidR="004315E1">
        <w:rPr>
          <w:szCs w:val="22"/>
        </w:rPr>
        <w:t xml:space="preserve">the </w:t>
      </w:r>
      <w:r w:rsidRPr="00534E7C" w:rsidR="007B0F36">
        <w:rPr>
          <w:szCs w:val="22"/>
        </w:rPr>
        <w:t>deploy</w:t>
      </w:r>
      <w:r w:rsidRPr="00534E7C" w:rsidR="004315E1">
        <w:rPr>
          <w:szCs w:val="22"/>
        </w:rPr>
        <w:t>ment</w:t>
      </w:r>
      <w:r w:rsidRPr="00534E7C" w:rsidR="007B0F36">
        <w:rPr>
          <w:szCs w:val="22"/>
        </w:rPr>
        <w:t xml:space="preserve"> </w:t>
      </w:r>
      <w:r w:rsidRPr="00534E7C" w:rsidR="00EF1D8A">
        <w:rPr>
          <w:szCs w:val="22"/>
        </w:rPr>
        <w:t xml:space="preserve">of </w:t>
      </w:r>
      <w:r w:rsidRPr="00534E7C" w:rsidR="007B0F36">
        <w:rPr>
          <w:szCs w:val="22"/>
        </w:rPr>
        <w:t xml:space="preserve">non-PTC rail safety </w:t>
      </w:r>
      <w:r w:rsidRPr="00534E7C" w:rsidR="00541190">
        <w:rPr>
          <w:szCs w:val="22"/>
        </w:rPr>
        <w:t>systems</w:t>
      </w:r>
      <w:r w:rsidRPr="00534E7C" w:rsidR="007B0F36">
        <w:rPr>
          <w:szCs w:val="22"/>
        </w:rPr>
        <w:t>.</w:t>
      </w:r>
      <w:r>
        <w:rPr>
          <w:rStyle w:val="FootnoteReference"/>
          <w:sz w:val="22"/>
          <w:szCs w:val="22"/>
        </w:rPr>
        <w:footnoteReference w:id="47"/>
      </w:r>
      <w:r w:rsidRPr="00534E7C">
        <w:rPr>
          <w:szCs w:val="22"/>
        </w:rPr>
        <w:t xml:space="preserve">  In areas where track is not PTC-equipped, </w:t>
      </w:r>
      <w:r w:rsidR="007760DA">
        <w:rPr>
          <w:szCs w:val="22"/>
        </w:rPr>
        <w:t xml:space="preserve">valuable </w:t>
      </w:r>
      <w:r w:rsidRPr="00534E7C">
        <w:rPr>
          <w:szCs w:val="22"/>
        </w:rPr>
        <w:t xml:space="preserve">spectrum lies fallow because of the PTC-only </w:t>
      </w:r>
      <w:r w:rsidRPr="00534E7C" w:rsidR="006D4722">
        <w:rPr>
          <w:szCs w:val="22"/>
        </w:rPr>
        <w:t>limitation</w:t>
      </w:r>
      <w:r w:rsidRPr="00534E7C">
        <w:rPr>
          <w:szCs w:val="22"/>
        </w:rPr>
        <w:t>.</w:t>
      </w:r>
      <w:r>
        <w:rPr>
          <w:rStyle w:val="FootnoteReference"/>
          <w:sz w:val="22"/>
          <w:szCs w:val="22"/>
        </w:rPr>
        <w:footnoteReference w:id="48"/>
      </w:r>
    </w:p>
    <w:p w:rsidR="0073569E" w:rsidRPr="00534E7C" w:rsidP="00754BF2" w14:paraId="57EE1418" w14:textId="4DDEED52">
      <w:pPr>
        <w:pStyle w:val="ParaNum"/>
        <w:rPr>
          <w:szCs w:val="22"/>
        </w:rPr>
      </w:pPr>
      <w:r w:rsidRPr="00534E7C">
        <w:rPr>
          <w:szCs w:val="22"/>
        </w:rPr>
        <w:t xml:space="preserve">In its Waiver Request, </w:t>
      </w:r>
      <w:r w:rsidRPr="00534E7C" w:rsidR="00F67B54">
        <w:rPr>
          <w:szCs w:val="22"/>
        </w:rPr>
        <w:t xml:space="preserve">PTC-220 states that </w:t>
      </w:r>
      <w:r w:rsidRPr="00534E7C" w:rsidR="002F4858">
        <w:rPr>
          <w:szCs w:val="22"/>
        </w:rPr>
        <w:t xml:space="preserve">because of propagation characteristics and its nationwide footprint, </w:t>
      </w:r>
      <w:r w:rsidRPr="00534E7C" w:rsidR="006D4722">
        <w:rPr>
          <w:szCs w:val="22"/>
        </w:rPr>
        <w:t xml:space="preserve">its </w:t>
      </w:r>
      <w:r w:rsidRPr="00534E7C" w:rsidR="00F67B54">
        <w:rPr>
          <w:szCs w:val="22"/>
        </w:rPr>
        <w:t xml:space="preserve">220 MHz </w:t>
      </w:r>
      <w:r w:rsidRPr="00534E7C">
        <w:rPr>
          <w:szCs w:val="22"/>
        </w:rPr>
        <w:t xml:space="preserve">Band </w:t>
      </w:r>
      <w:r w:rsidR="00713714">
        <w:rPr>
          <w:szCs w:val="22"/>
        </w:rPr>
        <w:t xml:space="preserve">licensed </w:t>
      </w:r>
      <w:r w:rsidRPr="00534E7C" w:rsidR="002F4858">
        <w:rPr>
          <w:szCs w:val="22"/>
        </w:rPr>
        <w:t xml:space="preserve">spectrum </w:t>
      </w:r>
      <w:r w:rsidRPr="00534E7C" w:rsidR="00F67B54">
        <w:rPr>
          <w:szCs w:val="22"/>
        </w:rPr>
        <w:t xml:space="preserve">is </w:t>
      </w:r>
      <w:r w:rsidRPr="00534E7C" w:rsidR="00A1103B">
        <w:rPr>
          <w:szCs w:val="22"/>
        </w:rPr>
        <w:t xml:space="preserve">ideally </w:t>
      </w:r>
      <w:r w:rsidRPr="00534E7C" w:rsidR="00F67B54">
        <w:rPr>
          <w:szCs w:val="22"/>
        </w:rPr>
        <w:t xml:space="preserve">suited for the deployment of </w:t>
      </w:r>
      <w:r w:rsidRPr="00534E7C" w:rsidR="00E57D2A">
        <w:rPr>
          <w:szCs w:val="22"/>
        </w:rPr>
        <w:t xml:space="preserve">additional </w:t>
      </w:r>
      <w:r w:rsidRPr="00534E7C" w:rsidR="00F67B54">
        <w:rPr>
          <w:szCs w:val="22"/>
        </w:rPr>
        <w:t xml:space="preserve">rail safety </w:t>
      </w:r>
      <w:r w:rsidRPr="00534E7C" w:rsidR="00541190">
        <w:rPr>
          <w:szCs w:val="22"/>
        </w:rPr>
        <w:t>systems</w:t>
      </w:r>
      <w:r w:rsidRPr="00534E7C" w:rsidR="002F4858">
        <w:rPr>
          <w:szCs w:val="22"/>
        </w:rPr>
        <w:t>.</w:t>
      </w:r>
      <w:r>
        <w:rPr>
          <w:rStyle w:val="FootnoteReference"/>
          <w:sz w:val="22"/>
          <w:szCs w:val="22"/>
        </w:rPr>
        <w:footnoteReference w:id="49"/>
      </w:r>
      <w:r w:rsidRPr="00534E7C" w:rsidR="005A71BD">
        <w:rPr>
          <w:szCs w:val="22"/>
        </w:rPr>
        <w:t xml:space="preserve"> </w:t>
      </w:r>
      <w:r w:rsidRPr="00534E7C" w:rsidR="002F4858">
        <w:rPr>
          <w:szCs w:val="22"/>
        </w:rPr>
        <w:t xml:space="preserve"> PTC-220 states </w:t>
      </w:r>
      <w:r w:rsidRPr="00534E7C" w:rsidR="00754BF2">
        <w:rPr>
          <w:szCs w:val="22"/>
        </w:rPr>
        <w:t xml:space="preserve">that </w:t>
      </w:r>
      <w:r w:rsidRPr="00534E7C" w:rsidR="006D4722">
        <w:rPr>
          <w:szCs w:val="22"/>
        </w:rPr>
        <w:t xml:space="preserve">modifying </w:t>
      </w:r>
      <w:r w:rsidRPr="00534E7C" w:rsidR="00521833">
        <w:rPr>
          <w:szCs w:val="22"/>
        </w:rPr>
        <w:t xml:space="preserve">the </w:t>
      </w:r>
      <w:r w:rsidRPr="00534E7C" w:rsidR="009B5B8E">
        <w:rPr>
          <w:szCs w:val="22"/>
        </w:rPr>
        <w:t xml:space="preserve">rule </w:t>
      </w:r>
      <w:r w:rsidRPr="00534E7C" w:rsidR="00754BF2">
        <w:rPr>
          <w:szCs w:val="22"/>
        </w:rPr>
        <w:t>waiver</w:t>
      </w:r>
      <w:r w:rsidRPr="00534E7C">
        <w:rPr>
          <w:szCs w:val="22"/>
        </w:rPr>
        <w:t>s</w:t>
      </w:r>
      <w:r w:rsidRPr="00534E7C" w:rsidR="00521833">
        <w:rPr>
          <w:szCs w:val="22"/>
        </w:rPr>
        <w:t xml:space="preserve">’ scope </w:t>
      </w:r>
      <w:r w:rsidRPr="00534E7C" w:rsidR="00754BF2">
        <w:rPr>
          <w:szCs w:val="22"/>
        </w:rPr>
        <w:t>w</w:t>
      </w:r>
      <w:r w:rsidRPr="00534E7C" w:rsidR="002F4858">
        <w:rPr>
          <w:szCs w:val="22"/>
        </w:rPr>
        <w:t xml:space="preserve">ill </w:t>
      </w:r>
      <w:r w:rsidRPr="00534E7C" w:rsidR="00754BF2">
        <w:rPr>
          <w:szCs w:val="22"/>
        </w:rPr>
        <w:t xml:space="preserve">enable </w:t>
      </w:r>
      <w:r w:rsidRPr="00534E7C" w:rsidR="002F4858">
        <w:rPr>
          <w:szCs w:val="22"/>
        </w:rPr>
        <w:t xml:space="preserve">not only </w:t>
      </w:r>
      <w:r w:rsidRPr="00534E7C" w:rsidR="00754BF2">
        <w:rPr>
          <w:szCs w:val="22"/>
        </w:rPr>
        <w:t xml:space="preserve">its </w:t>
      </w:r>
      <w:r w:rsidRPr="00534E7C" w:rsidR="002F4858">
        <w:rPr>
          <w:szCs w:val="22"/>
        </w:rPr>
        <w:t xml:space="preserve">seven member </w:t>
      </w:r>
      <w:r w:rsidRPr="00534E7C" w:rsidR="00BB7CF2">
        <w:rPr>
          <w:szCs w:val="22"/>
        </w:rPr>
        <w:t>railroads</w:t>
      </w:r>
      <w:r w:rsidR="00BB7CF2">
        <w:rPr>
          <w:szCs w:val="22"/>
        </w:rPr>
        <w:t>,</w:t>
      </w:r>
      <w:r w:rsidRPr="00534E7C" w:rsidR="00BB7CF2">
        <w:rPr>
          <w:szCs w:val="22"/>
        </w:rPr>
        <w:t xml:space="preserve"> but</w:t>
      </w:r>
      <w:r w:rsidRPr="00534E7C" w:rsidR="002F4858">
        <w:rPr>
          <w:szCs w:val="22"/>
        </w:rPr>
        <w:t xml:space="preserve"> also t</w:t>
      </w:r>
      <w:r w:rsidRPr="00534E7C" w:rsidR="00754BF2">
        <w:rPr>
          <w:szCs w:val="22"/>
        </w:rPr>
        <w:t>heir tenants</w:t>
      </w:r>
      <w:r w:rsidRPr="00534E7C" w:rsidR="00CA34A7">
        <w:rPr>
          <w:szCs w:val="22"/>
        </w:rPr>
        <w:t>, including commuter railroads and Amtrak,</w:t>
      </w:r>
      <w:r w:rsidRPr="00534E7C" w:rsidR="00754BF2">
        <w:rPr>
          <w:szCs w:val="22"/>
        </w:rPr>
        <w:t xml:space="preserve"> and </w:t>
      </w:r>
      <w:r w:rsidRPr="00534E7C" w:rsidR="002F4858">
        <w:rPr>
          <w:szCs w:val="22"/>
        </w:rPr>
        <w:t xml:space="preserve">PTC-220’s many railroad </w:t>
      </w:r>
      <w:r w:rsidRPr="00534E7C" w:rsidR="00754BF2">
        <w:rPr>
          <w:szCs w:val="22"/>
        </w:rPr>
        <w:t>spectrum lessees</w:t>
      </w:r>
      <w:r w:rsidR="00A02DA2">
        <w:rPr>
          <w:szCs w:val="22"/>
        </w:rPr>
        <w:t>,</w:t>
      </w:r>
      <w:r w:rsidR="00342675">
        <w:rPr>
          <w:szCs w:val="22"/>
        </w:rPr>
        <w:t xml:space="preserve"> </w:t>
      </w:r>
      <w:r w:rsidRPr="00534E7C" w:rsidR="00754BF2">
        <w:rPr>
          <w:szCs w:val="22"/>
        </w:rPr>
        <w:t xml:space="preserve">to deploy </w:t>
      </w:r>
      <w:r w:rsidRPr="00534E7C" w:rsidR="00CE5548">
        <w:rPr>
          <w:szCs w:val="22"/>
        </w:rPr>
        <w:t xml:space="preserve">critical </w:t>
      </w:r>
      <w:r w:rsidRPr="00534E7C" w:rsidR="00754BF2">
        <w:rPr>
          <w:szCs w:val="22"/>
        </w:rPr>
        <w:t xml:space="preserve">rail safety </w:t>
      </w:r>
      <w:r w:rsidRPr="00534E7C" w:rsidR="006D4722">
        <w:rPr>
          <w:szCs w:val="22"/>
        </w:rPr>
        <w:t xml:space="preserve">systems </w:t>
      </w:r>
      <w:r w:rsidRPr="00534E7C" w:rsidR="00754BF2">
        <w:rPr>
          <w:szCs w:val="22"/>
        </w:rPr>
        <w:t xml:space="preserve">in the </w:t>
      </w:r>
      <w:r w:rsidRPr="00534E7C" w:rsidR="00E57D2A">
        <w:rPr>
          <w:szCs w:val="22"/>
        </w:rPr>
        <w:t xml:space="preserve">220 MHz </w:t>
      </w:r>
      <w:r w:rsidR="005C7E77">
        <w:rPr>
          <w:szCs w:val="22"/>
        </w:rPr>
        <w:t>B</w:t>
      </w:r>
      <w:r w:rsidRPr="00534E7C" w:rsidR="00754BF2">
        <w:rPr>
          <w:szCs w:val="22"/>
        </w:rPr>
        <w:t>and.</w:t>
      </w:r>
      <w:r>
        <w:rPr>
          <w:rStyle w:val="FootnoteReference"/>
          <w:sz w:val="22"/>
          <w:szCs w:val="22"/>
        </w:rPr>
        <w:footnoteReference w:id="50"/>
      </w:r>
      <w:r w:rsidRPr="00534E7C" w:rsidR="00E57D2A">
        <w:rPr>
          <w:szCs w:val="22"/>
        </w:rPr>
        <w:t xml:space="preserve">  </w:t>
      </w:r>
      <w:r w:rsidRPr="00534E7C" w:rsidR="009B5B8E">
        <w:rPr>
          <w:szCs w:val="22"/>
        </w:rPr>
        <w:t xml:space="preserve">As explained </w:t>
      </w:r>
      <w:r w:rsidRPr="00534E7C" w:rsidR="00A67D9A">
        <w:rPr>
          <w:szCs w:val="22"/>
        </w:rPr>
        <w:t xml:space="preserve">in more detail </w:t>
      </w:r>
      <w:r w:rsidRPr="00534E7C" w:rsidR="009B5B8E">
        <w:rPr>
          <w:szCs w:val="22"/>
        </w:rPr>
        <w:t>below, t</w:t>
      </w:r>
      <w:r w:rsidRPr="00534E7C" w:rsidR="00754BF2">
        <w:rPr>
          <w:szCs w:val="22"/>
        </w:rPr>
        <w:t xml:space="preserve">hese </w:t>
      </w:r>
      <w:r w:rsidRPr="00534E7C" w:rsidR="00541190">
        <w:rPr>
          <w:szCs w:val="22"/>
        </w:rPr>
        <w:t xml:space="preserve">systems </w:t>
      </w:r>
      <w:r w:rsidRPr="00534E7C" w:rsidR="00754BF2">
        <w:rPr>
          <w:szCs w:val="22"/>
        </w:rPr>
        <w:t xml:space="preserve">fall into two broad categories: </w:t>
      </w:r>
      <w:r w:rsidRPr="00534E7C" w:rsidR="00A67D9A">
        <w:rPr>
          <w:szCs w:val="22"/>
        </w:rPr>
        <w:t xml:space="preserve"> </w:t>
      </w:r>
      <w:r w:rsidRPr="00534E7C" w:rsidR="00754BF2">
        <w:rPr>
          <w:szCs w:val="22"/>
        </w:rPr>
        <w:t>(1) train operation systems</w:t>
      </w:r>
      <w:r w:rsidRPr="00534E7C" w:rsidR="00961691">
        <w:rPr>
          <w:szCs w:val="22"/>
        </w:rPr>
        <w:t xml:space="preserve">, which </w:t>
      </w:r>
      <w:r w:rsidRPr="00534E7C" w:rsidR="00754BF2">
        <w:rPr>
          <w:szCs w:val="22"/>
        </w:rPr>
        <w:t>control</w:t>
      </w:r>
      <w:r w:rsidRPr="00534E7C" w:rsidR="00BC5B92">
        <w:rPr>
          <w:szCs w:val="22"/>
        </w:rPr>
        <w:t>,</w:t>
      </w:r>
      <w:r w:rsidRPr="00534E7C" w:rsidR="00754BF2">
        <w:rPr>
          <w:szCs w:val="22"/>
        </w:rPr>
        <w:t xml:space="preserve"> or provide critical messages for</w:t>
      </w:r>
      <w:r w:rsidRPr="00534E7C" w:rsidR="00BC5B92">
        <w:rPr>
          <w:szCs w:val="22"/>
        </w:rPr>
        <w:t>,</w:t>
      </w:r>
      <w:r w:rsidRPr="00534E7C" w:rsidR="00754BF2">
        <w:rPr>
          <w:szCs w:val="22"/>
        </w:rPr>
        <w:t xml:space="preserve"> train operations including End-of-Train </w:t>
      </w:r>
      <w:r w:rsidRPr="00534E7C" w:rsidR="00640F8E">
        <w:rPr>
          <w:szCs w:val="22"/>
        </w:rPr>
        <w:t xml:space="preserve">(EOT) </w:t>
      </w:r>
      <w:r w:rsidRPr="00534E7C" w:rsidR="00754BF2">
        <w:rPr>
          <w:szCs w:val="22"/>
        </w:rPr>
        <w:t xml:space="preserve">devices and </w:t>
      </w:r>
      <w:r w:rsidRPr="00534E7C" w:rsidR="00640F8E">
        <w:rPr>
          <w:szCs w:val="22"/>
        </w:rPr>
        <w:t>d</w:t>
      </w:r>
      <w:r w:rsidRPr="00534E7C" w:rsidR="00754BF2">
        <w:rPr>
          <w:szCs w:val="22"/>
        </w:rPr>
        <w:t xml:space="preserve">istributed </w:t>
      </w:r>
      <w:r w:rsidRPr="00534E7C" w:rsidR="00640F8E">
        <w:rPr>
          <w:szCs w:val="22"/>
        </w:rPr>
        <w:t>p</w:t>
      </w:r>
      <w:r w:rsidRPr="00534E7C" w:rsidR="00754BF2">
        <w:rPr>
          <w:szCs w:val="22"/>
        </w:rPr>
        <w:t>ower systems; and (2) wayside (</w:t>
      </w:r>
      <w:r w:rsidRPr="00534E7C">
        <w:rPr>
          <w:szCs w:val="22"/>
        </w:rPr>
        <w:t xml:space="preserve">that is, </w:t>
      </w:r>
      <w:r w:rsidRPr="00534E7C" w:rsidR="00754BF2">
        <w:rPr>
          <w:szCs w:val="22"/>
        </w:rPr>
        <w:t>trackside) support systems</w:t>
      </w:r>
      <w:r w:rsidRPr="00534E7C" w:rsidR="00961691">
        <w:rPr>
          <w:szCs w:val="22"/>
        </w:rPr>
        <w:t xml:space="preserve">, which </w:t>
      </w:r>
      <w:r w:rsidRPr="00534E7C" w:rsidR="00754BF2">
        <w:rPr>
          <w:szCs w:val="22"/>
        </w:rPr>
        <w:t>monitor</w:t>
      </w:r>
      <w:r w:rsidRPr="00534E7C" w:rsidR="00961691">
        <w:rPr>
          <w:szCs w:val="22"/>
        </w:rPr>
        <w:t xml:space="preserve"> and </w:t>
      </w:r>
      <w:r w:rsidRPr="00534E7C" w:rsidR="00754BF2">
        <w:rPr>
          <w:szCs w:val="22"/>
        </w:rPr>
        <w:t>measure</w:t>
      </w:r>
      <w:r w:rsidRPr="00534E7C" w:rsidR="00961691">
        <w:rPr>
          <w:szCs w:val="22"/>
        </w:rPr>
        <w:t xml:space="preserve"> certain operations</w:t>
      </w:r>
      <w:r w:rsidRPr="00534E7C" w:rsidR="00754BF2">
        <w:rPr>
          <w:szCs w:val="22"/>
        </w:rPr>
        <w:t xml:space="preserve">, </w:t>
      </w:r>
      <w:r w:rsidRPr="00534E7C" w:rsidR="001A78D5">
        <w:rPr>
          <w:szCs w:val="22"/>
        </w:rPr>
        <w:t xml:space="preserve">helping safeguard </w:t>
      </w:r>
      <w:r w:rsidRPr="00534E7C" w:rsidR="00754BF2">
        <w:rPr>
          <w:szCs w:val="22"/>
        </w:rPr>
        <w:t>the public.</w:t>
      </w:r>
      <w:r>
        <w:rPr>
          <w:rStyle w:val="FootnoteReference"/>
          <w:sz w:val="22"/>
          <w:szCs w:val="22"/>
        </w:rPr>
        <w:footnoteReference w:id="51"/>
      </w:r>
      <w:r w:rsidRPr="00534E7C">
        <w:rPr>
          <w:szCs w:val="22"/>
        </w:rPr>
        <w:t xml:space="preserve">  PTC</w:t>
      </w:r>
      <w:r w:rsidR="0074218B">
        <w:rPr>
          <w:szCs w:val="22"/>
        </w:rPr>
        <w:t>-220</w:t>
      </w:r>
      <w:r w:rsidRPr="00534E7C">
        <w:rPr>
          <w:szCs w:val="22"/>
        </w:rPr>
        <w:t xml:space="preserve"> also </w:t>
      </w:r>
      <w:r w:rsidRPr="00534E7C" w:rsidR="009F6EF4">
        <w:rPr>
          <w:szCs w:val="22"/>
        </w:rPr>
        <w:t xml:space="preserve">states </w:t>
      </w:r>
      <w:r w:rsidRPr="00534E7C" w:rsidR="00BC5B92">
        <w:rPr>
          <w:szCs w:val="22"/>
        </w:rPr>
        <w:t>that its member</w:t>
      </w:r>
      <w:r w:rsidRPr="00534E7C" w:rsidR="009F6EF4">
        <w:rPr>
          <w:szCs w:val="22"/>
        </w:rPr>
        <w:t xml:space="preserve"> railroads</w:t>
      </w:r>
      <w:r w:rsidRPr="00534E7C" w:rsidR="00BC5B92">
        <w:rPr>
          <w:szCs w:val="22"/>
        </w:rPr>
        <w:t xml:space="preserve"> </w:t>
      </w:r>
      <w:r w:rsidRPr="00534E7C" w:rsidR="00CE5548">
        <w:rPr>
          <w:szCs w:val="22"/>
        </w:rPr>
        <w:t xml:space="preserve">intend to </w:t>
      </w:r>
      <w:r w:rsidRPr="00534E7C">
        <w:rPr>
          <w:szCs w:val="22"/>
        </w:rPr>
        <w:t>deploy</w:t>
      </w:r>
      <w:r w:rsidRPr="00534E7C" w:rsidR="00521833">
        <w:rPr>
          <w:szCs w:val="22"/>
        </w:rPr>
        <w:t xml:space="preserve"> advanced grade crossing </w:t>
      </w:r>
      <w:r w:rsidRPr="00534E7C" w:rsidR="005A249D">
        <w:rPr>
          <w:szCs w:val="22"/>
        </w:rPr>
        <w:t>technologies</w:t>
      </w:r>
      <w:r w:rsidRPr="00534E7C" w:rsidR="00BC5B92">
        <w:rPr>
          <w:szCs w:val="22"/>
        </w:rPr>
        <w:t xml:space="preserve"> in the 220 MHz Band</w:t>
      </w:r>
      <w:r w:rsidRPr="00534E7C" w:rsidR="00521833">
        <w:rPr>
          <w:szCs w:val="22"/>
        </w:rPr>
        <w:t>.</w:t>
      </w:r>
      <w:r>
        <w:rPr>
          <w:rStyle w:val="FootnoteReference"/>
          <w:sz w:val="22"/>
          <w:szCs w:val="22"/>
        </w:rPr>
        <w:footnoteReference w:id="52"/>
      </w:r>
      <w:r w:rsidRPr="00534E7C" w:rsidR="00521833">
        <w:rPr>
          <w:szCs w:val="22"/>
        </w:rPr>
        <w:t xml:space="preserve">   </w:t>
      </w:r>
    </w:p>
    <w:p w:rsidR="00754BF2" w:rsidRPr="00534E7C" w:rsidP="007C473C" w14:paraId="456DBE20" w14:textId="6D86F452">
      <w:pPr>
        <w:pStyle w:val="Heading3"/>
        <w:rPr>
          <w:szCs w:val="22"/>
        </w:rPr>
      </w:pPr>
      <w:bookmarkStart w:id="130" w:name="_Toc117162335"/>
      <w:bookmarkStart w:id="131" w:name="_Toc117170595"/>
      <w:bookmarkStart w:id="132" w:name="_Toc117179069"/>
      <w:bookmarkStart w:id="133" w:name="_Toc117516992"/>
      <w:bookmarkStart w:id="134" w:name="_Toc117517906"/>
      <w:bookmarkStart w:id="135" w:name="_Toc117518450"/>
      <w:bookmarkStart w:id="136" w:name="_Toc117518870"/>
      <w:bookmarkStart w:id="137" w:name="_Toc120523618"/>
      <w:bookmarkStart w:id="138" w:name="_Toc121150582"/>
      <w:bookmarkStart w:id="139" w:name="_Toc126158679"/>
      <w:bookmarkStart w:id="140" w:name="_Toc126158708"/>
      <w:bookmarkStart w:id="141" w:name="_Toc127960185"/>
      <w:bookmarkStart w:id="142" w:name="_Toc127994695"/>
      <w:bookmarkStart w:id="143" w:name="_Toc128039685"/>
      <w:bookmarkStart w:id="144" w:name="_Toc128039758"/>
      <w:bookmarkStart w:id="145" w:name="_Toc128039829"/>
      <w:bookmarkStart w:id="146" w:name="_Toc131444692"/>
      <w:bookmarkStart w:id="147" w:name="_Toc131444956"/>
      <w:bookmarkStart w:id="148" w:name="_Toc131676556"/>
      <w:bookmarkStart w:id="149" w:name="_Toc133848344"/>
      <w:r w:rsidRPr="00534E7C">
        <w:rPr>
          <w:szCs w:val="22"/>
        </w:rPr>
        <w:t xml:space="preserve">Train </w:t>
      </w:r>
      <w:r w:rsidRPr="00534E7C" w:rsidR="0073569E">
        <w:rPr>
          <w:szCs w:val="22"/>
        </w:rPr>
        <w:t xml:space="preserve">Operation </w:t>
      </w:r>
      <w:r w:rsidRPr="00534E7C">
        <w:rPr>
          <w:szCs w:val="22"/>
        </w:rPr>
        <w:t>Systems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534E7C">
        <w:rPr>
          <w:szCs w:val="22"/>
        </w:rPr>
        <w:t xml:space="preserve"> </w:t>
      </w:r>
    </w:p>
    <w:p w:rsidR="00793E54" w:rsidRPr="00534E7C" w:rsidP="00DB6308" w14:paraId="57FD0AF1" w14:textId="013950BA">
      <w:pPr>
        <w:pStyle w:val="ParaNum"/>
        <w:rPr>
          <w:szCs w:val="22"/>
        </w:rPr>
      </w:pPr>
      <w:r w:rsidRPr="00534E7C">
        <w:rPr>
          <w:szCs w:val="22"/>
        </w:rPr>
        <w:t xml:space="preserve">PTC-220 </w:t>
      </w:r>
      <w:r w:rsidRPr="00534E7C" w:rsidR="00961691">
        <w:rPr>
          <w:szCs w:val="22"/>
        </w:rPr>
        <w:t xml:space="preserve">proposes </w:t>
      </w:r>
      <w:r w:rsidRPr="00534E7C">
        <w:rPr>
          <w:szCs w:val="22"/>
        </w:rPr>
        <w:t>to</w:t>
      </w:r>
      <w:r w:rsidRPr="00534E7C" w:rsidR="00BC5B92">
        <w:rPr>
          <w:szCs w:val="22"/>
        </w:rPr>
        <w:t xml:space="preserve"> transition </w:t>
      </w:r>
      <w:r w:rsidRPr="00534E7C">
        <w:rPr>
          <w:szCs w:val="22"/>
        </w:rPr>
        <w:t xml:space="preserve">two </w:t>
      </w:r>
      <w:r w:rsidRPr="00534E7C" w:rsidR="0074323B">
        <w:rPr>
          <w:szCs w:val="22"/>
        </w:rPr>
        <w:t xml:space="preserve">key </w:t>
      </w:r>
      <w:r w:rsidRPr="00534E7C">
        <w:rPr>
          <w:szCs w:val="22"/>
        </w:rPr>
        <w:t>train safety systems</w:t>
      </w:r>
      <w:r w:rsidR="00245E4E">
        <w:rPr>
          <w:szCs w:val="22"/>
        </w:rPr>
        <w:t>—</w:t>
      </w:r>
      <w:r w:rsidRPr="00534E7C" w:rsidR="00640F8E">
        <w:rPr>
          <w:szCs w:val="22"/>
        </w:rPr>
        <w:t>EOT</w:t>
      </w:r>
      <w:r w:rsidR="00245E4E">
        <w:rPr>
          <w:szCs w:val="22"/>
        </w:rPr>
        <w:t xml:space="preserve"> </w:t>
      </w:r>
      <w:r w:rsidRPr="00534E7C">
        <w:rPr>
          <w:szCs w:val="22"/>
        </w:rPr>
        <w:t xml:space="preserve">devices and </w:t>
      </w:r>
      <w:r w:rsidRPr="00534E7C" w:rsidR="005A249D">
        <w:rPr>
          <w:szCs w:val="22"/>
        </w:rPr>
        <w:t>d</w:t>
      </w:r>
      <w:r w:rsidRPr="00534E7C">
        <w:rPr>
          <w:szCs w:val="22"/>
        </w:rPr>
        <w:t xml:space="preserve">istributed </w:t>
      </w:r>
      <w:r w:rsidRPr="00534E7C" w:rsidR="005A249D">
        <w:rPr>
          <w:szCs w:val="22"/>
        </w:rPr>
        <w:t>p</w:t>
      </w:r>
      <w:r w:rsidRPr="00534E7C">
        <w:rPr>
          <w:szCs w:val="22"/>
        </w:rPr>
        <w:t>ower systems</w:t>
      </w:r>
      <w:r w:rsidR="00245E4E">
        <w:rPr>
          <w:szCs w:val="22"/>
        </w:rPr>
        <w:t>—</w:t>
      </w:r>
      <w:r w:rsidRPr="00534E7C">
        <w:rPr>
          <w:szCs w:val="22"/>
        </w:rPr>
        <w:t>from</w:t>
      </w:r>
      <w:r w:rsidR="00245E4E">
        <w:rPr>
          <w:szCs w:val="22"/>
        </w:rPr>
        <w:t xml:space="preserve"> </w:t>
      </w:r>
      <w:r w:rsidRPr="00534E7C">
        <w:rPr>
          <w:szCs w:val="22"/>
        </w:rPr>
        <w:t>the 450 MHz Band, where they now operate, to the 220 MHz Band.</w:t>
      </w:r>
      <w:r>
        <w:rPr>
          <w:rStyle w:val="FootnoteReference"/>
          <w:sz w:val="22"/>
          <w:szCs w:val="22"/>
        </w:rPr>
        <w:footnoteReference w:id="53"/>
      </w:r>
      <w:r w:rsidRPr="00534E7C">
        <w:rPr>
          <w:szCs w:val="22"/>
        </w:rPr>
        <w:t xml:space="preserve">  PTC-220 states that </w:t>
      </w:r>
      <w:r w:rsidRPr="00534E7C" w:rsidR="00CE2401">
        <w:rPr>
          <w:szCs w:val="22"/>
        </w:rPr>
        <w:t>“</w:t>
      </w:r>
      <w:r w:rsidRPr="00534E7C" w:rsidR="00C55530">
        <w:rPr>
          <w:szCs w:val="22"/>
        </w:rPr>
        <w:t xml:space="preserve">[t]he 220 MHz Band features better propagation characteristics than the 450 MHz band” and that </w:t>
      </w:r>
      <w:r w:rsidRPr="00534E7C" w:rsidR="00DB6308">
        <w:rPr>
          <w:szCs w:val="22"/>
        </w:rPr>
        <w:t xml:space="preserve">using </w:t>
      </w:r>
      <w:r w:rsidRPr="00534E7C" w:rsidR="006D4722">
        <w:rPr>
          <w:szCs w:val="22"/>
        </w:rPr>
        <w:t xml:space="preserve">existing </w:t>
      </w:r>
      <w:r w:rsidRPr="00534E7C" w:rsidR="00DB6308">
        <w:rPr>
          <w:szCs w:val="22"/>
        </w:rPr>
        <w:t>“PTC base stations for EOT device traffic would dramatically improve EOT communications reliability.”</w:t>
      </w:r>
      <w:r>
        <w:rPr>
          <w:rStyle w:val="FootnoteReference"/>
          <w:sz w:val="22"/>
          <w:szCs w:val="22"/>
        </w:rPr>
        <w:footnoteReference w:id="54"/>
      </w:r>
      <w:r w:rsidRPr="00534E7C" w:rsidR="00DB6308">
        <w:rPr>
          <w:szCs w:val="22"/>
        </w:rPr>
        <w:t xml:space="preserve">  PTC-220 explains that </w:t>
      </w:r>
      <w:r w:rsidRPr="00534E7C" w:rsidR="00F2087C">
        <w:rPr>
          <w:szCs w:val="22"/>
        </w:rPr>
        <w:t>“</w:t>
      </w:r>
      <w:r w:rsidRPr="00534E7C" w:rsidR="00DB6308">
        <w:rPr>
          <w:szCs w:val="22"/>
        </w:rPr>
        <w:t>[p]ermitting railroads to use the 220 MHz band for distributed power systems will allow railroads to more effectively and efficiently transition distributed power communication links to the PTC network infrastructure</w:t>
      </w:r>
      <w:r w:rsidRPr="00534E7C" w:rsidR="00FE75D5">
        <w:rPr>
          <w:szCs w:val="22"/>
        </w:rPr>
        <w:t xml:space="preserve">,” which </w:t>
      </w:r>
      <w:r w:rsidRPr="00534E7C" w:rsidR="00E57D2A">
        <w:rPr>
          <w:szCs w:val="22"/>
        </w:rPr>
        <w:t xml:space="preserve">is </w:t>
      </w:r>
      <w:r w:rsidRPr="00534E7C" w:rsidR="00FE75D5">
        <w:rPr>
          <w:szCs w:val="22"/>
        </w:rPr>
        <w:t>optimized for 220 MHz Band traffic.</w:t>
      </w:r>
      <w:r>
        <w:rPr>
          <w:rStyle w:val="FootnoteReference"/>
          <w:sz w:val="22"/>
          <w:szCs w:val="22"/>
        </w:rPr>
        <w:footnoteReference w:id="55"/>
      </w:r>
      <w:r w:rsidRPr="00534E7C" w:rsidR="00675D21">
        <w:rPr>
          <w:szCs w:val="22"/>
        </w:rPr>
        <w:t xml:space="preserve">  </w:t>
      </w:r>
    </w:p>
    <w:p w:rsidR="00754BF2" w:rsidRPr="00534E7C" w:rsidP="007C473C" w14:paraId="317DDCCB" w14:textId="230A181A">
      <w:pPr>
        <w:pStyle w:val="Heading4"/>
        <w:rPr>
          <w:szCs w:val="22"/>
        </w:rPr>
      </w:pPr>
      <w:bookmarkStart w:id="151" w:name="_Toc117162336"/>
      <w:bookmarkStart w:id="152" w:name="_Toc117170596"/>
      <w:bookmarkStart w:id="153" w:name="_Toc117179070"/>
      <w:bookmarkStart w:id="154" w:name="_Toc117516993"/>
      <w:bookmarkStart w:id="155" w:name="_Toc117517907"/>
      <w:bookmarkStart w:id="156" w:name="_Toc117518451"/>
      <w:bookmarkStart w:id="157" w:name="_Toc117518871"/>
      <w:bookmarkStart w:id="158" w:name="_Toc120523619"/>
      <w:bookmarkStart w:id="159" w:name="_Toc126158680"/>
      <w:bookmarkStart w:id="160" w:name="_Toc126158709"/>
      <w:bookmarkStart w:id="161" w:name="_Toc127960186"/>
      <w:bookmarkStart w:id="162" w:name="_Toc127994696"/>
      <w:bookmarkStart w:id="163" w:name="_Toc128039686"/>
      <w:bookmarkStart w:id="164" w:name="_Toc128039830"/>
      <w:bookmarkStart w:id="165" w:name="_Toc131444693"/>
      <w:bookmarkStart w:id="166" w:name="_Toc131444957"/>
      <w:bookmarkStart w:id="167" w:name="_Toc131676557"/>
      <w:bookmarkStart w:id="168" w:name="_Toc133848345"/>
      <w:r w:rsidRPr="00534E7C">
        <w:rPr>
          <w:szCs w:val="22"/>
        </w:rPr>
        <w:t>End</w:t>
      </w:r>
      <w:r w:rsidRPr="00534E7C" w:rsidR="0073569E">
        <w:rPr>
          <w:szCs w:val="22"/>
        </w:rPr>
        <w:t>-</w:t>
      </w:r>
      <w:r w:rsidRPr="00534E7C">
        <w:rPr>
          <w:szCs w:val="22"/>
        </w:rPr>
        <w:t>of</w:t>
      </w:r>
      <w:r w:rsidRPr="00534E7C" w:rsidR="0073569E">
        <w:rPr>
          <w:szCs w:val="22"/>
        </w:rPr>
        <w:t>-</w:t>
      </w:r>
      <w:r w:rsidRPr="00534E7C">
        <w:rPr>
          <w:szCs w:val="22"/>
        </w:rPr>
        <w:t xml:space="preserve">Train </w:t>
      </w:r>
      <w:r w:rsidR="00823B95">
        <w:rPr>
          <w:szCs w:val="22"/>
        </w:rPr>
        <w:t xml:space="preserve">(EOT) </w:t>
      </w:r>
      <w:r w:rsidRPr="00534E7C">
        <w:rPr>
          <w:szCs w:val="22"/>
        </w:rPr>
        <w:t>Devices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754BF2" w:rsidRPr="00534E7C" w:rsidP="00754BF2" w14:paraId="42688F37" w14:textId="669EB45E">
      <w:pPr>
        <w:pStyle w:val="ParaNum"/>
        <w:rPr>
          <w:szCs w:val="22"/>
        </w:rPr>
      </w:pPr>
      <w:r w:rsidRPr="00534E7C">
        <w:rPr>
          <w:szCs w:val="22"/>
        </w:rPr>
        <w:t xml:space="preserve">EOT deployments include </w:t>
      </w:r>
      <w:r w:rsidRPr="00534E7C" w:rsidR="003805A0">
        <w:rPr>
          <w:szCs w:val="22"/>
        </w:rPr>
        <w:t xml:space="preserve">a </w:t>
      </w:r>
      <w:r w:rsidRPr="00534E7C" w:rsidR="00675D21">
        <w:rPr>
          <w:szCs w:val="22"/>
        </w:rPr>
        <w:t xml:space="preserve">radio </w:t>
      </w:r>
      <w:r w:rsidRPr="00534E7C">
        <w:rPr>
          <w:szCs w:val="22"/>
        </w:rPr>
        <w:t xml:space="preserve">at </w:t>
      </w:r>
      <w:r w:rsidRPr="00534E7C" w:rsidR="00AD6B79">
        <w:rPr>
          <w:szCs w:val="22"/>
        </w:rPr>
        <w:t xml:space="preserve">a </w:t>
      </w:r>
      <w:r w:rsidRPr="00534E7C">
        <w:rPr>
          <w:szCs w:val="22"/>
        </w:rPr>
        <w:t xml:space="preserve">train’s </w:t>
      </w:r>
      <w:r w:rsidRPr="00534E7C" w:rsidR="00675D21">
        <w:rPr>
          <w:szCs w:val="22"/>
        </w:rPr>
        <w:t>end</w:t>
      </w:r>
      <w:r w:rsidRPr="00534E7C">
        <w:rPr>
          <w:szCs w:val="22"/>
        </w:rPr>
        <w:t xml:space="preserve">, which transmits </w:t>
      </w:r>
      <w:r w:rsidRPr="00534E7C" w:rsidR="00D6362C">
        <w:rPr>
          <w:szCs w:val="22"/>
        </w:rPr>
        <w:t>brake line</w:t>
      </w:r>
      <w:r w:rsidRPr="00534E7C" w:rsidR="00AD6B79">
        <w:rPr>
          <w:szCs w:val="22"/>
        </w:rPr>
        <w:t xml:space="preserve"> </w:t>
      </w:r>
      <w:r w:rsidRPr="00534E7C" w:rsidR="00FC5C3A">
        <w:rPr>
          <w:szCs w:val="22"/>
        </w:rPr>
        <w:t xml:space="preserve">pressure </w:t>
      </w:r>
      <w:r w:rsidRPr="00534E7C" w:rsidR="008A28C5">
        <w:rPr>
          <w:szCs w:val="22"/>
        </w:rPr>
        <w:t xml:space="preserve">and other </w:t>
      </w:r>
      <w:r w:rsidRPr="00534E7C" w:rsidR="00FC5C3A">
        <w:rPr>
          <w:szCs w:val="22"/>
        </w:rPr>
        <w:t xml:space="preserve">vital </w:t>
      </w:r>
      <w:r w:rsidRPr="00534E7C">
        <w:rPr>
          <w:szCs w:val="22"/>
        </w:rPr>
        <w:t>information</w:t>
      </w:r>
      <w:r w:rsidRPr="00534E7C" w:rsidR="003805A0">
        <w:rPr>
          <w:szCs w:val="22"/>
        </w:rPr>
        <w:t xml:space="preserve"> to a </w:t>
      </w:r>
      <w:r w:rsidRPr="00534E7C" w:rsidR="00CE5548">
        <w:rPr>
          <w:szCs w:val="22"/>
        </w:rPr>
        <w:t>locomotive unit</w:t>
      </w:r>
      <w:r w:rsidRPr="00534E7C">
        <w:rPr>
          <w:szCs w:val="22"/>
        </w:rPr>
        <w:t xml:space="preserve">, where </w:t>
      </w:r>
      <w:r w:rsidRPr="00534E7C" w:rsidR="0074323B">
        <w:rPr>
          <w:szCs w:val="22"/>
        </w:rPr>
        <w:t>a</w:t>
      </w:r>
      <w:r w:rsidRPr="00534E7C" w:rsidR="00CE5548">
        <w:rPr>
          <w:szCs w:val="22"/>
        </w:rPr>
        <w:t>n</w:t>
      </w:r>
      <w:r w:rsidRPr="00534E7C">
        <w:rPr>
          <w:szCs w:val="22"/>
        </w:rPr>
        <w:t xml:space="preserve"> engineer receives </w:t>
      </w:r>
      <w:r w:rsidRPr="00534E7C" w:rsidR="00AD6B79">
        <w:rPr>
          <w:szCs w:val="22"/>
        </w:rPr>
        <w:t xml:space="preserve">the </w:t>
      </w:r>
      <w:r w:rsidRPr="00534E7C">
        <w:rPr>
          <w:szCs w:val="22"/>
        </w:rPr>
        <w:t>information.</w:t>
      </w:r>
      <w:r>
        <w:rPr>
          <w:rStyle w:val="FootnoteReference"/>
          <w:sz w:val="22"/>
          <w:szCs w:val="22"/>
        </w:rPr>
        <w:footnoteReference w:id="56"/>
      </w:r>
      <w:r w:rsidRPr="00534E7C" w:rsidR="008A28C5">
        <w:rPr>
          <w:szCs w:val="22"/>
        </w:rPr>
        <w:t xml:space="preserve">  </w:t>
      </w:r>
      <w:r w:rsidRPr="00534E7C">
        <w:rPr>
          <w:szCs w:val="22"/>
        </w:rPr>
        <w:t xml:space="preserve">The </w:t>
      </w:r>
      <w:r w:rsidRPr="00534E7C" w:rsidR="00675D21">
        <w:rPr>
          <w:szCs w:val="22"/>
        </w:rPr>
        <w:t xml:space="preserve">end </w:t>
      </w:r>
      <w:r w:rsidRPr="00534E7C">
        <w:rPr>
          <w:szCs w:val="22"/>
        </w:rPr>
        <w:t>unit must be mounted on the coupling knuckle behind the train’s last car</w:t>
      </w:r>
      <w:r w:rsidRPr="00534E7C" w:rsidR="002D577D">
        <w:rPr>
          <w:szCs w:val="22"/>
        </w:rPr>
        <w:t>; t</w:t>
      </w:r>
      <w:r w:rsidRPr="00534E7C">
        <w:rPr>
          <w:szCs w:val="22"/>
        </w:rPr>
        <w:t xml:space="preserve">his </w:t>
      </w:r>
      <w:r w:rsidRPr="00534E7C" w:rsidR="00172C69">
        <w:rPr>
          <w:szCs w:val="22"/>
        </w:rPr>
        <w:t xml:space="preserve">design </w:t>
      </w:r>
      <w:r w:rsidRPr="00534E7C">
        <w:rPr>
          <w:szCs w:val="22"/>
        </w:rPr>
        <w:t xml:space="preserve">means that the transmission path from the </w:t>
      </w:r>
      <w:r w:rsidRPr="00534E7C" w:rsidR="00675D21">
        <w:rPr>
          <w:szCs w:val="22"/>
        </w:rPr>
        <w:t xml:space="preserve">end </w:t>
      </w:r>
      <w:r w:rsidRPr="00534E7C" w:rsidR="003805A0">
        <w:rPr>
          <w:szCs w:val="22"/>
        </w:rPr>
        <w:t xml:space="preserve">unit </w:t>
      </w:r>
      <w:r w:rsidRPr="00534E7C">
        <w:rPr>
          <w:szCs w:val="22"/>
        </w:rPr>
        <w:t xml:space="preserve">to the </w:t>
      </w:r>
      <w:r w:rsidRPr="00534E7C" w:rsidR="00CE5548">
        <w:rPr>
          <w:szCs w:val="22"/>
        </w:rPr>
        <w:t xml:space="preserve">locomotive </w:t>
      </w:r>
      <w:r w:rsidRPr="00534E7C">
        <w:rPr>
          <w:szCs w:val="22"/>
        </w:rPr>
        <w:t xml:space="preserve">unit is always blocked by </w:t>
      </w:r>
      <w:r w:rsidRPr="00534E7C" w:rsidR="003805A0">
        <w:rPr>
          <w:szCs w:val="22"/>
        </w:rPr>
        <w:t xml:space="preserve">intervening </w:t>
      </w:r>
      <w:r w:rsidRPr="00534E7C" w:rsidR="00172C69">
        <w:rPr>
          <w:szCs w:val="22"/>
        </w:rPr>
        <w:t xml:space="preserve">rail </w:t>
      </w:r>
      <w:r w:rsidRPr="00534E7C">
        <w:rPr>
          <w:szCs w:val="22"/>
        </w:rPr>
        <w:t>cars</w:t>
      </w:r>
      <w:r w:rsidRPr="00534E7C" w:rsidR="00172C69">
        <w:rPr>
          <w:szCs w:val="22"/>
        </w:rPr>
        <w:t>,</w:t>
      </w:r>
      <w:r>
        <w:rPr>
          <w:rStyle w:val="FootnoteReference"/>
          <w:sz w:val="22"/>
          <w:szCs w:val="22"/>
        </w:rPr>
        <w:footnoteReference w:id="57"/>
      </w:r>
      <w:r w:rsidRPr="00534E7C" w:rsidR="00172C69">
        <w:rPr>
          <w:szCs w:val="22"/>
        </w:rPr>
        <w:t xml:space="preserve"> and the trend towards longer trains has </w:t>
      </w:r>
      <w:r w:rsidRPr="00534E7C" w:rsidR="0074323B">
        <w:rPr>
          <w:szCs w:val="22"/>
        </w:rPr>
        <w:t xml:space="preserve">exacerbated </w:t>
      </w:r>
      <w:r w:rsidRPr="00534E7C" w:rsidR="00172C69">
        <w:rPr>
          <w:szCs w:val="22"/>
        </w:rPr>
        <w:t>the problem.</w:t>
      </w:r>
      <w:r>
        <w:rPr>
          <w:rStyle w:val="FootnoteReference"/>
          <w:sz w:val="22"/>
          <w:szCs w:val="22"/>
        </w:rPr>
        <w:footnoteReference w:id="58"/>
      </w:r>
      <w:r w:rsidRPr="00534E7C" w:rsidR="00AD6B79">
        <w:rPr>
          <w:szCs w:val="22"/>
        </w:rPr>
        <w:t xml:space="preserve">  For example, two of PTC-220’s members had average train lengths of 1.2 and 1.4 miles in 2017</w:t>
      </w:r>
      <w:r w:rsidRPr="00534E7C" w:rsidR="00A67D9A">
        <w:rPr>
          <w:szCs w:val="22"/>
        </w:rPr>
        <w:t>,</w:t>
      </w:r>
      <w:r w:rsidRPr="00534E7C" w:rsidR="00AD6B79">
        <w:rPr>
          <w:szCs w:val="22"/>
        </w:rPr>
        <w:t xml:space="preserve"> </w:t>
      </w:r>
      <w:r w:rsidRPr="00534E7C" w:rsidR="00A67D9A">
        <w:rPr>
          <w:szCs w:val="22"/>
        </w:rPr>
        <w:t xml:space="preserve">and some trains are as </w:t>
      </w:r>
      <w:r w:rsidR="00C83DB2">
        <w:rPr>
          <w:szCs w:val="22"/>
        </w:rPr>
        <w:t xml:space="preserve">long </w:t>
      </w:r>
      <w:r w:rsidRPr="00534E7C" w:rsidR="00A67D9A">
        <w:rPr>
          <w:szCs w:val="22"/>
        </w:rPr>
        <w:t>as three miles.</w:t>
      </w:r>
      <w:r>
        <w:rPr>
          <w:rStyle w:val="FootnoteReference"/>
          <w:sz w:val="22"/>
          <w:szCs w:val="22"/>
        </w:rPr>
        <w:footnoteReference w:id="59"/>
      </w:r>
      <w:r w:rsidRPr="00534E7C">
        <w:rPr>
          <w:szCs w:val="22"/>
        </w:rPr>
        <w:t xml:space="preserve"> </w:t>
      </w:r>
    </w:p>
    <w:p w:rsidR="00823B95" w:rsidP="00754BF2" w14:paraId="497430FA" w14:textId="72245DA5">
      <w:pPr>
        <w:pStyle w:val="ParaNum"/>
        <w:rPr>
          <w:szCs w:val="22"/>
        </w:rPr>
      </w:pPr>
      <w:r w:rsidRPr="00534E7C">
        <w:rPr>
          <w:szCs w:val="22"/>
        </w:rPr>
        <w:t xml:space="preserve">PTC-220 </w:t>
      </w:r>
      <w:r w:rsidRPr="00534E7C" w:rsidR="007A35A2">
        <w:rPr>
          <w:szCs w:val="22"/>
        </w:rPr>
        <w:t xml:space="preserve">explains </w:t>
      </w:r>
      <w:r w:rsidRPr="00534E7C">
        <w:rPr>
          <w:szCs w:val="22"/>
        </w:rPr>
        <w:t>that p</w:t>
      </w:r>
      <w:r w:rsidRPr="00534E7C" w:rsidR="00754BF2">
        <w:rPr>
          <w:szCs w:val="22"/>
        </w:rPr>
        <w:t xml:space="preserve">roperly functioning EOT devices are </w:t>
      </w:r>
      <w:r w:rsidRPr="00534E7C" w:rsidR="007A35A2">
        <w:rPr>
          <w:szCs w:val="22"/>
        </w:rPr>
        <w:t xml:space="preserve">essential </w:t>
      </w:r>
      <w:r w:rsidRPr="00534E7C" w:rsidR="00754BF2">
        <w:rPr>
          <w:szCs w:val="22"/>
        </w:rPr>
        <w:t>for safe train operations</w:t>
      </w:r>
      <w:r w:rsidRPr="00534E7C" w:rsidR="002D577D">
        <w:rPr>
          <w:szCs w:val="22"/>
        </w:rPr>
        <w:t xml:space="preserve">: </w:t>
      </w:r>
      <w:r w:rsidRPr="00534E7C" w:rsidR="00754BF2">
        <w:rPr>
          <w:szCs w:val="22"/>
        </w:rPr>
        <w:t xml:space="preserve"> </w:t>
      </w:r>
      <w:r w:rsidRPr="00534E7C" w:rsidR="007A35A2">
        <w:rPr>
          <w:szCs w:val="22"/>
        </w:rPr>
        <w:t xml:space="preserve">interruption of </w:t>
      </w:r>
      <w:r w:rsidRPr="00534E7C" w:rsidR="00754BF2">
        <w:rPr>
          <w:szCs w:val="22"/>
        </w:rPr>
        <w:t xml:space="preserve">the communications link between the </w:t>
      </w:r>
      <w:r w:rsidRPr="00534E7C" w:rsidR="00675D21">
        <w:rPr>
          <w:szCs w:val="22"/>
        </w:rPr>
        <w:t xml:space="preserve">end </w:t>
      </w:r>
      <w:r w:rsidRPr="00534E7C" w:rsidR="00754BF2">
        <w:rPr>
          <w:szCs w:val="22"/>
        </w:rPr>
        <w:t xml:space="preserve">unit and the locomotive </w:t>
      </w:r>
      <w:r w:rsidRPr="00534E7C" w:rsidR="00267DA3">
        <w:rPr>
          <w:szCs w:val="22"/>
        </w:rPr>
        <w:t xml:space="preserve">unit </w:t>
      </w:r>
      <w:r w:rsidRPr="00534E7C" w:rsidR="00754BF2">
        <w:rPr>
          <w:szCs w:val="22"/>
        </w:rPr>
        <w:t xml:space="preserve">will stop </w:t>
      </w:r>
      <w:r w:rsidRPr="00534E7C" w:rsidR="007A35A2">
        <w:rPr>
          <w:szCs w:val="22"/>
        </w:rPr>
        <w:t>a</w:t>
      </w:r>
      <w:r w:rsidRPr="00534E7C" w:rsidR="00754BF2">
        <w:rPr>
          <w:szCs w:val="22"/>
        </w:rPr>
        <w:t xml:space="preserve"> train as a precautionary measure, increasing the potential </w:t>
      </w:r>
      <w:r w:rsidRPr="00534E7C" w:rsidR="00267DA3">
        <w:rPr>
          <w:szCs w:val="22"/>
        </w:rPr>
        <w:t xml:space="preserve">for </w:t>
      </w:r>
      <w:r w:rsidRPr="00534E7C" w:rsidR="00754BF2">
        <w:rPr>
          <w:szCs w:val="22"/>
        </w:rPr>
        <w:t>derail</w:t>
      </w:r>
      <w:r w:rsidRPr="00534E7C" w:rsidR="00267DA3">
        <w:rPr>
          <w:szCs w:val="22"/>
        </w:rPr>
        <w:t>ment</w:t>
      </w:r>
      <w:r w:rsidRPr="00534E7C" w:rsidR="00754BF2">
        <w:rPr>
          <w:szCs w:val="22"/>
        </w:rPr>
        <w:t>.</w:t>
      </w:r>
      <w:r>
        <w:rPr>
          <w:rStyle w:val="FootnoteReference"/>
          <w:sz w:val="22"/>
          <w:szCs w:val="22"/>
        </w:rPr>
        <w:footnoteReference w:id="60"/>
      </w:r>
      <w:r>
        <w:rPr>
          <w:szCs w:val="22"/>
        </w:rPr>
        <w:t xml:space="preserve">  </w:t>
      </w:r>
      <w:r w:rsidR="002711D6">
        <w:rPr>
          <w:szCs w:val="22"/>
        </w:rPr>
        <w:t>The FRA recently emphasized the importance of properly functioning EOT devices in a Safety Advisory focusing on accident mitigation when operating longer trains.</w:t>
      </w:r>
      <w:r>
        <w:rPr>
          <w:rStyle w:val="FootnoteReference"/>
          <w:szCs w:val="22"/>
        </w:rPr>
        <w:footnoteReference w:id="61"/>
      </w:r>
      <w:r w:rsidR="002711D6">
        <w:rPr>
          <w:szCs w:val="22"/>
        </w:rPr>
        <w:t xml:space="preserve">  The FRA’s recommendations “to ensure the safe operation of such trains” include “tak[ing] appropriate action to prevent the loss of communications </w:t>
      </w:r>
      <w:r w:rsidR="002711D6">
        <w:rPr>
          <w:szCs w:val="22"/>
        </w:rPr>
        <w:t>between end-of-train devices . . . .”</w:t>
      </w:r>
      <w:r>
        <w:rPr>
          <w:rStyle w:val="FootnoteReference"/>
          <w:szCs w:val="22"/>
        </w:rPr>
        <w:footnoteReference w:id="62"/>
      </w:r>
      <w:r w:rsidR="002711D6">
        <w:rPr>
          <w:szCs w:val="22"/>
        </w:rPr>
        <w:t xml:space="preserve">  The</w:t>
      </w:r>
      <w:r w:rsidR="00927CA9">
        <w:rPr>
          <w:szCs w:val="22"/>
        </w:rPr>
        <w:t xml:space="preserve"> Safety Advisory</w:t>
      </w:r>
      <w:r w:rsidR="002711D6">
        <w:rPr>
          <w:szCs w:val="22"/>
        </w:rPr>
        <w:t xml:space="preserve"> explain</w:t>
      </w:r>
      <w:r w:rsidR="00927CA9">
        <w:rPr>
          <w:szCs w:val="22"/>
        </w:rPr>
        <w:t>s</w:t>
      </w:r>
      <w:r w:rsidR="002711D6">
        <w:rPr>
          <w:szCs w:val="22"/>
        </w:rPr>
        <w:t xml:space="preserve"> that longer trains are more prone to experience EOT device signal loss because of the longer distance signals must travel (compared to shorter trains), an</w:t>
      </w:r>
      <w:r w:rsidR="00927CA9">
        <w:rPr>
          <w:szCs w:val="22"/>
        </w:rPr>
        <w:t>d highlights</w:t>
      </w:r>
      <w:r w:rsidR="002711D6">
        <w:rPr>
          <w:szCs w:val="22"/>
        </w:rPr>
        <w:t xml:space="preserve"> the potentially dire consequences of a signal loss between EOT devices.</w:t>
      </w:r>
      <w:r>
        <w:rPr>
          <w:rStyle w:val="FootnoteReference"/>
          <w:szCs w:val="22"/>
        </w:rPr>
        <w:footnoteReference w:id="63"/>
      </w:r>
      <w:r w:rsidR="002711D6">
        <w:rPr>
          <w:szCs w:val="22"/>
        </w:rPr>
        <w:t xml:space="preserve"> </w:t>
      </w:r>
      <w:r w:rsidR="00927CA9">
        <w:rPr>
          <w:szCs w:val="22"/>
        </w:rPr>
        <w:t xml:space="preserve"> </w:t>
      </w:r>
      <w:r w:rsidR="002711D6">
        <w:rPr>
          <w:szCs w:val="22"/>
        </w:rPr>
        <w:t xml:space="preserve">The </w:t>
      </w:r>
      <w:r w:rsidR="00927CA9">
        <w:rPr>
          <w:szCs w:val="22"/>
        </w:rPr>
        <w:t>FRA</w:t>
      </w:r>
      <w:r w:rsidR="002711D6">
        <w:rPr>
          <w:szCs w:val="22"/>
        </w:rPr>
        <w:t xml:space="preserve"> “recommends that railroads implement technologies, policies, procedures, and any necessary hardware enhancements to ensure two-way EOT devices maintain continuous and undisrupted communications to and from the front and rear units.”</w:t>
      </w:r>
      <w:r>
        <w:rPr>
          <w:rStyle w:val="FootnoteReference"/>
          <w:szCs w:val="22"/>
        </w:rPr>
        <w:footnoteReference w:id="64"/>
      </w:r>
    </w:p>
    <w:p w:rsidR="00400720" w:rsidRPr="00534E7C" w:rsidP="00754BF2" w14:paraId="3839EF6C" w14:textId="554B6BD2">
      <w:pPr>
        <w:pStyle w:val="ParaNum"/>
        <w:rPr>
          <w:szCs w:val="22"/>
        </w:rPr>
      </w:pPr>
      <w:r w:rsidRPr="00534E7C">
        <w:rPr>
          <w:szCs w:val="22"/>
        </w:rPr>
        <w:t xml:space="preserve">PTC-220 </w:t>
      </w:r>
      <w:r w:rsidRPr="00534E7C" w:rsidR="003805A0">
        <w:rPr>
          <w:szCs w:val="22"/>
        </w:rPr>
        <w:t>state</w:t>
      </w:r>
      <w:r w:rsidRPr="00534E7C">
        <w:rPr>
          <w:szCs w:val="22"/>
        </w:rPr>
        <w:t xml:space="preserve">s that channel capacity cannot be expanded, nor can congestion management be supported, within the 450 MHz </w:t>
      </w:r>
      <w:r w:rsidR="00B93501">
        <w:rPr>
          <w:szCs w:val="22"/>
        </w:rPr>
        <w:t>B</w:t>
      </w:r>
      <w:r w:rsidRPr="00534E7C">
        <w:rPr>
          <w:szCs w:val="22"/>
        </w:rPr>
        <w:t>and for any application facing scarcity of bandwidth.</w:t>
      </w:r>
      <w:r>
        <w:rPr>
          <w:rStyle w:val="FootnoteReference"/>
          <w:sz w:val="22"/>
          <w:szCs w:val="22"/>
        </w:rPr>
        <w:footnoteReference w:id="65"/>
      </w:r>
      <w:r w:rsidRPr="00534E7C" w:rsidR="004E7C80">
        <w:rPr>
          <w:szCs w:val="22"/>
        </w:rPr>
        <w:t xml:space="preserve">  PTC-220 </w:t>
      </w:r>
      <w:r w:rsidR="00B93501">
        <w:rPr>
          <w:szCs w:val="22"/>
        </w:rPr>
        <w:t>asserts</w:t>
      </w:r>
      <w:r w:rsidRPr="00534E7C" w:rsidR="00CE5548">
        <w:rPr>
          <w:szCs w:val="22"/>
        </w:rPr>
        <w:t xml:space="preserve"> that </w:t>
      </w:r>
      <w:r w:rsidRPr="00534E7C" w:rsidR="004E7C80">
        <w:rPr>
          <w:szCs w:val="22"/>
        </w:rPr>
        <w:t xml:space="preserve">this </w:t>
      </w:r>
      <w:r w:rsidRPr="00534E7C">
        <w:rPr>
          <w:szCs w:val="22"/>
        </w:rPr>
        <w:t>is a particular concern for the EOT application, whose single 12.5 kilohertz channel is heavily used and is often exhausted</w:t>
      </w:r>
      <w:r w:rsidRPr="00534E7C" w:rsidR="00754BF2">
        <w:rPr>
          <w:szCs w:val="22"/>
        </w:rPr>
        <w:t>.</w:t>
      </w:r>
      <w:r>
        <w:rPr>
          <w:rStyle w:val="FootnoteReference"/>
          <w:sz w:val="22"/>
          <w:szCs w:val="22"/>
        </w:rPr>
        <w:footnoteReference w:id="66"/>
      </w:r>
      <w:r w:rsidRPr="00534E7C" w:rsidR="00754BF2">
        <w:rPr>
          <w:szCs w:val="22"/>
        </w:rPr>
        <w:t xml:space="preserve">  </w:t>
      </w:r>
      <w:r w:rsidRPr="00534E7C" w:rsidR="00267DA3">
        <w:rPr>
          <w:szCs w:val="22"/>
        </w:rPr>
        <w:t>A</w:t>
      </w:r>
      <w:r w:rsidRPr="00534E7C" w:rsidR="00234EC0">
        <w:rPr>
          <w:szCs w:val="22"/>
        </w:rPr>
        <w:t xml:space="preserve">ccording to PTC-220, </w:t>
      </w:r>
      <w:r w:rsidRPr="00534E7C" w:rsidR="00754BF2">
        <w:rPr>
          <w:szCs w:val="22"/>
        </w:rPr>
        <w:t xml:space="preserve">the use of </w:t>
      </w:r>
      <w:r w:rsidRPr="00534E7C" w:rsidR="007A35A2">
        <w:rPr>
          <w:szCs w:val="22"/>
        </w:rPr>
        <w:t xml:space="preserve">220 MHz Band spectrum and the railroads’ </w:t>
      </w:r>
      <w:r w:rsidRPr="00534E7C" w:rsidR="007045C1">
        <w:rPr>
          <w:szCs w:val="22"/>
        </w:rPr>
        <w:t xml:space="preserve">extensive network of 220 MHz Band </w:t>
      </w:r>
      <w:r w:rsidRPr="00534E7C" w:rsidR="00754BF2">
        <w:rPr>
          <w:szCs w:val="22"/>
        </w:rPr>
        <w:t xml:space="preserve">base stations for EOT device </w:t>
      </w:r>
      <w:r w:rsidRPr="00534E7C" w:rsidR="007045C1">
        <w:rPr>
          <w:szCs w:val="22"/>
        </w:rPr>
        <w:t xml:space="preserve">communications links </w:t>
      </w:r>
      <w:r w:rsidRPr="00534E7C" w:rsidR="00754BF2">
        <w:rPr>
          <w:szCs w:val="22"/>
        </w:rPr>
        <w:t>would ma</w:t>
      </w:r>
      <w:r w:rsidRPr="00534E7C" w:rsidR="00EF790A">
        <w:rPr>
          <w:szCs w:val="22"/>
        </w:rPr>
        <w:t xml:space="preserve">rkedly </w:t>
      </w:r>
      <w:r w:rsidRPr="00534E7C" w:rsidR="00754BF2">
        <w:rPr>
          <w:szCs w:val="22"/>
        </w:rPr>
        <w:t xml:space="preserve">improve EOT </w:t>
      </w:r>
      <w:r w:rsidRPr="00534E7C" w:rsidR="007045C1">
        <w:rPr>
          <w:szCs w:val="22"/>
        </w:rPr>
        <w:t xml:space="preserve">device </w:t>
      </w:r>
      <w:r w:rsidRPr="00534E7C" w:rsidR="00754BF2">
        <w:rPr>
          <w:szCs w:val="22"/>
        </w:rPr>
        <w:t>reliability.</w:t>
      </w:r>
      <w:r>
        <w:rPr>
          <w:rStyle w:val="FootnoteReference"/>
          <w:sz w:val="22"/>
          <w:szCs w:val="22"/>
        </w:rPr>
        <w:footnoteReference w:id="67"/>
      </w:r>
    </w:p>
    <w:p w:rsidR="00754BF2" w:rsidRPr="00534E7C" w:rsidP="007C473C" w14:paraId="01191F14" w14:textId="5D08C462">
      <w:pPr>
        <w:pStyle w:val="Heading4"/>
        <w:rPr>
          <w:szCs w:val="22"/>
        </w:rPr>
      </w:pPr>
      <w:bookmarkStart w:id="169" w:name="_Toc117162337"/>
      <w:bookmarkStart w:id="170" w:name="_Toc117170597"/>
      <w:bookmarkStart w:id="171" w:name="_Toc117179071"/>
      <w:bookmarkStart w:id="172" w:name="_Toc117516994"/>
      <w:bookmarkStart w:id="173" w:name="_Toc117517908"/>
      <w:bookmarkStart w:id="174" w:name="_Toc117518452"/>
      <w:bookmarkStart w:id="175" w:name="_Toc117518872"/>
      <w:bookmarkStart w:id="176" w:name="_Toc120523620"/>
      <w:bookmarkStart w:id="177" w:name="_Toc126158681"/>
      <w:bookmarkStart w:id="178" w:name="_Toc126158710"/>
      <w:bookmarkStart w:id="179" w:name="_Toc127960187"/>
      <w:bookmarkStart w:id="180" w:name="_Toc127994697"/>
      <w:bookmarkStart w:id="181" w:name="_Toc128039687"/>
      <w:bookmarkStart w:id="182" w:name="_Toc128039831"/>
      <w:bookmarkStart w:id="183" w:name="_Toc131444694"/>
      <w:bookmarkStart w:id="184" w:name="_Toc131444958"/>
      <w:bookmarkStart w:id="185" w:name="_Toc131676558"/>
      <w:bookmarkStart w:id="186" w:name="_Toc133848346"/>
      <w:r w:rsidRPr="00534E7C">
        <w:rPr>
          <w:szCs w:val="22"/>
        </w:rPr>
        <w:t>Distributed Power Systems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74323B" w:rsidRPr="00534E7C" w:rsidP="00754BF2" w14:paraId="5BD88F97" w14:textId="5CE7CD6E">
      <w:pPr>
        <w:pStyle w:val="ParaNum"/>
        <w:rPr>
          <w:szCs w:val="22"/>
        </w:rPr>
      </w:pPr>
      <w:r w:rsidRPr="00534E7C">
        <w:rPr>
          <w:szCs w:val="22"/>
        </w:rPr>
        <w:t>In a d</w:t>
      </w:r>
      <w:r w:rsidRPr="00534E7C" w:rsidR="00754BF2">
        <w:rPr>
          <w:szCs w:val="22"/>
        </w:rPr>
        <w:t xml:space="preserve">istributed </w:t>
      </w:r>
      <w:r w:rsidRPr="00534E7C" w:rsidR="00340F11">
        <w:rPr>
          <w:szCs w:val="22"/>
        </w:rPr>
        <w:t>p</w:t>
      </w:r>
      <w:r w:rsidRPr="00534E7C" w:rsidR="00754BF2">
        <w:rPr>
          <w:szCs w:val="22"/>
        </w:rPr>
        <w:t xml:space="preserve">ower </w:t>
      </w:r>
      <w:r w:rsidRPr="00534E7C">
        <w:rPr>
          <w:szCs w:val="22"/>
        </w:rPr>
        <w:t xml:space="preserve">system, </w:t>
      </w:r>
      <w:r w:rsidRPr="00534E7C" w:rsidR="00754BF2">
        <w:rPr>
          <w:szCs w:val="22"/>
        </w:rPr>
        <w:t xml:space="preserve">one or more locomotives </w:t>
      </w:r>
      <w:r w:rsidRPr="00534E7C">
        <w:rPr>
          <w:szCs w:val="22"/>
        </w:rPr>
        <w:t xml:space="preserve">are placed </w:t>
      </w:r>
      <w:r w:rsidRPr="00534E7C" w:rsidR="00754BF2">
        <w:rPr>
          <w:szCs w:val="22"/>
        </w:rPr>
        <w:t>within or at the end of a train to reduce in-train stresses related to braking and pulling.</w:t>
      </w:r>
      <w:r>
        <w:rPr>
          <w:rStyle w:val="FootnoteReference"/>
          <w:sz w:val="22"/>
          <w:szCs w:val="22"/>
        </w:rPr>
        <w:footnoteReference w:id="68"/>
      </w:r>
      <w:r w:rsidRPr="00534E7C" w:rsidR="00754BF2">
        <w:rPr>
          <w:szCs w:val="22"/>
        </w:rPr>
        <w:t xml:space="preserve">  </w:t>
      </w:r>
      <w:r w:rsidRPr="00534E7C" w:rsidR="00234EC0">
        <w:rPr>
          <w:szCs w:val="22"/>
        </w:rPr>
        <w:t>PTC-220 states that t</w:t>
      </w:r>
      <w:r w:rsidRPr="00534E7C" w:rsidR="00754BF2">
        <w:rPr>
          <w:szCs w:val="22"/>
        </w:rPr>
        <w:t xml:space="preserve">he use of additional locomotives in certain </w:t>
      </w:r>
      <w:r w:rsidRPr="00534E7C" w:rsidR="00234EC0">
        <w:rPr>
          <w:szCs w:val="22"/>
        </w:rPr>
        <w:t xml:space="preserve">mountainous </w:t>
      </w:r>
      <w:r w:rsidRPr="00534E7C" w:rsidR="00754BF2">
        <w:rPr>
          <w:szCs w:val="22"/>
        </w:rPr>
        <w:t xml:space="preserve">terrain and the </w:t>
      </w:r>
      <w:r w:rsidRPr="00534E7C" w:rsidR="00234EC0">
        <w:rPr>
          <w:szCs w:val="22"/>
        </w:rPr>
        <w:t xml:space="preserve">rail </w:t>
      </w:r>
      <w:r w:rsidRPr="00534E7C" w:rsidR="00754BF2">
        <w:rPr>
          <w:szCs w:val="22"/>
        </w:rPr>
        <w:t>industry’s trend towards longer trains</w:t>
      </w:r>
      <w:r w:rsidRPr="00534E7C" w:rsidR="00A67D9A">
        <w:rPr>
          <w:szCs w:val="22"/>
        </w:rPr>
        <w:t xml:space="preserve"> </w:t>
      </w:r>
      <w:r w:rsidRPr="00534E7C" w:rsidR="00234EC0">
        <w:rPr>
          <w:szCs w:val="22"/>
        </w:rPr>
        <w:t xml:space="preserve"> </w:t>
      </w:r>
      <w:r w:rsidRPr="00534E7C" w:rsidR="00754BF2">
        <w:rPr>
          <w:szCs w:val="22"/>
        </w:rPr>
        <w:t xml:space="preserve">has </w:t>
      </w:r>
      <w:r w:rsidRPr="00534E7C" w:rsidR="00EF790A">
        <w:rPr>
          <w:szCs w:val="22"/>
        </w:rPr>
        <w:t>worsened</w:t>
      </w:r>
      <w:r w:rsidRPr="00534E7C" w:rsidR="00754BF2">
        <w:rPr>
          <w:szCs w:val="22"/>
        </w:rPr>
        <w:t xml:space="preserve"> the problem of unreliable communications links for distributed power systems.</w:t>
      </w:r>
      <w:r>
        <w:rPr>
          <w:rStyle w:val="FootnoteReference"/>
          <w:sz w:val="22"/>
          <w:szCs w:val="22"/>
        </w:rPr>
        <w:footnoteReference w:id="69"/>
      </w:r>
      <w:r w:rsidRPr="00534E7C">
        <w:rPr>
          <w:szCs w:val="22"/>
        </w:rPr>
        <w:t xml:space="preserve">  </w:t>
      </w:r>
      <w:r w:rsidRPr="00534E7C" w:rsidR="003847A6">
        <w:rPr>
          <w:szCs w:val="22"/>
        </w:rPr>
        <w:t xml:space="preserve">PTC-220 </w:t>
      </w:r>
      <w:r w:rsidRPr="00534E7C">
        <w:rPr>
          <w:szCs w:val="22"/>
        </w:rPr>
        <w:t xml:space="preserve">explains </w:t>
      </w:r>
      <w:r w:rsidRPr="00534E7C" w:rsidR="003847A6">
        <w:rPr>
          <w:szCs w:val="22"/>
        </w:rPr>
        <w:t>that w</w:t>
      </w:r>
      <w:r w:rsidRPr="00534E7C" w:rsidR="00754BF2">
        <w:rPr>
          <w:szCs w:val="22"/>
        </w:rPr>
        <w:t xml:space="preserve">hen a </w:t>
      </w:r>
      <w:r w:rsidRPr="00534E7C" w:rsidR="00340F11">
        <w:rPr>
          <w:szCs w:val="22"/>
        </w:rPr>
        <w:t>distributed power</w:t>
      </w:r>
      <w:r w:rsidRPr="00534E7C" w:rsidR="00754BF2">
        <w:rPr>
          <w:szCs w:val="22"/>
        </w:rPr>
        <w:t xml:space="preserve"> </w:t>
      </w:r>
      <w:r w:rsidRPr="00534E7C" w:rsidR="00793E54">
        <w:rPr>
          <w:szCs w:val="22"/>
        </w:rPr>
        <w:t xml:space="preserve">system’s </w:t>
      </w:r>
      <w:r w:rsidRPr="00534E7C">
        <w:rPr>
          <w:szCs w:val="22"/>
        </w:rPr>
        <w:t xml:space="preserve">communications </w:t>
      </w:r>
      <w:r w:rsidRPr="00534E7C" w:rsidR="00754BF2">
        <w:rPr>
          <w:szCs w:val="22"/>
        </w:rPr>
        <w:t xml:space="preserve">link is </w:t>
      </w:r>
      <w:r w:rsidRPr="00534E7C">
        <w:rPr>
          <w:szCs w:val="22"/>
        </w:rPr>
        <w:t>disrupted</w:t>
      </w:r>
      <w:r w:rsidRPr="00534E7C" w:rsidR="00754BF2">
        <w:rPr>
          <w:szCs w:val="22"/>
        </w:rPr>
        <w:t xml:space="preserve">, locomotives can lose synchronization, creating stresses at the connecting knuckles and increasing the risk that train </w:t>
      </w:r>
      <w:r w:rsidRPr="00534E7C">
        <w:rPr>
          <w:szCs w:val="22"/>
        </w:rPr>
        <w:t xml:space="preserve">cars </w:t>
      </w:r>
      <w:r w:rsidRPr="00534E7C" w:rsidR="00754BF2">
        <w:rPr>
          <w:szCs w:val="22"/>
        </w:rPr>
        <w:t>will separate.</w:t>
      </w:r>
      <w:r>
        <w:rPr>
          <w:rStyle w:val="FootnoteReference"/>
          <w:sz w:val="22"/>
          <w:szCs w:val="22"/>
        </w:rPr>
        <w:footnoteReference w:id="70"/>
      </w:r>
      <w:r w:rsidRPr="00534E7C" w:rsidR="00754BF2">
        <w:rPr>
          <w:szCs w:val="22"/>
        </w:rPr>
        <w:t xml:space="preserve">  When separation occurs, brakes typically engage, which can lead to unsafe stopping.</w:t>
      </w:r>
      <w:r>
        <w:rPr>
          <w:rStyle w:val="FootnoteReference"/>
          <w:sz w:val="22"/>
          <w:szCs w:val="22"/>
        </w:rPr>
        <w:footnoteReference w:id="71"/>
      </w:r>
      <w:r w:rsidRPr="00534E7C">
        <w:rPr>
          <w:szCs w:val="22"/>
        </w:rPr>
        <w:t xml:space="preserve">  </w:t>
      </w:r>
    </w:p>
    <w:p w:rsidR="001A7FC8" w:rsidRPr="00534E7C" w:rsidP="0074323B" w14:paraId="7B3AB387" w14:textId="09AA1917">
      <w:pPr>
        <w:pStyle w:val="ParaNum"/>
        <w:rPr>
          <w:szCs w:val="22"/>
        </w:rPr>
      </w:pPr>
      <w:bookmarkStart w:id="187" w:name="_Hlk116568344"/>
      <w:r w:rsidRPr="00534E7C">
        <w:rPr>
          <w:szCs w:val="22"/>
        </w:rPr>
        <w:t>Train crews currently use 450 MHz Band spectrum to control additional locomotives remotely from a lead locomotive.</w:t>
      </w:r>
      <w:r>
        <w:rPr>
          <w:rStyle w:val="FootnoteReference"/>
          <w:sz w:val="22"/>
          <w:szCs w:val="22"/>
        </w:rPr>
        <w:footnoteReference w:id="72"/>
      </w:r>
      <w:r w:rsidRPr="00534E7C">
        <w:rPr>
          <w:szCs w:val="22"/>
        </w:rPr>
        <w:t xml:space="preserve">  Although the 450 MHz </w:t>
      </w:r>
      <w:r w:rsidR="00B93501">
        <w:rPr>
          <w:szCs w:val="22"/>
        </w:rPr>
        <w:t>B</w:t>
      </w:r>
      <w:r w:rsidRPr="00534E7C">
        <w:rPr>
          <w:szCs w:val="22"/>
        </w:rPr>
        <w:t>and has up to 13 channel pairs totaling 325 kilohertz of available spectrum for use by the railroad industry</w:t>
      </w:r>
      <w:r w:rsidRPr="00534E7C" w:rsidR="00793E54">
        <w:rPr>
          <w:szCs w:val="22"/>
        </w:rPr>
        <w:t>,</w:t>
      </w:r>
      <w:r w:rsidRPr="00534E7C">
        <w:rPr>
          <w:szCs w:val="22"/>
        </w:rPr>
        <w:t xml:space="preserve"> these channels are not fungible.</w:t>
      </w:r>
      <w:r>
        <w:rPr>
          <w:rStyle w:val="FootnoteReference"/>
          <w:sz w:val="22"/>
          <w:szCs w:val="22"/>
        </w:rPr>
        <w:footnoteReference w:id="73"/>
      </w:r>
      <w:r w:rsidRPr="00534E7C">
        <w:rPr>
          <w:szCs w:val="22"/>
        </w:rPr>
        <w:t xml:space="preserve"> </w:t>
      </w:r>
      <w:r w:rsidR="00B93501">
        <w:rPr>
          <w:szCs w:val="22"/>
        </w:rPr>
        <w:t xml:space="preserve"> </w:t>
      </w:r>
      <w:r w:rsidRPr="00534E7C">
        <w:rPr>
          <w:szCs w:val="22"/>
        </w:rPr>
        <w:t>They are divided up by safety application for dedicated use</w:t>
      </w:r>
      <w:r w:rsidRPr="00534E7C" w:rsidR="00DA2354">
        <w:rPr>
          <w:szCs w:val="22"/>
        </w:rPr>
        <w:t>; f</w:t>
      </w:r>
      <w:r w:rsidRPr="00534E7C">
        <w:rPr>
          <w:szCs w:val="22"/>
        </w:rPr>
        <w:t xml:space="preserve">or example, distributed power </w:t>
      </w:r>
      <w:r w:rsidR="001B27A6">
        <w:rPr>
          <w:szCs w:val="22"/>
        </w:rPr>
        <w:t>uses</w:t>
      </w:r>
      <w:r w:rsidRPr="00534E7C" w:rsidR="001B27A6">
        <w:rPr>
          <w:szCs w:val="22"/>
        </w:rPr>
        <w:t xml:space="preserve"> </w:t>
      </w:r>
      <w:r w:rsidRPr="00534E7C" w:rsidR="00A4380D">
        <w:rPr>
          <w:szCs w:val="22"/>
        </w:rPr>
        <w:t xml:space="preserve">four </w:t>
      </w:r>
      <w:r w:rsidRPr="00534E7C">
        <w:rPr>
          <w:szCs w:val="22"/>
        </w:rPr>
        <w:t xml:space="preserve">dedicated </w:t>
      </w:r>
      <w:r w:rsidRPr="00534E7C">
        <w:rPr>
          <w:szCs w:val="22"/>
        </w:rPr>
        <w:t>channels</w:t>
      </w:r>
      <w:r w:rsidRPr="00534E7C" w:rsidR="00F0610A">
        <w:rPr>
          <w:szCs w:val="22"/>
        </w:rPr>
        <w:t>.</w:t>
      </w:r>
      <w:r>
        <w:rPr>
          <w:rStyle w:val="FootnoteReference"/>
          <w:sz w:val="22"/>
          <w:szCs w:val="22"/>
        </w:rPr>
        <w:footnoteReference w:id="74"/>
      </w:r>
      <w:r w:rsidRPr="00534E7C" w:rsidR="00F0610A">
        <w:rPr>
          <w:szCs w:val="22"/>
        </w:rPr>
        <w:t xml:space="preserve"> </w:t>
      </w:r>
      <w:r w:rsidRPr="00534E7C">
        <w:rPr>
          <w:szCs w:val="22"/>
        </w:rPr>
        <w:t xml:space="preserve"> </w:t>
      </w:r>
      <w:bookmarkEnd w:id="187"/>
      <w:r w:rsidRPr="00534E7C">
        <w:rPr>
          <w:szCs w:val="22"/>
        </w:rPr>
        <w:t xml:space="preserve">PTC-220 states that more flexibility to utilize the 220 MHz </w:t>
      </w:r>
      <w:r w:rsidRPr="00534E7C" w:rsidR="00793E54">
        <w:rPr>
          <w:szCs w:val="22"/>
        </w:rPr>
        <w:t>B</w:t>
      </w:r>
      <w:r w:rsidRPr="00534E7C">
        <w:rPr>
          <w:szCs w:val="22"/>
        </w:rPr>
        <w:t xml:space="preserve">and for distributed power and other safety </w:t>
      </w:r>
      <w:r w:rsidRPr="00534E7C" w:rsidR="00D6362C">
        <w:rPr>
          <w:szCs w:val="22"/>
        </w:rPr>
        <w:t>systems</w:t>
      </w:r>
      <w:r w:rsidRPr="00534E7C">
        <w:rPr>
          <w:szCs w:val="22"/>
        </w:rPr>
        <w:t xml:space="preserve"> would mitigate engineering challenges where the </w:t>
      </w:r>
      <w:r w:rsidRPr="00534E7C" w:rsidR="00BE58D0">
        <w:rPr>
          <w:szCs w:val="22"/>
        </w:rPr>
        <w:t xml:space="preserve">rails have exhausted </w:t>
      </w:r>
      <w:r w:rsidRPr="00534E7C">
        <w:rPr>
          <w:szCs w:val="22"/>
        </w:rPr>
        <w:t xml:space="preserve">450 MHz </w:t>
      </w:r>
      <w:r w:rsidRPr="00534E7C" w:rsidR="00DA2354">
        <w:rPr>
          <w:szCs w:val="22"/>
        </w:rPr>
        <w:t>B</w:t>
      </w:r>
      <w:r w:rsidRPr="00534E7C">
        <w:rPr>
          <w:szCs w:val="22"/>
        </w:rPr>
        <w:t>and capacity.</w:t>
      </w:r>
      <w:r>
        <w:rPr>
          <w:rStyle w:val="FootnoteReference"/>
          <w:sz w:val="22"/>
          <w:szCs w:val="22"/>
        </w:rPr>
        <w:footnoteReference w:id="75"/>
      </w:r>
    </w:p>
    <w:p w:rsidR="00754BF2" w:rsidRPr="00534E7C" w:rsidP="007C473C" w14:paraId="60F738BE" w14:textId="278FE54A">
      <w:pPr>
        <w:pStyle w:val="Heading3"/>
        <w:rPr>
          <w:szCs w:val="22"/>
        </w:rPr>
      </w:pPr>
      <w:bookmarkStart w:id="188" w:name="_Toc117162338"/>
      <w:bookmarkStart w:id="189" w:name="_Toc117170598"/>
      <w:bookmarkStart w:id="190" w:name="_Toc117179072"/>
      <w:bookmarkStart w:id="191" w:name="_Toc117516995"/>
      <w:bookmarkStart w:id="192" w:name="_Toc117517909"/>
      <w:bookmarkStart w:id="193" w:name="_Toc117518453"/>
      <w:bookmarkStart w:id="194" w:name="_Toc117518873"/>
      <w:bookmarkStart w:id="195" w:name="_Toc120523621"/>
      <w:bookmarkStart w:id="196" w:name="_Toc121150583"/>
      <w:bookmarkStart w:id="197" w:name="_Toc126158682"/>
      <w:bookmarkStart w:id="198" w:name="_Toc126158711"/>
      <w:bookmarkStart w:id="199" w:name="_Toc127960188"/>
      <w:bookmarkStart w:id="200" w:name="_Toc127994698"/>
      <w:bookmarkStart w:id="201" w:name="_Toc128039688"/>
      <w:bookmarkStart w:id="202" w:name="_Toc128039759"/>
      <w:bookmarkStart w:id="203" w:name="_Toc128039832"/>
      <w:bookmarkStart w:id="204" w:name="_Toc131444695"/>
      <w:bookmarkStart w:id="205" w:name="_Toc131444959"/>
      <w:bookmarkStart w:id="206" w:name="_Toc131676559"/>
      <w:bookmarkStart w:id="207" w:name="_Toc133848347"/>
      <w:r w:rsidRPr="00534E7C">
        <w:rPr>
          <w:szCs w:val="22"/>
        </w:rPr>
        <w:t>Wayside Support Systems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686AA5" w:rsidRPr="00534E7C" w:rsidP="00686AA5" w14:paraId="33BD4F95" w14:textId="5C91726F">
      <w:pPr>
        <w:pStyle w:val="ParaNum"/>
        <w:rPr>
          <w:szCs w:val="22"/>
        </w:rPr>
      </w:pPr>
      <w:r w:rsidRPr="00534E7C">
        <w:rPr>
          <w:szCs w:val="22"/>
        </w:rPr>
        <w:t xml:space="preserve">PTC-220 </w:t>
      </w:r>
      <w:r w:rsidRPr="00534E7C" w:rsidR="008322F0">
        <w:rPr>
          <w:szCs w:val="22"/>
        </w:rPr>
        <w:t xml:space="preserve">proposes </w:t>
      </w:r>
      <w:r w:rsidRPr="00534E7C">
        <w:rPr>
          <w:szCs w:val="22"/>
        </w:rPr>
        <w:t xml:space="preserve">that railroads use 220 MHz Band spectrum to </w:t>
      </w:r>
      <w:r w:rsidRPr="00534E7C" w:rsidR="00D6362C">
        <w:rPr>
          <w:szCs w:val="22"/>
        </w:rPr>
        <w:t xml:space="preserve">support existing </w:t>
      </w:r>
      <w:r w:rsidRPr="00534E7C">
        <w:rPr>
          <w:szCs w:val="22"/>
        </w:rPr>
        <w:t>wayside support systems (for example</w:t>
      </w:r>
      <w:r w:rsidRPr="00534E7C" w:rsidR="006C1D05">
        <w:rPr>
          <w:szCs w:val="22"/>
        </w:rPr>
        <w:t>,</w:t>
      </w:r>
      <w:r w:rsidRPr="00534E7C">
        <w:rPr>
          <w:szCs w:val="22"/>
        </w:rPr>
        <w:t xml:space="preserve"> trackside detectors) and </w:t>
      </w:r>
      <w:r w:rsidRPr="00534E7C" w:rsidR="00D6362C">
        <w:rPr>
          <w:szCs w:val="22"/>
        </w:rPr>
        <w:t xml:space="preserve">wayside systems </w:t>
      </w:r>
      <w:r w:rsidRPr="00534E7C">
        <w:rPr>
          <w:szCs w:val="22"/>
        </w:rPr>
        <w:t>under development</w:t>
      </w:r>
      <w:r w:rsidRPr="00534E7C" w:rsidR="006C1D05">
        <w:rPr>
          <w:szCs w:val="22"/>
        </w:rPr>
        <w:t xml:space="preserve">, </w:t>
      </w:r>
      <w:r w:rsidRPr="00534E7C" w:rsidR="00D6362C">
        <w:rPr>
          <w:szCs w:val="22"/>
        </w:rPr>
        <w:t xml:space="preserve">including </w:t>
      </w:r>
      <w:r w:rsidRPr="00534E7C" w:rsidR="006C1D05">
        <w:rPr>
          <w:szCs w:val="22"/>
        </w:rPr>
        <w:t xml:space="preserve">wireless </w:t>
      </w:r>
      <w:r w:rsidRPr="00534E7C" w:rsidR="00D6362C">
        <w:rPr>
          <w:szCs w:val="22"/>
        </w:rPr>
        <w:t xml:space="preserve">control of </w:t>
      </w:r>
      <w:r w:rsidRPr="00534E7C" w:rsidR="006C1D05">
        <w:rPr>
          <w:szCs w:val="22"/>
        </w:rPr>
        <w:t xml:space="preserve">grade-crossing </w:t>
      </w:r>
      <w:r w:rsidRPr="00534E7C" w:rsidR="00D6362C">
        <w:rPr>
          <w:szCs w:val="22"/>
        </w:rPr>
        <w:t>equipment</w:t>
      </w:r>
      <w:r w:rsidRPr="00534E7C">
        <w:rPr>
          <w:szCs w:val="22"/>
        </w:rPr>
        <w:t>.</w:t>
      </w:r>
      <w:r>
        <w:rPr>
          <w:rStyle w:val="FootnoteReference"/>
          <w:sz w:val="22"/>
          <w:szCs w:val="22"/>
        </w:rPr>
        <w:footnoteReference w:id="76"/>
      </w:r>
      <w:r w:rsidRPr="00534E7C">
        <w:rPr>
          <w:szCs w:val="22"/>
        </w:rPr>
        <w:t xml:space="preserve"> </w:t>
      </w:r>
    </w:p>
    <w:p w:rsidR="00754BF2" w:rsidRPr="00534E7C" w:rsidP="007C473C" w14:paraId="18A5191F" w14:textId="7158FA83">
      <w:pPr>
        <w:pStyle w:val="Heading4"/>
        <w:rPr>
          <w:szCs w:val="22"/>
        </w:rPr>
      </w:pPr>
      <w:bookmarkStart w:id="208" w:name="_Toc117162339"/>
      <w:bookmarkStart w:id="209" w:name="_Toc117170599"/>
      <w:bookmarkStart w:id="210" w:name="_Toc117179073"/>
      <w:bookmarkStart w:id="211" w:name="_Toc117516996"/>
      <w:bookmarkStart w:id="212" w:name="_Toc117517910"/>
      <w:bookmarkStart w:id="213" w:name="_Toc117518454"/>
      <w:bookmarkStart w:id="214" w:name="_Toc117518874"/>
      <w:bookmarkStart w:id="215" w:name="_Toc120523622"/>
      <w:bookmarkStart w:id="216" w:name="_Toc126158683"/>
      <w:bookmarkStart w:id="217" w:name="_Toc126158712"/>
      <w:bookmarkStart w:id="218" w:name="_Toc127960189"/>
      <w:bookmarkStart w:id="219" w:name="_Toc127994699"/>
      <w:bookmarkStart w:id="220" w:name="_Toc128039689"/>
      <w:bookmarkStart w:id="221" w:name="_Toc128039833"/>
      <w:bookmarkStart w:id="222" w:name="_Toc131444696"/>
      <w:bookmarkStart w:id="223" w:name="_Toc131444960"/>
      <w:bookmarkStart w:id="224" w:name="_Toc131676560"/>
      <w:bookmarkStart w:id="225" w:name="_Toc133848348"/>
      <w:r w:rsidRPr="00534E7C">
        <w:rPr>
          <w:szCs w:val="22"/>
        </w:rPr>
        <w:t>Trackside Detectors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54BF2" w:rsidRPr="00534E7C" w:rsidP="004727C5" w14:paraId="02E709AC" w14:textId="02F53EA1">
      <w:pPr>
        <w:pStyle w:val="ParaNum"/>
        <w:rPr>
          <w:szCs w:val="22"/>
        </w:rPr>
      </w:pPr>
      <w:r w:rsidRPr="00534E7C">
        <w:rPr>
          <w:szCs w:val="22"/>
        </w:rPr>
        <w:t xml:space="preserve">Railroads deploy an array of wireless </w:t>
      </w:r>
      <w:r w:rsidRPr="00534E7C" w:rsidR="009E4649">
        <w:rPr>
          <w:szCs w:val="22"/>
        </w:rPr>
        <w:t xml:space="preserve">trackside </w:t>
      </w:r>
      <w:r w:rsidRPr="00534E7C">
        <w:rPr>
          <w:szCs w:val="22"/>
        </w:rPr>
        <w:t>de</w:t>
      </w:r>
      <w:r w:rsidRPr="00534E7C" w:rsidR="009E4649">
        <w:rPr>
          <w:szCs w:val="22"/>
        </w:rPr>
        <w:t xml:space="preserve">tectors </w:t>
      </w:r>
      <w:r w:rsidRPr="00534E7C">
        <w:rPr>
          <w:szCs w:val="22"/>
        </w:rPr>
        <w:t>along rights-of-way</w:t>
      </w:r>
      <w:r w:rsidRPr="00534E7C" w:rsidR="00AC47BC">
        <w:rPr>
          <w:szCs w:val="22"/>
        </w:rPr>
        <w:t xml:space="preserve">, which </w:t>
      </w:r>
      <w:r w:rsidRPr="00534E7C">
        <w:rPr>
          <w:szCs w:val="22"/>
        </w:rPr>
        <w:t>scan passing trains and the environment for factors that may threaten public safety.</w:t>
      </w:r>
      <w:r>
        <w:rPr>
          <w:rStyle w:val="FootnoteReference"/>
          <w:sz w:val="22"/>
          <w:szCs w:val="22"/>
        </w:rPr>
        <w:footnoteReference w:id="77"/>
      </w:r>
      <w:r w:rsidRPr="00534E7C">
        <w:rPr>
          <w:szCs w:val="22"/>
        </w:rPr>
        <w:t xml:space="preserve">  For example, trackside </w:t>
      </w:r>
      <w:r w:rsidR="00F91359">
        <w:rPr>
          <w:szCs w:val="22"/>
        </w:rPr>
        <w:t>hot bearing detectors (HBDs)</w:t>
      </w:r>
      <w:r w:rsidRPr="00534E7C">
        <w:rPr>
          <w:szCs w:val="22"/>
        </w:rPr>
        <w:t xml:space="preserve"> </w:t>
      </w:r>
      <w:r w:rsidRPr="00534E7C" w:rsidR="008322F0">
        <w:rPr>
          <w:szCs w:val="22"/>
        </w:rPr>
        <w:t xml:space="preserve">are used to </w:t>
      </w:r>
      <w:r w:rsidRPr="00534E7C">
        <w:rPr>
          <w:szCs w:val="22"/>
        </w:rPr>
        <w:t>measure the temperature of wheel bearings to prevent meltdown</w:t>
      </w:r>
      <w:r w:rsidRPr="00534E7C" w:rsidR="009E4649">
        <w:rPr>
          <w:szCs w:val="22"/>
        </w:rPr>
        <w:t>.</w:t>
      </w:r>
      <w:r>
        <w:rPr>
          <w:rStyle w:val="FootnoteReference"/>
          <w:sz w:val="22"/>
          <w:szCs w:val="22"/>
        </w:rPr>
        <w:footnoteReference w:id="78"/>
      </w:r>
      <w:r w:rsidRPr="00534E7C">
        <w:rPr>
          <w:szCs w:val="22"/>
        </w:rPr>
        <w:t xml:space="preserve">  </w:t>
      </w:r>
      <w:r w:rsidR="00F91359">
        <w:rPr>
          <w:szCs w:val="22"/>
        </w:rPr>
        <w:t xml:space="preserve">Trackside sensors </w:t>
      </w:r>
      <w:r w:rsidRPr="00534E7C">
        <w:rPr>
          <w:szCs w:val="22"/>
        </w:rPr>
        <w:t>also can alert users to objects dragging from passing trains</w:t>
      </w:r>
      <w:r w:rsidRPr="00534E7C" w:rsidR="003847A6">
        <w:rPr>
          <w:szCs w:val="22"/>
        </w:rPr>
        <w:t>;</w:t>
      </w:r>
      <w:r w:rsidRPr="00534E7C">
        <w:rPr>
          <w:szCs w:val="22"/>
        </w:rPr>
        <w:t xml:space="preserve"> </w:t>
      </w:r>
      <w:r w:rsidRPr="00534E7C" w:rsidR="003847A6">
        <w:rPr>
          <w:szCs w:val="22"/>
        </w:rPr>
        <w:t>i</w:t>
      </w:r>
      <w:r w:rsidRPr="00534E7C">
        <w:rPr>
          <w:szCs w:val="22"/>
        </w:rPr>
        <w:t>dentifying loose or partially detached objects on trains (for example, an air hose or pipe) can prevent human injury and damage to rail infrastructure and help avoid derailments.</w:t>
      </w:r>
      <w:r>
        <w:rPr>
          <w:rStyle w:val="FootnoteReference"/>
        </w:rPr>
        <w:footnoteReference w:id="79"/>
      </w:r>
      <w:r w:rsidR="00B528F1">
        <w:rPr>
          <w:szCs w:val="22"/>
        </w:rPr>
        <w:t xml:space="preserve">  </w:t>
      </w:r>
      <w:r w:rsidR="00DF2C1E">
        <w:rPr>
          <w:szCs w:val="22"/>
        </w:rPr>
        <w:t>A</w:t>
      </w:r>
      <w:r w:rsidR="00951C26">
        <w:rPr>
          <w:szCs w:val="22"/>
        </w:rPr>
        <w:t>lso</w:t>
      </w:r>
      <w:r w:rsidR="00DF2C1E">
        <w:rPr>
          <w:szCs w:val="22"/>
        </w:rPr>
        <w:t>, t</w:t>
      </w:r>
      <w:r w:rsidRPr="00534E7C" w:rsidR="00B320DA">
        <w:rPr>
          <w:szCs w:val="22"/>
        </w:rPr>
        <w:t xml:space="preserve">rackside </w:t>
      </w:r>
      <w:r w:rsidRPr="00534E7C" w:rsidR="00BE737B">
        <w:rPr>
          <w:szCs w:val="22"/>
        </w:rPr>
        <w:t>s</w:t>
      </w:r>
      <w:r w:rsidRPr="00534E7C">
        <w:rPr>
          <w:szCs w:val="22"/>
        </w:rPr>
        <w:t xml:space="preserve">ensors can detect and communicate </w:t>
      </w:r>
      <w:r w:rsidR="001B27A6">
        <w:rPr>
          <w:szCs w:val="22"/>
        </w:rPr>
        <w:t xml:space="preserve">the existence of </w:t>
      </w:r>
      <w:r w:rsidRPr="00534E7C">
        <w:rPr>
          <w:szCs w:val="22"/>
        </w:rPr>
        <w:t>environmental obstacles that may pose a threat to public safety, including low-bridge clearances and rock slides.</w:t>
      </w:r>
      <w:r>
        <w:rPr>
          <w:rStyle w:val="FootnoteReference"/>
          <w:sz w:val="22"/>
          <w:szCs w:val="22"/>
        </w:rPr>
        <w:footnoteReference w:id="80"/>
      </w:r>
      <w:r w:rsidRPr="00534E7C">
        <w:rPr>
          <w:szCs w:val="22"/>
        </w:rPr>
        <w:t xml:space="preserve">  </w:t>
      </w:r>
      <w:r w:rsidRPr="00534E7C" w:rsidR="00E20D02">
        <w:rPr>
          <w:szCs w:val="22"/>
        </w:rPr>
        <w:t>Additionally, w</w:t>
      </w:r>
      <w:r w:rsidRPr="00534E7C">
        <w:rPr>
          <w:szCs w:val="22"/>
        </w:rPr>
        <w:t xml:space="preserve">ayside devices </w:t>
      </w:r>
      <w:r w:rsidRPr="00534E7C" w:rsidR="00D70641">
        <w:rPr>
          <w:szCs w:val="22"/>
        </w:rPr>
        <w:t>are u</w:t>
      </w:r>
      <w:r w:rsidRPr="00534E7C" w:rsidR="00B320DA">
        <w:rPr>
          <w:szCs w:val="22"/>
        </w:rPr>
        <w:t>s</w:t>
      </w:r>
      <w:r w:rsidRPr="00534E7C" w:rsidR="00D70641">
        <w:rPr>
          <w:szCs w:val="22"/>
        </w:rPr>
        <w:t xml:space="preserve">ed </w:t>
      </w:r>
      <w:r w:rsidRPr="00534E7C" w:rsidR="00B320DA">
        <w:rPr>
          <w:szCs w:val="22"/>
        </w:rPr>
        <w:t xml:space="preserve">to </w:t>
      </w:r>
      <w:r w:rsidRPr="00534E7C">
        <w:rPr>
          <w:szCs w:val="22"/>
        </w:rPr>
        <w:t xml:space="preserve">read automatic equipment identifiers (that is, </w:t>
      </w:r>
      <w:r w:rsidR="00B93501">
        <w:rPr>
          <w:szCs w:val="22"/>
        </w:rPr>
        <w:t>radiofrequency</w:t>
      </w:r>
      <w:r w:rsidRPr="00534E7C">
        <w:rPr>
          <w:szCs w:val="22"/>
        </w:rPr>
        <w:t xml:space="preserve"> tags on rail cars)</w:t>
      </w:r>
      <w:r w:rsidRPr="00534E7C" w:rsidR="00B320DA">
        <w:rPr>
          <w:szCs w:val="22"/>
        </w:rPr>
        <w:t xml:space="preserve">, which can be used to </w:t>
      </w:r>
      <w:r w:rsidRPr="00534E7C">
        <w:rPr>
          <w:szCs w:val="22"/>
        </w:rPr>
        <w:t xml:space="preserve">confirm that cars on the train </w:t>
      </w:r>
      <w:r w:rsidRPr="00534E7C" w:rsidR="00B320DA">
        <w:rPr>
          <w:szCs w:val="22"/>
        </w:rPr>
        <w:t xml:space="preserve">meet a </w:t>
      </w:r>
      <w:r w:rsidRPr="00534E7C">
        <w:rPr>
          <w:szCs w:val="22"/>
        </w:rPr>
        <w:t>route</w:t>
      </w:r>
      <w:r w:rsidRPr="00534E7C" w:rsidR="00B320DA">
        <w:rPr>
          <w:szCs w:val="22"/>
        </w:rPr>
        <w:t>’</w:t>
      </w:r>
      <w:r w:rsidRPr="00534E7C">
        <w:rPr>
          <w:szCs w:val="22"/>
        </w:rPr>
        <w:t>s height or width restrictions.</w:t>
      </w:r>
      <w:r>
        <w:rPr>
          <w:rStyle w:val="FootnoteReference"/>
          <w:sz w:val="22"/>
          <w:szCs w:val="22"/>
        </w:rPr>
        <w:footnoteReference w:id="81"/>
      </w:r>
      <w:r w:rsidRPr="00534E7C">
        <w:rPr>
          <w:szCs w:val="22"/>
        </w:rPr>
        <w:t xml:space="preserve">  </w:t>
      </w:r>
      <w:r w:rsidRPr="00534E7C" w:rsidR="00D70641">
        <w:rPr>
          <w:szCs w:val="22"/>
        </w:rPr>
        <w:t>PTC-220 states that r</w:t>
      </w:r>
      <w:r w:rsidRPr="00534E7C">
        <w:rPr>
          <w:szCs w:val="22"/>
        </w:rPr>
        <w:t xml:space="preserve">ailroads </w:t>
      </w:r>
      <w:r w:rsidR="003233A2">
        <w:rPr>
          <w:szCs w:val="22"/>
        </w:rPr>
        <w:t>“</w:t>
      </w:r>
      <w:r w:rsidRPr="00534E7C">
        <w:rPr>
          <w:szCs w:val="22"/>
        </w:rPr>
        <w:t>continue to identify other</w:t>
      </w:r>
      <w:r w:rsidR="00DD3DB2">
        <w:rPr>
          <w:szCs w:val="22"/>
        </w:rPr>
        <w:t xml:space="preserve"> </w:t>
      </w:r>
      <w:r w:rsidR="003233A2">
        <w:rPr>
          <w:szCs w:val="22"/>
        </w:rPr>
        <w:t xml:space="preserve">external stimuli </w:t>
      </w:r>
      <w:r w:rsidRPr="00534E7C">
        <w:rPr>
          <w:szCs w:val="22"/>
        </w:rPr>
        <w:t>that would be suitable for real-time trackside detection</w:t>
      </w:r>
      <w:r w:rsidR="003233A2">
        <w:rPr>
          <w:szCs w:val="22"/>
        </w:rPr>
        <w:t>”</w:t>
      </w:r>
      <w:r w:rsidRPr="00534E7C" w:rsidR="00BE737B">
        <w:rPr>
          <w:szCs w:val="22"/>
        </w:rPr>
        <w:t xml:space="preserve"> using 220 MHz Band</w:t>
      </w:r>
      <w:r w:rsidRPr="00534E7C" w:rsidR="00B320DA">
        <w:rPr>
          <w:szCs w:val="22"/>
        </w:rPr>
        <w:t xml:space="preserve"> spectrum</w:t>
      </w:r>
      <w:r w:rsidRPr="00534E7C">
        <w:rPr>
          <w:szCs w:val="22"/>
        </w:rPr>
        <w:t>.</w:t>
      </w:r>
      <w:r>
        <w:rPr>
          <w:rStyle w:val="FootnoteReference"/>
          <w:sz w:val="22"/>
          <w:szCs w:val="22"/>
        </w:rPr>
        <w:footnoteReference w:id="82"/>
      </w:r>
    </w:p>
    <w:p w:rsidR="00F61605" w:rsidRPr="00534E7C" w:rsidP="007C473C" w14:paraId="5787A147" w14:textId="3954F2B7">
      <w:pPr>
        <w:pStyle w:val="Heading4"/>
        <w:rPr>
          <w:szCs w:val="22"/>
        </w:rPr>
      </w:pPr>
      <w:bookmarkStart w:id="226" w:name="_Toc117162340"/>
      <w:bookmarkStart w:id="227" w:name="_Toc117170600"/>
      <w:bookmarkStart w:id="228" w:name="_Toc117179074"/>
      <w:bookmarkStart w:id="229" w:name="_Toc117516997"/>
      <w:bookmarkStart w:id="230" w:name="_Toc117517911"/>
      <w:bookmarkStart w:id="231" w:name="_Toc117518455"/>
      <w:bookmarkStart w:id="232" w:name="_Toc117518875"/>
      <w:bookmarkStart w:id="233" w:name="_Toc120523623"/>
      <w:bookmarkStart w:id="234" w:name="_Toc126158684"/>
      <w:bookmarkStart w:id="235" w:name="_Toc126158713"/>
      <w:bookmarkStart w:id="236" w:name="_Toc127960190"/>
      <w:bookmarkStart w:id="237" w:name="_Toc127994700"/>
      <w:bookmarkStart w:id="238" w:name="_Toc128039690"/>
      <w:bookmarkStart w:id="239" w:name="_Toc128039834"/>
      <w:bookmarkStart w:id="240" w:name="_Toc131444697"/>
      <w:bookmarkStart w:id="241" w:name="_Toc131444961"/>
      <w:bookmarkStart w:id="242" w:name="_Toc131676561"/>
      <w:bookmarkStart w:id="243" w:name="_Toc133848349"/>
      <w:r w:rsidRPr="00534E7C">
        <w:rPr>
          <w:szCs w:val="22"/>
        </w:rPr>
        <w:t>Hi-rail Limits Compliance System</w:t>
      </w:r>
      <w:r w:rsidRPr="00534E7C" w:rsidR="00AF2430">
        <w:rPr>
          <w:szCs w:val="22"/>
        </w:rPr>
        <w: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AF2430" w:rsidRPr="00534E7C" w:rsidP="007C473C" w14:paraId="34821E69" w14:textId="407909C3">
      <w:pPr>
        <w:pStyle w:val="ParaNum"/>
        <w:rPr>
          <w:szCs w:val="22"/>
        </w:rPr>
      </w:pPr>
      <w:r w:rsidRPr="00534E7C">
        <w:rPr>
          <w:szCs w:val="22"/>
        </w:rPr>
        <w:t xml:space="preserve">PTC-220 proposes </w:t>
      </w:r>
      <w:r w:rsidRPr="00534E7C" w:rsidR="00050A83">
        <w:rPr>
          <w:szCs w:val="22"/>
        </w:rPr>
        <w:t>to enhance rail worker safety by using 220 MHz Band spectrum to deploy Hi-rail Limits Compliance Systems (HLCS), which are designed to ensure safe operation of steel-wheel maintenance vehicles when operating on railroad tracks</w:t>
      </w:r>
      <w:r w:rsidRPr="00534E7C">
        <w:rPr>
          <w:szCs w:val="22"/>
        </w:rPr>
        <w:t>.</w:t>
      </w:r>
      <w:r>
        <w:rPr>
          <w:rStyle w:val="FootnoteReference"/>
          <w:sz w:val="22"/>
          <w:szCs w:val="22"/>
        </w:rPr>
        <w:footnoteReference w:id="83"/>
      </w:r>
      <w:r w:rsidRPr="00534E7C">
        <w:rPr>
          <w:szCs w:val="22"/>
        </w:rPr>
        <w:t xml:space="preserve">  </w:t>
      </w:r>
      <w:r w:rsidRPr="00534E7C" w:rsidR="00F61605">
        <w:rPr>
          <w:szCs w:val="22"/>
        </w:rPr>
        <w:t xml:space="preserve">HLCS use Global Positioning </w:t>
      </w:r>
      <w:r w:rsidR="008A6E43">
        <w:rPr>
          <w:szCs w:val="22"/>
        </w:rPr>
        <w:t>Systems (GPS)</w:t>
      </w:r>
      <w:r w:rsidRPr="00534E7C" w:rsidR="00F61605">
        <w:rPr>
          <w:szCs w:val="22"/>
        </w:rPr>
        <w:t xml:space="preserve"> to monitor the location of hi-rail vehicles, compare the</w:t>
      </w:r>
      <w:r w:rsidRPr="00534E7C" w:rsidR="00D70641">
        <w:rPr>
          <w:szCs w:val="22"/>
        </w:rPr>
        <w:t>ir</w:t>
      </w:r>
      <w:r w:rsidRPr="00534E7C" w:rsidR="00F61605">
        <w:rPr>
          <w:szCs w:val="22"/>
        </w:rPr>
        <w:t xml:space="preserve"> location against the track authorization limits issued to the vehicle, and alert the operator if the vehicle is operat</w:t>
      </w:r>
      <w:r w:rsidRPr="00534E7C" w:rsidR="004450C7">
        <w:rPr>
          <w:szCs w:val="22"/>
        </w:rPr>
        <w:t xml:space="preserve">ing </w:t>
      </w:r>
      <w:r w:rsidRPr="00534E7C" w:rsidR="00F61605">
        <w:rPr>
          <w:szCs w:val="22"/>
        </w:rPr>
        <w:t xml:space="preserve">outside of </w:t>
      </w:r>
      <w:r w:rsidRPr="00534E7C" w:rsidR="00D70641">
        <w:rPr>
          <w:szCs w:val="22"/>
        </w:rPr>
        <w:t xml:space="preserve">its </w:t>
      </w:r>
      <w:r w:rsidRPr="00534E7C" w:rsidR="00F61605">
        <w:rPr>
          <w:szCs w:val="22"/>
        </w:rPr>
        <w:t>authorized limits.</w:t>
      </w:r>
      <w:r>
        <w:rPr>
          <w:rStyle w:val="FootnoteReference"/>
          <w:sz w:val="22"/>
          <w:szCs w:val="22"/>
        </w:rPr>
        <w:footnoteReference w:id="84"/>
      </w:r>
      <w:r w:rsidRPr="00534E7C" w:rsidR="00050A83">
        <w:rPr>
          <w:szCs w:val="22"/>
        </w:rPr>
        <w:t xml:space="preserve">  H</w:t>
      </w:r>
      <w:r w:rsidRPr="00534E7C" w:rsidR="001E0861">
        <w:rPr>
          <w:szCs w:val="22"/>
        </w:rPr>
        <w:t>L</w:t>
      </w:r>
      <w:r w:rsidRPr="00534E7C">
        <w:rPr>
          <w:szCs w:val="22"/>
        </w:rPr>
        <w:t>CS</w:t>
      </w:r>
      <w:r w:rsidRPr="00534E7C" w:rsidR="00050A83">
        <w:rPr>
          <w:szCs w:val="22"/>
        </w:rPr>
        <w:t xml:space="preserve"> also ha</w:t>
      </w:r>
      <w:r w:rsidRPr="00534E7C">
        <w:rPr>
          <w:szCs w:val="22"/>
        </w:rPr>
        <w:t>ve</w:t>
      </w:r>
      <w:r w:rsidRPr="00534E7C" w:rsidR="00050A83">
        <w:rPr>
          <w:szCs w:val="22"/>
        </w:rPr>
        <w:t xml:space="preserve"> radio</w:t>
      </w:r>
      <w:r w:rsidRPr="00534E7C">
        <w:rPr>
          <w:szCs w:val="22"/>
        </w:rPr>
        <w:t>s</w:t>
      </w:r>
      <w:r w:rsidRPr="00534E7C" w:rsidR="00050A83">
        <w:rPr>
          <w:szCs w:val="22"/>
        </w:rPr>
        <w:t xml:space="preserve">, which allow a hi-rail vehicle operator to notify a dispatcher of </w:t>
      </w:r>
      <w:r w:rsidRPr="00534E7C" w:rsidR="00050A83">
        <w:rPr>
          <w:szCs w:val="22"/>
        </w:rPr>
        <w:t>emergencies.</w:t>
      </w:r>
      <w:r>
        <w:rPr>
          <w:rStyle w:val="FootnoteReference"/>
          <w:sz w:val="22"/>
          <w:szCs w:val="22"/>
        </w:rPr>
        <w:footnoteReference w:id="85"/>
      </w:r>
    </w:p>
    <w:p w:rsidR="00BE737B" w:rsidRPr="00534E7C" w:rsidP="00AF2430" w14:paraId="784F5A43" w14:textId="514F89CB">
      <w:pPr>
        <w:pStyle w:val="Heading4"/>
        <w:rPr>
          <w:szCs w:val="22"/>
        </w:rPr>
      </w:pPr>
      <w:bookmarkStart w:id="244" w:name="_Toc117162341"/>
      <w:bookmarkStart w:id="245" w:name="_Toc117170601"/>
      <w:bookmarkStart w:id="246" w:name="_Toc117179075"/>
      <w:bookmarkStart w:id="247" w:name="_Toc117516998"/>
      <w:bookmarkStart w:id="248" w:name="_Toc117517912"/>
      <w:bookmarkStart w:id="249" w:name="_Toc117518456"/>
      <w:bookmarkStart w:id="250" w:name="_Toc117518876"/>
      <w:bookmarkStart w:id="251" w:name="_Toc120523624"/>
      <w:bookmarkStart w:id="252" w:name="_Toc126158685"/>
      <w:bookmarkStart w:id="253" w:name="_Toc126158714"/>
      <w:bookmarkStart w:id="254" w:name="_Toc127960191"/>
      <w:bookmarkStart w:id="255" w:name="_Toc127994701"/>
      <w:bookmarkStart w:id="256" w:name="_Toc128039691"/>
      <w:bookmarkStart w:id="257" w:name="_Toc128039835"/>
      <w:bookmarkStart w:id="258" w:name="_Toc131444698"/>
      <w:bookmarkStart w:id="259" w:name="_Toc131444962"/>
      <w:bookmarkStart w:id="260" w:name="_Toc131676562"/>
      <w:bookmarkStart w:id="261" w:name="_Toc133848350"/>
      <w:r w:rsidRPr="00534E7C">
        <w:rPr>
          <w:szCs w:val="22"/>
        </w:rPr>
        <w:t>Grade</w:t>
      </w:r>
      <w:r w:rsidRPr="00534E7C" w:rsidR="005B1ACD">
        <w:rPr>
          <w:szCs w:val="22"/>
        </w:rPr>
        <w:t>-</w:t>
      </w:r>
      <w:r w:rsidRPr="00534E7C">
        <w:rPr>
          <w:szCs w:val="22"/>
        </w:rPr>
        <w:t xml:space="preserve">Crossing </w:t>
      </w:r>
      <w:r w:rsidRPr="00534E7C" w:rsidR="00947672">
        <w:rPr>
          <w:szCs w:val="22"/>
        </w:rPr>
        <w:t>Safety</w:t>
      </w:r>
      <w:bookmarkEnd w:id="244"/>
      <w:bookmarkEnd w:id="245"/>
      <w:bookmarkEnd w:id="246"/>
      <w:bookmarkEnd w:id="247"/>
      <w:bookmarkEnd w:id="248"/>
      <w:bookmarkEnd w:id="249"/>
      <w:r w:rsidRPr="00534E7C" w:rsidR="00B91BBE">
        <w:rPr>
          <w:szCs w:val="22"/>
        </w:rPr>
        <w:t xml:space="preserve"> Systems</w:t>
      </w:r>
      <w:bookmarkEnd w:id="250"/>
      <w:bookmarkEnd w:id="251"/>
      <w:bookmarkEnd w:id="252"/>
      <w:bookmarkEnd w:id="253"/>
      <w:bookmarkEnd w:id="254"/>
      <w:bookmarkEnd w:id="255"/>
      <w:bookmarkEnd w:id="256"/>
      <w:bookmarkEnd w:id="257"/>
      <w:bookmarkEnd w:id="258"/>
      <w:bookmarkEnd w:id="259"/>
      <w:bookmarkEnd w:id="260"/>
      <w:bookmarkEnd w:id="261"/>
    </w:p>
    <w:p w:rsidR="005B1ACD" w:rsidRPr="00534E7C" w:rsidP="007D6937" w14:paraId="7AFF4544" w14:textId="5DE9F107">
      <w:pPr>
        <w:pStyle w:val="ParaNum"/>
        <w:rPr>
          <w:szCs w:val="22"/>
        </w:rPr>
      </w:pPr>
      <w:r w:rsidRPr="00534E7C">
        <w:rPr>
          <w:szCs w:val="22"/>
        </w:rPr>
        <w:t>According to preliminary FRA data, i</w:t>
      </w:r>
      <w:r w:rsidRPr="00534E7C">
        <w:rPr>
          <w:szCs w:val="22"/>
        </w:rPr>
        <w:t xml:space="preserve">n 2021, </w:t>
      </w:r>
      <w:r w:rsidRPr="00534E7C">
        <w:rPr>
          <w:szCs w:val="22"/>
        </w:rPr>
        <w:t>there were over 2,200 collisions at U.S. highway-rail grade crossings, resulting in 235 fatalities and 669 injuries.</w:t>
      </w:r>
      <w:r>
        <w:rPr>
          <w:rStyle w:val="FootnoteReference"/>
          <w:sz w:val="22"/>
          <w:szCs w:val="22"/>
        </w:rPr>
        <w:footnoteReference w:id="86"/>
      </w:r>
      <w:r w:rsidRPr="00534E7C">
        <w:rPr>
          <w:szCs w:val="22"/>
        </w:rPr>
        <w:t xml:space="preserve">  L</w:t>
      </w:r>
      <w:r w:rsidRPr="00534E7C">
        <w:rPr>
          <w:szCs w:val="22"/>
        </w:rPr>
        <w:t xml:space="preserve">ocal authorities frequently complain about the </w:t>
      </w:r>
      <w:r w:rsidR="00B93501">
        <w:rPr>
          <w:szCs w:val="22"/>
        </w:rPr>
        <w:t xml:space="preserve">length of time </w:t>
      </w:r>
      <w:r w:rsidR="00BB7CF2">
        <w:rPr>
          <w:szCs w:val="22"/>
        </w:rPr>
        <w:t>that</w:t>
      </w:r>
      <w:r w:rsidRPr="00534E7C" w:rsidR="00BB7CF2">
        <w:rPr>
          <w:szCs w:val="22"/>
        </w:rPr>
        <w:t xml:space="preserve"> crossing</w:t>
      </w:r>
      <w:r w:rsidRPr="00534E7C">
        <w:rPr>
          <w:szCs w:val="22"/>
        </w:rPr>
        <w:t xml:space="preserve"> gates remain down (or signals remain red), especially where trains approach a crossing very slowly, or stop short of a crossing</w:t>
      </w:r>
      <w:r w:rsidR="00B93501">
        <w:rPr>
          <w:szCs w:val="22"/>
        </w:rPr>
        <w:t>.</w:t>
      </w:r>
      <w:r>
        <w:rPr>
          <w:rStyle w:val="FootnoteReference"/>
          <w:sz w:val="22"/>
          <w:szCs w:val="22"/>
        </w:rPr>
        <w:footnoteReference w:id="87"/>
      </w:r>
      <w:r w:rsidRPr="00534E7C">
        <w:rPr>
          <w:szCs w:val="22"/>
        </w:rPr>
        <w:t xml:space="preserve">  </w:t>
      </w:r>
      <w:r w:rsidRPr="00534E7C" w:rsidR="00CA34A7">
        <w:rPr>
          <w:szCs w:val="22"/>
        </w:rPr>
        <w:t xml:space="preserve">This is a common issue for commuter railroads, which often have station stops near grade crossings.  </w:t>
      </w:r>
      <w:r w:rsidRPr="00534E7C">
        <w:rPr>
          <w:szCs w:val="22"/>
        </w:rPr>
        <w:t>And blocked crossings can frustrate motorists into taking the unsafe action of physically raising crossing arms to cross tracks.</w:t>
      </w:r>
      <w:r>
        <w:rPr>
          <w:rStyle w:val="FootnoteReference"/>
          <w:sz w:val="22"/>
          <w:szCs w:val="22"/>
        </w:rPr>
        <w:footnoteReference w:id="88"/>
      </w:r>
      <w:r w:rsidRPr="00534E7C">
        <w:rPr>
          <w:szCs w:val="22"/>
        </w:rPr>
        <w:t xml:space="preserve">  </w:t>
      </w:r>
      <w:r w:rsidR="00997E64">
        <w:rPr>
          <w:szCs w:val="22"/>
        </w:rPr>
        <w:t xml:space="preserve">PTC-220 seeks </w:t>
      </w:r>
      <w:r w:rsidRPr="00534E7C">
        <w:rPr>
          <w:szCs w:val="22"/>
        </w:rPr>
        <w:t xml:space="preserve">a modification of </w:t>
      </w:r>
      <w:r w:rsidR="001A0991">
        <w:rPr>
          <w:szCs w:val="22"/>
        </w:rPr>
        <w:t xml:space="preserve">its </w:t>
      </w:r>
      <w:r w:rsidR="00BF31C2">
        <w:rPr>
          <w:szCs w:val="22"/>
        </w:rPr>
        <w:t xml:space="preserve">existing </w:t>
      </w:r>
      <w:r w:rsidRPr="00534E7C">
        <w:rPr>
          <w:szCs w:val="22"/>
        </w:rPr>
        <w:t xml:space="preserve">rule waivers </w:t>
      </w:r>
      <w:r w:rsidR="00997E64">
        <w:rPr>
          <w:szCs w:val="22"/>
        </w:rPr>
        <w:t>to enable it</w:t>
      </w:r>
      <w:r w:rsidR="000B6538">
        <w:rPr>
          <w:szCs w:val="22"/>
        </w:rPr>
        <w:t xml:space="preserve"> to use </w:t>
      </w:r>
      <w:r w:rsidRPr="00534E7C">
        <w:rPr>
          <w:szCs w:val="22"/>
        </w:rPr>
        <w:t xml:space="preserve">its 220 MHz spectrum </w:t>
      </w:r>
      <w:r w:rsidR="00622133">
        <w:rPr>
          <w:szCs w:val="22"/>
        </w:rPr>
        <w:t xml:space="preserve">holdings </w:t>
      </w:r>
      <w:r w:rsidRPr="00534E7C">
        <w:rPr>
          <w:szCs w:val="22"/>
        </w:rPr>
        <w:t>to improve the safety of the nation’s grade crossings.</w:t>
      </w:r>
      <w:r>
        <w:rPr>
          <w:rStyle w:val="FootnoteReference"/>
          <w:szCs w:val="22"/>
        </w:rPr>
        <w:footnoteReference w:id="89"/>
      </w:r>
      <w:r w:rsidRPr="00534E7C">
        <w:rPr>
          <w:szCs w:val="22"/>
        </w:rPr>
        <w:t xml:space="preserve">    </w:t>
      </w:r>
    </w:p>
    <w:p w:rsidR="00754BF2" w:rsidRPr="00534E7C" w:rsidP="007D6937" w14:paraId="44AC178E" w14:textId="1CC3BF88">
      <w:pPr>
        <w:pStyle w:val="ParaNum"/>
        <w:rPr>
          <w:szCs w:val="22"/>
        </w:rPr>
      </w:pPr>
      <w:r w:rsidRPr="00534E7C">
        <w:rPr>
          <w:i/>
          <w:iCs/>
          <w:szCs w:val="22"/>
        </w:rPr>
        <w:t>Equipment Monitoring</w:t>
      </w:r>
      <w:r w:rsidRPr="00534E7C" w:rsidR="005B1ACD">
        <w:rPr>
          <w:szCs w:val="22"/>
        </w:rPr>
        <w:t xml:space="preserve">.  </w:t>
      </w:r>
      <w:r w:rsidRPr="00534E7C" w:rsidR="006B26C7">
        <w:rPr>
          <w:szCs w:val="22"/>
        </w:rPr>
        <w:t>Currently, railroads rely on monthly physical inspections required by FRA rules to monitor the condition of grade-crossing safety equipment.</w:t>
      </w:r>
      <w:r>
        <w:rPr>
          <w:rStyle w:val="FootnoteReference"/>
          <w:sz w:val="22"/>
          <w:szCs w:val="22"/>
        </w:rPr>
        <w:footnoteReference w:id="90"/>
      </w:r>
      <w:r w:rsidRPr="00534E7C" w:rsidR="000417AE">
        <w:rPr>
          <w:szCs w:val="22"/>
        </w:rPr>
        <w:t xml:space="preserve">  PTC-220 states that 220 MHz Band spectrum </w:t>
      </w:r>
      <w:r w:rsidRPr="00534E7C" w:rsidR="00AF2430">
        <w:rPr>
          <w:szCs w:val="22"/>
        </w:rPr>
        <w:t xml:space="preserve">would be well suited to </w:t>
      </w:r>
      <w:r w:rsidRPr="00534E7C" w:rsidR="00CE2401">
        <w:rPr>
          <w:szCs w:val="22"/>
        </w:rPr>
        <w:t xml:space="preserve">monitoring </w:t>
      </w:r>
      <w:r w:rsidRPr="00534E7C" w:rsidR="000417AE">
        <w:rPr>
          <w:szCs w:val="22"/>
        </w:rPr>
        <w:t>wirelessly the status of grade</w:t>
      </w:r>
      <w:r w:rsidRPr="00534E7C" w:rsidR="00AF2430">
        <w:rPr>
          <w:szCs w:val="22"/>
        </w:rPr>
        <w:t>-</w:t>
      </w:r>
      <w:r w:rsidRPr="00534E7C" w:rsidR="000417AE">
        <w:rPr>
          <w:szCs w:val="22"/>
        </w:rPr>
        <w:t>crossing equipment including signals and gates</w:t>
      </w:r>
      <w:r w:rsidRPr="001E6069" w:rsidR="000417AE">
        <w:rPr>
          <w:szCs w:val="22"/>
        </w:rPr>
        <w:t>.</w:t>
      </w:r>
      <w:r>
        <w:rPr>
          <w:rStyle w:val="FootnoteReference"/>
          <w:sz w:val="22"/>
          <w:szCs w:val="22"/>
        </w:rPr>
        <w:footnoteReference w:id="91"/>
      </w:r>
      <w:r w:rsidRPr="00534E7C" w:rsidR="000417AE">
        <w:rPr>
          <w:szCs w:val="22"/>
        </w:rPr>
        <w:t xml:space="preserve">  PTC-220 explains that </w:t>
      </w:r>
      <w:r w:rsidRPr="00534E7C" w:rsidR="00AF2430">
        <w:rPr>
          <w:szCs w:val="22"/>
        </w:rPr>
        <w:t xml:space="preserve">implementation of </w:t>
      </w:r>
      <w:r w:rsidRPr="00534E7C" w:rsidR="000417AE">
        <w:rPr>
          <w:szCs w:val="22"/>
        </w:rPr>
        <w:t>wireless monitoring grade-crossing equipment would enable railroads to respond quickly to equipment malfunctions, thereby minimizing equipment “downtime” and improving public safety.</w:t>
      </w:r>
      <w:r>
        <w:rPr>
          <w:rStyle w:val="FootnoteReference"/>
          <w:sz w:val="22"/>
          <w:szCs w:val="22"/>
        </w:rPr>
        <w:footnoteReference w:id="92"/>
      </w:r>
      <w:r w:rsidRPr="00534E7C" w:rsidR="006B26C7">
        <w:rPr>
          <w:szCs w:val="22"/>
        </w:rPr>
        <w:t xml:space="preserve">  </w:t>
      </w:r>
    </w:p>
    <w:p w:rsidR="0012781F" w:rsidRPr="00534E7C" w:rsidP="005B1ACD" w14:paraId="4B634190" w14:textId="6B2F96BE">
      <w:pPr>
        <w:pStyle w:val="ParaNum"/>
        <w:rPr>
          <w:szCs w:val="22"/>
        </w:rPr>
      </w:pPr>
      <w:r w:rsidRPr="00534E7C">
        <w:rPr>
          <w:i/>
          <w:iCs/>
          <w:szCs w:val="22"/>
        </w:rPr>
        <w:t>Wireless Grade Crossing Control</w:t>
      </w:r>
      <w:r w:rsidRPr="00534E7C">
        <w:rPr>
          <w:szCs w:val="22"/>
        </w:rPr>
        <w:t xml:space="preserve">.  </w:t>
      </w:r>
      <w:r w:rsidR="001E6069">
        <w:rPr>
          <w:szCs w:val="22"/>
        </w:rPr>
        <w:t xml:space="preserve">According to PTC-220, </w:t>
      </w:r>
      <w:r w:rsidRPr="00534E7C">
        <w:rPr>
          <w:szCs w:val="22"/>
        </w:rPr>
        <w:t xml:space="preserve">FRA officials have encouraged railroads to find a solution to the “gates-down” problem, which occurs when sensors activate </w:t>
      </w:r>
      <w:r w:rsidRPr="00534E7C" w:rsidR="001E0861">
        <w:rPr>
          <w:szCs w:val="22"/>
        </w:rPr>
        <w:t xml:space="preserve">rail </w:t>
      </w:r>
      <w:r w:rsidRPr="00534E7C">
        <w:rPr>
          <w:szCs w:val="22"/>
        </w:rPr>
        <w:t>crossing gates when a train passes a predetermined point.</w:t>
      </w:r>
      <w:r>
        <w:rPr>
          <w:rStyle w:val="FootnoteReference"/>
          <w:sz w:val="22"/>
          <w:szCs w:val="22"/>
        </w:rPr>
        <w:footnoteReference w:id="93"/>
      </w:r>
      <w:r w:rsidRPr="00534E7C">
        <w:rPr>
          <w:szCs w:val="22"/>
        </w:rPr>
        <w:t xml:space="preserve">  Sensors are set far enough back from a crossing to allow sufficient time for gates to close, while assuming that the train is moving at maximum allowed speed.  If the train is moving </w:t>
      </w:r>
      <w:r w:rsidRPr="00534E7C" w:rsidR="00CC76B3">
        <w:rPr>
          <w:szCs w:val="22"/>
        </w:rPr>
        <w:t>more slowly</w:t>
      </w:r>
      <w:r w:rsidRPr="00534E7C">
        <w:rPr>
          <w:szCs w:val="22"/>
        </w:rPr>
        <w:t xml:space="preserve">, the gates will close prematurely, and if the train stops before reaching the crossing, the gates </w:t>
      </w:r>
      <w:r w:rsidR="001E6069">
        <w:rPr>
          <w:szCs w:val="22"/>
        </w:rPr>
        <w:t xml:space="preserve">might </w:t>
      </w:r>
      <w:r w:rsidRPr="00534E7C">
        <w:rPr>
          <w:szCs w:val="22"/>
        </w:rPr>
        <w:t>remain closed even though there is no imminent danger of a passing train.</w:t>
      </w:r>
      <w:r>
        <w:rPr>
          <w:rStyle w:val="FootnoteReference"/>
          <w:szCs w:val="22"/>
        </w:rPr>
        <w:footnoteReference w:id="94"/>
      </w:r>
    </w:p>
    <w:p w:rsidR="00917463" w:rsidRPr="00534E7C" w:rsidP="00F67B54" w14:paraId="4F0CC350" w14:textId="482500A2">
      <w:pPr>
        <w:pStyle w:val="ParaNum"/>
        <w:rPr>
          <w:szCs w:val="22"/>
        </w:rPr>
      </w:pPr>
      <w:r w:rsidRPr="00534E7C">
        <w:rPr>
          <w:szCs w:val="22"/>
        </w:rPr>
        <w:t>To solve th</w:t>
      </w:r>
      <w:r w:rsidRPr="00534E7C" w:rsidR="00CC71AB">
        <w:rPr>
          <w:szCs w:val="22"/>
        </w:rPr>
        <w:t xml:space="preserve">e gates-down </w:t>
      </w:r>
      <w:r w:rsidRPr="00534E7C">
        <w:rPr>
          <w:szCs w:val="22"/>
        </w:rPr>
        <w:t xml:space="preserve">problem, railroads are developing a wireless system that will allow for more precise timing of a crossing closure based on real-time communications between </w:t>
      </w:r>
      <w:r w:rsidRPr="00534E7C" w:rsidR="005A33E6">
        <w:rPr>
          <w:szCs w:val="22"/>
        </w:rPr>
        <w:t xml:space="preserve">a </w:t>
      </w:r>
      <w:r w:rsidRPr="00534E7C">
        <w:rPr>
          <w:szCs w:val="22"/>
        </w:rPr>
        <w:t>locomotive and crossing equipment.</w:t>
      </w:r>
      <w:r>
        <w:rPr>
          <w:rStyle w:val="FootnoteReference"/>
          <w:sz w:val="22"/>
          <w:szCs w:val="22"/>
        </w:rPr>
        <w:footnoteReference w:id="95"/>
      </w:r>
      <w:r w:rsidRPr="00534E7C">
        <w:rPr>
          <w:szCs w:val="22"/>
        </w:rPr>
        <w:t xml:space="preserve">  PTC-220 explains that a locomotive onboard computer would radio ahead to the crossing equipment, </w:t>
      </w:r>
      <w:r w:rsidRPr="00534E7C" w:rsidR="00BA3DF4">
        <w:rPr>
          <w:szCs w:val="22"/>
        </w:rPr>
        <w:t xml:space="preserve">advising </w:t>
      </w:r>
      <w:r w:rsidRPr="00534E7C">
        <w:rPr>
          <w:szCs w:val="22"/>
        </w:rPr>
        <w:t>when the train will arriv</w:t>
      </w:r>
      <w:r w:rsidRPr="00534E7C" w:rsidR="00BA3DF4">
        <w:rPr>
          <w:szCs w:val="22"/>
        </w:rPr>
        <w:t>e</w:t>
      </w:r>
      <w:r w:rsidRPr="00534E7C">
        <w:rPr>
          <w:szCs w:val="22"/>
        </w:rPr>
        <w:t xml:space="preserve"> at the crossing, based on its </w:t>
      </w:r>
      <w:r w:rsidRPr="00534E7C">
        <w:rPr>
          <w:szCs w:val="22"/>
        </w:rPr>
        <w:t>current speed and location.</w:t>
      </w:r>
      <w:r>
        <w:rPr>
          <w:rStyle w:val="FootnoteReference"/>
          <w:sz w:val="22"/>
          <w:szCs w:val="22"/>
        </w:rPr>
        <w:footnoteReference w:id="96"/>
      </w:r>
      <w:r w:rsidRPr="00534E7C">
        <w:rPr>
          <w:szCs w:val="22"/>
        </w:rPr>
        <w:t xml:space="preserve">  If </w:t>
      </w:r>
      <w:r w:rsidRPr="00534E7C" w:rsidR="00BA3DF4">
        <w:rPr>
          <w:szCs w:val="22"/>
        </w:rPr>
        <w:t xml:space="preserve">a </w:t>
      </w:r>
      <w:r w:rsidRPr="00534E7C">
        <w:rPr>
          <w:szCs w:val="22"/>
        </w:rPr>
        <w:t>train stops before reaching the crossing, the gates w</w:t>
      </w:r>
      <w:r w:rsidRPr="00534E7C" w:rsidR="005A33E6">
        <w:rPr>
          <w:szCs w:val="22"/>
        </w:rPr>
        <w:t xml:space="preserve">ould </w:t>
      </w:r>
      <w:r w:rsidRPr="00534E7C">
        <w:rPr>
          <w:szCs w:val="22"/>
        </w:rPr>
        <w:t>be disarmed</w:t>
      </w:r>
      <w:r w:rsidRPr="00534E7C" w:rsidR="00E20D02">
        <w:rPr>
          <w:szCs w:val="22"/>
        </w:rPr>
        <w:t xml:space="preserve"> temporarily</w:t>
      </w:r>
      <w:r w:rsidRPr="00534E7C">
        <w:rPr>
          <w:szCs w:val="22"/>
        </w:rPr>
        <w:t xml:space="preserve">.  PTC-220 explains that on PTC-equipped rail lines, this functionality </w:t>
      </w:r>
      <w:r w:rsidRPr="00534E7C" w:rsidR="003066ED">
        <w:rPr>
          <w:szCs w:val="22"/>
        </w:rPr>
        <w:t xml:space="preserve">could </w:t>
      </w:r>
      <w:r w:rsidRPr="00534E7C">
        <w:rPr>
          <w:szCs w:val="22"/>
        </w:rPr>
        <w:t xml:space="preserve">be integrated into </w:t>
      </w:r>
      <w:r w:rsidRPr="00534E7C" w:rsidR="00843F6C">
        <w:rPr>
          <w:szCs w:val="22"/>
        </w:rPr>
        <w:t xml:space="preserve">a </w:t>
      </w:r>
      <w:r w:rsidRPr="00534E7C">
        <w:rPr>
          <w:szCs w:val="22"/>
        </w:rPr>
        <w:t xml:space="preserve">PTC system, </w:t>
      </w:r>
      <w:r w:rsidRPr="00534E7C" w:rsidR="00843F6C">
        <w:rPr>
          <w:szCs w:val="22"/>
        </w:rPr>
        <w:t>b</w:t>
      </w:r>
      <w:r w:rsidRPr="00534E7C">
        <w:rPr>
          <w:szCs w:val="22"/>
        </w:rPr>
        <w:t xml:space="preserve">ut on </w:t>
      </w:r>
      <w:r w:rsidRPr="00534E7C" w:rsidR="00BA3DF4">
        <w:rPr>
          <w:szCs w:val="22"/>
        </w:rPr>
        <w:t>non-PTC equipped track</w:t>
      </w:r>
      <w:r w:rsidRPr="00534E7C">
        <w:rPr>
          <w:szCs w:val="22"/>
        </w:rPr>
        <w:t>, waiver modification</w:t>
      </w:r>
      <w:r w:rsidRPr="00534E7C" w:rsidR="003066ED">
        <w:rPr>
          <w:szCs w:val="22"/>
        </w:rPr>
        <w:t>s</w:t>
      </w:r>
      <w:r w:rsidRPr="00534E7C">
        <w:rPr>
          <w:szCs w:val="22"/>
        </w:rPr>
        <w:t xml:space="preserve"> </w:t>
      </w:r>
      <w:r w:rsidRPr="00534E7C" w:rsidR="003066ED">
        <w:rPr>
          <w:szCs w:val="22"/>
        </w:rPr>
        <w:t xml:space="preserve">are </w:t>
      </w:r>
      <w:r w:rsidRPr="00534E7C">
        <w:rPr>
          <w:szCs w:val="22"/>
        </w:rPr>
        <w:t xml:space="preserve">needed to permit the deployment of this </w:t>
      </w:r>
      <w:r w:rsidRPr="00534E7C" w:rsidR="00E20D02">
        <w:rPr>
          <w:szCs w:val="22"/>
        </w:rPr>
        <w:t xml:space="preserve">potentially life-saving </w:t>
      </w:r>
      <w:r w:rsidRPr="00534E7C">
        <w:rPr>
          <w:szCs w:val="22"/>
        </w:rPr>
        <w:t>application.</w:t>
      </w:r>
      <w:r>
        <w:rPr>
          <w:rStyle w:val="FootnoteReference"/>
          <w:sz w:val="22"/>
          <w:szCs w:val="22"/>
        </w:rPr>
        <w:footnoteReference w:id="97"/>
      </w:r>
    </w:p>
    <w:p w:rsidR="00555A20" w:rsidRPr="00534E7C" w:rsidP="005F1E0D" w14:paraId="1553F587" w14:textId="2E6A8ABE">
      <w:pPr>
        <w:pStyle w:val="Heading2"/>
      </w:pPr>
      <w:bookmarkStart w:id="262" w:name="_Toc117162342"/>
      <w:bookmarkStart w:id="263" w:name="_Toc117170602"/>
      <w:bookmarkStart w:id="264" w:name="_Toc117179076"/>
      <w:bookmarkStart w:id="265" w:name="_Toc117516999"/>
      <w:bookmarkStart w:id="266" w:name="_Toc117517913"/>
      <w:bookmarkStart w:id="267" w:name="_Toc117518457"/>
      <w:bookmarkStart w:id="268" w:name="_Toc117518877"/>
      <w:bookmarkStart w:id="269" w:name="_Toc120523625"/>
      <w:bookmarkStart w:id="270" w:name="_Toc121150584"/>
      <w:bookmarkStart w:id="271" w:name="_Toc126158686"/>
      <w:bookmarkStart w:id="272" w:name="_Toc126158715"/>
      <w:bookmarkStart w:id="273" w:name="_Toc127960192"/>
      <w:bookmarkStart w:id="274" w:name="_Toc127994702"/>
      <w:bookmarkStart w:id="275" w:name="_Toc128039692"/>
      <w:bookmarkStart w:id="276" w:name="_Toc128039760"/>
      <w:bookmarkStart w:id="277" w:name="_Toc128039836"/>
      <w:bookmarkStart w:id="278" w:name="_Toc131444699"/>
      <w:bookmarkStart w:id="279" w:name="_Toc131444963"/>
      <w:bookmarkStart w:id="280" w:name="_Toc131676563"/>
      <w:bookmarkStart w:id="281" w:name="_Toc133848351"/>
      <w:r w:rsidRPr="00534E7C">
        <w:t xml:space="preserve">Modification of </w:t>
      </w:r>
      <w:r w:rsidRPr="00534E7C" w:rsidR="003F1ADD">
        <w:t xml:space="preserve">Individual </w:t>
      </w:r>
      <w:r w:rsidRPr="00534E7C">
        <w:t>Rule Waivers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5F1E0D" w:rsidP="00284831" w14:paraId="1B5D5AC9" w14:textId="77777777">
      <w:pPr>
        <w:pStyle w:val="ParaNum"/>
        <w:rPr>
          <w:szCs w:val="22"/>
        </w:rPr>
      </w:pPr>
      <w:r w:rsidRPr="007D7F44">
        <w:rPr>
          <w:szCs w:val="22"/>
        </w:rPr>
        <w:t xml:space="preserve">As explained above, modification of the </w:t>
      </w:r>
      <w:r w:rsidRPr="007D7F44" w:rsidR="0070531F">
        <w:rPr>
          <w:szCs w:val="22"/>
        </w:rPr>
        <w:t>ex</w:t>
      </w:r>
      <w:r w:rsidR="007D7F44">
        <w:rPr>
          <w:szCs w:val="22"/>
        </w:rPr>
        <w:t>isting</w:t>
      </w:r>
      <w:r w:rsidRPr="007D7F44" w:rsidR="0070531F">
        <w:rPr>
          <w:szCs w:val="22"/>
        </w:rPr>
        <w:t xml:space="preserve"> </w:t>
      </w:r>
      <w:r w:rsidRPr="007D7F44">
        <w:rPr>
          <w:szCs w:val="22"/>
        </w:rPr>
        <w:t xml:space="preserve">rule waivers will enable U.S. </w:t>
      </w:r>
      <w:r w:rsidRPr="007D7F44" w:rsidR="0034254F">
        <w:rPr>
          <w:szCs w:val="22"/>
        </w:rPr>
        <w:t>freight, passenger</w:t>
      </w:r>
      <w:r w:rsidRPr="007D7F44" w:rsidR="00327648">
        <w:rPr>
          <w:szCs w:val="22"/>
        </w:rPr>
        <w:t xml:space="preserve">, </w:t>
      </w:r>
      <w:r w:rsidRPr="007D7F44" w:rsidR="0034254F">
        <w:rPr>
          <w:szCs w:val="22"/>
        </w:rPr>
        <w:t xml:space="preserve">and commuter </w:t>
      </w:r>
      <w:r w:rsidRPr="007D7F44">
        <w:rPr>
          <w:szCs w:val="22"/>
        </w:rPr>
        <w:t xml:space="preserve">railroads to deploy an array of </w:t>
      </w:r>
      <w:r w:rsidRPr="007D7F44" w:rsidR="00721B8F">
        <w:rPr>
          <w:szCs w:val="22"/>
        </w:rPr>
        <w:t xml:space="preserve">innovative </w:t>
      </w:r>
      <w:r w:rsidRPr="007D7F44">
        <w:rPr>
          <w:szCs w:val="22"/>
        </w:rPr>
        <w:t xml:space="preserve">life- and property-saving </w:t>
      </w:r>
      <w:r w:rsidRPr="007D7F44" w:rsidR="00555A20">
        <w:rPr>
          <w:szCs w:val="22"/>
        </w:rPr>
        <w:t>systems</w:t>
      </w:r>
      <w:r w:rsidRPr="007D7F44" w:rsidR="00721B8F">
        <w:rPr>
          <w:szCs w:val="22"/>
        </w:rPr>
        <w:t xml:space="preserve"> on PTC-equipped rail lines </w:t>
      </w:r>
      <w:r w:rsidRPr="007D7F44" w:rsidR="00CC71AB">
        <w:rPr>
          <w:szCs w:val="22"/>
        </w:rPr>
        <w:t xml:space="preserve">using </w:t>
      </w:r>
      <w:r w:rsidRPr="007D7F44" w:rsidR="00721B8F">
        <w:rPr>
          <w:szCs w:val="22"/>
        </w:rPr>
        <w:t xml:space="preserve">PTC-220’s extensive </w:t>
      </w:r>
      <w:r w:rsidRPr="007D7F44" w:rsidR="00E20D02">
        <w:rPr>
          <w:szCs w:val="22"/>
        </w:rPr>
        <w:t xml:space="preserve">220 MHz </w:t>
      </w:r>
      <w:r w:rsidRPr="007D7F44" w:rsidR="00721B8F">
        <w:rPr>
          <w:szCs w:val="22"/>
        </w:rPr>
        <w:t>Band spectrum holdings</w:t>
      </w:r>
      <w:r w:rsidRPr="007D7F44" w:rsidR="000A01FA">
        <w:rPr>
          <w:szCs w:val="22"/>
        </w:rPr>
        <w:t xml:space="preserve">.  </w:t>
      </w:r>
      <w:r w:rsidRPr="007D7F44" w:rsidR="0034254F">
        <w:rPr>
          <w:szCs w:val="22"/>
        </w:rPr>
        <w:t>Equally i</w:t>
      </w:r>
      <w:r w:rsidRPr="007D7F44" w:rsidR="00555A20">
        <w:rPr>
          <w:szCs w:val="22"/>
        </w:rPr>
        <w:t xml:space="preserve">mportant, modification of the rule waivers </w:t>
      </w:r>
      <w:r w:rsidRPr="007D7F44" w:rsidR="000A01FA">
        <w:rPr>
          <w:szCs w:val="22"/>
        </w:rPr>
        <w:t>will enable</w:t>
      </w:r>
      <w:r w:rsidRPr="007D7F44" w:rsidR="0034254F">
        <w:rPr>
          <w:szCs w:val="22"/>
        </w:rPr>
        <w:t xml:space="preserve"> </w:t>
      </w:r>
      <w:r w:rsidRPr="007D7F44" w:rsidR="000A01FA">
        <w:rPr>
          <w:szCs w:val="22"/>
        </w:rPr>
        <w:t xml:space="preserve">railroads to deploy </w:t>
      </w:r>
      <w:r w:rsidRPr="007D7F44" w:rsidR="00555A20">
        <w:rPr>
          <w:szCs w:val="22"/>
        </w:rPr>
        <w:t>vital</w:t>
      </w:r>
      <w:r w:rsidRPr="007D7F44" w:rsidR="00BF7DBF">
        <w:rPr>
          <w:szCs w:val="22"/>
        </w:rPr>
        <w:t xml:space="preserve"> safety</w:t>
      </w:r>
      <w:r w:rsidRPr="007D7F44" w:rsidR="00555A20">
        <w:rPr>
          <w:szCs w:val="22"/>
        </w:rPr>
        <w:t xml:space="preserve"> systems </w:t>
      </w:r>
      <w:r w:rsidRPr="007D7F44" w:rsidR="008F2C73">
        <w:rPr>
          <w:szCs w:val="22"/>
        </w:rPr>
        <w:t xml:space="preserve">with </w:t>
      </w:r>
      <w:r w:rsidRPr="007D7F44" w:rsidR="00555A20">
        <w:rPr>
          <w:szCs w:val="22"/>
        </w:rPr>
        <w:t>220 MHz</w:t>
      </w:r>
      <w:r w:rsidRPr="007D7F44" w:rsidR="00721B8F">
        <w:rPr>
          <w:szCs w:val="22"/>
        </w:rPr>
        <w:t xml:space="preserve"> Band</w:t>
      </w:r>
      <w:r w:rsidRPr="007D7F44" w:rsidR="00555A20">
        <w:rPr>
          <w:szCs w:val="22"/>
        </w:rPr>
        <w:t xml:space="preserve"> </w:t>
      </w:r>
      <w:r w:rsidRPr="007D7F44" w:rsidR="000A01FA">
        <w:rPr>
          <w:szCs w:val="22"/>
        </w:rPr>
        <w:t>spectrum that lies fallow on</w:t>
      </w:r>
      <w:r w:rsidRPr="007D7F44" w:rsidR="00CC71AB">
        <w:rPr>
          <w:szCs w:val="22"/>
        </w:rPr>
        <w:t xml:space="preserve"> </w:t>
      </w:r>
      <w:r w:rsidRPr="007D7F44" w:rsidR="00452283">
        <w:rPr>
          <w:szCs w:val="22"/>
        </w:rPr>
        <w:t>lines that are not currently equipped with PTC.</w:t>
      </w:r>
      <w:r w:rsidRPr="007D7F44" w:rsidR="00555A20">
        <w:rPr>
          <w:szCs w:val="22"/>
        </w:rPr>
        <w:t xml:space="preserve">  For the reasons </w:t>
      </w:r>
      <w:r w:rsidRPr="007D7F44" w:rsidR="00452283">
        <w:rPr>
          <w:szCs w:val="22"/>
        </w:rPr>
        <w:t xml:space="preserve">stated above </w:t>
      </w:r>
      <w:r w:rsidRPr="007D7F44" w:rsidR="00555A20">
        <w:rPr>
          <w:szCs w:val="22"/>
        </w:rPr>
        <w:t xml:space="preserve">and for those </w:t>
      </w:r>
      <w:r w:rsidRPr="007D7F44" w:rsidR="008F2C73">
        <w:rPr>
          <w:szCs w:val="22"/>
        </w:rPr>
        <w:t>that follow</w:t>
      </w:r>
      <w:r w:rsidRPr="007D7F44" w:rsidR="00555A20">
        <w:rPr>
          <w:szCs w:val="22"/>
        </w:rPr>
        <w:t xml:space="preserve">, we find that </w:t>
      </w:r>
      <w:r w:rsidRPr="007D7F44" w:rsidR="00721B8F">
        <w:rPr>
          <w:szCs w:val="22"/>
        </w:rPr>
        <w:t xml:space="preserve">modification of the rule waivers </w:t>
      </w:r>
      <w:r w:rsidRPr="007D7F44" w:rsidR="007D7F44">
        <w:rPr>
          <w:szCs w:val="22"/>
        </w:rPr>
        <w:t xml:space="preserve">to enable the deployment of additional rail safety applications </w:t>
      </w:r>
      <w:r w:rsidRPr="007D7F44" w:rsidR="00555A20">
        <w:rPr>
          <w:szCs w:val="22"/>
        </w:rPr>
        <w:t xml:space="preserve">is warranted. </w:t>
      </w:r>
      <w:r w:rsidRPr="007D7F44">
        <w:rPr>
          <w:szCs w:val="22"/>
        </w:rPr>
        <w:t xml:space="preserve"> </w:t>
      </w:r>
      <w:r w:rsidRPr="007D7F44" w:rsidR="000573E2">
        <w:rPr>
          <w:szCs w:val="22"/>
        </w:rPr>
        <w:t xml:space="preserve">  </w:t>
      </w:r>
      <w:bookmarkStart w:id="282" w:name="_Toc117162343"/>
      <w:bookmarkStart w:id="283" w:name="_Toc117170603"/>
      <w:bookmarkStart w:id="284" w:name="_Toc117179077"/>
      <w:bookmarkStart w:id="285" w:name="_Toc117517000"/>
      <w:bookmarkStart w:id="286" w:name="_Toc117517914"/>
      <w:bookmarkStart w:id="287" w:name="_Toc117518458"/>
      <w:bookmarkStart w:id="288" w:name="_Toc117518878"/>
      <w:bookmarkStart w:id="289" w:name="_Toc120523626"/>
      <w:bookmarkStart w:id="290" w:name="_Toc121150585"/>
      <w:bookmarkStart w:id="291" w:name="_Toc126158687"/>
      <w:bookmarkStart w:id="292" w:name="_Toc126158716"/>
      <w:bookmarkStart w:id="293" w:name="_Toc127960193"/>
      <w:bookmarkStart w:id="294" w:name="_Toc127994703"/>
      <w:bookmarkStart w:id="295" w:name="_Toc128039693"/>
      <w:bookmarkStart w:id="296" w:name="_Toc128039761"/>
      <w:bookmarkStart w:id="297" w:name="_Toc128039837"/>
      <w:bookmarkStart w:id="298" w:name="_Toc131444700"/>
      <w:bookmarkStart w:id="299" w:name="_Toc131444964"/>
    </w:p>
    <w:p w:rsidR="00C52319" w:rsidRPr="007D7F44" w:rsidP="005F1E0D" w14:paraId="2A038B4C" w14:textId="2824805E">
      <w:pPr>
        <w:pStyle w:val="Heading3"/>
      </w:pPr>
      <w:bookmarkStart w:id="300" w:name="_Toc131676564"/>
      <w:bookmarkStart w:id="301" w:name="_Toc133848352"/>
      <w:r w:rsidRPr="007D7F44">
        <w:t xml:space="preserve">Modification of </w:t>
      </w:r>
      <w:r w:rsidRPr="007D7F44" w:rsidR="003A5338">
        <w:t>2</w:t>
      </w:r>
      <w:r w:rsidRPr="007D7F44" w:rsidR="00E41991">
        <w:t>0</w:t>
      </w:r>
      <w:r w:rsidRPr="007D7F44" w:rsidR="003A5338">
        <w:t>0</w:t>
      </w:r>
      <w:r w:rsidRPr="007D7F44" w:rsidR="00E41991">
        <w:t>9</w:t>
      </w:r>
      <w:r w:rsidRPr="007D7F44" w:rsidR="003A5338">
        <w:t xml:space="preserve"> </w:t>
      </w:r>
      <w:r w:rsidRPr="007D7F44">
        <w:t>Rule Waivers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D7F44" w:rsidR="00214CC3">
        <w:t xml:space="preserve"> </w:t>
      </w:r>
    </w:p>
    <w:p w:rsidR="009A6B81" w:rsidRPr="00534E7C" w:rsidP="00D2180C" w14:paraId="252477E9" w14:textId="304F680B">
      <w:pPr>
        <w:pStyle w:val="ParaNum"/>
        <w:rPr>
          <w:szCs w:val="22"/>
        </w:rPr>
      </w:pPr>
      <w:r w:rsidRPr="00534E7C">
        <w:rPr>
          <w:szCs w:val="22"/>
        </w:rPr>
        <w:t>As explained</w:t>
      </w:r>
      <w:r w:rsidRPr="00534E7C" w:rsidR="0025232E">
        <w:rPr>
          <w:szCs w:val="22"/>
        </w:rPr>
        <w:t xml:space="preserve"> </w:t>
      </w:r>
      <w:r w:rsidRPr="00534E7C">
        <w:rPr>
          <w:szCs w:val="22"/>
        </w:rPr>
        <w:t xml:space="preserve">above, </w:t>
      </w:r>
      <w:r w:rsidRPr="00534E7C" w:rsidR="00B97C97">
        <w:rPr>
          <w:szCs w:val="22"/>
        </w:rPr>
        <w:t>i</w:t>
      </w:r>
      <w:r w:rsidRPr="00534E7C" w:rsidR="00C52319">
        <w:rPr>
          <w:szCs w:val="22"/>
        </w:rPr>
        <w:t xml:space="preserve">n </w:t>
      </w:r>
      <w:r w:rsidRPr="00534E7C">
        <w:rPr>
          <w:szCs w:val="22"/>
        </w:rPr>
        <w:t xml:space="preserve">the </w:t>
      </w:r>
      <w:r w:rsidRPr="00534E7C" w:rsidR="00C52319">
        <w:rPr>
          <w:i/>
          <w:iCs/>
          <w:szCs w:val="22"/>
        </w:rPr>
        <w:t>2009</w:t>
      </w:r>
      <w:r w:rsidRPr="00534E7C">
        <w:rPr>
          <w:i/>
          <w:iCs/>
          <w:szCs w:val="22"/>
        </w:rPr>
        <w:t xml:space="preserve"> Waiver Order</w:t>
      </w:r>
      <w:r w:rsidRPr="00534E7C">
        <w:rPr>
          <w:szCs w:val="22"/>
        </w:rPr>
        <w:t xml:space="preserve">, </w:t>
      </w:r>
      <w:r w:rsidRPr="00534E7C" w:rsidR="00C52319">
        <w:rPr>
          <w:szCs w:val="22"/>
        </w:rPr>
        <w:t>the Bureau granted PTC-220 a limited waiver of four 220 MHz Band operational rules</w:t>
      </w:r>
      <w:r w:rsidRPr="00534E7C" w:rsidR="00B97C97">
        <w:rPr>
          <w:szCs w:val="22"/>
        </w:rPr>
        <w:t>, applying the</w:t>
      </w:r>
      <w:r w:rsidRPr="00534E7C" w:rsidR="007C4FA3">
        <w:rPr>
          <w:szCs w:val="22"/>
        </w:rPr>
        <w:t>m</w:t>
      </w:r>
      <w:r w:rsidRPr="00534E7C" w:rsidR="00B97C97">
        <w:rPr>
          <w:szCs w:val="22"/>
        </w:rPr>
        <w:t xml:space="preserve"> to </w:t>
      </w:r>
      <w:r w:rsidRPr="00534E7C" w:rsidR="00C52319">
        <w:rPr>
          <w:szCs w:val="22"/>
        </w:rPr>
        <w:t xml:space="preserve">PTC-220’s </w:t>
      </w:r>
      <w:r w:rsidRPr="00534E7C" w:rsidR="003A5338">
        <w:rPr>
          <w:szCs w:val="22"/>
        </w:rPr>
        <w:t xml:space="preserve">(then) twelve 220 MHz Band </w:t>
      </w:r>
      <w:r w:rsidRPr="00534E7C" w:rsidR="00C52319">
        <w:rPr>
          <w:szCs w:val="22"/>
        </w:rPr>
        <w:t>licenses</w:t>
      </w:r>
      <w:r w:rsidRPr="00534E7C" w:rsidR="0042798E">
        <w:rPr>
          <w:szCs w:val="22"/>
        </w:rPr>
        <w:t>,</w:t>
      </w:r>
      <w:r w:rsidRPr="00534E7C" w:rsidR="00C52319">
        <w:rPr>
          <w:szCs w:val="22"/>
        </w:rPr>
        <w:t xml:space="preserve"> where </w:t>
      </w:r>
      <w:r w:rsidRPr="00534E7C" w:rsidR="00DD36C1">
        <w:rPr>
          <w:szCs w:val="22"/>
        </w:rPr>
        <w:t>applicable</w:t>
      </w:r>
      <w:r w:rsidR="00C30307">
        <w:rPr>
          <w:szCs w:val="22"/>
        </w:rPr>
        <w:t>—</w:t>
      </w:r>
      <w:r w:rsidRPr="00534E7C" w:rsidR="00B97C97">
        <w:rPr>
          <w:szCs w:val="22"/>
        </w:rPr>
        <w:t>for</w:t>
      </w:r>
      <w:r w:rsidR="00C30307">
        <w:rPr>
          <w:szCs w:val="22"/>
        </w:rPr>
        <w:t xml:space="preserve"> </w:t>
      </w:r>
      <w:r w:rsidRPr="00534E7C" w:rsidR="00B97C97">
        <w:rPr>
          <w:szCs w:val="22"/>
        </w:rPr>
        <w:t>PTC operations only</w:t>
      </w:r>
      <w:r w:rsidRPr="00534E7C" w:rsidR="007C4FA3">
        <w:rPr>
          <w:szCs w:val="22"/>
        </w:rPr>
        <w:t>;</w:t>
      </w:r>
      <w:r w:rsidRPr="00534E7C" w:rsidR="00B97C97">
        <w:rPr>
          <w:szCs w:val="22"/>
        </w:rPr>
        <w:t xml:space="preserve"> </w:t>
      </w:r>
      <w:r w:rsidRPr="00534E7C" w:rsidR="007C4FA3">
        <w:rPr>
          <w:szCs w:val="22"/>
        </w:rPr>
        <w:t>the Bureau</w:t>
      </w:r>
      <w:r w:rsidRPr="00534E7C" w:rsidR="00B97C97">
        <w:rPr>
          <w:szCs w:val="22"/>
        </w:rPr>
        <w:t xml:space="preserve"> </w:t>
      </w:r>
      <w:r w:rsidRPr="00534E7C" w:rsidR="007C4FA3">
        <w:rPr>
          <w:szCs w:val="22"/>
        </w:rPr>
        <w:t xml:space="preserve">later </w:t>
      </w:r>
      <w:r w:rsidRPr="00534E7C" w:rsidR="00B97C97">
        <w:rPr>
          <w:szCs w:val="22"/>
        </w:rPr>
        <w:t>extended the same limited waiver relief to the addition</w:t>
      </w:r>
      <w:r w:rsidRPr="00534E7C" w:rsidR="007C4FA3">
        <w:rPr>
          <w:szCs w:val="22"/>
        </w:rPr>
        <w:t>al</w:t>
      </w:r>
      <w:r w:rsidRPr="00534E7C" w:rsidR="00B97C97">
        <w:rPr>
          <w:szCs w:val="22"/>
        </w:rPr>
        <w:t xml:space="preserve"> 220 MHz Band licenses that PTC-220 </w:t>
      </w:r>
      <w:r w:rsidRPr="00534E7C" w:rsidR="007C4FA3">
        <w:rPr>
          <w:szCs w:val="22"/>
        </w:rPr>
        <w:t>had subsequently</w:t>
      </w:r>
      <w:r w:rsidRPr="00534E7C" w:rsidR="00B97C97">
        <w:rPr>
          <w:szCs w:val="22"/>
        </w:rPr>
        <w:t xml:space="preserve"> acquired.</w:t>
      </w:r>
      <w:r>
        <w:rPr>
          <w:rStyle w:val="FootnoteReference"/>
          <w:sz w:val="22"/>
          <w:szCs w:val="22"/>
        </w:rPr>
        <w:footnoteReference w:id="98"/>
      </w:r>
      <w:r w:rsidRPr="00534E7C" w:rsidR="00C52319">
        <w:rPr>
          <w:szCs w:val="22"/>
        </w:rPr>
        <w:t xml:space="preserve"> </w:t>
      </w:r>
      <w:r w:rsidRPr="00534E7C" w:rsidR="003A5338">
        <w:rPr>
          <w:szCs w:val="22"/>
        </w:rPr>
        <w:t xml:space="preserve"> </w:t>
      </w:r>
      <w:r w:rsidRPr="00534E7C" w:rsidR="004A73C9">
        <w:rPr>
          <w:szCs w:val="22"/>
        </w:rPr>
        <w:t>T</w:t>
      </w:r>
      <w:r w:rsidRPr="00534E7C" w:rsidR="003A5338">
        <w:rPr>
          <w:szCs w:val="22"/>
        </w:rPr>
        <w:t xml:space="preserve">he Bureau emphasized that the extraordinary relief was “inextricably tied” to the PTC mandate and the substantial public interest benefits that will accrue from a nationwide interoperable </w:t>
      </w:r>
      <w:r w:rsidRPr="00534E7C" w:rsidR="00FA5CD0">
        <w:rPr>
          <w:szCs w:val="22"/>
        </w:rPr>
        <w:t xml:space="preserve">PTC </w:t>
      </w:r>
      <w:r w:rsidRPr="00534E7C" w:rsidR="003A5338">
        <w:rPr>
          <w:szCs w:val="22"/>
        </w:rPr>
        <w:t>rail safety network.</w:t>
      </w:r>
      <w:r>
        <w:rPr>
          <w:rStyle w:val="FootnoteReference"/>
          <w:sz w:val="22"/>
          <w:szCs w:val="22"/>
        </w:rPr>
        <w:footnoteReference w:id="99"/>
      </w:r>
      <w:r w:rsidRPr="00534E7C">
        <w:rPr>
          <w:szCs w:val="22"/>
        </w:rPr>
        <w:t xml:space="preserve"> </w:t>
      </w:r>
      <w:r w:rsidRPr="00534E7C" w:rsidR="00D2180C">
        <w:rPr>
          <w:szCs w:val="22"/>
        </w:rPr>
        <w:t xml:space="preserve"> </w:t>
      </w:r>
      <w:r w:rsidRPr="00534E7C" w:rsidR="0083482D">
        <w:rPr>
          <w:szCs w:val="22"/>
        </w:rPr>
        <w:t>For the reasons discussed below, w</w:t>
      </w:r>
      <w:r w:rsidRPr="00534E7C" w:rsidR="00D2180C">
        <w:rPr>
          <w:szCs w:val="22"/>
        </w:rPr>
        <w:t xml:space="preserve">e now </w:t>
      </w:r>
      <w:r w:rsidRPr="00534E7C" w:rsidR="00AF6524">
        <w:rPr>
          <w:szCs w:val="22"/>
        </w:rPr>
        <w:t xml:space="preserve">modify </w:t>
      </w:r>
      <w:r w:rsidR="007B24E7">
        <w:rPr>
          <w:szCs w:val="22"/>
        </w:rPr>
        <w:t xml:space="preserve">the </w:t>
      </w:r>
      <w:r w:rsidRPr="00534E7C" w:rsidR="0083482D">
        <w:rPr>
          <w:szCs w:val="22"/>
        </w:rPr>
        <w:t xml:space="preserve">scope of </w:t>
      </w:r>
      <w:r w:rsidRPr="00534E7C" w:rsidR="00D2180C">
        <w:rPr>
          <w:szCs w:val="22"/>
        </w:rPr>
        <w:t xml:space="preserve">the four rule waivers </w:t>
      </w:r>
      <w:r w:rsidRPr="00534E7C" w:rsidR="00452283">
        <w:rPr>
          <w:szCs w:val="22"/>
        </w:rPr>
        <w:t xml:space="preserve">to enable </w:t>
      </w:r>
      <w:r w:rsidRPr="00534E7C" w:rsidR="00D2180C">
        <w:rPr>
          <w:szCs w:val="22"/>
        </w:rPr>
        <w:t>deploy</w:t>
      </w:r>
      <w:r w:rsidRPr="00534E7C" w:rsidR="00452283">
        <w:rPr>
          <w:szCs w:val="22"/>
        </w:rPr>
        <w:t xml:space="preserve">ment of additional </w:t>
      </w:r>
      <w:r w:rsidRPr="00534E7C" w:rsidR="007A0587">
        <w:rPr>
          <w:szCs w:val="22"/>
        </w:rPr>
        <w:t xml:space="preserve">(i.e., non-PTC) </w:t>
      </w:r>
      <w:r w:rsidRPr="00534E7C" w:rsidR="00D2180C">
        <w:rPr>
          <w:szCs w:val="22"/>
        </w:rPr>
        <w:t xml:space="preserve">rail safety </w:t>
      </w:r>
      <w:r w:rsidRPr="00534E7C" w:rsidR="00522667">
        <w:rPr>
          <w:szCs w:val="22"/>
        </w:rPr>
        <w:t xml:space="preserve">systems </w:t>
      </w:r>
      <w:r w:rsidRPr="00534E7C" w:rsidR="00452283">
        <w:rPr>
          <w:szCs w:val="22"/>
        </w:rPr>
        <w:t xml:space="preserve">in the </w:t>
      </w:r>
      <w:r w:rsidRPr="00534E7C" w:rsidR="0034254F">
        <w:rPr>
          <w:szCs w:val="22"/>
        </w:rPr>
        <w:t>220 MHz Band</w:t>
      </w:r>
      <w:r w:rsidRPr="00534E7C" w:rsidR="00D2180C">
        <w:rPr>
          <w:szCs w:val="22"/>
        </w:rPr>
        <w:t xml:space="preserve">.  </w:t>
      </w:r>
    </w:p>
    <w:p w:rsidR="001C7A58" w:rsidRPr="00534E7C" w:rsidP="006C779F" w14:paraId="4869266A" w14:textId="6567C958">
      <w:pPr>
        <w:pStyle w:val="Heading4"/>
        <w:rPr>
          <w:szCs w:val="22"/>
        </w:rPr>
      </w:pPr>
      <w:bookmarkStart w:id="302" w:name="_Toc117162344"/>
      <w:bookmarkStart w:id="303" w:name="_Toc117170604"/>
      <w:bookmarkStart w:id="304" w:name="_Toc117179078"/>
      <w:bookmarkStart w:id="305" w:name="_Toc117517001"/>
      <w:bookmarkStart w:id="306" w:name="_Toc117517915"/>
      <w:bookmarkStart w:id="307" w:name="_Toc117518459"/>
      <w:bookmarkStart w:id="308" w:name="_Toc117518879"/>
      <w:bookmarkStart w:id="309" w:name="_Toc120523627"/>
      <w:bookmarkStart w:id="310" w:name="_Toc126158688"/>
      <w:bookmarkStart w:id="311" w:name="_Toc126158717"/>
      <w:bookmarkStart w:id="312" w:name="_Toc127960194"/>
      <w:bookmarkStart w:id="313" w:name="_Toc127994704"/>
      <w:bookmarkStart w:id="314" w:name="_Toc128039694"/>
      <w:bookmarkStart w:id="315" w:name="_Toc128039838"/>
      <w:bookmarkStart w:id="316" w:name="_Toc131444701"/>
      <w:bookmarkStart w:id="317" w:name="_Toc131444965"/>
      <w:bookmarkStart w:id="318" w:name="_Toc131676565"/>
      <w:bookmarkStart w:id="319" w:name="_Toc133848353"/>
      <w:r w:rsidRPr="00534E7C">
        <w:rPr>
          <w:szCs w:val="22"/>
        </w:rPr>
        <w:t>Sections 90.713(a) and 90.717(b)</w:t>
      </w:r>
      <w:r w:rsidRPr="00534E7C" w:rsidR="00EC2959">
        <w:rPr>
          <w:szCs w:val="22"/>
        </w:rPr>
        <w:t>,</w:t>
      </w:r>
      <w:bookmarkStart w:id="320" w:name="_Hlk111036175"/>
      <w:r w:rsidRPr="00534E7C" w:rsidR="00214CC3">
        <w:rPr>
          <w:szCs w:val="22"/>
        </w:rPr>
        <w:t xml:space="preserve"> </w:t>
      </w:r>
      <w:r w:rsidRPr="00534E7C" w:rsidR="00014154">
        <w:rPr>
          <w:szCs w:val="22"/>
        </w:rPr>
        <w:t xml:space="preserve">Phase I </w:t>
      </w:r>
      <w:r w:rsidRPr="00534E7C" w:rsidR="00176C76">
        <w:rPr>
          <w:szCs w:val="22"/>
        </w:rPr>
        <w:t>Nationwide</w:t>
      </w:r>
      <w:r w:rsidRPr="00534E7C" w:rsidR="00014154">
        <w:rPr>
          <w:szCs w:val="22"/>
        </w:rPr>
        <w:t xml:space="preserve"> </w:t>
      </w:r>
      <w:r w:rsidRPr="00534E7C" w:rsidR="00176C76">
        <w:rPr>
          <w:szCs w:val="22"/>
        </w:rPr>
        <w:t>License</w:t>
      </w:r>
      <w:r w:rsidR="004960E0">
        <w:rPr>
          <w:szCs w:val="22"/>
        </w:rPr>
        <w:t xml:space="preserve"> </w:t>
      </w:r>
      <w:r w:rsidRPr="00534E7C">
        <w:rPr>
          <w:szCs w:val="22"/>
        </w:rPr>
        <w:t>Commercial</w:t>
      </w:r>
      <w:r w:rsidRPr="00534E7C" w:rsidR="006E094A">
        <w:rPr>
          <w:szCs w:val="22"/>
        </w:rPr>
        <w:t>-</w:t>
      </w:r>
      <w:r w:rsidRPr="00534E7C">
        <w:rPr>
          <w:szCs w:val="22"/>
        </w:rPr>
        <w:t>Use Restriction</w:t>
      </w:r>
      <w:bookmarkEnd w:id="320"/>
      <w:r w:rsidRPr="00534E7C">
        <w:rPr>
          <w:szCs w:val="22"/>
        </w:rPr>
        <w: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85C20" w:rsidRPr="00534E7C" w:rsidP="007D6937" w14:paraId="21B95C1E" w14:textId="047A8CD4">
      <w:pPr>
        <w:pStyle w:val="ParaNum"/>
        <w:rPr>
          <w:szCs w:val="22"/>
        </w:rPr>
      </w:pPr>
      <w:r w:rsidRPr="00534E7C">
        <w:rPr>
          <w:szCs w:val="22"/>
        </w:rPr>
        <w:t xml:space="preserve">Sections 90.713(a) and 90.717(b) of the Commission’s rules limit </w:t>
      </w:r>
      <w:r w:rsidRPr="00534E7C" w:rsidR="00943F09">
        <w:rPr>
          <w:szCs w:val="22"/>
        </w:rPr>
        <w:t>P</w:t>
      </w:r>
      <w:r w:rsidRPr="00534E7C" w:rsidR="00111001">
        <w:rPr>
          <w:szCs w:val="22"/>
        </w:rPr>
        <w:t xml:space="preserve">hase </w:t>
      </w:r>
      <w:r w:rsidRPr="00534E7C" w:rsidR="009102A9">
        <w:rPr>
          <w:szCs w:val="22"/>
        </w:rPr>
        <w:t>I</w:t>
      </w:r>
      <w:r w:rsidRPr="00534E7C" w:rsidR="00111001">
        <w:rPr>
          <w:szCs w:val="22"/>
        </w:rPr>
        <w:t xml:space="preserve"> </w:t>
      </w:r>
      <w:r w:rsidRPr="00534E7C" w:rsidR="003F6982">
        <w:rPr>
          <w:szCs w:val="22"/>
        </w:rPr>
        <w:t xml:space="preserve">Nationwide </w:t>
      </w:r>
      <w:r w:rsidRPr="00534E7C">
        <w:rPr>
          <w:szCs w:val="22"/>
        </w:rPr>
        <w:t>220 MHz Band licenses to commercial use.</w:t>
      </w:r>
      <w:r>
        <w:rPr>
          <w:szCs w:val="22"/>
          <w:vertAlign w:val="superscript"/>
        </w:rPr>
        <w:footnoteReference w:id="100"/>
      </w:r>
      <w:r w:rsidRPr="00534E7C">
        <w:rPr>
          <w:szCs w:val="22"/>
        </w:rPr>
        <w:t xml:space="preserve">  </w:t>
      </w:r>
      <w:r w:rsidRPr="00534E7C" w:rsidR="00ED3F85">
        <w:rPr>
          <w:szCs w:val="22"/>
        </w:rPr>
        <w:t xml:space="preserve">In the </w:t>
      </w:r>
      <w:r w:rsidRPr="00534E7C" w:rsidR="00ED3F85">
        <w:rPr>
          <w:i/>
          <w:iCs/>
          <w:szCs w:val="22"/>
        </w:rPr>
        <w:t>2009 Waiver Order</w:t>
      </w:r>
      <w:r w:rsidRPr="00534E7C" w:rsidR="00ED3F85">
        <w:rPr>
          <w:szCs w:val="22"/>
        </w:rPr>
        <w:t xml:space="preserve">, the Bureau waived </w:t>
      </w:r>
      <w:r w:rsidRPr="00534E7C" w:rsidR="00CB774B">
        <w:rPr>
          <w:szCs w:val="22"/>
        </w:rPr>
        <w:t>the commercial</w:t>
      </w:r>
      <w:r w:rsidRPr="00534E7C" w:rsidR="00320FC3">
        <w:rPr>
          <w:szCs w:val="22"/>
        </w:rPr>
        <w:t>-</w:t>
      </w:r>
      <w:r w:rsidRPr="00534E7C" w:rsidR="00CB774B">
        <w:rPr>
          <w:szCs w:val="22"/>
        </w:rPr>
        <w:t>use re</w:t>
      </w:r>
      <w:r w:rsidRPr="00534E7C" w:rsidR="00454E11">
        <w:rPr>
          <w:szCs w:val="22"/>
        </w:rPr>
        <w:t>st</w:t>
      </w:r>
      <w:r w:rsidRPr="00534E7C" w:rsidR="00CB774B">
        <w:rPr>
          <w:szCs w:val="22"/>
        </w:rPr>
        <w:t>ri</w:t>
      </w:r>
      <w:r w:rsidRPr="00534E7C" w:rsidR="00454E11">
        <w:rPr>
          <w:szCs w:val="22"/>
        </w:rPr>
        <w:t xml:space="preserve">ctions for PTC-220’s </w:t>
      </w:r>
      <w:r w:rsidRPr="00534E7C" w:rsidR="003F6982">
        <w:rPr>
          <w:szCs w:val="22"/>
        </w:rPr>
        <w:t>Phase I N</w:t>
      </w:r>
      <w:r w:rsidRPr="00534E7C" w:rsidR="00454E11">
        <w:rPr>
          <w:szCs w:val="22"/>
        </w:rPr>
        <w:t xml:space="preserve">ationwide </w:t>
      </w:r>
      <w:r w:rsidRPr="00534E7C" w:rsidR="005F220F">
        <w:rPr>
          <w:szCs w:val="22"/>
        </w:rPr>
        <w:t xml:space="preserve">licenses WPFP444 and </w:t>
      </w:r>
      <w:r w:rsidRPr="00534E7C" w:rsidR="00006514">
        <w:rPr>
          <w:szCs w:val="22"/>
        </w:rPr>
        <w:t>WPFR284.</w:t>
      </w:r>
      <w:r>
        <w:rPr>
          <w:szCs w:val="22"/>
          <w:vertAlign w:val="superscript"/>
        </w:rPr>
        <w:footnoteReference w:id="101"/>
      </w:r>
      <w:r w:rsidRPr="00534E7C" w:rsidR="00ED3F85">
        <w:rPr>
          <w:szCs w:val="22"/>
        </w:rPr>
        <w:t xml:space="preserve">  </w:t>
      </w:r>
      <w:r w:rsidRPr="00534E7C" w:rsidR="00C52319">
        <w:rPr>
          <w:szCs w:val="22"/>
        </w:rPr>
        <w:t xml:space="preserve">The Bureau reasoned that by enabling PTC-220’s members to deploy PTC </w:t>
      </w:r>
      <w:r w:rsidRPr="00534E7C" w:rsidR="00176C76">
        <w:rPr>
          <w:szCs w:val="22"/>
        </w:rPr>
        <w:t xml:space="preserve">technology </w:t>
      </w:r>
      <w:r w:rsidRPr="00534E7C" w:rsidR="00C52319">
        <w:rPr>
          <w:szCs w:val="22"/>
        </w:rPr>
        <w:t>on a private basis in the 220 MHz Band, waiver of the commercial-use restrictions would further public safety while serving the Commission’s spectrum efficiency and flexibility goals.</w:t>
      </w:r>
      <w:r>
        <w:rPr>
          <w:szCs w:val="22"/>
          <w:vertAlign w:val="superscript"/>
        </w:rPr>
        <w:footnoteReference w:id="102"/>
      </w:r>
    </w:p>
    <w:p w:rsidR="00F97149" w:rsidRPr="00534E7C" w:rsidP="007D6937" w14:paraId="093652EE" w14:textId="477ADC8F">
      <w:pPr>
        <w:pStyle w:val="ParaNum"/>
        <w:rPr>
          <w:szCs w:val="22"/>
        </w:rPr>
      </w:pPr>
      <w:r w:rsidRPr="00534E7C">
        <w:rPr>
          <w:szCs w:val="22"/>
        </w:rPr>
        <w:t xml:space="preserve">PTC-220 notes that </w:t>
      </w:r>
      <w:r w:rsidRPr="00534E7C" w:rsidR="006E1754">
        <w:rPr>
          <w:szCs w:val="22"/>
        </w:rPr>
        <w:t xml:space="preserve">five years before Congress adopted the PTC mandate, </w:t>
      </w:r>
      <w:r w:rsidRPr="00534E7C" w:rsidR="005C4FE9">
        <w:rPr>
          <w:szCs w:val="22"/>
        </w:rPr>
        <w:t>the Bureau</w:t>
      </w:r>
      <w:r w:rsidR="00245E4E">
        <w:rPr>
          <w:szCs w:val="22"/>
        </w:rPr>
        <w:t>—</w:t>
      </w:r>
      <w:r w:rsidRPr="00534E7C" w:rsidR="006E1754">
        <w:rPr>
          <w:szCs w:val="22"/>
        </w:rPr>
        <w:t>in</w:t>
      </w:r>
      <w:r w:rsidR="00245E4E">
        <w:rPr>
          <w:szCs w:val="22"/>
        </w:rPr>
        <w:t xml:space="preserve"> </w:t>
      </w:r>
      <w:r w:rsidRPr="00534E7C" w:rsidR="006E1754">
        <w:rPr>
          <w:szCs w:val="22"/>
        </w:rPr>
        <w:t xml:space="preserve">the </w:t>
      </w:r>
      <w:r w:rsidRPr="00534E7C" w:rsidR="006E1754">
        <w:rPr>
          <w:i/>
          <w:iCs/>
          <w:szCs w:val="22"/>
        </w:rPr>
        <w:t>2003 AAR Order</w:t>
      </w:r>
      <w:r w:rsidR="00245E4E">
        <w:rPr>
          <w:szCs w:val="22"/>
        </w:rPr>
        <w:t>—</w:t>
      </w:r>
      <w:r w:rsidRPr="00534E7C" w:rsidR="005C4FE9">
        <w:rPr>
          <w:szCs w:val="22"/>
        </w:rPr>
        <w:t>waived</w:t>
      </w:r>
      <w:r w:rsidR="00245E4E">
        <w:rPr>
          <w:szCs w:val="22"/>
        </w:rPr>
        <w:t xml:space="preserve"> </w:t>
      </w:r>
      <w:r w:rsidRPr="00534E7C" w:rsidR="005C4FE9">
        <w:rPr>
          <w:szCs w:val="22"/>
        </w:rPr>
        <w:t>the</w:t>
      </w:r>
      <w:r w:rsidRPr="00534E7C" w:rsidR="00B9256E">
        <w:rPr>
          <w:szCs w:val="22"/>
        </w:rPr>
        <w:t xml:space="preserve"> commercial</w:t>
      </w:r>
      <w:r w:rsidRPr="00534E7C" w:rsidR="00C36D6A">
        <w:rPr>
          <w:szCs w:val="22"/>
        </w:rPr>
        <w:t>-</w:t>
      </w:r>
      <w:r w:rsidRPr="00534E7C" w:rsidR="00B9256E">
        <w:rPr>
          <w:szCs w:val="22"/>
        </w:rPr>
        <w:t xml:space="preserve">use restrictions </w:t>
      </w:r>
      <w:r w:rsidRPr="00534E7C" w:rsidR="005C4FE9">
        <w:rPr>
          <w:szCs w:val="22"/>
        </w:rPr>
        <w:t xml:space="preserve">so that </w:t>
      </w:r>
      <w:r w:rsidRPr="00534E7C">
        <w:rPr>
          <w:szCs w:val="22"/>
        </w:rPr>
        <w:t xml:space="preserve">AAR’s </w:t>
      </w:r>
      <w:r w:rsidRPr="00534E7C" w:rsidR="005C4FE9">
        <w:rPr>
          <w:szCs w:val="22"/>
        </w:rPr>
        <w:t>freight railroad</w:t>
      </w:r>
      <w:r w:rsidRPr="00534E7C">
        <w:rPr>
          <w:szCs w:val="22"/>
        </w:rPr>
        <w:t xml:space="preserve"> members </w:t>
      </w:r>
      <w:r w:rsidRPr="00534E7C" w:rsidR="005C4FE9">
        <w:rPr>
          <w:szCs w:val="22"/>
        </w:rPr>
        <w:t xml:space="preserve">could use </w:t>
      </w:r>
      <w:r w:rsidRPr="00534E7C">
        <w:rPr>
          <w:szCs w:val="22"/>
        </w:rPr>
        <w:t xml:space="preserve">nationwide </w:t>
      </w:r>
      <w:r w:rsidRPr="00534E7C" w:rsidR="005C4FE9">
        <w:rPr>
          <w:szCs w:val="22"/>
        </w:rPr>
        <w:t xml:space="preserve">220 MHz Band </w:t>
      </w:r>
      <w:r w:rsidRPr="00534E7C" w:rsidR="00201151">
        <w:rPr>
          <w:szCs w:val="22"/>
        </w:rPr>
        <w:t xml:space="preserve">license </w:t>
      </w:r>
      <w:r w:rsidRPr="00534E7C" w:rsidR="00812185">
        <w:rPr>
          <w:szCs w:val="22"/>
        </w:rPr>
        <w:t>W</w:t>
      </w:r>
      <w:r w:rsidRPr="00534E7C" w:rsidR="0087525A">
        <w:rPr>
          <w:szCs w:val="22"/>
        </w:rPr>
        <w:t>PWY753</w:t>
      </w:r>
      <w:r w:rsidRPr="00534E7C" w:rsidR="00C36D6A">
        <w:rPr>
          <w:szCs w:val="22"/>
        </w:rPr>
        <w:t xml:space="preserve"> </w:t>
      </w:r>
      <w:r w:rsidRPr="00534E7C" w:rsidR="00FD5133">
        <w:rPr>
          <w:szCs w:val="22"/>
        </w:rPr>
        <w:t xml:space="preserve">to deploy </w:t>
      </w:r>
      <w:r w:rsidRPr="00534E7C" w:rsidR="005C4FE9">
        <w:rPr>
          <w:szCs w:val="22"/>
        </w:rPr>
        <w:t>a non-commercial</w:t>
      </w:r>
      <w:r w:rsidRPr="00534E7C" w:rsidR="00FD5133">
        <w:rPr>
          <w:szCs w:val="22"/>
        </w:rPr>
        <w:t xml:space="preserve"> </w:t>
      </w:r>
      <w:r w:rsidRPr="00534E7C" w:rsidR="005C4FE9">
        <w:rPr>
          <w:szCs w:val="22"/>
        </w:rPr>
        <w:t>locomotive</w:t>
      </w:r>
      <w:r w:rsidRPr="00534E7C" w:rsidR="006E14DB">
        <w:rPr>
          <w:szCs w:val="22"/>
        </w:rPr>
        <w:t xml:space="preserve"> switching technology</w:t>
      </w:r>
      <w:r w:rsidRPr="00534E7C" w:rsidR="005C4FE9">
        <w:rPr>
          <w:szCs w:val="22"/>
        </w:rPr>
        <w:t>.</w:t>
      </w:r>
      <w:r>
        <w:rPr>
          <w:rStyle w:val="FootnoteReference"/>
          <w:sz w:val="22"/>
          <w:szCs w:val="22"/>
        </w:rPr>
        <w:footnoteReference w:id="103"/>
      </w:r>
      <w:r w:rsidRPr="00534E7C" w:rsidR="008A2F7C">
        <w:rPr>
          <w:szCs w:val="22"/>
        </w:rPr>
        <w:t xml:space="preserve">  </w:t>
      </w:r>
      <w:r w:rsidR="003C586F">
        <w:rPr>
          <w:szCs w:val="22"/>
        </w:rPr>
        <w:t>T</w:t>
      </w:r>
      <w:r w:rsidRPr="00534E7C" w:rsidR="00134397">
        <w:rPr>
          <w:szCs w:val="22"/>
        </w:rPr>
        <w:t>h</w:t>
      </w:r>
      <w:r w:rsidRPr="00534E7C" w:rsidR="005C4FE9">
        <w:rPr>
          <w:szCs w:val="22"/>
        </w:rPr>
        <w:t>e Bureau</w:t>
      </w:r>
      <w:r w:rsidRPr="00534E7C" w:rsidR="00C36D6A">
        <w:rPr>
          <w:szCs w:val="22"/>
        </w:rPr>
        <w:t xml:space="preserve"> found </w:t>
      </w:r>
      <w:r w:rsidRPr="00534E7C" w:rsidR="005C4FE9">
        <w:rPr>
          <w:szCs w:val="22"/>
        </w:rPr>
        <w:t>that a waiver of the commercial</w:t>
      </w:r>
      <w:r w:rsidRPr="00534E7C" w:rsidR="00C36D6A">
        <w:rPr>
          <w:szCs w:val="22"/>
        </w:rPr>
        <w:t>-</w:t>
      </w:r>
      <w:r w:rsidRPr="00534E7C" w:rsidR="005C4FE9">
        <w:rPr>
          <w:szCs w:val="22"/>
        </w:rPr>
        <w:t xml:space="preserve">use restrictions </w:t>
      </w:r>
      <w:r w:rsidRPr="00534E7C" w:rsidR="00C36D6A">
        <w:rPr>
          <w:szCs w:val="22"/>
        </w:rPr>
        <w:t xml:space="preserve">to enable the </w:t>
      </w:r>
      <w:r w:rsidRPr="00534E7C" w:rsidR="00C36D6A">
        <w:rPr>
          <w:szCs w:val="22"/>
        </w:rPr>
        <w:t xml:space="preserve">switching technology </w:t>
      </w:r>
      <w:r w:rsidRPr="00534E7C" w:rsidR="006E094A">
        <w:rPr>
          <w:szCs w:val="22"/>
        </w:rPr>
        <w:t xml:space="preserve">at some 300 locations </w:t>
      </w:r>
      <w:r w:rsidRPr="00534E7C" w:rsidR="00C36D6A">
        <w:rPr>
          <w:szCs w:val="22"/>
        </w:rPr>
        <w:t xml:space="preserve">would provide </w:t>
      </w:r>
      <w:r w:rsidRPr="00534E7C" w:rsidR="006E094A">
        <w:rPr>
          <w:szCs w:val="22"/>
        </w:rPr>
        <w:t>“</w:t>
      </w:r>
      <w:r w:rsidRPr="00534E7C" w:rsidR="00C36D6A">
        <w:rPr>
          <w:szCs w:val="22"/>
        </w:rPr>
        <w:t>public safety, spectrum efficiency, and spectrum flexibility</w:t>
      </w:r>
      <w:r w:rsidRPr="00534E7C" w:rsidR="006E094A">
        <w:rPr>
          <w:szCs w:val="22"/>
        </w:rPr>
        <w:t>”</w:t>
      </w:r>
      <w:r w:rsidRPr="00534E7C" w:rsidR="00C36D6A">
        <w:rPr>
          <w:szCs w:val="22"/>
        </w:rPr>
        <w:t xml:space="preserve"> benefits.</w:t>
      </w:r>
      <w:r>
        <w:rPr>
          <w:rStyle w:val="FootnoteReference"/>
          <w:sz w:val="22"/>
          <w:szCs w:val="22"/>
        </w:rPr>
        <w:footnoteReference w:id="104"/>
      </w:r>
      <w:r w:rsidRPr="00534E7C" w:rsidR="00D92306">
        <w:rPr>
          <w:szCs w:val="22"/>
        </w:rPr>
        <w:t xml:space="preserve"> </w:t>
      </w:r>
      <w:r w:rsidRPr="00534E7C" w:rsidR="00EC2BCF">
        <w:rPr>
          <w:szCs w:val="22"/>
        </w:rPr>
        <w:t xml:space="preserve"> </w:t>
      </w:r>
      <w:r w:rsidRPr="00534E7C" w:rsidR="00B3191F">
        <w:rPr>
          <w:szCs w:val="22"/>
        </w:rPr>
        <w:t xml:space="preserve">In the </w:t>
      </w:r>
      <w:r w:rsidRPr="00534E7C" w:rsidR="00B3191F">
        <w:rPr>
          <w:i/>
          <w:iCs/>
          <w:szCs w:val="22"/>
        </w:rPr>
        <w:t>2015 PTC-220 Order</w:t>
      </w:r>
      <w:r w:rsidRPr="00534E7C">
        <w:rPr>
          <w:szCs w:val="22"/>
        </w:rPr>
        <w:t xml:space="preserve">, </w:t>
      </w:r>
      <w:r w:rsidRPr="00534E7C" w:rsidR="00B3191F">
        <w:rPr>
          <w:szCs w:val="22"/>
        </w:rPr>
        <w:t>the Bureau consented to AAR’s assignment of WPWY753 to PTC-220, and granted PTC-220’s request for waiver of the commercial-use restrictions to deploy PTC.</w:t>
      </w:r>
      <w:r>
        <w:rPr>
          <w:rStyle w:val="FootnoteReference"/>
          <w:sz w:val="22"/>
          <w:szCs w:val="22"/>
        </w:rPr>
        <w:footnoteReference w:id="105"/>
      </w:r>
      <w:r w:rsidRPr="00534E7C" w:rsidR="00B3191F">
        <w:rPr>
          <w:szCs w:val="22"/>
        </w:rPr>
        <w:t xml:space="preserve">  The Bureau stated that a waiver “is appropriate because PTC-220 members and other railroads operate PTC systems on a private, non-commercial basis.”</w:t>
      </w:r>
      <w:r>
        <w:rPr>
          <w:rStyle w:val="FootnoteReference"/>
          <w:sz w:val="22"/>
          <w:szCs w:val="22"/>
        </w:rPr>
        <w:footnoteReference w:id="106"/>
      </w:r>
    </w:p>
    <w:p w:rsidR="00C52319" w:rsidRPr="00534E7C" w:rsidP="007D6937" w14:paraId="56C6CE79" w14:textId="12150560">
      <w:pPr>
        <w:pStyle w:val="ParaNum"/>
        <w:rPr>
          <w:szCs w:val="22"/>
        </w:rPr>
      </w:pPr>
      <w:r w:rsidRPr="00534E7C">
        <w:rPr>
          <w:szCs w:val="22"/>
        </w:rPr>
        <w:t xml:space="preserve">The </w:t>
      </w:r>
      <w:r w:rsidRPr="00534E7C" w:rsidR="00F4122A">
        <w:rPr>
          <w:szCs w:val="22"/>
        </w:rPr>
        <w:t xml:space="preserve">same </w:t>
      </w:r>
      <w:r w:rsidRPr="00534E7C" w:rsidR="00EC2BCF">
        <w:rPr>
          <w:szCs w:val="22"/>
        </w:rPr>
        <w:t xml:space="preserve">public safety, spectrum efficiency, and spectrum flexibility benefits </w:t>
      </w:r>
      <w:r w:rsidRPr="00534E7C" w:rsidR="005C4FE9">
        <w:rPr>
          <w:szCs w:val="22"/>
        </w:rPr>
        <w:t xml:space="preserve">cited </w:t>
      </w:r>
      <w:r w:rsidRPr="00534E7C" w:rsidR="006E14DB">
        <w:rPr>
          <w:szCs w:val="22"/>
        </w:rPr>
        <w:t xml:space="preserve">by the Bureau </w:t>
      </w:r>
      <w:r w:rsidRPr="00534E7C" w:rsidR="005C4FE9">
        <w:rPr>
          <w:szCs w:val="22"/>
        </w:rPr>
        <w:t>in the</w:t>
      </w:r>
      <w:r w:rsidRPr="00534E7C" w:rsidR="00B2481C">
        <w:rPr>
          <w:szCs w:val="22"/>
        </w:rPr>
        <w:t xml:space="preserve"> </w:t>
      </w:r>
      <w:r w:rsidRPr="00534E7C" w:rsidR="005C4FE9">
        <w:rPr>
          <w:i/>
          <w:iCs/>
          <w:szCs w:val="22"/>
        </w:rPr>
        <w:t xml:space="preserve">2009 Waiver Order </w:t>
      </w:r>
      <w:r w:rsidRPr="00534E7C" w:rsidR="005C4FE9">
        <w:rPr>
          <w:szCs w:val="22"/>
        </w:rPr>
        <w:t>and in the</w:t>
      </w:r>
      <w:r w:rsidRPr="00534E7C" w:rsidR="00B9256E">
        <w:rPr>
          <w:szCs w:val="22"/>
        </w:rPr>
        <w:t xml:space="preserve"> </w:t>
      </w:r>
      <w:r w:rsidRPr="00534E7C" w:rsidR="00B9256E">
        <w:rPr>
          <w:i/>
          <w:iCs/>
          <w:szCs w:val="22"/>
        </w:rPr>
        <w:t>2003 AAR Order</w:t>
      </w:r>
      <w:r w:rsidRPr="00534E7C" w:rsidR="006E14DB">
        <w:rPr>
          <w:i/>
          <w:iCs/>
          <w:szCs w:val="22"/>
        </w:rPr>
        <w:t xml:space="preserve"> </w:t>
      </w:r>
      <w:r w:rsidRPr="00534E7C">
        <w:rPr>
          <w:szCs w:val="22"/>
        </w:rPr>
        <w:t xml:space="preserve">support </w:t>
      </w:r>
      <w:r w:rsidRPr="00534E7C" w:rsidR="0039653F">
        <w:rPr>
          <w:szCs w:val="22"/>
        </w:rPr>
        <w:t xml:space="preserve">modifying the </w:t>
      </w:r>
      <w:r w:rsidRPr="00534E7C" w:rsidR="00DD36C1">
        <w:rPr>
          <w:szCs w:val="22"/>
        </w:rPr>
        <w:t>waiver of the commercial</w:t>
      </w:r>
      <w:r w:rsidRPr="00534E7C" w:rsidR="00634E2E">
        <w:rPr>
          <w:szCs w:val="22"/>
        </w:rPr>
        <w:t>-</w:t>
      </w:r>
      <w:r w:rsidRPr="00534E7C" w:rsidR="00DD36C1">
        <w:rPr>
          <w:szCs w:val="22"/>
        </w:rPr>
        <w:t xml:space="preserve">use restrictions </w:t>
      </w:r>
      <w:r w:rsidRPr="00534E7C" w:rsidR="00D2180C">
        <w:rPr>
          <w:szCs w:val="22"/>
        </w:rPr>
        <w:t xml:space="preserve">to enable </w:t>
      </w:r>
      <w:r w:rsidRPr="00534E7C" w:rsidR="00DD36C1">
        <w:rPr>
          <w:szCs w:val="22"/>
        </w:rPr>
        <w:t>the railroads</w:t>
      </w:r>
      <w:r w:rsidRPr="00534E7C" w:rsidR="00AF6524">
        <w:rPr>
          <w:szCs w:val="22"/>
        </w:rPr>
        <w:t>’</w:t>
      </w:r>
      <w:r w:rsidRPr="00534E7C" w:rsidR="00DD36C1">
        <w:rPr>
          <w:szCs w:val="22"/>
        </w:rPr>
        <w:t xml:space="preserve"> deploy</w:t>
      </w:r>
      <w:r w:rsidRPr="00534E7C" w:rsidR="00D2180C">
        <w:rPr>
          <w:szCs w:val="22"/>
        </w:rPr>
        <w:t xml:space="preserve">ment of </w:t>
      </w:r>
      <w:r w:rsidRPr="00534E7C" w:rsidR="00452283">
        <w:rPr>
          <w:szCs w:val="22"/>
        </w:rPr>
        <w:t xml:space="preserve">additional </w:t>
      </w:r>
      <w:r w:rsidRPr="00534E7C" w:rsidR="00AF6524">
        <w:rPr>
          <w:szCs w:val="22"/>
        </w:rPr>
        <w:t xml:space="preserve">rail </w:t>
      </w:r>
      <w:r w:rsidRPr="00534E7C" w:rsidR="00DD36C1">
        <w:rPr>
          <w:szCs w:val="22"/>
        </w:rPr>
        <w:t xml:space="preserve">safety </w:t>
      </w:r>
      <w:r w:rsidRPr="00534E7C" w:rsidR="00452283">
        <w:rPr>
          <w:szCs w:val="22"/>
        </w:rPr>
        <w:t xml:space="preserve">systems </w:t>
      </w:r>
      <w:r w:rsidRPr="00534E7C" w:rsidR="00176C76">
        <w:rPr>
          <w:szCs w:val="22"/>
        </w:rPr>
        <w:t xml:space="preserve">using </w:t>
      </w:r>
      <w:r w:rsidRPr="00534E7C" w:rsidR="00BA77BA">
        <w:rPr>
          <w:szCs w:val="22"/>
        </w:rPr>
        <w:t xml:space="preserve">all of </w:t>
      </w:r>
      <w:r w:rsidRPr="00534E7C" w:rsidR="00176C76">
        <w:rPr>
          <w:szCs w:val="22"/>
        </w:rPr>
        <w:t xml:space="preserve">PTC-220’s </w:t>
      </w:r>
      <w:r w:rsidRPr="00534E7C" w:rsidR="00F67B54">
        <w:rPr>
          <w:szCs w:val="22"/>
        </w:rPr>
        <w:t>220 MHz Band</w:t>
      </w:r>
      <w:r w:rsidRPr="00534E7C" w:rsidR="00176C76">
        <w:rPr>
          <w:szCs w:val="22"/>
        </w:rPr>
        <w:t xml:space="preserve"> licenses</w:t>
      </w:r>
      <w:r w:rsidRPr="00534E7C" w:rsidR="00F67B54">
        <w:rPr>
          <w:szCs w:val="22"/>
        </w:rPr>
        <w:t>.</w:t>
      </w:r>
      <w:r>
        <w:rPr>
          <w:rStyle w:val="FootnoteReference"/>
          <w:sz w:val="22"/>
          <w:szCs w:val="22"/>
        </w:rPr>
        <w:footnoteReference w:id="107"/>
      </w:r>
      <w:r w:rsidRPr="00534E7C" w:rsidR="00351442">
        <w:rPr>
          <w:szCs w:val="22"/>
        </w:rPr>
        <w:t xml:space="preserve">  </w:t>
      </w:r>
      <w:r w:rsidRPr="00534E7C" w:rsidR="00EC2BCF">
        <w:rPr>
          <w:szCs w:val="22"/>
        </w:rPr>
        <w:t xml:space="preserve">Accordingly, </w:t>
      </w:r>
      <w:r w:rsidRPr="00534E7C" w:rsidR="0039653F">
        <w:rPr>
          <w:szCs w:val="22"/>
        </w:rPr>
        <w:t>because it will “promot[e] the safety of life and property</w:t>
      </w:r>
      <w:r w:rsidR="003C586F">
        <w:rPr>
          <w:szCs w:val="22"/>
        </w:rPr>
        <w:t>,</w:t>
      </w:r>
      <w:r w:rsidRPr="00534E7C" w:rsidR="0039653F">
        <w:rPr>
          <w:szCs w:val="22"/>
        </w:rPr>
        <w:t>”</w:t>
      </w:r>
      <w:r>
        <w:rPr>
          <w:rStyle w:val="FootnoteReference"/>
          <w:sz w:val="22"/>
          <w:szCs w:val="22"/>
        </w:rPr>
        <w:footnoteReference w:id="108"/>
      </w:r>
      <w:r w:rsidR="003C586F">
        <w:rPr>
          <w:szCs w:val="22"/>
        </w:rPr>
        <w:t xml:space="preserve"> </w:t>
      </w:r>
      <w:r w:rsidRPr="00411254" w:rsidR="003C586F">
        <w:rPr>
          <w:szCs w:val="22"/>
        </w:rPr>
        <w:t>we find good cause under section 1.3 of the Commission's rules</w:t>
      </w:r>
      <w:r w:rsidRPr="00534E7C" w:rsidR="003C586F">
        <w:rPr>
          <w:szCs w:val="22"/>
        </w:rPr>
        <w:t xml:space="preserve"> to </w:t>
      </w:r>
      <w:r w:rsidRPr="00411254" w:rsidR="003C586F">
        <w:rPr>
          <w:szCs w:val="22"/>
        </w:rPr>
        <w:t>expand the scope of the waiver relief concerning section 90.713(a)’s and section 90.717(b)</w:t>
      </w:r>
      <w:r w:rsidR="008D4F93">
        <w:rPr>
          <w:szCs w:val="22"/>
        </w:rPr>
        <w:t>’</w:t>
      </w:r>
      <w:r w:rsidRPr="00411254" w:rsidR="003C586F">
        <w:rPr>
          <w:szCs w:val="22"/>
        </w:rPr>
        <w:t>s commercial-use restrictions</w:t>
      </w:r>
      <w:r w:rsidR="003C586F">
        <w:rPr>
          <w:szCs w:val="22"/>
        </w:rPr>
        <w:t>, thereby enabling</w:t>
      </w:r>
      <w:r w:rsidRPr="00411254" w:rsidR="003C586F">
        <w:rPr>
          <w:szCs w:val="22"/>
        </w:rPr>
        <w:t xml:space="preserve"> U.S. railroads </w:t>
      </w:r>
      <w:r w:rsidR="0063449F">
        <w:rPr>
          <w:szCs w:val="22"/>
        </w:rPr>
        <w:t>using PTC</w:t>
      </w:r>
      <w:r w:rsidR="00850CC9">
        <w:rPr>
          <w:szCs w:val="22"/>
        </w:rPr>
        <w:t>-</w:t>
      </w:r>
      <w:r w:rsidR="0063449F">
        <w:rPr>
          <w:szCs w:val="22"/>
        </w:rPr>
        <w:t>220</w:t>
      </w:r>
      <w:r w:rsidR="00850CC9">
        <w:rPr>
          <w:szCs w:val="22"/>
        </w:rPr>
        <w:t>’s</w:t>
      </w:r>
      <w:r w:rsidR="0063449F">
        <w:rPr>
          <w:szCs w:val="22"/>
        </w:rPr>
        <w:t xml:space="preserve"> MHz spectrum or operating on </w:t>
      </w:r>
      <w:r w:rsidRPr="00534E7C" w:rsidR="0063449F">
        <w:rPr>
          <w:szCs w:val="22"/>
        </w:rPr>
        <w:t xml:space="preserve">PTC-220’s member-owned tracks </w:t>
      </w:r>
      <w:r w:rsidRPr="00411254" w:rsidR="003C586F">
        <w:rPr>
          <w:szCs w:val="22"/>
        </w:rPr>
        <w:t>(including Amtrak and certain commuter railroads) to deploy key rail safety applications in the 220 MHz Band</w:t>
      </w:r>
      <w:r w:rsidR="002E21DD">
        <w:rPr>
          <w:szCs w:val="22"/>
        </w:rPr>
        <w:t>.</w:t>
      </w:r>
    </w:p>
    <w:p w:rsidR="001C7A58" w:rsidRPr="00534E7C" w:rsidP="006C779F" w14:paraId="64195D58" w14:textId="17B6B3FD">
      <w:pPr>
        <w:pStyle w:val="Heading4"/>
        <w:rPr>
          <w:szCs w:val="22"/>
        </w:rPr>
      </w:pPr>
      <w:bookmarkStart w:id="321" w:name="_Toc117162345"/>
      <w:bookmarkStart w:id="322" w:name="_Toc117170605"/>
      <w:bookmarkStart w:id="323" w:name="_Toc117179079"/>
      <w:bookmarkStart w:id="324" w:name="_Toc117517002"/>
      <w:bookmarkStart w:id="325" w:name="_Toc117517916"/>
      <w:bookmarkStart w:id="326" w:name="_Toc117518460"/>
      <w:bookmarkStart w:id="327" w:name="_Toc117518880"/>
      <w:bookmarkStart w:id="328" w:name="_Toc120523628"/>
      <w:bookmarkStart w:id="329" w:name="_Toc126158689"/>
      <w:bookmarkStart w:id="330" w:name="_Toc126158718"/>
      <w:bookmarkStart w:id="331" w:name="_Toc127960195"/>
      <w:bookmarkStart w:id="332" w:name="_Toc127994705"/>
      <w:bookmarkStart w:id="333" w:name="_Toc128039695"/>
      <w:bookmarkStart w:id="334" w:name="_Toc128039839"/>
      <w:bookmarkStart w:id="335" w:name="_Toc131444702"/>
      <w:bookmarkStart w:id="336" w:name="_Toc131444966"/>
      <w:bookmarkStart w:id="337" w:name="_Toc131676566"/>
      <w:bookmarkStart w:id="338" w:name="_Toc133848354"/>
      <w:r w:rsidRPr="00534E7C">
        <w:rPr>
          <w:szCs w:val="22"/>
        </w:rPr>
        <w:t>Section 90.715</w:t>
      </w:r>
      <w:r w:rsidRPr="00534E7C" w:rsidR="00BA17BB">
        <w:rPr>
          <w:szCs w:val="22"/>
        </w:rPr>
        <w:t>(a)</w:t>
      </w:r>
      <w:r w:rsidRPr="00534E7C" w:rsidR="00EC2959">
        <w:rPr>
          <w:szCs w:val="22"/>
        </w:rPr>
        <w:t>,</w:t>
      </w:r>
      <w:r w:rsidRPr="00534E7C" w:rsidR="00214CC3">
        <w:rPr>
          <w:szCs w:val="22"/>
        </w:rPr>
        <w:t xml:space="preserve"> </w:t>
      </w:r>
      <w:r w:rsidRPr="00534E7C" w:rsidR="00E32107">
        <w:rPr>
          <w:szCs w:val="22"/>
        </w:rPr>
        <w:t xml:space="preserve">220 MHz Band </w:t>
      </w:r>
      <w:r w:rsidRPr="00534E7C">
        <w:rPr>
          <w:szCs w:val="22"/>
        </w:rPr>
        <w:t>Base/Mobile Configuration Requirement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BE530F" w:rsidRPr="00534E7C" w:rsidP="00B528F1" w14:paraId="55D84CFB" w14:textId="1EA30C7D">
      <w:pPr>
        <w:pStyle w:val="ParaNum"/>
        <w:rPr>
          <w:szCs w:val="22"/>
        </w:rPr>
      </w:pPr>
      <w:r w:rsidRPr="00534E7C">
        <w:rPr>
          <w:szCs w:val="22"/>
        </w:rPr>
        <w:t>Commission rule section 90.715</w:t>
      </w:r>
      <w:r w:rsidRPr="00534E7C" w:rsidR="00BA17BB">
        <w:rPr>
          <w:szCs w:val="22"/>
        </w:rPr>
        <w:t>(a)</w:t>
      </w:r>
      <w:r w:rsidRPr="00534E7C">
        <w:rPr>
          <w:b/>
          <w:bCs/>
          <w:szCs w:val="22"/>
        </w:rPr>
        <w:t xml:space="preserve"> </w:t>
      </w:r>
      <w:r w:rsidRPr="00534E7C">
        <w:rPr>
          <w:szCs w:val="22"/>
        </w:rPr>
        <w:t xml:space="preserve">provides </w:t>
      </w:r>
      <w:r w:rsidRPr="00534E7C" w:rsidR="000F42DE">
        <w:rPr>
          <w:szCs w:val="22"/>
        </w:rPr>
        <w:t xml:space="preserve">for </w:t>
      </w:r>
      <w:r w:rsidRPr="00534E7C">
        <w:rPr>
          <w:szCs w:val="22"/>
        </w:rPr>
        <w:t xml:space="preserve">frequencies </w:t>
      </w:r>
      <w:r w:rsidRPr="00534E7C" w:rsidR="000F42DE">
        <w:rPr>
          <w:szCs w:val="22"/>
        </w:rPr>
        <w:t>to “</w:t>
      </w:r>
      <w:r w:rsidRPr="00534E7C">
        <w:rPr>
          <w:szCs w:val="22"/>
        </w:rPr>
        <w:t xml:space="preserve">be assigned in pairs with base station frequencies taken from the 220-221 MHz band </w:t>
      </w:r>
      <w:r w:rsidRPr="00534E7C" w:rsidR="000F42DE">
        <w:rPr>
          <w:szCs w:val="22"/>
        </w:rPr>
        <w:t xml:space="preserve">[segment] </w:t>
      </w:r>
      <w:r w:rsidRPr="00534E7C">
        <w:rPr>
          <w:szCs w:val="22"/>
        </w:rPr>
        <w:t>with corresponding mobile and control frequencies being 1 MHz higher and taken from the 221-222 MHz band</w:t>
      </w:r>
      <w:r w:rsidRPr="00534E7C" w:rsidR="000F42DE">
        <w:rPr>
          <w:szCs w:val="22"/>
        </w:rPr>
        <w:t xml:space="preserve"> [segment]</w:t>
      </w:r>
      <w:r w:rsidRPr="00534E7C">
        <w:rPr>
          <w:szCs w:val="22"/>
        </w:rPr>
        <w:t>.”</w:t>
      </w:r>
      <w:r>
        <w:rPr>
          <w:rStyle w:val="FootnoteReference"/>
          <w:sz w:val="22"/>
          <w:szCs w:val="22"/>
        </w:rPr>
        <w:footnoteReference w:id="109"/>
      </w:r>
      <w:r w:rsidRPr="00534E7C" w:rsidR="007D017A">
        <w:rPr>
          <w:szCs w:val="22"/>
        </w:rPr>
        <w:t xml:space="preserve">  </w:t>
      </w:r>
      <w:r w:rsidRPr="00534E7C">
        <w:rPr>
          <w:szCs w:val="22"/>
        </w:rPr>
        <w:t xml:space="preserve">In the </w:t>
      </w:r>
      <w:r w:rsidRPr="00534E7C">
        <w:rPr>
          <w:i/>
          <w:iCs/>
          <w:szCs w:val="22"/>
        </w:rPr>
        <w:t>2009 Waiver Order</w:t>
      </w:r>
      <w:r w:rsidRPr="00534E7C">
        <w:rPr>
          <w:szCs w:val="22"/>
        </w:rPr>
        <w:t>, the Bureau noted that PTC systems were designed to transmit and receive in both band segments to ensure functionality.</w:t>
      </w:r>
      <w:r>
        <w:rPr>
          <w:rStyle w:val="FootnoteReference"/>
          <w:sz w:val="22"/>
          <w:szCs w:val="22"/>
        </w:rPr>
        <w:footnoteReference w:id="110"/>
      </w:r>
      <w:r w:rsidRPr="00534E7C">
        <w:rPr>
          <w:szCs w:val="22"/>
        </w:rPr>
        <w:t xml:space="preserve">  The Bureau waived the 220 MHz Band base/mobile configuration requirements to permit PTC base/mobile stations that can transmit and receive signals on either band</w:t>
      </w:r>
      <w:r w:rsidRPr="00534E7C" w:rsidR="0099505E">
        <w:rPr>
          <w:szCs w:val="22"/>
        </w:rPr>
        <w:t xml:space="preserve"> segment</w:t>
      </w:r>
      <w:r w:rsidRPr="00534E7C">
        <w:rPr>
          <w:szCs w:val="22"/>
        </w:rPr>
        <w:t>.</w:t>
      </w:r>
      <w:r w:rsidRPr="00534E7C">
        <w:rPr>
          <w:szCs w:val="22"/>
        </w:rPr>
        <w:t xml:space="preserve">  </w:t>
      </w:r>
      <w:r w:rsidRPr="00534E7C">
        <w:rPr>
          <w:szCs w:val="22"/>
        </w:rPr>
        <w:t xml:space="preserve">The Bureau found that by </w:t>
      </w:r>
      <w:r w:rsidRPr="00534E7C" w:rsidR="008C060F">
        <w:rPr>
          <w:szCs w:val="22"/>
        </w:rPr>
        <w:t xml:space="preserve">waiving </w:t>
      </w:r>
      <w:r w:rsidRPr="00534E7C" w:rsidR="006E14DB">
        <w:rPr>
          <w:szCs w:val="22"/>
        </w:rPr>
        <w:t xml:space="preserve">the base/mobile band configuration </w:t>
      </w:r>
      <w:r w:rsidRPr="00534E7C" w:rsidR="008C060F">
        <w:rPr>
          <w:szCs w:val="22"/>
        </w:rPr>
        <w:t>rule</w:t>
      </w:r>
      <w:r w:rsidRPr="00534E7C">
        <w:rPr>
          <w:szCs w:val="22"/>
        </w:rPr>
        <w:t>, the public interest in rail safety would be served, particularly in congested areas shared by multiple freight and commuter railroads.</w:t>
      </w:r>
      <w:r>
        <w:rPr>
          <w:rStyle w:val="FootnoteReference"/>
          <w:sz w:val="22"/>
          <w:szCs w:val="22"/>
        </w:rPr>
        <w:footnoteReference w:id="111"/>
      </w:r>
      <w:r w:rsidRPr="00534E7C">
        <w:rPr>
          <w:szCs w:val="22"/>
        </w:rPr>
        <w:t xml:space="preserve">    </w:t>
      </w:r>
    </w:p>
    <w:p w:rsidR="00C52319" w:rsidRPr="00534E7C" w:rsidP="00B528F1" w14:paraId="7598B7D3" w14:textId="134BDC6E">
      <w:pPr>
        <w:pStyle w:val="ParaNum"/>
        <w:rPr>
          <w:szCs w:val="22"/>
        </w:rPr>
      </w:pPr>
      <w:r w:rsidRPr="00534E7C">
        <w:rPr>
          <w:szCs w:val="22"/>
        </w:rPr>
        <w:t>Expanding the scope</w:t>
      </w:r>
      <w:r w:rsidRPr="00534E7C" w:rsidR="00A4380D">
        <w:rPr>
          <w:szCs w:val="22"/>
        </w:rPr>
        <w:t xml:space="preserve"> of the section 90.715(a) waiver </w:t>
      </w:r>
      <w:r w:rsidRPr="00534E7C">
        <w:rPr>
          <w:szCs w:val="22"/>
        </w:rPr>
        <w:t>relief would</w:t>
      </w:r>
      <w:r w:rsidRPr="00534E7C" w:rsidR="00A4380D">
        <w:rPr>
          <w:szCs w:val="22"/>
        </w:rPr>
        <w:t xml:space="preserve"> </w:t>
      </w:r>
      <w:r w:rsidRPr="00534E7C" w:rsidR="00BE530F">
        <w:rPr>
          <w:szCs w:val="22"/>
        </w:rPr>
        <w:t xml:space="preserve">enable nationwide, regional, and local deployment of additional rail safety applications in the 220 MHz Band on both PTC-equipped and non-PTC rail lines, including in congested areas shared by multiple freight and commuter railroads.  </w:t>
      </w:r>
      <w:r w:rsidRPr="00534E7C">
        <w:rPr>
          <w:szCs w:val="22"/>
        </w:rPr>
        <w:t>W</w:t>
      </w:r>
      <w:r w:rsidRPr="00534E7C" w:rsidR="00815EA7">
        <w:rPr>
          <w:szCs w:val="22"/>
        </w:rPr>
        <w:t xml:space="preserve">e find </w:t>
      </w:r>
      <w:r w:rsidRPr="00534E7C" w:rsidR="000F42DE">
        <w:rPr>
          <w:szCs w:val="22"/>
        </w:rPr>
        <w:t xml:space="preserve">that </w:t>
      </w:r>
      <w:r w:rsidRPr="00534E7C" w:rsidR="00815EA7">
        <w:rPr>
          <w:szCs w:val="22"/>
        </w:rPr>
        <w:t xml:space="preserve">under </w:t>
      </w:r>
      <w:r w:rsidRPr="00534E7C" w:rsidR="000F515C">
        <w:rPr>
          <w:szCs w:val="22"/>
        </w:rPr>
        <w:t>the</w:t>
      </w:r>
      <w:r w:rsidRPr="00534E7C" w:rsidR="000F42DE">
        <w:rPr>
          <w:szCs w:val="22"/>
        </w:rPr>
        <w:t xml:space="preserve"> </w:t>
      </w:r>
      <w:r w:rsidRPr="00534E7C" w:rsidR="00815EA7">
        <w:rPr>
          <w:szCs w:val="22"/>
        </w:rPr>
        <w:t>first prong of the Commission</w:t>
      </w:r>
      <w:r w:rsidR="00BE1B2F">
        <w:rPr>
          <w:szCs w:val="22"/>
        </w:rPr>
        <w:t>’</w:t>
      </w:r>
      <w:r w:rsidRPr="00534E7C" w:rsidR="00815EA7">
        <w:rPr>
          <w:szCs w:val="22"/>
        </w:rPr>
        <w:t>s section 1.925(b)(3) waiver standard</w:t>
      </w:r>
      <w:r w:rsidRPr="00534E7C" w:rsidR="000F42DE">
        <w:rPr>
          <w:szCs w:val="22"/>
        </w:rPr>
        <w:t>,</w:t>
      </w:r>
      <w:r w:rsidRPr="00534E7C" w:rsidR="00815EA7">
        <w:rPr>
          <w:szCs w:val="22"/>
        </w:rPr>
        <w:t xml:space="preserve"> </w:t>
      </w:r>
      <w:r w:rsidRPr="00534E7C">
        <w:rPr>
          <w:szCs w:val="22"/>
        </w:rPr>
        <w:t xml:space="preserve">modifying the </w:t>
      </w:r>
      <w:r w:rsidRPr="00534E7C" w:rsidR="00815EA7">
        <w:rPr>
          <w:szCs w:val="22"/>
        </w:rPr>
        <w:t xml:space="preserve">waiver of </w:t>
      </w:r>
      <w:r w:rsidRPr="00534E7C" w:rsidR="000F515C">
        <w:rPr>
          <w:szCs w:val="22"/>
        </w:rPr>
        <w:t>the</w:t>
      </w:r>
      <w:r w:rsidRPr="00534E7C" w:rsidR="00815EA7">
        <w:rPr>
          <w:szCs w:val="22"/>
        </w:rPr>
        <w:t xml:space="preserve"> base/mobile</w:t>
      </w:r>
      <w:r w:rsidRPr="00534E7C" w:rsidR="000F515C">
        <w:rPr>
          <w:szCs w:val="22"/>
        </w:rPr>
        <w:t xml:space="preserve"> band configuration</w:t>
      </w:r>
      <w:r w:rsidRPr="00534E7C" w:rsidR="00815EA7">
        <w:rPr>
          <w:szCs w:val="22"/>
        </w:rPr>
        <w:t xml:space="preserve"> </w:t>
      </w:r>
      <w:r w:rsidRPr="00534E7C" w:rsidR="000F515C">
        <w:rPr>
          <w:szCs w:val="22"/>
        </w:rPr>
        <w:t>requirement</w:t>
      </w:r>
      <w:r w:rsidRPr="00534E7C" w:rsidR="00815EA7">
        <w:rPr>
          <w:szCs w:val="22"/>
        </w:rPr>
        <w:t xml:space="preserve"> will serve the public interest in rail safety by facilitating </w:t>
      </w:r>
      <w:r w:rsidRPr="00534E7C" w:rsidR="000F515C">
        <w:rPr>
          <w:szCs w:val="22"/>
        </w:rPr>
        <w:t>the deployment of an array of s</w:t>
      </w:r>
      <w:r w:rsidRPr="00534E7C" w:rsidR="00815EA7">
        <w:rPr>
          <w:szCs w:val="22"/>
        </w:rPr>
        <w:t xml:space="preserve">pectrally-efficient rail safety </w:t>
      </w:r>
      <w:r w:rsidRPr="00534E7C" w:rsidR="007D017A">
        <w:rPr>
          <w:szCs w:val="22"/>
        </w:rPr>
        <w:t xml:space="preserve">systems </w:t>
      </w:r>
      <w:r w:rsidRPr="00534E7C" w:rsidR="00C67AC7">
        <w:rPr>
          <w:szCs w:val="22"/>
        </w:rPr>
        <w:t xml:space="preserve">in both band segments </w:t>
      </w:r>
      <w:r w:rsidRPr="00534E7C" w:rsidR="00815EA7">
        <w:rPr>
          <w:szCs w:val="22"/>
        </w:rPr>
        <w:t>and that the underlying purpose of the rule</w:t>
      </w:r>
      <w:r w:rsidR="00245E4E">
        <w:rPr>
          <w:szCs w:val="22"/>
        </w:rPr>
        <w:t>—</w:t>
      </w:r>
      <w:r w:rsidRPr="00534E7C" w:rsidR="00815EA7">
        <w:rPr>
          <w:szCs w:val="22"/>
        </w:rPr>
        <w:t>to</w:t>
      </w:r>
      <w:r w:rsidR="005C7E77">
        <w:rPr>
          <w:szCs w:val="22"/>
        </w:rPr>
        <w:t xml:space="preserve"> </w:t>
      </w:r>
      <w:r w:rsidRPr="00534E7C" w:rsidR="00815EA7">
        <w:rPr>
          <w:szCs w:val="22"/>
        </w:rPr>
        <w:t>limit</w:t>
      </w:r>
      <w:r w:rsidR="005C7E77">
        <w:rPr>
          <w:szCs w:val="22"/>
        </w:rPr>
        <w:t xml:space="preserve"> </w:t>
      </w:r>
      <w:r w:rsidRPr="00534E7C" w:rsidR="00815EA7">
        <w:rPr>
          <w:szCs w:val="22"/>
        </w:rPr>
        <w:t>interference</w:t>
      </w:r>
      <w:r>
        <w:rPr>
          <w:rStyle w:val="FootnoteReference"/>
          <w:sz w:val="22"/>
          <w:szCs w:val="22"/>
        </w:rPr>
        <w:footnoteReference w:id="112"/>
      </w:r>
      <w:r w:rsidR="008068DD">
        <w:rPr>
          <w:szCs w:val="22"/>
        </w:rPr>
        <w:t>—</w:t>
      </w:r>
      <w:r w:rsidRPr="00534E7C" w:rsidR="00815EA7">
        <w:rPr>
          <w:szCs w:val="22"/>
        </w:rPr>
        <w:t xml:space="preserve">would not be served </w:t>
      </w:r>
      <w:r w:rsidRPr="00534E7C" w:rsidR="00815EA7">
        <w:rPr>
          <w:szCs w:val="22"/>
        </w:rPr>
        <w:t xml:space="preserve">by </w:t>
      </w:r>
      <w:r w:rsidRPr="00534E7C" w:rsidR="00C67AC7">
        <w:rPr>
          <w:szCs w:val="22"/>
        </w:rPr>
        <w:t xml:space="preserve">its </w:t>
      </w:r>
      <w:r w:rsidRPr="00534E7C" w:rsidR="00815EA7">
        <w:rPr>
          <w:szCs w:val="22"/>
        </w:rPr>
        <w:t>strict application here.</w:t>
      </w:r>
      <w:r>
        <w:rPr>
          <w:rStyle w:val="FootnoteReference"/>
          <w:sz w:val="22"/>
          <w:szCs w:val="22"/>
        </w:rPr>
        <w:footnoteReference w:id="113"/>
      </w:r>
      <w:r w:rsidRPr="00534E7C" w:rsidR="007D017A">
        <w:rPr>
          <w:szCs w:val="22"/>
        </w:rPr>
        <w:t xml:space="preserve"> </w:t>
      </w:r>
      <w:r w:rsidRPr="00534E7C" w:rsidR="00A97E98">
        <w:rPr>
          <w:szCs w:val="22"/>
        </w:rPr>
        <w:t xml:space="preserve">  </w:t>
      </w:r>
    </w:p>
    <w:p w:rsidR="001C7A58" w:rsidRPr="00534E7C" w:rsidP="006C779F" w14:paraId="09BC374A" w14:textId="58867FB3">
      <w:pPr>
        <w:pStyle w:val="Heading4"/>
        <w:rPr>
          <w:szCs w:val="22"/>
        </w:rPr>
      </w:pPr>
      <w:bookmarkStart w:id="339" w:name="_Toc117162346"/>
      <w:bookmarkStart w:id="340" w:name="_Toc117170606"/>
      <w:bookmarkStart w:id="341" w:name="_Toc117179080"/>
      <w:bookmarkStart w:id="342" w:name="_Toc117517003"/>
      <w:bookmarkStart w:id="343" w:name="_Toc117517917"/>
      <w:bookmarkStart w:id="344" w:name="_Toc117518461"/>
      <w:bookmarkStart w:id="345" w:name="_Toc117518881"/>
      <w:bookmarkStart w:id="346" w:name="_Toc120523629"/>
      <w:bookmarkStart w:id="347" w:name="_Toc126158690"/>
      <w:bookmarkStart w:id="348" w:name="_Toc126158719"/>
      <w:bookmarkStart w:id="349" w:name="_Toc127960196"/>
      <w:bookmarkStart w:id="350" w:name="_Toc127994706"/>
      <w:bookmarkStart w:id="351" w:name="_Toc128039696"/>
      <w:bookmarkStart w:id="352" w:name="_Toc128039840"/>
      <w:bookmarkStart w:id="353" w:name="_Toc131444703"/>
      <w:bookmarkStart w:id="354" w:name="_Toc131444967"/>
      <w:bookmarkStart w:id="355" w:name="_Toc131676567"/>
      <w:bookmarkStart w:id="356" w:name="_Toc133848355"/>
      <w:r w:rsidRPr="00534E7C">
        <w:rPr>
          <w:szCs w:val="22"/>
        </w:rPr>
        <w:t>Section 90.735</w:t>
      </w:r>
      <w:r w:rsidRPr="00534E7C" w:rsidR="00D14435">
        <w:rPr>
          <w:szCs w:val="22"/>
        </w:rPr>
        <w:t>(a)</w:t>
      </w:r>
      <w:r w:rsidRPr="00534E7C" w:rsidR="00EC2959">
        <w:rPr>
          <w:szCs w:val="22"/>
        </w:rPr>
        <w:t>,</w:t>
      </w:r>
      <w:r w:rsidRPr="00534E7C" w:rsidR="00214CC3">
        <w:rPr>
          <w:szCs w:val="22"/>
        </w:rPr>
        <w:t xml:space="preserve"> </w:t>
      </w:r>
      <w:r w:rsidRPr="00534E7C">
        <w:rPr>
          <w:szCs w:val="22"/>
        </w:rPr>
        <w:t>Station Identification Requirements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1F4106" w:rsidRPr="00534E7C" w:rsidP="007D6937" w14:paraId="15088DB8" w14:textId="6206F221">
      <w:pPr>
        <w:pStyle w:val="ParaNum"/>
        <w:rPr>
          <w:szCs w:val="22"/>
        </w:rPr>
      </w:pPr>
      <w:r w:rsidRPr="00534E7C">
        <w:rPr>
          <w:szCs w:val="22"/>
        </w:rPr>
        <w:t xml:space="preserve">PTC-220 seeks to deploy </w:t>
      </w:r>
      <w:r w:rsidRPr="00534E7C" w:rsidR="007D017A">
        <w:rPr>
          <w:szCs w:val="22"/>
        </w:rPr>
        <w:t xml:space="preserve">additional </w:t>
      </w:r>
      <w:r w:rsidRPr="00534E7C">
        <w:rPr>
          <w:szCs w:val="22"/>
        </w:rPr>
        <w:t xml:space="preserve">rail safety </w:t>
      </w:r>
      <w:r w:rsidRPr="00534E7C" w:rsidR="007D017A">
        <w:rPr>
          <w:szCs w:val="22"/>
        </w:rPr>
        <w:t xml:space="preserve">systems </w:t>
      </w:r>
      <w:r w:rsidRPr="00534E7C">
        <w:rPr>
          <w:szCs w:val="22"/>
        </w:rPr>
        <w:t xml:space="preserve">under a </w:t>
      </w:r>
      <w:r w:rsidRPr="00534E7C" w:rsidR="00914CFE">
        <w:rPr>
          <w:szCs w:val="22"/>
        </w:rPr>
        <w:t xml:space="preserve">modified </w:t>
      </w:r>
      <w:r w:rsidRPr="00534E7C">
        <w:rPr>
          <w:szCs w:val="22"/>
        </w:rPr>
        <w:t>waiver of</w:t>
      </w:r>
      <w:r w:rsidR="003662B2">
        <w:rPr>
          <w:szCs w:val="22"/>
        </w:rPr>
        <w:t xml:space="preserve"> </w:t>
      </w:r>
      <w:r w:rsidRPr="00534E7C">
        <w:rPr>
          <w:szCs w:val="22"/>
        </w:rPr>
        <w:t>s</w:t>
      </w:r>
      <w:r w:rsidRPr="00534E7C" w:rsidR="00C52319">
        <w:rPr>
          <w:szCs w:val="22"/>
        </w:rPr>
        <w:t>ection 90.735</w:t>
      </w:r>
      <w:r w:rsidRPr="00534E7C" w:rsidR="00D14435">
        <w:rPr>
          <w:szCs w:val="22"/>
        </w:rPr>
        <w:t>(a)</w:t>
      </w:r>
      <w:r w:rsidRPr="00534E7C">
        <w:rPr>
          <w:szCs w:val="22"/>
        </w:rPr>
        <w:t xml:space="preserve">, which </w:t>
      </w:r>
      <w:r w:rsidRPr="00534E7C" w:rsidR="00C52319">
        <w:rPr>
          <w:szCs w:val="22"/>
        </w:rPr>
        <w:t xml:space="preserve">requires </w:t>
      </w:r>
      <w:r w:rsidRPr="00534E7C" w:rsidR="001F7214">
        <w:rPr>
          <w:szCs w:val="22"/>
        </w:rPr>
        <w:t xml:space="preserve">certain </w:t>
      </w:r>
      <w:r w:rsidRPr="00534E7C" w:rsidR="00C52319">
        <w:rPr>
          <w:szCs w:val="22"/>
        </w:rPr>
        <w:t xml:space="preserve">stations in the 220 MHz </w:t>
      </w:r>
      <w:r w:rsidRPr="00534E7C">
        <w:rPr>
          <w:szCs w:val="22"/>
        </w:rPr>
        <w:t>B</w:t>
      </w:r>
      <w:r w:rsidRPr="00534E7C" w:rsidR="00C52319">
        <w:rPr>
          <w:szCs w:val="22"/>
        </w:rPr>
        <w:t>and to identify themselves</w:t>
      </w:r>
      <w:r w:rsidR="002C4EC7">
        <w:rPr>
          <w:szCs w:val="22"/>
        </w:rPr>
        <w:t xml:space="preserve"> </w:t>
      </w:r>
      <w:r w:rsidRPr="00411254" w:rsidR="002C4EC7">
        <w:rPr>
          <w:szCs w:val="22"/>
        </w:rPr>
        <w:t>periodically</w:t>
      </w:r>
      <w:r w:rsidRPr="00534E7C" w:rsidR="00C52319">
        <w:rPr>
          <w:szCs w:val="22"/>
        </w:rPr>
        <w:t>.</w:t>
      </w:r>
      <w:r>
        <w:rPr>
          <w:szCs w:val="22"/>
          <w:vertAlign w:val="superscript"/>
        </w:rPr>
        <w:footnoteReference w:id="114"/>
      </w:r>
      <w:r w:rsidRPr="00534E7C" w:rsidR="00C52319">
        <w:rPr>
          <w:szCs w:val="22"/>
        </w:rPr>
        <w:t xml:space="preserve">  The rule is intended to ensure that the Commission and other spectrum users can identify sources of </w:t>
      </w:r>
      <w:r w:rsidRPr="00534E7C" w:rsidR="00F350FD">
        <w:rPr>
          <w:szCs w:val="22"/>
        </w:rPr>
        <w:t xml:space="preserve">potential </w:t>
      </w:r>
      <w:r w:rsidRPr="00534E7C" w:rsidR="00C52319">
        <w:rPr>
          <w:szCs w:val="22"/>
        </w:rPr>
        <w:t>interference.</w:t>
      </w:r>
    </w:p>
    <w:p w:rsidR="008A492A" w:rsidRPr="00534E7C" w:rsidP="0032659B" w14:paraId="014DD77E" w14:textId="733BE0F9">
      <w:pPr>
        <w:pStyle w:val="ParaNum"/>
        <w:rPr>
          <w:szCs w:val="22"/>
        </w:rPr>
      </w:pPr>
      <w:r w:rsidRPr="00534E7C">
        <w:rPr>
          <w:szCs w:val="22"/>
        </w:rPr>
        <w:t xml:space="preserve">In the </w:t>
      </w:r>
      <w:r w:rsidRPr="00534E7C">
        <w:rPr>
          <w:i/>
          <w:iCs/>
          <w:szCs w:val="22"/>
        </w:rPr>
        <w:t>2009 Waiver Order</w:t>
      </w:r>
      <w:r w:rsidRPr="00534E7C">
        <w:rPr>
          <w:szCs w:val="22"/>
        </w:rPr>
        <w:t xml:space="preserve">, the Bureau </w:t>
      </w:r>
      <w:r w:rsidR="002C4EC7">
        <w:rPr>
          <w:szCs w:val="22"/>
        </w:rPr>
        <w:t>concluded</w:t>
      </w:r>
      <w:r w:rsidRPr="00534E7C">
        <w:rPr>
          <w:szCs w:val="22"/>
        </w:rPr>
        <w:t xml:space="preserve"> </w:t>
      </w:r>
      <w:r w:rsidRPr="00534E7C">
        <w:rPr>
          <w:szCs w:val="22"/>
        </w:rPr>
        <w:t xml:space="preserve">that section 90.735’s </w:t>
      </w:r>
      <w:r w:rsidRPr="00534E7C" w:rsidR="002712D0">
        <w:rPr>
          <w:szCs w:val="22"/>
        </w:rPr>
        <w:t xml:space="preserve">station identification </w:t>
      </w:r>
      <w:r w:rsidRPr="00534E7C">
        <w:rPr>
          <w:szCs w:val="22"/>
        </w:rPr>
        <w:t>requirements were unnecessary whe</w:t>
      </w:r>
      <w:r w:rsidRPr="00534E7C" w:rsidR="002712D0">
        <w:rPr>
          <w:szCs w:val="22"/>
        </w:rPr>
        <w:t xml:space="preserve">re </w:t>
      </w:r>
      <w:r w:rsidRPr="00534E7C">
        <w:rPr>
          <w:szCs w:val="22"/>
        </w:rPr>
        <w:t>“</w:t>
      </w:r>
      <w:r w:rsidRPr="00534E7C" w:rsidR="002712D0">
        <w:rPr>
          <w:szCs w:val="22"/>
        </w:rPr>
        <w:t xml:space="preserve">licensees operate on exclusive channel blocks on a nationwide basis </w:t>
      </w:r>
      <w:r w:rsidRPr="00534E7C">
        <w:rPr>
          <w:szCs w:val="22"/>
        </w:rPr>
        <w:t xml:space="preserve">or </w:t>
      </w:r>
      <w:r w:rsidRPr="00534E7C">
        <w:rPr>
          <w:szCs w:val="22"/>
        </w:rPr>
        <w:t>in defined regions</w:t>
      </w:r>
      <w:r w:rsidRPr="00534E7C" w:rsidR="002712D0">
        <w:rPr>
          <w:szCs w:val="22"/>
        </w:rPr>
        <w:t xml:space="preserve"> </w:t>
      </w:r>
      <w:r w:rsidRPr="00534E7C">
        <w:rPr>
          <w:szCs w:val="22"/>
        </w:rPr>
        <w:t xml:space="preserve">. . . </w:t>
      </w:r>
      <w:r w:rsidRPr="00534E7C">
        <w:rPr>
          <w:szCs w:val="22"/>
        </w:rPr>
        <w:t>and are readily identifiable through the Commission’s licensing records or other publicly available information.”</w:t>
      </w:r>
      <w:r>
        <w:rPr>
          <w:rStyle w:val="FootnoteReference"/>
          <w:sz w:val="22"/>
          <w:szCs w:val="22"/>
        </w:rPr>
        <w:footnoteReference w:id="115"/>
      </w:r>
      <w:r w:rsidRPr="00534E7C">
        <w:rPr>
          <w:szCs w:val="22"/>
        </w:rPr>
        <w:t xml:space="preserve">  The Bureau </w:t>
      </w:r>
      <w:r w:rsidRPr="00534E7C" w:rsidR="002712D0">
        <w:rPr>
          <w:szCs w:val="22"/>
        </w:rPr>
        <w:t>stated that the same rationale applie</w:t>
      </w:r>
      <w:r w:rsidRPr="00534E7C">
        <w:rPr>
          <w:szCs w:val="22"/>
        </w:rPr>
        <w:t>d</w:t>
      </w:r>
      <w:r w:rsidRPr="00534E7C" w:rsidR="002712D0">
        <w:rPr>
          <w:szCs w:val="22"/>
        </w:rPr>
        <w:t xml:space="preserve"> to PTC-220’s </w:t>
      </w:r>
      <w:r w:rsidRPr="00534E7C" w:rsidR="001F7214">
        <w:rPr>
          <w:szCs w:val="22"/>
        </w:rPr>
        <w:t xml:space="preserve">then </w:t>
      </w:r>
      <w:r w:rsidRPr="00534E7C" w:rsidR="002712D0">
        <w:rPr>
          <w:szCs w:val="22"/>
        </w:rPr>
        <w:t>six REAG licenses</w:t>
      </w:r>
      <w:r w:rsidRPr="00534E7C">
        <w:rPr>
          <w:szCs w:val="22"/>
        </w:rPr>
        <w:t>, because they “</w:t>
      </w:r>
      <w:r w:rsidRPr="00534E7C" w:rsidR="002712D0">
        <w:rPr>
          <w:szCs w:val="22"/>
        </w:rPr>
        <w:t xml:space="preserve">essentially form a </w:t>
      </w:r>
      <w:r w:rsidRPr="00534E7C" w:rsidR="002712D0">
        <w:rPr>
          <w:i/>
          <w:iCs/>
          <w:szCs w:val="22"/>
        </w:rPr>
        <w:t>de facto</w:t>
      </w:r>
      <w:r w:rsidRPr="00534E7C" w:rsidR="002712D0">
        <w:rPr>
          <w:szCs w:val="22"/>
        </w:rPr>
        <w:t xml:space="preserve"> nationwide license, and there will be no co-channel users in close geographic proximity</w:t>
      </w:r>
      <w:r w:rsidRPr="00534E7C">
        <w:rPr>
          <w:szCs w:val="22"/>
        </w:rPr>
        <w:t>.”</w:t>
      </w:r>
      <w:r>
        <w:rPr>
          <w:szCs w:val="22"/>
          <w:vertAlign w:val="superscript"/>
        </w:rPr>
        <w:footnoteReference w:id="116"/>
      </w:r>
      <w:r w:rsidR="003B707F">
        <w:rPr>
          <w:szCs w:val="22"/>
          <w:vertAlign w:val="superscript"/>
        </w:rPr>
        <w:t xml:space="preserve"> </w:t>
      </w:r>
      <w:r w:rsidR="003B707F">
        <w:rPr>
          <w:szCs w:val="22"/>
        </w:rPr>
        <w:t xml:space="preserve"> </w:t>
      </w:r>
      <w:r w:rsidRPr="00534E7C" w:rsidR="002712D0">
        <w:rPr>
          <w:szCs w:val="22"/>
        </w:rPr>
        <w:t xml:space="preserve">In 2015, </w:t>
      </w:r>
      <w:r w:rsidRPr="00534E7C" w:rsidR="00E136F1">
        <w:rPr>
          <w:szCs w:val="22"/>
        </w:rPr>
        <w:t xml:space="preserve">when </w:t>
      </w:r>
      <w:r w:rsidRPr="00534E7C" w:rsidR="002712D0">
        <w:rPr>
          <w:szCs w:val="22"/>
        </w:rPr>
        <w:t xml:space="preserve">the Bureau consented to PTC-220’s assignment of the six </w:t>
      </w:r>
      <w:r w:rsidRPr="00534E7C" w:rsidR="00934E0A">
        <w:rPr>
          <w:szCs w:val="22"/>
        </w:rPr>
        <w:t xml:space="preserve">REAG </w:t>
      </w:r>
      <w:r w:rsidRPr="00534E7C" w:rsidR="002712D0">
        <w:rPr>
          <w:szCs w:val="22"/>
        </w:rPr>
        <w:t>licenses to AAR</w:t>
      </w:r>
      <w:r w:rsidRPr="00534E7C" w:rsidR="00E136F1">
        <w:rPr>
          <w:szCs w:val="22"/>
        </w:rPr>
        <w:t xml:space="preserve">, it also </w:t>
      </w:r>
      <w:r w:rsidRPr="00534E7C" w:rsidR="002712D0">
        <w:rPr>
          <w:szCs w:val="22"/>
        </w:rPr>
        <w:t>granted AAR relief from the station identification requirement</w:t>
      </w:r>
      <w:r w:rsidRPr="00534E7C" w:rsidR="001F7214">
        <w:rPr>
          <w:szCs w:val="22"/>
        </w:rPr>
        <w:t>s</w:t>
      </w:r>
      <w:r w:rsidRPr="00534E7C" w:rsidR="002712D0">
        <w:rPr>
          <w:szCs w:val="22"/>
        </w:rPr>
        <w:t>, noting that it likewise would be readily identifiable in Commission records to third parties.</w:t>
      </w:r>
      <w:r>
        <w:rPr>
          <w:rStyle w:val="FootnoteReference"/>
          <w:sz w:val="22"/>
          <w:szCs w:val="22"/>
        </w:rPr>
        <w:footnoteReference w:id="117"/>
      </w:r>
      <w:r w:rsidRPr="00534E7C" w:rsidR="002712D0">
        <w:rPr>
          <w:szCs w:val="22"/>
        </w:rPr>
        <w:t xml:space="preserve">  AAR currently leases spectrum under these licenses to PTC-220.</w:t>
      </w:r>
      <w:r>
        <w:rPr>
          <w:rStyle w:val="FootnoteReference"/>
          <w:sz w:val="22"/>
          <w:szCs w:val="22"/>
        </w:rPr>
        <w:footnoteReference w:id="118"/>
      </w:r>
      <w:r w:rsidRPr="00534E7C" w:rsidR="002712D0">
        <w:rPr>
          <w:szCs w:val="22"/>
        </w:rPr>
        <w:t xml:space="preserve"> </w:t>
      </w:r>
    </w:p>
    <w:p w:rsidR="00B965FD" w:rsidRPr="00534E7C" w:rsidP="00F72DAE" w14:paraId="244E7E79" w14:textId="2744A8F1">
      <w:pPr>
        <w:pStyle w:val="ParaNum"/>
        <w:rPr>
          <w:szCs w:val="22"/>
        </w:rPr>
      </w:pPr>
      <w:r w:rsidRPr="00534E7C">
        <w:rPr>
          <w:szCs w:val="22"/>
        </w:rPr>
        <w:t>Also i</w:t>
      </w:r>
      <w:r w:rsidRPr="00534E7C" w:rsidR="008A492A">
        <w:rPr>
          <w:szCs w:val="22"/>
        </w:rPr>
        <w:t xml:space="preserve">n the </w:t>
      </w:r>
      <w:r w:rsidRPr="00534E7C" w:rsidR="008A492A">
        <w:rPr>
          <w:i/>
          <w:iCs/>
          <w:szCs w:val="22"/>
        </w:rPr>
        <w:t xml:space="preserve">2009 Waiver Order, </w:t>
      </w:r>
      <w:r w:rsidRPr="00534E7C" w:rsidR="008A492A">
        <w:rPr>
          <w:szCs w:val="22"/>
        </w:rPr>
        <w:t xml:space="preserve">the Bureau </w:t>
      </w:r>
      <w:r w:rsidRPr="00534E7C" w:rsidR="0032659B">
        <w:rPr>
          <w:szCs w:val="22"/>
        </w:rPr>
        <w:t>waived the station identification requirement</w:t>
      </w:r>
      <w:r w:rsidRPr="00534E7C" w:rsidR="008A492A">
        <w:rPr>
          <w:szCs w:val="22"/>
        </w:rPr>
        <w:t>s</w:t>
      </w:r>
      <w:r w:rsidRPr="00534E7C" w:rsidR="0032659B">
        <w:rPr>
          <w:szCs w:val="22"/>
        </w:rPr>
        <w:t xml:space="preserve"> for PTC-220’s then three (now eight) geographically smaller E Block Economic Area licenses</w:t>
      </w:r>
      <w:r w:rsidRPr="00534E7C" w:rsidR="001F7214">
        <w:rPr>
          <w:szCs w:val="22"/>
        </w:rPr>
        <w:t>, subject to several conditions</w:t>
      </w:r>
      <w:r w:rsidRPr="00534E7C" w:rsidR="0032659B">
        <w:rPr>
          <w:szCs w:val="22"/>
        </w:rPr>
        <w:t>.</w:t>
      </w:r>
      <w:r>
        <w:rPr>
          <w:rStyle w:val="FootnoteReference"/>
          <w:sz w:val="22"/>
          <w:szCs w:val="22"/>
        </w:rPr>
        <w:footnoteReference w:id="119"/>
      </w:r>
      <w:r w:rsidRPr="00534E7C" w:rsidR="008A492A">
        <w:rPr>
          <w:szCs w:val="22"/>
        </w:rPr>
        <w:t xml:space="preserve">  </w:t>
      </w:r>
      <w:r w:rsidRPr="00534E7C" w:rsidR="00F72DAE">
        <w:rPr>
          <w:szCs w:val="22"/>
        </w:rPr>
        <w:t>Although potentially interfering transmissions should be limited to areas along rail lines, the Bureau found it prudent to require PTC-220 to meet certain notification procedures to minimize the burden on co-channel adjacent</w:t>
      </w:r>
      <w:r w:rsidR="00D10CC1">
        <w:rPr>
          <w:szCs w:val="22"/>
        </w:rPr>
        <w:t xml:space="preserve"> </w:t>
      </w:r>
      <w:r w:rsidRPr="00534E7C" w:rsidR="00F72DAE">
        <w:rPr>
          <w:szCs w:val="22"/>
        </w:rPr>
        <w:t>market 220 MHz Band licensees in determining whether or not PTC-220’s operations are causing interference.</w:t>
      </w:r>
      <w:r>
        <w:rPr>
          <w:rStyle w:val="FootnoteReference"/>
          <w:sz w:val="22"/>
          <w:szCs w:val="22"/>
        </w:rPr>
        <w:footnoteReference w:id="120"/>
      </w:r>
      <w:r w:rsidRPr="00534E7C">
        <w:rPr>
          <w:szCs w:val="22"/>
        </w:rPr>
        <w:t xml:space="preserve">  Under the procedures adopted by the Bureau: </w:t>
      </w:r>
    </w:p>
    <w:p w:rsidR="00B965FD" w:rsidRPr="00534E7C" w:rsidP="00B965FD" w14:paraId="507DF5FD" w14:textId="6A4BDB2D">
      <w:pPr>
        <w:pStyle w:val="ParaNum"/>
        <w:numPr>
          <w:ilvl w:val="0"/>
          <w:numId w:val="35"/>
        </w:numPr>
        <w:rPr>
          <w:szCs w:val="22"/>
        </w:rPr>
      </w:pPr>
      <w:r w:rsidRPr="00534E7C">
        <w:rPr>
          <w:szCs w:val="22"/>
        </w:rPr>
        <w:t xml:space="preserve">PTC-220 </w:t>
      </w:r>
      <w:r w:rsidRPr="00534E7C">
        <w:rPr>
          <w:szCs w:val="22"/>
        </w:rPr>
        <w:t xml:space="preserve">must </w:t>
      </w:r>
      <w:r w:rsidRPr="00534E7C">
        <w:rPr>
          <w:szCs w:val="22"/>
        </w:rPr>
        <w:t xml:space="preserve">notify all co-channel 220 MHz Band licensees in adjacent markets 30 days prior to commencing operations on any of its E Block </w:t>
      </w:r>
      <w:r w:rsidR="00D86242">
        <w:rPr>
          <w:szCs w:val="22"/>
        </w:rPr>
        <w:t xml:space="preserve">Economic Area </w:t>
      </w:r>
      <w:r w:rsidRPr="00534E7C">
        <w:rPr>
          <w:szCs w:val="22"/>
        </w:rPr>
        <w:t>licenses.</w:t>
      </w:r>
    </w:p>
    <w:p w:rsidR="00B965FD" w:rsidRPr="00534E7C" w:rsidP="00B965FD" w14:paraId="1645A6C8" w14:textId="0679116B">
      <w:pPr>
        <w:pStyle w:val="ParaNum"/>
        <w:numPr>
          <w:ilvl w:val="0"/>
          <w:numId w:val="35"/>
        </w:numPr>
        <w:rPr>
          <w:szCs w:val="22"/>
        </w:rPr>
      </w:pPr>
      <w:r w:rsidRPr="00534E7C">
        <w:rPr>
          <w:szCs w:val="22"/>
        </w:rPr>
        <w:t>Notifications must include a point of contact within PTC-220 to address any concerns regarding interference.</w:t>
      </w:r>
    </w:p>
    <w:p w:rsidR="001F7214" w:rsidRPr="00534E7C" w:rsidP="009019CC" w14:paraId="4674000B" w14:textId="7C33BE4B">
      <w:pPr>
        <w:pStyle w:val="ParaNum"/>
        <w:numPr>
          <w:ilvl w:val="0"/>
          <w:numId w:val="35"/>
        </w:numPr>
        <w:rPr>
          <w:szCs w:val="22"/>
        </w:rPr>
      </w:pPr>
      <w:r w:rsidRPr="00534E7C">
        <w:rPr>
          <w:szCs w:val="22"/>
        </w:rPr>
        <w:t xml:space="preserve">PTC-220 </w:t>
      </w:r>
      <w:r w:rsidRPr="00534E7C" w:rsidR="00B965FD">
        <w:rPr>
          <w:szCs w:val="22"/>
        </w:rPr>
        <w:t xml:space="preserve">must </w:t>
      </w:r>
      <w:r w:rsidRPr="00534E7C">
        <w:rPr>
          <w:szCs w:val="22"/>
        </w:rPr>
        <w:t>promptly cure any instances of actual interference that may occur to other 220 MHz Band licensees at its own expense.</w:t>
      </w:r>
      <w:r>
        <w:rPr>
          <w:rStyle w:val="FootnoteReference"/>
          <w:sz w:val="22"/>
          <w:szCs w:val="22"/>
        </w:rPr>
        <w:footnoteReference w:id="121"/>
      </w:r>
    </w:p>
    <w:p w:rsidR="003B4EF3" w:rsidRPr="00534E7C" w:rsidP="00B528F1" w14:paraId="1FE2350D" w14:textId="299BF04A">
      <w:pPr>
        <w:pStyle w:val="ParaNum"/>
        <w:rPr>
          <w:szCs w:val="22"/>
        </w:rPr>
      </w:pPr>
      <w:r w:rsidRPr="00534E7C">
        <w:rPr>
          <w:szCs w:val="22"/>
        </w:rPr>
        <w:t>Subject to the conditions enumerated above, we find good cause unde</w:t>
      </w:r>
      <w:r w:rsidRPr="00534E7C" w:rsidR="002D2AEB">
        <w:rPr>
          <w:szCs w:val="22"/>
        </w:rPr>
        <w:t>r</w:t>
      </w:r>
      <w:r w:rsidRPr="00534E7C">
        <w:rPr>
          <w:szCs w:val="22"/>
        </w:rPr>
        <w:t xml:space="preserve"> se</w:t>
      </w:r>
      <w:r w:rsidRPr="00534E7C" w:rsidR="002D2AEB">
        <w:rPr>
          <w:szCs w:val="22"/>
        </w:rPr>
        <w:t>c</w:t>
      </w:r>
      <w:r w:rsidRPr="00534E7C">
        <w:rPr>
          <w:szCs w:val="22"/>
        </w:rPr>
        <w:t>t</w:t>
      </w:r>
      <w:r w:rsidRPr="00534E7C" w:rsidR="002D2AEB">
        <w:rPr>
          <w:szCs w:val="22"/>
        </w:rPr>
        <w:t xml:space="preserve">ion </w:t>
      </w:r>
      <w:r w:rsidRPr="00534E7C">
        <w:rPr>
          <w:szCs w:val="22"/>
        </w:rPr>
        <w:t>1.3 of</w:t>
      </w:r>
      <w:r w:rsidRPr="00534E7C" w:rsidR="002D2AEB">
        <w:rPr>
          <w:szCs w:val="22"/>
        </w:rPr>
        <w:t xml:space="preserve"> </w:t>
      </w:r>
      <w:r w:rsidRPr="00534E7C">
        <w:rPr>
          <w:szCs w:val="22"/>
        </w:rPr>
        <w:t>the Commiss</w:t>
      </w:r>
      <w:r w:rsidRPr="00534E7C" w:rsidR="002D2AEB">
        <w:rPr>
          <w:szCs w:val="22"/>
        </w:rPr>
        <w:t>ion’s</w:t>
      </w:r>
      <w:r w:rsidRPr="00534E7C">
        <w:rPr>
          <w:szCs w:val="22"/>
        </w:rPr>
        <w:t xml:space="preserve"> rules </w:t>
      </w:r>
      <w:r w:rsidRPr="00534E7C" w:rsidR="002D2AEB">
        <w:rPr>
          <w:szCs w:val="22"/>
        </w:rPr>
        <w:t xml:space="preserve">to </w:t>
      </w:r>
      <w:r w:rsidRPr="00534E7C" w:rsidR="001F7214">
        <w:rPr>
          <w:szCs w:val="22"/>
        </w:rPr>
        <w:t xml:space="preserve">modify the scope of the </w:t>
      </w:r>
      <w:r w:rsidRPr="00534E7C">
        <w:rPr>
          <w:szCs w:val="22"/>
        </w:rPr>
        <w:t>waiv</w:t>
      </w:r>
      <w:r w:rsidRPr="00534E7C" w:rsidR="002D2AEB">
        <w:rPr>
          <w:szCs w:val="22"/>
        </w:rPr>
        <w:t>e</w:t>
      </w:r>
      <w:r w:rsidRPr="00534E7C" w:rsidR="001F7214">
        <w:rPr>
          <w:szCs w:val="22"/>
        </w:rPr>
        <w:t>r</w:t>
      </w:r>
      <w:r w:rsidRPr="00534E7C" w:rsidR="002D2AEB">
        <w:rPr>
          <w:szCs w:val="22"/>
        </w:rPr>
        <w:t xml:space="preserve"> </w:t>
      </w:r>
      <w:r w:rsidRPr="00534E7C" w:rsidR="001F7214">
        <w:rPr>
          <w:szCs w:val="22"/>
        </w:rPr>
        <w:t xml:space="preserve">of </w:t>
      </w:r>
      <w:r w:rsidRPr="00534E7C">
        <w:rPr>
          <w:szCs w:val="22"/>
        </w:rPr>
        <w:t>section 90.735</w:t>
      </w:r>
      <w:r w:rsidRPr="00534E7C" w:rsidR="00D14435">
        <w:rPr>
          <w:szCs w:val="22"/>
        </w:rPr>
        <w:t>(a)</w:t>
      </w:r>
      <w:r w:rsidRPr="00534E7C">
        <w:rPr>
          <w:szCs w:val="22"/>
        </w:rPr>
        <w:t>’s station identification requirements</w:t>
      </w:r>
      <w:r w:rsidRPr="00534E7C" w:rsidR="00A94AA9">
        <w:rPr>
          <w:szCs w:val="22"/>
        </w:rPr>
        <w:t xml:space="preserve"> </w:t>
      </w:r>
      <w:r w:rsidRPr="00534E7C" w:rsidR="001F7214">
        <w:rPr>
          <w:szCs w:val="22"/>
        </w:rPr>
        <w:t xml:space="preserve">to permit the deployment of </w:t>
      </w:r>
      <w:r w:rsidRPr="00534E7C" w:rsidR="007D017A">
        <w:rPr>
          <w:szCs w:val="22"/>
        </w:rPr>
        <w:t xml:space="preserve">additional </w:t>
      </w:r>
      <w:r w:rsidRPr="00534E7C" w:rsidR="001F7214">
        <w:rPr>
          <w:szCs w:val="22"/>
        </w:rPr>
        <w:t xml:space="preserve">rail safety </w:t>
      </w:r>
      <w:r w:rsidRPr="00534E7C" w:rsidR="007D017A">
        <w:rPr>
          <w:szCs w:val="22"/>
        </w:rPr>
        <w:t xml:space="preserve">systems </w:t>
      </w:r>
      <w:r w:rsidRPr="00534E7C" w:rsidR="001F7214">
        <w:rPr>
          <w:szCs w:val="22"/>
        </w:rPr>
        <w:t>in the 220 MHz Band</w:t>
      </w:r>
      <w:r w:rsidRPr="00534E7C" w:rsidR="00A94AA9">
        <w:rPr>
          <w:szCs w:val="22"/>
        </w:rPr>
        <w:t xml:space="preserve"> because it will promot</w:t>
      </w:r>
      <w:r w:rsidR="002C4EC7">
        <w:rPr>
          <w:szCs w:val="22"/>
        </w:rPr>
        <w:t>e</w:t>
      </w:r>
      <w:r w:rsidRPr="00534E7C" w:rsidR="00A94AA9">
        <w:rPr>
          <w:szCs w:val="22"/>
        </w:rPr>
        <w:t xml:space="preserve"> the safety of life and property </w:t>
      </w:r>
      <w:r w:rsidR="002D33A4">
        <w:rPr>
          <w:szCs w:val="22"/>
        </w:rPr>
        <w:t>related to</w:t>
      </w:r>
      <w:r w:rsidRPr="00534E7C" w:rsidR="002D33A4">
        <w:rPr>
          <w:szCs w:val="22"/>
        </w:rPr>
        <w:t xml:space="preserve"> </w:t>
      </w:r>
      <w:r w:rsidRPr="00534E7C" w:rsidR="00A94AA9">
        <w:rPr>
          <w:szCs w:val="22"/>
        </w:rPr>
        <w:t xml:space="preserve">U.S. freight, intercity passenger, and commuter rail </w:t>
      </w:r>
      <w:r w:rsidRPr="00534E7C" w:rsidR="00A94AA9">
        <w:rPr>
          <w:szCs w:val="22"/>
        </w:rPr>
        <w:t>operations.</w:t>
      </w:r>
      <w:r>
        <w:rPr>
          <w:rStyle w:val="FootnoteReference"/>
          <w:sz w:val="22"/>
          <w:szCs w:val="22"/>
        </w:rPr>
        <w:footnoteReference w:id="122"/>
      </w:r>
      <w:r w:rsidRPr="00534E7C" w:rsidR="001F7214">
        <w:rPr>
          <w:szCs w:val="22"/>
        </w:rPr>
        <w:t xml:space="preserve"> </w:t>
      </w:r>
    </w:p>
    <w:p w:rsidR="001C7A58" w:rsidRPr="00534E7C" w:rsidP="006C779F" w14:paraId="32791B90" w14:textId="5B7D1AE6">
      <w:pPr>
        <w:pStyle w:val="Heading3"/>
        <w:rPr>
          <w:szCs w:val="22"/>
        </w:rPr>
      </w:pPr>
      <w:bookmarkStart w:id="357" w:name="_Toc117162347"/>
      <w:bookmarkStart w:id="358" w:name="_Toc117170607"/>
      <w:bookmarkStart w:id="359" w:name="_Toc117179081"/>
      <w:bookmarkStart w:id="360" w:name="_Toc117517004"/>
      <w:bookmarkStart w:id="361" w:name="_Toc117517918"/>
      <w:bookmarkStart w:id="362" w:name="_Toc117518462"/>
      <w:bookmarkStart w:id="363" w:name="_Toc117518882"/>
      <w:bookmarkStart w:id="364" w:name="_Toc120523630"/>
      <w:bookmarkStart w:id="365" w:name="_Toc121150586"/>
      <w:bookmarkStart w:id="366" w:name="_Toc126158691"/>
      <w:bookmarkStart w:id="367" w:name="_Toc126158720"/>
      <w:bookmarkStart w:id="368" w:name="_Toc127960197"/>
      <w:bookmarkStart w:id="369" w:name="_Toc127994707"/>
      <w:bookmarkStart w:id="370" w:name="_Toc128039697"/>
      <w:bookmarkStart w:id="371" w:name="_Toc128039762"/>
      <w:bookmarkStart w:id="372" w:name="_Toc128039841"/>
      <w:bookmarkStart w:id="373" w:name="_Toc131444704"/>
      <w:bookmarkStart w:id="374" w:name="_Toc131444968"/>
      <w:bookmarkStart w:id="375" w:name="_Toc131676568"/>
      <w:bookmarkStart w:id="376" w:name="_Toc133848356"/>
      <w:r w:rsidRPr="00534E7C">
        <w:rPr>
          <w:szCs w:val="22"/>
        </w:rPr>
        <w:t>Modification</w:t>
      </w:r>
      <w:r w:rsidRPr="00534E7C" w:rsidR="00057969">
        <w:rPr>
          <w:szCs w:val="22"/>
        </w:rPr>
        <w:t xml:space="preserve"> of </w:t>
      </w:r>
      <w:r w:rsidRPr="00534E7C" w:rsidR="00C52319">
        <w:rPr>
          <w:szCs w:val="22"/>
        </w:rPr>
        <w:t>2015 Rule Waivers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C7A58" w:rsidRPr="00534E7C" w:rsidP="006C779F" w14:paraId="67A9C730" w14:textId="31DD8FBC">
      <w:pPr>
        <w:pStyle w:val="Heading4"/>
        <w:rPr>
          <w:szCs w:val="22"/>
        </w:rPr>
      </w:pPr>
      <w:bookmarkStart w:id="377" w:name="_Toc117162348"/>
      <w:bookmarkStart w:id="378" w:name="_Toc117170608"/>
      <w:bookmarkStart w:id="379" w:name="_Toc117179082"/>
      <w:bookmarkStart w:id="380" w:name="_Toc117517005"/>
      <w:bookmarkStart w:id="381" w:name="_Toc117517919"/>
      <w:bookmarkStart w:id="382" w:name="_Toc117518463"/>
      <w:bookmarkStart w:id="383" w:name="_Toc117518883"/>
      <w:bookmarkStart w:id="384" w:name="_Toc120523631"/>
      <w:bookmarkStart w:id="385" w:name="_Toc126158692"/>
      <w:bookmarkStart w:id="386" w:name="_Toc126158721"/>
      <w:bookmarkStart w:id="387" w:name="_Toc127960198"/>
      <w:bookmarkStart w:id="388" w:name="_Toc127994708"/>
      <w:bookmarkStart w:id="389" w:name="_Toc128039698"/>
      <w:bookmarkStart w:id="390" w:name="_Toc128039842"/>
      <w:bookmarkStart w:id="391" w:name="_Toc131444705"/>
      <w:bookmarkStart w:id="392" w:name="_Toc131444969"/>
      <w:bookmarkStart w:id="393" w:name="_Toc131676569"/>
      <w:bookmarkStart w:id="394" w:name="_Toc133848357"/>
      <w:bookmarkStart w:id="395" w:name="_Hlk114136315"/>
      <w:r w:rsidRPr="00534E7C">
        <w:rPr>
          <w:szCs w:val="22"/>
        </w:rPr>
        <w:t>Section 90.729(b)</w:t>
      </w:r>
      <w:r w:rsidRPr="00534E7C" w:rsidR="00EC2959">
        <w:rPr>
          <w:szCs w:val="22"/>
        </w:rPr>
        <w:t>,</w:t>
      </w:r>
      <w:r w:rsidRPr="00534E7C" w:rsidR="00214CC3">
        <w:rPr>
          <w:szCs w:val="22"/>
        </w:rPr>
        <w:t xml:space="preserve"> </w:t>
      </w:r>
      <w:bookmarkStart w:id="396" w:name="_Hlk114136529"/>
      <w:r w:rsidRPr="00534E7C" w:rsidR="00C625B1">
        <w:rPr>
          <w:szCs w:val="22"/>
        </w:rPr>
        <w:t xml:space="preserve">Upper </w:t>
      </w:r>
      <w:r w:rsidRPr="00534E7C" w:rsidR="0076224A">
        <w:rPr>
          <w:szCs w:val="22"/>
        </w:rPr>
        <w:t xml:space="preserve">221-222 MHz Band </w:t>
      </w:r>
      <w:r w:rsidRPr="00534E7C" w:rsidR="00EC19FD">
        <w:rPr>
          <w:szCs w:val="22"/>
        </w:rPr>
        <w:t xml:space="preserve">Segment </w:t>
      </w:r>
      <w:r w:rsidRPr="00534E7C" w:rsidR="00C72381">
        <w:rPr>
          <w:szCs w:val="22"/>
        </w:rPr>
        <w:t xml:space="preserve">Power and </w:t>
      </w:r>
      <w:r w:rsidRPr="00534E7C" w:rsidR="00185129">
        <w:rPr>
          <w:szCs w:val="22"/>
        </w:rPr>
        <w:t xml:space="preserve">Antenna </w:t>
      </w:r>
      <w:r w:rsidRPr="00534E7C" w:rsidR="00C72381">
        <w:rPr>
          <w:szCs w:val="22"/>
        </w:rPr>
        <w:t>Height Limits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bookmarkEnd w:id="395"/>
    <w:bookmarkEnd w:id="396"/>
    <w:p w:rsidR="00C625B1" w:rsidRPr="00534E7C" w:rsidP="00B528F1" w14:paraId="1A12D712" w14:textId="7123F4D7">
      <w:pPr>
        <w:pStyle w:val="ParaNum"/>
        <w:rPr>
          <w:szCs w:val="22"/>
        </w:rPr>
      </w:pPr>
      <w:r w:rsidRPr="00534E7C">
        <w:rPr>
          <w:szCs w:val="22"/>
        </w:rPr>
        <w:t xml:space="preserve">PTC-220 requests </w:t>
      </w:r>
      <w:r w:rsidRPr="00534E7C" w:rsidR="00914CFE">
        <w:rPr>
          <w:szCs w:val="22"/>
        </w:rPr>
        <w:t xml:space="preserve">modification of the </w:t>
      </w:r>
      <w:r w:rsidRPr="00534E7C" w:rsidR="00510A27">
        <w:rPr>
          <w:szCs w:val="22"/>
        </w:rPr>
        <w:t>waiver of section 90.729(b)</w:t>
      </w:r>
      <w:r w:rsidRPr="00534E7C" w:rsidR="00670AC4">
        <w:rPr>
          <w:szCs w:val="22"/>
        </w:rPr>
        <w:t>,</w:t>
      </w:r>
      <w:r>
        <w:rPr>
          <w:rStyle w:val="FootnoteReference"/>
          <w:sz w:val="22"/>
          <w:szCs w:val="22"/>
        </w:rPr>
        <w:footnoteReference w:id="123"/>
      </w:r>
      <w:r w:rsidRPr="00534E7C" w:rsidR="00510A27">
        <w:rPr>
          <w:szCs w:val="22"/>
        </w:rPr>
        <w:t xml:space="preserve"> so that it may </w:t>
      </w:r>
      <w:r w:rsidRPr="00534E7C">
        <w:rPr>
          <w:szCs w:val="22"/>
        </w:rPr>
        <w:t xml:space="preserve">deploy </w:t>
      </w:r>
      <w:r w:rsidRPr="00534E7C" w:rsidR="00454337">
        <w:rPr>
          <w:szCs w:val="22"/>
        </w:rPr>
        <w:t xml:space="preserve">additional </w:t>
      </w:r>
      <w:r w:rsidRPr="00534E7C">
        <w:rPr>
          <w:szCs w:val="22"/>
        </w:rPr>
        <w:t xml:space="preserve">rail safety </w:t>
      </w:r>
      <w:r w:rsidRPr="00534E7C" w:rsidR="00454337">
        <w:rPr>
          <w:szCs w:val="22"/>
        </w:rPr>
        <w:t>systems</w:t>
      </w:r>
      <w:r w:rsidRPr="00534E7C">
        <w:rPr>
          <w:szCs w:val="22"/>
        </w:rPr>
        <w:t xml:space="preserve"> in the upper 221-222 MHz band segment </w:t>
      </w:r>
      <w:r w:rsidRPr="00534E7C" w:rsidR="00510A27">
        <w:rPr>
          <w:szCs w:val="22"/>
        </w:rPr>
        <w:t xml:space="preserve">with increased </w:t>
      </w:r>
      <w:r w:rsidRPr="00534E7C">
        <w:rPr>
          <w:szCs w:val="22"/>
        </w:rPr>
        <w:t>power and antenna height.</w:t>
      </w:r>
      <w:r>
        <w:rPr>
          <w:rStyle w:val="FootnoteReference"/>
          <w:sz w:val="22"/>
          <w:szCs w:val="22"/>
        </w:rPr>
        <w:footnoteReference w:id="124"/>
      </w:r>
      <w:r w:rsidRPr="00534E7C">
        <w:rPr>
          <w:szCs w:val="22"/>
        </w:rPr>
        <w:t xml:space="preserve">  Section 90.729(b) limits operations in the upper band segment to an effective radiated power (ERP) of 50 watts and an antenna height above average terrain (HAAT) of 7 meters,</w:t>
      </w:r>
      <w:r>
        <w:rPr>
          <w:rStyle w:val="FootnoteReference"/>
          <w:sz w:val="22"/>
          <w:szCs w:val="22"/>
        </w:rPr>
        <w:footnoteReference w:id="125"/>
      </w:r>
      <w:r w:rsidRPr="00534E7C">
        <w:rPr>
          <w:szCs w:val="22"/>
        </w:rPr>
        <w:t xml:space="preserve"> while stations in the lower band segment are permitted to use up to 500 watts ERP with a</w:t>
      </w:r>
      <w:r w:rsidR="00FC044B">
        <w:rPr>
          <w:szCs w:val="22"/>
        </w:rPr>
        <w:t>n antenna</w:t>
      </w:r>
      <w:r w:rsidRPr="00534E7C">
        <w:rPr>
          <w:szCs w:val="22"/>
        </w:rPr>
        <w:t xml:space="preserve"> HAAT up to 150 meters.</w:t>
      </w:r>
      <w:r>
        <w:rPr>
          <w:rStyle w:val="FootnoteReference"/>
          <w:sz w:val="22"/>
          <w:szCs w:val="22"/>
        </w:rPr>
        <w:footnoteReference w:id="126"/>
      </w:r>
      <w:r w:rsidRPr="00534E7C">
        <w:rPr>
          <w:szCs w:val="22"/>
        </w:rPr>
        <w:t xml:space="preserve">  The Commission adopted </w:t>
      </w:r>
      <w:r w:rsidR="00194033">
        <w:rPr>
          <w:szCs w:val="22"/>
        </w:rPr>
        <w:t xml:space="preserve">section </w:t>
      </w:r>
      <w:r w:rsidRPr="00534E7C">
        <w:rPr>
          <w:szCs w:val="22"/>
        </w:rPr>
        <w:t>90.729(b)’s power and antenna height limits to address the possibility of interference to co- and adjacent</w:t>
      </w:r>
      <w:r w:rsidR="00D10CC1">
        <w:rPr>
          <w:szCs w:val="22"/>
        </w:rPr>
        <w:t xml:space="preserve"> </w:t>
      </w:r>
      <w:r w:rsidRPr="00534E7C">
        <w:rPr>
          <w:szCs w:val="22"/>
        </w:rPr>
        <w:t>channel operations.</w:t>
      </w:r>
      <w:r>
        <w:rPr>
          <w:rStyle w:val="FootnoteReference"/>
          <w:sz w:val="22"/>
          <w:szCs w:val="22"/>
        </w:rPr>
        <w:footnoteReference w:id="127"/>
      </w:r>
    </w:p>
    <w:p w:rsidR="00092CDC" w:rsidRPr="00534E7C" w:rsidP="00B528F1" w14:paraId="0E591FB3" w14:textId="66019D5C">
      <w:pPr>
        <w:pStyle w:val="ParaNum"/>
        <w:rPr>
          <w:szCs w:val="22"/>
        </w:rPr>
      </w:pPr>
      <w:r w:rsidRPr="00534E7C">
        <w:rPr>
          <w:szCs w:val="22"/>
        </w:rPr>
        <w:t>The Commission planned the 220 MHz Band as a frequency division duplex band,</w:t>
      </w:r>
      <w:r w:rsidRPr="00534E7C" w:rsidR="00647B4C">
        <w:rPr>
          <w:szCs w:val="22"/>
        </w:rPr>
        <w:t xml:space="preserve"> “with base station frequencies taken from the 220-221 MHz band </w:t>
      </w:r>
      <w:r w:rsidRPr="00534E7C" w:rsidR="00553389">
        <w:rPr>
          <w:szCs w:val="22"/>
        </w:rPr>
        <w:t xml:space="preserve">[segment] </w:t>
      </w:r>
      <w:r w:rsidRPr="00534E7C" w:rsidR="00647B4C">
        <w:rPr>
          <w:szCs w:val="22"/>
        </w:rPr>
        <w:t>with corresponding mobile and control station frequencies being 1 MHz higher and taken from the 221-222 MHz band”</w:t>
      </w:r>
      <w:r w:rsidRPr="00534E7C" w:rsidR="00553389">
        <w:rPr>
          <w:szCs w:val="22"/>
        </w:rPr>
        <w:t xml:space="preserve"> segment</w:t>
      </w:r>
      <w:r w:rsidRPr="00534E7C" w:rsidR="00647B4C">
        <w:rPr>
          <w:szCs w:val="22"/>
        </w:rPr>
        <w:t xml:space="preserve"> under section 90.715(a)</w:t>
      </w:r>
      <w:r w:rsidRPr="00534E7C" w:rsidR="005D238B">
        <w:rPr>
          <w:szCs w:val="22"/>
        </w:rPr>
        <w:t>.</w:t>
      </w:r>
      <w:r>
        <w:rPr>
          <w:rStyle w:val="FootnoteReference"/>
          <w:sz w:val="22"/>
          <w:szCs w:val="22"/>
        </w:rPr>
        <w:footnoteReference w:id="128"/>
      </w:r>
      <w:r w:rsidRPr="00534E7C" w:rsidR="005D238B">
        <w:rPr>
          <w:szCs w:val="22"/>
        </w:rPr>
        <w:t xml:space="preserve">  </w:t>
      </w:r>
      <w:r w:rsidRPr="00534E7C" w:rsidR="003C4CE5">
        <w:rPr>
          <w:szCs w:val="22"/>
        </w:rPr>
        <w:t>As noted above, i</w:t>
      </w:r>
      <w:r w:rsidRPr="00534E7C">
        <w:rPr>
          <w:szCs w:val="22"/>
        </w:rPr>
        <w:t xml:space="preserve">n the </w:t>
      </w:r>
      <w:r w:rsidRPr="00534E7C">
        <w:rPr>
          <w:i/>
          <w:iCs/>
          <w:szCs w:val="22"/>
        </w:rPr>
        <w:t>2009 Waiver Order</w:t>
      </w:r>
      <w:r w:rsidRPr="00534E7C">
        <w:rPr>
          <w:szCs w:val="22"/>
        </w:rPr>
        <w:t>, the Bureau granted PTC-220 a waiver of section 90.715(a)’s base/mobile configuration limits</w:t>
      </w:r>
      <w:r w:rsidRPr="00534E7C" w:rsidR="003C4CE5">
        <w:rPr>
          <w:szCs w:val="22"/>
        </w:rPr>
        <w:t>.</w:t>
      </w:r>
      <w:r>
        <w:rPr>
          <w:rStyle w:val="FootnoteReference"/>
          <w:sz w:val="22"/>
          <w:szCs w:val="22"/>
        </w:rPr>
        <w:footnoteReference w:id="129"/>
      </w:r>
      <w:r w:rsidRPr="00534E7C" w:rsidR="005D238B">
        <w:rPr>
          <w:szCs w:val="22"/>
        </w:rPr>
        <w:t xml:space="preserve">  </w:t>
      </w:r>
      <w:r w:rsidRPr="00534E7C" w:rsidR="00685957">
        <w:rPr>
          <w:szCs w:val="22"/>
        </w:rPr>
        <w:t>A</w:t>
      </w:r>
      <w:r w:rsidRPr="00534E7C">
        <w:rPr>
          <w:szCs w:val="22"/>
        </w:rPr>
        <w:t xml:space="preserve">lthough the </w:t>
      </w:r>
      <w:r w:rsidRPr="00534E7C">
        <w:rPr>
          <w:i/>
          <w:iCs/>
          <w:szCs w:val="22"/>
        </w:rPr>
        <w:t>2009 Waiver Order</w:t>
      </w:r>
      <w:r w:rsidRPr="00534E7C">
        <w:rPr>
          <w:szCs w:val="22"/>
        </w:rPr>
        <w:t xml:space="preserve"> permits base station</w:t>
      </w:r>
      <w:r w:rsidRPr="00534E7C" w:rsidR="005D238B">
        <w:rPr>
          <w:szCs w:val="22"/>
        </w:rPr>
        <w:t xml:space="preserve"> operations </w:t>
      </w:r>
      <w:r w:rsidRPr="00534E7C">
        <w:rPr>
          <w:szCs w:val="22"/>
        </w:rPr>
        <w:t xml:space="preserve">in the </w:t>
      </w:r>
      <w:r w:rsidRPr="00534E7C" w:rsidR="005D238B">
        <w:rPr>
          <w:szCs w:val="22"/>
        </w:rPr>
        <w:t xml:space="preserve">upper </w:t>
      </w:r>
      <w:r w:rsidRPr="00534E7C">
        <w:rPr>
          <w:szCs w:val="22"/>
        </w:rPr>
        <w:t xml:space="preserve">221-222 MHz band segment, the </w:t>
      </w:r>
      <w:r w:rsidRPr="00534E7C" w:rsidR="0049091A">
        <w:rPr>
          <w:szCs w:val="22"/>
        </w:rPr>
        <w:t xml:space="preserve">upper </w:t>
      </w:r>
      <w:r w:rsidRPr="00534E7C" w:rsidR="00C625B1">
        <w:rPr>
          <w:szCs w:val="22"/>
        </w:rPr>
        <w:t xml:space="preserve">band </w:t>
      </w:r>
      <w:r w:rsidRPr="00534E7C">
        <w:rPr>
          <w:szCs w:val="22"/>
        </w:rPr>
        <w:t>segment’s more restrictive power and antenna height rules limit its utility for base station operations</w:t>
      </w:r>
      <w:r w:rsidRPr="00534E7C" w:rsidR="005D238B">
        <w:rPr>
          <w:szCs w:val="22"/>
        </w:rPr>
        <w:t xml:space="preserve">.  </w:t>
      </w:r>
    </w:p>
    <w:p w:rsidR="008C6C8D" w:rsidRPr="00534E7C" w:rsidP="00B528F1" w14:paraId="4075BB00" w14:textId="1BE33455">
      <w:pPr>
        <w:pStyle w:val="ParaNum"/>
        <w:rPr>
          <w:szCs w:val="22"/>
        </w:rPr>
      </w:pPr>
      <w:r w:rsidRPr="00534E7C">
        <w:rPr>
          <w:szCs w:val="22"/>
        </w:rPr>
        <w:t xml:space="preserve">In </w:t>
      </w:r>
      <w:r w:rsidRPr="00534E7C" w:rsidR="00007F48">
        <w:rPr>
          <w:szCs w:val="22"/>
        </w:rPr>
        <w:t xml:space="preserve">the </w:t>
      </w:r>
      <w:r w:rsidRPr="00534E7C">
        <w:rPr>
          <w:i/>
          <w:iCs/>
          <w:szCs w:val="22"/>
        </w:rPr>
        <w:t>2015</w:t>
      </w:r>
      <w:r w:rsidRPr="00534E7C" w:rsidR="00007F48">
        <w:rPr>
          <w:i/>
          <w:iCs/>
          <w:szCs w:val="22"/>
        </w:rPr>
        <w:t xml:space="preserve"> Waiver Order</w:t>
      </w:r>
      <w:r w:rsidRPr="00534E7C">
        <w:rPr>
          <w:szCs w:val="22"/>
        </w:rPr>
        <w:t xml:space="preserve">, the Bureau granted PTC-220 </w:t>
      </w:r>
      <w:r w:rsidRPr="00534E7C" w:rsidR="00707B23">
        <w:rPr>
          <w:szCs w:val="22"/>
        </w:rPr>
        <w:t>a conditional waiver of section 90.729(b)</w:t>
      </w:r>
      <w:r w:rsidRPr="00534E7C" w:rsidR="00092CDC">
        <w:rPr>
          <w:szCs w:val="22"/>
        </w:rPr>
        <w:t xml:space="preserve">’s power and antenna height </w:t>
      </w:r>
      <w:r w:rsidRPr="00534E7C" w:rsidR="0049091A">
        <w:rPr>
          <w:szCs w:val="22"/>
        </w:rPr>
        <w:t xml:space="preserve">limits </w:t>
      </w:r>
      <w:r w:rsidRPr="00534E7C" w:rsidR="00092CDC">
        <w:rPr>
          <w:szCs w:val="22"/>
        </w:rPr>
        <w:t xml:space="preserve">to </w:t>
      </w:r>
      <w:r w:rsidRPr="00534E7C" w:rsidR="00454337">
        <w:rPr>
          <w:szCs w:val="22"/>
        </w:rPr>
        <w:t xml:space="preserve">enable </w:t>
      </w:r>
      <w:r w:rsidRPr="00534E7C" w:rsidR="00092CDC">
        <w:rPr>
          <w:szCs w:val="22"/>
        </w:rPr>
        <w:t>PTC deployment in the upper 221-222 MHz band segment</w:t>
      </w:r>
      <w:r w:rsidRPr="00534E7C" w:rsidR="00B96936">
        <w:rPr>
          <w:szCs w:val="22"/>
        </w:rPr>
        <w:t>.</w:t>
      </w:r>
      <w:r>
        <w:rPr>
          <w:rStyle w:val="FootnoteReference"/>
          <w:sz w:val="22"/>
          <w:szCs w:val="22"/>
        </w:rPr>
        <w:footnoteReference w:id="130"/>
      </w:r>
      <w:r w:rsidRPr="00534E7C" w:rsidR="00B96936">
        <w:rPr>
          <w:szCs w:val="22"/>
        </w:rPr>
        <w:t xml:space="preserve">  </w:t>
      </w:r>
      <w:r w:rsidRPr="00445F1A" w:rsidR="00685957">
        <w:rPr>
          <w:rFonts w:eastAsiaTheme="minorEastAsia"/>
          <w:snapToGrid/>
          <w:kern w:val="0"/>
          <w:szCs w:val="22"/>
          <w:shd w:val="clear" w:color="auto" w:fill="FFFFFF"/>
        </w:rPr>
        <w:t xml:space="preserve">The Bureau </w:t>
      </w:r>
      <w:r w:rsidRPr="00445F1A" w:rsidR="00454337">
        <w:rPr>
          <w:rFonts w:eastAsiaTheme="minorEastAsia"/>
          <w:snapToGrid/>
          <w:kern w:val="0"/>
          <w:szCs w:val="22"/>
          <w:shd w:val="clear" w:color="auto" w:fill="FFFFFF"/>
        </w:rPr>
        <w:t xml:space="preserve">noted </w:t>
      </w:r>
      <w:r w:rsidRPr="00445F1A" w:rsidR="00685957">
        <w:rPr>
          <w:rFonts w:eastAsiaTheme="minorEastAsia"/>
          <w:snapToGrid/>
          <w:kern w:val="0"/>
          <w:szCs w:val="22"/>
          <w:shd w:val="clear" w:color="auto" w:fill="FFFFFF"/>
        </w:rPr>
        <w:t xml:space="preserve">that </w:t>
      </w:r>
      <w:r w:rsidRPr="00445F1A" w:rsidR="00454337">
        <w:rPr>
          <w:rFonts w:eastAsiaTheme="minorEastAsia"/>
          <w:snapToGrid/>
          <w:kern w:val="0"/>
          <w:szCs w:val="22"/>
          <w:shd w:val="clear" w:color="auto" w:fill="FFFFFF"/>
        </w:rPr>
        <w:t xml:space="preserve">without </w:t>
      </w:r>
      <w:r w:rsidRPr="00445F1A" w:rsidR="00685957">
        <w:rPr>
          <w:rFonts w:eastAsiaTheme="minorEastAsia"/>
          <w:snapToGrid/>
          <w:kern w:val="0"/>
          <w:szCs w:val="22"/>
          <w:shd w:val="clear" w:color="auto" w:fill="FFFFFF"/>
        </w:rPr>
        <w:t>a rule waiver, base station transmissions in the upper band segment would have a much smaller coverage footprint than those in the lower band segment (where higher-powered operations are permitted</w:t>
      </w:r>
      <w:r w:rsidRPr="00445F1A" w:rsidR="00B96936">
        <w:rPr>
          <w:rFonts w:eastAsiaTheme="minorEastAsia"/>
          <w:snapToGrid/>
          <w:kern w:val="0"/>
          <w:szCs w:val="22"/>
          <w:shd w:val="clear" w:color="auto" w:fill="FFFFFF"/>
        </w:rPr>
        <w:t xml:space="preserve"> by rule</w:t>
      </w:r>
      <w:r w:rsidRPr="00445F1A" w:rsidR="00685957">
        <w:rPr>
          <w:rFonts w:eastAsiaTheme="minorEastAsia"/>
          <w:snapToGrid/>
          <w:kern w:val="0"/>
          <w:szCs w:val="22"/>
          <w:shd w:val="clear" w:color="auto" w:fill="FFFFFF"/>
        </w:rPr>
        <w:t>), which could limit network capacity and require the construction of additional sites.</w:t>
      </w:r>
      <w:r>
        <w:rPr>
          <w:rStyle w:val="FootnoteReference"/>
          <w:sz w:val="22"/>
          <w:szCs w:val="22"/>
        </w:rPr>
        <w:footnoteReference w:id="131"/>
      </w:r>
      <w:r w:rsidRPr="00534E7C" w:rsidR="00B96936">
        <w:rPr>
          <w:szCs w:val="22"/>
        </w:rPr>
        <w:t xml:space="preserve">  The Bureau found that waiver of section 90.729(b)’s power and antenna height limits “would serve the public interest of all Americans in rail safety, including the safety of life and property, by facilitating PTC deployments in urban and other areas.”</w:t>
      </w:r>
      <w:r>
        <w:rPr>
          <w:rStyle w:val="FootnoteReference"/>
          <w:sz w:val="22"/>
          <w:szCs w:val="22"/>
        </w:rPr>
        <w:footnoteReference w:id="132"/>
      </w:r>
      <w:r w:rsidRPr="00534E7C" w:rsidR="00B96936">
        <w:rPr>
          <w:szCs w:val="22"/>
        </w:rPr>
        <w:t xml:space="preserve">  </w:t>
      </w:r>
      <w:r w:rsidRPr="00534E7C" w:rsidR="00B0488A">
        <w:rPr>
          <w:szCs w:val="22"/>
        </w:rPr>
        <w:t xml:space="preserve">The Bureau </w:t>
      </w:r>
      <w:r w:rsidRPr="00534E7C" w:rsidR="005D238B">
        <w:rPr>
          <w:szCs w:val="22"/>
        </w:rPr>
        <w:t xml:space="preserve">also found </w:t>
      </w:r>
      <w:r w:rsidRPr="00576842" w:rsidR="00B0488A">
        <w:rPr>
          <w:rFonts w:eastAsiaTheme="minorEastAsia"/>
          <w:snapToGrid/>
          <w:kern w:val="0"/>
          <w:szCs w:val="22"/>
          <w:shd w:val="clear" w:color="auto" w:fill="FFFFFF"/>
        </w:rPr>
        <w:t xml:space="preserve">that waiver of section </w:t>
      </w:r>
      <w:r w:rsidRPr="00534E7C" w:rsidR="00B96936">
        <w:rPr>
          <w:szCs w:val="22"/>
        </w:rPr>
        <w:t xml:space="preserve">90.729(b) </w:t>
      </w:r>
      <w:r w:rsidRPr="00576842" w:rsidR="00B0488A">
        <w:rPr>
          <w:rFonts w:eastAsiaTheme="minorEastAsia"/>
          <w:snapToGrid/>
          <w:kern w:val="0"/>
          <w:szCs w:val="22"/>
          <w:shd w:val="clear" w:color="auto" w:fill="FFFFFF"/>
        </w:rPr>
        <w:t>would serve the public interest by “enabling more intensive use of PTC-220</w:t>
      </w:r>
      <w:r w:rsidR="005E72F9">
        <w:rPr>
          <w:rFonts w:eastAsiaTheme="minorEastAsia"/>
          <w:snapToGrid/>
          <w:kern w:val="0"/>
          <w:szCs w:val="22"/>
          <w:shd w:val="clear" w:color="auto" w:fill="FFFFFF"/>
        </w:rPr>
        <w:t>’</w:t>
      </w:r>
      <w:r w:rsidRPr="008474F7" w:rsidR="00B0488A">
        <w:rPr>
          <w:rFonts w:eastAsiaTheme="minorEastAsia"/>
          <w:snapToGrid/>
          <w:kern w:val="0"/>
          <w:szCs w:val="22"/>
          <w:shd w:val="clear" w:color="auto" w:fill="FFFFFF"/>
        </w:rPr>
        <w:t>s unique spectrum resources to deploy advanced rail safety systems.”</w:t>
      </w:r>
      <w:r>
        <w:rPr>
          <w:rStyle w:val="FootnoteReference"/>
          <w:rFonts w:eastAsiaTheme="minorEastAsia"/>
          <w:snapToGrid/>
          <w:kern w:val="0"/>
          <w:sz w:val="22"/>
          <w:szCs w:val="22"/>
          <w:shd w:val="clear" w:color="auto" w:fill="FFFFFF"/>
        </w:rPr>
        <w:footnoteReference w:id="133"/>
      </w:r>
      <w:r w:rsidRPr="0091486A" w:rsidR="00B0488A">
        <w:rPr>
          <w:rFonts w:eastAsiaTheme="minorEastAsia"/>
          <w:snapToGrid/>
          <w:kern w:val="0"/>
          <w:szCs w:val="22"/>
          <w:shd w:val="clear" w:color="auto" w:fill="FFFFFF"/>
        </w:rPr>
        <w:t xml:space="preserve">  </w:t>
      </w:r>
      <w:r w:rsidRPr="00534E7C" w:rsidR="005D238B">
        <w:rPr>
          <w:szCs w:val="22"/>
        </w:rPr>
        <w:t>The Bureau reasoned that “strict application of [s]ection 90.729(b)’s power and antenna height limits would be contrary to the public interest in the safety of life and property, and in efficient spectrum us</w:t>
      </w:r>
      <w:r w:rsidRPr="00534E7C" w:rsidR="00510A27">
        <w:rPr>
          <w:szCs w:val="22"/>
        </w:rPr>
        <w:t>e,</w:t>
      </w:r>
      <w:r w:rsidRPr="00534E7C" w:rsidR="005D238B">
        <w:rPr>
          <w:szCs w:val="22"/>
        </w:rPr>
        <w:t>”</w:t>
      </w:r>
      <w:r w:rsidRPr="0091486A" w:rsidR="005D238B">
        <w:rPr>
          <w:szCs w:val="22"/>
        </w:rPr>
        <w:t xml:space="preserve"> and authorized PTC </w:t>
      </w:r>
      <w:r w:rsidRPr="0091486A" w:rsidR="005D238B">
        <w:rPr>
          <w:szCs w:val="22"/>
        </w:rPr>
        <w:t xml:space="preserve">operations in the </w:t>
      </w:r>
      <w:r w:rsidRPr="0091486A" w:rsidR="00B96936">
        <w:rPr>
          <w:szCs w:val="22"/>
        </w:rPr>
        <w:t xml:space="preserve">upper </w:t>
      </w:r>
      <w:r w:rsidRPr="0091486A" w:rsidR="005D238B">
        <w:rPr>
          <w:szCs w:val="22"/>
        </w:rPr>
        <w:t xml:space="preserve">221-222 MHz band segment at the same power and antenna heights that are permitted, by rule, in the </w:t>
      </w:r>
      <w:r w:rsidRPr="0091486A" w:rsidR="00B96936">
        <w:rPr>
          <w:szCs w:val="22"/>
        </w:rPr>
        <w:t xml:space="preserve">lower </w:t>
      </w:r>
      <w:r w:rsidRPr="0091486A" w:rsidR="005D238B">
        <w:rPr>
          <w:szCs w:val="22"/>
        </w:rPr>
        <w:t>220-221 MHz band segment</w:t>
      </w:r>
      <w:r w:rsidRPr="00534E7C" w:rsidR="005D238B">
        <w:rPr>
          <w:color w:val="000000"/>
          <w:szCs w:val="22"/>
        </w:rPr>
        <w:t>.</w:t>
      </w:r>
      <w:r>
        <w:rPr>
          <w:rStyle w:val="FootnoteReference"/>
          <w:sz w:val="22"/>
          <w:szCs w:val="22"/>
        </w:rPr>
        <w:footnoteReference w:id="134"/>
      </w:r>
    </w:p>
    <w:p w:rsidR="005A5B8A" w:rsidRPr="00534E7C" w:rsidP="00B528F1" w14:paraId="28E77A18" w14:textId="593F6CE1">
      <w:pPr>
        <w:pStyle w:val="ParaNum"/>
        <w:rPr>
          <w:szCs w:val="22"/>
        </w:rPr>
      </w:pPr>
      <w:r w:rsidRPr="00534E7C">
        <w:rPr>
          <w:color w:val="000000"/>
          <w:szCs w:val="22"/>
        </w:rPr>
        <w:t xml:space="preserve">The Bureau’s </w:t>
      </w:r>
      <w:r w:rsidRPr="00534E7C" w:rsidR="003B4EF3">
        <w:rPr>
          <w:color w:val="000000"/>
          <w:szCs w:val="22"/>
        </w:rPr>
        <w:t xml:space="preserve">reasoning </w:t>
      </w:r>
      <w:r w:rsidRPr="00534E7C">
        <w:rPr>
          <w:color w:val="000000"/>
          <w:szCs w:val="22"/>
        </w:rPr>
        <w:t xml:space="preserve">in the </w:t>
      </w:r>
      <w:r w:rsidRPr="00534E7C">
        <w:rPr>
          <w:i/>
          <w:iCs/>
          <w:color w:val="000000"/>
          <w:szCs w:val="22"/>
        </w:rPr>
        <w:t>2015 Waiver Order</w:t>
      </w:r>
      <w:r w:rsidRPr="00534E7C">
        <w:rPr>
          <w:color w:val="000000"/>
          <w:szCs w:val="22"/>
        </w:rPr>
        <w:t xml:space="preserve"> </w:t>
      </w:r>
      <w:r w:rsidRPr="00534E7C" w:rsidR="00B96936">
        <w:rPr>
          <w:color w:val="000000"/>
          <w:szCs w:val="22"/>
        </w:rPr>
        <w:t xml:space="preserve">and the record before us </w:t>
      </w:r>
      <w:r w:rsidRPr="00534E7C">
        <w:rPr>
          <w:color w:val="000000"/>
          <w:szCs w:val="22"/>
        </w:rPr>
        <w:t xml:space="preserve">support </w:t>
      </w:r>
      <w:r w:rsidRPr="00534E7C" w:rsidR="00914CFE">
        <w:rPr>
          <w:color w:val="000000"/>
          <w:szCs w:val="22"/>
        </w:rPr>
        <w:t xml:space="preserve">expanding the scope of our </w:t>
      </w:r>
      <w:r w:rsidRPr="00534E7C">
        <w:rPr>
          <w:color w:val="000000"/>
          <w:szCs w:val="22"/>
        </w:rPr>
        <w:t xml:space="preserve">waiver </w:t>
      </w:r>
      <w:r w:rsidRPr="00534E7C" w:rsidR="00510A27">
        <w:rPr>
          <w:color w:val="000000"/>
          <w:szCs w:val="22"/>
        </w:rPr>
        <w:t xml:space="preserve">of </w:t>
      </w:r>
      <w:r w:rsidRPr="00534E7C">
        <w:rPr>
          <w:szCs w:val="22"/>
        </w:rPr>
        <w:t>section 90.729(b)</w:t>
      </w:r>
      <w:r w:rsidRPr="00534E7C" w:rsidR="003B4EF3">
        <w:rPr>
          <w:szCs w:val="22"/>
        </w:rPr>
        <w:t xml:space="preserve"> </w:t>
      </w:r>
      <w:r w:rsidRPr="00534E7C">
        <w:rPr>
          <w:color w:val="000000"/>
          <w:szCs w:val="22"/>
        </w:rPr>
        <w:t xml:space="preserve">to </w:t>
      </w:r>
      <w:r w:rsidRPr="00534E7C" w:rsidR="003F6802">
        <w:rPr>
          <w:color w:val="000000"/>
          <w:szCs w:val="22"/>
        </w:rPr>
        <w:t xml:space="preserve">enable deployment of </w:t>
      </w:r>
      <w:r w:rsidRPr="00534E7C" w:rsidR="00454337">
        <w:rPr>
          <w:color w:val="000000"/>
          <w:szCs w:val="22"/>
        </w:rPr>
        <w:t xml:space="preserve">additional </w:t>
      </w:r>
      <w:r w:rsidRPr="00534E7C">
        <w:rPr>
          <w:color w:val="000000"/>
          <w:szCs w:val="22"/>
        </w:rPr>
        <w:t xml:space="preserve">rail safety </w:t>
      </w:r>
      <w:r w:rsidRPr="00534E7C" w:rsidR="00454337">
        <w:rPr>
          <w:color w:val="000000"/>
          <w:szCs w:val="22"/>
        </w:rPr>
        <w:t xml:space="preserve">systems in </w:t>
      </w:r>
      <w:r w:rsidRPr="00534E7C" w:rsidR="0049091A">
        <w:rPr>
          <w:color w:val="000000"/>
          <w:szCs w:val="22"/>
        </w:rPr>
        <w:t xml:space="preserve">the </w:t>
      </w:r>
      <w:r w:rsidRPr="00534E7C" w:rsidR="00510A27">
        <w:rPr>
          <w:color w:val="000000"/>
          <w:szCs w:val="22"/>
        </w:rPr>
        <w:t xml:space="preserve">upper band segment with increased </w:t>
      </w:r>
      <w:r w:rsidRPr="00534E7C" w:rsidR="00510A27">
        <w:rPr>
          <w:szCs w:val="22"/>
        </w:rPr>
        <w:t>power and antenna height</w:t>
      </w:r>
      <w:r w:rsidRPr="00534E7C">
        <w:rPr>
          <w:color w:val="000000"/>
          <w:szCs w:val="22"/>
        </w:rPr>
        <w:t xml:space="preserve">.  </w:t>
      </w:r>
      <w:r w:rsidRPr="00534E7C" w:rsidR="001E0170">
        <w:rPr>
          <w:szCs w:val="22"/>
        </w:rPr>
        <w:t>Such</w:t>
      </w:r>
      <w:r w:rsidRPr="00534E7C" w:rsidR="00FF200D">
        <w:rPr>
          <w:szCs w:val="22"/>
        </w:rPr>
        <w:t xml:space="preserve"> relief will provide the U.S. rail industry additional spectrum capacity,</w:t>
      </w:r>
      <w:r>
        <w:rPr>
          <w:rStyle w:val="FootnoteReference"/>
          <w:sz w:val="22"/>
          <w:szCs w:val="22"/>
        </w:rPr>
        <w:footnoteReference w:id="135"/>
      </w:r>
      <w:r w:rsidRPr="00534E7C" w:rsidR="00FF200D">
        <w:rPr>
          <w:szCs w:val="22"/>
        </w:rPr>
        <w:t xml:space="preserve"> obviate the need to construct additional towers and wayside poles in areas with existing 220 MHz infrastructure </w:t>
      </w:r>
      <w:r w:rsidR="00850CC9">
        <w:rPr>
          <w:szCs w:val="22"/>
        </w:rPr>
        <w:t>controlled</w:t>
      </w:r>
      <w:r w:rsidR="00B2561A">
        <w:rPr>
          <w:szCs w:val="22"/>
        </w:rPr>
        <w:t xml:space="preserve"> by PTC-220 </w:t>
      </w:r>
      <w:r w:rsidRPr="00534E7C" w:rsidR="00FF200D">
        <w:rPr>
          <w:szCs w:val="22"/>
        </w:rPr>
        <w:t>and, by facilitating deployments of advance</w:t>
      </w:r>
      <w:r w:rsidRPr="00534E7C" w:rsidR="00454337">
        <w:rPr>
          <w:szCs w:val="22"/>
        </w:rPr>
        <w:t>d</w:t>
      </w:r>
      <w:r w:rsidRPr="00534E7C" w:rsidR="00FF200D">
        <w:rPr>
          <w:szCs w:val="22"/>
        </w:rPr>
        <w:t xml:space="preserve"> safety applications, serve the public interest of all Americans in rail safety.  </w:t>
      </w:r>
      <w:r w:rsidRPr="00534E7C" w:rsidR="003F6802">
        <w:rPr>
          <w:color w:val="000000"/>
          <w:szCs w:val="22"/>
        </w:rPr>
        <w:t>W</w:t>
      </w:r>
      <w:r w:rsidRPr="00534E7C" w:rsidR="005517EF">
        <w:rPr>
          <w:color w:val="000000"/>
          <w:szCs w:val="22"/>
        </w:rPr>
        <w:t>e</w:t>
      </w:r>
      <w:r w:rsidRPr="00534E7C" w:rsidR="003F6802">
        <w:rPr>
          <w:color w:val="000000"/>
          <w:szCs w:val="22"/>
        </w:rPr>
        <w:t xml:space="preserve"> find that</w:t>
      </w:r>
      <w:r w:rsidR="0022794D">
        <w:rPr>
          <w:color w:val="000000"/>
          <w:szCs w:val="22"/>
        </w:rPr>
        <w:t>,</w:t>
      </w:r>
      <w:r w:rsidRPr="00534E7C" w:rsidR="008711C1">
        <w:rPr>
          <w:color w:val="000000"/>
          <w:szCs w:val="22"/>
        </w:rPr>
        <w:t xml:space="preserve"> </w:t>
      </w:r>
      <w:r w:rsidRPr="00534E7C" w:rsidR="000467C0">
        <w:rPr>
          <w:szCs w:val="22"/>
        </w:rPr>
        <w:t>under the second prong of the Commission</w:t>
      </w:r>
      <w:r w:rsidR="00716904">
        <w:rPr>
          <w:szCs w:val="22"/>
        </w:rPr>
        <w:t>’</w:t>
      </w:r>
      <w:r w:rsidRPr="00534E7C" w:rsidR="000467C0">
        <w:rPr>
          <w:szCs w:val="22"/>
        </w:rPr>
        <w:t>s section 1.925(b)(3) waiver standard</w:t>
      </w:r>
      <w:r w:rsidR="0022794D">
        <w:rPr>
          <w:szCs w:val="22"/>
        </w:rPr>
        <w:t xml:space="preserve">, given </w:t>
      </w:r>
      <w:r w:rsidRPr="00534E7C" w:rsidR="00F03FBD">
        <w:rPr>
          <w:color w:val="000000"/>
          <w:szCs w:val="22"/>
        </w:rPr>
        <w:t xml:space="preserve">the unique circumstances </w:t>
      </w:r>
      <w:r w:rsidRPr="00534E7C" w:rsidR="000467C0">
        <w:rPr>
          <w:color w:val="000000"/>
          <w:szCs w:val="22"/>
        </w:rPr>
        <w:t>here</w:t>
      </w:r>
      <w:r w:rsidRPr="00534E7C" w:rsidR="00B67828">
        <w:rPr>
          <w:szCs w:val="22"/>
        </w:rPr>
        <w:t>—</w:t>
      </w:r>
      <w:r w:rsidRPr="00534E7C" w:rsidR="005517EF">
        <w:rPr>
          <w:color w:val="000000"/>
          <w:szCs w:val="22"/>
        </w:rPr>
        <w:t xml:space="preserve">including the well-recognized </w:t>
      </w:r>
      <w:r w:rsidRPr="00534E7C" w:rsidR="00714811">
        <w:rPr>
          <w:color w:val="000000"/>
          <w:szCs w:val="22"/>
        </w:rPr>
        <w:t xml:space="preserve">public </w:t>
      </w:r>
      <w:r w:rsidRPr="00534E7C" w:rsidR="005517EF">
        <w:rPr>
          <w:color w:val="000000"/>
          <w:szCs w:val="22"/>
        </w:rPr>
        <w:t>safety benefits of the applications that PTC-220 proposes to deploy in the 220 MHz Band,</w:t>
      </w:r>
      <w:r w:rsidRPr="00534E7C" w:rsidR="001D266F">
        <w:rPr>
          <w:color w:val="000000"/>
          <w:szCs w:val="22"/>
        </w:rPr>
        <w:t xml:space="preserve"> and</w:t>
      </w:r>
      <w:r w:rsidRPr="00534E7C" w:rsidR="005517EF">
        <w:rPr>
          <w:color w:val="000000"/>
          <w:szCs w:val="22"/>
        </w:rPr>
        <w:t xml:space="preserve"> the ubiquitous coverage of PTC-220’s 220 MHz Band licenses</w:t>
      </w:r>
      <w:r w:rsidRPr="00534E7C" w:rsidR="000E0A63">
        <w:rPr>
          <w:color w:val="000000"/>
          <w:szCs w:val="22"/>
        </w:rPr>
        <w:t xml:space="preserve"> and </w:t>
      </w:r>
      <w:r w:rsidRPr="00534E7C" w:rsidR="00D50C14">
        <w:rPr>
          <w:color w:val="000000"/>
          <w:szCs w:val="22"/>
        </w:rPr>
        <w:t xml:space="preserve">its </w:t>
      </w:r>
      <w:r w:rsidRPr="00534E7C" w:rsidR="0049091A">
        <w:rPr>
          <w:color w:val="000000"/>
          <w:szCs w:val="22"/>
        </w:rPr>
        <w:t xml:space="preserve">extensive </w:t>
      </w:r>
      <w:r w:rsidRPr="00534E7C" w:rsidR="000E0A63">
        <w:rPr>
          <w:color w:val="000000"/>
          <w:szCs w:val="22"/>
        </w:rPr>
        <w:t>infrastructure optimized for the 220 MHz Band</w:t>
      </w:r>
      <w:r>
        <w:rPr>
          <w:rStyle w:val="FootnoteReference"/>
          <w:sz w:val="22"/>
          <w:szCs w:val="22"/>
        </w:rPr>
        <w:footnoteReference w:id="136"/>
      </w:r>
      <w:r w:rsidRPr="00534E7C" w:rsidR="00B67828">
        <w:rPr>
          <w:szCs w:val="22"/>
        </w:rPr>
        <w:t>—</w:t>
      </w:r>
      <w:r w:rsidRPr="00534E7C" w:rsidR="00240EE7">
        <w:rPr>
          <w:szCs w:val="22"/>
        </w:rPr>
        <w:t xml:space="preserve">strict application of section 90.729(b)’s power and antenna height limits </w:t>
      </w:r>
      <w:r w:rsidRPr="00534E7C" w:rsidR="001E0170">
        <w:rPr>
          <w:szCs w:val="22"/>
        </w:rPr>
        <w:t xml:space="preserve">to the additional rail safety systems </w:t>
      </w:r>
      <w:r w:rsidRPr="00534E7C" w:rsidR="00240EE7">
        <w:rPr>
          <w:szCs w:val="22"/>
        </w:rPr>
        <w:t>would be contrary to the public interest in the safety of life and property, and in efficient spectrum use.</w:t>
      </w:r>
      <w:r>
        <w:rPr>
          <w:rStyle w:val="FootnoteReference"/>
          <w:sz w:val="22"/>
          <w:szCs w:val="22"/>
        </w:rPr>
        <w:footnoteReference w:id="137"/>
      </w:r>
      <w:r w:rsidRPr="00534E7C" w:rsidR="00240EE7">
        <w:rPr>
          <w:szCs w:val="22"/>
        </w:rPr>
        <w:t xml:space="preserve">  </w:t>
      </w:r>
    </w:p>
    <w:p w:rsidR="00647B4C" w:rsidRPr="00534E7C" w:rsidP="007D6937" w14:paraId="779DDD61" w14:textId="446045F6">
      <w:pPr>
        <w:pStyle w:val="ParaNum"/>
        <w:rPr>
          <w:szCs w:val="22"/>
        </w:rPr>
      </w:pPr>
      <w:r w:rsidRPr="00534E7C">
        <w:rPr>
          <w:color w:val="000000"/>
          <w:szCs w:val="22"/>
        </w:rPr>
        <w:t xml:space="preserve">In the </w:t>
      </w:r>
      <w:r w:rsidRPr="00534E7C">
        <w:rPr>
          <w:i/>
          <w:iCs/>
          <w:color w:val="000000"/>
          <w:szCs w:val="22"/>
        </w:rPr>
        <w:t>2015 Waiver Order</w:t>
      </w:r>
      <w:r w:rsidRPr="00534E7C">
        <w:rPr>
          <w:color w:val="000000"/>
          <w:szCs w:val="22"/>
        </w:rPr>
        <w:t xml:space="preserve">, the Bureau </w:t>
      </w:r>
      <w:r w:rsidRPr="00534E7C" w:rsidR="00147448">
        <w:rPr>
          <w:color w:val="000000"/>
          <w:szCs w:val="22"/>
        </w:rPr>
        <w:t>adopted</w:t>
      </w:r>
      <w:r w:rsidRPr="00534E7C" w:rsidR="005517EF">
        <w:rPr>
          <w:color w:val="000000"/>
          <w:szCs w:val="22"/>
        </w:rPr>
        <w:t xml:space="preserve"> </w:t>
      </w:r>
      <w:r w:rsidRPr="00534E7C" w:rsidR="00550083">
        <w:rPr>
          <w:color w:val="000000"/>
          <w:szCs w:val="22"/>
        </w:rPr>
        <w:t xml:space="preserve">specific </w:t>
      </w:r>
      <w:r w:rsidRPr="00534E7C" w:rsidR="005517EF">
        <w:rPr>
          <w:color w:val="000000"/>
          <w:szCs w:val="22"/>
        </w:rPr>
        <w:t>measures to ensure that</w:t>
      </w:r>
      <w:r w:rsidRPr="00534E7C" w:rsidR="002F0535">
        <w:rPr>
          <w:color w:val="000000"/>
          <w:szCs w:val="22"/>
        </w:rPr>
        <w:t xml:space="preserve"> co- and adjacent channel licensees in the 220 MHz Band</w:t>
      </w:r>
      <w:r w:rsidRPr="00534E7C" w:rsidR="005517EF">
        <w:rPr>
          <w:color w:val="000000"/>
          <w:szCs w:val="22"/>
        </w:rPr>
        <w:t xml:space="preserve"> do not suffer harmful interference</w:t>
      </w:r>
      <w:r w:rsidRPr="00534E7C" w:rsidR="002F0535">
        <w:rPr>
          <w:color w:val="000000"/>
          <w:szCs w:val="22"/>
        </w:rPr>
        <w:t xml:space="preserve"> </w:t>
      </w:r>
      <w:r w:rsidRPr="00534E7C" w:rsidR="00EA7EC8">
        <w:rPr>
          <w:color w:val="000000"/>
          <w:szCs w:val="22"/>
        </w:rPr>
        <w:t xml:space="preserve">from </w:t>
      </w:r>
      <w:r w:rsidRPr="00534E7C">
        <w:rPr>
          <w:color w:val="000000"/>
          <w:szCs w:val="22"/>
        </w:rPr>
        <w:t xml:space="preserve">waiver of section 90.729(b)’s </w:t>
      </w:r>
      <w:r w:rsidRPr="00534E7C">
        <w:rPr>
          <w:szCs w:val="22"/>
        </w:rPr>
        <w:t>power and antenna height limits</w:t>
      </w:r>
      <w:r w:rsidRPr="00534E7C" w:rsidR="00594EB1">
        <w:rPr>
          <w:color w:val="000000"/>
          <w:szCs w:val="22"/>
        </w:rPr>
        <w:t>.</w:t>
      </w:r>
      <w:r>
        <w:rPr>
          <w:rStyle w:val="FootnoteReference"/>
          <w:sz w:val="22"/>
          <w:szCs w:val="22"/>
        </w:rPr>
        <w:footnoteReference w:id="138"/>
      </w:r>
      <w:r w:rsidRPr="00534E7C" w:rsidR="00594EB1">
        <w:rPr>
          <w:color w:val="000000"/>
          <w:szCs w:val="22"/>
        </w:rPr>
        <w:t xml:space="preserve">  </w:t>
      </w:r>
      <w:r w:rsidRPr="00534E7C" w:rsidR="0049091A">
        <w:rPr>
          <w:color w:val="000000"/>
          <w:szCs w:val="22"/>
        </w:rPr>
        <w:t xml:space="preserve">The record reflects that </w:t>
      </w:r>
      <w:r w:rsidRPr="00534E7C" w:rsidR="009D3C60">
        <w:rPr>
          <w:color w:val="000000"/>
          <w:szCs w:val="22"/>
        </w:rPr>
        <w:t>PTC-220</w:t>
      </w:r>
      <w:r w:rsidRPr="00534E7C" w:rsidR="005C7C05">
        <w:rPr>
          <w:color w:val="000000"/>
          <w:szCs w:val="22"/>
        </w:rPr>
        <w:t xml:space="preserve">’s member railroads </w:t>
      </w:r>
      <w:r w:rsidRPr="00534E7C" w:rsidR="009D3C60">
        <w:rPr>
          <w:color w:val="000000"/>
          <w:szCs w:val="22"/>
        </w:rPr>
        <w:t>ha</w:t>
      </w:r>
      <w:r w:rsidRPr="00534E7C" w:rsidR="005C7C05">
        <w:rPr>
          <w:color w:val="000000"/>
          <w:szCs w:val="22"/>
        </w:rPr>
        <w:t>ve</w:t>
      </w:r>
      <w:r w:rsidRPr="00534E7C" w:rsidR="009D3C60">
        <w:rPr>
          <w:color w:val="000000"/>
          <w:szCs w:val="22"/>
        </w:rPr>
        <w:t xml:space="preserve"> </w:t>
      </w:r>
      <w:r w:rsidRPr="00534E7C" w:rsidR="009F3681">
        <w:rPr>
          <w:color w:val="000000"/>
          <w:szCs w:val="22"/>
        </w:rPr>
        <w:t xml:space="preserve">deployed PTC </w:t>
      </w:r>
      <w:r w:rsidRPr="00534E7C" w:rsidR="009D3C60">
        <w:rPr>
          <w:color w:val="000000"/>
          <w:szCs w:val="22"/>
        </w:rPr>
        <w:t xml:space="preserve">in the 220 MHz Band </w:t>
      </w:r>
      <w:r w:rsidRPr="00534E7C" w:rsidR="0049091A">
        <w:rPr>
          <w:color w:val="000000"/>
          <w:szCs w:val="22"/>
        </w:rPr>
        <w:t xml:space="preserve">across the nation </w:t>
      </w:r>
      <w:r w:rsidRPr="00534E7C" w:rsidR="009D3C60">
        <w:rPr>
          <w:color w:val="000000"/>
          <w:szCs w:val="22"/>
        </w:rPr>
        <w:t xml:space="preserve">for </w:t>
      </w:r>
      <w:r w:rsidRPr="00534E7C" w:rsidR="0033709E">
        <w:rPr>
          <w:color w:val="000000"/>
          <w:szCs w:val="22"/>
        </w:rPr>
        <w:t xml:space="preserve">seven </w:t>
      </w:r>
      <w:r w:rsidRPr="00534E7C" w:rsidR="009D3C60">
        <w:rPr>
          <w:color w:val="000000"/>
          <w:szCs w:val="22"/>
        </w:rPr>
        <w:t xml:space="preserve">years </w:t>
      </w:r>
      <w:r w:rsidRPr="00534E7C" w:rsidR="007839F7">
        <w:rPr>
          <w:color w:val="000000"/>
          <w:szCs w:val="22"/>
        </w:rPr>
        <w:t xml:space="preserve">under the </w:t>
      </w:r>
      <w:r w:rsidRPr="00534E7C" w:rsidR="002732E5">
        <w:rPr>
          <w:color w:val="000000"/>
          <w:szCs w:val="22"/>
        </w:rPr>
        <w:t xml:space="preserve">waiver’s less restrictive </w:t>
      </w:r>
      <w:r w:rsidRPr="00534E7C" w:rsidR="002732E5">
        <w:rPr>
          <w:szCs w:val="22"/>
        </w:rPr>
        <w:t>power and antenna height limits</w:t>
      </w:r>
      <w:r w:rsidRPr="00534E7C" w:rsidR="007839F7">
        <w:rPr>
          <w:color w:val="000000"/>
          <w:szCs w:val="22"/>
        </w:rPr>
        <w:t xml:space="preserve"> </w:t>
      </w:r>
      <w:r w:rsidRPr="00534E7C" w:rsidR="009D3C60">
        <w:rPr>
          <w:color w:val="000000"/>
          <w:szCs w:val="22"/>
        </w:rPr>
        <w:t xml:space="preserve">without any </w:t>
      </w:r>
      <w:r w:rsidRPr="00534E7C" w:rsidR="0049091A">
        <w:rPr>
          <w:color w:val="000000"/>
          <w:szCs w:val="22"/>
        </w:rPr>
        <w:t xml:space="preserve">verified </w:t>
      </w:r>
      <w:r w:rsidRPr="00534E7C" w:rsidR="009D3C60">
        <w:rPr>
          <w:color w:val="000000"/>
          <w:szCs w:val="22"/>
        </w:rPr>
        <w:t>reports of interfe</w:t>
      </w:r>
      <w:r w:rsidRPr="00534E7C" w:rsidR="00F23BB8">
        <w:rPr>
          <w:color w:val="000000"/>
          <w:szCs w:val="22"/>
        </w:rPr>
        <w:t>re</w:t>
      </w:r>
      <w:r w:rsidRPr="00534E7C" w:rsidR="009D3C60">
        <w:rPr>
          <w:color w:val="000000"/>
          <w:szCs w:val="22"/>
        </w:rPr>
        <w:t>nce</w:t>
      </w:r>
      <w:r w:rsidRPr="00534E7C" w:rsidR="0029161D">
        <w:rPr>
          <w:color w:val="000000"/>
          <w:szCs w:val="22"/>
        </w:rPr>
        <w:t>.</w:t>
      </w:r>
      <w:r>
        <w:rPr>
          <w:rStyle w:val="FootnoteReference"/>
          <w:sz w:val="22"/>
          <w:szCs w:val="22"/>
        </w:rPr>
        <w:footnoteReference w:id="139"/>
      </w:r>
      <w:r w:rsidRPr="00534E7C" w:rsidR="009D3C60">
        <w:rPr>
          <w:color w:val="000000"/>
          <w:szCs w:val="22"/>
        </w:rPr>
        <w:t xml:space="preserve"> </w:t>
      </w:r>
      <w:r w:rsidRPr="00534E7C" w:rsidR="0029161D">
        <w:rPr>
          <w:color w:val="000000"/>
          <w:szCs w:val="22"/>
        </w:rPr>
        <w:t xml:space="preserve"> </w:t>
      </w:r>
      <w:r w:rsidRPr="00534E7C" w:rsidR="00FB655C">
        <w:rPr>
          <w:color w:val="000000"/>
          <w:szCs w:val="22"/>
        </w:rPr>
        <w:t>Neverthel</w:t>
      </w:r>
      <w:r w:rsidRPr="00534E7C" w:rsidR="00F06EB6">
        <w:rPr>
          <w:color w:val="000000"/>
          <w:szCs w:val="22"/>
        </w:rPr>
        <w:t>e</w:t>
      </w:r>
      <w:r w:rsidRPr="00534E7C" w:rsidR="00FB655C">
        <w:rPr>
          <w:color w:val="000000"/>
          <w:szCs w:val="22"/>
        </w:rPr>
        <w:t xml:space="preserve">ss, out </w:t>
      </w:r>
      <w:r w:rsidRPr="00534E7C" w:rsidR="00550083">
        <w:rPr>
          <w:color w:val="000000"/>
          <w:szCs w:val="22"/>
        </w:rPr>
        <w:t xml:space="preserve">of </w:t>
      </w:r>
      <w:r w:rsidRPr="00534E7C" w:rsidR="00FB655C">
        <w:rPr>
          <w:color w:val="000000"/>
          <w:szCs w:val="22"/>
        </w:rPr>
        <w:t>an abundance of caution</w:t>
      </w:r>
      <w:r w:rsidRPr="00534E7C" w:rsidR="0049091A">
        <w:rPr>
          <w:color w:val="000000"/>
          <w:szCs w:val="22"/>
        </w:rPr>
        <w:t xml:space="preserve"> and to ensure that co- and adjacent channel licensees in the 220 MHz Band do not suffer harmful interference from </w:t>
      </w:r>
      <w:r w:rsidRPr="00534E7C" w:rsidR="00550083">
        <w:rPr>
          <w:color w:val="000000"/>
          <w:szCs w:val="22"/>
        </w:rPr>
        <w:t xml:space="preserve">a </w:t>
      </w:r>
      <w:r w:rsidRPr="00534E7C" w:rsidR="00454337">
        <w:rPr>
          <w:color w:val="000000"/>
          <w:szCs w:val="22"/>
        </w:rPr>
        <w:t xml:space="preserve">modified </w:t>
      </w:r>
      <w:r w:rsidRPr="00534E7C" w:rsidR="000B79D8">
        <w:rPr>
          <w:color w:val="000000"/>
          <w:szCs w:val="22"/>
        </w:rPr>
        <w:t xml:space="preserve">waiver of section 90.729(b)’s </w:t>
      </w:r>
      <w:r w:rsidRPr="00534E7C" w:rsidR="000B79D8">
        <w:rPr>
          <w:szCs w:val="22"/>
        </w:rPr>
        <w:t xml:space="preserve">power and antenna height limits, </w:t>
      </w:r>
      <w:r w:rsidRPr="00534E7C" w:rsidR="00FB655C">
        <w:rPr>
          <w:color w:val="000000"/>
          <w:szCs w:val="22"/>
        </w:rPr>
        <w:t>we</w:t>
      </w:r>
      <w:r w:rsidRPr="00534E7C" w:rsidR="00F06EB6">
        <w:rPr>
          <w:color w:val="000000"/>
          <w:szCs w:val="22"/>
        </w:rPr>
        <w:t xml:space="preserve"> will apply the same </w:t>
      </w:r>
      <w:r w:rsidRPr="00534E7C" w:rsidR="00EA7EC8">
        <w:rPr>
          <w:color w:val="000000"/>
          <w:szCs w:val="22"/>
        </w:rPr>
        <w:t xml:space="preserve">measures </w:t>
      </w:r>
      <w:r w:rsidRPr="00534E7C">
        <w:rPr>
          <w:color w:val="000000"/>
          <w:szCs w:val="22"/>
        </w:rPr>
        <w:t xml:space="preserve">(including field strength limits, </w:t>
      </w:r>
      <w:r w:rsidRPr="00534E7C">
        <w:rPr>
          <w:szCs w:val="22"/>
        </w:rPr>
        <w:t>frequency and geographic spacing requirements, and</w:t>
      </w:r>
      <w:r w:rsidRPr="00534E7C" w:rsidR="00594EB1">
        <w:rPr>
          <w:szCs w:val="22"/>
        </w:rPr>
        <w:t xml:space="preserve"> prior notification requirements</w:t>
      </w:r>
      <w:r w:rsidRPr="00534E7C">
        <w:rPr>
          <w:color w:val="000000"/>
          <w:szCs w:val="22"/>
        </w:rPr>
        <w:t xml:space="preserve">) </w:t>
      </w:r>
      <w:r w:rsidRPr="00534E7C" w:rsidR="00F06EB6">
        <w:rPr>
          <w:color w:val="000000"/>
          <w:szCs w:val="22"/>
        </w:rPr>
        <w:t xml:space="preserve">to deployments </w:t>
      </w:r>
      <w:r w:rsidRPr="00534E7C" w:rsidR="00594EB1">
        <w:rPr>
          <w:color w:val="000000"/>
          <w:szCs w:val="22"/>
        </w:rPr>
        <w:t xml:space="preserve">of rail safety </w:t>
      </w:r>
      <w:r w:rsidRPr="00534E7C" w:rsidR="00454337">
        <w:rPr>
          <w:color w:val="000000"/>
          <w:szCs w:val="22"/>
        </w:rPr>
        <w:t xml:space="preserve">systems </w:t>
      </w:r>
      <w:r w:rsidRPr="00534E7C" w:rsidR="00F06EB6">
        <w:rPr>
          <w:color w:val="000000"/>
          <w:szCs w:val="22"/>
        </w:rPr>
        <w:t xml:space="preserve">under the </w:t>
      </w:r>
      <w:r w:rsidRPr="00534E7C" w:rsidR="00F23BB8">
        <w:rPr>
          <w:color w:val="000000"/>
          <w:szCs w:val="22"/>
        </w:rPr>
        <w:t xml:space="preserve">modified </w:t>
      </w:r>
      <w:r w:rsidRPr="00534E7C" w:rsidR="00F06EB6">
        <w:rPr>
          <w:color w:val="000000"/>
          <w:szCs w:val="22"/>
        </w:rPr>
        <w:t>rule waiver.</w:t>
      </w:r>
      <w:r w:rsidR="00DF7B3E">
        <w:rPr>
          <w:color w:val="000000"/>
          <w:szCs w:val="22"/>
        </w:rPr>
        <w:t xml:space="preserve">  These measures are described below.</w:t>
      </w:r>
    </w:p>
    <w:p w:rsidR="00F43A5B" w:rsidRPr="00534E7C" w:rsidP="006C779F" w14:paraId="45BC2D99" w14:textId="246E3F90">
      <w:pPr>
        <w:pStyle w:val="Heading5"/>
        <w:rPr>
          <w:szCs w:val="22"/>
        </w:rPr>
      </w:pPr>
      <w:bookmarkStart w:id="397" w:name="_Toc117162349"/>
      <w:bookmarkStart w:id="398" w:name="_Toc117170609"/>
      <w:bookmarkStart w:id="399" w:name="_Toc117179083"/>
      <w:bookmarkStart w:id="400" w:name="_Toc117517006"/>
      <w:bookmarkStart w:id="401" w:name="_Toc117517920"/>
      <w:bookmarkStart w:id="402" w:name="_Toc117518464"/>
      <w:bookmarkStart w:id="403" w:name="_Toc117518884"/>
      <w:bookmarkStart w:id="404" w:name="_Toc120523632"/>
      <w:bookmarkStart w:id="405" w:name="_Toc126158693"/>
      <w:bookmarkStart w:id="406" w:name="_Toc126158722"/>
      <w:bookmarkStart w:id="407" w:name="_Toc127960199"/>
      <w:bookmarkStart w:id="408" w:name="_Toc127994709"/>
      <w:bookmarkStart w:id="409" w:name="_Toc128039843"/>
      <w:bookmarkStart w:id="410" w:name="_Toc131444706"/>
      <w:bookmarkStart w:id="411" w:name="_Toc131444970"/>
      <w:bookmarkStart w:id="412" w:name="_Toc131676570"/>
      <w:bookmarkStart w:id="413" w:name="_Toc133848358"/>
      <w:r w:rsidRPr="00534E7C">
        <w:rPr>
          <w:szCs w:val="22"/>
        </w:rPr>
        <w:t>Field Strength Limit</w:t>
      </w:r>
      <w:r w:rsidRPr="00534E7C" w:rsidR="00EC19FD">
        <w:rPr>
          <w:szCs w:val="22"/>
        </w:rPr>
        <w:t xml:space="preserve"> Condition</w:t>
      </w:r>
      <w:r w:rsidRPr="00534E7C" w:rsidR="00DB2166">
        <w:rPr>
          <w:szCs w:val="22"/>
        </w:rPr>
        <w:t>, Economic Area Licenses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534E7C" w:rsidR="00DB2166">
        <w:rPr>
          <w:szCs w:val="22"/>
        </w:rPr>
        <w:t xml:space="preserve"> </w:t>
      </w:r>
      <w:r w:rsidRPr="00534E7C">
        <w:rPr>
          <w:szCs w:val="22"/>
        </w:rPr>
        <w:t xml:space="preserve">  </w:t>
      </w:r>
    </w:p>
    <w:p w:rsidR="00DB2166" w:rsidRPr="00534E7C" w:rsidP="00991EF6" w14:paraId="2655964A" w14:textId="5E85AE87">
      <w:pPr>
        <w:pStyle w:val="ParaNum"/>
        <w:rPr>
          <w:szCs w:val="22"/>
        </w:rPr>
      </w:pPr>
      <w:r w:rsidRPr="00534E7C">
        <w:rPr>
          <w:i/>
          <w:iCs/>
          <w:color w:val="000000"/>
          <w:szCs w:val="22"/>
        </w:rPr>
        <w:t>Co-Channel Interference</w:t>
      </w:r>
      <w:r w:rsidRPr="00534E7C">
        <w:rPr>
          <w:color w:val="000000"/>
          <w:szCs w:val="22"/>
        </w:rPr>
        <w:t xml:space="preserve">.  </w:t>
      </w:r>
      <w:r w:rsidR="00DF7B3E">
        <w:rPr>
          <w:color w:val="000000"/>
          <w:szCs w:val="22"/>
        </w:rPr>
        <w:t>Among the protective measures adopted by the Bureau i</w:t>
      </w:r>
      <w:r w:rsidRPr="00534E7C" w:rsidR="00960653">
        <w:rPr>
          <w:color w:val="000000"/>
          <w:szCs w:val="22"/>
        </w:rPr>
        <w:t xml:space="preserve">n the </w:t>
      </w:r>
      <w:r w:rsidRPr="00534E7C" w:rsidR="00960653">
        <w:rPr>
          <w:i/>
          <w:iCs/>
          <w:color w:val="000000"/>
          <w:szCs w:val="22"/>
        </w:rPr>
        <w:t xml:space="preserve">2015 Waiver </w:t>
      </w:r>
      <w:r w:rsidRPr="00534E7C" w:rsidR="00BB7CF2">
        <w:rPr>
          <w:i/>
          <w:iCs/>
          <w:color w:val="000000"/>
          <w:szCs w:val="22"/>
        </w:rPr>
        <w:t>Order</w:t>
      </w:r>
      <w:r w:rsidR="00BB7CF2">
        <w:rPr>
          <w:color w:val="000000"/>
          <w:szCs w:val="22"/>
        </w:rPr>
        <w:t xml:space="preserve"> was</w:t>
      </w:r>
      <w:r w:rsidR="00DF7B3E">
        <w:rPr>
          <w:color w:val="000000"/>
          <w:szCs w:val="22"/>
        </w:rPr>
        <w:t xml:space="preserve"> a requirement that </w:t>
      </w:r>
      <w:r w:rsidRPr="00534E7C" w:rsidR="00747207">
        <w:rPr>
          <w:color w:val="000000"/>
          <w:szCs w:val="22"/>
        </w:rPr>
        <w:t>PTC-220 meet a 38 dB</w:t>
      </w:r>
      <w:r w:rsidR="00B358EE">
        <w:rPr>
          <w:color w:val="000000"/>
          <w:szCs w:val="22"/>
        </w:rPr>
        <w:t>µ</w:t>
      </w:r>
      <w:r w:rsidRPr="00534E7C" w:rsidR="00747207">
        <w:rPr>
          <w:color w:val="000000"/>
          <w:szCs w:val="22"/>
        </w:rPr>
        <w:t xml:space="preserve"> field strength limit at </w:t>
      </w:r>
      <w:r w:rsidRPr="00534E7C" w:rsidR="002F0535">
        <w:rPr>
          <w:color w:val="000000"/>
          <w:szCs w:val="22"/>
        </w:rPr>
        <w:t xml:space="preserve">the </w:t>
      </w:r>
      <w:r w:rsidRPr="00534E7C" w:rsidR="00747207">
        <w:rPr>
          <w:color w:val="000000"/>
          <w:szCs w:val="22"/>
        </w:rPr>
        <w:t xml:space="preserve">license area’s border of its </w:t>
      </w:r>
      <w:r w:rsidRPr="00534E7C" w:rsidR="00147448">
        <w:rPr>
          <w:color w:val="000000"/>
          <w:szCs w:val="22"/>
        </w:rPr>
        <w:t xml:space="preserve">then </w:t>
      </w:r>
      <w:r w:rsidRPr="00534E7C" w:rsidR="00747207">
        <w:rPr>
          <w:szCs w:val="22"/>
        </w:rPr>
        <w:t>six</w:t>
      </w:r>
      <w:r w:rsidRPr="00534E7C">
        <w:rPr>
          <w:szCs w:val="22"/>
        </w:rPr>
        <w:t xml:space="preserve"> (now </w:t>
      </w:r>
      <w:r w:rsidRPr="00534E7C" w:rsidR="004051BE">
        <w:rPr>
          <w:szCs w:val="22"/>
        </w:rPr>
        <w:t>eight</w:t>
      </w:r>
      <w:r w:rsidRPr="00534E7C">
        <w:rPr>
          <w:szCs w:val="22"/>
        </w:rPr>
        <w:t xml:space="preserve">) </w:t>
      </w:r>
      <w:r w:rsidRPr="00534E7C" w:rsidR="00747207">
        <w:rPr>
          <w:color w:val="000000"/>
          <w:szCs w:val="22"/>
        </w:rPr>
        <w:t xml:space="preserve">E Block </w:t>
      </w:r>
      <w:r w:rsidR="00336333">
        <w:rPr>
          <w:color w:val="000000"/>
          <w:szCs w:val="22"/>
        </w:rPr>
        <w:t xml:space="preserve">Economic Area </w:t>
      </w:r>
      <w:r w:rsidRPr="00534E7C" w:rsidR="00747207">
        <w:rPr>
          <w:color w:val="000000"/>
          <w:szCs w:val="22"/>
        </w:rPr>
        <w:t xml:space="preserve">licenses for </w:t>
      </w:r>
      <w:r w:rsidRPr="00534E7C" w:rsidR="00002CFB">
        <w:rPr>
          <w:color w:val="000000"/>
          <w:szCs w:val="22"/>
        </w:rPr>
        <w:t xml:space="preserve">waiver </w:t>
      </w:r>
      <w:r w:rsidRPr="00534E7C" w:rsidR="00747207">
        <w:rPr>
          <w:color w:val="000000"/>
          <w:szCs w:val="22"/>
        </w:rPr>
        <w:t xml:space="preserve">operations in the </w:t>
      </w:r>
      <w:r w:rsidRPr="00534E7C" w:rsidR="00960653">
        <w:rPr>
          <w:color w:val="000000"/>
          <w:szCs w:val="22"/>
        </w:rPr>
        <w:t xml:space="preserve">upper </w:t>
      </w:r>
      <w:r w:rsidRPr="00534E7C" w:rsidR="00747207">
        <w:rPr>
          <w:color w:val="000000"/>
          <w:szCs w:val="22"/>
        </w:rPr>
        <w:t>221-222 MHz band segment.</w:t>
      </w:r>
      <w:r>
        <w:rPr>
          <w:rStyle w:val="FootnoteReference"/>
          <w:sz w:val="22"/>
          <w:szCs w:val="22"/>
        </w:rPr>
        <w:footnoteReference w:id="140"/>
      </w:r>
      <w:r w:rsidRPr="00534E7C" w:rsidR="00747207">
        <w:rPr>
          <w:color w:val="000000"/>
          <w:szCs w:val="22"/>
        </w:rPr>
        <w:t xml:space="preserve">  </w:t>
      </w:r>
      <w:r w:rsidRPr="00534E7C" w:rsidR="00F70AF1">
        <w:rPr>
          <w:color w:val="000000"/>
          <w:szCs w:val="22"/>
        </w:rPr>
        <w:t xml:space="preserve">The Bureau </w:t>
      </w:r>
      <w:r w:rsidRPr="009440DC" w:rsidR="00F70AF1">
        <w:rPr>
          <w:color w:val="000000"/>
          <w:szCs w:val="22"/>
        </w:rPr>
        <w:t>provided</w:t>
      </w:r>
      <w:r w:rsidRPr="00534E7C" w:rsidR="00F70AF1">
        <w:rPr>
          <w:color w:val="000000"/>
          <w:szCs w:val="22"/>
        </w:rPr>
        <w:t xml:space="preserve"> that, should a co-channel licensee suffer harmful interference despite PTC-220’s compliance with a 38</w:t>
      </w:r>
      <w:r w:rsidRPr="00534E7C" w:rsidR="000B79D8">
        <w:rPr>
          <w:color w:val="000000"/>
          <w:szCs w:val="22"/>
        </w:rPr>
        <w:t xml:space="preserve"> </w:t>
      </w:r>
      <w:r w:rsidRPr="00534E7C" w:rsidR="00F70AF1">
        <w:rPr>
          <w:color w:val="000000"/>
          <w:szCs w:val="22"/>
        </w:rPr>
        <w:t>dB</w:t>
      </w:r>
      <w:r w:rsidR="00B358EE">
        <w:rPr>
          <w:color w:val="000000"/>
          <w:szCs w:val="22"/>
        </w:rPr>
        <w:t>µ</w:t>
      </w:r>
      <w:r w:rsidRPr="00534E7C" w:rsidR="00F70AF1">
        <w:rPr>
          <w:color w:val="000000"/>
          <w:szCs w:val="22"/>
        </w:rPr>
        <w:t xml:space="preserve"> field strength limit, PTC-220 must promptly resolve such interference</w:t>
      </w:r>
      <w:r w:rsidRPr="00534E7C" w:rsidR="001E0170">
        <w:rPr>
          <w:color w:val="000000"/>
          <w:szCs w:val="22"/>
        </w:rPr>
        <w:t xml:space="preserve"> at its own expense</w:t>
      </w:r>
      <w:r w:rsidRPr="00534E7C" w:rsidR="00F70AF1">
        <w:rPr>
          <w:color w:val="000000"/>
          <w:szCs w:val="22"/>
        </w:rPr>
        <w:t>.</w:t>
      </w:r>
      <w:r>
        <w:rPr>
          <w:rStyle w:val="FootnoteReference"/>
          <w:sz w:val="22"/>
          <w:szCs w:val="22"/>
        </w:rPr>
        <w:footnoteReference w:id="141"/>
      </w:r>
      <w:r w:rsidRPr="00534E7C" w:rsidR="001B509E">
        <w:rPr>
          <w:color w:val="000000"/>
          <w:szCs w:val="22"/>
        </w:rPr>
        <w:t xml:space="preserve"> </w:t>
      </w:r>
    </w:p>
    <w:p w:rsidR="00653B64" w:rsidRPr="00534E7C" w:rsidP="00991EF6" w14:paraId="5521E63B" w14:textId="27CD20CD">
      <w:pPr>
        <w:pStyle w:val="ParaNum"/>
        <w:rPr>
          <w:szCs w:val="22"/>
        </w:rPr>
      </w:pPr>
      <w:r w:rsidRPr="00534E7C">
        <w:rPr>
          <w:color w:val="000000"/>
          <w:szCs w:val="22"/>
        </w:rPr>
        <w:t>We</w:t>
      </w:r>
      <w:r w:rsidRPr="00534E7C" w:rsidR="001B509E">
        <w:rPr>
          <w:color w:val="000000"/>
          <w:szCs w:val="22"/>
        </w:rPr>
        <w:t xml:space="preserve"> seek to ensure that adjacent market co-channel </w:t>
      </w:r>
      <w:r w:rsidRPr="00534E7C" w:rsidR="002F0535">
        <w:rPr>
          <w:color w:val="000000"/>
          <w:szCs w:val="22"/>
        </w:rPr>
        <w:t xml:space="preserve">spectrum </w:t>
      </w:r>
      <w:r w:rsidRPr="00534E7C" w:rsidR="001B509E">
        <w:rPr>
          <w:color w:val="000000"/>
          <w:szCs w:val="22"/>
        </w:rPr>
        <w:t xml:space="preserve">users will not suffer harmful </w:t>
      </w:r>
      <w:r w:rsidRPr="00534E7C" w:rsidR="001B509E">
        <w:rPr>
          <w:color w:val="000000"/>
          <w:szCs w:val="22"/>
        </w:rPr>
        <w:t xml:space="preserve">interference that might arise from </w:t>
      </w:r>
      <w:r w:rsidRPr="00534E7C" w:rsidR="002F0535">
        <w:rPr>
          <w:color w:val="000000"/>
          <w:szCs w:val="22"/>
        </w:rPr>
        <w:t xml:space="preserve">deployment of additional rail safety </w:t>
      </w:r>
      <w:r w:rsidRPr="00534E7C" w:rsidR="00454337">
        <w:rPr>
          <w:color w:val="000000"/>
          <w:szCs w:val="22"/>
        </w:rPr>
        <w:t xml:space="preserve">systems </w:t>
      </w:r>
      <w:r w:rsidRPr="00534E7C" w:rsidR="001B509E">
        <w:rPr>
          <w:color w:val="000000"/>
          <w:szCs w:val="22"/>
        </w:rPr>
        <w:t xml:space="preserve">at increased power or height in the </w:t>
      </w:r>
      <w:r w:rsidRPr="00534E7C" w:rsidR="00147448">
        <w:rPr>
          <w:color w:val="000000"/>
          <w:szCs w:val="22"/>
        </w:rPr>
        <w:t xml:space="preserve">upper </w:t>
      </w:r>
      <w:r w:rsidRPr="00534E7C" w:rsidR="001B509E">
        <w:rPr>
          <w:color w:val="000000"/>
          <w:szCs w:val="22"/>
        </w:rPr>
        <w:t xml:space="preserve">221-222 MHz band segment, and </w:t>
      </w:r>
      <w:r w:rsidRPr="00534E7C">
        <w:rPr>
          <w:color w:val="000000"/>
          <w:szCs w:val="22"/>
        </w:rPr>
        <w:t xml:space="preserve">will </w:t>
      </w:r>
      <w:r w:rsidRPr="00534E7C" w:rsidR="001B509E">
        <w:rPr>
          <w:color w:val="000000"/>
          <w:szCs w:val="22"/>
        </w:rPr>
        <w:t xml:space="preserve">require </w:t>
      </w:r>
      <w:r w:rsidRPr="00534E7C">
        <w:rPr>
          <w:color w:val="000000"/>
          <w:szCs w:val="22"/>
        </w:rPr>
        <w:t>deployments under the expanded rule waiver</w:t>
      </w:r>
      <w:r w:rsidRPr="00534E7C" w:rsidR="001B509E">
        <w:rPr>
          <w:color w:val="000000"/>
          <w:szCs w:val="22"/>
        </w:rPr>
        <w:t xml:space="preserve"> to meet a 38 dB</w:t>
      </w:r>
      <w:r w:rsidR="00B358EE">
        <w:rPr>
          <w:color w:val="000000"/>
          <w:szCs w:val="22"/>
        </w:rPr>
        <w:t>µ</w:t>
      </w:r>
      <w:r w:rsidRPr="00534E7C" w:rsidR="001B509E">
        <w:rPr>
          <w:color w:val="000000"/>
          <w:szCs w:val="22"/>
        </w:rPr>
        <w:t xml:space="preserve"> field strength limit </w:t>
      </w:r>
      <w:r w:rsidRPr="00534E7C" w:rsidR="004051BE">
        <w:rPr>
          <w:color w:val="000000"/>
          <w:szCs w:val="22"/>
        </w:rPr>
        <w:t>a</w:t>
      </w:r>
      <w:r w:rsidRPr="00534E7C" w:rsidR="00B92C12">
        <w:rPr>
          <w:color w:val="000000"/>
          <w:szCs w:val="22"/>
        </w:rPr>
        <w:t>t</w:t>
      </w:r>
      <w:r w:rsidRPr="00534E7C" w:rsidR="004051BE">
        <w:rPr>
          <w:color w:val="000000"/>
          <w:szCs w:val="22"/>
        </w:rPr>
        <w:t xml:space="preserve"> the license area </w:t>
      </w:r>
      <w:r w:rsidRPr="00534E7C" w:rsidR="001B509E">
        <w:rPr>
          <w:color w:val="000000"/>
          <w:szCs w:val="22"/>
        </w:rPr>
        <w:t xml:space="preserve">border of </w:t>
      </w:r>
      <w:r w:rsidRPr="00534E7C" w:rsidR="004051BE">
        <w:rPr>
          <w:color w:val="000000"/>
          <w:szCs w:val="22"/>
        </w:rPr>
        <w:t xml:space="preserve">PTC-220’s </w:t>
      </w:r>
      <w:r w:rsidRPr="00534E7C" w:rsidR="00DB2166">
        <w:rPr>
          <w:color w:val="000000"/>
          <w:szCs w:val="22"/>
        </w:rPr>
        <w:t xml:space="preserve">eight </w:t>
      </w:r>
      <w:r w:rsidRPr="00534E7C" w:rsidR="004051BE">
        <w:rPr>
          <w:szCs w:val="22"/>
        </w:rPr>
        <w:t xml:space="preserve">Economic Area </w:t>
      </w:r>
      <w:r w:rsidRPr="00534E7C" w:rsidR="004051BE">
        <w:rPr>
          <w:color w:val="000000"/>
          <w:szCs w:val="22"/>
        </w:rPr>
        <w:t>E Block licenses</w:t>
      </w:r>
      <w:r w:rsidRPr="00534E7C">
        <w:rPr>
          <w:color w:val="000000"/>
          <w:szCs w:val="22"/>
        </w:rPr>
        <w:t>.</w:t>
      </w:r>
      <w:r>
        <w:rPr>
          <w:rStyle w:val="FootnoteReference"/>
          <w:sz w:val="22"/>
          <w:szCs w:val="22"/>
        </w:rPr>
        <w:footnoteReference w:id="142"/>
      </w:r>
      <w:r w:rsidRPr="00534E7C" w:rsidR="00DB2166">
        <w:rPr>
          <w:color w:val="000000"/>
          <w:szCs w:val="22"/>
        </w:rPr>
        <w:t xml:space="preserve">  </w:t>
      </w:r>
      <w:r w:rsidRPr="00534E7C" w:rsidR="000B79D8">
        <w:rPr>
          <w:color w:val="000000"/>
          <w:szCs w:val="22"/>
        </w:rPr>
        <w:t>W</w:t>
      </w:r>
      <w:r w:rsidRPr="00534E7C" w:rsidR="00DB2166">
        <w:rPr>
          <w:color w:val="000000"/>
          <w:szCs w:val="22"/>
        </w:rPr>
        <w:t xml:space="preserve">e </w:t>
      </w:r>
      <w:r w:rsidRPr="00534E7C" w:rsidR="000B79D8">
        <w:rPr>
          <w:color w:val="000000"/>
          <w:szCs w:val="22"/>
        </w:rPr>
        <w:t xml:space="preserve">also will </w:t>
      </w:r>
      <w:r w:rsidRPr="00534E7C" w:rsidR="00DB2166">
        <w:rPr>
          <w:color w:val="000000"/>
          <w:szCs w:val="22"/>
        </w:rPr>
        <w:t>require</w:t>
      </w:r>
      <w:r w:rsidRPr="00534E7C" w:rsidR="007E61AE">
        <w:rPr>
          <w:color w:val="000000"/>
          <w:szCs w:val="22"/>
        </w:rPr>
        <w:t xml:space="preserve"> </w:t>
      </w:r>
      <w:r w:rsidRPr="00534E7C" w:rsidR="00DB2166">
        <w:rPr>
          <w:color w:val="000000"/>
          <w:szCs w:val="22"/>
        </w:rPr>
        <w:t>that, should a co-channel licensee suffer harmful interference despite PTC-220’s compliance with a 38</w:t>
      </w:r>
      <w:r w:rsidRPr="00534E7C" w:rsidR="000B79D8">
        <w:rPr>
          <w:color w:val="000000"/>
          <w:szCs w:val="22"/>
        </w:rPr>
        <w:t xml:space="preserve"> </w:t>
      </w:r>
      <w:r w:rsidRPr="00534E7C" w:rsidR="00DB2166">
        <w:rPr>
          <w:color w:val="000000"/>
          <w:szCs w:val="22"/>
        </w:rPr>
        <w:t>dB</w:t>
      </w:r>
      <w:r w:rsidR="00B358EE">
        <w:rPr>
          <w:color w:val="000000"/>
          <w:szCs w:val="22"/>
        </w:rPr>
        <w:t>µ</w:t>
      </w:r>
      <w:r w:rsidRPr="00534E7C" w:rsidR="00DB2166">
        <w:rPr>
          <w:color w:val="000000"/>
          <w:szCs w:val="22"/>
        </w:rPr>
        <w:t xml:space="preserve"> field strength limit, PTC-220 must promptly resolve such interference</w:t>
      </w:r>
      <w:r w:rsidRPr="00534E7C" w:rsidR="00454337">
        <w:rPr>
          <w:color w:val="000000"/>
          <w:szCs w:val="22"/>
        </w:rPr>
        <w:t xml:space="preserve"> at its own expense</w:t>
      </w:r>
      <w:r w:rsidRPr="00534E7C" w:rsidR="00DB2166">
        <w:rPr>
          <w:color w:val="000000"/>
          <w:szCs w:val="22"/>
        </w:rPr>
        <w:t xml:space="preserve">. </w:t>
      </w:r>
    </w:p>
    <w:p w:rsidR="00EC19FD" w:rsidRPr="00534E7C" w:rsidP="006C779F" w14:paraId="5A98B3DE" w14:textId="7C0E6BAD">
      <w:pPr>
        <w:pStyle w:val="Heading5"/>
        <w:rPr>
          <w:color w:val="000000"/>
          <w:szCs w:val="22"/>
        </w:rPr>
      </w:pPr>
      <w:bookmarkStart w:id="414" w:name="_Toc117162350"/>
      <w:bookmarkStart w:id="415" w:name="_Toc117170610"/>
      <w:bookmarkStart w:id="416" w:name="_Toc117179084"/>
      <w:bookmarkStart w:id="417" w:name="_Toc117517007"/>
      <w:bookmarkStart w:id="418" w:name="_Toc117517921"/>
      <w:bookmarkStart w:id="419" w:name="_Toc117518465"/>
      <w:bookmarkStart w:id="420" w:name="_Toc117518885"/>
      <w:bookmarkStart w:id="421" w:name="_Toc120523633"/>
      <w:bookmarkStart w:id="422" w:name="_Toc126158694"/>
      <w:bookmarkStart w:id="423" w:name="_Toc126158723"/>
      <w:bookmarkStart w:id="424" w:name="_Toc127960200"/>
      <w:bookmarkStart w:id="425" w:name="_Toc127994710"/>
      <w:bookmarkStart w:id="426" w:name="_Toc128039844"/>
      <w:bookmarkStart w:id="427" w:name="_Toc131444707"/>
      <w:bookmarkStart w:id="428" w:name="_Toc131444971"/>
      <w:bookmarkStart w:id="429" w:name="_Toc131676571"/>
      <w:bookmarkStart w:id="430" w:name="_Toc133848359"/>
      <w:r w:rsidRPr="00534E7C">
        <w:rPr>
          <w:szCs w:val="22"/>
        </w:rPr>
        <w:t>Geographic and Spectral Separation</w:t>
      </w:r>
      <w:r w:rsidRPr="00534E7C" w:rsidR="005470AE">
        <w:rPr>
          <w:szCs w:val="22"/>
        </w:rPr>
        <w:t xml:space="preserve">, and Noise Floor </w:t>
      </w:r>
      <w:r w:rsidRPr="00534E7C">
        <w:rPr>
          <w:szCs w:val="22"/>
        </w:rPr>
        <w:t xml:space="preserve"> Condition</w:t>
      </w:r>
      <w:r w:rsidRPr="00534E7C" w:rsidR="00EE7341">
        <w:rPr>
          <w:szCs w:val="22"/>
        </w:rPr>
        <w:t>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933A2" w:rsidRPr="00534E7C" w:rsidP="00FC34D3" w14:paraId="7AD42144" w14:textId="0D4E69FA">
      <w:pPr>
        <w:pStyle w:val="ParaNum"/>
        <w:rPr>
          <w:color w:val="000000"/>
          <w:szCs w:val="22"/>
        </w:rPr>
      </w:pPr>
      <w:r w:rsidRPr="00534E7C">
        <w:rPr>
          <w:i/>
          <w:iCs/>
          <w:color w:val="000000"/>
          <w:szCs w:val="22"/>
        </w:rPr>
        <w:t>Adjacent Channel Interference</w:t>
      </w:r>
      <w:r w:rsidRPr="00534E7C">
        <w:rPr>
          <w:color w:val="000000"/>
          <w:szCs w:val="22"/>
        </w:rPr>
        <w:t xml:space="preserve">.  </w:t>
      </w:r>
      <w:r w:rsidRPr="00534E7C" w:rsidR="00676EC8">
        <w:rPr>
          <w:color w:val="000000"/>
          <w:szCs w:val="22"/>
        </w:rPr>
        <w:t xml:space="preserve">In the </w:t>
      </w:r>
      <w:r w:rsidRPr="00534E7C" w:rsidR="00676EC8">
        <w:rPr>
          <w:i/>
          <w:iCs/>
          <w:color w:val="000000"/>
          <w:szCs w:val="22"/>
        </w:rPr>
        <w:t>2015 Waiver Order</w:t>
      </w:r>
      <w:r w:rsidRPr="00534E7C" w:rsidR="00676EC8">
        <w:rPr>
          <w:color w:val="000000"/>
          <w:szCs w:val="22"/>
        </w:rPr>
        <w:t>, t</w:t>
      </w:r>
      <w:r w:rsidRPr="00534E7C" w:rsidR="00FC34D3">
        <w:rPr>
          <w:szCs w:val="22"/>
        </w:rPr>
        <w:t xml:space="preserve">he Bureau </w:t>
      </w:r>
      <w:r w:rsidR="009C396F">
        <w:rPr>
          <w:szCs w:val="22"/>
        </w:rPr>
        <w:t xml:space="preserve">also </w:t>
      </w:r>
      <w:r w:rsidRPr="00534E7C" w:rsidR="00FC34D3">
        <w:rPr>
          <w:szCs w:val="22"/>
        </w:rPr>
        <w:t xml:space="preserve">adopted frequency and geographic spacing requirements to reduce the </w:t>
      </w:r>
      <w:r w:rsidRPr="00534E7C" w:rsidR="00EE7341">
        <w:rPr>
          <w:szCs w:val="22"/>
        </w:rPr>
        <w:t xml:space="preserve">possibility that </w:t>
      </w:r>
      <w:r w:rsidRPr="00534E7C" w:rsidR="00FC34D3">
        <w:rPr>
          <w:szCs w:val="22"/>
        </w:rPr>
        <w:t xml:space="preserve">base station operations under the </w:t>
      </w:r>
      <w:r w:rsidRPr="00534E7C">
        <w:rPr>
          <w:szCs w:val="22"/>
        </w:rPr>
        <w:t xml:space="preserve">rule </w:t>
      </w:r>
      <w:r w:rsidRPr="00534E7C" w:rsidR="00FC34D3">
        <w:rPr>
          <w:szCs w:val="22"/>
        </w:rPr>
        <w:t xml:space="preserve">waiver </w:t>
      </w:r>
      <w:r w:rsidRPr="00534E7C" w:rsidR="00EE7341">
        <w:rPr>
          <w:szCs w:val="22"/>
        </w:rPr>
        <w:t xml:space="preserve">could </w:t>
      </w:r>
      <w:r w:rsidRPr="00534E7C" w:rsidR="00FC34D3">
        <w:rPr>
          <w:szCs w:val="22"/>
        </w:rPr>
        <w:t>cause interference to adjacent channel licensees.</w:t>
      </w:r>
      <w:r>
        <w:rPr>
          <w:rStyle w:val="FootnoteReference"/>
          <w:sz w:val="22"/>
          <w:szCs w:val="22"/>
        </w:rPr>
        <w:footnoteReference w:id="143"/>
      </w:r>
      <w:r w:rsidRPr="00534E7C" w:rsidR="00E8129D">
        <w:rPr>
          <w:szCs w:val="22"/>
        </w:rPr>
        <w:t xml:space="preserve"> </w:t>
      </w:r>
      <w:r w:rsidRPr="00534E7C">
        <w:rPr>
          <w:szCs w:val="22"/>
        </w:rPr>
        <w:t xml:space="preserve"> The Bureau explained that there would be no guard band between PTC transmitters and other licensees’ receivers in the upper 221-222 MHz band segment, and that requiring PTC-220 to comply with frequency and geographic spacing requirements would mitigate the possibility that base station operations under the waiver could cause interference to adjacent channel licensees.</w:t>
      </w:r>
      <w:r>
        <w:rPr>
          <w:rStyle w:val="FootnoteReference"/>
          <w:sz w:val="22"/>
          <w:szCs w:val="22"/>
        </w:rPr>
        <w:footnoteReference w:id="144"/>
      </w:r>
    </w:p>
    <w:p w:rsidR="00FC34D3" w:rsidRPr="00534E7C" w:rsidP="00FC34D3" w14:paraId="6B6AC2B3" w14:textId="29D8BCEA">
      <w:pPr>
        <w:pStyle w:val="ParaNum"/>
        <w:rPr>
          <w:color w:val="000000"/>
          <w:szCs w:val="22"/>
        </w:rPr>
      </w:pPr>
      <w:r w:rsidRPr="00534E7C">
        <w:rPr>
          <w:szCs w:val="22"/>
        </w:rPr>
        <w:t xml:space="preserve"> </w:t>
      </w:r>
      <w:r w:rsidRPr="00534E7C" w:rsidR="00EE7341">
        <w:rPr>
          <w:szCs w:val="22"/>
        </w:rPr>
        <w:t>T</w:t>
      </w:r>
      <w:r w:rsidRPr="00534E7C">
        <w:rPr>
          <w:color w:val="000000"/>
          <w:szCs w:val="22"/>
        </w:rPr>
        <w:t>he Bureau required PTC-220 to comply with the following geographic and spectral separation requirements, and related power limits:</w:t>
      </w:r>
    </w:p>
    <w:p w:rsidR="00FC34D3" w:rsidRPr="00534E7C" w:rsidP="00E8129D" w14:paraId="45567FED" w14:textId="2A457292">
      <w:pPr>
        <w:pStyle w:val="ParaNum"/>
        <w:numPr>
          <w:ilvl w:val="0"/>
          <w:numId w:val="22"/>
        </w:numPr>
        <w:rPr>
          <w:color w:val="000000"/>
          <w:szCs w:val="22"/>
        </w:rPr>
      </w:pPr>
      <w:r w:rsidRPr="00534E7C">
        <w:rPr>
          <w:color w:val="000000"/>
          <w:szCs w:val="22"/>
        </w:rPr>
        <w:t xml:space="preserve">PTC-220 must obtain the concurrence of a licensee to site a transmitter within 25 kHz and between 0.3 and 6 kilometers of a non-nationwide Phase I receiver, and must comply with the geographic separation/graduated ERP limits of </w:t>
      </w:r>
      <w:r w:rsidRPr="00534E7C" w:rsidR="006B037C">
        <w:rPr>
          <w:color w:val="000000"/>
          <w:szCs w:val="22"/>
        </w:rPr>
        <w:t>s</w:t>
      </w:r>
      <w:r w:rsidRPr="00534E7C">
        <w:rPr>
          <w:color w:val="000000"/>
          <w:szCs w:val="22"/>
        </w:rPr>
        <w:t>ection 90.723(d).</w:t>
      </w:r>
      <w:r>
        <w:rPr>
          <w:rStyle w:val="FootnoteReference"/>
          <w:szCs w:val="22"/>
        </w:rPr>
        <w:footnoteReference w:id="145"/>
      </w:r>
      <w:r w:rsidRPr="00534E7C">
        <w:rPr>
          <w:color w:val="000000"/>
          <w:szCs w:val="22"/>
        </w:rPr>
        <w:t xml:space="preserve"> </w:t>
      </w:r>
    </w:p>
    <w:p w:rsidR="00FC34D3" w:rsidRPr="00534E7C" w:rsidP="00E8129D" w14:paraId="22767C4B" w14:textId="0E295260">
      <w:pPr>
        <w:pStyle w:val="ParaNum"/>
        <w:numPr>
          <w:ilvl w:val="0"/>
          <w:numId w:val="22"/>
        </w:numPr>
        <w:rPr>
          <w:color w:val="000000"/>
          <w:szCs w:val="22"/>
        </w:rPr>
      </w:pPr>
      <w:r w:rsidRPr="00534E7C">
        <w:rPr>
          <w:color w:val="000000"/>
          <w:szCs w:val="22"/>
        </w:rPr>
        <w:t xml:space="preserve">PTC-220 must comply with the geographic separation/graduated ERP limits of </w:t>
      </w:r>
      <w:r w:rsidRPr="00534E7C" w:rsidR="006B037C">
        <w:rPr>
          <w:color w:val="000000"/>
          <w:szCs w:val="22"/>
        </w:rPr>
        <w:t>s</w:t>
      </w:r>
      <w:r w:rsidRPr="00534E7C">
        <w:rPr>
          <w:color w:val="000000"/>
          <w:szCs w:val="22"/>
        </w:rPr>
        <w:t>ection 90.723(d) to site a transmitter within 25-200 kHz and between 0.3 and 6 kilometers of a non-nationwide Phase I receiver.</w:t>
      </w:r>
    </w:p>
    <w:p w:rsidR="00FC34D3" w:rsidRPr="00534E7C" w:rsidP="00E8129D" w14:paraId="10135418" w14:textId="32F48F5A">
      <w:pPr>
        <w:pStyle w:val="ParaNum"/>
        <w:numPr>
          <w:ilvl w:val="0"/>
          <w:numId w:val="22"/>
        </w:numPr>
        <w:rPr>
          <w:color w:val="000000"/>
          <w:szCs w:val="22"/>
        </w:rPr>
      </w:pPr>
      <w:r w:rsidRPr="00534E7C">
        <w:rPr>
          <w:color w:val="000000"/>
          <w:szCs w:val="22"/>
        </w:rPr>
        <w:t xml:space="preserve">PTC-220 must obtain the concurrence of a licensee to site a transmitter within 25 kHz and between 0.3 and 6 kilometers of an existing nationwide Phase I or Phase II receiver, and must comply with the geographic separation/graduated ERP limits of </w:t>
      </w:r>
      <w:r w:rsidRPr="00534E7C" w:rsidR="006B037C">
        <w:rPr>
          <w:color w:val="000000"/>
          <w:szCs w:val="22"/>
        </w:rPr>
        <w:t>s</w:t>
      </w:r>
      <w:r w:rsidRPr="00534E7C">
        <w:rPr>
          <w:color w:val="000000"/>
          <w:szCs w:val="22"/>
        </w:rPr>
        <w:t>ection 90.723(d).</w:t>
      </w:r>
    </w:p>
    <w:p w:rsidR="006D023E" w:rsidRPr="00534E7C" w:rsidP="00E8129D" w14:paraId="333A1DFB" w14:textId="37CB9B63">
      <w:pPr>
        <w:pStyle w:val="ParaNum"/>
        <w:numPr>
          <w:ilvl w:val="0"/>
          <w:numId w:val="22"/>
        </w:numPr>
        <w:rPr>
          <w:color w:val="000000"/>
          <w:szCs w:val="22"/>
        </w:rPr>
      </w:pPr>
      <w:r w:rsidRPr="00534E7C">
        <w:rPr>
          <w:color w:val="000000"/>
          <w:szCs w:val="22"/>
        </w:rPr>
        <w:t xml:space="preserve">PTC-220 must comply with the geographic separation/graduated ERP limits of </w:t>
      </w:r>
      <w:r w:rsidRPr="00534E7C" w:rsidR="000B79D8">
        <w:rPr>
          <w:color w:val="000000"/>
          <w:szCs w:val="22"/>
        </w:rPr>
        <w:t>s</w:t>
      </w:r>
      <w:r w:rsidRPr="00534E7C">
        <w:rPr>
          <w:color w:val="000000"/>
          <w:szCs w:val="22"/>
        </w:rPr>
        <w:t>ection 90.723(d) to site a transmitter within 25-200 kHz and between 0.3 and 6 kilometers of an existing nationwide Phase I or Phase II receiver.</w:t>
      </w:r>
      <w:r>
        <w:rPr>
          <w:rStyle w:val="FootnoteReference"/>
          <w:sz w:val="22"/>
          <w:szCs w:val="22"/>
        </w:rPr>
        <w:footnoteReference w:id="146"/>
      </w:r>
    </w:p>
    <w:p w:rsidR="00E8129D" w:rsidRPr="00534E7C" w:rsidP="00E8129D" w14:paraId="6B83C3BE" w14:textId="64550D71">
      <w:pPr>
        <w:pStyle w:val="ParaNum"/>
        <w:rPr>
          <w:szCs w:val="22"/>
        </w:rPr>
      </w:pPr>
      <w:r w:rsidRPr="00534E7C">
        <w:rPr>
          <w:color w:val="000000"/>
          <w:szCs w:val="22"/>
        </w:rPr>
        <w:t>T</w:t>
      </w:r>
      <w:r w:rsidRPr="00534E7C">
        <w:rPr>
          <w:szCs w:val="22"/>
        </w:rPr>
        <w:t>he Bureau also required PTC-220 to limit any increase in the noise floor to ensure the performance of existing nationwide Phase I and Phase II receivers</w:t>
      </w:r>
      <w:r w:rsidRPr="00534E7C" w:rsidR="006E1596">
        <w:rPr>
          <w:szCs w:val="22"/>
        </w:rPr>
        <w:t>,</w:t>
      </w:r>
      <w:r w:rsidRPr="00534E7C">
        <w:rPr>
          <w:szCs w:val="22"/>
        </w:rPr>
        <w:t xml:space="preserve"> within 25 kHz and between 6 and 10 kilometers of a proposed PTC transmitter</w:t>
      </w:r>
      <w:r w:rsidRPr="00534E7C" w:rsidR="006E1596">
        <w:rPr>
          <w:szCs w:val="22"/>
        </w:rPr>
        <w:t>,</w:t>
      </w:r>
      <w:r w:rsidRPr="00534E7C">
        <w:rPr>
          <w:szCs w:val="22"/>
        </w:rPr>
        <w:t xml:space="preserve"> as follows:</w:t>
      </w:r>
    </w:p>
    <w:p w:rsidR="00E8129D" w:rsidRPr="00534E7C" w:rsidP="00E8129D" w14:paraId="38F93361" w14:textId="22511772">
      <w:pPr>
        <w:pStyle w:val="ParaNum"/>
        <w:numPr>
          <w:ilvl w:val="0"/>
          <w:numId w:val="21"/>
        </w:numPr>
        <w:rPr>
          <w:szCs w:val="22"/>
        </w:rPr>
      </w:pPr>
      <w:r w:rsidRPr="00534E7C">
        <w:rPr>
          <w:szCs w:val="22"/>
        </w:rPr>
        <w:t>PTC-220 must provide a licensee an engineering study showing that degradation of the noise floor from the proposed transmitter at a potential victim site will be 2dB or less.</w:t>
      </w:r>
      <w:bookmarkStart w:id="431" w:name="co_tablefootnote_62_1"/>
      <w:bookmarkEnd w:id="431"/>
      <w:r w:rsidRPr="00534E7C" w:rsidR="00DE38B6">
        <w:rPr>
          <w:szCs w:val="22"/>
        </w:rPr>
        <w:t xml:space="preserve"> </w:t>
      </w:r>
    </w:p>
    <w:p w:rsidR="00E8129D" w:rsidRPr="00534E7C" w:rsidP="00E8129D" w14:paraId="4735DC40" w14:textId="3548EAE7">
      <w:pPr>
        <w:pStyle w:val="ParaNum"/>
        <w:numPr>
          <w:ilvl w:val="0"/>
          <w:numId w:val="21"/>
        </w:numPr>
        <w:rPr>
          <w:szCs w:val="22"/>
        </w:rPr>
      </w:pPr>
      <w:r w:rsidRPr="00534E7C">
        <w:rPr>
          <w:szCs w:val="22"/>
        </w:rPr>
        <w:t>If the degradation in the noise floor is greater than 2dB, PTC-220 may not operate the proposed transmitter unless it receives concurrence from the affected licensee.</w:t>
      </w:r>
    </w:p>
    <w:p w:rsidR="003D0FF2" w:rsidRPr="00534E7C" w:rsidP="007E61AE" w14:paraId="29B40FA5" w14:textId="215E2304">
      <w:pPr>
        <w:pStyle w:val="ParaNum"/>
        <w:numPr>
          <w:ilvl w:val="0"/>
          <w:numId w:val="21"/>
        </w:numPr>
        <w:rPr>
          <w:szCs w:val="22"/>
        </w:rPr>
      </w:pPr>
      <w:r w:rsidRPr="00534E7C">
        <w:rPr>
          <w:szCs w:val="22"/>
        </w:rPr>
        <w:t xml:space="preserve">If a licensee believes it would suffer interference, despite PTC-220 meeting the 2dB </w:t>
      </w:r>
      <w:r w:rsidRPr="00534E7C">
        <w:rPr>
          <w:szCs w:val="22"/>
        </w:rPr>
        <w:t>requirement, PTC-220 must coordinate further.</w:t>
      </w:r>
      <w:r>
        <w:rPr>
          <w:rStyle w:val="FootnoteReference"/>
          <w:sz w:val="22"/>
          <w:szCs w:val="22"/>
        </w:rPr>
        <w:footnoteReference w:id="147"/>
      </w:r>
      <w:r w:rsidRPr="00534E7C" w:rsidR="00FC34D3">
        <w:rPr>
          <w:color w:val="000000"/>
          <w:szCs w:val="22"/>
        </w:rPr>
        <w:t xml:space="preserve"> </w:t>
      </w:r>
      <w:r w:rsidRPr="00534E7C">
        <w:rPr>
          <w:color w:val="000000"/>
          <w:szCs w:val="22"/>
        </w:rPr>
        <w:t xml:space="preserve"> </w:t>
      </w:r>
      <w:r w:rsidRPr="00534E7C">
        <w:rPr>
          <w:szCs w:val="22"/>
        </w:rPr>
        <w:t xml:space="preserve"> </w:t>
      </w:r>
    </w:p>
    <w:p w:rsidR="006B037C" w:rsidRPr="00534E7C" w:rsidP="006B037C" w14:paraId="3372068D" w14:textId="394E1FAF">
      <w:pPr>
        <w:pStyle w:val="ParaNum"/>
        <w:rPr>
          <w:szCs w:val="22"/>
        </w:rPr>
      </w:pPr>
      <w:r w:rsidRPr="00534E7C">
        <w:rPr>
          <w:color w:val="000000"/>
          <w:szCs w:val="22"/>
        </w:rPr>
        <w:t>W</w:t>
      </w:r>
      <w:r w:rsidRPr="00534E7C" w:rsidR="006D023E">
        <w:rPr>
          <w:color w:val="000000"/>
          <w:szCs w:val="22"/>
        </w:rPr>
        <w:t>e will require d</w:t>
      </w:r>
      <w:r w:rsidRPr="00534E7C" w:rsidR="00147448">
        <w:rPr>
          <w:color w:val="000000"/>
          <w:szCs w:val="22"/>
        </w:rPr>
        <w:t xml:space="preserve">eployments of additional rail safety </w:t>
      </w:r>
      <w:r w:rsidRPr="00534E7C" w:rsidR="00DE38B6">
        <w:rPr>
          <w:color w:val="000000"/>
          <w:szCs w:val="22"/>
        </w:rPr>
        <w:t xml:space="preserve">systems </w:t>
      </w:r>
      <w:r w:rsidRPr="00534E7C" w:rsidR="00147448">
        <w:rPr>
          <w:color w:val="000000"/>
          <w:szCs w:val="22"/>
        </w:rPr>
        <w:t xml:space="preserve">under the </w:t>
      </w:r>
      <w:r w:rsidRPr="00534E7C" w:rsidR="00FF7FFE">
        <w:rPr>
          <w:color w:val="000000"/>
          <w:szCs w:val="22"/>
        </w:rPr>
        <w:t xml:space="preserve">modified </w:t>
      </w:r>
      <w:r w:rsidRPr="00534E7C" w:rsidR="00147448">
        <w:rPr>
          <w:color w:val="000000"/>
          <w:szCs w:val="22"/>
        </w:rPr>
        <w:t xml:space="preserve">rule waiver </w:t>
      </w:r>
      <w:r w:rsidRPr="00534E7C" w:rsidR="006D023E">
        <w:rPr>
          <w:color w:val="000000"/>
          <w:szCs w:val="22"/>
        </w:rPr>
        <w:t xml:space="preserve">to </w:t>
      </w:r>
      <w:r w:rsidRPr="00534E7C" w:rsidR="00147448">
        <w:rPr>
          <w:color w:val="000000"/>
          <w:szCs w:val="22"/>
        </w:rPr>
        <w:t xml:space="preserve">comply with the foregoing </w:t>
      </w:r>
      <w:r w:rsidRPr="00534E7C" w:rsidR="00147448">
        <w:rPr>
          <w:szCs w:val="22"/>
        </w:rPr>
        <w:t xml:space="preserve">geographic </w:t>
      </w:r>
      <w:r w:rsidRPr="00534E7C" w:rsidR="005470AE">
        <w:rPr>
          <w:szCs w:val="22"/>
        </w:rPr>
        <w:t xml:space="preserve">and spectral separation </w:t>
      </w:r>
      <w:r w:rsidRPr="00534E7C" w:rsidR="00147448">
        <w:rPr>
          <w:szCs w:val="22"/>
        </w:rPr>
        <w:t>requirements</w:t>
      </w:r>
      <w:r w:rsidRPr="00534E7C" w:rsidR="005470AE">
        <w:rPr>
          <w:szCs w:val="22"/>
        </w:rPr>
        <w:t>, and noise floor limits</w:t>
      </w:r>
      <w:r w:rsidRPr="00534E7C" w:rsidR="00147448">
        <w:rPr>
          <w:szCs w:val="22"/>
        </w:rPr>
        <w:t>.</w:t>
      </w:r>
      <w:r w:rsidRPr="00534E7C">
        <w:rPr>
          <w:szCs w:val="22"/>
        </w:rPr>
        <w:t xml:space="preserve">  This will reduce the possibility that base station operations could cause interference to adjacent channel licensees in the upper 221-222 MHz band segment</w:t>
      </w:r>
      <w:r w:rsidR="00B2561A">
        <w:rPr>
          <w:szCs w:val="22"/>
        </w:rPr>
        <w:t>.</w:t>
      </w:r>
    </w:p>
    <w:p w:rsidR="007E61AE" w:rsidRPr="00534E7C" w:rsidP="006C779F" w14:paraId="15220064" w14:textId="747AFD07">
      <w:pPr>
        <w:pStyle w:val="Heading5"/>
        <w:rPr>
          <w:szCs w:val="22"/>
        </w:rPr>
      </w:pPr>
      <w:bookmarkStart w:id="432" w:name="_Toc117162351"/>
      <w:bookmarkStart w:id="433" w:name="_Toc117170611"/>
      <w:bookmarkStart w:id="434" w:name="_Toc117179085"/>
      <w:bookmarkStart w:id="435" w:name="_Toc117517008"/>
      <w:bookmarkStart w:id="436" w:name="_Toc117517922"/>
      <w:bookmarkStart w:id="437" w:name="_Toc117518466"/>
      <w:bookmarkStart w:id="438" w:name="_Toc117518886"/>
      <w:bookmarkStart w:id="439" w:name="_Toc120523634"/>
      <w:bookmarkStart w:id="440" w:name="_Toc126158695"/>
      <w:bookmarkStart w:id="441" w:name="_Toc126158724"/>
      <w:bookmarkStart w:id="442" w:name="_Toc127960201"/>
      <w:bookmarkStart w:id="443" w:name="_Toc127994711"/>
      <w:bookmarkStart w:id="444" w:name="_Toc128039845"/>
      <w:bookmarkStart w:id="445" w:name="_Toc131444708"/>
      <w:bookmarkStart w:id="446" w:name="_Toc131444972"/>
      <w:bookmarkStart w:id="447" w:name="_Toc131676572"/>
      <w:bookmarkStart w:id="448" w:name="_Toc133848360"/>
      <w:r w:rsidRPr="00534E7C">
        <w:rPr>
          <w:szCs w:val="22"/>
        </w:rPr>
        <w:t>Prior Notification Condition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676EC8" w:rsidRPr="00534E7C" w:rsidP="007E61AE" w14:paraId="62AC54D1" w14:textId="3A212819">
      <w:pPr>
        <w:pStyle w:val="ParaNum"/>
        <w:rPr>
          <w:color w:val="000000"/>
          <w:szCs w:val="22"/>
        </w:rPr>
      </w:pPr>
      <w:r w:rsidRPr="00534E7C">
        <w:rPr>
          <w:color w:val="000000"/>
          <w:szCs w:val="22"/>
        </w:rPr>
        <w:t xml:space="preserve">In the </w:t>
      </w:r>
      <w:r w:rsidRPr="00534E7C">
        <w:rPr>
          <w:i/>
          <w:iCs/>
          <w:color w:val="000000"/>
          <w:szCs w:val="22"/>
        </w:rPr>
        <w:t>2015 Waiver Order</w:t>
      </w:r>
      <w:r w:rsidRPr="00534E7C">
        <w:rPr>
          <w:color w:val="000000"/>
          <w:szCs w:val="22"/>
        </w:rPr>
        <w:t>, t</w:t>
      </w:r>
      <w:r w:rsidRPr="00534E7C" w:rsidR="007E61AE">
        <w:rPr>
          <w:color w:val="000000"/>
          <w:szCs w:val="22"/>
        </w:rPr>
        <w:t xml:space="preserve">he Bureau </w:t>
      </w:r>
      <w:r w:rsidRPr="00534E7C" w:rsidR="00E628D8">
        <w:rPr>
          <w:color w:val="000000"/>
          <w:szCs w:val="22"/>
        </w:rPr>
        <w:t xml:space="preserve">also </w:t>
      </w:r>
      <w:r w:rsidRPr="00534E7C" w:rsidR="007E61AE">
        <w:rPr>
          <w:color w:val="000000"/>
          <w:szCs w:val="22"/>
        </w:rPr>
        <w:t xml:space="preserve">sought to ensure that 220 MHz Band licensees have sufficient time to consider PTC-220’s proposed waiver-enabled transmitter operations.  It provided that before operating a </w:t>
      </w:r>
      <w:r w:rsidRPr="00534E7C" w:rsidR="00FF7FFE">
        <w:rPr>
          <w:color w:val="000000"/>
          <w:szCs w:val="22"/>
        </w:rPr>
        <w:t xml:space="preserve">new </w:t>
      </w:r>
      <w:r w:rsidRPr="00534E7C" w:rsidR="007E61AE">
        <w:rPr>
          <w:color w:val="000000"/>
          <w:szCs w:val="22"/>
        </w:rPr>
        <w:t>waiver-enabled transmitter or an existing waiver-enabled transmitter with increased height or power, PTC-220 must notify all 220 MHz Band licensees within 200 kHz and 20 kilometers of a proposed transmitter.</w:t>
      </w:r>
      <w:r>
        <w:rPr>
          <w:rStyle w:val="FootnoteReference"/>
          <w:sz w:val="22"/>
          <w:szCs w:val="22"/>
        </w:rPr>
        <w:footnoteReference w:id="148"/>
      </w:r>
      <w:r w:rsidRPr="00534E7C">
        <w:rPr>
          <w:color w:val="000000"/>
          <w:szCs w:val="22"/>
        </w:rPr>
        <w:t xml:space="preserve">  </w:t>
      </w:r>
      <w:r w:rsidRPr="00534E7C" w:rsidR="007E61AE">
        <w:rPr>
          <w:color w:val="000000"/>
          <w:szCs w:val="22"/>
        </w:rPr>
        <w:t>The notice must:</w:t>
      </w:r>
    </w:p>
    <w:p w:rsidR="00676EC8" w:rsidRPr="00534E7C" w:rsidP="00676EC8" w14:paraId="0BD08A73" w14:textId="4D827377">
      <w:pPr>
        <w:pStyle w:val="ParaNum"/>
        <w:numPr>
          <w:ilvl w:val="0"/>
          <w:numId w:val="36"/>
        </w:numPr>
        <w:rPr>
          <w:color w:val="000000"/>
          <w:szCs w:val="22"/>
        </w:rPr>
      </w:pPr>
      <w:r w:rsidRPr="00534E7C">
        <w:rPr>
          <w:color w:val="000000"/>
          <w:szCs w:val="22"/>
        </w:rPr>
        <w:t>s</w:t>
      </w:r>
      <w:r w:rsidRPr="00534E7C" w:rsidR="007E61AE">
        <w:rPr>
          <w:color w:val="000000"/>
          <w:szCs w:val="22"/>
        </w:rPr>
        <w:t>pecify the proposed transmitter’s operating parameters, including site location, frequencies, antenna height, and power;</w:t>
      </w:r>
    </w:p>
    <w:p w:rsidR="00676EC8" w:rsidRPr="00534E7C" w:rsidP="00676EC8" w14:paraId="64FCBE96" w14:textId="7846AECB">
      <w:pPr>
        <w:pStyle w:val="ParaNum"/>
        <w:numPr>
          <w:ilvl w:val="0"/>
          <w:numId w:val="36"/>
        </w:numPr>
        <w:rPr>
          <w:color w:val="000000"/>
          <w:szCs w:val="22"/>
        </w:rPr>
      </w:pPr>
      <w:r w:rsidRPr="00534E7C">
        <w:rPr>
          <w:color w:val="000000"/>
          <w:szCs w:val="22"/>
        </w:rPr>
        <w:t>include a point of contact</w:t>
      </w:r>
      <w:r w:rsidR="00897215">
        <w:rPr>
          <w:color w:val="000000"/>
          <w:szCs w:val="22"/>
        </w:rPr>
        <w:t xml:space="preserve"> with the </w:t>
      </w:r>
      <w:r w:rsidRPr="00534E7C">
        <w:rPr>
          <w:color w:val="000000"/>
          <w:szCs w:val="22"/>
        </w:rPr>
        <w:t>address, email address, and phone number, to address any concerns regarding potential interference</w:t>
      </w:r>
      <w:r w:rsidRPr="00534E7C">
        <w:rPr>
          <w:color w:val="000000"/>
          <w:szCs w:val="22"/>
        </w:rPr>
        <w:t>;</w:t>
      </w:r>
      <w:r w:rsidRPr="00534E7C">
        <w:rPr>
          <w:color w:val="000000"/>
          <w:szCs w:val="22"/>
        </w:rPr>
        <w:t xml:space="preserve"> and</w:t>
      </w:r>
    </w:p>
    <w:p w:rsidR="007E61AE" w:rsidRPr="00534E7C" w:rsidP="00676EC8" w14:paraId="0063A84D" w14:textId="67F39FA2">
      <w:pPr>
        <w:pStyle w:val="ParaNum"/>
        <w:numPr>
          <w:ilvl w:val="0"/>
          <w:numId w:val="36"/>
        </w:numPr>
        <w:rPr>
          <w:color w:val="000000"/>
          <w:szCs w:val="22"/>
        </w:rPr>
      </w:pPr>
      <w:r w:rsidRPr="00534E7C">
        <w:rPr>
          <w:color w:val="000000"/>
          <w:szCs w:val="22"/>
        </w:rPr>
        <w:t>be concurrently transmitted by mail and email to the licensee, to the licensee contact and, if different, to the licensee’s FCC Registration Number contact.</w:t>
      </w:r>
      <w:r>
        <w:rPr>
          <w:rStyle w:val="FootnoteReference"/>
          <w:sz w:val="22"/>
          <w:szCs w:val="22"/>
        </w:rPr>
        <w:footnoteReference w:id="149"/>
      </w:r>
      <w:r w:rsidRPr="00534E7C">
        <w:rPr>
          <w:color w:val="000000"/>
          <w:szCs w:val="22"/>
        </w:rPr>
        <w:t xml:space="preserve"> </w:t>
      </w:r>
    </w:p>
    <w:p w:rsidR="00676EC8" w:rsidRPr="00534E7C" w:rsidP="00185129" w14:paraId="0DE09582" w14:textId="77777777">
      <w:pPr>
        <w:pStyle w:val="ParaNum"/>
        <w:rPr>
          <w:szCs w:val="22"/>
        </w:rPr>
      </w:pPr>
      <w:r w:rsidRPr="00534E7C">
        <w:rPr>
          <w:color w:val="000000"/>
          <w:szCs w:val="22"/>
        </w:rPr>
        <w:t xml:space="preserve">The Bureau provided that </w:t>
      </w:r>
      <w:r w:rsidRPr="00534E7C" w:rsidR="007E61AE">
        <w:rPr>
          <w:color w:val="000000"/>
          <w:szCs w:val="22"/>
        </w:rPr>
        <w:t>PTC-220 may begin operating a waiver-enabled transmitter 30 days after the date it transmits the required notice, unless a recipient seeks further information to address concerns regarding potential interference.</w:t>
      </w:r>
      <w:r>
        <w:rPr>
          <w:rStyle w:val="FootnoteReference"/>
          <w:sz w:val="22"/>
          <w:szCs w:val="22"/>
        </w:rPr>
        <w:footnoteReference w:id="150"/>
      </w:r>
      <w:r w:rsidRPr="00534E7C">
        <w:rPr>
          <w:color w:val="000000"/>
          <w:szCs w:val="22"/>
        </w:rPr>
        <w:t xml:space="preserve">  The Bureau also sought to </w:t>
      </w:r>
      <w:r w:rsidRPr="00534E7C" w:rsidR="007E61AE">
        <w:rPr>
          <w:color w:val="000000"/>
          <w:szCs w:val="22"/>
        </w:rPr>
        <w:t xml:space="preserve">address time-sensitive situations, </w:t>
      </w:r>
      <w:r w:rsidRPr="00534E7C">
        <w:rPr>
          <w:color w:val="000000"/>
          <w:szCs w:val="22"/>
        </w:rPr>
        <w:t xml:space="preserve">and stated </w:t>
      </w:r>
      <w:r w:rsidRPr="00534E7C" w:rsidR="007E61AE">
        <w:rPr>
          <w:color w:val="000000"/>
          <w:szCs w:val="22"/>
        </w:rPr>
        <w:t xml:space="preserve">it </w:t>
      </w:r>
      <w:r w:rsidRPr="00534E7C">
        <w:rPr>
          <w:color w:val="000000"/>
          <w:szCs w:val="22"/>
        </w:rPr>
        <w:t xml:space="preserve">would allow PTC-220 </w:t>
      </w:r>
      <w:r w:rsidRPr="00534E7C" w:rsidR="001D1638">
        <w:rPr>
          <w:color w:val="000000"/>
          <w:szCs w:val="22"/>
        </w:rPr>
        <w:t>“</w:t>
      </w:r>
      <w:r w:rsidRPr="00534E7C" w:rsidR="007E61AE">
        <w:rPr>
          <w:color w:val="000000"/>
          <w:szCs w:val="22"/>
        </w:rPr>
        <w:t>to begin operating a transmitter before 30 days have passed, provided it obtains the affirmative concurrence of all notice recipients that they consent to operation of a transmitter before 30 days have passed.</w:t>
      </w:r>
      <w:r w:rsidRPr="00534E7C">
        <w:rPr>
          <w:color w:val="000000"/>
          <w:szCs w:val="22"/>
        </w:rPr>
        <w:t>”</w:t>
      </w:r>
      <w:r>
        <w:rPr>
          <w:rStyle w:val="FootnoteReference"/>
          <w:sz w:val="22"/>
          <w:szCs w:val="22"/>
        </w:rPr>
        <w:footnoteReference w:id="151"/>
      </w:r>
    </w:p>
    <w:p w:rsidR="00C52319" w:rsidRPr="00534E7C" w:rsidP="007D6937" w14:paraId="089B2797" w14:textId="686960F2">
      <w:pPr>
        <w:pStyle w:val="ParaNum"/>
        <w:rPr>
          <w:szCs w:val="22"/>
        </w:rPr>
      </w:pPr>
      <w:r w:rsidRPr="00534E7C">
        <w:rPr>
          <w:color w:val="000000"/>
          <w:szCs w:val="22"/>
        </w:rPr>
        <w:t xml:space="preserve">We seek to ensure that 220 MHz Band licensees have sufficient time to consider PTC-220’s proposed waiver-enabled deployments of </w:t>
      </w:r>
      <w:r w:rsidRPr="00534E7C" w:rsidR="005E6319">
        <w:rPr>
          <w:color w:val="000000"/>
          <w:szCs w:val="22"/>
        </w:rPr>
        <w:t xml:space="preserve">additional </w:t>
      </w:r>
      <w:r w:rsidRPr="00534E7C" w:rsidR="00676EC8">
        <w:rPr>
          <w:color w:val="000000"/>
          <w:szCs w:val="22"/>
        </w:rPr>
        <w:t xml:space="preserve">rail safety </w:t>
      </w:r>
      <w:r w:rsidRPr="00534E7C" w:rsidR="005E6319">
        <w:rPr>
          <w:color w:val="000000"/>
          <w:szCs w:val="22"/>
        </w:rPr>
        <w:t>systems</w:t>
      </w:r>
      <w:r w:rsidRPr="00534E7C" w:rsidR="005A7C30">
        <w:rPr>
          <w:color w:val="000000"/>
          <w:szCs w:val="22"/>
        </w:rPr>
        <w:t>.  Therefore,</w:t>
      </w:r>
      <w:r w:rsidRPr="00534E7C" w:rsidR="005E6319">
        <w:rPr>
          <w:color w:val="000000"/>
          <w:szCs w:val="22"/>
        </w:rPr>
        <w:t xml:space="preserve"> </w:t>
      </w:r>
      <w:r w:rsidRPr="00534E7C" w:rsidR="005A7C30">
        <w:rPr>
          <w:color w:val="000000"/>
          <w:szCs w:val="22"/>
        </w:rPr>
        <w:t>we</w:t>
      </w:r>
      <w:r w:rsidRPr="00534E7C">
        <w:rPr>
          <w:color w:val="000000"/>
          <w:szCs w:val="22"/>
        </w:rPr>
        <w:t xml:space="preserve"> will require PTC-220 to </w:t>
      </w:r>
      <w:r w:rsidRPr="00534E7C" w:rsidR="00676EC8">
        <w:rPr>
          <w:color w:val="000000"/>
          <w:szCs w:val="22"/>
        </w:rPr>
        <w:t xml:space="preserve">comply with the foregoing prior notification </w:t>
      </w:r>
      <w:r w:rsidRPr="00534E7C" w:rsidR="00676EC8">
        <w:rPr>
          <w:szCs w:val="22"/>
        </w:rPr>
        <w:t>requirements</w:t>
      </w:r>
      <w:r w:rsidRPr="00534E7C" w:rsidR="005470AE">
        <w:rPr>
          <w:szCs w:val="22"/>
        </w:rPr>
        <w:t xml:space="preserve"> when deploying </w:t>
      </w:r>
      <w:r w:rsidRPr="00534E7C" w:rsidR="00896971">
        <w:rPr>
          <w:szCs w:val="22"/>
        </w:rPr>
        <w:t xml:space="preserve">additional rail safety systems </w:t>
      </w:r>
      <w:r w:rsidRPr="00534E7C" w:rsidR="005470AE">
        <w:rPr>
          <w:szCs w:val="22"/>
        </w:rPr>
        <w:t xml:space="preserve">under </w:t>
      </w:r>
      <w:r w:rsidRPr="00534E7C" w:rsidR="00896971">
        <w:rPr>
          <w:szCs w:val="22"/>
        </w:rPr>
        <w:t xml:space="preserve">the modified </w:t>
      </w:r>
      <w:r w:rsidRPr="00534E7C" w:rsidR="00EC27C0">
        <w:rPr>
          <w:color w:val="000000"/>
          <w:szCs w:val="22"/>
        </w:rPr>
        <w:t xml:space="preserve">waiver of section 90.729(b)’s </w:t>
      </w:r>
      <w:r w:rsidRPr="00534E7C" w:rsidR="00EC27C0">
        <w:rPr>
          <w:szCs w:val="22"/>
        </w:rPr>
        <w:t>power and antenna height limits</w:t>
      </w:r>
      <w:r w:rsidRPr="00534E7C" w:rsidR="00676EC8">
        <w:rPr>
          <w:szCs w:val="22"/>
        </w:rPr>
        <w:t>.</w:t>
      </w:r>
    </w:p>
    <w:p w:rsidR="001C7A58" w:rsidRPr="00534E7C" w:rsidP="006C779F" w14:paraId="3FDFAC66" w14:textId="78DD8D97">
      <w:pPr>
        <w:pStyle w:val="Heading4"/>
        <w:rPr>
          <w:szCs w:val="22"/>
        </w:rPr>
      </w:pPr>
      <w:bookmarkStart w:id="449" w:name="_Toc117162352"/>
      <w:bookmarkStart w:id="450" w:name="_Toc117170612"/>
      <w:bookmarkStart w:id="451" w:name="_Toc117179086"/>
      <w:bookmarkStart w:id="452" w:name="_Toc117517009"/>
      <w:bookmarkStart w:id="453" w:name="_Toc117517923"/>
      <w:bookmarkStart w:id="454" w:name="_Toc117518467"/>
      <w:bookmarkStart w:id="455" w:name="_Toc117518887"/>
      <w:bookmarkStart w:id="456" w:name="_Toc120523635"/>
      <w:bookmarkStart w:id="457" w:name="_Toc126158696"/>
      <w:bookmarkStart w:id="458" w:name="_Toc126158725"/>
      <w:bookmarkStart w:id="459" w:name="_Toc127960202"/>
      <w:bookmarkStart w:id="460" w:name="_Toc127994712"/>
      <w:bookmarkStart w:id="461" w:name="_Toc128039699"/>
      <w:bookmarkStart w:id="462" w:name="_Toc128039846"/>
      <w:bookmarkStart w:id="463" w:name="_Toc131444709"/>
      <w:bookmarkStart w:id="464" w:name="_Toc131444973"/>
      <w:bookmarkStart w:id="465" w:name="_Toc131676573"/>
      <w:bookmarkStart w:id="466" w:name="_Toc133848361"/>
      <w:r w:rsidRPr="00534E7C">
        <w:rPr>
          <w:szCs w:val="22"/>
        </w:rPr>
        <w:t>Section 90.723(f)</w:t>
      </w:r>
      <w:r w:rsidRPr="00534E7C" w:rsidR="00EC2959">
        <w:rPr>
          <w:szCs w:val="22"/>
        </w:rPr>
        <w:t>,</w:t>
      </w:r>
      <w:r w:rsidRPr="00534E7C" w:rsidR="00214CC3">
        <w:rPr>
          <w:szCs w:val="22"/>
        </w:rPr>
        <w:t xml:space="preserve"> </w:t>
      </w:r>
      <w:r w:rsidRPr="00534E7C" w:rsidR="0076224A">
        <w:rPr>
          <w:szCs w:val="22"/>
        </w:rPr>
        <w:t>Coordination Requirement</w:t>
      </w:r>
      <w:bookmarkEnd w:id="449"/>
      <w:bookmarkEnd w:id="450"/>
      <w:r w:rsidRPr="00534E7C" w:rsidR="006E1596">
        <w:rPr>
          <w:szCs w:val="22"/>
        </w:rPr>
        <w: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495D93" w:rsidRPr="00534E7C" w:rsidP="00B528F1" w14:paraId="502A2041" w14:textId="08400B1B">
      <w:pPr>
        <w:pStyle w:val="ParaNum"/>
        <w:rPr>
          <w:szCs w:val="22"/>
        </w:rPr>
      </w:pPr>
      <w:r w:rsidRPr="00534E7C">
        <w:rPr>
          <w:szCs w:val="22"/>
        </w:rPr>
        <w:t xml:space="preserve">PTC-220 requests that we modify its waiver of </w:t>
      </w:r>
      <w:r w:rsidRPr="00534E7C">
        <w:rPr>
          <w:szCs w:val="22"/>
        </w:rPr>
        <w:t>section 90.723(f)</w:t>
      </w:r>
      <w:r w:rsidRPr="00534E7C">
        <w:rPr>
          <w:szCs w:val="22"/>
        </w:rPr>
        <w:t xml:space="preserve">, which </w:t>
      </w:r>
      <w:r w:rsidRPr="00534E7C">
        <w:rPr>
          <w:szCs w:val="22"/>
        </w:rPr>
        <w:t xml:space="preserve">requires Phase II licensees with base or fixed stations transmitting on frequencies in </w:t>
      </w:r>
      <w:r w:rsidRPr="00534E7C" w:rsidR="00D2776D">
        <w:rPr>
          <w:szCs w:val="22"/>
        </w:rPr>
        <w:t>s</w:t>
      </w:r>
      <w:r w:rsidRPr="00534E7C">
        <w:rPr>
          <w:szCs w:val="22"/>
        </w:rPr>
        <w:t>ub-band B (220.8025-220.9975 MHz) of the lower 220-221 MHz band segment</w:t>
      </w:r>
      <w:r w:rsidR="0022794D">
        <w:rPr>
          <w:szCs w:val="22"/>
        </w:rPr>
        <w:t>,</w:t>
      </w:r>
      <w:r w:rsidRPr="00534E7C">
        <w:rPr>
          <w:szCs w:val="22"/>
        </w:rPr>
        <w:t xml:space="preserve"> and Phase II licensees with base or fixed stations receiving on </w:t>
      </w:r>
      <w:r w:rsidRPr="00534E7C" w:rsidR="00D2776D">
        <w:rPr>
          <w:szCs w:val="22"/>
        </w:rPr>
        <w:t>s</w:t>
      </w:r>
      <w:r w:rsidRPr="00534E7C">
        <w:rPr>
          <w:szCs w:val="22"/>
        </w:rPr>
        <w:t>ub-band A (221.0025-221.1975 MHz) of the upper 221-222 MHz band segment to coordinate the location of stations to avoid interference where the transmitting and receiving frequencies are 200 kHz or less apart.</w:t>
      </w:r>
      <w:r>
        <w:rPr>
          <w:rStyle w:val="FootnoteReference"/>
          <w:sz w:val="22"/>
          <w:szCs w:val="22"/>
        </w:rPr>
        <w:footnoteReference w:id="152"/>
      </w:r>
      <w:r w:rsidRPr="00534E7C">
        <w:rPr>
          <w:szCs w:val="22"/>
        </w:rPr>
        <w:t xml:space="preserve">  The underlying purpose of </w:t>
      </w:r>
      <w:r w:rsidRPr="00534E7C" w:rsidR="00B97002">
        <w:rPr>
          <w:szCs w:val="22"/>
        </w:rPr>
        <w:t xml:space="preserve">section 90.723(f)’s general </w:t>
      </w:r>
      <w:r w:rsidRPr="00534E7C">
        <w:rPr>
          <w:szCs w:val="22"/>
        </w:rPr>
        <w:t xml:space="preserve">coordination requirement is </w:t>
      </w:r>
      <w:r w:rsidRPr="00534E7C" w:rsidR="00B97002">
        <w:rPr>
          <w:szCs w:val="22"/>
        </w:rPr>
        <w:t>“to protect licensees from co- and adjacent channel interference,”</w:t>
      </w:r>
      <w:r>
        <w:rPr>
          <w:rStyle w:val="FootnoteReference"/>
          <w:sz w:val="22"/>
          <w:szCs w:val="22"/>
        </w:rPr>
        <w:footnoteReference w:id="153"/>
      </w:r>
      <w:r w:rsidRPr="00534E7C" w:rsidR="00B97002">
        <w:rPr>
          <w:szCs w:val="22"/>
        </w:rPr>
        <w:t xml:space="preserve"> by “ensur[ing] that appropriate </w:t>
      </w:r>
      <w:r w:rsidRPr="00534E7C" w:rsidR="00B97002">
        <w:rPr>
          <w:szCs w:val="22"/>
        </w:rPr>
        <w:t>geographic separations are maintained” among licensees deploying in sub-bands A and B.</w:t>
      </w:r>
      <w:r>
        <w:rPr>
          <w:rStyle w:val="FootnoteReference"/>
          <w:sz w:val="22"/>
          <w:szCs w:val="22"/>
        </w:rPr>
        <w:footnoteReference w:id="154"/>
      </w:r>
      <w:r w:rsidRPr="00534E7C">
        <w:rPr>
          <w:color w:val="000000"/>
          <w:szCs w:val="22"/>
        </w:rPr>
        <w:t xml:space="preserve">  </w:t>
      </w:r>
    </w:p>
    <w:p w:rsidR="00ED1D3B" w:rsidRPr="00534E7C" w:rsidP="00ED1D3B" w14:paraId="3701BEB9" w14:textId="788847D6">
      <w:pPr>
        <w:pStyle w:val="ParaNum"/>
        <w:rPr>
          <w:szCs w:val="22"/>
        </w:rPr>
      </w:pPr>
      <w:r w:rsidRPr="00534E7C">
        <w:rPr>
          <w:color w:val="000000"/>
          <w:szCs w:val="22"/>
        </w:rPr>
        <w:t xml:space="preserve">As </w:t>
      </w:r>
      <w:r w:rsidRPr="00534E7C" w:rsidR="002B4A6B">
        <w:rPr>
          <w:color w:val="000000"/>
          <w:szCs w:val="22"/>
        </w:rPr>
        <w:t xml:space="preserve">explained </w:t>
      </w:r>
      <w:r w:rsidRPr="00534E7C">
        <w:rPr>
          <w:color w:val="000000"/>
          <w:szCs w:val="22"/>
        </w:rPr>
        <w:t>above, i</w:t>
      </w:r>
      <w:r w:rsidRPr="00534E7C" w:rsidR="00676EC8">
        <w:rPr>
          <w:color w:val="000000"/>
          <w:szCs w:val="22"/>
        </w:rPr>
        <w:t xml:space="preserve">n the </w:t>
      </w:r>
      <w:r w:rsidRPr="00534E7C" w:rsidR="00676EC8">
        <w:rPr>
          <w:i/>
          <w:iCs/>
          <w:color w:val="000000"/>
          <w:szCs w:val="22"/>
        </w:rPr>
        <w:t>2015 Waiver Order</w:t>
      </w:r>
      <w:r w:rsidRPr="00534E7C" w:rsidR="00676EC8">
        <w:rPr>
          <w:color w:val="000000"/>
          <w:szCs w:val="22"/>
        </w:rPr>
        <w:t>, t</w:t>
      </w:r>
      <w:r w:rsidRPr="00534E7C" w:rsidR="0076224A">
        <w:rPr>
          <w:szCs w:val="22"/>
        </w:rPr>
        <w:t xml:space="preserve">he Bureau </w:t>
      </w:r>
      <w:r w:rsidRPr="00534E7C" w:rsidR="00F341B2">
        <w:rPr>
          <w:szCs w:val="22"/>
        </w:rPr>
        <w:t xml:space="preserve">required PTC-220 to meet </w:t>
      </w:r>
      <w:r w:rsidRPr="00534E7C">
        <w:rPr>
          <w:szCs w:val="22"/>
        </w:rPr>
        <w:t xml:space="preserve">specific geographic and spectral spacing requirements as a condition of </w:t>
      </w:r>
      <w:r w:rsidRPr="00534E7C" w:rsidR="00F341B2">
        <w:rPr>
          <w:szCs w:val="22"/>
        </w:rPr>
        <w:t xml:space="preserve">deploying transmitters </w:t>
      </w:r>
      <w:r w:rsidRPr="00534E7C" w:rsidR="00AA71D5">
        <w:rPr>
          <w:szCs w:val="22"/>
        </w:rPr>
        <w:t>with increased</w:t>
      </w:r>
      <w:r w:rsidRPr="00534E7C">
        <w:rPr>
          <w:szCs w:val="22"/>
        </w:rPr>
        <w:t xml:space="preserve"> power and antenna height </w:t>
      </w:r>
      <w:r w:rsidRPr="00534E7C" w:rsidR="002B4A6B">
        <w:rPr>
          <w:szCs w:val="22"/>
        </w:rPr>
        <w:t>in the upper 221-222 MHz band segment</w:t>
      </w:r>
      <w:r w:rsidRPr="00534E7C">
        <w:rPr>
          <w:szCs w:val="22"/>
        </w:rPr>
        <w:t>.</w:t>
      </w:r>
      <w:r>
        <w:rPr>
          <w:rStyle w:val="FootnoteReference"/>
          <w:sz w:val="22"/>
          <w:szCs w:val="22"/>
        </w:rPr>
        <w:footnoteReference w:id="155"/>
      </w:r>
      <w:r w:rsidRPr="00534E7C" w:rsidR="002B4A6B">
        <w:rPr>
          <w:szCs w:val="22"/>
        </w:rPr>
        <w:t xml:space="preserve">  The Bureau agreed with PTC-220 that these “spacing requirements should generally obviate the need for PTC-220 to coordinate the location of base stations pursuant to [s]ection 90.723(f).”</w:t>
      </w:r>
      <w:r>
        <w:rPr>
          <w:rStyle w:val="FootnoteReference"/>
          <w:sz w:val="22"/>
          <w:szCs w:val="22"/>
        </w:rPr>
        <w:footnoteReference w:id="156"/>
      </w:r>
      <w:r w:rsidRPr="00534E7C">
        <w:rPr>
          <w:szCs w:val="22"/>
        </w:rPr>
        <w:t xml:space="preserve">  However, </w:t>
      </w:r>
      <w:bookmarkStart w:id="467" w:name="_Hlk114136802"/>
      <w:r w:rsidRPr="00534E7C">
        <w:rPr>
          <w:szCs w:val="22"/>
        </w:rPr>
        <w:t>t</w:t>
      </w:r>
      <w:bookmarkStart w:id="468" w:name="_Hlk114136930"/>
      <w:bookmarkEnd w:id="467"/>
      <w:r w:rsidRPr="00534E7C">
        <w:rPr>
          <w:szCs w:val="22"/>
        </w:rPr>
        <w:t>o “preserve the rights of potentially affected licensees,” the Bureau required PTC-220 to provide at least 30 days</w:t>
      </w:r>
      <w:r w:rsidRPr="00534E7C" w:rsidR="006B1110">
        <w:rPr>
          <w:szCs w:val="22"/>
        </w:rPr>
        <w:t>’</w:t>
      </w:r>
      <w:r w:rsidRPr="00534E7C">
        <w:rPr>
          <w:szCs w:val="22"/>
        </w:rPr>
        <w:t xml:space="preserve"> prior written notice of a planned waiver-enabled transmitter to Phase II licensees, within 200 kHz and 20 kilometers of a proposed transmitter, that would otherwise be covered by section 90.723(f)’s coordination requirements.</w:t>
      </w:r>
      <w:r>
        <w:rPr>
          <w:rStyle w:val="FootnoteReference"/>
          <w:sz w:val="22"/>
          <w:szCs w:val="22"/>
        </w:rPr>
        <w:footnoteReference w:id="157"/>
      </w:r>
      <w:r w:rsidRPr="00534E7C">
        <w:rPr>
          <w:szCs w:val="22"/>
        </w:rPr>
        <w:t xml:space="preserve">  </w:t>
      </w:r>
      <w:bookmarkEnd w:id="468"/>
    </w:p>
    <w:p w:rsidR="00AA71D5" w:rsidRPr="00534E7C" w:rsidP="00AA71D5" w14:paraId="47FAA411" w14:textId="4C5DD23A">
      <w:pPr>
        <w:pStyle w:val="ParaNum"/>
        <w:rPr>
          <w:szCs w:val="22"/>
        </w:rPr>
      </w:pPr>
      <w:r w:rsidRPr="00534E7C">
        <w:rPr>
          <w:i/>
          <w:iCs/>
          <w:szCs w:val="22"/>
        </w:rPr>
        <w:t>Compliance with Section 90.173(b)</w:t>
      </w:r>
      <w:r w:rsidRPr="00534E7C">
        <w:rPr>
          <w:szCs w:val="22"/>
        </w:rPr>
        <w:t xml:space="preserve">.  </w:t>
      </w:r>
      <w:r w:rsidRPr="00534E7C" w:rsidR="00896971">
        <w:rPr>
          <w:szCs w:val="22"/>
        </w:rPr>
        <w:t>Also i</w:t>
      </w:r>
      <w:r w:rsidRPr="00534E7C" w:rsidR="002B44DE">
        <w:rPr>
          <w:szCs w:val="22"/>
        </w:rPr>
        <w:t xml:space="preserve">n the </w:t>
      </w:r>
      <w:r w:rsidRPr="00534E7C" w:rsidR="002B44DE">
        <w:rPr>
          <w:i/>
          <w:iCs/>
          <w:szCs w:val="22"/>
        </w:rPr>
        <w:t>2015 Waiver Order</w:t>
      </w:r>
      <w:r w:rsidRPr="00534E7C" w:rsidR="002B44DE">
        <w:rPr>
          <w:szCs w:val="22"/>
        </w:rPr>
        <w:t>, the Bureau</w:t>
      </w:r>
      <w:r w:rsidRPr="00534E7C" w:rsidR="00896971">
        <w:rPr>
          <w:szCs w:val="22"/>
        </w:rPr>
        <w:t xml:space="preserve"> </w:t>
      </w:r>
      <w:r w:rsidRPr="00534E7C" w:rsidR="002B44DE">
        <w:rPr>
          <w:szCs w:val="22"/>
        </w:rPr>
        <w:t>noted that s</w:t>
      </w:r>
      <w:r w:rsidRPr="00534E7C" w:rsidR="00A30D41">
        <w:rPr>
          <w:szCs w:val="22"/>
        </w:rPr>
        <w:t>ection 90.723(f)</w:t>
      </w:r>
      <w:r w:rsidRPr="00534E7C" w:rsidR="002B44DE">
        <w:rPr>
          <w:szCs w:val="22"/>
        </w:rPr>
        <w:t xml:space="preserve"> </w:t>
      </w:r>
      <w:r w:rsidRPr="00534E7C" w:rsidR="00A30D41">
        <w:rPr>
          <w:szCs w:val="22"/>
        </w:rPr>
        <w:t>requires license</w:t>
      </w:r>
      <w:r w:rsidR="007E11DE">
        <w:rPr>
          <w:szCs w:val="22"/>
        </w:rPr>
        <w:t>e</w:t>
      </w:r>
      <w:r w:rsidRPr="00534E7C" w:rsidR="00A30D41">
        <w:rPr>
          <w:szCs w:val="22"/>
        </w:rPr>
        <w:t>s to cooperate to resolve any instances of interference pursuant to</w:t>
      </w:r>
      <w:r w:rsidRPr="00534E7C" w:rsidR="00EC2959">
        <w:rPr>
          <w:szCs w:val="22"/>
        </w:rPr>
        <w:t xml:space="preserve"> </w:t>
      </w:r>
      <w:r w:rsidRPr="00534E7C" w:rsidR="002B44DE">
        <w:rPr>
          <w:szCs w:val="22"/>
        </w:rPr>
        <w:t>s</w:t>
      </w:r>
      <w:r w:rsidRPr="00534E7C" w:rsidR="00A30D41">
        <w:rPr>
          <w:szCs w:val="22"/>
        </w:rPr>
        <w:t>ection 90.173(b)</w:t>
      </w:r>
      <w:r w:rsidR="00897215">
        <w:rPr>
          <w:szCs w:val="22"/>
        </w:rPr>
        <w:t>,</w:t>
      </w:r>
      <w:r w:rsidR="007E11DE">
        <w:rPr>
          <w:szCs w:val="22"/>
        </w:rPr>
        <w:t xml:space="preserve"> </w:t>
      </w:r>
      <w:r w:rsidR="00897215">
        <w:rPr>
          <w:szCs w:val="22"/>
        </w:rPr>
        <w:t>and</w:t>
      </w:r>
      <w:r w:rsidRPr="00534E7C" w:rsidR="00AD14D7">
        <w:rPr>
          <w:szCs w:val="22"/>
        </w:rPr>
        <w:t xml:space="preserve"> found that the public interest would be served by requiring PTC-220</w:t>
      </w:r>
      <w:r w:rsidRPr="00534E7C" w:rsidR="00AD14D7">
        <w:rPr>
          <w:color w:val="000000"/>
          <w:szCs w:val="22"/>
        </w:rPr>
        <w:t xml:space="preserve"> to comply with section 90.173(b).</w:t>
      </w:r>
      <w:r>
        <w:rPr>
          <w:rStyle w:val="FootnoteReference"/>
          <w:sz w:val="22"/>
          <w:szCs w:val="22"/>
        </w:rPr>
        <w:footnoteReference w:id="158"/>
      </w:r>
      <w:r w:rsidRPr="00534E7C" w:rsidR="00F32272">
        <w:rPr>
          <w:color w:val="000000"/>
          <w:szCs w:val="22"/>
        </w:rPr>
        <w:t xml:space="preserve">  </w:t>
      </w:r>
      <w:r w:rsidRPr="00534E7C" w:rsidR="00AD14D7">
        <w:rPr>
          <w:szCs w:val="22"/>
        </w:rPr>
        <w:t>The r</w:t>
      </w:r>
      <w:r w:rsidRPr="00534E7C">
        <w:rPr>
          <w:szCs w:val="22"/>
        </w:rPr>
        <w:t>ule requires licensees to “cooperate in the selection and use of frequencies in order to reduce interference and make the most effective use of the authorized facilities.”</w:t>
      </w:r>
      <w:bookmarkStart w:id="469" w:name="co_tablefootnote_81_1"/>
      <w:bookmarkEnd w:id="469"/>
      <w:r>
        <w:rPr>
          <w:rStyle w:val="FootnoteReference"/>
          <w:sz w:val="22"/>
          <w:szCs w:val="22"/>
        </w:rPr>
        <w:footnoteReference w:id="159"/>
      </w:r>
      <w:r w:rsidRPr="00534E7C">
        <w:rPr>
          <w:szCs w:val="22"/>
        </w:rPr>
        <w:t xml:space="preserve">  </w:t>
      </w:r>
      <w:r w:rsidRPr="00534E7C" w:rsidR="00AD14D7">
        <w:rPr>
          <w:szCs w:val="22"/>
        </w:rPr>
        <w:t xml:space="preserve">The rule </w:t>
      </w:r>
      <w:r w:rsidRPr="00534E7C" w:rsidR="00F32272">
        <w:rPr>
          <w:szCs w:val="22"/>
        </w:rPr>
        <w:t>states</w:t>
      </w:r>
      <w:r w:rsidRPr="00534E7C">
        <w:rPr>
          <w:szCs w:val="22"/>
        </w:rPr>
        <w:t xml:space="preserve"> that </w:t>
      </w:r>
      <w:r w:rsidRPr="00534E7C" w:rsidR="00EC2959">
        <w:rPr>
          <w:szCs w:val="22"/>
        </w:rPr>
        <w:t>“[l]icensees of stations suffering or causing harmful interference are expected to cooperate and resolve this problem by mutually satisfactory arrangements.”</w:t>
      </w:r>
      <w:bookmarkStart w:id="470" w:name="co_tablefootnote_82_1"/>
      <w:bookmarkEnd w:id="470"/>
      <w:r>
        <w:rPr>
          <w:rStyle w:val="FootnoteReference"/>
          <w:sz w:val="22"/>
          <w:szCs w:val="22"/>
        </w:rPr>
        <w:footnoteReference w:id="160"/>
      </w:r>
      <w:r w:rsidRPr="00534E7C" w:rsidR="00AD14D7">
        <w:rPr>
          <w:szCs w:val="22"/>
        </w:rPr>
        <w:t xml:space="preserve">  </w:t>
      </w:r>
      <w:r w:rsidRPr="00534E7C" w:rsidR="00EC2959">
        <w:rPr>
          <w:szCs w:val="22"/>
        </w:rPr>
        <w:t>Under the rule, where licensees are unable to cooperatively resolve interference concerns, “the Commission may impose restrictions including specifying the transmitter power, antenna height, or area or hours of operation of the stations concerned.”</w:t>
      </w:r>
      <w:bookmarkStart w:id="471" w:name="co_tablefootnote_83_1"/>
      <w:bookmarkEnd w:id="471"/>
      <w:r>
        <w:rPr>
          <w:rStyle w:val="FootnoteReference"/>
          <w:sz w:val="22"/>
          <w:szCs w:val="22"/>
        </w:rPr>
        <w:footnoteReference w:id="161"/>
      </w:r>
    </w:p>
    <w:p w:rsidR="00183898" w:rsidRPr="00534E7C" w:rsidP="002B44DE" w14:paraId="1E2FAD1D" w14:textId="26FEC0B7">
      <w:pPr>
        <w:pStyle w:val="ParaNum"/>
        <w:rPr>
          <w:szCs w:val="22"/>
        </w:rPr>
      </w:pPr>
      <w:r w:rsidRPr="00534E7C">
        <w:rPr>
          <w:szCs w:val="22"/>
        </w:rPr>
        <w:t>We find that, under the first prong of the Commission</w:t>
      </w:r>
      <w:r w:rsidR="00DA6AC1">
        <w:rPr>
          <w:szCs w:val="22"/>
        </w:rPr>
        <w:t>’</w:t>
      </w:r>
      <w:r w:rsidRPr="00534E7C">
        <w:rPr>
          <w:szCs w:val="22"/>
        </w:rPr>
        <w:t xml:space="preserve">s section 1.925(b)(3) waiver standard, </w:t>
      </w:r>
      <w:r w:rsidRPr="00534E7C" w:rsidR="00D80184">
        <w:rPr>
          <w:szCs w:val="22"/>
        </w:rPr>
        <w:t xml:space="preserve">expanding the scope of the previously granted </w:t>
      </w:r>
      <w:r w:rsidRPr="00534E7C">
        <w:rPr>
          <w:szCs w:val="22"/>
        </w:rPr>
        <w:t xml:space="preserve">waiver of section 90.723(f)’s coordination requirements will serve the public interest in rail safety and spectrum efficiency by facilitating the deployment of </w:t>
      </w:r>
      <w:r w:rsidRPr="00534E7C" w:rsidR="005E6319">
        <w:rPr>
          <w:szCs w:val="22"/>
        </w:rPr>
        <w:t xml:space="preserve">additional </w:t>
      </w:r>
      <w:r w:rsidRPr="00534E7C">
        <w:rPr>
          <w:szCs w:val="22"/>
        </w:rPr>
        <w:t>rail safety applications in the 220 MHz Band</w:t>
      </w:r>
      <w:r w:rsidRPr="00534E7C" w:rsidR="00D80184">
        <w:rPr>
          <w:szCs w:val="22"/>
        </w:rPr>
        <w:t>,</w:t>
      </w:r>
      <w:r w:rsidRPr="00534E7C">
        <w:rPr>
          <w:szCs w:val="22"/>
        </w:rPr>
        <w:t xml:space="preserve"> and that the underlying purpose of the rule</w:t>
      </w:r>
      <w:r w:rsidR="00DC05FE">
        <w:rPr>
          <w:szCs w:val="22"/>
        </w:rPr>
        <w:t>—</w:t>
      </w:r>
      <w:r w:rsidRPr="00534E7C">
        <w:rPr>
          <w:szCs w:val="22"/>
        </w:rPr>
        <w:t>to limit interference</w:t>
      </w:r>
      <w:r w:rsidR="00DC05FE">
        <w:rPr>
          <w:szCs w:val="22"/>
        </w:rPr>
        <w:t>—</w:t>
      </w:r>
      <w:r w:rsidRPr="00534E7C">
        <w:rPr>
          <w:szCs w:val="22"/>
        </w:rPr>
        <w:t>would not be served by strict application here.</w:t>
      </w:r>
      <w:r>
        <w:rPr>
          <w:rStyle w:val="FootnoteReference"/>
          <w:sz w:val="22"/>
          <w:szCs w:val="22"/>
        </w:rPr>
        <w:footnoteReference w:id="162"/>
      </w:r>
      <w:r w:rsidRPr="00534E7C">
        <w:rPr>
          <w:szCs w:val="22"/>
        </w:rPr>
        <w:t xml:space="preserve">  Consistent with the </w:t>
      </w:r>
      <w:r w:rsidRPr="00534E7C">
        <w:rPr>
          <w:i/>
          <w:iCs/>
          <w:color w:val="000000"/>
          <w:szCs w:val="22"/>
        </w:rPr>
        <w:t>2015 Waiver Order</w:t>
      </w:r>
      <w:r w:rsidRPr="00534E7C">
        <w:rPr>
          <w:color w:val="000000"/>
          <w:szCs w:val="22"/>
        </w:rPr>
        <w:t xml:space="preserve"> and to ensure that potentially affected licensees have sufficient time to consider the impact of transmitters using increased height or power under </w:t>
      </w:r>
      <w:r w:rsidRPr="00534E7C" w:rsidR="00F32272">
        <w:rPr>
          <w:color w:val="000000"/>
          <w:szCs w:val="22"/>
        </w:rPr>
        <w:t xml:space="preserve">a </w:t>
      </w:r>
      <w:r w:rsidRPr="00534E7C">
        <w:rPr>
          <w:color w:val="000000"/>
          <w:szCs w:val="22"/>
        </w:rPr>
        <w:t xml:space="preserve">waiver of section 90.729(b), we will require </w:t>
      </w:r>
      <w:r w:rsidRPr="00534E7C">
        <w:rPr>
          <w:szCs w:val="22"/>
        </w:rPr>
        <w:t>PTC-220 to provide at least 30 days</w:t>
      </w:r>
      <w:r w:rsidR="0022794D">
        <w:rPr>
          <w:szCs w:val="22"/>
        </w:rPr>
        <w:t>’</w:t>
      </w:r>
      <w:r w:rsidRPr="00534E7C">
        <w:rPr>
          <w:szCs w:val="22"/>
        </w:rPr>
        <w:t xml:space="preserve"> prior written notice of a planned deployment of a waiver-enabled transmitter to Phase II licensees, within 200 kHz and 20 kilometers of a proposed transmitter, that would otherwise be covered by section 90.723(f)’s coordination requirements.  The notice must be delivered by the means, and include the information, specified above.</w:t>
      </w:r>
      <w:r>
        <w:rPr>
          <w:rStyle w:val="FootnoteReference"/>
          <w:sz w:val="22"/>
          <w:szCs w:val="22"/>
        </w:rPr>
        <w:footnoteReference w:id="163"/>
      </w:r>
      <w:r w:rsidRPr="00534E7C" w:rsidR="00F32272">
        <w:rPr>
          <w:szCs w:val="22"/>
        </w:rPr>
        <w:t xml:space="preserve">     </w:t>
      </w:r>
      <w:r w:rsidRPr="00534E7C" w:rsidR="00EC2959">
        <w:rPr>
          <w:szCs w:val="22"/>
        </w:rPr>
        <w:t xml:space="preserve">  </w:t>
      </w:r>
    </w:p>
    <w:p w:rsidR="0076224A" w:rsidRPr="00534E7C" w:rsidP="006C779F" w14:paraId="287CC9B5" w14:textId="370C72DF">
      <w:pPr>
        <w:pStyle w:val="Heading3"/>
        <w:rPr>
          <w:szCs w:val="22"/>
        </w:rPr>
      </w:pPr>
      <w:bookmarkStart w:id="472" w:name="_Toc117162353"/>
      <w:bookmarkStart w:id="473" w:name="_Toc117170613"/>
      <w:bookmarkStart w:id="474" w:name="_Toc117179087"/>
      <w:bookmarkStart w:id="475" w:name="_Toc117517010"/>
      <w:bookmarkStart w:id="476" w:name="_Toc117517924"/>
      <w:bookmarkStart w:id="477" w:name="_Toc117518468"/>
      <w:bookmarkStart w:id="478" w:name="_Toc117518888"/>
      <w:bookmarkStart w:id="479" w:name="_Toc120523636"/>
      <w:bookmarkStart w:id="480" w:name="_Toc121150587"/>
      <w:bookmarkStart w:id="481" w:name="_Toc126158697"/>
      <w:bookmarkStart w:id="482" w:name="_Toc126158726"/>
      <w:bookmarkStart w:id="483" w:name="_Toc127960203"/>
      <w:bookmarkStart w:id="484" w:name="_Toc127994713"/>
      <w:bookmarkStart w:id="485" w:name="_Toc128039700"/>
      <w:bookmarkStart w:id="486" w:name="_Toc128039763"/>
      <w:bookmarkStart w:id="487" w:name="_Toc128039847"/>
      <w:bookmarkStart w:id="488" w:name="_Toc131444710"/>
      <w:bookmarkStart w:id="489" w:name="_Toc131444974"/>
      <w:bookmarkStart w:id="490" w:name="_Toc131676574"/>
      <w:bookmarkStart w:id="491" w:name="_Toc133848362"/>
      <w:r w:rsidRPr="00534E7C">
        <w:rPr>
          <w:szCs w:val="22"/>
        </w:rPr>
        <w:t xml:space="preserve">Enhanced </w:t>
      </w:r>
      <w:r w:rsidRPr="00534E7C" w:rsidR="00E075F8">
        <w:rPr>
          <w:szCs w:val="22"/>
        </w:rPr>
        <w:t xml:space="preserve">Interference Mitigation </w:t>
      </w:r>
      <w:r w:rsidRPr="00534E7C">
        <w:rPr>
          <w:szCs w:val="22"/>
        </w:rPr>
        <w:t>Procedures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534E7C" w:rsidR="001D1638">
        <w:rPr>
          <w:szCs w:val="22"/>
        </w:rPr>
        <w:t xml:space="preserve"> </w:t>
      </w:r>
    </w:p>
    <w:p w:rsidR="001E62E7" w:rsidP="0063553B" w14:paraId="1313EBC3" w14:textId="77777777">
      <w:pPr>
        <w:pStyle w:val="ParaNum"/>
        <w:rPr>
          <w:szCs w:val="22"/>
        </w:rPr>
      </w:pPr>
      <w:r w:rsidRPr="00534E7C">
        <w:rPr>
          <w:szCs w:val="22"/>
        </w:rPr>
        <w:t xml:space="preserve">PTC-220 </w:t>
      </w:r>
      <w:r w:rsidRPr="00534E7C" w:rsidR="0056661C">
        <w:rPr>
          <w:szCs w:val="22"/>
        </w:rPr>
        <w:t>does not</w:t>
      </w:r>
      <w:r w:rsidRPr="00534E7C">
        <w:rPr>
          <w:szCs w:val="22"/>
        </w:rPr>
        <w:t xml:space="preserve"> seek any changes to the </w:t>
      </w:r>
      <w:r w:rsidRPr="00534E7C" w:rsidR="0056661C">
        <w:rPr>
          <w:szCs w:val="22"/>
        </w:rPr>
        <w:t xml:space="preserve">existing rule waivers’ </w:t>
      </w:r>
      <w:r w:rsidRPr="00534E7C">
        <w:rPr>
          <w:szCs w:val="22"/>
        </w:rPr>
        <w:t xml:space="preserve">technical parameters under which the railroads’ 220 MHz </w:t>
      </w:r>
      <w:r w:rsidRPr="00534E7C" w:rsidR="0056661C">
        <w:rPr>
          <w:szCs w:val="22"/>
        </w:rPr>
        <w:t xml:space="preserve">Band </w:t>
      </w:r>
      <w:r w:rsidRPr="00534E7C" w:rsidR="00EE5DCD">
        <w:rPr>
          <w:szCs w:val="22"/>
        </w:rPr>
        <w:t xml:space="preserve">PTC </w:t>
      </w:r>
      <w:r w:rsidRPr="00534E7C">
        <w:rPr>
          <w:szCs w:val="22"/>
        </w:rPr>
        <w:t>network currently operates</w:t>
      </w:r>
      <w:r w:rsidRPr="00534E7C" w:rsidR="0056661C">
        <w:rPr>
          <w:szCs w:val="22"/>
        </w:rPr>
        <w:t>.</w:t>
      </w:r>
      <w:r>
        <w:rPr>
          <w:rStyle w:val="FootnoteReference"/>
          <w:sz w:val="22"/>
          <w:szCs w:val="22"/>
        </w:rPr>
        <w:footnoteReference w:id="164"/>
      </w:r>
      <w:r w:rsidRPr="00534E7C" w:rsidR="0056661C">
        <w:rPr>
          <w:szCs w:val="22"/>
        </w:rPr>
        <w:t xml:space="preserve">  PTC-220 </w:t>
      </w:r>
      <w:r w:rsidRPr="00534E7C" w:rsidR="002B23D9">
        <w:rPr>
          <w:szCs w:val="22"/>
        </w:rPr>
        <w:t xml:space="preserve">states that it </w:t>
      </w:r>
      <w:r w:rsidRPr="00534E7C" w:rsidR="0056661C">
        <w:rPr>
          <w:szCs w:val="22"/>
        </w:rPr>
        <w:t xml:space="preserve">expects </w:t>
      </w:r>
      <w:r w:rsidRPr="00534E7C">
        <w:rPr>
          <w:szCs w:val="22"/>
        </w:rPr>
        <w:t>no increased likelihood of harmful interference</w:t>
      </w:r>
      <w:r w:rsidRPr="00534E7C" w:rsidR="0056661C">
        <w:rPr>
          <w:szCs w:val="22"/>
        </w:rPr>
        <w:t xml:space="preserve"> from deployment of non-PTC rail safety </w:t>
      </w:r>
      <w:r w:rsidRPr="00534E7C" w:rsidR="005E6319">
        <w:rPr>
          <w:szCs w:val="22"/>
        </w:rPr>
        <w:t xml:space="preserve">systems </w:t>
      </w:r>
      <w:r w:rsidRPr="00534E7C" w:rsidR="0056661C">
        <w:rPr>
          <w:szCs w:val="22"/>
        </w:rPr>
        <w:t>in the 220 MHz Band.</w:t>
      </w:r>
      <w:r>
        <w:rPr>
          <w:rStyle w:val="FootnoteReference"/>
          <w:sz w:val="22"/>
          <w:szCs w:val="22"/>
        </w:rPr>
        <w:footnoteReference w:id="165"/>
      </w:r>
      <w:r w:rsidRPr="00534E7C" w:rsidR="000D1B06">
        <w:rPr>
          <w:szCs w:val="22"/>
        </w:rPr>
        <w:t xml:space="preserve">  However, </w:t>
      </w:r>
      <w:r w:rsidRPr="00534E7C" w:rsidR="00ED3124">
        <w:rPr>
          <w:szCs w:val="22"/>
        </w:rPr>
        <w:t xml:space="preserve">to </w:t>
      </w:r>
      <w:r w:rsidRPr="00534E7C">
        <w:rPr>
          <w:szCs w:val="22"/>
        </w:rPr>
        <w:t xml:space="preserve">address any interference-related concerns from expanded operations in the 220 MHz </w:t>
      </w:r>
      <w:r w:rsidR="007B6AED">
        <w:rPr>
          <w:szCs w:val="22"/>
        </w:rPr>
        <w:t>B</w:t>
      </w:r>
      <w:r w:rsidRPr="00534E7C">
        <w:rPr>
          <w:szCs w:val="22"/>
        </w:rPr>
        <w:t xml:space="preserve">and, </w:t>
      </w:r>
      <w:r w:rsidRPr="00534E7C" w:rsidR="000D1B06">
        <w:rPr>
          <w:szCs w:val="22"/>
        </w:rPr>
        <w:t xml:space="preserve">PTC-220 states that </w:t>
      </w:r>
      <w:r w:rsidRPr="00534E7C" w:rsidR="00ED3124">
        <w:rPr>
          <w:szCs w:val="22"/>
        </w:rPr>
        <w:t xml:space="preserve">it </w:t>
      </w:r>
      <w:r w:rsidRPr="00534E7C">
        <w:rPr>
          <w:szCs w:val="22"/>
        </w:rPr>
        <w:t xml:space="preserve">is willing to follow the </w:t>
      </w:r>
      <w:r w:rsidRPr="00534E7C" w:rsidR="002B23D9">
        <w:rPr>
          <w:szCs w:val="22"/>
        </w:rPr>
        <w:t xml:space="preserve">enhanced </w:t>
      </w:r>
      <w:r w:rsidRPr="00534E7C">
        <w:rPr>
          <w:szCs w:val="22"/>
        </w:rPr>
        <w:t xml:space="preserve">interference mitigation procedures that the Commission </w:t>
      </w:r>
      <w:r w:rsidRPr="00534E7C" w:rsidR="007D2D05">
        <w:rPr>
          <w:szCs w:val="22"/>
        </w:rPr>
        <w:t xml:space="preserve">adopted </w:t>
      </w:r>
      <w:r w:rsidRPr="00534E7C">
        <w:rPr>
          <w:szCs w:val="22"/>
        </w:rPr>
        <w:t xml:space="preserve">when it granted </w:t>
      </w:r>
      <w:r w:rsidRPr="00534E7C" w:rsidR="002B23D9">
        <w:rPr>
          <w:szCs w:val="22"/>
        </w:rPr>
        <w:t>PTC</w:t>
      </w:r>
      <w:r w:rsidRPr="00534E7C">
        <w:rPr>
          <w:szCs w:val="22"/>
        </w:rPr>
        <w:t>-220</w:t>
      </w:r>
      <w:r w:rsidRPr="00534E7C" w:rsidR="002B23D9">
        <w:rPr>
          <w:szCs w:val="22"/>
        </w:rPr>
        <w:t xml:space="preserve"> a </w:t>
      </w:r>
      <w:r w:rsidRPr="00534E7C">
        <w:rPr>
          <w:szCs w:val="22"/>
        </w:rPr>
        <w:t xml:space="preserve">waiver </w:t>
      </w:r>
      <w:r w:rsidRPr="00534E7C" w:rsidR="002B23D9">
        <w:rPr>
          <w:szCs w:val="22"/>
        </w:rPr>
        <w:t xml:space="preserve">of certain rules to enable deployment of PTC and other </w:t>
      </w:r>
      <w:r w:rsidRPr="00534E7C" w:rsidR="00EE5DCD">
        <w:rPr>
          <w:szCs w:val="22"/>
        </w:rPr>
        <w:t xml:space="preserve">rail </w:t>
      </w:r>
      <w:r w:rsidRPr="00534E7C" w:rsidR="002B23D9">
        <w:rPr>
          <w:szCs w:val="22"/>
        </w:rPr>
        <w:t xml:space="preserve">safety </w:t>
      </w:r>
      <w:r w:rsidRPr="00534E7C" w:rsidR="005E6319">
        <w:rPr>
          <w:szCs w:val="22"/>
        </w:rPr>
        <w:t xml:space="preserve">systems </w:t>
      </w:r>
      <w:r w:rsidRPr="00534E7C" w:rsidR="002B23D9">
        <w:rPr>
          <w:szCs w:val="22"/>
        </w:rPr>
        <w:t xml:space="preserve">using </w:t>
      </w:r>
      <w:r w:rsidRPr="00534E7C">
        <w:rPr>
          <w:szCs w:val="22"/>
        </w:rPr>
        <w:t xml:space="preserve">PTC-220’s </w:t>
      </w:r>
      <w:r w:rsidRPr="00534E7C" w:rsidR="007D2D05">
        <w:rPr>
          <w:szCs w:val="22"/>
        </w:rPr>
        <w:t xml:space="preserve">adjacent </w:t>
      </w:r>
      <w:r w:rsidRPr="00534E7C">
        <w:rPr>
          <w:szCs w:val="22"/>
        </w:rPr>
        <w:t xml:space="preserve">AMTS </w:t>
      </w:r>
      <w:r w:rsidRPr="00534E7C" w:rsidR="00EE5DCD">
        <w:rPr>
          <w:szCs w:val="22"/>
        </w:rPr>
        <w:t>Band spectrum</w:t>
      </w:r>
      <w:r w:rsidRPr="00534E7C">
        <w:rPr>
          <w:szCs w:val="22"/>
        </w:rPr>
        <w:t>.</w:t>
      </w:r>
      <w:r>
        <w:rPr>
          <w:rStyle w:val="FootnoteReference"/>
          <w:sz w:val="22"/>
          <w:szCs w:val="22"/>
        </w:rPr>
        <w:footnoteReference w:id="166"/>
      </w:r>
      <w:r w:rsidRPr="00534E7C" w:rsidR="0063553B">
        <w:rPr>
          <w:szCs w:val="22"/>
        </w:rPr>
        <w:t xml:space="preserve">  </w:t>
      </w:r>
    </w:p>
    <w:p w:rsidR="0063553B" w:rsidRPr="00534E7C" w:rsidP="0063553B" w14:paraId="20BE2E95" w14:textId="05867A71">
      <w:pPr>
        <w:pStyle w:val="ParaNum"/>
        <w:rPr>
          <w:szCs w:val="22"/>
        </w:rPr>
      </w:pPr>
      <w:r w:rsidRPr="00534E7C">
        <w:rPr>
          <w:szCs w:val="22"/>
        </w:rPr>
        <w:t>Consistent with that commitment</w:t>
      </w:r>
      <w:r w:rsidRPr="00534E7C" w:rsidR="00EE5DCD">
        <w:rPr>
          <w:szCs w:val="22"/>
        </w:rPr>
        <w:t xml:space="preserve"> and </w:t>
      </w:r>
      <w:r w:rsidRPr="00534E7C">
        <w:rPr>
          <w:szCs w:val="22"/>
        </w:rPr>
        <w:t xml:space="preserve">as a condition of today’s </w:t>
      </w:r>
      <w:r w:rsidRPr="00534E7C" w:rsidR="00EE5DCD">
        <w:rPr>
          <w:szCs w:val="22"/>
        </w:rPr>
        <w:t xml:space="preserve">modification </w:t>
      </w:r>
      <w:r w:rsidRPr="00534E7C">
        <w:rPr>
          <w:szCs w:val="22"/>
        </w:rPr>
        <w:t xml:space="preserve">of the six rule waivers, we </w:t>
      </w:r>
      <w:r w:rsidRPr="00534E7C" w:rsidR="000D1B06">
        <w:rPr>
          <w:szCs w:val="22"/>
        </w:rPr>
        <w:t xml:space="preserve">will </w:t>
      </w:r>
      <w:r w:rsidRPr="00534E7C">
        <w:rPr>
          <w:szCs w:val="22"/>
        </w:rPr>
        <w:t>require</w:t>
      </w:r>
      <w:r w:rsidRPr="00534E7C" w:rsidR="00EE5DCD">
        <w:rPr>
          <w:szCs w:val="22"/>
        </w:rPr>
        <w:t xml:space="preserve"> that</w:t>
      </w:r>
      <w:r w:rsidRPr="00534E7C" w:rsidR="00D80184">
        <w:rPr>
          <w:szCs w:val="22"/>
        </w:rPr>
        <w:t xml:space="preserve"> PTC-220 do the following</w:t>
      </w:r>
      <w:r w:rsidRPr="00534E7C">
        <w:rPr>
          <w:szCs w:val="22"/>
        </w:rPr>
        <w:t>:</w:t>
      </w:r>
    </w:p>
    <w:p w:rsidR="00034780" w:rsidRPr="00534E7C" w:rsidP="00ED3124" w14:paraId="38514CEC" w14:textId="3097084A">
      <w:pPr>
        <w:pStyle w:val="ParaNum"/>
        <w:numPr>
          <w:ilvl w:val="0"/>
          <w:numId w:val="24"/>
        </w:numPr>
        <w:rPr>
          <w:szCs w:val="22"/>
        </w:rPr>
      </w:pPr>
      <w:r>
        <w:rPr>
          <w:szCs w:val="22"/>
        </w:rPr>
        <w:t>p</w:t>
      </w:r>
      <w:r w:rsidRPr="00534E7C" w:rsidR="00ED3124">
        <w:rPr>
          <w:szCs w:val="22"/>
        </w:rPr>
        <w:t xml:space="preserve">rior to commencing service, </w:t>
      </w:r>
      <w:r w:rsidRPr="00534E7C">
        <w:rPr>
          <w:szCs w:val="22"/>
        </w:rPr>
        <w:t xml:space="preserve">establish </w:t>
      </w:r>
      <w:r w:rsidRPr="00534E7C" w:rsidR="00ED3124">
        <w:rPr>
          <w:szCs w:val="22"/>
        </w:rPr>
        <w:t>and maintain a 24-hour helpdesk to receive reports of potential interference</w:t>
      </w:r>
      <w:r w:rsidRPr="00534E7C" w:rsidR="00EE5DCD">
        <w:rPr>
          <w:szCs w:val="22"/>
        </w:rPr>
        <w:t>;</w:t>
      </w:r>
    </w:p>
    <w:p w:rsidR="00ED3124" w:rsidRPr="00534E7C" w:rsidP="00ED3124" w14:paraId="57679861" w14:textId="1DF29A29">
      <w:pPr>
        <w:pStyle w:val="ParaNum"/>
        <w:numPr>
          <w:ilvl w:val="0"/>
          <w:numId w:val="24"/>
        </w:numPr>
        <w:rPr>
          <w:szCs w:val="22"/>
        </w:rPr>
      </w:pPr>
      <w:r>
        <w:rPr>
          <w:szCs w:val="22"/>
        </w:rPr>
        <w:t>p</w:t>
      </w:r>
      <w:r w:rsidRPr="00534E7C" w:rsidR="00034780">
        <w:rPr>
          <w:szCs w:val="22"/>
        </w:rPr>
        <w:t>rovide each potentially affected licensee contact information to report possible interference to the helpdesk</w:t>
      </w:r>
      <w:r w:rsidRPr="00534E7C" w:rsidR="00452B31">
        <w:rPr>
          <w:szCs w:val="22"/>
        </w:rPr>
        <w:t>;</w:t>
      </w:r>
      <w:r w:rsidRPr="00534E7C" w:rsidR="00034780">
        <w:rPr>
          <w:szCs w:val="22"/>
        </w:rPr>
        <w:t xml:space="preserve"> </w:t>
      </w:r>
      <w:r w:rsidRPr="00534E7C">
        <w:rPr>
          <w:szCs w:val="22"/>
        </w:rPr>
        <w:t xml:space="preserve"> </w:t>
      </w:r>
    </w:p>
    <w:p w:rsidR="0063553B" w:rsidRPr="00534E7C" w:rsidP="0063553B" w14:paraId="7D035A7D" w14:textId="440D9AB7">
      <w:pPr>
        <w:pStyle w:val="ParaNum"/>
        <w:numPr>
          <w:ilvl w:val="0"/>
          <w:numId w:val="24"/>
        </w:numPr>
        <w:rPr>
          <w:szCs w:val="22"/>
        </w:rPr>
      </w:pPr>
      <w:r>
        <w:rPr>
          <w:szCs w:val="22"/>
        </w:rPr>
        <w:t>p</w:t>
      </w:r>
      <w:r w:rsidRPr="00534E7C">
        <w:rPr>
          <w:szCs w:val="22"/>
        </w:rPr>
        <w:t xml:space="preserve">rovide a party reporting interference a unique tracking number for each interference report; </w:t>
      </w:r>
    </w:p>
    <w:p w:rsidR="0063553B" w:rsidRPr="00534E7C" w:rsidP="0063553B" w14:paraId="720B1728" w14:textId="5364691D">
      <w:pPr>
        <w:pStyle w:val="ParaNum"/>
        <w:numPr>
          <w:ilvl w:val="0"/>
          <w:numId w:val="24"/>
        </w:numPr>
        <w:rPr>
          <w:szCs w:val="22"/>
        </w:rPr>
      </w:pPr>
      <w:r>
        <w:rPr>
          <w:szCs w:val="22"/>
        </w:rPr>
        <w:t>i</w:t>
      </w:r>
      <w:r w:rsidRPr="00534E7C">
        <w:rPr>
          <w:szCs w:val="22"/>
        </w:rPr>
        <w:t>nvestigate any reported interference within 30 calendar days of receiving a report; and</w:t>
      </w:r>
    </w:p>
    <w:p w:rsidR="0063553B" w:rsidRPr="00534E7C" w:rsidP="00183898" w14:paraId="250C0349" w14:textId="7266756C">
      <w:pPr>
        <w:pStyle w:val="ParaNum"/>
        <w:numPr>
          <w:ilvl w:val="0"/>
          <w:numId w:val="24"/>
        </w:numPr>
        <w:rPr>
          <w:szCs w:val="22"/>
        </w:rPr>
      </w:pPr>
      <w:r>
        <w:rPr>
          <w:szCs w:val="22"/>
        </w:rPr>
        <w:t>r</w:t>
      </w:r>
      <w:r w:rsidRPr="00534E7C">
        <w:rPr>
          <w:szCs w:val="22"/>
        </w:rPr>
        <w:t xml:space="preserve">esolve any interference caused by </w:t>
      </w:r>
      <w:r w:rsidRPr="00534E7C" w:rsidR="000D1B06">
        <w:rPr>
          <w:szCs w:val="22"/>
        </w:rPr>
        <w:t xml:space="preserve">its </w:t>
      </w:r>
      <w:r w:rsidRPr="00534E7C">
        <w:rPr>
          <w:szCs w:val="22"/>
        </w:rPr>
        <w:t>operations at its own expense within 60 calendar days of receiving an interference report.</w:t>
      </w:r>
      <w:r>
        <w:rPr>
          <w:rStyle w:val="FootnoteReference"/>
          <w:sz w:val="22"/>
          <w:szCs w:val="22"/>
        </w:rPr>
        <w:footnoteReference w:id="167"/>
      </w:r>
      <w:r w:rsidRPr="00534E7C">
        <w:rPr>
          <w:szCs w:val="22"/>
        </w:rPr>
        <w:t xml:space="preserve">  </w:t>
      </w:r>
    </w:p>
    <w:p w:rsidR="008371A8" w:rsidRPr="00534E7C" w:rsidP="001E62E7" w14:paraId="376676CB" w14:textId="6F2BE3AA">
      <w:pPr>
        <w:pStyle w:val="ParaNum"/>
        <w:numPr>
          <w:ilvl w:val="0"/>
          <w:numId w:val="0"/>
        </w:numPr>
        <w:rPr>
          <w:szCs w:val="22"/>
        </w:rPr>
      </w:pPr>
      <w:r w:rsidRPr="00534E7C">
        <w:rPr>
          <w:szCs w:val="22"/>
        </w:rPr>
        <w:t xml:space="preserve">Railroads leasing spectrum from PTC-220 </w:t>
      </w:r>
      <w:r w:rsidRPr="00534E7C" w:rsidR="00180129">
        <w:rPr>
          <w:szCs w:val="22"/>
        </w:rPr>
        <w:t xml:space="preserve">to deploy non-PTC rail safety applications </w:t>
      </w:r>
      <w:r w:rsidRPr="00534E7C">
        <w:rPr>
          <w:szCs w:val="22"/>
        </w:rPr>
        <w:t xml:space="preserve">must </w:t>
      </w:r>
      <w:r w:rsidRPr="00534E7C" w:rsidR="00D80184">
        <w:rPr>
          <w:szCs w:val="22"/>
        </w:rPr>
        <w:t xml:space="preserve">also </w:t>
      </w:r>
      <w:r w:rsidRPr="00534E7C" w:rsidR="00180129">
        <w:rPr>
          <w:szCs w:val="22"/>
        </w:rPr>
        <w:t xml:space="preserve">comply with </w:t>
      </w:r>
      <w:r w:rsidRPr="00534E7C">
        <w:rPr>
          <w:szCs w:val="22"/>
        </w:rPr>
        <w:t>these conditions.</w:t>
      </w:r>
      <w:r>
        <w:rPr>
          <w:rStyle w:val="FootnoteReference"/>
          <w:szCs w:val="22"/>
        </w:rPr>
        <w:footnoteReference w:id="168"/>
      </w:r>
    </w:p>
    <w:p w:rsidR="00E075F8" w:rsidRPr="00534E7C" w:rsidP="006C779F" w14:paraId="003B3148" w14:textId="1A3822AF">
      <w:pPr>
        <w:pStyle w:val="Heading3"/>
        <w:rPr>
          <w:szCs w:val="22"/>
        </w:rPr>
      </w:pPr>
      <w:bookmarkStart w:id="492" w:name="_Toc117162354"/>
      <w:bookmarkStart w:id="493" w:name="_Toc117170614"/>
      <w:bookmarkStart w:id="494" w:name="_Toc117179088"/>
      <w:bookmarkStart w:id="495" w:name="_Toc117517011"/>
      <w:bookmarkStart w:id="496" w:name="_Toc117517925"/>
      <w:bookmarkStart w:id="497" w:name="_Toc117518469"/>
      <w:bookmarkStart w:id="498" w:name="_Toc117518889"/>
      <w:bookmarkStart w:id="499" w:name="_Toc120523637"/>
      <w:bookmarkStart w:id="500" w:name="_Toc121150588"/>
      <w:bookmarkStart w:id="501" w:name="_Toc126158698"/>
      <w:bookmarkStart w:id="502" w:name="_Toc126158727"/>
      <w:bookmarkStart w:id="503" w:name="_Toc127960204"/>
      <w:bookmarkStart w:id="504" w:name="_Toc127994714"/>
      <w:bookmarkStart w:id="505" w:name="_Toc128039701"/>
      <w:bookmarkStart w:id="506" w:name="_Toc128039764"/>
      <w:bookmarkStart w:id="507" w:name="_Toc128039848"/>
      <w:bookmarkStart w:id="508" w:name="_Toc131444711"/>
      <w:bookmarkStart w:id="509" w:name="_Toc131444975"/>
      <w:bookmarkStart w:id="510" w:name="_Toc131676575"/>
      <w:bookmarkStart w:id="511" w:name="_Toc133848363"/>
      <w:r w:rsidRPr="00534E7C">
        <w:rPr>
          <w:szCs w:val="22"/>
        </w:rPr>
        <w:t xml:space="preserve">Historic </w:t>
      </w:r>
      <w:r w:rsidRPr="00534E7C" w:rsidR="00292D26">
        <w:rPr>
          <w:szCs w:val="22"/>
        </w:rPr>
        <w:t>Preservation</w:t>
      </w:r>
      <w:r w:rsidRPr="00534E7C">
        <w:rPr>
          <w:szCs w:val="22"/>
        </w:rPr>
        <w:t xml:space="preserve">, </w:t>
      </w:r>
      <w:r w:rsidRPr="00534E7C" w:rsidR="00452B31">
        <w:rPr>
          <w:szCs w:val="22"/>
        </w:rPr>
        <w:t xml:space="preserve">Environmental, and </w:t>
      </w:r>
      <w:r w:rsidRPr="00534E7C" w:rsidR="00292D26">
        <w:rPr>
          <w:szCs w:val="22"/>
        </w:rPr>
        <w:t xml:space="preserve">Related </w:t>
      </w:r>
      <w:r w:rsidRPr="00534E7C" w:rsidR="00452B31">
        <w:rPr>
          <w:szCs w:val="22"/>
        </w:rPr>
        <w:t>Requirements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FD5EB8" w:rsidRPr="00534E7C" w:rsidP="00751C51" w14:paraId="2A626999" w14:textId="24B51ECC">
      <w:pPr>
        <w:pStyle w:val="ParaNum"/>
        <w:rPr>
          <w:szCs w:val="22"/>
        </w:rPr>
      </w:pPr>
      <w:r w:rsidRPr="00534E7C">
        <w:rPr>
          <w:szCs w:val="22"/>
        </w:rPr>
        <w:t>To comply with their obligation</w:t>
      </w:r>
      <w:r w:rsidRPr="00534E7C" w:rsidR="00E81FCA">
        <w:rPr>
          <w:szCs w:val="22"/>
        </w:rPr>
        <w:t>s</w:t>
      </w:r>
      <w:r w:rsidRPr="00534E7C">
        <w:rPr>
          <w:szCs w:val="22"/>
        </w:rPr>
        <w:t xml:space="preserve"> </w:t>
      </w:r>
      <w:r w:rsidRPr="00534E7C" w:rsidR="008028FD">
        <w:rPr>
          <w:szCs w:val="22"/>
        </w:rPr>
        <w:t xml:space="preserve">under the Rail Safety Act </w:t>
      </w:r>
      <w:r w:rsidRPr="00534E7C">
        <w:rPr>
          <w:szCs w:val="22"/>
        </w:rPr>
        <w:t xml:space="preserve">to </w:t>
      </w:r>
      <w:r w:rsidRPr="00534E7C" w:rsidR="00974B21">
        <w:rPr>
          <w:szCs w:val="22"/>
        </w:rPr>
        <w:t xml:space="preserve">implement </w:t>
      </w:r>
      <w:r w:rsidRPr="00534E7C">
        <w:rPr>
          <w:szCs w:val="22"/>
        </w:rPr>
        <w:t>interoperable PTC systems, U.S</w:t>
      </w:r>
      <w:r w:rsidRPr="00534E7C" w:rsidR="008028FD">
        <w:rPr>
          <w:szCs w:val="22"/>
        </w:rPr>
        <w:t>.</w:t>
      </w:r>
      <w:r w:rsidRPr="00534E7C">
        <w:rPr>
          <w:szCs w:val="22"/>
        </w:rPr>
        <w:t xml:space="preserve"> </w:t>
      </w:r>
      <w:r w:rsidRPr="00534E7C" w:rsidR="008028FD">
        <w:rPr>
          <w:szCs w:val="22"/>
        </w:rPr>
        <w:t xml:space="preserve">freight </w:t>
      </w:r>
      <w:r w:rsidRPr="00534E7C">
        <w:rPr>
          <w:szCs w:val="22"/>
        </w:rPr>
        <w:t xml:space="preserve">railroads </w:t>
      </w:r>
      <w:r w:rsidRPr="00534E7C" w:rsidR="00B91BBE">
        <w:rPr>
          <w:szCs w:val="22"/>
        </w:rPr>
        <w:t xml:space="preserve">had to </w:t>
      </w:r>
      <w:r w:rsidRPr="00534E7C">
        <w:rPr>
          <w:szCs w:val="22"/>
        </w:rPr>
        <w:t xml:space="preserve">deploy </w:t>
      </w:r>
      <w:r w:rsidRPr="00534E7C" w:rsidR="008028FD">
        <w:rPr>
          <w:szCs w:val="22"/>
        </w:rPr>
        <w:t xml:space="preserve">more than </w:t>
      </w:r>
      <w:r w:rsidRPr="00534E7C">
        <w:rPr>
          <w:szCs w:val="22"/>
        </w:rPr>
        <w:t xml:space="preserve">20,000 wayside poles </w:t>
      </w:r>
      <w:r w:rsidRPr="00534E7C" w:rsidR="00F00C55">
        <w:rPr>
          <w:szCs w:val="22"/>
        </w:rPr>
        <w:t>(</w:t>
      </w:r>
      <w:r w:rsidRPr="00534E7C" w:rsidR="00F00C55">
        <w:rPr>
          <w:color w:val="000000"/>
          <w:szCs w:val="22"/>
        </w:rPr>
        <w:t>vertical structures used to support fixed wireless antennas)</w:t>
      </w:r>
      <w:r w:rsidRPr="00534E7C" w:rsidR="000211BA">
        <w:rPr>
          <w:szCs w:val="22"/>
        </w:rPr>
        <w:t xml:space="preserve"> </w:t>
      </w:r>
      <w:r w:rsidRPr="00534E7C" w:rsidR="008028FD">
        <w:rPr>
          <w:szCs w:val="22"/>
        </w:rPr>
        <w:t>along their rights-of-way</w:t>
      </w:r>
      <w:r w:rsidR="000211BA">
        <w:rPr>
          <w:szCs w:val="22"/>
        </w:rPr>
        <w:t>—</w:t>
      </w:r>
      <w:r w:rsidRPr="00534E7C" w:rsidR="000211BA">
        <w:rPr>
          <w:szCs w:val="22"/>
        </w:rPr>
        <w:t>every one to three miles</w:t>
      </w:r>
      <w:r w:rsidR="000211BA">
        <w:rPr>
          <w:szCs w:val="22"/>
        </w:rPr>
        <w:t>—</w:t>
      </w:r>
      <w:r w:rsidRPr="00534E7C" w:rsidR="00974B21">
        <w:rPr>
          <w:szCs w:val="22"/>
        </w:rPr>
        <w:t>subject</w:t>
      </w:r>
      <w:r w:rsidR="000211BA">
        <w:rPr>
          <w:szCs w:val="22"/>
        </w:rPr>
        <w:t xml:space="preserve"> </w:t>
      </w:r>
      <w:r w:rsidRPr="00534E7C" w:rsidR="00974B21">
        <w:rPr>
          <w:szCs w:val="22"/>
        </w:rPr>
        <w:t>to the PTC mandate</w:t>
      </w:r>
      <w:r w:rsidRPr="00534E7C" w:rsidR="008028FD">
        <w:rPr>
          <w:szCs w:val="22"/>
        </w:rPr>
        <w:t>.</w:t>
      </w:r>
      <w:r>
        <w:rPr>
          <w:rStyle w:val="FootnoteReference"/>
          <w:sz w:val="22"/>
          <w:szCs w:val="22"/>
        </w:rPr>
        <w:footnoteReference w:id="169"/>
      </w:r>
      <w:r w:rsidRPr="00534E7C" w:rsidR="008028FD">
        <w:rPr>
          <w:szCs w:val="22"/>
        </w:rPr>
        <w:t xml:space="preserve">  </w:t>
      </w:r>
      <w:r w:rsidRPr="00534E7C" w:rsidR="00E81FCA">
        <w:rPr>
          <w:szCs w:val="22"/>
        </w:rPr>
        <w:t>In 2014, t</w:t>
      </w:r>
      <w:r w:rsidRPr="00534E7C" w:rsidR="008028FD">
        <w:rPr>
          <w:szCs w:val="22"/>
        </w:rPr>
        <w:t xml:space="preserve">he </w:t>
      </w:r>
      <w:r w:rsidRPr="00534E7C" w:rsidR="006B3BE2">
        <w:rPr>
          <w:szCs w:val="22"/>
        </w:rPr>
        <w:t xml:space="preserve">Bureau announced that </w:t>
      </w:r>
      <w:r w:rsidRPr="00534E7C" w:rsidR="008028FD">
        <w:rPr>
          <w:szCs w:val="22"/>
        </w:rPr>
        <w:t>the Advisory Council on Historic Preservation</w:t>
      </w:r>
      <w:r w:rsidR="00C41345">
        <w:rPr>
          <w:szCs w:val="22"/>
        </w:rPr>
        <w:t xml:space="preserve"> (ACHP)</w:t>
      </w:r>
      <w:r>
        <w:rPr>
          <w:rStyle w:val="FootnoteReference"/>
          <w:sz w:val="22"/>
          <w:szCs w:val="22"/>
        </w:rPr>
        <w:footnoteReference w:id="170"/>
      </w:r>
      <w:r w:rsidRPr="00534E7C" w:rsidR="008028FD">
        <w:rPr>
          <w:szCs w:val="22"/>
        </w:rPr>
        <w:t xml:space="preserve"> </w:t>
      </w:r>
      <w:r w:rsidRPr="00534E7C" w:rsidR="00D80184">
        <w:rPr>
          <w:szCs w:val="22"/>
        </w:rPr>
        <w:t xml:space="preserve">had </w:t>
      </w:r>
      <w:r w:rsidRPr="00534E7C" w:rsidR="008028FD">
        <w:rPr>
          <w:szCs w:val="22"/>
        </w:rPr>
        <w:t xml:space="preserve">adopted the </w:t>
      </w:r>
      <w:r w:rsidRPr="00534E7C" w:rsidR="008028FD">
        <w:rPr>
          <w:i/>
          <w:iCs/>
          <w:szCs w:val="22"/>
        </w:rPr>
        <w:t>PTC Program Comment</w:t>
      </w:r>
      <w:r w:rsidRPr="00534E7C" w:rsidR="007A4A16">
        <w:rPr>
          <w:i/>
          <w:iCs/>
          <w:szCs w:val="22"/>
        </w:rPr>
        <w:t xml:space="preserve"> </w:t>
      </w:r>
      <w:r w:rsidRPr="00534E7C" w:rsidR="00E81FCA">
        <w:rPr>
          <w:szCs w:val="22"/>
        </w:rPr>
        <w:t>to help expedite the deployment</w:t>
      </w:r>
      <w:r w:rsidRPr="00534E7C" w:rsidR="00974B21">
        <w:rPr>
          <w:szCs w:val="22"/>
        </w:rPr>
        <w:t xml:space="preserve"> of</w:t>
      </w:r>
      <w:r w:rsidRPr="00534E7C" w:rsidR="00227613">
        <w:rPr>
          <w:szCs w:val="22"/>
        </w:rPr>
        <w:t xml:space="preserve"> PTC wayside poles</w:t>
      </w:r>
      <w:r w:rsidRPr="00534E7C" w:rsidR="005E479E">
        <w:rPr>
          <w:szCs w:val="22"/>
        </w:rPr>
        <w:t>.</w:t>
      </w:r>
      <w:r>
        <w:rPr>
          <w:rStyle w:val="FootnoteReference"/>
          <w:sz w:val="22"/>
          <w:szCs w:val="22"/>
        </w:rPr>
        <w:footnoteReference w:id="171"/>
      </w:r>
      <w:r w:rsidRPr="00534E7C" w:rsidR="00227613">
        <w:rPr>
          <w:szCs w:val="22"/>
        </w:rPr>
        <w:t xml:space="preserve"> </w:t>
      </w:r>
      <w:r w:rsidRPr="00534E7C" w:rsidR="005E479E">
        <w:rPr>
          <w:szCs w:val="22"/>
        </w:rPr>
        <w:t xml:space="preserve"> </w:t>
      </w:r>
      <w:r w:rsidRPr="00534E7C" w:rsidR="00252388">
        <w:rPr>
          <w:szCs w:val="22"/>
        </w:rPr>
        <w:t xml:space="preserve">The </w:t>
      </w:r>
      <w:r w:rsidRPr="00534E7C" w:rsidR="00252388">
        <w:rPr>
          <w:i/>
          <w:iCs/>
          <w:szCs w:val="22"/>
        </w:rPr>
        <w:t>PTC Program Comment</w:t>
      </w:r>
      <w:r w:rsidRPr="00534E7C" w:rsidR="00252388">
        <w:rPr>
          <w:szCs w:val="22"/>
        </w:rPr>
        <w:t xml:space="preserve"> </w:t>
      </w:r>
      <w:r w:rsidRPr="00534E7C" w:rsidR="0033443F">
        <w:rPr>
          <w:szCs w:val="22"/>
        </w:rPr>
        <w:t>provide</w:t>
      </w:r>
      <w:r w:rsidRPr="00534E7C" w:rsidR="00B665C9">
        <w:rPr>
          <w:szCs w:val="22"/>
        </w:rPr>
        <w:t>s</w:t>
      </w:r>
      <w:r w:rsidRPr="00534E7C" w:rsidR="0033443F">
        <w:rPr>
          <w:szCs w:val="22"/>
        </w:rPr>
        <w:t xml:space="preserve"> the Commission an alternative way to comply with its </w:t>
      </w:r>
      <w:r w:rsidRPr="00534E7C" w:rsidR="0033443F">
        <w:rPr>
          <w:szCs w:val="22"/>
        </w:rPr>
        <w:t xml:space="preserve">responsibilities under </w:t>
      </w:r>
      <w:r w:rsidRPr="00534E7C" w:rsidR="00D80184">
        <w:rPr>
          <w:szCs w:val="22"/>
        </w:rPr>
        <w:t>s</w:t>
      </w:r>
      <w:r w:rsidRPr="00534E7C" w:rsidR="0033443F">
        <w:rPr>
          <w:szCs w:val="22"/>
        </w:rPr>
        <w:t>ection 106</w:t>
      </w:r>
      <w:r w:rsidRPr="00534E7C" w:rsidR="005E479E">
        <w:rPr>
          <w:szCs w:val="22"/>
        </w:rPr>
        <w:t xml:space="preserve"> of the National Historic Preservation Act (NHPA),</w:t>
      </w:r>
      <w:r>
        <w:rPr>
          <w:rStyle w:val="FootnoteReference"/>
          <w:sz w:val="22"/>
          <w:szCs w:val="22"/>
        </w:rPr>
        <w:footnoteReference w:id="172"/>
      </w:r>
      <w:r w:rsidRPr="00534E7C" w:rsidR="005E479E">
        <w:rPr>
          <w:szCs w:val="22"/>
        </w:rPr>
        <w:t xml:space="preserve"> </w:t>
      </w:r>
      <w:r w:rsidRPr="00534E7C" w:rsidR="0033443F">
        <w:rPr>
          <w:szCs w:val="22"/>
        </w:rPr>
        <w:t xml:space="preserve">regarding the possible effects of PTC wayside poles and associated infrastructure </w:t>
      </w:r>
      <w:r w:rsidRPr="00534E7C" w:rsidR="00412FDC">
        <w:rPr>
          <w:szCs w:val="22"/>
        </w:rPr>
        <w:t>on historic properties</w:t>
      </w:r>
      <w:r w:rsidRPr="00534E7C" w:rsidR="00D55D73">
        <w:rPr>
          <w:szCs w:val="22"/>
        </w:rPr>
        <w:t>.</w:t>
      </w:r>
      <w:r>
        <w:rPr>
          <w:rStyle w:val="FootnoteReference"/>
          <w:sz w:val="22"/>
          <w:szCs w:val="22"/>
        </w:rPr>
        <w:footnoteReference w:id="173"/>
      </w:r>
    </w:p>
    <w:p w:rsidR="00185F46" w:rsidRPr="00DA28A6" w:rsidP="00751C51" w14:paraId="20828289" w14:textId="13AB986C">
      <w:pPr>
        <w:pStyle w:val="ParaNum"/>
        <w:rPr>
          <w:szCs w:val="22"/>
        </w:rPr>
      </w:pPr>
      <w:r w:rsidRPr="00534E7C">
        <w:rPr>
          <w:szCs w:val="22"/>
        </w:rPr>
        <w:t>T</w:t>
      </w:r>
      <w:r w:rsidRPr="00534E7C" w:rsidR="00FD5EB8">
        <w:rPr>
          <w:szCs w:val="22"/>
        </w:rPr>
        <w:t xml:space="preserve">he </w:t>
      </w:r>
      <w:r w:rsidRPr="00534E7C" w:rsidR="00FD5EB8">
        <w:rPr>
          <w:i/>
          <w:iCs/>
          <w:szCs w:val="22"/>
        </w:rPr>
        <w:t>PTC Program Comment</w:t>
      </w:r>
      <w:r w:rsidRPr="00534E7C" w:rsidR="00FD5EB8">
        <w:rPr>
          <w:szCs w:val="22"/>
        </w:rPr>
        <w:t xml:space="preserve"> only applies to: </w:t>
      </w:r>
      <w:r w:rsidR="00A72A26">
        <w:rPr>
          <w:szCs w:val="22"/>
        </w:rPr>
        <w:t xml:space="preserve"> </w:t>
      </w:r>
      <w:r w:rsidRPr="00534E7C" w:rsidR="00FD5EB8">
        <w:rPr>
          <w:szCs w:val="22"/>
        </w:rPr>
        <w:t>(1)</w:t>
      </w:r>
      <w:r w:rsidR="00A72A26">
        <w:rPr>
          <w:szCs w:val="22"/>
        </w:rPr>
        <w:t xml:space="preserve"> </w:t>
      </w:r>
      <w:r w:rsidRPr="00534E7C" w:rsidR="00FD5EB8">
        <w:rPr>
          <w:szCs w:val="22"/>
        </w:rPr>
        <w:t>“PTC wayside poles that are no taller than 75 feet (including their antenna) located within existing railroad rights-of-way”; and (2) “PTC wayside pole associated equipment cabinets and other supporting infrastructure (including collocated antennas) also located within existing railroad rights-of-way.”</w:t>
      </w:r>
      <w:r>
        <w:rPr>
          <w:rStyle w:val="FootnoteReference"/>
          <w:sz w:val="22"/>
          <w:szCs w:val="22"/>
        </w:rPr>
        <w:footnoteReference w:id="174"/>
      </w:r>
      <w:r w:rsidRPr="00534E7C" w:rsidR="00FD5EB8">
        <w:rPr>
          <w:szCs w:val="22"/>
        </w:rPr>
        <w:t xml:space="preserve">  </w:t>
      </w:r>
      <w:r w:rsidR="00540165">
        <w:rPr>
          <w:szCs w:val="22"/>
        </w:rPr>
        <w:t xml:space="preserve">Given the scope of the </w:t>
      </w:r>
      <w:r w:rsidRPr="002A7DCF" w:rsidR="00540165">
        <w:rPr>
          <w:i/>
          <w:iCs/>
          <w:szCs w:val="22"/>
        </w:rPr>
        <w:t>PTC Program Comment</w:t>
      </w:r>
      <w:r w:rsidR="00540165">
        <w:rPr>
          <w:szCs w:val="22"/>
        </w:rPr>
        <w:t xml:space="preserve">, as </w:t>
      </w:r>
      <w:r w:rsidRPr="00534E7C">
        <w:rPr>
          <w:szCs w:val="22"/>
        </w:rPr>
        <w:t>PTC-220</w:t>
      </w:r>
      <w:r w:rsidR="00540165">
        <w:rPr>
          <w:szCs w:val="22"/>
        </w:rPr>
        <w:t xml:space="preserve"> acknowledges</w:t>
      </w:r>
      <w:r w:rsidRPr="00534E7C" w:rsidR="00F173B4">
        <w:rPr>
          <w:szCs w:val="22"/>
        </w:rPr>
        <w:t xml:space="preserve">, </w:t>
      </w:r>
      <w:r w:rsidR="00540165">
        <w:rPr>
          <w:szCs w:val="22"/>
        </w:rPr>
        <w:t>it</w:t>
      </w:r>
      <w:r w:rsidRPr="00534E7C">
        <w:rPr>
          <w:szCs w:val="22"/>
        </w:rPr>
        <w:t xml:space="preserve"> may not avail itself of the </w:t>
      </w:r>
      <w:r w:rsidRPr="00534E7C">
        <w:rPr>
          <w:i/>
          <w:iCs/>
          <w:szCs w:val="22"/>
        </w:rPr>
        <w:t>PTC Program Comment</w:t>
      </w:r>
      <w:r w:rsidRPr="00534E7C">
        <w:rPr>
          <w:szCs w:val="22"/>
        </w:rPr>
        <w:t xml:space="preserve"> when deploying non-PTC </w:t>
      </w:r>
      <w:r w:rsidRPr="00534E7C" w:rsidR="00F173B4">
        <w:rPr>
          <w:szCs w:val="22"/>
        </w:rPr>
        <w:t xml:space="preserve">wayside poles or </w:t>
      </w:r>
      <w:r w:rsidRPr="00534E7C" w:rsidR="00EE5DCD">
        <w:rPr>
          <w:szCs w:val="22"/>
        </w:rPr>
        <w:t xml:space="preserve">supporting </w:t>
      </w:r>
      <w:r w:rsidRPr="00534E7C">
        <w:rPr>
          <w:szCs w:val="22"/>
        </w:rPr>
        <w:t>infrastructure</w:t>
      </w:r>
      <w:r w:rsidRPr="00534E7C" w:rsidR="00F173B4">
        <w:rPr>
          <w:szCs w:val="22"/>
        </w:rPr>
        <w:t>.</w:t>
      </w:r>
      <w:r>
        <w:rPr>
          <w:rStyle w:val="FootnoteReference"/>
          <w:sz w:val="22"/>
          <w:szCs w:val="22"/>
        </w:rPr>
        <w:footnoteReference w:id="175"/>
      </w:r>
      <w:r w:rsidRPr="00534E7C" w:rsidR="00F173B4">
        <w:rPr>
          <w:szCs w:val="22"/>
        </w:rPr>
        <w:t xml:space="preserve">  </w:t>
      </w:r>
    </w:p>
    <w:p w:rsidR="000D7171" w:rsidRPr="00A54FA5" w:rsidP="00A54FA5" w14:paraId="5DB108CC" w14:textId="3D5C5A45">
      <w:pPr>
        <w:pStyle w:val="ParaNum"/>
        <w:rPr>
          <w:szCs w:val="22"/>
        </w:rPr>
      </w:pPr>
      <w:r w:rsidRPr="00534E7C">
        <w:rPr>
          <w:szCs w:val="22"/>
        </w:rPr>
        <w:t xml:space="preserve">We </w:t>
      </w:r>
      <w:r w:rsidRPr="00534E7C" w:rsidR="00D80184">
        <w:rPr>
          <w:szCs w:val="22"/>
        </w:rPr>
        <w:t xml:space="preserve">emphasize </w:t>
      </w:r>
      <w:r w:rsidRPr="00534E7C">
        <w:rPr>
          <w:szCs w:val="22"/>
        </w:rPr>
        <w:t xml:space="preserve">that today’s </w:t>
      </w:r>
      <w:r w:rsidRPr="00534E7C" w:rsidR="005E6319">
        <w:rPr>
          <w:szCs w:val="22"/>
        </w:rPr>
        <w:t>w</w:t>
      </w:r>
      <w:r w:rsidRPr="00534E7C">
        <w:rPr>
          <w:szCs w:val="22"/>
        </w:rPr>
        <w:t xml:space="preserve">aiver </w:t>
      </w:r>
      <w:r w:rsidRPr="00534E7C" w:rsidR="005E6319">
        <w:rPr>
          <w:szCs w:val="22"/>
        </w:rPr>
        <w:t xml:space="preserve">relief </w:t>
      </w:r>
      <w:r w:rsidRPr="00534E7C">
        <w:rPr>
          <w:szCs w:val="22"/>
        </w:rPr>
        <w:t>does not reli</w:t>
      </w:r>
      <w:r w:rsidRPr="00534E7C" w:rsidR="00B665C9">
        <w:rPr>
          <w:szCs w:val="22"/>
        </w:rPr>
        <w:t>e</w:t>
      </w:r>
      <w:r w:rsidRPr="00534E7C">
        <w:rPr>
          <w:szCs w:val="22"/>
        </w:rPr>
        <w:t xml:space="preserve">ve </w:t>
      </w:r>
      <w:r w:rsidRPr="00534E7C" w:rsidR="00B665C9">
        <w:rPr>
          <w:szCs w:val="22"/>
        </w:rPr>
        <w:t xml:space="preserve">PTC-220 </w:t>
      </w:r>
      <w:r w:rsidRPr="00534E7C">
        <w:rPr>
          <w:szCs w:val="22"/>
        </w:rPr>
        <w:t>of its obligation</w:t>
      </w:r>
      <w:r w:rsidRPr="00534E7C" w:rsidR="00FB3345">
        <w:rPr>
          <w:szCs w:val="22"/>
        </w:rPr>
        <w:t>s</w:t>
      </w:r>
      <w:r w:rsidRPr="00534E7C">
        <w:rPr>
          <w:szCs w:val="22"/>
        </w:rPr>
        <w:t xml:space="preserve"> to comply with the </w:t>
      </w:r>
      <w:r w:rsidR="00A54FA5">
        <w:rPr>
          <w:szCs w:val="22"/>
        </w:rPr>
        <w:t xml:space="preserve">Commission’s rules </w:t>
      </w:r>
      <w:r w:rsidR="0048297F">
        <w:rPr>
          <w:szCs w:val="22"/>
        </w:rPr>
        <w:t xml:space="preserve">implementing the </w:t>
      </w:r>
      <w:r w:rsidRPr="00A54FA5">
        <w:rPr>
          <w:szCs w:val="22"/>
        </w:rPr>
        <w:t>National Environmental Policy Act</w:t>
      </w:r>
      <w:r w:rsidRPr="00A54FA5" w:rsidR="00643B73">
        <w:rPr>
          <w:szCs w:val="22"/>
        </w:rPr>
        <w:t xml:space="preserve"> of 1969</w:t>
      </w:r>
      <w:r w:rsidRPr="00A54FA5">
        <w:rPr>
          <w:szCs w:val="22"/>
        </w:rPr>
        <w:t xml:space="preserve"> (NEPA)</w:t>
      </w:r>
      <w:r w:rsidR="00CA2D9A">
        <w:rPr>
          <w:szCs w:val="22"/>
        </w:rPr>
        <w:t>,</w:t>
      </w:r>
      <w:r>
        <w:rPr>
          <w:rStyle w:val="FootnoteReference"/>
          <w:sz w:val="22"/>
          <w:szCs w:val="22"/>
        </w:rPr>
        <w:footnoteReference w:id="176"/>
      </w:r>
      <w:r w:rsidRPr="00A54FA5" w:rsidR="00164E49">
        <w:rPr>
          <w:szCs w:val="22"/>
        </w:rPr>
        <w:t xml:space="preserve"> </w:t>
      </w:r>
      <w:r w:rsidR="00BA2C05">
        <w:rPr>
          <w:szCs w:val="22"/>
        </w:rPr>
        <w:t>the</w:t>
      </w:r>
      <w:r w:rsidR="007304C1">
        <w:rPr>
          <w:szCs w:val="22"/>
        </w:rPr>
        <w:t xml:space="preserve"> </w:t>
      </w:r>
      <w:r w:rsidR="00BA2C05">
        <w:rPr>
          <w:szCs w:val="22"/>
        </w:rPr>
        <w:t>NHPA,</w:t>
      </w:r>
      <w:r>
        <w:rPr>
          <w:rStyle w:val="FootnoteReference"/>
          <w:szCs w:val="22"/>
        </w:rPr>
        <w:footnoteReference w:id="177"/>
      </w:r>
      <w:r w:rsidR="00BA2C05">
        <w:rPr>
          <w:szCs w:val="22"/>
        </w:rPr>
        <w:t xml:space="preserve"> </w:t>
      </w:r>
      <w:r w:rsidRPr="00A54FA5" w:rsidR="00164E49">
        <w:rPr>
          <w:szCs w:val="22"/>
        </w:rPr>
        <w:t xml:space="preserve">and other </w:t>
      </w:r>
      <w:r w:rsidRPr="00A54FA5" w:rsidR="005E6319">
        <w:rPr>
          <w:szCs w:val="22"/>
        </w:rPr>
        <w:t xml:space="preserve">applicable </w:t>
      </w:r>
      <w:r w:rsidRPr="00A54FA5" w:rsidR="00164E49">
        <w:rPr>
          <w:szCs w:val="22"/>
        </w:rPr>
        <w:t>laws.</w:t>
      </w:r>
      <w:r>
        <w:rPr>
          <w:rStyle w:val="FootnoteReference"/>
          <w:sz w:val="22"/>
          <w:szCs w:val="22"/>
        </w:rPr>
        <w:footnoteReference w:id="178"/>
      </w:r>
      <w:r w:rsidRPr="00A54FA5" w:rsidR="0079279D">
        <w:rPr>
          <w:szCs w:val="22"/>
        </w:rPr>
        <w:t xml:space="preserve">  Similarly, PTC-220 must comply with the Commission’s tower siting requirements.</w:t>
      </w:r>
      <w:r>
        <w:rPr>
          <w:rStyle w:val="FootnoteReference"/>
          <w:sz w:val="22"/>
          <w:szCs w:val="22"/>
        </w:rPr>
        <w:footnoteReference w:id="179"/>
      </w:r>
      <w:r w:rsidRPr="00A54FA5" w:rsidR="00825FF7">
        <w:rPr>
          <w:szCs w:val="22"/>
        </w:rPr>
        <w:t xml:space="preserve">  </w:t>
      </w:r>
    </w:p>
    <w:p w:rsidR="00C72381" w:rsidRPr="00534E7C" w:rsidP="00C72381" w14:paraId="75603FA9" w14:textId="4FD10626">
      <w:pPr>
        <w:pStyle w:val="Heading1"/>
        <w:rPr>
          <w:rFonts w:ascii="Times New Roman" w:hAnsi="Times New Roman"/>
          <w:szCs w:val="22"/>
        </w:rPr>
      </w:pPr>
      <w:bookmarkStart w:id="512" w:name="_Toc117162355"/>
      <w:bookmarkStart w:id="513" w:name="_Toc117170615"/>
      <w:bookmarkStart w:id="514" w:name="_Toc117179089"/>
      <w:bookmarkStart w:id="515" w:name="_Toc117517012"/>
      <w:bookmarkStart w:id="516" w:name="_Toc117517926"/>
      <w:bookmarkStart w:id="517" w:name="_Toc117518470"/>
      <w:bookmarkStart w:id="518" w:name="_Toc117518890"/>
      <w:bookmarkStart w:id="519" w:name="_Toc120523638"/>
      <w:bookmarkStart w:id="520" w:name="_Toc121150589"/>
      <w:bookmarkStart w:id="521" w:name="_Toc126158699"/>
      <w:bookmarkStart w:id="522" w:name="_Toc126158728"/>
      <w:bookmarkStart w:id="523" w:name="_Toc127960205"/>
      <w:bookmarkStart w:id="524" w:name="_Toc127994715"/>
      <w:bookmarkStart w:id="525" w:name="_Toc128039702"/>
      <w:bookmarkStart w:id="526" w:name="_Toc128039765"/>
      <w:bookmarkStart w:id="527" w:name="_Toc128039849"/>
      <w:bookmarkStart w:id="528" w:name="_Toc131444712"/>
      <w:bookmarkStart w:id="529" w:name="_Toc131444976"/>
      <w:bookmarkStart w:id="530" w:name="_Toc131676576"/>
      <w:bookmarkStart w:id="531" w:name="_Toc133848364"/>
      <w:r w:rsidRPr="00534E7C">
        <w:rPr>
          <w:rFonts w:ascii="Times New Roman" w:hAnsi="Times New Roman"/>
          <w:szCs w:val="22"/>
        </w:rPr>
        <w:t>conclusion and ordering clauses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534E7C">
        <w:rPr>
          <w:rFonts w:ascii="Times New Roman" w:hAnsi="Times New Roman"/>
          <w:szCs w:val="22"/>
        </w:rPr>
        <w:t xml:space="preserve"> </w:t>
      </w:r>
    </w:p>
    <w:p w:rsidR="008F790C" w:rsidRPr="00534E7C" w:rsidP="00CE2CE3" w14:paraId="5796061E" w14:textId="1358978A">
      <w:pPr>
        <w:pStyle w:val="ParaNum"/>
        <w:rPr>
          <w:szCs w:val="22"/>
        </w:rPr>
      </w:pPr>
      <w:r w:rsidRPr="00534E7C">
        <w:rPr>
          <w:szCs w:val="22"/>
        </w:rPr>
        <w:t xml:space="preserve">Today’s action will </w:t>
      </w:r>
      <w:r w:rsidR="00540165">
        <w:rPr>
          <w:szCs w:val="22"/>
        </w:rPr>
        <w:t xml:space="preserve">further the public interest by </w:t>
      </w:r>
      <w:r w:rsidRPr="00534E7C" w:rsidR="00540165">
        <w:rPr>
          <w:szCs w:val="22"/>
        </w:rPr>
        <w:t>enabl</w:t>
      </w:r>
      <w:r w:rsidR="00540165">
        <w:rPr>
          <w:szCs w:val="22"/>
        </w:rPr>
        <w:t>ing</w:t>
      </w:r>
      <w:r w:rsidRPr="00534E7C" w:rsidR="00540165">
        <w:rPr>
          <w:szCs w:val="22"/>
        </w:rPr>
        <w:t xml:space="preserve"> </w:t>
      </w:r>
      <w:r w:rsidRPr="00534E7C">
        <w:rPr>
          <w:szCs w:val="22"/>
        </w:rPr>
        <w:t xml:space="preserve">PTC-220’s </w:t>
      </w:r>
      <w:r w:rsidRPr="00534E7C" w:rsidR="00787AAF">
        <w:rPr>
          <w:szCs w:val="22"/>
        </w:rPr>
        <w:t xml:space="preserve">seven </w:t>
      </w:r>
      <w:r w:rsidRPr="00534E7C">
        <w:rPr>
          <w:szCs w:val="22"/>
        </w:rPr>
        <w:t>member</w:t>
      </w:r>
      <w:r w:rsidRPr="00534E7C" w:rsidR="00FB3345">
        <w:rPr>
          <w:szCs w:val="22"/>
        </w:rPr>
        <w:t xml:space="preserve"> railroads</w:t>
      </w:r>
      <w:r w:rsidRPr="00534E7C">
        <w:rPr>
          <w:szCs w:val="22"/>
        </w:rPr>
        <w:t>, their tenants, a</w:t>
      </w:r>
      <w:r w:rsidRPr="00534E7C" w:rsidR="00FB3345">
        <w:rPr>
          <w:szCs w:val="22"/>
        </w:rPr>
        <w:t xml:space="preserve">nd </w:t>
      </w:r>
      <w:r w:rsidRPr="00534E7C" w:rsidR="004A44E7">
        <w:rPr>
          <w:szCs w:val="22"/>
        </w:rPr>
        <w:t xml:space="preserve">the many </w:t>
      </w:r>
      <w:r w:rsidRPr="00534E7C">
        <w:rPr>
          <w:szCs w:val="22"/>
        </w:rPr>
        <w:t xml:space="preserve">railroads that lease spectrum from PTC-220 </w:t>
      </w:r>
      <w:r w:rsidR="00540DC0">
        <w:rPr>
          <w:szCs w:val="22"/>
        </w:rPr>
        <w:t>to deploy</w:t>
      </w:r>
      <w:r w:rsidRPr="00534E7C">
        <w:rPr>
          <w:szCs w:val="22"/>
        </w:rPr>
        <w:t xml:space="preserve"> an array of innovative rail safety </w:t>
      </w:r>
      <w:r w:rsidRPr="00534E7C" w:rsidR="004A44E7">
        <w:rPr>
          <w:szCs w:val="22"/>
        </w:rPr>
        <w:t xml:space="preserve">systems across the country </w:t>
      </w:r>
      <w:r w:rsidRPr="00534E7C">
        <w:rPr>
          <w:szCs w:val="22"/>
        </w:rPr>
        <w:t xml:space="preserve">using PTC-220’s </w:t>
      </w:r>
      <w:r w:rsidRPr="00534E7C" w:rsidR="00FB3345">
        <w:rPr>
          <w:szCs w:val="22"/>
        </w:rPr>
        <w:t xml:space="preserve">extensive </w:t>
      </w:r>
      <w:r w:rsidRPr="00534E7C">
        <w:rPr>
          <w:szCs w:val="22"/>
        </w:rPr>
        <w:t xml:space="preserve">220 MHz Band </w:t>
      </w:r>
      <w:r w:rsidRPr="00534E7C" w:rsidR="00787AAF">
        <w:rPr>
          <w:szCs w:val="22"/>
        </w:rPr>
        <w:t>spectrum</w:t>
      </w:r>
      <w:r w:rsidRPr="00534E7C" w:rsidR="00FB3345">
        <w:rPr>
          <w:szCs w:val="22"/>
        </w:rPr>
        <w:t xml:space="preserve"> holdings</w:t>
      </w:r>
      <w:r w:rsidRPr="00534E7C">
        <w:rPr>
          <w:szCs w:val="22"/>
        </w:rPr>
        <w:t>.</w:t>
      </w:r>
      <w:r w:rsidRPr="00534E7C" w:rsidR="00FB3345">
        <w:rPr>
          <w:szCs w:val="22"/>
        </w:rPr>
        <w:t xml:space="preserve">  </w:t>
      </w:r>
      <w:r w:rsidRPr="00534E7C" w:rsidR="008C4018">
        <w:rPr>
          <w:szCs w:val="22"/>
        </w:rPr>
        <w:t>We emphasize that t</w:t>
      </w:r>
      <w:r w:rsidRPr="00534E7C" w:rsidR="00401D77">
        <w:rPr>
          <w:szCs w:val="22"/>
        </w:rPr>
        <w:t xml:space="preserve">oday’s </w:t>
      </w:r>
      <w:r w:rsidR="00CB7ECF">
        <w:rPr>
          <w:szCs w:val="22"/>
        </w:rPr>
        <w:t xml:space="preserve">expanded </w:t>
      </w:r>
      <w:r w:rsidRPr="00534E7C" w:rsidR="00401D77">
        <w:rPr>
          <w:szCs w:val="22"/>
        </w:rPr>
        <w:t>waiver relief</w:t>
      </w:r>
      <w:r w:rsidRPr="00534E7C" w:rsidR="0079279D">
        <w:rPr>
          <w:szCs w:val="22"/>
        </w:rPr>
        <w:t xml:space="preserve"> is </w:t>
      </w:r>
      <w:r w:rsidRPr="00534E7C">
        <w:rPr>
          <w:szCs w:val="22"/>
        </w:rPr>
        <w:t>limit</w:t>
      </w:r>
      <w:r w:rsidRPr="00534E7C" w:rsidR="0079279D">
        <w:rPr>
          <w:szCs w:val="22"/>
        </w:rPr>
        <w:t xml:space="preserve">ed </w:t>
      </w:r>
      <w:r w:rsidRPr="00534E7C">
        <w:rPr>
          <w:szCs w:val="22"/>
        </w:rPr>
        <w:t xml:space="preserve">to the deployment of additional </w:t>
      </w:r>
      <w:r w:rsidRPr="00534E7C">
        <w:rPr>
          <w:szCs w:val="22"/>
        </w:rPr>
        <w:t xml:space="preserve">rail safety </w:t>
      </w:r>
      <w:r w:rsidRPr="00534E7C" w:rsidR="004A44E7">
        <w:rPr>
          <w:szCs w:val="22"/>
        </w:rPr>
        <w:t>systems</w:t>
      </w:r>
      <w:r w:rsidRPr="00534E7C">
        <w:rPr>
          <w:szCs w:val="22"/>
        </w:rPr>
        <w:t>.</w:t>
      </w:r>
      <w:r>
        <w:rPr>
          <w:rStyle w:val="FootnoteReference"/>
          <w:sz w:val="22"/>
          <w:szCs w:val="22"/>
        </w:rPr>
        <w:footnoteReference w:id="180"/>
      </w:r>
      <w:r w:rsidRPr="00534E7C" w:rsidR="00BB3939">
        <w:rPr>
          <w:szCs w:val="22"/>
        </w:rPr>
        <w:t xml:space="preserve">  Moreover, to ensure that today’s waiver relief does not impact </w:t>
      </w:r>
      <w:r w:rsidR="007D7F44">
        <w:rPr>
          <w:szCs w:val="22"/>
        </w:rPr>
        <w:t xml:space="preserve">current and possible future </w:t>
      </w:r>
      <w:r w:rsidRPr="00534E7C" w:rsidR="00BB3939">
        <w:rPr>
          <w:szCs w:val="22"/>
        </w:rPr>
        <w:t>PTC deployments, we will require PTC-220 to afford PTC operations the highest priority on its 220 MHz Band spectrum.</w:t>
      </w:r>
      <w:r>
        <w:rPr>
          <w:rStyle w:val="FootnoteReference"/>
          <w:szCs w:val="22"/>
        </w:rPr>
        <w:footnoteReference w:id="181"/>
      </w:r>
    </w:p>
    <w:p w:rsidR="00302C51" w:rsidRPr="00534E7C" w:rsidP="00242226" w14:paraId="1B4A60E0" w14:textId="232A4B88">
      <w:pPr>
        <w:pStyle w:val="ParaNum"/>
        <w:rPr>
          <w:szCs w:val="22"/>
        </w:rPr>
      </w:pPr>
      <w:r w:rsidRPr="00534E7C">
        <w:rPr>
          <w:szCs w:val="22"/>
        </w:rPr>
        <w:t xml:space="preserve">Accordingly, IT IS ORDERED, pursuant to </w:t>
      </w:r>
      <w:r w:rsidR="00F83438">
        <w:rPr>
          <w:szCs w:val="22"/>
        </w:rPr>
        <w:t>s</w:t>
      </w:r>
      <w:r w:rsidRPr="00534E7C">
        <w:rPr>
          <w:szCs w:val="22"/>
        </w:rPr>
        <w:t xml:space="preserve">ections 1, 4(i), 4 (j), 5(c), and 303(r) of the Communications Act of 1934, as amended, 47 U.S.C. §§ 151, 154(i), 154(j), 155(c), and 303(r), and sections 0.331, 1.3, </w:t>
      </w:r>
      <w:r w:rsidR="0035407F">
        <w:rPr>
          <w:szCs w:val="22"/>
        </w:rPr>
        <w:t xml:space="preserve">and </w:t>
      </w:r>
      <w:r w:rsidRPr="00534E7C">
        <w:rPr>
          <w:szCs w:val="22"/>
        </w:rPr>
        <w:t xml:space="preserve">1.925 of the Commission’s rules, 47 CFR §§ 0.331, 1.3, and 1.925, that the Request for Waiver filed by PTC-220, LLC on March </w:t>
      </w:r>
      <w:r w:rsidRPr="00534E7C">
        <w:rPr>
          <w:szCs w:val="22"/>
        </w:rPr>
        <w:t>23</w:t>
      </w:r>
      <w:r w:rsidRPr="00534E7C">
        <w:rPr>
          <w:szCs w:val="22"/>
        </w:rPr>
        <w:t>, 20</w:t>
      </w:r>
      <w:r w:rsidRPr="00534E7C">
        <w:rPr>
          <w:szCs w:val="22"/>
        </w:rPr>
        <w:t>2</w:t>
      </w:r>
      <w:r w:rsidRPr="00534E7C">
        <w:rPr>
          <w:szCs w:val="22"/>
        </w:rPr>
        <w:t>2</w:t>
      </w:r>
      <w:r w:rsidRPr="00534E7C" w:rsidR="00C33BAC">
        <w:rPr>
          <w:szCs w:val="22"/>
        </w:rPr>
        <w:t xml:space="preserve">, as </w:t>
      </w:r>
      <w:r w:rsidRPr="00534E7C" w:rsidR="00191E13">
        <w:rPr>
          <w:szCs w:val="22"/>
        </w:rPr>
        <w:t xml:space="preserve">supplemented </w:t>
      </w:r>
      <w:r w:rsidRPr="00534E7C" w:rsidR="00C33BAC">
        <w:rPr>
          <w:szCs w:val="22"/>
        </w:rPr>
        <w:t>by letter dated September 9, 2022—</w:t>
      </w:r>
      <w:r w:rsidRPr="00534E7C">
        <w:rPr>
          <w:szCs w:val="22"/>
        </w:rPr>
        <w:t>File Nos.</w:t>
      </w:r>
      <w:r w:rsidRPr="00534E7C" w:rsidR="003252BF">
        <w:rPr>
          <w:szCs w:val="22"/>
        </w:rPr>
        <w:t xml:space="preserve"> 0009965899</w:t>
      </w:r>
      <w:r w:rsidRPr="00534E7C" w:rsidR="00E3289A">
        <w:rPr>
          <w:szCs w:val="22"/>
        </w:rPr>
        <w:t xml:space="preserve"> </w:t>
      </w:r>
      <w:r w:rsidRPr="00534E7C" w:rsidR="000367AB">
        <w:rPr>
          <w:szCs w:val="22"/>
        </w:rPr>
        <w:t>(</w:t>
      </w:r>
      <w:r w:rsidRPr="00534E7C" w:rsidR="00E3289A">
        <w:rPr>
          <w:szCs w:val="22"/>
        </w:rPr>
        <w:t>WQSK949)</w:t>
      </w:r>
      <w:r w:rsidRPr="00534E7C" w:rsidR="003252BF">
        <w:rPr>
          <w:szCs w:val="22"/>
        </w:rPr>
        <w:t>, 0009965921</w:t>
      </w:r>
      <w:r w:rsidRPr="00534E7C" w:rsidR="00653862">
        <w:rPr>
          <w:szCs w:val="22"/>
        </w:rPr>
        <w:t xml:space="preserve"> (WQXK673)</w:t>
      </w:r>
      <w:r w:rsidRPr="00534E7C" w:rsidR="003252BF">
        <w:rPr>
          <w:szCs w:val="22"/>
        </w:rPr>
        <w:t>, 0009966558</w:t>
      </w:r>
      <w:r w:rsidRPr="00534E7C" w:rsidR="00653862">
        <w:rPr>
          <w:szCs w:val="22"/>
        </w:rPr>
        <w:t xml:space="preserve"> (</w:t>
      </w:r>
      <w:r w:rsidRPr="00534E7C" w:rsidR="000E509B">
        <w:rPr>
          <w:szCs w:val="22"/>
        </w:rPr>
        <w:t>WQXK674)</w:t>
      </w:r>
      <w:r w:rsidRPr="00534E7C" w:rsidR="003252BF">
        <w:rPr>
          <w:szCs w:val="22"/>
        </w:rPr>
        <w:t>, 0009966588</w:t>
      </w:r>
      <w:r w:rsidRPr="00534E7C" w:rsidR="000E509B">
        <w:rPr>
          <w:szCs w:val="22"/>
        </w:rPr>
        <w:t xml:space="preserve"> (</w:t>
      </w:r>
      <w:r w:rsidRPr="00534E7C" w:rsidR="00A1087A">
        <w:rPr>
          <w:szCs w:val="22"/>
        </w:rPr>
        <w:t>WRJC621)</w:t>
      </w:r>
      <w:r w:rsidRPr="00534E7C" w:rsidR="003252BF">
        <w:rPr>
          <w:szCs w:val="22"/>
        </w:rPr>
        <w:t>, 0009966636</w:t>
      </w:r>
      <w:r w:rsidRPr="00534E7C" w:rsidR="00386E5F">
        <w:rPr>
          <w:szCs w:val="22"/>
        </w:rPr>
        <w:t xml:space="preserve"> (WRHX600)</w:t>
      </w:r>
      <w:r w:rsidRPr="00534E7C" w:rsidR="003252BF">
        <w:rPr>
          <w:szCs w:val="22"/>
        </w:rPr>
        <w:t>, 0009966711</w:t>
      </w:r>
      <w:r w:rsidRPr="00534E7C" w:rsidR="00707AB2">
        <w:rPr>
          <w:szCs w:val="22"/>
        </w:rPr>
        <w:t xml:space="preserve"> (</w:t>
      </w:r>
      <w:r w:rsidRPr="00534E7C" w:rsidR="00C754DF">
        <w:rPr>
          <w:szCs w:val="22"/>
        </w:rPr>
        <w:t>WRHX599</w:t>
      </w:r>
      <w:r w:rsidRPr="00534E7C" w:rsidR="005D6811">
        <w:rPr>
          <w:szCs w:val="22"/>
        </w:rPr>
        <w:t>)</w:t>
      </w:r>
      <w:r w:rsidRPr="00534E7C" w:rsidR="003252BF">
        <w:rPr>
          <w:szCs w:val="22"/>
        </w:rPr>
        <w:t>, 0009966751</w:t>
      </w:r>
      <w:r w:rsidRPr="00534E7C" w:rsidR="00CC513B">
        <w:rPr>
          <w:szCs w:val="22"/>
        </w:rPr>
        <w:t xml:space="preserve"> (WPWY753)</w:t>
      </w:r>
      <w:r w:rsidRPr="00534E7C" w:rsidR="003252BF">
        <w:rPr>
          <w:szCs w:val="22"/>
        </w:rPr>
        <w:t>, 0009966768</w:t>
      </w:r>
      <w:r w:rsidRPr="00534E7C" w:rsidR="003441D4">
        <w:rPr>
          <w:szCs w:val="22"/>
        </w:rPr>
        <w:t xml:space="preserve"> (</w:t>
      </w:r>
      <w:r w:rsidRPr="00534E7C" w:rsidR="006F5741">
        <w:rPr>
          <w:szCs w:val="22"/>
        </w:rPr>
        <w:t>WPFR</w:t>
      </w:r>
      <w:r w:rsidRPr="00534E7C" w:rsidR="002C2192">
        <w:rPr>
          <w:szCs w:val="22"/>
        </w:rPr>
        <w:t>284)</w:t>
      </w:r>
      <w:r w:rsidRPr="00534E7C" w:rsidR="003252BF">
        <w:rPr>
          <w:szCs w:val="22"/>
        </w:rPr>
        <w:t>, 0009966783</w:t>
      </w:r>
      <w:r w:rsidRPr="00534E7C" w:rsidR="002C2192">
        <w:rPr>
          <w:szCs w:val="22"/>
        </w:rPr>
        <w:t xml:space="preserve"> (</w:t>
      </w:r>
      <w:r w:rsidRPr="00534E7C" w:rsidR="004812AE">
        <w:rPr>
          <w:szCs w:val="22"/>
        </w:rPr>
        <w:t>WPFP444)</w:t>
      </w:r>
      <w:r w:rsidRPr="00534E7C" w:rsidR="003252BF">
        <w:rPr>
          <w:szCs w:val="22"/>
        </w:rPr>
        <w:t>, 0009966805</w:t>
      </w:r>
      <w:r w:rsidRPr="00534E7C" w:rsidR="006871CA">
        <w:rPr>
          <w:szCs w:val="22"/>
        </w:rPr>
        <w:t xml:space="preserve"> </w:t>
      </w:r>
      <w:r w:rsidRPr="00534E7C" w:rsidR="00FA5449">
        <w:rPr>
          <w:szCs w:val="22"/>
        </w:rPr>
        <w:t>(WPOI701)</w:t>
      </w:r>
      <w:r w:rsidRPr="00534E7C" w:rsidR="003252BF">
        <w:rPr>
          <w:szCs w:val="22"/>
        </w:rPr>
        <w:t>, 0009966809</w:t>
      </w:r>
      <w:r w:rsidRPr="00534E7C" w:rsidR="00CE5350">
        <w:rPr>
          <w:szCs w:val="22"/>
        </w:rPr>
        <w:t xml:space="preserve"> (WREY457)</w:t>
      </w:r>
      <w:r w:rsidRPr="00534E7C" w:rsidR="003252BF">
        <w:rPr>
          <w:szCs w:val="22"/>
        </w:rPr>
        <w:t>, 0009966816</w:t>
      </w:r>
      <w:r w:rsidRPr="00534E7C" w:rsidR="00CE5350">
        <w:rPr>
          <w:szCs w:val="22"/>
        </w:rPr>
        <w:t xml:space="preserve"> (WREY456)</w:t>
      </w:r>
      <w:r w:rsidRPr="00534E7C" w:rsidR="003252BF">
        <w:rPr>
          <w:szCs w:val="22"/>
        </w:rPr>
        <w:t>, 0009966819</w:t>
      </w:r>
      <w:r w:rsidRPr="00534E7C" w:rsidR="00CE5350">
        <w:rPr>
          <w:szCs w:val="22"/>
        </w:rPr>
        <w:t xml:space="preserve"> (WRCS461)</w:t>
      </w:r>
      <w:r w:rsidRPr="00534E7C" w:rsidR="003252BF">
        <w:rPr>
          <w:szCs w:val="22"/>
        </w:rPr>
        <w:t>, 0009966838</w:t>
      </w:r>
      <w:r w:rsidRPr="00534E7C" w:rsidR="00CE5350">
        <w:rPr>
          <w:szCs w:val="22"/>
        </w:rPr>
        <w:t xml:space="preserve"> (WRCS460)</w:t>
      </w:r>
      <w:r w:rsidRPr="00534E7C" w:rsidR="003252BF">
        <w:rPr>
          <w:szCs w:val="22"/>
        </w:rPr>
        <w:t>, 0009966889</w:t>
      </w:r>
      <w:r w:rsidRPr="00534E7C" w:rsidR="00CE5350">
        <w:rPr>
          <w:szCs w:val="22"/>
        </w:rPr>
        <w:t xml:space="preserve"> (WRCS459)</w:t>
      </w:r>
      <w:r w:rsidRPr="00534E7C" w:rsidR="003252BF">
        <w:rPr>
          <w:szCs w:val="22"/>
        </w:rPr>
        <w:t>, 0009966898</w:t>
      </w:r>
      <w:r w:rsidRPr="00534E7C" w:rsidR="00CE5350">
        <w:rPr>
          <w:szCs w:val="22"/>
        </w:rPr>
        <w:t xml:space="preserve"> (WQSL327)</w:t>
      </w:r>
      <w:r w:rsidRPr="00534E7C" w:rsidR="003252BF">
        <w:rPr>
          <w:szCs w:val="22"/>
        </w:rPr>
        <w:t>, 0009966910</w:t>
      </w:r>
      <w:r w:rsidRPr="00534E7C" w:rsidR="00CE5350">
        <w:rPr>
          <w:szCs w:val="22"/>
        </w:rPr>
        <w:t xml:space="preserve"> (WQSL326)</w:t>
      </w:r>
      <w:r w:rsidRPr="00534E7C" w:rsidR="003252BF">
        <w:rPr>
          <w:szCs w:val="22"/>
        </w:rPr>
        <w:t>, 0009966953</w:t>
      </w:r>
      <w:r w:rsidRPr="00534E7C" w:rsidR="00CE5350">
        <w:rPr>
          <w:szCs w:val="22"/>
        </w:rPr>
        <w:t xml:space="preserve"> (WQSJ981)</w:t>
      </w:r>
      <w:r w:rsidRPr="00534E7C" w:rsidR="003252BF">
        <w:rPr>
          <w:szCs w:val="22"/>
        </w:rPr>
        <w:t>, 0009966992</w:t>
      </w:r>
      <w:r w:rsidRPr="00534E7C" w:rsidR="00CE5350">
        <w:rPr>
          <w:szCs w:val="22"/>
        </w:rPr>
        <w:t xml:space="preserve"> (WPOI774)</w:t>
      </w:r>
      <w:r w:rsidRPr="00534E7C" w:rsidR="003252BF">
        <w:rPr>
          <w:szCs w:val="22"/>
        </w:rPr>
        <w:t>, 0009967013</w:t>
      </w:r>
      <w:r w:rsidRPr="00534E7C" w:rsidR="00CE5350">
        <w:rPr>
          <w:szCs w:val="22"/>
        </w:rPr>
        <w:t xml:space="preserve"> (WPVL860)</w:t>
      </w:r>
      <w:r w:rsidRPr="00534E7C" w:rsidR="003252BF">
        <w:rPr>
          <w:szCs w:val="22"/>
        </w:rPr>
        <w:t>, 0009967024</w:t>
      </w:r>
      <w:r w:rsidRPr="00534E7C" w:rsidR="00CE5350">
        <w:rPr>
          <w:szCs w:val="22"/>
        </w:rPr>
        <w:t xml:space="preserve"> (WPOJ281)</w:t>
      </w:r>
      <w:r w:rsidRPr="00534E7C" w:rsidR="003252BF">
        <w:rPr>
          <w:szCs w:val="22"/>
        </w:rPr>
        <w:t>, 0009967038</w:t>
      </w:r>
      <w:r w:rsidRPr="00534E7C" w:rsidR="00CE5350">
        <w:rPr>
          <w:szCs w:val="22"/>
        </w:rPr>
        <w:t xml:space="preserve"> (WPOJ280)</w:t>
      </w:r>
      <w:r w:rsidRPr="00534E7C" w:rsidR="003252BF">
        <w:rPr>
          <w:szCs w:val="22"/>
        </w:rPr>
        <w:t>, 0009967046</w:t>
      </w:r>
      <w:r w:rsidRPr="00534E7C" w:rsidR="00CE5350">
        <w:rPr>
          <w:szCs w:val="22"/>
        </w:rPr>
        <w:t xml:space="preserve"> (WPOJ279)</w:t>
      </w:r>
      <w:r w:rsidRPr="00534E7C" w:rsidR="003252BF">
        <w:rPr>
          <w:szCs w:val="22"/>
        </w:rPr>
        <w:t>, 0009967067</w:t>
      </w:r>
      <w:r w:rsidRPr="00534E7C" w:rsidR="00CE5350">
        <w:rPr>
          <w:szCs w:val="22"/>
        </w:rPr>
        <w:t xml:space="preserve"> (WPOJ271)</w:t>
      </w:r>
      <w:r w:rsidRPr="00534E7C" w:rsidR="003252BF">
        <w:rPr>
          <w:szCs w:val="22"/>
        </w:rPr>
        <w:t>, 0009967079</w:t>
      </w:r>
      <w:r w:rsidRPr="00534E7C" w:rsidR="00CE5350">
        <w:rPr>
          <w:szCs w:val="22"/>
        </w:rPr>
        <w:t xml:space="preserve"> (WPOI924)</w:t>
      </w:r>
      <w:r w:rsidRPr="00534E7C" w:rsidR="003252BF">
        <w:rPr>
          <w:szCs w:val="22"/>
        </w:rPr>
        <w:t>, 0009967085</w:t>
      </w:r>
      <w:r w:rsidRPr="00534E7C" w:rsidR="00CE5350">
        <w:rPr>
          <w:szCs w:val="22"/>
        </w:rPr>
        <w:t xml:space="preserve"> (WPOI800)</w:t>
      </w:r>
      <w:r w:rsidRPr="00534E7C" w:rsidR="003252BF">
        <w:rPr>
          <w:szCs w:val="22"/>
        </w:rPr>
        <w:t>, 0009967092</w:t>
      </w:r>
      <w:r w:rsidRPr="00534E7C" w:rsidR="00CE5350">
        <w:rPr>
          <w:szCs w:val="22"/>
        </w:rPr>
        <w:t xml:space="preserve"> (WPOI774)</w:t>
      </w:r>
      <w:r w:rsidRPr="00534E7C" w:rsidR="003252BF">
        <w:rPr>
          <w:szCs w:val="22"/>
        </w:rPr>
        <w:t>, 0009967105</w:t>
      </w:r>
      <w:r w:rsidRPr="00534E7C" w:rsidR="00CE5350">
        <w:rPr>
          <w:szCs w:val="22"/>
        </w:rPr>
        <w:t xml:space="preserve"> (WPOI701)</w:t>
      </w:r>
      <w:r w:rsidRPr="00534E7C" w:rsidR="003252BF">
        <w:rPr>
          <w:szCs w:val="22"/>
        </w:rPr>
        <w:t>, 0009967348</w:t>
      </w:r>
      <w:r w:rsidRPr="00534E7C" w:rsidR="00CE5350">
        <w:rPr>
          <w:szCs w:val="22"/>
        </w:rPr>
        <w:t xml:space="preserve"> (WPOI705)</w:t>
      </w:r>
      <w:r w:rsidRPr="00534E7C" w:rsidR="003252BF">
        <w:rPr>
          <w:szCs w:val="22"/>
        </w:rPr>
        <w:t>, 0009967355</w:t>
      </w:r>
      <w:r w:rsidRPr="00534E7C" w:rsidR="00CE5350">
        <w:rPr>
          <w:szCs w:val="22"/>
        </w:rPr>
        <w:t xml:space="preserve"> (</w:t>
      </w:r>
      <w:r w:rsidRPr="00534E7C" w:rsidR="00242226">
        <w:rPr>
          <w:szCs w:val="22"/>
        </w:rPr>
        <w:t>WPOI708)</w:t>
      </w:r>
      <w:r w:rsidRPr="00534E7C" w:rsidR="003252BF">
        <w:rPr>
          <w:szCs w:val="22"/>
        </w:rPr>
        <w:t>, 0009967359</w:t>
      </w:r>
      <w:r w:rsidRPr="00534E7C" w:rsidR="00242226">
        <w:rPr>
          <w:szCs w:val="22"/>
        </w:rPr>
        <w:t xml:space="preserve"> (WPOI706)</w:t>
      </w:r>
      <w:r w:rsidRPr="00534E7C" w:rsidR="003252BF">
        <w:rPr>
          <w:szCs w:val="22"/>
        </w:rPr>
        <w:t>, 0009967369</w:t>
      </w:r>
      <w:r w:rsidRPr="00534E7C" w:rsidR="00242226">
        <w:rPr>
          <w:szCs w:val="22"/>
        </w:rPr>
        <w:t xml:space="preserve"> (WPOI704)</w:t>
      </w:r>
      <w:r w:rsidRPr="00534E7C" w:rsidR="003252BF">
        <w:rPr>
          <w:szCs w:val="22"/>
        </w:rPr>
        <w:t>, 0009967375</w:t>
      </w:r>
      <w:r w:rsidRPr="00534E7C" w:rsidR="00242226">
        <w:rPr>
          <w:szCs w:val="22"/>
        </w:rPr>
        <w:t xml:space="preserve"> (WPOI703)</w:t>
      </w:r>
      <w:r w:rsidRPr="00534E7C" w:rsidR="003252BF">
        <w:rPr>
          <w:szCs w:val="22"/>
        </w:rPr>
        <w:t>, 0009967387</w:t>
      </w:r>
      <w:r w:rsidRPr="00534E7C" w:rsidR="00242226">
        <w:rPr>
          <w:szCs w:val="22"/>
        </w:rPr>
        <w:t xml:space="preserve"> (WPOI702)</w:t>
      </w:r>
      <w:r w:rsidRPr="00534E7C" w:rsidR="003252BF">
        <w:rPr>
          <w:szCs w:val="22"/>
        </w:rPr>
        <w:t>, 0010183520</w:t>
      </w:r>
      <w:r w:rsidRPr="00534E7C" w:rsidR="00242226">
        <w:rPr>
          <w:szCs w:val="22"/>
        </w:rPr>
        <w:t xml:space="preserve"> (WQXL586)</w:t>
      </w:r>
      <w:r w:rsidRPr="00534E7C" w:rsidR="003252BF">
        <w:rPr>
          <w:szCs w:val="22"/>
        </w:rPr>
        <w:t>, 0010183541</w:t>
      </w:r>
      <w:r w:rsidRPr="00534E7C" w:rsidR="00242226">
        <w:rPr>
          <w:szCs w:val="22"/>
        </w:rPr>
        <w:t xml:space="preserve"> (WRCR206)</w:t>
      </w:r>
      <w:r w:rsidRPr="00534E7C" w:rsidR="003252BF">
        <w:rPr>
          <w:szCs w:val="22"/>
        </w:rPr>
        <w:t>, and 0010183542</w:t>
      </w:r>
      <w:r w:rsidRPr="00534E7C" w:rsidR="00242226">
        <w:rPr>
          <w:szCs w:val="22"/>
        </w:rPr>
        <w:t xml:space="preserve"> (WPOI710)</w:t>
      </w:r>
      <w:r w:rsidRPr="00534E7C" w:rsidR="00C33BAC">
        <w:rPr>
          <w:szCs w:val="22"/>
        </w:rPr>
        <w:t>—</w:t>
      </w:r>
      <w:r w:rsidRPr="00534E7C">
        <w:rPr>
          <w:szCs w:val="22"/>
        </w:rPr>
        <w:t xml:space="preserve">IS HEREBY GRANTED to the extent provided and subject to </w:t>
      </w:r>
      <w:r w:rsidRPr="00534E7C">
        <w:rPr>
          <w:szCs w:val="22"/>
        </w:rPr>
        <w:t xml:space="preserve">all </w:t>
      </w:r>
      <w:r w:rsidRPr="00534E7C">
        <w:rPr>
          <w:szCs w:val="22"/>
        </w:rPr>
        <w:t>conditions enumerated above.</w:t>
      </w:r>
      <w:r>
        <w:rPr>
          <w:rStyle w:val="FootnoteReference"/>
          <w:sz w:val="22"/>
          <w:szCs w:val="22"/>
        </w:rPr>
        <w:footnoteReference w:id="182"/>
      </w:r>
    </w:p>
    <w:p w:rsidR="00F23439" w14:paraId="2945BC23" w14:textId="77777777">
      <w:r>
        <w:tab/>
      </w:r>
      <w:r>
        <w:tab/>
      </w:r>
      <w:r>
        <w:tab/>
      </w:r>
      <w:r>
        <w:tab/>
      </w:r>
      <w:r>
        <w:tab/>
      </w:r>
      <w:r>
        <w:tab/>
        <w:t>FEDERAL COMMUNICATIONS COMMISSION</w:t>
      </w:r>
    </w:p>
    <w:p w:rsidR="00F23439" w14:paraId="734F63F4" w14:textId="77777777"/>
    <w:p w:rsidR="00F23439" w14:paraId="47BA6E4B" w14:textId="77777777"/>
    <w:p w:rsidR="00F23439" w14:paraId="56260764" w14:textId="77777777"/>
    <w:p w:rsidR="00F23439" w14:paraId="0BF6607F" w14:textId="77777777"/>
    <w:p w:rsidR="00F23439" w:rsidP="00F23439" w14:paraId="461E5632" w14:textId="77777777">
      <w:r>
        <w:tab/>
      </w:r>
      <w:r>
        <w:tab/>
      </w:r>
      <w:r>
        <w:tab/>
      </w:r>
      <w:r>
        <w:tab/>
      </w:r>
      <w:r>
        <w:tab/>
      </w:r>
      <w:r>
        <w:tab/>
        <w:t>Roger S. Noel</w:t>
      </w:r>
    </w:p>
    <w:p w:rsidR="00F23439" w:rsidP="00F23439" w14:paraId="14DD8EAA" w14:textId="77777777">
      <w:r>
        <w:tab/>
      </w:r>
      <w:r>
        <w:tab/>
      </w:r>
      <w:r>
        <w:tab/>
      </w:r>
      <w:r>
        <w:tab/>
      </w:r>
      <w:r>
        <w:tab/>
      </w:r>
      <w:r>
        <w:tab/>
        <w:t xml:space="preserve">Chief, Mobility Division </w:t>
      </w:r>
    </w:p>
    <w:p w:rsidR="00F23439" w:rsidP="00F23439" w14:paraId="05E0A176" w14:textId="12B6C2B6">
      <w:r>
        <w:tab/>
      </w:r>
      <w:r>
        <w:tab/>
      </w:r>
      <w:r>
        <w:tab/>
      </w:r>
      <w:r>
        <w:tab/>
      </w:r>
      <w:r>
        <w:tab/>
      </w:r>
      <w:r>
        <w:tab/>
        <w:t>Wireless Telecommunications Bureau</w:t>
      </w:r>
    </w:p>
    <w:p w:rsidR="00F23439" w14:paraId="159EDD9F" w14:textId="265D2AC7"/>
    <w:p w:rsidR="005170A8" w:rsidRPr="00534E7C" w:rsidP="00242226" w14:paraId="183F9E4F" w14:textId="77777777">
      <w:pPr>
        <w:keepNext/>
        <w:tabs>
          <w:tab w:val="left" w:pos="360"/>
        </w:tabs>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5170A8" w:rsidRPr="00534E7C" w:rsidP="56AF5418" w14:paraId="6C8EDECE" w14:textId="1AFFEF7F">
      <w:pPr>
        <w:pStyle w:val="ListParagraph"/>
        <w:ind w:left="360"/>
        <w:jc w:val="center"/>
        <w:rPr>
          <w:b/>
          <w:bCs/>
        </w:rPr>
      </w:pPr>
      <w:r w:rsidRPr="56AF5418">
        <w:rPr>
          <w:b/>
          <w:bCs/>
        </w:rPr>
        <w:t>APPENDIX</w:t>
      </w:r>
    </w:p>
    <w:p w:rsidR="005170A8" w:rsidRPr="00534E7C" w:rsidP="00B528F1" w14:paraId="40067707" w14:textId="77777777">
      <w:pPr>
        <w:pStyle w:val="ListParagraph"/>
        <w:ind w:left="360"/>
        <w:jc w:val="center"/>
        <w:rPr>
          <w:b/>
          <w:bCs/>
          <w:szCs w:val="22"/>
        </w:rPr>
      </w:pPr>
    </w:p>
    <w:p w:rsidR="005170A8" w:rsidRPr="00534E7C" w:rsidP="00B528F1" w14:paraId="52320A2C" w14:textId="7717084F">
      <w:pPr>
        <w:pStyle w:val="ListParagraph"/>
        <w:ind w:left="360"/>
        <w:jc w:val="center"/>
        <w:rPr>
          <w:b/>
          <w:bCs/>
          <w:szCs w:val="22"/>
        </w:rPr>
      </w:pPr>
      <w:r w:rsidRPr="00534E7C">
        <w:rPr>
          <w:b/>
          <w:bCs/>
          <w:szCs w:val="22"/>
        </w:rPr>
        <w:t>M</w:t>
      </w:r>
      <w:r w:rsidRPr="00534E7C" w:rsidR="00245AE0">
        <w:rPr>
          <w:b/>
          <w:bCs/>
          <w:szCs w:val="22"/>
        </w:rPr>
        <w:t xml:space="preserve">odified </w:t>
      </w:r>
      <w:r w:rsidRPr="00534E7C">
        <w:rPr>
          <w:b/>
          <w:bCs/>
          <w:szCs w:val="22"/>
        </w:rPr>
        <w:t>R</w:t>
      </w:r>
      <w:r w:rsidRPr="00534E7C" w:rsidR="00245AE0">
        <w:rPr>
          <w:b/>
          <w:bCs/>
          <w:szCs w:val="22"/>
        </w:rPr>
        <w:t xml:space="preserve">ule </w:t>
      </w:r>
      <w:r w:rsidRPr="00534E7C">
        <w:rPr>
          <w:b/>
          <w:bCs/>
          <w:szCs w:val="22"/>
        </w:rPr>
        <w:t>W</w:t>
      </w:r>
      <w:r w:rsidRPr="00534E7C" w:rsidR="00245AE0">
        <w:rPr>
          <w:b/>
          <w:bCs/>
          <w:szCs w:val="22"/>
        </w:rPr>
        <w:t>aivers</w:t>
      </w:r>
      <w:r w:rsidRPr="00534E7C" w:rsidR="00645162">
        <w:rPr>
          <w:b/>
          <w:bCs/>
          <w:szCs w:val="22"/>
        </w:rPr>
        <w:t>*</w:t>
      </w:r>
    </w:p>
    <w:p w:rsidR="005170A8" w:rsidRPr="00534E7C" w:rsidP="00B528F1" w14:paraId="64BD0EE0" w14:textId="77777777">
      <w:pPr>
        <w:pStyle w:val="ListParagraph"/>
        <w:ind w:left="360"/>
        <w:rPr>
          <w:szCs w:val="22"/>
        </w:rPr>
      </w:pPr>
      <w:r w:rsidRPr="00534E7C">
        <w:rPr>
          <w:szCs w:val="22"/>
        </w:rPr>
        <w:t xml:space="preserve"> </w:t>
      </w:r>
    </w:p>
    <w:p w:rsidR="005170A8" w:rsidRPr="00534E7C" w:rsidP="005170A8" w14:paraId="43F09FDC" w14:textId="018C3C9F">
      <w:pPr>
        <w:pStyle w:val="ListParagraph"/>
        <w:numPr>
          <w:ilvl w:val="0"/>
          <w:numId w:val="38"/>
        </w:numPr>
        <w:rPr>
          <w:szCs w:val="22"/>
        </w:rPr>
      </w:pPr>
      <w:r w:rsidRPr="00534E7C">
        <w:rPr>
          <w:szCs w:val="22"/>
        </w:rPr>
        <w:t xml:space="preserve">0009965899 (WQSK949; NW): </w:t>
      </w:r>
      <w:r w:rsidRPr="00534E7C" w:rsidR="00645162">
        <w:rPr>
          <w:szCs w:val="22"/>
        </w:rPr>
        <w:t xml:space="preserve"> </w:t>
      </w:r>
      <w:r w:rsidRPr="00534E7C">
        <w:rPr>
          <w:szCs w:val="22"/>
        </w:rPr>
        <w:t>1, 2, 3, 4</w:t>
      </w:r>
    </w:p>
    <w:p w:rsidR="005170A8" w:rsidRPr="00534E7C" w:rsidP="005170A8" w14:paraId="013197C3" w14:textId="7BFE45AD">
      <w:pPr>
        <w:pStyle w:val="ListParagraph"/>
        <w:numPr>
          <w:ilvl w:val="0"/>
          <w:numId w:val="38"/>
        </w:numPr>
        <w:rPr>
          <w:szCs w:val="22"/>
        </w:rPr>
      </w:pPr>
      <w:r w:rsidRPr="00534E7C">
        <w:rPr>
          <w:szCs w:val="22"/>
        </w:rPr>
        <w:t xml:space="preserve">0009965921 (WQXK673; REAG): </w:t>
      </w:r>
      <w:r w:rsidRPr="00534E7C" w:rsidR="00645162">
        <w:rPr>
          <w:szCs w:val="22"/>
        </w:rPr>
        <w:t xml:space="preserve"> </w:t>
      </w:r>
      <w:r w:rsidRPr="00534E7C">
        <w:rPr>
          <w:szCs w:val="22"/>
        </w:rPr>
        <w:t>2, 3, 4, 5</w:t>
      </w:r>
    </w:p>
    <w:p w:rsidR="005170A8" w:rsidRPr="00534E7C" w:rsidP="005170A8" w14:paraId="6697C956" w14:textId="64C3EB3C">
      <w:pPr>
        <w:pStyle w:val="ListParagraph"/>
        <w:numPr>
          <w:ilvl w:val="0"/>
          <w:numId w:val="38"/>
        </w:numPr>
        <w:rPr>
          <w:szCs w:val="22"/>
        </w:rPr>
      </w:pPr>
      <w:r w:rsidRPr="00534E7C">
        <w:rPr>
          <w:szCs w:val="22"/>
        </w:rPr>
        <w:t xml:space="preserve">0009966558 (WQXK674: NW): </w:t>
      </w:r>
      <w:r w:rsidRPr="00534E7C" w:rsidR="00645162">
        <w:rPr>
          <w:szCs w:val="22"/>
        </w:rPr>
        <w:t xml:space="preserve"> </w:t>
      </w:r>
      <w:r w:rsidRPr="00534E7C">
        <w:rPr>
          <w:szCs w:val="22"/>
        </w:rPr>
        <w:t>2, 3, 4</w:t>
      </w:r>
    </w:p>
    <w:p w:rsidR="005170A8" w:rsidRPr="00534E7C" w:rsidP="005170A8" w14:paraId="6813DC9B" w14:textId="4B245176">
      <w:pPr>
        <w:pStyle w:val="ListParagraph"/>
        <w:numPr>
          <w:ilvl w:val="0"/>
          <w:numId w:val="38"/>
        </w:numPr>
        <w:rPr>
          <w:szCs w:val="22"/>
        </w:rPr>
      </w:pPr>
      <w:r w:rsidRPr="00534E7C">
        <w:rPr>
          <w:szCs w:val="22"/>
        </w:rPr>
        <w:t xml:space="preserve">0009966588 (WRJC621; REAG): </w:t>
      </w:r>
      <w:r w:rsidRPr="00534E7C" w:rsidR="00645162">
        <w:rPr>
          <w:szCs w:val="22"/>
        </w:rPr>
        <w:t xml:space="preserve"> </w:t>
      </w:r>
      <w:r w:rsidRPr="00534E7C">
        <w:rPr>
          <w:szCs w:val="22"/>
        </w:rPr>
        <w:t>2, 3, 4, 5</w:t>
      </w:r>
    </w:p>
    <w:p w:rsidR="005170A8" w:rsidRPr="00534E7C" w:rsidP="005170A8" w14:paraId="5D030EFB" w14:textId="4B55EE96">
      <w:pPr>
        <w:pStyle w:val="ListParagraph"/>
        <w:numPr>
          <w:ilvl w:val="0"/>
          <w:numId w:val="38"/>
        </w:numPr>
        <w:rPr>
          <w:szCs w:val="22"/>
        </w:rPr>
      </w:pPr>
      <w:r w:rsidRPr="00534E7C">
        <w:rPr>
          <w:szCs w:val="22"/>
        </w:rPr>
        <w:t xml:space="preserve">0009966636 (WRHX600; REAG): </w:t>
      </w:r>
      <w:r w:rsidRPr="00534E7C" w:rsidR="00645162">
        <w:rPr>
          <w:szCs w:val="22"/>
        </w:rPr>
        <w:t xml:space="preserve"> </w:t>
      </w:r>
      <w:r w:rsidRPr="00534E7C">
        <w:rPr>
          <w:szCs w:val="22"/>
        </w:rPr>
        <w:t>2, 3, 4, 5</w:t>
      </w:r>
    </w:p>
    <w:p w:rsidR="005170A8" w:rsidRPr="00534E7C" w:rsidP="005170A8" w14:paraId="5962A9DE" w14:textId="3AAEDEB6">
      <w:pPr>
        <w:pStyle w:val="ListParagraph"/>
        <w:numPr>
          <w:ilvl w:val="0"/>
          <w:numId w:val="38"/>
        </w:numPr>
        <w:rPr>
          <w:szCs w:val="22"/>
        </w:rPr>
      </w:pPr>
      <w:r w:rsidRPr="00534E7C">
        <w:rPr>
          <w:szCs w:val="22"/>
        </w:rPr>
        <w:t xml:space="preserve">0009966711 (WRHX599; REAG): </w:t>
      </w:r>
      <w:r w:rsidRPr="00534E7C" w:rsidR="00645162">
        <w:rPr>
          <w:szCs w:val="22"/>
        </w:rPr>
        <w:t xml:space="preserve"> </w:t>
      </w:r>
      <w:r w:rsidRPr="00534E7C">
        <w:rPr>
          <w:szCs w:val="22"/>
        </w:rPr>
        <w:t>2, 3, 4, 5</w:t>
      </w:r>
    </w:p>
    <w:p w:rsidR="005170A8" w:rsidRPr="00534E7C" w:rsidP="005170A8" w14:paraId="391B9F10" w14:textId="61A2CD5F">
      <w:pPr>
        <w:pStyle w:val="ListParagraph"/>
        <w:numPr>
          <w:ilvl w:val="0"/>
          <w:numId w:val="38"/>
        </w:numPr>
        <w:rPr>
          <w:szCs w:val="22"/>
        </w:rPr>
      </w:pPr>
      <w:r w:rsidRPr="00534E7C">
        <w:rPr>
          <w:szCs w:val="22"/>
        </w:rPr>
        <w:t xml:space="preserve">0009966751 (WPWY753; NW): </w:t>
      </w:r>
      <w:r w:rsidRPr="00534E7C" w:rsidR="00645162">
        <w:rPr>
          <w:szCs w:val="22"/>
        </w:rPr>
        <w:t xml:space="preserve"> </w:t>
      </w:r>
      <w:r w:rsidRPr="00534E7C" w:rsidR="001A6109">
        <w:rPr>
          <w:szCs w:val="22"/>
        </w:rPr>
        <w:t xml:space="preserve">1, </w:t>
      </w:r>
      <w:r w:rsidRPr="00534E7C">
        <w:rPr>
          <w:szCs w:val="22"/>
        </w:rPr>
        <w:t xml:space="preserve">2, </w:t>
      </w:r>
      <w:r w:rsidRPr="00534E7C" w:rsidR="00817576">
        <w:rPr>
          <w:szCs w:val="22"/>
        </w:rPr>
        <w:t xml:space="preserve">3, </w:t>
      </w:r>
      <w:r w:rsidRPr="00534E7C">
        <w:rPr>
          <w:szCs w:val="22"/>
        </w:rPr>
        <w:t>4, 5</w:t>
      </w:r>
    </w:p>
    <w:p w:rsidR="005170A8" w:rsidRPr="00534E7C" w:rsidP="005170A8" w14:paraId="73B1F47D" w14:textId="3DADACDF">
      <w:pPr>
        <w:pStyle w:val="ListParagraph"/>
        <w:numPr>
          <w:ilvl w:val="0"/>
          <w:numId w:val="38"/>
        </w:numPr>
        <w:rPr>
          <w:szCs w:val="22"/>
        </w:rPr>
      </w:pPr>
      <w:r w:rsidRPr="00534E7C">
        <w:rPr>
          <w:szCs w:val="22"/>
        </w:rPr>
        <w:t xml:space="preserve">0009966768 (WPFR284; NW): </w:t>
      </w:r>
      <w:r w:rsidRPr="00534E7C" w:rsidR="00645162">
        <w:rPr>
          <w:szCs w:val="22"/>
        </w:rPr>
        <w:t xml:space="preserve"> </w:t>
      </w:r>
      <w:r w:rsidRPr="00534E7C" w:rsidR="004374B7">
        <w:rPr>
          <w:szCs w:val="22"/>
        </w:rPr>
        <w:t xml:space="preserve">1, </w:t>
      </w:r>
      <w:r w:rsidRPr="00534E7C" w:rsidR="001B3D17">
        <w:rPr>
          <w:szCs w:val="22"/>
        </w:rPr>
        <w:t xml:space="preserve">2, </w:t>
      </w:r>
      <w:r w:rsidRPr="00534E7C" w:rsidR="00817576">
        <w:rPr>
          <w:szCs w:val="22"/>
        </w:rPr>
        <w:t xml:space="preserve">3, </w:t>
      </w:r>
      <w:r w:rsidRPr="00534E7C">
        <w:rPr>
          <w:szCs w:val="22"/>
        </w:rPr>
        <w:t>4, 5</w:t>
      </w:r>
    </w:p>
    <w:p w:rsidR="005170A8" w:rsidRPr="00534E7C" w:rsidP="005170A8" w14:paraId="0CFD4AC9" w14:textId="4ACDCE6A">
      <w:pPr>
        <w:pStyle w:val="ListParagraph"/>
        <w:numPr>
          <w:ilvl w:val="0"/>
          <w:numId w:val="38"/>
        </w:numPr>
        <w:rPr>
          <w:szCs w:val="22"/>
        </w:rPr>
      </w:pPr>
      <w:r w:rsidRPr="00534E7C">
        <w:rPr>
          <w:szCs w:val="22"/>
        </w:rPr>
        <w:t xml:space="preserve">0009966783 (WPFP444; NW): </w:t>
      </w:r>
      <w:r w:rsidRPr="00534E7C" w:rsidR="00645162">
        <w:rPr>
          <w:szCs w:val="22"/>
        </w:rPr>
        <w:t xml:space="preserve"> </w:t>
      </w:r>
      <w:r w:rsidRPr="00534E7C" w:rsidR="008A098A">
        <w:rPr>
          <w:szCs w:val="22"/>
        </w:rPr>
        <w:t>1,</w:t>
      </w:r>
      <w:r w:rsidRPr="00534E7C" w:rsidR="001B3D17">
        <w:rPr>
          <w:szCs w:val="22"/>
        </w:rPr>
        <w:t xml:space="preserve"> 2,</w:t>
      </w:r>
      <w:r w:rsidRPr="00534E7C" w:rsidR="008A098A">
        <w:rPr>
          <w:szCs w:val="22"/>
        </w:rPr>
        <w:t xml:space="preserve"> </w:t>
      </w:r>
      <w:r w:rsidRPr="00534E7C" w:rsidR="00817576">
        <w:rPr>
          <w:szCs w:val="22"/>
        </w:rPr>
        <w:t xml:space="preserve">3, </w:t>
      </w:r>
      <w:r w:rsidRPr="00534E7C">
        <w:rPr>
          <w:szCs w:val="22"/>
        </w:rPr>
        <w:t>4, 5</w:t>
      </w:r>
    </w:p>
    <w:p w:rsidR="005170A8" w:rsidRPr="00534E7C" w:rsidP="005170A8" w14:paraId="6C2ABFBB" w14:textId="54748575">
      <w:pPr>
        <w:pStyle w:val="ListParagraph"/>
        <w:numPr>
          <w:ilvl w:val="0"/>
          <w:numId w:val="38"/>
        </w:numPr>
        <w:rPr>
          <w:szCs w:val="22"/>
        </w:rPr>
      </w:pPr>
      <w:r w:rsidRPr="00534E7C">
        <w:rPr>
          <w:szCs w:val="22"/>
        </w:rPr>
        <w:t xml:space="preserve">0009966805 (WREY458; REAG): </w:t>
      </w:r>
      <w:r w:rsidRPr="00534E7C" w:rsidR="00645162">
        <w:rPr>
          <w:szCs w:val="22"/>
        </w:rPr>
        <w:t xml:space="preserve"> </w:t>
      </w:r>
      <w:r w:rsidRPr="00534E7C">
        <w:rPr>
          <w:szCs w:val="22"/>
        </w:rPr>
        <w:t>2, 3, 4, 5</w:t>
      </w:r>
    </w:p>
    <w:p w:rsidR="005170A8" w:rsidRPr="00534E7C" w:rsidP="005170A8" w14:paraId="3F0A6A69" w14:textId="1530C840">
      <w:pPr>
        <w:pStyle w:val="ListParagraph"/>
        <w:numPr>
          <w:ilvl w:val="0"/>
          <w:numId w:val="38"/>
        </w:numPr>
        <w:rPr>
          <w:szCs w:val="22"/>
        </w:rPr>
      </w:pPr>
      <w:r w:rsidRPr="00534E7C">
        <w:rPr>
          <w:szCs w:val="22"/>
        </w:rPr>
        <w:t xml:space="preserve">0009966809 (WREY457; REAG): </w:t>
      </w:r>
      <w:r w:rsidRPr="00534E7C" w:rsidR="00645162">
        <w:rPr>
          <w:szCs w:val="22"/>
        </w:rPr>
        <w:t xml:space="preserve"> </w:t>
      </w:r>
      <w:r w:rsidRPr="00534E7C">
        <w:rPr>
          <w:szCs w:val="22"/>
        </w:rPr>
        <w:t>2, 3, 4, 5</w:t>
      </w:r>
    </w:p>
    <w:p w:rsidR="005170A8" w:rsidRPr="00534E7C" w:rsidP="005170A8" w14:paraId="0DA11331" w14:textId="0B7F0490">
      <w:pPr>
        <w:pStyle w:val="ListParagraph"/>
        <w:numPr>
          <w:ilvl w:val="0"/>
          <w:numId w:val="38"/>
        </w:numPr>
        <w:rPr>
          <w:szCs w:val="22"/>
        </w:rPr>
      </w:pPr>
      <w:r w:rsidRPr="00534E7C">
        <w:rPr>
          <w:szCs w:val="22"/>
        </w:rPr>
        <w:t xml:space="preserve">0009966816 (WREY456; REAG): </w:t>
      </w:r>
      <w:r w:rsidRPr="00534E7C" w:rsidR="00645162">
        <w:rPr>
          <w:szCs w:val="22"/>
        </w:rPr>
        <w:t xml:space="preserve"> </w:t>
      </w:r>
      <w:r w:rsidRPr="00534E7C">
        <w:rPr>
          <w:szCs w:val="22"/>
        </w:rPr>
        <w:t>2, 3, 4, 5</w:t>
      </w:r>
    </w:p>
    <w:p w:rsidR="005170A8" w:rsidRPr="00534E7C" w:rsidP="005170A8" w14:paraId="7769F87E" w14:textId="22DEBC77">
      <w:pPr>
        <w:pStyle w:val="ListParagraph"/>
        <w:numPr>
          <w:ilvl w:val="0"/>
          <w:numId w:val="38"/>
        </w:numPr>
        <w:rPr>
          <w:szCs w:val="22"/>
        </w:rPr>
      </w:pPr>
      <w:r w:rsidRPr="00534E7C">
        <w:rPr>
          <w:szCs w:val="22"/>
        </w:rPr>
        <w:t xml:space="preserve">0009966819 (WRCS461; REAG): </w:t>
      </w:r>
      <w:r w:rsidRPr="00534E7C" w:rsidR="00645162">
        <w:rPr>
          <w:szCs w:val="22"/>
        </w:rPr>
        <w:t xml:space="preserve"> </w:t>
      </w:r>
      <w:r w:rsidRPr="00534E7C">
        <w:rPr>
          <w:szCs w:val="22"/>
        </w:rPr>
        <w:t>2, 3, 4, 5</w:t>
      </w:r>
    </w:p>
    <w:p w:rsidR="005170A8" w:rsidRPr="00534E7C" w:rsidP="005170A8" w14:paraId="376EF4BB" w14:textId="55F0E4E4">
      <w:pPr>
        <w:pStyle w:val="ListParagraph"/>
        <w:numPr>
          <w:ilvl w:val="0"/>
          <w:numId w:val="38"/>
        </w:numPr>
        <w:rPr>
          <w:szCs w:val="22"/>
        </w:rPr>
      </w:pPr>
      <w:r w:rsidRPr="00534E7C">
        <w:rPr>
          <w:szCs w:val="22"/>
        </w:rPr>
        <w:t xml:space="preserve">0009966838 (WRCS460; REAG): </w:t>
      </w:r>
      <w:r w:rsidRPr="00534E7C" w:rsidR="00645162">
        <w:rPr>
          <w:szCs w:val="22"/>
        </w:rPr>
        <w:t xml:space="preserve"> </w:t>
      </w:r>
      <w:r w:rsidRPr="00534E7C">
        <w:rPr>
          <w:szCs w:val="22"/>
        </w:rPr>
        <w:t>2, 3, 4, 5</w:t>
      </w:r>
    </w:p>
    <w:p w:rsidR="005170A8" w:rsidRPr="00534E7C" w:rsidP="005170A8" w14:paraId="36AF869F" w14:textId="1589D97F">
      <w:pPr>
        <w:pStyle w:val="ListParagraph"/>
        <w:numPr>
          <w:ilvl w:val="0"/>
          <w:numId w:val="38"/>
        </w:numPr>
        <w:rPr>
          <w:szCs w:val="22"/>
        </w:rPr>
      </w:pPr>
      <w:r w:rsidRPr="00534E7C">
        <w:rPr>
          <w:szCs w:val="22"/>
        </w:rPr>
        <w:t xml:space="preserve">0009966889 (WRCS459 NW): </w:t>
      </w:r>
      <w:r w:rsidRPr="00534E7C" w:rsidR="00645162">
        <w:rPr>
          <w:szCs w:val="22"/>
        </w:rPr>
        <w:t xml:space="preserve"> </w:t>
      </w:r>
      <w:r w:rsidRPr="00534E7C">
        <w:rPr>
          <w:szCs w:val="22"/>
        </w:rPr>
        <w:t>2, 3, 4</w:t>
      </w:r>
    </w:p>
    <w:p w:rsidR="005170A8" w:rsidRPr="00534E7C" w:rsidP="005170A8" w14:paraId="06CC4FB1" w14:textId="6469885E">
      <w:pPr>
        <w:pStyle w:val="ListParagraph"/>
        <w:numPr>
          <w:ilvl w:val="0"/>
          <w:numId w:val="38"/>
        </w:numPr>
        <w:rPr>
          <w:szCs w:val="22"/>
        </w:rPr>
      </w:pPr>
      <w:r w:rsidRPr="00534E7C">
        <w:rPr>
          <w:szCs w:val="22"/>
        </w:rPr>
        <w:t xml:space="preserve">0009966898 (WQSL327; REAG): </w:t>
      </w:r>
      <w:r w:rsidRPr="00534E7C" w:rsidR="00645162">
        <w:rPr>
          <w:szCs w:val="22"/>
        </w:rPr>
        <w:t xml:space="preserve"> </w:t>
      </w:r>
      <w:r w:rsidRPr="00534E7C">
        <w:rPr>
          <w:szCs w:val="22"/>
        </w:rPr>
        <w:t>2, 3, 4, 5</w:t>
      </w:r>
    </w:p>
    <w:p w:rsidR="005170A8" w:rsidRPr="00534E7C" w:rsidP="005170A8" w14:paraId="6719E92E" w14:textId="3FA176EF">
      <w:pPr>
        <w:pStyle w:val="ListParagraph"/>
        <w:numPr>
          <w:ilvl w:val="0"/>
          <w:numId w:val="38"/>
        </w:numPr>
        <w:rPr>
          <w:szCs w:val="22"/>
        </w:rPr>
      </w:pPr>
      <w:r w:rsidRPr="00534E7C">
        <w:rPr>
          <w:szCs w:val="22"/>
        </w:rPr>
        <w:t xml:space="preserve">0009966910 (WQSL326; NW): </w:t>
      </w:r>
      <w:r w:rsidRPr="00534E7C" w:rsidR="00645162">
        <w:rPr>
          <w:szCs w:val="22"/>
        </w:rPr>
        <w:t xml:space="preserve"> </w:t>
      </w:r>
      <w:r w:rsidRPr="00534E7C">
        <w:rPr>
          <w:szCs w:val="22"/>
        </w:rPr>
        <w:t xml:space="preserve">2, 3, 4, </w:t>
      </w:r>
    </w:p>
    <w:p w:rsidR="005170A8" w:rsidRPr="00534E7C" w:rsidP="005170A8" w14:paraId="6813662C" w14:textId="305C812C">
      <w:pPr>
        <w:pStyle w:val="ListParagraph"/>
        <w:numPr>
          <w:ilvl w:val="0"/>
          <w:numId w:val="38"/>
        </w:numPr>
        <w:rPr>
          <w:szCs w:val="22"/>
        </w:rPr>
      </w:pPr>
      <w:r w:rsidRPr="00534E7C">
        <w:rPr>
          <w:szCs w:val="22"/>
        </w:rPr>
        <w:t xml:space="preserve">0009966953 (WQSJ981; REAG): </w:t>
      </w:r>
      <w:r w:rsidRPr="00534E7C" w:rsidR="00645162">
        <w:rPr>
          <w:szCs w:val="22"/>
        </w:rPr>
        <w:t xml:space="preserve"> </w:t>
      </w:r>
      <w:r w:rsidRPr="00534E7C">
        <w:rPr>
          <w:szCs w:val="22"/>
        </w:rPr>
        <w:t>2, 3, 4, 5</w:t>
      </w:r>
    </w:p>
    <w:p w:rsidR="005170A8" w:rsidRPr="00534E7C" w:rsidP="005170A8" w14:paraId="4B43855E" w14:textId="67D4405C">
      <w:pPr>
        <w:pStyle w:val="ListParagraph"/>
        <w:numPr>
          <w:ilvl w:val="0"/>
          <w:numId w:val="38"/>
        </w:numPr>
        <w:rPr>
          <w:szCs w:val="22"/>
        </w:rPr>
      </w:pPr>
      <w:r w:rsidRPr="00534E7C">
        <w:rPr>
          <w:szCs w:val="22"/>
        </w:rPr>
        <w:t xml:space="preserve">0009966992 (WQSJ980; NW): </w:t>
      </w:r>
      <w:r w:rsidRPr="00534E7C" w:rsidR="00645162">
        <w:rPr>
          <w:szCs w:val="22"/>
        </w:rPr>
        <w:t xml:space="preserve"> </w:t>
      </w:r>
      <w:r w:rsidRPr="00534E7C" w:rsidR="00E83B15">
        <w:rPr>
          <w:szCs w:val="22"/>
        </w:rPr>
        <w:t xml:space="preserve">2, </w:t>
      </w:r>
      <w:r w:rsidRPr="00534E7C">
        <w:rPr>
          <w:szCs w:val="22"/>
        </w:rPr>
        <w:t xml:space="preserve">3, 4 </w:t>
      </w:r>
    </w:p>
    <w:p w:rsidR="005170A8" w:rsidRPr="00534E7C" w:rsidP="005170A8" w14:paraId="786049C0" w14:textId="54B5FF48">
      <w:pPr>
        <w:pStyle w:val="ListParagraph"/>
        <w:numPr>
          <w:ilvl w:val="0"/>
          <w:numId w:val="38"/>
        </w:numPr>
        <w:rPr>
          <w:szCs w:val="22"/>
        </w:rPr>
      </w:pPr>
      <w:r w:rsidRPr="00534E7C">
        <w:rPr>
          <w:szCs w:val="22"/>
        </w:rPr>
        <w:t xml:space="preserve">0009967013 (WPVL860; BEA): </w:t>
      </w:r>
      <w:r w:rsidRPr="00534E7C" w:rsidR="00645162">
        <w:rPr>
          <w:szCs w:val="22"/>
        </w:rPr>
        <w:t xml:space="preserve"> </w:t>
      </w:r>
      <w:r w:rsidRPr="00534E7C" w:rsidR="00817576">
        <w:rPr>
          <w:szCs w:val="22"/>
        </w:rPr>
        <w:t xml:space="preserve">2, 3, </w:t>
      </w:r>
      <w:r w:rsidRPr="00534E7C">
        <w:rPr>
          <w:szCs w:val="22"/>
        </w:rPr>
        <w:t>4, 5</w:t>
      </w:r>
    </w:p>
    <w:p w:rsidR="005170A8" w:rsidRPr="00534E7C" w:rsidP="005170A8" w14:paraId="20FA4C74" w14:textId="650F62A4">
      <w:pPr>
        <w:pStyle w:val="ListParagraph"/>
        <w:numPr>
          <w:ilvl w:val="0"/>
          <w:numId w:val="38"/>
        </w:numPr>
        <w:rPr>
          <w:szCs w:val="22"/>
        </w:rPr>
      </w:pPr>
      <w:r w:rsidRPr="00534E7C">
        <w:rPr>
          <w:szCs w:val="22"/>
        </w:rPr>
        <w:t xml:space="preserve">0009967024 (WPOJ281; BEA): </w:t>
      </w:r>
      <w:r w:rsidRPr="00534E7C" w:rsidR="00645162">
        <w:rPr>
          <w:szCs w:val="22"/>
        </w:rPr>
        <w:t xml:space="preserve"> </w:t>
      </w:r>
      <w:r w:rsidRPr="00534E7C">
        <w:rPr>
          <w:szCs w:val="22"/>
        </w:rPr>
        <w:t xml:space="preserve">2, 3, 4, 5 </w:t>
      </w:r>
    </w:p>
    <w:p w:rsidR="005170A8" w:rsidRPr="00534E7C" w:rsidP="005170A8" w14:paraId="3D53C1CD" w14:textId="1A482697">
      <w:pPr>
        <w:pStyle w:val="ListParagraph"/>
        <w:numPr>
          <w:ilvl w:val="0"/>
          <w:numId w:val="38"/>
        </w:numPr>
        <w:rPr>
          <w:szCs w:val="22"/>
        </w:rPr>
      </w:pPr>
      <w:r w:rsidRPr="00534E7C">
        <w:rPr>
          <w:szCs w:val="22"/>
        </w:rPr>
        <w:t xml:space="preserve">0009967038 (WPOJ280; BEA): </w:t>
      </w:r>
      <w:r w:rsidRPr="00534E7C" w:rsidR="00645162">
        <w:rPr>
          <w:szCs w:val="22"/>
        </w:rPr>
        <w:t xml:space="preserve"> </w:t>
      </w:r>
      <w:r w:rsidRPr="00534E7C">
        <w:rPr>
          <w:szCs w:val="22"/>
        </w:rPr>
        <w:t>2, 3, 4, 5</w:t>
      </w:r>
    </w:p>
    <w:p w:rsidR="005170A8" w:rsidRPr="00534E7C" w:rsidP="005170A8" w14:paraId="513EB023" w14:textId="5CFD2FBE">
      <w:pPr>
        <w:pStyle w:val="ListParagraph"/>
        <w:numPr>
          <w:ilvl w:val="0"/>
          <w:numId w:val="38"/>
        </w:numPr>
        <w:rPr>
          <w:szCs w:val="22"/>
        </w:rPr>
      </w:pPr>
      <w:r w:rsidRPr="00534E7C">
        <w:rPr>
          <w:szCs w:val="22"/>
        </w:rPr>
        <w:t xml:space="preserve">0009967046 (WPOJ279; BEA): </w:t>
      </w:r>
      <w:r w:rsidRPr="00534E7C" w:rsidR="00645162">
        <w:rPr>
          <w:szCs w:val="22"/>
        </w:rPr>
        <w:t xml:space="preserve"> </w:t>
      </w:r>
      <w:r w:rsidRPr="00534E7C">
        <w:rPr>
          <w:szCs w:val="22"/>
        </w:rPr>
        <w:t>2, 3, 4, 5</w:t>
      </w:r>
    </w:p>
    <w:p w:rsidR="005170A8" w:rsidRPr="00534E7C" w:rsidP="005170A8" w14:paraId="6CF8004F" w14:textId="781D7166">
      <w:pPr>
        <w:pStyle w:val="ListParagraph"/>
        <w:numPr>
          <w:ilvl w:val="0"/>
          <w:numId w:val="38"/>
        </w:numPr>
        <w:rPr>
          <w:szCs w:val="22"/>
        </w:rPr>
      </w:pPr>
      <w:r w:rsidRPr="00534E7C">
        <w:rPr>
          <w:szCs w:val="22"/>
        </w:rPr>
        <w:t xml:space="preserve">0009967067 (WPOJ271; NW): </w:t>
      </w:r>
      <w:r w:rsidRPr="00534E7C" w:rsidR="00645162">
        <w:rPr>
          <w:szCs w:val="22"/>
        </w:rPr>
        <w:t xml:space="preserve"> </w:t>
      </w:r>
      <w:r w:rsidRPr="00534E7C">
        <w:rPr>
          <w:szCs w:val="22"/>
        </w:rPr>
        <w:t>2, 3, 4</w:t>
      </w:r>
      <w:r w:rsidRPr="00534E7C" w:rsidR="00B27BBB">
        <w:rPr>
          <w:szCs w:val="22"/>
        </w:rPr>
        <w:t>, 5</w:t>
      </w:r>
    </w:p>
    <w:p w:rsidR="005170A8" w:rsidRPr="00534E7C" w:rsidP="005170A8" w14:paraId="0130CF7D" w14:textId="1C944D0B">
      <w:pPr>
        <w:pStyle w:val="ListParagraph"/>
        <w:numPr>
          <w:ilvl w:val="0"/>
          <w:numId w:val="38"/>
        </w:numPr>
        <w:rPr>
          <w:szCs w:val="22"/>
        </w:rPr>
      </w:pPr>
      <w:r w:rsidRPr="00534E7C">
        <w:rPr>
          <w:szCs w:val="22"/>
        </w:rPr>
        <w:t xml:space="preserve">0009967079 (WPOI924; BEA): </w:t>
      </w:r>
      <w:r w:rsidRPr="00534E7C" w:rsidR="00645162">
        <w:rPr>
          <w:szCs w:val="22"/>
        </w:rPr>
        <w:t xml:space="preserve"> </w:t>
      </w:r>
      <w:r w:rsidRPr="00534E7C">
        <w:rPr>
          <w:szCs w:val="22"/>
        </w:rPr>
        <w:t>2, 3, 4, 5</w:t>
      </w:r>
    </w:p>
    <w:p w:rsidR="005170A8" w:rsidRPr="00534E7C" w:rsidP="005170A8" w14:paraId="48949A65" w14:textId="3BDE9524">
      <w:pPr>
        <w:pStyle w:val="ListParagraph"/>
        <w:numPr>
          <w:ilvl w:val="0"/>
          <w:numId w:val="38"/>
        </w:numPr>
        <w:rPr>
          <w:szCs w:val="22"/>
        </w:rPr>
      </w:pPr>
      <w:r w:rsidRPr="00534E7C">
        <w:rPr>
          <w:szCs w:val="22"/>
        </w:rPr>
        <w:t xml:space="preserve">0009967085 (WPOI800; BEA): </w:t>
      </w:r>
      <w:r w:rsidRPr="00534E7C" w:rsidR="00817576">
        <w:rPr>
          <w:szCs w:val="22"/>
        </w:rPr>
        <w:t xml:space="preserve">2, 3, </w:t>
      </w:r>
      <w:r w:rsidRPr="00534E7C">
        <w:rPr>
          <w:szCs w:val="22"/>
        </w:rPr>
        <w:t>4, 5</w:t>
      </w:r>
    </w:p>
    <w:p w:rsidR="005170A8" w:rsidRPr="00534E7C" w:rsidP="005170A8" w14:paraId="07F3E013" w14:textId="005C638F">
      <w:pPr>
        <w:pStyle w:val="ListParagraph"/>
        <w:numPr>
          <w:ilvl w:val="0"/>
          <w:numId w:val="38"/>
        </w:numPr>
        <w:rPr>
          <w:szCs w:val="22"/>
        </w:rPr>
      </w:pPr>
      <w:r w:rsidRPr="00534E7C">
        <w:rPr>
          <w:szCs w:val="22"/>
        </w:rPr>
        <w:t xml:space="preserve">0009967092 (WPOI774; BEA): </w:t>
      </w:r>
      <w:r w:rsidRPr="00534E7C" w:rsidR="00645162">
        <w:rPr>
          <w:szCs w:val="22"/>
        </w:rPr>
        <w:t xml:space="preserve"> </w:t>
      </w:r>
      <w:r w:rsidRPr="00534E7C" w:rsidR="00817576">
        <w:rPr>
          <w:szCs w:val="22"/>
        </w:rPr>
        <w:t xml:space="preserve">2, 3, </w:t>
      </w:r>
      <w:r w:rsidRPr="00534E7C">
        <w:rPr>
          <w:szCs w:val="22"/>
        </w:rPr>
        <w:t>4, 5</w:t>
      </w:r>
    </w:p>
    <w:p w:rsidR="005170A8" w:rsidRPr="00534E7C" w:rsidP="005170A8" w14:paraId="31E7ED81" w14:textId="73642024">
      <w:pPr>
        <w:pStyle w:val="ListParagraph"/>
        <w:numPr>
          <w:ilvl w:val="0"/>
          <w:numId w:val="38"/>
        </w:numPr>
        <w:rPr>
          <w:szCs w:val="22"/>
        </w:rPr>
      </w:pPr>
      <w:r w:rsidRPr="00534E7C">
        <w:rPr>
          <w:szCs w:val="22"/>
        </w:rPr>
        <w:t>0009967105 (WPOI701</w:t>
      </w:r>
      <w:r w:rsidRPr="00534E7C" w:rsidR="009A7E5F">
        <w:rPr>
          <w:szCs w:val="22"/>
        </w:rPr>
        <w:t>;</w:t>
      </w:r>
      <w:r w:rsidRPr="00534E7C">
        <w:rPr>
          <w:szCs w:val="22"/>
        </w:rPr>
        <w:t xml:space="preserve"> NW): </w:t>
      </w:r>
      <w:r w:rsidRPr="00534E7C" w:rsidR="00645162">
        <w:rPr>
          <w:szCs w:val="22"/>
        </w:rPr>
        <w:t xml:space="preserve"> </w:t>
      </w:r>
      <w:r w:rsidRPr="00534E7C" w:rsidR="00817576">
        <w:rPr>
          <w:szCs w:val="22"/>
        </w:rPr>
        <w:t xml:space="preserve">2, 3, </w:t>
      </w:r>
      <w:r w:rsidRPr="00534E7C">
        <w:rPr>
          <w:szCs w:val="22"/>
        </w:rPr>
        <w:t>4</w:t>
      </w:r>
      <w:r w:rsidRPr="00534E7C" w:rsidR="00B27BBB">
        <w:rPr>
          <w:szCs w:val="22"/>
        </w:rPr>
        <w:t>, 5</w:t>
      </w:r>
    </w:p>
    <w:p w:rsidR="005170A8" w:rsidRPr="00534E7C" w:rsidP="005170A8" w14:paraId="298F34F9" w14:textId="6331F1F3">
      <w:pPr>
        <w:pStyle w:val="ListParagraph"/>
        <w:numPr>
          <w:ilvl w:val="0"/>
          <w:numId w:val="38"/>
        </w:numPr>
        <w:rPr>
          <w:szCs w:val="22"/>
        </w:rPr>
      </w:pPr>
      <w:r w:rsidRPr="00534E7C">
        <w:rPr>
          <w:szCs w:val="22"/>
        </w:rPr>
        <w:t xml:space="preserve">0009967348 (WPOI705; REAG) (AAR/Spectrum Lease): </w:t>
      </w:r>
      <w:r w:rsidRPr="00534E7C" w:rsidR="00645162">
        <w:rPr>
          <w:szCs w:val="22"/>
        </w:rPr>
        <w:t xml:space="preserve"> </w:t>
      </w:r>
      <w:r w:rsidRPr="00534E7C" w:rsidR="001B3D17">
        <w:rPr>
          <w:szCs w:val="22"/>
        </w:rPr>
        <w:t>2,</w:t>
      </w:r>
      <w:r w:rsidRPr="00534E7C" w:rsidR="00817576">
        <w:rPr>
          <w:szCs w:val="22"/>
        </w:rPr>
        <w:t xml:space="preserve"> 3,</w:t>
      </w:r>
      <w:r w:rsidRPr="00534E7C" w:rsidR="001B3D17">
        <w:rPr>
          <w:szCs w:val="22"/>
        </w:rPr>
        <w:t xml:space="preserve"> </w:t>
      </w:r>
      <w:r w:rsidRPr="00534E7C">
        <w:rPr>
          <w:szCs w:val="22"/>
        </w:rPr>
        <w:t xml:space="preserve">4, 5 </w:t>
      </w:r>
    </w:p>
    <w:p w:rsidR="005170A8" w:rsidRPr="00534E7C" w:rsidP="005170A8" w14:paraId="75EFF664" w14:textId="0E1BDCA9">
      <w:pPr>
        <w:pStyle w:val="ListParagraph"/>
        <w:numPr>
          <w:ilvl w:val="0"/>
          <w:numId w:val="38"/>
        </w:numPr>
        <w:rPr>
          <w:szCs w:val="22"/>
        </w:rPr>
      </w:pPr>
      <w:r w:rsidRPr="00534E7C">
        <w:rPr>
          <w:szCs w:val="22"/>
        </w:rPr>
        <w:t xml:space="preserve">0009967355 (WPOI708; REAG) (AAR/Spectrum Lease): </w:t>
      </w:r>
      <w:r w:rsidRPr="00534E7C" w:rsidR="00645162">
        <w:rPr>
          <w:szCs w:val="22"/>
        </w:rPr>
        <w:t xml:space="preserve"> </w:t>
      </w:r>
      <w:r w:rsidRPr="00534E7C" w:rsidR="001B3D17">
        <w:rPr>
          <w:szCs w:val="22"/>
        </w:rPr>
        <w:t xml:space="preserve">2, </w:t>
      </w:r>
      <w:r w:rsidRPr="00534E7C" w:rsidR="00817576">
        <w:rPr>
          <w:szCs w:val="22"/>
        </w:rPr>
        <w:t xml:space="preserve">3, </w:t>
      </w:r>
      <w:r w:rsidRPr="00534E7C">
        <w:rPr>
          <w:szCs w:val="22"/>
        </w:rPr>
        <w:t>4, 5</w:t>
      </w:r>
    </w:p>
    <w:p w:rsidR="005170A8" w:rsidRPr="00534E7C" w:rsidP="005170A8" w14:paraId="11CC548A" w14:textId="5DECE9A7">
      <w:pPr>
        <w:pStyle w:val="ListParagraph"/>
        <w:numPr>
          <w:ilvl w:val="0"/>
          <w:numId w:val="38"/>
        </w:numPr>
        <w:rPr>
          <w:szCs w:val="22"/>
        </w:rPr>
      </w:pPr>
      <w:r w:rsidRPr="00534E7C">
        <w:rPr>
          <w:szCs w:val="22"/>
        </w:rPr>
        <w:t xml:space="preserve">0009967359 (WPOI706; REAG) (AAR/Spectrum Lease): </w:t>
      </w:r>
      <w:r w:rsidRPr="00534E7C" w:rsidR="00645162">
        <w:rPr>
          <w:szCs w:val="22"/>
        </w:rPr>
        <w:t xml:space="preserve"> </w:t>
      </w:r>
      <w:r w:rsidRPr="00534E7C" w:rsidR="001B3D17">
        <w:rPr>
          <w:szCs w:val="22"/>
        </w:rPr>
        <w:t xml:space="preserve">2, </w:t>
      </w:r>
      <w:r w:rsidRPr="00534E7C" w:rsidR="00817576">
        <w:rPr>
          <w:szCs w:val="22"/>
        </w:rPr>
        <w:t xml:space="preserve">3, </w:t>
      </w:r>
      <w:r w:rsidRPr="00534E7C" w:rsidR="001B3D17">
        <w:rPr>
          <w:szCs w:val="22"/>
        </w:rPr>
        <w:t>4</w:t>
      </w:r>
      <w:r w:rsidRPr="00534E7C">
        <w:rPr>
          <w:szCs w:val="22"/>
        </w:rPr>
        <w:t>, 5</w:t>
      </w:r>
    </w:p>
    <w:p w:rsidR="005170A8" w:rsidRPr="00534E7C" w:rsidP="005170A8" w14:paraId="66D3EF7F" w14:textId="64CC9697">
      <w:pPr>
        <w:pStyle w:val="ListParagraph"/>
        <w:numPr>
          <w:ilvl w:val="0"/>
          <w:numId w:val="38"/>
        </w:numPr>
        <w:rPr>
          <w:szCs w:val="22"/>
        </w:rPr>
      </w:pPr>
      <w:r w:rsidRPr="00534E7C">
        <w:rPr>
          <w:szCs w:val="22"/>
        </w:rPr>
        <w:t xml:space="preserve">0009967369 (WPOI704; REAG) (AAR/Spectrum Lease): </w:t>
      </w:r>
      <w:r w:rsidRPr="00534E7C" w:rsidR="00645162">
        <w:rPr>
          <w:szCs w:val="22"/>
        </w:rPr>
        <w:t xml:space="preserve"> </w:t>
      </w:r>
      <w:r w:rsidRPr="00534E7C" w:rsidR="001B3D17">
        <w:rPr>
          <w:szCs w:val="22"/>
        </w:rPr>
        <w:t xml:space="preserve">2, </w:t>
      </w:r>
      <w:r w:rsidRPr="00534E7C" w:rsidR="00817576">
        <w:rPr>
          <w:szCs w:val="22"/>
        </w:rPr>
        <w:t xml:space="preserve">3, </w:t>
      </w:r>
      <w:r w:rsidRPr="00534E7C">
        <w:rPr>
          <w:szCs w:val="22"/>
        </w:rPr>
        <w:t>4, 5</w:t>
      </w:r>
    </w:p>
    <w:p w:rsidR="005170A8" w:rsidRPr="00534E7C" w:rsidP="005170A8" w14:paraId="6B97D245" w14:textId="1C2E9D07">
      <w:pPr>
        <w:pStyle w:val="ListParagraph"/>
        <w:numPr>
          <w:ilvl w:val="0"/>
          <w:numId w:val="38"/>
        </w:numPr>
        <w:rPr>
          <w:szCs w:val="22"/>
        </w:rPr>
      </w:pPr>
      <w:r w:rsidRPr="00534E7C">
        <w:rPr>
          <w:szCs w:val="22"/>
        </w:rPr>
        <w:t xml:space="preserve">0009967375 (WPOI703; REAG) (AAR/Spectrum Lease): </w:t>
      </w:r>
      <w:r w:rsidRPr="00534E7C" w:rsidR="00645162">
        <w:rPr>
          <w:szCs w:val="22"/>
        </w:rPr>
        <w:t xml:space="preserve"> </w:t>
      </w:r>
      <w:r w:rsidRPr="00534E7C" w:rsidR="001B3D17">
        <w:rPr>
          <w:szCs w:val="22"/>
        </w:rPr>
        <w:t xml:space="preserve">2, </w:t>
      </w:r>
      <w:r w:rsidRPr="00534E7C" w:rsidR="00817576">
        <w:rPr>
          <w:szCs w:val="22"/>
        </w:rPr>
        <w:t xml:space="preserve">3, </w:t>
      </w:r>
      <w:r w:rsidRPr="00534E7C">
        <w:rPr>
          <w:szCs w:val="22"/>
        </w:rPr>
        <w:t>4, 5</w:t>
      </w:r>
    </w:p>
    <w:p w:rsidR="005170A8" w:rsidRPr="00534E7C" w:rsidP="005170A8" w14:paraId="3A6A99ED" w14:textId="434AD528">
      <w:pPr>
        <w:pStyle w:val="ListParagraph"/>
        <w:numPr>
          <w:ilvl w:val="0"/>
          <w:numId w:val="38"/>
        </w:numPr>
        <w:rPr>
          <w:szCs w:val="22"/>
        </w:rPr>
      </w:pPr>
      <w:r w:rsidRPr="00534E7C">
        <w:rPr>
          <w:szCs w:val="22"/>
        </w:rPr>
        <w:t xml:space="preserve">0009967387 (WPOI702; REAG) (AAR/Spectrum Lease): </w:t>
      </w:r>
      <w:r w:rsidRPr="00534E7C" w:rsidR="00645162">
        <w:rPr>
          <w:szCs w:val="22"/>
        </w:rPr>
        <w:t xml:space="preserve"> </w:t>
      </w:r>
      <w:r w:rsidRPr="00534E7C" w:rsidR="001B3D17">
        <w:rPr>
          <w:szCs w:val="22"/>
        </w:rPr>
        <w:t xml:space="preserve">2, </w:t>
      </w:r>
      <w:r w:rsidRPr="00534E7C" w:rsidR="00817576">
        <w:rPr>
          <w:szCs w:val="22"/>
        </w:rPr>
        <w:t xml:space="preserve">3, </w:t>
      </w:r>
      <w:r w:rsidRPr="00534E7C">
        <w:rPr>
          <w:szCs w:val="22"/>
        </w:rPr>
        <w:t>4, 5</w:t>
      </w:r>
    </w:p>
    <w:p w:rsidR="005170A8" w:rsidRPr="00534E7C" w:rsidP="005170A8" w14:paraId="269FF27D" w14:textId="28E0418A">
      <w:pPr>
        <w:pStyle w:val="ListParagraph"/>
        <w:numPr>
          <w:ilvl w:val="0"/>
          <w:numId w:val="38"/>
        </w:numPr>
        <w:rPr>
          <w:szCs w:val="22"/>
        </w:rPr>
      </w:pPr>
      <w:r w:rsidRPr="00534E7C">
        <w:rPr>
          <w:szCs w:val="22"/>
        </w:rPr>
        <w:t xml:space="preserve">0010183520 (WQXL586; NW): </w:t>
      </w:r>
      <w:r w:rsidRPr="00534E7C" w:rsidR="00645162">
        <w:rPr>
          <w:szCs w:val="22"/>
        </w:rPr>
        <w:t xml:space="preserve"> </w:t>
      </w:r>
      <w:r w:rsidRPr="00534E7C">
        <w:rPr>
          <w:szCs w:val="22"/>
        </w:rPr>
        <w:t>1, 2, 3, 4</w:t>
      </w:r>
    </w:p>
    <w:p w:rsidR="005170A8" w:rsidRPr="00534E7C" w:rsidP="005170A8" w14:paraId="612673A2" w14:textId="3E3F1516">
      <w:pPr>
        <w:pStyle w:val="ListParagraph"/>
        <w:numPr>
          <w:ilvl w:val="0"/>
          <w:numId w:val="38"/>
        </w:numPr>
        <w:rPr>
          <w:szCs w:val="22"/>
        </w:rPr>
      </w:pPr>
      <w:r w:rsidRPr="00534E7C">
        <w:rPr>
          <w:szCs w:val="22"/>
        </w:rPr>
        <w:t xml:space="preserve">0010183541 (WRCR206; NW): </w:t>
      </w:r>
      <w:r w:rsidRPr="00534E7C" w:rsidR="00645162">
        <w:rPr>
          <w:szCs w:val="22"/>
        </w:rPr>
        <w:t xml:space="preserve"> </w:t>
      </w:r>
      <w:r w:rsidRPr="00534E7C">
        <w:rPr>
          <w:szCs w:val="22"/>
        </w:rPr>
        <w:t>1, 2, 3, 4</w:t>
      </w:r>
    </w:p>
    <w:p w:rsidR="005170A8" w:rsidRPr="00534E7C" w:rsidP="005170A8" w14:paraId="1B2EFFF8" w14:textId="1518D18D">
      <w:pPr>
        <w:pStyle w:val="ListParagraph"/>
        <w:numPr>
          <w:ilvl w:val="0"/>
          <w:numId w:val="38"/>
        </w:numPr>
        <w:rPr>
          <w:szCs w:val="22"/>
        </w:rPr>
      </w:pPr>
      <w:r w:rsidRPr="00534E7C">
        <w:rPr>
          <w:szCs w:val="22"/>
        </w:rPr>
        <w:t xml:space="preserve">0010183542 (WPOI710; BEA): </w:t>
      </w:r>
      <w:r w:rsidRPr="00534E7C" w:rsidR="00645162">
        <w:rPr>
          <w:szCs w:val="22"/>
        </w:rPr>
        <w:t xml:space="preserve"> </w:t>
      </w:r>
      <w:r w:rsidRPr="00534E7C">
        <w:rPr>
          <w:szCs w:val="22"/>
        </w:rPr>
        <w:t>2, 3, 4, 5</w:t>
      </w:r>
    </w:p>
    <w:p w:rsidR="005170A8" w:rsidRPr="00534E7C" w:rsidP="00B528F1" w14:paraId="751E9911" w14:textId="77777777">
      <w:pPr>
        <w:pStyle w:val="ListParagraph"/>
        <w:ind w:left="0"/>
        <w:rPr>
          <w:szCs w:val="22"/>
        </w:rPr>
      </w:pPr>
    </w:p>
    <w:p w:rsidR="005170A8" w:rsidRPr="00534E7C" w:rsidP="00B528F1" w14:paraId="31E3286C" w14:textId="77777777">
      <w:pPr>
        <w:pStyle w:val="ListParagraph"/>
        <w:ind w:left="0"/>
        <w:rPr>
          <w:szCs w:val="22"/>
        </w:rPr>
      </w:pPr>
      <w:r w:rsidRPr="00534E7C">
        <w:rPr>
          <w:b/>
          <w:bCs/>
          <w:szCs w:val="22"/>
        </w:rPr>
        <w:t xml:space="preserve">License Key:  </w:t>
      </w:r>
      <w:r w:rsidRPr="00534E7C">
        <w:rPr>
          <w:szCs w:val="22"/>
        </w:rPr>
        <w:t xml:space="preserve">Basic Economic Area (BEA); Nationwide (NW); Regional Economic Area Grouping (REAG).  </w:t>
      </w:r>
    </w:p>
    <w:p w:rsidR="005170A8" w:rsidRPr="00534E7C" w:rsidP="00B528F1" w14:paraId="72928BD3" w14:textId="77777777">
      <w:pPr>
        <w:pStyle w:val="ListParagraph"/>
        <w:ind w:left="0"/>
        <w:rPr>
          <w:szCs w:val="22"/>
        </w:rPr>
      </w:pPr>
    </w:p>
    <w:p w:rsidR="005170A8" w:rsidRPr="00534E7C" w:rsidP="004B3F63" w14:paraId="7632C321" w14:textId="77777777">
      <w:pPr>
        <w:pStyle w:val="ListParagraph"/>
        <w:ind w:left="0"/>
        <w:rPr>
          <w:szCs w:val="22"/>
        </w:rPr>
      </w:pPr>
      <w:r w:rsidRPr="00534E7C">
        <w:rPr>
          <w:b/>
          <w:bCs/>
          <w:szCs w:val="22"/>
        </w:rPr>
        <w:t>*</w:t>
      </w:r>
      <w:r w:rsidRPr="00534E7C">
        <w:rPr>
          <w:b/>
          <w:bCs/>
          <w:szCs w:val="22"/>
        </w:rPr>
        <w:t xml:space="preserve">Rule Key:  </w:t>
      </w:r>
      <w:r w:rsidRPr="00534E7C">
        <w:rPr>
          <w:szCs w:val="22"/>
        </w:rPr>
        <w:t>(1) 47 CFR §§ 90.713(a) and 90.717(b) (Commercial-Use Restrictions); (2) 47 CFR § 90.715 (Base/Mobile Band Configuration); (3) 47 CFR § 90.735(a) (Station Identification); (4) 47 CFR § 90.729(b) (Upper 221-222 MHz Band Segment Power/Antenna Height Limits); (5) 47 CFR § 90.723(f) (Coordination Requirements).</w:t>
      </w:r>
    </w:p>
    <w:sectPr w:rsidSect="005170A8">
      <w:footerReference w:type="first" r:id="rId1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A490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578E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C56BE" w14:paraId="5C60C184" w14:textId="5F98415A">
    <w:pPr>
      <w:pStyle w:val="Footer"/>
      <w:jc w:val="center"/>
    </w:pPr>
    <w:r w:rsidRPr="008636C0">
      <w:rPr>
        <w:sz w:val="20"/>
      </w:rPr>
      <w:fldChar w:fldCharType="begin"/>
    </w:r>
    <w:r w:rsidRPr="008636C0">
      <w:rPr>
        <w:sz w:val="20"/>
      </w:rPr>
      <w:instrText xml:space="preserve"> PAGE   \* MERGEFORMAT </w:instrText>
    </w:r>
    <w:r w:rsidRPr="008636C0">
      <w:rPr>
        <w:sz w:val="20"/>
      </w:rPr>
      <w:fldChar w:fldCharType="separate"/>
    </w:r>
    <w:r w:rsidRPr="008636C0">
      <w:rPr>
        <w:noProof/>
        <w:sz w:val="20"/>
      </w:rPr>
      <w:t>2</w:t>
    </w:r>
    <w:r w:rsidRPr="008636C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56CBF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70A8" w14:paraId="044A5B94" w14:textId="65A4DF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D2B" w14:paraId="66EAE55F" w14:textId="77777777">
      <w:r>
        <w:separator/>
      </w:r>
    </w:p>
  </w:footnote>
  <w:footnote w:type="continuationSeparator" w:id="1">
    <w:p w:rsidR="00035D2B" w:rsidP="00C721AC" w14:paraId="1331BA21" w14:textId="77777777">
      <w:pPr>
        <w:spacing w:before="120"/>
        <w:rPr>
          <w:sz w:val="20"/>
        </w:rPr>
      </w:pPr>
      <w:r>
        <w:rPr>
          <w:sz w:val="20"/>
        </w:rPr>
        <w:t xml:space="preserve">(Continued from previous page)  </w:t>
      </w:r>
      <w:r>
        <w:rPr>
          <w:sz w:val="20"/>
        </w:rPr>
        <w:separator/>
      </w:r>
    </w:p>
  </w:footnote>
  <w:footnote w:type="continuationNotice" w:id="2">
    <w:p w:rsidR="00035D2B" w:rsidP="00C721AC" w14:paraId="20062383" w14:textId="77777777">
      <w:pPr>
        <w:jc w:val="right"/>
        <w:rPr>
          <w:sz w:val="20"/>
        </w:rPr>
      </w:pPr>
      <w:r>
        <w:rPr>
          <w:sz w:val="20"/>
        </w:rPr>
        <w:t>(continued….)</w:t>
      </w:r>
    </w:p>
  </w:footnote>
  <w:footnote w:id="3">
    <w:p w:rsidR="000E126C" w:rsidRPr="00172A8F" w:rsidP="0082160A" w14:paraId="467A5C44" w14:textId="620B8654">
      <w:pPr>
        <w:pStyle w:val="FootnoteText"/>
      </w:pPr>
      <w:r w:rsidRPr="00E35C68">
        <w:rPr>
          <w:rStyle w:val="FootnoteReference"/>
        </w:rPr>
        <w:footnoteRef/>
      </w:r>
      <w:r w:rsidRPr="00E35C68">
        <w:t xml:space="preserve"> </w:t>
      </w:r>
      <w:r w:rsidRPr="00172A8F">
        <w:t xml:space="preserve">PTC-220’s seven member railroads include:  </w:t>
      </w:r>
      <w:bookmarkStart w:id="11" w:name="_Hlk134106426"/>
      <w:r w:rsidRPr="00172A8F">
        <w:t>BNSF Railway Company; Canadian National Railway Company; Canadian Pacific Railway Company; CSX Corporation; Kansas City Southern; Norfolk Southern Corporation; and Union Pacific Corporation</w:t>
      </w:r>
      <w:bookmarkEnd w:id="11"/>
      <w:r w:rsidRPr="00172A8F">
        <w:t>.</w:t>
      </w:r>
      <w:r w:rsidRPr="006B68D9" w:rsidR="00FB7725">
        <w:t xml:space="preserve"> </w:t>
      </w:r>
      <w:r w:rsidRPr="006B68D9" w:rsidR="009B777E">
        <w:t xml:space="preserve"> </w:t>
      </w:r>
      <w:r w:rsidR="003447AB">
        <w:t xml:space="preserve">U.S. </w:t>
      </w:r>
      <w:r w:rsidRPr="00172A8F" w:rsidR="009B777E">
        <w:t>railroad</w:t>
      </w:r>
      <w:r w:rsidR="003447AB">
        <w:t>s</w:t>
      </w:r>
      <w:r w:rsidRPr="00172A8F" w:rsidR="009B777E">
        <w:t xml:space="preserve"> are designated as Class I, II, or III, according to annual revenue criteria.</w:t>
      </w:r>
    </w:p>
  </w:footnote>
  <w:footnote w:id="4">
    <w:p w:rsidR="00B159DE" w:rsidRPr="00172A8F" w:rsidP="0082160A" w14:paraId="61DBFC8A" w14:textId="3658F70F">
      <w:pPr>
        <w:pStyle w:val="FootnoteText"/>
      </w:pPr>
      <w:r w:rsidRPr="00172A8F">
        <w:rPr>
          <w:rStyle w:val="FootnoteReference"/>
        </w:rPr>
        <w:footnoteRef/>
      </w:r>
      <w:r w:rsidRPr="00172A8F">
        <w:t xml:space="preserve"> Request for Modification of Waivers Associated </w:t>
      </w:r>
      <w:r w:rsidRPr="006B68D9" w:rsidR="00445CC3">
        <w:t>w</w:t>
      </w:r>
      <w:r w:rsidRPr="006B68D9">
        <w:t xml:space="preserve">ith PTC-220’s 220 MHz Band Licenses (March 23, 2022) </w:t>
      </w:r>
      <w:r w:rsidR="007D0F14">
        <w:t xml:space="preserve">(on file under lead ULS </w:t>
      </w:r>
      <w:r w:rsidRPr="00172A8F" w:rsidR="007D0F14">
        <w:t>File No. 0009965899 (WQSK949)</w:t>
      </w:r>
      <w:r w:rsidR="007D0F14">
        <w:t>)</w:t>
      </w:r>
      <w:r w:rsidR="00565A27">
        <w:t xml:space="preserve"> </w:t>
      </w:r>
      <w:r w:rsidR="007D0F14">
        <w:t xml:space="preserve">(Waiver Modification Request); Letter from Michele </w:t>
      </w:r>
      <w:r w:rsidRPr="00172A8F">
        <w:t>Farquhar, Counsel to PTC-220, to Marlene H. Dortch, Secretary, F</w:t>
      </w:r>
      <w:r w:rsidRPr="00172A8F" w:rsidR="00171B11">
        <w:t>CC</w:t>
      </w:r>
      <w:r w:rsidRPr="00172A8F">
        <w:t xml:space="preserve"> (Sept. 7, 2022) </w:t>
      </w:r>
      <w:r w:rsidR="009616BD">
        <w:t xml:space="preserve">(on file under lead </w:t>
      </w:r>
      <w:r w:rsidR="00574AD4">
        <w:t xml:space="preserve">ULS </w:t>
      </w:r>
      <w:r w:rsidRPr="00172A8F" w:rsidR="009616BD">
        <w:t>File No. 0009965899 (WQSK949)</w:t>
      </w:r>
      <w:r w:rsidR="00574AD4">
        <w:t>)</w:t>
      </w:r>
      <w:r w:rsidRPr="00172A8F" w:rsidR="009616BD">
        <w:t xml:space="preserve"> </w:t>
      </w:r>
      <w:r w:rsidRPr="00172A8F">
        <w:t xml:space="preserve">(Waiver </w:t>
      </w:r>
      <w:r w:rsidRPr="00172A8F" w:rsidR="00191E13">
        <w:t xml:space="preserve">Modification Request </w:t>
      </w:r>
      <w:r w:rsidRPr="00172A8F">
        <w:t>Supplement</w:t>
      </w:r>
      <w:r w:rsidRPr="00172A8F" w:rsidR="0061145A">
        <w:t xml:space="preserve">).  </w:t>
      </w:r>
      <w:r w:rsidR="006D1B88">
        <w:t xml:space="preserve">The </w:t>
      </w:r>
      <w:r w:rsidRPr="00172A8F" w:rsidR="000E126C">
        <w:t xml:space="preserve">Appendix </w:t>
      </w:r>
      <w:r w:rsidRPr="00172A8F" w:rsidR="00EE2FBF">
        <w:t xml:space="preserve">to this Order </w:t>
      </w:r>
      <w:r w:rsidRPr="00172A8F" w:rsidR="000E126C">
        <w:t xml:space="preserve">includes a comprehensive list of file numbers, call signs, and </w:t>
      </w:r>
      <w:r w:rsidRPr="00172A8F" w:rsidR="00B74E6B">
        <w:t xml:space="preserve">corresponding </w:t>
      </w:r>
      <w:r w:rsidRPr="00172A8F" w:rsidR="00B76A0F">
        <w:t>rule</w:t>
      </w:r>
      <w:r w:rsidRPr="00172A8F" w:rsidR="0061145A">
        <w:t xml:space="preserve"> waivers sought by </w:t>
      </w:r>
      <w:r w:rsidRPr="00172A8F" w:rsidR="00B76A0F">
        <w:t>PTC</w:t>
      </w:r>
      <w:r w:rsidRPr="00172A8F" w:rsidR="0061145A">
        <w:t>-220</w:t>
      </w:r>
      <w:r w:rsidRPr="00172A8F" w:rsidR="000E126C">
        <w:t>.</w:t>
      </w:r>
    </w:p>
  </w:footnote>
  <w:footnote w:id="5">
    <w:p w:rsidR="00C52319" w:rsidRPr="00172A8F" w:rsidP="0082160A" w14:paraId="4709F523" w14:textId="63F0A923">
      <w:pPr>
        <w:pStyle w:val="FootnoteText"/>
      </w:pPr>
      <w:r w:rsidRPr="00172A8F">
        <w:rPr>
          <w:rStyle w:val="FootnoteReference"/>
        </w:rPr>
        <w:footnoteRef/>
      </w:r>
      <w:r w:rsidRPr="00172A8F" w:rsidR="00140BB6">
        <w:t xml:space="preserve"> </w:t>
      </w:r>
      <w:r w:rsidRPr="006B68D9">
        <w:rPr>
          <w:i/>
          <w:iCs/>
        </w:rPr>
        <w:t>PTC-220, LLC, Request for Waiver to Facilitate Deployment of Positive Train Control Systems</w:t>
      </w:r>
      <w:r w:rsidRPr="006B68D9">
        <w:t xml:space="preserve">, </w:t>
      </w:r>
      <w:r w:rsidRPr="006B68D9" w:rsidR="008E2B2E">
        <w:t xml:space="preserve">WT Docket No. 13-59, </w:t>
      </w:r>
      <w:r w:rsidRPr="00172A8F">
        <w:t xml:space="preserve">Memorandum Opinion and Order, 30 FCC Rcd 2281 (WTB </w:t>
      </w:r>
      <w:r w:rsidRPr="00172A8F" w:rsidR="00A00EEF">
        <w:t xml:space="preserve">MD </w:t>
      </w:r>
      <w:r w:rsidRPr="00172A8F">
        <w:t>2015) (</w:t>
      </w:r>
      <w:r w:rsidRPr="00172A8F">
        <w:rPr>
          <w:i/>
          <w:iCs/>
        </w:rPr>
        <w:t>2015 Waiver Order</w:t>
      </w:r>
      <w:r w:rsidRPr="00172A8F">
        <w:t>)</w:t>
      </w:r>
      <w:r w:rsidRPr="00172A8F" w:rsidR="007532BE">
        <w:t xml:space="preserve"> (</w:t>
      </w:r>
      <w:r w:rsidRPr="00172A8F">
        <w:t xml:space="preserve">waiving </w:t>
      </w:r>
      <w:r w:rsidRPr="00172A8F" w:rsidR="007D2F49">
        <w:t xml:space="preserve">47 CFR §§ </w:t>
      </w:r>
      <w:r w:rsidRPr="00172A8F">
        <w:t>90.723(f)</w:t>
      </w:r>
      <w:r w:rsidRPr="00172A8F" w:rsidR="00E65087">
        <w:t xml:space="preserve"> (coordination requirements) </w:t>
      </w:r>
      <w:r w:rsidRPr="00172A8F" w:rsidR="00CD31B8">
        <w:t>and 90.729(b)</w:t>
      </w:r>
      <w:r w:rsidRPr="00172A8F" w:rsidR="00C561B1">
        <w:t xml:space="preserve"> (antenna height and power limits)</w:t>
      </w:r>
      <w:r w:rsidRPr="00172A8F" w:rsidR="007532BE">
        <w:t>)</w:t>
      </w:r>
      <w:r w:rsidRPr="00172A8F" w:rsidR="00E65087">
        <w:t xml:space="preserve">; </w:t>
      </w:r>
      <w:r w:rsidRPr="00172A8F" w:rsidR="00DF5109">
        <w:rPr>
          <w:i/>
          <w:iCs/>
        </w:rPr>
        <w:t>Request of PTC-220, LLC for Waivers of Certain 2</w:t>
      </w:r>
      <w:r w:rsidR="003447AB">
        <w:rPr>
          <w:i/>
          <w:iCs/>
        </w:rPr>
        <w:t>2</w:t>
      </w:r>
      <w:r w:rsidRPr="00172A8F" w:rsidR="00DF5109">
        <w:rPr>
          <w:i/>
          <w:iCs/>
        </w:rPr>
        <w:t>0 MHz Rules</w:t>
      </w:r>
      <w:r w:rsidRPr="00172A8F" w:rsidR="00DF5109">
        <w:t xml:space="preserve">, </w:t>
      </w:r>
      <w:r w:rsidRPr="00172A8F" w:rsidR="006868CE">
        <w:t xml:space="preserve">WT Docket No. 08-256, </w:t>
      </w:r>
      <w:r w:rsidRPr="00172A8F" w:rsidR="00DF5109">
        <w:t>Memorandum Opinion and Order, 24 FCC Rcd 8537 (WTB 2009) (</w:t>
      </w:r>
      <w:r w:rsidRPr="00172A8F" w:rsidR="00DF5109">
        <w:rPr>
          <w:i/>
          <w:iCs/>
        </w:rPr>
        <w:t>2009 Waiver Order</w:t>
      </w:r>
      <w:r w:rsidRPr="00172A8F" w:rsidR="00DF5109">
        <w:t>)</w:t>
      </w:r>
      <w:r w:rsidRPr="00172A8F" w:rsidR="00150CC3">
        <w:t xml:space="preserve"> </w:t>
      </w:r>
      <w:r w:rsidRPr="00172A8F" w:rsidR="007532BE">
        <w:t>(</w:t>
      </w:r>
      <w:r w:rsidRPr="00172A8F" w:rsidR="00DF5109">
        <w:t>w</w:t>
      </w:r>
      <w:r w:rsidRPr="00172A8F" w:rsidR="00DF5109">
        <w:rPr>
          <w:iCs/>
        </w:rPr>
        <w:t xml:space="preserve">aiving </w:t>
      </w:r>
      <w:r w:rsidRPr="00172A8F" w:rsidR="00DF5109">
        <w:t>47 CFR §§ 90.713(a)</w:t>
      </w:r>
      <w:r w:rsidRPr="00172A8F" w:rsidR="00150CC3">
        <w:t xml:space="preserve"> </w:t>
      </w:r>
      <w:r w:rsidRPr="00172A8F" w:rsidR="003818DF">
        <w:t xml:space="preserve">and 90.717(b) </w:t>
      </w:r>
      <w:r w:rsidRPr="00172A8F" w:rsidR="00150CC3">
        <w:t>(commercial use restrictions)</w:t>
      </w:r>
      <w:r w:rsidRPr="00172A8F" w:rsidR="00DF5109">
        <w:t>, 90.715</w:t>
      </w:r>
      <w:r w:rsidRPr="00172A8F" w:rsidR="00193A4E">
        <w:t xml:space="preserve"> (base/mobile band configuration)</w:t>
      </w:r>
      <w:r w:rsidRPr="00172A8F" w:rsidR="00DF5109">
        <w:t>, and 90.735</w:t>
      </w:r>
      <w:r w:rsidRPr="00172A8F" w:rsidR="004A221C">
        <w:t xml:space="preserve"> </w:t>
      </w:r>
      <w:r w:rsidRPr="00172A8F" w:rsidR="00150CC3">
        <w:t>(station identification requirements)</w:t>
      </w:r>
      <w:r w:rsidRPr="00172A8F" w:rsidR="007532BE">
        <w:t>)</w:t>
      </w:r>
      <w:r w:rsidRPr="00172A8F">
        <w:t>.</w:t>
      </w:r>
    </w:p>
  </w:footnote>
  <w:footnote w:id="6">
    <w:p w:rsidR="00E0601E" w:rsidRPr="006B68D9" w:rsidP="00E0601E" w14:paraId="29434443" w14:textId="77777777">
      <w:pPr>
        <w:pStyle w:val="FootnoteText"/>
      </w:pPr>
      <w:r w:rsidRPr="00172A8F">
        <w:rPr>
          <w:rStyle w:val="FootnoteReference"/>
        </w:rPr>
        <w:footnoteRef/>
      </w:r>
      <w:r w:rsidRPr="00172A8F">
        <w:t xml:space="preserve"> </w:t>
      </w:r>
      <w:r w:rsidRPr="006B68D9">
        <w:rPr>
          <w:i/>
          <w:iCs/>
        </w:rPr>
        <w:t xml:space="preserve">See generally </w:t>
      </w:r>
      <w:r w:rsidRPr="006B68D9">
        <w:t>Waiver Modification Request.</w:t>
      </w:r>
    </w:p>
  </w:footnote>
  <w:footnote w:id="7">
    <w:p w:rsidR="00811EA9" w:rsidRPr="00172A8F" w:rsidP="0082160A" w14:paraId="781BD959" w14:textId="0B10DDDF">
      <w:pPr>
        <w:pStyle w:val="FootnoteText"/>
      </w:pPr>
      <w:r w:rsidRPr="00172A8F">
        <w:rPr>
          <w:rStyle w:val="FootnoteReference"/>
        </w:rPr>
        <w:footnoteRef/>
      </w:r>
      <w:r w:rsidRPr="00172A8F">
        <w:t xml:space="preserve"> </w:t>
      </w:r>
      <w:r w:rsidRPr="006B68D9" w:rsidR="00555328">
        <w:rPr>
          <w:i/>
          <w:iCs/>
        </w:rPr>
        <w:t xml:space="preserve">See </w:t>
      </w:r>
      <w:r w:rsidRPr="006B68D9">
        <w:t>47 U.S.C. § 151 (establishing the Commission for the “purpose of promoting safety of life and property through the use of wire and radio communications”).</w:t>
      </w:r>
    </w:p>
  </w:footnote>
  <w:footnote w:id="8">
    <w:p w:rsidR="001B5C3B" w:rsidRPr="006B68D9" w:rsidP="0082160A" w14:paraId="01ADC72A" w14:textId="49B61D6D">
      <w:pPr>
        <w:pStyle w:val="FootnoteText"/>
      </w:pPr>
      <w:r w:rsidRPr="00172A8F">
        <w:rPr>
          <w:rStyle w:val="FootnoteReference"/>
        </w:rPr>
        <w:footnoteRef/>
      </w:r>
      <w:r w:rsidRPr="00172A8F">
        <w:t xml:space="preserve"> Waiver Modificati</w:t>
      </w:r>
      <w:r w:rsidRPr="006B68D9">
        <w:t>on Request, Appendix A (listing PTC-220</w:t>
      </w:r>
      <w:r w:rsidR="006044E9">
        <w:t>’s</w:t>
      </w:r>
      <w:r w:rsidRPr="006B68D9">
        <w:t xml:space="preserve"> 220 MHz Band licenses</w:t>
      </w:r>
      <w:r w:rsidRPr="006B68D9" w:rsidR="007F7610">
        <w:t xml:space="preserve"> and leases</w:t>
      </w:r>
      <w:r w:rsidRPr="006B68D9">
        <w:t>).</w:t>
      </w:r>
    </w:p>
  </w:footnote>
  <w:footnote w:id="9">
    <w:p w:rsidR="00C52319" w:rsidRPr="00172A8F" w:rsidP="0082160A" w14:paraId="099B896B" w14:textId="594AC90C">
      <w:pPr>
        <w:pStyle w:val="FootnoteText"/>
      </w:pPr>
      <w:r w:rsidRPr="00172A8F">
        <w:rPr>
          <w:rStyle w:val="FootnoteReference"/>
        </w:rPr>
        <w:footnoteRef/>
      </w:r>
      <w:r w:rsidRPr="00172A8F">
        <w:t xml:space="preserve"> </w:t>
      </w:r>
      <w:r w:rsidRPr="00090F74">
        <w:t>Rail Safety Improvement Act of 2008</w:t>
      </w:r>
      <w:r w:rsidRPr="006B68D9">
        <w:t xml:space="preserve">, </w:t>
      </w:r>
      <w:r w:rsidRPr="006B68D9">
        <w:rPr>
          <w:rFonts w:eastAsia="Arial"/>
        </w:rPr>
        <w:t>Pub. L. No. 110-432, § 104, 122 Stat. 4848, 4857 (2008),</w:t>
      </w:r>
      <w:r w:rsidRPr="006B68D9">
        <w:rPr>
          <w:rFonts w:eastAsia="Arial"/>
          <w:i/>
          <w:iCs/>
        </w:rPr>
        <w:t xml:space="preserve"> amended by</w:t>
      </w:r>
      <w:r w:rsidRPr="00172A8F">
        <w:rPr>
          <w:rFonts w:eastAsia="Arial"/>
        </w:rPr>
        <w:t xml:space="preserve"> </w:t>
      </w:r>
      <w:r w:rsidRPr="00090F74">
        <w:rPr>
          <w:rFonts w:eastAsia="Arial"/>
        </w:rPr>
        <w:t>Positive Train Control Enforcement and Implementation Act of 2015</w:t>
      </w:r>
      <w:r w:rsidRPr="00172A8F">
        <w:rPr>
          <w:rFonts w:eastAsia="Arial"/>
        </w:rPr>
        <w:t xml:space="preserve">, Pub. L. No. 114-73, § 1302, 129 Stat. 568, 576 (2015).  </w:t>
      </w:r>
    </w:p>
  </w:footnote>
  <w:footnote w:id="10">
    <w:p w:rsidR="003E0418" w:rsidRPr="00172A8F" w:rsidP="0082160A" w14:paraId="765AA5AE" w14:textId="3F28A179">
      <w:pPr>
        <w:pStyle w:val="FootnoteText"/>
      </w:pPr>
      <w:r w:rsidRPr="00172A8F">
        <w:rPr>
          <w:rStyle w:val="FootnoteReference"/>
        </w:rPr>
        <w:footnoteRef/>
      </w:r>
      <w:r w:rsidRPr="00172A8F">
        <w:t xml:space="preserve"> 49 U.S.C. § 20157(i)(5).</w:t>
      </w:r>
      <w:r w:rsidRPr="006B68D9" w:rsidR="004F7520">
        <w:t xml:space="preserve">  The U.S. rail industry chose to implement PTC through wireless networks that use radio spectrum.  These networks have the capacity to enable real-time information s</w:t>
      </w:r>
      <w:r w:rsidRPr="00172A8F" w:rsidR="004F7520">
        <w:t>haring between trains, rail wayside devices, and “back office” applications, regarding train movement authorities, speed restrictions, train position and speed, and the state of signal and switch devices.</w:t>
      </w:r>
    </w:p>
  </w:footnote>
  <w:footnote w:id="11">
    <w:p w:rsidR="00737C55" w:rsidRPr="00172A8F" w:rsidP="0082160A" w14:paraId="1192DC25" w14:textId="46028C3F">
      <w:pPr>
        <w:pStyle w:val="FootnoteText"/>
      </w:pPr>
      <w:r w:rsidRPr="00172A8F">
        <w:rPr>
          <w:rStyle w:val="FootnoteReference"/>
        </w:rPr>
        <w:footnoteRef/>
      </w:r>
      <w:r w:rsidRPr="00BF686C">
        <w:t xml:space="preserve"> </w:t>
      </w:r>
      <w:r w:rsidRPr="00172A8F">
        <w:t>U.S. Department of Transportation</w:t>
      </w:r>
      <w:r w:rsidRPr="00172A8F" w:rsidR="00F30C0C">
        <w:t xml:space="preserve"> (USDOT)</w:t>
      </w:r>
      <w:r w:rsidRPr="00172A8F" w:rsidR="002D4FBF">
        <w:t>, Federal Railroad Administration</w:t>
      </w:r>
      <w:r w:rsidRPr="00172A8F" w:rsidR="00F30C0C">
        <w:t xml:space="preserve"> (FRA)</w:t>
      </w:r>
      <w:r w:rsidRPr="00172A8F" w:rsidR="00ED310C">
        <w:t xml:space="preserve">, </w:t>
      </w:r>
      <w:r w:rsidRPr="00172A8F" w:rsidR="00ED310C">
        <w:rPr>
          <w:i/>
          <w:iCs/>
        </w:rPr>
        <w:t>Positive Train Control (PTC) Overview</w:t>
      </w:r>
      <w:r w:rsidRPr="00172A8F" w:rsidR="00ED310C">
        <w:t xml:space="preserve"> </w:t>
      </w:r>
      <w:r w:rsidRPr="00172A8F">
        <w:t xml:space="preserve">(last updated </w:t>
      </w:r>
      <w:r w:rsidRPr="00172A8F" w:rsidR="00E45C89">
        <w:t>Dec. 12, 2022</w:t>
      </w:r>
      <w:r w:rsidRPr="00172A8F">
        <w:t xml:space="preserve">), </w:t>
      </w:r>
      <w:hyperlink r:id="rId1" w:history="1">
        <w:r w:rsidRPr="006B68D9" w:rsidR="00EE524D">
          <w:rPr>
            <w:rStyle w:val="Hyperlink"/>
          </w:rPr>
          <w:t>https://railroads.dot.gov/train-control/ptc/positive-train-control-ptc</w:t>
        </w:r>
      </w:hyperlink>
      <w:r w:rsidRPr="00172A8F">
        <w:t xml:space="preserve"> (last visited </w:t>
      </w:r>
      <w:r w:rsidRPr="006B68D9" w:rsidR="002E7BF0">
        <w:t>Jan. 26, 2023</w:t>
      </w:r>
      <w:r w:rsidRPr="00172A8F">
        <w:t>)</w:t>
      </w:r>
      <w:r w:rsidRPr="00172A8F" w:rsidR="002D4FBF">
        <w:t xml:space="preserve"> (FRA PTC Overview)</w:t>
      </w:r>
      <w:r w:rsidRPr="00172A8F">
        <w:t>.</w:t>
      </w:r>
    </w:p>
  </w:footnote>
  <w:footnote w:id="12">
    <w:p w:rsidR="00C52319" w:rsidRPr="00172A8F" w:rsidP="0082160A" w14:paraId="2EF39654" w14:textId="59F25D10">
      <w:pPr>
        <w:pStyle w:val="FootnoteText"/>
      </w:pPr>
      <w:r w:rsidRPr="00172A8F">
        <w:rPr>
          <w:rStyle w:val="FootnoteReference"/>
        </w:rPr>
        <w:footnoteRef/>
      </w:r>
      <w:r w:rsidRPr="00172A8F">
        <w:t xml:space="preserve"> </w:t>
      </w:r>
      <w:r w:rsidRPr="00172A8F" w:rsidR="00F30C0C">
        <w:t>USDOT</w:t>
      </w:r>
      <w:r w:rsidRPr="00172A8F" w:rsidR="00CD2097">
        <w:t xml:space="preserve">, </w:t>
      </w:r>
      <w:r w:rsidRPr="00172A8F" w:rsidR="00CD2097">
        <w:rPr>
          <w:i/>
          <w:iCs/>
        </w:rPr>
        <w:t>Statement on Positive Train Control Implementation</w:t>
      </w:r>
      <w:r w:rsidRPr="00172A8F">
        <w:t xml:space="preserve"> (last updated Dec. 31, 2018), </w:t>
      </w:r>
      <w:hyperlink r:id="rId2" w:history="1">
        <w:r w:rsidRPr="006B68D9">
          <w:rPr>
            <w:rStyle w:val="Hyperlink"/>
          </w:rPr>
          <w:t>https://www.transportation.gov/briefing-room/statement-positive-train-control-implementation</w:t>
        </w:r>
      </w:hyperlink>
      <w:r w:rsidRPr="00172A8F">
        <w:t xml:space="preserve"> (last visited </w:t>
      </w:r>
      <w:r w:rsidRPr="006B68D9" w:rsidR="00042F08">
        <w:t>Jan. 26, 2023</w:t>
      </w:r>
      <w:r w:rsidRPr="00172A8F">
        <w:t xml:space="preserve">).  </w:t>
      </w:r>
    </w:p>
  </w:footnote>
  <w:footnote w:id="13">
    <w:p w:rsidR="00C52319" w:rsidRPr="00534E7C" w:rsidP="0082160A" w14:paraId="51DAE0CB" w14:textId="3D0C485A">
      <w:pPr>
        <w:pStyle w:val="FootnoteText"/>
      </w:pPr>
      <w:r w:rsidRPr="00172A8F">
        <w:rPr>
          <w:rStyle w:val="FootnoteReference"/>
        </w:rPr>
        <w:footnoteRef/>
      </w:r>
      <w:r w:rsidRPr="00172A8F">
        <w:t xml:space="preserve"> </w:t>
      </w:r>
      <w:r w:rsidRPr="006B68D9">
        <w:rPr>
          <w:i/>
          <w:iCs/>
        </w:rPr>
        <w:t>Id</w:t>
      </w:r>
      <w:r w:rsidRPr="006B68D9">
        <w:t>.</w:t>
      </w:r>
    </w:p>
  </w:footnote>
  <w:footnote w:id="14">
    <w:p w:rsidR="00C52319" w:rsidRPr="00172A8F" w:rsidP="0082160A" w14:paraId="54EEA223" w14:textId="055F908F">
      <w:pPr>
        <w:pStyle w:val="FootnoteText"/>
      </w:pPr>
      <w:r w:rsidRPr="00172A8F">
        <w:rPr>
          <w:rStyle w:val="FootnoteReference"/>
        </w:rPr>
        <w:footnoteRef/>
      </w:r>
      <w:r w:rsidRPr="00172A8F">
        <w:t xml:space="preserve"> </w:t>
      </w:r>
      <w:r w:rsidRPr="006B68D9" w:rsidR="002D4FBF">
        <w:t>FRA PTC Overview</w:t>
      </w:r>
      <w:r w:rsidRPr="006B68D9">
        <w:t xml:space="preserve">. </w:t>
      </w:r>
      <w:r w:rsidRPr="006B68D9" w:rsidR="005F099E">
        <w:t xml:space="preserve"> The </w:t>
      </w:r>
      <w:r w:rsidRPr="006B68D9" w:rsidR="002860ED">
        <w:t xml:space="preserve">FRA </w:t>
      </w:r>
      <w:r w:rsidRPr="00534E7C" w:rsidR="005F099E">
        <w:t>is responsible for approving each railroad’s PTC system, including design, testing, and implementation and for ensuring compliance with the Rail Safety Act and FRA regulations implementing that statute</w:t>
      </w:r>
      <w:r w:rsidRPr="00172A8F" w:rsidR="005F099E">
        <w:t xml:space="preserve">.  </w:t>
      </w:r>
      <w:r w:rsidRPr="00172A8F" w:rsidR="00F30C0C">
        <w:t>USDOT, FRA</w:t>
      </w:r>
      <w:r w:rsidRPr="00172A8F" w:rsidR="00134DA1">
        <w:t xml:space="preserve">, </w:t>
      </w:r>
      <w:r w:rsidRPr="00172A8F" w:rsidR="00134DA1">
        <w:rPr>
          <w:i/>
          <w:iCs/>
        </w:rPr>
        <w:t>Positive Train Control (PTC) Information (R&amp;D)</w:t>
      </w:r>
      <w:r w:rsidRPr="00172A8F" w:rsidR="00492D36">
        <w:rPr>
          <w:i/>
          <w:iCs/>
        </w:rPr>
        <w:t xml:space="preserve"> Summary</w:t>
      </w:r>
      <w:r w:rsidRPr="00172A8F" w:rsidR="005F099E">
        <w:t xml:space="preserve"> (last updated Nov. 13, 2019), </w:t>
      </w:r>
      <w:hyperlink r:id="rId3" w:history="1">
        <w:r w:rsidRPr="006B68D9" w:rsidR="00492D36">
          <w:rPr>
            <w:rStyle w:val="Hyperlink"/>
          </w:rPr>
          <w:t>https://www.fra.dot.gov/Page/P0152</w:t>
        </w:r>
      </w:hyperlink>
      <w:r w:rsidRPr="00172A8F" w:rsidR="005F099E">
        <w:t xml:space="preserve"> (last visited </w:t>
      </w:r>
      <w:r w:rsidRPr="006B68D9" w:rsidR="00D757C6">
        <w:t>Jan. 26, 2023</w:t>
      </w:r>
      <w:r w:rsidRPr="00172A8F" w:rsidR="005F099E">
        <w:t>).</w:t>
      </w:r>
    </w:p>
  </w:footnote>
  <w:footnote w:id="15">
    <w:p w:rsidR="001E5D34" w:rsidRPr="00172A8F" w:rsidP="0082160A" w14:paraId="75E80E09" w14:textId="36D439ED">
      <w:pPr>
        <w:pStyle w:val="FootnoteText"/>
      </w:pPr>
      <w:r w:rsidRPr="00172A8F">
        <w:rPr>
          <w:rStyle w:val="FootnoteReference"/>
        </w:rPr>
        <w:footnoteRef/>
      </w:r>
      <w:r w:rsidRPr="00172A8F">
        <w:t xml:space="preserve"> </w:t>
      </w:r>
      <w:r w:rsidRPr="006B68D9" w:rsidR="00191E13">
        <w:t>Waiver Modification Request</w:t>
      </w:r>
      <w:r w:rsidRPr="006B68D9">
        <w:t xml:space="preserve"> at 2.</w:t>
      </w:r>
      <w:r w:rsidRPr="006B68D9">
        <w:t xml:space="preserve">  The Rail Safety Act requires U.S. railroads to deploy interoperable PTC systems so that when a railroad enters another's territory as a tenant, it can safely use the host rail</w:t>
      </w:r>
      <w:r w:rsidR="008C491D">
        <w:t>’</w:t>
      </w:r>
      <w:r w:rsidRPr="006B68D9">
        <w:t>s PTC system where required.  49 U.S.C. § 20157(a)(2)(A)(i)(1) (a railroad “mu</w:t>
      </w:r>
      <w:r w:rsidRPr="00172A8F">
        <w:t>st provide for interoperability of the system with the movements of trains of other railroad carriers over its lines”).</w:t>
      </w:r>
      <w:r w:rsidRPr="00172A8F" w:rsidR="00F30C0C">
        <w:t xml:space="preserve"> </w:t>
      </w:r>
      <w:r w:rsidRPr="00172A8F">
        <w:t xml:space="preserve"> The Rail Safety Act defines “interoperability” as “the ability to control locomotives of the host railroad and tenant railroad to communicate with and respond to the positive train control system, including uninterrupted movements over property boundaries.” </w:t>
      </w:r>
      <w:r w:rsidRPr="00172A8F" w:rsidR="00F30C0C">
        <w:t xml:space="preserve"> </w:t>
      </w:r>
      <w:r w:rsidRPr="00172A8F">
        <w:rPr>
          <w:i/>
          <w:iCs/>
        </w:rPr>
        <w:t>Id</w:t>
      </w:r>
      <w:r w:rsidRPr="00172A8F">
        <w:t>. § 20157(i)(3).</w:t>
      </w:r>
    </w:p>
  </w:footnote>
  <w:footnote w:id="16">
    <w:p w:rsidR="000D2D05" w:rsidRPr="00172A8F" w:rsidP="0082160A" w14:paraId="09421D63" w14:textId="2CE7292A">
      <w:pPr>
        <w:pStyle w:val="FootnoteText"/>
      </w:pPr>
      <w:r w:rsidRPr="00172A8F">
        <w:rPr>
          <w:rStyle w:val="FootnoteReference"/>
        </w:rPr>
        <w:footnoteRef/>
      </w:r>
      <w:r w:rsidRPr="00172A8F">
        <w:t xml:space="preserve"> </w:t>
      </w:r>
      <w:r w:rsidRPr="006B68D9" w:rsidR="002860ED">
        <w:t>For example, under call sign WPOI701, PTC-220 has over 50 active spectrum manager leases</w:t>
      </w:r>
      <w:r w:rsidRPr="006B68D9" w:rsidR="00C055AA">
        <w:t>.</w:t>
      </w:r>
      <w:r w:rsidRPr="006B68D9" w:rsidR="002860ED">
        <w:t xml:space="preserve">  </w:t>
      </w:r>
      <w:r w:rsidRPr="006B68D9" w:rsidR="00107295">
        <w:rPr>
          <w:i/>
          <w:iCs/>
        </w:rPr>
        <w:t>See, e.g.</w:t>
      </w:r>
      <w:r w:rsidRPr="00534E7C" w:rsidR="00107295">
        <w:t>, ULS Lease</w:t>
      </w:r>
      <w:r w:rsidRPr="00172A8F" w:rsidR="00107295">
        <w:t xml:space="preserve"> ID Nos. L000019677 (Peninsula Corridor Joint Powers Board (CALTRAIN)); L000010093 (Southern California Regional Rail Authority (SCRRA/Metrolink)); L000018163 (Penn Central Communications (Conrail)); L000017508 (Northeast Illinois Regional Commuter Railroad Corporation (Metra)); L000020184 (National Railroad Passenger Corporation (AMTRAK)); L000026624 (Massachusetts Bay Transportation Authority); L000043044 (Utah Railway Company); L000046404 (Fort Worth Transportation Authority (Trinity Metro)); L000043219 (Florida East Coast Railway).</w:t>
      </w:r>
      <w:r w:rsidRPr="00172A8F" w:rsidR="00946A35">
        <w:t xml:space="preserve"> </w:t>
      </w:r>
      <w:r w:rsidRPr="00172A8F" w:rsidR="00107295">
        <w:t xml:space="preserve"> </w:t>
      </w:r>
      <w:r w:rsidRPr="00172A8F" w:rsidR="00946A35">
        <w:rPr>
          <w:i/>
          <w:iCs/>
        </w:rPr>
        <w:t>See also</w:t>
      </w:r>
      <w:r w:rsidRPr="00172A8F" w:rsidR="00107295">
        <w:t xml:space="preserve"> ULS Lease ID No. L000025125, File Nos. 6059QASL19 (subleasing WPOI701 to Kansas City Terminal Railway Company), 6056QASL19 (subleasing WPOI701 to Dallas Area Rapid Transit).</w:t>
      </w:r>
    </w:p>
  </w:footnote>
  <w:footnote w:id="17">
    <w:p w:rsidR="00AD4755" w:rsidRPr="00172A8F" w:rsidP="0082160A" w14:paraId="51E506C5" w14:textId="54C1B20D">
      <w:pPr>
        <w:pStyle w:val="FootnoteText"/>
      </w:pPr>
      <w:r w:rsidRPr="00172A8F">
        <w:rPr>
          <w:rStyle w:val="FootnoteReference"/>
        </w:rPr>
        <w:footnoteRef/>
      </w:r>
      <w:r w:rsidRPr="00172A8F">
        <w:t xml:space="preserve"> 220 MHz Band licenses initially authorized from applications filed on or before May 24, 1991</w:t>
      </w:r>
      <w:r w:rsidR="0029736D">
        <w:t>,</w:t>
      </w:r>
      <w:r w:rsidRPr="00172A8F">
        <w:t xml:space="preserve"> are referred to as Phase I licenses.  47 CFR § 90.701(b).  220 MHz Band licenses initially authorized from applications filed after May 24, 1991</w:t>
      </w:r>
      <w:r w:rsidR="0029736D">
        <w:t>,</w:t>
      </w:r>
      <w:r w:rsidRPr="00172A8F">
        <w:t xml:space="preserve"> are referred to as Phase II licenses.  47 CFR § 90.701(c).</w:t>
      </w:r>
    </w:p>
  </w:footnote>
  <w:footnote w:id="18">
    <w:p w:rsidR="00C52319" w:rsidRPr="00172A8F" w:rsidP="0082160A" w14:paraId="5F79632D" w14:textId="5D69407C">
      <w:pPr>
        <w:pStyle w:val="FootnoteText"/>
      </w:pPr>
      <w:r w:rsidRPr="00172A8F">
        <w:rPr>
          <w:rStyle w:val="FootnoteReference"/>
        </w:rPr>
        <w:footnoteRef/>
      </w:r>
      <w:r w:rsidRPr="00172A8F">
        <w:t xml:space="preserve"> </w:t>
      </w:r>
      <w:r w:rsidRPr="006B68D9" w:rsidR="00191E13">
        <w:t>Waiver Modification Request</w:t>
      </w:r>
      <w:r w:rsidRPr="006B68D9">
        <w:t>, Appendix A (list</w:t>
      </w:r>
      <w:r w:rsidRPr="006B68D9" w:rsidR="00D71ED8">
        <w:t>ing</w:t>
      </w:r>
      <w:r w:rsidRPr="006B68D9">
        <w:t xml:space="preserve"> </w:t>
      </w:r>
      <w:r w:rsidRPr="00534E7C" w:rsidR="00D71ED8">
        <w:t>PTC-220</w:t>
      </w:r>
      <w:r w:rsidR="009D4D60">
        <w:t>’s</w:t>
      </w:r>
      <w:r w:rsidRPr="00534E7C">
        <w:t xml:space="preserve"> 220 MHz Band licenses</w:t>
      </w:r>
      <w:r w:rsidRPr="00172A8F" w:rsidR="004A6976">
        <w:t>).</w:t>
      </w:r>
      <w:r w:rsidRPr="00172A8F" w:rsidR="00684D01">
        <w:t xml:space="preserve">  </w:t>
      </w:r>
    </w:p>
  </w:footnote>
  <w:footnote w:id="19">
    <w:p w:rsidR="000A32CE" w:rsidRPr="00172A8F" w:rsidP="0082160A" w14:paraId="2AB059B3" w14:textId="04F0B821">
      <w:pPr>
        <w:pStyle w:val="FootnoteText"/>
      </w:pPr>
      <w:r w:rsidRPr="00172A8F">
        <w:rPr>
          <w:rStyle w:val="FootnoteReference"/>
        </w:rPr>
        <w:footnoteRef/>
      </w:r>
      <w:r w:rsidRPr="00172A8F">
        <w:t xml:space="preserve"> </w:t>
      </w:r>
      <w:r w:rsidRPr="007A5D98" w:rsidR="007A5D98">
        <w:rPr>
          <w:i/>
          <w:iCs/>
        </w:rPr>
        <w:t>Id</w:t>
      </w:r>
      <w:r w:rsidR="007A5D98">
        <w:t>.</w:t>
      </w:r>
      <w:r w:rsidRPr="006B68D9">
        <w:t xml:space="preserve"> (listing AAR 220 MHz Band licenses</w:t>
      </w:r>
      <w:r w:rsidRPr="006B68D9" w:rsidR="00F450BA">
        <w:t xml:space="preserve"> and related leases</w:t>
      </w:r>
      <w:r w:rsidRPr="006B68D9">
        <w:t xml:space="preserve">).  AAR is a trade association whose members include the seven U.S. Class I railroads as well as smaller non-Class I and passenger railroads including Amtrak. </w:t>
      </w:r>
      <w:r w:rsidRPr="00534E7C" w:rsidR="00644F28">
        <w:rPr>
          <w:i/>
          <w:iCs/>
        </w:rPr>
        <w:t xml:space="preserve"> </w:t>
      </w:r>
      <w:r w:rsidRPr="00534E7C" w:rsidR="00210330">
        <w:rPr>
          <w:i/>
          <w:iCs/>
        </w:rPr>
        <w:t>AAR Members</w:t>
      </w:r>
      <w:r w:rsidRPr="00534E7C" w:rsidR="00210330">
        <w:t xml:space="preserve">, </w:t>
      </w:r>
      <w:hyperlink r:id="rId4" w:history="1">
        <w:r w:rsidRPr="006B68D9" w:rsidR="00210330">
          <w:rPr>
            <w:rStyle w:val="Hyperlink"/>
          </w:rPr>
          <w:t>https://www.aar.org/about-us/aar-members/</w:t>
        </w:r>
      </w:hyperlink>
      <w:r w:rsidRPr="00172A8F">
        <w:t xml:space="preserve"> </w:t>
      </w:r>
      <w:r w:rsidRPr="006B68D9" w:rsidR="00BB47D6">
        <w:t>(</w:t>
      </w:r>
      <w:r w:rsidRPr="00172A8F">
        <w:t xml:space="preserve">last visited </w:t>
      </w:r>
      <w:r w:rsidRPr="00172A8F" w:rsidR="00934F3B">
        <w:t>Jan. 26, 2023</w:t>
      </w:r>
      <w:r w:rsidRPr="00172A8F">
        <w:t>).</w:t>
      </w:r>
    </w:p>
  </w:footnote>
  <w:footnote w:id="20">
    <w:p w:rsidR="00340F11" w:rsidRPr="00172A8F" w:rsidP="0082160A" w14:paraId="21717948" w14:textId="127760ED">
      <w:pPr>
        <w:pStyle w:val="FootnoteText"/>
      </w:pPr>
      <w:r w:rsidRPr="00172A8F">
        <w:rPr>
          <w:rStyle w:val="FootnoteReference"/>
        </w:rPr>
        <w:footnoteRef/>
      </w:r>
      <w:r w:rsidRPr="00172A8F">
        <w:t xml:space="preserve"> </w:t>
      </w:r>
      <w:r w:rsidRPr="006B68D9">
        <w:rPr>
          <w:i/>
          <w:iCs/>
        </w:rPr>
        <w:t>2009 Waiver Order</w:t>
      </w:r>
      <w:r w:rsidRPr="006B68D9">
        <w:t xml:space="preserve">, 24 FCC Rcd </w:t>
      </w:r>
      <w:r w:rsidRPr="006B68D9" w:rsidR="00B116F5">
        <w:t xml:space="preserve">at </w:t>
      </w:r>
      <w:r w:rsidRPr="006B68D9">
        <w:t>85</w:t>
      </w:r>
      <w:r w:rsidRPr="00534E7C" w:rsidR="00B116F5">
        <w:t>44-4</w:t>
      </w:r>
      <w:r w:rsidRPr="00534E7C" w:rsidR="002B2000">
        <w:t>6</w:t>
      </w:r>
      <w:r w:rsidRPr="00172A8F" w:rsidR="009321D0">
        <w:t>,</w:t>
      </w:r>
      <w:r w:rsidRPr="00172A8F" w:rsidR="00B116F5">
        <w:t xml:space="preserve"> paras. 18</w:t>
      </w:r>
      <w:r w:rsidRPr="00172A8F" w:rsidR="005061A6">
        <w:t>-20</w:t>
      </w:r>
      <w:r w:rsidRPr="00172A8F" w:rsidR="00B116F5">
        <w:t>.</w:t>
      </w:r>
    </w:p>
  </w:footnote>
  <w:footnote w:id="21">
    <w:p w:rsidR="004C3A66" w:rsidRPr="00172A8F" w:rsidP="0082160A" w14:paraId="1904A70A" w14:textId="126DFA20">
      <w:pPr>
        <w:pStyle w:val="FootnoteText"/>
      </w:pPr>
      <w:r w:rsidRPr="00172A8F">
        <w:rPr>
          <w:rStyle w:val="FootnoteReference"/>
        </w:rPr>
        <w:footnoteRef/>
      </w:r>
      <w:r w:rsidRPr="00172A8F">
        <w:t xml:space="preserve"> 47 CFR §§ 90.713(a), 90.715, 90.717(b), and 90.735.</w:t>
      </w:r>
      <w:r w:rsidRPr="006B68D9" w:rsidR="00AD4755">
        <w:t xml:space="preserve">  The Bureau applied the rule waivers to PTC-220’s (then) twelve 220 MHz Band licenses:  two Phase I nationwide licenses (WPFP444 and WPFR284); one L Block nationwide license (WPOI701); six J Block REAG licenses (WPOI702, WPOI703, WPOI704, WPOI705, WPOI706</w:t>
      </w:r>
      <w:r w:rsidRPr="00172A8F" w:rsidR="00AD4755">
        <w:t xml:space="preserve">, and WPOI708); and three E Block Economic Area licenses (WPOI774, WPOI800, and WPVL860).  </w:t>
      </w:r>
      <w:r w:rsidRPr="00CD1FE7" w:rsidR="00CD1FE7">
        <w:rPr>
          <w:i/>
          <w:iCs/>
        </w:rPr>
        <w:t>See generally</w:t>
      </w:r>
      <w:r w:rsidR="00CD1FE7">
        <w:t xml:space="preserve"> </w:t>
      </w:r>
      <w:r w:rsidRPr="00172A8F" w:rsidR="00AD4755">
        <w:rPr>
          <w:i/>
          <w:iCs/>
        </w:rPr>
        <w:t>2009 Waiver Order</w:t>
      </w:r>
      <w:r w:rsidR="00CD1FE7">
        <w:t xml:space="preserve">.  </w:t>
      </w:r>
      <w:r w:rsidRPr="00172A8F" w:rsidR="00AD4755">
        <w:t xml:space="preserve">In 2015, the Bureau consented to PTC-220’s assignment of its six J Block REAG licenses to AAR.  </w:t>
      </w:r>
      <w:r w:rsidRPr="00172A8F" w:rsidR="00AD4755">
        <w:rPr>
          <w:i/>
          <w:iCs/>
        </w:rPr>
        <w:t>PTC-220 LLC</w:t>
      </w:r>
      <w:r w:rsidRPr="00172A8F" w:rsidR="00AD4755">
        <w:t>, Letter Order, 30 FCC Rcd 4635 (WTB MD 2015) (</w:t>
      </w:r>
      <w:r w:rsidRPr="00172A8F" w:rsidR="00AD4755">
        <w:rPr>
          <w:i/>
          <w:iCs/>
        </w:rPr>
        <w:t>2015 PTC-220 Order</w:t>
      </w:r>
      <w:r w:rsidRPr="00172A8F" w:rsidR="00AD4755">
        <w:t>).  AAR currently leases spectrum under the six licenses to PTC-220.  Waiver Modification Request, Appendix A, n</w:t>
      </w:r>
      <w:r w:rsidR="00FF728F">
        <w:t>n</w:t>
      </w:r>
      <w:r w:rsidR="00D421D3">
        <w:t>.</w:t>
      </w:r>
      <w:r w:rsidRPr="00172A8F" w:rsidR="00AD4755">
        <w:t xml:space="preserve">1-6. </w:t>
      </w:r>
    </w:p>
  </w:footnote>
  <w:footnote w:id="22">
    <w:p w:rsidR="002B3D3A" w:rsidRPr="006B68D9" w:rsidP="0082160A" w14:paraId="3C51D392" w14:textId="001C89EC">
      <w:pPr>
        <w:pStyle w:val="FootnoteText"/>
      </w:pPr>
      <w:r w:rsidRPr="00172A8F">
        <w:rPr>
          <w:rStyle w:val="FootnoteReference"/>
        </w:rPr>
        <w:footnoteRef/>
      </w:r>
      <w:r w:rsidRPr="00172A8F">
        <w:t xml:space="preserve"> </w:t>
      </w:r>
      <w:r w:rsidRPr="006B68D9" w:rsidR="00C347E8">
        <w:rPr>
          <w:i/>
          <w:iCs/>
        </w:rPr>
        <w:t>2009 Waiver Order</w:t>
      </w:r>
      <w:r w:rsidRPr="006B68D9" w:rsidR="00C347E8">
        <w:t>, 24 FCC Rcd at 8544-45, para. 18.</w:t>
      </w:r>
    </w:p>
  </w:footnote>
  <w:footnote w:id="23">
    <w:p w:rsidR="00B055C2" w:rsidRPr="00172A8F" w:rsidP="0082160A" w14:paraId="73466E4D" w14:textId="4A5C5DEA">
      <w:pPr>
        <w:pStyle w:val="FootnoteText"/>
      </w:pPr>
      <w:r w:rsidRPr="00172A8F">
        <w:rPr>
          <w:rStyle w:val="FootnoteReference"/>
        </w:rPr>
        <w:footnoteRef/>
      </w:r>
      <w:r w:rsidRPr="00172A8F">
        <w:t xml:space="preserve"> </w:t>
      </w:r>
      <w:r w:rsidR="004832BF">
        <w:rPr>
          <w:i/>
          <w:iCs/>
        </w:rPr>
        <w:t xml:space="preserve">Id. </w:t>
      </w:r>
      <w:r w:rsidRPr="006B68D9" w:rsidR="008F55DA">
        <w:t>at 8545</w:t>
      </w:r>
      <w:r w:rsidRPr="006B68D9" w:rsidR="006053AD">
        <w:t>-46</w:t>
      </w:r>
      <w:r w:rsidRPr="00534E7C" w:rsidR="008F55DA">
        <w:t xml:space="preserve">, para. </w:t>
      </w:r>
      <w:r w:rsidRPr="00534E7C" w:rsidR="003C6FEF">
        <w:t>20</w:t>
      </w:r>
      <w:r w:rsidRPr="00534E7C" w:rsidR="008F55DA">
        <w:t>.</w:t>
      </w:r>
      <w:r w:rsidRPr="00172A8F" w:rsidR="003C6FEF">
        <w:t xml:space="preserve">  </w:t>
      </w:r>
    </w:p>
  </w:footnote>
  <w:footnote w:id="24">
    <w:p w:rsidR="00AD4755" w:rsidRPr="006B68D9" w:rsidP="0082160A" w14:paraId="0D54605B" w14:textId="2DDB5E31">
      <w:pPr>
        <w:pStyle w:val="FootnoteText"/>
      </w:pPr>
      <w:r w:rsidRPr="00172A8F">
        <w:rPr>
          <w:rStyle w:val="FootnoteReference"/>
        </w:rPr>
        <w:footnoteRef/>
      </w:r>
      <w:r w:rsidRPr="00172A8F">
        <w:t xml:space="preserve"> </w:t>
      </w:r>
      <w:bookmarkStart w:id="50" w:name="_Hlk123050622"/>
      <w:r w:rsidR="004832BF">
        <w:rPr>
          <w:i/>
          <w:iCs/>
        </w:rPr>
        <w:t xml:space="preserve">Id. </w:t>
      </w:r>
      <w:r w:rsidRPr="006B68D9">
        <w:t>at 8544, para. 17.</w:t>
      </w:r>
    </w:p>
    <w:bookmarkEnd w:id="50"/>
  </w:footnote>
  <w:footnote w:id="25">
    <w:p w:rsidR="008B24F8" w:rsidRPr="00172A8F" w:rsidP="0082160A" w14:paraId="2420FF8C" w14:textId="66E4B56D">
      <w:pPr>
        <w:pStyle w:val="FootnoteText"/>
      </w:pPr>
      <w:r w:rsidRPr="00172A8F">
        <w:rPr>
          <w:rStyle w:val="FootnoteReference"/>
        </w:rPr>
        <w:footnoteRef/>
      </w:r>
      <w:r w:rsidRPr="00172A8F">
        <w:t xml:space="preserve"> </w:t>
      </w:r>
      <w:r w:rsidRPr="006B68D9">
        <w:rPr>
          <w:i/>
          <w:iCs/>
        </w:rPr>
        <w:t>See, e.g.</w:t>
      </w:r>
      <w:r w:rsidRPr="00DE619B">
        <w:t>,</w:t>
      </w:r>
      <w:r w:rsidRPr="006B68D9">
        <w:t xml:space="preserve"> license condition appearing on call sign WQSK949</w:t>
      </w:r>
      <w:r w:rsidRPr="00534E7C" w:rsidR="001102D1">
        <w:t xml:space="preserve"> (</w:t>
      </w:r>
      <w:r w:rsidRPr="00534E7C" w:rsidR="0092162F">
        <w:t xml:space="preserve">limiting </w:t>
      </w:r>
      <w:r w:rsidRPr="00534E7C" w:rsidR="001102D1">
        <w:t>waiver</w:t>
      </w:r>
      <w:r w:rsidRPr="00172A8F" w:rsidR="0092162F">
        <w:t>s</w:t>
      </w:r>
      <w:r w:rsidRPr="00172A8F" w:rsidR="001102D1">
        <w:t xml:space="preserve"> to </w:t>
      </w:r>
      <w:r w:rsidRPr="00172A8F" w:rsidR="0092162F">
        <w:t>PTC</w:t>
      </w:r>
      <w:r w:rsidRPr="00172A8F" w:rsidR="001102D1">
        <w:t>)</w:t>
      </w:r>
      <w:r w:rsidRPr="00172A8F">
        <w:t>.</w:t>
      </w:r>
    </w:p>
  </w:footnote>
  <w:footnote w:id="26">
    <w:p w:rsidR="006053AD" w:rsidRPr="00534E7C" w14:paraId="0D484727" w14:textId="4566437B">
      <w:pPr>
        <w:pStyle w:val="FootnoteText"/>
      </w:pPr>
      <w:r w:rsidRPr="00172A8F">
        <w:rPr>
          <w:rStyle w:val="FootnoteReference"/>
        </w:rPr>
        <w:footnoteRef/>
      </w:r>
      <w:r w:rsidRPr="00172A8F">
        <w:t xml:space="preserve"> </w:t>
      </w:r>
      <w:r w:rsidRPr="006B68D9">
        <w:rPr>
          <w:i/>
          <w:iCs/>
        </w:rPr>
        <w:t>2015 Waiver Order</w:t>
      </w:r>
      <w:r w:rsidRPr="006B68D9">
        <w:t>, 30 FCC Rcd at 2283-86, paras. 9-17.</w:t>
      </w:r>
    </w:p>
  </w:footnote>
  <w:footnote w:id="27">
    <w:p w:rsidR="00340F11" w:rsidRPr="006B68D9" w:rsidP="0082160A" w14:paraId="35C3A61D" w14:textId="7D983D6F">
      <w:pPr>
        <w:pStyle w:val="FootnoteText"/>
      </w:pPr>
      <w:r w:rsidRPr="00172A8F">
        <w:rPr>
          <w:rStyle w:val="FootnoteReference"/>
        </w:rPr>
        <w:footnoteRef/>
      </w:r>
      <w:r w:rsidRPr="00172A8F">
        <w:t xml:space="preserve"> 47 CFR § 90.729(b).  </w:t>
      </w:r>
    </w:p>
  </w:footnote>
  <w:footnote w:id="28">
    <w:p w:rsidR="00340F11" w:rsidRPr="006B68D9" w:rsidP="0082160A" w14:paraId="2DC87CB4" w14:textId="19ADE667">
      <w:pPr>
        <w:pStyle w:val="FootnoteText"/>
      </w:pPr>
      <w:r w:rsidRPr="00172A8F">
        <w:rPr>
          <w:rStyle w:val="FootnoteReference"/>
        </w:rPr>
        <w:footnoteRef/>
      </w:r>
      <w:r w:rsidRPr="00172A8F">
        <w:t xml:space="preserve"> 47 CFR § 90.723(f).  </w:t>
      </w:r>
    </w:p>
  </w:footnote>
  <w:footnote w:id="29">
    <w:p w:rsidR="009B2404" w:rsidRPr="00172A8F" w:rsidP="0082160A" w14:paraId="62DE8D45" w14:textId="49FE843D">
      <w:pPr>
        <w:pStyle w:val="FootnoteText"/>
      </w:pPr>
      <w:r w:rsidRPr="00172A8F">
        <w:rPr>
          <w:rStyle w:val="FootnoteReference"/>
        </w:rPr>
        <w:footnoteRef/>
      </w:r>
      <w:r w:rsidRPr="00172A8F">
        <w:t xml:space="preserve"> </w:t>
      </w:r>
      <w:r w:rsidRPr="00172A8F" w:rsidR="0023706A">
        <w:rPr>
          <w:i/>
          <w:iCs/>
        </w:rPr>
        <w:t>2015 Waiver Order</w:t>
      </w:r>
      <w:r w:rsidRPr="00172A8F" w:rsidR="0023706A">
        <w:t>, 30 FCC Rcd at 22</w:t>
      </w:r>
      <w:r w:rsidRPr="00172A8F" w:rsidR="00CF1818">
        <w:t>93,</w:t>
      </w:r>
      <w:r w:rsidRPr="00172A8F" w:rsidR="0023706A">
        <w:t xml:space="preserve"> para. </w:t>
      </w:r>
      <w:r w:rsidRPr="00172A8F" w:rsidR="00CF1818">
        <w:t>45.</w:t>
      </w:r>
      <w:r w:rsidRPr="00172A8F" w:rsidR="004505DD">
        <w:t xml:space="preserve">     </w:t>
      </w:r>
    </w:p>
  </w:footnote>
  <w:footnote w:id="30">
    <w:p w:rsidR="00C52319" w:rsidRPr="002731F0" w:rsidP="002731F0" w14:paraId="0E4C2D10" w14:textId="347331BB">
      <w:pPr>
        <w:pStyle w:val="FootnoteText"/>
      </w:pPr>
      <w:r w:rsidRPr="00172A8F">
        <w:rPr>
          <w:rStyle w:val="FootnoteReference"/>
        </w:rPr>
        <w:footnoteRef/>
      </w:r>
      <w:r w:rsidRPr="00172A8F">
        <w:t xml:space="preserve"> </w:t>
      </w:r>
      <w:r w:rsidRPr="002731F0" w:rsidR="004505DD">
        <w:t xml:space="preserve">Waiver Modification Request </w:t>
      </w:r>
      <w:r w:rsidRPr="002731F0">
        <w:t>at 9.</w:t>
      </w:r>
    </w:p>
  </w:footnote>
  <w:footnote w:id="31">
    <w:p w:rsidR="00C52319" w:rsidRPr="002731F0" w:rsidP="002731F0" w14:paraId="1B69810D" w14:textId="7015C9D5">
      <w:pPr>
        <w:pStyle w:val="FootnoteText"/>
      </w:pPr>
      <w:r w:rsidRPr="002731F0">
        <w:rPr>
          <w:rStyle w:val="FootnoteReference"/>
        </w:rPr>
        <w:footnoteRef/>
      </w:r>
      <w:r w:rsidRPr="002731F0">
        <w:t xml:space="preserve"> </w:t>
      </w:r>
      <w:r w:rsidRPr="002731F0">
        <w:rPr>
          <w:i/>
          <w:iCs/>
        </w:rPr>
        <w:t>Id</w:t>
      </w:r>
      <w:r w:rsidRPr="002731F0">
        <w:t>.</w:t>
      </w:r>
      <w:r w:rsidRPr="002731F0" w:rsidR="004505DD">
        <w:t xml:space="preserve"> </w:t>
      </w:r>
    </w:p>
  </w:footnote>
  <w:footnote w:id="32">
    <w:p w:rsidR="00A97348" w:rsidRPr="002731F0" w:rsidP="002731F0" w14:paraId="05F96A73" w14:textId="129A4086">
      <w:pPr>
        <w:pStyle w:val="FootnoteText"/>
      </w:pPr>
      <w:r w:rsidRPr="002731F0">
        <w:rPr>
          <w:rStyle w:val="FootnoteReference"/>
        </w:rPr>
        <w:footnoteRef/>
      </w:r>
      <w:r w:rsidRPr="002731F0">
        <w:t xml:space="preserve"> </w:t>
      </w:r>
      <w:r w:rsidRPr="002731F0" w:rsidR="00D70F39">
        <w:rPr>
          <w:i/>
          <w:iCs/>
        </w:rPr>
        <w:t>Id</w:t>
      </w:r>
      <w:r w:rsidRPr="002731F0" w:rsidR="00D70F39">
        <w:t>.</w:t>
      </w:r>
      <w:r w:rsidRPr="002731F0" w:rsidR="00B65396">
        <w:t>;</w:t>
      </w:r>
      <w:r w:rsidRPr="002731F0" w:rsidR="00907C60">
        <w:t xml:space="preserve"> </w:t>
      </w:r>
      <w:r w:rsidRPr="002731F0" w:rsidR="00E42311">
        <w:t>A</w:t>
      </w:r>
      <w:r w:rsidRPr="002731F0" w:rsidR="00E42311">
        <w:rPr>
          <w:i/>
          <w:iCs/>
        </w:rPr>
        <w:t xml:space="preserve">pplication of Thomas K. Kurian for Partitioning and Disaggregation of </w:t>
      </w:r>
      <w:r w:rsidRPr="002731F0" w:rsidR="00E42311">
        <w:rPr>
          <w:i/>
          <w:iCs/>
          <w:color w:val="000000"/>
        </w:rPr>
        <w:t>License</w:t>
      </w:r>
      <w:r w:rsidRPr="002731F0" w:rsidR="00E42311">
        <w:t xml:space="preserve"> f</w:t>
      </w:r>
      <w:r w:rsidRPr="002731F0" w:rsidR="00E42311">
        <w:rPr>
          <w:i/>
          <w:iCs/>
        </w:rPr>
        <w:t>or Automated Maritime Telecommunications System Station WQCP809 to PTC-220, LLC</w:t>
      </w:r>
      <w:r w:rsidRPr="002731F0" w:rsidR="00E42311">
        <w:t>, Order, 35 FCC Rcd 13105, 1311</w:t>
      </w:r>
      <w:r w:rsidRPr="002731F0" w:rsidR="00E61AF6">
        <w:t>0-11</w:t>
      </w:r>
      <w:r w:rsidRPr="002731F0" w:rsidR="00E42311">
        <w:t>, para. 18 (WTB MD 2020) (finding that “the proposed assignment of spectrum to enhance PTC and other rail safety systems will serve the public interest, convenience, and necessity”).</w:t>
      </w:r>
    </w:p>
  </w:footnote>
  <w:footnote w:id="33">
    <w:p w:rsidR="00E42311" w:rsidRPr="002731F0" w:rsidP="002731F0" w14:paraId="6612BE77" w14:textId="17F783F1">
      <w:pPr>
        <w:widowControl/>
        <w:spacing w:after="120"/>
        <w:rPr>
          <w:sz w:val="20"/>
        </w:rPr>
      </w:pPr>
      <w:r w:rsidRPr="002731F0">
        <w:rPr>
          <w:rStyle w:val="FootnoteReference"/>
        </w:rPr>
        <w:footnoteRef/>
      </w:r>
      <w:r w:rsidRPr="002731F0">
        <w:rPr>
          <w:sz w:val="20"/>
        </w:rPr>
        <w:t xml:space="preserve"> </w:t>
      </w:r>
      <w:r w:rsidRPr="002731F0">
        <w:rPr>
          <w:i/>
          <w:iCs/>
          <w:sz w:val="20"/>
        </w:rPr>
        <w:t>PTC-220, LLC for Modification of Licenses for Automated Maritime Telecommunications System Stations WRDI936, WRDH825, WRDH826, and WRDH972</w:t>
      </w:r>
      <w:r w:rsidRPr="002731F0">
        <w:rPr>
          <w:sz w:val="20"/>
        </w:rPr>
        <w:t>, Order, DA 21-1645, 2021 WL 6135309, *4</w:t>
      </w:r>
      <w:r w:rsidRPr="002731F0" w:rsidR="00E45332">
        <w:rPr>
          <w:sz w:val="20"/>
        </w:rPr>
        <w:t xml:space="preserve">-7, </w:t>
      </w:r>
      <w:r w:rsidRPr="002731F0">
        <w:rPr>
          <w:sz w:val="20"/>
        </w:rPr>
        <w:t>para</w:t>
      </w:r>
      <w:r w:rsidRPr="002731F0" w:rsidR="00AA57BF">
        <w:rPr>
          <w:sz w:val="20"/>
        </w:rPr>
        <w:t>s</w:t>
      </w:r>
      <w:r w:rsidRPr="002731F0">
        <w:rPr>
          <w:sz w:val="20"/>
        </w:rPr>
        <w:t>. 16</w:t>
      </w:r>
      <w:r w:rsidRPr="002731F0" w:rsidR="00E45332">
        <w:rPr>
          <w:sz w:val="20"/>
        </w:rPr>
        <w:t>, 20-27</w:t>
      </w:r>
      <w:r w:rsidRPr="002731F0">
        <w:rPr>
          <w:sz w:val="20"/>
        </w:rPr>
        <w:t xml:space="preserve"> (WTB MD rel. Dec. 27, 2021) (</w:t>
      </w:r>
      <w:r w:rsidRPr="002731F0">
        <w:rPr>
          <w:i/>
          <w:iCs/>
          <w:sz w:val="20"/>
        </w:rPr>
        <w:t>2021 AMTS Waiver Order</w:t>
      </w:r>
      <w:r w:rsidRPr="002731F0">
        <w:rPr>
          <w:sz w:val="20"/>
        </w:rPr>
        <w:t xml:space="preserve">).  In that </w:t>
      </w:r>
      <w:r w:rsidRPr="002731F0">
        <w:rPr>
          <w:i/>
          <w:iCs/>
          <w:sz w:val="20"/>
        </w:rPr>
        <w:t>Order</w:t>
      </w:r>
      <w:r w:rsidRPr="002731F0">
        <w:rPr>
          <w:sz w:val="20"/>
        </w:rPr>
        <w:t>, the Bureau waived the following rules to facilitate the deployment of PTC and other rail safety applications in the AMTS Ban</w:t>
      </w:r>
      <w:r w:rsidRPr="002731F0" w:rsidR="00BB7CF2">
        <w:rPr>
          <w:sz w:val="20"/>
        </w:rPr>
        <w:t>d:</w:t>
      </w:r>
      <w:r w:rsidRPr="002731F0" w:rsidR="00DA3304">
        <w:rPr>
          <w:sz w:val="20"/>
        </w:rPr>
        <w:t xml:space="preserve">  </w:t>
      </w:r>
      <w:r w:rsidRPr="002731F0" w:rsidR="004B3F63">
        <w:rPr>
          <w:color w:val="000000"/>
          <w:sz w:val="20"/>
        </w:rPr>
        <w:t xml:space="preserve">47 CFR </w:t>
      </w:r>
      <w:r w:rsidRPr="002731F0" w:rsidR="004B3F63">
        <w:rPr>
          <w:sz w:val="20"/>
        </w:rPr>
        <w:t xml:space="preserve">§§ </w:t>
      </w:r>
      <w:r w:rsidRPr="002731F0" w:rsidR="004B3F63">
        <w:rPr>
          <w:color w:val="000000"/>
          <w:sz w:val="20"/>
        </w:rPr>
        <w:t>80.92(a) (requiring a licensee to monitor a frequency before transmitting, except for</w:t>
      </w:r>
      <w:r w:rsidRPr="002731F0" w:rsidR="00DA3304">
        <w:rPr>
          <w:color w:val="000000"/>
          <w:sz w:val="20"/>
        </w:rPr>
        <w:t xml:space="preserve"> </w:t>
      </w:r>
      <w:r w:rsidRPr="002731F0" w:rsidR="00BB7CF2">
        <w:rPr>
          <w:sz w:val="20"/>
        </w:rPr>
        <w:t>distr</w:t>
      </w:r>
      <w:r w:rsidRPr="002731F0">
        <w:rPr>
          <w:color w:val="000000"/>
          <w:sz w:val="20"/>
        </w:rPr>
        <w:t>ess signals monitoring)</w:t>
      </w:r>
      <w:r w:rsidR="002F332B">
        <w:rPr>
          <w:color w:val="000000"/>
          <w:sz w:val="20"/>
        </w:rPr>
        <w:t>;</w:t>
      </w:r>
      <w:r w:rsidRPr="002731F0">
        <w:rPr>
          <w:color w:val="000000"/>
          <w:sz w:val="20"/>
        </w:rPr>
        <w:t xml:space="preserve"> 80.105 (requiring coast stations to receive calls from ship and aircraft stations); 80.106 (requiring a coast station to receive communications from mobile stations and to transmit communications delivered to it, which are directed to mobile stations); 80.123(a) (requiring an AMTS land station to secure a letter authorizing the land station to communicate with a coast station); 80.123(b) (requiring coast stations to afford priority to marine-originating communications); 80.123(f) (providing that AMTS land stations may only communicate with public coast stations); 80.215(h)(5) (requiring coast stations’ transmitter power, as measured at the input terminals to the station antenna, to be 50 watts or less); and 80.385(a)(2) (dividing the AMTS Band into coast (base) station frequencies (217-218 MHz) and ship (mobile) station frequencies (219-220 MHz)). </w:t>
      </w:r>
    </w:p>
  </w:footnote>
  <w:footnote w:id="34">
    <w:p w:rsidR="00943C16" w:rsidRPr="002731F0" w:rsidP="002731F0" w14:paraId="7E7CC691" w14:textId="1134DC06">
      <w:pPr>
        <w:pStyle w:val="FootnoteText"/>
      </w:pPr>
      <w:r w:rsidRPr="002731F0">
        <w:rPr>
          <w:rStyle w:val="FootnoteReference"/>
        </w:rPr>
        <w:footnoteRef/>
      </w:r>
      <w:r w:rsidRPr="002731F0">
        <w:t xml:space="preserve"> </w:t>
      </w:r>
      <w:r w:rsidRPr="002731F0" w:rsidR="001A4F5B">
        <w:rPr>
          <w:i/>
          <w:iCs/>
        </w:rPr>
        <w:t>See, e.g.</w:t>
      </w:r>
      <w:r w:rsidRPr="00D4217A" w:rsidR="001A4F5B">
        <w:t>,</w:t>
      </w:r>
      <w:r w:rsidRPr="002731F0" w:rsidR="001A4F5B">
        <w:t xml:space="preserve"> </w:t>
      </w:r>
      <w:r w:rsidRPr="002731F0" w:rsidR="00191E13">
        <w:t>Waiver Modification Request</w:t>
      </w:r>
      <w:r w:rsidRPr="002731F0" w:rsidR="001A4F5B">
        <w:t xml:space="preserve"> at 5</w:t>
      </w:r>
      <w:r w:rsidRPr="002731F0">
        <w:t>.  In the short term, PTC-220</w:t>
      </w:r>
      <w:r w:rsidR="00C44003">
        <w:t>’</w:t>
      </w:r>
      <w:r w:rsidRPr="002731F0">
        <w:t xml:space="preserve">s member railroads are using AMTS spectrum to implement two additional PTC common channels; locomotive radios use these channels to attach to PTC base stations and receive instructions regarding the proper frequency to use in an area, thereby improving system reliability and safety.  </w:t>
      </w:r>
      <w:r w:rsidRPr="002731F0" w:rsidR="006424B6">
        <w:rPr>
          <w:i/>
          <w:iCs/>
        </w:rPr>
        <w:t xml:space="preserve">David Martin, Esq., </w:t>
      </w:r>
      <w:r w:rsidRPr="002731F0">
        <w:rPr>
          <w:i/>
          <w:iCs/>
        </w:rPr>
        <w:t>PTC-220 LLC, Call Sign WRKK374</w:t>
      </w:r>
      <w:r w:rsidRPr="002731F0">
        <w:t xml:space="preserve">, Letter </w:t>
      </w:r>
      <w:r w:rsidR="0034745A">
        <w:t>Order</w:t>
      </w:r>
      <w:r w:rsidRPr="002731F0">
        <w:t xml:space="preserve">, </w:t>
      </w:r>
      <w:r w:rsidR="0034745A">
        <w:t xml:space="preserve">36 FCC Rcd 17160, </w:t>
      </w:r>
      <w:r w:rsidR="00C4403A">
        <w:t xml:space="preserve">17162 </w:t>
      </w:r>
      <w:r w:rsidRPr="002731F0">
        <w:t xml:space="preserve">(WTB MD 2021).  In the long </w:t>
      </w:r>
      <w:r w:rsidR="00BE44FA">
        <w:t>term</w:t>
      </w:r>
      <w:r w:rsidRPr="002731F0">
        <w:t>, PTC-220</w:t>
      </w:r>
      <w:r w:rsidR="00BE44FA">
        <w:t xml:space="preserve"> also</w:t>
      </w:r>
      <w:r w:rsidRPr="002731F0">
        <w:t xml:space="preserve"> intends to leverage the AMTS spectrum to support:  (1) other railroad safety applications, including End-of-Train devices and distributed power systems; and (2) future safety-related applications, such as improvements to the monitoring of grade crossing equipment.  </w:t>
      </w:r>
      <w:r w:rsidRPr="002731F0">
        <w:rPr>
          <w:i/>
          <w:iCs/>
        </w:rPr>
        <w:t>2021 AMTS Waiver Order</w:t>
      </w:r>
      <w:r w:rsidRPr="002731F0">
        <w:t>, 2021 WL 6135309, *2</w:t>
      </w:r>
      <w:r w:rsidRPr="002731F0" w:rsidR="006B1F66">
        <w:t>,</w:t>
      </w:r>
      <w:r w:rsidRPr="002731F0">
        <w:t xml:space="preserve"> para. 8 (noting that the railroads will deploy AMTS spectrum to support both PTC and other “train control safety applications, including End-of-Train devices and distributed power systems”).</w:t>
      </w:r>
    </w:p>
  </w:footnote>
  <w:footnote w:id="35">
    <w:p w:rsidR="00A1103B" w:rsidRPr="006B68D9" w:rsidP="0082160A" w14:paraId="51F94CE7" w14:textId="65D739FE">
      <w:pPr>
        <w:pStyle w:val="FootnoteText"/>
      </w:pPr>
      <w:r w:rsidRPr="00172A8F">
        <w:rPr>
          <w:rStyle w:val="FootnoteReference"/>
        </w:rPr>
        <w:footnoteRef/>
      </w:r>
      <w:r w:rsidRPr="00172A8F">
        <w:t xml:space="preserve"> 47 CFR § 1.925(b)(3).</w:t>
      </w:r>
      <w:r w:rsidRPr="006B68D9" w:rsidR="00DD5C1A">
        <w:t xml:space="preserve">  </w:t>
      </w:r>
    </w:p>
  </w:footnote>
  <w:footnote w:id="36">
    <w:p w:rsidR="00C37453" w:rsidRPr="006B68D9" w:rsidP="0082160A" w14:paraId="7DF5CDC6" w14:textId="5195291A">
      <w:pPr>
        <w:pStyle w:val="FootnoteText"/>
      </w:pPr>
      <w:r w:rsidRPr="00172A8F">
        <w:rPr>
          <w:rStyle w:val="FootnoteReference"/>
        </w:rPr>
        <w:footnoteRef/>
      </w:r>
      <w:r w:rsidRPr="00172A8F">
        <w:t xml:space="preserve"> 47 CFR § 1.3.</w:t>
      </w:r>
    </w:p>
  </w:footnote>
  <w:footnote w:id="37">
    <w:p w:rsidR="00AA2E0F" w:rsidRPr="00172A8F" w:rsidP="0082160A" w14:paraId="43F7E09A" w14:textId="0D965AB0">
      <w:pPr>
        <w:pStyle w:val="FootnoteText"/>
      </w:pPr>
      <w:r w:rsidRPr="00172A8F">
        <w:rPr>
          <w:rStyle w:val="FootnoteReference"/>
        </w:rPr>
        <w:footnoteRef/>
      </w:r>
      <w:r w:rsidRPr="00172A8F">
        <w:t xml:space="preserve"> </w:t>
      </w:r>
      <w:r w:rsidRPr="006B68D9" w:rsidR="00191E13">
        <w:t>Waiver Modification Request</w:t>
      </w:r>
      <w:r w:rsidRPr="006B68D9">
        <w:t xml:space="preserve"> </w:t>
      </w:r>
      <w:r w:rsidRPr="00172A8F">
        <w:t>at 21 (noting that “as of November 2020, PTC has been fully implemented across the country, with 3,439 PTC base stations and over 28,000 wayside stations”).</w:t>
      </w:r>
    </w:p>
  </w:footnote>
  <w:footnote w:id="38">
    <w:p w:rsidR="00AA2E0F" w:rsidRPr="00172A8F" w:rsidP="0082160A" w14:paraId="17704CD0" w14:textId="1EEDC62A">
      <w:pPr>
        <w:pStyle w:val="FootnoteText"/>
      </w:pPr>
      <w:r w:rsidRPr="00172A8F">
        <w:rPr>
          <w:rStyle w:val="FootnoteReference"/>
        </w:rPr>
        <w:footnoteRef/>
      </w:r>
      <w:r w:rsidRPr="00172A8F">
        <w:t xml:space="preserve"> </w:t>
      </w:r>
      <w:bookmarkStart w:id="106" w:name="_Hlk116392909"/>
      <w:r w:rsidRPr="006B68D9" w:rsidR="00F84C2D">
        <w:t xml:space="preserve">FRA PTC Overview, </w:t>
      </w:r>
      <w:r w:rsidRPr="006B68D9" w:rsidR="00F84C2D">
        <w:rPr>
          <w:i/>
          <w:iCs/>
        </w:rPr>
        <w:t>supra</w:t>
      </w:r>
      <w:r w:rsidRPr="006B68D9" w:rsidR="00F84C2D">
        <w:t xml:space="preserve"> </w:t>
      </w:r>
      <w:r w:rsidRPr="00534E7C" w:rsidR="00F84C2D">
        <w:t xml:space="preserve">note 9.  </w:t>
      </w:r>
      <w:bookmarkEnd w:id="106"/>
      <w:r w:rsidRPr="00534E7C" w:rsidR="00626AE7">
        <w:t>The FRA stated that PTC was operative “on all 57,536 required freight and passenger railroad route miles,”</w:t>
      </w:r>
      <w:r w:rsidR="00794DFC">
        <w:t xml:space="preserve"> </w:t>
      </w:r>
      <w:r w:rsidRPr="00534E7C" w:rsidR="00626AE7">
        <w:t>and that the railroads had achieved interoperability “between each applicable host and tenant railroad that currently operates on PTC-governed main l</w:t>
      </w:r>
      <w:r w:rsidRPr="00172A8F" w:rsidR="00626AE7">
        <w:t xml:space="preserve">ines.”  </w:t>
      </w:r>
      <w:r w:rsidRPr="00172A8F" w:rsidR="00626AE7">
        <w:rPr>
          <w:i/>
          <w:iCs/>
        </w:rPr>
        <w:t>Id</w:t>
      </w:r>
      <w:r w:rsidRPr="00172A8F" w:rsidR="00626AE7">
        <w:t>.</w:t>
      </w:r>
    </w:p>
  </w:footnote>
  <w:footnote w:id="39">
    <w:p w:rsidR="006E5DA2" w14:paraId="58AF9D60" w14:textId="5EABD52B">
      <w:pPr>
        <w:pStyle w:val="FootnoteText"/>
      </w:pPr>
      <w:r>
        <w:rPr>
          <w:rStyle w:val="FootnoteReference"/>
        </w:rPr>
        <w:footnoteRef/>
      </w:r>
      <w:r>
        <w:t xml:space="preserve"> Waiver Modification Request at 2</w:t>
      </w:r>
      <w:r w:rsidR="00CF6818">
        <w:t>, 22.</w:t>
      </w:r>
    </w:p>
  </w:footnote>
  <w:footnote w:id="40">
    <w:p w:rsidR="00F573B9" w:rsidRPr="00172A8F" w:rsidP="0082160A" w14:paraId="11FCFD3B" w14:textId="0DB6C6BA">
      <w:pPr>
        <w:pStyle w:val="FootnoteText"/>
      </w:pPr>
      <w:r w:rsidRPr="00172A8F">
        <w:rPr>
          <w:rStyle w:val="FootnoteReference"/>
        </w:rPr>
        <w:footnoteRef/>
      </w:r>
      <w:r w:rsidRPr="00172A8F">
        <w:t xml:space="preserve"> </w:t>
      </w:r>
      <w:r w:rsidRPr="00F71000" w:rsidR="00F71000">
        <w:rPr>
          <w:i/>
          <w:iCs/>
        </w:rPr>
        <w:t>Id</w:t>
      </w:r>
      <w:r w:rsidR="00F71000">
        <w:t xml:space="preserve">. </w:t>
      </w:r>
      <w:r w:rsidRPr="00172A8F">
        <w:t>a</w:t>
      </w:r>
      <w:r w:rsidR="00F71000">
        <w:t>t</w:t>
      </w:r>
      <w:r w:rsidRPr="00172A8F">
        <w:t xml:space="preserve"> </w:t>
      </w:r>
      <w:r w:rsidR="001066FF">
        <w:t>6.</w:t>
      </w:r>
    </w:p>
  </w:footnote>
  <w:footnote w:id="41">
    <w:p w:rsidR="00A8464D" w:rsidRPr="00172A8F" w:rsidP="00A8464D" w14:paraId="10D83181" w14:textId="5C065896">
      <w:pPr>
        <w:pStyle w:val="FootnoteText"/>
      </w:pPr>
      <w:r w:rsidRPr="00172A8F">
        <w:rPr>
          <w:rStyle w:val="FootnoteReference"/>
        </w:rPr>
        <w:footnoteRef/>
      </w:r>
      <w:r w:rsidRPr="00172A8F">
        <w:t xml:space="preserve"> </w:t>
      </w:r>
      <w:r w:rsidRPr="00172A8F" w:rsidR="00EF649A">
        <w:t>As noted above, i</w:t>
      </w:r>
      <w:r w:rsidRPr="00172A8F">
        <w:t xml:space="preserve">n the </w:t>
      </w:r>
      <w:r w:rsidRPr="00172A8F">
        <w:rPr>
          <w:i/>
          <w:iCs/>
        </w:rPr>
        <w:t>2015 Waiver Order</w:t>
      </w:r>
      <w:r w:rsidRPr="00172A8F">
        <w:t xml:space="preserve">, the Bureau emphasized that the waiver of sections 90.723(f) (coordination requirements) and 90.729(b) (antenna height and power limits) was “inseparably tied” to the PTC mandate and specifically “limit[ed] the relief to PTC systems.”  </w:t>
      </w:r>
      <w:r w:rsidRPr="00172A8F">
        <w:rPr>
          <w:i/>
          <w:iCs/>
        </w:rPr>
        <w:t>2015 Waiver Order</w:t>
      </w:r>
      <w:r w:rsidRPr="00172A8F">
        <w:t xml:space="preserve"> 30 FCC Rcd at 2293, para. 45.  </w:t>
      </w:r>
    </w:p>
  </w:footnote>
  <w:footnote w:id="42">
    <w:p w:rsidR="00AC00D5" w:rsidRPr="002A5A17" w14:paraId="6080BFA4" w14:textId="77187702">
      <w:pPr>
        <w:pStyle w:val="FootnoteText"/>
        <w:rPr>
          <w:color w:val="FF0000"/>
        </w:rPr>
      </w:pPr>
      <w:r>
        <w:rPr>
          <w:rStyle w:val="FootnoteReference"/>
        </w:rPr>
        <w:footnoteRef/>
      </w:r>
      <w:r>
        <w:t xml:space="preserve"> </w:t>
      </w:r>
      <w:bookmarkStart w:id="108" w:name="_Hlk132120484"/>
      <w:r w:rsidRPr="004861FA" w:rsidR="004861FA">
        <w:t>PTC-220 may lease or assign its 220 MHz spectrum with associated rule waivers for PTC use and, if there is sufficient excess capacity, for non-PTC rail safety applications.  PTC-220 also may lease or assign its 220 MHz spectrum without associated rule waivers for other purposes (such as utility operations), but only upon an affirmative showing that the spectrum is unnecessary for PTC or another rail safety application, including prospectively.  Thus, for example, PTC-220 may not lease or assign for utility operations any spectrum that could be used for future deployment of PTC on a currently non-PTC equipped rail line or future deployment of a non-PTC rail safety application (such as grade crossing control) on any rail line.  A third party seeking to acquire PTC-220’s 220 MHz spectrum for a purpose other than PTC or a non-PTC rail safety application may request and separately justify waiver relief; we will evaluate waiver requests case by case on their merits.</w:t>
      </w:r>
    </w:p>
    <w:bookmarkEnd w:id="108"/>
  </w:footnote>
  <w:footnote w:id="43">
    <w:p w:rsidR="0002437E" w:rsidRPr="00172A8F" w:rsidP="0002437E" w14:paraId="159EFD6F" w14:textId="7DF78E79">
      <w:pPr>
        <w:pStyle w:val="FootnoteText"/>
      </w:pPr>
      <w:r w:rsidRPr="00172A8F">
        <w:rPr>
          <w:rStyle w:val="FootnoteReference"/>
        </w:rPr>
        <w:footnoteRef/>
      </w:r>
      <w:r w:rsidRPr="00172A8F">
        <w:t xml:space="preserve"> Waiver Modification Request at 2</w:t>
      </w:r>
      <w:r w:rsidRPr="006B68D9" w:rsidR="004B54D8">
        <w:t>-3</w:t>
      </w:r>
      <w:r w:rsidRPr="006B68D9">
        <w:t>.  PTC-220 argues that, conversely, maintaining the PTC-only restriction is tantamount to legacy “command</w:t>
      </w:r>
      <w:r w:rsidRPr="00172A8F">
        <w:t xml:space="preserve"> and control” regulation, which the Commission has abandoned in favor of flexible use policies.  </w:t>
      </w:r>
      <w:r w:rsidRPr="00172A8F">
        <w:rPr>
          <w:i/>
          <w:iCs/>
        </w:rPr>
        <w:t>Id.</w:t>
      </w:r>
      <w:r w:rsidRPr="00172A8F">
        <w:t xml:space="preserve"> (citing FCC, </w:t>
      </w:r>
      <w:r w:rsidRPr="00172A8F">
        <w:rPr>
          <w:i/>
          <w:iCs/>
        </w:rPr>
        <w:t>Connecting America:  The National Broadband Plan</w:t>
      </w:r>
      <w:r w:rsidRPr="00172A8F">
        <w:t>, at 78 (2010)</w:t>
      </w:r>
      <w:r w:rsidRPr="00172A8F" w:rsidR="007823EA">
        <w:t>)</w:t>
      </w:r>
      <w:r w:rsidRPr="00172A8F">
        <w:t xml:space="preserve">, </w:t>
      </w:r>
      <w:r w:rsidRPr="00172A8F" w:rsidR="007823EA">
        <w:rPr>
          <w:i/>
          <w:iCs/>
        </w:rPr>
        <w:t>available at</w:t>
      </w:r>
      <w:r w:rsidRPr="00172A8F" w:rsidR="007823EA">
        <w:t xml:space="preserve"> </w:t>
      </w:r>
      <w:hyperlink r:id="rId5" w:history="1">
        <w:r w:rsidRPr="006B68D9" w:rsidR="007823EA">
          <w:rPr>
            <w:rStyle w:val="Hyperlink"/>
          </w:rPr>
          <w:t>https://bit.ly/3tu9tVo</w:t>
        </w:r>
      </w:hyperlink>
      <w:r w:rsidRPr="00172A8F">
        <w:t>.</w:t>
      </w:r>
      <w:r w:rsidRPr="006B68D9">
        <w:t xml:space="preserve">  While PTC-220 has acquired AMTS Band spectrum across much of the country, there remain large areas where it has been unable to acquire AMTS Band spectrum on the secondary market.  Waiver Modification Request at 9.  PTC-220 does, however, have 220 MHz Ban</w:t>
      </w:r>
      <w:r w:rsidRPr="00172A8F">
        <w:t xml:space="preserve">d coverage in areas where it lacks AMTS coverage.  Grant of the 220 MHz Band waiver relief requested here, PTC-220 asserts, therefore will ensure that there are no areas where railroads are unable to deploy rail safety applications because of PTC-220’s limited AMTS coverage.  </w:t>
      </w:r>
      <w:r w:rsidRPr="00172A8F">
        <w:rPr>
          <w:i/>
          <w:iCs/>
        </w:rPr>
        <w:t>Id.</w:t>
      </w:r>
      <w:r w:rsidRPr="00172A8F">
        <w:t xml:space="preserve"> at 18</w:t>
      </w:r>
      <w:r w:rsidRPr="00172A8F" w:rsidR="004B54D8">
        <w:t>-19.</w:t>
      </w:r>
    </w:p>
  </w:footnote>
  <w:footnote w:id="44">
    <w:p w:rsidR="00AF04C3" w:rsidRPr="00172A8F" w:rsidP="0082160A" w14:paraId="48B52015" w14:textId="009C6E2A">
      <w:pPr>
        <w:pStyle w:val="FootnoteText"/>
      </w:pPr>
      <w:r w:rsidRPr="00172A8F">
        <w:rPr>
          <w:rStyle w:val="FootnoteReference"/>
        </w:rPr>
        <w:footnoteRef/>
      </w:r>
      <w:r w:rsidRPr="00172A8F">
        <w:t xml:space="preserve"> </w:t>
      </w:r>
      <w:bookmarkStart w:id="129" w:name="_Hlk116393843"/>
      <w:r w:rsidRPr="006B68D9" w:rsidR="003B542A">
        <w:t xml:space="preserve">AAR, </w:t>
      </w:r>
      <w:r w:rsidRPr="006B68D9">
        <w:rPr>
          <w:i/>
          <w:iCs/>
        </w:rPr>
        <w:t>Understanding Intercity Passenger, Commuter &amp; Freight Railroads</w:t>
      </w:r>
      <w:r w:rsidRPr="00534E7C" w:rsidR="003B542A">
        <w:t>,</w:t>
      </w:r>
      <w:r w:rsidRPr="00534E7C">
        <w:t xml:space="preserve"> </w:t>
      </w:r>
      <w:hyperlink r:id="rId6" w:history="1">
        <w:r w:rsidRPr="006B68D9" w:rsidR="005927A7">
          <w:rPr>
            <w:rStyle w:val="Hyperlink"/>
          </w:rPr>
          <w:t>https://www.aar.org/integrated-rail-network</w:t>
        </w:r>
      </w:hyperlink>
      <w:r w:rsidRPr="00172A8F">
        <w:t xml:space="preserve"> (last visited </w:t>
      </w:r>
      <w:r w:rsidRPr="006B68D9" w:rsidR="002B4EA9">
        <w:t>Jan. 26, 2023</w:t>
      </w:r>
      <w:r w:rsidRPr="00172A8F">
        <w:t xml:space="preserve">).  </w:t>
      </w:r>
      <w:bookmarkEnd w:id="129"/>
      <w:r w:rsidRPr="00172A8F">
        <w:t xml:space="preserve">Approximately 630 short line railroads (Class II and III railroads) operate over approximately 45,000 route miles in 49 states.  </w:t>
      </w:r>
      <w:r w:rsidRPr="00172A8F">
        <w:rPr>
          <w:i/>
          <w:iCs/>
        </w:rPr>
        <w:t>Id</w:t>
      </w:r>
      <w:r w:rsidRPr="00172A8F">
        <w:t>.  For large areas of the country and particularly for small town rural America, short line rail service connects farmers and businesses to the national railroad network.</w:t>
      </w:r>
      <w:r w:rsidRPr="00172A8F" w:rsidR="004A760F">
        <w:t xml:space="preserve"> </w:t>
      </w:r>
      <w:r w:rsidRPr="00172A8F">
        <w:t xml:space="preserve"> </w:t>
      </w:r>
      <w:r w:rsidRPr="00172A8F">
        <w:rPr>
          <w:i/>
          <w:iCs/>
        </w:rPr>
        <w:t>Id</w:t>
      </w:r>
      <w:r w:rsidRPr="00172A8F">
        <w:t>.</w:t>
      </w:r>
    </w:p>
  </w:footnote>
  <w:footnote w:id="45">
    <w:p w:rsidR="00AF04C3" w:rsidRPr="006B68D9" w:rsidP="0082160A" w14:paraId="679CA2FD" w14:textId="714AF1AD">
      <w:pPr>
        <w:pStyle w:val="FootnoteText"/>
      </w:pPr>
      <w:r w:rsidRPr="00172A8F">
        <w:rPr>
          <w:rStyle w:val="FootnoteReference"/>
        </w:rPr>
        <w:footnoteRef/>
      </w:r>
      <w:r w:rsidRPr="00172A8F">
        <w:t xml:space="preserve"> </w:t>
      </w:r>
      <w:r w:rsidRPr="006B68D9">
        <w:rPr>
          <w:i/>
          <w:iCs/>
        </w:rPr>
        <w:t>Id</w:t>
      </w:r>
      <w:r w:rsidRPr="006B68D9">
        <w:t>.</w:t>
      </w:r>
    </w:p>
  </w:footnote>
  <w:footnote w:id="46">
    <w:p w:rsidR="004315E1" w:rsidRPr="006B68D9" w:rsidP="0082160A" w14:paraId="5AE4AA3E" w14:textId="6521B481">
      <w:pPr>
        <w:pStyle w:val="FootnoteText"/>
      </w:pPr>
      <w:r w:rsidRPr="00172A8F">
        <w:rPr>
          <w:rStyle w:val="FootnoteReference"/>
        </w:rPr>
        <w:footnoteRef/>
      </w:r>
      <w:r w:rsidRPr="00172A8F">
        <w:t xml:space="preserve"> </w:t>
      </w:r>
      <w:r w:rsidRPr="006B68D9" w:rsidR="00191E13">
        <w:t>Waiver Modification Request</w:t>
      </w:r>
      <w:r w:rsidRPr="006B68D9">
        <w:t>, Appendix A.</w:t>
      </w:r>
    </w:p>
  </w:footnote>
  <w:footnote w:id="47">
    <w:p w:rsidR="001A1A49" w:rsidRPr="00172A8F" w:rsidP="0082160A" w14:paraId="31F98D40" w14:textId="2F6293C1">
      <w:pPr>
        <w:pStyle w:val="FootnoteText"/>
      </w:pPr>
      <w:r w:rsidRPr="00172A8F">
        <w:rPr>
          <w:rStyle w:val="FootnoteReference"/>
        </w:rPr>
        <w:footnoteRef/>
      </w:r>
      <w:r w:rsidRPr="00172A8F">
        <w:t xml:space="preserve"> PTC-220 </w:t>
      </w:r>
      <w:r w:rsidRPr="006B68D9" w:rsidR="00B65396">
        <w:t>asserts</w:t>
      </w:r>
      <w:r w:rsidRPr="00172A8F">
        <w:t xml:space="preserve"> that although a waiver modification may not be needed to deploy safety applications that are integrated into a PTC system, modification would still be needed to permit deployment of these applications on lines that are not equipped with PTC.  </w:t>
      </w:r>
      <w:r w:rsidRPr="00172A8F">
        <w:rPr>
          <w:i/>
          <w:iCs/>
        </w:rPr>
        <w:t>Id</w:t>
      </w:r>
      <w:r w:rsidRPr="00172A8F">
        <w:t xml:space="preserve">. at </w:t>
      </w:r>
      <w:r w:rsidRPr="00172A8F" w:rsidR="00F4202C">
        <w:t xml:space="preserve">3, </w:t>
      </w:r>
      <w:r w:rsidRPr="00172A8F">
        <w:t>15</w:t>
      </w:r>
      <w:r w:rsidR="00D15286">
        <w:t>.</w:t>
      </w:r>
    </w:p>
  </w:footnote>
  <w:footnote w:id="48">
    <w:p w:rsidR="00AF04C3" w:rsidRPr="006B68D9" w:rsidP="0082160A" w14:paraId="62FECAF4" w14:textId="4D103B6F">
      <w:pPr>
        <w:pStyle w:val="FootnoteText"/>
      </w:pPr>
      <w:r w:rsidRPr="00172A8F">
        <w:rPr>
          <w:rStyle w:val="FootnoteReference"/>
        </w:rPr>
        <w:footnoteRef/>
      </w:r>
      <w:r w:rsidRPr="00172A8F">
        <w:t xml:space="preserve"> </w:t>
      </w:r>
      <w:r w:rsidRPr="00342675" w:rsidR="00342675">
        <w:rPr>
          <w:i/>
          <w:iCs/>
        </w:rPr>
        <w:t>Id</w:t>
      </w:r>
      <w:r w:rsidR="00342675">
        <w:t>.</w:t>
      </w:r>
      <w:r w:rsidRPr="006B68D9">
        <w:t xml:space="preserve"> at 20.  </w:t>
      </w:r>
    </w:p>
  </w:footnote>
  <w:footnote w:id="49">
    <w:p w:rsidR="00AC29E7" w:rsidRPr="006B68D9" w:rsidP="0082160A" w14:paraId="744C2C6C" w14:textId="4500389E">
      <w:pPr>
        <w:pStyle w:val="FootnoteText"/>
      </w:pPr>
      <w:r w:rsidRPr="00172A8F">
        <w:rPr>
          <w:rStyle w:val="FootnoteReference"/>
        </w:rPr>
        <w:footnoteRef/>
      </w:r>
      <w:r w:rsidRPr="00172A8F">
        <w:t xml:space="preserve"> </w:t>
      </w:r>
      <w:r w:rsidRPr="00342675" w:rsidR="00342675">
        <w:rPr>
          <w:i/>
          <w:iCs/>
        </w:rPr>
        <w:t>Id</w:t>
      </w:r>
      <w:r w:rsidR="00342675">
        <w:t>.</w:t>
      </w:r>
      <w:r w:rsidRPr="006B68D9" w:rsidR="00342675">
        <w:t xml:space="preserve"> </w:t>
      </w:r>
      <w:r w:rsidRPr="006B68D9" w:rsidR="005A71BD">
        <w:t>at 18.</w:t>
      </w:r>
    </w:p>
  </w:footnote>
  <w:footnote w:id="50">
    <w:p w:rsidR="00B13E12" w:rsidRPr="00172A8F" w:rsidP="0082160A" w14:paraId="560CED02" w14:textId="5880B8B4">
      <w:pPr>
        <w:pStyle w:val="FootnoteText"/>
      </w:pPr>
      <w:r w:rsidRPr="00172A8F">
        <w:rPr>
          <w:rStyle w:val="FootnoteReference"/>
        </w:rPr>
        <w:footnoteRef/>
      </w:r>
      <w:r w:rsidRPr="00172A8F">
        <w:t xml:space="preserve"> </w:t>
      </w:r>
      <w:r w:rsidRPr="006B68D9" w:rsidR="00191E13">
        <w:t>Waiver Modification Request Supplement</w:t>
      </w:r>
      <w:r w:rsidRPr="006B68D9">
        <w:t xml:space="preserve"> at</w:t>
      </w:r>
      <w:r w:rsidRPr="006B68D9" w:rsidR="00852251">
        <w:t xml:space="preserve"> 2 (</w:t>
      </w:r>
      <w:r w:rsidRPr="006B68D9" w:rsidR="005927A7">
        <w:t xml:space="preserve">asserting that </w:t>
      </w:r>
      <w:r w:rsidRPr="00534E7C" w:rsidR="00852251">
        <w:t>“these benefits will inure not only to PTC-220, which can more efficiently enable the safety applications on its network, but also to the dozens of freight, passenger, and commuter railr</w:t>
      </w:r>
      <w:r w:rsidRPr="00172A8F" w:rsidR="00852251">
        <w:t>oads across the United States that lease the spectrum and will utilize those safety applications to protect property and passengers’ lives”).</w:t>
      </w:r>
    </w:p>
  </w:footnote>
  <w:footnote w:id="51">
    <w:p w:rsidR="00B13E12" w:rsidRPr="006B68D9" w:rsidP="00F902A4" w14:paraId="566E8923" w14:textId="531EF6DE">
      <w:pPr>
        <w:pStyle w:val="FootnoteText"/>
      </w:pPr>
      <w:r w:rsidRPr="00172A8F">
        <w:rPr>
          <w:rStyle w:val="FootnoteReference"/>
        </w:rPr>
        <w:footnoteRef/>
      </w:r>
      <w:r w:rsidRPr="00172A8F">
        <w:t xml:space="preserve"> </w:t>
      </w:r>
      <w:r w:rsidRPr="006B68D9" w:rsidR="00191E13">
        <w:t>Waiver Modification Request</w:t>
      </w:r>
      <w:r w:rsidRPr="006B68D9">
        <w:t xml:space="preserve"> at 14-18.  </w:t>
      </w:r>
    </w:p>
  </w:footnote>
  <w:footnote w:id="52">
    <w:p w:rsidR="00521833" w:rsidRPr="006B68D9" w:rsidP="00F902A4" w14:paraId="3F987AF4" w14:textId="1211BB55">
      <w:pPr>
        <w:pStyle w:val="FootnoteText"/>
      </w:pPr>
      <w:r w:rsidRPr="00172A8F">
        <w:rPr>
          <w:rStyle w:val="FootnoteReference"/>
        </w:rPr>
        <w:footnoteRef/>
      </w:r>
      <w:r w:rsidRPr="00172A8F">
        <w:t xml:space="preserve"> </w:t>
      </w:r>
      <w:r w:rsidRPr="00342675" w:rsidR="004126B3">
        <w:rPr>
          <w:i/>
          <w:iCs/>
        </w:rPr>
        <w:t>Id</w:t>
      </w:r>
      <w:r w:rsidR="004126B3">
        <w:t>.</w:t>
      </w:r>
      <w:r w:rsidRPr="006B68D9" w:rsidR="004126B3">
        <w:t xml:space="preserve"> </w:t>
      </w:r>
      <w:r w:rsidRPr="006B68D9" w:rsidR="005A71BD">
        <w:t>at 17.</w:t>
      </w:r>
    </w:p>
  </w:footnote>
  <w:footnote w:id="53">
    <w:p w:rsidR="00BC5B92" w:rsidRPr="006B68D9" w:rsidP="00F902A4" w14:paraId="7E4A7F07" w14:textId="3FF62D7E">
      <w:pPr>
        <w:pStyle w:val="FootnoteText"/>
      </w:pPr>
      <w:r w:rsidRPr="00172A8F">
        <w:rPr>
          <w:rStyle w:val="FootnoteReference"/>
        </w:rPr>
        <w:footnoteRef/>
      </w:r>
      <w:r w:rsidRPr="00172A8F">
        <w:t xml:space="preserve"> </w:t>
      </w:r>
      <w:r w:rsidRPr="00342675" w:rsidR="00FD22C8">
        <w:rPr>
          <w:i/>
          <w:iCs/>
        </w:rPr>
        <w:t>Id</w:t>
      </w:r>
      <w:r w:rsidR="00FD22C8">
        <w:t>.</w:t>
      </w:r>
      <w:r w:rsidRPr="006B68D9" w:rsidR="00FD22C8">
        <w:t xml:space="preserve"> </w:t>
      </w:r>
      <w:r w:rsidRPr="006B68D9">
        <w:t>at 15-16.</w:t>
      </w:r>
    </w:p>
  </w:footnote>
  <w:footnote w:id="54">
    <w:p w:rsidR="00DB6308" w:rsidRPr="006B68D9" w:rsidP="00F902A4" w14:paraId="2496D63F" w14:textId="363D3937">
      <w:pPr>
        <w:pStyle w:val="FootnoteText"/>
      </w:pPr>
      <w:r w:rsidRPr="00172A8F">
        <w:rPr>
          <w:rStyle w:val="FootnoteReference"/>
        </w:rPr>
        <w:footnoteRef/>
      </w:r>
      <w:r w:rsidRPr="00172A8F">
        <w:t xml:space="preserve"> </w:t>
      </w:r>
      <w:r w:rsidRPr="00342675" w:rsidR="00FD22C8">
        <w:rPr>
          <w:i/>
          <w:iCs/>
        </w:rPr>
        <w:t>Id</w:t>
      </w:r>
      <w:r w:rsidR="00FD22C8">
        <w:t>.</w:t>
      </w:r>
      <w:r w:rsidRPr="006B68D9" w:rsidR="00FD22C8">
        <w:t xml:space="preserve"> </w:t>
      </w:r>
      <w:r w:rsidRPr="006B68D9">
        <w:t>at 15.</w:t>
      </w:r>
    </w:p>
  </w:footnote>
  <w:footnote w:id="55">
    <w:p w:rsidR="009A4CDA" w:rsidRPr="00CE2CE3" w:rsidP="00172A8F" w14:paraId="77475573" w14:textId="040C8898">
      <w:pPr>
        <w:spacing w:after="120"/>
        <w:rPr>
          <w:sz w:val="20"/>
        </w:rPr>
      </w:pPr>
      <w:r w:rsidRPr="00172A8F">
        <w:rPr>
          <w:rStyle w:val="FootnoteReference"/>
        </w:rPr>
        <w:footnoteRef/>
      </w:r>
      <w:r w:rsidRPr="00CE2CE3" w:rsidR="008734D5">
        <w:rPr>
          <w:sz w:val="20"/>
        </w:rPr>
        <w:t xml:space="preserve"> </w:t>
      </w:r>
      <w:r w:rsidRPr="00FD22C8" w:rsidR="00FD22C8">
        <w:rPr>
          <w:i/>
          <w:iCs/>
          <w:sz w:val="20"/>
        </w:rPr>
        <w:t>Id</w:t>
      </w:r>
      <w:r w:rsidRPr="00FD22C8" w:rsidR="00FD22C8">
        <w:rPr>
          <w:sz w:val="20"/>
        </w:rPr>
        <w:t xml:space="preserve">. </w:t>
      </w:r>
      <w:r w:rsidRPr="00FD22C8" w:rsidR="00250B46">
        <w:rPr>
          <w:sz w:val="20"/>
        </w:rPr>
        <w:t xml:space="preserve">at 16.  </w:t>
      </w:r>
      <w:r w:rsidRPr="00FD22C8" w:rsidR="00250B46">
        <w:rPr>
          <w:i/>
          <w:iCs/>
          <w:sz w:val="20"/>
        </w:rPr>
        <w:t>See also</w:t>
      </w:r>
      <w:r w:rsidRPr="00FD22C8" w:rsidR="00250B46">
        <w:rPr>
          <w:sz w:val="20"/>
        </w:rPr>
        <w:t xml:space="preserve"> USDOT, FRA, </w:t>
      </w:r>
      <w:r w:rsidRPr="00C30307" w:rsidR="00250B46">
        <w:rPr>
          <w:i/>
          <w:iCs/>
          <w:sz w:val="20"/>
        </w:rPr>
        <w:t>Railroad Wireless Communications Roadmap</w:t>
      </w:r>
      <w:r w:rsidRPr="00FD22C8" w:rsidR="00250B46">
        <w:rPr>
          <w:i/>
          <w:iCs/>
          <w:sz w:val="20"/>
        </w:rPr>
        <w:t xml:space="preserve"> </w:t>
      </w:r>
      <w:r w:rsidRPr="00FD22C8" w:rsidR="00B410A0">
        <w:rPr>
          <w:sz w:val="20"/>
        </w:rPr>
        <w:t xml:space="preserve">at 50-51 </w:t>
      </w:r>
      <w:r w:rsidRPr="00FD22C8" w:rsidR="00250B46">
        <w:rPr>
          <w:sz w:val="20"/>
        </w:rPr>
        <w:t xml:space="preserve">(Mar. 2020) (FRA Roadmap Report) </w:t>
      </w:r>
      <w:r w:rsidRPr="00FD22C8" w:rsidR="00E17667">
        <w:rPr>
          <w:sz w:val="20"/>
        </w:rPr>
        <w:t>(</w:t>
      </w:r>
      <w:r w:rsidR="00C83DB2">
        <w:rPr>
          <w:sz w:val="20"/>
        </w:rPr>
        <w:t xml:space="preserve">noting </w:t>
      </w:r>
      <w:r w:rsidRPr="00FD22C8" w:rsidR="00250B46">
        <w:rPr>
          <w:sz w:val="20"/>
        </w:rPr>
        <w:t xml:space="preserve">the 220 MHz Band </w:t>
      </w:r>
      <w:r w:rsidR="00C83DB2">
        <w:rPr>
          <w:sz w:val="20"/>
        </w:rPr>
        <w:t xml:space="preserve">is </w:t>
      </w:r>
      <w:r w:rsidRPr="00FD22C8" w:rsidR="00250B46">
        <w:rPr>
          <w:sz w:val="20"/>
        </w:rPr>
        <w:t xml:space="preserve">well suited for deployment of </w:t>
      </w:r>
      <w:r w:rsidR="00C83DB2">
        <w:rPr>
          <w:sz w:val="20"/>
        </w:rPr>
        <w:t xml:space="preserve">certain </w:t>
      </w:r>
      <w:r w:rsidRPr="00FD22C8" w:rsidR="00250B46">
        <w:rPr>
          <w:sz w:val="20"/>
        </w:rPr>
        <w:t>rail safety applica</w:t>
      </w:r>
      <w:r w:rsidRPr="00172A8F" w:rsidR="00250B46">
        <w:rPr>
          <w:sz w:val="20"/>
        </w:rPr>
        <w:t>tions),</w:t>
      </w:r>
      <w:r w:rsidRPr="00172A8F" w:rsidR="005C64A8">
        <w:rPr>
          <w:sz w:val="20"/>
        </w:rPr>
        <w:t xml:space="preserve"> </w:t>
      </w:r>
      <w:bookmarkStart w:id="150" w:name="_Hlk123298858"/>
      <w:r w:rsidRPr="00172A8F" w:rsidR="00C85B96">
        <w:rPr>
          <w:i/>
          <w:iCs/>
          <w:sz w:val="20"/>
        </w:rPr>
        <w:t xml:space="preserve"> </w:t>
      </w:r>
      <w:hyperlink r:id="rId7" w:history="1">
        <w:r w:rsidRPr="001E022F" w:rsidR="00C30307">
          <w:rPr>
            <w:rStyle w:val="Hyperlink"/>
            <w:sz w:val="20"/>
          </w:rPr>
          <w:t>https://railroads.dot.gov/sites/fra.dot.gov/files/2020-3/Railroad%20Wireless%20Communications%20Roadmap.pdf</w:t>
        </w:r>
      </w:hyperlink>
      <w:r w:rsidRPr="00172A8F" w:rsidR="00F902A4">
        <w:rPr>
          <w:sz w:val="20"/>
        </w:rPr>
        <w:t>.</w:t>
      </w:r>
      <w:bookmarkEnd w:id="150"/>
    </w:p>
  </w:footnote>
  <w:footnote w:id="56">
    <w:p w:rsidR="002D577D" w:rsidRPr="00172A8F" w:rsidP="00F902A4" w14:paraId="5746B4E2" w14:textId="40C58696">
      <w:pPr>
        <w:pStyle w:val="FootnoteText"/>
      </w:pPr>
      <w:r w:rsidRPr="00172A8F">
        <w:rPr>
          <w:rStyle w:val="FootnoteReference"/>
        </w:rPr>
        <w:footnoteRef/>
      </w:r>
      <w:r w:rsidRPr="00172A8F">
        <w:t xml:space="preserve"> </w:t>
      </w:r>
      <w:r w:rsidRPr="006B68D9" w:rsidR="00191E13">
        <w:t>Waiver Modification Request</w:t>
      </w:r>
      <w:r w:rsidRPr="006B68D9">
        <w:t xml:space="preserve"> at 15</w:t>
      </w:r>
      <w:r w:rsidRPr="006B68D9" w:rsidR="005927A7">
        <w:t>;</w:t>
      </w:r>
      <w:r w:rsidRPr="00534E7C" w:rsidR="00FC5C3A">
        <w:t xml:space="preserve"> FRA </w:t>
      </w:r>
      <w:r w:rsidRPr="00172A8F" w:rsidR="00FC5C3A">
        <w:t>Roadmap Report at 7.</w:t>
      </w:r>
    </w:p>
  </w:footnote>
  <w:footnote w:id="57">
    <w:p w:rsidR="002D577D" w:rsidRPr="006B68D9" w:rsidP="00F902A4" w14:paraId="733E099B" w14:textId="69214DF0">
      <w:pPr>
        <w:pStyle w:val="FootnoteText"/>
      </w:pPr>
      <w:r w:rsidRPr="00172A8F">
        <w:rPr>
          <w:rStyle w:val="FootnoteReference"/>
        </w:rPr>
        <w:footnoteRef/>
      </w:r>
      <w:r w:rsidRPr="00172A8F">
        <w:t xml:space="preserve"> </w:t>
      </w:r>
      <w:r w:rsidRPr="006B68D9" w:rsidR="00191E13">
        <w:t>Waiver Modification Request</w:t>
      </w:r>
      <w:r w:rsidRPr="006B68D9">
        <w:t xml:space="preserve"> at 15.</w:t>
      </w:r>
    </w:p>
  </w:footnote>
  <w:footnote w:id="58">
    <w:p w:rsidR="002D577D" w:rsidRPr="006B68D9" w:rsidP="00F902A4" w14:paraId="0F661E88" w14:textId="4C4F9D34">
      <w:pPr>
        <w:pStyle w:val="FootnoteText"/>
      </w:pPr>
      <w:r w:rsidRPr="00172A8F">
        <w:rPr>
          <w:rStyle w:val="FootnoteReference"/>
        </w:rPr>
        <w:footnoteRef/>
      </w:r>
      <w:r w:rsidRPr="00172A8F">
        <w:t xml:space="preserve"> </w:t>
      </w:r>
      <w:r w:rsidRPr="00342675" w:rsidR="00FD22C8">
        <w:rPr>
          <w:i/>
          <w:iCs/>
        </w:rPr>
        <w:t>Id</w:t>
      </w:r>
      <w:r w:rsidR="00FD22C8">
        <w:t>.</w:t>
      </w:r>
    </w:p>
  </w:footnote>
  <w:footnote w:id="59">
    <w:p w:rsidR="00EE43E7" w:rsidRPr="00411254" w:rsidP="00EE43E7" w14:paraId="5518F2E8" w14:textId="55CC5434">
      <w:pPr>
        <w:pStyle w:val="FootnoteText"/>
      </w:pPr>
      <w:r w:rsidRPr="00172A8F">
        <w:rPr>
          <w:rStyle w:val="FootnoteReference"/>
        </w:rPr>
        <w:footnoteRef/>
      </w:r>
      <w:r w:rsidRPr="00172A8F">
        <w:t xml:space="preserve"> </w:t>
      </w:r>
      <w:r w:rsidRPr="006B68D9">
        <w:t>U.S. Government Accountability Office, Report to Congressional Requesters (</w:t>
      </w:r>
      <w:r w:rsidRPr="00534E7C">
        <w:t>GAO-19-443)</w:t>
      </w:r>
      <w:r w:rsidR="00FD22C8">
        <w:t xml:space="preserve">, </w:t>
      </w:r>
      <w:r w:rsidRPr="00411254">
        <w:rPr>
          <w:i/>
          <w:iCs/>
        </w:rPr>
        <w:t>Rail Safety:</w:t>
      </w:r>
      <w:r w:rsidR="00FD22C8">
        <w:rPr>
          <w:i/>
          <w:iCs/>
        </w:rPr>
        <w:t xml:space="preserve">  </w:t>
      </w:r>
      <w:r w:rsidRPr="00411254">
        <w:rPr>
          <w:i/>
          <w:iCs/>
        </w:rPr>
        <w:t>Freight Trains are Getting Longer, and Additional Information is Needed to Assess Their Impact</w:t>
      </w:r>
      <w:r w:rsidRPr="00411254">
        <w:t xml:space="preserve"> </w:t>
      </w:r>
      <w:r w:rsidR="006D6346">
        <w:t xml:space="preserve">at </w:t>
      </w:r>
      <w:r w:rsidRPr="00411254">
        <w:t>11</w:t>
      </w:r>
      <w:r>
        <w:t>-12</w:t>
      </w:r>
      <w:r w:rsidRPr="00411254">
        <w:t xml:space="preserve"> (May 2019), </w:t>
      </w:r>
      <w:r w:rsidRPr="00411254">
        <w:rPr>
          <w:i/>
          <w:iCs/>
        </w:rPr>
        <w:t>available at</w:t>
      </w:r>
      <w:r w:rsidRPr="00411254">
        <w:t xml:space="preserve"> </w:t>
      </w:r>
      <w:hyperlink r:id="rId8" w:history="1">
        <w:r w:rsidRPr="006B68D9">
          <w:rPr>
            <w:rStyle w:val="Hyperlink"/>
          </w:rPr>
          <w:t>https://www.gao.gov/products/gao-19-443</w:t>
        </w:r>
      </w:hyperlink>
      <w:r w:rsidRPr="00172A8F">
        <w:t>.</w:t>
      </w:r>
    </w:p>
  </w:footnote>
  <w:footnote w:id="60">
    <w:p w:rsidR="002D577D" w:rsidRPr="00172A8F" w:rsidP="0082160A" w14:paraId="34633941" w14:textId="2AB1B747">
      <w:pPr>
        <w:pStyle w:val="FootnoteText"/>
      </w:pPr>
      <w:r w:rsidRPr="00172A8F">
        <w:rPr>
          <w:rStyle w:val="FootnoteReference"/>
        </w:rPr>
        <w:footnoteRef/>
      </w:r>
      <w:r w:rsidRPr="00172A8F">
        <w:t xml:space="preserve"> </w:t>
      </w:r>
      <w:r w:rsidRPr="006B68D9" w:rsidR="00191E13">
        <w:t>Waiver Modification Request</w:t>
      </w:r>
      <w:r w:rsidRPr="006B68D9">
        <w:t xml:space="preserve"> at 15.</w:t>
      </w:r>
      <w:r w:rsidRPr="006B68D9" w:rsidR="003805A0">
        <w:t xml:space="preserve">  In 2013, the Commission found that EOT devices “benefit the public by increasing the safety of life and property for railroads and their employees, and for people in communities through which trains travel.”  </w:t>
      </w:r>
      <w:r w:rsidRPr="006B68D9" w:rsidR="003805A0">
        <w:rPr>
          <w:i/>
          <w:iCs/>
        </w:rPr>
        <w:t>Amendment of Part 90 of the Commission’s Rule</w:t>
      </w:r>
      <w:r w:rsidRPr="00534E7C" w:rsidR="003805A0">
        <w:rPr>
          <w:i/>
          <w:iCs/>
        </w:rPr>
        <w:t>s</w:t>
      </w:r>
      <w:r w:rsidRPr="00534E7C" w:rsidR="003805A0">
        <w:t xml:space="preserve">, </w:t>
      </w:r>
      <w:r w:rsidRPr="00CE2CE3" w:rsidR="004B0EB0">
        <w:t xml:space="preserve">PR Docket No. 89-552, </w:t>
      </w:r>
      <w:r w:rsidRPr="00172A8F" w:rsidR="003805A0">
        <w:t>Fifth Report and Order, 28 FCC Rcd 5924, 5925</w:t>
      </w:r>
      <w:r w:rsidRPr="00172A8F" w:rsidR="006B1F66">
        <w:t>,</w:t>
      </w:r>
      <w:r w:rsidRPr="00172A8F" w:rsidR="003805A0">
        <w:t xml:space="preserve"> para. 4 (2013).</w:t>
      </w:r>
    </w:p>
  </w:footnote>
  <w:footnote w:id="61">
    <w:p w:rsidR="002711D6" w:rsidRPr="007D0480" w:rsidP="002711D6" w14:paraId="0025A06F" w14:textId="0B2287D5">
      <w:pPr>
        <w:pStyle w:val="FootnoteText"/>
      </w:pPr>
      <w:r w:rsidRPr="00FF1430">
        <w:rPr>
          <w:rStyle w:val="FootnoteReference"/>
        </w:rPr>
        <w:footnoteRef/>
      </w:r>
      <w:r w:rsidRPr="007D0480">
        <w:t xml:space="preserve"> USDOT, FRA, Safety Advisory 2023-03; Accident Mitigation and Train Length</w:t>
      </w:r>
      <w:r w:rsidR="00AD5AEC">
        <w:t xml:space="preserve">, 88 </w:t>
      </w:r>
      <w:r w:rsidRPr="00574E7F" w:rsidR="00AD5AEC">
        <w:t>Fed. Reg.</w:t>
      </w:r>
      <w:r w:rsidR="00AD5AEC">
        <w:t xml:space="preserve"> 27570 (May 2, 2023).  </w:t>
      </w:r>
      <w:r>
        <w:t xml:space="preserve">The Safety Advisory discusses three significant derailment incidents in 2023 involving trains longer than two miles with at least 200 cars.  </w:t>
      </w:r>
      <w:r w:rsidRPr="00A01664">
        <w:rPr>
          <w:i/>
          <w:iCs/>
        </w:rPr>
        <w:t>Id</w:t>
      </w:r>
      <w:r>
        <w:t xml:space="preserve">. at </w:t>
      </w:r>
      <w:r w:rsidR="00AD5AEC">
        <w:t>27571.</w:t>
      </w:r>
    </w:p>
  </w:footnote>
  <w:footnote w:id="62">
    <w:p w:rsidR="002711D6" w:rsidRPr="007D0480" w:rsidP="002711D6" w14:paraId="3E8872CE" w14:textId="5EA6672D">
      <w:pPr>
        <w:pStyle w:val="FootnoteText"/>
      </w:pPr>
      <w:r w:rsidRPr="00FF1430">
        <w:rPr>
          <w:rStyle w:val="FootnoteReference"/>
        </w:rPr>
        <w:footnoteRef/>
      </w:r>
      <w:r w:rsidRPr="007D0480">
        <w:t xml:space="preserve"> </w:t>
      </w:r>
      <w:r w:rsidRPr="00A01664">
        <w:rPr>
          <w:i/>
          <w:iCs/>
        </w:rPr>
        <w:t>Id</w:t>
      </w:r>
      <w:r>
        <w:t xml:space="preserve">. at </w:t>
      </w:r>
      <w:r w:rsidR="00751158">
        <w:t xml:space="preserve">27570-71; </w:t>
      </w:r>
      <w:r w:rsidRPr="00B33552" w:rsidR="00751158">
        <w:rPr>
          <w:i/>
          <w:iCs/>
        </w:rPr>
        <w:t>see also</w:t>
      </w:r>
      <w:r w:rsidR="00751158">
        <w:t xml:space="preserve"> </w:t>
      </w:r>
      <w:r w:rsidRPr="00B33552" w:rsidR="00751158">
        <w:rPr>
          <w:i/>
          <w:iCs/>
        </w:rPr>
        <w:t>id</w:t>
      </w:r>
      <w:r w:rsidR="00751158">
        <w:t>. at 27572</w:t>
      </w:r>
      <w:r w:rsidR="00B33552">
        <w:t>.</w:t>
      </w:r>
    </w:p>
  </w:footnote>
  <w:footnote w:id="63">
    <w:p w:rsidR="002711D6" w:rsidRPr="00517B2D" w:rsidP="002711D6" w14:paraId="13A91052" w14:textId="3968BD47">
      <w:pPr>
        <w:pStyle w:val="FootnoteText"/>
      </w:pPr>
      <w:r w:rsidRPr="0055640A">
        <w:rPr>
          <w:rStyle w:val="FootnoteReference"/>
        </w:rPr>
        <w:footnoteRef/>
      </w:r>
      <w:r w:rsidRPr="00517B2D">
        <w:t xml:space="preserve"> </w:t>
      </w:r>
      <w:r w:rsidRPr="00794DFC">
        <w:rPr>
          <w:i/>
          <w:iCs/>
        </w:rPr>
        <w:t>Id</w:t>
      </w:r>
      <w:r w:rsidRPr="00517B2D">
        <w:t xml:space="preserve">. at </w:t>
      </w:r>
      <w:r w:rsidR="00751158">
        <w:t>2757</w:t>
      </w:r>
      <w:r w:rsidR="00B54965">
        <w:t>2</w:t>
      </w:r>
      <w:r w:rsidRPr="00517B2D">
        <w:t xml:space="preserve"> (noting that such loss of communication “can be temporary or permanent, and can result in an emergency</w:t>
      </w:r>
      <w:r>
        <w:t xml:space="preserve"> a</w:t>
      </w:r>
      <w:r w:rsidRPr="00517B2D">
        <w:t xml:space="preserve">ir brake signal from the controlling locomotive taking longer to propagate through the entire train (effectively slowing down braking of the entire consist), or in the event of a train air brake line blockage, a loss of communication between the EOT devices will result in the </w:t>
      </w:r>
      <w:r>
        <w:t>e</w:t>
      </w:r>
      <w:r w:rsidRPr="00517B2D">
        <w:t>mergency signal not being transmitted to the rear EOT device”).</w:t>
      </w:r>
    </w:p>
  </w:footnote>
  <w:footnote w:id="64">
    <w:p w:rsidR="002711D6" w:rsidRPr="00517B2D" w:rsidP="002711D6" w14:paraId="57E3E697" w14:textId="49869D91">
      <w:pPr>
        <w:pStyle w:val="FootnoteText"/>
      </w:pPr>
      <w:r w:rsidRPr="0055640A">
        <w:rPr>
          <w:rStyle w:val="FootnoteReference"/>
        </w:rPr>
        <w:footnoteRef/>
      </w:r>
      <w:r w:rsidRPr="00517B2D">
        <w:t xml:space="preserve"> </w:t>
      </w:r>
      <w:r w:rsidRPr="00794DFC">
        <w:rPr>
          <w:i/>
          <w:iCs/>
        </w:rPr>
        <w:t>Id</w:t>
      </w:r>
      <w:r w:rsidRPr="00517B2D">
        <w:t>.</w:t>
      </w:r>
    </w:p>
  </w:footnote>
  <w:footnote w:id="65">
    <w:p w:rsidR="0074323B" w:rsidRPr="00172A8F" w:rsidP="0082160A" w14:paraId="4393257C" w14:textId="5E1DAC0B">
      <w:pPr>
        <w:pStyle w:val="FootnoteText"/>
      </w:pPr>
      <w:r w:rsidRPr="00172A8F">
        <w:rPr>
          <w:rStyle w:val="FootnoteReference"/>
        </w:rPr>
        <w:footnoteRef/>
      </w:r>
      <w:r w:rsidRPr="00172A8F" w:rsidR="0061145A">
        <w:t xml:space="preserve"> Declaration of Alan L. Polivka, Senior Scientist II, Communications &amp; Train Control, MxV Rail, dated July 21, 2022, at 8, para. 19, attached to Waiver Modification Request Supplement (Polivka Declaration).</w:t>
      </w:r>
    </w:p>
  </w:footnote>
  <w:footnote w:id="66">
    <w:p w:rsidR="002D577D" w:rsidRPr="006B68D9" w:rsidP="0082160A" w14:paraId="5FF93B75" w14:textId="12B3F1F1">
      <w:pPr>
        <w:pStyle w:val="FootnoteText"/>
      </w:pPr>
      <w:r w:rsidRPr="00172A8F">
        <w:rPr>
          <w:rStyle w:val="FootnoteReference"/>
        </w:rPr>
        <w:footnoteRef/>
      </w:r>
      <w:r w:rsidRPr="00172A8F">
        <w:t xml:space="preserve"> </w:t>
      </w:r>
      <w:r w:rsidRPr="006B68D9" w:rsidR="004E7C80">
        <w:rPr>
          <w:i/>
          <w:iCs/>
        </w:rPr>
        <w:t>Id</w:t>
      </w:r>
      <w:r w:rsidRPr="006B68D9" w:rsidR="004E7C80">
        <w:t>.</w:t>
      </w:r>
    </w:p>
  </w:footnote>
  <w:footnote w:id="67">
    <w:p w:rsidR="00267DA3" w:rsidRPr="00172A8F" w:rsidP="0082160A" w14:paraId="110DCC95" w14:textId="00CF1C06">
      <w:pPr>
        <w:pStyle w:val="FootnoteText"/>
      </w:pPr>
      <w:r w:rsidRPr="00172A8F">
        <w:rPr>
          <w:rStyle w:val="FootnoteReference"/>
        </w:rPr>
        <w:footnoteRef/>
      </w:r>
      <w:r w:rsidRPr="00172A8F">
        <w:t xml:space="preserve"> </w:t>
      </w:r>
      <w:r w:rsidRPr="006B68D9" w:rsidR="00191E13">
        <w:t>Waiver Modification Request</w:t>
      </w:r>
      <w:r w:rsidRPr="006B68D9">
        <w:t xml:space="preserve"> at 15.</w:t>
      </w:r>
      <w:r w:rsidRPr="006B68D9" w:rsidR="0074323B">
        <w:t xml:space="preserve">  </w:t>
      </w:r>
      <w:r w:rsidRPr="006B68D9" w:rsidR="0070389F">
        <w:t xml:space="preserve">PTC-220 reports that </w:t>
      </w:r>
      <w:r w:rsidRPr="00534E7C" w:rsidR="0074323B">
        <w:t xml:space="preserve">U.S. railroads currently are developing new EOT standards that include vibration sensors as well as GPS location for the rear of the </w:t>
      </w:r>
      <w:r w:rsidRPr="00172A8F" w:rsidR="0074323B">
        <w:t>train</w:t>
      </w:r>
      <w:r w:rsidRPr="00172A8F" w:rsidR="0070389F">
        <w:t xml:space="preserve">, and that </w:t>
      </w:r>
      <w:r w:rsidRPr="00172A8F" w:rsidR="0074323B">
        <w:t xml:space="preserve">the information regarding the location of the end of the train (more precise than what is available today) will be transmitted to traffic control.  </w:t>
      </w:r>
      <w:r w:rsidRPr="00172A8F" w:rsidR="005927A7">
        <w:t>It adds that,</w:t>
      </w:r>
      <w:r w:rsidRPr="00172A8F" w:rsidR="0074323B">
        <w:t xml:space="preserve"> </w:t>
      </w:r>
      <w:r w:rsidRPr="00172A8F" w:rsidR="005927A7">
        <w:t>w</w:t>
      </w:r>
      <w:r w:rsidRPr="00172A8F" w:rsidR="0074323B">
        <w:t xml:space="preserve">hile not part of the minimum requirements for PTC, this feature will be integrated into the overall traffic control systems and will help reduce rear-end collisions.  </w:t>
      </w:r>
      <w:r w:rsidRPr="00172A8F" w:rsidR="0074323B">
        <w:rPr>
          <w:i/>
          <w:iCs/>
        </w:rPr>
        <w:t>Id</w:t>
      </w:r>
      <w:r w:rsidRPr="00172A8F" w:rsidR="0074323B">
        <w:t>.</w:t>
      </w:r>
    </w:p>
  </w:footnote>
  <w:footnote w:id="68">
    <w:p w:rsidR="00234EC0" w:rsidRPr="006B68D9" w:rsidP="006D6346" w14:paraId="6860D572" w14:textId="107B35F0">
      <w:pPr>
        <w:pStyle w:val="FootnoteText"/>
      </w:pPr>
      <w:r w:rsidRPr="00172A8F">
        <w:rPr>
          <w:rStyle w:val="FootnoteReference"/>
        </w:rPr>
        <w:footnoteRef/>
      </w:r>
      <w:r w:rsidRPr="00172A8F">
        <w:t xml:space="preserve"> </w:t>
      </w:r>
      <w:r w:rsidRPr="00342675" w:rsidR="00395A7C">
        <w:rPr>
          <w:i/>
          <w:iCs/>
        </w:rPr>
        <w:t>Id</w:t>
      </w:r>
      <w:r w:rsidR="00395A7C">
        <w:t>.</w:t>
      </w:r>
      <w:r w:rsidRPr="006B68D9" w:rsidR="00395A7C">
        <w:t xml:space="preserve"> </w:t>
      </w:r>
      <w:r w:rsidRPr="006B68D9" w:rsidR="003847A6">
        <w:t>at 16.</w:t>
      </w:r>
    </w:p>
  </w:footnote>
  <w:footnote w:id="69">
    <w:p w:rsidR="00234EC0" w:rsidRPr="006B68D9" w:rsidP="006D6346" w14:paraId="4A341098" w14:textId="253B9DF6">
      <w:pPr>
        <w:pStyle w:val="FootnoteText"/>
      </w:pPr>
      <w:r w:rsidRPr="00172A8F">
        <w:rPr>
          <w:rStyle w:val="FootnoteReference"/>
        </w:rPr>
        <w:footnoteRef/>
      </w:r>
      <w:r w:rsidRPr="00172A8F">
        <w:t xml:space="preserve"> </w:t>
      </w:r>
      <w:r w:rsidRPr="00342675" w:rsidR="00395A7C">
        <w:rPr>
          <w:i/>
          <w:iCs/>
        </w:rPr>
        <w:t>Id</w:t>
      </w:r>
      <w:r w:rsidR="00395A7C">
        <w:t>.</w:t>
      </w:r>
      <w:r w:rsidRPr="006B68D9" w:rsidR="00395A7C">
        <w:t xml:space="preserve"> </w:t>
      </w:r>
    </w:p>
  </w:footnote>
  <w:footnote w:id="70">
    <w:p w:rsidR="003847A6" w:rsidRPr="006B68D9" w:rsidP="006D6346" w14:paraId="7778A374" w14:textId="3A79574E">
      <w:pPr>
        <w:pStyle w:val="FootnoteText"/>
      </w:pPr>
      <w:r w:rsidRPr="00172A8F">
        <w:rPr>
          <w:rStyle w:val="FootnoteReference"/>
        </w:rPr>
        <w:footnoteRef/>
      </w:r>
      <w:r w:rsidRPr="00172A8F">
        <w:t xml:space="preserve"> </w:t>
      </w:r>
      <w:r w:rsidRPr="00342675" w:rsidR="00395A7C">
        <w:rPr>
          <w:i/>
          <w:iCs/>
        </w:rPr>
        <w:t>Id</w:t>
      </w:r>
      <w:r w:rsidR="00395A7C">
        <w:t>.</w:t>
      </w:r>
      <w:r w:rsidRPr="006B68D9" w:rsidR="00395A7C">
        <w:t xml:space="preserve"> </w:t>
      </w:r>
    </w:p>
  </w:footnote>
  <w:footnote w:id="71">
    <w:p w:rsidR="003847A6" w:rsidRPr="006B68D9" w:rsidP="006D6346" w14:paraId="1E8240BB" w14:textId="350F3E6A">
      <w:pPr>
        <w:pStyle w:val="FootnoteText"/>
      </w:pPr>
      <w:r w:rsidRPr="00172A8F">
        <w:rPr>
          <w:rStyle w:val="FootnoteReference"/>
        </w:rPr>
        <w:footnoteRef/>
      </w:r>
      <w:r w:rsidRPr="00172A8F">
        <w:t xml:space="preserve"> </w:t>
      </w:r>
      <w:r w:rsidRPr="00342675" w:rsidR="00395A7C">
        <w:rPr>
          <w:i/>
          <w:iCs/>
        </w:rPr>
        <w:t>Id</w:t>
      </w:r>
      <w:r w:rsidR="00395A7C">
        <w:t>.</w:t>
      </w:r>
    </w:p>
  </w:footnote>
  <w:footnote w:id="72">
    <w:p w:rsidR="0074323B" w:rsidRPr="006B68D9" w:rsidP="006D6346" w14:paraId="6B9BE1A4" w14:textId="6538961B">
      <w:pPr>
        <w:pStyle w:val="FootnoteText"/>
      </w:pPr>
      <w:r w:rsidRPr="00172A8F">
        <w:rPr>
          <w:rStyle w:val="FootnoteReference"/>
        </w:rPr>
        <w:footnoteRef/>
      </w:r>
      <w:r w:rsidRPr="00172A8F">
        <w:t xml:space="preserve"> </w:t>
      </w:r>
      <w:r w:rsidRPr="00342675" w:rsidR="00395A7C">
        <w:rPr>
          <w:i/>
          <w:iCs/>
        </w:rPr>
        <w:t>Id</w:t>
      </w:r>
      <w:r w:rsidR="00395A7C">
        <w:t>.</w:t>
      </w:r>
    </w:p>
  </w:footnote>
  <w:footnote w:id="73">
    <w:p w:rsidR="00F0610A" w:rsidRPr="006B68D9" w:rsidP="006D6346" w14:paraId="4E7CB076" w14:textId="580FF7DB">
      <w:pPr>
        <w:pStyle w:val="FootnoteText"/>
      </w:pPr>
      <w:r w:rsidRPr="00172A8F">
        <w:rPr>
          <w:rStyle w:val="FootnoteReference"/>
        </w:rPr>
        <w:footnoteRef/>
      </w:r>
      <w:r w:rsidRPr="00172A8F">
        <w:t xml:space="preserve"> Polivka Declaration at 8</w:t>
      </w:r>
      <w:r w:rsidRPr="006B68D9" w:rsidR="009321D0">
        <w:t>,</w:t>
      </w:r>
      <w:r w:rsidRPr="006B68D9">
        <w:t xml:space="preserve"> para. 19. </w:t>
      </w:r>
    </w:p>
  </w:footnote>
  <w:footnote w:id="74">
    <w:p w:rsidR="0074323B" w:rsidRPr="006B68D9" w:rsidP="006D6346" w14:paraId="5D7068EB" w14:textId="31600393">
      <w:pPr>
        <w:pStyle w:val="FootnoteText"/>
      </w:pPr>
      <w:r w:rsidRPr="00172A8F">
        <w:rPr>
          <w:rStyle w:val="FootnoteReference"/>
        </w:rPr>
        <w:footnoteRef/>
      </w:r>
      <w:r w:rsidRPr="00172A8F">
        <w:t xml:space="preserve"> </w:t>
      </w:r>
      <w:r w:rsidRPr="006B68D9" w:rsidR="00F0610A">
        <w:t>47 CFR § 90.35</w:t>
      </w:r>
      <w:r w:rsidRPr="006B68D9">
        <w:t>.</w:t>
      </w:r>
    </w:p>
  </w:footnote>
  <w:footnote w:id="75">
    <w:p w:rsidR="0074323B" w:rsidRPr="00534E7C" w:rsidP="006D6346" w14:paraId="3C75D743" w14:textId="77A47408">
      <w:pPr>
        <w:pStyle w:val="FootnoteText"/>
      </w:pPr>
      <w:r w:rsidRPr="00172A8F">
        <w:rPr>
          <w:rStyle w:val="FootnoteReference"/>
        </w:rPr>
        <w:footnoteRef/>
      </w:r>
      <w:r w:rsidRPr="00172A8F">
        <w:t xml:space="preserve"> Polivka Declaration at 8</w:t>
      </w:r>
      <w:r w:rsidRPr="006B68D9" w:rsidR="009321D0">
        <w:t>,</w:t>
      </w:r>
      <w:r w:rsidRPr="006B68D9">
        <w:t xml:space="preserve"> para</w:t>
      </w:r>
      <w:r w:rsidRPr="006B68D9" w:rsidR="00AC47BC">
        <w:t>.</w:t>
      </w:r>
      <w:r w:rsidRPr="006B68D9">
        <w:t xml:space="preserve"> 19.</w:t>
      </w:r>
    </w:p>
  </w:footnote>
  <w:footnote w:id="76">
    <w:p w:rsidR="003847A6" w:rsidRPr="006B68D9" w:rsidP="006D6346" w14:paraId="2A26BB65" w14:textId="1F2340E8">
      <w:pPr>
        <w:pStyle w:val="FootnoteText"/>
      </w:pPr>
      <w:r w:rsidRPr="00172A8F">
        <w:rPr>
          <w:rStyle w:val="FootnoteReference"/>
        </w:rPr>
        <w:footnoteRef/>
      </w:r>
      <w:r w:rsidRPr="00172A8F">
        <w:t xml:space="preserve"> </w:t>
      </w:r>
      <w:r w:rsidRPr="006B68D9" w:rsidR="00191E13">
        <w:t>Waiver Modification Request</w:t>
      </w:r>
      <w:r w:rsidRPr="006B68D9">
        <w:t xml:space="preserve"> at 16-18.</w:t>
      </w:r>
    </w:p>
  </w:footnote>
  <w:footnote w:id="77">
    <w:p w:rsidR="009E4649" w:rsidRPr="006D6346" w:rsidP="006D6346" w14:paraId="6178E1D5" w14:textId="063049B7">
      <w:pPr>
        <w:pStyle w:val="FootnoteText"/>
      </w:pPr>
      <w:r w:rsidRPr="00172A8F">
        <w:rPr>
          <w:rStyle w:val="FootnoteReference"/>
        </w:rPr>
        <w:footnoteRef/>
      </w:r>
      <w:r w:rsidRPr="00172A8F">
        <w:t xml:space="preserve"> </w:t>
      </w:r>
      <w:r w:rsidRPr="006D6346" w:rsidR="00395A7C">
        <w:rPr>
          <w:i/>
          <w:iCs/>
        </w:rPr>
        <w:t>Id</w:t>
      </w:r>
      <w:r w:rsidRPr="006D6346" w:rsidR="00395A7C">
        <w:t>.</w:t>
      </w:r>
      <w:r w:rsidRPr="006D6346" w:rsidR="00855E86">
        <w:t xml:space="preserve"> at 16.</w:t>
      </w:r>
    </w:p>
  </w:footnote>
  <w:footnote w:id="78">
    <w:p w:rsidR="006D6346" w:rsidRPr="00D4420F" w:rsidP="00D4420F" w14:paraId="33869015" w14:textId="4981A3DD">
      <w:pPr>
        <w:spacing w:after="120"/>
        <w:rPr>
          <w:sz w:val="20"/>
        </w:rPr>
      </w:pPr>
      <w:r w:rsidRPr="006D6346">
        <w:rPr>
          <w:rStyle w:val="FootnoteReference"/>
        </w:rPr>
        <w:footnoteRef/>
      </w:r>
      <w:r w:rsidRPr="00D4420F">
        <w:rPr>
          <w:sz w:val="20"/>
        </w:rPr>
        <w:t xml:space="preserve"> </w:t>
      </w:r>
      <w:r w:rsidRPr="00D4420F" w:rsidR="00395A7C">
        <w:rPr>
          <w:i/>
          <w:sz w:val="20"/>
        </w:rPr>
        <w:t>Id</w:t>
      </w:r>
      <w:r w:rsidRPr="00D4420F" w:rsidR="00395A7C">
        <w:rPr>
          <w:sz w:val="20"/>
        </w:rPr>
        <w:t>.</w:t>
      </w:r>
      <w:r w:rsidRPr="00D4420F" w:rsidR="00C83DB2">
        <w:rPr>
          <w:sz w:val="20"/>
        </w:rPr>
        <w:t xml:space="preserve">  </w:t>
      </w:r>
      <w:r w:rsidRPr="00D4420F" w:rsidR="00824CBC">
        <w:rPr>
          <w:sz w:val="20"/>
        </w:rPr>
        <w:t xml:space="preserve">According to the National Transportation Safety Board (NTSB), a </w:t>
      </w:r>
      <w:r w:rsidRPr="00D4420F" w:rsidR="00F91359">
        <w:rPr>
          <w:sz w:val="20"/>
        </w:rPr>
        <w:t>Norfolk Southern Railway freight train derailed in East Palestine, Ohio</w:t>
      </w:r>
      <w:r w:rsidRPr="00D4420F" w:rsidR="00824CBC">
        <w:rPr>
          <w:sz w:val="20"/>
        </w:rPr>
        <w:t xml:space="preserve"> on February 3, 2023,</w:t>
      </w:r>
      <w:r w:rsidRPr="00D4420F" w:rsidR="00F91359">
        <w:rPr>
          <w:sz w:val="20"/>
        </w:rPr>
        <w:t xml:space="preserve"> </w:t>
      </w:r>
      <w:r w:rsidRPr="00D4420F" w:rsidR="00824CBC">
        <w:rPr>
          <w:sz w:val="20"/>
        </w:rPr>
        <w:t xml:space="preserve">shortly </w:t>
      </w:r>
      <w:r w:rsidRPr="00D4420F" w:rsidR="00F91359">
        <w:rPr>
          <w:sz w:val="20"/>
        </w:rPr>
        <w:t xml:space="preserve">after </w:t>
      </w:r>
      <w:r w:rsidRPr="00D4420F" w:rsidR="005912CF">
        <w:rPr>
          <w:sz w:val="20"/>
        </w:rPr>
        <w:t xml:space="preserve">an </w:t>
      </w:r>
      <w:r w:rsidRPr="00D4420F" w:rsidR="00F91359">
        <w:rPr>
          <w:sz w:val="20"/>
        </w:rPr>
        <w:t xml:space="preserve">HBD </w:t>
      </w:r>
      <w:r w:rsidRPr="00D4420F" w:rsidR="005912CF">
        <w:rPr>
          <w:sz w:val="20"/>
        </w:rPr>
        <w:t xml:space="preserve">“transmitted a critical audible alarm message instructing the crew to slow and stop the train to inspect a hot axle.” </w:t>
      </w:r>
      <w:r w:rsidRPr="00D4420F" w:rsidR="00B33DEC">
        <w:rPr>
          <w:sz w:val="20"/>
        </w:rPr>
        <w:t xml:space="preserve"> </w:t>
      </w:r>
      <w:r w:rsidRPr="006D6346" w:rsidR="00464DE2">
        <w:rPr>
          <w:sz w:val="20"/>
        </w:rPr>
        <w:t xml:space="preserve">NTSB, Preliminary Report RRD23MR005, </w:t>
      </w:r>
      <w:r w:rsidRPr="00D4420F" w:rsidR="00824CBC">
        <w:rPr>
          <w:i/>
          <w:sz w:val="20"/>
        </w:rPr>
        <w:t>Norfolk Southern Railway Train Derailment with Subsequent Hazardous Material Release and Fires</w:t>
      </w:r>
      <w:r w:rsidRPr="00D4420F" w:rsidR="00824CBC">
        <w:rPr>
          <w:sz w:val="20"/>
        </w:rPr>
        <w:t xml:space="preserve"> </w:t>
      </w:r>
      <w:r w:rsidRPr="00D4420F" w:rsidR="005912CF">
        <w:rPr>
          <w:sz w:val="20"/>
        </w:rPr>
        <w:t>at 2-3</w:t>
      </w:r>
      <w:r w:rsidRPr="00D4420F" w:rsidR="00824CBC">
        <w:rPr>
          <w:sz w:val="20"/>
        </w:rPr>
        <w:t xml:space="preserve"> (issued Feb. 22, 2023</w:t>
      </w:r>
      <w:r w:rsidRPr="006D6346" w:rsidR="00824CBC">
        <w:rPr>
          <w:sz w:val="20"/>
        </w:rPr>
        <w:t>)</w:t>
      </w:r>
      <w:r w:rsidRPr="006D6346" w:rsidR="00464DE2">
        <w:rPr>
          <w:sz w:val="20"/>
        </w:rPr>
        <w:t xml:space="preserve">, </w:t>
      </w:r>
      <w:hyperlink r:id="rId9" w:history="1">
        <w:r w:rsidRPr="006D6346">
          <w:rPr>
            <w:rStyle w:val="Hyperlink"/>
            <w:sz w:val="20"/>
          </w:rPr>
          <w:t>https://www.ntsb.gov/investigations/Documents/RRD23MR005%20East%20Palestine%20OH%20Prelim.pdf</w:t>
        </w:r>
      </w:hyperlink>
      <w:r w:rsidRPr="006D6346" w:rsidR="00824CBC">
        <w:rPr>
          <w:sz w:val="20"/>
        </w:rPr>
        <w:t>.</w:t>
      </w:r>
      <w:r w:rsidRPr="00D4420F" w:rsidR="005912CF">
        <w:rPr>
          <w:sz w:val="20"/>
        </w:rPr>
        <w:t xml:space="preserve">  </w:t>
      </w:r>
      <w:r w:rsidRPr="00D4420F" w:rsidR="00C57F42">
        <w:rPr>
          <w:sz w:val="20"/>
        </w:rPr>
        <w:t xml:space="preserve">The </w:t>
      </w:r>
      <w:r w:rsidRPr="00D4420F" w:rsidR="00BC5F78">
        <w:rPr>
          <w:sz w:val="20"/>
        </w:rPr>
        <w:t>NTSB report</w:t>
      </w:r>
      <w:r w:rsidRPr="00D4420F" w:rsidR="002D5DE0">
        <w:rPr>
          <w:sz w:val="20"/>
        </w:rPr>
        <w:t>ed</w:t>
      </w:r>
      <w:r w:rsidRPr="00D4420F" w:rsidR="00BC5F78">
        <w:rPr>
          <w:sz w:val="20"/>
        </w:rPr>
        <w:t xml:space="preserve"> that “[s]urveillance video from a local residence showed what appeared to be a wheel bearing in the final stage of overheat failure moments before the derailment.</w:t>
      </w:r>
      <w:r w:rsidRPr="00D4420F" w:rsidR="00C57F42">
        <w:rPr>
          <w:sz w:val="20"/>
        </w:rPr>
        <w:t xml:space="preserve">”  </w:t>
      </w:r>
      <w:r w:rsidRPr="00D4420F" w:rsidR="00C57F42">
        <w:rPr>
          <w:i/>
          <w:sz w:val="20"/>
        </w:rPr>
        <w:t>Id</w:t>
      </w:r>
      <w:r w:rsidRPr="00D4420F" w:rsidR="00C57F42">
        <w:rPr>
          <w:sz w:val="20"/>
        </w:rPr>
        <w:t>. at 3.</w:t>
      </w:r>
    </w:p>
  </w:footnote>
  <w:footnote w:id="79">
    <w:p w:rsidR="00B53A13" w14:paraId="36C9D8DD" w14:textId="785D6E70">
      <w:pPr>
        <w:pStyle w:val="FootnoteText"/>
      </w:pPr>
      <w:r>
        <w:rPr>
          <w:rStyle w:val="FootnoteReference"/>
        </w:rPr>
        <w:footnoteRef/>
      </w:r>
      <w:r>
        <w:t xml:space="preserve"> </w:t>
      </w:r>
      <w:r w:rsidRPr="006B68D9">
        <w:t>Waiver Modification Request at 16</w:t>
      </w:r>
      <w:r>
        <w:t>.</w:t>
      </w:r>
    </w:p>
  </w:footnote>
  <w:footnote w:id="80">
    <w:p w:rsidR="00BE737B" w:rsidRPr="00B528F1" w:rsidP="0082160A" w14:paraId="3E9D805D" w14:textId="609766F2">
      <w:pPr>
        <w:pStyle w:val="FootnoteText"/>
      </w:pPr>
      <w:r w:rsidRPr="00172A8F">
        <w:rPr>
          <w:rStyle w:val="FootnoteReference"/>
        </w:rPr>
        <w:footnoteRef/>
      </w:r>
      <w:r w:rsidRPr="00172A8F">
        <w:t xml:space="preserve"> </w:t>
      </w:r>
      <w:r w:rsidRPr="00B25849" w:rsidR="00B25849">
        <w:rPr>
          <w:i/>
          <w:iCs/>
        </w:rPr>
        <w:t>Id</w:t>
      </w:r>
      <w:r w:rsidR="00B528F1">
        <w:t>.</w:t>
      </w:r>
    </w:p>
  </w:footnote>
  <w:footnote w:id="81">
    <w:p w:rsidR="00BE737B" w:rsidRPr="006B68D9" w:rsidP="0082160A" w14:paraId="7FB4A7FC" w14:textId="13EB6CCF">
      <w:pPr>
        <w:pStyle w:val="FootnoteText"/>
      </w:pPr>
      <w:r w:rsidRPr="00172A8F">
        <w:rPr>
          <w:rStyle w:val="FootnoteReference"/>
        </w:rPr>
        <w:footnoteRef/>
      </w:r>
      <w:r w:rsidRPr="00172A8F">
        <w:t xml:space="preserve"> </w:t>
      </w:r>
      <w:r w:rsidRPr="00342675" w:rsidR="0032205D">
        <w:rPr>
          <w:i/>
          <w:iCs/>
        </w:rPr>
        <w:t>Id</w:t>
      </w:r>
      <w:r w:rsidR="0032205D">
        <w:t>.</w:t>
      </w:r>
      <w:r w:rsidRPr="006B68D9" w:rsidR="0032205D">
        <w:t xml:space="preserve"> </w:t>
      </w:r>
    </w:p>
  </w:footnote>
  <w:footnote w:id="82">
    <w:p w:rsidR="00B320DA" w:rsidRPr="006B68D9" w:rsidP="0082160A" w14:paraId="5CDBBAF5" w14:textId="0213F2AC">
      <w:pPr>
        <w:pStyle w:val="FootnoteText"/>
      </w:pPr>
      <w:r w:rsidRPr="00172A8F">
        <w:rPr>
          <w:rStyle w:val="FootnoteReference"/>
        </w:rPr>
        <w:footnoteRef/>
      </w:r>
      <w:r w:rsidRPr="00172A8F">
        <w:t xml:space="preserve"> </w:t>
      </w:r>
      <w:r w:rsidRPr="00342675" w:rsidR="0032205D">
        <w:rPr>
          <w:i/>
          <w:iCs/>
        </w:rPr>
        <w:t>Id</w:t>
      </w:r>
      <w:r w:rsidR="0032205D">
        <w:t>.</w:t>
      </w:r>
      <w:r w:rsidRPr="006B68D9" w:rsidR="0032205D">
        <w:t xml:space="preserve"> </w:t>
      </w:r>
    </w:p>
  </w:footnote>
  <w:footnote w:id="83">
    <w:p w:rsidR="00050A83" w:rsidRPr="006B68D9" w:rsidP="0082160A" w14:paraId="0E8C0163" w14:textId="18D91602">
      <w:pPr>
        <w:pStyle w:val="FootnoteText"/>
      </w:pPr>
      <w:r w:rsidRPr="00172A8F">
        <w:rPr>
          <w:rStyle w:val="FootnoteReference"/>
        </w:rPr>
        <w:footnoteRef/>
      </w:r>
      <w:r w:rsidRPr="00172A8F">
        <w:t xml:space="preserve"> </w:t>
      </w:r>
      <w:r w:rsidRPr="00342675" w:rsidR="0032205D">
        <w:rPr>
          <w:i/>
          <w:iCs/>
        </w:rPr>
        <w:t>Id</w:t>
      </w:r>
      <w:r w:rsidR="0032205D">
        <w:t>.</w:t>
      </w:r>
      <w:r w:rsidRPr="006B68D9" w:rsidR="0032205D">
        <w:t xml:space="preserve"> </w:t>
      </w:r>
    </w:p>
  </w:footnote>
  <w:footnote w:id="84">
    <w:p w:rsidR="00F61605" w:rsidRPr="00172A8F" w:rsidP="0082160A" w14:paraId="6D8233D6" w14:textId="5EBB04B4">
      <w:pPr>
        <w:pStyle w:val="FootnoteText"/>
      </w:pPr>
      <w:r w:rsidRPr="00172A8F">
        <w:rPr>
          <w:rStyle w:val="FootnoteReference"/>
        </w:rPr>
        <w:footnoteRef/>
      </w:r>
      <w:r w:rsidRPr="00172A8F" w:rsidR="00375387">
        <w:t xml:space="preserve"> </w:t>
      </w:r>
      <w:r w:rsidRPr="00342675" w:rsidR="0032205D">
        <w:rPr>
          <w:i/>
          <w:iCs/>
        </w:rPr>
        <w:t>Id</w:t>
      </w:r>
      <w:r w:rsidR="0032205D">
        <w:t xml:space="preserve">.; </w:t>
      </w:r>
      <w:r w:rsidRPr="006B68D9">
        <w:t xml:space="preserve">FRA </w:t>
      </w:r>
      <w:r w:rsidRPr="00172A8F">
        <w:t xml:space="preserve">Roadmap Report at </w:t>
      </w:r>
      <w:r w:rsidRPr="00172A8F" w:rsidR="00682B87">
        <w:t>5</w:t>
      </w:r>
      <w:r w:rsidRPr="00172A8F">
        <w:t>.</w:t>
      </w:r>
      <w:r w:rsidRPr="00172A8F" w:rsidR="004450C7">
        <w:t xml:space="preserve"> </w:t>
      </w:r>
    </w:p>
  </w:footnote>
  <w:footnote w:id="85">
    <w:p w:rsidR="00AF2430" w:rsidRPr="00172A8F" w:rsidP="0082160A" w14:paraId="794F5641" w14:textId="6E3D8AB0">
      <w:pPr>
        <w:pStyle w:val="FootnoteText"/>
      </w:pPr>
      <w:r w:rsidRPr="00172A8F">
        <w:rPr>
          <w:rStyle w:val="FootnoteReference"/>
        </w:rPr>
        <w:footnoteRef/>
      </w:r>
      <w:r w:rsidRPr="00172A8F">
        <w:t xml:space="preserve"> </w:t>
      </w:r>
      <w:r w:rsidRPr="00172A8F" w:rsidR="00682B87">
        <w:t>FRA Roadmap Report at 5.</w:t>
      </w:r>
    </w:p>
  </w:footnote>
  <w:footnote w:id="86">
    <w:p w:rsidR="00947672" w:rsidRPr="00172A8F" w:rsidP="0082160A" w14:paraId="4DC05B0F" w14:textId="56E2F0B6">
      <w:pPr>
        <w:pStyle w:val="FootnoteText"/>
      </w:pPr>
      <w:r w:rsidRPr="00172A8F">
        <w:rPr>
          <w:rStyle w:val="FootnoteReference"/>
        </w:rPr>
        <w:footnoteRef/>
      </w:r>
      <w:r w:rsidRPr="00172A8F">
        <w:t xml:space="preserve"> </w:t>
      </w:r>
      <w:r w:rsidRPr="006B68D9" w:rsidR="00AE3A0E">
        <w:t xml:space="preserve">Operation Lifesaver, Inc., </w:t>
      </w:r>
      <w:r w:rsidRPr="006B68D9">
        <w:t xml:space="preserve">Collisions &amp; Casualties by Year, </w:t>
      </w:r>
      <w:r w:rsidRPr="006B68D9">
        <w:rPr>
          <w:i/>
          <w:iCs/>
        </w:rPr>
        <w:t>All Highway-Rail Incidents at Public and Private Crossings, 2021-1981</w:t>
      </w:r>
      <w:r w:rsidRPr="006B68D9">
        <w:t xml:space="preserve"> </w:t>
      </w:r>
      <w:r w:rsidRPr="00172A8F" w:rsidR="00C522BF">
        <w:t>(</w:t>
      </w:r>
      <w:r w:rsidRPr="00172A8F" w:rsidR="0099262D">
        <w:t xml:space="preserve">last </w:t>
      </w:r>
      <w:r w:rsidRPr="00172A8F" w:rsidR="00AE3A0E">
        <w:t>updated Dec. 9, 2022)</w:t>
      </w:r>
      <w:r w:rsidRPr="00172A8F">
        <w:t>,</w:t>
      </w:r>
      <w:r w:rsidRPr="00172A8F" w:rsidR="00AE3A0E">
        <w:t xml:space="preserve"> </w:t>
      </w:r>
      <w:hyperlink r:id="rId10" w:history="1">
        <w:r w:rsidRPr="006B68D9" w:rsidR="00AE3A0E">
          <w:rPr>
            <w:rStyle w:val="Hyperlink"/>
          </w:rPr>
          <w:t>https://oli.org/track-statistics/collisions-casualties-year</w:t>
        </w:r>
      </w:hyperlink>
      <w:r w:rsidRPr="00172A8F">
        <w:t xml:space="preserve"> (last visited </w:t>
      </w:r>
      <w:r w:rsidRPr="00172A8F" w:rsidR="00A858FC">
        <w:t>Jan. 26, 2023</w:t>
      </w:r>
      <w:r w:rsidRPr="00172A8F">
        <w:t xml:space="preserve">).  </w:t>
      </w:r>
      <w:r w:rsidRPr="00172A8F" w:rsidR="00CC71AB">
        <w:t xml:space="preserve">And in the preceding </w:t>
      </w:r>
      <w:r w:rsidRPr="00172A8F" w:rsidR="00AF45F5">
        <w:t>f</w:t>
      </w:r>
      <w:r w:rsidRPr="00172A8F" w:rsidR="00CC71AB">
        <w:t xml:space="preserve">ive years, there was an annual average of 257 deaths at U.S. grade crossings.  </w:t>
      </w:r>
      <w:r w:rsidRPr="00172A8F" w:rsidR="003D6FDB">
        <w:t>USDOT, FRA</w:t>
      </w:r>
      <w:r w:rsidRPr="00172A8F" w:rsidR="00395021">
        <w:t xml:space="preserve">, </w:t>
      </w:r>
      <w:r w:rsidRPr="00172A8F" w:rsidR="006017AE">
        <w:t xml:space="preserve">Report No. RR 21-05, </w:t>
      </w:r>
      <w:r w:rsidRPr="00172A8F" w:rsidR="00CC71AB">
        <w:rPr>
          <w:i/>
          <w:iCs/>
        </w:rPr>
        <w:t>Automated Video Inspection System for Grade Crossing Safety</w:t>
      </w:r>
      <w:r w:rsidRPr="00172A8F" w:rsidR="00CC71AB">
        <w:t xml:space="preserve"> at 1 (April 2021), </w:t>
      </w:r>
      <w:hyperlink r:id="rId11" w:history="1">
        <w:r w:rsidRPr="006B68D9" w:rsidR="006017AE">
          <w:rPr>
            <w:rStyle w:val="Hyperlink"/>
          </w:rPr>
          <w:t>https://railroads.dot.gov/elibrary/automated-video-inspection-system-grade-crossing-safety</w:t>
        </w:r>
      </w:hyperlink>
      <w:r w:rsidRPr="00172A8F" w:rsidR="006017AE">
        <w:t>.</w:t>
      </w:r>
    </w:p>
  </w:footnote>
  <w:footnote w:id="87">
    <w:p w:rsidR="005B1ACD" w:rsidRPr="006B68D9" w:rsidP="0082160A" w14:paraId="665C7B90" w14:textId="7A2CC88A">
      <w:pPr>
        <w:pStyle w:val="FootnoteText"/>
      </w:pPr>
      <w:r w:rsidRPr="00172A8F">
        <w:rPr>
          <w:rStyle w:val="FootnoteReference"/>
        </w:rPr>
        <w:footnoteRef/>
      </w:r>
      <w:r w:rsidRPr="00172A8F">
        <w:t xml:space="preserve"> </w:t>
      </w:r>
      <w:r w:rsidRPr="006B68D9" w:rsidR="00191E13">
        <w:t>Waiver Modification Request</w:t>
      </w:r>
      <w:r w:rsidRPr="006B68D9">
        <w:t xml:space="preserve"> at 17.</w:t>
      </w:r>
      <w:r w:rsidRPr="006B68D9" w:rsidR="00CC71AB">
        <w:t xml:space="preserve">    </w:t>
      </w:r>
    </w:p>
  </w:footnote>
  <w:footnote w:id="88">
    <w:p w:rsidR="005B1ACD" w:rsidRPr="006B68D9" w:rsidP="0082160A" w14:paraId="04FD271F" w14:textId="15705565">
      <w:pPr>
        <w:pStyle w:val="FootnoteText"/>
      </w:pPr>
      <w:r w:rsidRPr="00172A8F">
        <w:rPr>
          <w:rStyle w:val="FootnoteReference"/>
        </w:rPr>
        <w:footnoteRef/>
      </w:r>
      <w:r w:rsidRPr="00172A8F">
        <w:t xml:space="preserve"> </w:t>
      </w:r>
      <w:r w:rsidRPr="00342675" w:rsidR="008B4A3D">
        <w:rPr>
          <w:i/>
          <w:iCs/>
        </w:rPr>
        <w:t>Id</w:t>
      </w:r>
      <w:r w:rsidR="008B4A3D">
        <w:t>.</w:t>
      </w:r>
      <w:r w:rsidRPr="006B68D9" w:rsidR="008B4A3D">
        <w:t xml:space="preserve"> </w:t>
      </w:r>
      <w:r w:rsidRPr="006B68D9">
        <w:t xml:space="preserve">n.57 (citing Maria Guerrero, </w:t>
      </w:r>
      <w:r w:rsidRPr="00CE2CE3">
        <w:rPr>
          <w:i/>
          <w:iCs/>
        </w:rPr>
        <w:t>Railroad Crossing Arms Remain Down Minutes on End With No Trains in Sight</w:t>
      </w:r>
      <w:r w:rsidRPr="00172A8F">
        <w:t xml:space="preserve">, NBCDFW (Aug. 16, </w:t>
      </w:r>
      <w:r w:rsidRPr="006B68D9">
        <w:t>2017)</w:t>
      </w:r>
      <w:r w:rsidRPr="00172A8F">
        <w:t xml:space="preserve"> </w:t>
      </w:r>
      <w:r w:rsidRPr="00172A8F" w:rsidR="00AF45F5">
        <w:t>(</w:t>
      </w:r>
      <w:r w:rsidRPr="00172A8F">
        <w:t>noting that the prolonged lowering of railroad crossing gates has led motorists to raise the crossing arms manually to let traffic through</w:t>
      </w:r>
      <w:r w:rsidRPr="00172A8F" w:rsidR="00DD77C0">
        <w:t>)</w:t>
      </w:r>
      <w:r w:rsidRPr="00172A8F">
        <w:t>,</w:t>
      </w:r>
      <w:r w:rsidRPr="00172A8F" w:rsidR="00DD77C0">
        <w:t xml:space="preserve"> </w:t>
      </w:r>
      <w:hyperlink r:id="rId12" w:history="1">
        <w:r w:rsidRPr="006B68D9" w:rsidR="00DD77C0">
          <w:rPr>
            <w:rStyle w:val="Hyperlink"/>
          </w:rPr>
          <w:t>https://bit.ly/3L4DVvg</w:t>
        </w:r>
      </w:hyperlink>
      <w:r w:rsidRPr="00172A8F">
        <w:t>).</w:t>
      </w:r>
    </w:p>
  </w:footnote>
  <w:footnote w:id="89">
    <w:p w:rsidR="001A0991" w14:paraId="67CB17D5" w14:textId="2E7C8F96">
      <w:pPr>
        <w:pStyle w:val="FootnoteText"/>
      </w:pPr>
      <w:r>
        <w:rPr>
          <w:rStyle w:val="FootnoteReference"/>
        </w:rPr>
        <w:footnoteRef/>
      </w:r>
      <w:r>
        <w:t xml:space="preserve"> </w:t>
      </w:r>
      <w:r w:rsidR="009646DE">
        <w:rPr>
          <w:i/>
          <w:iCs/>
        </w:rPr>
        <w:t xml:space="preserve">See </w:t>
      </w:r>
      <w:r w:rsidR="009646DE">
        <w:t xml:space="preserve">Waiver Modification Request at 13-14. </w:t>
      </w:r>
    </w:p>
  </w:footnote>
  <w:footnote w:id="90">
    <w:p w:rsidR="006B26C7" w:rsidRPr="006B68D9" w:rsidP="0082160A" w14:paraId="37B195EC" w14:textId="108463AE">
      <w:pPr>
        <w:pStyle w:val="FootnoteText"/>
      </w:pPr>
      <w:r w:rsidRPr="00172A8F">
        <w:rPr>
          <w:rStyle w:val="FootnoteReference"/>
        </w:rPr>
        <w:footnoteRef/>
      </w:r>
      <w:r w:rsidRPr="00172A8F">
        <w:t xml:space="preserve"> </w:t>
      </w:r>
      <w:r w:rsidRPr="00342675" w:rsidR="009C7B00">
        <w:rPr>
          <w:i/>
          <w:iCs/>
        </w:rPr>
        <w:t>Id</w:t>
      </w:r>
      <w:r w:rsidR="009C7B00">
        <w:t>.</w:t>
      </w:r>
      <w:r w:rsidRPr="006B68D9" w:rsidR="009C7B00">
        <w:t xml:space="preserve"> </w:t>
      </w:r>
      <w:r w:rsidRPr="006B68D9">
        <w:t>at 17.</w:t>
      </w:r>
    </w:p>
  </w:footnote>
  <w:footnote w:id="91">
    <w:p w:rsidR="000417AE" w:rsidRPr="006B68D9" w:rsidP="0082160A" w14:paraId="0B0006FB" w14:textId="4DF4403A">
      <w:pPr>
        <w:pStyle w:val="FootnoteText"/>
      </w:pPr>
      <w:r w:rsidRPr="00172A8F">
        <w:rPr>
          <w:rStyle w:val="FootnoteReference"/>
        </w:rPr>
        <w:footnoteRef/>
      </w:r>
      <w:r w:rsidRPr="00172A8F">
        <w:t xml:space="preserve"> </w:t>
      </w:r>
      <w:r w:rsidRPr="00342675" w:rsidR="009C7B00">
        <w:rPr>
          <w:i/>
          <w:iCs/>
        </w:rPr>
        <w:t>Id</w:t>
      </w:r>
      <w:r w:rsidR="009C7B00">
        <w:t>.</w:t>
      </w:r>
      <w:r w:rsidRPr="006B68D9" w:rsidR="009C7B00">
        <w:t xml:space="preserve"> </w:t>
      </w:r>
    </w:p>
  </w:footnote>
  <w:footnote w:id="92">
    <w:p w:rsidR="000417AE" w:rsidRPr="006B68D9" w:rsidP="0082160A" w14:paraId="7EECA072" w14:textId="5983DAAA">
      <w:pPr>
        <w:pStyle w:val="FootnoteText"/>
      </w:pPr>
      <w:r w:rsidRPr="00172A8F">
        <w:rPr>
          <w:rStyle w:val="FootnoteReference"/>
        </w:rPr>
        <w:footnoteRef/>
      </w:r>
      <w:r w:rsidRPr="00172A8F">
        <w:t xml:space="preserve"> </w:t>
      </w:r>
      <w:r w:rsidRPr="00342675" w:rsidR="005C03A6">
        <w:rPr>
          <w:i/>
          <w:iCs/>
        </w:rPr>
        <w:t>Id</w:t>
      </w:r>
      <w:r w:rsidR="005C03A6">
        <w:t>.</w:t>
      </w:r>
    </w:p>
  </w:footnote>
  <w:footnote w:id="93">
    <w:p w:rsidR="001E6069" w:rsidRPr="006B68D9" w:rsidP="001E6069" w14:paraId="50D05456" w14:textId="05A33BF8">
      <w:pPr>
        <w:pStyle w:val="FootnoteText"/>
      </w:pPr>
      <w:r w:rsidRPr="00172A8F">
        <w:rPr>
          <w:rStyle w:val="FootnoteReference"/>
        </w:rPr>
        <w:footnoteRef/>
      </w:r>
      <w:r w:rsidRPr="00172A8F">
        <w:t xml:space="preserve"> </w:t>
      </w:r>
      <w:r w:rsidRPr="00342675" w:rsidR="005C03A6">
        <w:rPr>
          <w:i/>
          <w:iCs/>
        </w:rPr>
        <w:t>Id</w:t>
      </w:r>
      <w:r w:rsidR="005C03A6">
        <w:t>.</w:t>
      </w:r>
      <w:r w:rsidRPr="006B68D9" w:rsidR="005C03A6">
        <w:t xml:space="preserve"> </w:t>
      </w:r>
    </w:p>
  </w:footnote>
  <w:footnote w:id="94">
    <w:p w:rsidR="001E6069" w14:paraId="0F278B67" w14:textId="70CB59E1">
      <w:pPr>
        <w:pStyle w:val="FootnoteText"/>
      </w:pPr>
      <w:r>
        <w:rPr>
          <w:rStyle w:val="FootnoteReference"/>
        </w:rPr>
        <w:footnoteRef/>
      </w:r>
      <w:r>
        <w:t xml:space="preserve"> </w:t>
      </w:r>
      <w:r w:rsidRPr="00342675" w:rsidR="005C03A6">
        <w:rPr>
          <w:i/>
          <w:iCs/>
        </w:rPr>
        <w:t>Id</w:t>
      </w:r>
      <w:r w:rsidR="005C03A6">
        <w:t>.</w:t>
      </w:r>
      <w:r w:rsidRPr="006B68D9" w:rsidR="005C03A6">
        <w:t xml:space="preserve"> </w:t>
      </w:r>
    </w:p>
  </w:footnote>
  <w:footnote w:id="95">
    <w:p w:rsidR="00653A91" w:rsidRPr="006B68D9" w:rsidP="0082160A" w14:paraId="25DB9286" w14:textId="7E4492D0">
      <w:pPr>
        <w:pStyle w:val="FootnoteText"/>
      </w:pPr>
      <w:r w:rsidRPr="00172A8F">
        <w:rPr>
          <w:rStyle w:val="FootnoteReference"/>
        </w:rPr>
        <w:footnoteRef/>
      </w:r>
      <w:r w:rsidRPr="00172A8F">
        <w:t xml:space="preserve"> </w:t>
      </w:r>
      <w:r w:rsidRPr="00342675" w:rsidR="005C03A6">
        <w:rPr>
          <w:i/>
          <w:iCs/>
        </w:rPr>
        <w:t>Id</w:t>
      </w:r>
      <w:r w:rsidR="005C03A6">
        <w:t>.</w:t>
      </w:r>
      <w:r w:rsidRPr="006B68D9" w:rsidR="005C03A6">
        <w:t xml:space="preserve"> </w:t>
      </w:r>
    </w:p>
  </w:footnote>
  <w:footnote w:id="96">
    <w:p w:rsidR="00653A91" w:rsidRPr="006B68D9" w:rsidP="0082160A" w14:paraId="7390E1BD" w14:textId="0CB59F0F">
      <w:pPr>
        <w:pStyle w:val="FootnoteText"/>
      </w:pPr>
      <w:r w:rsidRPr="00172A8F">
        <w:rPr>
          <w:rStyle w:val="FootnoteReference"/>
        </w:rPr>
        <w:footnoteRef/>
      </w:r>
      <w:r w:rsidRPr="00172A8F">
        <w:t xml:space="preserve"> </w:t>
      </w:r>
      <w:r w:rsidRPr="00342675" w:rsidR="005C03A6">
        <w:rPr>
          <w:i/>
          <w:iCs/>
        </w:rPr>
        <w:t>Id</w:t>
      </w:r>
      <w:r w:rsidR="005C03A6">
        <w:t>.</w:t>
      </w:r>
    </w:p>
  </w:footnote>
  <w:footnote w:id="97">
    <w:p w:rsidR="00BF0649" w:rsidRPr="006B68D9" w:rsidP="00BF0649" w14:paraId="6BB6616C" w14:textId="7469E2CC">
      <w:pPr>
        <w:pStyle w:val="FootnoteText"/>
      </w:pPr>
      <w:r w:rsidRPr="00172A8F">
        <w:rPr>
          <w:rStyle w:val="FootnoteReference"/>
        </w:rPr>
        <w:footnoteRef/>
      </w:r>
      <w:r w:rsidRPr="00172A8F">
        <w:t xml:space="preserve"> </w:t>
      </w:r>
      <w:r w:rsidRPr="00342675" w:rsidR="005C03A6">
        <w:rPr>
          <w:i/>
          <w:iCs/>
        </w:rPr>
        <w:t>Id</w:t>
      </w:r>
      <w:r w:rsidR="005C03A6">
        <w:t>.</w:t>
      </w:r>
      <w:r w:rsidRPr="006B68D9" w:rsidR="005C03A6">
        <w:t xml:space="preserve"> </w:t>
      </w:r>
      <w:r w:rsidR="009F3FA9">
        <w:t>at 18.</w:t>
      </w:r>
    </w:p>
  </w:footnote>
  <w:footnote w:id="98">
    <w:p w:rsidR="00B97C97" w:rsidRPr="00534E7C" w14:paraId="0760E762" w14:textId="2B4BEB65">
      <w:pPr>
        <w:pStyle w:val="FootnoteText"/>
      </w:pPr>
      <w:r w:rsidRPr="00172A8F">
        <w:rPr>
          <w:rStyle w:val="FootnoteReference"/>
        </w:rPr>
        <w:footnoteRef/>
      </w:r>
      <w:r w:rsidRPr="00172A8F">
        <w:t xml:space="preserve"> </w:t>
      </w:r>
      <w:r w:rsidRPr="006B68D9">
        <w:rPr>
          <w:i/>
          <w:iCs/>
        </w:rPr>
        <w:t xml:space="preserve">See supra </w:t>
      </w:r>
      <w:r w:rsidRPr="003B707F">
        <w:t>paras</w:t>
      </w:r>
      <w:r w:rsidRPr="006B68D9">
        <w:rPr>
          <w:i/>
          <w:iCs/>
        </w:rPr>
        <w:t xml:space="preserve">. </w:t>
      </w:r>
      <w:r w:rsidRPr="006B68D9">
        <w:t>6-7.</w:t>
      </w:r>
    </w:p>
  </w:footnote>
  <w:footnote w:id="99">
    <w:p w:rsidR="003A5338" w:rsidRPr="00DA28A6" w:rsidP="0082160A" w14:paraId="0E1C5E51" w14:textId="448DADCD">
      <w:pPr>
        <w:pStyle w:val="FootnoteText"/>
      </w:pPr>
      <w:r w:rsidRPr="00172A8F">
        <w:rPr>
          <w:rStyle w:val="FootnoteReference"/>
        </w:rPr>
        <w:footnoteRef/>
      </w:r>
      <w:r w:rsidRPr="00DA28A6">
        <w:t xml:space="preserve"> </w:t>
      </w:r>
      <w:r w:rsidRPr="00DA28A6">
        <w:rPr>
          <w:i/>
          <w:iCs/>
        </w:rPr>
        <w:t>2009 Waiver Order</w:t>
      </w:r>
      <w:r w:rsidRPr="00DA28A6">
        <w:t>, 24 FCC Rcd at 8544</w:t>
      </w:r>
      <w:r w:rsidRPr="00DA28A6" w:rsidR="009321D0">
        <w:t>,</w:t>
      </w:r>
      <w:r w:rsidRPr="00DA28A6">
        <w:t xml:space="preserve"> para. 17.</w:t>
      </w:r>
    </w:p>
  </w:footnote>
  <w:footnote w:id="100">
    <w:p w:rsidR="002225A4" w:rsidRPr="00172A8F" w:rsidP="0082160A" w14:paraId="7CC64858" w14:textId="6DDCCCC9">
      <w:pPr>
        <w:pStyle w:val="FootnoteText"/>
      </w:pPr>
      <w:r w:rsidRPr="00172A8F">
        <w:rPr>
          <w:rStyle w:val="FootnoteReference"/>
        </w:rPr>
        <w:footnoteRef/>
      </w:r>
      <w:r w:rsidRPr="00172A8F">
        <w:t xml:space="preserve"> 47 CFR §§ 90.713(a) (making channels “available for nationwide, commercial use to non-Government, Phase I applicants”), 90.717(b) (making channels “available to non-Government applicants only for nationwide</w:t>
      </w:r>
      <w:r w:rsidRPr="00172A8F" w:rsidR="00320FC3">
        <w:t>,</w:t>
      </w:r>
      <w:r w:rsidRPr="00172A8F">
        <w:t xml:space="preserve"> commercial Phase I systems”).</w:t>
      </w:r>
      <w:r w:rsidRPr="00172A8F" w:rsidR="002070A5">
        <w:t xml:space="preserve">       </w:t>
      </w:r>
    </w:p>
  </w:footnote>
  <w:footnote w:id="101">
    <w:p w:rsidR="00ED3F85" w:rsidRPr="00534E7C" w:rsidP="0082160A" w14:paraId="2D5CF3CE" w14:textId="0A515895">
      <w:pPr>
        <w:pStyle w:val="FootnoteText"/>
      </w:pPr>
      <w:r w:rsidRPr="00172A8F">
        <w:rPr>
          <w:rStyle w:val="FootnoteReference"/>
        </w:rPr>
        <w:footnoteRef/>
      </w:r>
      <w:r w:rsidRPr="00172A8F" w:rsidR="00F565F5">
        <w:t xml:space="preserve"> </w:t>
      </w:r>
      <w:r w:rsidRPr="006B68D9" w:rsidR="00F565F5">
        <w:rPr>
          <w:i/>
          <w:iCs/>
        </w:rPr>
        <w:t>2009 Waiver Order</w:t>
      </w:r>
      <w:r w:rsidRPr="006B68D9" w:rsidR="00F565F5">
        <w:t>, 24 FCC Rcd at 8545-46</w:t>
      </w:r>
      <w:r w:rsidRPr="006B68D9" w:rsidR="009321D0">
        <w:t>,</w:t>
      </w:r>
      <w:r w:rsidRPr="006B68D9" w:rsidR="00F565F5">
        <w:t xml:space="preserve"> para. 20</w:t>
      </w:r>
      <w:r w:rsidRPr="00534E7C">
        <w:t>.</w:t>
      </w:r>
    </w:p>
  </w:footnote>
  <w:footnote w:id="102">
    <w:p w:rsidR="00C52319" w:rsidRPr="00534E7C" w:rsidP="0082160A" w14:paraId="65EB7553" w14:textId="31C81469">
      <w:pPr>
        <w:pStyle w:val="FootnoteText"/>
      </w:pPr>
      <w:r w:rsidRPr="00172A8F">
        <w:rPr>
          <w:rStyle w:val="FootnoteReference"/>
        </w:rPr>
        <w:footnoteRef/>
      </w:r>
      <w:r w:rsidRPr="00172A8F">
        <w:t xml:space="preserve"> </w:t>
      </w:r>
      <w:r w:rsidRPr="00342675" w:rsidR="00261497">
        <w:rPr>
          <w:i/>
          <w:iCs/>
        </w:rPr>
        <w:t>Id</w:t>
      </w:r>
      <w:r w:rsidR="00261497">
        <w:t>.</w:t>
      </w:r>
    </w:p>
  </w:footnote>
  <w:footnote w:id="103">
    <w:p w:rsidR="005C4FE9" w:rsidRPr="00172A8F" w:rsidP="0082160A" w14:paraId="6AF15E80" w14:textId="19231F5E">
      <w:pPr>
        <w:pStyle w:val="FootnoteText"/>
      </w:pPr>
      <w:r w:rsidRPr="00172A8F">
        <w:rPr>
          <w:rStyle w:val="FootnoteReference"/>
        </w:rPr>
        <w:footnoteRef/>
      </w:r>
      <w:r w:rsidRPr="00172A8F">
        <w:t xml:space="preserve"> </w:t>
      </w:r>
      <w:r w:rsidRPr="006B68D9" w:rsidR="00191E13">
        <w:t>Waiver Modification Request</w:t>
      </w:r>
      <w:r w:rsidRPr="006B68D9" w:rsidR="006E094A">
        <w:t xml:space="preserve"> at 11 </w:t>
      </w:r>
      <w:r w:rsidRPr="006B68D9" w:rsidR="002B3AF9">
        <w:t>(</w:t>
      </w:r>
      <w:r w:rsidRPr="006B68D9" w:rsidR="006E094A">
        <w:t xml:space="preserve">citing </w:t>
      </w:r>
      <w:r w:rsidRPr="00534E7C" w:rsidR="00B9256E">
        <w:rPr>
          <w:i/>
          <w:iCs/>
        </w:rPr>
        <w:t xml:space="preserve">Application for Consent to the Assignment of a Five-Channel 220 MHz Nationwide License (Call Sign WPWY753, formerly </w:t>
      </w:r>
      <w:r w:rsidRPr="00172A8F" w:rsidR="00B9256E">
        <w:rPr>
          <w:i/>
          <w:iCs/>
        </w:rPr>
        <w:t>WPTC968) from Rush Network Corp. to the Association of American Railroads</w:t>
      </w:r>
      <w:r w:rsidRPr="00172A8F" w:rsidR="00B9256E">
        <w:t>, Order, 18 FCC Rcd 24711</w:t>
      </w:r>
      <w:r w:rsidRPr="00172A8F" w:rsidR="00EC36B7">
        <w:t xml:space="preserve"> </w:t>
      </w:r>
      <w:r w:rsidRPr="00172A8F" w:rsidR="00B9256E">
        <w:t>(WTB</w:t>
      </w:r>
      <w:r w:rsidRPr="00172A8F" w:rsidR="00B7003C">
        <w:t xml:space="preserve"> CWD</w:t>
      </w:r>
      <w:r w:rsidRPr="00172A8F" w:rsidR="00B9256E">
        <w:t xml:space="preserve"> 2003) (</w:t>
      </w:r>
      <w:r w:rsidRPr="00172A8F" w:rsidR="00B9256E">
        <w:rPr>
          <w:i/>
          <w:iCs/>
        </w:rPr>
        <w:t xml:space="preserve">2003 AAR </w:t>
      </w:r>
      <w:r w:rsidRPr="00172A8F" w:rsidR="00B7003C">
        <w:rPr>
          <w:i/>
          <w:iCs/>
        </w:rPr>
        <w:t>Order</w:t>
      </w:r>
      <w:r w:rsidRPr="00172A8F" w:rsidR="00B9256E">
        <w:t>)</w:t>
      </w:r>
      <w:r w:rsidRPr="00172A8F" w:rsidR="002B3AF9">
        <w:t>)</w:t>
      </w:r>
      <w:r w:rsidRPr="00172A8F" w:rsidR="00B9256E">
        <w:t>.</w:t>
      </w:r>
    </w:p>
  </w:footnote>
  <w:footnote w:id="104">
    <w:p w:rsidR="00B9256E" w:rsidRPr="00172A8F" w:rsidP="0082160A" w14:paraId="3B3AEBB6" w14:textId="44481EF5">
      <w:pPr>
        <w:pStyle w:val="FootnoteText"/>
      </w:pPr>
      <w:r w:rsidRPr="00172A8F">
        <w:rPr>
          <w:rStyle w:val="FootnoteReference"/>
        </w:rPr>
        <w:footnoteRef/>
      </w:r>
      <w:r w:rsidRPr="00172A8F">
        <w:t xml:space="preserve"> </w:t>
      </w:r>
      <w:r w:rsidRPr="006B68D9" w:rsidR="00201151">
        <w:rPr>
          <w:i/>
          <w:iCs/>
        </w:rPr>
        <w:t>2003 AAR Order</w:t>
      </w:r>
      <w:r w:rsidRPr="006B68D9" w:rsidR="00201151">
        <w:t>, 18 FCC Rcd at 2471</w:t>
      </w:r>
      <w:r w:rsidRPr="006B68D9" w:rsidR="006E094A">
        <w:t>4</w:t>
      </w:r>
      <w:r w:rsidRPr="006B68D9" w:rsidR="009321D0">
        <w:t>,</w:t>
      </w:r>
      <w:r w:rsidRPr="00534E7C" w:rsidR="00201151">
        <w:t xml:space="preserve"> p</w:t>
      </w:r>
      <w:r w:rsidRPr="00534E7C">
        <w:t>ara.</w:t>
      </w:r>
      <w:r w:rsidRPr="00534E7C" w:rsidR="006E094A">
        <w:t xml:space="preserve"> 8</w:t>
      </w:r>
      <w:r w:rsidRPr="00172A8F">
        <w:t xml:space="preserve">. </w:t>
      </w:r>
      <w:r w:rsidRPr="00172A8F" w:rsidR="00A006F7">
        <w:t xml:space="preserve"> </w:t>
      </w:r>
    </w:p>
  </w:footnote>
  <w:footnote w:id="105">
    <w:p w:rsidR="00F97149" w:rsidRPr="00172A8F" w:rsidP="0082160A" w14:paraId="28C8B7DC" w14:textId="14DEDB11">
      <w:pPr>
        <w:pStyle w:val="FootnoteText"/>
      </w:pPr>
      <w:r w:rsidRPr="00172A8F">
        <w:rPr>
          <w:rStyle w:val="FootnoteReference"/>
        </w:rPr>
        <w:footnoteRef/>
      </w:r>
      <w:r w:rsidRPr="00172A8F">
        <w:t xml:space="preserve"> </w:t>
      </w:r>
      <w:r w:rsidRPr="006B68D9">
        <w:rPr>
          <w:i/>
          <w:iCs/>
        </w:rPr>
        <w:t>2015 PTC-220 Order</w:t>
      </w:r>
      <w:r w:rsidRPr="006B68D9">
        <w:t xml:space="preserve">, 30 FCC Rcd </w:t>
      </w:r>
      <w:r w:rsidRPr="006B68D9" w:rsidR="00F200D1">
        <w:t xml:space="preserve">at </w:t>
      </w:r>
      <w:r w:rsidRPr="006B68D9">
        <w:t>4635</w:t>
      </w:r>
      <w:r w:rsidRPr="00534E7C" w:rsidR="003E0AAE">
        <w:t>, 46</w:t>
      </w:r>
      <w:r w:rsidRPr="00534E7C" w:rsidR="00F200D1">
        <w:t>38</w:t>
      </w:r>
      <w:r w:rsidRPr="00534E7C">
        <w:t>.</w:t>
      </w:r>
    </w:p>
  </w:footnote>
  <w:footnote w:id="106">
    <w:p w:rsidR="00F97149" w:rsidRPr="006B68D9" w:rsidP="0082160A" w14:paraId="3F088DB5" w14:textId="2FCF06C2">
      <w:pPr>
        <w:pStyle w:val="FootnoteText"/>
      </w:pPr>
      <w:r w:rsidRPr="00172A8F">
        <w:rPr>
          <w:rStyle w:val="FootnoteReference"/>
        </w:rPr>
        <w:footnoteRef/>
      </w:r>
      <w:r w:rsidRPr="00172A8F">
        <w:t xml:space="preserve"> </w:t>
      </w:r>
      <w:r w:rsidRPr="006B68D9">
        <w:rPr>
          <w:i/>
          <w:iCs/>
        </w:rPr>
        <w:t>Id</w:t>
      </w:r>
      <w:r w:rsidRPr="006B68D9">
        <w:t>. at 4638.</w:t>
      </w:r>
      <w:r w:rsidRPr="006B68D9" w:rsidR="0026462F">
        <w:t xml:space="preserve">  </w:t>
      </w:r>
      <w:r w:rsidR="00E76440">
        <w:t>We note that t</w:t>
      </w:r>
      <w:r w:rsidRPr="006B68D9" w:rsidR="0026462F">
        <w:t xml:space="preserve">he Bureau did not limit the waiver to PTC. </w:t>
      </w:r>
    </w:p>
  </w:footnote>
  <w:footnote w:id="107">
    <w:p w:rsidR="0034254F" w:rsidRPr="00172A8F" w:rsidP="0082160A" w14:paraId="1D364066" w14:textId="08E5730C">
      <w:pPr>
        <w:pStyle w:val="FootnoteText"/>
      </w:pPr>
      <w:r w:rsidRPr="00172A8F">
        <w:rPr>
          <w:rStyle w:val="FootnoteReference"/>
        </w:rPr>
        <w:footnoteRef/>
      </w:r>
      <w:r w:rsidRPr="00172A8F" w:rsidR="00B97B9F">
        <w:t xml:space="preserve"> </w:t>
      </w:r>
      <w:r w:rsidR="006D1B88">
        <w:t xml:space="preserve">The </w:t>
      </w:r>
      <w:r w:rsidRPr="00172A8F" w:rsidR="00B97B9F">
        <w:t>Appendix to this Order provides a list of the licenses subject to today’s modification of the section</w:t>
      </w:r>
      <w:r w:rsidR="00261497">
        <w:t>s</w:t>
      </w:r>
      <w:r w:rsidRPr="006B68D9" w:rsidR="00F24A1E">
        <w:t xml:space="preserve"> 90.713(a) and 90.717(b) </w:t>
      </w:r>
      <w:r w:rsidRPr="00172A8F" w:rsidR="00B97B9F">
        <w:t>rule waiver</w:t>
      </w:r>
      <w:r w:rsidRPr="00172A8F" w:rsidR="00F24A1E">
        <w:t>s</w:t>
      </w:r>
      <w:r w:rsidRPr="00172A8F" w:rsidR="00B97B9F">
        <w:t>.</w:t>
      </w:r>
    </w:p>
  </w:footnote>
  <w:footnote w:id="108">
    <w:p w:rsidR="0039653F" w:rsidRPr="00172A8F" w:rsidP="0039653F" w14:paraId="20441FF4" w14:textId="77777777">
      <w:pPr>
        <w:pStyle w:val="FootnoteText"/>
      </w:pPr>
      <w:r w:rsidRPr="00172A8F">
        <w:rPr>
          <w:rStyle w:val="FootnoteReference"/>
        </w:rPr>
        <w:footnoteRef/>
      </w:r>
      <w:r w:rsidRPr="00172A8F">
        <w:t xml:space="preserve"> 47 U.S.C. § 151 (establishing the Commission fo</w:t>
      </w:r>
      <w:r w:rsidRPr="006B68D9">
        <w:t>r the “purpose of promoting safety of life and property through the use of wire and radio communications”).</w:t>
      </w:r>
    </w:p>
  </w:footnote>
  <w:footnote w:id="109">
    <w:p w:rsidR="00C52319" w:rsidRPr="006B68D9" w:rsidP="0082160A" w14:paraId="1500EB23" w14:textId="23567530">
      <w:pPr>
        <w:pStyle w:val="FootnoteText"/>
      </w:pPr>
      <w:r w:rsidRPr="00172A8F">
        <w:rPr>
          <w:rStyle w:val="FootnoteReference"/>
        </w:rPr>
        <w:footnoteRef/>
      </w:r>
      <w:r w:rsidRPr="00172A8F">
        <w:t xml:space="preserve"> </w:t>
      </w:r>
      <w:smartTag w:uri="urn:schemas-microsoft-com:office:smarttags" w:element="metricconverter">
        <w:smartTagPr>
          <w:attr w:name="ProductID" w:val="47 C"/>
        </w:smartTagPr>
        <w:r w:rsidRPr="00172A8F">
          <w:t>47 C</w:t>
        </w:r>
      </w:smartTag>
      <w:r w:rsidRPr="00172A8F">
        <w:t>FR § 90.715(a).</w:t>
      </w:r>
    </w:p>
  </w:footnote>
  <w:footnote w:id="110">
    <w:p w:rsidR="00C52319" w:rsidRPr="00534E7C" w:rsidP="0082160A" w14:paraId="5F496C77" w14:textId="48A17E56">
      <w:pPr>
        <w:pStyle w:val="FootnoteText"/>
      </w:pPr>
      <w:r w:rsidRPr="00172A8F">
        <w:rPr>
          <w:rStyle w:val="FootnoteReference"/>
        </w:rPr>
        <w:footnoteRef/>
      </w:r>
      <w:r w:rsidRPr="00172A8F">
        <w:t xml:space="preserve"> </w:t>
      </w:r>
      <w:r w:rsidRPr="006B68D9">
        <w:rPr>
          <w:i/>
          <w:iCs/>
        </w:rPr>
        <w:t>2009 Waiver Order</w:t>
      </w:r>
      <w:r w:rsidRPr="006B68D9">
        <w:t>, 24 FCC Rcd at 8541</w:t>
      </w:r>
      <w:r w:rsidRPr="006B68D9" w:rsidR="009321D0">
        <w:t>,</w:t>
      </w:r>
      <w:r w:rsidRPr="006B68D9">
        <w:t xml:space="preserve"> para. 9.</w:t>
      </w:r>
    </w:p>
  </w:footnote>
  <w:footnote w:id="111">
    <w:p w:rsidR="00C52319" w:rsidRPr="00534E7C" w:rsidP="0082160A" w14:paraId="1C04098D" w14:textId="7706ED1F">
      <w:pPr>
        <w:pStyle w:val="FootnoteText"/>
      </w:pPr>
      <w:r w:rsidRPr="00172A8F">
        <w:rPr>
          <w:rStyle w:val="FootnoteReference"/>
        </w:rPr>
        <w:footnoteRef/>
      </w:r>
      <w:r w:rsidRPr="00172A8F">
        <w:t xml:space="preserve"> </w:t>
      </w:r>
      <w:r w:rsidRPr="00342675" w:rsidR="00261497">
        <w:rPr>
          <w:i/>
          <w:iCs/>
        </w:rPr>
        <w:t>Id</w:t>
      </w:r>
      <w:r w:rsidR="00261497">
        <w:t>.</w:t>
      </w:r>
      <w:r w:rsidRPr="006B68D9" w:rsidR="00261497">
        <w:t xml:space="preserve"> </w:t>
      </w:r>
      <w:r w:rsidRPr="006B68D9">
        <w:t>at 8544</w:t>
      </w:r>
      <w:r w:rsidRPr="006B68D9" w:rsidR="00112298">
        <w:t>-45</w:t>
      </w:r>
      <w:r w:rsidRPr="006B68D9" w:rsidR="009321D0">
        <w:t>,</w:t>
      </w:r>
      <w:r w:rsidRPr="00534E7C">
        <w:t xml:space="preserve"> para. 18.</w:t>
      </w:r>
    </w:p>
  </w:footnote>
  <w:footnote w:id="112">
    <w:p w:rsidR="007D017A" w:rsidRPr="00172A8F" w:rsidP="0082160A" w14:paraId="4CF212F2" w14:textId="367FAA67">
      <w:pPr>
        <w:pStyle w:val="FootnoteText"/>
      </w:pPr>
      <w:r w:rsidRPr="00172A8F">
        <w:rPr>
          <w:rStyle w:val="FootnoteReference"/>
        </w:rPr>
        <w:footnoteRef/>
      </w:r>
      <w:r w:rsidRPr="00172A8F">
        <w:t xml:space="preserve"> According to PTC-220, “[i]n the more than eight years that the railroads have been transmitting in the 220 MHz band (with the nationwide network substantially complete as of 2018), there have been no known cases of harmful interference.”  Waiver Modification Request at 3.  </w:t>
      </w:r>
      <w:r w:rsidRPr="00172A8F" w:rsidR="002B3AF9">
        <w:t xml:space="preserve">As explained below, </w:t>
      </w:r>
      <w:r w:rsidRPr="00172A8F" w:rsidR="002B3AF9">
        <w:rPr>
          <w:i/>
          <w:iCs/>
        </w:rPr>
        <w:t xml:space="preserve">see infra </w:t>
      </w:r>
      <w:r w:rsidRPr="00172A8F" w:rsidR="002B3AF9">
        <w:t xml:space="preserve">para. </w:t>
      </w:r>
      <w:r w:rsidR="00D64EE6">
        <w:t>60</w:t>
      </w:r>
      <w:r w:rsidRPr="00172A8F" w:rsidR="002B3AF9">
        <w:t>, e</w:t>
      </w:r>
      <w:r w:rsidRPr="00172A8F">
        <w:t xml:space="preserve">ven if PTC-220 does receive a report of interference related to its rail safety operations, today’s </w:t>
      </w:r>
      <w:r w:rsidRPr="00261497">
        <w:t>Order re</w:t>
      </w:r>
      <w:r w:rsidRPr="00172A8F">
        <w:t xml:space="preserve">quires PTC-220 to investigate and resolve such reports at its own expense within 60 days. </w:t>
      </w:r>
    </w:p>
  </w:footnote>
  <w:footnote w:id="113">
    <w:p w:rsidR="00815EA7" w:rsidRPr="00172A8F" w:rsidP="0082160A" w14:paraId="50138044" w14:textId="657B4988">
      <w:pPr>
        <w:pStyle w:val="FootnoteText"/>
      </w:pPr>
      <w:r w:rsidRPr="00172A8F">
        <w:rPr>
          <w:rStyle w:val="FootnoteReference"/>
        </w:rPr>
        <w:footnoteRef/>
      </w:r>
      <w:r w:rsidRPr="00172A8F">
        <w:t xml:space="preserve"> </w:t>
      </w:r>
      <w:smartTag w:uri="urn:schemas-microsoft-com:office:smarttags" w:element="metricconverter">
        <w:smartTagPr>
          <w:attr w:name="ProductID" w:val="47 C"/>
        </w:smartTagPr>
        <w:r w:rsidRPr="00172A8F">
          <w:t>47 C</w:t>
        </w:r>
      </w:smartTag>
      <w:r w:rsidRPr="00172A8F">
        <w:t>FR § 1.925(b)(3)(i).</w:t>
      </w:r>
      <w:r w:rsidRPr="006B68D9" w:rsidR="00313376">
        <w:t xml:space="preserve">  </w:t>
      </w:r>
      <w:r w:rsidR="006D1B88">
        <w:t xml:space="preserve">The </w:t>
      </w:r>
      <w:r w:rsidRPr="006B68D9" w:rsidR="00A94AA9">
        <w:t xml:space="preserve">Appendix to this Order provides a list of the licenses subject to today’s modification of the section 90.715(a) rule waiver.  </w:t>
      </w:r>
    </w:p>
  </w:footnote>
  <w:footnote w:id="114">
    <w:p w:rsidR="00C52319" w:rsidRPr="00172A8F" w:rsidP="0082160A" w14:paraId="61EF235D" w14:textId="094B9D85">
      <w:pPr>
        <w:pStyle w:val="FootnoteText"/>
      </w:pPr>
      <w:r w:rsidRPr="00172A8F">
        <w:rPr>
          <w:rStyle w:val="FootnoteReference"/>
        </w:rPr>
        <w:footnoteRef/>
      </w:r>
      <w:r w:rsidRPr="00172A8F">
        <w:t xml:space="preserve"> </w:t>
      </w:r>
      <w:r w:rsidRPr="00172A8F" w:rsidR="00716D29">
        <w:t xml:space="preserve">Waiver Modification Request at 12 </w:t>
      </w:r>
      <w:r w:rsidRPr="00172A8F" w:rsidR="000A131C">
        <w:t>(</w:t>
      </w:r>
      <w:r w:rsidRPr="00172A8F" w:rsidR="00716D29">
        <w:t xml:space="preserve">citing </w:t>
      </w:r>
      <w:r w:rsidRPr="00172A8F">
        <w:t>47 CFR § 90.735</w:t>
      </w:r>
      <w:r w:rsidRPr="00172A8F" w:rsidR="0010225E">
        <w:t>(a) (“</w:t>
      </w:r>
      <w:r w:rsidRPr="00172A8F" w:rsidR="006C0251">
        <w:t>[e]</w:t>
      </w:r>
      <w:r w:rsidRPr="00172A8F" w:rsidR="0010225E">
        <w:rPr>
          <w:color w:val="333333"/>
          <w:shd w:val="clear" w:color="auto" w:fill="FFFFFF"/>
        </w:rPr>
        <w:t>xcept for nationwide systems authorized in the 220-222 MHz</w:t>
      </w:r>
      <w:r w:rsidRPr="00172A8F" w:rsidR="00B11B99">
        <w:rPr>
          <w:color w:val="333333"/>
          <w:shd w:val="clear" w:color="auto" w:fill="FFFFFF"/>
        </w:rPr>
        <w:t xml:space="preserve"> </w:t>
      </w:r>
      <w:r w:rsidRPr="00172A8F" w:rsidR="001F7214">
        <w:rPr>
          <w:color w:val="333333"/>
          <w:shd w:val="clear" w:color="auto" w:fill="FFFFFF"/>
        </w:rPr>
        <w:t>b</w:t>
      </w:r>
      <w:r w:rsidRPr="00172A8F" w:rsidR="0010225E">
        <w:rPr>
          <w:color w:val="333333"/>
          <w:shd w:val="clear" w:color="auto" w:fill="FFFFFF"/>
        </w:rPr>
        <w:t>and,</w:t>
      </w:r>
      <w:r w:rsidRPr="00172A8F" w:rsidR="001F7214">
        <w:rPr>
          <w:color w:val="333333"/>
          <w:shd w:val="clear" w:color="auto" w:fill="FFFFFF"/>
        </w:rPr>
        <w:t xml:space="preserve"> </w:t>
      </w:r>
      <w:r w:rsidRPr="00172A8F" w:rsidR="0010225E">
        <w:rPr>
          <w:shd w:val="clear" w:color="auto" w:fill="FFFFFF"/>
        </w:rPr>
        <w:t>station</w:t>
      </w:r>
      <w:r w:rsidRPr="00172A8F" w:rsidR="0010225E">
        <w:rPr>
          <w:color w:val="333333"/>
          <w:shd w:val="clear" w:color="auto" w:fill="FFFFFF"/>
        </w:rPr>
        <w:t> identification is required pursuant to </w:t>
      </w:r>
      <w:r w:rsidRPr="00172A8F" w:rsidR="0010225E">
        <w:rPr>
          <w:shd w:val="clear" w:color="auto" w:fill="FFFFFF"/>
        </w:rPr>
        <w:t>§ 90.425</w:t>
      </w:r>
      <w:r w:rsidRPr="00172A8F" w:rsidR="0010225E">
        <w:rPr>
          <w:color w:val="333333"/>
          <w:shd w:val="clear" w:color="auto" w:fill="FFFFFF"/>
        </w:rPr>
        <w:t> of this part</w:t>
      </w:r>
      <w:r w:rsidRPr="00172A8F" w:rsidR="006C0251">
        <w:rPr>
          <w:color w:val="333333"/>
          <w:shd w:val="clear" w:color="auto" w:fill="FFFFFF"/>
        </w:rPr>
        <w:t>”)</w:t>
      </w:r>
      <w:r w:rsidRPr="00172A8F" w:rsidR="000A131C">
        <w:rPr>
          <w:color w:val="333333"/>
          <w:shd w:val="clear" w:color="auto" w:fill="FFFFFF"/>
        </w:rPr>
        <w:t>)</w:t>
      </w:r>
      <w:r w:rsidRPr="00172A8F" w:rsidR="006C0251">
        <w:rPr>
          <w:color w:val="333333"/>
          <w:shd w:val="clear" w:color="auto" w:fill="FFFFFF"/>
        </w:rPr>
        <w:t>.</w:t>
      </w:r>
      <w:r w:rsidRPr="00172A8F">
        <w:t xml:space="preserve">  </w:t>
      </w:r>
    </w:p>
  </w:footnote>
  <w:footnote w:id="115">
    <w:p w:rsidR="0032659B" w:rsidRPr="00534E7C" w:rsidP="0082160A" w14:paraId="6DB097E0" w14:textId="30556C98">
      <w:pPr>
        <w:pStyle w:val="FootnoteText"/>
      </w:pPr>
      <w:r w:rsidRPr="00172A8F">
        <w:rPr>
          <w:rStyle w:val="FootnoteReference"/>
        </w:rPr>
        <w:footnoteRef/>
      </w:r>
      <w:r w:rsidRPr="00172A8F">
        <w:t xml:space="preserve"> </w:t>
      </w:r>
      <w:r w:rsidRPr="006B68D9">
        <w:rPr>
          <w:i/>
          <w:iCs/>
        </w:rPr>
        <w:t>2009 Waiver Order</w:t>
      </w:r>
      <w:r w:rsidRPr="006B68D9">
        <w:t>, 24 FCC Rcd at 8544</w:t>
      </w:r>
      <w:r w:rsidRPr="006B68D9" w:rsidR="00E83B15">
        <w:t>,</w:t>
      </w:r>
      <w:r w:rsidRPr="006B68D9">
        <w:t xml:space="preserve"> para. 18.</w:t>
      </w:r>
    </w:p>
  </w:footnote>
  <w:footnote w:id="116">
    <w:p w:rsidR="008A492A" w:rsidRPr="00534E7C" w:rsidP="0082160A" w14:paraId="3B0054D1" w14:textId="15BAD86D">
      <w:pPr>
        <w:pStyle w:val="FootnoteText"/>
      </w:pPr>
      <w:r w:rsidRPr="00172A8F">
        <w:rPr>
          <w:rStyle w:val="FootnoteReference"/>
        </w:rPr>
        <w:footnoteRef/>
      </w:r>
      <w:r w:rsidRPr="00172A8F">
        <w:t xml:space="preserve"> </w:t>
      </w:r>
      <w:r w:rsidRPr="00342675" w:rsidR="00261497">
        <w:rPr>
          <w:i/>
          <w:iCs/>
        </w:rPr>
        <w:t>Id</w:t>
      </w:r>
      <w:r w:rsidR="00261497">
        <w:t>.</w:t>
      </w:r>
    </w:p>
  </w:footnote>
  <w:footnote w:id="117">
    <w:p w:rsidR="002712D0" w:rsidRPr="00534E7C" w:rsidP="0082160A" w14:paraId="21B5894A" w14:textId="2B87AC85">
      <w:pPr>
        <w:pStyle w:val="FootnoteText"/>
      </w:pPr>
      <w:r w:rsidRPr="00172A8F">
        <w:rPr>
          <w:rStyle w:val="FootnoteReference"/>
        </w:rPr>
        <w:footnoteRef/>
      </w:r>
      <w:r w:rsidRPr="00172A8F">
        <w:t xml:space="preserve"> </w:t>
      </w:r>
      <w:r w:rsidRPr="006B68D9" w:rsidR="007D494F">
        <w:t xml:space="preserve">2015 </w:t>
      </w:r>
      <w:r w:rsidRPr="006B68D9">
        <w:rPr>
          <w:i/>
          <w:iCs/>
        </w:rPr>
        <w:t>PTC-220 Order</w:t>
      </w:r>
      <w:r w:rsidRPr="006B68D9">
        <w:t xml:space="preserve">, 30 FCC Rcd </w:t>
      </w:r>
      <w:r w:rsidRPr="006B68D9" w:rsidR="007D494F">
        <w:t xml:space="preserve">at </w:t>
      </w:r>
      <w:r w:rsidRPr="00534E7C">
        <w:t>4637</w:t>
      </w:r>
      <w:r w:rsidRPr="00534E7C" w:rsidR="007D494F">
        <w:t>.</w:t>
      </w:r>
    </w:p>
  </w:footnote>
  <w:footnote w:id="118">
    <w:p w:rsidR="002712D0" w:rsidRPr="00172A8F" w:rsidP="0082160A" w14:paraId="4C60A071" w14:textId="34E6AB64">
      <w:pPr>
        <w:pStyle w:val="FootnoteText"/>
      </w:pPr>
      <w:r w:rsidRPr="00172A8F">
        <w:rPr>
          <w:rStyle w:val="FootnoteReference"/>
        </w:rPr>
        <w:footnoteRef/>
      </w:r>
      <w:r w:rsidRPr="00172A8F">
        <w:t xml:space="preserve"> </w:t>
      </w:r>
      <w:r w:rsidRPr="00172A8F" w:rsidR="00191E13">
        <w:t>Waiver Modification Request</w:t>
      </w:r>
      <w:r w:rsidRPr="00172A8F">
        <w:t>, Appendix A.</w:t>
      </w:r>
    </w:p>
  </w:footnote>
  <w:footnote w:id="119">
    <w:p w:rsidR="0032659B" w:rsidRPr="00534E7C" w:rsidP="0082160A" w14:paraId="2ABF5221" w14:textId="1A9E8F8D">
      <w:pPr>
        <w:pStyle w:val="FootnoteText"/>
      </w:pPr>
      <w:r w:rsidRPr="00172A8F">
        <w:rPr>
          <w:rStyle w:val="FootnoteReference"/>
        </w:rPr>
        <w:footnoteRef/>
      </w:r>
      <w:r w:rsidRPr="00172A8F">
        <w:t xml:space="preserve"> </w:t>
      </w:r>
      <w:r w:rsidRPr="006B68D9">
        <w:rPr>
          <w:i/>
          <w:iCs/>
        </w:rPr>
        <w:t>2009 Waiver Order</w:t>
      </w:r>
      <w:r w:rsidRPr="006B68D9">
        <w:t>, 24 FCC Rcd at 8545</w:t>
      </w:r>
      <w:r w:rsidRPr="006B68D9" w:rsidR="009321D0">
        <w:t>,</w:t>
      </w:r>
      <w:r w:rsidRPr="006B68D9">
        <w:t xml:space="preserve"> para 1</w:t>
      </w:r>
      <w:r w:rsidRPr="00534E7C" w:rsidR="008A492A">
        <w:t>9</w:t>
      </w:r>
      <w:r w:rsidRPr="00534E7C">
        <w:t>.</w:t>
      </w:r>
    </w:p>
  </w:footnote>
  <w:footnote w:id="120">
    <w:p w:rsidR="00F72DAE" w:rsidRPr="00172A8F" w:rsidP="0082160A" w14:paraId="6C21CB7D" w14:textId="7EA99D60">
      <w:pPr>
        <w:pStyle w:val="FootnoteText"/>
      </w:pPr>
      <w:r w:rsidRPr="00172A8F">
        <w:rPr>
          <w:rStyle w:val="FootnoteReference"/>
        </w:rPr>
        <w:footnoteRef/>
      </w:r>
      <w:r w:rsidRPr="00172A8F">
        <w:t xml:space="preserve"> </w:t>
      </w:r>
      <w:r w:rsidRPr="00342675" w:rsidR="00522E06">
        <w:rPr>
          <w:i/>
          <w:iCs/>
        </w:rPr>
        <w:t>Id</w:t>
      </w:r>
      <w:r w:rsidR="00522E06">
        <w:t>.</w:t>
      </w:r>
      <w:r w:rsidRPr="00534E7C" w:rsidR="00B965FD">
        <w:t xml:space="preserve">  The Bureau also noted that if “an adjacent market licensee does experience co-channel interference, it can determine if the source is a site-specific incumbent because site-specific incumbents will be transmitting station identification information.”  </w:t>
      </w:r>
      <w:r w:rsidRPr="00172A8F" w:rsidR="00B965FD">
        <w:rPr>
          <w:i/>
          <w:iCs/>
        </w:rPr>
        <w:t>Id</w:t>
      </w:r>
      <w:r w:rsidRPr="00172A8F" w:rsidR="00B965FD">
        <w:t>. n</w:t>
      </w:r>
      <w:r w:rsidR="00522E06">
        <w:t>.</w:t>
      </w:r>
      <w:r w:rsidRPr="00172A8F" w:rsidR="00B965FD">
        <w:t>68.</w:t>
      </w:r>
      <w:r w:rsidRPr="00172A8F" w:rsidR="002B6401">
        <w:t xml:space="preserve"> </w:t>
      </w:r>
    </w:p>
  </w:footnote>
  <w:footnote w:id="121">
    <w:p w:rsidR="00F72DAE" w:rsidRPr="00172A8F" w:rsidP="0082160A" w14:paraId="3E485324" w14:textId="07865E90">
      <w:pPr>
        <w:pStyle w:val="FootnoteText"/>
      </w:pPr>
      <w:r w:rsidRPr="006B68D9">
        <w:rPr>
          <w:rStyle w:val="FootnoteReference"/>
        </w:rPr>
        <w:footnoteRef/>
      </w:r>
      <w:r w:rsidRPr="006B68D9">
        <w:t xml:space="preserve"> </w:t>
      </w:r>
      <w:r w:rsidRPr="00342675" w:rsidR="004634A9">
        <w:rPr>
          <w:i/>
          <w:iCs/>
        </w:rPr>
        <w:t>Id</w:t>
      </w:r>
      <w:r w:rsidR="004634A9">
        <w:t>.</w:t>
      </w:r>
      <w:r w:rsidRPr="006B68D9" w:rsidR="004634A9">
        <w:t xml:space="preserve"> </w:t>
      </w:r>
      <w:r w:rsidRPr="006B68D9" w:rsidR="00B965FD">
        <w:t>at 8545</w:t>
      </w:r>
      <w:r w:rsidRPr="00534E7C" w:rsidR="009321D0">
        <w:t>,</w:t>
      </w:r>
      <w:r w:rsidRPr="00534E7C" w:rsidR="00B965FD">
        <w:t xml:space="preserve"> para 19.  </w:t>
      </w:r>
      <w:r w:rsidRPr="00534E7C">
        <w:t>The Bureau also noted that unresolved interference may result in action by the Commission requiring PTC-220 to suspend operation of the offending transmitter until the interference is resolved.</w:t>
      </w:r>
      <w:r w:rsidRPr="00172A8F" w:rsidR="009321D0">
        <w:t xml:space="preserve">  </w:t>
      </w:r>
      <w:r w:rsidRPr="00172A8F">
        <w:rPr>
          <w:i/>
          <w:iCs/>
        </w:rPr>
        <w:t>Id</w:t>
      </w:r>
      <w:r w:rsidRPr="00172A8F">
        <w:t>.</w:t>
      </w:r>
    </w:p>
  </w:footnote>
  <w:footnote w:id="122">
    <w:p w:rsidR="001F7214" w:rsidRPr="00534E7C" w:rsidP="0082160A" w14:paraId="7DC0FEA5" w14:textId="45C0CCC2">
      <w:pPr>
        <w:pStyle w:val="FootnoteText"/>
      </w:pPr>
      <w:r w:rsidRPr="006B68D9">
        <w:rPr>
          <w:rStyle w:val="FootnoteReference"/>
        </w:rPr>
        <w:footnoteRef/>
      </w:r>
      <w:r w:rsidRPr="006B68D9">
        <w:t xml:space="preserve"> </w:t>
      </w:r>
      <w:r w:rsidR="002C4EC7">
        <w:rPr>
          <w:i/>
          <w:iCs/>
        </w:rPr>
        <w:t xml:space="preserve">See </w:t>
      </w:r>
      <w:r w:rsidR="002C4EC7">
        <w:t xml:space="preserve">47 U.S.C. § 151.  </w:t>
      </w:r>
      <w:r w:rsidR="006D1B88">
        <w:t xml:space="preserve">The </w:t>
      </w:r>
      <w:r w:rsidRPr="006B68D9">
        <w:t>Appendix to this Order list</w:t>
      </w:r>
      <w:r w:rsidRPr="006B68D9" w:rsidR="00A94AA9">
        <w:t>s</w:t>
      </w:r>
      <w:r w:rsidRPr="006B68D9">
        <w:t xml:space="preserve"> the licenses subject to today’s modification of the section 90.735</w:t>
      </w:r>
      <w:r w:rsidRPr="006B68D9" w:rsidR="00D14435">
        <w:t>(a)</w:t>
      </w:r>
      <w:r w:rsidRPr="00534E7C">
        <w:t xml:space="preserve"> rule waiver</w:t>
      </w:r>
      <w:r w:rsidRPr="00534E7C" w:rsidR="00A94AA9">
        <w:t>.</w:t>
      </w:r>
    </w:p>
  </w:footnote>
  <w:footnote w:id="123">
    <w:p w:rsidR="00670AC4" w:rsidRPr="006B68D9" w:rsidP="0082160A" w14:paraId="75397747" w14:textId="47CD2135">
      <w:pPr>
        <w:pStyle w:val="FootnoteText"/>
      </w:pPr>
      <w:r w:rsidRPr="006B68D9">
        <w:rPr>
          <w:rStyle w:val="FootnoteReference"/>
        </w:rPr>
        <w:footnoteRef/>
      </w:r>
      <w:r w:rsidRPr="006B68D9">
        <w:t xml:space="preserve"> 47 CFR § 90.729(b).</w:t>
      </w:r>
    </w:p>
  </w:footnote>
  <w:footnote w:id="124">
    <w:p w:rsidR="00C625B1" w:rsidRPr="006B68D9" w:rsidP="0082160A" w14:paraId="18F5CF25" w14:textId="04B91528">
      <w:pPr>
        <w:pStyle w:val="FootnoteText"/>
      </w:pPr>
      <w:r w:rsidRPr="006B68D9">
        <w:rPr>
          <w:rStyle w:val="FootnoteReference"/>
        </w:rPr>
        <w:footnoteRef/>
      </w:r>
      <w:r w:rsidRPr="006B68D9">
        <w:t xml:space="preserve"> Waiver Modification Request at 13.</w:t>
      </w:r>
    </w:p>
  </w:footnote>
  <w:footnote w:id="125">
    <w:p w:rsidR="00C625B1" w:rsidRPr="00534E7C" w:rsidP="0082160A" w14:paraId="5031F5A0" w14:textId="4B2286B5">
      <w:pPr>
        <w:pStyle w:val="FootnoteText"/>
      </w:pPr>
      <w:r w:rsidRPr="006B68D9">
        <w:rPr>
          <w:rStyle w:val="FootnoteReference"/>
        </w:rPr>
        <w:footnoteRef/>
      </w:r>
      <w:r w:rsidRPr="006B68D9">
        <w:t xml:space="preserve"> 47 CFR § 90.729(b)</w:t>
      </w:r>
      <w:r w:rsidR="00116C88">
        <w:t xml:space="preserve"> (but permitting t</w:t>
      </w:r>
      <w:r w:rsidRPr="006B68D9">
        <w:t>ransmissions from antennas higher than 7 meters HAAT if the ERP is reduced below 50 watts ERP by 20 log10(h/7) dB, where h is the HAAT in meters</w:t>
      </w:r>
      <w:r w:rsidR="00116C88">
        <w:t>)</w:t>
      </w:r>
      <w:r w:rsidRPr="006B68D9">
        <w:t>.</w:t>
      </w:r>
      <w:r w:rsidR="00FC044B">
        <w:t xml:space="preserve">  </w:t>
      </w:r>
    </w:p>
  </w:footnote>
  <w:footnote w:id="126">
    <w:p w:rsidR="00C625B1" w:rsidRPr="007D7F44" w:rsidP="0082160A" w14:paraId="27A8D677" w14:textId="01B0F8AB">
      <w:pPr>
        <w:pStyle w:val="FootnoteText"/>
        <w:rPr>
          <w:color w:val="FF0000"/>
        </w:rPr>
      </w:pPr>
      <w:r w:rsidRPr="006B68D9">
        <w:rPr>
          <w:rStyle w:val="FootnoteReference"/>
        </w:rPr>
        <w:footnoteRef/>
      </w:r>
      <w:r w:rsidRPr="006B68D9">
        <w:t xml:space="preserve"> 47 CFR § 90.729(a). </w:t>
      </w:r>
      <w:r w:rsidRPr="006B68D9" w:rsidR="00986332">
        <w:t xml:space="preserve"> </w:t>
      </w:r>
      <w:r w:rsidRPr="006B68D9">
        <w:t xml:space="preserve">When a station in the lower band exceeds 150 meters HAAT, it must reduce its ERP </w:t>
      </w:r>
      <w:r w:rsidRPr="00116C88">
        <w:t>correspondingly</w:t>
      </w:r>
      <w:r w:rsidRPr="0001033D">
        <w:t>.</w:t>
      </w:r>
      <w:r w:rsidRPr="0001033D" w:rsidR="00FC044B">
        <w:t xml:space="preserve">  </w:t>
      </w:r>
      <w:r w:rsidRPr="0022030C" w:rsidR="008F43B4">
        <w:rPr>
          <w:i/>
          <w:iCs/>
        </w:rPr>
        <w:t>Id.</w:t>
      </w:r>
      <w:r w:rsidRPr="007D7F44" w:rsidR="00FC044B">
        <w:rPr>
          <w:color w:val="FF0000"/>
        </w:rPr>
        <w:t xml:space="preserve"> </w:t>
      </w:r>
    </w:p>
  </w:footnote>
  <w:footnote w:id="127">
    <w:p w:rsidR="00C625B1" w:rsidRPr="00534E7C" w:rsidP="0082160A" w14:paraId="71A99FAD" w14:textId="7CD0D434">
      <w:pPr>
        <w:pStyle w:val="FootnoteText"/>
      </w:pPr>
      <w:r w:rsidRPr="006B68D9">
        <w:rPr>
          <w:rStyle w:val="FootnoteReference"/>
        </w:rPr>
        <w:footnoteRef/>
      </w:r>
      <w:r w:rsidRPr="006B68D9">
        <w:t xml:space="preserve"> </w:t>
      </w:r>
      <w:r w:rsidRPr="006B68D9">
        <w:rPr>
          <w:i/>
          <w:iCs/>
        </w:rPr>
        <w:t>2015 Waiver Order</w:t>
      </w:r>
      <w:r w:rsidRPr="006B68D9">
        <w:t>,</w:t>
      </w:r>
      <w:r w:rsidRPr="006B68D9" w:rsidR="00510A27">
        <w:t xml:space="preserve"> 30 FCC Rcd at 2285, para. 14.</w:t>
      </w:r>
      <w:r w:rsidRPr="00534E7C">
        <w:t xml:space="preserve">  </w:t>
      </w:r>
    </w:p>
  </w:footnote>
  <w:footnote w:id="128">
    <w:p w:rsidR="00647B4C" w:rsidRPr="006B68D9" w:rsidP="0082160A" w14:paraId="34C60958" w14:textId="28685653">
      <w:pPr>
        <w:pStyle w:val="FootnoteText"/>
      </w:pPr>
      <w:r w:rsidRPr="006B68D9">
        <w:rPr>
          <w:rStyle w:val="FootnoteReference"/>
        </w:rPr>
        <w:footnoteRef/>
      </w:r>
      <w:r w:rsidRPr="006B68D9">
        <w:t xml:space="preserve"> 47 CFR § 90.715(a).</w:t>
      </w:r>
    </w:p>
  </w:footnote>
  <w:footnote w:id="129">
    <w:p w:rsidR="00092CDC" w:rsidRPr="00172A8F" w:rsidP="0082160A" w14:paraId="0719AD17" w14:textId="7C3E5D08">
      <w:pPr>
        <w:pStyle w:val="FootnoteText"/>
      </w:pPr>
      <w:r w:rsidRPr="006B68D9">
        <w:rPr>
          <w:rStyle w:val="FootnoteReference"/>
        </w:rPr>
        <w:footnoteRef/>
      </w:r>
      <w:r w:rsidRPr="006B68D9">
        <w:t xml:space="preserve"> </w:t>
      </w:r>
      <w:r w:rsidRPr="006B68D9" w:rsidR="003C4CE5">
        <w:rPr>
          <w:i/>
          <w:iCs/>
        </w:rPr>
        <w:t xml:space="preserve">See supra </w:t>
      </w:r>
      <w:r w:rsidRPr="006B68D9" w:rsidR="003C4CE5">
        <w:t>para. 33</w:t>
      </w:r>
      <w:r w:rsidRPr="00534E7C" w:rsidR="0081762D">
        <w:t xml:space="preserve">. </w:t>
      </w:r>
    </w:p>
  </w:footnote>
  <w:footnote w:id="130">
    <w:p w:rsidR="005273E6" w:rsidRPr="00172A8F" w:rsidP="0082160A" w14:paraId="7B8BB5AD" w14:textId="1727135F">
      <w:pPr>
        <w:pStyle w:val="FootnoteText"/>
      </w:pPr>
      <w:r w:rsidRPr="006B68D9">
        <w:rPr>
          <w:rStyle w:val="FootnoteReference"/>
        </w:rPr>
        <w:footnoteRef/>
      </w:r>
      <w:r w:rsidRPr="006B68D9">
        <w:t xml:space="preserve"> </w:t>
      </w:r>
      <w:r w:rsidRPr="006B68D9">
        <w:rPr>
          <w:i/>
          <w:iCs/>
        </w:rPr>
        <w:t>2015 Waiver Order</w:t>
      </w:r>
      <w:r w:rsidRPr="006B68D9">
        <w:t xml:space="preserve">, 30 FCC Rcd </w:t>
      </w:r>
      <w:r w:rsidRPr="006B68D9" w:rsidR="00BB6A28">
        <w:t xml:space="preserve">at </w:t>
      </w:r>
      <w:r w:rsidRPr="00534E7C">
        <w:t>228</w:t>
      </w:r>
      <w:r w:rsidRPr="00534E7C" w:rsidR="00FF0025">
        <w:t>3</w:t>
      </w:r>
      <w:r w:rsidRPr="00534E7C" w:rsidR="00765D16">
        <w:t>-</w:t>
      </w:r>
      <w:r w:rsidRPr="00DA28A6" w:rsidR="0030153C">
        <w:t>90</w:t>
      </w:r>
      <w:r w:rsidRPr="00172A8F" w:rsidR="009321D0">
        <w:t>,</w:t>
      </w:r>
      <w:r w:rsidRPr="00172A8F" w:rsidR="00BB6A28">
        <w:t xml:space="preserve"> paras. 9-33</w:t>
      </w:r>
      <w:r w:rsidRPr="00172A8F">
        <w:t>.</w:t>
      </w:r>
    </w:p>
  </w:footnote>
  <w:footnote w:id="131">
    <w:p w:rsidR="00B96936" w:rsidRPr="00172A8F" w:rsidP="0082160A" w14:paraId="5582F6A7" w14:textId="7DB2306D">
      <w:pPr>
        <w:pStyle w:val="FootnoteText"/>
      </w:pPr>
      <w:r w:rsidRPr="006B68D9">
        <w:rPr>
          <w:rStyle w:val="FootnoteReference"/>
        </w:rPr>
        <w:footnoteRef/>
      </w:r>
      <w:r w:rsidRPr="006B68D9">
        <w:t xml:space="preserve"> </w:t>
      </w:r>
      <w:r w:rsidRPr="00342675" w:rsidR="004634A9">
        <w:rPr>
          <w:i/>
          <w:iCs/>
        </w:rPr>
        <w:t>Id</w:t>
      </w:r>
      <w:r w:rsidR="004634A9">
        <w:t>.</w:t>
      </w:r>
      <w:r w:rsidRPr="006B68D9" w:rsidR="004634A9">
        <w:t xml:space="preserve"> </w:t>
      </w:r>
      <w:r w:rsidRPr="006B68D9" w:rsidR="00E93071">
        <w:t xml:space="preserve">at </w:t>
      </w:r>
      <w:r w:rsidRPr="00534E7C">
        <w:t>228</w:t>
      </w:r>
      <w:r w:rsidRPr="00534E7C" w:rsidR="00E93071">
        <w:t>4</w:t>
      </w:r>
      <w:r w:rsidRPr="00534E7C" w:rsidR="009321D0">
        <w:t>,</w:t>
      </w:r>
      <w:r w:rsidRPr="00DA28A6" w:rsidR="00E93071">
        <w:t xml:space="preserve"> para. </w:t>
      </w:r>
      <w:r w:rsidRPr="00172A8F" w:rsidR="00B912A3">
        <w:t>12</w:t>
      </w:r>
      <w:r w:rsidRPr="00172A8F">
        <w:t>.</w:t>
      </w:r>
    </w:p>
  </w:footnote>
  <w:footnote w:id="132">
    <w:p w:rsidR="00B96936" w:rsidRPr="00534E7C" w:rsidP="0082160A" w14:paraId="1C3D40AF" w14:textId="5E1F5757">
      <w:pPr>
        <w:pStyle w:val="FootnoteText"/>
      </w:pPr>
      <w:r w:rsidRPr="006B68D9">
        <w:rPr>
          <w:rStyle w:val="FootnoteReference"/>
        </w:rPr>
        <w:footnoteRef/>
      </w:r>
      <w:r w:rsidRPr="006B68D9">
        <w:t xml:space="preserve"> </w:t>
      </w:r>
      <w:r w:rsidRPr="00342675" w:rsidR="004634A9">
        <w:rPr>
          <w:i/>
          <w:iCs/>
        </w:rPr>
        <w:t>Id</w:t>
      </w:r>
      <w:r w:rsidR="004634A9">
        <w:t>.</w:t>
      </w:r>
      <w:r w:rsidRPr="006B68D9" w:rsidR="004634A9">
        <w:t xml:space="preserve"> </w:t>
      </w:r>
      <w:r w:rsidRPr="006B68D9">
        <w:t>at 2285</w:t>
      </w:r>
      <w:r w:rsidRPr="006B68D9" w:rsidR="009321D0">
        <w:t>,</w:t>
      </w:r>
      <w:r w:rsidRPr="00534E7C">
        <w:t xml:space="preserve"> para. 15.</w:t>
      </w:r>
    </w:p>
  </w:footnote>
  <w:footnote w:id="133">
    <w:p w:rsidR="00B0488A" w:rsidRPr="00534E7C" w:rsidP="0082160A" w14:paraId="1460FC7A" w14:textId="7A4CBFA7">
      <w:pPr>
        <w:pStyle w:val="FootnoteText"/>
      </w:pPr>
      <w:r w:rsidRPr="006B68D9">
        <w:rPr>
          <w:rStyle w:val="FootnoteReference"/>
        </w:rPr>
        <w:footnoteRef/>
      </w:r>
      <w:r w:rsidRPr="006B68D9">
        <w:t xml:space="preserve"> </w:t>
      </w:r>
      <w:r w:rsidRPr="00342675" w:rsidR="004634A9">
        <w:rPr>
          <w:i/>
          <w:iCs/>
        </w:rPr>
        <w:t>Id</w:t>
      </w:r>
      <w:r w:rsidR="004634A9">
        <w:t>.</w:t>
      </w:r>
      <w:r w:rsidR="009F3FA9">
        <w:t xml:space="preserve">, </w:t>
      </w:r>
      <w:r w:rsidRPr="00534E7C">
        <w:t>para. 16.</w:t>
      </w:r>
    </w:p>
  </w:footnote>
  <w:footnote w:id="134">
    <w:p w:rsidR="001D266F" w:rsidRPr="006B68D9" w:rsidP="0082160A" w14:paraId="601FC251" w14:textId="60E32E39">
      <w:pPr>
        <w:pStyle w:val="FootnoteText"/>
      </w:pPr>
      <w:r w:rsidRPr="006B68D9">
        <w:rPr>
          <w:rStyle w:val="FootnoteReference"/>
        </w:rPr>
        <w:footnoteRef/>
      </w:r>
      <w:r w:rsidRPr="006B68D9">
        <w:t xml:space="preserve"> </w:t>
      </w:r>
      <w:r w:rsidRPr="00342675" w:rsidR="004634A9">
        <w:rPr>
          <w:i/>
          <w:iCs/>
        </w:rPr>
        <w:t>Id</w:t>
      </w:r>
      <w:r w:rsidR="004634A9">
        <w:t>.</w:t>
      </w:r>
      <w:r w:rsidRPr="006B68D9" w:rsidR="004634A9">
        <w:t xml:space="preserve"> </w:t>
      </w:r>
      <w:r w:rsidRPr="006B68D9" w:rsidR="00550083">
        <w:t>at 2286, para. 17.</w:t>
      </w:r>
    </w:p>
  </w:footnote>
  <w:footnote w:id="135">
    <w:p w:rsidR="00FF200D" w:rsidRPr="00172A8F" w:rsidP="0082160A" w14:paraId="37E73A1A" w14:textId="2FDD5EC7">
      <w:pPr>
        <w:pStyle w:val="FootnoteText"/>
      </w:pPr>
      <w:r w:rsidRPr="006B68D9">
        <w:rPr>
          <w:rStyle w:val="FootnoteReference"/>
        </w:rPr>
        <w:footnoteRef/>
      </w:r>
      <w:r w:rsidRPr="006B68D9">
        <w:t xml:space="preserve"> Polivka Declaration at 3</w:t>
      </w:r>
      <w:r w:rsidRPr="006B68D9" w:rsidR="00366789">
        <w:t>,</w:t>
      </w:r>
      <w:r w:rsidRPr="006B68D9">
        <w:t xml:space="preserve"> para. 7 (noting that “where the level of congestion in the 450 MHz Band is approaching exhaustion, the added flexi</w:t>
      </w:r>
      <w:r w:rsidRPr="00172A8F">
        <w:t xml:space="preserve">bility of using the 220 MHz Band to offload wireless traffic in capacity-constrained areas will help ensure that railroads operate safely”). </w:t>
      </w:r>
    </w:p>
  </w:footnote>
  <w:footnote w:id="136">
    <w:p w:rsidR="005517EF" w:rsidRPr="00172A8F" w:rsidP="0082160A" w14:paraId="6271FF34" w14:textId="0B84DE6E">
      <w:pPr>
        <w:pStyle w:val="FootnoteText"/>
      </w:pPr>
      <w:r w:rsidRPr="006B68D9">
        <w:rPr>
          <w:rStyle w:val="FootnoteReference"/>
        </w:rPr>
        <w:footnoteRef/>
      </w:r>
      <w:r w:rsidRPr="006B68D9">
        <w:t xml:space="preserve"> </w:t>
      </w:r>
      <w:r w:rsidRPr="00342675" w:rsidR="003B4B1C">
        <w:rPr>
          <w:i/>
          <w:iCs/>
        </w:rPr>
        <w:t>Id</w:t>
      </w:r>
      <w:r w:rsidR="003B4B1C">
        <w:t>.</w:t>
      </w:r>
      <w:r w:rsidRPr="006B68D9" w:rsidR="003B4B1C">
        <w:t xml:space="preserve"> </w:t>
      </w:r>
      <w:r w:rsidRPr="006B68D9" w:rsidR="00120DC8">
        <w:t>at 8-9 (noting that the ability to use the 220 MHz Band “for multiple safety-related applica</w:t>
      </w:r>
      <w:r w:rsidRPr="00172A8F" w:rsidR="00120DC8">
        <w:t xml:space="preserve">tions would maximize network effectiveness and minimize the siting requirements needed in more rural and expansive portions of the railway train network”).  </w:t>
      </w:r>
    </w:p>
  </w:footnote>
  <w:footnote w:id="137">
    <w:p w:rsidR="00240EE7" w:rsidRPr="00172A8F" w:rsidP="0082160A" w14:paraId="05075DD4" w14:textId="107C0CF7">
      <w:pPr>
        <w:pStyle w:val="FootnoteText"/>
      </w:pPr>
      <w:r w:rsidRPr="006B68D9">
        <w:rPr>
          <w:rStyle w:val="FootnoteReference"/>
        </w:rPr>
        <w:footnoteRef/>
      </w:r>
      <w:r w:rsidRPr="006B68D9">
        <w:t xml:space="preserve"> </w:t>
      </w:r>
      <w:r w:rsidRPr="006B68D9" w:rsidR="00E84CCC">
        <w:rPr>
          <w:i/>
          <w:iCs/>
        </w:rPr>
        <w:t xml:space="preserve">See </w:t>
      </w:r>
      <w:r w:rsidRPr="006B68D9">
        <w:rPr>
          <w:i/>
          <w:iCs/>
        </w:rPr>
        <w:t>2015 Waiver Order</w:t>
      </w:r>
      <w:r w:rsidRPr="006B68D9">
        <w:t>, 30 FCC Rcd at 2286</w:t>
      </w:r>
      <w:r w:rsidRPr="00534E7C" w:rsidR="001C39D8">
        <w:t>,</w:t>
      </w:r>
      <w:r w:rsidRPr="00534E7C">
        <w:t xml:space="preserve"> para. 17</w:t>
      </w:r>
      <w:r w:rsidRPr="00534E7C" w:rsidR="0095145B">
        <w:t xml:space="preserve">; 47 CFR § </w:t>
      </w:r>
      <w:r w:rsidRPr="00DA28A6" w:rsidR="0095145B">
        <w:t>1.925(b)(3)(ii).</w:t>
      </w:r>
      <w:r w:rsidRPr="00172A8F" w:rsidR="00FF200D">
        <w:t xml:space="preserve">  </w:t>
      </w:r>
      <w:r w:rsidR="006D1B88">
        <w:t xml:space="preserve">The </w:t>
      </w:r>
      <w:r w:rsidRPr="00172A8F" w:rsidR="00FF200D">
        <w:t>Appendix to this Order lists the licenses subject to today’s modification of the section 90.729(b) rule waiver.</w:t>
      </w:r>
    </w:p>
  </w:footnote>
  <w:footnote w:id="138">
    <w:p w:rsidR="0049091A" w:rsidRPr="00534E7C" w:rsidP="0082160A" w14:paraId="2847C8EB" w14:textId="362D7066">
      <w:pPr>
        <w:pStyle w:val="FootnoteText"/>
      </w:pPr>
      <w:r w:rsidRPr="006B68D9">
        <w:rPr>
          <w:rStyle w:val="FootnoteReference"/>
        </w:rPr>
        <w:footnoteRef/>
      </w:r>
      <w:r w:rsidRPr="006B68D9">
        <w:t xml:space="preserve"> </w:t>
      </w:r>
      <w:r w:rsidRPr="006B68D9">
        <w:rPr>
          <w:i/>
          <w:iCs/>
        </w:rPr>
        <w:t>2015 Waiver Order</w:t>
      </w:r>
      <w:r w:rsidRPr="006B68D9">
        <w:t>, 30 FCC Rcd at 2287-90</w:t>
      </w:r>
      <w:r w:rsidRPr="006B68D9" w:rsidR="001C39D8">
        <w:t>,</w:t>
      </w:r>
      <w:r w:rsidRPr="00534E7C">
        <w:t xml:space="preserve"> paras. 22-33.</w:t>
      </w:r>
    </w:p>
  </w:footnote>
  <w:footnote w:id="139">
    <w:p w:rsidR="009D3C60" w:rsidRPr="00172A8F" w:rsidP="0082160A" w14:paraId="5D8059BD" w14:textId="2FE39157">
      <w:pPr>
        <w:pStyle w:val="FootnoteText"/>
      </w:pPr>
      <w:r w:rsidRPr="006B68D9">
        <w:rPr>
          <w:rStyle w:val="FootnoteReference"/>
        </w:rPr>
        <w:footnoteRef/>
      </w:r>
      <w:r w:rsidRPr="006B68D9">
        <w:t xml:space="preserve"> </w:t>
      </w:r>
      <w:r w:rsidRPr="006B68D9" w:rsidR="00191E13">
        <w:t>Waiver Modification Request</w:t>
      </w:r>
      <w:r w:rsidRPr="006B68D9" w:rsidR="008733F5">
        <w:t xml:space="preserve"> at</w:t>
      </w:r>
      <w:r w:rsidRPr="006B68D9" w:rsidR="007E12A8">
        <w:t xml:space="preserve"> </w:t>
      </w:r>
      <w:r w:rsidRPr="00534E7C" w:rsidR="00903397">
        <w:t>19 (</w:t>
      </w:r>
      <w:r w:rsidRPr="00534E7C" w:rsidR="006B26CC">
        <w:t xml:space="preserve">noting that </w:t>
      </w:r>
      <w:r w:rsidRPr="00534E7C" w:rsidR="00903397">
        <w:t>“</w:t>
      </w:r>
      <w:r w:rsidRPr="00DA28A6" w:rsidR="005C7C05">
        <w:t>[i]</w:t>
      </w:r>
      <w:r w:rsidRPr="00172A8F" w:rsidR="006B26CC">
        <w:t>n the rare cases where another licensee has complained to the railroads of suspected interference, the parties investigated and subsequently determined that the source of interference was not, in fact, PTC operations in the 220 MHz band</w:t>
      </w:r>
      <w:r w:rsidRPr="00172A8F" w:rsidR="005C7C05">
        <w:t>”).</w:t>
      </w:r>
      <w:r w:rsidRPr="00172A8F" w:rsidR="008733F5">
        <w:t xml:space="preserve"> </w:t>
      </w:r>
    </w:p>
  </w:footnote>
  <w:footnote w:id="140">
    <w:p w:rsidR="00537CD1" w:rsidRPr="00534E7C" w:rsidP="0082160A" w14:paraId="304045F1" w14:textId="226A2E7F">
      <w:pPr>
        <w:pStyle w:val="FootnoteText"/>
      </w:pPr>
      <w:r w:rsidRPr="006B68D9">
        <w:rPr>
          <w:rStyle w:val="FootnoteReference"/>
        </w:rPr>
        <w:footnoteRef/>
      </w:r>
      <w:r w:rsidRPr="006B68D9">
        <w:t xml:space="preserve"> </w:t>
      </w:r>
      <w:r w:rsidRPr="006B68D9" w:rsidR="0095145B">
        <w:rPr>
          <w:i/>
          <w:iCs/>
        </w:rPr>
        <w:t>2015 Waiver Order</w:t>
      </w:r>
      <w:r w:rsidRPr="006B68D9" w:rsidR="0095145B">
        <w:t>, 30 FCC Rcd at 2287</w:t>
      </w:r>
      <w:r w:rsidRPr="006B68D9" w:rsidR="001C39D8">
        <w:t>,</w:t>
      </w:r>
      <w:r w:rsidRPr="00534E7C" w:rsidR="0095145B">
        <w:t xml:space="preserve"> para</w:t>
      </w:r>
      <w:r w:rsidR="00DF7B3E">
        <w:t>s</w:t>
      </w:r>
      <w:r w:rsidRPr="00534E7C" w:rsidR="0095145B">
        <w:t xml:space="preserve">. </w:t>
      </w:r>
      <w:r w:rsidR="00DF7B3E">
        <w:t>19-</w:t>
      </w:r>
      <w:r w:rsidRPr="00534E7C" w:rsidR="0095145B">
        <w:t>20.</w:t>
      </w:r>
    </w:p>
  </w:footnote>
  <w:footnote w:id="141">
    <w:p w:rsidR="00F70AF1" w:rsidRPr="00534E7C" w:rsidP="0082160A" w14:paraId="74E46048" w14:textId="1037637A">
      <w:pPr>
        <w:pStyle w:val="FootnoteText"/>
      </w:pPr>
      <w:r w:rsidRPr="006B68D9">
        <w:rPr>
          <w:rStyle w:val="FootnoteReference"/>
        </w:rPr>
        <w:footnoteRef/>
      </w:r>
      <w:r w:rsidRPr="006B68D9">
        <w:t xml:space="preserve"> </w:t>
      </w:r>
      <w:r w:rsidR="000A6409">
        <w:rPr>
          <w:i/>
          <w:iCs/>
        </w:rPr>
        <w:t>Id.</w:t>
      </w:r>
      <w:r w:rsidRPr="006B68D9" w:rsidR="001C39D8">
        <w:t>,</w:t>
      </w:r>
      <w:r w:rsidRPr="00534E7C">
        <w:t xml:space="preserve"> para. 20.</w:t>
      </w:r>
    </w:p>
  </w:footnote>
  <w:footnote w:id="142">
    <w:p w:rsidR="00F079DD" w:rsidRPr="00172A8F" w:rsidP="0082160A" w14:paraId="72D5D0DB" w14:textId="5A89C3D2">
      <w:pPr>
        <w:pStyle w:val="FootnoteText"/>
      </w:pPr>
      <w:r w:rsidRPr="006B68D9">
        <w:rPr>
          <w:rStyle w:val="FootnoteReference"/>
        </w:rPr>
        <w:footnoteRef/>
      </w:r>
      <w:r w:rsidRPr="006B68D9" w:rsidR="00E2798A">
        <w:t xml:space="preserve"> </w:t>
      </w:r>
      <w:r w:rsidRPr="006B68D9">
        <w:t>The license call signs</w:t>
      </w:r>
      <w:r w:rsidRPr="006B68D9" w:rsidR="005C4EE6">
        <w:t xml:space="preserve"> include</w:t>
      </w:r>
      <w:r w:rsidRPr="006B68D9" w:rsidR="00E2798A">
        <w:t xml:space="preserve">: </w:t>
      </w:r>
      <w:r w:rsidRPr="00534E7C">
        <w:t xml:space="preserve"> </w:t>
      </w:r>
      <w:r w:rsidRPr="00534E7C" w:rsidR="00E2798A">
        <w:t xml:space="preserve">WPOI710 (Boston); </w:t>
      </w:r>
      <w:r w:rsidRPr="00534E7C">
        <w:t>WPOI774 (Memphis)</w:t>
      </w:r>
      <w:r w:rsidRPr="00DA28A6" w:rsidR="00B92C12">
        <w:t>;</w:t>
      </w:r>
      <w:r w:rsidRPr="00172A8F">
        <w:t xml:space="preserve"> WPOI800 (St. Louis)</w:t>
      </w:r>
      <w:r w:rsidRPr="00172A8F" w:rsidR="00E2798A">
        <w:t xml:space="preserve">; WPOI924 (Philadelphia); </w:t>
      </w:r>
      <w:r w:rsidRPr="00172A8F">
        <w:t>WPOJ279 (Rochester</w:t>
      </w:r>
      <w:r w:rsidRPr="00172A8F" w:rsidR="00E2798A">
        <w:t>, MN</w:t>
      </w:r>
      <w:r w:rsidRPr="00172A8F">
        <w:t>)</w:t>
      </w:r>
      <w:r w:rsidRPr="00172A8F" w:rsidR="00B92C12">
        <w:t>;</w:t>
      </w:r>
      <w:r w:rsidRPr="00172A8F">
        <w:t xml:space="preserve"> WPOJ280 (Minneapolis)</w:t>
      </w:r>
      <w:r w:rsidRPr="00172A8F" w:rsidR="00B92C12">
        <w:t>;</w:t>
      </w:r>
      <w:r w:rsidRPr="00172A8F">
        <w:t xml:space="preserve"> WPOJ281 (San Francisco)</w:t>
      </w:r>
      <w:r w:rsidRPr="00172A8F" w:rsidR="00E2798A">
        <w:t>;</w:t>
      </w:r>
      <w:r w:rsidRPr="00172A8F">
        <w:t xml:space="preserve"> and WPVL860 (Los Angeles). </w:t>
      </w:r>
    </w:p>
  </w:footnote>
  <w:footnote w:id="143">
    <w:p w:rsidR="00B92C12" w:rsidRPr="00534E7C" w:rsidP="0082160A" w14:paraId="08011776" w14:textId="52802444">
      <w:pPr>
        <w:pStyle w:val="FootnoteText"/>
      </w:pPr>
      <w:r w:rsidRPr="006B68D9">
        <w:rPr>
          <w:rStyle w:val="FootnoteReference"/>
        </w:rPr>
        <w:footnoteRef/>
      </w:r>
      <w:r w:rsidRPr="006B68D9">
        <w:t xml:space="preserve"> </w:t>
      </w:r>
      <w:r w:rsidRPr="006B68D9">
        <w:rPr>
          <w:i/>
          <w:iCs/>
        </w:rPr>
        <w:t>2015 Waiver Order</w:t>
      </w:r>
      <w:r w:rsidRPr="006B68D9">
        <w:t>, 30 FCC Rcd at 2287-88</w:t>
      </w:r>
      <w:r w:rsidRPr="006B68D9" w:rsidR="001C39D8">
        <w:t>,</w:t>
      </w:r>
      <w:r w:rsidRPr="00534E7C">
        <w:t xml:space="preserve"> paras. 22-25.</w:t>
      </w:r>
    </w:p>
  </w:footnote>
  <w:footnote w:id="144">
    <w:p w:rsidR="002933A2" w:rsidRPr="00172A8F" w:rsidP="0082160A" w14:paraId="70D7EEA4" w14:textId="4B208DDD">
      <w:pPr>
        <w:pStyle w:val="FootnoteText"/>
      </w:pPr>
      <w:r w:rsidRPr="006B68D9">
        <w:rPr>
          <w:rStyle w:val="FootnoteReference"/>
        </w:rPr>
        <w:footnoteRef/>
      </w:r>
      <w:r w:rsidRPr="006B68D9">
        <w:t xml:space="preserve"> </w:t>
      </w:r>
      <w:r w:rsidR="000A6409">
        <w:rPr>
          <w:i/>
          <w:iCs/>
        </w:rPr>
        <w:t xml:space="preserve">Id. </w:t>
      </w:r>
      <w:r w:rsidRPr="006B68D9">
        <w:t>at 2288</w:t>
      </w:r>
      <w:r w:rsidRPr="006B68D9" w:rsidR="001C39D8">
        <w:t>,</w:t>
      </w:r>
      <w:r w:rsidRPr="00534E7C">
        <w:t xml:space="preserve"> para</w:t>
      </w:r>
      <w:r w:rsidRPr="00172A8F">
        <w:t>. 24.</w:t>
      </w:r>
    </w:p>
  </w:footnote>
  <w:footnote w:id="145">
    <w:p w:rsidR="00232084" w14:paraId="454919B7" w14:textId="22489D0F">
      <w:pPr>
        <w:pStyle w:val="FootnoteText"/>
      </w:pPr>
      <w:r>
        <w:rPr>
          <w:rStyle w:val="FootnoteReference"/>
        </w:rPr>
        <w:footnoteRef/>
      </w:r>
      <w:r>
        <w:t xml:space="preserve"> 47 CFR § 90.723(d).</w:t>
      </w:r>
    </w:p>
  </w:footnote>
  <w:footnote w:id="146">
    <w:p w:rsidR="003D0FF2" w:rsidRPr="00534E7C" w:rsidP="0082160A" w14:paraId="06A0E636" w14:textId="1F375D9D">
      <w:pPr>
        <w:pStyle w:val="FootnoteText"/>
      </w:pPr>
      <w:r w:rsidRPr="006B68D9">
        <w:rPr>
          <w:rStyle w:val="FootnoteReference"/>
        </w:rPr>
        <w:footnoteRef/>
      </w:r>
      <w:r w:rsidRPr="006B68D9">
        <w:t xml:space="preserve"> </w:t>
      </w:r>
      <w:r w:rsidRPr="006B68D9">
        <w:rPr>
          <w:i/>
          <w:iCs/>
        </w:rPr>
        <w:t>2015 Waiver Order</w:t>
      </w:r>
      <w:r w:rsidRPr="006B68D9">
        <w:t>, 30 FCC Rcd at 2288</w:t>
      </w:r>
      <w:r w:rsidRPr="006B68D9" w:rsidR="001C39D8">
        <w:t>,</w:t>
      </w:r>
      <w:r w:rsidRPr="00534E7C">
        <w:t xml:space="preserve"> para. 25.</w:t>
      </w:r>
    </w:p>
  </w:footnote>
  <w:footnote w:id="147">
    <w:p w:rsidR="003D0FF2" w:rsidRPr="00534E7C" w:rsidP="0082160A" w14:paraId="137F18A0" w14:textId="70815BB0">
      <w:pPr>
        <w:pStyle w:val="FootnoteText"/>
      </w:pPr>
      <w:r w:rsidRPr="006B68D9">
        <w:rPr>
          <w:rStyle w:val="FootnoteReference"/>
        </w:rPr>
        <w:footnoteRef/>
      </w:r>
      <w:r w:rsidRPr="006B68D9">
        <w:t xml:space="preserve"> </w:t>
      </w:r>
      <w:r w:rsidR="0025652A">
        <w:rPr>
          <w:i/>
          <w:iCs/>
        </w:rPr>
        <w:t xml:space="preserve">Id. </w:t>
      </w:r>
      <w:r w:rsidRPr="006B68D9">
        <w:t>at 2289</w:t>
      </w:r>
      <w:r w:rsidRPr="006B68D9" w:rsidR="001C39D8">
        <w:t>,</w:t>
      </w:r>
      <w:r w:rsidRPr="00534E7C">
        <w:t xml:space="preserve"> para. 27.</w:t>
      </w:r>
    </w:p>
  </w:footnote>
  <w:footnote w:id="148">
    <w:p w:rsidR="007E61AE" w:rsidRPr="00534E7C" w:rsidP="0082160A" w14:paraId="7D2CBA9C" w14:textId="098AFED5">
      <w:pPr>
        <w:pStyle w:val="FootnoteText"/>
      </w:pPr>
      <w:r w:rsidRPr="006B68D9">
        <w:rPr>
          <w:rStyle w:val="FootnoteReference"/>
        </w:rPr>
        <w:footnoteRef/>
      </w:r>
      <w:r w:rsidRPr="006B68D9">
        <w:t xml:space="preserve"> </w:t>
      </w:r>
      <w:r w:rsidRPr="00342675" w:rsidR="0025652A">
        <w:rPr>
          <w:i/>
          <w:iCs/>
        </w:rPr>
        <w:t>Id</w:t>
      </w:r>
      <w:r w:rsidR="0025652A">
        <w:t>.</w:t>
      </w:r>
      <w:r w:rsidRPr="006B68D9" w:rsidR="001C39D8">
        <w:t>,</w:t>
      </w:r>
      <w:r w:rsidRPr="00534E7C">
        <w:t xml:space="preserve"> para. 29.</w:t>
      </w:r>
    </w:p>
  </w:footnote>
  <w:footnote w:id="149">
    <w:p w:rsidR="001E2CD9" w:rsidRPr="00534E7C" w:rsidP="0082160A" w14:paraId="2B3E841A" w14:textId="682F80F6">
      <w:pPr>
        <w:pStyle w:val="FootnoteText"/>
      </w:pPr>
      <w:r w:rsidRPr="006B68D9">
        <w:rPr>
          <w:rStyle w:val="FootnoteReference"/>
        </w:rPr>
        <w:footnoteRef/>
      </w:r>
      <w:r w:rsidRPr="006B68D9">
        <w:t xml:space="preserve"> </w:t>
      </w:r>
      <w:r w:rsidRPr="00342675" w:rsidR="0025652A">
        <w:rPr>
          <w:i/>
          <w:iCs/>
        </w:rPr>
        <w:t>Id</w:t>
      </w:r>
      <w:r w:rsidR="0025652A">
        <w:t>.</w:t>
      </w:r>
    </w:p>
  </w:footnote>
  <w:footnote w:id="150">
    <w:p w:rsidR="001E2CD9" w:rsidRPr="00534E7C" w:rsidP="0082160A" w14:paraId="6E12E391" w14:textId="1D25FB73">
      <w:pPr>
        <w:pStyle w:val="FootnoteText"/>
      </w:pPr>
      <w:r w:rsidRPr="006B68D9">
        <w:rPr>
          <w:rStyle w:val="FootnoteReference"/>
        </w:rPr>
        <w:footnoteRef/>
      </w:r>
      <w:r w:rsidRPr="006B68D9">
        <w:t xml:space="preserve"> </w:t>
      </w:r>
      <w:r w:rsidRPr="00342675" w:rsidR="00B863F1">
        <w:rPr>
          <w:i/>
          <w:iCs/>
        </w:rPr>
        <w:t>Id</w:t>
      </w:r>
      <w:r w:rsidR="00B863F1">
        <w:t>.</w:t>
      </w:r>
      <w:r w:rsidRPr="00534E7C" w:rsidR="001C39D8">
        <w:t>,</w:t>
      </w:r>
      <w:r w:rsidRPr="00534E7C">
        <w:t xml:space="preserve"> para. 30. </w:t>
      </w:r>
    </w:p>
  </w:footnote>
  <w:footnote w:id="151">
    <w:p w:rsidR="001E2CD9" w:rsidRPr="00534E7C" w:rsidP="0082160A" w14:paraId="1097912C" w14:textId="17FBFC03">
      <w:pPr>
        <w:pStyle w:val="FootnoteText"/>
      </w:pPr>
      <w:r w:rsidRPr="006B68D9">
        <w:rPr>
          <w:rStyle w:val="FootnoteReference"/>
        </w:rPr>
        <w:footnoteRef/>
      </w:r>
      <w:r w:rsidRPr="006B68D9">
        <w:t xml:space="preserve"> </w:t>
      </w:r>
      <w:r w:rsidRPr="00342675" w:rsidR="00B863F1">
        <w:rPr>
          <w:i/>
          <w:iCs/>
        </w:rPr>
        <w:t>Id</w:t>
      </w:r>
      <w:r w:rsidR="00B863F1">
        <w:t>.</w:t>
      </w:r>
      <w:r w:rsidRPr="006B68D9" w:rsidR="00B863F1">
        <w:t xml:space="preserve"> </w:t>
      </w:r>
    </w:p>
  </w:footnote>
  <w:footnote w:id="152">
    <w:p w:rsidR="006E1596" w:rsidRPr="00534E7C" w:rsidP="0082160A" w14:paraId="750D5964" w14:textId="3520F245">
      <w:pPr>
        <w:pStyle w:val="FootnoteText"/>
      </w:pPr>
      <w:r w:rsidRPr="006B68D9">
        <w:rPr>
          <w:rStyle w:val="FootnoteReference"/>
        </w:rPr>
        <w:footnoteRef/>
      </w:r>
      <w:r w:rsidRPr="006B68D9">
        <w:t xml:space="preserve"> </w:t>
      </w:r>
      <w:r w:rsidRPr="006B68D9" w:rsidR="002B6DCE">
        <w:t xml:space="preserve">47 CFR § 90.723(f); </w:t>
      </w:r>
      <w:r w:rsidRPr="00534E7C">
        <w:t>Waiver Modification Request at 13-14.</w:t>
      </w:r>
    </w:p>
  </w:footnote>
  <w:footnote w:id="153">
    <w:p w:rsidR="00B97002" w:rsidRPr="00534E7C" w:rsidP="0082160A" w14:paraId="00DE8A55" w14:textId="4E38AC40">
      <w:pPr>
        <w:pStyle w:val="FootnoteText"/>
      </w:pPr>
      <w:r w:rsidRPr="006B68D9">
        <w:rPr>
          <w:rStyle w:val="FootnoteReference"/>
        </w:rPr>
        <w:footnoteRef/>
      </w:r>
      <w:r w:rsidRPr="006B68D9">
        <w:t xml:space="preserve"> </w:t>
      </w:r>
      <w:r w:rsidRPr="00CE2CE3" w:rsidR="00D277AE">
        <w:rPr>
          <w:i/>
          <w:iCs/>
        </w:rPr>
        <w:t>See</w:t>
      </w:r>
      <w:r w:rsidRPr="006B68D9" w:rsidR="00D277AE">
        <w:t xml:space="preserve"> </w:t>
      </w:r>
      <w:r w:rsidRPr="006B68D9">
        <w:rPr>
          <w:i/>
          <w:iCs/>
        </w:rPr>
        <w:t>2015 Waiver Order</w:t>
      </w:r>
      <w:r w:rsidRPr="006B68D9">
        <w:t>, 30 FCC Rcd at 2291</w:t>
      </w:r>
      <w:r w:rsidRPr="006B68D9" w:rsidR="001C39D8">
        <w:t>,</w:t>
      </w:r>
      <w:r w:rsidRPr="00534E7C">
        <w:t xml:space="preserve"> para. 36.</w:t>
      </w:r>
    </w:p>
  </w:footnote>
  <w:footnote w:id="154">
    <w:p w:rsidR="00B97002" w:rsidRPr="00534E7C" w:rsidP="0082160A" w14:paraId="3AC489F1" w14:textId="776B68DB">
      <w:pPr>
        <w:pStyle w:val="FootnoteText"/>
      </w:pPr>
      <w:r w:rsidRPr="006B68D9">
        <w:rPr>
          <w:rStyle w:val="FootnoteReference"/>
        </w:rPr>
        <w:footnoteRef/>
      </w:r>
      <w:r w:rsidRPr="006B68D9">
        <w:t xml:space="preserve"> </w:t>
      </w:r>
      <w:r w:rsidRPr="006B68D9">
        <w:rPr>
          <w:i/>
          <w:iCs/>
        </w:rPr>
        <w:t>Amendment of Part 90 of the Commission’s Rules to Provide for the Use of the 220-222 MHz Band by the Private Land Mobile Radio Service</w:t>
      </w:r>
      <w:r w:rsidRPr="006B68D9">
        <w:t xml:space="preserve">, </w:t>
      </w:r>
      <w:r w:rsidRPr="00CE2CE3" w:rsidR="00B25BB6">
        <w:t>PR Docket No. 89-552</w:t>
      </w:r>
      <w:r w:rsidRPr="00CE2CE3" w:rsidR="00375EB6">
        <w:t xml:space="preserve">, </w:t>
      </w:r>
      <w:r w:rsidRPr="006B68D9">
        <w:t>Memorandum Opinion and Order on Reconsideration, 13 FCC Rcd 14569, 14617</w:t>
      </w:r>
      <w:r w:rsidRPr="006B68D9" w:rsidR="00A07F1A">
        <w:t>,</w:t>
      </w:r>
      <w:r w:rsidRPr="006B68D9">
        <w:t xml:space="preserve"> para</w:t>
      </w:r>
      <w:r w:rsidRPr="006B68D9" w:rsidR="00CE7EDF">
        <w:t>.</w:t>
      </w:r>
      <w:r w:rsidRPr="00534E7C">
        <w:t xml:space="preserve"> 100 (1998).</w:t>
      </w:r>
    </w:p>
  </w:footnote>
  <w:footnote w:id="155">
    <w:p w:rsidR="00F341B2" w:rsidRPr="00534E7C" w:rsidP="0082160A" w14:paraId="5F905A14" w14:textId="1681AEDF">
      <w:pPr>
        <w:pStyle w:val="FootnoteText"/>
      </w:pPr>
      <w:r w:rsidRPr="006B68D9">
        <w:rPr>
          <w:rStyle w:val="FootnoteReference"/>
        </w:rPr>
        <w:footnoteRef/>
      </w:r>
      <w:r w:rsidRPr="006B68D9">
        <w:t xml:space="preserve"> </w:t>
      </w:r>
      <w:r w:rsidRPr="006B68D9" w:rsidR="00AE0535">
        <w:rPr>
          <w:i/>
          <w:iCs/>
        </w:rPr>
        <w:t xml:space="preserve">See </w:t>
      </w:r>
      <w:r w:rsidRPr="006B68D9" w:rsidR="00C0099C">
        <w:rPr>
          <w:i/>
          <w:iCs/>
        </w:rPr>
        <w:t>2015 Waiver Order</w:t>
      </w:r>
      <w:r w:rsidRPr="006B68D9" w:rsidR="00C0099C">
        <w:t>, 30 FCC Rcd at 2287-89</w:t>
      </w:r>
      <w:r w:rsidRPr="00534E7C" w:rsidR="001C39D8">
        <w:t>,</w:t>
      </w:r>
      <w:r w:rsidRPr="00534E7C" w:rsidR="00C0099C">
        <w:t xml:space="preserve"> paras. 22-27.</w:t>
      </w:r>
    </w:p>
  </w:footnote>
  <w:footnote w:id="156">
    <w:p w:rsidR="002B4A6B" w:rsidRPr="00534E7C" w:rsidP="0082160A" w14:paraId="702D7018" w14:textId="47BF5053">
      <w:pPr>
        <w:pStyle w:val="FootnoteText"/>
      </w:pPr>
      <w:r w:rsidRPr="006B68D9">
        <w:rPr>
          <w:rStyle w:val="FootnoteReference"/>
        </w:rPr>
        <w:footnoteRef/>
      </w:r>
      <w:r w:rsidRPr="006B68D9">
        <w:t xml:space="preserve"> </w:t>
      </w:r>
      <w:r w:rsidRPr="00342675" w:rsidR="00B863F1">
        <w:rPr>
          <w:i/>
          <w:iCs/>
        </w:rPr>
        <w:t>Id</w:t>
      </w:r>
      <w:r w:rsidR="00B863F1">
        <w:t>.</w:t>
      </w:r>
      <w:r w:rsidRPr="006B68D9" w:rsidR="00B863F1">
        <w:t xml:space="preserve"> </w:t>
      </w:r>
      <w:r w:rsidRPr="006B68D9">
        <w:t>at 2291</w:t>
      </w:r>
      <w:r w:rsidRPr="006B68D9" w:rsidR="001C39D8">
        <w:t>,</w:t>
      </w:r>
      <w:r w:rsidRPr="00534E7C">
        <w:t xml:space="preserve"> para. 36.</w:t>
      </w:r>
    </w:p>
  </w:footnote>
  <w:footnote w:id="157">
    <w:p w:rsidR="00ED1D3B" w:rsidRPr="00534E7C" w:rsidP="0082160A" w14:paraId="38CC83D8" w14:textId="5944C48F">
      <w:pPr>
        <w:pStyle w:val="FootnoteText"/>
      </w:pPr>
      <w:r w:rsidRPr="006B68D9">
        <w:rPr>
          <w:rStyle w:val="FootnoteReference"/>
        </w:rPr>
        <w:footnoteRef/>
      </w:r>
      <w:r w:rsidRPr="006B68D9">
        <w:t xml:space="preserve"> </w:t>
      </w:r>
      <w:r w:rsidRPr="00342675" w:rsidR="00B863F1">
        <w:rPr>
          <w:i/>
          <w:iCs/>
        </w:rPr>
        <w:t>Id</w:t>
      </w:r>
      <w:r w:rsidR="00B863F1">
        <w:t>.</w:t>
      </w:r>
    </w:p>
  </w:footnote>
  <w:footnote w:id="158">
    <w:p w:rsidR="00AD14D7" w:rsidRPr="00534E7C" w:rsidP="0082160A" w14:paraId="6BD9973C" w14:textId="290DD5B0">
      <w:pPr>
        <w:pStyle w:val="FootnoteText"/>
      </w:pPr>
      <w:r w:rsidRPr="006B68D9">
        <w:rPr>
          <w:rStyle w:val="FootnoteReference"/>
        </w:rPr>
        <w:footnoteRef/>
      </w:r>
      <w:r w:rsidRPr="006B68D9">
        <w:t xml:space="preserve"> </w:t>
      </w:r>
      <w:r w:rsidRPr="00342675" w:rsidR="00B863F1">
        <w:rPr>
          <w:i/>
          <w:iCs/>
        </w:rPr>
        <w:t>Id</w:t>
      </w:r>
      <w:r w:rsidR="00B863F1">
        <w:t>.</w:t>
      </w:r>
      <w:r w:rsidRPr="006B68D9" w:rsidR="001C39D8">
        <w:t>,</w:t>
      </w:r>
      <w:r w:rsidRPr="00534E7C" w:rsidR="00C0099C">
        <w:t xml:space="preserve"> para. 37.</w:t>
      </w:r>
    </w:p>
  </w:footnote>
  <w:footnote w:id="159">
    <w:p w:rsidR="00AA71D5" w:rsidRPr="006B68D9" w:rsidP="0082160A" w14:paraId="4F016316" w14:textId="45B7C55F">
      <w:pPr>
        <w:pStyle w:val="FootnoteText"/>
      </w:pPr>
      <w:r w:rsidRPr="006B68D9">
        <w:rPr>
          <w:rStyle w:val="FootnoteReference"/>
        </w:rPr>
        <w:footnoteRef/>
      </w:r>
      <w:r w:rsidRPr="006B68D9">
        <w:t xml:space="preserve"> 47 CFR § 90.173(b).</w:t>
      </w:r>
    </w:p>
  </w:footnote>
  <w:footnote w:id="160">
    <w:p w:rsidR="00EC2959" w:rsidRPr="006B68D9" w:rsidP="0082160A" w14:paraId="6E8B1D6D" w14:textId="26E9A262">
      <w:pPr>
        <w:pStyle w:val="FootnoteText"/>
      </w:pPr>
      <w:r w:rsidRPr="006B68D9">
        <w:rPr>
          <w:rStyle w:val="FootnoteReference"/>
        </w:rPr>
        <w:footnoteRef/>
      </w:r>
      <w:r w:rsidRPr="006B68D9">
        <w:t xml:space="preserve"> </w:t>
      </w:r>
      <w:r w:rsidRPr="00342675" w:rsidR="00B863F1">
        <w:rPr>
          <w:i/>
          <w:iCs/>
        </w:rPr>
        <w:t>Id</w:t>
      </w:r>
      <w:r w:rsidR="00B863F1">
        <w:t>.</w:t>
      </w:r>
      <w:r w:rsidRPr="006B68D9" w:rsidR="00B863F1">
        <w:t xml:space="preserve"> </w:t>
      </w:r>
    </w:p>
  </w:footnote>
  <w:footnote w:id="161">
    <w:p w:rsidR="00EC2959" w:rsidRPr="006B68D9" w:rsidP="0082160A" w14:paraId="69F4CB77" w14:textId="6E79A605">
      <w:pPr>
        <w:pStyle w:val="FootnoteText"/>
      </w:pPr>
      <w:r w:rsidRPr="006B68D9">
        <w:rPr>
          <w:rStyle w:val="FootnoteReference"/>
        </w:rPr>
        <w:footnoteRef/>
      </w:r>
      <w:r w:rsidRPr="006B68D9">
        <w:t xml:space="preserve"> </w:t>
      </w:r>
      <w:r w:rsidRPr="00342675" w:rsidR="00B863F1">
        <w:rPr>
          <w:i/>
          <w:iCs/>
        </w:rPr>
        <w:t>Id</w:t>
      </w:r>
      <w:r w:rsidR="00B863F1">
        <w:t>.</w:t>
      </w:r>
      <w:r w:rsidRPr="006B68D9" w:rsidR="00B863F1">
        <w:t xml:space="preserve"> </w:t>
      </w:r>
    </w:p>
  </w:footnote>
  <w:footnote w:id="162">
    <w:p w:rsidR="00AA71D5" w:rsidRPr="00172A8F" w:rsidP="0082160A" w14:paraId="68BDD7DB" w14:textId="020A1515">
      <w:pPr>
        <w:pStyle w:val="FootnoteText"/>
      </w:pPr>
      <w:r w:rsidRPr="006B68D9">
        <w:rPr>
          <w:rStyle w:val="FootnoteReference"/>
        </w:rPr>
        <w:footnoteRef/>
      </w:r>
      <w:r w:rsidRPr="006B68D9">
        <w:t xml:space="preserve"> </w:t>
      </w:r>
      <w:smartTag w:uri="urn:schemas-microsoft-com:office:smarttags" w:element="metricconverter">
        <w:smartTagPr>
          <w:attr w:name="ProductID" w:val="47 C"/>
        </w:smartTagPr>
        <w:r w:rsidRPr="006B68D9">
          <w:t>47 C</w:t>
        </w:r>
      </w:smartTag>
      <w:r w:rsidRPr="006B68D9">
        <w:t>FR § 1.925(b)(3)(i).</w:t>
      </w:r>
      <w:r w:rsidRPr="006B68D9" w:rsidR="004A760F">
        <w:t xml:space="preserve">  </w:t>
      </w:r>
      <w:r w:rsidR="006D1B88">
        <w:t xml:space="preserve">The </w:t>
      </w:r>
      <w:r w:rsidRPr="006B68D9" w:rsidR="004A760F">
        <w:t>Appendix to this Order lists the licenses subject to today’s modification of the section 90.723(f) rule waiver.</w:t>
      </w:r>
    </w:p>
  </w:footnote>
  <w:footnote w:id="163">
    <w:p w:rsidR="00EE5DCD" w:rsidRPr="00172A8F" w:rsidP="0082160A" w14:paraId="58797CA1" w14:textId="487ABC2B">
      <w:pPr>
        <w:pStyle w:val="FootnoteText"/>
      </w:pPr>
      <w:r w:rsidRPr="006B68D9">
        <w:rPr>
          <w:rStyle w:val="FootnoteReference"/>
        </w:rPr>
        <w:footnoteRef/>
      </w:r>
      <w:r w:rsidRPr="006B68D9">
        <w:t xml:space="preserve"> </w:t>
      </w:r>
      <w:r w:rsidR="0051330B">
        <w:rPr>
          <w:i/>
          <w:iCs/>
        </w:rPr>
        <w:t xml:space="preserve">See supra </w:t>
      </w:r>
      <w:r w:rsidR="0051330B">
        <w:t>para. 5</w:t>
      </w:r>
      <w:r w:rsidR="00A72A26">
        <w:t>2</w:t>
      </w:r>
      <w:r w:rsidR="0051330B">
        <w:t xml:space="preserve">.  </w:t>
      </w:r>
      <w:r w:rsidRPr="006B68D9">
        <w:t>We remind PTC-220 that under section 90.173(b), it must “cooperate in the selection and use of frequencies in order to reduce interference and make the most effective use of the authorized facilities.”  47 CFR § 90.173(b).</w:t>
      </w:r>
      <w:r w:rsidRPr="00172A8F" w:rsidR="004A760F">
        <w:t xml:space="preserve">  </w:t>
      </w:r>
    </w:p>
  </w:footnote>
  <w:footnote w:id="164">
    <w:p w:rsidR="0056661C" w:rsidRPr="00172A8F" w:rsidP="0082160A" w14:paraId="405EF918" w14:textId="5EFF38E0">
      <w:pPr>
        <w:pStyle w:val="FootnoteText"/>
      </w:pPr>
      <w:r w:rsidRPr="006B68D9">
        <w:rPr>
          <w:rStyle w:val="FootnoteReference"/>
        </w:rPr>
        <w:footnoteRef/>
      </w:r>
      <w:r w:rsidRPr="006B68D9">
        <w:t xml:space="preserve"> </w:t>
      </w:r>
      <w:r w:rsidRPr="006B68D9" w:rsidR="00191E13">
        <w:t>Waiver Modification Request Supplement</w:t>
      </w:r>
      <w:r w:rsidRPr="006B68D9" w:rsidR="007D2D05">
        <w:t xml:space="preserve"> </w:t>
      </w:r>
      <w:r w:rsidRPr="00534E7C" w:rsidR="00CE5BF4">
        <w:t xml:space="preserve">at </w:t>
      </w:r>
      <w:r w:rsidRPr="00534E7C" w:rsidR="0079657F">
        <w:t>3.</w:t>
      </w:r>
    </w:p>
  </w:footnote>
  <w:footnote w:id="165">
    <w:p w:rsidR="0056661C" w:rsidRPr="00172A8F" w:rsidP="0082160A" w14:paraId="16B7E764" w14:textId="05AB463C">
      <w:pPr>
        <w:pStyle w:val="FootnoteText"/>
      </w:pPr>
      <w:r w:rsidRPr="006B68D9">
        <w:rPr>
          <w:rStyle w:val="FootnoteReference"/>
        </w:rPr>
        <w:footnoteRef/>
      </w:r>
      <w:r w:rsidRPr="006B68D9">
        <w:t xml:space="preserve"> </w:t>
      </w:r>
      <w:r w:rsidRPr="006B68D9" w:rsidR="007D2D05">
        <w:t>Polivka Declaration at 12</w:t>
      </w:r>
      <w:r w:rsidRPr="006B68D9" w:rsidR="001C39D8">
        <w:t>,</w:t>
      </w:r>
      <w:r w:rsidRPr="006B68D9" w:rsidR="007D2D05">
        <w:t xml:space="preserve"> para. 27 (noting that “[b]</w:t>
      </w:r>
      <w:r w:rsidRPr="00B72FB2" w:rsidR="007D2D05">
        <w:t>ecause PTC-220 is not seeking any changes to the technical parameters under which the railroads’ 220 MHz band network currently operates, there is no reason to expect an increas</w:t>
      </w:r>
      <w:r w:rsidRPr="00172A8F" w:rsidR="007D2D05">
        <w:t>ed likelihood of harmful interference”).</w:t>
      </w:r>
    </w:p>
  </w:footnote>
  <w:footnote w:id="166">
    <w:p w:rsidR="008371A8" w:rsidRPr="00172A8F" w:rsidP="0082160A" w14:paraId="58A30E0F" w14:textId="76824427">
      <w:pPr>
        <w:pStyle w:val="FootnoteText"/>
      </w:pPr>
      <w:r w:rsidRPr="006B68D9">
        <w:rPr>
          <w:rStyle w:val="FootnoteReference"/>
        </w:rPr>
        <w:footnoteRef/>
      </w:r>
      <w:r w:rsidRPr="006B68D9" w:rsidR="007D2D05">
        <w:t xml:space="preserve"> </w:t>
      </w:r>
      <w:r w:rsidRPr="006B68D9" w:rsidR="00191E13">
        <w:t>Waiver Modification Request Supplement</w:t>
      </w:r>
      <w:r w:rsidRPr="006B68D9" w:rsidR="007D2D05">
        <w:t xml:space="preserve"> at </w:t>
      </w:r>
      <w:r w:rsidRPr="006B68D9" w:rsidR="00107295">
        <w:t>8</w:t>
      </w:r>
      <w:r w:rsidRPr="00534E7C" w:rsidR="00034780">
        <w:t xml:space="preserve"> (</w:t>
      </w:r>
      <w:r w:rsidRPr="00534E7C" w:rsidR="00CE5BF4">
        <w:t xml:space="preserve">stating that </w:t>
      </w:r>
      <w:r w:rsidRPr="00534E7C" w:rsidR="00034780">
        <w:t>“[b]ecause PTC-220’s waiver modification request for its 220 MHz band licenses seeks the same treatment as its 219 MHz band licenses, PTC-220 is willing to</w:t>
      </w:r>
      <w:r w:rsidRPr="00172A8F" w:rsidR="00034780">
        <w:t xml:space="preserve"> commit to the 219 MHz band interference mitigation procedures [] for its 220 MHz band licenses”).</w:t>
      </w:r>
    </w:p>
  </w:footnote>
  <w:footnote w:id="167">
    <w:p w:rsidR="008E2A68" w:rsidRPr="00172A8F" w:rsidP="0082160A" w14:paraId="646B0806" w14:textId="74BE5952">
      <w:pPr>
        <w:pStyle w:val="FootnoteText"/>
      </w:pPr>
      <w:r w:rsidRPr="006B68D9">
        <w:rPr>
          <w:rStyle w:val="FootnoteReference"/>
        </w:rPr>
        <w:footnoteRef/>
      </w:r>
      <w:r w:rsidRPr="006B68D9">
        <w:t xml:space="preserve"> </w:t>
      </w:r>
      <w:r w:rsidRPr="006B68D9">
        <w:rPr>
          <w:i/>
          <w:iCs/>
        </w:rPr>
        <w:t>2021 AMTS Waiver Order</w:t>
      </w:r>
      <w:r w:rsidRPr="006B68D9">
        <w:t>, 2021 WL 6135309, *</w:t>
      </w:r>
      <w:r w:rsidRPr="006B68D9" w:rsidR="00ED3124">
        <w:t>14</w:t>
      </w:r>
      <w:r w:rsidRPr="00534E7C" w:rsidR="00A07F1A">
        <w:t>,</w:t>
      </w:r>
      <w:r w:rsidRPr="00534E7C">
        <w:t xml:space="preserve"> para. </w:t>
      </w:r>
      <w:r w:rsidRPr="00534E7C" w:rsidR="00ED3124">
        <w:t>52</w:t>
      </w:r>
      <w:r w:rsidRPr="00DA28A6">
        <w:t xml:space="preserve">. </w:t>
      </w:r>
      <w:r w:rsidRPr="00172A8F" w:rsidR="00CB262C">
        <w:t xml:space="preserve"> </w:t>
      </w:r>
    </w:p>
  </w:footnote>
  <w:footnote w:id="168">
    <w:p w:rsidR="00284831" w14:paraId="01C9D0E5" w14:textId="7BF9B06B">
      <w:pPr>
        <w:pStyle w:val="FootnoteText"/>
      </w:pPr>
      <w:r>
        <w:rPr>
          <w:rStyle w:val="FootnoteReference"/>
        </w:rPr>
        <w:footnoteRef/>
      </w:r>
      <w:r>
        <w:t xml:space="preserve"> PTC-220 is responsible for resolving any inference caused by tenant railroads (such as Amtrak), which use</w:t>
      </w:r>
      <w:r w:rsidR="00286BF8">
        <w:t xml:space="preserve"> its </w:t>
      </w:r>
      <w:r>
        <w:t xml:space="preserve">220 MHz spectrum for non-PTC rail safety applications on lines controlled by PTC-220. </w:t>
      </w:r>
    </w:p>
  </w:footnote>
  <w:footnote w:id="169">
    <w:p w:rsidR="008028FD" w:rsidRPr="006B68D9" w:rsidP="0082160A" w14:paraId="43254884" w14:textId="540F6480">
      <w:pPr>
        <w:pStyle w:val="FootnoteText"/>
      </w:pPr>
      <w:r w:rsidRPr="006B68D9">
        <w:rPr>
          <w:rStyle w:val="FootnoteReference"/>
        </w:rPr>
        <w:footnoteRef/>
      </w:r>
      <w:r w:rsidRPr="006B68D9">
        <w:t xml:space="preserve"> </w:t>
      </w:r>
      <w:r w:rsidRPr="006B68D9" w:rsidR="00191E13">
        <w:t>Waiver Modification Request Supplement</w:t>
      </w:r>
      <w:r w:rsidRPr="006B68D9">
        <w:t xml:space="preserve"> at 8.</w:t>
      </w:r>
    </w:p>
  </w:footnote>
  <w:footnote w:id="170">
    <w:p w:rsidR="00D172DD" w:rsidRPr="00172A8F" w:rsidP="0082160A" w14:paraId="3A4486F8" w14:textId="2BE1EBE2">
      <w:pPr>
        <w:pStyle w:val="FootnoteText"/>
      </w:pPr>
      <w:r w:rsidRPr="006B68D9">
        <w:rPr>
          <w:rStyle w:val="FootnoteReference"/>
        </w:rPr>
        <w:footnoteRef/>
      </w:r>
      <w:r w:rsidRPr="006B68D9">
        <w:t xml:space="preserve"> The ACHP is an independent federal agency that promotes the preservation, enhancement, and productive use of the nation's historic resources, and advises the President and Congress on national historic preservation policy.  </w:t>
      </w:r>
      <w:r w:rsidRPr="006B68D9" w:rsidR="0096295C">
        <w:t>ACHP</w:t>
      </w:r>
      <w:r w:rsidRPr="006B68D9" w:rsidR="00C35ED1">
        <w:t>,</w:t>
      </w:r>
      <w:r w:rsidRPr="006B68D9" w:rsidR="00C35ED1">
        <w:rPr>
          <w:i/>
          <w:iCs/>
        </w:rPr>
        <w:t xml:space="preserve"> </w:t>
      </w:r>
      <w:r w:rsidRPr="00534E7C" w:rsidR="0096295C">
        <w:rPr>
          <w:i/>
          <w:iCs/>
        </w:rPr>
        <w:t>Mission Statement</w:t>
      </w:r>
      <w:r w:rsidRPr="00534E7C" w:rsidR="0096295C">
        <w:t xml:space="preserve">, </w:t>
      </w:r>
      <w:hyperlink r:id="rId13" w:history="1">
        <w:r w:rsidRPr="006B68D9" w:rsidR="0096295C">
          <w:rPr>
            <w:rStyle w:val="Hyperlink"/>
          </w:rPr>
          <w:t>https://www.achp.gov/about</w:t>
        </w:r>
      </w:hyperlink>
      <w:r w:rsidRPr="006B68D9">
        <w:t xml:space="preserve"> </w:t>
      </w:r>
      <w:r w:rsidRPr="006B68D9" w:rsidR="00CE5BF4">
        <w:t>(</w:t>
      </w:r>
      <w:r w:rsidRPr="006B68D9">
        <w:t xml:space="preserve">last visited </w:t>
      </w:r>
      <w:r w:rsidRPr="006B68D9" w:rsidR="00815C29">
        <w:t>Jan. 26, 2023</w:t>
      </w:r>
      <w:r w:rsidRPr="00172A8F" w:rsidR="00CE5BF4">
        <w:t>)</w:t>
      </w:r>
      <w:r w:rsidRPr="00172A8F">
        <w:t xml:space="preserve">. </w:t>
      </w:r>
    </w:p>
  </w:footnote>
  <w:footnote w:id="171">
    <w:p w:rsidR="005E479E" w:rsidRPr="006B68D9" w:rsidP="00C14558" w14:paraId="5F24B618" w14:textId="428A3AA8">
      <w:pPr>
        <w:pStyle w:val="FootnoteText"/>
      </w:pPr>
      <w:r w:rsidRPr="006B68D9">
        <w:rPr>
          <w:rStyle w:val="FootnoteReference"/>
        </w:rPr>
        <w:footnoteRef/>
      </w:r>
      <w:r w:rsidRPr="006B68D9">
        <w:t xml:space="preserve"> </w:t>
      </w:r>
      <w:r w:rsidRPr="006B68D9">
        <w:rPr>
          <w:i/>
          <w:iCs/>
        </w:rPr>
        <w:t>Wireless Telecommunications Bureau Announces Adoption of Program Comment to Govern Review of Positive Train Control Wayside Facilities</w:t>
      </w:r>
      <w:r w:rsidRPr="00172A8F">
        <w:t xml:space="preserve">, </w:t>
      </w:r>
      <w:r w:rsidRPr="00172A8F" w:rsidR="001C1CCB">
        <w:t xml:space="preserve">WT Docket No. 13-240, </w:t>
      </w:r>
      <w:r w:rsidRPr="00172A8F">
        <w:t>Public Notice, 29 FCC Rcd 5340 (WTB 2014) (announcing “Program Comment to Tailor the Federal Communications Commission’s Section 106 Review for Undertakings Involving the Construction of Positive Train Control Wayside Poles and Infrastructure”) (</w:t>
      </w:r>
      <w:r w:rsidRPr="00CE2CE3">
        <w:rPr>
          <w:i/>
          <w:iCs/>
        </w:rPr>
        <w:t>PTC Program Comment</w:t>
      </w:r>
      <w:r w:rsidRPr="006B68D9">
        <w:t>).</w:t>
      </w:r>
    </w:p>
  </w:footnote>
  <w:footnote w:id="172">
    <w:p w:rsidR="005E479E" w:rsidRPr="00534E7C" w:rsidP="00C14558" w14:paraId="00BC91B5" w14:textId="4A3CD296">
      <w:pPr>
        <w:pStyle w:val="FootnoteText"/>
      </w:pPr>
      <w:r w:rsidRPr="006B68D9">
        <w:rPr>
          <w:rStyle w:val="FootnoteReference"/>
        </w:rPr>
        <w:footnoteRef/>
      </w:r>
      <w:r w:rsidRPr="006B68D9">
        <w:t xml:space="preserve"> </w:t>
      </w:r>
      <w:r w:rsidRPr="006B68D9" w:rsidR="00B665C9">
        <w:t xml:space="preserve">54 U.S.C. § 306108 (formerly </w:t>
      </w:r>
      <w:r w:rsidRPr="006B68D9">
        <w:t>16 U.S.C. § 470f</w:t>
      </w:r>
      <w:r w:rsidRPr="006B68D9" w:rsidR="00B665C9">
        <w:t>)</w:t>
      </w:r>
      <w:r w:rsidRPr="00534E7C">
        <w:t>.</w:t>
      </w:r>
    </w:p>
  </w:footnote>
  <w:footnote w:id="173">
    <w:p w:rsidR="00252388" w:rsidRPr="00172A8F" w:rsidP="00C14558" w14:paraId="3638A8AB" w14:textId="40820505">
      <w:pPr>
        <w:pStyle w:val="FootnoteText"/>
      </w:pPr>
      <w:r w:rsidRPr="006B68D9">
        <w:rPr>
          <w:rStyle w:val="FootnoteReference"/>
        </w:rPr>
        <w:footnoteRef/>
      </w:r>
      <w:r w:rsidRPr="006B68D9">
        <w:t xml:space="preserve"> </w:t>
      </w:r>
      <w:r w:rsidRPr="006B68D9" w:rsidR="0033443F">
        <w:t xml:space="preserve">The </w:t>
      </w:r>
      <w:r w:rsidRPr="006B68D9" w:rsidR="0033443F">
        <w:rPr>
          <w:i/>
          <w:iCs/>
        </w:rPr>
        <w:t>PTC Program Comment</w:t>
      </w:r>
      <w:r w:rsidRPr="006B68D9" w:rsidR="0033443F">
        <w:t xml:space="preserve"> generally does not require the Commission to consider the effects on historic properties of:  (1) most PTC wayside poles and infrastructure within</w:t>
      </w:r>
      <w:r w:rsidRPr="00172A8F" w:rsidR="0033443F">
        <w:t xml:space="preserve"> 500 feet of certain existing structures; (2) most collocations of PTC wayside antennas on existing railroad infrastructure; and (3) most PTC wayside poles and infrastructure within freight yards.  </w:t>
      </w:r>
      <w:r w:rsidR="0014444C">
        <w:rPr>
          <w:i/>
          <w:iCs/>
        </w:rPr>
        <w:t xml:space="preserve">See generally </w:t>
      </w:r>
      <w:r w:rsidRPr="00172A8F">
        <w:rPr>
          <w:i/>
          <w:iCs/>
        </w:rPr>
        <w:t>PTC Program Comment</w:t>
      </w:r>
      <w:r w:rsidR="0014444C">
        <w:t xml:space="preserve">.  </w:t>
      </w:r>
      <w:r w:rsidRPr="00172A8F" w:rsidR="005E479E">
        <w:t xml:space="preserve">The </w:t>
      </w:r>
      <w:r w:rsidRPr="00172A8F" w:rsidR="005E479E">
        <w:rPr>
          <w:i/>
          <w:iCs/>
        </w:rPr>
        <w:t>PTC Program Comment</w:t>
      </w:r>
      <w:r w:rsidRPr="00172A8F" w:rsidR="005E479E">
        <w:t xml:space="preserve"> “</w:t>
      </w:r>
      <w:r w:rsidRPr="00172A8F" w:rsidR="005E479E">
        <w:rPr>
          <w:color w:val="000000"/>
        </w:rPr>
        <w:t xml:space="preserve">also relieves other federal agencies from the need to conduct separate Section 106 reviews regarding the effects of [PTC wayside] poles and infrastructure.”  </w:t>
      </w:r>
      <w:r w:rsidRPr="00172A8F" w:rsidR="005E479E">
        <w:rPr>
          <w:i/>
          <w:iCs/>
          <w:color w:val="000000"/>
        </w:rPr>
        <w:t>Id</w:t>
      </w:r>
      <w:r w:rsidRPr="00172A8F" w:rsidR="005E479E">
        <w:rPr>
          <w:color w:val="000000"/>
        </w:rPr>
        <w:t>.</w:t>
      </w:r>
      <w:r w:rsidR="0014444C">
        <w:rPr>
          <w:color w:val="000000"/>
        </w:rPr>
        <w:t xml:space="preserve">, </w:t>
      </w:r>
      <w:r w:rsidRPr="00172A8F" w:rsidR="0014444C">
        <w:t xml:space="preserve">29 FCC Rcd </w:t>
      </w:r>
      <w:r w:rsidRPr="00172A8F" w:rsidR="005E479E">
        <w:t xml:space="preserve">at </w:t>
      </w:r>
      <w:r w:rsidRPr="00172A8F" w:rsidR="005E479E">
        <w:rPr>
          <w:color w:val="000000"/>
        </w:rPr>
        <w:t>5344.</w:t>
      </w:r>
    </w:p>
  </w:footnote>
  <w:footnote w:id="174">
    <w:p w:rsidR="00FD5EB8" w:rsidRPr="006B68D9" w:rsidP="00C14558" w14:paraId="0E656F5A" w14:textId="1317E0C0">
      <w:pPr>
        <w:pStyle w:val="FootnoteText"/>
      </w:pPr>
      <w:r w:rsidRPr="006B68D9">
        <w:rPr>
          <w:rStyle w:val="FootnoteReference"/>
        </w:rPr>
        <w:footnoteRef/>
      </w:r>
      <w:r w:rsidRPr="006B68D9">
        <w:t xml:space="preserve"> </w:t>
      </w:r>
      <w:r w:rsidRPr="0014444C" w:rsidR="0014444C">
        <w:rPr>
          <w:i/>
          <w:iCs/>
        </w:rPr>
        <w:t>Id</w:t>
      </w:r>
      <w:r w:rsidR="0014444C">
        <w:t xml:space="preserve">. </w:t>
      </w:r>
      <w:r w:rsidR="0081129F">
        <w:t>at 5346-47, Sec</w:t>
      </w:r>
      <w:r w:rsidR="00157764">
        <w:t>tion</w:t>
      </w:r>
      <w:r w:rsidR="0081129F">
        <w:t xml:space="preserve"> </w:t>
      </w:r>
      <w:r w:rsidRPr="006B68D9">
        <w:t>III.</w:t>
      </w:r>
    </w:p>
  </w:footnote>
  <w:footnote w:id="175">
    <w:p w:rsidR="00F173B4" w:rsidRPr="00172A8F" w:rsidP="00C14558" w14:paraId="23B98CFE" w14:textId="22AF4C65">
      <w:pPr>
        <w:pStyle w:val="FootnoteText"/>
      </w:pPr>
      <w:r w:rsidRPr="00172A8F">
        <w:rPr>
          <w:rStyle w:val="FootnoteReference"/>
        </w:rPr>
        <w:footnoteRef/>
      </w:r>
      <w:r w:rsidRPr="00172A8F">
        <w:t xml:space="preserve"> PTC-220 states that its </w:t>
      </w:r>
      <w:r w:rsidRPr="006B68D9" w:rsidR="00191E13">
        <w:t>Waiver Modification Request</w:t>
      </w:r>
      <w:r w:rsidRPr="006B68D9">
        <w:t xml:space="preserve"> “should not be construed as a request to expand the </w:t>
      </w:r>
      <w:r w:rsidRPr="006B68D9">
        <w:rPr>
          <w:i/>
          <w:iCs/>
        </w:rPr>
        <w:t>PTC Program Comment</w:t>
      </w:r>
      <w:r w:rsidRPr="00172A8F">
        <w:t xml:space="preserve"> to non-PTC railroad safety infrastructure that is presently not covered.”  </w:t>
      </w:r>
      <w:r w:rsidR="00F83438">
        <w:t xml:space="preserve">Waiver </w:t>
      </w:r>
      <w:r w:rsidRPr="00172A8F" w:rsidR="00191E13">
        <w:t>Modification Request Supplement</w:t>
      </w:r>
      <w:r w:rsidRPr="00172A8F">
        <w:t xml:space="preserve"> at 9.    </w:t>
      </w:r>
    </w:p>
  </w:footnote>
  <w:footnote w:id="176">
    <w:p w:rsidR="00FB3345" w:rsidRPr="006B68D9" w:rsidP="00C14558" w14:paraId="4ACE7EB6" w14:textId="025719C3">
      <w:pPr>
        <w:pStyle w:val="FootnoteText"/>
      </w:pPr>
      <w:r w:rsidRPr="00172A8F">
        <w:rPr>
          <w:rStyle w:val="FootnoteReference"/>
        </w:rPr>
        <w:footnoteRef/>
      </w:r>
      <w:r w:rsidRPr="00172A8F">
        <w:t xml:space="preserve"> 42 U.</w:t>
      </w:r>
      <w:r w:rsidRPr="006B68D9">
        <w:t>S.C. §§ 4321–4335</w:t>
      </w:r>
      <w:r w:rsidR="004D5778">
        <w:t xml:space="preserve">; </w:t>
      </w:r>
      <w:r w:rsidR="00C56B4F">
        <w:t xml:space="preserve">47 CFR </w:t>
      </w:r>
      <w:r w:rsidR="002C21F8">
        <w:t>§§ 1.</w:t>
      </w:r>
      <w:r w:rsidR="00F6272D">
        <w:t>1</w:t>
      </w:r>
      <w:r w:rsidR="002C21F8">
        <w:t>301-</w:t>
      </w:r>
      <w:r w:rsidR="00F6272D">
        <w:t>1.1320</w:t>
      </w:r>
      <w:r w:rsidR="001269D2">
        <w:t>.</w:t>
      </w:r>
      <w:r w:rsidR="00472053">
        <w:t xml:space="preserve">  </w:t>
      </w:r>
      <w:r w:rsidR="00472053">
        <w:rPr>
          <w:i/>
          <w:iCs/>
        </w:rPr>
        <w:t>See also</w:t>
      </w:r>
      <w:r w:rsidR="00472053">
        <w:t xml:space="preserve"> 47 CFR § 17.4(c).</w:t>
      </w:r>
    </w:p>
  </w:footnote>
  <w:footnote w:id="177">
    <w:p w:rsidR="00C14558" w:rsidRPr="00C14558" w:rsidP="00C14558" w14:paraId="4D05B1D7" w14:textId="3801A4DE">
      <w:pPr>
        <w:spacing w:after="120"/>
        <w:rPr>
          <w:snapToGrid/>
          <w:kern w:val="2"/>
          <w:sz w:val="20"/>
        </w:rPr>
      </w:pPr>
      <w:r>
        <w:rPr>
          <w:rStyle w:val="FootnoteReference"/>
        </w:rPr>
        <w:footnoteRef/>
      </w:r>
      <w:r>
        <w:t xml:space="preserve"> </w:t>
      </w:r>
      <w:r w:rsidRPr="00FC56BE" w:rsidR="00DF4A9B">
        <w:rPr>
          <w:sz w:val="20"/>
        </w:rPr>
        <w:t>54 U.S.C. § 300101 et seq.;</w:t>
      </w:r>
      <w:r w:rsidR="00DF4A9B">
        <w:t xml:space="preserve"> </w:t>
      </w:r>
      <w:r w:rsidR="00BD3992">
        <w:rPr>
          <w:i/>
          <w:iCs/>
          <w:sz w:val="20"/>
        </w:rPr>
        <w:t>Nationwide Programmatic Agreement for the Collocation of Wireless Antennas</w:t>
      </w:r>
      <w:r w:rsidR="00BD3992">
        <w:rPr>
          <w:sz w:val="20"/>
        </w:rPr>
        <w:t>, 47 C</w:t>
      </w:r>
      <w:r w:rsidR="002711D6">
        <w:rPr>
          <w:sz w:val="20"/>
        </w:rPr>
        <w:t>FR</w:t>
      </w:r>
      <w:r w:rsidR="00BD3992">
        <w:rPr>
          <w:sz w:val="20"/>
        </w:rPr>
        <w:t xml:space="preserve"> pt. 1, Appx. B.; </w:t>
      </w:r>
      <w:r w:rsidR="000712BE">
        <w:rPr>
          <w:i/>
          <w:iCs/>
          <w:sz w:val="20"/>
        </w:rPr>
        <w:t>Nationwide Programmatic Agreement for Review of Effects on Historic Properties for Certain Undertakings Approved by the Federal Communications Commission</w:t>
      </w:r>
      <w:r w:rsidR="000712BE">
        <w:rPr>
          <w:sz w:val="20"/>
        </w:rPr>
        <w:t>, 47 CFR pt. 1, Appx. C.</w:t>
      </w:r>
      <w:r w:rsidRPr="001B3E2A" w:rsidR="00DE75F6">
        <w:rPr>
          <w:sz w:val="20"/>
        </w:rPr>
        <w:t xml:space="preserve"> </w:t>
      </w:r>
      <w:r w:rsidR="00182386">
        <w:rPr>
          <w:sz w:val="20"/>
        </w:rPr>
        <w:t xml:space="preserve"> </w:t>
      </w:r>
      <w:r w:rsidRPr="001B3E2A" w:rsidR="00DE75F6">
        <w:rPr>
          <w:sz w:val="20"/>
        </w:rPr>
        <w:t xml:space="preserve">The Commission </w:t>
      </w:r>
      <w:r w:rsidRPr="001B3E2A" w:rsidR="001B3E2A">
        <w:rPr>
          <w:sz w:val="20"/>
        </w:rPr>
        <w:t xml:space="preserve">provides </w:t>
      </w:r>
      <w:r w:rsidR="00B66AFE">
        <w:rPr>
          <w:sz w:val="20"/>
        </w:rPr>
        <w:t>its</w:t>
      </w:r>
      <w:r w:rsidRPr="00FC56BE" w:rsidR="00DE75F6">
        <w:rPr>
          <w:sz w:val="20"/>
        </w:rPr>
        <w:t xml:space="preserve"> Tower Construction Notification System (TCNS) </w:t>
      </w:r>
      <w:r w:rsidRPr="00FC56BE" w:rsidR="001B3E2A">
        <w:rPr>
          <w:sz w:val="20"/>
        </w:rPr>
        <w:t>as a tool</w:t>
      </w:r>
      <w:r w:rsidR="003A156C">
        <w:rPr>
          <w:sz w:val="20"/>
        </w:rPr>
        <w:t xml:space="preserve"> for applicants</w:t>
      </w:r>
      <w:r w:rsidRPr="00FC56BE" w:rsidR="001B3E2A">
        <w:rPr>
          <w:sz w:val="20"/>
        </w:rPr>
        <w:t xml:space="preserve"> to </w:t>
      </w:r>
      <w:r w:rsidR="003A156C">
        <w:rPr>
          <w:sz w:val="20"/>
        </w:rPr>
        <w:t xml:space="preserve">help </w:t>
      </w:r>
      <w:r w:rsidRPr="00FC56BE" w:rsidR="00DE75F6">
        <w:rPr>
          <w:sz w:val="20"/>
        </w:rPr>
        <w:t>facilitate communication with Indian Tribes and Native Hawaiian Organizations (NHOs)</w:t>
      </w:r>
      <w:r w:rsidR="00065BB0">
        <w:rPr>
          <w:sz w:val="20"/>
        </w:rPr>
        <w:t xml:space="preserve"> which enables</w:t>
      </w:r>
      <w:r w:rsidRPr="00FC56BE" w:rsidR="00DE75F6">
        <w:rPr>
          <w:sz w:val="20"/>
        </w:rPr>
        <w:t xml:space="preserve"> the review required by section 106 of the NHPA.  The TCNS also provides Tribes/NHOs and State Historic Preservation Officers with early notification of proposed towers to facilitate compliance with the Commission</w:t>
      </w:r>
      <w:r w:rsidR="00717555">
        <w:rPr>
          <w:sz w:val="20"/>
        </w:rPr>
        <w:t>’</w:t>
      </w:r>
      <w:r w:rsidRPr="00FC56BE" w:rsidR="00DE75F6">
        <w:rPr>
          <w:sz w:val="20"/>
        </w:rPr>
        <w:t>s rules and streamline the review process for construction of towers and other Commission undertakings</w:t>
      </w:r>
      <w:r w:rsidR="003A156C">
        <w:rPr>
          <w:sz w:val="20"/>
        </w:rPr>
        <w:t>.</w:t>
      </w:r>
    </w:p>
  </w:footnote>
  <w:footnote w:id="178">
    <w:p w:rsidR="00164E49" w:rsidRPr="00172A8F" w:rsidP="00C14558" w14:paraId="469618A5" w14:textId="4E84A78C">
      <w:pPr>
        <w:pStyle w:val="FootnoteText"/>
      </w:pPr>
      <w:r w:rsidRPr="00172A8F">
        <w:rPr>
          <w:rStyle w:val="FootnoteReference"/>
        </w:rPr>
        <w:footnoteRef/>
      </w:r>
      <w:r w:rsidRPr="00172A8F">
        <w:t xml:space="preserve"> </w:t>
      </w:r>
      <w:r w:rsidR="00746532">
        <w:t>The</w:t>
      </w:r>
      <w:r w:rsidR="009F0B6D">
        <w:t xml:space="preserve"> Commission</w:t>
      </w:r>
      <w:r w:rsidRPr="00172A8F">
        <w:t xml:space="preserve"> must comply</w:t>
      </w:r>
      <w:r w:rsidR="000765E5">
        <w:t>, for example,</w:t>
      </w:r>
      <w:r w:rsidRPr="00172A8F">
        <w:t xml:space="preserve"> with the Endangered Species Act</w:t>
      </w:r>
      <w:r w:rsidRPr="006B68D9" w:rsidR="00841129">
        <w:t xml:space="preserve"> (16 U.S.C. § 1531 </w:t>
      </w:r>
      <w:r w:rsidRPr="006B68D9" w:rsidR="00841129">
        <w:rPr>
          <w:i/>
          <w:iCs/>
        </w:rPr>
        <w:t>et seq.</w:t>
      </w:r>
      <w:r w:rsidRPr="006B68D9" w:rsidR="00841129">
        <w:t>)</w:t>
      </w:r>
      <w:r w:rsidR="007D16CA">
        <w:t>,</w:t>
      </w:r>
      <w:r w:rsidRPr="006B68D9">
        <w:t xml:space="preserve"> and</w:t>
      </w:r>
      <w:r w:rsidRPr="00534E7C" w:rsidR="00841129">
        <w:t xml:space="preserve"> </w:t>
      </w:r>
      <w:r w:rsidR="007F5DA4">
        <w:t>PTC-220</w:t>
      </w:r>
      <w:r w:rsidR="00D820F4">
        <w:t xml:space="preserve"> must comply with </w:t>
      </w:r>
      <w:r w:rsidRPr="00534E7C" w:rsidR="00841129">
        <w:t xml:space="preserve">the Commission’s implementing regulations </w:t>
      </w:r>
      <w:r w:rsidRPr="00172A8F">
        <w:t>when deploying wireless communications infrastructure.</w:t>
      </w:r>
      <w:r w:rsidR="002572C9">
        <w:t xml:space="preserve">  </w:t>
      </w:r>
      <w:r w:rsidR="00BF4F90">
        <w:rPr>
          <w:i/>
          <w:iCs/>
        </w:rPr>
        <w:t xml:space="preserve">See </w:t>
      </w:r>
      <w:r w:rsidRPr="00172A8F" w:rsidR="00BF4F90">
        <w:t>47 CFR §</w:t>
      </w:r>
      <w:r w:rsidR="00BF4F90">
        <w:t xml:space="preserve"> 1.1307(a)(3).  </w:t>
      </w:r>
      <w:r w:rsidRPr="00172A8F" w:rsidR="00841129">
        <w:t>Section 1.1307</w:t>
      </w:r>
      <w:r w:rsidR="00297332">
        <w:t xml:space="preserve"> </w:t>
      </w:r>
      <w:r w:rsidRPr="00172A8F" w:rsidR="00841129">
        <w:t>of the Commission’s rules requires applicants, including licensees and tower owners, to</w:t>
      </w:r>
      <w:r w:rsidR="00746FF8">
        <w:t xml:space="preserve"> submit an environmental assessment if the </w:t>
      </w:r>
      <w:r w:rsidRPr="00172A8F" w:rsidR="00841129">
        <w:t>proposed facilities</w:t>
      </w:r>
      <w:r w:rsidR="00746FF8">
        <w:t xml:space="preserve"> m</w:t>
      </w:r>
      <w:r w:rsidR="0080305F">
        <w:t>ight</w:t>
      </w:r>
      <w:r w:rsidR="00746FF8">
        <w:t xml:space="preserve"> have a significant environmental effect</w:t>
      </w:r>
      <w:r w:rsidRPr="00172A8F" w:rsidR="00841129">
        <w:t>.  47 CFR §</w:t>
      </w:r>
      <w:r w:rsidR="00893EC1">
        <w:t xml:space="preserve"> </w:t>
      </w:r>
      <w:r w:rsidRPr="00172A8F" w:rsidR="00841129">
        <w:t>1.1307.</w:t>
      </w:r>
    </w:p>
  </w:footnote>
  <w:footnote w:id="179">
    <w:p w:rsidR="0079279D" w:rsidRPr="00172A8F" w:rsidP="00C14558" w14:paraId="3DC65C30" w14:textId="0B93E51B">
      <w:pPr>
        <w:pStyle w:val="FootnoteText"/>
      </w:pPr>
      <w:r w:rsidRPr="00172A8F">
        <w:rPr>
          <w:rStyle w:val="FootnoteReference"/>
        </w:rPr>
        <w:footnoteRef/>
      </w:r>
      <w:r w:rsidRPr="00172A8F">
        <w:t xml:space="preserve"> </w:t>
      </w:r>
      <w:r w:rsidR="00B079B2">
        <w:t>For example, a</w:t>
      </w:r>
      <w:r w:rsidR="005664BF">
        <w:t xml:space="preserve">ntenna structures </w:t>
      </w:r>
      <w:r w:rsidR="00ED5318">
        <w:t>that require notice to the Federal Aviation Administration</w:t>
      </w:r>
      <w:r w:rsidR="009E56DC">
        <w:t xml:space="preserve"> due to physical obstruction</w:t>
      </w:r>
      <w:r w:rsidR="00223360">
        <w:t xml:space="preserve"> </w:t>
      </w:r>
      <w:r w:rsidR="00C014A4">
        <w:t>must be registered in the Commission’s Antenna Structure Registration system prior to construction.</w:t>
      </w:r>
      <w:r w:rsidR="00B92416">
        <w:t xml:space="preserve"> </w:t>
      </w:r>
      <w:r w:rsidR="001E762F">
        <w:t xml:space="preserve"> </w:t>
      </w:r>
      <w:r w:rsidR="008D7A44">
        <w:t>47 CFR §</w:t>
      </w:r>
      <w:r w:rsidR="00E0151F">
        <w:t>§</w:t>
      </w:r>
      <w:r w:rsidR="008D7A44">
        <w:t xml:space="preserve"> 17.4(a)</w:t>
      </w:r>
      <w:r w:rsidR="00E0151F">
        <w:t>, 17.7.</w:t>
      </w:r>
    </w:p>
  </w:footnote>
  <w:footnote w:id="180">
    <w:p w:rsidR="008C4018" w:rsidRPr="00172A8F" w:rsidP="00C14558" w14:paraId="76B177D6" w14:textId="03884C70">
      <w:pPr>
        <w:pStyle w:val="FootnoteText"/>
      </w:pPr>
      <w:r w:rsidRPr="00172A8F">
        <w:rPr>
          <w:rStyle w:val="FootnoteReference"/>
        </w:rPr>
        <w:footnoteRef/>
      </w:r>
      <w:r w:rsidRPr="00172A8F" w:rsidR="006C779F">
        <w:t xml:space="preserve"> </w:t>
      </w:r>
      <w:r w:rsidRPr="006B68D9" w:rsidR="006C779F">
        <w:rPr>
          <w:i/>
          <w:iCs/>
        </w:rPr>
        <w:t>See</w:t>
      </w:r>
      <w:r w:rsidRPr="006B68D9" w:rsidR="006C779F">
        <w:t xml:space="preserve"> </w:t>
      </w:r>
      <w:r w:rsidRPr="006B68D9" w:rsidR="00191E13">
        <w:t>Waiver Modification Request</w:t>
      </w:r>
      <w:r w:rsidRPr="006B68D9" w:rsidR="005B0583">
        <w:t xml:space="preserve"> </w:t>
      </w:r>
      <w:r w:rsidRPr="00534E7C" w:rsidR="005D247B">
        <w:t>at 15</w:t>
      </w:r>
      <w:r w:rsidRPr="00534E7C" w:rsidR="001C39D8">
        <w:t>,</w:t>
      </w:r>
      <w:r w:rsidRPr="00534E7C" w:rsidR="005D247B">
        <w:t xml:space="preserve"> n.55 (</w:t>
      </w:r>
      <w:r w:rsidRPr="00DA28A6" w:rsidR="005B0583">
        <w:t>stating that “PTC-220’s request would not extend to applications wholly unrelated to rail safety [such as] retail commercial broadband service to consumers”</w:t>
      </w:r>
      <w:r w:rsidRPr="00172A8F" w:rsidR="005D247B">
        <w:t>)</w:t>
      </w:r>
      <w:r w:rsidRPr="00172A8F" w:rsidR="005B0583">
        <w:t>.</w:t>
      </w:r>
    </w:p>
  </w:footnote>
  <w:footnote w:id="181">
    <w:p w:rsidR="00116997" w14:paraId="765386D9" w14:textId="6420BED1">
      <w:pPr>
        <w:pStyle w:val="FootnoteText"/>
      </w:pPr>
      <w:r>
        <w:rPr>
          <w:rStyle w:val="FootnoteReference"/>
        </w:rPr>
        <w:footnoteRef/>
      </w:r>
      <w:r>
        <w:t xml:space="preserve"> </w:t>
      </w:r>
      <w:r w:rsidRPr="0022030C">
        <w:rPr>
          <w:i/>
          <w:iCs/>
        </w:rPr>
        <w:t>See supra</w:t>
      </w:r>
      <w:r>
        <w:t xml:space="preserve"> </w:t>
      </w:r>
      <w:r w:rsidR="003827F1">
        <w:t>Section III.A.</w:t>
      </w:r>
    </w:p>
  </w:footnote>
  <w:footnote w:id="182">
    <w:p w:rsidR="00852B06" w:rsidRPr="00E35C68" w:rsidP="0082160A" w14:paraId="70A441BF" w14:textId="058B7ED8">
      <w:pPr>
        <w:pStyle w:val="FootnoteText"/>
      </w:pPr>
      <w:r w:rsidRPr="00172A8F">
        <w:rPr>
          <w:rStyle w:val="FootnoteReference"/>
        </w:rPr>
        <w:footnoteRef/>
      </w:r>
      <w:r w:rsidRPr="00172A8F">
        <w:t xml:space="preserve"> </w:t>
      </w:r>
      <w:r w:rsidR="00BE7403">
        <w:t>AAR</w:t>
      </w:r>
      <w:r w:rsidRPr="00172A8F">
        <w:t xml:space="preserve"> leases spectrum </w:t>
      </w:r>
      <w:r w:rsidRPr="006B68D9" w:rsidR="00E0601E">
        <w:t xml:space="preserve">to PTC-220 </w:t>
      </w:r>
      <w:r w:rsidRPr="006B68D9">
        <w:t>under WPOI702 (L000032846), WPOI703 (L000032847), WPOI704 (L000032848), WPOI705 (L00003</w:t>
      </w:r>
      <w:r w:rsidRPr="00172A8F">
        <w:t>2849), WPOI706 (L000032850), and WPOI708 (L000032851).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45DFA4" w14:textId="224D698F">
    <w:pPr>
      <w:pStyle w:val="Header"/>
      <w:rPr>
        <w:b w:val="0"/>
      </w:rPr>
    </w:pPr>
    <w:r>
      <w:tab/>
      <w:t>Federal Communications Commission</w:t>
    </w:r>
    <w:r>
      <w:tab/>
    </w:r>
    <w:r w:rsidR="00864235">
      <w:t>DA 23-</w:t>
    </w:r>
    <w:r w:rsidR="00621176">
      <w:t>564</w:t>
    </w:r>
  </w:p>
  <w:p w:rsidR="00D25FB5" w14:paraId="40A14542" w14:textId="446149E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05EAD5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2C5A3C" w14:textId="172C737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090F5F">
      <w:t>DA 2</w:t>
    </w:r>
    <w:r w:rsidR="00864235">
      <w:t>3</w:t>
    </w:r>
    <w:r w:rsidR="00090F5F">
      <w:t>-</w:t>
    </w:r>
    <w:r w:rsidR="00621176">
      <w:t>564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246FF"/>
    <w:multiLevelType w:val="hybridMultilevel"/>
    <w:tmpl w:val="E570B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0B0A9E"/>
    <w:multiLevelType w:val="hybridMultilevel"/>
    <w:tmpl w:val="FF04EF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7FE2E5A"/>
    <w:multiLevelType w:val="hybridMultilevel"/>
    <w:tmpl w:val="E15E5C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89E0AB2"/>
    <w:multiLevelType w:val="multilevel"/>
    <w:tmpl w:val="13A01E72"/>
    <w:name w:val="Outline - Traditional Harvard"/>
    <w:lvl w:ilvl="0">
      <w:start w:val="1"/>
      <w:numFmt w:val="upperRoman"/>
      <w:lvlText w:val="%1."/>
      <w:lvlJc w:val="left"/>
      <w:pPr>
        <w:tabs>
          <w:tab w:val="num" w:pos="720"/>
        </w:tabs>
        <w:ind w:left="1440" w:hanging="1440"/>
      </w:pPr>
      <w:rPr>
        <w:caps w:val="0"/>
        <w:color w:val="010000"/>
        <w:u w:val="none"/>
      </w:rPr>
    </w:lvl>
    <w:lvl w:ilvl="1">
      <w:start w:val="1"/>
      <w:numFmt w:val="upperLetter"/>
      <w:lvlText w:val="%2."/>
      <w:lvlJc w:val="left"/>
      <w:pPr>
        <w:tabs>
          <w:tab w:val="num" w:pos="2160"/>
        </w:tabs>
        <w:ind w:left="2160" w:hanging="720"/>
      </w:pPr>
      <w:rPr>
        <w:caps w:val="0"/>
        <w:color w:val="010000"/>
        <w:u w:val="none"/>
      </w:rPr>
    </w:lvl>
    <w:lvl w:ilvl="2">
      <w:start w:val="1"/>
      <w:numFmt w:val="decimal"/>
      <w:lvlText w:val="%3."/>
      <w:lvlJc w:val="left"/>
      <w:pPr>
        <w:tabs>
          <w:tab w:val="num" w:pos="2880"/>
        </w:tabs>
        <w:ind w:left="2880" w:hanging="720"/>
      </w:pPr>
      <w:rPr>
        <w:caps w:val="0"/>
        <w:color w:val="010000"/>
        <w:u w:val="none"/>
      </w:rPr>
    </w:lvl>
    <w:lvl w:ilvl="3">
      <w:start w:val="1"/>
      <w:numFmt w:val="lowerLetter"/>
      <w:lvlText w:val="%4."/>
      <w:lvlJc w:val="left"/>
      <w:pPr>
        <w:tabs>
          <w:tab w:val="num" w:pos="3600"/>
        </w:tabs>
        <w:ind w:left="3600" w:hanging="720"/>
      </w:pPr>
      <w:rPr>
        <w:caps w:val="0"/>
        <w:color w:val="010000"/>
        <w:u w:val="none"/>
      </w:rPr>
    </w:lvl>
    <w:lvl w:ilvl="4" w:tentative="1">
      <w:start w:val="1"/>
      <w:numFmt w:val="lowerRoman"/>
      <w:lvlText w:val="%5."/>
      <w:lvlJc w:val="left"/>
      <w:pPr>
        <w:tabs>
          <w:tab w:val="num" w:pos="4320"/>
        </w:tabs>
        <w:ind w:left="4320" w:hanging="720"/>
      </w:pPr>
      <w:rPr>
        <w:caps w:val="0"/>
        <w:color w:val="010000"/>
        <w:u w:val="none"/>
      </w:rPr>
    </w:lvl>
    <w:lvl w:ilvl="5" w:tentative="1">
      <w:start w:val="1"/>
      <w:numFmt w:val="lowerLetter"/>
      <w:lvlText w:val="(%6)"/>
      <w:lvlJc w:val="left"/>
      <w:pPr>
        <w:tabs>
          <w:tab w:val="num" w:pos="5040"/>
        </w:tabs>
        <w:ind w:left="5040" w:hanging="720"/>
      </w:pPr>
      <w:rPr>
        <w:caps w:val="0"/>
        <w:color w:val="010000"/>
        <w:u w:val="none"/>
      </w:rPr>
    </w:lvl>
    <w:lvl w:ilvl="6" w:tentative="1">
      <w:start w:val="1"/>
      <w:numFmt w:val="decimal"/>
      <w:lvlText w:val="(%7)"/>
      <w:lvlJc w:val="left"/>
      <w:pPr>
        <w:tabs>
          <w:tab w:val="num" w:pos="5760"/>
        </w:tabs>
        <w:ind w:left="5760" w:hanging="720"/>
      </w:pPr>
      <w:rPr>
        <w:caps w:val="0"/>
        <w:color w:val="010000"/>
        <w:u w:val="none"/>
      </w:rPr>
    </w:lvl>
    <w:lvl w:ilvl="7" w:tentative="1">
      <w:start w:val="1"/>
      <w:numFmt w:val="lowerRoman"/>
      <w:lvlText w:val="%8)"/>
      <w:lvlJc w:val="left"/>
      <w:pPr>
        <w:tabs>
          <w:tab w:val="num" w:pos="6480"/>
        </w:tabs>
        <w:ind w:left="6480" w:hanging="720"/>
      </w:pPr>
      <w:rPr>
        <w:caps w:val="0"/>
        <w:color w:val="010000"/>
        <w:u w:val="none"/>
      </w:rPr>
    </w:lvl>
    <w:lvl w:ilvl="8" w:tentative="1">
      <w:start w:val="1"/>
      <w:numFmt w:val="lowerLetter"/>
      <w:lvlText w:val="%9)"/>
      <w:lvlJc w:val="left"/>
      <w:pPr>
        <w:tabs>
          <w:tab w:val="num" w:pos="7200"/>
        </w:tabs>
        <w:ind w:left="7200" w:hanging="720"/>
      </w:pPr>
      <w:rPr>
        <w:caps w:val="0"/>
        <w:color w:val="010000"/>
        <w:u w:val="no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AA7BD1"/>
    <w:multiLevelType w:val="hybridMultilevel"/>
    <w:tmpl w:val="95B02B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DD16637"/>
    <w:multiLevelType w:val="hybridMultilevel"/>
    <w:tmpl w:val="0D1E94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53E59C5"/>
    <w:multiLevelType w:val="hybridMultilevel"/>
    <w:tmpl w:val="38B264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78F390E"/>
    <w:multiLevelType w:val="hybridMultilevel"/>
    <w:tmpl w:val="03F64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BC10A2F"/>
    <w:multiLevelType w:val="hybridMultilevel"/>
    <w:tmpl w:val="B81E0E8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1"/>
  </w:num>
  <w:num w:numId="3">
    <w:abstractNumId w:val="5"/>
  </w:num>
  <w:num w:numId="4">
    <w:abstractNumId w:val="8"/>
  </w:num>
  <w:num w:numId="5">
    <w:abstractNumId w:val="4"/>
  </w:num>
  <w:num w:numId="6">
    <w:abstractNumId w:val="1"/>
  </w:num>
  <w:num w:numId="7">
    <w:abstractNumId w:val="11"/>
  </w:num>
  <w:num w:numId="8">
    <w:abstractNumId w:val="11"/>
  </w:num>
  <w:num w:numId="9">
    <w:abstractNumId w:val="11"/>
  </w:num>
  <w:num w:numId="10">
    <w:abstractNumId w:val="13"/>
  </w:num>
  <w:num w:numId="11">
    <w:abstractNumId w:val="11"/>
  </w:num>
  <w:num w:numId="12">
    <w:abstractNumId w:val="11"/>
    <w:lvlOverride w:ilvl="0">
      <w:startOverride w:val="1"/>
    </w:lvlOverride>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7"/>
  </w:num>
  <w:num w:numId="21">
    <w:abstractNumId w:val="9"/>
  </w:num>
  <w:num w:numId="22">
    <w:abstractNumId w:val="2"/>
  </w:num>
  <w:num w:numId="23">
    <w:abstractNumId w:val="11"/>
  </w:num>
  <w:num w:numId="24">
    <w:abstractNumId w:val="10"/>
  </w:num>
  <w:num w:numId="25">
    <w:abstractNumId w:val="11"/>
  </w:num>
  <w:num w:numId="26">
    <w:abstractNumId w:val="5"/>
  </w:num>
  <w:num w:numId="27">
    <w:abstractNumId w:val="11"/>
  </w:num>
  <w:num w:numId="28">
    <w:abstractNumId w:val="11"/>
  </w:num>
  <w:num w:numId="29">
    <w:abstractNumId w:val="11"/>
  </w:num>
  <w:num w:numId="30">
    <w:abstractNumId w:val="11"/>
  </w:num>
  <w:num w:numId="31">
    <w:abstractNumId w:val="11"/>
  </w:num>
  <w:num w:numId="32">
    <w:abstractNumId w:val="5"/>
  </w:num>
  <w:num w:numId="33">
    <w:abstractNumId w:val="5"/>
  </w:num>
  <w:num w:numId="34">
    <w:abstractNumId w:val="11"/>
  </w:num>
  <w:num w:numId="35">
    <w:abstractNumId w:val="12"/>
  </w:num>
  <w:num w:numId="36">
    <w:abstractNumId w:val="6"/>
  </w:num>
  <w:num w:numId="37">
    <w:abstractNumId w:val="11"/>
  </w:num>
  <w:num w:numId="38">
    <w:abstractNumId w:val="14"/>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5F"/>
    <w:rsid w:val="00001C3C"/>
    <w:rsid w:val="00002CFB"/>
    <w:rsid w:val="00006514"/>
    <w:rsid w:val="00006FFD"/>
    <w:rsid w:val="00007F48"/>
    <w:rsid w:val="0001033D"/>
    <w:rsid w:val="00010B37"/>
    <w:rsid w:val="000113B2"/>
    <w:rsid w:val="0001189B"/>
    <w:rsid w:val="000122F8"/>
    <w:rsid w:val="000132E1"/>
    <w:rsid w:val="00013622"/>
    <w:rsid w:val="00013AB4"/>
    <w:rsid w:val="00013E96"/>
    <w:rsid w:val="00014154"/>
    <w:rsid w:val="0001431D"/>
    <w:rsid w:val="00016152"/>
    <w:rsid w:val="000179E0"/>
    <w:rsid w:val="00017B54"/>
    <w:rsid w:val="000204D0"/>
    <w:rsid w:val="00020A90"/>
    <w:rsid w:val="000211BA"/>
    <w:rsid w:val="000226EA"/>
    <w:rsid w:val="0002313C"/>
    <w:rsid w:val="00023554"/>
    <w:rsid w:val="0002437E"/>
    <w:rsid w:val="00024D7E"/>
    <w:rsid w:val="000318ED"/>
    <w:rsid w:val="0003345D"/>
    <w:rsid w:val="0003388A"/>
    <w:rsid w:val="0003400D"/>
    <w:rsid w:val="00034780"/>
    <w:rsid w:val="000354C4"/>
    <w:rsid w:val="00035D2B"/>
    <w:rsid w:val="00036039"/>
    <w:rsid w:val="000367AB"/>
    <w:rsid w:val="000367E8"/>
    <w:rsid w:val="00037F90"/>
    <w:rsid w:val="000417AE"/>
    <w:rsid w:val="00042F08"/>
    <w:rsid w:val="000444DC"/>
    <w:rsid w:val="00044881"/>
    <w:rsid w:val="000455AC"/>
    <w:rsid w:val="0004585A"/>
    <w:rsid w:val="0004591A"/>
    <w:rsid w:val="0004638B"/>
    <w:rsid w:val="000467C0"/>
    <w:rsid w:val="00050A83"/>
    <w:rsid w:val="00050E04"/>
    <w:rsid w:val="00052819"/>
    <w:rsid w:val="00052B3E"/>
    <w:rsid w:val="00054078"/>
    <w:rsid w:val="00054359"/>
    <w:rsid w:val="000551F8"/>
    <w:rsid w:val="00056578"/>
    <w:rsid w:val="00056DCB"/>
    <w:rsid w:val="000573E2"/>
    <w:rsid w:val="00057969"/>
    <w:rsid w:val="00060F4C"/>
    <w:rsid w:val="00061978"/>
    <w:rsid w:val="000630E9"/>
    <w:rsid w:val="00063F33"/>
    <w:rsid w:val="00065BB0"/>
    <w:rsid w:val="00066CB7"/>
    <w:rsid w:val="000670AE"/>
    <w:rsid w:val="000704CA"/>
    <w:rsid w:val="000712BE"/>
    <w:rsid w:val="0007282F"/>
    <w:rsid w:val="00074C0B"/>
    <w:rsid w:val="0007579B"/>
    <w:rsid w:val="000765E5"/>
    <w:rsid w:val="000845A4"/>
    <w:rsid w:val="000847FF"/>
    <w:rsid w:val="00084BD9"/>
    <w:rsid w:val="000861D9"/>
    <w:rsid w:val="000868B7"/>
    <w:rsid w:val="0008729A"/>
    <w:rsid w:val="000875BF"/>
    <w:rsid w:val="000903F1"/>
    <w:rsid w:val="00090A55"/>
    <w:rsid w:val="00090F5F"/>
    <w:rsid w:val="00090F74"/>
    <w:rsid w:val="000913CE"/>
    <w:rsid w:val="00092CDC"/>
    <w:rsid w:val="0009364D"/>
    <w:rsid w:val="0009475E"/>
    <w:rsid w:val="00094E10"/>
    <w:rsid w:val="000951DA"/>
    <w:rsid w:val="000954F4"/>
    <w:rsid w:val="00096D17"/>
    <w:rsid w:val="00096D8C"/>
    <w:rsid w:val="000973CD"/>
    <w:rsid w:val="000978A5"/>
    <w:rsid w:val="00097F93"/>
    <w:rsid w:val="000A01FA"/>
    <w:rsid w:val="000A047C"/>
    <w:rsid w:val="000A0CF0"/>
    <w:rsid w:val="000A131C"/>
    <w:rsid w:val="000A22FE"/>
    <w:rsid w:val="000A32CE"/>
    <w:rsid w:val="000A43A9"/>
    <w:rsid w:val="000A6409"/>
    <w:rsid w:val="000A6AA5"/>
    <w:rsid w:val="000A734D"/>
    <w:rsid w:val="000A75AF"/>
    <w:rsid w:val="000B235C"/>
    <w:rsid w:val="000B39F1"/>
    <w:rsid w:val="000B4A19"/>
    <w:rsid w:val="000B5A94"/>
    <w:rsid w:val="000B6538"/>
    <w:rsid w:val="000B6646"/>
    <w:rsid w:val="000B716E"/>
    <w:rsid w:val="000B79D8"/>
    <w:rsid w:val="000C0B65"/>
    <w:rsid w:val="000C78C4"/>
    <w:rsid w:val="000D0B3D"/>
    <w:rsid w:val="000D13A3"/>
    <w:rsid w:val="000D16EC"/>
    <w:rsid w:val="000D1B06"/>
    <w:rsid w:val="000D2255"/>
    <w:rsid w:val="000D2812"/>
    <w:rsid w:val="000D2D05"/>
    <w:rsid w:val="000D2DCB"/>
    <w:rsid w:val="000D6BDE"/>
    <w:rsid w:val="000D7171"/>
    <w:rsid w:val="000D7B09"/>
    <w:rsid w:val="000E05FE"/>
    <w:rsid w:val="000E0A63"/>
    <w:rsid w:val="000E126C"/>
    <w:rsid w:val="000E165A"/>
    <w:rsid w:val="000E171B"/>
    <w:rsid w:val="000E3D42"/>
    <w:rsid w:val="000E509B"/>
    <w:rsid w:val="000E57E1"/>
    <w:rsid w:val="000E5ED7"/>
    <w:rsid w:val="000E5FEE"/>
    <w:rsid w:val="000F05DB"/>
    <w:rsid w:val="000F1492"/>
    <w:rsid w:val="000F28DE"/>
    <w:rsid w:val="000F39C8"/>
    <w:rsid w:val="000F402F"/>
    <w:rsid w:val="000F42DE"/>
    <w:rsid w:val="000F43A6"/>
    <w:rsid w:val="000F4D2A"/>
    <w:rsid w:val="000F4EE1"/>
    <w:rsid w:val="000F515C"/>
    <w:rsid w:val="000F51B0"/>
    <w:rsid w:val="000F5ED3"/>
    <w:rsid w:val="000F6363"/>
    <w:rsid w:val="000F69B9"/>
    <w:rsid w:val="000F7ADC"/>
    <w:rsid w:val="000F7D4E"/>
    <w:rsid w:val="000F7E93"/>
    <w:rsid w:val="00100A8E"/>
    <w:rsid w:val="00101CA3"/>
    <w:rsid w:val="0010225E"/>
    <w:rsid w:val="00103FA4"/>
    <w:rsid w:val="001066FF"/>
    <w:rsid w:val="0010682F"/>
    <w:rsid w:val="00107295"/>
    <w:rsid w:val="001102D1"/>
    <w:rsid w:val="0011041E"/>
    <w:rsid w:val="00110787"/>
    <w:rsid w:val="00111001"/>
    <w:rsid w:val="00112298"/>
    <w:rsid w:val="0011381C"/>
    <w:rsid w:val="00113C83"/>
    <w:rsid w:val="001152F8"/>
    <w:rsid w:val="00115C1A"/>
    <w:rsid w:val="00116997"/>
    <w:rsid w:val="00116C88"/>
    <w:rsid w:val="00117497"/>
    <w:rsid w:val="00120DC8"/>
    <w:rsid w:val="00122241"/>
    <w:rsid w:val="0012231B"/>
    <w:rsid w:val="00122BD5"/>
    <w:rsid w:val="001269D2"/>
    <w:rsid w:val="001274D3"/>
    <w:rsid w:val="0012781F"/>
    <w:rsid w:val="001278B4"/>
    <w:rsid w:val="00130866"/>
    <w:rsid w:val="00130FEC"/>
    <w:rsid w:val="00133F79"/>
    <w:rsid w:val="00134397"/>
    <w:rsid w:val="00134456"/>
    <w:rsid w:val="00134DA1"/>
    <w:rsid w:val="00134EE2"/>
    <w:rsid w:val="001360E5"/>
    <w:rsid w:val="00136A40"/>
    <w:rsid w:val="001372F5"/>
    <w:rsid w:val="001375F7"/>
    <w:rsid w:val="00140BB6"/>
    <w:rsid w:val="001443B3"/>
    <w:rsid w:val="0014444C"/>
    <w:rsid w:val="00144A70"/>
    <w:rsid w:val="001454C5"/>
    <w:rsid w:val="00145F84"/>
    <w:rsid w:val="001464BD"/>
    <w:rsid w:val="00146D76"/>
    <w:rsid w:val="00147448"/>
    <w:rsid w:val="00147F4C"/>
    <w:rsid w:val="00150CC3"/>
    <w:rsid w:val="001519FA"/>
    <w:rsid w:val="001525E2"/>
    <w:rsid w:val="00155A6A"/>
    <w:rsid w:val="001567BF"/>
    <w:rsid w:val="00157764"/>
    <w:rsid w:val="00160608"/>
    <w:rsid w:val="00162960"/>
    <w:rsid w:val="00164E49"/>
    <w:rsid w:val="00165034"/>
    <w:rsid w:val="00170384"/>
    <w:rsid w:val="001712DC"/>
    <w:rsid w:val="00171A32"/>
    <w:rsid w:val="00171B11"/>
    <w:rsid w:val="00172A8F"/>
    <w:rsid w:val="00172C69"/>
    <w:rsid w:val="00173FFE"/>
    <w:rsid w:val="00174D8E"/>
    <w:rsid w:val="001767BF"/>
    <w:rsid w:val="00176C76"/>
    <w:rsid w:val="00177243"/>
    <w:rsid w:val="00180129"/>
    <w:rsid w:val="00181F41"/>
    <w:rsid w:val="00182386"/>
    <w:rsid w:val="0018290A"/>
    <w:rsid w:val="00182D9A"/>
    <w:rsid w:val="00183898"/>
    <w:rsid w:val="0018474A"/>
    <w:rsid w:val="00185129"/>
    <w:rsid w:val="00185F46"/>
    <w:rsid w:val="001862CA"/>
    <w:rsid w:val="00187F40"/>
    <w:rsid w:val="001903D6"/>
    <w:rsid w:val="00190EE5"/>
    <w:rsid w:val="00191915"/>
    <w:rsid w:val="00191E13"/>
    <w:rsid w:val="001921D0"/>
    <w:rsid w:val="00192732"/>
    <w:rsid w:val="00192BAA"/>
    <w:rsid w:val="001934D4"/>
    <w:rsid w:val="00193A4E"/>
    <w:rsid w:val="00194033"/>
    <w:rsid w:val="00194A66"/>
    <w:rsid w:val="00194C51"/>
    <w:rsid w:val="001957C9"/>
    <w:rsid w:val="001A0073"/>
    <w:rsid w:val="001A0991"/>
    <w:rsid w:val="001A12D6"/>
    <w:rsid w:val="001A1A49"/>
    <w:rsid w:val="001A1A7A"/>
    <w:rsid w:val="001A2D2A"/>
    <w:rsid w:val="001A482E"/>
    <w:rsid w:val="001A48C7"/>
    <w:rsid w:val="001A4CEA"/>
    <w:rsid w:val="001A4F5B"/>
    <w:rsid w:val="001A6109"/>
    <w:rsid w:val="001A6BF4"/>
    <w:rsid w:val="001A78D5"/>
    <w:rsid w:val="001A7FC8"/>
    <w:rsid w:val="001B12E7"/>
    <w:rsid w:val="001B2513"/>
    <w:rsid w:val="001B27A6"/>
    <w:rsid w:val="001B33A7"/>
    <w:rsid w:val="001B3D17"/>
    <w:rsid w:val="001B3DFA"/>
    <w:rsid w:val="001B3E2A"/>
    <w:rsid w:val="001B466A"/>
    <w:rsid w:val="001B4C97"/>
    <w:rsid w:val="001B509E"/>
    <w:rsid w:val="001B5197"/>
    <w:rsid w:val="001B519E"/>
    <w:rsid w:val="001B5C3B"/>
    <w:rsid w:val="001B7C99"/>
    <w:rsid w:val="001C10A5"/>
    <w:rsid w:val="001C1CCB"/>
    <w:rsid w:val="001C2390"/>
    <w:rsid w:val="001C2447"/>
    <w:rsid w:val="001C28E0"/>
    <w:rsid w:val="001C39D8"/>
    <w:rsid w:val="001C42C9"/>
    <w:rsid w:val="001C4EAB"/>
    <w:rsid w:val="001C61C7"/>
    <w:rsid w:val="001C7A58"/>
    <w:rsid w:val="001C7BDB"/>
    <w:rsid w:val="001D024E"/>
    <w:rsid w:val="001D1638"/>
    <w:rsid w:val="001D1AFA"/>
    <w:rsid w:val="001D1E6A"/>
    <w:rsid w:val="001D20D8"/>
    <w:rsid w:val="001D266F"/>
    <w:rsid w:val="001D28C7"/>
    <w:rsid w:val="001D3353"/>
    <w:rsid w:val="001D3B6B"/>
    <w:rsid w:val="001D4FA9"/>
    <w:rsid w:val="001D6BCF"/>
    <w:rsid w:val="001D77D3"/>
    <w:rsid w:val="001E0170"/>
    <w:rsid w:val="001E01CA"/>
    <w:rsid w:val="001E022F"/>
    <w:rsid w:val="001E0861"/>
    <w:rsid w:val="001E0C04"/>
    <w:rsid w:val="001E1039"/>
    <w:rsid w:val="001E2CD9"/>
    <w:rsid w:val="001E395C"/>
    <w:rsid w:val="001E491C"/>
    <w:rsid w:val="001E53A8"/>
    <w:rsid w:val="001E56B7"/>
    <w:rsid w:val="001E5D34"/>
    <w:rsid w:val="001E6069"/>
    <w:rsid w:val="001E62E7"/>
    <w:rsid w:val="001E762F"/>
    <w:rsid w:val="001E7D16"/>
    <w:rsid w:val="001E7DF5"/>
    <w:rsid w:val="001F1134"/>
    <w:rsid w:val="001F1770"/>
    <w:rsid w:val="001F4106"/>
    <w:rsid w:val="001F4107"/>
    <w:rsid w:val="001F55D4"/>
    <w:rsid w:val="001F62E3"/>
    <w:rsid w:val="001F70C7"/>
    <w:rsid w:val="001F7214"/>
    <w:rsid w:val="001F76CB"/>
    <w:rsid w:val="002005B7"/>
    <w:rsid w:val="002008B2"/>
    <w:rsid w:val="00201151"/>
    <w:rsid w:val="00206852"/>
    <w:rsid w:val="00206AA2"/>
    <w:rsid w:val="002070A5"/>
    <w:rsid w:val="00210199"/>
    <w:rsid w:val="00210330"/>
    <w:rsid w:val="00210368"/>
    <w:rsid w:val="00210ED5"/>
    <w:rsid w:val="00212D72"/>
    <w:rsid w:val="00212D9E"/>
    <w:rsid w:val="0021377A"/>
    <w:rsid w:val="00214CC3"/>
    <w:rsid w:val="00215007"/>
    <w:rsid w:val="002151D2"/>
    <w:rsid w:val="0021579A"/>
    <w:rsid w:val="00215BB4"/>
    <w:rsid w:val="0022030C"/>
    <w:rsid w:val="00220E9E"/>
    <w:rsid w:val="002211BB"/>
    <w:rsid w:val="002225A4"/>
    <w:rsid w:val="00222942"/>
    <w:rsid w:val="00223360"/>
    <w:rsid w:val="002239D0"/>
    <w:rsid w:val="00224181"/>
    <w:rsid w:val="00225A6C"/>
    <w:rsid w:val="00227613"/>
    <w:rsid w:val="0022794D"/>
    <w:rsid w:val="002300A1"/>
    <w:rsid w:val="002311E1"/>
    <w:rsid w:val="00232084"/>
    <w:rsid w:val="00232453"/>
    <w:rsid w:val="00232F08"/>
    <w:rsid w:val="00233DAC"/>
    <w:rsid w:val="002340FF"/>
    <w:rsid w:val="00234EC0"/>
    <w:rsid w:val="00234EEC"/>
    <w:rsid w:val="00235169"/>
    <w:rsid w:val="0023536F"/>
    <w:rsid w:val="00235A96"/>
    <w:rsid w:val="0023697C"/>
    <w:rsid w:val="00236B01"/>
    <w:rsid w:val="0023706A"/>
    <w:rsid w:val="00237A99"/>
    <w:rsid w:val="00240CD2"/>
    <w:rsid w:val="00240EE7"/>
    <w:rsid w:val="00242226"/>
    <w:rsid w:val="00245AE0"/>
    <w:rsid w:val="00245E45"/>
    <w:rsid w:val="00245E4E"/>
    <w:rsid w:val="00246491"/>
    <w:rsid w:val="00247064"/>
    <w:rsid w:val="00247226"/>
    <w:rsid w:val="00247FFC"/>
    <w:rsid w:val="00250B46"/>
    <w:rsid w:val="002512AB"/>
    <w:rsid w:val="0025132D"/>
    <w:rsid w:val="00251DF8"/>
    <w:rsid w:val="0025204C"/>
    <w:rsid w:val="0025232E"/>
    <w:rsid w:val="00252388"/>
    <w:rsid w:val="0025285A"/>
    <w:rsid w:val="00253819"/>
    <w:rsid w:val="0025652A"/>
    <w:rsid w:val="002565FB"/>
    <w:rsid w:val="00256829"/>
    <w:rsid w:val="002572C9"/>
    <w:rsid w:val="0026085F"/>
    <w:rsid w:val="00261497"/>
    <w:rsid w:val="00262E49"/>
    <w:rsid w:val="00264337"/>
    <w:rsid w:val="002645F4"/>
    <w:rsid w:val="0026462F"/>
    <w:rsid w:val="00264BB0"/>
    <w:rsid w:val="00265524"/>
    <w:rsid w:val="0026661B"/>
    <w:rsid w:val="0026694F"/>
    <w:rsid w:val="00266FF1"/>
    <w:rsid w:val="00267DA3"/>
    <w:rsid w:val="0027077D"/>
    <w:rsid w:val="002711D6"/>
    <w:rsid w:val="002712D0"/>
    <w:rsid w:val="002731F0"/>
    <w:rsid w:val="002732E5"/>
    <w:rsid w:val="002751A5"/>
    <w:rsid w:val="00275B71"/>
    <w:rsid w:val="00275CF5"/>
    <w:rsid w:val="00275D73"/>
    <w:rsid w:val="00276538"/>
    <w:rsid w:val="00276915"/>
    <w:rsid w:val="00277132"/>
    <w:rsid w:val="00277342"/>
    <w:rsid w:val="00280972"/>
    <w:rsid w:val="0028301F"/>
    <w:rsid w:val="0028418D"/>
    <w:rsid w:val="00284831"/>
    <w:rsid w:val="00285017"/>
    <w:rsid w:val="00285135"/>
    <w:rsid w:val="002860ED"/>
    <w:rsid w:val="00286887"/>
    <w:rsid w:val="00286BF8"/>
    <w:rsid w:val="002870E2"/>
    <w:rsid w:val="002902F9"/>
    <w:rsid w:val="00291381"/>
    <w:rsid w:val="0029161D"/>
    <w:rsid w:val="00291A3C"/>
    <w:rsid w:val="00292D26"/>
    <w:rsid w:val="002933A2"/>
    <w:rsid w:val="00293448"/>
    <w:rsid w:val="00293C88"/>
    <w:rsid w:val="002948BD"/>
    <w:rsid w:val="002967AB"/>
    <w:rsid w:val="002971B9"/>
    <w:rsid w:val="002971D1"/>
    <w:rsid w:val="00297332"/>
    <w:rsid w:val="0029736D"/>
    <w:rsid w:val="002977A5"/>
    <w:rsid w:val="002A23DE"/>
    <w:rsid w:val="002A2D2E"/>
    <w:rsid w:val="002A33A9"/>
    <w:rsid w:val="002A36F4"/>
    <w:rsid w:val="002A3858"/>
    <w:rsid w:val="002A5A17"/>
    <w:rsid w:val="002A7C36"/>
    <w:rsid w:val="002A7DCF"/>
    <w:rsid w:val="002B2000"/>
    <w:rsid w:val="002B23D9"/>
    <w:rsid w:val="002B2EEC"/>
    <w:rsid w:val="002B35C5"/>
    <w:rsid w:val="002B3AF9"/>
    <w:rsid w:val="002B3B9B"/>
    <w:rsid w:val="002B3D3A"/>
    <w:rsid w:val="002B44DE"/>
    <w:rsid w:val="002B49B9"/>
    <w:rsid w:val="002B4A6B"/>
    <w:rsid w:val="002B4EA2"/>
    <w:rsid w:val="002B4EA9"/>
    <w:rsid w:val="002B538F"/>
    <w:rsid w:val="002B6401"/>
    <w:rsid w:val="002B6DCE"/>
    <w:rsid w:val="002C00E3"/>
    <w:rsid w:val="002C00E8"/>
    <w:rsid w:val="002C016A"/>
    <w:rsid w:val="002C2192"/>
    <w:rsid w:val="002C21F8"/>
    <w:rsid w:val="002C2482"/>
    <w:rsid w:val="002C4DAA"/>
    <w:rsid w:val="002C4EC7"/>
    <w:rsid w:val="002C6A7F"/>
    <w:rsid w:val="002C7C95"/>
    <w:rsid w:val="002C7DB4"/>
    <w:rsid w:val="002D0303"/>
    <w:rsid w:val="002D1358"/>
    <w:rsid w:val="002D2AEB"/>
    <w:rsid w:val="002D2F3B"/>
    <w:rsid w:val="002D2FDE"/>
    <w:rsid w:val="002D33A4"/>
    <w:rsid w:val="002D4FBF"/>
    <w:rsid w:val="002D577D"/>
    <w:rsid w:val="002D5DE0"/>
    <w:rsid w:val="002D7070"/>
    <w:rsid w:val="002D7EFB"/>
    <w:rsid w:val="002E050C"/>
    <w:rsid w:val="002E0CB0"/>
    <w:rsid w:val="002E0D9C"/>
    <w:rsid w:val="002E21DD"/>
    <w:rsid w:val="002E31C3"/>
    <w:rsid w:val="002E4082"/>
    <w:rsid w:val="002E449C"/>
    <w:rsid w:val="002E4E7B"/>
    <w:rsid w:val="002E4E90"/>
    <w:rsid w:val="002E5C95"/>
    <w:rsid w:val="002E605E"/>
    <w:rsid w:val="002E6319"/>
    <w:rsid w:val="002E660C"/>
    <w:rsid w:val="002E6739"/>
    <w:rsid w:val="002E6B23"/>
    <w:rsid w:val="002E73A3"/>
    <w:rsid w:val="002E788F"/>
    <w:rsid w:val="002E7BF0"/>
    <w:rsid w:val="002E7C15"/>
    <w:rsid w:val="002F0535"/>
    <w:rsid w:val="002F0C70"/>
    <w:rsid w:val="002F157E"/>
    <w:rsid w:val="002F1E82"/>
    <w:rsid w:val="002F23AD"/>
    <w:rsid w:val="002F332B"/>
    <w:rsid w:val="002F4858"/>
    <w:rsid w:val="003002AE"/>
    <w:rsid w:val="0030153C"/>
    <w:rsid w:val="00302C51"/>
    <w:rsid w:val="00302FF9"/>
    <w:rsid w:val="00303532"/>
    <w:rsid w:val="00303F06"/>
    <w:rsid w:val="00303FBA"/>
    <w:rsid w:val="00304890"/>
    <w:rsid w:val="00304B4B"/>
    <w:rsid w:val="003058FD"/>
    <w:rsid w:val="003066ED"/>
    <w:rsid w:val="0031086A"/>
    <w:rsid w:val="00310ECE"/>
    <w:rsid w:val="003117B7"/>
    <w:rsid w:val="00313376"/>
    <w:rsid w:val="00313EB7"/>
    <w:rsid w:val="00314E9E"/>
    <w:rsid w:val="003150F5"/>
    <w:rsid w:val="0031524E"/>
    <w:rsid w:val="00316A52"/>
    <w:rsid w:val="00316A8B"/>
    <w:rsid w:val="00316CCB"/>
    <w:rsid w:val="00320FC3"/>
    <w:rsid w:val="0032205D"/>
    <w:rsid w:val="003230DF"/>
    <w:rsid w:val="0032317C"/>
    <w:rsid w:val="003233A2"/>
    <w:rsid w:val="00323C4C"/>
    <w:rsid w:val="00324556"/>
    <w:rsid w:val="00324FC5"/>
    <w:rsid w:val="003252BF"/>
    <w:rsid w:val="0032659B"/>
    <w:rsid w:val="003265A2"/>
    <w:rsid w:val="00327355"/>
    <w:rsid w:val="00327648"/>
    <w:rsid w:val="00331E99"/>
    <w:rsid w:val="00332021"/>
    <w:rsid w:val="00333F7B"/>
    <w:rsid w:val="0033443F"/>
    <w:rsid w:val="00334975"/>
    <w:rsid w:val="003349D8"/>
    <w:rsid w:val="00334D8C"/>
    <w:rsid w:val="003351BA"/>
    <w:rsid w:val="00335CEF"/>
    <w:rsid w:val="00336333"/>
    <w:rsid w:val="0033709E"/>
    <w:rsid w:val="00337835"/>
    <w:rsid w:val="00340F11"/>
    <w:rsid w:val="0034254F"/>
    <w:rsid w:val="00342675"/>
    <w:rsid w:val="00342A84"/>
    <w:rsid w:val="00343749"/>
    <w:rsid w:val="00343B3B"/>
    <w:rsid w:val="003441D4"/>
    <w:rsid w:val="003447AB"/>
    <w:rsid w:val="003449F7"/>
    <w:rsid w:val="00345349"/>
    <w:rsid w:val="00346E28"/>
    <w:rsid w:val="0034727C"/>
    <w:rsid w:val="0034745A"/>
    <w:rsid w:val="00350992"/>
    <w:rsid w:val="00350AEC"/>
    <w:rsid w:val="00351442"/>
    <w:rsid w:val="003514F9"/>
    <w:rsid w:val="00351EE3"/>
    <w:rsid w:val="0035407F"/>
    <w:rsid w:val="003570F4"/>
    <w:rsid w:val="003622C7"/>
    <w:rsid w:val="003639BA"/>
    <w:rsid w:val="003643D1"/>
    <w:rsid w:val="00364974"/>
    <w:rsid w:val="003653C3"/>
    <w:rsid w:val="003660ED"/>
    <w:rsid w:val="003662B2"/>
    <w:rsid w:val="00366789"/>
    <w:rsid w:val="00367409"/>
    <w:rsid w:val="003679E0"/>
    <w:rsid w:val="003711D3"/>
    <w:rsid w:val="00372E31"/>
    <w:rsid w:val="00373070"/>
    <w:rsid w:val="00375387"/>
    <w:rsid w:val="0037596B"/>
    <w:rsid w:val="00375EB6"/>
    <w:rsid w:val="003805A0"/>
    <w:rsid w:val="003818DF"/>
    <w:rsid w:val="003827F1"/>
    <w:rsid w:val="003834FC"/>
    <w:rsid w:val="0038400D"/>
    <w:rsid w:val="003847A6"/>
    <w:rsid w:val="00384CD1"/>
    <w:rsid w:val="0038560E"/>
    <w:rsid w:val="003856F8"/>
    <w:rsid w:val="00385FD5"/>
    <w:rsid w:val="0038638C"/>
    <w:rsid w:val="00386E5F"/>
    <w:rsid w:val="00390BAE"/>
    <w:rsid w:val="0039148E"/>
    <w:rsid w:val="00392898"/>
    <w:rsid w:val="00393564"/>
    <w:rsid w:val="0039375F"/>
    <w:rsid w:val="00393FCC"/>
    <w:rsid w:val="00394EE6"/>
    <w:rsid w:val="00395021"/>
    <w:rsid w:val="003957ED"/>
    <w:rsid w:val="00395A7C"/>
    <w:rsid w:val="0039653F"/>
    <w:rsid w:val="00397274"/>
    <w:rsid w:val="0039764B"/>
    <w:rsid w:val="003A156C"/>
    <w:rsid w:val="003A23D4"/>
    <w:rsid w:val="003A2AF1"/>
    <w:rsid w:val="003A449A"/>
    <w:rsid w:val="003A5338"/>
    <w:rsid w:val="003A63E4"/>
    <w:rsid w:val="003A6A8B"/>
    <w:rsid w:val="003A6E3E"/>
    <w:rsid w:val="003B0550"/>
    <w:rsid w:val="003B25E1"/>
    <w:rsid w:val="003B341F"/>
    <w:rsid w:val="003B4B1C"/>
    <w:rsid w:val="003B4EF3"/>
    <w:rsid w:val="003B4F9E"/>
    <w:rsid w:val="003B542A"/>
    <w:rsid w:val="003B5A2F"/>
    <w:rsid w:val="003B650C"/>
    <w:rsid w:val="003B694F"/>
    <w:rsid w:val="003B707F"/>
    <w:rsid w:val="003C1458"/>
    <w:rsid w:val="003C2A28"/>
    <w:rsid w:val="003C3BAD"/>
    <w:rsid w:val="003C4294"/>
    <w:rsid w:val="003C435F"/>
    <w:rsid w:val="003C4CE5"/>
    <w:rsid w:val="003C56BA"/>
    <w:rsid w:val="003C586F"/>
    <w:rsid w:val="003C6FEF"/>
    <w:rsid w:val="003C722C"/>
    <w:rsid w:val="003C733F"/>
    <w:rsid w:val="003C7678"/>
    <w:rsid w:val="003D0FF2"/>
    <w:rsid w:val="003D2A59"/>
    <w:rsid w:val="003D35FB"/>
    <w:rsid w:val="003D5801"/>
    <w:rsid w:val="003D5D9D"/>
    <w:rsid w:val="003D6FDB"/>
    <w:rsid w:val="003E0418"/>
    <w:rsid w:val="003E08F2"/>
    <w:rsid w:val="003E0AAE"/>
    <w:rsid w:val="003E1738"/>
    <w:rsid w:val="003E33DD"/>
    <w:rsid w:val="003E409F"/>
    <w:rsid w:val="003E4D79"/>
    <w:rsid w:val="003E5D36"/>
    <w:rsid w:val="003E5E3F"/>
    <w:rsid w:val="003E675E"/>
    <w:rsid w:val="003E6F22"/>
    <w:rsid w:val="003F002E"/>
    <w:rsid w:val="003F07D6"/>
    <w:rsid w:val="003F171C"/>
    <w:rsid w:val="003F1919"/>
    <w:rsid w:val="003F1ADD"/>
    <w:rsid w:val="003F1C50"/>
    <w:rsid w:val="003F1D54"/>
    <w:rsid w:val="003F2C69"/>
    <w:rsid w:val="003F2F1B"/>
    <w:rsid w:val="003F44FC"/>
    <w:rsid w:val="003F51DE"/>
    <w:rsid w:val="003F6802"/>
    <w:rsid w:val="003F6982"/>
    <w:rsid w:val="003F6E4A"/>
    <w:rsid w:val="003F6E9E"/>
    <w:rsid w:val="003F7773"/>
    <w:rsid w:val="00400720"/>
    <w:rsid w:val="00401D77"/>
    <w:rsid w:val="0040290B"/>
    <w:rsid w:val="004037F9"/>
    <w:rsid w:val="004051BE"/>
    <w:rsid w:val="004053AA"/>
    <w:rsid w:val="004054D5"/>
    <w:rsid w:val="00405785"/>
    <w:rsid w:val="00405BDD"/>
    <w:rsid w:val="00406B02"/>
    <w:rsid w:val="00411254"/>
    <w:rsid w:val="00412057"/>
    <w:rsid w:val="004126B3"/>
    <w:rsid w:val="004129C6"/>
    <w:rsid w:val="00412FC5"/>
    <w:rsid w:val="00412FDC"/>
    <w:rsid w:val="00414948"/>
    <w:rsid w:val="00414DBF"/>
    <w:rsid w:val="00414F1C"/>
    <w:rsid w:val="00415F04"/>
    <w:rsid w:val="00417577"/>
    <w:rsid w:val="00420E0C"/>
    <w:rsid w:val="00421CF6"/>
    <w:rsid w:val="00421D15"/>
    <w:rsid w:val="00422276"/>
    <w:rsid w:val="004242F1"/>
    <w:rsid w:val="0042465B"/>
    <w:rsid w:val="0042492A"/>
    <w:rsid w:val="00424BAE"/>
    <w:rsid w:val="00424D4C"/>
    <w:rsid w:val="00425187"/>
    <w:rsid w:val="00426A74"/>
    <w:rsid w:val="0042798E"/>
    <w:rsid w:val="00427C82"/>
    <w:rsid w:val="004302FF"/>
    <w:rsid w:val="0043153E"/>
    <w:rsid w:val="004315E1"/>
    <w:rsid w:val="00431D91"/>
    <w:rsid w:val="00433215"/>
    <w:rsid w:val="00436AA7"/>
    <w:rsid w:val="004374B7"/>
    <w:rsid w:val="004379E7"/>
    <w:rsid w:val="00441009"/>
    <w:rsid w:val="0044179A"/>
    <w:rsid w:val="004419C0"/>
    <w:rsid w:val="00441CC3"/>
    <w:rsid w:val="004427AD"/>
    <w:rsid w:val="00442D91"/>
    <w:rsid w:val="00444831"/>
    <w:rsid w:val="00444FB1"/>
    <w:rsid w:val="004450C7"/>
    <w:rsid w:val="00445A00"/>
    <w:rsid w:val="00445CC3"/>
    <w:rsid w:val="00445F1A"/>
    <w:rsid w:val="00446031"/>
    <w:rsid w:val="004464D9"/>
    <w:rsid w:val="004469F1"/>
    <w:rsid w:val="00447270"/>
    <w:rsid w:val="004505DD"/>
    <w:rsid w:val="00451B0F"/>
    <w:rsid w:val="00452283"/>
    <w:rsid w:val="00452679"/>
    <w:rsid w:val="00452B31"/>
    <w:rsid w:val="00454337"/>
    <w:rsid w:val="004547F0"/>
    <w:rsid w:val="00454E11"/>
    <w:rsid w:val="004550CD"/>
    <w:rsid w:val="004551E6"/>
    <w:rsid w:val="004577C1"/>
    <w:rsid w:val="00457B42"/>
    <w:rsid w:val="00460E5F"/>
    <w:rsid w:val="00460EFE"/>
    <w:rsid w:val="004611B1"/>
    <w:rsid w:val="00461B20"/>
    <w:rsid w:val="00461C5B"/>
    <w:rsid w:val="004634A9"/>
    <w:rsid w:val="004644FE"/>
    <w:rsid w:val="00464DE2"/>
    <w:rsid w:val="0046553C"/>
    <w:rsid w:val="00467011"/>
    <w:rsid w:val="004702C9"/>
    <w:rsid w:val="0047072C"/>
    <w:rsid w:val="004716B9"/>
    <w:rsid w:val="0047177C"/>
    <w:rsid w:val="00471E56"/>
    <w:rsid w:val="00472053"/>
    <w:rsid w:val="004727C5"/>
    <w:rsid w:val="00472BF5"/>
    <w:rsid w:val="0047362D"/>
    <w:rsid w:val="00476C64"/>
    <w:rsid w:val="00477AE2"/>
    <w:rsid w:val="00481070"/>
    <w:rsid w:val="004812AE"/>
    <w:rsid w:val="00481972"/>
    <w:rsid w:val="0048297F"/>
    <w:rsid w:val="004832BF"/>
    <w:rsid w:val="0048357E"/>
    <w:rsid w:val="00483933"/>
    <w:rsid w:val="00484053"/>
    <w:rsid w:val="004840F6"/>
    <w:rsid w:val="00484A2A"/>
    <w:rsid w:val="00485D66"/>
    <w:rsid w:val="004861FA"/>
    <w:rsid w:val="00486AA6"/>
    <w:rsid w:val="004905E4"/>
    <w:rsid w:val="0049091A"/>
    <w:rsid w:val="00490A3A"/>
    <w:rsid w:val="00490B4D"/>
    <w:rsid w:val="00492965"/>
    <w:rsid w:val="00492D36"/>
    <w:rsid w:val="004932B2"/>
    <w:rsid w:val="004932C6"/>
    <w:rsid w:val="0049354E"/>
    <w:rsid w:val="004948B9"/>
    <w:rsid w:val="00495D93"/>
    <w:rsid w:val="004960E0"/>
    <w:rsid w:val="004A151F"/>
    <w:rsid w:val="004A221C"/>
    <w:rsid w:val="004A33B5"/>
    <w:rsid w:val="004A36B7"/>
    <w:rsid w:val="004A377C"/>
    <w:rsid w:val="004A3ECD"/>
    <w:rsid w:val="004A4272"/>
    <w:rsid w:val="004A4493"/>
    <w:rsid w:val="004A44E7"/>
    <w:rsid w:val="004A6976"/>
    <w:rsid w:val="004A73C9"/>
    <w:rsid w:val="004A760F"/>
    <w:rsid w:val="004A7F6D"/>
    <w:rsid w:val="004B0818"/>
    <w:rsid w:val="004B0EB0"/>
    <w:rsid w:val="004B0FE9"/>
    <w:rsid w:val="004B1C95"/>
    <w:rsid w:val="004B3F63"/>
    <w:rsid w:val="004B54D8"/>
    <w:rsid w:val="004B5C33"/>
    <w:rsid w:val="004B6FD6"/>
    <w:rsid w:val="004B730A"/>
    <w:rsid w:val="004C11F7"/>
    <w:rsid w:val="004C1970"/>
    <w:rsid w:val="004C22E4"/>
    <w:rsid w:val="004C2D6D"/>
    <w:rsid w:val="004C2EE3"/>
    <w:rsid w:val="004C343B"/>
    <w:rsid w:val="004C389B"/>
    <w:rsid w:val="004C3A66"/>
    <w:rsid w:val="004C3D0E"/>
    <w:rsid w:val="004C43AF"/>
    <w:rsid w:val="004C6448"/>
    <w:rsid w:val="004D1D51"/>
    <w:rsid w:val="004D547F"/>
    <w:rsid w:val="004D54A5"/>
    <w:rsid w:val="004D5778"/>
    <w:rsid w:val="004D6732"/>
    <w:rsid w:val="004D6FC4"/>
    <w:rsid w:val="004D7302"/>
    <w:rsid w:val="004E01D2"/>
    <w:rsid w:val="004E0827"/>
    <w:rsid w:val="004E155E"/>
    <w:rsid w:val="004E3581"/>
    <w:rsid w:val="004E4A22"/>
    <w:rsid w:val="004E5024"/>
    <w:rsid w:val="004E5B1F"/>
    <w:rsid w:val="004E7174"/>
    <w:rsid w:val="004E717D"/>
    <w:rsid w:val="004E73C1"/>
    <w:rsid w:val="004E74F7"/>
    <w:rsid w:val="004E7C80"/>
    <w:rsid w:val="004F22DC"/>
    <w:rsid w:val="004F3E52"/>
    <w:rsid w:val="004F4806"/>
    <w:rsid w:val="004F5951"/>
    <w:rsid w:val="004F6A6D"/>
    <w:rsid w:val="004F7520"/>
    <w:rsid w:val="00501E5B"/>
    <w:rsid w:val="00502412"/>
    <w:rsid w:val="005045CC"/>
    <w:rsid w:val="00504E5D"/>
    <w:rsid w:val="00505C9D"/>
    <w:rsid w:val="005061A6"/>
    <w:rsid w:val="00506955"/>
    <w:rsid w:val="00506BAC"/>
    <w:rsid w:val="0051000D"/>
    <w:rsid w:val="00510A27"/>
    <w:rsid w:val="00511968"/>
    <w:rsid w:val="005120AC"/>
    <w:rsid w:val="00512458"/>
    <w:rsid w:val="0051330B"/>
    <w:rsid w:val="00513BE2"/>
    <w:rsid w:val="005170A8"/>
    <w:rsid w:val="00517299"/>
    <w:rsid w:val="00517B2D"/>
    <w:rsid w:val="00520730"/>
    <w:rsid w:val="00521833"/>
    <w:rsid w:val="00521991"/>
    <w:rsid w:val="00521E42"/>
    <w:rsid w:val="00521E6F"/>
    <w:rsid w:val="00522667"/>
    <w:rsid w:val="00522E06"/>
    <w:rsid w:val="00523AE7"/>
    <w:rsid w:val="00524EC5"/>
    <w:rsid w:val="00525061"/>
    <w:rsid w:val="00526EF8"/>
    <w:rsid w:val="0052700B"/>
    <w:rsid w:val="005273E6"/>
    <w:rsid w:val="00527595"/>
    <w:rsid w:val="005301E6"/>
    <w:rsid w:val="00530D81"/>
    <w:rsid w:val="00531646"/>
    <w:rsid w:val="00534E7C"/>
    <w:rsid w:val="00536CBF"/>
    <w:rsid w:val="005375C8"/>
    <w:rsid w:val="00537CD1"/>
    <w:rsid w:val="00540165"/>
    <w:rsid w:val="005401D9"/>
    <w:rsid w:val="00540592"/>
    <w:rsid w:val="00540DC0"/>
    <w:rsid w:val="00541190"/>
    <w:rsid w:val="00541CD5"/>
    <w:rsid w:val="00541DE7"/>
    <w:rsid w:val="005431C4"/>
    <w:rsid w:val="00543691"/>
    <w:rsid w:val="00544841"/>
    <w:rsid w:val="005451AC"/>
    <w:rsid w:val="00545B5E"/>
    <w:rsid w:val="0054641E"/>
    <w:rsid w:val="00546450"/>
    <w:rsid w:val="00546E9A"/>
    <w:rsid w:val="005470AE"/>
    <w:rsid w:val="00547505"/>
    <w:rsid w:val="00550083"/>
    <w:rsid w:val="0055076A"/>
    <w:rsid w:val="005517EF"/>
    <w:rsid w:val="0055236F"/>
    <w:rsid w:val="0055296F"/>
    <w:rsid w:val="00552DC6"/>
    <w:rsid w:val="00553389"/>
    <w:rsid w:val="00554F51"/>
    <w:rsid w:val="00554F6E"/>
    <w:rsid w:val="00555284"/>
    <w:rsid w:val="00555328"/>
    <w:rsid w:val="005558AC"/>
    <w:rsid w:val="00555A20"/>
    <w:rsid w:val="0055614C"/>
    <w:rsid w:val="005570A2"/>
    <w:rsid w:val="005572EB"/>
    <w:rsid w:val="00560C8E"/>
    <w:rsid w:val="005615AB"/>
    <w:rsid w:val="00564187"/>
    <w:rsid w:val="00564423"/>
    <w:rsid w:val="00564AD2"/>
    <w:rsid w:val="00564FFA"/>
    <w:rsid w:val="00565A27"/>
    <w:rsid w:val="00565AE9"/>
    <w:rsid w:val="00565B2F"/>
    <w:rsid w:val="005664BF"/>
    <w:rsid w:val="0056661C"/>
    <w:rsid w:val="00566CFB"/>
    <w:rsid w:val="00566D06"/>
    <w:rsid w:val="00567CDD"/>
    <w:rsid w:val="00570BAE"/>
    <w:rsid w:val="00570D09"/>
    <w:rsid w:val="0057122F"/>
    <w:rsid w:val="00571CA0"/>
    <w:rsid w:val="00571CF2"/>
    <w:rsid w:val="005723BD"/>
    <w:rsid w:val="0057455E"/>
    <w:rsid w:val="00574AD4"/>
    <w:rsid w:val="00574B89"/>
    <w:rsid w:val="00574BFD"/>
    <w:rsid w:val="00574E7F"/>
    <w:rsid w:val="00576462"/>
    <w:rsid w:val="00576842"/>
    <w:rsid w:val="005805BB"/>
    <w:rsid w:val="005819FC"/>
    <w:rsid w:val="0058400A"/>
    <w:rsid w:val="005871C6"/>
    <w:rsid w:val="00587A9D"/>
    <w:rsid w:val="005909B8"/>
    <w:rsid w:val="00590DB7"/>
    <w:rsid w:val="005912CF"/>
    <w:rsid w:val="005927A7"/>
    <w:rsid w:val="00592FA6"/>
    <w:rsid w:val="00594EB1"/>
    <w:rsid w:val="00595F25"/>
    <w:rsid w:val="005A1044"/>
    <w:rsid w:val="005A249D"/>
    <w:rsid w:val="005A2C43"/>
    <w:rsid w:val="005A2C88"/>
    <w:rsid w:val="005A33E6"/>
    <w:rsid w:val="005A4B37"/>
    <w:rsid w:val="005A5820"/>
    <w:rsid w:val="005A5B8A"/>
    <w:rsid w:val="005A5E3F"/>
    <w:rsid w:val="005A71BD"/>
    <w:rsid w:val="005A7C30"/>
    <w:rsid w:val="005B0583"/>
    <w:rsid w:val="005B09FC"/>
    <w:rsid w:val="005B1ACD"/>
    <w:rsid w:val="005B1E39"/>
    <w:rsid w:val="005B222D"/>
    <w:rsid w:val="005B63F3"/>
    <w:rsid w:val="005B74A3"/>
    <w:rsid w:val="005C03A6"/>
    <w:rsid w:val="005C1E0C"/>
    <w:rsid w:val="005C23D0"/>
    <w:rsid w:val="005C3EEE"/>
    <w:rsid w:val="005C3F38"/>
    <w:rsid w:val="005C466D"/>
    <w:rsid w:val="005C4EE6"/>
    <w:rsid w:val="005C4FE9"/>
    <w:rsid w:val="005C5731"/>
    <w:rsid w:val="005C64A8"/>
    <w:rsid w:val="005C75B8"/>
    <w:rsid w:val="005C7A66"/>
    <w:rsid w:val="005C7C05"/>
    <w:rsid w:val="005C7E77"/>
    <w:rsid w:val="005D0E35"/>
    <w:rsid w:val="005D13D6"/>
    <w:rsid w:val="005D213B"/>
    <w:rsid w:val="005D238B"/>
    <w:rsid w:val="005D247B"/>
    <w:rsid w:val="005D381B"/>
    <w:rsid w:val="005D4816"/>
    <w:rsid w:val="005D5BE2"/>
    <w:rsid w:val="005D5E9C"/>
    <w:rsid w:val="005D6811"/>
    <w:rsid w:val="005D7536"/>
    <w:rsid w:val="005E04F0"/>
    <w:rsid w:val="005E14C2"/>
    <w:rsid w:val="005E1A39"/>
    <w:rsid w:val="005E2034"/>
    <w:rsid w:val="005E27FB"/>
    <w:rsid w:val="005E2B9D"/>
    <w:rsid w:val="005E34F9"/>
    <w:rsid w:val="005E3899"/>
    <w:rsid w:val="005E479E"/>
    <w:rsid w:val="005E6319"/>
    <w:rsid w:val="005E6980"/>
    <w:rsid w:val="005E6B95"/>
    <w:rsid w:val="005E72F9"/>
    <w:rsid w:val="005E7449"/>
    <w:rsid w:val="005F04A7"/>
    <w:rsid w:val="005F099E"/>
    <w:rsid w:val="005F1E0D"/>
    <w:rsid w:val="005F220F"/>
    <w:rsid w:val="005F3053"/>
    <w:rsid w:val="005F34DB"/>
    <w:rsid w:val="005F4BF0"/>
    <w:rsid w:val="005F513A"/>
    <w:rsid w:val="005F5304"/>
    <w:rsid w:val="00600F2D"/>
    <w:rsid w:val="006016CD"/>
    <w:rsid w:val="006017AE"/>
    <w:rsid w:val="00601A4C"/>
    <w:rsid w:val="006033F5"/>
    <w:rsid w:val="006044E9"/>
    <w:rsid w:val="00604CA8"/>
    <w:rsid w:val="006053AD"/>
    <w:rsid w:val="00606FE3"/>
    <w:rsid w:val="00607BA5"/>
    <w:rsid w:val="00610D03"/>
    <w:rsid w:val="0061145A"/>
    <w:rsid w:val="0061180A"/>
    <w:rsid w:val="006127F0"/>
    <w:rsid w:val="00613535"/>
    <w:rsid w:val="006137BB"/>
    <w:rsid w:val="00613E75"/>
    <w:rsid w:val="0061477C"/>
    <w:rsid w:val="00616925"/>
    <w:rsid w:val="00617643"/>
    <w:rsid w:val="0061774D"/>
    <w:rsid w:val="00621176"/>
    <w:rsid w:val="006213F4"/>
    <w:rsid w:val="00622133"/>
    <w:rsid w:val="0062247A"/>
    <w:rsid w:val="006224F1"/>
    <w:rsid w:val="006238CE"/>
    <w:rsid w:val="00623E6D"/>
    <w:rsid w:val="00625D3F"/>
    <w:rsid w:val="00626AE7"/>
    <w:rsid w:val="00626EB6"/>
    <w:rsid w:val="0062763F"/>
    <w:rsid w:val="00630FE6"/>
    <w:rsid w:val="00631826"/>
    <w:rsid w:val="006319ED"/>
    <w:rsid w:val="00631B07"/>
    <w:rsid w:val="0063449F"/>
    <w:rsid w:val="00634E2E"/>
    <w:rsid w:val="0063553B"/>
    <w:rsid w:val="00637332"/>
    <w:rsid w:val="006379F6"/>
    <w:rsid w:val="00637C9D"/>
    <w:rsid w:val="0064015F"/>
    <w:rsid w:val="006409D2"/>
    <w:rsid w:val="00640F8E"/>
    <w:rsid w:val="006411D2"/>
    <w:rsid w:val="0064153E"/>
    <w:rsid w:val="006420C3"/>
    <w:rsid w:val="006424B6"/>
    <w:rsid w:val="00642F0F"/>
    <w:rsid w:val="00643B73"/>
    <w:rsid w:val="006441E5"/>
    <w:rsid w:val="00644F28"/>
    <w:rsid w:val="00645162"/>
    <w:rsid w:val="00645617"/>
    <w:rsid w:val="00646B0E"/>
    <w:rsid w:val="00647938"/>
    <w:rsid w:val="00647999"/>
    <w:rsid w:val="00647AAA"/>
    <w:rsid w:val="00647B4C"/>
    <w:rsid w:val="00651883"/>
    <w:rsid w:val="00652BE7"/>
    <w:rsid w:val="00652D35"/>
    <w:rsid w:val="00653862"/>
    <w:rsid w:val="00653A91"/>
    <w:rsid w:val="00653B64"/>
    <w:rsid w:val="006551BE"/>
    <w:rsid w:val="00655D03"/>
    <w:rsid w:val="00656070"/>
    <w:rsid w:val="00656376"/>
    <w:rsid w:val="006570D5"/>
    <w:rsid w:val="006600B8"/>
    <w:rsid w:val="00661D33"/>
    <w:rsid w:val="00662AED"/>
    <w:rsid w:val="00663C6C"/>
    <w:rsid w:val="00663E55"/>
    <w:rsid w:val="006659B8"/>
    <w:rsid w:val="00666C52"/>
    <w:rsid w:val="00667AF3"/>
    <w:rsid w:val="00667EDA"/>
    <w:rsid w:val="006703CA"/>
    <w:rsid w:val="00670AC4"/>
    <w:rsid w:val="0067104E"/>
    <w:rsid w:val="006721DF"/>
    <w:rsid w:val="00674615"/>
    <w:rsid w:val="00675D21"/>
    <w:rsid w:val="00676EC8"/>
    <w:rsid w:val="00676EFF"/>
    <w:rsid w:val="006777D7"/>
    <w:rsid w:val="00681DEC"/>
    <w:rsid w:val="00682546"/>
    <w:rsid w:val="00682B34"/>
    <w:rsid w:val="00682B87"/>
    <w:rsid w:val="00683388"/>
    <w:rsid w:val="00683733"/>
    <w:rsid w:val="00683F84"/>
    <w:rsid w:val="00684A34"/>
    <w:rsid w:val="00684D01"/>
    <w:rsid w:val="00685957"/>
    <w:rsid w:val="00685AB8"/>
    <w:rsid w:val="006868CE"/>
    <w:rsid w:val="00686AA5"/>
    <w:rsid w:val="006871CA"/>
    <w:rsid w:val="006928CD"/>
    <w:rsid w:val="00692953"/>
    <w:rsid w:val="00692E11"/>
    <w:rsid w:val="0069411C"/>
    <w:rsid w:val="006947E0"/>
    <w:rsid w:val="006965A3"/>
    <w:rsid w:val="00697DA4"/>
    <w:rsid w:val="006A0429"/>
    <w:rsid w:val="006A2A07"/>
    <w:rsid w:val="006A34C8"/>
    <w:rsid w:val="006A351A"/>
    <w:rsid w:val="006A425C"/>
    <w:rsid w:val="006A4C0E"/>
    <w:rsid w:val="006A5936"/>
    <w:rsid w:val="006A5ED0"/>
    <w:rsid w:val="006A6A81"/>
    <w:rsid w:val="006A7F75"/>
    <w:rsid w:val="006B037C"/>
    <w:rsid w:val="006B0642"/>
    <w:rsid w:val="006B1110"/>
    <w:rsid w:val="006B1F66"/>
    <w:rsid w:val="006B23D2"/>
    <w:rsid w:val="006B26C7"/>
    <w:rsid w:val="006B26CC"/>
    <w:rsid w:val="006B282F"/>
    <w:rsid w:val="006B2A54"/>
    <w:rsid w:val="006B3B15"/>
    <w:rsid w:val="006B3BE2"/>
    <w:rsid w:val="006B589A"/>
    <w:rsid w:val="006B5904"/>
    <w:rsid w:val="006B6569"/>
    <w:rsid w:val="006B68D9"/>
    <w:rsid w:val="006B6DA2"/>
    <w:rsid w:val="006C0251"/>
    <w:rsid w:val="006C1325"/>
    <w:rsid w:val="006C1405"/>
    <w:rsid w:val="006C1D05"/>
    <w:rsid w:val="006C2AF2"/>
    <w:rsid w:val="006C4859"/>
    <w:rsid w:val="006C779F"/>
    <w:rsid w:val="006C7EEB"/>
    <w:rsid w:val="006D0234"/>
    <w:rsid w:val="006D023E"/>
    <w:rsid w:val="006D131C"/>
    <w:rsid w:val="006D1B42"/>
    <w:rsid w:val="006D1B88"/>
    <w:rsid w:val="006D228B"/>
    <w:rsid w:val="006D4722"/>
    <w:rsid w:val="006D6346"/>
    <w:rsid w:val="006D637C"/>
    <w:rsid w:val="006D74C1"/>
    <w:rsid w:val="006D7FD1"/>
    <w:rsid w:val="006E000E"/>
    <w:rsid w:val="006E02A7"/>
    <w:rsid w:val="006E0736"/>
    <w:rsid w:val="006E094A"/>
    <w:rsid w:val="006E14DB"/>
    <w:rsid w:val="006E1596"/>
    <w:rsid w:val="006E1754"/>
    <w:rsid w:val="006E2535"/>
    <w:rsid w:val="006E5DA2"/>
    <w:rsid w:val="006E5F3A"/>
    <w:rsid w:val="006E6811"/>
    <w:rsid w:val="006E7692"/>
    <w:rsid w:val="006E77DE"/>
    <w:rsid w:val="006F0D82"/>
    <w:rsid w:val="006F1649"/>
    <w:rsid w:val="006F40D5"/>
    <w:rsid w:val="006F41F1"/>
    <w:rsid w:val="006F4376"/>
    <w:rsid w:val="006F5559"/>
    <w:rsid w:val="006F5741"/>
    <w:rsid w:val="006F7393"/>
    <w:rsid w:val="0070224F"/>
    <w:rsid w:val="007027EF"/>
    <w:rsid w:val="0070389F"/>
    <w:rsid w:val="007045C1"/>
    <w:rsid w:val="00704813"/>
    <w:rsid w:val="0070531F"/>
    <w:rsid w:val="00705619"/>
    <w:rsid w:val="00707AB2"/>
    <w:rsid w:val="00707B23"/>
    <w:rsid w:val="007115F7"/>
    <w:rsid w:val="00711804"/>
    <w:rsid w:val="007119A8"/>
    <w:rsid w:val="007135C3"/>
    <w:rsid w:val="00713714"/>
    <w:rsid w:val="007144CF"/>
    <w:rsid w:val="00714811"/>
    <w:rsid w:val="00715E3D"/>
    <w:rsid w:val="00716904"/>
    <w:rsid w:val="00716D29"/>
    <w:rsid w:val="00717555"/>
    <w:rsid w:val="00717836"/>
    <w:rsid w:val="007179B7"/>
    <w:rsid w:val="00721B8F"/>
    <w:rsid w:val="007304C1"/>
    <w:rsid w:val="00730ADD"/>
    <w:rsid w:val="0073203F"/>
    <w:rsid w:val="00732219"/>
    <w:rsid w:val="007333DE"/>
    <w:rsid w:val="00734A8C"/>
    <w:rsid w:val="0073569E"/>
    <w:rsid w:val="00735C95"/>
    <w:rsid w:val="00736CBA"/>
    <w:rsid w:val="00737C55"/>
    <w:rsid w:val="007406F3"/>
    <w:rsid w:val="00740A29"/>
    <w:rsid w:val="00741AF6"/>
    <w:rsid w:val="0074218B"/>
    <w:rsid w:val="0074323B"/>
    <w:rsid w:val="007439D8"/>
    <w:rsid w:val="00745021"/>
    <w:rsid w:val="007461CF"/>
    <w:rsid w:val="00746532"/>
    <w:rsid w:val="00746FF8"/>
    <w:rsid w:val="00747207"/>
    <w:rsid w:val="00750985"/>
    <w:rsid w:val="00751158"/>
    <w:rsid w:val="007513C7"/>
    <w:rsid w:val="00751C51"/>
    <w:rsid w:val="00751F51"/>
    <w:rsid w:val="007532BE"/>
    <w:rsid w:val="00753974"/>
    <w:rsid w:val="00753F6F"/>
    <w:rsid w:val="00754BF2"/>
    <w:rsid w:val="0076020E"/>
    <w:rsid w:val="0076037A"/>
    <w:rsid w:val="00761432"/>
    <w:rsid w:val="0076224A"/>
    <w:rsid w:val="00762768"/>
    <w:rsid w:val="0076311F"/>
    <w:rsid w:val="00763E0C"/>
    <w:rsid w:val="00765D16"/>
    <w:rsid w:val="00770191"/>
    <w:rsid w:val="00771583"/>
    <w:rsid w:val="00771918"/>
    <w:rsid w:val="007719B2"/>
    <w:rsid w:val="00772386"/>
    <w:rsid w:val="00772B3D"/>
    <w:rsid w:val="00772C9C"/>
    <w:rsid w:val="00774FFA"/>
    <w:rsid w:val="00775C09"/>
    <w:rsid w:val="007760DA"/>
    <w:rsid w:val="00776BF9"/>
    <w:rsid w:val="00781691"/>
    <w:rsid w:val="007823EA"/>
    <w:rsid w:val="00782DCF"/>
    <w:rsid w:val="007839F7"/>
    <w:rsid w:val="00783F76"/>
    <w:rsid w:val="00785689"/>
    <w:rsid w:val="00785C20"/>
    <w:rsid w:val="00785C75"/>
    <w:rsid w:val="007875B5"/>
    <w:rsid w:val="0078785B"/>
    <w:rsid w:val="00787AAF"/>
    <w:rsid w:val="00790139"/>
    <w:rsid w:val="00790478"/>
    <w:rsid w:val="00790CDA"/>
    <w:rsid w:val="007915BF"/>
    <w:rsid w:val="007916EE"/>
    <w:rsid w:val="00791830"/>
    <w:rsid w:val="00792021"/>
    <w:rsid w:val="00792537"/>
    <w:rsid w:val="0079279D"/>
    <w:rsid w:val="007929C8"/>
    <w:rsid w:val="00793E54"/>
    <w:rsid w:val="00794DE0"/>
    <w:rsid w:val="00794DFC"/>
    <w:rsid w:val="0079657F"/>
    <w:rsid w:val="00796596"/>
    <w:rsid w:val="00796E44"/>
    <w:rsid w:val="0079754B"/>
    <w:rsid w:val="007A0587"/>
    <w:rsid w:val="007A084E"/>
    <w:rsid w:val="007A0856"/>
    <w:rsid w:val="007A1C1C"/>
    <w:rsid w:val="007A1E13"/>
    <w:rsid w:val="007A1E6D"/>
    <w:rsid w:val="007A213E"/>
    <w:rsid w:val="007A276C"/>
    <w:rsid w:val="007A2919"/>
    <w:rsid w:val="007A29D0"/>
    <w:rsid w:val="007A29F5"/>
    <w:rsid w:val="007A2FF4"/>
    <w:rsid w:val="007A31DC"/>
    <w:rsid w:val="007A35A2"/>
    <w:rsid w:val="007A4A16"/>
    <w:rsid w:val="007A5D85"/>
    <w:rsid w:val="007A5D98"/>
    <w:rsid w:val="007A60D1"/>
    <w:rsid w:val="007B09B1"/>
    <w:rsid w:val="007B0EB2"/>
    <w:rsid w:val="007B0F36"/>
    <w:rsid w:val="007B1387"/>
    <w:rsid w:val="007B24E7"/>
    <w:rsid w:val="007B3332"/>
    <w:rsid w:val="007B3604"/>
    <w:rsid w:val="007B36F2"/>
    <w:rsid w:val="007B4723"/>
    <w:rsid w:val="007B6AED"/>
    <w:rsid w:val="007C164D"/>
    <w:rsid w:val="007C473C"/>
    <w:rsid w:val="007C4FA3"/>
    <w:rsid w:val="007C7612"/>
    <w:rsid w:val="007D017A"/>
    <w:rsid w:val="007D03A7"/>
    <w:rsid w:val="007D0480"/>
    <w:rsid w:val="007D0F14"/>
    <w:rsid w:val="007D16CA"/>
    <w:rsid w:val="007D28E7"/>
    <w:rsid w:val="007D2D05"/>
    <w:rsid w:val="007D2F49"/>
    <w:rsid w:val="007D3AB1"/>
    <w:rsid w:val="007D494F"/>
    <w:rsid w:val="007D4AC2"/>
    <w:rsid w:val="007D5317"/>
    <w:rsid w:val="007D600E"/>
    <w:rsid w:val="007D6937"/>
    <w:rsid w:val="007D6D42"/>
    <w:rsid w:val="007D7E43"/>
    <w:rsid w:val="007D7F44"/>
    <w:rsid w:val="007E0512"/>
    <w:rsid w:val="007E0651"/>
    <w:rsid w:val="007E0B78"/>
    <w:rsid w:val="007E11DE"/>
    <w:rsid w:val="007E1214"/>
    <w:rsid w:val="007E12A8"/>
    <w:rsid w:val="007E1B6F"/>
    <w:rsid w:val="007E1E6F"/>
    <w:rsid w:val="007E295D"/>
    <w:rsid w:val="007E2AC6"/>
    <w:rsid w:val="007E5614"/>
    <w:rsid w:val="007E61AE"/>
    <w:rsid w:val="007E6BEF"/>
    <w:rsid w:val="007F114F"/>
    <w:rsid w:val="007F23F9"/>
    <w:rsid w:val="007F2FF6"/>
    <w:rsid w:val="007F3923"/>
    <w:rsid w:val="007F5DA4"/>
    <w:rsid w:val="007F6A70"/>
    <w:rsid w:val="007F707C"/>
    <w:rsid w:val="007F755D"/>
    <w:rsid w:val="007F7610"/>
    <w:rsid w:val="008028FD"/>
    <w:rsid w:val="0080305F"/>
    <w:rsid w:val="00803C2D"/>
    <w:rsid w:val="008068DD"/>
    <w:rsid w:val="00806DCB"/>
    <w:rsid w:val="00807030"/>
    <w:rsid w:val="0081014B"/>
    <w:rsid w:val="00810B6F"/>
    <w:rsid w:val="0081129F"/>
    <w:rsid w:val="00811EA9"/>
    <w:rsid w:val="00812185"/>
    <w:rsid w:val="00815C29"/>
    <w:rsid w:val="00815EA7"/>
    <w:rsid w:val="00817576"/>
    <w:rsid w:val="0081762D"/>
    <w:rsid w:val="00817963"/>
    <w:rsid w:val="0082160A"/>
    <w:rsid w:val="00822C0D"/>
    <w:rsid w:val="00822CE0"/>
    <w:rsid w:val="00823632"/>
    <w:rsid w:val="00823B95"/>
    <w:rsid w:val="00823F8C"/>
    <w:rsid w:val="00824CBC"/>
    <w:rsid w:val="00825CDA"/>
    <w:rsid w:val="00825FF7"/>
    <w:rsid w:val="008262D6"/>
    <w:rsid w:val="00826B47"/>
    <w:rsid w:val="00826B52"/>
    <w:rsid w:val="008306A1"/>
    <w:rsid w:val="008322F0"/>
    <w:rsid w:val="00832CF9"/>
    <w:rsid w:val="00832E9A"/>
    <w:rsid w:val="0083482D"/>
    <w:rsid w:val="00834EDE"/>
    <w:rsid w:val="00835BAE"/>
    <w:rsid w:val="00835CFD"/>
    <w:rsid w:val="00835D63"/>
    <w:rsid w:val="00836B6F"/>
    <w:rsid w:val="008371A8"/>
    <w:rsid w:val="00840A16"/>
    <w:rsid w:val="00840D96"/>
    <w:rsid w:val="00841129"/>
    <w:rsid w:val="00841AB1"/>
    <w:rsid w:val="008420AE"/>
    <w:rsid w:val="0084294C"/>
    <w:rsid w:val="00843AAB"/>
    <w:rsid w:val="00843AFC"/>
    <w:rsid w:val="00843F6C"/>
    <w:rsid w:val="008442DE"/>
    <w:rsid w:val="00844620"/>
    <w:rsid w:val="00846828"/>
    <w:rsid w:val="008474F7"/>
    <w:rsid w:val="00850796"/>
    <w:rsid w:val="00850CC9"/>
    <w:rsid w:val="00851D8B"/>
    <w:rsid w:val="00851DD6"/>
    <w:rsid w:val="00852251"/>
    <w:rsid w:val="00852734"/>
    <w:rsid w:val="00852B06"/>
    <w:rsid w:val="00852F33"/>
    <w:rsid w:val="00853994"/>
    <w:rsid w:val="00854739"/>
    <w:rsid w:val="0085511C"/>
    <w:rsid w:val="00855E86"/>
    <w:rsid w:val="00856106"/>
    <w:rsid w:val="00862901"/>
    <w:rsid w:val="008636C0"/>
    <w:rsid w:val="00864235"/>
    <w:rsid w:val="0086693E"/>
    <w:rsid w:val="008702D9"/>
    <w:rsid w:val="00870566"/>
    <w:rsid w:val="008711C1"/>
    <w:rsid w:val="00871368"/>
    <w:rsid w:val="008721A8"/>
    <w:rsid w:val="008733F5"/>
    <w:rsid w:val="008734D5"/>
    <w:rsid w:val="0087525A"/>
    <w:rsid w:val="00880492"/>
    <w:rsid w:val="00880F88"/>
    <w:rsid w:val="008811B7"/>
    <w:rsid w:val="00883A53"/>
    <w:rsid w:val="0089092F"/>
    <w:rsid w:val="00890BF6"/>
    <w:rsid w:val="00893491"/>
    <w:rsid w:val="00893CB4"/>
    <w:rsid w:val="00893EC1"/>
    <w:rsid w:val="00894A8D"/>
    <w:rsid w:val="008953EC"/>
    <w:rsid w:val="00896971"/>
    <w:rsid w:val="00897215"/>
    <w:rsid w:val="008A098A"/>
    <w:rsid w:val="008A17E3"/>
    <w:rsid w:val="008A28C5"/>
    <w:rsid w:val="008A2F7C"/>
    <w:rsid w:val="008A492A"/>
    <w:rsid w:val="008A6E43"/>
    <w:rsid w:val="008A7E64"/>
    <w:rsid w:val="008B0004"/>
    <w:rsid w:val="008B1A9B"/>
    <w:rsid w:val="008B24F8"/>
    <w:rsid w:val="008B350E"/>
    <w:rsid w:val="008B4A3D"/>
    <w:rsid w:val="008B7B2F"/>
    <w:rsid w:val="008C014F"/>
    <w:rsid w:val="008C0281"/>
    <w:rsid w:val="008C02DF"/>
    <w:rsid w:val="008C060F"/>
    <w:rsid w:val="008C07BF"/>
    <w:rsid w:val="008C2021"/>
    <w:rsid w:val="008C4018"/>
    <w:rsid w:val="008C436A"/>
    <w:rsid w:val="008C438A"/>
    <w:rsid w:val="008C491D"/>
    <w:rsid w:val="008C650E"/>
    <w:rsid w:val="008C68F1"/>
    <w:rsid w:val="008C6C8D"/>
    <w:rsid w:val="008D06DF"/>
    <w:rsid w:val="008D1506"/>
    <w:rsid w:val="008D21E5"/>
    <w:rsid w:val="008D2556"/>
    <w:rsid w:val="008D376D"/>
    <w:rsid w:val="008D4899"/>
    <w:rsid w:val="008D4C41"/>
    <w:rsid w:val="008D4F93"/>
    <w:rsid w:val="008D5BD1"/>
    <w:rsid w:val="008D5D4F"/>
    <w:rsid w:val="008D7A44"/>
    <w:rsid w:val="008D7BD2"/>
    <w:rsid w:val="008E0FA7"/>
    <w:rsid w:val="008E2A68"/>
    <w:rsid w:val="008E2B2E"/>
    <w:rsid w:val="008E307C"/>
    <w:rsid w:val="008E3267"/>
    <w:rsid w:val="008E3EDF"/>
    <w:rsid w:val="008E4CAD"/>
    <w:rsid w:val="008E53DE"/>
    <w:rsid w:val="008E5F3F"/>
    <w:rsid w:val="008E6333"/>
    <w:rsid w:val="008F04C3"/>
    <w:rsid w:val="008F0742"/>
    <w:rsid w:val="008F1386"/>
    <w:rsid w:val="008F16BE"/>
    <w:rsid w:val="008F1C5F"/>
    <w:rsid w:val="008F2C73"/>
    <w:rsid w:val="008F3C5D"/>
    <w:rsid w:val="008F411B"/>
    <w:rsid w:val="008F43B4"/>
    <w:rsid w:val="008F464A"/>
    <w:rsid w:val="008F49F2"/>
    <w:rsid w:val="008F55DA"/>
    <w:rsid w:val="008F6C58"/>
    <w:rsid w:val="008F6E81"/>
    <w:rsid w:val="008F790C"/>
    <w:rsid w:val="009019CC"/>
    <w:rsid w:val="00903397"/>
    <w:rsid w:val="009040E5"/>
    <w:rsid w:val="0090441B"/>
    <w:rsid w:val="0090591F"/>
    <w:rsid w:val="00906324"/>
    <w:rsid w:val="009078AB"/>
    <w:rsid w:val="00907C60"/>
    <w:rsid w:val="00907DB9"/>
    <w:rsid w:val="009102A9"/>
    <w:rsid w:val="00910528"/>
    <w:rsid w:val="009109DA"/>
    <w:rsid w:val="00911952"/>
    <w:rsid w:val="0091250E"/>
    <w:rsid w:val="0091486A"/>
    <w:rsid w:val="00914BA5"/>
    <w:rsid w:val="00914CFE"/>
    <w:rsid w:val="00917187"/>
    <w:rsid w:val="00917211"/>
    <w:rsid w:val="00917463"/>
    <w:rsid w:val="00917D27"/>
    <w:rsid w:val="00920B54"/>
    <w:rsid w:val="00920F95"/>
    <w:rsid w:val="0092162F"/>
    <w:rsid w:val="00921803"/>
    <w:rsid w:val="00925017"/>
    <w:rsid w:val="0092543D"/>
    <w:rsid w:val="00925F39"/>
    <w:rsid w:val="00926503"/>
    <w:rsid w:val="009265E0"/>
    <w:rsid w:val="00927860"/>
    <w:rsid w:val="00927CA1"/>
    <w:rsid w:val="00927CA9"/>
    <w:rsid w:val="0093101E"/>
    <w:rsid w:val="009321D0"/>
    <w:rsid w:val="00933D05"/>
    <w:rsid w:val="00934E0A"/>
    <w:rsid w:val="00934F3B"/>
    <w:rsid w:val="00935126"/>
    <w:rsid w:val="00935B3F"/>
    <w:rsid w:val="00940C10"/>
    <w:rsid w:val="00940F73"/>
    <w:rsid w:val="00941B07"/>
    <w:rsid w:val="009428A0"/>
    <w:rsid w:val="009439F9"/>
    <w:rsid w:val="00943C16"/>
    <w:rsid w:val="00943F09"/>
    <w:rsid w:val="009440DC"/>
    <w:rsid w:val="009442EC"/>
    <w:rsid w:val="009469E1"/>
    <w:rsid w:val="00946A35"/>
    <w:rsid w:val="009475FC"/>
    <w:rsid w:val="00947672"/>
    <w:rsid w:val="00950F93"/>
    <w:rsid w:val="0095145B"/>
    <w:rsid w:val="00951477"/>
    <w:rsid w:val="00951C26"/>
    <w:rsid w:val="0095326F"/>
    <w:rsid w:val="009535D5"/>
    <w:rsid w:val="00955634"/>
    <w:rsid w:val="00956863"/>
    <w:rsid w:val="009574C6"/>
    <w:rsid w:val="00957518"/>
    <w:rsid w:val="00960653"/>
    <w:rsid w:val="00961691"/>
    <w:rsid w:val="009616BD"/>
    <w:rsid w:val="0096295C"/>
    <w:rsid w:val="009630C6"/>
    <w:rsid w:val="00964509"/>
    <w:rsid w:val="009646DE"/>
    <w:rsid w:val="00964A1C"/>
    <w:rsid w:val="009654B8"/>
    <w:rsid w:val="0096696D"/>
    <w:rsid w:val="00970CBE"/>
    <w:rsid w:val="009714B6"/>
    <w:rsid w:val="009726D8"/>
    <w:rsid w:val="00972840"/>
    <w:rsid w:val="00972FA9"/>
    <w:rsid w:val="00974B21"/>
    <w:rsid w:val="00975155"/>
    <w:rsid w:val="009753BF"/>
    <w:rsid w:val="0097603E"/>
    <w:rsid w:val="00976565"/>
    <w:rsid w:val="00976B10"/>
    <w:rsid w:val="00977C32"/>
    <w:rsid w:val="00977C61"/>
    <w:rsid w:val="00980DD3"/>
    <w:rsid w:val="009825C7"/>
    <w:rsid w:val="00982E38"/>
    <w:rsid w:val="009839AC"/>
    <w:rsid w:val="009845DE"/>
    <w:rsid w:val="00986332"/>
    <w:rsid w:val="00986EEE"/>
    <w:rsid w:val="00987398"/>
    <w:rsid w:val="00987A02"/>
    <w:rsid w:val="0099011A"/>
    <w:rsid w:val="00991EF6"/>
    <w:rsid w:val="0099262D"/>
    <w:rsid w:val="00992A9D"/>
    <w:rsid w:val="00992AC9"/>
    <w:rsid w:val="00994C2D"/>
    <w:rsid w:val="0099505E"/>
    <w:rsid w:val="00995D9B"/>
    <w:rsid w:val="00996F9A"/>
    <w:rsid w:val="00997E64"/>
    <w:rsid w:val="009A0BDD"/>
    <w:rsid w:val="009A2AD2"/>
    <w:rsid w:val="009A30E0"/>
    <w:rsid w:val="009A3EC5"/>
    <w:rsid w:val="009A3ECA"/>
    <w:rsid w:val="009A4664"/>
    <w:rsid w:val="009A4C4E"/>
    <w:rsid w:val="009A4CDA"/>
    <w:rsid w:val="009A56A2"/>
    <w:rsid w:val="009A6B81"/>
    <w:rsid w:val="009A7E5F"/>
    <w:rsid w:val="009B0D94"/>
    <w:rsid w:val="009B128E"/>
    <w:rsid w:val="009B1840"/>
    <w:rsid w:val="009B2404"/>
    <w:rsid w:val="009B5B8E"/>
    <w:rsid w:val="009B777E"/>
    <w:rsid w:val="009B7F7D"/>
    <w:rsid w:val="009C2305"/>
    <w:rsid w:val="009C2AD0"/>
    <w:rsid w:val="009C331F"/>
    <w:rsid w:val="009C355E"/>
    <w:rsid w:val="009C396F"/>
    <w:rsid w:val="009C3B14"/>
    <w:rsid w:val="009C3F50"/>
    <w:rsid w:val="009C4073"/>
    <w:rsid w:val="009C48FA"/>
    <w:rsid w:val="009C67A1"/>
    <w:rsid w:val="009C79AB"/>
    <w:rsid w:val="009C7B00"/>
    <w:rsid w:val="009D036F"/>
    <w:rsid w:val="009D12E6"/>
    <w:rsid w:val="009D2C82"/>
    <w:rsid w:val="009D3A75"/>
    <w:rsid w:val="009D3C60"/>
    <w:rsid w:val="009D492C"/>
    <w:rsid w:val="009D4D60"/>
    <w:rsid w:val="009D68F9"/>
    <w:rsid w:val="009D7308"/>
    <w:rsid w:val="009E129A"/>
    <w:rsid w:val="009E4649"/>
    <w:rsid w:val="009E54BA"/>
    <w:rsid w:val="009E56DC"/>
    <w:rsid w:val="009E6093"/>
    <w:rsid w:val="009E6404"/>
    <w:rsid w:val="009F0943"/>
    <w:rsid w:val="009F0B6D"/>
    <w:rsid w:val="009F139E"/>
    <w:rsid w:val="009F1F5C"/>
    <w:rsid w:val="009F3681"/>
    <w:rsid w:val="009F3FA9"/>
    <w:rsid w:val="009F6EF4"/>
    <w:rsid w:val="009F702F"/>
    <w:rsid w:val="009F761F"/>
    <w:rsid w:val="009F76DB"/>
    <w:rsid w:val="009F7AEA"/>
    <w:rsid w:val="00A0009B"/>
    <w:rsid w:val="00A006F7"/>
    <w:rsid w:val="00A0073F"/>
    <w:rsid w:val="00A00EEF"/>
    <w:rsid w:val="00A01664"/>
    <w:rsid w:val="00A02DA2"/>
    <w:rsid w:val="00A02F68"/>
    <w:rsid w:val="00A060F7"/>
    <w:rsid w:val="00A07167"/>
    <w:rsid w:val="00A07F1A"/>
    <w:rsid w:val="00A07F99"/>
    <w:rsid w:val="00A07FE0"/>
    <w:rsid w:val="00A1087A"/>
    <w:rsid w:val="00A10D31"/>
    <w:rsid w:val="00A1103B"/>
    <w:rsid w:val="00A11B9D"/>
    <w:rsid w:val="00A1215E"/>
    <w:rsid w:val="00A12ABC"/>
    <w:rsid w:val="00A12F68"/>
    <w:rsid w:val="00A1420F"/>
    <w:rsid w:val="00A16EB5"/>
    <w:rsid w:val="00A17867"/>
    <w:rsid w:val="00A17C47"/>
    <w:rsid w:val="00A200A8"/>
    <w:rsid w:val="00A20595"/>
    <w:rsid w:val="00A20675"/>
    <w:rsid w:val="00A218D5"/>
    <w:rsid w:val="00A219F8"/>
    <w:rsid w:val="00A25C17"/>
    <w:rsid w:val="00A25EC9"/>
    <w:rsid w:val="00A26DC8"/>
    <w:rsid w:val="00A2783E"/>
    <w:rsid w:val="00A2791D"/>
    <w:rsid w:val="00A302AC"/>
    <w:rsid w:val="00A30D41"/>
    <w:rsid w:val="00A30EB5"/>
    <w:rsid w:val="00A31035"/>
    <w:rsid w:val="00A32A85"/>
    <w:rsid w:val="00A32C3B"/>
    <w:rsid w:val="00A331AA"/>
    <w:rsid w:val="00A342A2"/>
    <w:rsid w:val="00A37E42"/>
    <w:rsid w:val="00A40766"/>
    <w:rsid w:val="00A40C5B"/>
    <w:rsid w:val="00A40F0B"/>
    <w:rsid w:val="00A4380D"/>
    <w:rsid w:val="00A45F4F"/>
    <w:rsid w:val="00A46AD2"/>
    <w:rsid w:val="00A46B7D"/>
    <w:rsid w:val="00A5096E"/>
    <w:rsid w:val="00A509AE"/>
    <w:rsid w:val="00A50D09"/>
    <w:rsid w:val="00A51B59"/>
    <w:rsid w:val="00A525FE"/>
    <w:rsid w:val="00A53EC6"/>
    <w:rsid w:val="00A5422E"/>
    <w:rsid w:val="00A54FA5"/>
    <w:rsid w:val="00A600A9"/>
    <w:rsid w:val="00A618C4"/>
    <w:rsid w:val="00A628C9"/>
    <w:rsid w:val="00A64872"/>
    <w:rsid w:val="00A6507E"/>
    <w:rsid w:val="00A6637D"/>
    <w:rsid w:val="00A664B8"/>
    <w:rsid w:val="00A66507"/>
    <w:rsid w:val="00A67B75"/>
    <w:rsid w:val="00A67D9A"/>
    <w:rsid w:val="00A67DBE"/>
    <w:rsid w:val="00A70BB9"/>
    <w:rsid w:val="00A72A26"/>
    <w:rsid w:val="00A74287"/>
    <w:rsid w:val="00A74408"/>
    <w:rsid w:val="00A75938"/>
    <w:rsid w:val="00A821ED"/>
    <w:rsid w:val="00A83191"/>
    <w:rsid w:val="00A83B75"/>
    <w:rsid w:val="00A8464D"/>
    <w:rsid w:val="00A858FC"/>
    <w:rsid w:val="00A8728E"/>
    <w:rsid w:val="00A876E8"/>
    <w:rsid w:val="00A92C3A"/>
    <w:rsid w:val="00A93F77"/>
    <w:rsid w:val="00A94AA9"/>
    <w:rsid w:val="00A96CA6"/>
    <w:rsid w:val="00A97348"/>
    <w:rsid w:val="00A97E98"/>
    <w:rsid w:val="00AA06F3"/>
    <w:rsid w:val="00AA1E5F"/>
    <w:rsid w:val="00AA213C"/>
    <w:rsid w:val="00AA2E0F"/>
    <w:rsid w:val="00AA408C"/>
    <w:rsid w:val="00AA458C"/>
    <w:rsid w:val="00AA4E10"/>
    <w:rsid w:val="00AA55B7"/>
    <w:rsid w:val="00AA57BF"/>
    <w:rsid w:val="00AA57F6"/>
    <w:rsid w:val="00AA5B9E"/>
    <w:rsid w:val="00AA5C20"/>
    <w:rsid w:val="00AA71D5"/>
    <w:rsid w:val="00AA76AC"/>
    <w:rsid w:val="00AB142A"/>
    <w:rsid w:val="00AB1B39"/>
    <w:rsid w:val="00AB1BDE"/>
    <w:rsid w:val="00AB2407"/>
    <w:rsid w:val="00AB3664"/>
    <w:rsid w:val="00AB43FE"/>
    <w:rsid w:val="00AB49AC"/>
    <w:rsid w:val="00AB4E92"/>
    <w:rsid w:val="00AB53DF"/>
    <w:rsid w:val="00AB5AD9"/>
    <w:rsid w:val="00AC002D"/>
    <w:rsid w:val="00AC00D5"/>
    <w:rsid w:val="00AC1792"/>
    <w:rsid w:val="00AC29E7"/>
    <w:rsid w:val="00AC3BD2"/>
    <w:rsid w:val="00AC47BC"/>
    <w:rsid w:val="00AC6C3F"/>
    <w:rsid w:val="00AC733D"/>
    <w:rsid w:val="00AC780E"/>
    <w:rsid w:val="00AD14D7"/>
    <w:rsid w:val="00AD1D94"/>
    <w:rsid w:val="00AD2AD3"/>
    <w:rsid w:val="00AD4755"/>
    <w:rsid w:val="00AD556B"/>
    <w:rsid w:val="00AD58CC"/>
    <w:rsid w:val="00AD5AEC"/>
    <w:rsid w:val="00AD6098"/>
    <w:rsid w:val="00AD6B79"/>
    <w:rsid w:val="00AD6E8D"/>
    <w:rsid w:val="00AD71F9"/>
    <w:rsid w:val="00AD7204"/>
    <w:rsid w:val="00AE0535"/>
    <w:rsid w:val="00AE0D5E"/>
    <w:rsid w:val="00AE18B3"/>
    <w:rsid w:val="00AE28E3"/>
    <w:rsid w:val="00AE2DB7"/>
    <w:rsid w:val="00AE3A0E"/>
    <w:rsid w:val="00AE5BD4"/>
    <w:rsid w:val="00AE77AB"/>
    <w:rsid w:val="00AF04C3"/>
    <w:rsid w:val="00AF0D88"/>
    <w:rsid w:val="00AF1E43"/>
    <w:rsid w:val="00AF22BB"/>
    <w:rsid w:val="00AF2430"/>
    <w:rsid w:val="00AF339E"/>
    <w:rsid w:val="00AF393D"/>
    <w:rsid w:val="00AF43BC"/>
    <w:rsid w:val="00AF45F5"/>
    <w:rsid w:val="00AF6524"/>
    <w:rsid w:val="00AF7E2D"/>
    <w:rsid w:val="00B01441"/>
    <w:rsid w:val="00B02714"/>
    <w:rsid w:val="00B0488A"/>
    <w:rsid w:val="00B04BB9"/>
    <w:rsid w:val="00B05154"/>
    <w:rsid w:val="00B054FB"/>
    <w:rsid w:val="00B055C2"/>
    <w:rsid w:val="00B057A3"/>
    <w:rsid w:val="00B05F58"/>
    <w:rsid w:val="00B065E2"/>
    <w:rsid w:val="00B06D8E"/>
    <w:rsid w:val="00B0721F"/>
    <w:rsid w:val="00B073F2"/>
    <w:rsid w:val="00B079B2"/>
    <w:rsid w:val="00B07E5C"/>
    <w:rsid w:val="00B11025"/>
    <w:rsid w:val="00B116F5"/>
    <w:rsid w:val="00B11761"/>
    <w:rsid w:val="00B11B99"/>
    <w:rsid w:val="00B12024"/>
    <w:rsid w:val="00B1382F"/>
    <w:rsid w:val="00B13E12"/>
    <w:rsid w:val="00B1441E"/>
    <w:rsid w:val="00B1442C"/>
    <w:rsid w:val="00B15045"/>
    <w:rsid w:val="00B15181"/>
    <w:rsid w:val="00B155D4"/>
    <w:rsid w:val="00B1598E"/>
    <w:rsid w:val="00B159DE"/>
    <w:rsid w:val="00B15CB0"/>
    <w:rsid w:val="00B171D3"/>
    <w:rsid w:val="00B20357"/>
    <w:rsid w:val="00B20C8F"/>
    <w:rsid w:val="00B2201D"/>
    <w:rsid w:val="00B22671"/>
    <w:rsid w:val="00B2481C"/>
    <w:rsid w:val="00B24F3B"/>
    <w:rsid w:val="00B2561A"/>
    <w:rsid w:val="00B25849"/>
    <w:rsid w:val="00B25AE7"/>
    <w:rsid w:val="00B25BB6"/>
    <w:rsid w:val="00B27BBB"/>
    <w:rsid w:val="00B3191F"/>
    <w:rsid w:val="00B320DA"/>
    <w:rsid w:val="00B330BF"/>
    <w:rsid w:val="00B33552"/>
    <w:rsid w:val="00B33DEC"/>
    <w:rsid w:val="00B342FE"/>
    <w:rsid w:val="00B358EE"/>
    <w:rsid w:val="00B3627A"/>
    <w:rsid w:val="00B36F45"/>
    <w:rsid w:val="00B371E4"/>
    <w:rsid w:val="00B410A0"/>
    <w:rsid w:val="00B43B3A"/>
    <w:rsid w:val="00B443AF"/>
    <w:rsid w:val="00B50D59"/>
    <w:rsid w:val="00B51C38"/>
    <w:rsid w:val="00B51D37"/>
    <w:rsid w:val="00B528F1"/>
    <w:rsid w:val="00B53A13"/>
    <w:rsid w:val="00B54965"/>
    <w:rsid w:val="00B56C4B"/>
    <w:rsid w:val="00B575B1"/>
    <w:rsid w:val="00B61D52"/>
    <w:rsid w:val="00B65199"/>
    <w:rsid w:val="00B65396"/>
    <w:rsid w:val="00B665C9"/>
    <w:rsid w:val="00B66AFE"/>
    <w:rsid w:val="00B66B13"/>
    <w:rsid w:val="00B671F2"/>
    <w:rsid w:val="00B67828"/>
    <w:rsid w:val="00B67D63"/>
    <w:rsid w:val="00B7003C"/>
    <w:rsid w:val="00B70632"/>
    <w:rsid w:val="00B71D7E"/>
    <w:rsid w:val="00B72FB2"/>
    <w:rsid w:val="00B736EF"/>
    <w:rsid w:val="00B74B42"/>
    <w:rsid w:val="00B74E6B"/>
    <w:rsid w:val="00B76A0F"/>
    <w:rsid w:val="00B76D00"/>
    <w:rsid w:val="00B80746"/>
    <w:rsid w:val="00B811F7"/>
    <w:rsid w:val="00B82BFC"/>
    <w:rsid w:val="00B82D27"/>
    <w:rsid w:val="00B841AD"/>
    <w:rsid w:val="00B85C0C"/>
    <w:rsid w:val="00B863F1"/>
    <w:rsid w:val="00B912A3"/>
    <w:rsid w:val="00B91BBE"/>
    <w:rsid w:val="00B923D5"/>
    <w:rsid w:val="00B92416"/>
    <w:rsid w:val="00B9256E"/>
    <w:rsid w:val="00B926A1"/>
    <w:rsid w:val="00B92A12"/>
    <w:rsid w:val="00B92C12"/>
    <w:rsid w:val="00B93501"/>
    <w:rsid w:val="00B954B9"/>
    <w:rsid w:val="00B965FD"/>
    <w:rsid w:val="00B96916"/>
    <w:rsid w:val="00B96936"/>
    <w:rsid w:val="00B97002"/>
    <w:rsid w:val="00B97B9F"/>
    <w:rsid w:val="00B97C97"/>
    <w:rsid w:val="00BA17BB"/>
    <w:rsid w:val="00BA1E2F"/>
    <w:rsid w:val="00BA2C05"/>
    <w:rsid w:val="00BA3DF4"/>
    <w:rsid w:val="00BA4947"/>
    <w:rsid w:val="00BA5432"/>
    <w:rsid w:val="00BA5DC6"/>
    <w:rsid w:val="00BA6196"/>
    <w:rsid w:val="00BA69C4"/>
    <w:rsid w:val="00BA71ED"/>
    <w:rsid w:val="00BA77BA"/>
    <w:rsid w:val="00BA7D68"/>
    <w:rsid w:val="00BB0B04"/>
    <w:rsid w:val="00BB15FE"/>
    <w:rsid w:val="00BB2355"/>
    <w:rsid w:val="00BB2699"/>
    <w:rsid w:val="00BB3444"/>
    <w:rsid w:val="00BB3939"/>
    <w:rsid w:val="00BB3E8E"/>
    <w:rsid w:val="00BB47C2"/>
    <w:rsid w:val="00BB47D6"/>
    <w:rsid w:val="00BB6A28"/>
    <w:rsid w:val="00BB75E5"/>
    <w:rsid w:val="00BB7B67"/>
    <w:rsid w:val="00BB7CF2"/>
    <w:rsid w:val="00BC1803"/>
    <w:rsid w:val="00BC289D"/>
    <w:rsid w:val="00BC4B48"/>
    <w:rsid w:val="00BC5B92"/>
    <w:rsid w:val="00BC5F78"/>
    <w:rsid w:val="00BC6192"/>
    <w:rsid w:val="00BC6D8C"/>
    <w:rsid w:val="00BD0DA5"/>
    <w:rsid w:val="00BD110C"/>
    <w:rsid w:val="00BD138B"/>
    <w:rsid w:val="00BD158B"/>
    <w:rsid w:val="00BD1816"/>
    <w:rsid w:val="00BD383D"/>
    <w:rsid w:val="00BD3992"/>
    <w:rsid w:val="00BD3BC2"/>
    <w:rsid w:val="00BD4BF9"/>
    <w:rsid w:val="00BD5599"/>
    <w:rsid w:val="00BD5ACA"/>
    <w:rsid w:val="00BD7780"/>
    <w:rsid w:val="00BE1B2F"/>
    <w:rsid w:val="00BE23D8"/>
    <w:rsid w:val="00BE44FA"/>
    <w:rsid w:val="00BE4966"/>
    <w:rsid w:val="00BE4C0F"/>
    <w:rsid w:val="00BE4FFE"/>
    <w:rsid w:val="00BE5250"/>
    <w:rsid w:val="00BE530F"/>
    <w:rsid w:val="00BE58D0"/>
    <w:rsid w:val="00BE737B"/>
    <w:rsid w:val="00BE7403"/>
    <w:rsid w:val="00BE7AD1"/>
    <w:rsid w:val="00BE7B6C"/>
    <w:rsid w:val="00BF0649"/>
    <w:rsid w:val="00BF0A48"/>
    <w:rsid w:val="00BF31C2"/>
    <w:rsid w:val="00BF4F90"/>
    <w:rsid w:val="00BF686C"/>
    <w:rsid w:val="00BF77C1"/>
    <w:rsid w:val="00BF7DBF"/>
    <w:rsid w:val="00C0099C"/>
    <w:rsid w:val="00C014A4"/>
    <w:rsid w:val="00C03382"/>
    <w:rsid w:val="00C055AA"/>
    <w:rsid w:val="00C060CD"/>
    <w:rsid w:val="00C06C34"/>
    <w:rsid w:val="00C06D62"/>
    <w:rsid w:val="00C071C4"/>
    <w:rsid w:val="00C07C82"/>
    <w:rsid w:val="00C116FA"/>
    <w:rsid w:val="00C11728"/>
    <w:rsid w:val="00C1441E"/>
    <w:rsid w:val="00C14558"/>
    <w:rsid w:val="00C145EE"/>
    <w:rsid w:val="00C16F6A"/>
    <w:rsid w:val="00C21862"/>
    <w:rsid w:val="00C21D2A"/>
    <w:rsid w:val="00C25A25"/>
    <w:rsid w:val="00C25CD0"/>
    <w:rsid w:val="00C27417"/>
    <w:rsid w:val="00C27BBF"/>
    <w:rsid w:val="00C30307"/>
    <w:rsid w:val="00C32A78"/>
    <w:rsid w:val="00C33BAC"/>
    <w:rsid w:val="00C33BD9"/>
    <w:rsid w:val="00C34006"/>
    <w:rsid w:val="00C34684"/>
    <w:rsid w:val="00C347E8"/>
    <w:rsid w:val="00C34EF0"/>
    <w:rsid w:val="00C35BB5"/>
    <w:rsid w:val="00C35CFD"/>
    <w:rsid w:val="00C35D48"/>
    <w:rsid w:val="00C35ED1"/>
    <w:rsid w:val="00C363ED"/>
    <w:rsid w:val="00C36B4C"/>
    <w:rsid w:val="00C36D6A"/>
    <w:rsid w:val="00C36D75"/>
    <w:rsid w:val="00C37453"/>
    <w:rsid w:val="00C40C1C"/>
    <w:rsid w:val="00C41345"/>
    <w:rsid w:val="00C426B1"/>
    <w:rsid w:val="00C42BAA"/>
    <w:rsid w:val="00C42E5C"/>
    <w:rsid w:val="00C4308B"/>
    <w:rsid w:val="00C4333C"/>
    <w:rsid w:val="00C44003"/>
    <w:rsid w:val="00C4403A"/>
    <w:rsid w:val="00C44F25"/>
    <w:rsid w:val="00C4535A"/>
    <w:rsid w:val="00C4596F"/>
    <w:rsid w:val="00C46329"/>
    <w:rsid w:val="00C47690"/>
    <w:rsid w:val="00C50A4D"/>
    <w:rsid w:val="00C51575"/>
    <w:rsid w:val="00C5225E"/>
    <w:rsid w:val="00C522BF"/>
    <w:rsid w:val="00C52319"/>
    <w:rsid w:val="00C52AC9"/>
    <w:rsid w:val="00C53839"/>
    <w:rsid w:val="00C545E1"/>
    <w:rsid w:val="00C54734"/>
    <w:rsid w:val="00C54889"/>
    <w:rsid w:val="00C54A7C"/>
    <w:rsid w:val="00C54FD1"/>
    <w:rsid w:val="00C55530"/>
    <w:rsid w:val="00C5591D"/>
    <w:rsid w:val="00C55F06"/>
    <w:rsid w:val="00C56035"/>
    <w:rsid w:val="00C561B1"/>
    <w:rsid w:val="00C5685E"/>
    <w:rsid w:val="00C56B4F"/>
    <w:rsid w:val="00C57CFA"/>
    <w:rsid w:val="00C57F42"/>
    <w:rsid w:val="00C60F7C"/>
    <w:rsid w:val="00C625B1"/>
    <w:rsid w:val="00C6361A"/>
    <w:rsid w:val="00C63A48"/>
    <w:rsid w:val="00C63E26"/>
    <w:rsid w:val="00C64822"/>
    <w:rsid w:val="00C66160"/>
    <w:rsid w:val="00C66FFC"/>
    <w:rsid w:val="00C67AC7"/>
    <w:rsid w:val="00C67DE6"/>
    <w:rsid w:val="00C701BC"/>
    <w:rsid w:val="00C717BB"/>
    <w:rsid w:val="00C721AC"/>
    <w:rsid w:val="00C72381"/>
    <w:rsid w:val="00C72540"/>
    <w:rsid w:val="00C72657"/>
    <w:rsid w:val="00C73D21"/>
    <w:rsid w:val="00C74786"/>
    <w:rsid w:val="00C7495D"/>
    <w:rsid w:val="00C754DF"/>
    <w:rsid w:val="00C76F1C"/>
    <w:rsid w:val="00C77123"/>
    <w:rsid w:val="00C77B05"/>
    <w:rsid w:val="00C8203B"/>
    <w:rsid w:val="00C831C4"/>
    <w:rsid w:val="00C83DB2"/>
    <w:rsid w:val="00C85B8F"/>
    <w:rsid w:val="00C85B96"/>
    <w:rsid w:val="00C8600F"/>
    <w:rsid w:val="00C8704A"/>
    <w:rsid w:val="00C904A6"/>
    <w:rsid w:val="00C90D6A"/>
    <w:rsid w:val="00C91500"/>
    <w:rsid w:val="00C92791"/>
    <w:rsid w:val="00C92A1E"/>
    <w:rsid w:val="00C94CA8"/>
    <w:rsid w:val="00C95484"/>
    <w:rsid w:val="00C97BD1"/>
    <w:rsid w:val="00CA19A0"/>
    <w:rsid w:val="00CA247E"/>
    <w:rsid w:val="00CA2D9A"/>
    <w:rsid w:val="00CA2FFB"/>
    <w:rsid w:val="00CA34A7"/>
    <w:rsid w:val="00CA473F"/>
    <w:rsid w:val="00CA4A5C"/>
    <w:rsid w:val="00CA596C"/>
    <w:rsid w:val="00CA6501"/>
    <w:rsid w:val="00CA6D21"/>
    <w:rsid w:val="00CB03C7"/>
    <w:rsid w:val="00CB12EC"/>
    <w:rsid w:val="00CB262C"/>
    <w:rsid w:val="00CB6DD6"/>
    <w:rsid w:val="00CB74C9"/>
    <w:rsid w:val="00CB774B"/>
    <w:rsid w:val="00CB7ECF"/>
    <w:rsid w:val="00CC2B7D"/>
    <w:rsid w:val="00CC334C"/>
    <w:rsid w:val="00CC3DD2"/>
    <w:rsid w:val="00CC43B0"/>
    <w:rsid w:val="00CC513B"/>
    <w:rsid w:val="00CC6827"/>
    <w:rsid w:val="00CC71AB"/>
    <w:rsid w:val="00CC72B6"/>
    <w:rsid w:val="00CC76B3"/>
    <w:rsid w:val="00CC79F1"/>
    <w:rsid w:val="00CC7F05"/>
    <w:rsid w:val="00CD02FB"/>
    <w:rsid w:val="00CD1FE7"/>
    <w:rsid w:val="00CD2097"/>
    <w:rsid w:val="00CD31B8"/>
    <w:rsid w:val="00CD3B89"/>
    <w:rsid w:val="00CD712D"/>
    <w:rsid w:val="00CD7404"/>
    <w:rsid w:val="00CE09AB"/>
    <w:rsid w:val="00CE1E08"/>
    <w:rsid w:val="00CE2401"/>
    <w:rsid w:val="00CE2CE3"/>
    <w:rsid w:val="00CE42BE"/>
    <w:rsid w:val="00CE5350"/>
    <w:rsid w:val="00CE5548"/>
    <w:rsid w:val="00CE5BF4"/>
    <w:rsid w:val="00CE5C67"/>
    <w:rsid w:val="00CE7BBD"/>
    <w:rsid w:val="00CE7EDF"/>
    <w:rsid w:val="00CF1818"/>
    <w:rsid w:val="00CF2ACE"/>
    <w:rsid w:val="00CF2D47"/>
    <w:rsid w:val="00CF348D"/>
    <w:rsid w:val="00CF416F"/>
    <w:rsid w:val="00CF4B2C"/>
    <w:rsid w:val="00CF52F5"/>
    <w:rsid w:val="00CF57D8"/>
    <w:rsid w:val="00CF6797"/>
    <w:rsid w:val="00CF6818"/>
    <w:rsid w:val="00CF6D9A"/>
    <w:rsid w:val="00CF769D"/>
    <w:rsid w:val="00D0009A"/>
    <w:rsid w:val="00D01350"/>
    <w:rsid w:val="00D0218D"/>
    <w:rsid w:val="00D02C98"/>
    <w:rsid w:val="00D041BA"/>
    <w:rsid w:val="00D046A2"/>
    <w:rsid w:val="00D05187"/>
    <w:rsid w:val="00D05F92"/>
    <w:rsid w:val="00D07489"/>
    <w:rsid w:val="00D10CC1"/>
    <w:rsid w:val="00D11120"/>
    <w:rsid w:val="00D1164C"/>
    <w:rsid w:val="00D12270"/>
    <w:rsid w:val="00D13BA3"/>
    <w:rsid w:val="00D14435"/>
    <w:rsid w:val="00D14DED"/>
    <w:rsid w:val="00D15286"/>
    <w:rsid w:val="00D157DA"/>
    <w:rsid w:val="00D16348"/>
    <w:rsid w:val="00D172DD"/>
    <w:rsid w:val="00D2018A"/>
    <w:rsid w:val="00D2066F"/>
    <w:rsid w:val="00D2180C"/>
    <w:rsid w:val="00D226D7"/>
    <w:rsid w:val="00D23ADB"/>
    <w:rsid w:val="00D23F5D"/>
    <w:rsid w:val="00D25E2F"/>
    <w:rsid w:val="00D25FB5"/>
    <w:rsid w:val="00D2776D"/>
    <w:rsid w:val="00D277AE"/>
    <w:rsid w:val="00D27B76"/>
    <w:rsid w:val="00D27FCB"/>
    <w:rsid w:val="00D306FD"/>
    <w:rsid w:val="00D3152B"/>
    <w:rsid w:val="00D31765"/>
    <w:rsid w:val="00D32005"/>
    <w:rsid w:val="00D335C0"/>
    <w:rsid w:val="00D33735"/>
    <w:rsid w:val="00D349D8"/>
    <w:rsid w:val="00D355CB"/>
    <w:rsid w:val="00D35D3A"/>
    <w:rsid w:val="00D3664A"/>
    <w:rsid w:val="00D368D6"/>
    <w:rsid w:val="00D379D8"/>
    <w:rsid w:val="00D4217A"/>
    <w:rsid w:val="00D421D3"/>
    <w:rsid w:val="00D42B5E"/>
    <w:rsid w:val="00D4420F"/>
    <w:rsid w:val="00D44223"/>
    <w:rsid w:val="00D46050"/>
    <w:rsid w:val="00D46C13"/>
    <w:rsid w:val="00D47C02"/>
    <w:rsid w:val="00D50C14"/>
    <w:rsid w:val="00D510A1"/>
    <w:rsid w:val="00D514FD"/>
    <w:rsid w:val="00D516DA"/>
    <w:rsid w:val="00D5197A"/>
    <w:rsid w:val="00D524E0"/>
    <w:rsid w:val="00D55CE3"/>
    <w:rsid w:val="00D55D73"/>
    <w:rsid w:val="00D55FCD"/>
    <w:rsid w:val="00D56A6C"/>
    <w:rsid w:val="00D5713B"/>
    <w:rsid w:val="00D60F9A"/>
    <w:rsid w:val="00D61D90"/>
    <w:rsid w:val="00D62AA0"/>
    <w:rsid w:val="00D6361C"/>
    <w:rsid w:val="00D6362C"/>
    <w:rsid w:val="00D637DC"/>
    <w:rsid w:val="00D64507"/>
    <w:rsid w:val="00D64EE6"/>
    <w:rsid w:val="00D650BA"/>
    <w:rsid w:val="00D66515"/>
    <w:rsid w:val="00D66A4C"/>
    <w:rsid w:val="00D67082"/>
    <w:rsid w:val="00D70641"/>
    <w:rsid w:val="00D70E19"/>
    <w:rsid w:val="00D70F39"/>
    <w:rsid w:val="00D7180B"/>
    <w:rsid w:val="00D71ED8"/>
    <w:rsid w:val="00D7203F"/>
    <w:rsid w:val="00D7383D"/>
    <w:rsid w:val="00D74C13"/>
    <w:rsid w:val="00D757C6"/>
    <w:rsid w:val="00D75843"/>
    <w:rsid w:val="00D777AB"/>
    <w:rsid w:val="00D80184"/>
    <w:rsid w:val="00D820F4"/>
    <w:rsid w:val="00D82F5A"/>
    <w:rsid w:val="00D83DE3"/>
    <w:rsid w:val="00D83F7A"/>
    <w:rsid w:val="00D86242"/>
    <w:rsid w:val="00D8639E"/>
    <w:rsid w:val="00D90CE1"/>
    <w:rsid w:val="00D9102C"/>
    <w:rsid w:val="00D91227"/>
    <w:rsid w:val="00D91F08"/>
    <w:rsid w:val="00D92306"/>
    <w:rsid w:val="00D92ADE"/>
    <w:rsid w:val="00D93CF5"/>
    <w:rsid w:val="00D95D12"/>
    <w:rsid w:val="00D97B01"/>
    <w:rsid w:val="00DA2255"/>
    <w:rsid w:val="00DA2354"/>
    <w:rsid w:val="00DA2529"/>
    <w:rsid w:val="00DA28A6"/>
    <w:rsid w:val="00DA3304"/>
    <w:rsid w:val="00DA3DF8"/>
    <w:rsid w:val="00DA4A83"/>
    <w:rsid w:val="00DA6AC1"/>
    <w:rsid w:val="00DB0604"/>
    <w:rsid w:val="00DB09F2"/>
    <w:rsid w:val="00DB130A"/>
    <w:rsid w:val="00DB2166"/>
    <w:rsid w:val="00DB2EBB"/>
    <w:rsid w:val="00DB48A4"/>
    <w:rsid w:val="00DB5F78"/>
    <w:rsid w:val="00DB6308"/>
    <w:rsid w:val="00DC05FE"/>
    <w:rsid w:val="00DC10A1"/>
    <w:rsid w:val="00DC23EC"/>
    <w:rsid w:val="00DC398B"/>
    <w:rsid w:val="00DC3C3C"/>
    <w:rsid w:val="00DC655F"/>
    <w:rsid w:val="00DD0800"/>
    <w:rsid w:val="00DD0B59"/>
    <w:rsid w:val="00DD1C8F"/>
    <w:rsid w:val="00DD1D6A"/>
    <w:rsid w:val="00DD1FC4"/>
    <w:rsid w:val="00DD24F4"/>
    <w:rsid w:val="00DD31BD"/>
    <w:rsid w:val="00DD36C1"/>
    <w:rsid w:val="00DD3827"/>
    <w:rsid w:val="00DD3DB2"/>
    <w:rsid w:val="00DD40C3"/>
    <w:rsid w:val="00DD45BA"/>
    <w:rsid w:val="00DD4D22"/>
    <w:rsid w:val="00DD50D6"/>
    <w:rsid w:val="00DD5C1A"/>
    <w:rsid w:val="00DD77C0"/>
    <w:rsid w:val="00DD7EBD"/>
    <w:rsid w:val="00DE05C9"/>
    <w:rsid w:val="00DE2E4F"/>
    <w:rsid w:val="00DE326E"/>
    <w:rsid w:val="00DE38B6"/>
    <w:rsid w:val="00DE3DE9"/>
    <w:rsid w:val="00DE4A81"/>
    <w:rsid w:val="00DE4DCE"/>
    <w:rsid w:val="00DE54FD"/>
    <w:rsid w:val="00DE59ED"/>
    <w:rsid w:val="00DE619B"/>
    <w:rsid w:val="00DE64D1"/>
    <w:rsid w:val="00DE75F6"/>
    <w:rsid w:val="00DE7843"/>
    <w:rsid w:val="00DE7A23"/>
    <w:rsid w:val="00DF108C"/>
    <w:rsid w:val="00DF19D1"/>
    <w:rsid w:val="00DF2C1E"/>
    <w:rsid w:val="00DF4A9B"/>
    <w:rsid w:val="00DF4FA7"/>
    <w:rsid w:val="00DF5109"/>
    <w:rsid w:val="00DF58E2"/>
    <w:rsid w:val="00DF62B6"/>
    <w:rsid w:val="00DF7B3E"/>
    <w:rsid w:val="00DF7D0C"/>
    <w:rsid w:val="00E0151F"/>
    <w:rsid w:val="00E01F20"/>
    <w:rsid w:val="00E04FA4"/>
    <w:rsid w:val="00E057DE"/>
    <w:rsid w:val="00E05942"/>
    <w:rsid w:val="00E05AD3"/>
    <w:rsid w:val="00E0601E"/>
    <w:rsid w:val="00E071B0"/>
    <w:rsid w:val="00E07225"/>
    <w:rsid w:val="00E075F8"/>
    <w:rsid w:val="00E10713"/>
    <w:rsid w:val="00E113EC"/>
    <w:rsid w:val="00E13481"/>
    <w:rsid w:val="00E136F1"/>
    <w:rsid w:val="00E1406B"/>
    <w:rsid w:val="00E15C2F"/>
    <w:rsid w:val="00E17667"/>
    <w:rsid w:val="00E20D02"/>
    <w:rsid w:val="00E216B3"/>
    <w:rsid w:val="00E23111"/>
    <w:rsid w:val="00E23947"/>
    <w:rsid w:val="00E239D1"/>
    <w:rsid w:val="00E23A7A"/>
    <w:rsid w:val="00E23C06"/>
    <w:rsid w:val="00E23DDC"/>
    <w:rsid w:val="00E23FF6"/>
    <w:rsid w:val="00E24565"/>
    <w:rsid w:val="00E25F1B"/>
    <w:rsid w:val="00E27204"/>
    <w:rsid w:val="00E2798A"/>
    <w:rsid w:val="00E30BCE"/>
    <w:rsid w:val="00E31E17"/>
    <w:rsid w:val="00E32107"/>
    <w:rsid w:val="00E3289A"/>
    <w:rsid w:val="00E331CA"/>
    <w:rsid w:val="00E33358"/>
    <w:rsid w:val="00E33FFB"/>
    <w:rsid w:val="00E35194"/>
    <w:rsid w:val="00E3587C"/>
    <w:rsid w:val="00E35BD9"/>
    <w:rsid w:val="00E35C68"/>
    <w:rsid w:val="00E371A5"/>
    <w:rsid w:val="00E3761A"/>
    <w:rsid w:val="00E37CEB"/>
    <w:rsid w:val="00E410B9"/>
    <w:rsid w:val="00E41257"/>
    <w:rsid w:val="00E41991"/>
    <w:rsid w:val="00E41A35"/>
    <w:rsid w:val="00E42311"/>
    <w:rsid w:val="00E42969"/>
    <w:rsid w:val="00E44D7A"/>
    <w:rsid w:val="00E45037"/>
    <w:rsid w:val="00E45332"/>
    <w:rsid w:val="00E45C89"/>
    <w:rsid w:val="00E466BA"/>
    <w:rsid w:val="00E46851"/>
    <w:rsid w:val="00E53C18"/>
    <w:rsid w:val="00E5409F"/>
    <w:rsid w:val="00E558B9"/>
    <w:rsid w:val="00E57D2A"/>
    <w:rsid w:val="00E61AF6"/>
    <w:rsid w:val="00E628D8"/>
    <w:rsid w:val="00E62D07"/>
    <w:rsid w:val="00E62DC4"/>
    <w:rsid w:val="00E63750"/>
    <w:rsid w:val="00E64EE1"/>
    <w:rsid w:val="00E65087"/>
    <w:rsid w:val="00E66345"/>
    <w:rsid w:val="00E66C13"/>
    <w:rsid w:val="00E67060"/>
    <w:rsid w:val="00E6758D"/>
    <w:rsid w:val="00E676E8"/>
    <w:rsid w:val="00E717C7"/>
    <w:rsid w:val="00E72DC1"/>
    <w:rsid w:val="00E76440"/>
    <w:rsid w:val="00E76D88"/>
    <w:rsid w:val="00E80148"/>
    <w:rsid w:val="00E8060B"/>
    <w:rsid w:val="00E8129D"/>
    <w:rsid w:val="00E814A4"/>
    <w:rsid w:val="00E816F2"/>
    <w:rsid w:val="00E8191C"/>
    <w:rsid w:val="00E81FCA"/>
    <w:rsid w:val="00E83B15"/>
    <w:rsid w:val="00E83CBC"/>
    <w:rsid w:val="00E84CCC"/>
    <w:rsid w:val="00E863C7"/>
    <w:rsid w:val="00E86778"/>
    <w:rsid w:val="00E93071"/>
    <w:rsid w:val="00E94F49"/>
    <w:rsid w:val="00E96212"/>
    <w:rsid w:val="00E964BA"/>
    <w:rsid w:val="00E97611"/>
    <w:rsid w:val="00E979F6"/>
    <w:rsid w:val="00E97EE2"/>
    <w:rsid w:val="00EA473A"/>
    <w:rsid w:val="00EA585A"/>
    <w:rsid w:val="00EA5A4E"/>
    <w:rsid w:val="00EA5AFE"/>
    <w:rsid w:val="00EA5F66"/>
    <w:rsid w:val="00EA6095"/>
    <w:rsid w:val="00EA731F"/>
    <w:rsid w:val="00EA7639"/>
    <w:rsid w:val="00EA7EC8"/>
    <w:rsid w:val="00EB1EAF"/>
    <w:rsid w:val="00EB249A"/>
    <w:rsid w:val="00EB2E9C"/>
    <w:rsid w:val="00EB3F85"/>
    <w:rsid w:val="00EB7AF9"/>
    <w:rsid w:val="00EC04CC"/>
    <w:rsid w:val="00EC0B68"/>
    <w:rsid w:val="00EC187E"/>
    <w:rsid w:val="00EC190A"/>
    <w:rsid w:val="00EC19FD"/>
    <w:rsid w:val="00EC1D92"/>
    <w:rsid w:val="00EC27C0"/>
    <w:rsid w:val="00EC2959"/>
    <w:rsid w:val="00EC2BCF"/>
    <w:rsid w:val="00EC3637"/>
    <w:rsid w:val="00EC36B7"/>
    <w:rsid w:val="00EC3886"/>
    <w:rsid w:val="00ED00B0"/>
    <w:rsid w:val="00ED1D3B"/>
    <w:rsid w:val="00ED310C"/>
    <w:rsid w:val="00ED3124"/>
    <w:rsid w:val="00ED3F85"/>
    <w:rsid w:val="00ED5318"/>
    <w:rsid w:val="00ED5685"/>
    <w:rsid w:val="00ED570A"/>
    <w:rsid w:val="00ED5BDD"/>
    <w:rsid w:val="00ED6542"/>
    <w:rsid w:val="00EE07BA"/>
    <w:rsid w:val="00EE2FBF"/>
    <w:rsid w:val="00EE3B5C"/>
    <w:rsid w:val="00EE43E7"/>
    <w:rsid w:val="00EE524D"/>
    <w:rsid w:val="00EE59C0"/>
    <w:rsid w:val="00EE5DBC"/>
    <w:rsid w:val="00EE5DCD"/>
    <w:rsid w:val="00EE6488"/>
    <w:rsid w:val="00EE6C87"/>
    <w:rsid w:val="00EE7341"/>
    <w:rsid w:val="00EF0DCD"/>
    <w:rsid w:val="00EF1D8A"/>
    <w:rsid w:val="00EF211B"/>
    <w:rsid w:val="00EF3F43"/>
    <w:rsid w:val="00EF649A"/>
    <w:rsid w:val="00EF78B7"/>
    <w:rsid w:val="00EF790A"/>
    <w:rsid w:val="00EF7C51"/>
    <w:rsid w:val="00F00C55"/>
    <w:rsid w:val="00F00F5D"/>
    <w:rsid w:val="00F00FAD"/>
    <w:rsid w:val="00F01F75"/>
    <w:rsid w:val="00F0203F"/>
    <w:rsid w:val="00F021FA"/>
    <w:rsid w:val="00F02741"/>
    <w:rsid w:val="00F03FBD"/>
    <w:rsid w:val="00F04DC1"/>
    <w:rsid w:val="00F0610A"/>
    <w:rsid w:val="00F06EB6"/>
    <w:rsid w:val="00F077E9"/>
    <w:rsid w:val="00F079DD"/>
    <w:rsid w:val="00F07D07"/>
    <w:rsid w:val="00F10908"/>
    <w:rsid w:val="00F10B30"/>
    <w:rsid w:val="00F1148F"/>
    <w:rsid w:val="00F120FD"/>
    <w:rsid w:val="00F15812"/>
    <w:rsid w:val="00F16071"/>
    <w:rsid w:val="00F1638B"/>
    <w:rsid w:val="00F1698F"/>
    <w:rsid w:val="00F173B4"/>
    <w:rsid w:val="00F17D87"/>
    <w:rsid w:val="00F200D1"/>
    <w:rsid w:val="00F2087C"/>
    <w:rsid w:val="00F20D38"/>
    <w:rsid w:val="00F23439"/>
    <w:rsid w:val="00F23BB8"/>
    <w:rsid w:val="00F24A1E"/>
    <w:rsid w:val="00F252C4"/>
    <w:rsid w:val="00F27339"/>
    <w:rsid w:val="00F27494"/>
    <w:rsid w:val="00F276FF"/>
    <w:rsid w:val="00F30C0C"/>
    <w:rsid w:val="00F32272"/>
    <w:rsid w:val="00F32B59"/>
    <w:rsid w:val="00F32D55"/>
    <w:rsid w:val="00F33904"/>
    <w:rsid w:val="00F33AB3"/>
    <w:rsid w:val="00F341B2"/>
    <w:rsid w:val="00F350FD"/>
    <w:rsid w:val="00F36BD3"/>
    <w:rsid w:val="00F40084"/>
    <w:rsid w:val="00F40225"/>
    <w:rsid w:val="00F4122A"/>
    <w:rsid w:val="00F41665"/>
    <w:rsid w:val="00F41849"/>
    <w:rsid w:val="00F4202C"/>
    <w:rsid w:val="00F42BFF"/>
    <w:rsid w:val="00F4314E"/>
    <w:rsid w:val="00F43A5B"/>
    <w:rsid w:val="00F43BF8"/>
    <w:rsid w:val="00F43F24"/>
    <w:rsid w:val="00F44137"/>
    <w:rsid w:val="00F450BA"/>
    <w:rsid w:val="00F4560F"/>
    <w:rsid w:val="00F45AE1"/>
    <w:rsid w:val="00F46B2E"/>
    <w:rsid w:val="00F55355"/>
    <w:rsid w:val="00F561F1"/>
    <w:rsid w:val="00F565F5"/>
    <w:rsid w:val="00F573B9"/>
    <w:rsid w:val="00F57AED"/>
    <w:rsid w:val="00F57F48"/>
    <w:rsid w:val="00F614FD"/>
    <w:rsid w:val="00F61605"/>
    <w:rsid w:val="00F619AB"/>
    <w:rsid w:val="00F62724"/>
    <w:rsid w:val="00F6272D"/>
    <w:rsid w:val="00F62E97"/>
    <w:rsid w:val="00F62EA2"/>
    <w:rsid w:val="00F64181"/>
    <w:rsid w:val="00F64209"/>
    <w:rsid w:val="00F645A8"/>
    <w:rsid w:val="00F64BD4"/>
    <w:rsid w:val="00F64E64"/>
    <w:rsid w:val="00F65724"/>
    <w:rsid w:val="00F65B86"/>
    <w:rsid w:val="00F663DD"/>
    <w:rsid w:val="00F66439"/>
    <w:rsid w:val="00F67655"/>
    <w:rsid w:val="00F67B54"/>
    <w:rsid w:val="00F70AF1"/>
    <w:rsid w:val="00F71000"/>
    <w:rsid w:val="00F7128F"/>
    <w:rsid w:val="00F726F9"/>
    <w:rsid w:val="00F72B08"/>
    <w:rsid w:val="00F72DAE"/>
    <w:rsid w:val="00F73E38"/>
    <w:rsid w:val="00F7412F"/>
    <w:rsid w:val="00F76175"/>
    <w:rsid w:val="00F811E8"/>
    <w:rsid w:val="00F81E76"/>
    <w:rsid w:val="00F82AFE"/>
    <w:rsid w:val="00F8328F"/>
    <w:rsid w:val="00F83438"/>
    <w:rsid w:val="00F84C2D"/>
    <w:rsid w:val="00F863AA"/>
    <w:rsid w:val="00F8761F"/>
    <w:rsid w:val="00F902A4"/>
    <w:rsid w:val="00F90CB6"/>
    <w:rsid w:val="00F91359"/>
    <w:rsid w:val="00F91A9C"/>
    <w:rsid w:val="00F91CCC"/>
    <w:rsid w:val="00F93BF5"/>
    <w:rsid w:val="00F94186"/>
    <w:rsid w:val="00F96157"/>
    <w:rsid w:val="00F97149"/>
    <w:rsid w:val="00FA0311"/>
    <w:rsid w:val="00FA2B5A"/>
    <w:rsid w:val="00FA35DC"/>
    <w:rsid w:val="00FA4E4A"/>
    <w:rsid w:val="00FA4FD1"/>
    <w:rsid w:val="00FA5449"/>
    <w:rsid w:val="00FA5CD0"/>
    <w:rsid w:val="00FA7C82"/>
    <w:rsid w:val="00FB2980"/>
    <w:rsid w:val="00FB2CE0"/>
    <w:rsid w:val="00FB3345"/>
    <w:rsid w:val="00FB5774"/>
    <w:rsid w:val="00FB655C"/>
    <w:rsid w:val="00FB7725"/>
    <w:rsid w:val="00FC044B"/>
    <w:rsid w:val="00FC2EBB"/>
    <w:rsid w:val="00FC31BA"/>
    <w:rsid w:val="00FC34D3"/>
    <w:rsid w:val="00FC4358"/>
    <w:rsid w:val="00FC56BE"/>
    <w:rsid w:val="00FC5C3A"/>
    <w:rsid w:val="00FC6C4F"/>
    <w:rsid w:val="00FC7BF2"/>
    <w:rsid w:val="00FC7F63"/>
    <w:rsid w:val="00FD002E"/>
    <w:rsid w:val="00FD135A"/>
    <w:rsid w:val="00FD1A7A"/>
    <w:rsid w:val="00FD1CAE"/>
    <w:rsid w:val="00FD22C8"/>
    <w:rsid w:val="00FD272F"/>
    <w:rsid w:val="00FD2BC8"/>
    <w:rsid w:val="00FD5133"/>
    <w:rsid w:val="00FD5EB8"/>
    <w:rsid w:val="00FD74E6"/>
    <w:rsid w:val="00FD7708"/>
    <w:rsid w:val="00FD7C0B"/>
    <w:rsid w:val="00FE14CF"/>
    <w:rsid w:val="00FE171D"/>
    <w:rsid w:val="00FE1C6C"/>
    <w:rsid w:val="00FE252C"/>
    <w:rsid w:val="00FE5E24"/>
    <w:rsid w:val="00FE61FD"/>
    <w:rsid w:val="00FE657A"/>
    <w:rsid w:val="00FE6688"/>
    <w:rsid w:val="00FE75D5"/>
    <w:rsid w:val="00FF0025"/>
    <w:rsid w:val="00FF1C00"/>
    <w:rsid w:val="00FF1E3B"/>
    <w:rsid w:val="00FF200D"/>
    <w:rsid w:val="00FF228E"/>
    <w:rsid w:val="00FF35AE"/>
    <w:rsid w:val="00FF3F73"/>
    <w:rsid w:val="00FF4A51"/>
    <w:rsid w:val="00FF7097"/>
    <w:rsid w:val="00FF728F"/>
    <w:rsid w:val="00FF75D4"/>
    <w:rsid w:val="00FF7FFE"/>
    <w:rsid w:val="56AF541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79B6859"/>
  <w15:docId w15:val="{2AF3DA7A-2BC1-4DCE-894B-DAF29D2B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176"/>
    <w:pPr>
      <w:widowControl w:val="0"/>
    </w:pPr>
    <w:rPr>
      <w:snapToGrid w:val="0"/>
      <w:kern w:val="28"/>
      <w:sz w:val="22"/>
    </w:rPr>
  </w:style>
  <w:style w:type="paragraph" w:styleId="Heading1">
    <w:name w:val="heading 1"/>
    <w:basedOn w:val="Normal"/>
    <w:next w:val="ParaNum"/>
    <w:link w:val="Heading1Char"/>
    <w:qFormat/>
    <w:rsid w:val="006211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1176"/>
    <w:pPr>
      <w:keepNext/>
      <w:numPr>
        <w:ilvl w:val="1"/>
        <w:numId w:val="3"/>
      </w:numPr>
      <w:spacing w:after="120"/>
      <w:outlineLvl w:val="1"/>
    </w:pPr>
    <w:rPr>
      <w:b/>
    </w:rPr>
  </w:style>
  <w:style w:type="paragraph" w:styleId="Heading3">
    <w:name w:val="heading 3"/>
    <w:basedOn w:val="Normal"/>
    <w:next w:val="ParaNum"/>
    <w:qFormat/>
    <w:rsid w:val="00621176"/>
    <w:pPr>
      <w:keepNext/>
      <w:numPr>
        <w:ilvl w:val="2"/>
        <w:numId w:val="3"/>
      </w:numPr>
      <w:tabs>
        <w:tab w:val="left" w:pos="2160"/>
      </w:tabs>
      <w:spacing w:after="120"/>
      <w:outlineLvl w:val="2"/>
    </w:pPr>
    <w:rPr>
      <w:b/>
    </w:rPr>
  </w:style>
  <w:style w:type="paragraph" w:styleId="Heading4">
    <w:name w:val="heading 4"/>
    <w:basedOn w:val="Normal"/>
    <w:next w:val="ParaNum"/>
    <w:qFormat/>
    <w:rsid w:val="00621176"/>
    <w:pPr>
      <w:keepNext/>
      <w:numPr>
        <w:ilvl w:val="3"/>
        <w:numId w:val="3"/>
      </w:numPr>
      <w:tabs>
        <w:tab w:val="left" w:pos="2880"/>
      </w:tabs>
      <w:spacing w:after="120"/>
      <w:outlineLvl w:val="3"/>
    </w:pPr>
    <w:rPr>
      <w:b/>
    </w:rPr>
  </w:style>
  <w:style w:type="paragraph" w:styleId="Heading5">
    <w:name w:val="heading 5"/>
    <w:basedOn w:val="Normal"/>
    <w:next w:val="ParaNum"/>
    <w:qFormat/>
    <w:rsid w:val="006211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1176"/>
    <w:pPr>
      <w:numPr>
        <w:ilvl w:val="5"/>
        <w:numId w:val="3"/>
      </w:numPr>
      <w:tabs>
        <w:tab w:val="left" w:pos="4320"/>
      </w:tabs>
      <w:spacing w:after="120"/>
      <w:outlineLvl w:val="5"/>
    </w:pPr>
    <w:rPr>
      <w:b/>
    </w:rPr>
  </w:style>
  <w:style w:type="paragraph" w:styleId="Heading7">
    <w:name w:val="heading 7"/>
    <w:basedOn w:val="Normal"/>
    <w:next w:val="ParaNum"/>
    <w:qFormat/>
    <w:rsid w:val="006211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11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11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1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1176"/>
  </w:style>
  <w:style w:type="paragraph" w:customStyle="1" w:styleId="ParaNum">
    <w:name w:val="ParaNum"/>
    <w:basedOn w:val="Normal"/>
    <w:rsid w:val="00621176"/>
    <w:pPr>
      <w:numPr>
        <w:numId w:val="2"/>
      </w:numPr>
      <w:tabs>
        <w:tab w:val="clear" w:pos="1080"/>
        <w:tab w:val="num" w:pos="1440"/>
      </w:tabs>
      <w:spacing w:after="120"/>
    </w:pPr>
  </w:style>
  <w:style w:type="paragraph" w:styleId="EndnoteText">
    <w:name w:val="endnote text"/>
    <w:basedOn w:val="Normal"/>
    <w:semiHidden/>
    <w:rsid w:val="00621176"/>
    <w:rPr>
      <w:sz w:val="20"/>
    </w:rPr>
  </w:style>
  <w:style w:type="character" w:styleId="EndnoteReference">
    <w:name w:val="endnote reference"/>
    <w:semiHidden/>
    <w:rsid w:val="00621176"/>
    <w:rPr>
      <w:vertAlign w:val="superscript"/>
    </w:rPr>
  </w:style>
  <w:style w:type="paragraph" w:styleId="FootnoteText">
    <w:name w:val="footnote text"/>
    <w:aliases w:val="ALTS FOOTNOTE,Footnote Text Char2,Footnote Text Char2 Char1 Char1,Footnote Text Char2 Char1 Char1 Char Char,Footnote Text Char3,Footnote Text Char3 Char1,Footnote Text Char3 Char1 Char Char,Footnote Text Char3 Char1 Char Char Char Char,fn"/>
    <w:link w:val="FootnoteTextChar"/>
    <w:rsid w:val="00621176"/>
    <w:pPr>
      <w:spacing w:after="120"/>
    </w:pPr>
  </w:style>
  <w:style w:type="character" w:styleId="FootnoteReference">
    <w:name w:val="footnote reference"/>
    <w:aliases w:val="(NECG) Footnote Reference,Appel note de bas de p,FR,Footnote Reference/,Style 12,Style 124,Style 13,Style 17,Style 3,Style 4,Style 6,fr,o"/>
    <w:rsid w:val="00621176"/>
    <w:rPr>
      <w:rFonts w:ascii="Times New Roman" w:hAnsi="Times New Roman"/>
      <w:dstrike w:val="0"/>
      <w:color w:val="auto"/>
      <w:sz w:val="20"/>
      <w:vertAlign w:val="superscript"/>
    </w:rPr>
  </w:style>
  <w:style w:type="paragraph" w:styleId="TOC1">
    <w:name w:val="toc 1"/>
    <w:basedOn w:val="Normal"/>
    <w:next w:val="Normal"/>
    <w:rsid w:val="00621176"/>
    <w:pPr>
      <w:tabs>
        <w:tab w:val="left" w:pos="360"/>
        <w:tab w:val="right" w:leader="dot" w:pos="9360"/>
      </w:tabs>
      <w:suppressAutoHyphens/>
      <w:ind w:left="360" w:right="720" w:hanging="360"/>
    </w:pPr>
    <w:rPr>
      <w:caps/>
      <w:noProof/>
    </w:rPr>
  </w:style>
  <w:style w:type="paragraph" w:styleId="TOC2">
    <w:name w:val="toc 2"/>
    <w:basedOn w:val="Normal"/>
    <w:next w:val="Normal"/>
    <w:rsid w:val="00621176"/>
    <w:pPr>
      <w:tabs>
        <w:tab w:val="left" w:pos="720"/>
        <w:tab w:val="right" w:leader="dot" w:pos="9360"/>
      </w:tabs>
      <w:suppressAutoHyphens/>
      <w:ind w:left="720" w:right="720" w:hanging="360"/>
    </w:pPr>
    <w:rPr>
      <w:noProof/>
    </w:rPr>
  </w:style>
  <w:style w:type="paragraph" w:styleId="TOC3">
    <w:name w:val="toc 3"/>
    <w:basedOn w:val="Normal"/>
    <w:next w:val="Normal"/>
    <w:rsid w:val="0062117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2117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211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11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11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11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11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1176"/>
    <w:pPr>
      <w:tabs>
        <w:tab w:val="right" w:pos="9360"/>
      </w:tabs>
      <w:suppressAutoHyphens/>
    </w:pPr>
  </w:style>
  <w:style w:type="character" w:customStyle="1" w:styleId="EquationCaption">
    <w:name w:val="_Equation Caption"/>
    <w:rsid w:val="00621176"/>
  </w:style>
  <w:style w:type="paragraph" w:styleId="Header">
    <w:name w:val="header"/>
    <w:basedOn w:val="Normal"/>
    <w:autoRedefine/>
    <w:rsid w:val="00621176"/>
    <w:pPr>
      <w:tabs>
        <w:tab w:val="center" w:pos="4680"/>
        <w:tab w:val="right" w:pos="9360"/>
      </w:tabs>
    </w:pPr>
    <w:rPr>
      <w:b/>
    </w:rPr>
  </w:style>
  <w:style w:type="paragraph" w:styleId="Footer">
    <w:name w:val="footer"/>
    <w:basedOn w:val="Normal"/>
    <w:link w:val="FooterChar"/>
    <w:uiPriority w:val="99"/>
    <w:rsid w:val="00621176"/>
    <w:pPr>
      <w:tabs>
        <w:tab w:val="center" w:pos="4320"/>
        <w:tab w:val="right" w:pos="8640"/>
      </w:tabs>
    </w:pPr>
  </w:style>
  <w:style w:type="character" w:styleId="PageNumber">
    <w:name w:val="page number"/>
    <w:basedOn w:val="DefaultParagraphFont"/>
    <w:rsid w:val="00621176"/>
  </w:style>
  <w:style w:type="paragraph" w:styleId="BlockText">
    <w:name w:val="Block Text"/>
    <w:basedOn w:val="Normal"/>
    <w:rsid w:val="00621176"/>
    <w:pPr>
      <w:spacing w:after="240"/>
      <w:ind w:left="1440" w:right="1440"/>
    </w:pPr>
  </w:style>
  <w:style w:type="paragraph" w:customStyle="1" w:styleId="Paratitle">
    <w:name w:val="Para title"/>
    <w:basedOn w:val="Normal"/>
    <w:rsid w:val="00621176"/>
    <w:pPr>
      <w:tabs>
        <w:tab w:val="center" w:pos="9270"/>
      </w:tabs>
      <w:spacing w:after="240"/>
    </w:pPr>
    <w:rPr>
      <w:spacing w:val="-2"/>
    </w:rPr>
  </w:style>
  <w:style w:type="paragraph" w:customStyle="1" w:styleId="Bullet">
    <w:name w:val="Bullet"/>
    <w:basedOn w:val="Normal"/>
    <w:rsid w:val="00621176"/>
    <w:pPr>
      <w:tabs>
        <w:tab w:val="left" w:pos="2160"/>
      </w:tabs>
      <w:spacing w:after="220"/>
      <w:ind w:left="2160" w:hanging="720"/>
    </w:pPr>
  </w:style>
  <w:style w:type="paragraph" w:customStyle="1" w:styleId="TableFormat">
    <w:name w:val="TableFormat"/>
    <w:basedOn w:val="Bullet"/>
    <w:rsid w:val="00621176"/>
    <w:pPr>
      <w:tabs>
        <w:tab w:val="clear" w:pos="2160"/>
        <w:tab w:val="left" w:pos="5040"/>
      </w:tabs>
      <w:ind w:left="5040" w:hanging="3600"/>
    </w:pPr>
  </w:style>
  <w:style w:type="paragraph" w:customStyle="1" w:styleId="TOCTitle">
    <w:name w:val="TOC Title"/>
    <w:basedOn w:val="Normal"/>
    <w:rsid w:val="006211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1176"/>
    <w:pPr>
      <w:jc w:val="center"/>
    </w:pPr>
    <w:rPr>
      <w:rFonts w:ascii="Times New Roman Bold" w:hAnsi="Times New Roman Bold"/>
      <w:b/>
      <w:bCs/>
      <w:caps/>
      <w:szCs w:val="22"/>
    </w:rPr>
  </w:style>
  <w:style w:type="character" w:styleId="Hyperlink">
    <w:name w:val="Hyperlink"/>
    <w:rsid w:val="00621176"/>
    <w:rPr>
      <w:color w:val="0000FF"/>
      <w:u w:val="single"/>
    </w:rPr>
  </w:style>
  <w:style w:type="character" w:customStyle="1" w:styleId="FooterChar">
    <w:name w:val="Footer Char"/>
    <w:link w:val="Footer"/>
    <w:uiPriority w:val="99"/>
    <w:rsid w:val="00621176"/>
    <w:rPr>
      <w:snapToGrid w:val="0"/>
      <w:kern w:val="28"/>
      <w:sz w:val="22"/>
    </w:rPr>
  </w:style>
  <w:style w:type="paragraph" w:styleId="BodyText">
    <w:name w:val="Body Text"/>
    <w:basedOn w:val="Normal"/>
    <w:link w:val="BodyTextChar"/>
    <w:rsid w:val="0061477C"/>
    <w:pPr>
      <w:spacing w:after="120"/>
    </w:pPr>
  </w:style>
  <w:style w:type="character" w:customStyle="1" w:styleId="BodyTextChar">
    <w:name w:val="Body Text Char"/>
    <w:basedOn w:val="DefaultParagraphFont"/>
    <w:link w:val="BodyText"/>
    <w:rsid w:val="0061477C"/>
    <w:rPr>
      <w:snapToGrid w:val="0"/>
      <w:kern w:val="28"/>
      <w:sz w:val="22"/>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basedOn w:val="DefaultParagraphFont"/>
    <w:link w:val="FootnoteText"/>
    <w:rsid w:val="003F1919"/>
  </w:style>
  <w:style w:type="paragraph" w:styleId="ListParagraph">
    <w:name w:val="List Paragraph"/>
    <w:basedOn w:val="Normal"/>
    <w:uiPriority w:val="34"/>
    <w:qFormat/>
    <w:rsid w:val="00751C51"/>
    <w:pPr>
      <w:ind w:left="720"/>
      <w:contextualSpacing/>
    </w:pPr>
  </w:style>
  <w:style w:type="character" w:styleId="UnresolvedMention">
    <w:name w:val="Unresolved Mention"/>
    <w:basedOn w:val="DefaultParagraphFont"/>
    <w:uiPriority w:val="99"/>
    <w:semiHidden/>
    <w:unhideWhenUsed/>
    <w:rsid w:val="00C071C4"/>
    <w:rPr>
      <w:color w:val="605E5C"/>
      <w:shd w:val="clear" w:color="auto" w:fill="E1DFDD"/>
    </w:rPr>
  </w:style>
  <w:style w:type="character" w:styleId="FollowedHyperlink">
    <w:name w:val="FollowedHyperlink"/>
    <w:basedOn w:val="DefaultParagraphFont"/>
    <w:rsid w:val="00FC7BF2"/>
    <w:rPr>
      <w:color w:val="954F72" w:themeColor="followedHyperlink"/>
      <w:u w:val="single"/>
    </w:rPr>
  </w:style>
  <w:style w:type="character" w:customStyle="1" w:styleId="Heading1Char">
    <w:name w:val="Heading 1 Char"/>
    <w:basedOn w:val="DefaultParagraphFont"/>
    <w:link w:val="Heading1"/>
    <w:rsid w:val="004E74F7"/>
    <w:rPr>
      <w:rFonts w:ascii="Times New Roman Bold" w:hAnsi="Times New Roman Bold"/>
      <w:b/>
      <w:caps/>
      <w:snapToGrid w:val="0"/>
      <w:kern w:val="28"/>
      <w:sz w:val="22"/>
    </w:rPr>
  </w:style>
  <w:style w:type="paragraph" w:styleId="TOCHeading">
    <w:name w:val="TOC Heading"/>
    <w:basedOn w:val="Heading1"/>
    <w:next w:val="Normal"/>
    <w:uiPriority w:val="39"/>
    <w:unhideWhenUsed/>
    <w:qFormat/>
    <w:rsid w:val="00517299"/>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F5496" w:themeColor="accent1" w:themeShade="BF"/>
      <w:kern w:val="0"/>
      <w:sz w:val="32"/>
      <w:szCs w:val="32"/>
    </w:rPr>
  </w:style>
  <w:style w:type="paragraph" w:customStyle="1" w:styleId="Default">
    <w:name w:val="Default"/>
    <w:rsid w:val="00C36D75"/>
    <w:pPr>
      <w:autoSpaceDE w:val="0"/>
      <w:autoSpaceDN w:val="0"/>
      <w:adjustRightInd w:val="0"/>
    </w:pPr>
    <w:rPr>
      <w:color w:val="000000"/>
      <w:sz w:val="24"/>
      <w:szCs w:val="24"/>
    </w:rPr>
  </w:style>
  <w:style w:type="paragraph" w:styleId="Revision">
    <w:name w:val="Revision"/>
    <w:hidden/>
    <w:uiPriority w:val="99"/>
    <w:semiHidden/>
    <w:rsid w:val="00E76D88"/>
    <w:rPr>
      <w:snapToGrid w:val="0"/>
      <w:kern w:val="28"/>
      <w:sz w:val="22"/>
    </w:rPr>
  </w:style>
  <w:style w:type="character" w:styleId="CommentReference">
    <w:name w:val="annotation reference"/>
    <w:basedOn w:val="DefaultParagraphFont"/>
    <w:rsid w:val="00AF45F5"/>
    <w:rPr>
      <w:sz w:val="16"/>
      <w:szCs w:val="16"/>
    </w:rPr>
  </w:style>
  <w:style w:type="paragraph" w:styleId="CommentText">
    <w:name w:val="annotation text"/>
    <w:basedOn w:val="Normal"/>
    <w:link w:val="CommentTextChar"/>
    <w:rsid w:val="00AF45F5"/>
    <w:rPr>
      <w:sz w:val="20"/>
    </w:rPr>
  </w:style>
  <w:style w:type="character" w:customStyle="1" w:styleId="CommentTextChar">
    <w:name w:val="Comment Text Char"/>
    <w:basedOn w:val="DefaultParagraphFont"/>
    <w:link w:val="CommentText"/>
    <w:rsid w:val="00AF45F5"/>
    <w:rPr>
      <w:snapToGrid w:val="0"/>
      <w:kern w:val="28"/>
    </w:rPr>
  </w:style>
  <w:style w:type="paragraph" w:styleId="CommentSubject">
    <w:name w:val="annotation subject"/>
    <w:basedOn w:val="CommentText"/>
    <w:next w:val="CommentText"/>
    <w:link w:val="CommentSubjectChar"/>
    <w:rsid w:val="00AF45F5"/>
    <w:rPr>
      <w:b/>
      <w:bCs/>
    </w:rPr>
  </w:style>
  <w:style w:type="character" w:customStyle="1" w:styleId="CommentSubjectChar">
    <w:name w:val="Comment Subject Char"/>
    <w:basedOn w:val="CommentTextChar"/>
    <w:link w:val="CommentSubject"/>
    <w:rsid w:val="00AF45F5"/>
    <w:rPr>
      <w:b/>
      <w:bCs/>
      <w:snapToGrid w:val="0"/>
      <w:kern w:val="28"/>
    </w:rPr>
  </w:style>
  <w:style w:type="character" w:styleId="PlaceholderText">
    <w:name w:val="Placeholder Text"/>
    <w:basedOn w:val="DefaultParagraphFont"/>
    <w:uiPriority w:val="99"/>
    <w:semiHidden/>
    <w:rsid w:val="00C56B4F"/>
    <w:rPr>
      <w:color w:val="808080"/>
    </w:rPr>
  </w:style>
  <w:style w:type="character" w:styleId="Mention">
    <w:name w:val="Mention"/>
    <w:basedOn w:val="DefaultParagraphFont"/>
    <w:uiPriority w:val="99"/>
    <w:unhideWhenUsed/>
    <w:rsid w:val="000951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railroads.dot.gov/train-control/ptc/positive-train-control-ptc" TargetMode="External" /><Relationship Id="rId10" Type="http://schemas.openxmlformats.org/officeDocument/2006/relationships/hyperlink" Target="https://oli.org/track-statistics/collisions-casualties-year" TargetMode="External" /><Relationship Id="rId11" Type="http://schemas.openxmlformats.org/officeDocument/2006/relationships/hyperlink" Target="https://railroads.dot.gov/elibrary/automated-video-inspection-system-grade-crossing-safety" TargetMode="External" /><Relationship Id="rId12" Type="http://schemas.openxmlformats.org/officeDocument/2006/relationships/hyperlink" Target="https://bit.ly/3L4DVvg" TargetMode="External" /><Relationship Id="rId13" Type="http://schemas.openxmlformats.org/officeDocument/2006/relationships/hyperlink" Target="https://www.achp.gov/about"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www.fra.dot.gov/Page/P0152" TargetMode="External" /><Relationship Id="rId4" Type="http://schemas.openxmlformats.org/officeDocument/2006/relationships/hyperlink" Target="https://www.aar.org/about-us/aar-members/" TargetMode="External" /><Relationship Id="rId5" Type="http://schemas.openxmlformats.org/officeDocument/2006/relationships/hyperlink" Target="https://bit.ly/3tu9tVo" TargetMode="External" /><Relationship Id="rId6" Type="http://schemas.openxmlformats.org/officeDocument/2006/relationships/hyperlink" Target="https://www.aar.org/integrated-rail-network" TargetMode="External" /><Relationship Id="rId7" Type="http://schemas.openxmlformats.org/officeDocument/2006/relationships/hyperlink" Target="https://railroads.dot.gov/sites/fra.dot.gov/files/2020-3/Railroad%20Wireless%20Communications%20Roadmap.pdf" TargetMode="External" /><Relationship Id="rId8" Type="http://schemas.openxmlformats.org/officeDocument/2006/relationships/hyperlink" Target="https://www.gao.gov/products/gao-19-443" TargetMode="External" /><Relationship Id="rId9" Type="http://schemas.openxmlformats.org/officeDocument/2006/relationships/hyperlink" Target="https://www.ntsb.gov/investigations/Documents/RRD23MR005%20East%20Palestine%20OH%20Prelim.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