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5836B9" w:rsidP="00A201F8" w14:paraId="02DC1583" w14:textId="5CE009CD">
      <w:pPr>
        <w:jc w:val="right"/>
        <w:rPr>
          <w:b/>
          <w:szCs w:val="22"/>
        </w:rPr>
      </w:pPr>
      <w:r w:rsidRPr="005836B9">
        <w:rPr>
          <w:b/>
          <w:szCs w:val="22"/>
        </w:rPr>
        <w:t xml:space="preserve">DA </w:t>
      </w:r>
      <w:r w:rsidRPr="005836B9" w:rsidR="007B573A">
        <w:rPr>
          <w:b/>
          <w:szCs w:val="22"/>
        </w:rPr>
        <w:t>2</w:t>
      </w:r>
      <w:r w:rsidRPr="005836B9" w:rsidR="00C9137B">
        <w:rPr>
          <w:b/>
          <w:szCs w:val="22"/>
        </w:rPr>
        <w:t>3</w:t>
      </w:r>
      <w:r w:rsidRPr="005836B9" w:rsidR="007B573A">
        <w:rPr>
          <w:b/>
          <w:szCs w:val="22"/>
        </w:rPr>
        <w:t>-</w:t>
      </w:r>
      <w:r w:rsidR="00512F3B">
        <w:rPr>
          <w:b/>
          <w:szCs w:val="22"/>
        </w:rPr>
        <w:t>56</w:t>
      </w:r>
    </w:p>
    <w:p w:rsidR="00013A8B" w:rsidRPr="005836B9" w:rsidP="00013A8B" w14:paraId="5031F564" w14:textId="75CC55FD">
      <w:pPr>
        <w:spacing w:before="60"/>
        <w:jc w:val="right"/>
        <w:rPr>
          <w:b/>
          <w:szCs w:val="22"/>
        </w:rPr>
      </w:pPr>
      <w:r w:rsidRPr="005836B9">
        <w:rPr>
          <w:b/>
          <w:szCs w:val="22"/>
        </w:rPr>
        <w:t xml:space="preserve">Released:  </w:t>
      </w:r>
      <w:r w:rsidR="0030106D">
        <w:rPr>
          <w:b/>
          <w:szCs w:val="22"/>
        </w:rPr>
        <w:t>January 23</w:t>
      </w:r>
      <w:r w:rsidRPr="005836B9" w:rsidR="00C40450">
        <w:rPr>
          <w:b/>
          <w:szCs w:val="22"/>
        </w:rPr>
        <w:t>, 202</w:t>
      </w:r>
      <w:r w:rsidRPr="005836B9" w:rsidR="00C9137B">
        <w:rPr>
          <w:b/>
          <w:szCs w:val="22"/>
        </w:rPr>
        <w:t>3</w:t>
      </w:r>
    </w:p>
    <w:p w:rsidR="00013A8B" w:rsidRPr="005836B9" w:rsidP="00013A8B" w14:paraId="279FDD04" w14:textId="77777777">
      <w:pPr>
        <w:jc w:val="right"/>
        <w:rPr>
          <w:szCs w:val="22"/>
        </w:rPr>
      </w:pPr>
    </w:p>
    <w:p w:rsidR="00013A8B" w:rsidRPr="005836B9" w:rsidP="0058043B" w14:paraId="3AEEAB36" w14:textId="456D6CA6">
      <w:pPr>
        <w:spacing w:after="240"/>
        <w:jc w:val="center"/>
        <w:rPr>
          <w:rFonts w:ascii="Times New Roman Bold" w:hAnsi="Times New Roman Bold"/>
          <w:b/>
          <w:caps/>
          <w:szCs w:val="22"/>
        </w:rPr>
      </w:pPr>
      <w:r w:rsidRPr="005836B9">
        <w:rPr>
          <w:rFonts w:ascii="Times New Roman Bold" w:hAnsi="Times New Roman Bold"/>
          <w:b/>
          <w:caps/>
          <w:szCs w:val="22"/>
        </w:rPr>
        <w:t xml:space="preserve">CONSUMER AND GOVERNMENTAL AFFAIRS BUREAU ANNOUNCES COMPLIANCE DATE FOR </w:t>
      </w:r>
      <w:r w:rsidRPr="005836B9" w:rsidR="0058043B">
        <w:rPr>
          <w:rFonts w:ascii="Times New Roman Bold" w:hAnsi="Times New Roman Bold"/>
          <w:b/>
          <w:caps/>
          <w:szCs w:val="22"/>
        </w:rPr>
        <w:t>AMENDED TELEPHONE ConSUMER PROTECTION ACT RULES</w:t>
      </w:r>
      <w:r w:rsidRPr="005836B9" w:rsidR="001C61A1">
        <w:rPr>
          <w:rFonts w:ascii="Times New Roman Bold" w:hAnsi="Times New Roman Bold"/>
          <w:b/>
          <w:caps/>
          <w:szCs w:val="22"/>
        </w:rPr>
        <w:t xml:space="preserve"> ON PRERECORDED CALLS</w:t>
      </w:r>
    </w:p>
    <w:p w:rsidR="00013A8B" w:rsidRPr="005836B9" w:rsidP="0058043B" w14:paraId="712AF867" w14:textId="6A6E4863">
      <w:pPr>
        <w:spacing w:after="120"/>
        <w:jc w:val="center"/>
        <w:rPr>
          <w:b/>
          <w:szCs w:val="22"/>
        </w:rPr>
      </w:pPr>
      <w:r w:rsidRPr="005836B9">
        <w:rPr>
          <w:b/>
          <w:szCs w:val="22"/>
        </w:rPr>
        <w:t xml:space="preserve">CG Docket No. </w:t>
      </w:r>
      <w:r w:rsidRPr="005836B9" w:rsidR="0058043B">
        <w:rPr>
          <w:b/>
          <w:szCs w:val="22"/>
        </w:rPr>
        <w:t>02-278</w:t>
      </w:r>
    </w:p>
    <w:p w:rsidR="00EE7775" w:rsidP="00EE7775" w14:paraId="2628B3A2" w14:textId="513C994E">
      <w:pPr>
        <w:spacing w:after="120"/>
        <w:ind w:firstLine="720"/>
      </w:pPr>
      <w:bookmarkStart w:id="0" w:name="TOChere"/>
      <w:r>
        <w:rPr>
          <w:szCs w:val="22"/>
        </w:rPr>
        <w:t>On December 30, 2020, the Commission released the</w:t>
      </w:r>
      <w:r w:rsidRPr="00CA02A6">
        <w:rPr>
          <w:szCs w:val="22"/>
        </w:rPr>
        <w:t xml:space="preserve"> </w:t>
      </w:r>
      <w:r>
        <w:rPr>
          <w:i/>
          <w:szCs w:val="22"/>
        </w:rPr>
        <w:t>TCPA Exemptions Order</w:t>
      </w:r>
      <w:r>
        <w:rPr>
          <w:szCs w:val="22"/>
        </w:rPr>
        <w:t xml:space="preserve"> to implement section 8 of </w:t>
      </w:r>
      <w:r>
        <w:t>the Pallone-Thune Telephone Robocall Abuse Criminal Enforcement and Deterrence Act (TRACED Act)</w:t>
      </w:r>
      <w:r>
        <w:rPr>
          <w:szCs w:val="22"/>
        </w:rPr>
        <w:t>.</w:t>
      </w:r>
      <w:r>
        <w:rPr>
          <w:rStyle w:val="FootnoteReference"/>
          <w:szCs w:val="22"/>
        </w:rPr>
        <w:footnoteReference w:id="3"/>
      </w:r>
      <w:r>
        <w:rPr>
          <w:szCs w:val="22"/>
        </w:rPr>
        <w:t xml:space="preserve">  In that rulemaking, the Commission amended the Telephone Consumer Protection Act (TCPA)</w:t>
      </w:r>
      <w:r>
        <w:rPr>
          <w:rStyle w:val="FootnoteReference"/>
          <w:szCs w:val="22"/>
        </w:rPr>
        <w:footnoteReference w:id="4"/>
      </w:r>
      <w:r>
        <w:rPr>
          <w:szCs w:val="22"/>
        </w:rPr>
        <w:t xml:space="preserve"> rules related to exemptions </w:t>
      </w:r>
      <w:r w:rsidRPr="0033703B">
        <w:rPr>
          <w:szCs w:val="22"/>
        </w:rPr>
        <w:t>for non-commercial calls to</w:t>
      </w:r>
      <w:r>
        <w:rPr>
          <w:szCs w:val="22"/>
        </w:rPr>
        <w:t xml:space="preserve"> </w:t>
      </w:r>
      <w:r w:rsidRPr="0033703B">
        <w:rPr>
          <w:szCs w:val="22"/>
        </w:rPr>
        <w:t>residen</w:t>
      </w:r>
      <w:r>
        <w:rPr>
          <w:szCs w:val="22"/>
        </w:rPr>
        <w:t>tial numbers</w:t>
      </w:r>
      <w:r w:rsidRPr="0033703B">
        <w:rPr>
          <w:szCs w:val="22"/>
        </w:rPr>
        <w:t>; commercial calls to residen</w:t>
      </w:r>
      <w:r>
        <w:rPr>
          <w:szCs w:val="22"/>
        </w:rPr>
        <w:t>tial numbers</w:t>
      </w:r>
      <w:r w:rsidRPr="0033703B">
        <w:rPr>
          <w:szCs w:val="22"/>
        </w:rPr>
        <w:t xml:space="preserve"> that do not include an advertisement or constitute telemarketing; tax-exempt nonprofit organization calls </w:t>
      </w:r>
      <w:r>
        <w:rPr>
          <w:szCs w:val="22"/>
        </w:rPr>
        <w:t xml:space="preserve">to </w:t>
      </w:r>
      <w:r w:rsidRPr="0033703B">
        <w:rPr>
          <w:szCs w:val="22"/>
        </w:rPr>
        <w:t>residen</w:t>
      </w:r>
      <w:r>
        <w:rPr>
          <w:szCs w:val="22"/>
        </w:rPr>
        <w:t>tial numbers</w:t>
      </w:r>
      <w:r w:rsidRPr="0033703B">
        <w:rPr>
          <w:szCs w:val="22"/>
        </w:rPr>
        <w:t>; and Health Insurance Portability and Accountability Act (HIP</w:t>
      </w:r>
      <w:r>
        <w:rPr>
          <w:szCs w:val="22"/>
        </w:rPr>
        <w:t>A</w:t>
      </w:r>
      <w:r w:rsidRPr="0033703B">
        <w:rPr>
          <w:szCs w:val="22"/>
        </w:rPr>
        <w:t xml:space="preserve">A)-related calls to </w:t>
      </w:r>
      <w:r>
        <w:rPr>
          <w:szCs w:val="22"/>
        </w:rPr>
        <w:t>residential numbers</w:t>
      </w:r>
      <w:r>
        <w:t>.</w:t>
      </w:r>
      <w:r>
        <w:rPr>
          <w:rStyle w:val="FootnoteReference"/>
        </w:rPr>
        <w:footnoteReference w:id="5"/>
      </w:r>
      <w:r>
        <w:t xml:space="preserve">   </w:t>
      </w:r>
    </w:p>
    <w:p w:rsidR="0058043B" w:rsidP="00EE7775" w14:paraId="10BB3F89" w14:textId="33BCCA27">
      <w:pPr>
        <w:spacing w:after="120"/>
        <w:ind w:firstLine="720"/>
        <w:rPr>
          <w:szCs w:val="22"/>
        </w:rPr>
      </w:pPr>
      <w:r>
        <w:rPr>
          <w:szCs w:val="22"/>
        </w:rPr>
        <w:t xml:space="preserve">Specifically, the Commission </w:t>
      </w:r>
      <w:r>
        <w:t>adopt</w:t>
      </w:r>
      <w:r w:rsidR="00EE7775">
        <w:t>ed</w:t>
      </w:r>
      <w:r>
        <w:t xml:space="preserve"> numerical </w:t>
      </w:r>
      <w:r w:rsidRPr="004B38BA">
        <w:rPr>
          <w:bCs/>
        </w:rPr>
        <w:t xml:space="preserve">limits on </w:t>
      </w:r>
      <w:r>
        <w:rPr>
          <w:bCs/>
        </w:rPr>
        <w:t xml:space="preserve">exempted artificial or prerecorded voice </w:t>
      </w:r>
      <w:r w:rsidRPr="004B38BA">
        <w:rPr>
          <w:bCs/>
        </w:rPr>
        <w:t xml:space="preserve">calls to residential lines (three calls per </w:t>
      </w:r>
      <w:r>
        <w:rPr>
          <w:bCs/>
        </w:rPr>
        <w:t>thirty</w:t>
      </w:r>
      <w:r w:rsidRPr="004B38BA">
        <w:rPr>
          <w:bCs/>
        </w:rPr>
        <w:t>-day period for most types of calls and one call per day</w:t>
      </w:r>
      <w:r>
        <w:rPr>
          <w:bCs/>
        </w:rPr>
        <w:t>, up to</w:t>
      </w:r>
      <w:r w:rsidRPr="004B38BA">
        <w:rPr>
          <w:bCs/>
        </w:rPr>
        <w:t xml:space="preserve"> three calls per seven-day period for </w:t>
      </w:r>
      <w:r>
        <w:rPr>
          <w:bCs/>
        </w:rPr>
        <w:t>certain HIPAA-related calls</w:t>
      </w:r>
      <w:r w:rsidRPr="004B38BA">
        <w:rPr>
          <w:bCs/>
        </w:rPr>
        <w:t>)</w:t>
      </w:r>
      <w:r>
        <w:rPr>
          <w:bCs/>
        </w:rPr>
        <w:t xml:space="preserve">.  The Commission also required callers making </w:t>
      </w:r>
      <w:r w:rsidR="00D33936">
        <w:rPr>
          <w:bCs/>
        </w:rPr>
        <w:t xml:space="preserve">such </w:t>
      </w:r>
      <w:r>
        <w:rPr>
          <w:bCs/>
        </w:rPr>
        <w:t>exempt calls to allow consumers to opt out of any future calls that they do not wish to receive.</w:t>
      </w:r>
      <w:r>
        <w:rPr>
          <w:rStyle w:val="FootnoteReference"/>
          <w:bCs/>
        </w:rPr>
        <w:footnoteReference w:id="6"/>
      </w:r>
      <w:r>
        <w:rPr>
          <w:bCs/>
        </w:rPr>
        <w:t xml:space="preserve">  </w:t>
      </w:r>
      <w:r>
        <w:rPr>
          <w:szCs w:val="22"/>
        </w:rPr>
        <w:t xml:space="preserve">These rule changes resulted in modified information collection requirements </w:t>
      </w:r>
      <w:r w:rsidRPr="00FA164E">
        <w:rPr>
          <w:szCs w:val="22"/>
        </w:rPr>
        <w:t>under the Paperwork Reduction Act of 1995</w:t>
      </w:r>
      <w:r w:rsidR="003D4B3A">
        <w:rPr>
          <w:szCs w:val="22"/>
        </w:rPr>
        <w:t xml:space="preserve">, which the Office of Management and Budget (OMB) </w:t>
      </w:r>
      <w:r w:rsidR="000232C9">
        <w:rPr>
          <w:szCs w:val="22"/>
        </w:rPr>
        <w:t xml:space="preserve">approved </w:t>
      </w:r>
      <w:r w:rsidR="003D4B3A">
        <w:rPr>
          <w:szCs w:val="22"/>
        </w:rPr>
        <w:t>on September 15, 2021</w:t>
      </w:r>
      <w:r w:rsidRPr="00FA164E">
        <w:rPr>
          <w:szCs w:val="22"/>
        </w:rPr>
        <w:t>.</w:t>
      </w:r>
      <w:r>
        <w:rPr>
          <w:rStyle w:val="FootnoteReference"/>
          <w:szCs w:val="22"/>
        </w:rPr>
        <w:footnoteReference w:id="7"/>
      </w:r>
      <w:r w:rsidRPr="00FA164E">
        <w:rPr>
          <w:szCs w:val="22"/>
        </w:rPr>
        <w:t xml:space="preserve"> </w:t>
      </w:r>
      <w:r w:rsidR="00C85BDF">
        <w:rPr>
          <w:szCs w:val="22"/>
        </w:rPr>
        <w:t xml:space="preserve"> The Commission explained in the </w:t>
      </w:r>
      <w:r w:rsidRPr="00C85BDF" w:rsidR="00C85BDF">
        <w:rPr>
          <w:i/>
          <w:iCs/>
          <w:szCs w:val="22"/>
        </w:rPr>
        <w:t>TCPA Exemptions Orde</w:t>
      </w:r>
      <w:r w:rsidR="00C85BDF">
        <w:rPr>
          <w:i/>
          <w:iCs/>
          <w:szCs w:val="22"/>
        </w:rPr>
        <w:t xml:space="preserve">r </w:t>
      </w:r>
      <w:r w:rsidR="00C85BDF">
        <w:rPr>
          <w:szCs w:val="22"/>
        </w:rPr>
        <w:t xml:space="preserve">that it would </w:t>
      </w:r>
      <w:r w:rsidR="00D33936">
        <w:rPr>
          <w:szCs w:val="22"/>
        </w:rPr>
        <w:t>publish</w:t>
      </w:r>
      <w:r w:rsidR="00C85BDF">
        <w:rPr>
          <w:szCs w:val="22"/>
        </w:rPr>
        <w:t xml:space="preserve"> </w:t>
      </w:r>
      <w:r w:rsidR="0008533F">
        <w:rPr>
          <w:szCs w:val="22"/>
        </w:rPr>
        <w:t xml:space="preserve">in the Federal Register </w:t>
      </w:r>
      <w:r w:rsidR="00C85BDF">
        <w:rPr>
          <w:szCs w:val="22"/>
        </w:rPr>
        <w:t>a</w:t>
      </w:r>
      <w:r w:rsidR="004C5554">
        <w:rPr>
          <w:szCs w:val="22"/>
        </w:rPr>
        <w:t xml:space="preserve"> compliance</w:t>
      </w:r>
      <w:r w:rsidR="00C85BDF">
        <w:rPr>
          <w:szCs w:val="22"/>
        </w:rPr>
        <w:t xml:space="preserve"> date </w:t>
      </w:r>
      <w:r w:rsidR="004C5554">
        <w:rPr>
          <w:szCs w:val="22"/>
        </w:rPr>
        <w:t>for</w:t>
      </w:r>
      <w:r w:rsidR="00C85BDF">
        <w:rPr>
          <w:szCs w:val="22"/>
        </w:rPr>
        <w:t xml:space="preserve"> the amended rules</w:t>
      </w:r>
      <w:r w:rsidR="0008533F">
        <w:rPr>
          <w:szCs w:val="22"/>
        </w:rPr>
        <w:t xml:space="preserve">, which would be six months </w:t>
      </w:r>
      <w:r w:rsidR="00D33936">
        <w:rPr>
          <w:szCs w:val="22"/>
        </w:rPr>
        <w:t>following</w:t>
      </w:r>
      <w:r w:rsidR="0008533F">
        <w:rPr>
          <w:szCs w:val="22"/>
        </w:rPr>
        <w:t xml:space="preserve"> </w:t>
      </w:r>
      <w:r w:rsidR="00822D34">
        <w:rPr>
          <w:szCs w:val="22"/>
        </w:rPr>
        <w:t>the date of</w:t>
      </w:r>
      <w:r w:rsidR="0008533F">
        <w:rPr>
          <w:szCs w:val="22"/>
        </w:rPr>
        <w:t xml:space="preserve"> publication.</w:t>
      </w:r>
      <w:r>
        <w:rPr>
          <w:rStyle w:val="FootnoteReference"/>
          <w:szCs w:val="22"/>
        </w:rPr>
        <w:footnoteReference w:id="8"/>
      </w:r>
      <w:r w:rsidR="00C85BDF">
        <w:rPr>
          <w:szCs w:val="22"/>
        </w:rPr>
        <w:t xml:space="preserve">  </w:t>
      </w:r>
    </w:p>
    <w:p w:rsidR="0025321B" w:rsidP="00013E83" w14:paraId="5F824900" w14:textId="2508650D">
      <w:pPr>
        <w:widowControl/>
        <w:spacing w:after="120"/>
        <w:ind w:firstLine="720"/>
        <w:rPr>
          <w:szCs w:val="22"/>
        </w:rPr>
      </w:pPr>
      <w:r>
        <w:rPr>
          <w:szCs w:val="22"/>
        </w:rPr>
        <w:t>A</w:t>
      </w:r>
      <w:r>
        <w:t xml:space="preserve">fter the Commission released the </w:t>
      </w:r>
      <w:r w:rsidRPr="00D45F8D">
        <w:rPr>
          <w:i/>
          <w:iCs/>
        </w:rPr>
        <w:t>TCPA Exemptions Order</w:t>
      </w:r>
      <w:r>
        <w:t>, two parties asked the Commission to reconsider the new requirements.</w:t>
      </w:r>
      <w:r>
        <w:rPr>
          <w:rStyle w:val="FootnoteReference"/>
        </w:rPr>
        <w:footnoteReference w:id="9"/>
      </w:r>
      <w:r>
        <w:t xml:space="preserve">  </w:t>
      </w:r>
      <w:r w:rsidR="003D4B3A">
        <w:rPr>
          <w:szCs w:val="22"/>
        </w:rPr>
        <w:t xml:space="preserve">On December </w:t>
      </w:r>
      <w:r w:rsidR="000232C9">
        <w:rPr>
          <w:szCs w:val="22"/>
        </w:rPr>
        <w:t>27</w:t>
      </w:r>
      <w:r w:rsidR="003D4B3A">
        <w:rPr>
          <w:szCs w:val="22"/>
        </w:rPr>
        <w:t>, 2022, the Commission released a</w:t>
      </w:r>
      <w:r w:rsidR="000232C9">
        <w:rPr>
          <w:szCs w:val="22"/>
        </w:rPr>
        <w:t xml:space="preserve">n Order on Reconsideration and Declaratory Ruling amending the rules to </w:t>
      </w:r>
      <w:r w:rsidRPr="00550853" w:rsidR="000232C9">
        <w:rPr>
          <w:szCs w:val="22"/>
        </w:rPr>
        <w:t>allow callers the option of obtaining either oral or written consent if they wish to make more calls than the numerical limits</w:t>
      </w:r>
      <w:r w:rsidR="000232C9">
        <w:rPr>
          <w:szCs w:val="22"/>
        </w:rPr>
        <w:t xml:space="preserve"> on exempted artificial or prerecorded voice message calls to residential telephone lines and affirm</w:t>
      </w:r>
      <w:r w:rsidR="006620C8">
        <w:rPr>
          <w:szCs w:val="22"/>
        </w:rPr>
        <w:t>ing</w:t>
      </w:r>
      <w:r w:rsidRPr="00720E76" w:rsidR="000232C9">
        <w:rPr>
          <w:szCs w:val="22"/>
        </w:rPr>
        <w:t xml:space="preserve"> the numerical limits </w:t>
      </w:r>
      <w:r w:rsidR="000232C9">
        <w:rPr>
          <w:szCs w:val="22"/>
        </w:rPr>
        <w:t xml:space="preserve">and </w:t>
      </w:r>
      <w:r w:rsidRPr="00720E76" w:rsidR="000232C9">
        <w:rPr>
          <w:szCs w:val="22"/>
        </w:rPr>
        <w:t>opt-out requirements</w:t>
      </w:r>
      <w:r w:rsidR="000232C9">
        <w:rPr>
          <w:szCs w:val="22"/>
        </w:rPr>
        <w:t xml:space="preserve"> on such calls</w:t>
      </w:r>
      <w:r w:rsidRPr="0033703B" w:rsidR="000232C9">
        <w:rPr>
          <w:szCs w:val="22"/>
        </w:rPr>
        <w:t>.</w:t>
      </w:r>
      <w:r>
        <w:rPr>
          <w:rStyle w:val="FootnoteReference"/>
          <w:szCs w:val="22"/>
        </w:rPr>
        <w:footnoteReference w:id="10"/>
      </w:r>
      <w:r w:rsidRPr="0033703B" w:rsidR="000232C9">
        <w:rPr>
          <w:szCs w:val="22"/>
        </w:rPr>
        <w:t xml:space="preserve"> </w:t>
      </w:r>
      <w:r>
        <w:rPr>
          <w:szCs w:val="22"/>
        </w:rPr>
        <w:t xml:space="preserve"> OMB approved this non-substantive rul</w:t>
      </w:r>
      <w:r w:rsidR="006620C8">
        <w:rPr>
          <w:szCs w:val="22"/>
        </w:rPr>
        <w:t>e change</w:t>
      </w:r>
      <w:r>
        <w:rPr>
          <w:szCs w:val="22"/>
        </w:rPr>
        <w:t xml:space="preserve"> on </w:t>
      </w:r>
      <w:r w:rsidR="006620C8">
        <w:rPr>
          <w:szCs w:val="22"/>
        </w:rPr>
        <w:t>January 4</w:t>
      </w:r>
      <w:r>
        <w:rPr>
          <w:szCs w:val="22"/>
        </w:rPr>
        <w:t>, 202</w:t>
      </w:r>
      <w:r w:rsidR="006620C8">
        <w:rPr>
          <w:szCs w:val="22"/>
        </w:rPr>
        <w:t>3</w:t>
      </w:r>
      <w:r>
        <w:rPr>
          <w:szCs w:val="22"/>
        </w:rPr>
        <w:t xml:space="preserve">.  </w:t>
      </w:r>
    </w:p>
    <w:p w:rsidR="00590290" w:rsidRPr="00C04041" w:rsidP="00FA65E9" w14:paraId="61E8888E" w14:textId="03D7A7FF">
      <w:pPr>
        <w:spacing w:after="120"/>
        <w:ind w:firstLine="720"/>
        <w:rPr>
          <w:szCs w:val="22"/>
        </w:rPr>
      </w:pPr>
      <w:r>
        <w:rPr>
          <w:szCs w:val="22"/>
        </w:rPr>
        <w:t xml:space="preserve">On </w:t>
      </w:r>
      <w:r w:rsidR="00013E83">
        <w:rPr>
          <w:szCs w:val="22"/>
        </w:rPr>
        <w:t>January 20, 2023</w:t>
      </w:r>
      <w:r>
        <w:rPr>
          <w:szCs w:val="22"/>
        </w:rPr>
        <w:t>,</w:t>
      </w:r>
      <w:r w:rsidRPr="00C04041">
        <w:rPr>
          <w:szCs w:val="22"/>
        </w:rPr>
        <w:t xml:space="preserve"> </w:t>
      </w:r>
      <w:r w:rsidRPr="00C04041" w:rsidR="00930482">
        <w:rPr>
          <w:szCs w:val="22"/>
        </w:rPr>
        <w:t xml:space="preserve">the Commission </w:t>
      </w:r>
      <w:r w:rsidR="00D33936">
        <w:rPr>
          <w:szCs w:val="22"/>
        </w:rPr>
        <w:t>announced</w:t>
      </w:r>
      <w:r w:rsidRPr="00C04041" w:rsidR="00930482">
        <w:rPr>
          <w:szCs w:val="22"/>
        </w:rPr>
        <w:t xml:space="preserve"> </w:t>
      </w:r>
      <w:r w:rsidRPr="00C04041" w:rsidR="00ED3AEB">
        <w:rPr>
          <w:szCs w:val="22"/>
        </w:rPr>
        <w:t xml:space="preserve">in the Federal Register </w:t>
      </w:r>
      <w:r w:rsidR="00D33936">
        <w:rPr>
          <w:szCs w:val="22"/>
        </w:rPr>
        <w:t>that compliance with the amendments to 47 CFR §§ 64.1200(a)(3)</w:t>
      </w:r>
      <w:r w:rsidR="00873419">
        <w:rPr>
          <w:szCs w:val="22"/>
        </w:rPr>
        <w:t>, (a)(3)</w:t>
      </w:r>
      <w:r w:rsidR="00D33936">
        <w:rPr>
          <w:szCs w:val="22"/>
        </w:rPr>
        <w:t>(ii) through (v), (b)(2), (b)(3)</w:t>
      </w:r>
      <w:r w:rsidR="00822D34">
        <w:rPr>
          <w:szCs w:val="22"/>
        </w:rPr>
        <w:t>,</w:t>
      </w:r>
      <w:r w:rsidR="00D33936">
        <w:rPr>
          <w:szCs w:val="22"/>
        </w:rPr>
        <w:t xml:space="preserve"> and (d) is required as of </w:t>
      </w:r>
      <w:r w:rsidR="00013E83">
        <w:rPr>
          <w:szCs w:val="22"/>
        </w:rPr>
        <w:t>July 20, 2023</w:t>
      </w:r>
      <w:r w:rsidR="00D33936">
        <w:rPr>
          <w:szCs w:val="22"/>
        </w:rPr>
        <w:t>.</w:t>
      </w:r>
      <w:r>
        <w:rPr>
          <w:rStyle w:val="FootnoteReference"/>
          <w:szCs w:val="22"/>
        </w:rPr>
        <w:footnoteReference w:id="11"/>
      </w:r>
      <w:r w:rsidR="00FA65E9">
        <w:rPr>
          <w:szCs w:val="22"/>
        </w:rPr>
        <w:t xml:space="preserve">       </w:t>
      </w:r>
    </w:p>
    <w:p w:rsidR="00F96F63" w:rsidRPr="00C04041" w:rsidP="00F96F63" w14:paraId="30CB9976" w14:textId="5F98D92C">
      <w:pPr>
        <w:rPr>
          <w:szCs w:val="22"/>
        </w:rPr>
      </w:pPr>
      <w:r w:rsidRPr="00C04041">
        <w:rPr>
          <w:szCs w:val="22"/>
        </w:rPr>
        <w:tab/>
        <w:t xml:space="preserve">For further information, contact </w:t>
      </w:r>
      <w:r w:rsidR="00FA65E9">
        <w:rPr>
          <w:szCs w:val="22"/>
        </w:rPr>
        <w:t>Richard D. Smith</w:t>
      </w:r>
      <w:r w:rsidRPr="00C04041">
        <w:rPr>
          <w:szCs w:val="22"/>
        </w:rPr>
        <w:t>, Consumer Policy Division, Consumer and Governmental Affairs Bureau, at (</w:t>
      </w:r>
      <w:r w:rsidR="00FA65E9">
        <w:rPr>
          <w:szCs w:val="22"/>
        </w:rPr>
        <w:t>717</w:t>
      </w:r>
      <w:r w:rsidRPr="00C04041">
        <w:rPr>
          <w:szCs w:val="22"/>
        </w:rPr>
        <w:t xml:space="preserve">) </w:t>
      </w:r>
      <w:r w:rsidR="00FA65E9">
        <w:rPr>
          <w:szCs w:val="22"/>
        </w:rPr>
        <w:t>338</w:t>
      </w:r>
      <w:r w:rsidRPr="00C04041">
        <w:rPr>
          <w:szCs w:val="22"/>
        </w:rPr>
        <w:t>-</w:t>
      </w:r>
      <w:r w:rsidR="00FA65E9">
        <w:rPr>
          <w:szCs w:val="22"/>
        </w:rPr>
        <w:t>2797</w:t>
      </w:r>
      <w:r w:rsidRPr="00C04041">
        <w:rPr>
          <w:szCs w:val="22"/>
        </w:rPr>
        <w:t xml:space="preserve"> or </w:t>
      </w:r>
      <w:r w:rsidR="00FA65E9">
        <w:rPr>
          <w:szCs w:val="22"/>
        </w:rPr>
        <w:t>Richard.Smith</w:t>
      </w:r>
      <w:r w:rsidRPr="00C04041">
        <w:rPr>
          <w:szCs w:val="22"/>
        </w:rPr>
        <w:t>@FCC.gov.</w:t>
      </w:r>
      <w:bookmarkEnd w:id="0"/>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E5238D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35B68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3419" w:rsidP="00910F12" w14:paraId="48145D5F" w14:textId="77777777">
    <w:pPr>
      <w:pStyle w:val="Footer"/>
      <w:jc w:val="center"/>
    </w:pPr>
  </w:p>
  <w:p w:rsidR="006F7393" w:rsidP="00910F12" w14:paraId="2F99B62E" w14:textId="400983DC">
    <w:pPr>
      <w:pStyle w:val="Footer"/>
      <w:jc w:val="center"/>
    </w:pPr>
    <w:r>
      <w:fldChar w:fldCharType="begin"/>
    </w:r>
    <w:r>
      <w:instrText xml:space="preserve"> PAGE   \* MERGEFORMAT </w:instrText>
    </w:r>
    <w:r>
      <w:fldChar w:fldCharType="separate"/>
    </w:r>
    <w:r w:rsidR="00E94005">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128F80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0B98" w14:paraId="0DCB1099" w14:textId="77777777">
      <w:r>
        <w:separator/>
      </w:r>
    </w:p>
  </w:footnote>
  <w:footnote w:type="continuationSeparator" w:id="1">
    <w:p w:rsidR="003B0B98" w14:paraId="70261E1E" w14:textId="77777777">
      <w:pPr>
        <w:rPr>
          <w:sz w:val="20"/>
        </w:rPr>
      </w:pPr>
      <w:r>
        <w:rPr>
          <w:sz w:val="20"/>
        </w:rPr>
        <w:t xml:space="preserve">(Continued from previous page)  </w:t>
      </w:r>
      <w:r>
        <w:rPr>
          <w:sz w:val="20"/>
        </w:rPr>
        <w:separator/>
      </w:r>
    </w:p>
  </w:footnote>
  <w:footnote w:type="continuationNotice" w:id="2">
    <w:p w:rsidR="003B0B98" w:rsidP="00910F12" w14:paraId="1D4828F8" w14:textId="77777777">
      <w:pPr>
        <w:jc w:val="right"/>
        <w:rPr>
          <w:sz w:val="20"/>
        </w:rPr>
      </w:pPr>
      <w:r>
        <w:rPr>
          <w:sz w:val="20"/>
        </w:rPr>
        <w:t>(continued….)</w:t>
      </w:r>
    </w:p>
  </w:footnote>
  <w:footnote w:id="3">
    <w:p w:rsidR="00EE7775" w:rsidP="00EE7775" w14:paraId="04D3B8C7" w14:textId="77777777">
      <w:pPr>
        <w:pStyle w:val="FootnoteText"/>
      </w:pPr>
      <w:r>
        <w:rPr>
          <w:rStyle w:val="FootnoteReference"/>
        </w:rPr>
        <w:footnoteRef/>
      </w:r>
      <w:r>
        <w:t xml:space="preserve"> Pallone-Thune Telephone Robocall Abuse Criminal Enforcement and Deterrence Act, Pub. L. No. 116-105, 133 Stat. 3274, § 8 (2019) (TRACED Act).  </w:t>
      </w:r>
    </w:p>
  </w:footnote>
  <w:footnote w:id="4">
    <w:p w:rsidR="00EE7775" w:rsidP="00EE7775" w14:paraId="49645155" w14:textId="77777777">
      <w:pPr>
        <w:pStyle w:val="FootnoteText"/>
      </w:pPr>
      <w:r>
        <w:rPr>
          <w:rStyle w:val="FootnoteReference"/>
        </w:rPr>
        <w:footnoteRef/>
      </w:r>
      <w:r>
        <w:t xml:space="preserve"> </w:t>
      </w:r>
      <w:bookmarkStart w:id="1" w:name="_Hlk26172631"/>
      <w:r>
        <w:t xml:space="preserve">Telephone Consumer Protection Act of 1991, Pub. L. No. 102-243, 105 Stat. 2394 (1991), </w:t>
      </w:r>
      <w:r w:rsidRPr="0027789B">
        <w:rPr>
          <w:i/>
          <w:iCs/>
        </w:rPr>
        <w:t>codified at</w:t>
      </w:r>
      <w:r>
        <w:t xml:space="preserve"> </w:t>
      </w:r>
      <w:r w:rsidRPr="00B56F66">
        <w:t>47 U.S.C. §</w:t>
      </w:r>
      <w:r>
        <w:t> </w:t>
      </w:r>
      <w:r w:rsidRPr="00B56F66">
        <w:t>227</w:t>
      </w:r>
      <w:bookmarkEnd w:id="1"/>
      <w:r>
        <w:t xml:space="preserve"> (TCPA); 47 CFR § 64.1200 </w:t>
      </w:r>
      <w:r w:rsidRPr="00331BB7">
        <w:rPr>
          <w:i/>
          <w:iCs/>
        </w:rPr>
        <w:t>et seq</w:t>
      </w:r>
      <w:r>
        <w:t>.</w:t>
      </w:r>
    </w:p>
  </w:footnote>
  <w:footnote w:id="5">
    <w:p w:rsidR="00EE7775" w:rsidP="00EE7775" w14:paraId="28910CB4" w14:textId="77777777">
      <w:pPr>
        <w:pStyle w:val="FootnoteText"/>
      </w:pPr>
      <w:r>
        <w:rPr>
          <w:rStyle w:val="FootnoteReference"/>
        </w:rPr>
        <w:footnoteRef/>
      </w:r>
      <w:r>
        <w:t xml:space="preserve"> </w:t>
      </w:r>
      <w:r w:rsidRPr="009A073D">
        <w:rPr>
          <w:i/>
          <w:iCs/>
        </w:rPr>
        <w:t>See</w:t>
      </w:r>
      <w:bookmarkStart w:id="2" w:name="_Hlk57799044"/>
      <w:r w:rsidRPr="00250512">
        <w:rPr>
          <w:i/>
          <w:iCs/>
        </w:rPr>
        <w:t xml:space="preserve"> </w:t>
      </w:r>
      <w:r w:rsidRPr="00B6735F">
        <w:rPr>
          <w:i/>
          <w:iCs/>
        </w:rPr>
        <w:t>Rules and Regulations Implementing the Telephone Consumer Protection Act of 1991</w:t>
      </w:r>
      <w:r>
        <w:t xml:space="preserve">, CG Docket No. 02-278, Report and Order, 35 FCC </w:t>
      </w:r>
      <w:r>
        <w:t>Rcd</w:t>
      </w:r>
      <w:r>
        <w:t xml:space="preserve"> 15188 (2020) (</w:t>
      </w:r>
      <w:r w:rsidRPr="00B6735F">
        <w:rPr>
          <w:i/>
          <w:iCs/>
        </w:rPr>
        <w:t>TCPA Exemptions Order</w:t>
      </w:r>
      <w:r>
        <w:t>).</w:t>
      </w:r>
      <w:bookmarkEnd w:id="2"/>
    </w:p>
  </w:footnote>
  <w:footnote w:id="6">
    <w:p w:rsidR="0058043B" w:rsidRPr="00177B8D" w:rsidP="0058043B" w14:paraId="7A8131CC" w14:textId="4329A118">
      <w:pPr>
        <w:pStyle w:val="FootnoteText"/>
      </w:pPr>
      <w:r>
        <w:rPr>
          <w:rStyle w:val="FootnoteReference"/>
        </w:rPr>
        <w:footnoteRef/>
      </w:r>
      <w:r>
        <w:t xml:space="preserve"> </w:t>
      </w:r>
      <w:r w:rsidRPr="00D45F8D">
        <w:rPr>
          <w:i/>
          <w:iCs/>
        </w:rPr>
        <w:t>Id.</w:t>
      </w:r>
      <w:r>
        <w:rPr>
          <w:i/>
          <w:iCs/>
        </w:rPr>
        <w:t xml:space="preserve"> </w:t>
      </w:r>
      <w:r>
        <w:t xml:space="preserve"> As part of the </w:t>
      </w:r>
      <w:r w:rsidRPr="002C7227">
        <w:rPr>
          <w:i/>
          <w:iCs/>
        </w:rPr>
        <w:t>TCPA Exemptions Order</w:t>
      </w:r>
      <w:r>
        <w:t xml:space="preserve">, the Commission also </w:t>
      </w:r>
      <w:r w:rsidRPr="004B38BA">
        <w:rPr>
          <w:bCs/>
        </w:rPr>
        <w:t xml:space="preserve">codified </w:t>
      </w:r>
      <w:r>
        <w:rPr>
          <w:bCs/>
        </w:rPr>
        <w:t xml:space="preserve">in its rules the </w:t>
      </w:r>
      <w:r w:rsidRPr="004B38BA">
        <w:rPr>
          <w:bCs/>
        </w:rPr>
        <w:t>existing exemptions for certain types of calls to wireless numbers</w:t>
      </w:r>
      <w:r>
        <w:rPr>
          <w:bCs/>
        </w:rPr>
        <w:t xml:space="preserve">, including calls by package delivery companies, financial institutions, prison inmate calling services, and healthcare providers.  </w:t>
      </w:r>
      <w:r w:rsidRPr="002C7227">
        <w:rPr>
          <w:bCs/>
          <w:i/>
          <w:iCs/>
        </w:rPr>
        <w:t>See</w:t>
      </w:r>
      <w:r>
        <w:rPr>
          <w:bCs/>
        </w:rPr>
        <w:t xml:space="preserve"> Federal Communications Commission, </w:t>
      </w:r>
      <w:r w:rsidRPr="002C7227">
        <w:rPr>
          <w:bCs/>
          <w:i/>
          <w:iCs/>
        </w:rPr>
        <w:t>Limits on Exempted Calls Under the Telephone Consumer Protection Act of 1991</w:t>
      </w:r>
      <w:r>
        <w:rPr>
          <w:bCs/>
        </w:rPr>
        <w:t xml:space="preserve">, 86 FR 11443 (Feb. 25, 2021). </w:t>
      </w:r>
    </w:p>
  </w:footnote>
  <w:footnote w:id="7">
    <w:p w:rsidR="0058043B" w:rsidRPr="00503C3C" w:rsidP="0058043B" w14:paraId="496066CE" w14:textId="173CBE87">
      <w:pPr>
        <w:pStyle w:val="FootnoteText"/>
      </w:pPr>
      <w:r w:rsidRPr="00503C3C">
        <w:rPr>
          <w:rStyle w:val="FootnoteReference"/>
          <w:sz w:val="20"/>
        </w:rPr>
        <w:footnoteRef/>
      </w:r>
      <w:r w:rsidRPr="00503C3C">
        <w:t xml:space="preserve"> </w:t>
      </w:r>
      <w:r w:rsidRPr="00216E75" w:rsidR="00216E75">
        <w:rPr>
          <w:i/>
          <w:iCs/>
        </w:rPr>
        <w:t>See</w:t>
      </w:r>
      <w:r w:rsidR="00216E75">
        <w:t xml:space="preserve"> </w:t>
      </w:r>
      <w:r w:rsidRPr="00503C3C">
        <w:t>Pub. L. No. 104-13, 109 Stat. 163 (1995) (codified at 44 U.S.C. §§ 3501-3520)</w:t>
      </w:r>
      <w:r w:rsidR="00216E75">
        <w:t xml:space="preserve">; Notice of Office of Management and Budget Action, OMB Control No. 3060-0519 (approved Sept. 15, 2021), available at </w:t>
      </w:r>
      <w:hyperlink r:id="rId1" w:history="1">
        <w:r w:rsidR="00216E75">
          <w:rPr>
            <w:rStyle w:val="Hyperlink"/>
          </w:rPr>
          <w:t>https://www.reginfo.gov/public/do/PRAViewICR?ref_nbr=202107-3060-001</w:t>
        </w:r>
      </w:hyperlink>
      <w:r w:rsidR="00216E75">
        <w:t>.</w:t>
      </w:r>
      <w:r w:rsidRPr="00503C3C">
        <w:t xml:space="preserve">  </w:t>
      </w:r>
    </w:p>
  </w:footnote>
  <w:footnote w:id="8">
    <w:p w:rsidR="00C85BDF" w14:paraId="44B8F10C" w14:textId="74C41FC8">
      <w:pPr>
        <w:pStyle w:val="FootnoteText"/>
      </w:pPr>
      <w:r>
        <w:rPr>
          <w:rStyle w:val="FootnoteReference"/>
        </w:rPr>
        <w:footnoteRef/>
      </w:r>
      <w:r>
        <w:t xml:space="preserve"> </w:t>
      </w:r>
      <w:r w:rsidRPr="00C85BDF">
        <w:rPr>
          <w:i/>
          <w:iCs/>
        </w:rPr>
        <w:t>See TCPA Exemptions Order</w:t>
      </w:r>
      <w:r>
        <w:t xml:space="preserve">, 35 FCC </w:t>
      </w:r>
      <w:r>
        <w:t>Rcd</w:t>
      </w:r>
      <w:r>
        <w:t xml:space="preserve"> at </w:t>
      </w:r>
      <w:r w:rsidR="00DE730E">
        <w:t>15200, para. 42 (stating that</w:t>
      </w:r>
      <w:r w:rsidRPr="00590290" w:rsidR="00DE730E">
        <w:t xml:space="preserve"> </w:t>
      </w:r>
      <w:r w:rsidRPr="00F0056C" w:rsidR="000A325C">
        <w:t xml:space="preserve">callers will have six months from publication of </w:t>
      </w:r>
      <w:r w:rsidR="000A325C">
        <w:t>such notification</w:t>
      </w:r>
      <w:r w:rsidRPr="00F0056C" w:rsidR="000A325C">
        <w:t xml:space="preserve"> in the Federal Register to come into compliance with the amended rules</w:t>
      </w:r>
      <w:r w:rsidR="00DE730E">
        <w:t>).</w:t>
      </w:r>
    </w:p>
  </w:footnote>
  <w:footnote w:id="9">
    <w:p w:rsidR="00B17DFB" w:rsidP="00B17DFB" w14:paraId="2D887363" w14:textId="77777777">
      <w:pPr>
        <w:pStyle w:val="FootnoteText"/>
      </w:pPr>
      <w:r>
        <w:rPr>
          <w:rStyle w:val="FootnoteReference"/>
        </w:rPr>
        <w:footnoteRef/>
      </w:r>
      <w:r>
        <w:t xml:space="preserve"> </w:t>
      </w:r>
      <w:r w:rsidRPr="00B56154">
        <w:rPr>
          <w:i/>
          <w:iCs/>
        </w:rPr>
        <w:t>See ACA International et al</w:t>
      </w:r>
      <w:r>
        <w:t xml:space="preserve">, Petition for Partial Reconsideration, CG Docket No. 02-278 (filed Mar. 29, 2021); </w:t>
      </w:r>
      <w:r w:rsidRPr="00B56154">
        <w:rPr>
          <w:i/>
          <w:iCs/>
        </w:rPr>
        <w:t>Enterprise Communications Advocacy Coalition (ECAC)</w:t>
      </w:r>
      <w:r>
        <w:t>, Petition for Reconsideration, CG Docket No. 02-278 (filed Mar. 17, 2021).</w:t>
      </w:r>
    </w:p>
  </w:footnote>
  <w:footnote w:id="10">
    <w:p w:rsidR="006620C8" w:rsidRPr="00FD2EE8" w:rsidP="007D175A" w14:paraId="1EF5B558" w14:textId="193DE1F7">
      <w:pPr>
        <w:tabs>
          <w:tab w:val="center" w:pos="4680"/>
        </w:tabs>
        <w:suppressAutoHyphens/>
        <w:spacing w:after="120"/>
        <w:rPr>
          <w:spacing w:val="-2"/>
          <w:sz w:val="20"/>
        </w:rPr>
      </w:pPr>
      <w:r>
        <w:rPr>
          <w:rStyle w:val="FootnoteReference"/>
        </w:rPr>
        <w:footnoteRef/>
      </w:r>
      <w:r>
        <w:t xml:space="preserve"> </w:t>
      </w:r>
      <w:r w:rsidRPr="00FD2EE8" w:rsidR="00FD2EE8">
        <w:rPr>
          <w:i/>
          <w:iCs/>
          <w:spacing w:val="-2"/>
          <w:sz w:val="20"/>
        </w:rPr>
        <w:t>Rules and Regulations Implementing the Telephone Consumer Protection Act of 1991; ACA International, the Edison Electric Institute, the Cargo Airline Association, and the American Association of Healthcare Administrative Management Petition for Partial Reconsideration; Enterprise Communications Advocacy Coalition Petition for Reconsideration</w:t>
      </w:r>
      <w:r w:rsidRPr="00FD2EE8" w:rsidR="00FD2EE8">
        <w:rPr>
          <w:spacing w:val="-2"/>
          <w:sz w:val="20"/>
        </w:rPr>
        <w:t xml:space="preserve">, CG Docket No. 02-278, Order on Reconsideration and Declaratory Ruling, FCC 22-100 (rel. Dec. 27, 2022).  </w:t>
      </w:r>
      <w:r w:rsidRPr="00FD2EE8" w:rsidR="00D33936">
        <w:rPr>
          <w:sz w:val="20"/>
        </w:rPr>
        <w:t xml:space="preserve">In the Declaratory Ruling, the Commission also confirmed that consumers who provide their wireless </w:t>
      </w:r>
      <w:r w:rsidRPr="00FD2EE8" w:rsidR="00D33936">
        <w:rPr>
          <w:i/>
          <w:iCs/>
          <w:sz w:val="20"/>
        </w:rPr>
        <w:t>or</w:t>
      </w:r>
      <w:r w:rsidRPr="00FD2EE8" w:rsidR="00D33936">
        <w:rPr>
          <w:sz w:val="20"/>
        </w:rPr>
        <w:t xml:space="preserve"> residential telephone number to a company involved in the provision of their utility service, have given prior express consent to be contacted by that company at that number with informational messages that are closely related to the utility service so long as the consumer has not provided instructions to the contrary</w:t>
      </w:r>
      <w:r w:rsidRPr="00FD2EE8" w:rsidR="003654CA">
        <w:rPr>
          <w:sz w:val="20"/>
        </w:rPr>
        <w:t xml:space="preserve">. </w:t>
      </w:r>
    </w:p>
  </w:footnote>
  <w:footnote w:id="11">
    <w:p w:rsidR="007D175A" w:rsidRPr="007D175A" w:rsidP="007D175A" w14:paraId="14B61201" w14:textId="29EA1FC2">
      <w:pPr>
        <w:pStyle w:val="FootnoteText"/>
      </w:pPr>
      <w:r>
        <w:rPr>
          <w:rStyle w:val="FootnoteReference"/>
        </w:rPr>
        <w:footnoteRef/>
      </w:r>
      <w:r>
        <w:t xml:space="preserve"> </w:t>
      </w:r>
      <w:r w:rsidRPr="007D175A">
        <w:rPr>
          <w:i/>
          <w:iCs/>
        </w:rPr>
        <w:t xml:space="preserve">See </w:t>
      </w:r>
      <w:r w:rsidR="005163AE">
        <w:t xml:space="preserve">Federal Communications Commission, </w:t>
      </w:r>
      <w:r w:rsidRPr="002C7227">
        <w:rPr>
          <w:bCs/>
          <w:i/>
          <w:iCs/>
        </w:rPr>
        <w:t>Limits on Exempted Calls Under the Telephone Consumer Protection Act of 1991</w:t>
      </w:r>
      <w:r w:rsidRPr="007D175A">
        <w:rPr>
          <w:bCs/>
        </w:rPr>
        <w:t xml:space="preserve">, </w:t>
      </w:r>
      <w:r w:rsidRPr="00013E83" w:rsidR="00013E83">
        <w:rPr>
          <w:bCs/>
        </w:rPr>
        <w:t>88</w:t>
      </w:r>
      <w:r w:rsidRPr="00013E83">
        <w:rPr>
          <w:bCs/>
        </w:rPr>
        <w:t xml:space="preserve"> FR </w:t>
      </w:r>
      <w:r w:rsidRPr="00013E83" w:rsidR="00013E83">
        <w:rPr>
          <w:bCs/>
        </w:rPr>
        <w:t>3668</w:t>
      </w:r>
      <w:r w:rsidRPr="00013E83">
        <w:rPr>
          <w:bCs/>
        </w:rPr>
        <w:t xml:space="preserve"> (</w:t>
      </w:r>
      <w:r w:rsidRPr="00013E83" w:rsidR="00013E83">
        <w:rPr>
          <w:bCs/>
        </w:rPr>
        <w:t>Jan. 20</w:t>
      </w:r>
      <w:r w:rsidRPr="00013E83">
        <w:rPr>
          <w:bCs/>
        </w:rPr>
        <w:t>, 2023).</w:t>
      </w:r>
      <w:r w:rsidRPr="007D175A">
        <w:rPr>
          <w:bCs/>
        </w:rPr>
        <w:t xml:space="preserve"> </w:t>
      </w:r>
    </w:p>
    <w:p w:rsidR="007D175A" w:rsidRPr="007D175A" w14:paraId="77F3CDEA" w14:textId="27DD6F4E">
      <w:pPr>
        <w:pStyle w:val="FootnoteText"/>
      </w:pPr>
      <w:r w:rsidRPr="007D175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96E44E5" w14:textId="461B1B5E">
    <w:pPr>
      <w:tabs>
        <w:tab w:val="center" w:pos="4680"/>
        <w:tab w:val="right" w:pos="9360"/>
      </w:tabs>
    </w:pPr>
    <w:r w:rsidRPr="009838BC">
      <w:rPr>
        <w:b/>
      </w:rPr>
      <w:tab/>
    </w:r>
    <w:r w:rsidRPr="009838BC">
      <w:rPr>
        <w:b/>
      </w:rPr>
      <w:t>Federal Communications Commission</w:t>
    </w:r>
    <w:r w:rsidRPr="009838BC">
      <w:rPr>
        <w:b/>
      </w:rPr>
      <w:tab/>
    </w:r>
    <w:r w:rsidR="006C3BB5">
      <w:rPr>
        <w:b/>
      </w:rPr>
      <w:t>DA 2</w:t>
    </w:r>
    <w:r w:rsidR="00512F3B">
      <w:rPr>
        <w:b/>
      </w:rPr>
      <w:t>3</w:t>
    </w:r>
    <w:r w:rsidR="006C3BB5">
      <w:rPr>
        <w:b/>
      </w:rPr>
      <w:t>-</w:t>
    </w:r>
    <w:r w:rsidR="00512F3B">
      <w:rPr>
        <w:b/>
      </w:rPr>
      <w:t>56</w:t>
    </w:r>
  </w:p>
  <w:p w:rsidR="009838BC" w:rsidRPr="009838BC" w:rsidP="009838BC" w14:paraId="2655F18A"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9838BC" w:rsidRPr="009838BC" w:rsidP="009838BC" w14:paraId="4A2007A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1A48086" w14:textId="77777777">
    <w:pPr>
      <w:spacing w:before="40"/>
      <w:rPr>
        <w:rFonts w:ascii="Arial" w:hAnsi="Arial" w:cs="Arial"/>
        <w:b/>
        <w:sz w:val="96"/>
      </w:rPr>
    </w:pPr>
    <w:r>
      <w:rPr>
        <w:noProof/>
        <w:snapToGrid/>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5E5DC5FE" w14:textId="77777777">
                    <w:pPr>
                      <w:rPr>
                        <w:rFonts w:ascii="Arial" w:hAnsi="Arial"/>
                        <w:b/>
                        <w:snapToGrid/>
                      </w:rPr>
                    </w:pPr>
                    <w:r>
                      <w:rPr>
                        <w:rFonts w:ascii="Arial" w:hAnsi="Arial"/>
                        <w:b/>
                      </w:rPr>
                      <w:t>Federal Communications Commission</w:t>
                    </w:r>
                  </w:p>
                  <w:p w:rsidR="00DE0AB8" w:rsidP="00DE0AB8" w14:paraId="4E819530" w14:textId="77777777">
                    <w:pPr>
                      <w:rPr>
                        <w:rFonts w:ascii="Arial" w:hAnsi="Arial"/>
                        <w:b/>
                      </w:rPr>
                    </w:pPr>
                    <w:r>
                      <w:rPr>
                        <w:rFonts w:ascii="Arial" w:hAnsi="Arial"/>
                        <w:b/>
                      </w:rPr>
                      <w:t>45 L Street NE</w:t>
                    </w:r>
                  </w:p>
                  <w:p w:rsidR="009838BC" w:rsidP="00DE0AB8" w14:paraId="5C452C33" w14:textId="77777777">
                    <w:pPr>
                      <w:rPr>
                        <w:rFonts w:ascii="Arial" w:hAnsi="Arial"/>
                        <w:sz w:val="24"/>
                      </w:rPr>
                    </w:pPr>
                    <w:r>
                      <w:rPr>
                        <w:rFonts w:ascii="Arial" w:hAnsi="Arial"/>
                        <w:b/>
                      </w:rPr>
                      <w:t>Washington, DC 20554</w:t>
                    </w:r>
                  </w:p>
                </w:txbxContent>
              </v:textbox>
              <w10:wrap anchorx="margin"/>
            </v:shape>
          </w:pict>
        </mc:Fallback>
      </mc:AlternateContent>
    </w:r>
    <w:r>
      <w:rPr>
        <w:noProof/>
        <w:snapToGrid/>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EE34503" w14:textId="77777777">
    <w:pPr>
      <w:spacing w:before="40"/>
      <w:rPr>
        <w:rFonts w:ascii="Arial" w:hAnsi="Arial" w:cs="Arial"/>
        <w:b/>
        <w:sz w:val="96"/>
      </w:rPr>
    </w:pPr>
    <w:r>
      <w:rPr>
        <w:noProof/>
        <w:snapToGrid/>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25400" b="2540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snapToGrid/>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635" b="952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49C95071">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78751BA" w14:textId="77777777">
                    <w:pPr>
                      <w:spacing w:before="40"/>
                      <w:jc w:val="right"/>
                      <w:rPr>
                        <w:rFonts w:ascii="Arial" w:hAnsi="Arial"/>
                        <w:b/>
                        <w:sz w:val="16"/>
                      </w:rPr>
                    </w:pPr>
                    <w:r>
                      <w:rPr>
                        <w:rFonts w:ascii="Arial" w:hAnsi="Arial"/>
                        <w:b/>
                        <w:sz w:val="16"/>
                      </w:rPr>
                      <w:t>News Media Information 202 / 418-0500</w:t>
                    </w:r>
                  </w:p>
                  <w:p w:rsidR="009838BC" w:rsidP="009838BC" w14:paraId="7D5740C8"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175D2E4C" w14:textId="49C95071">
                    <w:pPr>
                      <w:jc w:val="right"/>
                    </w:pPr>
                  </w:p>
                </w:txbxContent>
              </v:textbox>
            </v:shape>
          </w:pict>
        </mc:Fallback>
      </mc:AlternateContent>
    </w:r>
  </w:p>
  <w:p w:rsidR="006F7393" w:rsidRPr="009838BC" w:rsidP="009838BC" w14:paraId="0FDB3DA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54"/>
    <w:rsid w:val="000072CE"/>
    <w:rsid w:val="00013A8B"/>
    <w:rsid w:val="00013E83"/>
    <w:rsid w:val="00021445"/>
    <w:rsid w:val="000232C9"/>
    <w:rsid w:val="00036039"/>
    <w:rsid w:val="00037F90"/>
    <w:rsid w:val="00071B26"/>
    <w:rsid w:val="000813A1"/>
    <w:rsid w:val="0008533F"/>
    <w:rsid w:val="000875BF"/>
    <w:rsid w:val="00090448"/>
    <w:rsid w:val="00096D8C"/>
    <w:rsid w:val="000A325C"/>
    <w:rsid w:val="000C0B65"/>
    <w:rsid w:val="000D0580"/>
    <w:rsid w:val="000E3D42"/>
    <w:rsid w:val="000E5884"/>
    <w:rsid w:val="000F451B"/>
    <w:rsid w:val="00122BD5"/>
    <w:rsid w:val="00174BAD"/>
    <w:rsid w:val="00177B8D"/>
    <w:rsid w:val="001979D9"/>
    <w:rsid w:val="001B23B8"/>
    <w:rsid w:val="001C61A1"/>
    <w:rsid w:val="001C7A3C"/>
    <w:rsid w:val="001D0748"/>
    <w:rsid w:val="001D6BCF"/>
    <w:rsid w:val="001E01CA"/>
    <w:rsid w:val="002060D9"/>
    <w:rsid w:val="00216E75"/>
    <w:rsid w:val="002261FB"/>
    <w:rsid w:val="00226822"/>
    <w:rsid w:val="00250512"/>
    <w:rsid w:val="00250ACD"/>
    <w:rsid w:val="0025321B"/>
    <w:rsid w:val="00260594"/>
    <w:rsid w:val="0027789B"/>
    <w:rsid w:val="00285017"/>
    <w:rsid w:val="00291643"/>
    <w:rsid w:val="002A2D2E"/>
    <w:rsid w:val="002C7227"/>
    <w:rsid w:val="0030106D"/>
    <w:rsid w:val="00331BB7"/>
    <w:rsid w:val="0033703B"/>
    <w:rsid w:val="00341836"/>
    <w:rsid w:val="00343749"/>
    <w:rsid w:val="00357D50"/>
    <w:rsid w:val="003654CA"/>
    <w:rsid w:val="00377692"/>
    <w:rsid w:val="003925DC"/>
    <w:rsid w:val="003B0550"/>
    <w:rsid w:val="003B0B98"/>
    <w:rsid w:val="003B694F"/>
    <w:rsid w:val="003D4B3A"/>
    <w:rsid w:val="003E5922"/>
    <w:rsid w:val="003F171C"/>
    <w:rsid w:val="00402354"/>
    <w:rsid w:val="00412FC5"/>
    <w:rsid w:val="00422276"/>
    <w:rsid w:val="004242F1"/>
    <w:rsid w:val="004271BE"/>
    <w:rsid w:val="00445A00"/>
    <w:rsid w:val="00447BC4"/>
    <w:rsid w:val="00451579"/>
    <w:rsid w:val="00451B0F"/>
    <w:rsid w:val="0046125F"/>
    <w:rsid w:val="00487524"/>
    <w:rsid w:val="0049409D"/>
    <w:rsid w:val="00496106"/>
    <w:rsid w:val="004B38BA"/>
    <w:rsid w:val="004C12D0"/>
    <w:rsid w:val="004C1EFE"/>
    <w:rsid w:val="004C2EE3"/>
    <w:rsid w:val="004C5554"/>
    <w:rsid w:val="004D1181"/>
    <w:rsid w:val="004E4A22"/>
    <w:rsid w:val="00503C3C"/>
    <w:rsid w:val="00511968"/>
    <w:rsid w:val="00512F3B"/>
    <w:rsid w:val="005163AE"/>
    <w:rsid w:val="00550853"/>
    <w:rsid w:val="0055614C"/>
    <w:rsid w:val="00562A4B"/>
    <w:rsid w:val="0058043B"/>
    <w:rsid w:val="005836B9"/>
    <w:rsid w:val="00590290"/>
    <w:rsid w:val="0059428D"/>
    <w:rsid w:val="005C4351"/>
    <w:rsid w:val="005C55C8"/>
    <w:rsid w:val="005E3FD1"/>
    <w:rsid w:val="005F5971"/>
    <w:rsid w:val="005F73ED"/>
    <w:rsid w:val="00607BA5"/>
    <w:rsid w:val="006149A9"/>
    <w:rsid w:val="00626EB6"/>
    <w:rsid w:val="006353A3"/>
    <w:rsid w:val="00655D03"/>
    <w:rsid w:val="006620C8"/>
    <w:rsid w:val="006724F4"/>
    <w:rsid w:val="00683F84"/>
    <w:rsid w:val="006A6A81"/>
    <w:rsid w:val="006A7364"/>
    <w:rsid w:val="006C3BB5"/>
    <w:rsid w:val="006E26AF"/>
    <w:rsid w:val="006F7393"/>
    <w:rsid w:val="0070224F"/>
    <w:rsid w:val="007115F7"/>
    <w:rsid w:val="00720E76"/>
    <w:rsid w:val="0072729C"/>
    <w:rsid w:val="0073182E"/>
    <w:rsid w:val="00736386"/>
    <w:rsid w:val="007517B5"/>
    <w:rsid w:val="007613FA"/>
    <w:rsid w:val="00785689"/>
    <w:rsid w:val="0079754B"/>
    <w:rsid w:val="007A1E6D"/>
    <w:rsid w:val="007B573A"/>
    <w:rsid w:val="007D175A"/>
    <w:rsid w:val="007F6512"/>
    <w:rsid w:val="00822CE0"/>
    <w:rsid w:val="00822D34"/>
    <w:rsid w:val="00835C1A"/>
    <w:rsid w:val="00837C62"/>
    <w:rsid w:val="00841AB1"/>
    <w:rsid w:val="00873419"/>
    <w:rsid w:val="008A1BBB"/>
    <w:rsid w:val="008C22FD"/>
    <w:rsid w:val="00910F12"/>
    <w:rsid w:val="0092578D"/>
    <w:rsid w:val="00926503"/>
    <w:rsid w:val="00930482"/>
    <w:rsid w:val="00930ECF"/>
    <w:rsid w:val="0094322E"/>
    <w:rsid w:val="009743E4"/>
    <w:rsid w:val="009838BC"/>
    <w:rsid w:val="009A073D"/>
    <w:rsid w:val="00A201F8"/>
    <w:rsid w:val="00A351CB"/>
    <w:rsid w:val="00A43C3A"/>
    <w:rsid w:val="00A45F4F"/>
    <w:rsid w:val="00A575F5"/>
    <w:rsid w:val="00A600A9"/>
    <w:rsid w:val="00A866AC"/>
    <w:rsid w:val="00AA55B7"/>
    <w:rsid w:val="00AA5B9E"/>
    <w:rsid w:val="00AB2407"/>
    <w:rsid w:val="00AB53DF"/>
    <w:rsid w:val="00AD3AA3"/>
    <w:rsid w:val="00B07E5C"/>
    <w:rsid w:val="00B17DFB"/>
    <w:rsid w:val="00B20363"/>
    <w:rsid w:val="00B326E3"/>
    <w:rsid w:val="00B56154"/>
    <w:rsid w:val="00B56F66"/>
    <w:rsid w:val="00B6735F"/>
    <w:rsid w:val="00B811F7"/>
    <w:rsid w:val="00B933AE"/>
    <w:rsid w:val="00BA1443"/>
    <w:rsid w:val="00BA5DC6"/>
    <w:rsid w:val="00BA6196"/>
    <w:rsid w:val="00BC6D8C"/>
    <w:rsid w:val="00C04041"/>
    <w:rsid w:val="00C16AF2"/>
    <w:rsid w:val="00C205D6"/>
    <w:rsid w:val="00C34006"/>
    <w:rsid w:val="00C40450"/>
    <w:rsid w:val="00C426B1"/>
    <w:rsid w:val="00C72681"/>
    <w:rsid w:val="00C82B6B"/>
    <w:rsid w:val="00C85BDF"/>
    <w:rsid w:val="00C90D6A"/>
    <w:rsid w:val="00C9137B"/>
    <w:rsid w:val="00CA02A6"/>
    <w:rsid w:val="00CC72B6"/>
    <w:rsid w:val="00D0218D"/>
    <w:rsid w:val="00D1733B"/>
    <w:rsid w:val="00D216CD"/>
    <w:rsid w:val="00D33936"/>
    <w:rsid w:val="00D45F8D"/>
    <w:rsid w:val="00D80181"/>
    <w:rsid w:val="00D97601"/>
    <w:rsid w:val="00DA0DAA"/>
    <w:rsid w:val="00DA2529"/>
    <w:rsid w:val="00DB0A2A"/>
    <w:rsid w:val="00DB130A"/>
    <w:rsid w:val="00DC10A1"/>
    <w:rsid w:val="00DC655F"/>
    <w:rsid w:val="00DD7EBD"/>
    <w:rsid w:val="00DE0AB8"/>
    <w:rsid w:val="00DE2E8B"/>
    <w:rsid w:val="00DE730E"/>
    <w:rsid w:val="00DF62B6"/>
    <w:rsid w:val="00E07225"/>
    <w:rsid w:val="00E13A01"/>
    <w:rsid w:val="00E155B7"/>
    <w:rsid w:val="00E21A09"/>
    <w:rsid w:val="00E5409F"/>
    <w:rsid w:val="00E94005"/>
    <w:rsid w:val="00EC0185"/>
    <w:rsid w:val="00EC4A9B"/>
    <w:rsid w:val="00ED3AEB"/>
    <w:rsid w:val="00EE0A17"/>
    <w:rsid w:val="00EE7775"/>
    <w:rsid w:val="00F0056C"/>
    <w:rsid w:val="00F021FA"/>
    <w:rsid w:val="00F470EA"/>
    <w:rsid w:val="00F57ACA"/>
    <w:rsid w:val="00F62E97"/>
    <w:rsid w:val="00F64209"/>
    <w:rsid w:val="00F80A5B"/>
    <w:rsid w:val="00F86E0D"/>
    <w:rsid w:val="00F93BF5"/>
    <w:rsid w:val="00F96F63"/>
    <w:rsid w:val="00FA164E"/>
    <w:rsid w:val="00FA65E9"/>
    <w:rsid w:val="00FD2EE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ED7FF80"/>
  <w15:docId w15:val="{68113686-DF09-4017-AFAF-4616CA66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E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90290"/>
    <w:rPr>
      <w:rFonts w:ascii="Segoe UI" w:hAnsi="Segoe UI" w:cs="Segoe UI"/>
      <w:sz w:val="18"/>
      <w:szCs w:val="18"/>
    </w:rPr>
  </w:style>
  <w:style w:type="character" w:customStyle="1" w:styleId="BalloonTextChar">
    <w:name w:val="Balloon Text Char"/>
    <w:link w:val="BalloonText"/>
    <w:uiPriority w:val="99"/>
    <w:semiHidden/>
    <w:rsid w:val="00590290"/>
    <w:rPr>
      <w:rFonts w:ascii="Segoe UI" w:hAnsi="Segoe UI" w:cs="Segoe UI"/>
      <w:snapToGrid w:val="0"/>
      <w:kern w:val="28"/>
      <w:sz w:val="18"/>
      <w:szCs w:val="18"/>
    </w:rPr>
  </w:style>
  <w:style w:type="character" w:styleId="CommentReference">
    <w:name w:val="annotation reference"/>
    <w:uiPriority w:val="99"/>
    <w:semiHidden/>
    <w:unhideWhenUsed/>
    <w:rsid w:val="00BA1443"/>
    <w:rPr>
      <w:sz w:val="16"/>
      <w:szCs w:val="16"/>
    </w:rPr>
  </w:style>
  <w:style w:type="paragraph" w:styleId="CommentText">
    <w:name w:val="annotation text"/>
    <w:basedOn w:val="Normal"/>
    <w:link w:val="CommentTextChar"/>
    <w:uiPriority w:val="99"/>
    <w:semiHidden/>
    <w:unhideWhenUsed/>
    <w:rsid w:val="00BA1443"/>
    <w:rPr>
      <w:sz w:val="20"/>
    </w:rPr>
  </w:style>
  <w:style w:type="character" w:customStyle="1" w:styleId="CommentTextChar">
    <w:name w:val="Comment Text Char"/>
    <w:link w:val="CommentText"/>
    <w:uiPriority w:val="99"/>
    <w:semiHidden/>
    <w:rsid w:val="00BA1443"/>
    <w:rPr>
      <w:snapToGrid w:val="0"/>
      <w:kern w:val="28"/>
    </w:rPr>
  </w:style>
  <w:style w:type="paragraph" w:styleId="CommentSubject">
    <w:name w:val="annotation subject"/>
    <w:basedOn w:val="CommentText"/>
    <w:next w:val="CommentText"/>
    <w:link w:val="CommentSubjectChar"/>
    <w:uiPriority w:val="99"/>
    <w:semiHidden/>
    <w:unhideWhenUsed/>
    <w:rsid w:val="00BA1443"/>
    <w:rPr>
      <w:b/>
      <w:bCs/>
    </w:rPr>
  </w:style>
  <w:style w:type="character" w:customStyle="1" w:styleId="CommentSubjectChar">
    <w:name w:val="Comment Subject Char"/>
    <w:link w:val="CommentSubject"/>
    <w:uiPriority w:val="99"/>
    <w:semiHidden/>
    <w:rsid w:val="00BA1443"/>
    <w:rPr>
      <w:b/>
      <w:bCs/>
      <w:snapToGrid w:val="0"/>
      <w:kern w:val="28"/>
    </w:rPr>
  </w:style>
  <w:style w:type="character" w:customStyle="1" w:styleId="FootnoteTextChar">
    <w:name w:val="Footnote Text Char"/>
    <w:aliases w:val="Footnote Text Char Char Char Char Char,Footnote Text Char Char Char Char Char Char1 Char,Footnote Text Char Char2 Char Char Char,Footnote Text Char1 Char,Footnote Text Char1 Char Char Char,Footnote Text Char1 Char Char Char Char1 Char"/>
    <w:link w:val="FootnoteText"/>
    <w:locked/>
    <w:rsid w:val="0058043B"/>
  </w:style>
  <w:style w:type="character" w:styleId="FollowedHyperlink">
    <w:name w:val="FollowedHyperlink"/>
    <w:basedOn w:val="DefaultParagraphFont"/>
    <w:uiPriority w:val="99"/>
    <w:semiHidden/>
    <w:unhideWhenUsed/>
    <w:rsid w:val="00216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reginfo.gov/public/do/PRAViewICR?ref_nbr=202107-3060-00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