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7046F" w:rsidRPr="00F67F83" w14:paraId="34DDF14D" w14:textId="316ABE14">
      <w:pPr>
        <w:jc w:val="right"/>
        <w:rPr>
          <w:b/>
          <w:szCs w:val="22"/>
        </w:rPr>
      </w:pPr>
      <w:r w:rsidRPr="00F67F83">
        <w:rPr>
          <w:b/>
          <w:szCs w:val="22"/>
        </w:rPr>
        <w:t>DA 23</w:t>
      </w:r>
      <w:r w:rsidR="00266814">
        <w:rPr>
          <w:b/>
          <w:szCs w:val="22"/>
        </w:rPr>
        <w:t>-598</w:t>
      </w:r>
    </w:p>
    <w:p w:rsidR="00B7046F" w:rsidRPr="00F67F83" w14:paraId="417EE99E" w14:textId="670AE326">
      <w:pPr>
        <w:spacing w:before="60"/>
        <w:jc w:val="right"/>
        <w:rPr>
          <w:b/>
          <w:szCs w:val="22"/>
        </w:rPr>
      </w:pPr>
      <w:r w:rsidRPr="00F67F83">
        <w:rPr>
          <w:b/>
          <w:szCs w:val="22"/>
        </w:rPr>
        <w:t xml:space="preserve">Released:  </w:t>
      </w:r>
      <w:r w:rsidRPr="00F67F83" w:rsidR="006B5EC5">
        <w:rPr>
          <w:b/>
          <w:szCs w:val="22"/>
        </w:rPr>
        <w:t xml:space="preserve">July </w:t>
      </w:r>
      <w:r w:rsidRPr="00266814" w:rsidR="00266814">
        <w:rPr>
          <w:b/>
          <w:szCs w:val="22"/>
        </w:rPr>
        <w:t>11</w:t>
      </w:r>
      <w:r w:rsidRPr="00F67F83" w:rsidR="006B5EC5">
        <w:rPr>
          <w:b/>
          <w:szCs w:val="22"/>
        </w:rPr>
        <w:t>, 2023</w:t>
      </w:r>
    </w:p>
    <w:p w:rsidR="00B7046F" w:rsidRPr="00F67F83" w14:paraId="3CD539A6" w14:textId="77777777">
      <w:pPr>
        <w:jc w:val="right"/>
        <w:rPr>
          <w:szCs w:val="22"/>
        </w:rPr>
      </w:pPr>
    </w:p>
    <w:p w:rsidR="00B7046F" w:rsidRPr="00F67F83" w:rsidP="00C86C2F" w14:paraId="5B117AAE" w14:textId="298E7F8B">
      <w:pPr>
        <w:spacing w:after="120"/>
        <w:jc w:val="center"/>
        <w:rPr>
          <w:b/>
          <w:caps/>
          <w:szCs w:val="22"/>
        </w:rPr>
      </w:pPr>
      <w:bookmarkStart w:id="0" w:name="_Hlk139951611"/>
      <w:r w:rsidRPr="00F67F83">
        <w:rPr>
          <w:b/>
          <w:caps/>
          <w:szCs w:val="22"/>
        </w:rPr>
        <w:t xml:space="preserve">Reminder that </w:t>
      </w:r>
      <w:r w:rsidR="00F64FBA">
        <w:rPr>
          <w:b/>
          <w:caps/>
          <w:szCs w:val="22"/>
        </w:rPr>
        <w:t xml:space="preserve">revised </w:t>
      </w:r>
      <w:r w:rsidR="0046007C">
        <w:rPr>
          <w:b/>
          <w:caps/>
          <w:szCs w:val="22"/>
        </w:rPr>
        <w:t xml:space="preserve">TRS Fund </w:t>
      </w:r>
      <w:r w:rsidR="00F64FBA">
        <w:rPr>
          <w:b/>
          <w:caps/>
          <w:szCs w:val="22"/>
        </w:rPr>
        <w:t xml:space="preserve">contribution rules </w:t>
      </w:r>
      <w:r w:rsidR="005A18EA">
        <w:rPr>
          <w:b/>
          <w:caps/>
          <w:szCs w:val="22"/>
        </w:rPr>
        <w:t>apply beginning July 1, 2023</w:t>
      </w:r>
    </w:p>
    <w:bookmarkEnd w:id="0"/>
    <w:p w:rsidR="006B5EC5" w:rsidRPr="00F67F83" w:rsidP="00F67F83" w14:paraId="04153E0D" w14:textId="402CCA61">
      <w:pPr>
        <w:spacing w:after="120"/>
        <w:jc w:val="center"/>
        <w:rPr>
          <w:b/>
          <w:szCs w:val="22"/>
        </w:rPr>
      </w:pPr>
      <w:r w:rsidRPr="00F67F83">
        <w:rPr>
          <w:b/>
          <w:szCs w:val="22"/>
        </w:rPr>
        <w:t>CG Docket No. 03-123 and 10-51</w:t>
      </w:r>
    </w:p>
    <w:p w:rsidR="00C65279" w:rsidP="00F67F83" w14:paraId="58308FB2" w14:textId="1AE126E3">
      <w:pPr>
        <w:spacing w:after="120"/>
        <w:ind w:firstLine="720"/>
        <w:rPr>
          <w:szCs w:val="22"/>
        </w:rPr>
      </w:pPr>
      <w:r w:rsidRPr="00F67F83">
        <w:rPr>
          <w:bCs/>
          <w:szCs w:val="22"/>
        </w:rPr>
        <w:t xml:space="preserve">The Consumer and Governmental Affairs Bureau reminds </w:t>
      </w:r>
      <w:r w:rsidRPr="00F67F83" w:rsidR="00992284">
        <w:rPr>
          <w:bCs/>
          <w:szCs w:val="22"/>
        </w:rPr>
        <w:t>telecommunications carriers</w:t>
      </w:r>
      <w:r w:rsidR="00C94BEC">
        <w:rPr>
          <w:bCs/>
          <w:szCs w:val="22"/>
        </w:rPr>
        <w:t xml:space="preserve"> and</w:t>
      </w:r>
      <w:r w:rsidRPr="00F67F83" w:rsidR="00992284">
        <w:rPr>
          <w:bCs/>
          <w:szCs w:val="22"/>
        </w:rPr>
        <w:t xml:space="preserve"> </w:t>
      </w:r>
      <w:r w:rsidRPr="00F67F83" w:rsidR="00701E6B">
        <w:rPr>
          <w:bCs/>
          <w:szCs w:val="22"/>
        </w:rPr>
        <w:t>V</w:t>
      </w:r>
      <w:r w:rsidRPr="00F67F83" w:rsidR="00992284">
        <w:rPr>
          <w:bCs/>
          <w:szCs w:val="22"/>
        </w:rPr>
        <w:t>oice over Internet Protocol (VoIP) service providers</w:t>
      </w:r>
      <w:r w:rsidR="00C94BEC">
        <w:rPr>
          <w:bCs/>
          <w:szCs w:val="22"/>
        </w:rPr>
        <w:t xml:space="preserve"> that</w:t>
      </w:r>
      <w:r w:rsidR="00451820">
        <w:rPr>
          <w:bCs/>
          <w:szCs w:val="22"/>
        </w:rPr>
        <w:t>, beginning July 1, 2023, contribut</w:t>
      </w:r>
      <w:r w:rsidR="003D7C83">
        <w:rPr>
          <w:bCs/>
          <w:szCs w:val="22"/>
        </w:rPr>
        <w:t>ors</w:t>
      </w:r>
      <w:r w:rsidR="0030516A">
        <w:rPr>
          <w:bCs/>
          <w:szCs w:val="22"/>
        </w:rPr>
        <w:t xml:space="preserve"> </w:t>
      </w:r>
      <w:r w:rsidR="00451820">
        <w:rPr>
          <w:bCs/>
          <w:szCs w:val="22"/>
        </w:rPr>
        <w:t>to</w:t>
      </w:r>
      <w:r w:rsidRPr="00F67F83" w:rsidR="00992284">
        <w:rPr>
          <w:bCs/>
          <w:szCs w:val="22"/>
        </w:rPr>
        <w:t xml:space="preserve"> the Telecommunications Relay Services (TRS) Fund </w:t>
      </w:r>
      <w:r w:rsidR="0078596C">
        <w:rPr>
          <w:bCs/>
          <w:szCs w:val="22"/>
        </w:rPr>
        <w:t xml:space="preserve">must pay a percentage of their </w:t>
      </w:r>
      <w:r w:rsidRPr="00B33664" w:rsidR="0078596C">
        <w:rPr>
          <w:bCs/>
          <w:i/>
          <w:iCs/>
          <w:szCs w:val="22"/>
        </w:rPr>
        <w:t>intrastate, interstate, and international</w:t>
      </w:r>
      <w:r w:rsidR="00C800B4">
        <w:rPr>
          <w:bCs/>
          <w:szCs w:val="22"/>
        </w:rPr>
        <w:t xml:space="preserve"> end-user</w:t>
      </w:r>
      <w:r w:rsidRPr="00F67F83" w:rsidR="0078596C">
        <w:rPr>
          <w:bCs/>
          <w:szCs w:val="22"/>
        </w:rPr>
        <w:t xml:space="preserve"> revenues</w:t>
      </w:r>
      <w:r w:rsidRPr="00F67F83" w:rsidR="0078596C">
        <w:rPr>
          <w:bCs/>
          <w:szCs w:val="22"/>
        </w:rPr>
        <w:t xml:space="preserve"> </w:t>
      </w:r>
      <w:r w:rsidRPr="00F67F83" w:rsidR="00992284">
        <w:rPr>
          <w:bCs/>
          <w:szCs w:val="22"/>
        </w:rPr>
        <w:t xml:space="preserve">for </w:t>
      </w:r>
      <w:r w:rsidR="009D2061">
        <w:rPr>
          <w:bCs/>
          <w:szCs w:val="22"/>
        </w:rPr>
        <w:t xml:space="preserve">support of </w:t>
      </w:r>
      <w:r w:rsidR="003D7C83">
        <w:rPr>
          <w:bCs/>
          <w:szCs w:val="22"/>
        </w:rPr>
        <w:t xml:space="preserve">all </w:t>
      </w:r>
      <w:r w:rsidR="009D2061">
        <w:rPr>
          <w:bCs/>
          <w:szCs w:val="22"/>
        </w:rPr>
        <w:t>Internet</w:t>
      </w:r>
      <w:r w:rsidRPr="00F67F83" w:rsidR="00992284">
        <w:rPr>
          <w:bCs/>
          <w:szCs w:val="22"/>
        </w:rPr>
        <w:t>-based forms of TRS</w:t>
      </w:r>
      <w:r w:rsidR="003D7C83">
        <w:rPr>
          <w:bCs/>
          <w:szCs w:val="22"/>
        </w:rPr>
        <w:t>—</w:t>
      </w:r>
      <w:r w:rsidRPr="00F67F83" w:rsidR="00992284">
        <w:rPr>
          <w:bCs/>
          <w:szCs w:val="22"/>
        </w:rPr>
        <w:t>IP Captioned Telephone Service (IP CTS), IP Relay Service (IP Relay), and Video Relay Service (VRS)</w:t>
      </w:r>
      <w:r w:rsidRPr="00F67F83" w:rsidR="004623D8">
        <w:rPr>
          <w:bCs/>
          <w:szCs w:val="22"/>
        </w:rPr>
        <w:t>.</w:t>
      </w:r>
      <w:r>
        <w:rPr>
          <w:rStyle w:val="FootnoteReference"/>
          <w:bCs/>
          <w:szCs w:val="22"/>
        </w:rPr>
        <w:footnoteReference w:id="3"/>
      </w:r>
      <w:r w:rsidRPr="00F67F83" w:rsidR="004623D8">
        <w:rPr>
          <w:bCs/>
          <w:szCs w:val="22"/>
        </w:rPr>
        <w:t xml:space="preserve">  The </w:t>
      </w:r>
      <w:r w:rsidRPr="00F67F83" w:rsidR="00701E6B">
        <w:rPr>
          <w:bCs/>
          <w:szCs w:val="22"/>
        </w:rPr>
        <w:t>contribution factor</w:t>
      </w:r>
      <w:r w:rsidR="00094DDB">
        <w:rPr>
          <w:bCs/>
          <w:szCs w:val="22"/>
        </w:rPr>
        <w:t xml:space="preserve"> for these payments</w:t>
      </w:r>
      <w:r w:rsidRPr="00F67F83" w:rsidR="00992284">
        <w:rPr>
          <w:bCs/>
          <w:szCs w:val="22"/>
        </w:rPr>
        <w:t xml:space="preserve"> is </w:t>
      </w:r>
      <w:r w:rsidR="00094DDB">
        <w:rPr>
          <w:bCs/>
          <w:szCs w:val="22"/>
        </w:rPr>
        <w:t xml:space="preserve">calculated as </w:t>
      </w:r>
      <w:r w:rsidRPr="00F67F83" w:rsidR="00992284">
        <w:rPr>
          <w:bCs/>
          <w:szCs w:val="22"/>
        </w:rPr>
        <w:t xml:space="preserve">the ratio of IP CTS, VRS, and IP Relay funding requirements to the total </w:t>
      </w:r>
      <w:r w:rsidRPr="00F34E49" w:rsidR="00992284">
        <w:rPr>
          <w:bCs/>
          <w:i/>
          <w:iCs/>
          <w:szCs w:val="22"/>
        </w:rPr>
        <w:t>intrastate, interstate, and international</w:t>
      </w:r>
      <w:r w:rsidRPr="00F67F83" w:rsidR="00992284">
        <w:rPr>
          <w:bCs/>
          <w:szCs w:val="22"/>
        </w:rPr>
        <w:t xml:space="preserve"> end-user revenues </w:t>
      </w:r>
      <w:r w:rsidR="0061690E">
        <w:rPr>
          <w:bCs/>
          <w:szCs w:val="22"/>
        </w:rPr>
        <w:t xml:space="preserve">of all contributors </w:t>
      </w:r>
      <w:r w:rsidRPr="00F67F83" w:rsidR="00992284">
        <w:rPr>
          <w:bCs/>
          <w:szCs w:val="22"/>
        </w:rPr>
        <w:t>for the prior calendar year.</w:t>
      </w:r>
      <w:r>
        <w:rPr>
          <w:rStyle w:val="FootnoteReference"/>
          <w:bCs/>
          <w:szCs w:val="22"/>
        </w:rPr>
        <w:footnoteReference w:id="4"/>
      </w:r>
      <w:r w:rsidRPr="00F67F83" w:rsidR="00992284">
        <w:rPr>
          <w:bCs/>
          <w:szCs w:val="22"/>
        </w:rPr>
        <w:t xml:space="preserve">  </w:t>
      </w:r>
      <w:r w:rsidRPr="00F67F83" w:rsidR="00F67F83">
        <w:rPr>
          <w:bCs/>
          <w:szCs w:val="22"/>
        </w:rPr>
        <w:t xml:space="preserve">For TRS Fund Year 2023-24, </w:t>
      </w:r>
      <w:r w:rsidR="0061690E">
        <w:rPr>
          <w:bCs/>
          <w:szCs w:val="22"/>
        </w:rPr>
        <w:t>th</w:t>
      </w:r>
      <w:r w:rsidR="00594729">
        <w:rPr>
          <w:bCs/>
          <w:szCs w:val="22"/>
        </w:rPr>
        <w:t>e</w:t>
      </w:r>
      <w:r w:rsidR="0061690E">
        <w:rPr>
          <w:bCs/>
          <w:szCs w:val="22"/>
        </w:rPr>
        <w:t xml:space="preserve"> </w:t>
      </w:r>
      <w:r w:rsidRPr="00F67F83" w:rsidR="00F67F83">
        <w:rPr>
          <w:bCs/>
          <w:szCs w:val="22"/>
        </w:rPr>
        <w:t xml:space="preserve">contribution factor </w:t>
      </w:r>
      <w:r w:rsidR="00594729">
        <w:rPr>
          <w:bCs/>
          <w:szCs w:val="22"/>
        </w:rPr>
        <w:t xml:space="preserve">for support of </w:t>
      </w:r>
      <w:r w:rsidR="00B33664">
        <w:rPr>
          <w:bCs/>
          <w:szCs w:val="22"/>
        </w:rPr>
        <w:t xml:space="preserve">Internet-based TRS </w:t>
      </w:r>
      <w:r w:rsidRPr="00F67F83" w:rsidR="00F67F83">
        <w:rPr>
          <w:bCs/>
          <w:szCs w:val="22"/>
        </w:rPr>
        <w:t xml:space="preserve">is </w:t>
      </w:r>
      <w:r w:rsidR="00F67F83">
        <w:rPr>
          <w:szCs w:val="22"/>
        </w:rPr>
        <w:t>0.</w:t>
      </w:r>
      <w:r w:rsidR="00416153">
        <w:rPr>
          <w:szCs w:val="22"/>
        </w:rPr>
        <w:t>0</w:t>
      </w:r>
      <w:r w:rsidR="00D34EDF">
        <w:rPr>
          <w:bCs/>
          <w:szCs w:val="22"/>
        </w:rPr>
        <w:t>1615</w:t>
      </w:r>
      <w:r w:rsidRPr="00F67F83" w:rsidR="00F67F83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="00B232E2">
        <w:rPr>
          <w:szCs w:val="22"/>
        </w:rPr>
        <w:t xml:space="preserve">  </w:t>
      </w:r>
    </w:p>
    <w:p w:rsidR="00F34E49" w:rsidP="00F67F83" w14:paraId="6C69A3DB" w14:textId="7B3AC4B0">
      <w:pPr>
        <w:spacing w:after="120"/>
        <w:ind w:firstLine="720"/>
        <w:rPr>
          <w:szCs w:val="22"/>
        </w:rPr>
      </w:pPr>
      <w:r>
        <w:t xml:space="preserve">Contributions for support of interstate calls using other relay services—traditional TRS, Speech-to-Speech Relay Service, and Captioned Telephone Service—will continue to be paid as a percentage of contributors’ </w:t>
      </w:r>
      <w:r w:rsidRPr="00F34E49">
        <w:rPr>
          <w:i/>
          <w:iCs/>
        </w:rPr>
        <w:t>interstate and international</w:t>
      </w:r>
      <w:r>
        <w:t xml:space="preserve"> end user revenues, using a separate contribution factor.</w:t>
      </w:r>
      <w:r>
        <w:rPr>
          <w:rStyle w:val="FootnoteReference"/>
        </w:rPr>
        <w:footnoteReference w:id="6"/>
      </w:r>
      <w:r w:rsidR="00416153">
        <w:t xml:space="preserve"> </w:t>
      </w:r>
      <w:r w:rsidR="00594729">
        <w:t xml:space="preserve"> For TRS Fund Year 2023-24, th</w:t>
      </w:r>
      <w:r w:rsidR="00C65279">
        <w:t>e</w:t>
      </w:r>
      <w:r w:rsidR="00594729">
        <w:t xml:space="preserve"> contribution factor </w:t>
      </w:r>
      <w:r w:rsidR="00C65279">
        <w:t xml:space="preserve">for these non-Internet-based </w:t>
      </w:r>
      <w:r w:rsidR="00416153">
        <w:t xml:space="preserve">relay services </w:t>
      </w:r>
      <w:r w:rsidR="00594729">
        <w:t xml:space="preserve">is </w:t>
      </w:r>
      <w:r w:rsidRPr="009219AB" w:rsidR="00416153">
        <w:t>0.00</w:t>
      </w:r>
      <w:r w:rsidRPr="009219AB" w:rsidR="00991D52">
        <w:t>0</w:t>
      </w:r>
      <w:r w:rsidRPr="009219AB" w:rsidR="00416153">
        <w:t>25</w:t>
      </w:r>
      <w:r w:rsidR="00594729">
        <w:t>.</w:t>
      </w:r>
      <w:r>
        <w:rPr>
          <w:rStyle w:val="FootnoteReference"/>
        </w:rPr>
        <w:footnoteReference w:id="7"/>
      </w:r>
    </w:p>
    <w:p w:rsidR="00F67F83" w:rsidP="00F67F83" w14:paraId="2B407231" w14:textId="5F026C39">
      <w:pPr>
        <w:spacing w:after="120"/>
        <w:ind w:firstLine="720"/>
        <w:rPr>
          <w:szCs w:val="22"/>
        </w:rPr>
      </w:pPr>
      <w:r>
        <w:rPr>
          <w:szCs w:val="22"/>
        </w:rPr>
        <w:t xml:space="preserve">Each TRS Fund contributor </w:t>
      </w:r>
      <w:r w:rsidR="00C86C2F">
        <w:rPr>
          <w:szCs w:val="22"/>
        </w:rPr>
        <w:t xml:space="preserve">will receive a statement from the TRS Fund administrator </w:t>
      </w:r>
      <w:r w:rsidR="000E1CBA">
        <w:rPr>
          <w:szCs w:val="22"/>
        </w:rPr>
        <w:t xml:space="preserve">indicating </w:t>
      </w:r>
      <w:r w:rsidR="00C86C2F">
        <w:rPr>
          <w:szCs w:val="22"/>
        </w:rPr>
        <w:t xml:space="preserve">the </w:t>
      </w:r>
      <w:r w:rsidR="000E1CBA">
        <w:rPr>
          <w:szCs w:val="22"/>
        </w:rPr>
        <w:t>required</w:t>
      </w:r>
      <w:r w:rsidR="00C86C2F">
        <w:rPr>
          <w:szCs w:val="22"/>
        </w:rPr>
        <w:t xml:space="preserve"> contribution amount.</w:t>
      </w:r>
      <w:r>
        <w:rPr>
          <w:rStyle w:val="FootnoteReference"/>
          <w:szCs w:val="22"/>
        </w:rPr>
        <w:footnoteReference w:id="8"/>
      </w:r>
    </w:p>
    <w:p w:rsidR="00F67F83" w:rsidRPr="00F67F83" w:rsidP="00F67F83" w14:paraId="5FB1F0E1" w14:textId="78AAF410">
      <w:pPr>
        <w:spacing w:after="120"/>
        <w:ind w:firstLine="720"/>
        <w:rPr>
          <w:szCs w:val="22"/>
        </w:rPr>
      </w:pPr>
      <w:r w:rsidRPr="00F67F83">
        <w:rPr>
          <w:i/>
          <w:iCs/>
          <w:szCs w:val="22"/>
        </w:rPr>
        <w:t xml:space="preserve">Accessible Materials.  </w:t>
      </w:r>
      <w:r w:rsidRPr="00F67F83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3C5D40" w:rsidR="009A0593">
          <w:rPr>
            <w:rStyle w:val="Hyperlink"/>
            <w:szCs w:val="22"/>
          </w:rPr>
          <w:t>fcc504@fcc.gov</w:t>
        </w:r>
      </w:hyperlink>
      <w:r w:rsidRPr="00F67F83">
        <w:rPr>
          <w:szCs w:val="22"/>
        </w:rPr>
        <w:t xml:space="preserve"> or call the Consumer and Governmental Affairs Bureau at (202) 418-0530 (voice).</w:t>
      </w:r>
    </w:p>
    <w:p w:rsidR="00061AE9" w14:paraId="6D892581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F67F83" w:rsidP="00F67F83" w14:paraId="003CB79B" w14:textId="4190DD5E">
      <w:pPr>
        <w:spacing w:after="120"/>
        <w:ind w:firstLine="720"/>
        <w:rPr>
          <w:szCs w:val="22"/>
        </w:rPr>
      </w:pPr>
      <w:r w:rsidRPr="00F67F83">
        <w:rPr>
          <w:szCs w:val="22"/>
        </w:rPr>
        <w:t xml:space="preserve">For further information, please contact Michael Scott at (202) 418-1264 or by e-mail at </w:t>
      </w:r>
      <w:hyperlink r:id="rId6" w:history="1">
        <w:r w:rsidRPr="00F67F83">
          <w:rPr>
            <w:rStyle w:val="Hyperlink"/>
            <w:szCs w:val="22"/>
          </w:rPr>
          <w:t>Michael.Scott@fcc.gov</w:t>
        </w:r>
      </w:hyperlink>
      <w:r w:rsidRPr="00F67F83">
        <w:rPr>
          <w:szCs w:val="22"/>
        </w:rPr>
        <w:t xml:space="preserve">. </w:t>
      </w:r>
    </w:p>
    <w:p w:rsidR="00F67F83" w:rsidRPr="00F67F83" w:rsidP="00F67F83" w14:paraId="62699B7D" w14:textId="77777777">
      <w:pPr>
        <w:spacing w:after="120"/>
        <w:ind w:firstLine="720"/>
        <w:rPr>
          <w:szCs w:val="22"/>
        </w:rPr>
      </w:pPr>
    </w:p>
    <w:p w:rsidR="006B5EC5" w:rsidP="00C86C2F" w14:paraId="7F898AA4" w14:textId="13A9102A">
      <w:pPr>
        <w:spacing w:after="120"/>
        <w:jc w:val="center"/>
      </w:pPr>
      <w:r w:rsidRPr="00F67F83">
        <w:rPr>
          <w:b/>
          <w:szCs w:val="22"/>
        </w:rPr>
        <w:t>-FCC-</w:t>
      </w: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00439EF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B7046F" w14:paraId="3D3558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48F5B3A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6564A42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175BE" w14:paraId="5009CD9C" w14:textId="77777777">
      <w:r>
        <w:separator/>
      </w:r>
    </w:p>
  </w:footnote>
  <w:footnote w:type="continuationSeparator" w:id="1">
    <w:p w:rsidR="00E175BE" w14:paraId="5E16041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175BE" w14:paraId="786545B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623D8" w14:paraId="04A6FBE9" w14:textId="2CCAD6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23D8">
        <w:rPr>
          <w:i/>
          <w:iCs/>
        </w:rPr>
        <w:t xml:space="preserve">See </w:t>
      </w:r>
      <w:r w:rsidR="00B232E2">
        <w:t xml:space="preserve">47 CFR § 64.604(c)(5)(iii)(A); </w:t>
      </w:r>
      <w:r w:rsidRPr="004623D8" w:rsidR="0084063F">
        <w:rPr>
          <w:i/>
          <w:iCs/>
        </w:rPr>
        <w:t>Telecommunications Relay Services and Speech-to-Speech Services for Individuals with Hearing and Speech Disabilities</w:t>
      </w:r>
      <w:r w:rsidRPr="004623D8" w:rsidR="0084063F">
        <w:t xml:space="preserve">; </w:t>
      </w:r>
      <w:r w:rsidRPr="004623D8" w:rsidR="0084063F">
        <w:rPr>
          <w:i/>
          <w:iCs/>
        </w:rPr>
        <w:t>Structure and Practices of the Video Relay Service Program</w:t>
      </w:r>
      <w:r w:rsidRPr="004623D8" w:rsidR="0084063F">
        <w:t xml:space="preserve">; </w:t>
      </w:r>
      <w:r w:rsidRPr="004623D8" w:rsidR="0084063F">
        <w:rPr>
          <w:i/>
          <w:iCs/>
        </w:rPr>
        <w:t>Misuse of Internet Protocol Relay Service</w:t>
      </w:r>
      <w:r w:rsidRPr="004623D8" w:rsidR="0084063F">
        <w:t>, CG Docket Nos. 03-123, 10-51, and 13-24, FCC 22-49 (June 30, 2022) (</w:t>
      </w:r>
      <w:r w:rsidRPr="00701E6B" w:rsidR="0084063F">
        <w:rPr>
          <w:i/>
          <w:iCs/>
        </w:rPr>
        <w:t>2022</w:t>
      </w:r>
      <w:r w:rsidRPr="004623D8" w:rsidR="0084063F">
        <w:t xml:space="preserve"> </w:t>
      </w:r>
      <w:r w:rsidRPr="004623D8" w:rsidR="0084063F">
        <w:rPr>
          <w:i/>
          <w:iCs/>
        </w:rPr>
        <w:t>VRS and IP Relay Contribution Base Order</w:t>
      </w:r>
      <w:r w:rsidRPr="004623D8" w:rsidR="0084063F">
        <w:t xml:space="preserve">) (including intrastate revenues in the contribution base for </w:t>
      </w:r>
      <w:r w:rsidR="00D56773">
        <w:t xml:space="preserve">support of </w:t>
      </w:r>
      <w:r w:rsidRPr="004623D8" w:rsidR="0084063F">
        <w:t>VRS and IP Relay</w:t>
      </w:r>
      <w:r w:rsidR="009A332E">
        <w:t>, beginning July 1, 2023</w:t>
      </w:r>
      <w:r w:rsidRPr="004623D8" w:rsidR="0084063F">
        <w:t>)</w:t>
      </w:r>
      <w:r w:rsidR="0084063F">
        <w:t xml:space="preserve">; </w:t>
      </w:r>
      <w:r w:rsidRPr="004623D8">
        <w:rPr>
          <w:i/>
          <w:iCs/>
        </w:rPr>
        <w:t>Misuse of Internet Protocol (IP) Captioned Telephone Service</w:t>
      </w:r>
      <w:r w:rsidRPr="004623D8">
        <w:t>;</w:t>
      </w:r>
      <w:r w:rsidRPr="004623D8">
        <w:rPr>
          <w:i/>
          <w:iCs/>
        </w:rPr>
        <w:t xml:space="preserve"> Telecommunications Relay Services and Speech-to-Speech Services for Individuals with Hearing and Speech Disabilities, </w:t>
      </w:r>
      <w:r w:rsidRPr="004623D8">
        <w:t>CG Docket Nos. 13-24 and 03-123, Report and Order, 34 FCC Rcd 11265, 11268-70, paras. 7-12 (2019) (</w:t>
      </w:r>
      <w:r w:rsidRPr="004623D8">
        <w:rPr>
          <w:i/>
          <w:iCs/>
        </w:rPr>
        <w:t>2019 IP CTS Contribution Base Order</w:t>
      </w:r>
      <w:r w:rsidRPr="004623D8">
        <w:t xml:space="preserve">) (including intrastate revenues in the contribution base for </w:t>
      </w:r>
      <w:r w:rsidR="00D56773">
        <w:t xml:space="preserve">support of </w:t>
      </w:r>
      <w:r w:rsidRPr="004623D8">
        <w:t>IP CTS</w:t>
      </w:r>
      <w:r w:rsidR="009A332E">
        <w:t>, beginning July 1, 2020</w:t>
      </w:r>
      <w:r w:rsidRPr="004623D8">
        <w:t>)</w:t>
      </w:r>
      <w:r w:rsidR="0084063F">
        <w:t>.</w:t>
      </w:r>
      <w:r w:rsidR="00CF2974">
        <w:t xml:space="preserve"> </w:t>
      </w:r>
      <w:r w:rsidRPr="00551FFE" w:rsidR="00551FFE">
        <w:t xml:space="preserve"> </w:t>
      </w:r>
      <w:r>
        <w:t xml:space="preserve">  </w:t>
      </w:r>
    </w:p>
  </w:footnote>
  <w:footnote w:id="4">
    <w:p w:rsidR="00F67F83" w14:paraId="15CFD416" w14:textId="63059E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86C2F">
        <w:t>47 CFR § 64.604(c)(5)(iii)(B)</w:t>
      </w:r>
      <w:r w:rsidR="00D55E84">
        <w:t>.</w:t>
      </w:r>
    </w:p>
  </w:footnote>
  <w:footnote w:id="5">
    <w:p w:rsidR="00F67F83" w:rsidRPr="00F67F83" w14:paraId="57C0048D" w14:textId="18F60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F83" w:rsidR="00D55E84">
        <w:rPr>
          <w:i/>
          <w:iCs/>
        </w:rPr>
        <w:t>Telecommunications Relay Services and Speech-to-Speech Services for Individuals with Hearing and Speech Disabilities</w:t>
      </w:r>
      <w:r w:rsidRPr="00F67F83" w:rsidR="00D55E84">
        <w:t>;</w:t>
      </w:r>
      <w:r w:rsidRPr="00F67F83" w:rsidR="00D55E84">
        <w:rPr>
          <w:i/>
          <w:iCs/>
        </w:rPr>
        <w:t xml:space="preserve"> Structure and Practices of the Video Relay Service Program, </w:t>
      </w:r>
      <w:r w:rsidRPr="00F67F83" w:rsidR="00D55E84">
        <w:t xml:space="preserve">CG Docket Nos. 03-123 and 10-51, Order, DA </w:t>
      </w:r>
      <w:r w:rsidR="00D55E84">
        <w:t xml:space="preserve">23-577, at </w:t>
      </w:r>
      <w:r w:rsidR="00492499">
        <w:t>9</w:t>
      </w:r>
      <w:r w:rsidR="00D55E84">
        <w:t xml:space="preserve">, para. </w:t>
      </w:r>
      <w:r w:rsidR="00492499">
        <w:t>26</w:t>
      </w:r>
      <w:r w:rsidRPr="00F67F83" w:rsidR="00D55E84">
        <w:t xml:space="preserve"> (CGB June 30, 202</w:t>
      </w:r>
      <w:r w:rsidR="00492499">
        <w:t>3</w:t>
      </w:r>
      <w:r w:rsidRPr="00F67F83" w:rsidR="00D55E84">
        <w:t>) (</w:t>
      </w:r>
      <w:r w:rsidRPr="00F67F83" w:rsidR="00D55E84">
        <w:rPr>
          <w:i/>
          <w:iCs/>
        </w:rPr>
        <w:t>202</w:t>
      </w:r>
      <w:r w:rsidR="00D55E84">
        <w:rPr>
          <w:i/>
          <w:iCs/>
        </w:rPr>
        <w:t>3</w:t>
      </w:r>
      <w:r w:rsidRPr="00F67F83" w:rsidR="00D55E84">
        <w:rPr>
          <w:i/>
          <w:iCs/>
        </w:rPr>
        <w:t xml:space="preserve"> TRS </w:t>
      </w:r>
      <w:r w:rsidR="00492499">
        <w:rPr>
          <w:i/>
          <w:iCs/>
        </w:rPr>
        <w:t>Funding</w:t>
      </w:r>
      <w:r w:rsidRPr="00F67F83" w:rsidR="00D55E84">
        <w:rPr>
          <w:i/>
          <w:iCs/>
        </w:rPr>
        <w:t xml:space="preserve"> Order</w:t>
      </w:r>
      <w:r w:rsidRPr="00F67F83" w:rsidR="00D55E84">
        <w:t>).</w:t>
      </w:r>
    </w:p>
  </w:footnote>
  <w:footnote w:id="6">
    <w:p w:rsidR="00492499" w14:paraId="019C7955" w14:textId="02D5CA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2499">
        <w:rPr>
          <w:i/>
          <w:iCs/>
        </w:rPr>
        <w:t>2022</w:t>
      </w:r>
      <w:r w:rsidRPr="00492499">
        <w:t xml:space="preserve"> </w:t>
      </w:r>
      <w:r w:rsidRPr="00492499">
        <w:rPr>
          <w:i/>
          <w:iCs/>
        </w:rPr>
        <w:t>VRS and IP Relay Contribution Base Order</w:t>
      </w:r>
      <w:r w:rsidR="00803ED3">
        <w:t xml:space="preserve"> at 6-7</w:t>
      </w:r>
      <w:r w:rsidRPr="00154D98">
        <w:t xml:space="preserve">, </w:t>
      </w:r>
      <w:r w:rsidRPr="00154D98" w:rsidR="00154D98">
        <w:t>para. 16 n.48</w:t>
      </w:r>
      <w:r w:rsidR="00154D98">
        <w:rPr>
          <w:i/>
          <w:iCs/>
        </w:rPr>
        <w:t>.</w:t>
      </w:r>
    </w:p>
  </w:footnote>
  <w:footnote w:id="7">
    <w:p w:rsidR="007E1E06" w:rsidRPr="007E1E06" w14:paraId="18988049" w14:textId="28641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1E06">
        <w:rPr>
          <w:i/>
          <w:iCs/>
        </w:rPr>
        <w:t>2023 TRS Funding Order</w:t>
      </w:r>
      <w:r w:rsidRPr="007E1E06">
        <w:t xml:space="preserve"> at 9, para. 26</w:t>
      </w:r>
      <w:r>
        <w:t>.</w:t>
      </w:r>
    </w:p>
  </w:footnote>
  <w:footnote w:id="8">
    <w:p w:rsidR="00C86C2F" w14:paraId="4CE741C2" w14:textId="19EE04D3">
      <w:pPr>
        <w:pStyle w:val="FootnoteText"/>
      </w:pPr>
      <w:r>
        <w:rPr>
          <w:rStyle w:val="FootnoteReference"/>
        </w:rPr>
        <w:footnoteRef/>
      </w:r>
      <w:r>
        <w:t xml:space="preserve"> 47 CFR § 64.604(c)(5)(iii)(B).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7929C436" w14:textId="27B91980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EF438A">
      <w:rPr>
        <w:b/>
      </w:rPr>
      <w:t>DA 23-</w:t>
    </w:r>
    <w:r w:rsidRPr="00266814" w:rsidR="00266814">
      <w:rPr>
        <w:b/>
      </w:rPr>
      <w:t>598</w:t>
    </w:r>
  </w:p>
  <w:p w:rsidR="00B7046F" w14:paraId="52593737" w14:textId="1CC4430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B7046F" w14:paraId="43A80C8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63333419" w14:textId="6E4895A1">
    <w:pPr>
      <w:pStyle w:val="Header"/>
    </w:pPr>
    <w:r>
      <w:rPr>
        <w:noProof/>
        <w:snapToGrid/>
      </w:rPr>
      <w:drawing>
        <wp:inline distT="0" distB="0" distL="0" distR="0">
          <wp:extent cx="5946775" cy="1429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677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C5"/>
    <w:rsid w:val="00061342"/>
    <w:rsid w:val="00061AE9"/>
    <w:rsid w:val="00094DDB"/>
    <w:rsid w:val="000E1CBA"/>
    <w:rsid w:val="0013696C"/>
    <w:rsid w:val="00154D98"/>
    <w:rsid w:val="001D3E04"/>
    <w:rsid w:val="001D5445"/>
    <w:rsid w:val="001E2DF3"/>
    <w:rsid w:val="001E50A7"/>
    <w:rsid w:val="002509E8"/>
    <w:rsid w:val="00256344"/>
    <w:rsid w:val="00266814"/>
    <w:rsid w:val="00266EC7"/>
    <w:rsid w:val="002B4968"/>
    <w:rsid w:val="002F09AD"/>
    <w:rsid w:val="0030516A"/>
    <w:rsid w:val="003C58E1"/>
    <w:rsid w:val="003C5D40"/>
    <w:rsid w:val="003D7C83"/>
    <w:rsid w:val="00413B23"/>
    <w:rsid w:val="00416153"/>
    <w:rsid w:val="00451820"/>
    <w:rsid w:val="0046007C"/>
    <w:rsid w:val="004623D8"/>
    <w:rsid w:val="00490C8E"/>
    <w:rsid w:val="00492499"/>
    <w:rsid w:val="004D7C9B"/>
    <w:rsid w:val="00500493"/>
    <w:rsid w:val="00516079"/>
    <w:rsid w:val="005237E1"/>
    <w:rsid w:val="00532538"/>
    <w:rsid w:val="00551FFE"/>
    <w:rsid w:val="00560865"/>
    <w:rsid w:val="00594729"/>
    <w:rsid w:val="005A18EA"/>
    <w:rsid w:val="005A782E"/>
    <w:rsid w:val="0061690E"/>
    <w:rsid w:val="00675A51"/>
    <w:rsid w:val="006A425D"/>
    <w:rsid w:val="006B5EC5"/>
    <w:rsid w:val="006E74C6"/>
    <w:rsid w:val="00701E6B"/>
    <w:rsid w:val="0075362F"/>
    <w:rsid w:val="0078596C"/>
    <w:rsid w:val="007E1E06"/>
    <w:rsid w:val="00803ED3"/>
    <w:rsid w:val="0084063F"/>
    <w:rsid w:val="00901C2B"/>
    <w:rsid w:val="009219AB"/>
    <w:rsid w:val="00982331"/>
    <w:rsid w:val="00991D52"/>
    <w:rsid w:val="00992284"/>
    <w:rsid w:val="009A0593"/>
    <w:rsid w:val="009A332E"/>
    <w:rsid w:val="009B0854"/>
    <w:rsid w:val="009D2061"/>
    <w:rsid w:val="00A04C47"/>
    <w:rsid w:val="00A64995"/>
    <w:rsid w:val="00AC0E0D"/>
    <w:rsid w:val="00B232E2"/>
    <w:rsid w:val="00B33664"/>
    <w:rsid w:val="00B7046F"/>
    <w:rsid w:val="00B9204E"/>
    <w:rsid w:val="00B9606C"/>
    <w:rsid w:val="00BA388B"/>
    <w:rsid w:val="00C235AD"/>
    <w:rsid w:val="00C5636E"/>
    <w:rsid w:val="00C6155E"/>
    <w:rsid w:val="00C65279"/>
    <w:rsid w:val="00C6768E"/>
    <w:rsid w:val="00C800B4"/>
    <w:rsid w:val="00C86C2F"/>
    <w:rsid w:val="00C94BEC"/>
    <w:rsid w:val="00CA666F"/>
    <w:rsid w:val="00CD6515"/>
    <w:rsid w:val="00CF2974"/>
    <w:rsid w:val="00D34EDF"/>
    <w:rsid w:val="00D55E84"/>
    <w:rsid w:val="00D56773"/>
    <w:rsid w:val="00D67C80"/>
    <w:rsid w:val="00D77DFD"/>
    <w:rsid w:val="00DC464D"/>
    <w:rsid w:val="00DF0A36"/>
    <w:rsid w:val="00DF2970"/>
    <w:rsid w:val="00E175BE"/>
    <w:rsid w:val="00E36B0E"/>
    <w:rsid w:val="00E370B3"/>
    <w:rsid w:val="00EC448A"/>
    <w:rsid w:val="00ED5408"/>
    <w:rsid w:val="00EE5FFE"/>
    <w:rsid w:val="00EF1A6C"/>
    <w:rsid w:val="00EF438A"/>
    <w:rsid w:val="00F34E49"/>
    <w:rsid w:val="00F64FBA"/>
    <w:rsid w:val="00F67F83"/>
    <w:rsid w:val="00FB7F67"/>
    <w:rsid w:val="00FF1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596D6EC"/>
  <w15:chartTrackingRefBased/>
  <w15:docId w15:val="{29A70D6D-4012-47B5-8389-D711DE1B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rsid w:val="00F67F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F83"/>
    <w:rPr>
      <w:snapToGrid/>
      <w:sz w:val="20"/>
    </w:rPr>
  </w:style>
  <w:style w:type="character" w:customStyle="1" w:styleId="CommentTextChar">
    <w:name w:val="Comment Text Char"/>
    <w:link w:val="CommentText"/>
    <w:rsid w:val="00F67F83"/>
    <w:rPr>
      <w:kern w:val="28"/>
    </w:rPr>
  </w:style>
  <w:style w:type="paragraph" w:styleId="Revision">
    <w:name w:val="Revision"/>
    <w:hidden/>
    <w:uiPriority w:val="99"/>
    <w:semiHidden/>
    <w:rsid w:val="00A64995"/>
    <w:rPr>
      <w:snapToGrid w:val="0"/>
      <w:kern w:val="28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2F"/>
    <w:rPr>
      <w:b/>
      <w:bCs/>
      <w:snapToGrid w:val="0"/>
    </w:rPr>
  </w:style>
  <w:style w:type="character" w:customStyle="1" w:styleId="CommentSubjectChar">
    <w:name w:val="Comment Subject Char"/>
    <w:link w:val="CommentSubject"/>
    <w:uiPriority w:val="99"/>
    <w:semiHidden/>
    <w:rsid w:val="0075362F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